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C4686F" w:rsidRDefault="00234947" w:rsidP="00AA3519">
      <w:pPr>
        <w:pStyle w:val="NoSpacing"/>
        <w:spacing w:line="360" w:lineRule="auto"/>
        <w:rPr>
          <w:rFonts w:ascii="Times New Roman" w:hAnsi="Times New Roman"/>
          <w:sz w:val="24"/>
          <w:szCs w:val="24"/>
        </w:rPr>
      </w:pPr>
      <w:r w:rsidRPr="00C4686F">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-933450</wp:posOffset>
            </wp:positionH>
            <wp:positionV relativeFrom="paragraph">
              <wp:posOffset>-1047750</wp:posOffset>
            </wp:positionV>
            <wp:extent cx="77343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C24B26" w:rsidRPr="00C4686F" w:rsidRDefault="00C24B26" w:rsidP="00AA3519">
      <w:pPr>
        <w:pStyle w:val="NoSpacing"/>
        <w:spacing w:line="360" w:lineRule="auto"/>
        <w:rPr>
          <w:rFonts w:ascii="Times New Roman" w:hAnsi="Times New Roman"/>
          <w:sz w:val="24"/>
          <w:szCs w:val="24"/>
        </w:rPr>
      </w:pPr>
    </w:p>
    <w:p w:rsidR="00C24B26" w:rsidRPr="00C4686F" w:rsidRDefault="00C24B26" w:rsidP="00AA3519">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gridCol w:w="4788"/>
      </w:tblGrid>
      <w:tr w:rsidR="004B22AF" w:rsidRPr="00C4686F" w:rsidTr="004B22AF">
        <w:tc>
          <w:tcPr>
            <w:tcW w:w="4788" w:type="dxa"/>
          </w:tcPr>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Avista Corp.</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1411 East Mission   P.O. Box 3727</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Spokane. Washington  99220-0500</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Telephone 509-489-0500</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Toll Free   800-727-9170</w:t>
            </w:r>
          </w:p>
          <w:p w:rsidR="004B22AF" w:rsidRPr="00C4686F" w:rsidRDefault="004B22AF" w:rsidP="004B22AF">
            <w:pPr>
              <w:pStyle w:val="NoSpacing"/>
              <w:rPr>
                <w:rFonts w:ascii="Times New Roman" w:hAnsi="Times New Roman"/>
                <w:sz w:val="24"/>
                <w:szCs w:val="24"/>
              </w:rPr>
            </w:pPr>
          </w:p>
        </w:tc>
        <w:tc>
          <w:tcPr>
            <w:tcW w:w="4788" w:type="dxa"/>
          </w:tcPr>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 xml:space="preserve"> </w:t>
            </w:r>
            <w:r w:rsidRPr="00C4686F">
              <w:rPr>
                <w:rFonts w:ascii="Times New Roman" w:hAnsi="Times New Roman"/>
                <w:sz w:val="24"/>
                <w:szCs w:val="24"/>
              </w:rPr>
              <w:tab/>
              <w:t xml:space="preserve"> </w:t>
            </w:r>
          </w:p>
        </w:tc>
      </w:tr>
    </w:tbl>
    <w:p w:rsidR="00C24B26" w:rsidRPr="00C4686F" w:rsidRDefault="00C24B26" w:rsidP="00AA3519">
      <w:pPr>
        <w:pStyle w:val="NoSpacing"/>
        <w:jc w:val="both"/>
        <w:rPr>
          <w:rFonts w:ascii="Times New Roman" w:hAnsi="Times New Roman"/>
          <w:sz w:val="24"/>
          <w:szCs w:val="24"/>
        </w:rPr>
      </w:pPr>
    </w:p>
    <w:p w:rsidR="00C24B26" w:rsidRPr="00C4686F" w:rsidRDefault="000C3206" w:rsidP="00AA3519">
      <w:pPr>
        <w:pStyle w:val="NoSpacing"/>
        <w:jc w:val="both"/>
        <w:rPr>
          <w:rFonts w:ascii="Times New Roman" w:hAnsi="Times New Roman"/>
          <w:sz w:val="24"/>
          <w:szCs w:val="24"/>
        </w:rPr>
      </w:pPr>
      <w:r w:rsidRPr="00C4686F">
        <w:rPr>
          <w:rFonts w:ascii="Times New Roman" w:hAnsi="Times New Roman"/>
          <w:sz w:val="24"/>
          <w:szCs w:val="24"/>
        </w:rPr>
        <w:t>July 15</w:t>
      </w:r>
      <w:r w:rsidR="00C24B26" w:rsidRPr="00C4686F">
        <w:rPr>
          <w:rFonts w:ascii="Times New Roman" w:hAnsi="Times New Roman"/>
          <w:sz w:val="24"/>
          <w:szCs w:val="24"/>
        </w:rPr>
        <w:t>, 201</w:t>
      </w:r>
      <w:r w:rsidRPr="00C4686F">
        <w:rPr>
          <w:rFonts w:ascii="Times New Roman" w:hAnsi="Times New Roman"/>
          <w:sz w:val="24"/>
          <w:szCs w:val="24"/>
        </w:rPr>
        <w:t>1</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b/>
          <w:i/>
          <w:sz w:val="24"/>
          <w:szCs w:val="24"/>
        </w:rPr>
      </w:pPr>
      <w:r w:rsidRPr="00C4686F">
        <w:rPr>
          <w:rFonts w:ascii="Times New Roman" w:hAnsi="Times New Roman"/>
          <w:b/>
          <w:i/>
          <w:sz w:val="24"/>
          <w:szCs w:val="24"/>
        </w:rPr>
        <w:t>VIA: Electronic Mail</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David Danner</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Executive Director</w:t>
      </w:r>
      <w:r w:rsidR="00AB52B6" w:rsidRPr="00C4686F">
        <w:rPr>
          <w:rFonts w:ascii="Times New Roman" w:hAnsi="Times New Roman"/>
          <w:sz w:val="24"/>
          <w:szCs w:val="24"/>
        </w:rPr>
        <w:t xml:space="preserve"> and Secretary</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Washington Utilities &amp; Transportation Commission</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1300 S. Evergreen Park Drive S. W.</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P.O. Box 47250</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Olympia, Washington  98504-7250</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C24B26" w:rsidP="00AA3519">
      <w:pPr>
        <w:pStyle w:val="NoSpacing"/>
        <w:jc w:val="both"/>
        <w:rPr>
          <w:rFonts w:ascii="Times New Roman" w:hAnsi="Times New Roman"/>
          <w:sz w:val="24"/>
          <w:szCs w:val="24"/>
        </w:rPr>
      </w:pPr>
      <w:r w:rsidRPr="00C4686F">
        <w:rPr>
          <w:rFonts w:ascii="Times New Roman" w:hAnsi="Times New Roman"/>
          <w:sz w:val="24"/>
          <w:szCs w:val="24"/>
        </w:rPr>
        <w:t>Re:</w:t>
      </w:r>
      <w:r w:rsidRPr="00C4686F">
        <w:rPr>
          <w:rFonts w:ascii="Times New Roman" w:hAnsi="Times New Roman"/>
          <w:sz w:val="24"/>
          <w:szCs w:val="24"/>
        </w:rPr>
        <w:tab/>
      </w:r>
      <w:r w:rsidR="00CC539D" w:rsidRPr="00C4686F">
        <w:rPr>
          <w:rFonts w:ascii="Times New Roman" w:hAnsi="Times New Roman"/>
          <w:sz w:val="24"/>
          <w:szCs w:val="24"/>
        </w:rPr>
        <w:t xml:space="preserve">Comments of Avista Utilities - </w:t>
      </w:r>
      <w:r w:rsidR="004B22AF" w:rsidRPr="00C4686F">
        <w:rPr>
          <w:rFonts w:ascii="Times New Roman" w:hAnsi="Times New Roman"/>
          <w:sz w:val="24"/>
          <w:szCs w:val="24"/>
        </w:rPr>
        <w:t>Docket No. UE-1</w:t>
      </w:r>
      <w:r w:rsidR="000C3206" w:rsidRPr="00C4686F">
        <w:rPr>
          <w:rFonts w:ascii="Times New Roman" w:hAnsi="Times New Roman"/>
          <w:sz w:val="24"/>
          <w:szCs w:val="24"/>
        </w:rPr>
        <w:t>10667</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4B0C88">
      <w:pPr>
        <w:pStyle w:val="NoSpacing"/>
        <w:spacing w:line="360" w:lineRule="auto"/>
        <w:jc w:val="both"/>
        <w:rPr>
          <w:rFonts w:ascii="Times New Roman" w:hAnsi="Times New Roman"/>
          <w:sz w:val="24"/>
          <w:szCs w:val="24"/>
        </w:rPr>
      </w:pPr>
      <w:r w:rsidRPr="00C4686F">
        <w:rPr>
          <w:rFonts w:ascii="Times New Roman" w:hAnsi="Times New Roman"/>
          <w:sz w:val="24"/>
          <w:szCs w:val="24"/>
        </w:rPr>
        <w:t>Dear Mr. Danner,</w:t>
      </w:r>
    </w:p>
    <w:p w:rsidR="00B914A9" w:rsidRPr="00C4686F" w:rsidRDefault="00B914A9" w:rsidP="00B20B6F">
      <w:pPr>
        <w:pStyle w:val="NoSpacing"/>
        <w:ind w:firstLine="547"/>
        <w:jc w:val="both"/>
        <w:rPr>
          <w:rFonts w:ascii="Times New Roman" w:hAnsi="Times New Roman"/>
          <w:sz w:val="24"/>
          <w:szCs w:val="24"/>
        </w:rPr>
      </w:pPr>
    </w:p>
    <w:p w:rsidR="003B44C9" w:rsidRDefault="00E92E56" w:rsidP="004B0C88">
      <w:pPr>
        <w:pStyle w:val="NoSpacing"/>
        <w:spacing w:line="360" w:lineRule="auto"/>
        <w:ind w:firstLine="720"/>
        <w:jc w:val="both"/>
        <w:rPr>
          <w:rFonts w:ascii="Times New Roman" w:hAnsi="Times New Roman"/>
          <w:sz w:val="24"/>
          <w:szCs w:val="24"/>
        </w:rPr>
      </w:pPr>
      <w:r w:rsidRPr="00C4686F">
        <w:rPr>
          <w:rFonts w:ascii="Times New Roman" w:hAnsi="Times New Roman"/>
          <w:sz w:val="24"/>
          <w:szCs w:val="24"/>
        </w:rPr>
        <w:t xml:space="preserve">On </w:t>
      </w:r>
      <w:r w:rsidR="000C3206" w:rsidRPr="00C4686F">
        <w:rPr>
          <w:rFonts w:ascii="Times New Roman" w:hAnsi="Times New Roman"/>
          <w:sz w:val="24"/>
          <w:szCs w:val="24"/>
        </w:rPr>
        <w:t>June 24, 2011</w:t>
      </w:r>
      <w:r w:rsidRPr="00C4686F">
        <w:rPr>
          <w:rFonts w:ascii="Times New Roman" w:hAnsi="Times New Roman"/>
          <w:sz w:val="24"/>
          <w:szCs w:val="24"/>
        </w:rPr>
        <w:t xml:space="preserve"> the Washington Utilities and Transportation Commission (</w:t>
      </w:r>
      <w:r w:rsidR="003B44C9">
        <w:rPr>
          <w:rFonts w:ascii="Times New Roman" w:hAnsi="Times New Roman"/>
          <w:sz w:val="24"/>
          <w:szCs w:val="24"/>
        </w:rPr>
        <w:t xml:space="preserve">UTC or </w:t>
      </w:r>
      <w:r w:rsidRPr="00C4686F">
        <w:rPr>
          <w:rFonts w:ascii="Times New Roman" w:hAnsi="Times New Roman"/>
          <w:sz w:val="24"/>
          <w:szCs w:val="24"/>
        </w:rPr>
        <w:t xml:space="preserve">Commission) issued a </w:t>
      </w:r>
      <w:r w:rsidR="00B20B6F">
        <w:rPr>
          <w:rFonts w:ascii="Times New Roman" w:hAnsi="Times New Roman"/>
          <w:sz w:val="24"/>
          <w:szCs w:val="24"/>
        </w:rPr>
        <w:t>“</w:t>
      </w:r>
      <w:r w:rsidRPr="00C4686F">
        <w:rPr>
          <w:rFonts w:ascii="Times New Roman" w:hAnsi="Times New Roman"/>
          <w:sz w:val="24"/>
          <w:szCs w:val="24"/>
        </w:rPr>
        <w:t xml:space="preserve">Notice of </w:t>
      </w:r>
      <w:r w:rsidR="000C3206" w:rsidRPr="00C4686F">
        <w:rPr>
          <w:rFonts w:ascii="Times New Roman" w:hAnsi="Times New Roman"/>
          <w:sz w:val="24"/>
          <w:szCs w:val="24"/>
        </w:rPr>
        <w:t>Work Session</w:t>
      </w:r>
      <w:r w:rsidR="004B22AF" w:rsidRPr="00C4686F">
        <w:rPr>
          <w:rFonts w:ascii="Times New Roman" w:hAnsi="Times New Roman"/>
          <w:sz w:val="24"/>
          <w:szCs w:val="24"/>
        </w:rPr>
        <w:t xml:space="preserve"> and </w:t>
      </w:r>
      <w:r w:rsidRPr="00C4686F">
        <w:rPr>
          <w:rFonts w:ascii="Times New Roman" w:hAnsi="Times New Roman"/>
          <w:sz w:val="24"/>
          <w:szCs w:val="24"/>
        </w:rPr>
        <w:t xml:space="preserve">Opportunity to </w:t>
      </w:r>
      <w:r w:rsidR="000C3206" w:rsidRPr="00C4686F">
        <w:rPr>
          <w:rFonts w:ascii="Times New Roman" w:hAnsi="Times New Roman"/>
          <w:sz w:val="24"/>
          <w:szCs w:val="24"/>
        </w:rPr>
        <w:t>File Written Comments</w:t>
      </w:r>
      <w:r w:rsidR="00B20B6F">
        <w:rPr>
          <w:rFonts w:ascii="Times New Roman" w:hAnsi="Times New Roman"/>
          <w:sz w:val="24"/>
          <w:szCs w:val="24"/>
        </w:rPr>
        <w:t>”</w:t>
      </w:r>
      <w:r w:rsidR="00675577" w:rsidRPr="00C4686F">
        <w:rPr>
          <w:rFonts w:ascii="Times New Roman" w:hAnsi="Times New Roman"/>
          <w:sz w:val="24"/>
          <w:szCs w:val="24"/>
        </w:rPr>
        <w:t xml:space="preserve"> </w:t>
      </w:r>
      <w:r w:rsidRPr="00C4686F">
        <w:rPr>
          <w:rFonts w:ascii="Times New Roman" w:hAnsi="Times New Roman"/>
          <w:sz w:val="24"/>
          <w:szCs w:val="24"/>
        </w:rPr>
        <w:t xml:space="preserve">in the above referenced Docket. </w:t>
      </w:r>
      <w:r w:rsidR="003B44C9">
        <w:rPr>
          <w:rFonts w:ascii="Times New Roman" w:hAnsi="Times New Roman"/>
          <w:sz w:val="24"/>
          <w:szCs w:val="24"/>
        </w:rPr>
        <w:t>The</w:t>
      </w:r>
      <w:r w:rsidR="003F7F5B">
        <w:rPr>
          <w:rFonts w:ascii="Times New Roman" w:hAnsi="Times New Roman"/>
          <w:sz w:val="24"/>
          <w:szCs w:val="24"/>
        </w:rPr>
        <w:t xml:space="preserve"> Washington State House of Representatives </w:t>
      </w:r>
      <w:r w:rsidR="003B44C9">
        <w:rPr>
          <w:rFonts w:ascii="Times New Roman" w:hAnsi="Times New Roman"/>
          <w:sz w:val="24"/>
          <w:szCs w:val="24"/>
        </w:rPr>
        <w:t>Technology</w:t>
      </w:r>
      <w:r w:rsidR="003F7F5B">
        <w:rPr>
          <w:rFonts w:ascii="Times New Roman" w:hAnsi="Times New Roman"/>
          <w:sz w:val="24"/>
          <w:szCs w:val="24"/>
        </w:rPr>
        <w:t xml:space="preserve">, Energy and Communications Committee (TEC Committee), </w:t>
      </w:r>
      <w:r w:rsidR="003B44C9">
        <w:rPr>
          <w:rFonts w:ascii="Times New Roman" w:hAnsi="Times New Roman"/>
          <w:sz w:val="24"/>
          <w:szCs w:val="24"/>
        </w:rPr>
        <w:t xml:space="preserve">and </w:t>
      </w:r>
      <w:r w:rsidR="003F7F5B">
        <w:rPr>
          <w:rFonts w:ascii="Times New Roman" w:hAnsi="Times New Roman"/>
          <w:sz w:val="24"/>
          <w:szCs w:val="24"/>
        </w:rPr>
        <w:t xml:space="preserve">the Commission </w:t>
      </w:r>
      <w:r w:rsidR="003B44C9">
        <w:rPr>
          <w:rFonts w:ascii="Times New Roman" w:hAnsi="Times New Roman"/>
          <w:sz w:val="24"/>
          <w:szCs w:val="24"/>
        </w:rPr>
        <w:t xml:space="preserve">are conducting a study related to the development of distributed energy in areas served by investor owned electric utilities. Specifically, the TEC Committee has asked the Commission to provide to the Legislature background information and detailed discussion of options to encourage the development of cost-effective distributed energy in areas served by investor-owned utilities, as well as the opportunities and challenges facing investor-owned utilities and their ratepayers in developing distributed energy in this state.  </w:t>
      </w:r>
    </w:p>
    <w:p w:rsidR="003B44C9" w:rsidRDefault="003B44C9" w:rsidP="004B0C88">
      <w:pPr>
        <w:pStyle w:val="NoSpacing"/>
        <w:spacing w:line="360" w:lineRule="auto"/>
        <w:ind w:firstLine="720"/>
        <w:jc w:val="both"/>
        <w:rPr>
          <w:rFonts w:ascii="Times New Roman" w:hAnsi="Times New Roman"/>
          <w:sz w:val="24"/>
          <w:szCs w:val="24"/>
        </w:rPr>
      </w:pPr>
      <w:r>
        <w:rPr>
          <w:rFonts w:ascii="Times New Roman" w:hAnsi="Times New Roman"/>
          <w:sz w:val="24"/>
          <w:szCs w:val="24"/>
        </w:rPr>
        <w:t>The Commission proposes to address in the study the opportunities and challenges for developing distributed energy by reviewing:</w:t>
      </w:r>
    </w:p>
    <w:p w:rsidR="003B44C9" w:rsidRDefault="003B44C9" w:rsidP="008F0AEF">
      <w:pPr>
        <w:pStyle w:val="NoSpacing"/>
        <w:numPr>
          <w:ilvl w:val="0"/>
          <w:numId w:val="28"/>
        </w:numPr>
        <w:jc w:val="both"/>
        <w:rPr>
          <w:rFonts w:ascii="Times New Roman" w:hAnsi="Times New Roman"/>
          <w:sz w:val="24"/>
          <w:szCs w:val="24"/>
        </w:rPr>
      </w:pPr>
      <w:r>
        <w:rPr>
          <w:rFonts w:ascii="Times New Roman" w:hAnsi="Times New Roman"/>
          <w:sz w:val="24"/>
          <w:szCs w:val="24"/>
        </w:rPr>
        <w:lastRenderedPageBreak/>
        <w:t>The current state and federal statutory authority governing distributed energy;</w:t>
      </w:r>
    </w:p>
    <w:p w:rsidR="003B44C9" w:rsidRDefault="003B44C9" w:rsidP="008F0AEF">
      <w:pPr>
        <w:pStyle w:val="NoSpacing"/>
        <w:numPr>
          <w:ilvl w:val="0"/>
          <w:numId w:val="28"/>
        </w:numPr>
        <w:jc w:val="both"/>
        <w:rPr>
          <w:rFonts w:ascii="Times New Roman" w:hAnsi="Times New Roman"/>
          <w:sz w:val="24"/>
          <w:szCs w:val="24"/>
        </w:rPr>
      </w:pPr>
      <w:r>
        <w:rPr>
          <w:rFonts w:ascii="Times New Roman" w:hAnsi="Times New Roman"/>
          <w:sz w:val="24"/>
          <w:szCs w:val="24"/>
        </w:rPr>
        <w:t>Issues that apply to all forms of distributed energy, regardless of technology, including interconnection standards, system sizing restrictions, storage, and financial incentives, such as tax incentives, net metering and feed-in tariffs;</w:t>
      </w:r>
    </w:p>
    <w:p w:rsidR="003B44C9" w:rsidRDefault="003B44C9" w:rsidP="008F0AEF">
      <w:pPr>
        <w:pStyle w:val="NoSpacing"/>
        <w:numPr>
          <w:ilvl w:val="0"/>
          <w:numId w:val="28"/>
        </w:numPr>
        <w:jc w:val="both"/>
        <w:rPr>
          <w:rFonts w:ascii="Times New Roman" w:hAnsi="Times New Roman"/>
          <w:sz w:val="24"/>
          <w:szCs w:val="24"/>
        </w:rPr>
      </w:pPr>
      <w:r>
        <w:rPr>
          <w:rFonts w:ascii="Times New Roman" w:hAnsi="Times New Roman"/>
          <w:sz w:val="24"/>
          <w:szCs w:val="24"/>
        </w:rPr>
        <w:t>Evaluations of the technical and economic potential for distributed energy, and the challenges and issues in Washington using specific technologies, including, but not limited to solar, hydrokinetic</w:t>
      </w:r>
      <w:r w:rsidR="008F0AEF">
        <w:rPr>
          <w:rFonts w:ascii="Times New Roman" w:hAnsi="Times New Roman"/>
          <w:sz w:val="24"/>
          <w:szCs w:val="24"/>
        </w:rPr>
        <w:t>, wind, biomass, and biogas; and</w:t>
      </w:r>
    </w:p>
    <w:p w:rsidR="003B44C9" w:rsidRDefault="008F0AEF" w:rsidP="008F0AEF">
      <w:pPr>
        <w:pStyle w:val="NoSpacing"/>
        <w:numPr>
          <w:ilvl w:val="0"/>
          <w:numId w:val="28"/>
        </w:numPr>
        <w:jc w:val="both"/>
        <w:rPr>
          <w:rFonts w:ascii="Times New Roman" w:hAnsi="Times New Roman"/>
          <w:sz w:val="24"/>
          <w:szCs w:val="24"/>
        </w:rPr>
      </w:pPr>
      <w:r>
        <w:rPr>
          <w:rFonts w:ascii="Times New Roman" w:hAnsi="Times New Roman"/>
          <w:sz w:val="24"/>
          <w:szCs w:val="24"/>
        </w:rPr>
        <w:t>Policy options and recommendations for developing distributed energy in areas served by investor-owned utilities.</w:t>
      </w:r>
    </w:p>
    <w:p w:rsidR="008F0AEF" w:rsidRDefault="008F0AEF" w:rsidP="004B0C88">
      <w:pPr>
        <w:pStyle w:val="NoSpacing"/>
        <w:spacing w:line="360" w:lineRule="auto"/>
        <w:ind w:firstLine="720"/>
        <w:jc w:val="both"/>
        <w:rPr>
          <w:rFonts w:ascii="Times New Roman" w:hAnsi="Times New Roman"/>
          <w:sz w:val="24"/>
          <w:szCs w:val="24"/>
        </w:rPr>
      </w:pPr>
    </w:p>
    <w:p w:rsidR="00425E04" w:rsidRPr="00C4686F" w:rsidRDefault="00AB52B6" w:rsidP="004B0C88">
      <w:pPr>
        <w:pStyle w:val="NoSpacing"/>
        <w:spacing w:line="360" w:lineRule="auto"/>
        <w:ind w:firstLine="720"/>
        <w:jc w:val="both"/>
        <w:rPr>
          <w:rFonts w:ascii="Times New Roman" w:hAnsi="Times New Roman"/>
          <w:sz w:val="24"/>
          <w:szCs w:val="24"/>
        </w:rPr>
      </w:pPr>
      <w:r w:rsidRPr="00C4686F">
        <w:rPr>
          <w:rFonts w:ascii="Times New Roman" w:hAnsi="Times New Roman"/>
          <w:sz w:val="24"/>
          <w:szCs w:val="24"/>
        </w:rPr>
        <w:t xml:space="preserve">The Company appreciates the opportunity to provide comments on the </w:t>
      </w:r>
      <w:r w:rsidR="004B22AF" w:rsidRPr="00C4686F">
        <w:rPr>
          <w:rFonts w:ascii="Times New Roman" w:hAnsi="Times New Roman"/>
          <w:sz w:val="24"/>
          <w:szCs w:val="24"/>
        </w:rPr>
        <w:t>“</w:t>
      </w:r>
      <w:r w:rsidR="000C3206" w:rsidRPr="00C4686F">
        <w:rPr>
          <w:rFonts w:ascii="Times New Roman" w:hAnsi="Times New Roman"/>
          <w:sz w:val="24"/>
          <w:szCs w:val="24"/>
        </w:rPr>
        <w:t>Potential for Distributed Energy in Washington State</w:t>
      </w:r>
      <w:r w:rsidR="004B22AF" w:rsidRPr="00C4686F">
        <w:rPr>
          <w:rFonts w:ascii="Times New Roman" w:hAnsi="Times New Roman"/>
          <w:sz w:val="24"/>
          <w:szCs w:val="24"/>
        </w:rPr>
        <w:t>”</w:t>
      </w:r>
      <w:r w:rsidRPr="00C4686F">
        <w:rPr>
          <w:rFonts w:ascii="Times New Roman" w:hAnsi="Times New Roman"/>
          <w:sz w:val="24"/>
          <w:szCs w:val="24"/>
        </w:rPr>
        <w:t xml:space="preserve"> and looks forward to participating in the upcoming </w:t>
      </w:r>
      <w:r w:rsidR="000C3206" w:rsidRPr="00C4686F">
        <w:rPr>
          <w:rFonts w:ascii="Times New Roman" w:hAnsi="Times New Roman"/>
          <w:sz w:val="24"/>
          <w:szCs w:val="24"/>
        </w:rPr>
        <w:t>Work Session</w:t>
      </w:r>
      <w:r w:rsidRPr="00C4686F">
        <w:rPr>
          <w:rFonts w:ascii="Times New Roman" w:hAnsi="Times New Roman"/>
          <w:sz w:val="24"/>
          <w:szCs w:val="24"/>
        </w:rPr>
        <w:t xml:space="preserve"> on </w:t>
      </w:r>
      <w:r w:rsidR="000C3206" w:rsidRPr="00C4686F">
        <w:rPr>
          <w:rFonts w:ascii="Times New Roman" w:hAnsi="Times New Roman"/>
          <w:sz w:val="24"/>
          <w:szCs w:val="24"/>
        </w:rPr>
        <w:t>July 25</w:t>
      </w:r>
      <w:r w:rsidRPr="00C4686F">
        <w:rPr>
          <w:rFonts w:ascii="Times New Roman" w:hAnsi="Times New Roman"/>
          <w:sz w:val="24"/>
          <w:szCs w:val="24"/>
        </w:rPr>
        <w:t>, 201</w:t>
      </w:r>
      <w:r w:rsidR="000C3206" w:rsidRPr="00C4686F">
        <w:rPr>
          <w:rFonts w:ascii="Times New Roman" w:hAnsi="Times New Roman"/>
          <w:sz w:val="24"/>
          <w:szCs w:val="24"/>
        </w:rPr>
        <w:t>1</w:t>
      </w:r>
      <w:r w:rsidRPr="00C4686F">
        <w:rPr>
          <w:rFonts w:ascii="Times New Roman" w:hAnsi="Times New Roman"/>
          <w:sz w:val="24"/>
          <w:szCs w:val="24"/>
        </w:rPr>
        <w:t xml:space="preserve">.  </w:t>
      </w:r>
      <w:r w:rsidR="00502988" w:rsidRPr="00C4686F">
        <w:rPr>
          <w:rFonts w:ascii="Times New Roman" w:hAnsi="Times New Roman"/>
          <w:sz w:val="24"/>
          <w:szCs w:val="24"/>
        </w:rPr>
        <w:t>The Company’s</w:t>
      </w:r>
      <w:r w:rsidR="00CC539D" w:rsidRPr="00C4686F">
        <w:rPr>
          <w:rFonts w:ascii="Times New Roman" w:hAnsi="Times New Roman"/>
          <w:sz w:val="24"/>
          <w:szCs w:val="24"/>
        </w:rPr>
        <w:t xml:space="preserve"> response to </w:t>
      </w:r>
      <w:r w:rsidR="00C86DFC">
        <w:rPr>
          <w:rFonts w:ascii="Times New Roman" w:hAnsi="Times New Roman"/>
          <w:sz w:val="24"/>
          <w:szCs w:val="24"/>
        </w:rPr>
        <w:t xml:space="preserve">the </w:t>
      </w:r>
      <w:r w:rsidR="00623A24">
        <w:rPr>
          <w:rFonts w:ascii="Times New Roman" w:hAnsi="Times New Roman"/>
          <w:sz w:val="24"/>
          <w:szCs w:val="24"/>
        </w:rPr>
        <w:t>N</w:t>
      </w:r>
      <w:r w:rsidR="00C86DFC">
        <w:rPr>
          <w:rFonts w:ascii="Times New Roman" w:hAnsi="Times New Roman"/>
          <w:sz w:val="24"/>
          <w:szCs w:val="24"/>
        </w:rPr>
        <w:t>otice</w:t>
      </w:r>
      <w:r w:rsidR="00623A24">
        <w:rPr>
          <w:rFonts w:ascii="Times New Roman" w:hAnsi="Times New Roman"/>
          <w:sz w:val="24"/>
          <w:szCs w:val="24"/>
        </w:rPr>
        <w:t xml:space="preserve"> is provided below.  The Company would like to note at the outset that the questions posed in the Notice do not define “distributed generation”; thus, unless the context warrants otherwise, our answers presume that the term is intended to be understood as it is defined under RCW 19.285.030.</w:t>
      </w:r>
      <w:r w:rsidR="00CC539D" w:rsidRPr="00C4686F">
        <w:rPr>
          <w:rFonts w:ascii="Times New Roman" w:hAnsi="Times New Roman"/>
          <w:sz w:val="24"/>
          <w:szCs w:val="24"/>
        </w:rPr>
        <w:t xml:space="preserve">  </w:t>
      </w:r>
    </w:p>
    <w:p w:rsidR="008F0AEF" w:rsidRDefault="008F0AEF" w:rsidP="004B0C8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sz w:val="32"/>
        </w:rPr>
      </w:pPr>
    </w:p>
    <w:p w:rsidR="00185999" w:rsidRPr="008F0AEF" w:rsidRDefault="00185999" w:rsidP="004B0C8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sz w:val="28"/>
          <w:szCs w:val="28"/>
        </w:rPr>
      </w:pPr>
      <w:r w:rsidRPr="008F0AEF">
        <w:rPr>
          <w:b/>
          <w:sz w:val="28"/>
          <w:szCs w:val="28"/>
        </w:rPr>
        <w:t>Issues and Questions</w:t>
      </w:r>
    </w:p>
    <w:p w:rsidR="00185999" w:rsidRPr="00C4686F" w:rsidRDefault="00185999" w:rsidP="004B0C88">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p>
    <w:p w:rsidR="00185999" w:rsidRPr="008F0AEF" w:rsidRDefault="00185999" w:rsidP="008F0AEF">
      <w:pPr>
        <w:pStyle w:val="ListParagraph"/>
        <w:numPr>
          <w:ilvl w:val="0"/>
          <w:numId w:val="22"/>
        </w:numPr>
        <w:spacing w:after="0" w:line="360" w:lineRule="auto"/>
        <w:rPr>
          <w:rFonts w:ascii="Times New Roman" w:hAnsi="Times New Roman"/>
          <w:b/>
          <w:sz w:val="24"/>
          <w:szCs w:val="24"/>
        </w:rPr>
      </w:pPr>
      <w:r w:rsidRPr="008F0AEF">
        <w:rPr>
          <w:rFonts w:ascii="Times New Roman" w:hAnsi="Times New Roman"/>
          <w:b/>
          <w:sz w:val="24"/>
          <w:szCs w:val="24"/>
        </w:rPr>
        <w:t>General – Cross-Cutting Issues:</w:t>
      </w:r>
    </w:p>
    <w:p w:rsidR="00185999" w:rsidRDefault="00185999" w:rsidP="008F0AEF">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t>What is the scope of current and anticipated distributed energy in the service territories of Washington’s investor-owned utilities, including technology type, size and capacity; distribution across service territory; application of feed-in tariffs or net-metering; and any other relevant information? For each technology, what is its total technical resource potential (in contrast to the present, economically viable potential)? Is it concentrated within the state?</w:t>
      </w:r>
    </w:p>
    <w:p w:rsidR="00561EE5" w:rsidRPr="00C4686F" w:rsidRDefault="00561EE5" w:rsidP="00561EE5">
      <w:pPr>
        <w:pStyle w:val="ListParagraph"/>
        <w:spacing w:after="0" w:line="360" w:lineRule="auto"/>
        <w:rPr>
          <w:rFonts w:ascii="Times New Roman" w:hAnsi="Times New Roman"/>
          <w:sz w:val="24"/>
          <w:szCs w:val="24"/>
        </w:rPr>
      </w:pPr>
    </w:p>
    <w:p w:rsidR="00BD215D" w:rsidRDefault="00CA4EAE" w:rsidP="00DE7DB1">
      <w:pPr>
        <w:spacing w:after="0" w:line="360" w:lineRule="auto"/>
        <w:ind w:left="720"/>
        <w:jc w:val="both"/>
        <w:rPr>
          <w:rFonts w:ascii="Times New Roman" w:hAnsi="Times New Roman"/>
          <w:sz w:val="24"/>
          <w:szCs w:val="24"/>
        </w:rPr>
      </w:pPr>
      <w:r w:rsidRPr="00CA4EAE">
        <w:rPr>
          <w:rFonts w:ascii="Times New Roman" w:hAnsi="Times New Roman"/>
          <w:b/>
          <w:sz w:val="24"/>
          <w:szCs w:val="24"/>
        </w:rPr>
        <w:t>RESPONSE:</w:t>
      </w:r>
      <w:r w:rsidRPr="00CA4EAE">
        <w:rPr>
          <w:rFonts w:ascii="Times New Roman" w:hAnsi="Times New Roman"/>
          <w:sz w:val="24"/>
          <w:szCs w:val="24"/>
        </w:rPr>
        <w:t xml:space="preserve">  </w:t>
      </w:r>
      <w:r w:rsidR="008F0AEF">
        <w:rPr>
          <w:rFonts w:ascii="Times New Roman" w:hAnsi="Times New Roman"/>
          <w:sz w:val="24"/>
          <w:szCs w:val="24"/>
        </w:rPr>
        <w:t>Avista</w:t>
      </w:r>
      <w:r w:rsidR="00DE7DB1" w:rsidRPr="00656861">
        <w:rPr>
          <w:rFonts w:ascii="Times New Roman" w:hAnsi="Times New Roman"/>
          <w:sz w:val="24"/>
          <w:szCs w:val="24"/>
        </w:rPr>
        <w:t xml:space="preserve"> has the following distributed energy customer installations in the state of Washington:  </w:t>
      </w:r>
    </w:p>
    <w:p w:rsidR="00BD215D" w:rsidRDefault="00997274" w:rsidP="00BD215D">
      <w:pPr>
        <w:pStyle w:val="ListParagraph"/>
        <w:numPr>
          <w:ilvl w:val="0"/>
          <w:numId w:val="29"/>
        </w:numPr>
        <w:spacing w:after="0" w:line="240" w:lineRule="auto"/>
        <w:jc w:val="both"/>
        <w:rPr>
          <w:rFonts w:ascii="Times New Roman" w:hAnsi="Times New Roman"/>
          <w:sz w:val="24"/>
          <w:szCs w:val="24"/>
        </w:rPr>
      </w:pPr>
      <w:r>
        <w:rPr>
          <w:rFonts w:ascii="Times New Roman" w:hAnsi="Times New Roman"/>
          <w:sz w:val="24"/>
          <w:szCs w:val="24"/>
        </w:rPr>
        <w:t>2</w:t>
      </w:r>
      <w:r w:rsidR="00BD215D">
        <w:rPr>
          <w:rFonts w:ascii="Times New Roman" w:hAnsi="Times New Roman"/>
          <w:sz w:val="24"/>
          <w:szCs w:val="24"/>
        </w:rPr>
        <w:t xml:space="preserve"> Hydro for </w:t>
      </w:r>
      <w:r>
        <w:rPr>
          <w:rFonts w:ascii="Times New Roman" w:hAnsi="Times New Roman"/>
          <w:sz w:val="24"/>
          <w:szCs w:val="24"/>
        </w:rPr>
        <w:t xml:space="preserve">3 </w:t>
      </w:r>
      <w:r w:rsidR="00BD215D">
        <w:rPr>
          <w:rFonts w:ascii="Times New Roman" w:hAnsi="Times New Roman"/>
          <w:sz w:val="24"/>
          <w:szCs w:val="24"/>
        </w:rPr>
        <w:t>MW;</w:t>
      </w:r>
    </w:p>
    <w:p w:rsidR="00BD215D" w:rsidRDefault="00DE7DB1" w:rsidP="00BD215D">
      <w:pPr>
        <w:pStyle w:val="ListParagraph"/>
        <w:numPr>
          <w:ilvl w:val="0"/>
          <w:numId w:val="29"/>
        </w:numPr>
        <w:spacing w:after="0" w:line="240" w:lineRule="auto"/>
        <w:jc w:val="both"/>
        <w:rPr>
          <w:rFonts w:ascii="Times New Roman" w:hAnsi="Times New Roman"/>
          <w:sz w:val="24"/>
          <w:szCs w:val="24"/>
        </w:rPr>
      </w:pPr>
      <w:r w:rsidRPr="00BD215D">
        <w:rPr>
          <w:rFonts w:ascii="Times New Roman" w:hAnsi="Times New Roman"/>
          <w:sz w:val="24"/>
          <w:szCs w:val="24"/>
        </w:rPr>
        <w:t>76 Solar for total</w:t>
      </w:r>
      <w:r w:rsidR="00EA0430">
        <w:rPr>
          <w:rFonts w:ascii="Times New Roman" w:hAnsi="Times New Roman"/>
          <w:sz w:val="24"/>
          <w:szCs w:val="24"/>
        </w:rPr>
        <w:t xml:space="preserve"> generation capacity of 333 k</w:t>
      </w:r>
      <w:r w:rsidR="00BD215D">
        <w:rPr>
          <w:rFonts w:ascii="Times New Roman" w:hAnsi="Times New Roman"/>
          <w:sz w:val="24"/>
          <w:szCs w:val="24"/>
        </w:rPr>
        <w:t>W;</w:t>
      </w:r>
    </w:p>
    <w:p w:rsidR="00BD215D" w:rsidRDefault="00DE7DB1" w:rsidP="00BD215D">
      <w:pPr>
        <w:pStyle w:val="ListParagraph"/>
        <w:numPr>
          <w:ilvl w:val="0"/>
          <w:numId w:val="29"/>
        </w:numPr>
        <w:spacing w:after="0" w:line="240" w:lineRule="auto"/>
        <w:jc w:val="both"/>
        <w:rPr>
          <w:rFonts w:ascii="Times New Roman" w:hAnsi="Times New Roman"/>
          <w:sz w:val="24"/>
          <w:szCs w:val="24"/>
        </w:rPr>
      </w:pPr>
      <w:r w:rsidRPr="00BD215D">
        <w:rPr>
          <w:rFonts w:ascii="Times New Roman" w:hAnsi="Times New Roman"/>
          <w:sz w:val="24"/>
          <w:szCs w:val="24"/>
        </w:rPr>
        <w:t>14 Wind for capacit</w:t>
      </w:r>
      <w:r w:rsidR="00EA0430">
        <w:rPr>
          <w:rFonts w:ascii="Times New Roman" w:hAnsi="Times New Roman"/>
          <w:sz w:val="24"/>
          <w:szCs w:val="24"/>
        </w:rPr>
        <w:t>y of 98 k</w:t>
      </w:r>
      <w:r w:rsidR="00BD215D">
        <w:rPr>
          <w:rFonts w:ascii="Times New Roman" w:hAnsi="Times New Roman"/>
          <w:sz w:val="24"/>
          <w:szCs w:val="24"/>
        </w:rPr>
        <w:t>W;</w:t>
      </w:r>
      <w:r w:rsidRPr="00BD215D">
        <w:rPr>
          <w:rFonts w:ascii="Times New Roman" w:hAnsi="Times New Roman"/>
          <w:sz w:val="24"/>
          <w:szCs w:val="24"/>
        </w:rPr>
        <w:t xml:space="preserve"> and </w:t>
      </w:r>
    </w:p>
    <w:p w:rsidR="00BD215D" w:rsidRDefault="00DE7DB1" w:rsidP="00BD215D">
      <w:pPr>
        <w:pStyle w:val="ListParagraph"/>
        <w:numPr>
          <w:ilvl w:val="0"/>
          <w:numId w:val="29"/>
        </w:numPr>
        <w:spacing w:after="0" w:line="240" w:lineRule="auto"/>
        <w:jc w:val="both"/>
        <w:rPr>
          <w:rFonts w:ascii="Times New Roman" w:hAnsi="Times New Roman"/>
          <w:sz w:val="24"/>
          <w:szCs w:val="24"/>
        </w:rPr>
      </w:pPr>
      <w:r w:rsidRPr="00BD215D">
        <w:rPr>
          <w:rFonts w:ascii="Times New Roman" w:hAnsi="Times New Roman"/>
          <w:sz w:val="24"/>
          <w:szCs w:val="24"/>
        </w:rPr>
        <w:t>6</w:t>
      </w:r>
      <w:r w:rsidR="00EA0430">
        <w:rPr>
          <w:rFonts w:ascii="Times New Roman" w:hAnsi="Times New Roman"/>
          <w:sz w:val="24"/>
          <w:szCs w:val="24"/>
        </w:rPr>
        <w:t xml:space="preserve"> Wind-Solar for capacity of 18 k</w:t>
      </w:r>
      <w:r w:rsidRPr="00BD215D">
        <w:rPr>
          <w:rFonts w:ascii="Times New Roman" w:hAnsi="Times New Roman"/>
          <w:sz w:val="24"/>
          <w:szCs w:val="24"/>
        </w:rPr>
        <w:t xml:space="preserve">W. </w:t>
      </w:r>
    </w:p>
    <w:p w:rsidR="00BD215D" w:rsidRDefault="00BD215D" w:rsidP="00BD215D">
      <w:pPr>
        <w:spacing w:after="0" w:line="240" w:lineRule="auto"/>
        <w:jc w:val="both"/>
        <w:rPr>
          <w:rFonts w:ascii="Times New Roman" w:hAnsi="Times New Roman"/>
          <w:sz w:val="24"/>
          <w:szCs w:val="24"/>
        </w:rPr>
      </w:pPr>
    </w:p>
    <w:p w:rsidR="00185999" w:rsidRPr="00BD215D" w:rsidRDefault="00BD215D" w:rsidP="00BD215D">
      <w:pPr>
        <w:spacing w:after="0" w:line="360" w:lineRule="auto"/>
        <w:ind w:left="720"/>
        <w:jc w:val="both"/>
        <w:rPr>
          <w:rFonts w:ascii="Times New Roman" w:hAnsi="Times New Roman"/>
          <w:sz w:val="24"/>
          <w:szCs w:val="24"/>
        </w:rPr>
      </w:pPr>
      <w:r>
        <w:rPr>
          <w:rFonts w:ascii="Times New Roman" w:hAnsi="Times New Roman"/>
          <w:sz w:val="24"/>
          <w:szCs w:val="24"/>
        </w:rPr>
        <w:lastRenderedPageBreak/>
        <w:t>These installations total</w:t>
      </w:r>
      <w:r w:rsidR="00FA7043">
        <w:rPr>
          <w:rFonts w:ascii="Times New Roman" w:hAnsi="Times New Roman"/>
          <w:sz w:val="24"/>
          <w:szCs w:val="24"/>
        </w:rPr>
        <w:t xml:space="preserve"> </w:t>
      </w:r>
      <w:r w:rsidR="00BD7BF4">
        <w:rPr>
          <w:rFonts w:ascii="Times New Roman" w:hAnsi="Times New Roman"/>
          <w:sz w:val="24"/>
          <w:szCs w:val="24"/>
        </w:rPr>
        <w:t>3</w:t>
      </w:r>
      <w:r w:rsidR="00EA0430">
        <w:rPr>
          <w:rFonts w:ascii="Times New Roman" w:hAnsi="Times New Roman"/>
          <w:sz w:val="24"/>
          <w:szCs w:val="24"/>
        </w:rPr>
        <w:t>,449 k</w:t>
      </w:r>
      <w:r w:rsidR="00DE7DB1" w:rsidRPr="00BD215D">
        <w:rPr>
          <w:rFonts w:ascii="Times New Roman" w:hAnsi="Times New Roman"/>
          <w:sz w:val="24"/>
          <w:szCs w:val="24"/>
        </w:rPr>
        <w:t xml:space="preserve">W of generation capacity.  </w:t>
      </w:r>
      <w:r w:rsidR="008F0AEF" w:rsidRPr="00BD215D">
        <w:rPr>
          <w:rFonts w:ascii="Times New Roman" w:hAnsi="Times New Roman"/>
          <w:sz w:val="24"/>
          <w:szCs w:val="24"/>
        </w:rPr>
        <w:t>The Company has</w:t>
      </w:r>
      <w:r w:rsidR="00DE7DB1" w:rsidRPr="00BD215D">
        <w:rPr>
          <w:rFonts w:ascii="Times New Roman" w:hAnsi="Times New Roman"/>
          <w:sz w:val="24"/>
          <w:szCs w:val="24"/>
        </w:rPr>
        <w:t xml:space="preserve"> approximately 30 new installations </w:t>
      </w:r>
      <w:r w:rsidR="008F0AEF" w:rsidRPr="00BD215D">
        <w:rPr>
          <w:rFonts w:ascii="Times New Roman" w:hAnsi="Times New Roman"/>
          <w:sz w:val="24"/>
          <w:szCs w:val="24"/>
        </w:rPr>
        <w:t>annually;</w:t>
      </w:r>
      <w:r w:rsidR="00DE7DB1" w:rsidRPr="00BD215D">
        <w:rPr>
          <w:rFonts w:ascii="Times New Roman" w:hAnsi="Times New Roman"/>
          <w:sz w:val="24"/>
          <w:szCs w:val="24"/>
        </w:rPr>
        <w:t xml:space="preserve"> this number is expected to remain consistent</w:t>
      </w:r>
      <w:r w:rsidR="00B22563">
        <w:rPr>
          <w:rFonts w:ascii="Times New Roman" w:hAnsi="Times New Roman"/>
          <w:sz w:val="24"/>
          <w:szCs w:val="24"/>
        </w:rPr>
        <w:t xml:space="preserve"> absent new incentives</w:t>
      </w:r>
      <w:r w:rsidR="00DE7DB1" w:rsidRPr="00BD215D">
        <w:rPr>
          <w:rFonts w:ascii="Times New Roman" w:hAnsi="Times New Roman"/>
          <w:sz w:val="24"/>
          <w:szCs w:val="24"/>
        </w:rPr>
        <w:t xml:space="preserve">. Solar generator installations are expected to be the majority of distributed energy installations in the future since wind </w:t>
      </w:r>
      <w:r w:rsidR="009B5143">
        <w:rPr>
          <w:rFonts w:ascii="Times New Roman" w:hAnsi="Times New Roman"/>
          <w:sz w:val="24"/>
          <w:szCs w:val="24"/>
        </w:rPr>
        <w:t>and hydroelectric sites are limited</w:t>
      </w:r>
      <w:r w:rsidR="00DE7DB1" w:rsidRPr="00BD215D">
        <w:rPr>
          <w:rFonts w:ascii="Times New Roman" w:hAnsi="Times New Roman"/>
          <w:sz w:val="24"/>
          <w:szCs w:val="24"/>
        </w:rPr>
        <w:t xml:space="preserve"> in Eastern Washington.  </w:t>
      </w:r>
    </w:p>
    <w:p w:rsidR="00561EE5" w:rsidRPr="00C4686F" w:rsidRDefault="00561EE5" w:rsidP="004B0C88">
      <w:pPr>
        <w:spacing w:after="0" w:line="360" w:lineRule="auto"/>
        <w:ind w:left="720"/>
        <w:rPr>
          <w:rFonts w:ascii="Times New Roman" w:hAnsi="Times New Roman"/>
          <w:sz w:val="24"/>
          <w:szCs w:val="24"/>
        </w:rPr>
      </w:pPr>
    </w:p>
    <w:p w:rsidR="00185999" w:rsidRDefault="00185999" w:rsidP="008F0AEF">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t xml:space="preserve">What is, or what is anticipated to be, the overall cost of integrating distributed energy resources to investor-owned utilities?  </w:t>
      </w:r>
    </w:p>
    <w:p w:rsidR="00561EE5" w:rsidRPr="00C4686F" w:rsidRDefault="00561EE5" w:rsidP="00561EE5">
      <w:pPr>
        <w:pStyle w:val="ListParagraph"/>
        <w:spacing w:after="0" w:line="360" w:lineRule="auto"/>
        <w:rPr>
          <w:rFonts w:ascii="Times New Roman" w:hAnsi="Times New Roman"/>
          <w:sz w:val="24"/>
          <w:szCs w:val="24"/>
        </w:rPr>
      </w:pPr>
    </w:p>
    <w:p w:rsidR="00F22837" w:rsidRPr="00502988" w:rsidRDefault="00CA4EAE" w:rsidP="00502988">
      <w:pPr>
        <w:pStyle w:val="ListParagraph"/>
        <w:spacing w:after="0" w:line="360" w:lineRule="auto"/>
        <w:jc w:val="both"/>
        <w:rPr>
          <w:rFonts w:ascii="Times New Roman" w:hAnsi="Times New Roman"/>
          <w:sz w:val="24"/>
          <w:szCs w:val="24"/>
        </w:rPr>
      </w:pPr>
      <w:r w:rsidRPr="00CA4EAE">
        <w:rPr>
          <w:rFonts w:ascii="Times New Roman" w:hAnsi="Times New Roman"/>
          <w:b/>
          <w:sz w:val="24"/>
          <w:szCs w:val="24"/>
        </w:rPr>
        <w:t>RESPONSE:</w:t>
      </w:r>
      <w:r w:rsidRPr="00CA4EAE">
        <w:rPr>
          <w:rFonts w:ascii="Times New Roman" w:hAnsi="Times New Roman"/>
          <w:sz w:val="24"/>
          <w:szCs w:val="24"/>
        </w:rPr>
        <w:t xml:space="preserve">  </w:t>
      </w:r>
      <w:r w:rsidR="00997274">
        <w:rPr>
          <w:rFonts w:ascii="Times New Roman" w:hAnsi="Times New Roman"/>
          <w:sz w:val="24"/>
          <w:szCs w:val="24"/>
        </w:rPr>
        <w:t>Costs for large</w:t>
      </w:r>
      <w:r w:rsidR="00502988">
        <w:rPr>
          <w:rFonts w:ascii="Times New Roman" w:hAnsi="Times New Roman"/>
          <w:sz w:val="24"/>
          <w:szCs w:val="24"/>
        </w:rPr>
        <w:t>r projects, generally over 100 k</w:t>
      </w:r>
      <w:r w:rsidR="00997274">
        <w:rPr>
          <w:rFonts w:ascii="Times New Roman" w:hAnsi="Times New Roman"/>
          <w:sz w:val="24"/>
          <w:szCs w:val="24"/>
        </w:rPr>
        <w:t xml:space="preserve">W, vary greatly </w:t>
      </w:r>
      <w:r w:rsidR="009B5143">
        <w:rPr>
          <w:rFonts w:ascii="Times New Roman" w:hAnsi="Times New Roman"/>
          <w:sz w:val="24"/>
          <w:szCs w:val="24"/>
        </w:rPr>
        <w:t>and are dependent on the specific circumstances.</w:t>
      </w:r>
      <w:r w:rsidR="00997274">
        <w:rPr>
          <w:rFonts w:ascii="Times New Roman" w:hAnsi="Times New Roman"/>
          <w:sz w:val="24"/>
          <w:szCs w:val="24"/>
        </w:rPr>
        <w:t xml:space="preserve"> </w:t>
      </w:r>
      <w:r w:rsidR="009B5143">
        <w:rPr>
          <w:rFonts w:ascii="Times New Roman" w:hAnsi="Times New Roman"/>
          <w:sz w:val="24"/>
          <w:szCs w:val="24"/>
        </w:rPr>
        <w:t>T</w:t>
      </w:r>
      <w:r w:rsidR="00997274">
        <w:rPr>
          <w:rFonts w:ascii="Times New Roman" w:hAnsi="Times New Roman"/>
          <w:sz w:val="24"/>
          <w:szCs w:val="24"/>
        </w:rPr>
        <w:t xml:space="preserve">he generator is responsible for the </w:t>
      </w:r>
      <w:r w:rsidR="009B5143">
        <w:rPr>
          <w:rFonts w:ascii="Times New Roman" w:hAnsi="Times New Roman"/>
          <w:sz w:val="24"/>
          <w:szCs w:val="24"/>
        </w:rPr>
        <w:t xml:space="preserve">interconnection </w:t>
      </w:r>
      <w:r w:rsidR="00997274">
        <w:rPr>
          <w:rFonts w:ascii="Times New Roman" w:hAnsi="Times New Roman"/>
          <w:sz w:val="24"/>
          <w:szCs w:val="24"/>
        </w:rPr>
        <w:t xml:space="preserve">costs.  </w:t>
      </w:r>
      <w:r w:rsidR="00DE7DB1" w:rsidRPr="00502988">
        <w:rPr>
          <w:rFonts w:ascii="Times New Roman" w:hAnsi="Times New Roman"/>
          <w:sz w:val="24"/>
          <w:szCs w:val="24"/>
        </w:rPr>
        <w:t>The cost</w:t>
      </w:r>
      <w:r w:rsidR="00997274" w:rsidRPr="00502988">
        <w:rPr>
          <w:rFonts w:ascii="Times New Roman" w:hAnsi="Times New Roman"/>
          <w:sz w:val="24"/>
          <w:szCs w:val="24"/>
        </w:rPr>
        <w:t>s</w:t>
      </w:r>
      <w:r w:rsidR="00DE7DB1" w:rsidRPr="00502988">
        <w:rPr>
          <w:rFonts w:ascii="Times New Roman" w:hAnsi="Times New Roman"/>
          <w:sz w:val="24"/>
          <w:szCs w:val="24"/>
        </w:rPr>
        <w:t xml:space="preserve"> of integrating</w:t>
      </w:r>
      <w:r w:rsidR="00BD215D" w:rsidRPr="00502988">
        <w:rPr>
          <w:rFonts w:ascii="Times New Roman" w:hAnsi="Times New Roman"/>
          <w:sz w:val="24"/>
          <w:szCs w:val="24"/>
        </w:rPr>
        <w:t xml:space="preserve"> </w:t>
      </w:r>
      <w:r w:rsidR="00997274" w:rsidRPr="00502988">
        <w:rPr>
          <w:rFonts w:ascii="Times New Roman" w:hAnsi="Times New Roman"/>
          <w:sz w:val="24"/>
          <w:szCs w:val="24"/>
        </w:rPr>
        <w:t xml:space="preserve">small </w:t>
      </w:r>
      <w:r w:rsidR="00BD215D" w:rsidRPr="00502988">
        <w:rPr>
          <w:rFonts w:ascii="Times New Roman" w:hAnsi="Times New Roman"/>
          <w:sz w:val="24"/>
          <w:szCs w:val="24"/>
        </w:rPr>
        <w:t>distributed energy resources</w:t>
      </w:r>
      <w:r w:rsidR="00997274" w:rsidRPr="00502988">
        <w:rPr>
          <w:rFonts w:ascii="Times New Roman" w:hAnsi="Times New Roman"/>
          <w:sz w:val="24"/>
          <w:szCs w:val="24"/>
        </w:rPr>
        <w:t xml:space="preserve"> through net metering</w:t>
      </w:r>
      <w:r w:rsidR="00BD215D" w:rsidRPr="00502988">
        <w:rPr>
          <w:rFonts w:ascii="Times New Roman" w:hAnsi="Times New Roman"/>
          <w:sz w:val="24"/>
          <w:szCs w:val="24"/>
        </w:rPr>
        <w:t xml:space="preserve"> </w:t>
      </w:r>
      <w:r w:rsidR="00BD7BF4" w:rsidRPr="00502988">
        <w:rPr>
          <w:rFonts w:ascii="Times New Roman" w:hAnsi="Times New Roman"/>
          <w:sz w:val="24"/>
          <w:szCs w:val="24"/>
        </w:rPr>
        <w:t>are</w:t>
      </w:r>
      <w:r w:rsidR="00DE7DB1" w:rsidRPr="00502988">
        <w:rPr>
          <w:rFonts w:ascii="Times New Roman" w:hAnsi="Times New Roman"/>
          <w:sz w:val="24"/>
          <w:szCs w:val="24"/>
        </w:rPr>
        <w:t xml:space="preserve"> mainly associated with </w:t>
      </w:r>
      <w:r w:rsidR="00BD215D" w:rsidRPr="00502988">
        <w:rPr>
          <w:rFonts w:ascii="Times New Roman" w:hAnsi="Times New Roman"/>
          <w:sz w:val="24"/>
          <w:szCs w:val="24"/>
        </w:rPr>
        <w:t>Company</w:t>
      </w:r>
      <w:r w:rsidR="00DE7DB1" w:rsidRPr="00502988">
        <w:rPr>
          <w:rFonts w:ascii="Times New Roman" w:hAnsi="Times New Roman"/>
          <w:sz w:val="24"/>
          <w:szCs w:val="24"/>
        </w:rPr>
        <w:t xml:space="preserve"> personnel time and travel resources.  Avista inspects, verifies protection</w:t>
      </w:r>
      <w:r w:rsidR="00997274" w:rsidRPr="00502988">
        <w:rPr>
          <w:rFonts w:ascii="Times New Roman" w:hAnsi="Times New Roman"/>
          <w:sz w:val="24"/>
          <w:szCs w:val="24"/>
        </w:rPr>
        <w:t>,</w:t>
      </w:r>
      <w:r w:rsidR="00DE7DB1" w:rsidRPr="00502988">
        <w:rPr>
          <w:rFonts w:ascii="Times New Roman" w:hAnsi="Times New Roman"/>
          <w:sz w:val="24"/>
          <w:szCs w:val="24"/>
        </w:rPr>
        <w:t xml:space="preserve"> and commissions each installation.  </w:t>
      </w:r>
      <w:r w:rsidR="00BD215D" w:rsidRPr="00502988">
        <w:rPr>
          <w:rFonts w:ascii="Times New Roman" w:hAnsi="Times New Roman"/>
          <w:sz w:val="24"/>
          <w:szCs w:val="24"/>
        </w:rPr>
        <w:t>The anticipated cost</w:t>
      </w:r>
      <w:r w:rsidR="00997274" w:rsidRPr="00502988">
        <w:rPr>
          <w:rFonts w:ascii="Times New Roman" w:hAnsi="Times New Roman"/>
          <w:sz w:val="24"/>
          <w:szCs w:val="24"/>
        </w:rPr>
        <w:t xml:space="preserve"> of </w:t>
      </w:r>
      <w:r w:rsidR="00B22563" w:rsidRPr="00502988">
        <w:rPr>
          <w:rFonts w:ascii="Times New Roman" w:hAnsi="Times New Roman"/>
          <w:sz w:val="24"/>
          <w:szCs w:val="24"/>
        </w:rPr>
        <w:t xml:space="preserve">integrating these </w:t>
      </w:r>
      <w:r w:rsidR="00997274" w:rsidRPr="00502988">
        <w:rPr>
          <w:rFonts w:ascii="Times New Roman" w:hAnsi="Times New Roman"/>
          <w:sz w:val="24"/>
          <w:szCs w:val="24"/>
        </w:rPr>
        <w:t>small distributed energy projects</w:t>
      </w:r>
      <w:r w:rsidR="00BD215D" w:rsidRPr="00502988">
        <w:rPr>
          <w:rFonts w:ascii="Times New Roman" w:hAnsi="Times New Roman"/>
          <w:sz w:val="24"/>
          <w:szCs w:val="24"/>
        </w:rPr>
        <w:t xml:space="preserve"> is approximately</w:t>
      </w:r>
      <w:r w:rsidR="00DE7DB1" w:rsidRPr="00502988">
        <w:rPr>
          <w:rFonts w:ascii="Times New Roman" w:hAnsi="Times New Roman"/>
          <w:sz w:val="24"/>
          <w:szCs w:val="24"/>
        </w:rPr>
        <w:t xml:space="preserve"> $30,000 annually</w:t>
      </w:r>
      <w:r w:rsidR="00BD215D" w:rsidRPr="00502988">
        <w:rPr>
          <w:rFonts w:ascii="Times New Roman" w:hAnsi="Times New Roman"/>
          <w:sz w:val="24"/>
          <w:szCs w:val="24"/>
        </w:rPr>
        <w:t>, based on 30 new installations a year</w:t>
      </w:r>
      <w:r w:rsidR="00DE7DB1" w:rsidRPr="00502988">
        <w:rPr>
          <w:rFonts w:ascii="Times New Roman" w:hAnsi="Times New Roman"/>
          <w:sz w:val="24"/>
          <w:szCs w:val="24"/>
        </w:rPr>
        <w:t xml:space="preserve">.  </w:t>
      </w:r>
      <w:r w:rsidR="00B22563" w:rsidRPr="00502988">
        <w:rPr>
          <w:rFonts w:ascii="Times New Roman" w:hAnsi="Times New Roman"/>
          <w:sz w:val="24"/>
          <w:szCs w:val="24"/>
        </w:rPr>
        <w:t xml:space="preserve">Where </w:t>
      </w:r>
      <w:r w:rsidR="00DE7DB1" w:rsidRPr="00502988">
        <w:rPr>
          <w:rFonts w:ascii="Times New Roman" w:hAnsi="Times New Roman"/>
          <w:sz w:val="24"/>
          <w:szCs w:val="24"/>
        </w:rPr>
        <w:t xml:space="preserve">the </w:t>
      </w:r>
      <w:r w:rsidR="00BD215D" w:rsidRPr="00502988">
        <w:rPr>
          <w:rFonts w:ascii="Times New Roman" w:hAnsi="Times New Roman"/>
          <w:sz w:val="24"/>
          <w:szCs w:val="24"/>
        </w:rPr>
        <w:t>number of installations increases,</w:t>
      </w:r>
      <w:r w:rsidR="00DE7DB1" w:rsidRPr="00502988">
        <w:rPr>
          <w:rFonts w:ascii="Times New Roman" w:hAnsi="Times New Roman"/>
          <w:sz w:val="24"/>
          <w:szCs w:val="24"/>
        </w:rPr>
        <w:t xml:space="preserve"> so </w:t>
      </w:r>
      <w:r w:rsidR="00BD215D" w:rsidRPr="00502988">
        <w:rPr>
          <w:rFonts w:ascii="Times New Roman" w:hAnsi="Times New Roman"/>
          <w:sz w:val="24"/>
          <w:szCs w:val="24"/>
        </w:rPr>
        <w:t>will</w:t>
      </w:r>
      <w:r w:rsidR="00DE7DB1" w:rsidRPr="00502988">
        <w:rPr>
          <w:rFonts w:ascii="Times New Roman" w:hAnsi="Times New Roman"/>
          <w:sz w:val="24"/>
          <w:szCs w:val="24"/>
        </w:rPr>
        <w:t xml:space="preserve"> the annual cost. </w:t>
      </w:r>
      <w:r w:rsidR="009B5143" w:rsidRPr="00502988">
        <w:rPr>
          <w:rFonts w:ascii="Times New Roman" w:hAnsi="Times New Roman"/>
          <w:sz w:val="24"/>
          <w:szCs w:val="24"/>
        </w:rPr>
        <w:t>In terms of the hour-to-hour and minute-to-minute operation of Avista’s electric system, the amount of distributed energy resources are small at this time and generally do not have an impact on load/resource operations.</w:t>
      </w:r>
    </w:p>
    <w:p w:rsidR="006F2EB0" w:rsidRPr="00656861" w:rsidRDefault="006F2EB0" w:rsidP="006F2EB0">
      <w:pPr>
        <w:pStyle w:val="ListParagraph"/>
        <w:spacing w:after="0" w:line="360" w:lineRule="auto"/>
        <w:jc w:val="both"/>
        <w:rPr>
          <w:rFonts w:ascii="Times New Roman" w:hAnsi="Times New Roman"/>
          <w:sz w:val="24"/>
          <w:szCs w:val="24"/>
        </w:rPr>
      </w:pPr>
    </w:p>
    <w:p w:rsidR="00185999" w:rsidRDefault="00185999" w:rsidP="00B21E4B">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t>Describe the incentives paid by or through investor owned utilities.  How much is paid annually for each technology?</w:t>
      </w:r>
    </w:p>
    <w:p w:rsidR="00561EE5" w:rsidRPr="00C4686F" w:rsidRDefault="00561EE5" w:rsidP="00561EE5">
      <w:pPr>
        <w:pStyle w:val="ListParagraph"/>
        <w:spacing w:after="0" w:line="360" w:lineRule="auto"/>
        <w:rPr>
          <w:rFonts w:ascii="Times New Roman" w:hAnsi="Times New Roman"/>
          <w:sz w:val="24"/>
          <w:szCs w:val="24"/>
        </w:rPr>
      </w:pPr>
    </w:p>
    <w:p w:rsidR="00F22837" w:rsidRDefault="00CA4EAE" w:rsidP="00502988">
      <w:pPr>
        <w:spacing w:after="0" w:line="360" w:lineRule="auto"/>
        <w:ind w:left="720"/>
        <w:jc w:val="both"/>
        <w:rPr>
          <w:sz w:val="24"/>
          <w:szCs w:val="24"/>
        </w:rPr>
      </w:pPr>
      <w:r w:rsidRPr="00CA4EAE">
        <w:rPr>
          <w:rFonts w:ascii="Times New Roman" w:hAnsi="Times New Roman"/>
          <w:b/>
          <w:sz w:val="24"/>
          <w:szCs w:val="24"/>
        </w:rPr>
        <w:t>RESPONSE:</w:t>
      </w:r>
      <w:r w:rsidRPr="00CA4EAE">
        <w:rPr>
          <w:rFonts w:ascii="Times New Roman" w:hAnsi="Times New Roman"/>
          <w:sz w:val="24"/>
          <w:szCs w:val="24"/>
        </w:rPr>
        <w:t xml:space="preserve">  </w:t>
      </w:r>
      <w:r w:rsidR="009C514A" w:rsidRPr="009C514A">
        <w:rPr>
          <w:rFonts w:ascii="Times New Roman" w:hAnsi="Times New Roman"/>
          <w:sz w:val="24"/>
          <w:szCs w:val="24"/>
        </w:rPr>
        <w:t xml:space="preserve">Avista provides </w:t>
      </w:r>
      <w:r w:rsidR="009B5143" w:rsidRPr="009C514A">
        <w:rPr>
          <w:rFonts w:ascii="Times New Roman" w:hAnsi="Times New Roman"/>
          <w:sz w:val="24"/>
          <w:szCs w:val="24"/>
        </w:rPr>
        <w:t xml:space="preserve">state incentive payments under WAC 458-20-273 </w:t>
      </w:r>
      <w:r w:rsidR="009B5143">
        <w:rPr>
          <w:rFonts w:ascii="Times New Roman" w:hAnsi="Times New Roman"/>
          <w:sz w:val="24"/>
          <w:szCs w:val="24"/>
        </w:rPr>
        <w:t>which</w:t>
      </w:r>
      <w:r w:rsidR="009B5143" w:rsidRPr="009B5143">
        <w:rPr>
          <w:rFonts w:ascii="Times New Roman" w:hAnsi="Times New Roman"/>
          <w:sz w:val="24"/>
          <w:szCs w:val="24"/>
        </w:rPr>
        <w:t xml:space="preserve"> authorize</w:t>
      </w:r>
      <w:r w:rsidR="009B5143">
        <w:rPr>
          <w:rFonts w:ascii="Times New Roman" w:hAnsi="Times New Roman"/>
          <w:sz w:val="24"/>
          <w:szCs w:val="24"/>
        </w:rPr>
        <w:t>s</w:t>
      </w:r>
      <w:r w:rsidR="009B5143" w:rsidRPr="009B5143">
        <w:rPr>
          <w:rFonts w:ascii="Times New Roman" w:hAnsi="Times New Roman"/>
          <w:sz w:val="24"/>
          <w:szCs w:val="24"/>
        </w:rPr>
        <w:t xml:space="preserve"> a customer investment cost recovery incentive payment to help offset the costs associated with the purchase and use of renewable energy</w:t>
      </w:r>
      <w:r w:rsidR="00502988">
        <w:rPr>
          <w:rFonts w:ascii="Times New Roman" w:hAnsi="Times New Roman"/>
          <w:sz w:val="24"/>
          <w:szCs w:val="24"/>
        </w:rPr>
        <w:t xml:space="preserve"> systems located in Washington S</w:t>
      </w:r>
      <w:r w:rsidR="009B5143" w:rsidRPr="009B5143">
        <w:rPr>
          <w:rFonts w:ascii="Times New Roman" w:hAnsi="Times New Roman"/>
          <w:sz w:val="24"/>
          <w:szCs w:val="24"/>
        </w:rPr>
        <w:t>tate that produce electricity.</w:t>
      </w:r>
    </w:p>
    <w:p w:rsidR="00BD7BF4" w:rsidRDefault="00BD7BF4" w:rsidP="004B0C88">
      <w:pPr>
        <w:spacing w:after="0" w:line="360" w:lineRule="auto"/>
        <w:ind w:left="720"/>
        <w:rPr>
          <w:rFonts w:ascii="Times New Roman" w:hAnsi="Times New Roman"/>
          <w:sz w:val="24"/>
          <w:szCs w:val="24"/>
        </w:rPr>
      </w:pPr>
    </w:p>
    <w:p w:rsidR="00561EE5" w:rsidRPr="00C4686F" w:rsidRDefault="00561EE5" w:rsidP="004B0C88">
      <w:pPr>
        <w:spacing w:after="0" w:line="360" w:lineRule="auto"/>
        <w:ind w:left="720"/>
        <w:rPr>
          <w:rFonts w:ascii="Times New Roman" w:hAnsi="Times New Roman"/>
          <w:sz w:val="24"/>
          <w:szCs w:val="24"/>
        </w:rPr>
      </w:pPr>
    </w:p>
    <w:p w:rsidR="00185999" w:rsidRPr="00C4686F" w:rsidRDefault="00185999" w:rsidP="00502988">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lastRenderedPageBreak/>
        <w:t xml:space="preserve">Are there changes in state statutes or rules that would encourage technology-neutral development of distributed energy generally, such as changes to financial incentives?  For example, </w:t>
      </w:r>
    </w:p>
    <w:p w:rsidR="00185999" w:rsidRDefault="00185999" w:rsidP="00B21E4B">
      <w:pPr>
        <w:pStyle w:val="ListParagraph"/>
        <w:numPr>
          <w:ilvl w:val="1"/>
          <w:numId w:val="23"/>
        </w:numPr>
        <w:spacing w:after="0" w:line="360" w:lineRule="auto"/>
        <w:jc w:val="both"/>
        <w:rPr>
          <w:rFonts w:ascii="Times New Roman" w:hAnsi="Times New Roman"/>
          <w:sz w:val="24"/>
          <w:szCs w:val="24"/>
        </w:rPr>
      </w:pPr>
      <w:r w:rsidRPr="00C4686F">
        <w:rPr>
          <w:rFonts w:ascii="Times New Roman" w:hAnsi="Times New Roman"/>
          <w:sz w:val="24"/>
          <w:szCs w:val="24"/>
        </w:rPr>
        <w:t>Would current interconnection standards need to be changed to accommodate more distributed energy or to accommodate different distributed energy technologies? Why?</w:t>
      </w:r>
    </w:p>
    <w:p w:rsidR="00561EE5" w:rsidRPr="00C4686F" w:rsidRDefault="00561EE5" w:rsidP="00561EE5">
      <w:pPr>
        <w:pStyle w:val="ListParagraph"/>
        <w:spacing w:after="0" w:line="360" w:lineRule="auto"/>
        <w:ind w:left="1440"/>
        <w:rPr>
          <w:rFonts w:ascii="Times New Roman" w:hAnsi="Times New Roman"/>
          <w:sz w:val="24"/>
          <w:szCs w:val="24"/>
        </w:rPr>
      </w:pPr>
    </w:p>
    <w:p w:rsidR="00561EE5" w:rsidRPr="002D7944" w:rsidRDefault="00CA4EAE" w:rsidP="004B0C88">
      <w:pPr>
        <w:tabs>
          <w:tab w:val="left" w:pos="720"/>
        </w:tabs>
        <w:spacing w:after="0" w:line="360" w:lineRule="auto"/>
        <w:ind w:left="720"/>
        <w:jc w:val="both"/>
        <w:rPr>
          <w:rFonts w:ascii="Times New Roman" w:hAnsi="Times New Roman"/>
          <w:sz w:val="24"/>
          <w:szCs w:val="24"/>
        </w:rPr>
      </w:pPr>
      <w:r w:rsidRPr="00CA4EAE">
        <w:rPr>
          <w:rFonts w:ascii="Times New Roman" w:hAnsi="Times New Roman"/>
          <w:b/>
          <w:sz w:val="24"/>
          <w:szCs w:val="24"/>
        </w:rPr>
        <w:t>RESPONSE:</w:t>
      </w:r>
      <w:r w:rsidRPr="00CA4EAE">
        <w:rPr>
          <w:rFonts w:ascii="Times New Roman" w:hAnsi="Times New Roman"/>
          <w:sz w:val="24"/>
          <w:szCs w:val="24"/>
        </w:rPr>
        <w:t xml:space="preserve">  </w:t>
      </w:r>
      <w:r w:rsidR="002D7944" w:rsidRPr="002D7944">
        <w:rPr>
          <w:rFonts w:ascii="Times New Roman" w:hAnsi="Times New Roman"/>
          <w:sz w:val="24"/>
          <w:szCs w:val="24"/>
        </w:rPr>
        <w:t xml:space="preserve">In order to answer this and other questions posed, it is instructive to inventory incentives that already exist for renewable energy, including distributed generation.  Prominent examples of “financial incentives” for renewable energy are:  (1) The investment cost recovery program, which </w:t>
      </w:r>
      <w:r w:rsidR="00BD215D">
        <w:rPr>
          <w:rFonts w:ascii="Times New Roman" w:hAnsi="Times New Roman"/>
          <w:sz w:val="24"/>
          <w:szCs w:val="24"/>
        </w:rPr>
        <w:t xml:space="preserve">is </w:t>
      </w:r>
      <w:r w:rsidR="002D7944" w:rsidRPr="002D7944">
        <w:rPr>
          <w:rFonts w:ascii="Times New Roman" w:hAnsi="Times New Roman"/>
          <w:sz w:val="24"/>
          <w:szCs w:val="24"/>
        </w:rPr>
        <w:t>based on  a public utility tax credit under Chapter 82.16 RCW; (2) a multiplier that enables qualifying utilities to count distributed generation (defined as being less than 5 megawatts capacity) against the renewable energy standards under RCW 1</w:t>
      </w:r>
      <w:r w:rsidR="002E74E1">
        <w:rPr>
          <w:rFonts w:ascii="Times New Roman" w:hAnsi="Times New Roman"/>
          <w:sz w:val="24"/>
          <w:szCs w:val="24"/>
        </w:rPr>
        <w:t>9</w:t>
      </w:r>
      <w:r w:rsidR="002D7944" w:rsidRPr="002D7944">
        <w:rPr>
          <w:rFonts w:ascii="Times New Roman" w:hAnsi="Times New Roman"/>
          <w:sz w:val="24"/>
          <w:szCs w:val="24"/>
        </w:rPr>
        <w:t>.285.040; (3) net-metering which allows a</w:t>
      </w:r>
      <w:r w:rsidR="00DD21A9">
        <w:rPr>
          <w:rFonts w:ascii="Times New Roman" w:hAnsi="Times New Roman"/>
          <w:sz w:val="24"/>
          <w:szCs w:val="24"/>
        </w:rPr>
        <w:t xml:space="preserve"> customer-generator</w:t>
      </w:r>
      <w:r w:rsidR="002D7944" w:rsidRPr="002D7944">
        <w:rPr>
          <w:rFonts w:ascii="Times New Roman" w:hAnsi="Times New Roman"/>
          <w:sz w:val="24"/>
          <w:szCs w:val="24"/>
        </w:rPr>
        <w:t xml:space="preserve"> to offset their generation against their retail electric bill pursuant to Chapter 80.60 RCW; (4) a 75% sales and use tax exemption  on the purchase of machinery and equipment (including the value of labor) used to generate electricity from renewable resources capable of generating not less than 1,000 watts of electricity under  Chapters 82.08 and 82.12 RCW and available until June 30, 2013; and (5) a full sales and use tax exemption on the purchase of machinery and equipment (including the value of labor) used directly to generate not more than 10 kilowatts of electricity using solar energy until June 30, 2013. </w:t>
      </w:r>
    </w:p>
    <w:p w:rsidR="00F90DA5" w:rsidRDefault="00F90DA5" w:rsidP="009B5143">
      <w:pPr>
        <w:tabs>
          <w:tab w:val="left" w:pos="720"/>
        </w:tabs>
        <w:spacing w:after="0" w:line="360" w:lineRule="auto"/>
        <w:ind w:left="720"/>
        <w:jc w:val="both"/>
        <w:rPr>
          <w:rFonts w:ascii="Times New Roman" w:hAnsi="Times New Roman"/>
          <w:sz w:val="24"/>
          <w:szCs w:val="24"/>
        </w:rPr>
      </w:pPr>
    </w:p>
    <w:p w:rsidR="00561EE5" w:rsidRPr="002D7944" w:rsidRDefault="002D7944" w:rsidP="009B5143">
      <w:pPr>
        <w:tabs>
          <w:tab w:val="left" w:pos="720"/>
        </w:tabs>
        <w:spacing w:after="0" w:line="360" w:lineRule="auto"/>
        <w:ind w:left="720"/>
        <w:jc w:val="both"/>
        <w:rPr>
          <w:rFonts w:ascii="Times New Roman" w:hAnsi="Times New Roman"/>
          <w:sz w:val="24"/>
          <w:szCs w:val="24"/>
        </w:rPr>
      </w:pPr>
      <w:r w:rsidRPr="002D7944">
        <w:rPr>
          <w:rFonts w:ascii="Times New Roman" w:hAnsi="Times New Roman"/>
          <w:sz w:val="24"/>
          <w:szCs w:val="24"/>
        </w:rPr>
        <w:t xml:space="preserve">One of the principal obstacles to broad scale deployment of distributed generation is the relative cost of generating energy with such systems compared to standard electric service offered by an electric utility.  The cost differential between distributed generation and </w:t>
      </w:r>
      <w:r w:rsidR="009B5143">
        <w:rPr>
          <w:rFonts w:ascii="Times New Roman" w:hAnsi="Times New Roman"/>
          <w:sz w:val="24"/>
          <w:szCs w:val="24"/>
        </w:rPr>
        <w:t>the relatively low-cost</w:t>
      </w:r>
      <w:r w:rsidRPr="002D7944">
        <w:rPr>
          <w:rFonts w:ascii="Times New Roman" w:hAnsi="Times New Roman"/>
          <w:sz w:val="24"/>
          <w:szCs w:val="24"/>
        </w:rPr>
        <w:t xml:space="preserve"> electric service provided by Washington utilities is more acute here compared to other states.  That differential affects acceptance of distributed generation in at least two ways.  First of all, a customer may be discouraged from investing in distributed generation because any savings realized from not buying as </w:t>
      </w:r>
      <w:r w:rsidRPr="002D7944">
        <w:rPr>
          <w:rFonts w:ascii="Times New Roman" w:hAnsi="Times New Roman"/>
          <w:sz w:val="24"/>
          <w:szCs w:val="24"/>
        </w:rPr>
        <w:lastRenderedPageBreak/>
        <w:t xml:space="preserve">much, if any, electricity from its serving utility may not accrue enough economic value in a time frame that is attractive to the customer.  Second, unless or until the cost of producing energy from distributed generation is at least equal to the cost of utility service, a customer, particularly a residential one, may not perceive any financial advantage in acquiring distributed generation.  </w:t>
      </w:r>
    </w:p>
    <w:p w:rsidR="00F90DA5" w:rsidRDefault="00F90DA5" w:rsidP="009B5143">
      <w:pPr>
        <w:tabs>
          <w:tab w:val="left" w:pos="720"/>
        </w:tabs>
        <w:spacing w:after="0" w:line="360" w:lineRule="auto"/>
        <w:ind w:left="720"/>
        <w:jc w:val="both"/>
        <w:rPr>
          <w:rFonts w:ascii="Times New Roman" w:hAnsi="Times New Roman"/>
          <w:sz w:val="24"/>
          <w:szCs w:val="24"/>
        </w:rPr>
      </w:pPr>
      <w:r>
        <w:rPr>
          <w:rFonts w:ascii="Times New Roman" w:hAnsi="Times New Roman"/>
          <w:sz w:val="24"/>
          <w:szCs w:val="24"/>
        </w:rPr>
        <w:t xml:space="preserve"> </w:t>
      </w:r>
    </w:p>
    <w:p w:rsidR="00561EE5" w:rsidRPr="002D7944" w:rsidRDefault="002D7944" w:rsidP="009B5143">
      <w:pPr>
        <w:tabs>
          <w:tab w:val="left" w:pos="720"/>
        </w:tabs>
        <w:spacing w:after="0" w:line="360" w:lineRule="auto"/>
        <w:ind w:left="720"/>
        <w:jc w:val="both"/>
        <w:rPr>
          <w:rFonts w:ascii="Times New Roman" w:hAnsi="Times New Roman"/>
          <w:sz w:val="24"/>
          <w:szCs w:val="24"/>
        </w:rPr>
      </w:pPr>
      <w:r w:rsidRPr="002D7944">
        <w:rPr>
          <w:rFonts w:ascii="Times New Roman" w:hAnsi="Times New Roman"/>
          <w:sz w:val="24"/>
          <w:szCs w:val="24"/>
        </w:rPr>
        <w:t>The cost impact on utility rates for the magnitude of subsidy that would be necessary to make distributed generation cost competitive with utility service is all the greater in Washington because of the comparatively low cost of electric service offered by the state’s utilities.  Financial incentives in the form of utility-based subsidies may be costly enough when they are designed to lower the cost of distributed generation to match a utility’s avoided cost of acquiring a generation resource.  Even more significant cost-shifts would occur from utility-based subsidies that are intended to reduce the cost of distributed generation to the level of a utility’s cost of service.   (A feed-in tariff may be the most costly form of utility-based subsidy in that it conceptually requires the utility to pay a rate which guarantees that the developer/generator will not only recover all of its investment in a resource that may not otherwise be cost-effective, but also a profit.)</w:t>
      </w:r>
    </w:p>
    <w:p w:rsidR="00F90DA5" w:rsidRDefault="00F90DA5" w:rsidP="004B0C88">
      <w:pPr>
        <w:tabs>
          <w:tab w:val="left" w:pos="720"/>
        </w:tabs>
        <w:spacing w:after="0" w:line="360" w:lineRule="auto"/>
        <w:ind w:left="720"/>
        <w:jc w:val="both"/>
        <w:rPr>
          <w:rFonts w:ascii="Times New Roman" w:hAnsi="Times New Roman"/>
          <w:sz w:val="24"/>
          <w:szCs w:val="24"/>
        </w:rPr>
      </w:pPr>
    </w:p>
    <w:p w:rsidR="002D7944" w:rsidRPr="002D7944" w:rsidRDefault="002D7944" w:rsidP="004B0C88">
      <w:pPr>
        <w:tabs>
          <w:tab w:val="left" w:pos="720"/>
        </w:tabs>
        <w:spacing w:after="0" w:line="360" w:lineRule="auto"/>
        <w:ind w:left="720"/>
        <w:jc w:val="both"/>
        <w:rPr>
          <w:rFonts w:ascii="Times New Roman" w:hAnsi="Times New Roman"/>
          <w:sz w:val="24"/>
          <w:szCs w:val="24"/>
        </w:rPr>
      </w:pPr>
      <w:r w:rsidRPr="002D7944">
        <w:rPr>
          <w:rFonts w:ascii="Times New Roman" w:hAnsi="Times New Roman"/>
          <w:sz w:val="24"/>
          <w:szCs w:val="24"/>
        </w:rPr>
        <w:t>Interconnection standards can be defined as a “financial incentive” only when they cause an electric utility to incur costs that are recovered from other customers; in other words, the subsidy for the generation derives from a cost-shift.  Changing current interconnection standards to accommodate (presumably) larger generation resources risks intruding on the jurisdiction of the Federal Energy Regulatory Commission</w:t>
      </w:r>
      <w:r w:rsidR="0095521D">
        <w:rPr>
          <w:rFonts w:ascii="Times New Roman" w:hAnsi="Times New Roman"/>
          <w:sz w:val="24"/>
          <w:szCs w:val="24"/>
        </w:rPr>
        <w:t xml:space="preserve"> (FERC)</w:t>
      </w:r>
      <w:r w:rsidRPr="002D7944">
        <w:rPr>
          <w:rFonts w:ascii="Times New Roman" w:hAnsi="Times New Roman"/>
          <w:sz w:val="24"/>
          <w:szCs w:val="24"/>
        </w:rPr>
        <w:t xml:space="preserve">, in the event those interconnection standards affect facilities involved the transmission of electricity in interstate commerce.  They might also mean that greater costs could be borne by other utility customers.  Subsidies conveyed through interconnection standards may not be sufficient on their own to encourage distributed generation of comparatively small size (a meaningful interconnection subsidy may be more likely to accrue to larger generators, especially those requiring interconnection to transmission facilities).  As a </w:t>
      </w:r>
      <w:r w:rsidRPr="002D7944">
        <w:rPr>
          <w:rFonts w:ascii="Times New Roman" w:hAnsi="Times New Roman"/>
          <w:sz w:val="24"/>
          <w:szCs w:val="24"/>
        </w:rPr>
        <w:lastRenderedPageBreak/>
        <w:t>general rule, use of interconnection standards as a method of subsidizing distributed generation should be avoided.</w:t>
      </w:r>
    </w:p>
    <w:p w:rsidR="00185999" w:rsidRDefault="00185999" w:rsidP="004B0C88">
      <w:pPr>
        <w:spacing w:after="0" w:line="360" w:lineRule="auto"/>
        <w:ind w:left="720"/>
        <w:rPr>
          <w:rFonts w:ascii="Times New Roman" w:hAnsi="Times New Roman"/>
          <w:sz w:val="24"/>
          <w:szCs w:val="24"/>
        </w:rPr>
      </w:pPr>
    </w:p>
    <w:p w:rsidR="00185999" w:rsidRDefault="00185999" w:rsidP="004B0C88">
      <w:pPr>
        <w:pStyle w:val="ListParagraph"/>
        <w:numPr>
          <w:ilvl w:val="0"/>
          <w:numId w:val="23"/>
        </w:numPr>
        <w:spacing w:after="0" w:line="360" w:lineRule="auto"/>
        <w:rPr>
          <w:rFonts w:ascii="Times New Roman" w:hAnsi="Times New Roman"/>
          <w:sz w:val="24"/>
          <w:szCs w:val="24"/>
        </w:rPr>
      </w:pPr>
      <w:r w:rsidRPr="00C4686F">
        <w:rPr>
          <w:rFonts w:ascii="Times New Roman" w:hAnsi="Times New Roman"/>
          <w:sz w:val="24"/>
          <w:szCs w:val="24"/>
        </w:rPr>
        <w:t xml:space="preserve">What storage options exist that could be used to help integrate distributed energy into the electric grid? </w:t>
      </w:r>
    </w:p>
    <w:p w:rsidR="00CA4EAE" w:rsidRPr="00C4686F" w:rsidRDefault="00CA4EAE" w:rsidP="004B0C88">
      <w:pPr>
        <w:pStyle w:val="ListParagraph"/>
        <w:spacing w:after="0" w:line="360" w:lineRule="auto"/>
        <w:rPr>
          <w:rFonts w:ascii="Times New Roman" w:hAnsi="Times New Roman"/>
          <w:sz w:val="24"/>
          <w:szCs w:val="24"/>
        </w:rPr>
      </w:pPr>
    </w:p>
    <w:p w:rsidR="00CA4EAE" w:rsidRPr="00CA4EAE" w:rsidRDefault="00CA4EAE" w:rsidP="004B0C88">
      <w:pPr>
        <w:pStyle w:val="ListParagraph"/>
        <w:spacing w:after="0" w:line="360" w:lineRule="auto"/>
        <w:jc w:val="both"/>
        <w:rPr>
          <w:rFonts w:ascii="Times New Roman" w:hAnsi="Times New Roman"/>
          <w:sz w:val="24"/>
        </w:rPr>
      </w:pPr>
      <w:r w:rsidRPr="00CA4EAE">
        <w:rPr>
          <w:rFonts w:ascii="Times New Roman" w:hAnsi="Times New Roman"/>
          <w:b/>
          <w:sz w:val="24"/>
          <w:szCs w:val="24"/>
        </w:rPr>
        <w:t>RESPONSE:</w:t>
      </w:r>
      <w:r w:rsidRPr="00CA4EAE">
        <w:rPr>
          <w:rFonts w:ascii="Times New Roman" w:hAnsi="Times New Roman"/>
          <w:sz w:val="24"/>
          <w:szCs w:val="24"/>
        </w:rPr>
        <w:t xml:space="preserve">  </w:t>
      </w:r>
      <w:r w:rsidRPr="00CA4EAE">
        <w:rPr>
          <w:rFonts w:ascii="Times New Roman" w:hAnsi="Times New Roman"/>
          <w:sz w:val="24"/>
        </w:rPr>
        <w:t>There are several existing technically available storage options to help integrate distributed energy in the electric grid. These include pumped hydro storage, various types of battery technologies, compressed air storage, flywheels, and customer based storage. With the exception of pumped storage, storage options have not developed to the scale where it can be constructed and operated in an economic manner. Pumped hydro is commercially available but may not be economically viable in the current market conditions.</w:t>
      </w:r>
    </w:p>
    <w:p w:rsidR="00CA4EAE" w:rsidRPr="009E748F" w:rsidRDefault="00CA4EAE" w:rsidP="004B0C88">
      <w:pPr>
        <w:pStyle w:val="ListParagraph"/>
        <w:spacing w:after="0" w:line="360" w:lineRule="auto"/>
        <w:jc w:val="both"/>
        <w:rPr>
          <w:sz w:val="24"/>
        </w:rPr>
      </w:pPr>
    </w:p>
    <w:p w:rsidR="00185999" w:rsidRPr="002E74E1" w:rsidRDefault="00185999" w:rsidP="0000536B">
      <w:pPr>
        <w:pStyle w:val="ListParagraph"/>
        <w:numPr>
          <w:ilvl w:val="0"/>
          <w:numId w:val="23"/>
        </w:numPr>
        <w:spacing w:after="0" w:line="360" w:lineRule="auto"/>
        <w:jc w:val="both"/>
        <w:rPr>
          <w:rFonts w:ascii="Times New Roman" w:hAnsi="Times New Roman"/>
          <w:sz w:val="24"/>
          <w:szCs w:val="24"/>
        </w:rPr>
      </w:pPr>
      <w:r w:rsidRPr="002E74E1">
        <w:rPr>
          <w:rFonts w:ascii="Times New Roman" w:hAnsi="Times New Roman"/>
          <w:sz w:val="24"/>
          <w:szCs w:val="24"/>
        </w:rPr>
        <w:t xml:space="preserve">Do distributed energy technologies impact investor-owned utility rates currently?  If so, please describe how and whether rate impacts affect certain customer classes more than others.  How might future rates be impacted? </w:t>
      </w:r>
    </w:p>
    <w:p w:rsidR="00561EE5" w:rsidRPr="0098584C" w:rsidRDefault="00561EE5" w:rsidP="00561EE5">
      <w:pPr>
        <w:pStyle w:val="ListParagraph"/>
        <w:spacing w:after="0" w:line="360" w:lineRule="auto"/>
        <w:rPr>
          <w:rFonts w:ascii="Times New Roman" w:hAnsi="Times New Roman"/>
          <w:sz w:val="24"/>
          <w:szCs w:val="24"/>
          <w:highlight w:val="yellow"/>
        </w:rPr>
      </w:pPr>
    </w:p>
    <w:p w:rsidR="00185999" w:rsidRPr="00A53691" w:rsidRDefault="00CA4EAE" w:rsidP="00A53691">
      <w:pPr>
        <w:spacing w:after="0" w:line="360" w:lineRule="auto"/>
        <w:ind w:left="720"/>
        <w:jc w:val="both"/>
        <w:rPr>
          <w:rFonts w:ascii="Times New Roman" w:hAnsi="Times New Roman"/>
          <w:sz w:val="24"/>
          <w:szCs w:val="24"/>
        </w:rPr>
      </w:pPr>
      <w:r w:rsidRPr="00CA4EAE">
        <w:rPr>
          <w:rFonts w:ascii="Times New Roman" w:hAnsi="Times New Roman"/>
          <w:b/>
          <w:sz w:val="24"/>
          <w:szCs w:val="24"/>
        </w:rPr>
        <w:t>RESPONSE:</w:t>
      </w:r>
      <w:r w:rsidRPr="00CA4EAE">
        <w:rPr>
          <w:rFonts w:ascii="Times New Roman" w:hAnsi="Times New Roman"/>
          <w:sz w:val="24"/>
          <w:szCs w:val="24"/>
        </w:rPr>
        <w:t xml:space="preserve">  </w:t>
      </w:r>
      <w:r w:rsidR="00A53691" w:rsidRPr="00A53691">
        <w:rPr>
          <w:rFonts w:ascii="Times New Roman" w:hAnsi="Times New Roman"/>
          <w:sz w:val="24"/>
          <w:szCs w:val="24"/>
        </w:rPr>
        <w:t xml:space="preserve">For Avista Utilities in the State of Washington, distributed energy technology deployment has been limited.  The Company currently offers avoided costs rates under Schedule 62, </w:t>
      </w:r>
      <w:r w:rsidR="00A53691">
        <w:rPr>
          <w:rFonts w:ascii="Times New Roman" w:hAnsi="Times New Roman"/>
          <w:sz w:val="24"/>
          <w:szCs w:val="24"/>
        </w:rPr>
        <w:t>“</w:t>
      </w:r>
      <w:r w:rsidR="00A53691" w:rsidRPr="00A53691">
        <w:rPr>
          <w:rFonts w:ascii="Times New Roman" w:hAnsi="Times New Roman"/>
          <w:sz w:val="24"/>
          <w:szCs w:val="24"/>
        </w:rPr>
        <w:t>Small Power Production and Cogeneration</w:t>
      </w:r>
      <w:r w:rsidR="00A53691">
        <w:rPr>
          <w:rFonts w:ascii="Times New Roman" w:hAnsi="Times New Roman"/>
          <w:sz w:val="24"/>
          <w:szCs w:val="24"/>
        </w:rPr>
        <w:t>”</w:t>
      </w:r>
      <w:r w:rsidR="00A53691" w:rsidRPr="00A53691">
        <w:rPr>
          <w:rFonts w:ascii="Times New Roman" w:hAnsi="Times New Roman"/>
          <w:sz w:val="24"/>
          <w:szCs w:val="24"/>
        </w:rPr>
        <w:t xml:space="preserve"> Schedule.  The Company does not have any </w:t>
      </w:r>
      <w:r w:rsidR="00B35AF3">
        <w:rPr>
          <w:rFonts w:ascii="Times New Roman" w:hAnsi="Times New Roman"/>
          <w:sz w:val="24"/>
          <w:szCs w:val="24"/>
        </w:rPr>
        <w:t>end-use customers selling energy to Avista under that Schedule</w:t>
      </w:r>
      <w:r w:rsidR="00A53691" w:rsidRPr="00A53691">
        <w:rPr>
          <w:rFonts w:ascii="Times New Roman" w:hAnsi="Times New Roman"/>
          <w:sz w:val="24"/>
          <w:szCs w:val="24"/>
        </w:rPr>
        <w:t xml:space="preserve">.  The Company also has Schedule 63, </w:t>
      </w:r>
      <w:r w:rsidR="00A53691">
        <w:rPr>
          <w:rFonts w:ascii="Times New Roman" w:hAnsi="Times New Roman"/>
          <w:sz w:val="24"/>
          <w:szCs w:val="24"/>
        </w:rPr>
        <w:t>“</w:t>
      </w:r>
      <w:r w:rsidR="00A53691" w:rsidRPr="00A53691">
        <w:rPr>
          <w:rFonts w:ascii="Times New Roman" w:hAnsi="Times New Roman"/>
          <w:sz w:val="24"/>
          <w:szCs w:val="24"/>
        </w:rPr>
        <w:t>Net Metering,</w:t>
      </w:r>
      <w:r w:rsidR="00A53691">
        <w:rPr>
          <w:rFonts w:ascii="Times New Roman" w:hAnsi="Times New Roman"/>
          <w:sz w:val="24"/>
          <w:szCs w:val="24"/>
        </w:rPr>
        <w:t>”</w:t>
      </w:r>
      <w:r w:rsidR="00A53691" w:rsidRPr="00A53691">
        <w:rPr>
          <w:rFonts w:ascii="Times New Roman" w:hAnsi="Times New Roman"/>
          <w:sz w:val="24"/>
          <w:szCs w:val="24"/>
        </w:rPr>
        <w:t xml:space="preserve"> which is applicable to customers with an electrical generating capacity of not more than 100 kilowatts.  The Company currently has 96 customers</w:t>
      </w:r>
      <w:r w:rsidR="00EA0430">
        <w:rPr>
          <w:rFonts w:ascii="Times New Roman" w:hAnsi="Times New Roman"/>
          <w:sz w:val="24"/>
          <w:szCs w:val="24"/>
        </w:rPr>
        <w:t xml:space="preserve"> on Schedule 63, providing 449 k</w:t>
      </w:r>
      <w:r w:rsidR="00A53691" w:rsidRPr="00A53691">
        <w:rPr>
          <w:rFonts w:ascii="Times New Roman" w:hAnsi="Times New Roman"/>
          <w:sz w:val="24"/>
          <w:szCs w:val="24"/>
        </w:rPr>
        <w:t xml:space="preserve">W of generating capacity.   The level of participation by Avista’s customers in distributed energy technologies has not reached any sort of a critical mass, and therefore has not caused a noticeable impact on current rates.  As to the future of distributed energy technologies impact on rates, please see the Company’s response to </w:t>
      </w:r>
      <w:r w:rsidR="006A751F">
        <w:rPr>
          <w:rFonts w:ascii="Times New Roman" w:hAnsi="Times New Roman"/>
          <w:sz w:val="24"/>
          <w:szCs w:val="24"/>
        </w:rPr>
        <w:t xml:space="preserve">question </w:t>
      </w:r>
      <w:r w:rsidR="00B22563">
        <w:rPr>
          <w:rFonts w:ascii="Times New Roman" w:hAnsi="Times New Roman"/>
          <w:sz w:val="24"/>
          <w:szCs w:val="24"/>
        </w:rPr>
        <w:t>A</w:t>
      </w:r>
      <w:r w:rsidR="006A751F">
        <w:rPr>
          <w:rFonts w:ascii="Times New Roman" w:hAnsi="Times New Roman"/>
          <w:sz w:val="24"/>
          <w:szCs w:val="24"/>
        </w:rPr>
        <w:t>4 above.</w:t>
      </w:r>
    </w:p>
    <w:p w:rsidR="00561EE5" w:rsidRPr="00C4686F" w:rsidRDefault="00561EE5" w:rsidP="004B0C88">
      <w:pPr>
        <w:spacing w:after="0" w:line="360" w:lineRule="auto"/>
        <w:ind w:left="720"/>
        <w:rPr>
          <w:rFonts w:ascii="Times New Roman" w:hAnsi="Times New Roman"/>
          <w:sz w:val="24"/>
          <w:szCs w:val="24"/>
        </w:rPr>
      </w:pPr>
    </w:p>
    <w:p w:rsidR="00185999" w:rsidRDefault="00185999" w:rsidP="00502988">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lastRenderedPageBreak/>
        <w:t xml:space="preserve">Do distributed energy technologies meet winter peaking needs for investor-owned utilities? Can distributed energy technologies serve </w:t>
      </w:r>
      <w:r w:rsidR="00D1394F" w:rsidRPr="00C4686F">
        <w:rPr>
          <w:rFonts w:ascii="Times New Roman" w:hAnsi="Times New Roman"/>
          <w:sz w:val="24"/>
          <w:szCs w:val="24"/>
        </w:rPr>
        <w:t>base load</w:t>
      </w:r>
      <w:r w:rsidRPr="00C4686F">
        <w:rPr>
          <w:rFonts w:ascii="Times New Roman" w:hAnsi="Times New Roman"/>
          <w:sz w:val="24"/>
          <w:szCs w:val="24"/>
        </w:rPr>
        <w:t xml:space="preserve"> capacity?  Which distributed energy technologies serve primarily as an hour-ahead or day-ahead energy supply? How can each of the distributed energy technologies and fuel sources contribute to meeting utility peak load needs? </w:t>
      </w:r>
    </w:p>
    <w:p w:rsidR="00561EE5" w:rsidRDefault="00561EE5" w:rsidP="004B0C88">
      <w:pPr>
        <w:pStyle w:val="ListParagraph"/>
        <w:spacing w:after="0" w:line="360" w:lineRule="auto"/>
        <w:jc w:val="both"/>
        <w:rPr>
          <w:rFonts w:ascii="Times New Roman" w:hAnsi="Times New Roman"/>
          <w:b/>
          <w:sz w:val="24"/>
          <w:szCs w:val="24"/>
        </w:rPr>
      </w:pPr>
    </w:p>
    <w:p w:rsidR="00CA4EAE" w:rsidRDefault="00CA4EAE" w:rsidP="004B0C88">
      <w:pPr>
        <w:pStyle w:val="ListParagraph"/>
        <w:spacing w:after="0" w:line="360" w:lineRule="auto"/>
        <w:jc w:val="both"/>
        <w:rPr>
          <w:rFonts w:ascii="Times New Roman" w:hAnsi="Times New Roman"/>
          <w:sz w:val="24"/>
        </w:rPr>
      </w:pPr>
      <w:r w:rsidRPr="00CA4EAE">
        <w:rPr>
          <w:rFonts w:ascii="Times New Roman" w:hAnsi="Times New Roman"/>
          <w:b/>
          <w:sz w:val="24"/>
          <w:szCs w:val="24"/>
        </w:rPr>
        <w:t>RESPONSE:</w:t>
      </w:r>
      <w:r w:rsidRPr="00CA4EAE">
        <w:rPr>
          <w:rFonts w:ascii="Times New Roman" w:hAnsi="Times New Roman"/>
          <w:sz w:val="24"/>
          <w:szCs w:val="24"/>
        </w:rPr>
        <w:t xml:space="preserve">  </w:t>
      </w:r>
      <w:r w:rsidRPr="00CA4EAE">
        <w:rPr>
          <w:rFonts w:ascii="Times New Roman" w:hAnsi="Times New Roman"/>
          <w:sz w:val="24"/>
        </w:rPr>
        <w:t xml:space="preserve">Distributed energy technologies may be able to meet some winter peaking needs and provide </w:t>
      </w:r>
      <w:r w:rsidR="00D1394F" w:rsidRPr="00CA4EAE">
        <w:rPr>
          <w:rFonts w:ascii="Times New Roman" w:hAnsi="Times New Roman"/>
          <w:sz w:val="24"/>
        </w:rPr>
        <w:t>base load</w:t>
      </w:r>
      <w:r w:rsidRPr="00CA4EAE">
        <w:rPr>
          <w:rFonts w:ascii="Times New Roman" w:hAnsi="Times New Roman"/>
          <w:sz w:val="24"/>
        </w:rPr>
        <w:t xml:space="preserve"> capacity for investor-owned utilities. Resources such as digesters, landfill gas, and co-generation </w:t>
      </w:r>
      <w:r w:rsidR="006A751F">
        <w:rPr>
          <w:rFonts w:ascii="Times New Roman" w:hAnsi="Times New Roman"/>
          <w:sz w:val="24"/>
        </w:rPr>
        <w:t>might</w:t>
      </w:r>
      <w:r w:rsidRPr="00CA4EAE">
        <w:rPr>
          <w:rFonts w:ascii="Times New Roman" w:hAnsi="Times New Roman"/>
          <w:sz w:val="24"/>
        </w:rPr>
        <w:t xml:space="preserve"> meet peak load requirements. Other resources such as solar, wind, wave, and </w:t>
      </w:r>
      <w:r w:rsidR="00D1394F" w:rsidRPr="00CA4EAE">
        <w:rPr>
          <w:rFonts w:ascii="Times New Roman" w:hAnsi="Times New Roman"/>
          <w:sz w:val="24"/>
        </w:rPr>
        <w:t>hydrokinetics</w:t>
      </w:r>
      <w:r w:rsidRPr="00CA4EAE">
        <w:rPr>
          <w:rFonts w:ascii="Times New Roman" w:hAnsi="Times New Roman"/>
          <w:sz w:val="24"/>
        </w:rPr>
        <w:t xml:space="preserve"> may not be counted on to meet peak needs, although they may still help meet peak load when generation actually occurs. The amount of peaking</w:t>
      </w:r>
      <w:r w:rsidR="00A53691">
        <w:rPr>
          <w:rFonts w:ascii="Times New Roman" w:hAnsi="Times New Roman"/>
          <w:sz w:val="24"/>
        </w:rPr>
        <w:t>,</w:t>
      </w:r>
      <w:r w:rsidRPr="00CA4EAE">
        <w:rPr>
          <w:rFonts w:ascii="Times New Roman" w:hAnsi="Times New Roman"/>
          <w:sz w:val="24"/>
        </w:rPr>
        <w:t xml:space="preserve"> or </w:t>
      </w:r>
      <w:r w:rsidR="00D1394F" w:rsidRPr="00CA4EAE">
        <w:rPr>
          <w:rFonts w:ascii="Times New Roman" w:hAnsi="Times New Roman"/>
          <w:sz w:val="24"/>
        </w:rPr>
        <w:t>base load</w:t>
      </w:r>
      <w:r w:rsidRPr="00CA4EAE">
        <w:rPr>
          <w:rFonts w:ascii="Times New Roman" w:hAnsi="Times New Roman"/>
          <w:sz w:val="24"/>
        </w:rPr>
        <w:t xml:space="preserve"> contribution will be entirely based on the number, size, technology and actual operation of the resources that are developed. </w:t>
      </w:r>
    </w:p>
    <w:p w:rsidR="00ED315C" w:rsidRPr="00CA4EAE" w:rsidRDefault="00ED315C" w:rsidP="004B0C88">
      <w:pPr>
        <w:pStyle w:val="ListParagraph"/>
        <w:spacing w:after="0" w:line="360" w:lineRule="auto"/>
        <w:jc w:val="both"/>
        <w:rPr>
          <w:rFonts w:ascii="Times New Roman" w:hAnsi="Times New Roman"/>
          <w:sz w:val="24"/>
        </w:rPr>
      </w:pPr>
    </w:p>
    <w:p w:rsidR="00185999" w:rsidRDefault="00185999" w:rsidP="00A53691">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t>If rates or incentives are established at the state level, would it violate or conflict with the federal law provisions in PURPA and the Federal Power Act?  For example, if the Commission interprets PURPA to establish a feed-in tariff at the state level, is the Commission obligated by federal law to establish a rate that does not exceed avoided cost?</w:t>
      </w:r>
      <w:r w:rsidRPr="00C4686F" w:rsidDel="00E02311">
        <w:rPr>
          <w:rFonts w:ascii="Times New Roman" w:hAnsi="Times New Roman"/>
          <w:sz w:val="24"/>
          <w:szCs w:val="24"/>
        </w:rPr>
        <w:t xml:space="preserve"> </w:t>
      </w:r>
    </w:p>
    <w:p w:rsidR="00561EE5" w:rsidRPr="00C4686F" w:rsidRDefault="00561EE5" w:rsidP="00561EE5">
      <w:pPr>
        <w:pStyle w:val="ListParagraph"/>
        <w:spacing w:after="0" w:line="360" w:lineRule="auto"/>
        <w:rPr>
          <w:rFonts w:ascii="Times New Roman" w:hAnsi="Times New Roman"/>
          <w:sz w:val="24"/>
          <w:szCs w:val="24"/>
        </w:rPr>
      </w:pPr>
    </w:p>
    <w:p w:rsidR="00716144" w:rsidRPr="00716144" w:rsidRDefault="00ED315C" w:rsidP="00D6382B">
      <w:pPr>
        <w:pStyle w:val="NormalWeb"/>
        <w:spacing w:before="0" w:beforeAutospacing="0" w:after="0" w:afterAutospacing="0" w:line="360" w:lineRule="auto"/>
        <w:ind w:left="720"/>
        <w:contextualSpacing/>
        <w:jc w:val="both"/>
        <w:rPr>
          <w:rFonts w:eastAsia="Calibri"/>
          <w:szCs w:val="22"/>
        </w:rPr>
      </w:pPr>
      <w:r w:rsidRPr="00D6382B">
        <w:rPr>
          <w:rFonts w:eastAsia="Calibri"/>
          <w:b/>
          <w:szCs w:val="22"/>
        </w:rPr>
        <w:t>RESPONSE:</w:t>
      </w:r>
      <w:r w:rsidRPr="00716144">
        <w:rPr>
          <w:rFonts w:eastAsia="Calibri"/>
          <w:szCs w:val="22"/>
        </w:rPr>
        <w:t xml:space="preserve">  </w:t>
      </w:r>
      <w:r w:rsidR="00716144" w:rsidRPr="00716144">
        <w:rPr>
          <w:rFonts w:eastAsia="Calibri"/>
          <w:szCs w:val="22"/>
        </w:rPr>
        <w:t xml:space="preserve">Yes.  Under section 210 of PURPA, electric utilities are obligated to offer to purchase available electric energy </w:t>
      </w:r>
      <w:r w:rsidR="00B35AF3">
        <w:rPr>
          <w:rFonts w:eastAsia="Calibri"/>
          <w:szCs w:val="22"/>
        </w:rPr>
        <w:t xml:space="preserve">from </w:t>
      </w:r>
      <w:r w:rsidR="00716144" w:rsidRPr="00716144">
        <w:rPr>
          <w:rFonts w:eastAsia="Calibri"/>
          <w:szCs w:val="22"/>
        </w:rPr>
        <w:t xml:space="preserve">Qualifying Facilities (“QFs”). The rates for such purchases from QFs must be just and reasonable to the ratepayers of the utility, in the public interest, and must not discriminate against </w:t>
      </w:r>
      <w:r w:rsidR="00D1394F" w:rsidRPr="00716144">
        <w:rPr>
          <w:rFonts w:eastAsia="Calibri"/>
          <w:szCs w:val="22"/>
        </w:rPr>
        <w:t>co</w:t>
      </w:r>
      <w:r w:rsidR="00D1394F">
        <w:rPr>
          <w:rFonts w:eastAsia="Calibri"/>
          <w:szCs w:val="22"/>
        </w:rPr>
        <w:t>-</w:t>
      </w:r>
      <w:r w:rsidR="00D1394F" w:rsidRPr="00716144">
        <w:rPr>
          <w:rFonts w:eastAsia="Calibri"/>
          <w:szCs w:val="22"/>
        </w:rPr>
        <w:t>generators</w:t>
      </w:r>
      <w:r w:rsidR="00716144" w:rsidRPr="00716144">
        <w:rPr>
          <w:rFonts w:eastAsia="Calibri"/>
          <w:szCs w:val="22"/>
        </w:rPr>
        <w:t xml:space="preserve"> or small power producers.  Rates also must not exceed the incremental cost to the electric utility of alternative electric energy (also known as the electric utility’s “avoided costs”).  New PURPA Section 210(m) Regulations Applicable to Small Power Production and Cogeneration Facilities, 114 FERC ¶ 61,043, P 8 (2006); see also 18 C.F.R. § 292.304(a).   </w:t>
      </w:r>
    </w:p>
    <w:p w:rsidR="00185999" w:rsidRDefault="00185999" w:rsidP="004B0C88">
      <w:pPr>
        <w:spacing w:after="0" w:line="360" w:lineRule="auto"/>
        <w:ind w:left="720"/>
        <w:rPr>
          <w:rFonts w:ascii="Times New Roman" w:hAnsi="Times New Roman"/>
          <w:sz w:val="24"/>
          <w:szCs w:val="24"/>
        </w:rPr>
      </w:pPr>
    </w:p>
    <w:p w:rsidR="00185999" w:rsidRDefault="00185999" w:rsidP="00A53691">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lastRenderedPageBreak/>
        <w:t>Certain statutes and Commission rules require the UTC to review resource acquisition pursuant to least-cost planning.  Would pursuing distributed energy conflict with those rules due to the nascent state of technology development and current cost to implement?  How far, if at all, should the state depart from least-cost planning principles and rules?</w:t>
      </w:r>
    </w:p>
    <w:p w:rsidR="00CA4EAE" w:rsidRDefault="00CA4EAE" w:rsidP="004B0C88">
      <w:pPr>
        <w:pStyle w:val="ListParagraph"/>
        <w:spacing w:after="0" w:line="360" w:lineRule="auto"/>
        <w:jc w:val="both"/>
        <w:rPr>
          <w:rFonts w:ascii="Times New Roman" w:hAnsi="Times New Roman"/>
          <w:sz w:val="24"/>
          <w:szCs w:val="24"/>
        </w:rPr>
      </w:pPr>
    </w:p>
    <w:p w:rsidR="00CA4EAE" w:rsidRDefault="00CA4EAE" w:rsidP="004B0C88">
      <w:pPr>
        <w:pStyle w:val="ListParagraph"/>
        <w:spacing w:after="0" w:line="360" w:lineRule="auto"/>
        <w:jc w:val="both"/>
        <w:rPr>
          <w:rFonts w:ascii="Times New Roman" w:hAnsi="Times New Roman"/>
          <w:sz w:val="24"/>
        </w:rPr>
      </w:pPr>
      <w:r w:rsidRPr="00CA4EAE">
        <w:rPr>
          <w:rFonts w:ascii="Times New Roman" w:hAnsi="Times New Roman"/>
          <w:b/>
          <w:sz w:val="24"/>
          <w:szCs w:val="24"/>
        </w:rPr>
        <w:t>RESPONSE:</w:t>
      </w:r>
      <w:r w:rsidRPr="00CA4EAE">
        <w:rPr>
          <w:rFonts w:ascii="Times New Roman" w:hAnsi="Times New Roman"/>
          <w:sz w:val="24"/>
          <w:szCs w:val="24"/>
        </w:rPr>
        <w:t xml:space="preserve">  </w:t>
      </w:r>
      <w:r w:rsidRPr="00CA4EAE">
        <w:rPr>
          <w:rFonts w:ascii="Times New Roman" w:hAnsi="Times New Roman"/>
          <w:sz w:val="24"/>
        </w:rPr>
        <w:t>The high costs and relatively limited nature of these resources would likely prevent distributed generation from being built under least-cost planning guid</w:t>
      </w:r>
      <w:r w:rsidR="00B35AF3">
        <w:rPr>
          <w:rFonts w:ascii="Times New Roman" w:hAnsi="Times New Roman"/>
          <w:sz w:val="24"/>
        </w:rPr>
        <w:t>elines, although these resource</w:t>
      </w:r>
      <w:r w:rsidRPr="00CA4EAE">
        <w:rPr>
          <w:rFonts w:ascii="Times New Roman" w:hAnsi="Times New Roman"/>
          <w:sz w:val="24"/>
        </w:rPr>
        <w:t xml:space="preserve"> types should be considered in an </w:t>
      </w:r>
      <w:r w:rsidR="00A53691">
        <w:rPr>
          <w:rFonts w:ascii="Times New Roman" w:hAnsi="Times New Roman"/>
          <w:sz w:val="24"/>
        </w:rPr>
        <w:t>Integrated Resource Planning (</w:t>
      </w:r>
      <w:r w:rsidRPr="00CA4EAE">
        <w:rPr>
          <w:rFonts w:ascii="Times New Roman" w:hAnsi="Times New Roman"/>
          <w:sz w:val="24"/>
        </w:rPr>
        <w:t>IRP</w:t>
      </w:r>
      <w:r w:rsidR="00A53691">
        <w:rPr>
          <w:rFonts w:ascii="Times New Roman" w:hAnsi="Times New Roman"/>
          <w:sz w:val="24"/>
        </w:rPr>
        <w:t>)</w:t>
      </w:r>
      <w:r w:rsidRPr="00CA4EAE">
        <w:rPr>
          <w:rFonts w:ascii="Times New Roman" w:hAnsi="Times New Roman"/>
          <w:sz w:val="24"/>
        </w:rPr>
        <w:t xml:space="preserve"> process. Under the current state of the technology and costs of distributed resources, the only way distributed generation is likely to be constructed is as a pilot project, with the aid of significant grant money, or through government mandates. In many other areas of the country distributed resources are being tested. Further testing in Washington will be of little value until other states have completed their projects and potentially helped to drive costs down.  The state should not depart from least-cost planning principles and rules as a matter of practice.</w:t>
      </w:r>
    </w:p>
    <w:p w:rsidR="00ED315C" w:rsidRPr="00CA4EAE" w:rsidRDefault="00ED315C" w:rsidP="004B0C88">
      <w:pPr>
        <w:pStyle w:val="ListParagraph"/>
        <w:spacing w:after="0" w:line="360" w:lineRule="auto"/>
        <w:jc w:val="both"/>
        <w:rPr>
          <w:rFonts w:ascii="Times New Roman" w:hAnsi="Times New Roman"/>
          <w:sz w:val="24"/>
        </w:rPr>
      </w:pPr>
    </w:p>
    <w:p w:rsidR="00185999" w:rsidRDefault="00185999" w:rsidP="00A53691">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t>If the Commission were to change the avoided cost methodology for certain types of renewable resources, what criteria should we take into account as we do this?  Should there be a total cap on the amount of resources to be acquired in this manner, and, if so, state-wide or by utility?  Should there be a carve-out for certain technologies that are in a more nascent stage of development now, or should commercially available and emerging technologies be treated equally?</w:t>
      </w:r>
    </w:p>
    <w:p w:rsidR="00D6382B" w:rsidRDefault="00D6382B" w:rsidP="00D6382B">
      <w:pPr>
        <w:pStyle w:val="NormalWeb"/>
        <w:spacing w:before="0" w:beforeAutospacing="0" w:after="0" w:afterAutospacing="0" w:line="360" w:lineRule="auto"/>
        <w:ind w:left="720"/>
        <w:jc w:val="both"/>
        <w:rPr>
          <w:rFonts w:eastAsia="Calibri"/>
          <w:szCs w:val="22"/>
        </w:rPr>
      </w:pPr>
    </w:p>
    <w:p w:rsidR="00D6382B" w:rsidRDefault="00ED315C" w:rsidP="00D6382B">
      <w:pPr>
        <w:pStyle w:val="NormalWeb"/>
        <w:spacing w:before="0" w:beforeAutospacing="0" w:after="0" w:afterAutospacing="0" w:line="360" w:lineRule="auto"/>
        <w:ind w:left="720"/>
        <w:jc w:val="both"/>
        <w:rPr>
          <w:rFonts w:eastAsia="Calibri"/>
          <w:szCs w:val="22"/>
        </w:rPr>
      </w:pPr>
      <w:r w:rsidRPr="00D6382B">
        <w:rPr>
          <w:rFonts w:eastAsia="Calibri"/>
          <w:b/>
          <w:szCs w:val="22"/>
        </w:rPr>
        <w:t>RESPONSE:</w:t>
      </w:r>
      <w:r w:rsidRPr="00D6382B">
        <w:rPr>
          <w:rFonts w:eastAsia="Calibri"/>
          <w:szCs w:val="22"/>
        </w:rPr>
        <w:t xml:space="preserve">  </w:t>
      </w:r>
      <w:r w:rsidR="00D6382B" w:rsidRPr="00D6382B">
        <w:rPr>
          <w:rFonts w:eastAsia="Calibri"/>
          <w:szCs w:val="22"/>
        </w:rPr>
        <w:t xml:space="preserve">To the extent that the Commission changes the avoided cost methodology for certain types of renewable resources, the guiding principle should be to ensure that the avoided cost rate is just and reasonable and does not exceed actual avoided cost.  Developers of QFs using certain technologies, most notably wind QFs, have taken advantage of published avoided cost rates by disaggregating large projects into smaller projects.  Some states have attempted to adopt certain criteria, such as enhanced separation requirements and ownership restrictions, to prevent such disaggregation.  Most </w:t>
      </w:r>
      <w:r w:rsidR="00D6382B" w:rsidRPr="00D6382B">
        <w:rPr>
          <w:rFonts w:eastAsia="Calibri"/>
          <w:szCs w:val="22"/>
        </w:rPr>
        <w:lastRenderedPageBreak/>
        <w:t>recently, the Idaho Public Utilities Commission (“IPUC”) considered adopting factors to prevent disaggregation.  Ultimately, the IPUC found that attempting to prevent disaggregation without addressing the avoided cost rate was not practical.  Order No. 32262 (issued in GNR-E-11-01 on June 8, 2011).</w:t>
      </w:r>
    </w:p>
    <w:p w:rsidR="00881F42" w:rsidRDefault="00881F42" w:rsidP="00D6382B">
      <w:pPr>
        <w:pStyle w:val="NormalWeb"/>
        <w:spacing w:before="0" w:beforeAutospacing="0" w:after="0" w:afterAutospacing="0" w:line="360" w:lineRule="auto"/>
        <w:ind w:left="720"/>
        <w:jc w:val="both"/>
        <w:rPr>
          <w:rFonts w:eastAsia="Calibri"/>
          <w:szCs w:val="22"/>
        </w:rPr>
      </w:pPr>
    </w:p>
    <w:p w:rsidR="00D6382B" w:rsidRPr="00D6382B" w:rsidRDefault="00D6382B" w:rsidP="00A53691">
      <w:pPr>
        <w:pStyle w:val="NormalWeb"/>
        <w:spacing w:before="0" w:beforeAutospacing="0" w:after="0" w:afterAutospacing="0" w:line="360" w:lineRule="auto"/>
        <w:ind w:left="720"/>
        <w:jc w:val="both"/>
        <w:rPr>
          <w:rFonts w:eastAsia="Calibri"/>
          <w:szCs w:val="22"/>
        </w:rPr>
      </w:pPr>
      <w:r w:rsidRPr="00D6382B">
        <w:rPr>
          <w:rFonts w:eastAsia="Calibri"/>
          <w:szCs w:val="22"/>
        </w:rPr>
        <w:t xml:space="preserve">It is </w:t>
      </w:r>
      <w:r w:rsidR="00A53691">
        <w:rPr>
          <w:rFonts w:eastAsia="Calibri"/>
          <w:szCs w:val="22"/>
        </w:rPr>
        <w:t>the Company’s</w:t>
      </w:r>
      <w:r w:rsidRPr="00D6382B">
        <w:rPr>
          <w:rFonts w:eastAsia="Calibri"/>
          <w:szCs w:val="22"/>
        </w:rPr>
        <w:t xml:space="preserve"> understanding that there is some precedent for imposing a cap.  With regard to a carve out for certain technologies, it is permissible to treat different resources differently under PURPA.  See 18 C.F.R. § 292.304(c)(3)(ii) (stating that the published avoided cost rate can differentiate between different technologies).  For example, the IPUC recently imposed a different published avoided cost rate eligibility cap for solar and wind resources (100 kW) in order to prevent developers from disaggregating such resources to take advantage of published avoided cost rates.  See Order No. 32262 (issued in GNR-E-11-01 on June 8, 2011).  That said, any such carve out is subject to the requirement that the rate paid by the electric utility is just and reasonable to the ratepayers of the utility, in the public interest, does not discriminate against </w:t>
      </w:r>
      <w:r w:rsidR="00D1394F" w:rsidRPr="00D6382B">
        <w:rPr>
          <w:rFonts w:eastAsia="Calibri"/>
          <w:szCs w:val="22"/>
        </w:rPr>
        <w:t>co-generators</w:t>
      </w:r>
      <w:r w:rsidRPr="00D6382B">
        <w:rPr>
          <w:rFonts w:eastAsia="Calibri"/>
          <w:szCs w:val="22"/>
        </w:rPr>
        <w:t xml:space="preserve"> or small power producers, and does not exceed the electric utility’s avoided costs.          </w:t>
      </w:r>
    </w:p>
    <w:p w:rsidR="00185999" w:rsidRDefault="00185999" w:rsidP="004B0C88">
      <w:pPr>
        <w:spacing w:after="0" w:line="360" w:lineRule="auto"/>
        <w:ind w:left="720"/>
        <w:rPr>
          <w:rFonts w:ascii="Times New Roman" w:hAnsi="Times New Roman"/>
          <w:sz w:val="24"/>
          <w:szCs w:val="24"/>
        </w:rPr>
      </w:pPr>
    </w:p>
    <w:p w:rsidR="00185999" w:rsidRDefault="00185999" w:rsidP="00B918EA">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t>Other policy incentives, both at the state and federal level, already exist for certain types of renewable resources, such as federal grants and state or federal tax benefits.  How should these incentives be considered in to the calculation of avoided cost?</w:t>
      </w:r>
    </w:p>
    <w:p w:rsidR="00561EE5" w:rsidRPr="00561EE5" w:rsidRDefault="00561EE5" w:rsidP="00B918EA">
      <w:pPr>
        <w:spacing w:after="0" w:line="360" w:lineRule="auto"/>
        <w:ind w:left="360"/>
        <w:jc w:val="both"/>
        <w:rPr>
          <w:rFonts w:ascii="Times New Roman" w:hAnsi="Times New Roman"/>
          <w:sz w:val="24"/>
          <w:szCs w:val="24"/>
        </w:rPr>
      </w:pPr>
    </w:p>
    <w:p w:rsidR="00D6382B" w:rsidRPr="00D6382B" w:rsidRDefault="00ED315C" w:rsidP="00B918EA">
      <w:pPr>
        <w:pStyle w:val="NormalWeb"/>
        <w:spacing w:before="0" w:beforeAutospacing="0" w:after="0" w:afterAutospacing="0" w:line="360" w:lineRule="auto"/>
        <w:ind w:left="720"/>
        <w:jc w:val="both"/>
        <w:rPr>
          <w:rFonts w:eastAsia="Calibri"/>
          <w:szCs w:val="22"/>
        </w:rPr>
      </w:pPr>
      <w:r w:rsidRPr="00D6382B">
        <w:rPr>
          <w:rFonts w:eastAsia="Calibri"/>
          <w:b/>
          <w:szCs w:val="22"/>
        </w:rPr>
        <w:t>RESPONSE:</w:t>
      </w:r>
      <w:r w:rsidRPr="00D6382B">
        <w:rPr>
          <w:rFonts w:eastAsia="Calibri"/>
          <w:szCs w:val="22"/>
        </w:rPr>
        <w:t xml:space="preserve">  </w:t>
      </w:r>
      <w:r w:rsidR="00D6382B" w:rsidRPr="00D6382B">
        <w:rPr>
          <w:rFonts w:eastAsia="Calibri"/>
          <w:szCs w:val="22"/>
        </w:rPr>
        <w:t>The avoided cost rate is the incremental cost to the utility of alternative electric energy.  Therefore, if the alternative to purchasing the output of a QF is for the utility to develop and own a similar facility, all incentives available to the QF should be considered in setting the avoided cost rate.  For example, if a QF produces RECs, the value of those RECs should be considered when establishing the avoided cost rate for such facility because,</w:t>
      </w:r>
      <w:r w:rsidR="00B918EA">
        <w:rPr>
          <w:rFonts w:eastAsia="Calibri"/>
          <w:szCs w:val="22"/>
        </w:rPr>
        <w:t xml:space="preserve"> if the utility were to develop</w:t>
      </w:r>
      <w:r w:rsidR="00D6382B" w:rsidRPr="00D6382B">
        <w:rPr>
          <w:rFonts w:eastAsia="Calibri"/>
          <w:szCs w:val="22"/>
        </w:rPr>
        <w:t xml:space="preserve"> and own a similar facility it would own the RECs associated with that facility.    </w:t>
      </w:r>
    </w:p>
    <w:p w:rsidR="00185999" w:rsidRDefault="00185999" w:rsidP="00B918EA">
      <w:pPr>
        <w:spacing w:after="0" w:line="360" w:lineRule="auto"/>
        <w:ind w:left="720"/>
        <w:jc w:val="both"/>
        <w:rPr>
          <w:rFonts w:ascii="Times New Roman" w:hAnsi="Times New Roman"/>
          <w:sz w:val="24"/>
          <w:szCs w:val="24"/>
        </w:rPr>
      </w:pPr>
    </w:p>
    <w:p w:rsidR="00185999" w:rsidRDefault="00185999" w:rsidP="00B918EA">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lastRenderedPageBreak/>
        <w:t>For both capacity and energy, how does the current cost of building distributed energy technology compare with other available resources?</w:t>
      </w:r>
    </w:p>
    <w:p w:rsidR="00ED315C" w:rsidRPr="00C4686F" w:rsidRDefault="00ED315C" w:rsidP="004B0C88">
      <w:pPr>
        <w:pStyle w:val="ListParagraph"/>
        <w:spacing w:after="0" w:line="360" w:lineRule="auto"/>
        <w:rPr>
          <w:rFonts w:ascii="Times New Roman" w:hAnsi="Times New Roman"/>
          <w:sz w:val="24"/>
          <w:szCs w:val="24"/>
        </w:rPr>
      </w:pPr>
    </w:p>
    <w:p w:rsidR="00ED315C" w:rsidRPr="00ED315C" w:rsidRDefault="00ED315C" w:rsidP="004B0C88">
      <w:pPr>
        <w:pStyle w:val="ListParagraph"/>
        <w:spacing w:after="0" w:line="360" w:lineRule="auto"/>
        <w:jc w:val="both"/>
        <w:rPr>
          <w:rFonts w:ascii="Times New Roman" w:hAnsi="Times New Roman"/>
          <w:sz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Pr="00ED315C">
        <w:rPr>
          <w:rFonts w:ascii="Times New Roman" w:hAnsi="Times New Roman"/>
          <w:sz w:val="24"/>
        </w:rPr>
        <w:t xml:space="preserve">Avista’s 2009 </w:t>
      </w:r>
      <w:r w:rsidR="00B918EA">
        <w:rPr>
          <w:rFonts w:ascii="Times New Roman" w:hAnsi="Times New Roman"/>
          <w:sz w:val="24"/>
        </w:rPr>
        <w:t xml:space="preserve">electric </w:t>
      </w:r>
      <w:r w:rsidRPr="00ED315C">
        <w:rPr>
          <w:rFonts w:ascii="Times New Roman" w:hAnsi="Times New Roman"/>
          <w:sz w:val="24"/>
        </w:rPr>
        <w:t xml:space="preserve">IRP reviewed the cost of distributed generation for wind, solar, wave, and hydrokinetics. Each of these resources </w:t>
      </w:r>
      <w:r w:rsidR="00D1394F" w:rsidRPr="00ED315C">
        <w:rPr>
          <w:rFonts w:ascii="Times New Roman" w:hAnsi="Times New Roman"/>
          <w:sz w:val="24"/>
        </w:rPr>
        <w:t>was</w:t>
      </w:r>
      <w:r w:rsidRPr="00ED315C">
        <w:rPr>
          <w:rFonts w:ascii="Times New Roman" w:hAnsi="Times New Roman"/>
          <w:sz w:val="24"/>
        </w:rPr>
        <w:t xml:space="preserve"> found to be more costly than traditional resources and </w:t>
      </w:r>
      <w:r w:rsidR="00D1394F" w:rsidRPr="00ED315C">
        <w:rPr>
          <w:rFonts w:ascii="Times New Roman" w:hAnsi="Times New Roman"/>
          <w:sz w:val="24"/>
        </w:rPr>
        <w:t>was</w:t>
      </w:r>
      <w:r w:rsidRPr="00ED315C">
        <w:rPr>
          <w:rFonts w:ascii="Times New Roman" w:hAnsi="Times New Roman"/>
          <w:sz w:val="24"/>
        </w:rPr>
        <w:t xml:space="preserve"> not selected </w:t>
      </w:r>
      <w:r w:rsidR="00B918EA">
        <w:rPr>
          <w:rFonts w:ascii="Times New Roman" w:hAnsi="Times New Roman"/>
          <w:sz w:val="24"/>
        </w:rPr>
        <w:t xml:space="preserve">in </w:t>
      </w:r>
      <w:r w:rsidRPr="00ED315C">
        <w:rPr>
          <w:rFonts w:ascii="Times New Roman" w:hAnsi="Times New Roman"/>
          <w:sz w:val="24"/>
        </w:rPr>
        <w:t xml:space="preserve">Avista’s Preferred Resource Strategy. The only distributed generation resources likely to be cost competitive are landfill gas, manure/solid waste digesters and co-generation. The limited </w:t>
      </w:r>
      <w:r w:rsidR="00B35AF3">
        <w:rPr>
          <w:rFonts w:ascii="Times New Roman" w:hAnsi="Times New Roman"/>
          <w:sz w:val="24"/>
        </w:rPr>
        <w:t>number</w:t>
      </w:r>
      <w:r w:rsidR="00502988">
        <w:rPr>
          <w:rFonts w:ascii="Times New Roman" w:hAnsi="Times New Roman"/>
          <w:sz w:val="24"/>
        </w:rPr>
        <w:t>s</w:t>
      </w:r>
      <w:r w:rsidRPr="00ED315C">
        <w:rPr>
          <w:rFonts w:ascii="Times New Roman" w:hAnsi="Times New Roman"/>
          <w:sz w:val="24"/>
        </w:rPr>
        <w:t xml:space="preserve"> of these projects are indicative of the market</w:t>
      </w:r>
      <w:r w:rsidR="00502988">
        <w:rPr>
          <w:rFonts w:ascii="Times New Roman" w:hAnsi="Times New Roman"/>
          <w:sz w:val="24"/>
        </w:rPr>
        <w:t xml:space="preserve"> not being able to support them</w:t>
      </w:r>
      <w:r w:rsidRPr="00ED315C">
        <w:rPr>
          <w:rFonts w:ascii="Times New Roman" w:hAnsi="Times New Roman"/>
          <w:sz w:val="24"/>
        </w:rPr>
        <w:t xml:space="preserve">. No distributed generation resources were successful in any Avista renewable requests for proposals. If the cost of distributed generation becomes cost effective as technology improves and costs decrease as manufacturing scale increases, the market will start to support increased construction of these types of resources by utilities or by third-parties. </w:t>
      </w:r>
    </w:p>
    <w:p w:rsidR="001833BA" w:rsidRDefault="001833BA" w:rsidP="004B0C88">
      <w:pPr>
        <w:pStyle w:val="ListParagraph"/>
        <w:spacing w:after="0" w:line="360" w:lineRule="auto"/>
        <w:rPr>
          <w:rFonts w:ascii="Times New Roman" w:hAnsi="Times New Roman"/>
          <w:sz w:val="24"/>
          <w:szCs w:val="24"/>
        </w:rPr>
      </w:pPr>
    </w:p>
    <w:p w:rsidR="00185999" w:rsidRDefault="00185999" w:rsidP="00EA0430">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t>What marginal costs are associated with the interconnection requirements for the connection of distributed energy systems? Are those costs material, and how should the costs be recovered (socialized or born by customer-owners of distributed resources)?</w:t>
      </w:r>
    </w:p>
    <w:p w:rsidR="00561EE5" w:rsidRPr="00C4686F" w:rsidRDefault="00561EE5" w:rsidP="00EA0430">
      <w:pPr>
        <w:pStyle w:val="ListParagraph"/>
        <w:spacing w:after="0" w:line="360" w:lineRule="auto"/>
        <w:jc w:val="both"/>
        <w:rPr>
          <w:rFonts w:ascii="Times New Roman" w:hAnsi="Times New Roman"/>
          <w:sz w:val="24"/>
          <w:szCs w:val="24"/>
        </w:rPr>
      </w:pPr>
    </w:p>
    <w:p w:rsidR="006F2EB0" w:rsidRPr="00656861" w:rsidRDefault="00ED315C" w:rsidP="006F2EB0">
      <w:pPr>
        <w:pStyle w:val="ListParagraph"/>
        <w:spacing w:after="0" w:line="360" w:lineRule="auto"/>
        <w:jc w:val="both"/>
        <w:rPr>
          <w:rFonts w:ascii="Times New Roman" w:hAnsi="Times New Roman"/>
          <w:sz w:val="24"/>
          <w:szCs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006F2EB0" w:rsidRPr="00F4671A">
        <w:rPr>
          <w:rFonts w:ascii="Times New Roman" w:hAnsi="Times New Roman"/>
          <w:sz w:val="24"/>
          <w:szCs w:val="24"/>
        </w:rPr>
        <w:t>The costs associated with interconnect</w:t>
      </w:r>
      <w:r w:rsidR="00B22563">
        <w:rPr>
          <w:rFonts w:ascii="Times New Roman" w:hAnsi="Times New Roman"/>
          <w:sz w:val="24"/>
          <w:szCs w:val="24"/>
        </w:rPr>
        <w:t>ing</w:t>
      </w:r>
      <w:r w:rsidR="006F2EB0" w:rsidRPr="00F4671A">
        <w:rPr>
          <w:rFonts w:ascii="Times New Roman" w:hAnsi="Times New Roman"/>
          <w:sz w:val="24"/>
          <w:szCs w:val="24"/>
        </w:rPr>
        <w:t xml:space="preserve"> distributed generation var</w:t>
      </w:r>
      <w:r w:rsidR="00B22563">
        <w:rPr>
          <w:rFonts w:ascii="Times New Roman" w:hAnsi="Times New Roman"/>
          <w:sz w:val="24"/>
          <w:szCs w:val="24"/>
        </w:rPr>
        <w:t>y</w:t>
      </w:r>
      <w:r w:rsidR="006F2EB0" w:rsidRPr="00F4671A">
        <w:rPr>
          <w:rFonts w:ascii="Times New Roman" w:hAnsi="Times New Roman"/>
          <w:sz w:val="24"/>
          <w:szCs w:val="24"/>
        </w:rPr>
        <w:t xml:space="preserve"> with each system.  At </w:t>
      </w:r>
      <w:r w:rsidR="00B22563">
        <w:rPr>
          <w:rFonts w:ascii="Times New Roman" w:hAnsi="Times New Roman"/>
          <w:sz w:val="24"/>
          <w:szCs w:val="24"/>
        </w:rPr>
        <w:t xml:space="preserve">a </w:t>
      </w:r>
      <w:r w:rsidR="006F2EB0" w:rsidRPr="00F4671A">
        <w:rPr>
          <w:rFonts w:ascii="Times New Roman" w:hAnsi="Times New Roman"/>
          <w:sz w:val="24"/>
          <w:szCs w:val="24"/>
        </w:rPr>
        <w:t xml:space="preserve">minimum </w:t>
      </w:r>
      <w:r w:rsidR="00B22563">
        <w:rPr>
          <w:rFonts w:ascii="Times New Roman" w:hAnsi="Times New Roman"/>
          <w:sz w:val="24"/>
          <w:szCs w:val="24"/>
        </w:rPr>
        <w:t xml:space="preserve">the </w:t>
      </w:r>
      <w:r w:rsidR="006F2EB0" w:rsidRPr="00F4671A">
        <w:rPr>
          <w:rFonts w:ascii="Times New Roman" w:hAnsi="Times New Roman"/>
          <w:sz w:val="24"/>
          <w:szCs w:val="24"/>
        </w:rPr>
        <w:t xml:space="preserve">cost </w:t>
      </w:r>
      <w:r w:rsidR="00B22563">
        <w:rPr>
          <w:rFonts w:ascii="Times New Roman" w:hAnsi="Times New Roman"/>
          <w:sz w:val="24"/>
          <w:szCs w:val="24"/>
        </w:rPr>
        <w:t xml:space="preserve">is </w:t>
      </w:r>
      <w:r w:rsidR="006F2EB0" w:rsidRPr="00F4671A">
        <w:rPr>
          <w:rFonts w:ascii="Times New Roman" w:hAnsi="Times New Roman"/>
          <w:sz w:val="24"/>
          <w:szCs w:val="24"/>
        </w:rPr>
        <w:t>a production meter</w:t>
      </w:r>
      <w:r w:rsidR="00B22563">
        <w:rPr>
          <w:rFonts w:ascii="Times New Roman" w:hAnsi="Times New Roman"/>
          <w:sz w:val="24"/>
          <w:szCs w:val="24"/>
        </w:rPr>
        <w:t>;</w:t>
      </w:r>
      <w:r w:rsidR="006F2EB0" w:rsidRPr="00F4671A">
        <w:rPr>
          <w:rFonts w:ascii="Times New Roman" w:hAnsi="Times New Roman"/>
          <w:sz w:val="24"/>
          <w:szCs w:val="24"/>
        </w:rPr>
        <w:t xml:space="preserve"> at maximum </w:t>
      </w:r>
      <w:r w:rsidR="00B22563">
        <w:rPr>
          <w:rFonts w:ascii="Times New Roman" w:hAnsi="Times New Roman"/>
          <w:sz w:val="24"/>
          <w:szCs w:val="24"/>
        </w:rPr>
        <w:t xml:space="preserve">the cost is </w:t>
      </w:r>
      <w:r w:rsidR="006F2EB0" w:rsidRPr="00F4671A">
        <w:rPr>
          <w:rFonts w:ascii="Times New Roman" w:hAnsi="Times New Roman"/>
          <w:sz w:val="24"/>
          <w:szCs w:val="24"/>
        </w:rPr>
        <w:t xml:space="preserve">a dedicated feeder </w:t>
      </w:r>
      <w:r w:rsidR="00B22563">
        <w:rPr>
          <w:rFonts w:ascii="Times New Roman" w:hAnsi="Times New Roman"/>
          <w:sz w:val="24"/>
          <w:szCs w:val="24"/>
        </w:rPr>
        <w:t xml:space="preserve">and ancillary equipment </w:t>
      </w:r>
      <w:r w:rsidR="006F2EB0" w:rsidRPr="00F4671A">
        <w:rPr>
          <w:rFonts w:ascii="Times New Roman" w:hAnsi="Times New Roman"/>
          <w:sz w:val="24"/>
          <w:szCs w:val="24"/>
        </w:rPr>
        <w:t xml:space="preserve">to </w:t>
      </w:r>
      <w:r w:rsidR="00B22563">
        <w:rPr>
          <w:rFonts w:ascii="Times New Roman" w:hAnsi="Times New Roman"/>
          <w:sz w:val="24"/>
          <w:szCs w:val="24"/>
        </w:rPr>
        <w:t xml:space="preserve">integrate </w:t>
      </w:r>
      <w:r w:rsidR="006F2EB0" w:rsidRPr="00F4671A">
        <w:rPr>
          <w:rFonts w:ascii="Times New Roman" w:hAnsi="Times New Roman"/>
          <w:sz w:val="24"/>
          <w:szCs w:val="24"/>
        </w:rPr>
        <w:t xml:space="preserve">the generation resource.  </w:t>
      </w:r>
      <w:r w:rsidR="006F2EB0" w:rsidRPr="00656861">
        <w:rPr>
          <w:rFonts w:ascii="Times New Roman" w:hAnsi="Times New Roman"/>
          <w:sz w:val="24"/>
          <w:szCs w:val="24"/>
        </w:rPr>
        <w:t xml:space="preserve">These costs </w:t>
      </w:r>
      <w:r w:rsidR="00B22563">
        <w:rPr>
          <w:rFonts w:ascii="Times New Roman" w:hAnsi="Times New Roman"/>
          <w:sz w:val="24"/>
          <w:szCs w:val="24"/>
        </w:rPr>
        <w:t xml:space="preserve">presently are and </w:t>
      </w:r>
      <w:r w:rsidR="006F2EB0" w:rsidRPr="00656861">
        <w:rPr>
          <w:rFonts w:ascii="Times New Roman" w:hAnsi="Times New Roman"/>
          <w:sz w:val="24"/>
          <w:szCs w:val="24"/>
        </w:rPr>
        <w:t xml:space="preserve">should </w:t>
      </w:r>
      <w:r w:rsidR="00B22563">
        <w:rPr>
          <w:rFonts w:ascii="Times New Roman" w:hAnsi="Times New Roman"/>
          <w:sz w:val="24"/>
          <w:szCs w:val="24"/>
        </w:rPr>
        <w:t xml:space="preserve">continue to </w:t>
      </w:r>
      <w:r w:rsidR="006F2EB0" w:rsidRPr="00656861">
        <w:rPr>
          <w:rFonts w:ascii="Times New Roman" w:hAnsi="Times New Roman"/>
          <w:sz w:val="24"/>
          <w:szCs w:val="24"/>
        </w:rPr>
        <w:t>be paid for by the customer-owners of distri</w:t>
      </w:r>
      <w:r w:rsidR="00B35AF3">
        <w:rPr>
          <w:rFonts w:ascii="Times New Roman" w:hAnsi="Times New Roman"/>
          <w:sz w:val="24"/>
          <w:szCs w:val="24"/>
        </w:rPr>
        <w:t>buted resources</w:t>
      </w:r>
      <w:r w:rsidR="006F2EB0" w:rsidRPr="00656861">
        <w:rPr>
          <w:rFonts w:ascii="Times New Roman" w:hAnsi="Times New Roman"/>
          <w:sz w:val="24"/>
          <w:szCs w:val="24"/>
        </w:rPr>
        <w:t>.</w:t>
      </w:r>
      <w:r w:rsidR="00F4671A">
        <w:rPr>
          <w:rFonts w:ascii="Times New Roman" w:hAnsi="Times New Roman"/>
          <w:sz w:val="24"/>
          <w:szCs w:val="24"/>
        </w:rPr>
        <w:t xml:space="preserve"> </w:t>
      </w:r>
    </w:p>
    <w:p w:rsidR="00561EE5" w:rsidRPr="00C4686F" w:rsidRDefault="00561EE5" w:rsidP="004B0C88">
      <w:pPr>
        <w:spacing w:after="0" w:line="360" w:lineRule="auto"/>
        <w:ind w:left="720"/>
        <w:rPr>
          <w:rFonts w:ascii="Times New Roman" w:hAnsi="Times New Roman"/>
          <w:sz w:val="24"/>
          <w:szCs w:val="24"/>
        </w:rPr>
      </w:pPr>
    </w:p>
    <w:p w:rsidR="00185999" w:rsidRDefault="00185999" w:rsidP="00EA0430">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t>Should the current statutory restrictions on the size of distributed energy resources be changed?  If so, please explain the reasons for the suggested change.</w:t>
      </w:r>
    </w:p>
    <w:p w:rsidR="00561EE5" w:rsidRPr="00C4686F" w:rsidRDefault="00561EE5" w:rsidP="00561EE5">
      <w:pPr>
        <w:pStyle w:val="ListParagraph"/>
        <w:spacing w:after="0" w:line="360" w:lineRule="auto"/>
        <w:rPr>
          <w:rFonts w:ascii="Times New Roman" w:hAnsi="Times New Roman"/>
          <w:sz w:val="24"/>
          <w:szCs w:val="24"/>
        </w:rPr>
      </w:pPr>
    </w:p>
    <w:p w:rsidR="006F2EB0" w:rsidRPr="00656861" w:rsidRDefault="00ED315C" w:rsidP="006F2EB0">
      <w:pPr>
        <w:pStyle w:val="ListParagraph"/>
        <w:spacing w:after="0" w:line="360" w:lineRule="auto"/>
        <w:jc w:val="both"/>
        <w:rPr>
          <w:rFonts w:ascii="Times New Roman" w:hAnsi="Times New Roman"/>
          <w:sz w:val="24"/>
          <w:szCs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00BD7BF4">
        <w:rPr>
          <w:rFonts w:ascii="Times New Roman" w:hAnsi="Times New Roman"/>
          <w:sz w:val="24"/>
          <w:szCs w:val="24"/>
        </w:rPr>
        <w:t xml:space="preserve">In 2011 an Avista internal </w:t>
      </w:r>
      <w:r w:rsidR="00B22563">
        <w:rPr>
          <w:rFonts w:ascii="Times New Roman" w:hAnsi="Times New Roman"/>
          <w:sz w:val="24"/>
          <w:szCs w:val="24"/>
        </w:rPr>
        <w:t xml:space="preserve">distribution system </w:t>
      </w:r>
      <w:r w:rsidR="00BD7BF4">
        <w:rPr>
          <w:rFonts w:ascii="Times New Roman" w:hAnsi="Times New Roman"/>
          <w:sz w:val="24"/>
          <w:szCs w:val="24"/>
        </w:rPr>
        <w:t xml:space="preserve">study confirmed the broad conclusions of an </w:t>
      </w:r>
      <w:r w:rsidR="00B22563">
        <w:rPr>
          <w:rFonts w:ascii="Times New Roman" w:hAnsi="Times New Roman"/>
          <w:sz w:val="24"/>
          <w:szCs w:val="24"/>
        </w:rPr>
        <w:t xml:space="preserve">earlier 2001 </w:t>
      </w:r>
      <w:r w:rsidR="00BD7BF4">
        <w:rPr>
          <w:rFonts w:ascii="Times New Roman" w:hAnsi="Times New Roman"/>
          <w:sz w:val="24"/>
          <w:szCs w:val="24"/>
        </w:rPr>
        <w:t xml:space="preserve">EPRI study.  Based on this information, Avista believes that interconnected resources exceeding 5% of light load-hour demand on any </w:t>
      </w:r>
      <w:r w:rsidR="00BD7BF4">
        <w:rPr>
          <w:rFonts w:ascii="Times New Roman" w:hAnsi="Times New Roman"/>
          <w:sz w:val="24"/>
          <w:szCs w:val="24"/>
        </w:rPr>
        <w:lastRenderedPageBreak/>
        <w:t xml:space="preserve">distribution feeder </w:t>
      </w:r>
      <w:r w:rsidR="00B22563">
        <w:rPr>
          <w:rFonts w:ascii="Times New Roman" w:hAnsi="Times New Roman"/>
          <w:sz w:val="24"/>
          <w:szCs w:val="24"/>
        </w:rPr>
        <w:t xml:space="preserve">should </w:t>
      </w:r>
      <w:r w:rsidR="00BD7BF4">
        <w:rPr>
          <w:rFonts w:ascii="Times New Roman" w:hAnsi="Times New Roman"/>
          <w:sz w:val="24"/>
          <w:szCs w:val="24"/>
        </w:rPr>
        <w:t>be evaluated on a case-by-case basis, with the resource owner being responsible for any facility upgrades necessary to maintain system reliability.</w:t>
      </w:r>
    </w:p>
    <w:p w:rsidR="00561EE5" w:rsidRPr="00C4686F" w:rsidRDefault="00561EE5" w:rsidP="004B0C88">
      <w:pPr>
        <w:spacing w:after="0" w:line="360" w:lineRule="auto"/>
        <w:ind w:left="720"/>
        <w:rPr>
          <w:rFonts w:ascii="Times New Roman" w:hAnsi="Times New Roman"/>
          <w:sz w:val="24"/>
          <w:szCs w:val="24"/>
        </w:rPr>
      </w:pPr>
    </w:p>
    <w:p w:rsidR="00185999" w:rsidRDefault="00185999" w:rsidP="00EA0430">
      <w:pPr>
        <w:pStyle w:val="ListParagraph"/>
        <w:numPr>
          <w:ilvl w:val="0"/>
          <w:numId w:val="23"/>
        </w:numPr>
        <w:spacing w:after="0" w:line="360" w:lineRule="auto"/>
        <w:jc w:val="both"/>
        <w:rPr>
          <w:rFonts w:ascii="Times New Roman" w:hAnsi="Times New Roman"/>
          <w:sz w:val="24"/>
          <w:szCs w:val="24"/>
        </w:rPr>
      </w:pPr>
      <w:r w:rsidRPr="0006200B">
        <w:rPr>
          <w:rFonts w:ascii="Times New Roman" w:hAnsi="Times New Roman"/>
          <w:sz w:val="24"/>
          <w:szCs w:val="24"/>
        </w:rPr>
        <w:t>Can each distributed energy resource be used to support emergency management practices in addition to electricity generation</w:t>
      </w:r>
      <w:r w:rsidRPr="0067448F">
        <w:rPr>
          <w:rFonts w:ascii="Times New Roman" w:hAnsi="Times New Roman"/>
          <w:sz w:val="24"/>
          <w:szCs w:val="24"/>
        </w:rPr>
        <w:t xml:space="preserve">? </w:t>
      </w:r>
    </w:p>
    <w:p w:rsidR="00561EE5" w:rsidRPr="0067448F" w:rsidRDefault="00561EE5" w:rsidP="00EA0430">
      <w:pPr>
        <w:pStyle w:val="ListParagraph"/>
        <w:spacing w:after="0" w:line="360" w:lineRule="auto"/>
        <w:jc w:val="both"/>
        <w:rPr>
          <w:rFonts w:ascii="Times New Roman" w:hAnsi="Times New Roman"/>
          <w:sz w:val="24"/>
          <w:szCs w:val="24"/>
        </w:rPr>
      </w:pPr>
    </w:p>
    <w:p w:rsidR="00C1417C" w:rsidRDefault="00ED315C" w:rsidP="00EA0430">
      <w:pPr>
        <w:spacing w:after="0" w:line="360" w:lineRule="auto"/>
        <w:ind w:left="720"/>
        <w:jc w:val="both"/>
        <w:rPr>
          <w:rFonts w:ascii="Times New Roman" w:hAnsi="Times New Roman"/>
          <w:sz w:val="24"/>
          <w:szCs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00EA0430">
        <w:rPr>
          <w:rFonts w:ascii="Times New Roman" w:hAnsi="Times New Roman"/>
          <w:sz w:val="24"/>
          <w:szCs w:val="24"/>
        </w:rPr>
        <w:t xml:space="preserve">No. </w:t>
      </w:r>
      <w:r w:rsidR="00C1417C">
        <w:rPr>
          <w:rFonts w:ascii="Times New Roman" w:hAnsi="Times New Roman"/>
          <w:sz w:val="24"/>
          <w:szCs w:val="24"/>
        </w:rPr>
        <w:t>Distributed energy resources do not provide viable support for emergency management practices</w:t>
      </w:r>
      <w:r w:rsidR="00BF29CD">
        <w:rPr>
          <w:rFonts w:ascii="Times New Roman" w:hAnsi="Times New Roman"/>
          <w:sz w:val="24"/>
          <w:szCs w:val="24"/>
        </w:rPr>
        <w:t xml:space="preserve"> because</w:t>
      </w:r>
      <w:r w:rsidR="00DE3A86">
        <w:rPr>
          <w:rFonts w:ascii="Times New Roman" w:hAnsi="Times New Roman"/>
          <w:sz w:val="24"/>
          <w:szCs w:val="24"/>
        </w:rPr>
        <w:t xml:space="preserve"> </w:t>
      </w:r>
      <w:r w:rsidR="00C1417C">
        <w:rPr>
          <w:rFonts w:ascii="Times New Roman" w:hAnsi="Times New Roman"/>
          <w:sz w:val="24"/>
          <w:szCs w:val="24"/>
        </w:rPr>
        <w:t xml:space="preserve">the Company does not have control over the distributed energy resource </w:t>
      </w:r>
      <w:r w:rsidR="00DE3A86">
        <w:rPr>
          <w:rFonts w:ascii="Times New Roman" w:hAnsi="Times New Roman"/>
          <w:sz w:val="24"/>
          <w:szCs w:val="24"/>
        </w:rPr>
        <w:t xml:space="preserve">and is </w:t>
      </w:r>
      <w:r w:rsidR="00BD7BF4">
        <w:rPr>
          <w:rFonts w:ascii="Times New Roman" w:hAnsi="Times New Roman"/>
          <w:sz w:val="24"/>
          <w:szCs w:val="24"/>
        </w:rPr>
        <w:t xml:space="preserve">therefore </w:t>
      </w:r>
      <w:r w:rsidR="00DE3A86">
        <w:rPr>
          <w:rFonts w:ascii="Times New Roman" w:hAnsi="Times New Roman"/>
          <w:sz w:val="24"/>
          <w:szCs w:val="24"/>
        </w:rPr>
        <w:t>unable to</w:t>
      </w:r>
      <w:r w:rsidR="00C1417C">
        <w:rPr>
          <w:rFonts w:ascii="Times New Roman" w:hAnsi="Times New Roman"/>
          <w:sz w:val="24"/>
          <w:szCs w:val="24"/>
        </w:rPr>
        <w:t xml:space="preserve"> operate </w:t>
      </w:r>
      <w:r w:rsidR="00DE3A86">
        <w:rPr>
          <w:rFonts w:ascii="Times New Roman" w:hAnsi="Times New Roman"/>
          <w:sz w:val="24"/>
          <w:szCs w:val="24"/>
        </w:rPr>
        <w:t>the facilities</w:t>
      </w:r>
      <w:r w:rsidR="00C1417C">
        <w:rPr>
          <w:rFonts w:ascii="Times New Roman" w:hAnsi="Times New Roman"/>
          <w:sz w:val="24"/>
          <w:szCs w:val="24"/>
        </w:rPr>
        <w:t xml:space="preserve"> in a manner support</w:t>
      </w:r>
      <w:r w:rsidR="00BD7BF4">
        <w:rPr>
          <w:rFonts w:ascii="Times New Roman" w:hAnsi="Times New Roman"/>
          <w:sz w:val="24"/>
          <w:szCs w:val="24"/>
        </w:rPr>
        <w:t>ing</w:t>
      </w:r>
      <w:r w:rsidR="00C1417C">
        <w:rPr>
          <w:rFonts w:ascii="Times New Roman" w:hAnsi="Times New Roman"/>
          <w:sz w:val="24"/>
          <w:szCs w:val="24"/>
        </w:rPr>
        <w:t xml:space="preserve"> emergency management practices.</w:t>
      </w:r>
      <w:r w:rsidR="00DE3A86">
        <w:rPr>
          <w:rFonts w:ascii="Times New Roman" w:hAnsi="Times New Roman"/>
          <w:sz w:val="24"/>
          <w:szCs w:val="24"/>
        </w:rPr>
        <w:t xml:space="preserve">  </w:t>
      </w:r>
    </w:p>
    <w:p w:rsidR="00561EE5" w:rsidRPr="00C4686F" w:rsidRDefault="00561EE5" w:rsidP="00EA0430">
      <w:pPr>
        <w:spacing w:after="0" w:line="360" w:lineRule="auto"/>
        <w:ind w:left="720"/>
        <w:jc w:val="both"/>
        <w:rPr>
          <w:rFonts w:ascii="Times New Roman" w:hAnsi="Times New Roman"/>
          <w:sz w:val="24"/>
          <w:szCs w:val="24"/>
        </w:rPr>
      </w:pPr>
    </w:p>
    <w:p w:rsidR="00185999" w:rsidRDefault="00185999" w:rsidP="00EA0430">
      <w:pPr>
        <w:pStyle w:val="ListParagraph"/>
        <w:numPr>
          <w:ilvl w:val="0"/>
          <w:numId w:val="23"/>
        </w:numPr>
        <w:spacing w:after="0" w:line="360" w:lineRule="auto"/>
        <w:jc w:val="both"/>
        <w:rPr>
          <w:rFonts w:ascii="Times New Roman" w:hAnsi="Times New Roman"/>
          <w:sz w:val="24"/>
          <w:szCs w:val="24"/>
        </w:rPr>
      </w:pPr>
      <w:r w:rsidRPr="00C4686F">
        <w:rPr>
          <w:rFonts w:ascii="Times New Roman" w:hAnsi="Times New Roman"/>
          <w:sz w:val="24"/>
          <w:szCs w:val="24"/>
        </w:rPr>
        <w:t>Are there other technologies we should consider in addition to wind, solar, hydrokinetic, biomass, and biogas? If so, please identify the technology, the state of development and likelihood of adoption.</w:t>
      </w:r>
    </w:p>
    <w:p w:rsidR="00561EE5" w:rsidRPr="00C4686F" w:rsidRDefault="00561EE5" w:rsidP="00EA0430">
      <w:pPr>
        <w:pStyle w:val="ListParagraph"/>
        <w:spacing w:after="0" w:line="360" w:lineRule="auto"/>
        <w:jc w:val="both"/>
        <w:rPr>
          <w:rFonts w:ascii="Times New Roman" w:hAnsi="Times New Roman"/>
          <w:sz w:val="24"/>
          <w:szCs w:val="24"/>
        </w:rPr>
      </w:pPr>
    </w:p>
    <w:p w:rsidR="00185999" w:rsidRDefault="00ED315C" w:rsidP="00EA0430">
      <w:pPr>
        <w:spacing w:after="0" w:line="360" w:lineRule="auto"/>
        <w:ind w:left="720"/>
        <w:jc w:val="both"/>
        <w:rPr>
          <w:rFonts w:ascii="Times New Roman" w:hAnsi="Times New Roman"/>
          <w:sz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00B35AF3">
        <w:rPr>
          <w:rFonts w:ascii="Times New Roman" w:hAnsi="Times New Roman"/>
          <w:sz w:val="24"/>
        </w:rPr>
        <w:t>We are not aware of</w:t>
      </w:r>
      <w:r w:rsidR="001833BA" w:rsidRPr="001833BA">
        <w:rPr>
          <w:rFonts w:ascii="Times New Roman" w:hAnsi="Times New Roman"/>
          <w:sz w:val="24"/>
        </w:rPr>
        <w:t xml:space="preserve"> other viable technologies to consider at this time</w:t>
      </w:r>
    </w:p>
    <w:p w:rsidR="00561EE5" w:rsidRPr="00C4686F" w:rsidRDefault="00561EE5" w:rsidP="004B0C88">
      <w:pPr>
        <w:spacing w:after="0" w:line="360" w:lineRule="auto"/>
        <w:ind w:left="720"/>
        <w:rPr>
          <w:rFonts w:ascii="Times New Roman" w:hAnsi="Times New Roman"/>
          <w:sz w:val="24"/>
          <w:szCs w:val="24"/>
        </w:rPr>
      </w:pPr>
    </w:p>
    <w:p w:rsidR="00185999" w:rsidRDefault="00185999" w:rsidP="004B0C88">
      <w:pPr>
        <w:pStyle w:val="ListParagraph"/>
        <w:numPr>
          <w:ilvl w:val="0"/>
          <w:numId w:val="22"/>
        </w:numPr>
        <w:spacing w:after="0" w:line="360" w:lineRule="auto"/>
        <w:rPr>
          <w:rFonts w:ascii="Times New Roman" w:hAnsi="Times New Roman"/>
          <w:b/>
          <w:sz w:val="24"/>
          <w:szCs w:val="24"/>
        </w:rPr>
      </w:pPr>
      <w:r w:rsidRPr="00EA0430">
        <w:rPr>
          <w:rFonts w:ascii="Times New Roman" w:hAnsi="Times New Roman"/>
          <w:b/>
          <w:sz w:val="24"/>
          <w:szCs w:val="24"/>
        </w:rPr>
        <w:t>Technology-Specific Issues:</w:t>
      </w:r>
    </w:p>
    <w:p w:rsidR="00BF29CD" w:rsidRPr="00BF29CD" w:rsidRDefault="00BF29CD" w:rsidP="00BF29CD">
      <w:pPr>
        <w:spacing w:after="0" w:line="360" w:lineRule="auto"/>
        <w:ind w:left="360"/>
        <w:rPr>
          <w:rFonts w:ascii="Times New Roman" w:hAnsi="Times New Roman"/>
          <w:b/>
          <w:sz w:val="24"/>
          <w:szCs w:val="24"/>
        </w:rPr>
      </w:pPr>
    </w:p>
    <w:p w:rsidR="00185999" w:rsidRPr="00727D30" w:rsidRDefault="00185999" w:rsidP="004B0C88">
      <w:pPr>
        <w:spacing w:after="0" w:line="360" w:lineRule="auto"/>
        <w:ind w:left="720"/>
        <w:rPr>
          <w:rFonts w:ascii="Times New Roman" w:hAnsi="Times New Roman"/>
          <w:sz w:val="28"/>
          <w:szCs w:val="24"/>
        </w:rPr>
      </w:pPr>
      <w:r w:rsidRPr="00727D30">
        <w:rPr>
          <w:rFonts w:ascii="Times New Roman" w:hAnsi="Times New Roman"/>
          <w:b/>
          <w:i/>
          <w:sz w:val="28"/>
          <w:szCs w:val="24"/>
        </w:rPr>
        <w:t>Distributed Solar</w:t>
      </w:r>
    </w:p>
    <w:p w:rsidR="00185999" w:rsidRPr="00C4686F" w:rsidRDefault="00185999" w:rsidP="004B0C88">
      <w:pPr>
        <w:numPr>
          <w:ilvl w:val="0"/>
          <w:numId w:val="21"/>
        </w:numPr>
        <w:spacing w:after="0" w:line="360" w:lineRule="auto"/>
        <w:contextualSpacing/>
        <w:rPr>
          <w:rFonts w:ascii="Times New Roman" w:hAnsi="Times New Roman"/>
          <w:sz w:val="24"/>
          <w:szCs w:val="24"/>
        </w:rPr>
      </w:pPr>
      <w:r w:rsidRPr="00C4686F">
        <w:rPr>
          <w:rFonts w:ascii="Times New Roman" w:hAnsi="Times New Roman"/>
          <w:sz w:val="24"/>
          <w:szCs w:val="24"/>
        </w:rPr>
        <w:t>Not including the photovoltaic solar panels themselves, what is the cost of installation on a unit basis of solar panels in distributed energy applications?  How does this compare to the per-unit cost of installation for utility scale applications?</w:t>
      </w:r>
    </w:p>
    <w:p w:rsidR="00185999" w:rsidRDefault="00185999" w:rsidP="004B0C88">
      <w:pPr>
        <w:spacing w:after="0" w:line="360" w:lineRule="auto"/>
        <w:contextualSpacing/>
        <w:rPr>
          <w:rFonts w:ascii="Times New Roman" w:hAnsi="Times New Roman"/>
          <w:sz w:val="24"/>
          <w:szCs w:val="24"/>
        </w:rPr>
      </w:pPr>
    </w:p>
    <w:p w:rsidR="00581406" w:rsidRPr="00D44A31" w:rsidRDefault="00ED315C" w:rsidP="00D44A31">
      <w:pPr>
        <w:spacing w:after="0" w:line="360" w:lineRule="auto"/>
        <w:ind w:left="720"/>
        <w:contextualSpacing/>
        <w:jc w:val="both"/>
        <w:rPr>
          <w:rFonts w:ascii="Times New Roman" w:hAnsi="Times New Roman"/>
          <w:sz w:val="24"/>
          <w:szCs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00D44A31">
        <w:rPr>
          <w:rFonts w:ascii="Times New Roman" w:hAnsi="Times New Roman"/>
          <w:sz w:val="24"/>
          <w:szCs w:val="24"/>
        </w:rPr>
        <w:t>Our C</w:t>
      </w:r>
      <w:r w:rsidR="00502988">
        <w:rPr>
          <w:rFonts w:ascii="Times New Roman" w:hAnsi="Times New Roman"/>
          <w:sz w:val="24"/>
          <w:szCs w:val="24"/>
        </w:rPr>
        <w:t>ompany’s most recent experience</w:t>
      </w:r>
      <w:r w:rsidR="00D44A31" w:rsidRPr="00D44A31">
        <w:rPr>
          <w:rFonts w:ascii="Times New Roman" w:hAnsi="Times New Roman"/>
          <w:sz w:val="24"/>
          <w:szCs w:val="24"/>
        </w:rPr>
        <w:t xml:space="preserve"> with solar proposals </w:t>
      </w:r>
      <w:proofErr w:type="gramStart"/>
      <w:r w:rsidR="00D44A31" w:rsidRPr="00D44A31">
        <w:rPr>
          <w:rFonts w:ascii="Times New Roman" w:hAnsi="Times New Roman"/>
          <w:sz w:val="24"/>
          <w:szCs w:val="24"/>
        </w:rPr>
        <w:t>have</w:t>
      </w:r>
      <w:proofErr w:type="gramEnd"/>
      <w:r w:rsidR="00D44A31" w:rsidRPr="00D44A31">
        <w:rPr>
          <w:rFonts w:ascii="Times New Roman" w:hAnsi="Times New Roman"/>
          <w:sz w:val="24"/>
          <w:szCs w:val="24"/>
        </w:rPr>
        <w:t xml:space="preserve"> not included itemizations of </w:t>
      </w:r>
      <w:r w:rsidR="00502988">
        <w:rPr>
          <w:rFonts w:ascii="Times New Roman" w:hAnsi="Times New Roman"/>
          <w:sz w:val="24"/>
          <w:szCs w:val="24"/>
        </w:rPr>
        <w:t xml:space="preserve">the </w:t>
      </w:r>
      <w:r w:rsidR="00D44A31" w:rsidRPr="00D44A31">
        <w:rPr>
          <w:rFonts w:ascii="Times New Roman" w:hAnsi="Times New Roman"/>
          <w:sz w:val="24"/>
          <w:szCs w:val="24"/>
        </w:rPr>
        <w:t>photovoltaic module and other balance of plant costs.  Traditionally</w:t>
      </w:r>
      <w:r w:rsidR="00502988">
        <w:rPr>
          <w:rFonts w:ascii="Times New Roman" w:hAnsi="Times New Roman"/>
          <w:sz w:val="24"/>
          <w:szCs w:val="24"/>
        </w:rPr>
        <w:t>,</w:t>
      </w:r>
      <w:r w:rsidR="00D44A31" w:rsidRPr="00D44A31">
        <w:rPr>
          <w:rFonts w:ascii="Times New Roman" w:hAnsi="Times New Roman"/>
          <w:sz w:val="24"/>
          <w:szCs w:val="24"/>
        </w:rPr>
        <w:t xml:space="preserve"> an uninstalled module would account for roughly half of the total installed cost. A typical distributed solar system ranges from $4,000 to $6,000 per installed kW.  Energy production over 25 years with a capacity factor of 12 to 15% would equate to a </w:t>
      </w:r>
      <w:r w:rsidR="00502988">
        <w:rPr>
          <w:rFonts w:ascii="Times New Roman" w:hAnsi="Times New Roman"/>
          <w:sz w:val="24"/>
          <w:szCs w:val="24"/>
        </w:rPr>
        <w:t>$300 to $550/</w:t>
      </w:r>
      <w:r w:rsidR="00D44A31" w:rsidRPr="00D44A31">
        <w:rPr>
          <w:rFonts w:ascii="Times New Roman" w:hAnsi="Times New Roman"/>
          <w:sz w:val="24"/>
          <w:szCs w:val="24"/>
        </w:rPr>
        <w:t xml:space="preserve">MWh </w:t>
      </w:r>
      <w:proofErr w:type="spellStart"/>
      <w:r w:rsidR="00D44A31" w:rsidRPr="00D44A31">
        <w:rPr>
          <w:rFonts w:ascii="Times New Roman" w:hAnsi="Times New Roman"/>
          <w:sz w:val="24"/>
          <w:szCs w:val="24"/>
        </w:rPr>
        <w:t>levelized</w:t>
      </w:r>
      <w:proofErr w:type="spellEnd"/>
      <w:r w:rsidR="00D44A31" w:rsidRPr="00D44A31">
        <w:rPr>
          <w:rFonts w:ascii="Times New Roman" w:hAnsi="Times New Roman"/>
          <w:sz w:val="24"/>
          <w:szCs w:val="24"/>
        </w:rPr>
        <w:t xml:space="preserve"> energy cost.  Larger multi-MW systems may be in the </w:t>
      </w:r>
      <w:r w:rsidR="00D44A31" w:rsidRPr="00D44A31">
        <w:rPr>
          <w:rFonts w:ascii="Times New Roman" w:hAnsi="Times New Roman"/>
          <w:sz w:val="24"/>
          <w:szCs w:val="24"/>
        </w:rPr>
        <w:lastRenderedPageBreak/>
        <w:t xml:space="preserve">$2,000 to $3,000 range with </w:t>
      </w:r>
      <w:proofErr w:type="spellStart"/>
      <w:r w:rsidR="00502988">
        <w:rPr>
          <w:rFonts w:ascii="Times New Roman" w:hAnsi="Times New Roman"/>
          <w:sz w:val="24"/>
          <w:szCs w:val="24"/>
        </w:rPr>
        <w:t>levelized</w:t>
      </w:r>
      <w:proofErr w:type="spellEnd"/>
      <w:r w:rsidR="00502988">
        <w:rPr>
          <w:rFonts w:ascii="Times New Roman" w:hAnsi="Times New Roman"/>
          <w:sz w:val="24"/>
          <w:szCs w:val="24"/>
        </w:rPr>
        <w:t xml:space="preserve"> costs in the sub $200/</w:t>
      </w:r>
      <w:r w:rsidR="00D44A31" w:rsidRPr="00D44A31">
        <w:rPr>
          <w:rFonts w:ascii="Times New Roman" w:hAnsi="Times New Roman"/>
          <w:sz w:val="24"/>
          <w:szCs w:val="24"/>
        </w:rPr>
        <w:t>MWh range.  It is safe to say that larger photovoltaic systems can generally utilize economies of scale to reduce module, inversion, installation and other ancillary costs.</w:t>
      </w:r>
      <w:r w:rsidR="00D44A31">
        <w:rPr>
          <w:rFonts w:ascii="Times New Roman" w:hAnsi="Times New Roman"/>
          <w:sz w:val="24"/>
          <w:szCs w:val="24"/>
        </w:rPr>
        <w:t xml:space="preserve"> </w:t>
      </w:r>
      <w:r w:rsidR="00581406" w:rsidRPr="00581406">
        <w:rPr>
          <w:rFonts w:ascii="Times New Roman" w:hAnsi="Times New Roman"/>
          <w:sz w:val="24"/>
          <w:szCs w:val="20"/>
        </w:rPr>
        <w:t xml:space="preserve">Other factors may have a more pronounced effect on the overall economics of solar installations. Ownership, financing and associated accounting and procedures have a significant effect on project economics.  </w:t>
      </w:r>
      <w:r w:rsidR="00B35AF3">
        <w:rPr>
          <w:rFonts w:ascii="Times New Roman" w:hAnsi="Times New Roman"/>
          <w:sz w:val="24"/>
          <w:szCs w:val="20"/>
        </w:rPr>
        <w:t xml:space="preserve">To the extent that a non-utility developer may be able to finance the project through a highly-leveraged debt deal, </w:t>
      </w:r>
      <w:r w:rsidR="00F90DA5">
        <w:rPr>
          <w:rFonts w:ascii="Times New Roman" w:hAnsi="Times New Roman"/>
          <w:sz w:val="24"/>
          <w:szCs w:val="20"/>
        </w:rPr>
        <w:t>for</w:t>
      </w:r>
      <w:r w:rsidR="00B35AF3">
        <w:rPr>
          <w:rFonts w:ascii="Times New Roman" w:hAnsi="Times New Roman"/>
          <w:sz w:val="24"/>
          <w:szCs w:val="20"/>
        </w:rPr>
        <w:t xml:space="preserve"> example, the total cost of the non-utility project may be less than a utility sponsored project</w:t>
      </w:r>
      <w:r w:rsidR="00581406" w:rsidRPr="00581406">
        <w:rPr>
          <w:rFonts w:ascii="Times New Roman" w:hAnsi="Times New Roman"/>
          <w:sz w:val="24"/>
          <w:szCs w:val="20"/>
        </w:rPr>
        <w:t>.</w:t>
      </w:r>
      <w:r w:rsidR="00B35AF3">
        <w:rPr>
          <w:rFonts w:ascii="Times New Roman" w:hAnsi="Times New Roman"/>
          <w:sz w:val="24"/>
          <w:szCs w:val="20"/>
        </w:rPr>
        <w:t xml:space="preserve"> There are many other variables that would affect the total cost, such as cost and availability of land, cost of the interconnection, etc.</w:t>
      </w:r>
    </w:p>
    <w:p w:rsidR="00185999" w:rsidRPr="00C4686F" w:rsidRDefault="00185999" w:rsidP="004B0C88">
      <w:pPr>
        <w:spacing w:after="0" w:line="360" w:lineRule="auto"/>
        <w:contextualSpacing/>
        <w:rPr>
          <w:rFonts w:ascii="Times New Roman" w:hAnsi="Times New Roman"/>
          <w:sz w:val="24"/>
          <w:szCs w:val="24"/>
        </w:rPr>
      </w:pPr>
    </w:p>
    <w:p w:rsidR="00185999" w:rsidRDefault="00185999" w:rsidP="0000536B">
      <w:pPr>
        <w:numPr>
          <w:ilvl w:val="0"/>
          <w:numId w:val="21"/>
        </w:numPr>
        <w:spacing w:after="0" w:line="360" w:lineRule="auto"/>
        <w:contextualSpacing/>
        <w:jc w:val="both"/>
        <w:rPr>
          <w:rFonts w:ascii="Times New Roman" w:hAnsi="Times New Roman"/>
          <w:sz w:val="24"/>
          <w:szCs w:val="24"/>
        </w:rPr>
      </w:pPr>
      <w:r w:rsidRPr="00C4686F">
        <w:rPr>
          <w:rFonts w:ascii="Times New Roman" w:hAnsi="Times New Roman"/>
          <w:sz w:val="24"/>
          <w:szCs w:val="24"/>
        </w:rPr>
        <w:t>Is the integration of the variable output of photovoltaic power production made easier or less expensive if it is distributed versus central plant photovoltaic production?</w:t>
      </w:r>
    </w:p>
    <w:p w:rsidR="00581406" w:rsidRDefault="00581406" w:rsidP="004B0C88">
      <w:pPr>
        <w:spacing w:after="0" w:line="360" w:lineRule="auto"/>
        <w:contextualSpacing/>
        <w:rPr>
          <w:rFonts w:ascii="Times New Roman" w:hAnsi="Times New Roman"/>
          <w:sz w:val="24"/>
          <w:szCs w:val="24"/>
        </w:rPr>
      </w:pPr>
    </w:p>
    <w:p w:rsidR="00581406" w:rsidRPr="00581406" w:rsidRDefault="00ED315C" w:rsidP="004B0C88">
      <w:pPr>
        <w:tabs>
          <w:tab w:val="left" w:pos="720"/>
        </w:tabs>
        <w:spacing w:after="0" w:line="360" w:lineRule="auto"/>
        <w:ind w:left="720"/>
        <w:contextualSpacing/>
        <w:jc w:val="both"/>
        <w:rPr>
          <w:rFonts w:ascii="Times New Roman" w:hAnsi="Times New Roman"/>
          <w:sz w:val="24"/>
          <w:szCs w:val="20"/>
        </w:rPr>
      </w:pPr>
      <w:r w:rsidRPr="00ED315C">
        <w:rPr>
          <w:rFonts w:ascii="Times New Roman" w:hAnsi="Times New Roman"/>
          <w:b/>
          <w:sz w:val="24"/>
          <w:szCs w:val="24"/>
        </w:rPr>
        <w:t>RESPONSE:</w:t>
      </w:r>
      <w:r w:rsidRPr="00ED315C">
        <w:rPr>
          <w:rFonts w:ascii="Times New Roman" w:hAnsi="Times New Roman"/>
          <w:sz w:val="24"/>
          <w:szCs w:val="24"/>
        </w:rPr>
        <w:t xml:space="preserve">  </w:t>
      </w:r>
      <w:r w:rsidR="00581406" w:rsidRPr="00581406">
        <w:rPr>
          <w:rFonts w:ascii="Times New Roman" w:hAnsi="Times New Roman"/>
          <w:sz w:val="24"/>
          <w:szCs w:val="20"/>
        </w:rPr>
        <w:t>In general, a distributed generation system has the advantage of reducing potential line losses. The natural divers</w:t>
      </w:r>
      <w:r w:rsidR="00AC1262">
        <w:rPr>
          <w:rFonts w:ascii="Times New Roman" w:hAnsi="Times New Roman"/>
          <w:sz w:val="24"/>
          <w:szCs w:val="20"/>
        </w:rPr>
        <w:t>ity of distributed systems tends</w:t>
      </w:r>
      <w:r w:rsidR="00581406" w:rsidRPr="00581406">
        <w:rPr>
          <w:rFonts w:ascii="Times New Roman" w:hAnsi="Times New Roman"/>
          <w:sz w:val="24"/>
          <w:szCs w:val="20"/>
        </w:rPr>
        <w:t xml:space="preserve"> to reduce the effects of localized sky cover and other climatic variations.  Smaller net metered systems installed at the customer level require little utility integration other than a production meter and an appropriate interconnect inverter.  Typical photovoltaic production profiles tend to coincide with system loads and </w:t>
      </w:r>
      <w:r w:rsidR="00581406" w:rsidRPr="0006200B">
        <w:rPr>
          <w:rFonts w:ascii="Times New Roman" w:hAnsi="Times New Roman"/>
          <w:sz w:val="24"/>
          <w:szCs w:val="20"/>
        </w:rPr>
        <w:t xml:space="preserve">tend </w:t>
      </w:r>
      <w:r w:rsidR="0006200B" w:rsidRPr="0006200B">
        <w:rPr>
          <w:rFonts w:ascii="Times New Roman" w:hAnsi="Times New Roman"/>
          <w:sz w:val="24"/>
          <w:szCs w:val="20"/>
        </w:rPr>
        <w:t xml:space="preserve">to </w:t>
      </w:r>
      <w:r w:rsidR="00581406" w:rsidRPr="0006200B">
        <w:rPr>
          <w:rFonts w:ascii="Times New Roman" w:hAnsi="Times New Roman"/>
          <w:sz w:val="24"/>
          <w:szCs w:val="20"/>
        </w:rPr>
        <w:t>reinforce</w:t>
      </w:r>
      <w:r w:rsidR="00581406" w:rsidRPr="00581406">
        <w:rPr>
          <w:rFonts w:ascii="Times New Roman" w:hAnsi="Times New Roman"/>
          <w:sz w:val="24"/>
          <w:szCs w:val="20"/>
        </w:rPr>
        <w:t xml:space="preserve"> local distribution circuits. Larger distributed systems could cause operational issues in cases where feeder loading is light or they are installed at more remote locations.  Each distributed system would require separate building approvals, permits, inspections, net metering calculations and utility administration.</w:t>
      </w:r>
    </w:p>
    <w:p w:rsidR="00581406" w:rsidRPr="00C4686F" w:rsidRDefault="00581406" w:rsidP="004B0C88">
      <w:pPr>
        <w:spacing w:after="0" w:line="360" w:lineRule="auto"/>
        <w:ind w:left="720"/>
        <w:contextualSpacing/>
        <w:rPr>
          <w:rFonts w:ascii="Times New Roman" w:hAnsi="Times New Roman"/>
          <w:sz w:val="24"/>
          <w:szCs w:val="24"/>
        </w:rPr>
      </w:pPr>
    </w:p>
    <w:p w:rsidR="00185999" w:rsidRPr="00C4686F" w:rsidRDefault="00185999" w:rsidP="0000536B">
      <w:pPr>
        <w:numPr>
          <w:ilvl w:val="0"/>
          <w:numId w:val="21"/>
        </w:numPr>
        <w:spacing w:after="0" w:line="360" w:lineRule="auto"/>
        <w:contextualSpacing/>
        <w:jc w:val="both"/>
        <w:rPr>
          <w:rFonts w:ascii="Times New Roman" w:hAnsi="Times New Roman"/>
          <w:sz w:val="24"/>
          <w:szCs w:val="24"/>
        </w:rPr>
      </w:pPr>
      <w:r w:rsidRPr="00C4686F">
        <w:rPr>
          <w:rFonts w:ascii="Times New Roman" w:hAnsi="Times New Roman"/>
          <w:sz w:val="24"/>
          <w:szCs w:val="24"/>
        </w:rPr>
        <w:t xml:space="preserve">Are there lessons learned from Oregon’s tariff subsidies for solar installations? Is there a calculated subsidy per kWh for the Oregon program? </w:t>
      </w:r>
    </w:p>
    <w:p w:rsidR="00185999" w:rsidRDefault="00185999" w:rsidP="004B0C88">
      <w:pPr>
        <w:spacing w:after="0" w:line="360" w:lineRule="auto"/>
        <w:contextualSpacing/>
        <w:rPr>
          <w:rFonts w:ascii="Times New Roman" w:hAnsi="Times New Roman"/>
          <w:sz w:val="24"/>
          <w:szCs w:val="24"/>
        </w:rPr>
      </w:pPr>
    </w:p>
    <w:p w:rsidR="00581406" w:rsidRPr="00502988" w:rsidRDefault="00ED315C" w:rsidP="004B0C88">
      <w:pPr>
        <w:spacing w:after="0" w:line="360" w:lineRule="auto"/>
        <w:ind w:left="720"/>
        <w:contextualSpacing/>
        <w:jc w:val="both"/>
        <w:rPr>
          <w:rFonts w:ascii="Times New Roman" w:hAnsi="Times New Roman"/>
          <w:sz w:val="24"/>
          <w:szCs w:val="20"/>
        </w:rPr>
      </w:pPr>
      <w:r w:rsidRPr="00ED315C">
        <w:rPr>
          <w:rFonts w:ascii="Times New Roman" w:hAnsi="Times New Roman"/>
          <w:b/>
          <w:sz w:val="24"/>
          <w:szCs w:val="24"/>
        </w:rPr>
        <w:t>RESPONSE:</w:t>
      </w:r>
      <w:r w:rsidRPr="00ED315C">
        <w:rPr>
          <w:rFonts w:ascii="Times New Roman" w:hAnsi="Times New Roman"/>
          <w:sz w:val="24"/>
          <w:szCs w:val="24"/>
        </w:rPr>
        <w:t xml:space="preserve">  </w:t>
      </w:r>
      <w:r w:rsidR="00623A24">
        <w:rPr>
          <w:color w:val="0070C0"/>
          <w:sz w:val="24"/>
          <w:szCs w:val="20"/>
        </w:rPr>
        <w:t xml:space="preserve"> </w:t>
      </w:r>
      <w:r w:rsidR="00623A24" w:rsidRPr="00502988">
        <w:rPr>
          <w:rFonts w:ascii="Times New Roman" w:hAnsi="Times New Roman"/>
          <w:sz w:val="24"/>
          <w:szCs w:val="20"/>
        </w:rPr>
        <w:t xml:space="preserve">The Company is aware of legislation (House Bill 3039) that was enacted to establish a pilot program, beginning in January 1, 2010, for solar photovoltaic generation of up to 500 kilowatts by retail electric customers and a utility-scale solar </w:t>
      </w:r>
      <w:r w:rsidR="00623A24" w:rsidRPr="00502988">
        <w:rPr>
          <w:rFonts w:ascii="Times New Roman" w:hAnsi="Times New Roman"/>
          <w:sz w:val="24"/>
          <w:szCs w:val="20"/>
        </w:rPr>
        <w:lastRenderedPageBreak/>
        <w:t xml:space="preserve">mandate requiring electric utilities in Oregon to generate a statewide total of 20 megawatts from solar systems ranging in size from 500 kilowatts to 5 megawatts by January 1, 2020. Furthermore, the Company is </w:t>
      </w:r>
      <w:r w:rsidR="00707BA6" w:rsidRPr="00502988">
        <w:rPr>
          <w:rFonts w:ascii="Times New Roman" w:hAnsi="Times New Roman"/>
          <w:sz w:val="24"/>
          <w:szCs w:val="20"/>
        </w:rPr>
        <w:t>cognizant of</w:t>
      </w:r>
      <w:r w:rsidR="00623A24" w:rsidRPr="00502988">
        <w:rPr>
          <w:rFonts w:ascii="Times New Roman" w:hAnsi="Times New Roman"/>
          <w:sz w:val="24"/>
          <w:szCs w:val="20"/>
        </w:rPr>
        <w:t xml:space="preserve"> Oregon’s</w:t>
      </w:r>
      <w:r w:rsidR="00707BA6" w:rsidRPr="00502988">
        <w:rPr>
          <w:rFonts w:ascii="Times New Roman" w:hAnsi="Times New Roman"/>
          <w:sz w:val="24"/>
          <w:szCs w:val="20"/>
        </w:rPr>
        <w:t xml:space="preserve"> renewable energy tax incentives, offered under its Residential Energy Tax Credit and Business Energy Tax Credit programs, and the fact that these incentives have been revised recently.  Nevertheless, as a natural gas supplier only in Oregon, we are not </w:t>
      </w:r>
      <w:r w:rsidR="00502988">
        <w:rPr>
          <w:rFonts w:ascii="Times New Roman" w:hAnsi="Times New Roman"/>
          <w:sz w:val="24"/>
          <w:szCs w:val="20"/>
        </w:rPr>
        <w:t>involved enough</w:t>
      </w:r>
      <w:r w:rsidR="00707BA6" w:rsidRPr="00502988">
        <w:rPr>
          <w:rFonts w:ascii="Times New Roman" w:hAnsi="Times New Roman"/>
          <w:sz w:val="24"/>
          <w:szCs w:val="20"/>
        </w:rPr>
        <w:t xml:space="preserve"> in all of these programs to offer any insightful comments on them at this time</w:t>
      </w:r>
      <w:r w:rsidR="00502988">
        <w:rPr>
          <w:rFonts w:ascii="Times New Roman" w:hAnsi="Times New Roman"/>
          <w:sz w:val="24"/>
          <w:szCs w:val="20"/>
        </w:rPr>
        <w:t>.</w:t>
      </w:r>
    </w:p>
    <w:p w:rsidR="00581406" w:rsidRPr="00C4686F" w:rsidRDefault="00581406" w:rsidP="004B0C88">
      <w:pPr>
        <w:spacing w:after="0" w:line="360" w:lineRule="auto"/>
        <w:ind w:left="720"/>
        <w:contextualSpacing/>
        <w:rPr>
          <w:rFonts w:ascii="Times New Roman" w:hAnsi="Times New Roman"/>
          <w:sz w:val="24"/>
          <w:szCs w:val="24"/>
        </w:rPr>
      </w:pPr>
    </w:p>
    <w:p w:rsidR="00185999" w:rsidRDefault="00185999" w:rsidP="00AC1262">
      <w:pPr>
        <w:numPr>
          <w:ilvl w:val="0"/>
          <w:numId w:val="21"/>
        </w:numPr>
        <w:spacing w:after="0" w:line="360" w:lineRule="auto"/>
        <w:contextualSpacing/>
        <w:jc w:val="both"/>
        <w:rPr>
          <w:rFonts w:ascii="Times New Roman" w:hAnsi="Times New Roman"/>
          <w:sz w:val="24"/>
          <w:szCs w:val="24"/>
        </w:rPr>
      </w:pPr>
      <w:r w:rsidRPr="00C4686F">
        <w:rPr>
          <w:rFonts w:ascii="Times New Roman" w:hAnsi="Times New Roman"/>
          <w:sz w:val="24"/>
          <w:szCs w:val="24"/>
        </w:rPr>
        <w:t xml:space="preserve">Given the variety of tax and other financial incentives for solar manufacturers and consumers, are additional incentives needed? </w:t>
      </w:r>
    </w:p>
    <w:p w:rsidR="00581406" w:rsidRDefault="00581406" w:rsidP="00AC1262">
      <w:pPr>
        <w:spacing w:after="0" w:line="360" w:lineRule="auto"/>
        <w:contextualSpacing/>
        <w:jc w:val="both"/>
        <w:rPr>
          <w:rFonts w:ascii="Times New Roman" w:hAnsi="Times New Roman"/>
          <w:sz w:val="24"/>
          <w:szCs w:val="24"/>
        </w:rPr>
      </w:pPr>
    </w:p>
    <w:p w:rsidR="00581406" w:rsidRPr="00581406" w:rsidRDefault="00ED315C" w:rsidP="00AC1262">
      <w:pPr>
        <w:spacing w:after="0" w:line="360" w:lineRule="auto"/>
        <w:ind w:left="720"/>
        <w:contextualSpacing/>
        <w:jc w:val="both"/>
        <w:rPr>
          <w:rFonts w:ascii="Times New Roman" w:hAnsi="Times New Roman"/>
          <w:sz w:val="24"/>
          <w:szCs w:val="20"/>
        </w:rPr>
      </w:pPr>
      <w:r w:rsidRPr="00ED315C">
        <w:rPr>
          <w:rFonts w:ascii="Times New Roman" w:hAnsi="Times New Roman"/>
          <w:b/>
          <w:sz w:val="24"/>
          <w:szCs w:val="24"/>
        </w:rPr>
        <w:t>RESPONSE:</w:t>
      </w:r>
      <w:r w:rsidRPr="00ED315C">
        <w:rPr>
          <w:rFonts w:ascii="Times New Roman" w:hAnsi="Times New Roman"/>
          <w:sz w:val="24"/>
          <w:szCs w:val="24"/>
        </w:rPr>
        <w:t xml:space="preserve">  </w:t>
      </w:r>
      <w:r w:rsidR="00581406" w:rsidRPr="00581406">
        <w:rPr>
          <w:rFonts w:ascii="Times New Roman" w:hAnsi="Times New Roman"/>
          <w:sz w:val="24"/>
          <w:szCs w:val="20"/>
        </w:rPr>
        <w:t>While the cost of photovoltaic installation continue to trend down, lower energy costs in the Pacific Northwest make economic justification for solar energy difficult.  Washington incentives and Federal tax incentives bring the gap closer, however many end use customers are reluctant to make the initial capital investment for distributed systems.  Utility scale solar systems are generally not competitive with wind projects in the Pacific Northwest and therefore are not included in resource planning.</w:t>
      </w:r>
    </w:p>
    <w:p w:rsidR="00727D30" w:rsidRDefault="00727D30" w:rsidP="004B0C88">
      <w:pPr>
        <w:spacing w:after="0" w:line="360" w:lineRule="auto"/>
        <w:contextualSpacing/>
        <w:rPr>
          <w:rFonts w:ascii="Times New Roman" w:hAnsi="Times New Roman"/>
          <w:sz w:val="24"/>
          <w:szCs w:val="24"/>
        </w:rPr>
      </w:pPr>
    </w:p>
    <w:p w:rsidR="00185999" w:rsidRPr="00727D30" w:rsidRDefault="00185999" w:rsidP="004B0C88">
      <w:pPr>
        <w:spacing w:after="0" w:line="360" w:lineRule="auto"/>
        <w:ind w:firstLine="720"/>
        <w:contextualSpacing/>
        <w:rPr>
          <w:rFonts w:ascii="Times New Roman" w:hAnsi="Times New Roman"/>
          <w:b/>
          <w:i/>
          <w:sz w:val="28"/>
          <w:szCs w:val="24"/>
        </w:rPr>
      </w:pPr>
      <w:r w:rsidRPr="00727D30">
        <w:rPr>
          <w:rFonts w:ascii="Times New Roman" w:hAnsi="Times New Roman"/>
          <w:b/>
          <w:i/>
          <w:sz w:val="28"/>
          <w:szCs w:val="24"/>
        </w:rPr>
        <w:t>Distributed Wind</w:t>
      </w:r>
    </w:p>
    <w:p w:rsidR="00185999" w:rsidRDefault="00185999" w:rsidP="00AC1262">
      <w:pPr>
        <w:pStyle w:val="ListParagraph"/>
        <w:numPr>
          <w:ilvl w:val="0"/>
          <w:numId w:val="21"/>
        </w:numPr>
        <w:spacing w:after="0" w:line="360" w:lineRule="auto"/>
        <w:jc w:val="both"/>
        <w:rPr>
          <w:rFonts w:ascii="Times New Roman" w:hAnsi="Times New Roman"/>
          <w:sz w:val="24"/>
          <w:szCs w:val="24"/>
        </w:rPr>
      </w:pPr>
      <w:r w:rsidRPr="00C4686F">
        <w:rPr>
          <w:rFonts w:ascii="Times New Roman" w:hAnsi="Times New Roman"/>
          <w:sz w:val="24"/>
          <w:szCs w:val="24"/>
        </w:rPr>
        <w:t>Is the integration of the variable output of wind power production made easier or less expensive if it is distributed throughout the service area rather than centralized from a utility-scale wind farm?</w:t>
      </w:r>
    </w:p>
    <w:p w:rsidR="00561EE5" w:rsidRPr="00C4686F" w:rsidRDefault="00561EE5" w:rsidP="00561EE5">
      <w:pPr>
        <w:pStyle w:val="ListParagraph"/>
        <w:spacing w:after="0" w:line="360" w:lineRule="auto"/>
        <w:rPr>
          <w:rFonts w:ascii="Times New Roman" w:hAnsi="Times New Roman"/>
          <w:sz w:val="24"/>
          <w:szCs w:val="24"/>
        </w:rPr>
      </w:pPr>
    </w:p>
    <w:p w:rsidR="009D1057" w:rsidRDefault="00ED315C" w:rsidP="009D1057">
      <w:pPr>
        <w:pStyle w:val="ListParagraph"/>
        <w:spacing w:after="0" w:line="360" w:lineRule="auto"/>
        <w:jc w:val="both"/>
        <w:rPr>
          <w:rFonts w:ascii="Times New Roman" w:hAnsi="Times New Roman"/>
          <w:sz w:val="24"/>
          <w:szCs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009D1057" w:rsidRPr="00656861">
        <w:rPr>
          <w:rFonts w:ascii="Times New Roman" w:hAnsi="Times New Roman"/>
          <w:sz w:val="24"/>
          <w:szCs w:val="24"/>
        </w:rPr>
        <w:t xml:space="preserve">It totally depends on location and size.  Both types are possible but can be very detrimental to the utility.  For example if there is a large quantity of distributed generation placed on one utility feeder, voltage control on the feeder may be impossible to meet ANSI 84.1 voltage standards and clearances for utility personnel to safely work on the utility system.  </w:t>
      </w:r>
    </w:p>
    <w:p w:rsidR="009D1057" w:rsidRPr="00656861" w:rsidRDefault="009D1057" w:rsidP="009D1057">
      <w:pPr>
        <w:pStyle w:val="ListParagraph"/>
        <w:spacing w:after="0" w:line="360" w:lineRule="auto"/>
        <w:jc w:val="both"/>
        <w:rPr>
          <w:rFonts w:ascii="Times New Roman" w:hAnsi="Times New Roman"/>
          <w:sz w:val="24"/>
          <w:szCs w:val="24"/>
        </w:rPr>
      </w:pPr>
    </w:p>
    <w:p w:rsidR="009D1057" w:rsidRPr="00656861" w:rsidRDefault="009D1057" w:rsidP="00AC1262">
      <w:pPr>
        <w:pStyle w:val="ListParagraph"/>
        <w:spacing w:after="0" w:line="360" w:lineRule="auto"/>
        <w:jc w:val="both"/>
        <w:rPr>
          <w:rFonts w:ascii="Times New Roman" w:hAnsi="Times New Roman"/>
          <w:sz w:val="24"/>
          <w:szCs w:val="24"/>
        </w:rPr>
      </w:pPr>
      <w:r w:rsidRPr="00656861">
        <w:rPr>
          <w:rFonts w:ascii="Times New Roman" w:hAnsi="Times New Roman"/>
          <w:sz w:val="24"/>
          <w:szCs w:val="24"/>
        </w:rPr>
        <w:lastRenderedPageBreak/>
        <w:t xml:space="preserve">In the case of a large central wind generation installation, protection on the utility feeder may be affected and reliability of the feeder can decrease. A large centralized wind farm should be on a dedicated distribution feeder so as to reduce impact on the utility.  This would add considerable cost to the installation.  </w:t>
      </w:r>
    </w:p>
    <w:p w:rsidR="00185999" w:rsidRDefault="00185999" w:rsidP="004B0C88">
      <w:pPr>
        <w:spacing w:after="0" w:line="360" w:lineRule="auto"/>
        <w:ind w:left="720"/>
        <w:rPr>
          <w:rFonts w:ascii="Times New Roman" w:hAnsi="Times New Roman"/>
          <w:sz w:val="24"/>
          <w:szCs w:val="24"/>
        </w:rPr>
      </w:pPr>
    </w:p>
    <w:p w:rsidR="00185999" w:rsidRDefault="00185999" w:rsidP="00AC1262">
      <w:pPr>
        <w:pStyle w:val="ListParagraph"/>
        <w:numPr>
          <w:ilvl w:val="0"/>
          <w:numId w:val="21"/>
        </w:numPr>
        <w:spacing w:after="0" w:line="360" w:lineRule="auto"/>
        <w:jc w:val="both"/>
        <w:rPr>
          <w:rFonts w:ascii="Times New Roman" w:hAnsi="Times New Roman"/>
          <w:sz w:val="24"/>
          <w:szCs w:val="24"/>
        </w:rPr>
      </w:pPr>
      <w:r w:rsidRPr="00C4686F">
        <w:rPr>
          <w:rFonts w:ascii="Times New Roman" w:hAnsi="Times New Roman"/>
          <w:sz w:val="24"/>
          <w:szCs w:val="24"/>
        </w:rPr>
        <w:t>What is the estimated contribution of distributed wind generation to meeting a utility’s peak demand?</w:t>
      </w:r>
    </w:p>
    <w:p w:rsidR="00561EE5" w:rsidRPr="00C4686F" w:rsidRDefault="00561EE5" w:rsidP="00AC1262">
      <w:pPr>
        <w:pStyle w:val="ListParagraph"/>
        <w:spacing w:after="0" w:line="360" w:lineRule="auto"/>
        <w:jc w:val="both"/>
        <w:rPr>
          <w:rFonts w:ascii="Times New Roman" w:hAnsi="Times New Roman"/>
          <w:sz w:val="24"/>
          <w:szCs w:val="24"/>
        </w:rPr>
      </w:pPr>
    </w:p>
    <w:p w:rsidR="009D1057" w:rsidRPr="00656861" w:rsidRDefault="00ED315C" w:rsidP="00AC1262">
      <w:pPr>
        <w:pStyle w:val="ListParagraph"/>
        <w:spacing w:after="0" w:line="360" w:lineRule="auto"/>
        <w:jc w:val="both"/>
        <w:rPr>
          <w:rFonts w:ascii="Times New Roman" w:hAnsi="Times New Roman"/>
          <w:sz w:val="24"/>
          <w:szCs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00BD7BF4">
        <w:rPr>
          <w:rFonts w:ascii="Times New Roman" w:hAnsi="Times New Roman"/>
          <w:sz w:val="24"/>
          <w:szCs w:val="24"/>
        </w:rPr>
        <w:t>Previous Avista Integrated Resource Plans have documented that wind generation provides little if any contribution to system peak needs.  Avista therefore assumes wind resources provide no contribution to meeting peak demands.  Distributed wind generation should be treated similarly.</w:t>
      </w:r>
    </w:p>
    <w:p w:rsidR="00185999" w:rsidRDefault="00185999" w:rsidP="004B0C88">
      <w:pPr>
        <w:spacing w:after="0" w:line="360" w:lineRule="auto"/>
        <w:ind w:left="720"/>
        <w:rPr>
          <w:rFonts w:ascii="Times New Roman" w:hAnsi="Times New Roman"/>
          <w:sz w:val="24"/>
          <w:szCs w:val="24"/>
        </w:rPr>
      </w:pPr>
    </w:p>
    <w:p w:rsidR="00561EE5" w:rsidRDefault="00185999" w:rsidP="0000536B">
      <w:pPr>
        <w:pStyle w:val="ListParagraph"/>
        <w:numPr>
          <w:ilvl w:val="0"/>
          <w:numId w:val="21"/>
        </w:numPr>
        <w:spacing w:after="0" w:line="360" w:lineRule="auto"/>
        <w:jc w:val="both"/>
        <w:rPr>
          <w:rFonts w:ascii="Times New Roman" w:hAnsi="Times New Roman"/>
          <w:sz w:val="24"/>
          <w:szCs w:val="24"/>
        </w:rPr>
      </w:pPr>
      <w:r w:rsidRPr="00C4686F">
        <w:rPr>
          <w:rFonts w:ascii="Times New Roman" w:hAnsi="Times New Roman"/>
          <w:sz w:val="24"/>
          <w:szCs w:val="24"/>
        </w:rPr>
        <w:t>Does current distribution capacity constrain development of distributed wind generation?</w:t>
      </w:r>
    </w:p>
    <w:p w:rsidR="00185999" w:rsidRPr="00C4686F" w:rsidRDefault="00185999" w:rsidP="00561EE5">
      <w:pPr>
        <w:pStyle w:val="ListParagraph"/>
        <w:spacing w:after="0" w:line="360" w:lineRule="auto"/>
        <w:rPr>
          <w:rFonts w:ascii="Times New Roman" w:hAnsi="Times New Roman"/>
          <w:sz w:val="24"/>
          <w:szCs w:val="24"/>
        </w:rPr>
      </w:pPr>
      <w:r w:rsidRPr="00C4686F">
        <w:rPr>
          <w:rFonts w:ascii="Times New Roman" w:hAnsi="Times New Roman"/>
          <w:sz w:val="24"/>
          <w:szCs w:val="24"/>
        </w:rPr>
        <w:t xml:space="preserve"> </w:t>
      </w:r>
    </w:p>
    <w:p w:rsidR="009D1057" w:rsidRPr="00656861" w:rsidRDefault="00ED315C" w:rsidP="009D1057">
      <w:pPr>
        <w:pStyle w:val="ListParagraph"/>
        <w:spacing w:after="0" w:line="360" w:lineRule="auto"/>
        <w:jc w:val="both"/>
        <w:rPr>
          <w:rFonts w:ascii="Times New Roman" w:hAnsi="Times New Roman"/>
          <w:sz w:val="24"/>
          <w:szCs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00AC1262">
        <w:rPr>
          <w:rFonts w:ascii="Times New Roman" w:hAnsi="Times New Roman"/>
          <w:sz w:val="24"/>
          <w:szCs w:val="24"/>
        </w:rPr>
        <w:t>No, not at this time. The Company</w:t>
      </w:r>
      <w:r w:rsidR="009D1057" w:rsidRPr="00656861">
        <w:rPr>
          <w:rFonts w:ascii="Times New Roman" w:hAnsi="Times New Roman"/>
          <w:sz w:val="24"/>
          <w:szCs w:val="24"/>
        </w:rPr>
        <w:t xml:space="preserve"> is still able to accommodate wind generators depending on size and location.  </w:t>
      </w:r>
    </w:p>
    <w:p w:rsidR="00185999" w:rsidRPr="00C4686F" w:rsidRDefault="00185999" w:rsidP="004B0C88">
      <w:pPr>
        <w:spacing w:after="0" w:line="360" w:lineRule="auto"/>
        <w:ind w:left="720"/>
        <w:rPr>
          <w:rFonts w:ascii="Times New Roman" w:hAnsi="Times New Roman"/>
          <w:sz w:val="24"/>
          <w:szCs w:val="24"/>
        </w:rPr>
      </w:pPr>
    </w:p>
    <w:p w:rsidR="00185999" w:rsidRPr="00727D30" w:rsidRDefault="00185999" w:rsidP="004B0C88">
      <w:pPr>
        <w:spacing w:after="0" w:line="360" w:lineRule="auto"/>
        <w:ind w:left="720"/>
        <w:rPr>
          <w:rFonts w:ascii="Times New Roman" w:hAnsi="Times New Roman"/>
          <w:sz w:val="28"/>
          <w:szCs w:val="24"/>
        </w:rPr>
      </w:pPr>
      <w:r w:rsidRPr="00727D30">
        <w:rPr>
          <w:rFonts w:ascii="Times New Roman" w:hAnsi="Times New Roman"/>
          <w:b/>
          <w:i/>
          <w:sz w:val="28"/>
          <w:szCs w:val="24"/>
        </w:rPr>
        <w:t>Distributed Hydroelectric</w:t>
      </w:r>
    </w:p>
    <w:p w:rsidR="00185999" w:rsidRDefault="00185999" w:rsidP="00AC1262">
      <w:pPr>
        <w:pStyle w:val="ListParagraph"/>
        <w:widowControl w:val="0"/>
        <w:numPr>
          <w:ilvl w:val="0"/>
          <w:numId w:val="21"/>
        </w:numPr>
        <w:autoSpaceDE w:val="0"/>
        <w:autoSpaceDN w:val="0"/>
        <w:adjustRightInd w:val="0"/>
        <w:spacing w:after="0" w:line="360" w:lineRule="auto"/>
        <w:jc w:val="both"/>
        <w:rPr>
          <w:rFonts w:ascii="Times New Roman" w:hAnsi="Times New Roman"/>
          <w:sz w:val="24"/>
          <w:szCs w:val="24"/>
        </w:rPr>
      </w:pPr>
      <w:r w:rsidRPr="00C4686F">
        <w:rPr>
          <w:rFonts w:ascii="Times New Roman" w:hAnsi="Times New Roman"/>
          <w:sz w:val="24"/>
          <w:szCs w:val="24"/>
        </w:rPr>
        <w:t xml:space="preserve">What is the state of the technology for generating electricity from wave, tidal, and micro-hydro technologies (maturation, market penetration, retail price of installation)? </w:t>
      </w:r>
    </w:p>
    <w:p w:rsidR="00727D30" w:rsidRPr="00C4686F" w:rsidRDefault="00727D30" w:rsidP="004B0C88">
      <w:pPr>
        <w:pStyle w:val="ListParagraph"/>
        <w:widowControl w:val="0"/>
        <w:autoSpaceDE w:val="0"/>
        <w:autoSpaceDN w:val="0"/>
        <w:adjustRightInd w:val="0"/>
        <w:spacing w:after="0" w:line="360" w:lineRule="auto"/>
        <w:rPr>
          <w:rFonts w:ascii="Times New Roman" w:hAnsi="Times New Roman"/>
          <w:sz w:val="24"/>
          <w:szCs w:val="24"/>
        </w:rPr>
      </w:pPr>
    </w:p>
    <w:p w:rsidR="00727D30" w:rsidRDefault="00ED315C" w:rsidP="004B0C88">
      <w:pPr>
        <w:pStyle w:val="ListParagraph"/>
        <w:spacing w:after="0" w:line="360" w:lineRule="auto"/>
        <w:jc w:val="both"/>
        <w:rPr>
          <w:rFonts w:ascii="Times New Roman" w:hAnsi="Times New Roman"/>
          <w:sz w:val="24"/>
        </w:rPr>
      </w:pPr>
      <w:r w:rsidRPr="00727D30">
        <w:rPr>
          <w:rFonts w:ascii="Times New Roman" w:hAnsi="Times New Roman"/>
          <w:b/>
          <w:sz w:val="24"/>
          <w:szCs w:val="24"/>
        </w:rPr>
        <w:t>RESPONSE:</w:t>
      </w:r>
      <w:r w:rsidRPr="00727D30">
        <w:rPr>
          <w:rFonts w:ascii="Times New Roman" w:hAnsi="Times New Roman"/>
          <w:sz w:val="24"/>
          <w:szCs w:val="24"/>
        </w:rPr>
        <w:t xml:space="preserve">  </w:t>
      </w:r>
      <w:r w:rsidR="00727D30" w:rsidRPr="00727D30">
        <w:rPr>
          <w:rFonts w:ascii="Times New Roman" w:hAnsi="Times New Roman"/>
          <w:sz w:val="24"/>
        </w:rPr>
        <w:t xml:space="preserve">Avista has done some preliminary studies concerning the state of technology for generating electricity from wave, tidal, and micro-hydro technologies as part of the research for the </w:t>
      </w:r>
      <w:r w:rsidR="00AC1262">
        <w:rPr>
          <w:rFonts w:ascii="Times New Roman" w:hAnsi="Times New Roman"/>
          <w:sz w:val="24"/>
        </w:rPr>
        <w:t>IRP</w:t>
      </w:r>
      <w:r w:rsidR="00727D30" w:rsidRPr="00727D30">
        <w:rPr>
          <w:rFonts w:ascii="Times New Roman" w:hAnsi="Times New Roman"/>
          <w:sz w:val="24"/>
        </w:rPr>
        <w:t xml:space="preserve">. These technologies have not reached the point of being commercially available for utility use because of their high cost. The prices estimated for tidal and wave </w:t>
      </w:r>
      <w:r w:rsidR="00D1394F" w:rsidRPr="00727D30">
        <w:rPr>
          <w:rFonts w:ascii="Times New Roman" w:hAnsi="Times New Roman"/>
          <w:sz w:val="24"/>
        </w:rPr>
        <w:t>generation in our 2009 IRP was</w:t>
      </w:r>
      <w:r w:rsidR="00727D30" w:rsidRPr="00727D30">
        <w:rPr>
          <w:rFonts w:ascii="Times New Roman" w:hAnsi="Times New Roman"/>
          <w:sz w:val="24"/>
        </w:rPr>
        <w:t xml:space="preserve"> $785.63/MWh for 20-year levelized nominal cost ($665.12/MWh in 2009 real dollars). The costs for micro-hydro (hydrokinetics) were estimated to be $147.87/MWh in levelized nominal dollars and $125.35/MWh in real 2009 dollars.     </w:t>
      </w:r>
    </w:p>
    <w:p w:rsidR="00D10774" w:rsidRPr="00727D30" w:rsidRDefault="00D10774" w:rsidP="004B0C88">
      <w:pPr>
        <w:pStyle w:val="ListParagraph"/>
        <w:spacing w:after="0" w:line="360" w:lineRule="auto"/>
        <w:jc w:val="both"/>
        <w:rPr>
          <w:rFonts w:ascii="Times New Roman" w:hAnsi="Times New Roman"/>
          <w:sz w:val="24"/>
        </w:rPr>
      </w:pPr>
    </w:p>
    <w:p w:rsidR="00185999" w:rsidRDefault="00185999" w:rsidP="004B0C88">
      <w:pPr>
        <w:pStyle w:val="ListParagraph"/>
        <w:widowControl w:val="0"/>
        <w:numPr>
          <w:ilvl w:val="0"/>
          <w:numId w:val="21"/>
        </w:numPr>
        <w:autoSpaceDE w:val="0"/>
        <w:autoSpaceDN w:val="0"/>
        <w:adjustRightInd w:val="0"/>
        <w:spacing w:after="0" w:line="360" w:lineRule="auto"/>
        <w:rPr>
          <w:rFonts w:ascii="Times New Roman" w:hAnsi="Times New Roman"/>
          <w:sz w:val="24"/>
          <w:szCs w:val="24"/>
        </w:rPr>
      </w:pPr>
      <w:r w:rsidRPr="00C4686F">
        <w:rPr>
          <w:rFonts w:ascii="Times New Roman" w:hAnsi="Times New Roman"/>
          <w:sz w:val="24"/>
          <w:szCs w:val="24"/>
        </w:rPr>
        <w:t>Do these technologies pose potential negative environmental impacts?</w:t>
      </w:r>
    </w:p>
    <w:p w:rsidR="00561EE5" w:rsidRPr="00C4686F" w:rsidRDefault="00561EE5" w:rsidP="00561EE5">
      <w:pPr>
        <w:pStyle w:val="ListParagraph"/>
        <w:widowControl w:val="0"/>
        <w:autoSpaceDE w:val="0"/>
        <w:autoSpaceDN w:val="0"/>
        <w:adjustRightInd w:val="0"/>
        <w:spacing w:after="0" w:line="360" w:lineRule="auto"/>
        <w:rPr>
          <w:rFonts w:ascii="Times New Roman" w:hAnsi="Times New Roman"/>
          <w:sz w:val="24"/>
          <w:szCs w:val="24"/>
        </w:rPr>
      </w:pPr>
    </w:p>
    <w:p w:rsidR="00727D30" w:rsidRDefault="00ED315C" w:rsidP="004B0C88">
      <w:pPr>
        <w:spacing w:after="0" w:line="360" w:lineRule="auto"/>
        <w:ind w:left="720"/>
        <w:jc w:val="both"/>
        <w:rPr>
          <w:sz w:val="24"/>
        </w:rPr>
      </w:pPr>
      <w:r w:rsidRPr="00727D30">
        <w:rPr>
          <w:rFonts w:ascii="Times New Roman" w:hAnsi="Times New Roman"/>
          <w:b/>
          <w:sz w:val="24"/>
          <w:szCs w:val="24"/>
        </w:rPr>
        <w:t>RESPONSE:</w:t>
      </w:r>
      <w:r w:rsidRPr="00727D30">
        <w:rPr>
          <w:rFonts w:ascii="Times New Roman" w:hAnsi="Times New Roman"/>
          <w:sz w:val="24"/>
          <w:szCs w:val="24"/>
        </w:rPr>
        <w:t xml:space="preserve">  </w:t>
      </w:r>
      <w:r w:rsidR="00727D30" w:rsidRPr="00727D30">
        <w:rPr>
          <w:rFonts w:ascii="Times New Roman" w:hAnsi="Times New Roman"/>
          <w:sz w:val="24"/>
        </w:rPr>
        <w:t>Any negative environmental impacts for these technologies would be highly dependent on the location and the specific technology being used. For example, a micro-hydro project on an irrigation canal with no fish issues should have little if any environmental issues, but a project placed off a bridge or in a stream may have some issues depending on the specific location.  Some technologies may also create negative impacts on recreation, aesthetics, fisheries, and habitat depending on the project design and location</w:t>
      </w:r>
      <w:r w:rsidR="00727D30" w:rsidRPr="009E748F">
        <w:rPr>
          <w:sz w:val="24"/>
        </w:rPr>
        <w:t xml:space="preserve">.   </w:t>
      </w:r>
    </w:p>
    <w:p w:rsidR="00561EE5" w:rsidRPr="009E748F" w:rsidRDefault="00561EE5" w:rsidP="004B0C88">
      <w:pPr>
        <w:spacing w:after="0" w:line="360" w:lineRule="auto"/>
        <w:ind w:left="720"/>
        <w:jc w:val="both"/>
        <w:rPr>
          <w:sz w:val="24"/>
        </w:rPr>
      </w:pPr>
    </w:p>
    <w:p w:rsidR="00185999" w:rsidRDefault="00185999" w:rsidP="00D440B3">
      <w:pPr>
        <w:pStyle w:val="ListParagraph"/>
        <w:widowControl w:val="0"/>
        <w:numPr>
          <w:ilvl w:val="0"/>
          <w:numId w:val="21"/>
        </w:numPr>
        <w:autoSpaceDE w:val="0"/>
        <w:autoSpaceDN w:val="0"/>
        <w:adjustRightInd w:val="0"/>
        <w:spacing w:after="0" w:line="360" w:lineRule="auto"/>
        <w:jc w:val="both"/>
        <w:rPr>
          <w:rFonts w:ascii="Times New Roman" w:hAnsi="Times New Roman"/>
          <w:sz w:val="24"/>
          <w:szCs w:val="24"/>
        </w:rPr>
      </w:pPr>
      <w:r w:rsidRPr="00C4686F">
        <w:rPr>
          <w:rFonts w:ascii="Times New Roman" w:hAnsi="Times New Roman"/>
          <w:sz w:val="24"/>
          <w:szCs w:val="24"/>
        </w:rPr>
        <w:t>Are there potential impacts from current environmental regulations for hydroelectric generation that might adversely affect the development of future distributed hydroelectric generation (in other words, should micro-hydro be treated the same as utility-scale hydroelectric generation?  Are there other impacts specific to micro-hydro that ought to be considered)?</w:t>
      </w:r>
    </w:p>
    <w:p w:rsidR="00561EE5" w:rsidRDefault="00561EE5" w:rsidP="00561EE5">
      <w:pPr>
        <w:pStyle w:val="ListParagraph"/>
        <w:widowControl w:val="0"/>
        <w:autoSpaceDE w:val="0"/>
        <w:autoSpaceDN w:val="0"/>
        <w:adjustRightInd w:val="0"/>
        <w:spacing w:after="0" w:line="360" w:lineRule="auto"/>
        <w:rPr>
          <w:rFonts w:ascii="Times New Roman" w:hAnsi="Times New Roman"/>
          <w:sz w:val="24"/>
          <w:szCs w:val="24"/>
        </w:rPr>
      </w:pPr>
    </w:p>
    <w:p w:rsidR="00C4686F" w:rsidRPr="00727D30" w:rsidRDefault="00ED315C" w:rsidP="00B901BD">
      <w:pPr>
        <w:widowControl w:val="0"/>
        <w:autoSpaceDE w:val="0"/>
        <w:autoSpaceDN w:val="0"/>
        <w:adjustRightInd w:val="0"/>
        <w:spacing w:after="0" w:line="360" w:lineRule="auto"/>
        <w:ind w:left="720"/>
        <w:jc w:val="both"/>
        <w:rPr>
          <w:rFonts w:ascii="Times New Roman" w:hAnsi="Times New Roman"/>
          <w:sz w:val="24"/>
          <w:szCs w:val="24"/>
        </w:rPr>
      </w:pPr>
      <w:r w:rsidRPr="00727D30">
        <w:rPr>
          <w:rFonts w:ascii="Times New Roman" w:hAnsi="Times New Roman"/>
          <w:b/>
          <w:sz w:val="24"/>
          <w:szCs w:val="24"/>
        </w:rPr>
        <w:t>RESPONSE:</w:t>
      </w:r>
      <w:r w:rsidRPr="00727D30">
        <w:rPr>
          <w:rFonts w:ascii="Times New Roman" w:hAnsi="Times New Roman"/>
          <w:sz w:val="24"/>
          <w:szCs w:val="24"/>
        </w:rPr>
        <w:t xml:space="preserve">  </w:t>
      </w:r>
      <w:r w:rsidR="00727D30" w:rsidRPr="00727D30">
        <w:rPr>
          <w:rFonts w:ascii="Times New Roman" w:hAnsi="Times New Roman"/>
          <w:sz w:val="24"/>
        </w:rPr>
        <w:t>Some level of permitting or licensing is likely required for any hydro development depending on generation capacity, technology and location.  FERC already has modified rules for small hydro, so there may be some level of exemptions for small hydro already in place.  There would also be requirements for state water rights and many other permits that may or may not be environmental in nature.</w:t>
      </w:r>
    </w:p>
    <w:p w:rsidR="00727D30" w:rsidRDefault="00727D30" w:rsidP="004B0C88">
      <w:pPr>
        <w:spacing w:after="0" w:line="360" w:lineRule="auto"/>
        <w:ind w:left="720"/>
        <w:rPr>
          <w:rFonts w:ascii="Times New Roman" w:hAnsi="Times New Roman"/>
          <w:b/>
          <w:i/>
          <w:sz w:val="24"/>
          <w:szCs w:val="24"/>
        </w:rPr>
      </w:pPr>
    </w:p>
    <w:p w:rsidR="00185999" w:rsidRPr="00727D30" w:rsidRDefault="00185999" w:rsidP="004B0C88">
      <w:pPr>
        <w:spacing w:after="0" w:line="360" w:lineRule="auto"/>
        <w:ind w:left="720"/>
        <w:rPr>
          <w:rFonts w:ascii="Times New Roman" w:hAnsi="Times New Roman"/>
          <w:b/>
          <w:i/>
          <w:sz w:val="28"/>
          <w:szCs w:val="24"/>
        </w:rPr>
      </w:pPr>
      <w:r w:rsidRPr="00727D30">
        <w:rPr>
          <w:rFonts w:ascii="Times New Roman" w:hAnsi="Times New Roman"/>
          <w:b/>
          <w:i/>
          <w:sz w:val="28"/>
          <w:szCs w:val="24"/>
        </w:rPr>
        <w:t>Biogas</w:t>
      </w:r>
    </w:p>
    <w:p w:rsidR="00185999" w:rsidRDefault="00185999" w:rsidP="004B0C88">
      <w:pPr>
        <w:numPr>
          <w:ilvl w:val="0"/>
          <w:numId w:val="21"/>
        </w:numPr>
        <w:spacing w:after="0" w:line="360" w:lineRule="auto"/>
        <w:contextualSpacing/>
        <w:rPr>
          <w:rFonts w:ascii="Times New Roman" w:hAnsi="Times New Roman"/>
          <w:sz w:val="24"/>
          <w:szCs w:val="24"/>
        </w:rPr>
      </w:pPr>
      <w:r w:rsidRPr="00C4686F">
        <w:rPr>
          <w:rFonts w:ascii="Times New Roman" w:hAnsi="Times New Roman"/>
          <w:sz w:val="24"/>
          <w:szCs w:val="24"/>
        </w:rPr>
        <w:t>What is the generation capacity and energy production potential from biogas fuels located in Washington State?</w:t>
      </w:r>
    </w:p>
    <w:p w:rsidR="00ED315C" w:rsidRPr="00C4686F" w:rsidRDefault="00ED315C" w:rsidP="004B0C88">
      <w:pPr>
        <w:spacing w:after="0" w:line="360" w:lineRule="auto"/>
        <w:ind w:left="720"/>
        <w:contextualSpacing/>
        <w:rPr>
          <w:rFonts w:ascii="Times New Roman" w:hAnsi="Times New Roman"/>
          <w:sz w:val="24"/>
          <w:szCs w:val="24"/>
        </w:rPr>
      </w:pPr>
    </w:p>
    <w:p w:rsidR="00727D30" w:rsidRPr="009E748F" w:rsidRDefault="00ED315C" w:rsidP="004B0C88">
      <w:pPr>
        <w:spacing w:after="0" w:line="360" w:lineRule="auto"/>
        <w:ind w:left="720"/>
        <w:contextualSpacing/>
        <w:jc w:val="both"/>
        <w:rPr>
          <w:sz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00727D30" w:rsidRPr="00727D30">
        <w:rPr>
          <w:rFonts w:ascii="Times New Roman" w:hAnsi="Times New Roman"/>
          <w:sz w:val="24"/>
        </w:rPr>
        <w:t xml:space="preserve">Avista has not done any research into the amount of generation potential from biogas fuels located in Washington State.  The Northwest Power and Conservation Council (NPCC) through its Sixth Power Plan </w:t>
      </w:r>
      <w:r w:rsidR="00D1394F" w:rsidRPr="00727D30">
        <w:rPr>
          <w:rFonts w:ascii="Times New Roman" w:hAnsi="Times New Roman"/>
          <w:sz w:val="24"/>
        </w:rPr>
        <w:t>discuss</w:t>
      </w:r>
      <w:r w:rsidR="00727D30" w:rsidRPr="00727D30">
        <w:rPr>
          <w:rFonts w:ascii="Times New Roman" w:hAnsi="Times New Roman"/>
          <w:sz w:val="24"/>
        </w:rPr>
        <w:t xml:space="preserve"> potential in the Northwest. </w:t>
      </w:r>
      <w:r w:rsidR="00727D30" w:rsidRPr="00727D30">
        <w:rPr>
          <w:rFonts w:ascii="Times New Roman" w:hAnsi="Times New Roman"/>
          <w:sz w:val="24"/>
        </w:rPr>
        <w:lastRenderedPageBreak/>
        <w:t>Avista’s requests for proposals for renewable power in 2006, 2009 and 2011 received few bids from biogas type resources (landfill gas and wood gasification). Avista occasionally receives requests for potential PURPA type resources projects, but we have not recently signed any PURPA contracts for these types of resources.</w:t>
      </w:r>
    </w:p>
    <w:p w:rsidR="00185999" w:rsidRPr="00C4686F" w:rsidRDefault="00185999" w:rsidP="004B0C88">
      <w:pPr>
        <w:spacing w:after="0" w:line="360" w:lineRule="auto"/>
        <w:ind w:left="720"/>
        <w:contextualSpacing/>
        <w:rPr>
          <w:rFonts w:ascii="Times New Roman" w:hAnsi="Times New Roman"/>
          <w:sz w:val="24"/>
          <w:szCs w:val="24"/>
        </w:rPr>
      </w:pPr>
    </w:p>
    <w:p w:rsidR="00185999" w:rsidRPr="00C4686F" w:rsidRDefault="00185999" w:rsidP="00B901BD">
      <w:pPr>
        <w:numPr>
          <w:ilvl w:val="0"/>
          <w:numId w:val="21"/>
        </w:numPr>
        <w:spacing w:after="0" w:line="360" w:lineRule="auto"/>
        <w:contextualSpacing/>
        <w:jc w:val="both"/>
        <w:rPr>
          <w:rFonts w:ascii="Times New Roman" w:hAnsi="Times New Roman"/>
          <w:sz w:val="24"/>
          <w:szCs w:val="24"/>
        </w:rPr>
      </w:pPr>
      <w:r w:rsidRPr="00C4686F">
        <w:rPr>
          <w:rFonts w:ascii="Times New Roman" w:hAnsi="Times New Roman"/>
          <w:sz w:val="24"/>
          <w:szCs w:val="24"/>
        </w:rPr>
        <w:t xml:space="preserve">How are fuel mixtures accounted for, and are there fuel mixes with fuel components that do not qualify under the state renewable portfolio standard (RCW 19.285)? </w:t>
      </w:r>
    </w:p>
    <w:p w:rsidR="00185999" w:rsidRDefault="00185999" w:rsidP="00B901BD">
      <w:pPr>
        <w:spacing w:after="0" w:line="360" w:lineRule="auto"/>
        <w:contextualSpacing/>
        <w:jc w:val="both"/>
        <w:rPr>
          <w:rFonts w:ascii="Times New Roman" w:hAnsi="Times New Roman"/>
          <w:sz w:val="24"/>
          <w:szCs w:val="24"/>
        </w:rPr>
      </w:pPr>
    </w:p>
    <w:p w:rsidR="00727D30" w:rsidRPr="00727D30" w:rsidRDefault="00ED315C" w:rsidP="00B901BD">
      <w:pPr>
        <w:spacing w:after="0" w:line="360" w:lineRule="auto"/>
        <w:ind w:left="720"/>
        <w:contextualSpacing/>
        <w:jc w:val="both"/>
        <w:rPr>
          <w:rFonts w:ascii="Times New Roman" w:hAnsi="Times New Roman"/>
          <w:sz w:val="24"/>
        </w:rPr>
      </w:pPr>
      <w:r w:rsidRPr="00727D30">
        <w:rPr>
          <w:rFonts w:ascii="Times New Roman" w:hAnsi="Times New Roman"/>
          <w:b/>
          <w:sz w:val="24"/>
          <w:szCs w:val="24"/>
        </w:rPr>
        <w:t>RESPONSE:</w:t>
      </w:r>
      <w:r w:rsidRPr="00727D30">
        <w:rPr>
          <w:rFonts w:ascii="Times New Roman" w:hAnsi="Times New Roman"/>
          <w:sz w:val="24"/>
          <w:szCs w:val="24"/>
        </w:rPr>
        <w:t xml:space="preserve">  </w:t>
      </w:r>
      <w:r w:rsidR="00727D30" w:rsidRPr="00727D30">
        <w:rPr>
          <w:rFonts w:ascii="Times New Roman" w:hAnsi="Times New Roman"/>
          <w:sz w:val="24"/>
        </w:rPr>
        <w:t xml:space="preserve">Avista does not have any experience with this issue.  All of the biogas resources that we have studied through the IRP or RFPs for renewable resources would have received fuel from a single source, such as animal waste or landfill gas.   </w:t>
      </w:r>
    </w:p>
    <w:p w:rsidR="00ED315C" w:rsidRPr="00C4686F" w:rsidRDefault="00ED315C" w:rsidP="00B901BD">
      <w:pPr>
        <w:spacing w:after="0" w:line="360" w:lineRule="auto"/>
        <w:ind w:left="720"/>
        <w:contextualSpacing/>
        <w:jc w:val="both"/>
        <w:rPr>
          <w:rFonts w:ascii="Times New Roman" w:hAnsi="Times New Roman"/>
          <w:sz w:val="24"/>
          <w:szCs w:val="24"/>
        </w:rPr>
      </w:pPr>
    </w:p>
    <w:p w:rsidR="00185999" w:rsidRPr="00C4686F" w:rsidRDefault="00185999" w:rsidP="00B901BD">
      <w:pPr>
        <w:numPr>
          <w:ilvl w:val="0"/>
          <w:numId w:val="21"/>
        </w:numPr>
        <w:spacing w:after="0" w:line="360" w:lineRule="auto"/>
        <w:contextualSpacing/>
        <w:jc w:val="both"/>
        <w:rPr>
          <w:rFonts w:ascii="Times New Roman" w:hAnsi="Times New Roman"/>
          <w:sz w:val="24"/>
          <w:szCs w:val="24"/>
        </w:rPr>
      </w:pPr>
      <w:r w:rsidRPr="00C4686F">
        <w:rPr>
          <w:rFonts w:ascii="Times New Roman" w:hAnsi="Times New Roman"/>
          <w:sz w:val="24"/>
          <w:szCs w:val="24"/>
        </w:rPr>
        <w:t xml:space="preserve">What is the range of project capacity sizes for biogas generation resources and how does that compare to the capacity sizes for projects that qualify for published PURPA rates? </w:t>
      </w:r>
    </w:p>
    <w:p w:rsidR="00185999" w:rsidRDefault="00185999" w:rsidP="004B0C88">
      <w:pPr>
        <w:spacing w:after="0" w:line="360" w:lineRule="auto"/>
        <w:contextualSpacing/>
        <w:rPr>
          <w:rFonts w:ascii="Times New Roman" w:hAnsi="Times New Roman"/>
          <w:sz w:val="24"/>
          <w:szCs w:val="24"/>
        </w:rPr>
      </w:pPr>
    </w:p>
    <w:p w:rsidR="00727D30" w:rsidRPr="00727D30" w:rsidRDefault="00ED315C" w:rsidP="004B0C88">
      <w:pPr>
        <w:spacing w:after="0" w:line="360" w:lineRule="auto"/>
        <w:ind w:left="720"/>
        <w:contextualSpacing/>
        <w:jc w:val="both"/>
        <w:rPr>
          <w:rFonts w:ascii="Times New Roman" w:hAnsi="Times New Roman"/>
          <w:sz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00727D30" w:rsidRPr="00727D30">
        <w:rPr>
          <w:rFonts w:ascii="Times New Roman" w:hAnsi="Times New Roman"/>
          <w:sz w:val="24"/>
        </w:rPr>
        <w:t xml:space="preserve">The range of project capacity sizes for biogas generation resources is directly related to the size of the gas resource being used for fuel.  Most of the capacity sizes are relatively small compared to normal utility scale resources, generally in the 1 to 5 MW range.  </w:t>
      </w:r>
    </w:p>
    <w:p w:rsidR="00ED315C" w:rsidRPr="00C4686F" w:rsidRDefault="00ED315C" w:rsidP="004B0C88">
      <w:pPr>
        <w:spacing w:after="0" w:line="360" w:lineRule="auto"/>
        <w:ind w:left="720"/>
        <w:contextualSpacing/>
        <w:rPr>
          <w:rFonts w:ascii="Times New Roman" w:hAnsi="Times New Roman"/>
          <w:sz w:val="24"/>
          <w:szCs w:val="24"/>
        </w:rPr>
      </w:pPr>
    </w:p>
    <w:p w:rsidR="00185999" w:rsidRPr="00C4686F" w:rsidRDefault="00185999" w:rsidP="00B901BD">
      <w:pPr>
        <w:numPr>
          <w:ilvl w:val="0"/>
          <w:numId w:val="21"/>
        </w:numPr>
        <w:spacing w:after="0" w:line="360" w:lineRule="auto"/>
        <w:contextualSpacing/>
        <w:jc w:val="both"/>
        <w:rPr>
          <w:rFonts w:ascii="Times New Roman" w:hAnsi="Times New Roman"/>
          <w:sz w:val="24"/>
          <w:szCs w:val="24"/>
        </w:rPr>
      </w:pPr>
      <w:r w:rsidRPr="00C4686F">
        <w:rPr>
          <w:rFonts w:ascii="Times New Roman" w:hAnsi="Times New Roman"/>
          <w:sz w:val="24"/>
          <w:szCs w:val="24"/>
        </w:rPr>
        <w:t>What is the status of municipal green stream digester development, including the status of the eligibility of those projects or potential projects under RCW 19.285?</w:t>
      </w:r>
    </w:p>
    <w:p w:rsidR="00185999" w:rsidRPr="00C4686F" w:rsidRDefault="00185999" w:rsidP="00B901BD">
      <w:pPr>
        <w:spacing w:after="0" w:line="360" w:lineRule="auto"/>
        <w:contextualSpacing/>
        <w:jc w:val="both"/>
        <w:rPr>
          <w:rFonts w:ascii="Times New Roman" w:hAnsi="Times New Roman"/>
          <w:sz w:val="24"/>
          <w:szCs w:val="24"/>
        </w:rPr>
      </w:pPr>
    </w:p>
    <w:p w:rsidR="00727D30" w:rsidRPr="009E748F" w:rsidRDefault="00ED315C" w:rsidP="004B0C88">
      <w:pPr>
        <w:spacing w:after="0" w:line="360" w:lineRule="auto"/>
        <w:ind w:left="720"/>
        <w:contextualSpacing/>
        <w:jc w:val="both"/>
        <w:rPr>
          <w:sz w:val="24"/>
        </w:rPr>
      </w:pPr>
      <w:r w:rsidRPr="00ED315C">
        <w:rPr>
          <w:rFonts w:ascii="Times New Roman" w:hAnsi="Times New Roman"/>
          <w:b/>
          <w:sz w:val="24"/>
          <w:szCs w:val="24"/>
        </w:rPr>
        <w:t>RESPONSE</w:t>
      </w:r>
      <w:r w:rsidRPr="00727D30">
        <w:rPr>
          <w:rFonts w:ascii="Times New Roman" w:hAnsi="Times New Roman"/>
          <w:b/>
          <w:sz w:val="24"/>
          <w:szCs w:val="24"/>
        </w:rPr>
        <w:t>:</w:t>
      </w:r>
      <w:r w:rsidRPr="00727D30">
        <w:rPr>
          <w:rFonts w:ascii="Times New Roman" w:hAnsi="Times New Roman"/>
          <w:sz w:val="24"/>
          <w:szCs w:val="24"/>
        </w:rPr>
        <w:t xml:space="preserve">  </w:t>
      </w:r>
      <w:r w:rsidR="00727D30" w:rsidRPr="00727D30">
        <w:rPr>
          <w:rFonts w:ascii="Times New Roman" w:hAnsi="Times New Roman"/>
          <w:sz w:val="24"/>
        </w:rPr>
        <w:t>Avista has not done any research into this topic</w:t>
      </w:r>
      <w:r w:rsidR="00727D30">
        <w:rPr>
          <w:sz w:val="24"/>
        </w:rPr>
        <w:t>.</w:t>
      </w:r>
    </w:p>
    <w:p w:rsidR="00185999" w:rsidRPr="00C4686F" w:rsidRDefault="00185999" w:rsidP="004B0C88">
      <w:pPr>
        <w:spacing w:after="0" w:line="360" w:lineRule="auto"/>
        <w:ind w:left="720"/>
        <w:contextualSpacing/>
        <w:rPr>
          <w:rFonts w:ascii="Times New Roman" w:hAnsi="Times New Roman"/>
          <w:sz w:val="24"/>
          <w:szCs w:val="24"/>
        </w:rPr>
      </w:pPr>
    </w:p>
    <w:p w:rsidR="00185999" w:rsidRPr="00B901BD" w:rsidRDefault="00185999" w:rsidP="004B0C88">
      <w:pPr>
        <w:pStyle w:val="ListParagraph"/>
        <w:widowControl w:val="0"/>
        <w:numPr>
          <w:ilvl w:val="0"/>
          <w:numId w:val="22"/>
        </w:numPr>
        <w:autoSpaceDE w:val="0"/>
        <w:autoSpaceDN w:val="0"/>
        <w:adjustRightInd w:val="0"/>
        <w:spacing w:after="0" w:line="360" w:lineRule="auto"/>
        <w:rPr>
          <w:rFonts w:ascii="Times New Roman" w:hAnsi="Times New Roman"/>
          <w:b/>
          <w:sz w:val="24"/>
          <w:szCs w:val="24"/>
        </w:rPr>
      </w:pPr>
      <w:r w:rsidRPr="00B901BD">
        <w:rPr>
          <w:rFonts w:ascii="Times New Roman" w:hAnsi="Times New Roman"/>
          <w:b/>
          <w:sz w:val="24"/>
          <w:szCs w:val="24"/>
        </w:rPr>
        <w:t xml:space="preserve"> Financial Incentives: </w:t>
      </w:r>
    </w:p>
    <w:p w:rsidR="00185999" w:rsidRDefault="00185999" w:rsidP="00B901BD">
      <w:pPr>
        <w:pStyle w:val="ListParagraph"/>
        <w:numPr>
          <w:ilvl w:val="0"/>
          <w:numId w:val="24"/>
        </w:numPr>
        <w:spacing w:after="0" w:line="360" w:lineRule="auto"/>
        <w:jc w:val="both"/>
        <w:rPr>
          <w:rFonts w:ascii="Times New Roman" w:hAnsi="Times New Roman"/>
          <w:sz w:val="24"/>
          <w:szCs w:val="24"/>
        </w:rPr>
      </w:pPr>
      <w:r w:rsidRPr="00C4686F">
        <w:rPr>
          <w:rFonts w:ascii="Times New Roman" w:hAnsi="Times New Roman"/>
          <w:sz w:val="24"/>
          <w:szCs w:val="24"/>
        </w:rPr>
        <w:t xml:space="preserve">If the cost of building a distributed energy resource is not yet competitive, and a subsidy is recommended, what form of subsidy is best?  </w:t>
      </w:r>
    </w:p>
    <w:p w:rsidR="00561EE5" w:rsidRPr="00C4686F" w:rsidRDefault="00561EE5" w:rsidP="00561EE5">
      <w:pPr>
        <w:pStyle w:val="ListParagraph"/>
        <w:spacing w:after="0" w:line="360" w:lineRule="auto"/>
        <w:rPr>
          <w:rFonts w:ascii="Times New Roman" w:hAnsi="Times New Roman"/>
          <w:sz w:val="24"/>
          <w:szCs w:val="24"/>
        </w:rPr>
      </w:pPr>
    </w:p>
    <w:p w:rsidR="00707990" w:rsidRDefault="00ED315C" w:rsidP="004B0C88">
      <w:pPr>
        <w:spacing w:after="0" w:line="360" w:lineRule="auto"/>
        <w:ind w:left="720"/>
        <w:jc w:val="both"/>
        <w:rPr>
          <w:rFonts w:ascii="Times New Roman" w:hAnsi="Times New Roman"/>
          <w:sz w:val="24"/>
        </w:rPr>
      </w:pPr>
      <w:r w:rsidRPr="00ED315C">
        <w:rPr>
          <w:rFonts w:ascii="Times New Roman" w:hAnsi="Times New Roman"/>
          <w:b/>
          <w:sz w:val="24"/>
          <w:szCs w:val="24"/>
        </w:rPr>
        <w:lastRenderedPageBreak/>
        <w:t>RESPONSE:</w:t>
      </w:r>
      <w:r w:rsidRPr="00ED315C">
        <w:rPr>
          <w:rFonts w:ascii="Times New Roman" w:hAnsi="Times New Roman"/>
          <w:sz w:val="24"/>
          <w:szCs w:val="24"/>
        </w:rPr>
        <w:t xml:space="preserve">  </w:t>
      </w:r>
      <w:r w:rsidR="00707990" w:rsidRPr="00DC0183">
        <w:rPr>
          <w:rFonts w:ascii="Times New Roman" w:hAnsi="Times New Roman"/>
          <w:sz w:val="24"/>
        </w:rPr>
        <w:t>A subsidy for distributed generation can be provided through two systemic mechanisms.  One requires an interconnecting electric utility to assume costs on behalf of the generator and to recover those costs from its customers; the subsidy entails a cost-shift.  A second conduit for a subsidy involves the dedication of public resources to the generator.</w:t>
      </w:r>
    </w:p>
    <w:p w:rsidR="00561EE5" w:rsidRPr="00DC0183" w:rsidRDefault="00561EE5" w:rsidP="004B0C88">
      <w:pPr>
        <w:spacing w:after="0" w:line="360" w:lineRule="auto"/>
        <w:ind w:left="720"/>
        <w:jc w:val="both"/>
        <w:rPr>
          <w:rFonts w:ascii="Times New Roman" w:hAnsi="Times New Roman"/>
          <w:sz w:val="24"/>
        </w:rPr>
      </w:pPr>
      <w:r>
        <w:rPr>
          <w:rFonts w:ascii="Times New Roman" w:hAnsi="Times New Roman"/>
          <w:sz w:val="24"/>
        </w:rPr>
        <w:tab/>
      </w:r>
    </w:p>
    <w:p w:rsidR="00707990" w:rsidRDefault="00707990" w:rsidP="00B901BD">
      <w:pPr>
        <w:spacing w:after="0" w:line="360" w:lineRule="auto"/>
        <w:ind w:left="720"/>
        <w:jc w:val="both"/>
        <w:rPr>
          <w:rFonts w:ascii="Times New Roman" w:hAnsi="Times New Roman"/>
          <w:sz w:val="24"/>
        </w:rPr>
      </w:pPr>
      <w:r w:rsidRPr="00DC0183">
        <w:rPr>
          <w:rFonts w:ascii="Times New Roman" w:hAnsi="Times New Roman"/>
          <w:sz w:val="24"/>
        </w:rPr>
        <w:t>Policies promoting distributed generation have been justified on the basis of their environmental attributes, particularly their role in reducing greenhouse gas emissions.   This rationale overlooks the greater efficacy of environmental regulations which have and will continually require electric utilities that generate electricity with fossil-fuels to reduce emissions from their facilities and to acquire more efficient generation technologies over time.  More significant and cost-effective emission reductions can be achieved with central station generation than from measures to encourage piece-meal development of distributed generation.  Encouragement of distributed generation through a subsidy may not directly achieve significant environmental objectives, especially when compared to the amount of emission reductions achieved through environmental regulations.  In other words, policies to advance distributed generation deployment based on environmental reasons have a societal, or “social”, underpinning.  Subsidies for distributed generation are, in addition, often pursued on the grounds that they will spur the creation of new jobs in the installation and manufacturing of distributed generation technologies; this objective is clearly a societal one</w:t>
      </w:r>
      <w:r w:rsidR="00707BA6">
        <w:rPr>
          <w:rFonts w:ascii="Times New Roman" w:hAnsi="Times New Roman"/>
          <w:sz w:val="24"/>
        </w:rPr>
        <w:t>, the costs of which should be socialized accordingly</w:t>
      </w:r>
    </w:p>
    <w:p w:rsidR="00561EE5" w:rsidRPr="00DC0183" w:rsidRDefault="00561EE5" w:rsidP="00561EE5">
      <w:pPr>
        <w:spacing w:after="0" w:line="360" w:lineRule="auto"/>
        <w:ind w:left="720" w:firstLine="720"/>
        <w:jc w:val="both"/>
        <w:rPr>
          <w:rFonts w:ascii="Times New Roman" w:hAnsi="Times New Roman"/>
          <w:sz w:val="24"/>
        </w:rPr>
      </w:pPr>
      <w:r>
        <w:rPr>
          <w:rFonts w:ascii="Times New Roman" w:hAnsi="Times New Roman"/>
          <w:sz w:val="24"/>
        </w:rPr>
        <w:tab/>
      </w:r>
    </w:p>
    <w:p w:rsidR="00707990" w:rsidRDefault="00707990" w:rsidP="00B901BD">
      <w:pPr>
        <w:spacing w:after="0" w:line="360" w:lineRule="auto"/>
        <w:ind w:left="720"/>
        <w:jc w:val="both"/>
        <w:rPr>
          <w:rFonts w:ascii="Times New Roman" w:hAnsi="Times New Roman"/>
          <w:sz w:val="24"/>
        </w:rPr>
      </w:pPr>
      <w:r w:rsidRPr="00DC0183">
        <w:rPr>
          <w:rFonts w:ascii="Times New Roman" w:hAnsi="Times New Roman"/>
          <w:sz w:val="24"/>
        </w:rPr>
        <w:t xml:space="preserve">Social policy objectives should be supported with public resources.  Utilities should not be used as instrumentalities for conveying a subsidy for distributed generators, especially when those subsidies necessitate that associated costs or risks must be borne by utility customers.  Utility customers, as a general proposition, should not subsidize distributed generation unless the value of the subsidy is offset with a commensurate economic benefit, which is a proposition that assumes ratepayers would experience no quantifiable </w:t>
      </w:r>
      <w:r w:rsidRPr="00DC0183">
        <w:rPr>
          <w:rFonts w:ascii="Times New Roman" w:hAnsi="Times New Roman"/>
          <w:sz w:val="24"/>
        </w:rPr>
        <w:lastRenderedPageBreak/>
        <w:t xml:space="preserve">economic impact by the “subsidy”.  Ensuring that ratepayers would be kept financially indifferent to the existence of a subsidy may be difficult to achieve.  </w:t>
      </w:r>
    </w:p>
    <w:p w:rsidR="00561EE5" w:rsidRPr="00DC0183" w:rsidRDefault="00561EE5" w:rsidP="00561EE5">
      <w:pPr>
        <w:spacing w:after="0" w:line="360" w:lineRule="auto"/>
        <w:ind w:left="720" w:firstLine="720"/>
        <w:jc w:val="both"/>
        <w:rPr>
          <w:rFonts w:ascii="Times New Roman" w:hAnsi="Times New Roman"/>
          <w:sz w:val="24"/>
        </w:rPr>
      </w:pPr>
    </w:p>
    <w:p w:rsidR="00707990" w:rsidRPr="00DC0183" w:rsidRDefault="00707990" w:rsidP="00B901BD">
      <w:pPr>
        <w:spacing w:after="0" w:line="360" w:lineRule="auto"/>
        <w:ind w:left="720"/>
        <w:jc w:val="both"/>
        <w:rPr>
          <w:rFonts w:ascii="Times New Roman" w:hAnsi="Times New Roman"/>
          <w:sz w:val="24"/>
        </w:rPr>
      </w:pPr>
      <w:r w:rsidRPr="00DC0183">
        <w:rPr>
          <w:rFonts w:ascii="Times New Roman" w:hAnsi="Times New Roman"/>
          <w:sz w:val="24"/>
        </w:rPr>
        <w:t xml:space="preserve">A preferable subsidy is one that assumes the form of a government administered one that respects the prohibition in Washington State’s Constitution on the lending public credit.  Such a subsidy could replicate the existing investment cost recovery program; perhaps the amount of the incentive could be increased and/or the scope of the program expanded to apply to larger generators.  Another subsidy could be predicated on the current sales and use tax exemptions for machinery and equipment used to generate solar energy; this exemption could be altered to encompass more distributed generation technologies.  </w:t>
      </w:r>
    </w:p>
    <w:p w:rsidR="00561EE5" w:rsidRDefault="00561EE5" w:rsidP="004B0C88">
      <w:pPr>
        <w:spacing w:after="0" w:line="360" w:lineRule="auto"/>
        <w:ind w:left="720"/>
        <w:jc w:val="both"/>
        <w:rPr>
          <w:rFonts w:ascii="Times New Roman" w:hAnsi="Times New Roman"/>
          <w:sz w:val="24"/>
        </w:rPr>
      </w:pPr>
    </w:p>
    <w:p w:rsidR="00707990" w:rsidRDefault="00707990" w:rsidP="00B901BD">
      <w:pPr>
        <w:spacing w:after="0" w:line="360" w:lineRule="auto"/>
        <w:ind w:left="720"/>
        <w:jc w:val="both"/>
        <w:rPr>
          <w:rFonts w:ascii="Times New Roman" w:hAnsi="Times New Roman"/>
          <w:sz w:val="24"/>
        </w:rPr>
      </w:pPr>
      <w:r w:rsidRPr="00DC0183">
        <w:rPr>
          <w:rFonts w:ascii="Times New Roman" w:hAnsi="Times New Roman"/>
          <w:sz w:val="24"/>
        </w:rPr>
        <w:t>One financial incentive that would not cause a cost-shift to occur among utility customers or necessitate the deployment of public resources is one that encourages utility investment in distributed generation.  One such incentive is already embodied in Initiative 937 (Chapter 19.285 RCW).  As mentioned earlier, the acquisition of distributed generation or its associated renewable energy credits may be counted by a “qualifying utility” against the Initiative 937’s renewable energy standards at double the value of the resource’s output.  This “multiplier” does not seem to encourag</w:t>
      </w:r>
      <w:r w:rsidR="00DB7099">
        <w:rPr>
          <w:rFonts w:ascii="Times New Roman" w:hAnsi="Times New Roman"/>
          <w:sz w:val="24"/>
        </w:rPr>
        <w:t>e</w:t>
      </w:r>
      <w:r w:rsidRPr="00DC0183">
        <w:rPr>
          <w:rFonts w:ascii="Times New Roman" w:hAnsi="Times New Roman"/>
          <w:sz w:val="24"/>
        </w:rPr>
        <w:t xml:space="preserve"> much, if any, acquisition of distributed generation; this would indicate that doubling the value of distributed generation for the purposes of complying with the renewable energy standards may be inadequate to compensate for the higher cost of distributed generation compared to other compliance options.   We encourage the Commission to investigate this issue and identify a multiplier that would level the compliance value of distributed generation technologies with that of commercial wind resources.</w:t>
      </w:r>
    </w:p>
    <w:p w:rsidR="00561EE5" w:rsidRPr="00DC0183" w:rsidRDefault="00561EE5" w:rsidP="00561EE5">
      <w:pPr>
        <w:spacing w:after="0" w:line="360" w:lineRule="auto"/>
        <w:ind w:left="720" w:firstLine="720"/>
        <w:jc w:val="both"/>
        <w:rPr>
          <w:rFonts w:ascii="Times New Roman" w:hAnsi="Times New Roman"/>
          <w:sz w:val="24"/>
        </w:rPr>
      </w:pPr>
    </w:p>
    <w:p w:rsidR="00185999" w:rsidRDefault="00185999" w:rsidP="00B901BD">
      <w:pPr>
        <w:pStyle w:val="ListParagraph"/>
        <w:numPr>
          <w:ilvl w:val="0"/>
          <w:numId w:val="24"/>
        </w:numPr>
        <w:spacing w:after="0" w:line="360" w:lineRule="auto"/>
        <w:jc w:val="both"/>
        <w:rPr>
          <w:rFonts w:ascii="Times New Roman" w:hAnsi="Times New Roman"/>
          <w:sz w:val="24"/>
          <w:szCs w:val="24"/>
        </w:rPr>
      </w:pPr>
      <w:r w:rsidRPr="00C4686F">
        <w:rPr>
          <w:rFonts w:ascii="Times New Roman" w:hAnsi="Times New Roman"/>
          <w:sz w:val="24"/>
          <w:szCs w:val="24"/>
        </w:rPr>
        <w:t xml:space="preserve">What effect would the subsidy have on encouraging the building of the resource versus research and development? </w:t>
      </w:r>
    </w:p>
    <w:p w:rsidR="00561EE5" w:rsidRPr="00C4686F" w:rsidRDefault="00561EE5" w:rsidP="00561EE5">
      <w:pPr>
        <w:pStyle w:val="ListParagraph"/>
        <w:spacing w:after="0" w:line="360" w:lineRule="auto"/>
        <w:rPr>
          <w:rFonts w:ascii="Times New Roman" w:hAnsi="Times New Roman"/>
          <w:sz w:val="24"/>
          <w:szCs w:val="24"/>
        </w:rPr>
      </w:pPr>
    </w:p>
    <w:p w:rsidR="00707990" w:rsidRDefault="00ED315C" w:rsidP="004B0C88">
      <w:pPr>
        <w:spacing w:after="0" w:line="360" w:lineRule="auto"/>
        <w:ind w:left="720"/>
        <w:jc w:val="both"/>
        <w:rPr>
          <w:rFonts w:ascii="Times New Roman" w:hAnsi="Times New Roman"/>
          <w:sz w:val="24"/>
        </w:rPr>
      </w:pPr>
      <w:r w:rsidRPr="00ED315C">
        <w:rPr>
          <w:rFonts w:ascii="Times New Roman" w:hAnsi="Times New Roman"/>
          <w:b/>
          <w:sz w:val="24"/>
          <w:szCs w:val="24"/>
        </w:rPr>
        <w:t>RESPONSE:</w:t>
      </w:r>
      <w:r w:rsidRPr="00ED315C">
        <w:rPr>
          <w:rFonts w:ascii="Times New Roman" w:hAnsi="Times New Roman"/>
          <w:sz w:val="24"/>
          <w:szCs w:val="24"/>
        </w:rPr>
        <w:t xml:space="preserve">  </w:t>
      </w:r>
      <w:r w:rsidR="00707990" w:rsidRPr="00DC0183">
        <w:rPr>
          <w:rFonts w:ascii="Times New Roman" w:hAnsi="Times New Roman"/>
          <w:sz w:val="24"/>
        </w:rPr>
        <w:t xml:space="preserve">This question raises an important public policy question, to wit:  Should a subsidy be sufficient to encourage development of existing distributed energy </w:t>
      </w:r>
      <w:r w:rsidR="00707990" w:rsidRPr="00DC0183">
        <w:rPr>
          <w:rFonts w:ascii="Times New Roman" w:hAnsi="Times New Roman"/>
          <w:sz w:val="24"/>
        </w:rPr>
        <w:lastRenderedPageBreak/>
        <w:t>technologies, or should it be designed to promote the deployment of innovative technologies that have not been fully commercialized?</w:t>
      </w:r>
    </w:p>
    <w:p w:rsidR="00487DD4" w:rsidRPr="00DC0183" w:rsidRDefault="00487DD4" w:rsidP="004B0C88">
      <w:pPr>
        <w:spacing w:after="0" w:line="360" w:lineRule="auto"/>
        <w:ind w:left="720"/>
        <w:jc w:val="both"/>
        <w:rPr>
          <w:rFonts w:ascii="Times New Roman" w:hAnsi="Times New Roman"/>
          <w:sz w:val="24"/>
        </w:rPr>
      </w:pPr>
    </w:p>
    <w:p w:rsidR="00707990" w:rsidRDefault="00707990" w:rsidP="00B901BD">
      <w:pPr>
        <w:spacing w:after="0" w:line="360" w:lineRule="auto"/>
        <w:ind w:left="720"/>
        <w:jc w:val="both"/>
        <w:rPr>
          <w:rFonts w:ascii="Times New Roman" w:hAnsi="Times New Roman"/>
          <w:sz w:val="24"/>
        </w:rPr>
      </w:pPr>
      <w:r w:rsidRPr="00DC0183">
        <w:rPr>
          <w:rFonts w:ascii="Times New Roman" w:hAnsi="Times New Roman"/>
          <w:sz w:val="24"/>
        </w:rPr>
        <w:t>The goal of encouraging deployment of a resource is different than an objective of promoting investment in research and development.  The latter proposition seems likely to involve the offering of an incentive that would encourage the deployment of commercially unproven technologies – and, more likely than not, it would involve an assumption of costs associated with any risks that may be attendant with them.  In other words, the subsidy (of whatever form) may need to be more generous than one designed to stimulate investment in commercially proven technologies, which may only require a subsidy that is adequate to buy-down the above market cost of the resource.   The cost of a subsidy to promote technology research and development on utility customers and/or taxpayers may be greater than one designed to promote the use of commercialized technologies.</w:t>
      </w:r>
    </w:p>
    <w:p w:rsidR="00487DD4" w:rsidRPr="00DC0183" w:rsidRDefault="00487DD4" w:rsidP="00487DD4">
      <w:pPr>
        <w:spacing w:after="0" w:line="360" w:lineRule="auto"/>
        <w:ind w:left="720" w:firstLine="720"/>
        <w:jc w:val="both"/>
        <w:rPr>
          <w:rFonts w:ascii="Times New Roman" w:hAnsi="Times New Roman"/>
          <w:sz w:val="24"/>
        </w:rPr>
      </w:pPr>
    </w:p>
    <w:p w:rsidR="00185999" w:rsidRPr="00FE7769" w:rsidRDefault="00185999" w:rsidP="00B901BD">
      <w:pPr>
        <w:pStyle w:val="ListParagraph"/>
        <w:numPr>
          <w:ilvl w:val="0"/>
          <w:numId w:val="24"/>
        </w:numPr>
        <w:spacing w:after="0" w:line="360" w:lineRule="auto"/>
        <w:jc w:val="both"/>
        <w:rPr>
          <w:rFonts w:ascii="Times New Roman" w:hAnsi="Times New Roman"/>
          <w:sz w:val="24"/>
          <w:szCs w:val="24"/>
        </w:rPr>
      </w:pPr>
      <w:r w:rsidRPr="00FE7769">
        <w:rPr>
          <w:rFonts w:ascii="Times New Roman" w:hAnsi="Times New Roman"/>
          <w:sz w:val="24"/>
          <w:szCs w:val="24"/>
        </w:rPr>
        <w:t xml:space="preserve">Should subsidies, incentives or renewable energy credits be paid or created for power generated through distributed resources while market prices are negative?   </w:t>
      </w:r>
    </w:p>
    <w:p w:rsidR="00E711AC" w:rsidRPr="00707990" w:rsidRDefault="00E711AC" w:rsidP="00B901BD">
      <w:pPr>
        <w:pStyle w:val="ListParagraph"/>
        <w:spacing w:after="0" w:line="360" w:lineRule="auto"/>
        <w:jc w:val="both"/>
        <w:rPr>
          <w:rFonts w:ascii="Times New Roman" w:hAnsi="Times New Roman"/>
          <w:sz w:val="24"/>
          <w:szCs w:val="24"/>
          <w:highlight w:val="yellow"/>
        </w:rPr>
      </w:pPr>
    </w:p>
    <w:p w:rsidR="00FE7769" w:rsidRPr="00B901BD" w:rsidRDefault="00ED315C" w:rsidP="00B901BD">
      <w:pPr>
        <w:spacing w:after="0" w:line="360" w:lineRule="auto"/>
        <w:ind w:left="720"/>
        <w:jc w:val="both"/>
        <w:rPr>
          <w:rFonts w:ascii="Times New Roman" w:hAnsi="Times New Roman"/>
          <w:sz w:val="24"/>
          <w:szCs w:val="24"/>
        </w:rPr>
      </w:pPr>
      <w:r w:rsidRPr="00FE7769">
        <w:rPr>
          <w:rFonts w:ascii="Times New Roman" w:hAnsi="Times New Roman"/>
          <w:b/>
          <w:sz w:val="24"/>
          <w:szCs w:val="24"/>
        </w:rPr>
        <w:t>RESPONSE:</w:t>
      </w:r>
      <w:r w:rsidRPr="00FE7769">
        <w:rPr>
          <w:rFonts w:ascii="Times New Roman" w:hAnsi="Times New Roman"/>
          <w:sz w:val="24"/>
          <w:szCs w:val="24"/>
        </w:rPr>
        <w:t xml:space="preserve">  </w:t>
      </w:r>
      <w:r w:rsidR="00B901BD" w:rsidRPr="00B901BD">
        <w:rPr>
          <w:rFonts w:ascii="Times New Roman" w:hAnsi="Times New Roman"/>
          <w:sz w:val="24"/>
          <w:szCs w:val="24"/>
        </w:rPr>
        <w:t xml:space="preserve">No, there should not be any subsidies, incentives or renewable energy credits paid or created for power generated through distributed resources while market prices are negative.  </w:t>
      </w:r>
      <w:r w:rsidR="00FE7769" w:rsidRPr="00B901BD">
        <w:rPr>
          <w:rFonts w:ascii="Times New Roman" w:hAnsi="Times New Roman"/>
          <w:sz w:val="24"/>
          <w:szCs w:val="24"/>
        </w:rPr>
        <w:t xml:space="preserve">  </w:t>
      </w:r>
    </w:p>
    <w:p w:rsidR="0098013B" w:rsidRPr="00C4686F" w:rsidRDefault="0098013B" w:rsidP="00502988">
      <w:pPr>
        <w:pStyle w:val="ListParagraph"/>
        <w:spacing w:after="0" w:line="240" w:lineRule="auto"/>
        <w:jc w:val="both"/>
        <w:rPr>
          <w:rFonts w:ascii="Times New Roman" w:hAnsi="Times New Roman"/>
          <w:sz w:val="24"/>
          <w:szCs w:val="24"/>
        </w:rPr>
      </w:pPr>
    </w:p>
    <w:p w:rsidR="00C24B26" w:rsidRPr="00C4686F" w:rsidRDefault="00C06FD2" w:rsidP="004B0C88">
      <w:pPr>
        <w:pStyle w:val="NoSpacing"/>
        <w:spacing w:line="360" w:lineRule="auto"/>
        <w:ind w:firstLine="547"/>
        <w:jc w:val="both"/>
        <w:rPr>
          <w:rFonts w:ascii="Times New Roman" w:hAnsi="Times New Roman"/>
          <w:sz w:val="24"/>
          <w:szCs w:val="24"/>
        </w:rPr>
      </w:pPr>
      <w:r w:rsidRPr="00C4686F">
        <w:rPr>
          <w:rFonts w:ascii="Times New Roman" w:hAnsi="Times New Roman"/>
          <w:sz w:val="24"/>
          <w:szCs w:val="24"/>
        </w:rPr>
        <w:t xml:space="preserve">Avista looks forward to participating in the upcoming </w:t>
      </w:r>
      <w:r w:rsidR="00185999" w:rsidRPr="00C4686F">
        <w:rPr>
          <w:rFonts w:ascii="Times New Roman" w:hAnsi="Times New Roman"/>
          <w:sz w:val="24"/>
          <w:szCs w:val="24"/>
        </w:rPr>
        <w:t>Work Session</w:t>
      </w:r>
      <w:r w:rsidR="00B901BD">
        <w:rPr>
          <w:rFonts w:ascii="Times New Roman" w:hAnsi="Times New Roman"/>
          <w:sz w:val="24"/>
          <w:szCs w:val="24"/>
        </w:rPr>
        <w:t xml:space="preserve"> on July 25, 2011</w:t>
      </w:r>
      <w:r w:rsidRPr="00C4686F">
        <w:rPr>
          <w:rFonts w:ascii="Times New Roman" w:hAnsi="Times New Roman"/>
          <w:sz w:val="24"/>
          <w:szCs w:val="24"/>
        </w:rPr>
        <w:t>.  I</w:t>
      </w:r>
      <w:r w:rsidR="00C24B26" w:rsidRPr="00C4686F">
        <w:rPr>
          <w:rFonts w:ascii="Times New Roman" w:hAnsi="Times New Roman"/>
          <w:sz w:val="24"/>
          <w:szCs w:val="24"/>
        </w:rPr>
        <w:t>f you have any questions</w:t>
      </w:r>
      <w:r w:rsidRPr="00C4686F">
        <w:rPr>
          <w:rFonts w:ascii="Times New Roman" w:hAnsi="Times New Roman"/>
          <w:sz w:val="24"/>
          <w:szCs w:val="24"/>
        </w:rPr>
        <w:t xml:space="preserve"> regarding these issues</w:t>
      </w:r>
      <w:r w:rsidR="00C24B26" w:rsidRPr="00C4686F">
        <w:rPr>
          <w:rFonts w:ascii="Times New Roman" w:hAnsi="Times New Roman"/>
          <w:sz w:val="24"/>
          <w:szCs w:val="24"/>
        </w:rPr>
        <w:t xml:space="preserve">, please </w:t>
      </w:r>
      <w:r w:rsidRPr="00C4686F">
        <w:rPr>
          <w:rFonts w:ascii="Times New Roman" w:hAnsi="Times New Roman"/>
          <w:sz w:val="24"/>
          <w:szCs w:val="24"/>
        </w:rPr>
        <w:t xml:space="preserve">contact </w:t>
      </w:r>
      <w:r w:rsidR="00185999" w:rsidRPr="00C4686F">
        <w:rPr>
          <w:rFonts w:ascii="Times New Roman" w:hAnsi="Times New Roman"/>
          <w:sz w:val="24"/>
          <w:szCs w:val="24"/>
        </w:rPr>
        <w:t xml:space="preserve">me </w:t>
      </w:r>
      <w:r w:rsidR="002471FF" w:rsidRPr="00C4686F">
        <w:rPr>
          <w:rFonts w:ascii="Times New Roman" w:hAnsi="Times New Roman"/>
          <w:sz w:val="24"/>
          <w:szCs w:val="24"/>
        </w:rPr>
        <w:t>at 509-495-4975</w:t>
      </w:r>
      <w:r w:rsidRPr="00C4686F">
        <w:rPr>
          <w:rFonts w:ascii="Times New Roman" w:hAnsi="Times New Roman"/>
          <w:sz w:val="24"/>
          <w:szCs w:val="24"/>
        </w:rPr>
        <w:t>.</w:t>
      </w:r>
    </w:p>
    <w:p w:rsidR="00C06FD2" w:rsidRPr="00C4686F" w:rsidRDefault="00C06FD2" w:rsidP="00502988">
      <w:pPr>
        <w:pStyle w:val="NoSpacing"/>
        <w:jc w:val="both"/>
        <w:rPr>
          <w:rFonts w:ascii="Times New Roman" w:hAnsi="Times New Roman"/>
          <w:sz w:val="24"/>
          <w:szCs w:val="24"/>
        </w:rPr>
      </w:pPr>
    </w:p>
    <w:p w:rsidR="00C06FD2" w:rsidRPr="00C4686F" w:rsidRDefault="00C06FD2" w:rsidP="00AA3519">
      <w:pPr>
        <w:pStyle w:val="NoSpacing"/>
        <w:jc w:val="both"/>
        <w:rPr>
          <w:rFonts w:ascii="Times New Roman" w:hAnsi="Times New Roman"/>
          <w:sz w:val="24"/>
          <w:szCs w:val="24"/>
        </w:rPr>
      </w:pPr>
      <w:r w:rsidRPr="00C4686F">
        <w:rPr>
          <w:rFonts w:ascii="Times New Roman" w:hAnsi="Times New Roman"/>
          <w:sz w:val="24"/>
          <w:szCs w:val="24"/>
        </w:rPr>
        <w:t>Sincerely,</w:t>
      </w:r>
    </w:p>
    <w:p w:rsidR="008E4931" w:rsidRPr="00C4686F" w:rsidRDefault="008E4931" w:rsidP="00AA3519">
      <w:pPr>
        <w:pStyle w:val="NoSpacing"/>
        <w:jc w:val="both"/>
        <w:rPr>
          <w:rFonts w:ascii="Times New Roman" w:hAnsi="Times New Roman"/>
          <w:sz w:val="24"/>
          <w:szCs w:val="24"/>
        </w:rPr>
      </w:pPr>
    </w:p>
    <w:p w:rsidR="009A5758" w:rsidRPr="00584293" w:rsidRDefault="009A5758" w:rsidP="00AA3519">
      <w:pPr>
        <w:pStyle w:val="NoSpacing"/>
        <w:jc w:val="both"/>
        <w:rPr>
          <w:rFonts w:ascii="Lucida Handwriting" w:hAnsi="Lucida Handwriting"/>
          <w:sz w:val="24"/>
          <w:szCs w:val="24"/>
        </w:rPr>
      </w:pPr>
      <w:r w:rsidRPr="00584293">
        <w:rPr>
          <w:rFonts w:ascii="Lucida Handwriting" w:hAnsi="Lucida Handwriting"/>
          <w:sz w:val="24"/>
          <w:szCs w:val="24"/>
        </w:rPr>
        <w:t>/s/Linda Gervais</w:t>
      </w:r>
    </w:p>
    <w:p w:rsidR="009A5758" w:rsidRPr="00C4686F" w:rsidRDefault="009A5758" w:rsidP="00AA3519">
      <w:pPr>
        <w:pStyle w:val="NoSpacing"/>
        <w:jc w:val="both"/>
        <w:rPr>
          <w:rFonts w:ascii="Times New Roman" w:hAnsi="Times New Roman"/>
          <w:sz w:val="24"/>
          <w:szCs w:val="24"/>
        </w:rPr>
      </w:pPr>
    </w:p>
    <w:p w:rsidR="00C06FD2"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Linda Gervais</w:t>
      </w:r>
    </w:p>
    <w:p w:rsidR="002471FF"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Manager, Regulatory Policy</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Avista Utilities</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509-495-4975</w:t>
      </w:r>
    </w:p>
    <w:p w:rsidR="00B901BD" w:rsidRPr="00B901BD" w:rsidRDefault="008C73BD" w:rsidP="00AA3519">
      <w:pPr>
        <w:pStyle w:val="NoSpacing"/>
        <w:jc w:val="both"/>
        <w:rPr>
          <w:rFonts w:ascii="Times New Roman" w:hAnsi="Times New Roman"/>
          <w:sz w:val="24"/>
          <w:szCs w:val="24"/>
          <w:lang w:val="fr-FR"/>
        </w:rPr>
      </w:pPr>
      <w:hyperlink r:id="rId9" w:history="1">
        <w:r w:rsidR="00B901BD" w:rsidRPr="00B901BD">
          <w:rPr>
            <w:rStyle w:val="Hyperlink"/>
            <w:rFonts w:ascii="Times New Roman" w:hAnsi="Times New Roman"/>
            <w:sz w:val="24"/>
            <w:szCs w:val="24"/>
            <w:lang w:val="fr-FR"/>
          </w:rPr>
          <w:t>linda.gervais@avistacorp.com</w:t>
        </w:r>
      </w:hyperlink>
    </w:p>
    <w:sectPr w:rsidR="00B901BD" w:rsidRPr="00B901BD" w:rsidSect="00F116F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A03" w:rsidRDefault="005F4A03" w:rsidP="00C06FD2">
      <w:pPr>
        <w:spacing w:after="0" w:line="240" w:lineRule="auto"/>
      </w:pPr>
      <w:r>
        <w:separator/>
      </w:r>
    </w:p>
  </w:endnote>
  <w:endnote w:type="continuationSeparator" w:id="0">
    <w:p w:rsidR="005F4A03" w:rsidRDefault="005F4A03"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69" w:rsidRDefault="008C73BD">
    <w:pPr>
      <w:pStyle w:val="Footer"/>
      <w:pBdr>
        <w:top w:val="single" w:sz="4" w:space="1" w:color="D9D9D9" w:themeColor="background1" w:themeShade="D9"/>
      </w:pBdr>
      <w:jc w:val="right"/>
    </w:pPr>
    <w:fldSimple w:instr=" PAGE   \* MERGEFORMAT ">
      <w:r w:rsidR="0000536B">
        <w:rPr>
          <w:noProof/>
        </w:rPr>
        <w:t>19</w:t>
      </w:r>
    </w:fldSimple>
    <w:r w:rsidR="000D0769">
      <w:t xml:space="preserve"> | </w:t>
    </w:r>
    <w:r w:rsidR="000D0769">
      <w:rPr>
        <w:color w:val="7F7F7F" w:themeColor="background1" w:themeShade="7F"/>
        <w:spacing w:val="60"/>
      </w:rPr>
      <w:t>Page</w:t>
    </w:r>
  </w:p>
  <w:p w:rsidR="000D0769" w:rsidRDefault="000D0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A03" w:rsidRDefault="005F4A03" w:rsidP="00C06FD2">
      <w:pPr>
        <w:spacing w:after="0" w:line="240" w:lineRule="auto"/>
      </w:pPr>
      <w:r>
        <w:separator/>
      </w:r>
    </w:p>
  </w:footnote>
  <w:footnote w:type="continuationSeparator" w:id="0">
    <w:p w:rsidR="005F4A03" w:rsidRDefault="005F4A03" w:rsidP="00C06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30B15"/>
    <w:multiLevelType w:val="hybridMultilevel"/>
    <w:tmpl w:val="AF18A3D8"/>
    <w:lvl w:ilvl="0" w:tplc="E646A914">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595AA3"/>
    <w:multiLevelType w:val="hybridMultilevel"/>
    <w:tmpl w:val="C18C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B2094"/>
    <w:multiLevelType w:val="hybridMultilevel"/>
    <w:tmpl w:val="15C0E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4A2220"/>
    <w:multiLevelType w:val="hybridMultilevel"/>
    <w:tmpl w:val="52E8FE08"/>
    <w:lvl w:ilvl="0" w:tplc="3FD2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944480"/>
    <w:multiLevelType w:val="hybridMultilevel"/>
    <w:tmpl w:val="CFE88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47B19"/>
    <w:multiLevelType w:val="hybridMultilevel"/>
    <w:tmpl w:val="1D9402C6"/>
    <w:lvl w:ilvl="0" w:tplc="5CF22B16">
      <w:start w:val="1"/>
      <w:numFmt w:val="lowerLetter"/>
      <w:lvlText w:val="%1."/>
      <w:lvlJc w:val="left"/>
      <w:pPr>
        <w:ind w:left="2160" w:hanging="360"/>
      </w:pPr>
      <w:rPr>
        <w:rFonts w:hint="default"/>
      </w:rPr>
    </w:lvl>
    <w:lvl w:ilvl="1" w:tplc="D848CA1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16328C5"/>
    <w:multiLevelType w:val="hybridMultilevel"/>
    <w:tmpl w:val="8904D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CA1063"/>
    <w:multiLevelType w:val="hybridMultilevel"/>
    <w:tmpl w:val="12B4C7D6"/>
    <w:lvl w:ilvl="0" w:tplc="3216D4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A0D22"/>
    <w:multiLevelType w:val="hybridMultilevel"/>
    <w:tmpl w:val="EC8C6A42"/>
    <w:lvl w:ilvl="0" w:tplc="04090017">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014FC9"/>
    <w:multiLevelType w:val="hybridMultilevel"/>
    <w:tmpl w:val="E1C498F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7E10F5"/>
    <w:multiLevelType w:val="hybridMultilevel"/>
    <w:tmpl w:val="53205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1B0DC0"/>
    <w:multiLevelType w:val="hybridMultilevel"/>
    <w:tmpl w:val="6ECC07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29B01AD"/>
    <w:multiLevelType w:val="hybridMultilevel"/>
    <w:tmpl w:val="1286E84E"/>
    <w:lvl w:ilvl="0" w:tplc="6DC47D50">
      <w:start w:val="35"/>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635286E"/>
    <w:multiLevelType w:val="hybridMultilevel"/>
    <w:tmpl w:val="9E246F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6"/>
  </w:num>
  <w:num w:numId="5">
    <w:abstractNumId w:val="3"/>
  </w:num>
  <w:num w:numId="6">
    <w:abstractNumId w:val="21"/>
  </w:num>
  <w:num w:numId="7">
    <w:abstractNumId w:val="14"/>
  </w:num>
  <w:num w:numId="8">
    <w:abstractNumId w:val="19"/>
  </w:num>
  <w:num w:numId="9">
    <w:abstractNumId w:val="9"/>
  </w:num>
  <w:num w:numId="10">
    <w:abstractNumId w:val="5"/>
  </w:num>
  <w:num w:numId="11">
    <w:abstractNumId w:val="28"/>
  </w:num>
  <w:num w:numId="12">
    <w:abstractNumId w:val="17"/>
  </w:num>
  <w:num w:numId="13">
    <w:abstractNumId w:val="16"/>
  </w:num>
  <w:num w:numId="14">
    <w:abstractNumId w:val="18"/>
  </w:num>
  <w:num w:numId="15">
    <w:abstractNumId w:val="22"/>
  </w:num>
  <w:num w:numId="16">
    <w:abstractNumId w:val="24"/>
  </w:num>
  <w:num w:numId="17">
    <w:abstractNumId w:val="2"/>
  </w:num>
  <w:num w:numId="18">
    <w:abstractNumId w:val="25"/>
  </w:num>
  <w:num w:numId="19">
    <w:abstractNumId w:val="26"/>
  </w:num>
  <w:num w:numId="20">
    <w:abstractNumId w:val="0"/>
  </w:num>
  <w:num w:numId="21">
    <w:abstractNumId w:val="7"/>
  </w:num>
  <w:num w:numId="22">
    <w:abstractNumId w:val="15"/>
  </w:num>
  <w:num w:numId="23">
    <w:abstractNumId w:val="27"/>
  </w:num>
  <w:num w:numId="24">
    <w:abstractNumId w:val="12"/>
  </w:num>
  <w:num w:numId="25">
    <w:abstractNumId w:val="11"/>
  </w:num>
  <w:num w:numId="26">
    <w:abstractNumId w:val="20"/>
  </w:num>
  <w:num w:numId="27">
    <w:abstractNumId w:val="23"/>
  </w:num>
  <w:num w:numId="28">
    <w:abstractNumId w:val="8"/>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F264A9"/>
    <w:rsid w:val="0000536B"/>
    <w:rsid w:val="00056A3C"/>
    <w:rsid w:val="0006200B"/>
    <w:rsid w:val="00073943"/>
    <w:rsid w:val="0007784E"/>
    <w:rsid w:val="000A25D2"/>
    <w:rsid w:val="000A28FE"/>
    <w:rsid w:val="000C1D40"/>
    <w:rsid w:val="000C3206"/>
    <w:rsid w:val="000C4CE7"/>
    <w:rsid w:val="000D0769"/>
    <w:rsid w:val="000D7D25"/>
    <w:rsid w:val="000E40AB"/>
    <w:rsid w:val="00103C2B"/>
    <w:rsid w:val="00137CEA"/>
    <w:rsid w:val="00143208"/>
    <w:rsid w:val="001475A4"/>
    <w:rsid w:val="001625E5"/>
    <w:rsid w:val="001640A8"/>
    <w:rsid w:val="00177A4B"/>
    <w:rsid w:val="001832F7"/>
    <w:rsid w:val="001833BA"/>
    <w:rsid w:val="00185999"/>
    <w:rsid w:val="001A62CB"/>
    <w:rsid w:val="001A73AF"/>
    <w:rsid w:val="001B1790"/>
    <w:rsid w:val="001B743B"/>
    <w:rsid w:val="001D2789"/>
    <w:rsid w:val="001F1B6B"/>
    <w:rsid w:val="001F5806"/>
    <w:rsid w:val="00234947"/>
    <w:rsid w:val="002471FF"/>
    <w:rsid w:val="002578C2"/>
    <w:rsid w:val="00264A01"/>
    <w:rsid w:val="00294DA4"/>
    <w:rsid w:val="002A146A"/>
    <w:rsid w:val="002A1C52"/>
    <w:rsid w:val="002A6D30"/>
    <w:rsid w:val="002D6F47"/>
    <w:rsid w:val="002D7944"/>
    <w:rsid w:val="002E74E1"/>
    <w:rsid w:val="002F5BEB"/>
    <w:rsid w:val="003007FB"/>
    <w:rsid w:val="00311E31"/>
    <w:rsid w:val="00332E9D"/>
    <w:rsid w:val="003516BE"/>
    <w:rsid w:val="00384873"/>
    <w:rsid w:val="00390B3F"/>
    <w:rsid w:val="003B1156"/>
    <w:rsid w:val="003B44C9"/>
    <w:rsid w:val="003C0BB6"/>
    <w:rsid w:val="003C45B2"/>
    <w:rsid w:val="003E059B"/>
    <w:rsid w:val="003F7F5B"/>
    <w:rsid w:val="00415F33"/>
    <w:rsid w:val="00425E04"/>
    <w:rsid w:val="00431101"/>
    <w:rsid w:val="0043638E"/>
    <w:rsid w:val="00454165"/>
    <w:rsid w:val="00455CFD"/>
    <w:rsid w:val="00461D6D"/>
    <w:rsid w:val="004621FE"/>
    <w:rsid w:val="004741F8"/>
    <w:rsid w:val="00480F46"/>
    <w:rsid w:val="004838C3"/>
    <w:rsid w:val="00487DD4"/>
    <w:rsid w:val="004A7B60"/>
    <w:rsid w:val="004B0C88"/>
    <w:rsid w:val="004B1A9E"/>
    <w:rsid w:val="004B22AF"/>
    <w:rsid w:val="004B6DA7"/>
    <w:rsid w:val="004C5199"/>
    <w:rsid w:val="004C55D0"/>
    <w:rsid w:val="004C60AC"/>
    <w:rsid w:val="004D5223"/>
    <w:rsid w:val="004E44D3"/>
    <w:rsid w:val="004E507A"/>
    <w:rsid w:val="00502988"/>
    <w:rsid w:val="00504976"/>
    <w:rsid w:val="0051780E"/>
    <w:rsid w:val="00535663"/>
    <w:rsid w:val="00550C31"/>
    <w:rsid w:val="005569BE"/>
    <w:rsid w:val="00561C57"/>
    <w:rsid w:val="00561EE5"/>
    <w:rsid w:val="005706EC"/>
    <w:rsid w:val="005755CC"/>
    <w:rsid w:val="00577E6D"/>
    <w:rsid w:val="00581406"/>
    <w:rsid w:val="00584293"/>
    <w:rsid w:val="005B5040"/>
    <w:rsid w:val="005F4A03"/>
    <w:rsid w:val="005F717E"/>
    <w:rsid w:val="00601D8B"/>
    <w:rsid w:val="0061602D"/>
    <w:rsid w:val="00623A24"/>
    <w:rsid w:val="00624567"/>
    <w:rsid w:val="006457FF"/>
    <w:rsid w:val="0066068D"/>
    <w:rsid w:val="0067448F"/>
    <w:rsid w:val="00675577"/>
    <w:rsid w:val="006A751F"/>
    <w:rsid w:val="006A76ED"/>
    <w:rsid w:val="006B35D2"/>
    <w:rsid w:val="006B4464"/>
    <w:rsid w:val="006E57DC"/>
    <w:rsid w:val="006E6763"/>
    <w:rsid w:val="006F2EB0"/>
    <w:rsid w:val="006F3524"/>
    <w:rsid w:val="006F4602"/>
    <w:rsid w:val="006F538A"/>
    <w:rsid w:val="0070479A"/>
    <w:rsid w:val="00707990"/>
    <w:rsid w:val="00707BA6"/>
    <w:rsid w:val="00716144"/>
    <w:rsid w:val="0071634F"/>
    <w:rsid w:val="0071714D"/>
    <w:rsid w:val="00727D30"/>
    <w:rsid w:val="007347FE"/>
    <w:rsid w:val="00747D79"/>
    <w:rsid w:val="00771CA0"/>
    <w:rsid w:val="0077734F"/>
    <w:rsid w:val="00781434"/>
    <w:rsid w:val="007A4C78"/>
    <w:rsid w:val="007A6DE6"/>
    <w:rsid w:val="007B3554"/>
    <w:rsid w:val="007B50A3"/>
    <w:rsid w:val="007B7871"/>
    <w:rsid w:val="007C0273"/>
    <w:rsid w:val="007C2E5C"/>
    <w:rsid w:val="007D596F"/>
    <w:rsid w:val="007E1A15"/>
    <w:rsid w:val="007F2459"/>
    <w:rsid w:val="007F2643"/>
    <w:rsid w:val="00811596"/>
    <w:rsid w:val="00815FF9"/>
    <w:rsid w:val="008202FD"/>
    <w:rsid w:val="00836A0D"/>
    <w:rsid w:val="00844FEC"/>
    <w:rsid w:val="00872EBB"/>
    <w:rsid w:val="00881F42"/>
    <w:rsid w:val="00890F2B"/>
    <w:rsid w:val="008915FE"/>
    <w:rsid w:val="008A2E9C"/>
    <w:rsid w:val="008C73BD"/>
    <w:rsid w:val="008D3578"/>
    <w:rsid w:val="008E164B"/>
    <w:rsid w:val="008E4931"/>
    <w:rsid w:val="008F0AEF"/>
    <w:rsid w:val="008F2FAF"/>
    <w:rsid w:val="009026F2"/>
    <w:rsid w:val="0092725E"/>
    <w:rsid w:val="00935F94"/>
    <w:rsid w:val="0094342D"/>
    <w:rsid w:val="0095521D"/>
    <w:rsid w:val="00960938"/>
    <w:rsid w:val="00965601"/>
    <w:rsid w:val="00974D97"/>
    <w:rsid w:val="0098013B"/>
    <w:rsid w:val="00983525"/>
    <w:rsid w:val="009849EA"/>
    <w:rsid w:val="0098584C"/>
    <w:rsid w:val="00997274"/>
    <w:rsid w:val="009A5758"/>
    <w:rsid w:val="009B5143"/>
    <w:rsid w:val="009B6A0B"/>
    <w:rsid w:val="009C514A"/>
    <w:rsid w:val="009C775B"/>
    <w:rsid w:val="009D1057"/>
    <w:rsid w:val="009D4ED8"/>
    <w:rsid w:val="00A03A30"/>
    <w:rsid w:val="00A2026E"/>
    <w:rsid w:val="00A31177"/>
    <w:rsid w:val="00A410B7"/>
    <w:rsid w:val="00A456A8"/>
    <w:rsid w:val="00A46B02"/>
    <w:rsid w:val="00A53691"/>
    <w:rsid w:val="00A8510B"/>
    <w:rsid w:val="00A95E18"/>
    <w:rsid w:val="00A961E7"/>
    <w:rsid w:val="00A97A1B"/>
    <w:rsid w:val="00AA3519"/>
    <w:rsid w:val="00AA7C1F"/>
    <w:rsid w:val="00AB13E8"/>
    <w:rsid w:val="00AB52B6"/>
    <w:rsid w:val="00AB6F43"/>
    <w:rsid w:val="00AC1262"/>
    <w:rsid w:val="00AC4BAE"/>
    <w:rsid w:val="00AD1628"/>
    <w:rsid w:val="00AE3059"/>
    <w:rsid w:val="00AF735B"/>
    <w:rsid w:val="00B20B6F"/>
    <w:rsid w:val="00B21E4B"/>
    <w:rsid w:val="00B22563"/>
    <w:rsid w:val="00B23058"/>
    <w:rsid w:val="00B233A4"/>
    <w:rsid w:val="00B23AB3"/>
    <w:rsid w:val="00B35AF3"/>
    <w:rsid w:val="00B41B38"/>
    <w:rsid w:val="00B900AD"/>
    <w:rsid w:val="00B901BD"/>
    <w:rsid w:val="00B914A9"/>
    <w:rsid w:val="00B918EA"/>
    <w:rsid w:val="00B945B5"/>
    <w:rsid w:val="00B94F10"/>
    <w:rsid w:val="00BA0B65"/>
    <w:rsid w:val="00BA53F9"/>
    <w:rsid w:val="00BC6123"/>
    <w:rsid w:val="00BD0498"/>
    <w:rsid w:val="00BD215D"/>
    <w:rsid w:val="00BD7BF4"/>
    <w:rsid w:val="00BF29CD"/>
    <w:rsid w:val="00BF4406"/>
    <w:rsid w:val="00BF4D6D"/>
    <w:rsid w:val="00C01CEF"/>
    <w:rsid w:val="00C06FD2"/>
    <w:rsid w:val="00C1417C"/>
    <w:rsid w:val="00C174B0"/>
    <w:rsid w:val="00C24B26"/>
    <w:rsid w:val="00C312E3"/>
    <w:rsid w:val="00C3512F"/>
    <w:rsid w:val="00C4686F"/>
    <w:rsid w:val="00C6152F"/>
    <w:rsid w:val="00C62550"/>
    <w:rsid w:val="00C72300"/>
    <w:rsid w:val="00C86DFC"/>
    <w:rsid w:val="00C95383"/>
    <w:rsid w:val="00CA3288"/>
    <w:rsid w:val="00CA4EAE"/>
    <w:rsid w:val="00CB025D"/>
    <w:rsid w:val="00CB389C"/>
    <w:rsid w:val="00CC539D"/>
    <w:rsid w:val="00CD5BD6"/>
    <w:rsid w:val="00CF3A77"/>
    <w:rsid w:val="00D06F2B"/>
    <w:rsid w:val="00D10774"/>
    <w:rsid w:val="00D1394F"/>
    <w:rsid w:val="00D15CF7"/>
    <w:rsid w:val="00D17B7A"/>
    <w:rsid w:val="00D22EFA"/>
    <w:rsid w:val="00D23807"/>
    <w:rsid w:val="00D25C7C"/>
    <w:rsid w:val="00D440B3"/>
    <w:rsid w:val="00D44A31"/>
    <w:rsid w:val="00D6382B"/>
    <w:rsid w:val="00D64843"/>
    <w:rsid w:val="00D6680C"/>
    <w:rsid w:val="00D7107A"/>
    <w:rsid w:val="00D7633A"/>
    <w:rsid w:val="00D91328"/>
    <w:rsid w:val="00D923FF"/>
    <w:rsid w:val="00DA234F"/>
    <w:rsid w:val="00DB41D4"/>
    <w:rsid w:val="00DB7099"/>
    <w:rsid w:val="00DC1762"/>
    <w:rsid w:val="00DD21A9"/>
    <w:rsid w:val="00DD3A87"/>
    <w:rsid w:val="00DE3A86"/>
    <w:rsid w:val="00DE480A"/>
    <w:rsid w:val="00DE7DB1"/>
    <w:rsid w:val="00E46C5D"/>
    <w:rsid w:val="00E711AC"/>
    <w:rsid w:val="00E92E56"/>
    <w:rsid w:val="00EA0430"/>
    <w:rsid w:val="00EA12A5"/>
    <w:rsid w:val="00EC1D6D"/>
    <w:rsid w:val="00EC64C7"/>
    <w:rsid w:val="00ED01CF"/>
    <w:rsid w:val="00ED0306"/>
    <w:rsid w:val="00ED315C"/>
    <w:rsid w:val="00ED4AE2"/>
    <w:rsid w:val="00F0342F"/>
    <w:rsid w:val="00F116F5"/>
    <w:rsid w:val="00F147D0"/>
    <w:rsid w:val="00F22837"/>
    <w:rsid w:val="00F264A9"/>
    <w:rsid w:val="00F4671A"/>
    <w:rsid w:val="00F6369F"/>
    <w:rsid w:val="00F63EC9"/>
    <w:rsid w:val="00F64E11"/>
    <w:rsid w:val="00F653C2"/>
    <w:rsid w:val="00F771FF"/>
    <w:rsid w:val="00F81BCC"/>
    <w:rsid w:val="00F85852"/>
    <w:rsid w:val="00F90049"/>
    <w:rsid w:val="00F90DA5"/>
    <w:rsid w:val="00FA0D8F"/>
    <w:rsid w:val="00FA7043"/>
    <w:rsid w:val="00FC31F6"/>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20"/>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semiHidden/>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semiHidden/>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579681FBC6B94DB7F836B82CFE7254" ma:contentTypeVersion="143" ma:contentTypeDescription="" ma:contentTypeScope="" ma:versionID="a8f2660316a584ebb73e1a4f5b6fd3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2011-04-15T07:00:00+00:00</OpenedDate>
    <Date1 xmlns="dc463f71-b30c-4ab2-9473-d307f9d35888">2011-07-15T07:00:00+00:00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FF1BDB-0C33-481F-8ED6-1BEF22E97286}"/>
</file>

<file path=customXml/itemProps2.xml><?xml version="1.0" encoding="utf-8"?>
<ds:datastoreItem xmlns:ds="http://schemas.openxmlformats.org/officeDocument/2006/customXml" ds:itemID="{6C96235E-5669-4150-BFDF-A3996F97F302}"/>
</file>

<file path=customXml/itemProps3.xml><?xml version="1.0" encoding="utf-8"?>
<ds:datastoreItem xmlns:ds="http://schemas.openxmlformats.org/officeDocument/2006/customXml" ds:itemID="{4DB6F8FC-1B1F-46A3-875C-3FEE8E40BCB5}"/>
</file>

<file path=customXml/itemProps4.xml><?xml version="1.0" encoding="utf-8"?>
<ds:datastoreItem xmlns:ds="http://schemas.openxmlformats.org/officeDocument/2006/customXml" ds:itemID="{74440D92-4608-4F03-BF2C-7DD88964260A}"/>
</file>

<file path=customXml/itemProps5.xml><?xml version="1.0" encoding="utf-8"?>
<ds:datastoreItem xmlns:ds="http://schemas.openxmlformats.org/officeDocument/2006/customXml" ds:itemID="{7F268CA7-A13A-4F15-9431-377D04F1D2BD}"/>
</file>

<file path=docProps/app.xml><?xml version="1.0" encoding="utf-8"?>
<Properties xmlns="http://schemas.openxmlformats.org/officeDocument/2006/extended-properties" xmlns:vt="http://schemas.openxmlformats.org/officeDocument/2006/docPropsVTypes">
  <Template>Normal.dotm</Template>
  <TotalTime>49</TotalTime>
  <Pages>19</Pages>
  <Words>5505</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36811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5</cp:revision>
  <cp:lastPrinted>2011-07-13T17:32:00Z</cp:lastPrinted>
  <dcterms:created xsi:type="dcterms:W3CDTF">2011-07-14T18:14:00Z</dcterms:created>
  <dcterms:modified xsi:type="dcterms:W3CDTF">2011-07-15T16:27:00Z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0x0101006E56B4D1795A2E4DB2F0B01679ED314A0063579681FBC6B94DB7F836B82CFE7254</vt:lpwstr>
  </property>
  <property fmtid="{D5CDD505-2E9C-101B-9397-08002B2CF9AE}" pid="3" name="_docset_NoMedatataSyncRequired">
    <vt:lpwstr>False</vt:lpwstr>
  </property>
</Properties>
</file>