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19" w:rsidRDefault="00046A19" w:rsidP="00046A19">
      <w:r w:rsidRPr="00EB4CE3">
        <w:t xml:space="preserve">Agenda Date: </w:t>
      </w:r>
      <w:r w:rsidRPr="00EB4CE3">
        <w:tab/>
      </w:r>
      <w:r w:rsidRPr="00EB4CE3">
        <w:tab/>
      </w:r>
      <w:r w:rsidR="00880BC5">
        <w:t>Febr</w:t>
      </w:r>
      <w:r>
        <w:t xml:space="preserve">uary </w:t>
      </w:r>
      <w:r w:rsidR="00D718A0">
        <w:t>25</w:t>
      </w:r>
      <w:r w:rsidRPr="00EB4CE3">
        <w:t xml:space="preserve">, </w:t>
      </w:r>
      <w:r>
        <w:t>2011</w:t>
      </w:r>
      <w:r>
        <w:tab/>
      </w:r>
      <w:r>
        <w:tab/>
      </w:r>
    </w:p>
    <w:p w:rsidR="00046A19" w:rsidRDefault="00046A19" w:rsidP="00046A19">
      <w:r w:rsidRPr="00EB4CE3">
        <w:t>Item Number:</w:t>
      </w:r>
      <w:r w:rsidRPr="00EB4CE3">
        <w:tab/>
      </w:r>
      <w:r w:rsidRPr="00EB4CE3">
        <w:tab/>
        <w:t>A</w:t>
      </w:r>
      <w:r w:rsidR="002D7E4A">
        <w:t>2</w:t>
      </w:r>
    </w:p>
    <w:p w:rsidR="00046A19" w:rsidRPr="00EB4CE3" w:rsidRDefault="00046A19" w:rsidP="00046A19"/>
    <w:p w:rsidR="00046A19" w:rsidRPr="00EB4CE3" w:rsidRDefault="00046A19" w:rsidP="00046A19">
      <w:r w:rsidRPr="00EB4CE3">
        <w:t xml:space="preserve">Docket: </w:t>
      </w:r>
      <w:r w:rsidRPr="00EB4CE3">
        <w:tab/>
      </w:r>
      <w:r w:rsidRPr="00EB4CE3">
        <w:tab/>
        <w:t>UW-</w:t>
      </w:r>
      <w:r w:rsidR="00A8348E">
        <w:t>110220</w:t>
      </w:r>
    </w:p>
    <w:p w:rsidR="00046A19" w:rsidRPr="00EB4CE3" w:rsidRDefault="00046A19" w:rsidP="00046A19">
      <w:r w:rsidRPr="00EB4CE3">
        <w:t>Company Name:</w:t>
      </w:r>
      <w:r w:rsidRPr="00EB4CE3">
        <w:tab/>
      </w:r>
      <w:r w:rsidR="00880BC5">
        <w:t>Summit View Water Works</w:t>
      </w:r>
      <w:r w:rsidR="009B33DD">
        <w:t xml:space="preserve">, LLC </w:t>
      </w:r>
    </w:p>
    <w:p w:rsidR="00046A19" w:rsidRPr="00EB4CE3" w:rsidRDefault="00046A19" w:rsidP="00046A19"/>
    <w:p w:rsidR="00046A19" w:rsidRDefault="00046A19" w:rsidP="00046A19">
      <w:r>
        <w:t xml:space="preserve">Staff: </w:t>
      </w:r>
      <w:r>
        <w:tab/>
      </w:r>
      <w:r>
        <w:tab/>
      </w:r>
      <w:r>
        <w:tab/>
        <w:t>Amy White</w:t>
      </w:r>
      <w:r w:rsidRPr="00EB4CE3">
        <w:t>, Regulatory Analyst</w:t>
      </w:r>
    </w:p>
    <w:p w:rsidR="00046A19" w:rsidRPr="00EB4CE3" w:rsidRDefault="00474D36" w:rsidP="00046A19">
      <w:pPr>
        <w:ind w:left="1440" w:firstLine="720"/>
      </w:pPr>
      <w:r>
        <w:t>John Cupp</w:t>
      </w:r>
      <w:r w:rsidR="00046A19" w:rsidRPr="00EB4CE3">
        <w:t>, Consumer Protection Staff</w:t>
      </w:r>
    </w:p>
    <w:p w:rsidR="00046A19" w:rsidRPr="00EB4CE3" w:rsidRDefault="00046A19" w:rsidP="00046A19"/>
    <w:p w:rsidR="00046A19" w:rsidRPr="00935AF2" w:rsidRDefault="00046A19" w:rsidP="00046A19">
      <w:pPr>
        <w:rPr>
          <w:b/>
          <w:u w:val="single"/>
        </w:rPr>
      </w:pPr>
      <w:r w:rsidRPr="00935AF2">
        <w:rPr>
          <w:b/>
          <w:u w:val="single"/>
        </w:rPr>
        <w:t>Recommendation</w:t>
      </w:r>
    </w:p>
    <w:p w:rsidR="00046A19" w:rsidRDefault="00046A19" w:rsidP="00046A19">
      <w:pPr>
        <w:widowControl w:val="0"/>
        <w:autoSpaceDE w:val="0"/>
        <w:autoSpaceDN w:val="0"/>
        <w:adjustRightInd w:val="0"/>
        <w:rPr>
          <w:rFonts w:eastAsia="Times New Roman"/>
          <w:color w:val="000000"/>
          <w:lang w:bidi="ar-SA"/>
        </w:rPr>
      </w:pPr>
    </w:p>
    <w:p w:rsidR="00046A19" w:rsidRPr="006E3B58" w:rsidRDefault="00046A19" w:rsidP="00046A19">
      <w:pPr>
        <w:widowControl w:val="0"/>
        <w:autoSpaceDE w:val="0"/>
        <w:autoSpaceDN w:val="0"/>
        <w:adjustRightInd w:val="0"/>
        <w:rPr>
          <w:color w:val="000000"/>
          <w:sz w:val="22"/>
          <w:szCs w:val="22"/>
          <w:lang w:bidi="ar-SA"/>
        </w:rPr>
      </w:pPr>
      <w:r w:rsidRPr="004D7E01">
        <w:rPr>
          <w:rFonts w:eastAsia="Times New Roman"/>
          <w:color w:val="000000"/>
          <w:lang w:bidi="ar-SA"/>
        </w:rPr>
        <w:t xml:space="preserve">Issue a Complaint and Order Suspending the </w:t>
      </w:r>
      <w:r>
        <w:rPr>
          <w:rFonts w:eastAsia="Times New Roman"/>
          <w:color w:val="000000"/>
          <w:lang w:bidi="ar-SA"/>
        </w:rPr>
        <w:t>tariff revision</w:t>
      </w:r>
      <w:r w:rsidRPr="004D7E01">
        <w:rPr>
          <w:rFonts w:eastAsia="Times New Roman"/>
          <w:color w:val="000000"/>
          <w:lang w:bidi="ar-SA"/>
        </w:rPr>
        <w:t xml:space="preserve"> filed by</w:t>
      </w:r>
      <w:r w:rsidRPr="004D7E01">
        <w:t xml:space="preserve"> </w:t>
      </w:r>
      <w:r w:rsidR="00880BC5">
        <w:t>Summit View Water Works</w:t>
      </w:r>
      <w:r w:rsidR="009B33DD">
        <w:t>, LLC,</w:t>
      </w:r>
      <w:r>
        <w:t xml:space="preserve"> on January </w:t>
      </w:r>
      <w:r w:rsidR="00D718A0">
        <w:t>27</w:t>
      </w:r>
      <w:r>
        <w:t>, 2011.</w:t>
      </w:r>
    </w:p>
    <w:p w:rsidR="00046A19" w:rsidRPr="004D7E01" w:rsidRDefault="00046A19" w:rsidP="00046A19">
      <w:pPr>
        <w:widowControl w:val="0"/>
        <w:autoSpaceDE w:val="0"/>
        <w:autoSpaceDN w:val="0"/>
        <w:adjustRightInd w:val="0"/>
        <w:rPr>
          <w:color w:val="000000"/>
          <w:sz w:val="22"/>
          <w:szCs w:val="22"/>
          <w:lang w:bidi="ar-SA"/>
        </w:rPr>
      </w:pPr>
    </w:p>
    <w:p w:rsidR="00046A19" w:rsidRPr="00935AF2" w:rsidRDefault="00046A19" w:rsidP="00046A19">
      <w:pPr>
        <w:rPr>
          <w:b/>
          <w:u w:val="single"/>
        </w:rPr>
      </w:pPr>
      <w:r w:rsidRPr="00935AF2">
        <w:rPr>
          <w:b/>
          <w:u w:val="single"/>
        </w:rPr>
        <w:t>Discussion</w:t>
      </w:r>
    </w:p>
    <w:p w:rsidR="00046A19" w:rsidRPr="00EB4CE3" w:rsidRDefault="00046A19" w:rsidP="00046A19"/>
    <w:p w:rsidR="009B4242" w:rsidRDefault="00046A19" w:rsidP="001C40AE">
      <w:pPr>
        <w:spacing w:after="200"/>
      </w:pPr>
      <w:r>
        <w:rPr>
          <w:color w:val="000000"/>
        </w:rPr>
        <w:t xml:space="preserve">On January </w:t>
      </w:r>
      <w:r w:rsidR="00D718A0">
        <w:rPr>
          <w:color w:val="000000"/>
        </w:rPr>
        <w:t>27</w:t>
      </w:r>
      <w:r>
        <w:rPr>
          <w:color w:val="000000"/>
        </w:rPr>
        <w:t xml:space="preserve">, 2011, </w:t>
      </w:r>
      <w:r w:rsidR="00105FE0">
        <w:rPr>
          <w:color w:val="000000"/>
        </w:rPr>
        <w:t>Summit View Water Works</w:t>
      </w:r>
      <w:r w:rsidR="009B33DD">
        <w:rPr>
          <w:color w:val="000000"/>
        </w:rPr>
        <w:t>, LLC</w:t>
      </w:r>
      <w:r>
        <w:t xml:space="preserve"> (</w:t>
      </w:r>
      <w:r w:rsidR="00105FE0">
        <w:t>Summit</w:t>
      </w:r>
      <w:r>
        <w:t xml:space="preserve"> View or company), fi</w:t>
      </w:r>
      <w:r w:rsidR="00105FE0">
        <w:t xml:space="preserve">led </w:t>
      </w:r>
      <w:r w:rsidR="00D718A0">
        <w:t xml:space="preserve">a tariff revision </w:t>
      </w:r>
      <w:r w:rsidR="009816EF">
        <w:t xml:space="preserve">to its currently effective tariff that would generate $19,118 (33.5 </w:t>
      </w:r>
      <w:r w:rsidR="00E50D3C">
        <w:t>percent</w:t>
      </w:r>
      <w:r w:rsidR="009816EF">
        <w:t>) in additional annual revenue</w:t>
      </w:r>
      <w:r w:rsidR="0047043C">
        <w:t xml:space="preserve"> </w:t>
      </w:r>
      <w:r w:rsidR="005C216D">
        <w:t xml:space="preserve">for </w:t>
      </w:r>
      <w:r w:rsidR="0047043C">
        <w:t xml:space="preserve">its irrigation </w:t>
      </w:r>
      <w:r w:rsidR="005C216D">
        <w:t>water service</w:t>
      </w:r>
      <w:r w:rsidR="0047043C">
        <w:t xml:space="preserve">. </w:t>
      </w:r>
      <w:r w:rsidR="009816EF">
        <w:t>The stated effective date is March 1, 2011</w:t>
      </w:r>
      <w:r w:rsidR="0047043C">
        <w:t xml:space="preserve">. </w:t>
      </w:r>
      <w:r w:rsidR="009816EF">
        <w:t>The company stated</w:t>
      </w:r>
      <w:r w:rsidR="0047043C">
        <w:t xml:space="preserve"> t</w:t>
      </w:r>
      <w:r w:rsidR="009816EF">
        <w:t>he filing is prompted by costs for company operations exceeding company revenues</w:t>
      </w:r>
      <w:r w:rsidR="0047043C">
        <w:t xml:space="preserve">. </w:t>
      </w:r>
      <w:r w:rsidR="009816EF">
        <w:t xml:space="preserve">The company proposed increases </w:t>
      </w:r>
      <w:r w:rsidR="00D718A0">
        <w:t xml:space="preserve">for its irrigation service which </w:t>
      </w:r>
      <w:r w:rsidR="005C216D">
        <w:t xml:space="preserve">eliminated </w:t>
      </w:r>
      <w:r w:rsidR="00D718A0">
        <w:t xml:space="preserve">the existing flat </w:t>
      </w:r>
      <w:r w:rsidR="0047043C">
        <w:t>rate</w:t>
      </w:r>
      <w:r w:rsidR="00D718A0">
        <w:t xml:space="preserve"> and </w:t>
      </w:r>
      <w:r w:rsidR="00105FE0">
        <w:t>add</w:t>
      </w:r>
      <w:r w:rsidR="00D718A0">
        <w:t>ed</w:t>
      </w:r>
      <w:r w:rsidR="00105FE0">
        <w:t xml:space="preserve"> a new </w:t>
      </w:r>
      <w:r w:rsidR="00D718A0">
        <w:t>outlet fee</w:t>
      </w:r>
      <w:r w:rsidR="00105FE0">
        <w:t xml:space="preserve"> </w:t>
      </w:r>
      <w:r w:rsidR="00D718A0">
        <w:t>and a per-acre charge</w:t>
      </w:r>
      <w:r w:rsidR="009A29FA">
        <w:t>.</w:t>
      </w:r>
      <w:r w:rsidR="00D718A0">
        <w:t xml:space="preserve"> </w:t>
      </w:r>
      <w:r w:rsidR="00105FE0" w:rsidRPr="00CD2C06">
        <w:t xml:space="preserve">The company serves </w:t>
      </w:r>
      <w:r w:rsidR="009B4242">
        <w:t>94</w:t>
      </w:r>
      <w:r w:rsidR="00105FE0">
        <w:t xml:space="preserve"> </w:t>
      </w:r>
      <w:r w:rsidR="009B4242">
        <w:t xml:space="preserve">metered domestic residential customers </w:t>
      </w:r>
      <w:r w:rsidR="00105FE0">
        <w:t>near Kennewick in Benton County</w:t>
      </w:r>
      <w:r w:rsidR="0047043C">
        <w:t xml:space="preserve">. </w:t>
      </w:r>
      <w:r w:rsidR="009B4242">
        <w:t>Additionally, the company</w:t>
      </w:r>
      <w:r w:rsidR="00C76366">
        <w:t xml:space="preserve"> currently</w:t>
      </w:r>
      <w:r w:rsidR="009B4242">
        <w:t xml:space="preserve"> serves 88 unmetered irrigation customers which includes 65 customers who also have metered domestic residential service and 23 additional unmetered irrigation customers on parcels where Summit View does not provide domestic </w:t>
      </w:r>
      <w:r w:rsidR="00E50D3C">
        <w:t>residential service</w:t>
      </w:r>
      <w:r w:rsidR="0047043C">
        <w:t xml:space="preserve">. </w:t>
      </w:r>
      <w:r w:rsidR="009B4242">
        <w:t xml:space="preserve"> </w:t>
      </w:r>
    </w:p>
    <w:p w:rsidR="009C6A61" w:rsidRDefault="009B4242" w:rsidP="001C40AE">
      <w:r>
        <w:t>The company first became regulated on February 1, 2006</w:t>
      </w:r>
      <w:r w:rsidR="005C216D">
        <w:t>,</w:t>
      </w:r>
      <w:r>
        <w:t xml:space="preserve"> and has not yet completed a rate case filing for either its domestic residential business or its irrigation service</w:t>
      </w:r>
      <w:r w:rsidR="005C216D">
        <w:t>,</w:t>
      </w:r>
      <w:r>
        <w:t xml:space="preserve"> although two general rate filings were made and withdrawn in 2009</w:t>
      </w:r>
      <w:r w:rsidR="0047043C">
        <w:t xml:space="preserve">. </w:t>
      </w:r>
      <w:r>
        <w:t>The first was a filing regarding the irrigation service while the second was a general rate case related to both the domestic residential service and the irrigation service</w:t>
      </w:r>
      <w:r w:rsidR="0047043C">
        <w:t xml:space="preserve">. </w:t>
      </w:r>
      <w:r>
        <w:t xml:space="preserve"> </w:t>
      </w:r>
    </w:p>
    <w:p w:rsidR="009C6A61" w:rsidRDefault="009C6A61" w:rsidP="001C40AE"/>
    <w:p w:rsidR="005C216D" w:rsidRDefault="009B4242" w:rsidP="001C40AE">
      <w:r>
        <w:t xml:space="preserve">The cases were withdrawn when </w:t>
      </w:r>
      <w:r w:rsidR="005C216D">
        <w:t>staff</w:t>
      </w:r>
      <w:r>
        <w:t xml:space="preserve"> discovered that all water production </w:t>
      </w:r>
      <w:r w:rsidR="002C2D06">
        <w:t xml:space="preserve">plant </w:t>
      </w:r>
      <w:r>
        <w:t xml:space="preserve">assets were </w:t>
      </w:r>
      <w:r w:rsidR="002C2D06">
        <w:t>owned by</w:t>
      </w:r>
      <w:r>
        <w:t xml:space="preserve"> two affiliated companies, Candy Mountain LLC</w:t>
      </w:r>
      <w:r w:rsidR="00E50D3C">
        <w:t xml:space="preserve"> (Candy Mountain)</w:t>
      </w:r>
      <w:r>
        <w:t xml:space="preserve"> and Tri-City Development Corporation</w:t>
      </w:r>
      <w:r w:rsidR="00E50D3C">
        <w:t xml:space="preserve"> (TCDC)</w:t>
      </w:r>
      <w:r>
        <w:t>, which are owned and operated by the same principals</w:t>
      </w:r>
      <w:r w:rsidR="00D11CCC">
        <w:t xml:space="preserve"> as Summit View</w:t>
      </w:r>
      <w:r w:rsidR="009A29FA">
        <w:t>.</w:t>
      </w:r>
      <w:r>
        <w:t xml:space="preserve"> </w:t>
      </w:r>
      <w:r w:rsidR="0047043C">
        <w:t xml:space="preserve">In 2010, </w:t>
      </w:r>
      <w:r>
        <w:t xml:space="preserve">Candy Mountain and </w:t>
      </w:r>
      <w:r w:rsidR="00E50D3C">
        <w:t>TCDC</w:t>
      </w:r>
      <w:r>
        <w:t xml:space="preserve"> transferred </w:t>
      </w:r>
      <w:r w:rsidR="00A8348E">
        <w:t>assets</w:t>
      </w:r>
      <w:r w:rsidR="005C216D">
        <w:t xml:space="preserve">, valued at $1,073,284, </w:t>
      </w:r>
      <w:r w:rsidR="0047043C">
        <w:t xml:space="preserve">used by the domestic water system </w:t>
      </w:r>
      <w:r w:rsidR="005C216D">
        <w:t xml:space="preserve">and </w:t>
      </w:r>
      <w:r w:rsidR="0047043C">
        <w:t>the irrigation water system</w:t>
      </w:r>
      <w:r w:rsidR="005C216D">
        <w:t xml:space="preserve"> to Summit View. </w:t>
      </w:r>
      <w:r w:rsidR="00A8348E">
        <w:t xml:space="preserve">Summit View signed promissory notes </w:t>
      </w:r>
      <w:r w:rsidR="001C40AE">
        <w:t xml:space="preserve">at </w:t>
      </w:r>
      <w:r w:rsidR="00E50D3C">
        <w:t>six percent interest</w:t>
      </w:r>
      <w:r w:rsidR="001C40AE">
        <w:t xml:space="preserve"> </w:t>
      </w:r>
      <w:r w:rsidR="004C5F4B">
        <w:t>totaling</w:t>
      </w:r>
      <w:r w:rsidR="00A8348E">
        <w:t xml:space="preserve"> </w:t>
      </w:r>
      <w:r w:rsidR="00D11CCC">
        <w:t>$1,073,284</w:t>
      </w:r>
      <w:r w:rsidR="00A8348E">
        <w:t xml:space="preserve"> due to Candy Mountain </w:t>
      </w:r>
      <w:r w:rsidR="00E50D3C">
        <w:t>or</w:t>
      </w:r>
      <w:r w:rsidR="00A8348E">
        <w:t xml:space="preserve"> </w:t>
      </w:r>
      <w:r w:rsidR="00E50D3C">
        <w:t>TCDC</w:t>
      </w:r>
      <w:r w:rsidR="002C2D06">
        <w:t>.</w:t>
      </w:r>
      <w:r w:rsidR="009C6A61">
        <w:t xml:space="preserve"> </w:t>
      </w:r>
    </w:p>
    <w:p w:rsidR="007100BD" w:rsidRDefault="007100BD" w:rsidP="001C40AE"/>
    <w:p w:rsidR="007100BD" w:rsidRDefault="008C23E6" w:rsidP="001C40AE">
      <w:r w:rsidRPr="008C23E6">
        <w:t>The company currently has another filing before the commission in Docket UW-110107, suspended, that seeks to finance the construction of a new well with $230,000 in contributions-in-aid-of-construction (CIAC). The Company proposes to collect the funds from current customers using a new $11.60 monthly surcharge and from future customers using a new $1,000 facilities charge.</w:t>
      </w:r>
      <w:r w:rsidR="009C6A61">
        <w:t xml:space="preserve"> </w:t>
      </w:r>
    </w:p>
    <w:p w:rsidR="007100BD" w:rsidRDefault="007100BD" w:rsidP="001C40AE"/>
    <w:p w:rsidR="001C40AE" w:rsidRDefault="003A533C" w:rsidP="00F4281C">
      <w:pPr>
        <w:spacing w:after="200" w:line="276" w:lineRule="auto"/>
      </w:pPr>
      <w:r>
        <w:br w:type="page"/>
      </w:r>
      <w:r w:rsidR="001E66F3">
        <w:lastRenderedPageBreak/>
        <w:t>The following table summarizes the rate base and debt positions of the company:</w:t>
      </w:r>
    </w:p>
    <w:tbl>
      <w:tblPr>
        <w:tblStyle w:val="TableGrid"/>
        <w:tblW w:w="0" w:type="auto"/>
        <w:tblLook w:val="04A0"/>
      </w:tblPr>
      <w:tblGrid>
        <w:gridCol w:w="4428"/>
        <w:gridCol w:w="1710"/>
        <w:gridCol w:w="1980"/>
        <w:gridCol w:w="1458"/>
      </w:tblGrid>
      <w:tr w:rsidR="001E66F3" w:rsidTr="00352D84">
        <w:tc>
          <w:tcPr>
            <w:tcW w:w="4428" w:type="dxa"/>
          </w:tcPr>
          <w:p w:rsidR="001E66F3" w:rsidRDefault="001E66F3" w:rsidP="001C40AE"/>
        </w:tc>
        <w:tc>
          <w:tcPr>
            <w:tcW w:w="1710" w:type="dxa"/>
          </w:tcPr>
          <w:p w:rsidR="00207C00" w:rsidRDefault="005B02FC">
            <w:pPr>
              <w:jc w:val="center"/>
              <w:rPr>
                <w:b/>
              </w:rPr>
            </w:pPr>
            <w:r w:rsidRPr="005B02FC">
              <w:rPr>
                <w:b/>
              </w:rPr>
              <w:t>Total  Company</w:t>
            </w:r>
          </w:p>
        </w:tc>
        <w:tc>
          <w:tcPr>
            <w:tcW w:w="1980" w:type="dxa"/>
          </w:tcPr>
          <w:p w:rsidR="00207C00" w:rsidRDefault="005B02FC">
            <w:pPr>
              <w:jc w:val="center"/>
              <w:rPr>
                <w:b/>
              </w:rPr>
            </w:pPr>
            <w:r w:rsidRPr="005B02FC">
              <w:rPr>
                <w:b/>
              </w:rPr>
              <w:t>Domestic Water</w:t>
            </w:r>
          </w:p>
        </w:tc>
        <w:tc>
          <w:tcPr>
            <w:tcW w:w="1458" w:type="dxa"/>
          </w:tcPr>
          <w:p w:rsidR="00207C00" w:rsidRDefault="005B02FC">
            <w:pPr>
              <w:jc w:val="center"/>
              <w:rPr>
                <w:b/>
              </w:rPr>
            </w:pPr>
            <w:r w:rsidRPr="005B02FC">
              <w:rPr>
                <w:b/>
              </w:rPr>
              <w:t>Irrigation</w:t>
            </w:r>
          </w:p>
        </w:tc>
      </w:tr>
      <w:tr w:rsidR="001E66F3" w:rsidTr="00352D84">
        <w:tc>
          <w:tcPr>
            <w:tcW w:w="4428" w:type="dxa"/>
          </w:tcPr>
          <w:p w:rsidR="001E66F3" w:rsidRDefault="00F4281C" w:rsidP="001C40AE">
            <w:r>
              <w:t>Plant Assets</w:t>
            </w:r>
          </w:p>
        </w:tc>
        <w:tc>
          <w:tcPr>
            <w:tcW w:w="1710" w:type="dxa"/>
          </w:tcPr>
          <w:p w:rsidR="005B02FC" w:rsidRDefault="001E66F3" w:rsidP="005B02FC">
            <w:pPr>
              <w:jc w:val="center"/>
            </w:pPr>
            <w:r>
              <w:t>$1,073,284</w:t>
            </w:r>
          </w:p>
        </w:tc>
        <w:tc>
          <w:tcPr>
            <w:tcW w:w="1980" w:type="dxa"/>
          </w:tcPr>
          <w:p w:rsidR="005B02FC" w:rsidRDefault="001E66F3" w:rsidP="005B02FC">
            <w:pPr>
              <w:jc w:val="center"/>
            </w:pPr>
            <w:r>
              <w:t>$503,860</w:t>
            </w:r>
          </w:p>
        </w:tc>
        <w:tc>
          <w:tcPr>
            <w:tcW w:w="1458" w:type="dxa"/>
          </w:tcPr>
          <w:p w:rsidR="005B02FC" w:rsidRDefault="001E66F3" w:rsidP="005B02FC">
            <w:pPr>
              <w:jc w:val="center"/>
            </w:pPr>
            <w:r>
              <w:t>$569,424</w:t>
            </w:r>
          </w:p>
        </w:tc>
      </w:tr>
      <w:tr w:rsidR="001E66F3" w:rsidTr="00352D84">
        <w:trPr>
          <w:trHeight w:val="287"/>
        </w:trPr>
        <w:tc>
          <w:tcPr>
            <w:tcW w:w="4428" w:type="dxa"/>
          </w:tcPr>
          <w:p w:rsidR="001E66F3" w:rsidRDefault="00F4281C" w:rsidP="001C40AE">
            <w:r>
              <w:t xml:space="preserve">Less: Accumulated Depreciation </w:t>
            </w:r>
          </w:p>
        </w:tc>
        <w:tc>
          <w:tcPr>
            <w:tcW w:w="1710" w:type="dxa"/>
          </w:tcPr>
          <w:p w:rsidR="005B02FC" w:rsidRDefault="00352D84" w:rsidP="005B02FC">
            <w:pPr>
              <w:jc w:val="center"/>
              <w:rPr>
                <w:sz w:val="24"/>
                <w:szCs w:val="24"/>
              </w:rPr>
            </w:pPr>
            <w:r>
              <w:t>( $66, 170)</w:t>
            </w:r>
          </w:p>
        </w:tc>
        <w:tc>
          <w:tcPr>
            <w:tcW w:w="1980" w:type="dxa"/>
          </w:tcPr>
          <w:p w:rsidR="005B02FC" w:rsidRDefault="00352D84" w:rsidP="005B02FC">
            <w:pPr>
              <w:jc w:val="center"/>
              <w:rPr>
                <w:sz w:val="24"/>
                <w:szCs w:val="24"/>
              </w:rPr>
            </w:pPr>
            <w:r>
              <w:t>($ 35,138)</w:t>
            </w:r>
          </w:p>
        </w:tc>
        <w:tc>
          <w:tcPr>
            <w:tcW w:w="1458" w:type="dxa"/>
          </w:tcPr>
          <w:p w:rsidR="005B02FC" w:rsidRDefault="00352D84" w:rsidP="005B02FC">
            <w:pPr>
              <w:jc w:val="center"/>
              <w:rPr>
                <w:sz w:val="24"/>
                <w:szCs w:val="24"/>
              </w:rPr>
            </w:pPr>
            <w:r>
              <w:t>($ 31,034)</w:t>
            </w:r>
          </w:p>
        </w:tc>
      </w:tr>
      <w:tr w:rsidR="001E66F3" w:rsidTr="00352D84">
        <w:tc>
          <w:tcPr>
            <w:tcW w:w="4428" w:type="dxa"/>
          </w:tcPr>
          <w:p w:rsidR="001E66F3" w:rsidRDefault="00F4281C" w:rsidP="00304AD8">
            <w:r>
              <w:t>Less: Net C</w:t>
            </w:r>
            <w:r w:rsidR="00304AD8">
              <w:t>IAC</w:t>
            </w:r>
            <w:r>
              <w:t xml:space="preserve"> </w:t>
            </w:r>
          </w:p>
        </w:tc>
        <w:tc>
          <w:tcPr>
            <w:tcW w:w="1710" w:type="dxa"/>
          </w:tcPr>
          <w:p w:rsidR="005B02FC" w:rsidRDefault="00352D84" w:rsidP="005B02FC">
            <w:pPr>
              <w:jc w:val="center"/>
            </w:pPr>
            <w:r>
              <w:t>($114,720)</w:t>
            </w:r>
          </w:p>
        </w:tc>
        <w:tc>
          <w:tcPr>
            <w:tcW w:w="1980" w:type="dxa"/>
          </w:tcPr>
          <w:p w:rsidR="005B02FC" w:rsidRDefault="00352D84" w:rsidP="005B02FC">
            <w:pPr>
              <w:jc w:val="center"/>
            </w:pPr>
            <w:r>
              <w:t>($114,720)</w:t>
            </w:r>
          </w:p>
        </w:tc>
        <w:tc>
          <w:tcPr>
            <w:tcW w:w="1458" w:type="dxa"/>
          </w:tcPr>
          <w:p w:rsidR="005B02FC" w:rsidRDefault="00352D84" w:rsidP="005B02FC">
            <w:pPr>
              <w:jc w:val="center"/>
            </w:pPr>
            <w:r>
              <w:t>$ 0</w:t>
            </w:r>
          </w:p>
        </w:tc>
      </w:tr>
      <w:tr w:rsidR="001E66F3" w:rsidTr="00352D84">
        <w:tc>
          <w:tcPr>
            <w:tcW w:w="4428" w:type="dxa"/>
          </w:tcPr>
          <w:p w:rsidR="001E66F3" w:rsidRPr="00D13844" w:rsidRDefault="00F4281C" w:rsidP="001C40AE">
            <w:pPr>
              <w:rPr>
                <w:b/>
              </w:rPr>
            </w:pPr>
            <w:r w:rsidRPr="005B02FC">
              <w:rPr>
                <w:b/>
              </w:rPr>
              <w:t xml:space="preserve">Net Plant Assets </w:t>
            </w:r>
            <w:r>
              <w:rPr>
                <w:b/>
              </w:rPr>
              <w:t>– Rate Base</w:t>
            </w:r>
          </w:p>
        </w:tc>
        <w:tc>
          <w:tcPr>
            <w:tcW w:w="1710" w:type="dxa"/>
          </w:tcPr>
          <w:p w:rsidR="005B02FC" w:rsidRPr="005B02FC" w:rsidRDefault="005B02FC" w:rsidP="005B02FC">
            <w:pPr>
              <w:jc w:val="center"/>
              <w:rPr>
                <w:b/>
              </w:rPr>
            </w:pPr>
            <w:r w:rsidRPr="005B02FC">
              <w:rPr>
                <w:b/>
              </w:rPr>
              <w:t>$892,392</w:t>
            </w:r>
          </w:p>
        </w:tc>
        <w:tc>
          <w:tcPr>
            <w:tcW w:w="1980" w:type="dxa"/>
          </w:tcPr>
          <w:p w:rsidR="005B02FC" w:rsidRPr="005B02FC" w:rsidRDefault="005B02FC" w:rsidP="005B02FC">
            <w:pPr>
              <w:jc w:val="center"/>
              <w:rPr>
                <w:b/>
              </w:rPr>
            </w:pPr>
            <w:r w:rsidRPr="005B02FC">
              <w:rPr>
                <w:b/>
              </w:rPr>
              <w:t>$354,002</w:t>
            </w:r>
          </w:p>
        </w:tc>
        <w:tc>
          <w:tcPr>
            <w:tcW w:w="1458" w:type="dxa"/>
          </w:tcPr>
          <w:p w:rsidR="005B02FC" w:rsidRPr="005B02FC" w:rsidRDefault="005B02FC" w:rsidP="005B02FC">
            <w:pPr>
              <w:jc w:val="center"/>
              <w:rPr>
                <w:b/>
              </w:rPr>
            </w:pPr>
            <w:r w:rsidRPr="005B02FC">
              <w:rPr>
                <w:b/>
              </w:rPr>
              <w:t>$538,390</w:t>
            </w:r>
          </w:p>
        </w:tc>
      </w:tr>
      <w:tr w:rsidR="001E66F3" w:rsidTr="00352D84">
        <w:tc>
          <w:tcPr>
            <w:tcW w:w="4428" w:type="dxa"/>
          </w:tcPr>
          <w:p w:rsidR="001E66F3" w:rsidRDefault="001E66F3" w:rsidP="001C40AE"/>
        </w:tc>
        <w:tc>
          <w:tcPr>
            <w:tcW w:w="1710" w:type="dxa"/>
          </w:tcPr>
          <w:p w:rsidR="005B02FC" w:rsidRDefault="005B02FC" w:rsidP="005B02FC">
            <w:pPr>
              <w:jc w:val="center"/>
              <w:rPr>
                <w:sz w:val="24"/>
                <w:szCs w:val="24"/>
              </w:rPr>
            </w:pPr>
          </w:p>
        </w:tc>
        <w:tc>
          <w:tcPr>
            <w:tcW w:w="1980" w:type="dxa"/>
          </w:tcPr>
          <w:p w:rsidR="005B02FC" w:rsidRDefault="005B02FC" w:rsidP="005B02FC">
            <w:pPr>
              <w:jc w:val="center"/>
              <w:rPr>
                <w:sz w:val="24"/>
                <w:szCs w:val="24"/>
              </w:rPr>
            </w:pPr>
          </w:p>
        </w:tc>
        <w:tc>
          <w:tcPr>
            <w:tcW w:w="1458" w:type="dxa"/>
          </w:tcPr>
          <w:p w:rsidR="005B02FC" w:rsidRDefault="005B02FC" w:rsidP="005B02FC">
            <w:pPr>
              <w:jc w:val="center"/>
              <w:rPr>
                <w:sz w:val="24"/>
                <w:szCs w:val="24"/>
              </w:rPr>
            </w:pPr>
          </w:p>
        </w:tc>
      </w:tr>
      <w:tr w:rsidR="001E66F3" w:rsidTr="00352D84">
        <w:tc>
          <w:tcPr>
            <w:tcW w:w="4428" w:type="dxa"/>
          </w:tcPr>
          <w:p w:rsidR="001E66F3" w:rsidRDefault="00352D84" w:rsidP="00060B19">
            <w:r>
              <w:t>Debt</w:t>
            </w:r>
            <w:r w:rsidR="00F4281C">
              <w:t xml:space="preserve">: </w:t>
            </w:r>
          </w:p>
        </w:tc>
        <w:tc>
          <w:tcPr>
            <w:tcW w:w="1710" w:type="dxa"/>
          </w:tcPr>
          <w:p w:rsidR="005B02FC" w:rsidRDefault="005B02FC" w:rsidP="005B02FC">
            <w:pPr>
              <w:jc w:val="center"/>
              <w:rPr>
                <w:sz w:val="24"/>
                <w:szCs w:val="24"/>
              </w:rPr>
            </w:pPr>
          </w:p>
        </w:tc>
        <w:tc>
          <w:tcPr>
            <w:tcW w:w="1980" w:type="dxa"/>
          </w:tcPr>
          <w:p w:rsidR="005B02FC" w:rsidRDefault="005B02FC" w:rsidP="005B02FC">
            <w:pPr>
              <w:jc w:val="center"/>
              <w:rPr>
                <w:sz w:val="24"/>
                <w:szCs w:val="24"/>
              </w:rPr>
            </w:pPr>
          </w:p>
        </w:tc>
        <w:tc>
          <w:tcPr>
            <w:tcW w:w="1458" w:type="dxa"/>
          </w:tcPr>
          <w:p w:rsidR="005B02FC" w:rsidRDefault="005B02FC" w:rsidP="005B02FC">
            <w:pPr>
              <w:jc w:val="center"/>
              <w:rPr>
                <w:sz w:val="24"/>
                <w:szCs w:val="24"/>
              </w:rPr>
            </w:pPr>
          </w:p>
        </w:tc>
      </w:tr>
      <w:tr w:rsidR="001E66F3" w:rsidTr="00352D84">
        <w:tc>
          <w:tcPr>
            <w:tcW w:w="4428" w:type="dxa"/>
          </w:tcPr>
          <w:p w:rsidR="001E66F3" w:rsidRDefault="00352D84" w:rsidP="001C40AE">
            <w:r>
              <w:t xml:space="preserve">Note </w:t>
            </w:r>
            <w:r w:rsidR="00F4281C">
              <w:t xml:space="preserve">To </w:t>
            </w:r>
            <w:r>
              <w:t xml:space="preserve">Candy Mountain </w:t>
            </w:r>
            <w:r w:rsidR="00F4281C">
              <w:t>(</w:t>
            </w:r>
            <w:r w:rsidR="00060B19">
              <w:t>Affiliate</w:t>
            </w:r>
            <w:r w:rsidR="00F4281C">
              <w:t>)</w:t>
            </w:r>
          </w:p>
        </w:tc>
        <w:tc>
          <w:tcPr>
            <w:tcW w:w="1710" w:type="dxa"/>
          </w:tcPr>
          <w:p w:rsidR="005B02FC" w:rsidRDefault="00D13844" w:rsidP="005B02FC">
            <w:pPr>
              <w:jc w:val="center"/>
            </w:pPr>
            <w:r>
              <w:t>$499,115</w:t>
            </w:r>
          </w:p>
        </w:tc>
        <w:tc>
          <w:tcPr>
            <w:tcW w:w="1980" w:type="dxa"/>
          </w:tcPr>
          <w:p w:rsidR="005B02FC" w:rsidRDefault="005B02FC" w:rsidP="005B02FC">
            <w:pPr>
              <w:jc w:val="center"/>
              <w:rPr>
                <w:sz w:val="24"/>
                <w:szCs w:val="24"/>
              </w:rPr>
            </w:pPr>
          </w:p>
        </w:tc>
        <w:tc>
          <w:tcPr>
            <w:tcW w:w="1458" w:type="dxa"/>
          </w:tcPr>
          <w:p w:rsidR="005B02FC" w:rsidRDefault="005B02FC" w:rsidP="005B02FC">
            <w:pPr>
              <w:jc w:val="center"/>
              <w:rPr>
                <w:sz w:val="24"/>
                <w:szCs w:val="24"/>
              </w:rPr>
            </w:pPr>
          </w:p>
        </w:tc>
      </w:tr>
      <w:tr w:rsidR="001E66F3" w:rsidTr="00352D84">
        <w:tc>
          <w:tcPr>
            <w:tcW w:w="4428" w:type="dxa"/>
          </w:tcPr>
          <w:p w:rsidR="001E66F3" w:rsidRDefault="00352D84" w:rsidP="001C40AE">
            <w:r>
              <w:t xml:space="preserve">Note </w:t>
            </w:r>
            <w:r w:rsidR="00F4281C">
              <w:t xml:space="preserve">To </w:t>
            </w:r>
            <w:r>
              <w:t>Tri</w:t>
            </w:r>
            <w:r w:rsidR="00F4281C">
              <w:t>-</w:t>
            </w:r>
            <w:r>
              <w:t>City Development Corp</w:t>
            </w:r>
            <w:r w:rsidR="00F4281C">
              <w:t>. (</w:t>
            </w:r>
            <w:r w:rsidR="00060B19">
              <w:t>Affiliate</w:t>
            </w:r>
            <w:r w:rsidR="00F4281C">
              <w:t>)</w:t>
            </w:r>
          </w:p>
        </w:tc>
        <w:tc>
          <w:tcPr>
            <w:tcW w:w="1710" w:type="dxa"/>
          </w:tcPr>
          <w:p w:rsidR="005B02FC" w:rsidRDefault="00D13844" w:rsidP="005B02FC">
            <w:pPr>
              <w:jc w:val="center"/>
              <w:rPr>
                <w:sz w:val="24"/>
                <w:szCs w:val="24"/>
              </w:rPr>
            </w:pPr>
            <w:r>
              <w:t>$574,169</w:t>
            </w:r>
          </w:p>
        </w:tc>
        <w:tc>
          <w:tcPr>
            <w:tcW w:w="1980" w:type="dxa"/>
          </w:tcPr>
          <w:p w:rsidR="005B02FC" w:rsidRDefault="005B02FC" w:rsidP="005B02FC">
            <w:pPr>
              <w:jc w:val="center"/>
              <w:rPr>
                <w:sz w:val="24"/>
                <w:szCs w:val="24"/>
              </w:rPr>
            </w:pPr>
          </w:p>
        </w:tc>
        <w:tc>
          <w:tcPr>
            <w:tcW w:w="1458" w:type="dxa"/>
          </w:tcPr>
          <w:p w:rsidR="005B02FC" w:rsidRDefault="005B02FC" w:rsidP="005B02FC">
            <w:pPr>
              <w:jc w:val="center"/>
              <w:rPr>
                <w:sz w:val="24"/>
                <w:szCs w:val="24"/>
              </w:rPr>
            </w:pPr>
          </w:p>
        </w:tc>
      </w:tr>
      <w:tr w:rsidR="00D13844" w:rsidTr="00352D84">
        <w:tc>
          <w:tcPr>
            <w:tcW w:w="4428" w:type="dxa"/>
          </w:tcPr>
          <w:p w:rsidR="00D13844" w:rsidRDefault="00D13844" w:rsidP="001C40AE">
            <w:r>
              <w:t xml:space="preserve">Operating Loans </w:t>
            </w:r>
            <w:r w:rsidR="00F4281C">
              <w:t xml:space="preserve">From </w:t>
            </w:r>
            <w:r>
              <w:t xml:space="preserve">Partners </w:t>
            </w:r>
            <w:r w:rsidR="00F4281C">
              <w:t>(</w:t>
            </w:r>
            <w:r w:rsidR="00060B19">
              <w:t>Affiliate</w:t>
            </w:r>
            <w:r w:rsidR="00F4281C">
              <w:t>)</w:t>
            </w:r>
          </w:p>
        </w:tc>
        <w:tc>
          <w:tcPr>
            <w:tcW w:w="1710" w:type="dxa"/>
          </w:tcPr>
          <w:p w:rsidR="00D13844" w:rsidRDefault="00D13844" w:rsidP="00352D84">
            <w:pPr>
              <w:jc w:val="center"/>
            </w:pPr>
            <w:r>
              <w:t>$10,000</w:t>
            </w:r>
          </w:p>
        </w:tc>
        <w:tc>
          <w:tcPr>
            <w:tcW w:w="1980" w:type="dxa"/>
          </w:tcPr>
          <w:p w:rsidR="00D13844" w:rsidRDefault="00D13844" w:rsidP="00352D84">
            <w:pPr>
              <w:jc w:val="center"/>
            </w:pPr>
          </w:p>
        </w:tc>
        <w:tc>
          <w:tcPr>
            <w:tcW w:w="1458" w:type="dxa"/>
          </w:tcPr>
          <w:p w:rsidR="00D13844" w:rsidRDefault="00D13844" w:rsidP="00352D84">
            <w:pPr>
              <w:jc w:val="center"/>
            </w:pPr>
          </w:p>
        </w:tc>
      </w:tr>
      <w:tr w:rsidR="00D13844" w:rsidTr="00352D84">
        <w:tc>
          <w:tcPr>
            <w:tcW w:w="4428" w:type="dxa"/>
          </w:tcPr>
          <w:p w:rsidR="00D13844" w:rsidRPr="00D13844" w:rsidRDefault="00F4281C" w:rsidP="001C40AE">
            <w:pPr>
              <w:rPr>
                <w:b/>
              </w:rPr>
            </w:pPr>
            <w:r>
              <w:rPr>
                <w:b/>
              </w:rPr>
              <w:t xml:space="preserve">Total Debt </w:t>
            </w:r>
          </w:p>
        </w:tc>
        <w:tc>
          <w:tcPr>
            <w:tcW w:w="1710" w:type="dxa"/>
          </w:tcPr>
          <w:p w:rsidR="00D13844" w:rsidRPr="005E35E7" w:rsidRDefault="005B02FC" w:rsidP="00352D84">
            <w:pPr>
              <w:jc w:val="center"/>
              <w:rPr>
                <w:b/>
              </w:rPr>
            </w:pPr>
            <w:r w:rsidRPr="005B02FC">
              <w:rPr>
                <w:b/>
              </w:rPr>
              <w:t>$1,083,284</w:t>
            </w:r>
          </w:p>
        </w:tc>
        <w:tc>
          <w:tcPr>
            <w:tcW w:w="1980" w:type="dxa"/>
          </w:tcPr>
          <w:p w:rsidR="00D13844" w:rsidRDefault="00D13844" w:rsidP="00352D84">
            <w:pPr>
              <w:jc w:val="center"/>
            </w:pPr>
          </w:p>
        </w:tc>
        <w:tc>
          <w:tcPr>
            <w:tcW w:w="1458" w:type="dxa"/>
          </w:tcPr>
          <w:p w:rsidR="00D13844" w:rsidRDefault="00D13844" w:rsidP="00352D84">
            <w:pPr>
              <w:jc w:val="center"/>
            </w:pPr>
          </w:p>
        </w:tc>
      </w:tr>
      <w:tr w:rsidR="00D13844" w:rsidTr="00352D84">
        <w:tc>
          <w:tcPr>
            <w:tcW w:w="4428" w:type="dxa"/>
          </w:tcPr>
          <w:p w:rsidR="00D13844" w:rsidRDefault="00D13844" w:rsidP="001C40AE"/>
        </w:tc>
        <w:tc>
          <w:tcPr>
            <w:tcW w:w="1710" w:type="dxa"/>
          </w:tcPr>
          <w:p w:rsidR="005B02FC" w:rsidRDefault="005B02FC" w:rsidP="005B02FC">
            <w:pPr>
              <w:jc w:val="center"/>
              <w:rPr>
                <w:sz w:val="24"/>
                <w:szCs w:val="24"/>
              </w:rPr>
            </w:pPr>
          </w:p>
        </w:tc>
        <w:tc>
          <w:tcPr>
            <w:tcW w:w="1980" w:type="dxa"/>
          </w:tcPr>
          <w:p w:rsidR="005B02FC" w:rsidRDefault="005B02FC" w:rsidP="005B02FC">
            <w:pPr>
              <w:jc w:val="center"/>
              <w:rPr>
                <w:sz w:val="24"/>
                <w:szCs w:val="24"/>
              </w:rPr>
            </w:pPr>
          </w:p>
        </w:tc>
        <w:tc>
          <w:tcPr>
            <w:tcW w:w="1458" w:type="dxa"/>
          </w:tcPr>
          <w:p w:rsidR="005B02FC" w:rsidRDefault="005B02FC" w:rsidP="005B02FC">
            <w:pPr>
              <w:jc w:val="center"/>
              <w:rPr>
                <w:sz w:val="24"/>
                <w:szCs w:val="24"/>
              </w:rPr>
            </w:pPr>
          </w:p>
        </w:tc>
      </w:tr>
      <w:tr w:rsidR="00973425" w:rsidTr="00352D84">
        <w:tc>
          <w:tcPr>
            <w:tcW w:w="4428" w:type="dxa"/>
          </w:tcPr>
          <w:p w:rsidR="00973425" w:rsidRDefault="00973425" w:rsidP="001C40AE">
            <w:r>
              <w:t xml:space="preserve">Owner’s Equity </w:t>
            </w:r>
            <w:r w:rsidR="00F4281C">
              <w:t>12/31/09 (End Of Test Year)</w:t>
            </w:r>
          </w:p>
        </w:tc>
        <w:tc>
          <w:tcPr>
            <w:tcW w:w="1710" w:type="dxa"/>
          </w:tcPr>
          <w:p w:rsidR="00973425" w:rsidRDefault="00973425" w:rsidP="00973425">
            <w:pPr>
              <w:jc w:val="center"/>
            </w:pPr>
            <w:r>
              <w:t>$ 35,482</w:t>
            </w:r>
          </w:p>
        </w:tc>
        <w:tc>
          <w:tcPr>
            <w:tcW w:w="1980" w:type="dxa"/>
          </w:tcPr>
          <w:p w:rsidR="00973425" w:rsidRDefault="00973425" w:rsidP="00352D84">
            <w:pPr>
              <w:jc w:val="center"/>
            </w:pPr>
          </w:p>
        </w:tc>
        <w:tc>
          <w:tcPr>
            <w:tcW w:w="1458" w:type="dxa"/>
          </w:tcPr>
          <w:p w:rsidR="00973425" w:rsidRDefault="00973425" w:rsidP="00352D84">
            <w:pPr>
              <w:jc w:val="center"/>
            </w:pPr>
          </w:p>
        </w:tc>
      </w:tr>
      <w:tr w:rsidR="00973425" w:rsidTr="00352D84">
        <w:tc>
          <w:tcPr>
            <w:tcW w:w="4428" w:type="dxa"/>
          </w:tcPr>
          <w:p w:rsidR="00973425" w:rsidRDefault="00973425" w:rsidP="001C40AE">
            <w:r>
              <w:t xml:space="preserve">Owner’s Equity </w:t>
            </w:r>
            <w:r w:rsidR="00F4281C">
              <w:t xml:space="preserve">1/26/11  (Filing Date) </w:t>
            </w:r>
          </w:p>
        </w:tc>
        <w:tc>
          <w:tcPr>
            <w:tcW w:w="1710" w:type="dxa"/>
          </w:tcPr>
          <w:p w:rsidR="00973425" w:rsidRDefault="00973425" w:rsidP="00973425">
            <w:pPr>
              <w:jc w:val="center"/>
            </w:pPr>
            <w:r>
              <w:t>$ 20,194</w:t>
            </w:r>
          </w:p>
        </w:tc>
        <w:tc>
          <w:tcPr>
            <w:tcW w:w="1980" w:type="dxa"/>
          </w:tcPr>
          <w:p w:rsidR="00973425" w:rsidRDefault="00973425" w:rsidP="00352D84">
            <w:pPr>
              <w:jc w:val="center"/>
            </w:pPr>
          </w:p>
        </w:tc>
        <w:tc>
          <w:tcPr>
            <w:tcW w:w="1458" w:type="dxa"/>
          </w:tcPr>
          <w:p w:rsidR="00973425" w:rsidRDefault="00973425" w:rsidP="00352D84">
            <w:pPr>
              <w:jc w:val="center"/>
            </w:pPr>
          </w:p>
        </w:tc>
      </w:tr>
    </w:tbl>
    <w:p w:rsidR="001E66F3" w:rsidRDefault="001E66F3" w:rsidP="001C40AE"/>
    <w:p w:rsidR="00AF7DD9" w:rsidRDefault="00C76366" w:rsidP="00CA1CC6">
      <w:r>
        <w:t>The company currently charges all customers the same flat rate</w:t>
      </w:r>
      <w:r w:rsidR="00D11CCC">
        <w:t xml:space="preserve"> annually for irrigation service</w:t>
      </w:r>
      <w:r w:rsidR="00F4281C">
        <w:t>,</w:t>
      </w:r>
      <w:r w:rsidR="00D11CCC">
        <w:t xml:space="preserve"> which operates from April through October each year</w:t>
      </w:r>
      <w:r w:rsidR="0047043C">
        <w:t xml:space="preserve">. </w:t>
      </w:r>
      <w:r>
        <w:t>The irrigation system does not have meters so water usage data is not available</w:t>
      </w:r>
      <w:r w:rsidR="0047043C">
        <w:t xml:space="preserve">. </w:t>
      </w:r>
      <w:r>
        <w:t>The company does not plan to meter the irrigation system because irrigation water, being untreated, contains debris and sediment that damages meters and makes metering impractical and expensive</w:t>
      </w:r>
      <w:r w:rsidR="0047043C">
        <w:t xml:space="preserve">. </w:t>
      </w:r>
      <w:r w:rsidR="00973425">
        <w:t>Staff’s research showed that a</w:t>
      </w:r>
      <w:r w:rsidR="001974A7">
        <w:t xml:space="preserve"> per-acre charge</w:t>
      </w:r>
      <w:r w:rsidR="005718F0">
        <w:t xml:space="preserve"> appears to be </w:t>
      </w:r>
      <w:r w:rsidR="00AC1234">
        <w:t>common</w:t>
      </w:r>
      <w:r w:rsidR="005718F0">
        <w:t xml:space="preserve"> among </w:t>
      </w:r>
      <w:r w:rsidR="00973425">
        <w:t xml:space="preserve">public </w:t>
      </w:r>
      <w:r w:rsidR="005718F0">
        <w:t xml:space="preserve">Eastern Washington irrigation districts. </w:t>
      </w:r>
      <w:r w:rsidR="001974A7">
        <w:t xml:space="preserve"> </w:t>
      </w:r>
    </w:p>
    <w:p w:rsidR="00AF7DD9" w:rsidRDefault="00AF7DD9" w:rsidP="00CA1CC6"/>
    <w:p w:rsidR="00C76366" w:rsidRDefault="00C76366" w:rsidP="00CA1CC6">
      <w:r>
        <w:t>During the initial stages of the Summit View development, l</w:t>
      </w:r>
      <w:r w:rsidR="00CA1CC6">
        <w:t>ot sizes were roughly the same, so one charge for all customers appeared fair</w:t>
      </w:r>
      <w:r w:rsidR="0047043C">
        <w:t xml:space="preserve">. </w:t>
      </w:r>
      <w:r>
        <w:t xml:space="preserve">With the development of new plats </w:t>
      </w:r>
      <w:r w:rsidR="00AF7DD9">
        <w:t>served by</w:t>
      </w:r>
      <w:r>
        <w:t xml:space="preserve"> the irrigation system, customers can choose among development</w:t>
      </w:r>
      <w:r w:rsidR="00CA1CC6">
        <w:t>s</w:t>
      </w:r>
      <w:r>
        <w:t xml:space="preserve"> with </w:t>
      </w:r>
      <w:r w:rsidR="00CA1CC6">
        <w:t xml:space="preserve">0.5-acre, </w:t>
      </w:r>
      <w:r>
        <w:t>2.5-acre or 5-acre lots</w:t>
      </w:r>
      <w:r w:rsidR="0047043C">
        <w:t xml:space="preserve">. </w:t>
      </w:r>
      <w:r>
        <w:t>In the absence of meters, the company feels that lot size is a good proxy for water usage data since it is likely that customers with larger lots will use</w:t>
      </w:r>
      <w:r w:rsidR="00CA1CC6">
        <w:t xml:space="preserve"> more</w:t>
      </w:r>
      <w:r>
        <w:t xml:space="preserve"> irrigation water in amounts proportionate to their lot size</w:t>
      </w:r>
      <w:r w:rsidR="0047043C">
        <w:t xml:space="preserve">. </w:t>
      </w:r>
      <w:r w:rsidR="00FD0FEB">
        <w:t xml:space="preserve">Staff </w:t>
      </w:r>
      <w:r w:rsidR="00D11CCC">
        <w:t>acknowledges</w:t>
      </w:r>
      <w:r w:rsidR="00FD0FEB">
        <w:t xml:space="preserve"> that this may be a more fair approach than a flat </w:t>
      </w:r>
      <w:r w:rsidR="00D11CCC">
        <w:t>rate</w:t>
      </w:r>
      <w:r w:rsidR="00FD0FEB">
        <w:t xml:space="preserve"> for all customers</w:t>
      </w:r>
      <w:r w:rsidR="00AF7DD9">
        <w:t>,</w:t>
      </w:r>
      <w:r w:rsidR="00FD0FEB">
        <w:t xml:space="preserve"> regardless of lot size</w:t>
      </w:r>
      <w:r w:rsidR="00AF7DD9">
        <w:t>,</w:t>
      </w:r>
      <w:r w:rsidR="00FD0FEB">
        <w:t xml:space="preserve"> but argues that it is impossible to know whether any customer has developed an entire lot due to</w:t>
      </w:r>
      <w:r w:rsidR="00CA1CC6">
        <w:t xml:space="preserve"> issues such as</w:t>
      </w:r>
      <w:r w:rsidR="00FD0FEB">
        <w:t xml:space="preserve"> steep topography or </w:t>
      </w:r>
      <w:r w:rsidR="00D11CCC">
        <w:t xml:space="preserve">whether a customer </w:t>
      </w:r>
      <w:r w:rsidR="00FD0FEB">
        <w:t>is growing</w:t>
      </w:r>
      <w:r w:rsidR="00CA1CC6">
        <w:t xml:space="preserve"> water-intensive vegetation such as grass or grapevines.</w:t>
      </w:r>
    </w:p>
    <w:p w:rsidR="00FD0FEB" w:rsidRDefault="00FD0FEB" w:rsidP="001C40AE"/>
    <w:p w:rsidR="001342F6" w:rsidRDefault="00182A1D" w:rsidP="001C40AE">
      <w:r>
        <w:t xml:space="preserve">The following is a comparison of the </w:t>
      </w:r>
      <w:r w:rsidR="000D37C4">
        <w:t xml:space="preserve">company’s </w:t>
      </w:r>
      <w:r w:rsidR="002F2829">
        <w:t>current</w:t>
      </w:r>
      <w:r>
        <w:t xml:space="preserve"> and proposed </w:t>
      </w:r>
      <w:r w:rsidR="001C40AE">
        <w:t>irrigation rates</w:t>
      </w:r>
      <w:r>
        <w:t>:</w:t>
      </w:r>
    </w:p>
    <w:p w:rsidR="001C40AE" w:rsidRDefault="001C40AE" w:rsidP="001C40AE"/>
    <w:tbl>
      <w:tblPr>
        <w:tblStyle w:val="TableGrid"/>
        <w:tblW w:w="0" w:type="auto"/>
        <w:tblLook w:val="04A0"/>
      </w:tblPr>
      <w:tblGrid>
        <w:gridCol w:w="5958"/>
        <w:gridCol w:w="1710"/>
        <w:gridCol w:w="1908"/>
      </w:tblGrid>
      <w:tr w:rsidR="00F4281C" w:rsidTr="00F75A46">
        <w:tc>
          <w:tcPr>
            <w:tcW w:w="5958" w:type="dxa"/>
            <w:vMerge w:val="restart"/>
          </w:tcPr>
          <w:p w:rsidR="00F4281C" w:rsidRDefault="00F4281C" w:rsidP="005F0567">
            <w:pPr>
              <w:jc w:val="center"/>
              <w:rPr>
                <w:b/>
                <w:sz w:val="24"/>
                <w:szCs w:val="24"/>
              </w:rPr>
            </w:pPr>
          </w:p>
          <w:p w:rsidR="00F4281C" w:rsidRPr="00F4281C" w:rsidRDefault="00F4281C" w:rsidP="00F4281C">
            <w:pPr>
              <w:jc w:val="center"/>
              <w:rPr>
                <w:b/>
              </w:rPr>
            </w:pPr>
            <w:r w:rsidRPr="00F4281C">
              <w:rPr>
                <w:b/>
                <w:sz w:val="24"/>
                <w:szCs w:val="24"/>
              </w:rPr>
              <w:t>Rate</w:t>
            </w:r>
          </w:p>
        </w:tc>
        <w:tc>
          <w:tcPr>
            <w:tcW w:w="3618" w:type="dxa"/>
            <w:gridSpan w:val="2"/>
          </w:tcPr>
          <w:p w:rsidR="00F4281C" w:rsidRPr="00F4281C" w:rsidRDefault="00F4281C" w:rsidP="00356F4A">
            <w:pPr>
              <w:jc w:val="center"/>
              <w:rPr>
                <w:b/>
              </w:rPr>
            </w:pPr>
            <w:r w:rsidRPr="005B02FC">
              <w:rPr>
                <w:b/>
              </w:rPr>
              <w:t>Annual Charge</w:t>
            </w:r>
          </w:p>
        </w:tc>
      </w:tr>
      <w:tr w:rsidR="00F4281C" w:rsidTr="001C40AE">
        <w:tc>
          <w:tcPr>
            <w:tcW w:w="5958" w:type="dxa"/>
            <w:vMerge/>
          </w:tcPr>
          <w:p w:rsidR="00F4281C" w:rsidRPr="00F4281C" w:rsidRDefault="00F4281C">
            <w:pPr>
              <w:jc w:val="center"/>
              <w:rPr>
                <w:b/>
                <w:sz w:val="24"/>
                <w:szCs w:val="24"/>
              </w:rPr>
            </w:pPr>
          </w:p>
        </w:tc>
        <w:tc>
          <w:tcPr>
            <w:tcW w:w="1710" w:type="dxa"/>
          </w:tcPr>
          <w:p w:rsidR="00F4281C" w:rsidRPr="00F4281C" w:rsidRDefault="00F4281C" w:rsidP="00F4281C">
            <w:pPr>
              <w:jc w:val="center"/>
              <w:rPr>
                <w:b/>
                <w:sz w:val="24"/>
                <w:szCs w:val="24"/>
              </w:rPr>
            </w:pPr>
            <w:r w:rsidRPr="00F4281C">
              <w:rPr>
                <w:b/>
                <w:sz w:val="24"/>
                <w:szCs w:val="24"/>
              </w:rPr>
              <w:t xml:space="preserve">Current </w:t>
            </w:r>
          </w:p>
        </w:tc>
        <w:tc>
          <w:tcPr>
            <w:tcW w:w="1908" w:type="dxa"/>
          </w:tcPr>
          <w:p w:rsidR="00F4281C" w:rsidRPr="00F4281C" w:rsidRDefault="00F4281C" w:rsidP="00F4281C">
            <w:pPr>
              <w:jc w:val="center"/>
              <w:rPr>
                <w:b/>
                <w:sz w:val="24"/>
                <w:szCs w:val="24"/>
              </w:rPr>
            </w:pPr>
            <w:r w:rsidRPr="00F4281C">
              <w:rPr>
                <w:b/>
                <w:sz w:val="24"/>
                <w:szCs w:val="24"/>
              </w:rPr>
              <w:t xml:space="preserve">Proposed </w:t>
            </w:r>
          </w:p>
        </w:tc>
      </w:tr>
      <w:tr w:rsidR="00DB31B2" w:rsidTr="001C40AE">
        <w:tc>
          <w:tcPr>
            <w:tcW w:w="5958" w:type="dxa"/>
          </w:tcPr>
          <w:p w:rsidR="00DB31B2" w:rsidRPr="001C40AE" w:rsidRDefault="00F4281C" w:rsidP="00DF363D">
            <w:pPr>
              <w:rPr>
                <w:sz w:val="24"/>
                <w:szCs w:val="24"/>
              </w:rPr>
            </w:pPr>
            <w:r w:rsidRPr="001C40AE">
              <w:rPr>
                <w:sz w:val="24"/>
                <w:szCs w:val="24"/>
              </w:rPr>
              <w:t>Irrigation Rates, Each Connection Or Customer Annually</w:t>
            </w:r>
          </w:p>
        </w:tc>
        <w:tc>
          <w:tcPr>
            <w:tcW w:w="1710" w:type="dxa"/>
          </w:tcPr>
          <w:p w:rsidR="00DB31B2" w:rsidRPr="001C40AE" w:rsidRDefault="007F098C" w:rsidP="00A77CD8">
            <w:pPr>
              <w:jc w:val="center"/>
              <w:rPr>
                <w:sz w:val="24"/>
                <w:szCs w:val="24"/>
              </w:rPr>
            </w:pPr>
            <w:r w:rsidRPr="001C40AE">
              <w:rPr>
                <w:sz w:val="24"/>
                <w:szCs w:val="24"/>
              </w:rPr>
              <w:t>$400</w:t>
            </w:r>
          </w:p>
        </w:tc>
        <w:tc>
          <w:tcPr>
            <w:tcW w:w="1908" w:type="dxa"/>
          </w:tcPr>
          <w:p w:rsidR="00DB31B2" w:rsidRPr="001C40AE" w:rsidRDefault="007F098C" w:rsidP="00A77CD8">
            <w:pPr>
              <w:jc w:val="center"/>
              <w:rPr>
                <w:sz w:val="24"/>
                <w:szCs w:val="24"/>
              </w:rPr>
            </w:pPr>
            <w:r w:rsidRPr="001C40AE">
              <w:rPr>
                <w:sz w:val="24"/>
                <w:szCs w:val="24"/>
              </w:rPr>
              <w:t>NA</w:t>
            </w:r>
          </w:p>
        </w:tc>
      </w:tr>
      <w:tr w:rsidR="001C6E68" w:rsidTr="001C40AE">
        <w:tc>
          <w:tcPr>
            <w:tcW w:w="5958" w:type="dxa"/>
          </w:tcPr>
          <w:p w:rsidR="001C6E68" w:rsidRPr="001C40AE" w:rsidRDefault="007F098C" w:rsidP="00DF363D">
            <w:pPr>
              <w:rPr>
                <w:sz w:val="24"/>
                <w:szCs w:val="24"/>
              </w:rPr>
            </w:pPr>
            <w:r w:rsidRPr="001C40AE">
              <w:rPr>
                <w:sz w:val="24"/>
                <w:szCs w:val="24"/>
              </w:rPr>
              <w:t>Irrigation Rates</w:t>
            </w:r>
            <w:r w:rsidR="00F4281C" w:rsidRPr="001C40AE">
              <w:rPr>
                <w:sz w:val="24"/>
                <w:szCs w:val="24"/>
              </w:rPr>
              <w:t xml:space="preserve">, Each Connection Or Customer Monthly </w:t>
            </w:r>
          </w:p>
        </w:tc>
        <w:tc>
          <w:tcPr>
            <w:tcW w:w="1710" w:type="dxa"/>
          </w:tcPr>
          <w:p w:rsidR="00A77CD8" w:rsidRPr="001C40AE" w:rsidRDefault="007F098C" w:rsidP="00A77CD8">
            <w:pPr>
              <w:jc w:val="center"/>
              <w:rPr>
                <w:sz w:val="24"/>
                <w:szCs w:val="24"/>
              </w:rPr>
            </w:pPr>
            <w:r w:rsidRPr="001C40AE">
              <w:rPr>
                <w:sz w:val="24"/>
                <w:szCs w:val="24"/>
              </w:rPr>
              <w:t>$34</w:t>
            </w:r>
          </w:p>
        </w:tc>
        <w:tc>
          <w:tcPr>
            <w:tcW w:w="1908" w:type="dxa"/>
          </w:tcPr>
          <w:p w:rsidR="00A77CD8" w:rsidRPr="001C40AE" w:rsidRDefault="007F098C" w:rsidP="00A77CD8">
            <w:pPr>
              <w:jc w:val="center"/>
              <w:rPr>
                <w:sz w:val="24"/>
                <w:szCs w:val="24"/>
              </w:rPr>
            </w:pPr>
            <w:r w:rsidRPr="001C40AE">
              <w:rPr>
                <w:sz w:val="24"/>
                <w:szCs w:val="24"/>
              </w:rPr>
              <w:t xml:space="preserve">NA </w:t>
            </w:r>
          </w:p>
        </w:tc>
      </w:tr>
      <w:tr w:rsidR="00F3565A" w:rsidTr="001C40AE">
        <w:tc>
          <w:tcPr>
            <w:tcW w:w="5958" w:type="dxa"/>
          </w:tcPr>
          <w:p w:rsidR="00F3565A" w:rsidRPr="001C40AE" w:rsidRDefault="00AF7DD9" w:rsidP="00AF7DD9">
            <w:pPr>
              <w:rPr>
                <w:sz w:val="24"/>
                <w:szCs w:val="24"/>
              </w:rPr>
            </w:pPr>
            <w:r>
              <w:rPr>
                <w:sz w:val="24"/>
                <w:szCs w:val="24"/>
              </w:rPr>
              <w:t xml:space="preserve">Base </w:t>
            </w:r>
            <w:r w:rsidR="007F098C" w:rsidRPr="001C40AE">
              <w:rPr>
                <w:sz w:val="24"/>
                <w:szCs w:val="24"/>
              </w:rPr>
              <w:t>Outlet Fee</w:t>
            </w:r>
            <w:r w:rsidR="00F4281C">
              <w:rPr>
                <w:sz w:val="24"/>
                <w:szCs w:val="24"/>
              </w:rPr>
              <w:t>,</w:t>
            </w:r>
            <w:r w:rsidR="00F4281C" w:rsidRPr="001C40AE">
              <w:rPr>
                <w:sz w:val="24"/>
                <w:szCs w:val="24"/>
              </w:rPr>
              <w:t xml:space="preserve"> Per Connection Or Customer Annually</w:t>
            </w:r>
          </w:p>
        </w:tc>
        <w:tc>
          <w:tcPr>
            <w:tcW w:w="1710" w:type="dxa"/>
          </w:tcPr>
          <w:p w:rsidR="00A77CD8" w:rsidRPr="001C40AE" w:rsidRDefault="007F098C" w:rsidP="00A77CD8">
            <w:pPr>
              <w:jc w:val="center"/>
              <w:rPr>
                <w:sz w:val="24"/>
                <w:szCs w:val="24"/>
              </w:rPr>
            </w:pPr>
            <w:r w:rsidRPr="001C40AE">
              <w:rPr>
                <w:sz w:val="24"/>
                <w:szCs w:val="24"/>
              </w:rPr>
              <w:t>NA</w:t>
            </w:r>
          </w:p>
        </w:tc>
        <w:tc>
          <w:tcPr>
            <w:tcW w:w="1908" w:type="dxa"/>
          </w:tcPr>
          <w:p w:rsidR="00A77CD8" w:rsidRPr="001C40AE" w:rsidRDefault="007F098C" w:rsidP="00A77CD8">
            <w:pPr>
              <w:jc w:val="center"/>
              <w:rPr>
                <w:sz w:val="24"/>
                <w:szCs w:val="24"/>
              </w:rPr>
            </w:pPr>
            <w:r w:rsidRPr="001C40AE">
              <w:rPr>
                <w:sz w:val="24"/>
                <w:szCs w:val="24"/>
              </w:rPr>
              <w:t>$250</w:t>
            </w:r>
          </w:p>
        </w:tc>
      </w:tr>
      <w:tr w:rsidR="00DB31B2" w:rsidTr="001C40AE">
        <w:tc>
          <w:tcPr>
            <w:tcW w:w="5958" w:type="dxa"/>
          </w:tcPr>
          <w:p w:rsidR="00DB31B2" w:rsidRPr="001C40AE" w:rsidRDefault="007F098C" w:rsidP="00F4281C">
            <w:pPr>
              <w:rPr>
                <w:sz w:val="24"/>
                <w:szCs w:val="24"/>
              </w:rPr>
            </w:pPr>
            <w:r w:rsidRPr="001C40AE">
              <w:rPr>
                <w:sz w:val="24"/>
                <w:szCs w:val="24"/>
              </w:rPr>
              <w:t>Per</w:t>
            </w:r>
            <w:r w:rsidR="00F4281C" w:rsidRPr="001C40AE">
              <w:rPr>
                <w:sz w:val="24"/>
                <w:szCs w:val="24"/>
              </w:rPr>
              <w:t xml:space="preserve">-Acre </w:t>
            </w:r>
            <w:r w:rsidR="00F4281C">
              <w:rPr>
                <w:sz w:val="24"/>
                <w:szCs w:val="24"/>
              </w:rPr>
              <w:t>C</w:t>
            </w:r>
            <w:r w:rsidRPr="001C40AE">
              <w:rPr>
                <w:sz w:val="24"/>
                <w:szCs w:val="24"/>
              </w:rPr>
              <w:t>harge</w:t>
            </w:r>
            <w:r w:rsidR="00F4281C" w:rsidRPr="001C40AE">
              <w:rPr>
                <w:sz w:val="24"/>
                <w:szCs w:val="24"/>
              </w:rPr>
              <w:t>, Each Connection Or Customer Annually</w:t>
            </w:r>
          </w:p>
        </w:tc>
        <w:tc>
          <w:tcPr>
            <w:tcW w:w="1710" w:type="dxa"/>
          </w:tcPr>
          <w:p w:rsidR="00DB31B2" w:rsidRPr="001C40AE" w:rsidRDefault="007F098C" w:rsidP="00DB31B2">
            <w:pPr>
              <w:jc w:val="center"/>
              <w:rPr>
                <w:sz w:val="24"/>
                <w:szCs w:val="24"/>
              </w:rPr>
            </w:pPr>
            <w:r w:rsidRPr="001C40AE">
              <w:rPr>
                <w:sz w:val="24"/>
                <w:szCs w:val="24"/>
              </w:rPr>
              <w:t>NA</w:t>
            </w:r>
          </w:p>
        </w:tc>
        <w:tc>
          <w:tcPr>
            <w:tcW w:w="1908" w:type="dxa"/>
          </w:tcPr>
          <w:p w:rsidR="00DB31B2" w:rsidRPr="001C40AE" w:rsidRDefault="007F098C" w:rsidP="00DB31B2">
            <w:pPr>
              <w:jc w:val="center"/>
              <w:rPr>
                <w:sz w:val="24"/>
                <w:szCs w:val="24"/>
              </w:rPr>
            </w:pPr>
            <w:r w:rsidRPr="001C40AE">
              <w:rPr>
                <w:sz w:val="24"/>
                <w:szCs w:val="24"/>
              </w:rPr>
              <w:t>$300</w:t>
            </w:r>
          </w:p>
        </w:tc>
      </w:tr>
    </w:tbl>
    <w:p w:rsidR="005B02FC" w:rsidRDefault="00973425" w:rsidP="00F4281C">
      <w:pPr>
        <w:spacing w:after="200" w:line="276" w:lineRule="auto"/>
        <w:jc w:val="center"/>
        <w:rPr>
          <w:b/>
          <w:u w:val="single"/>
        </w:rPr>
      </w:pPr>
      <w:r>
        <w:br w:type="page"/>
      </w:r>
      <w:r w:rsidR="009F495B">
        <w:rPr>
          <w:b/>
          <w:u w:val="single"/>
        </w:rPr>
        <w:lastRenderedPageBreak/>
        <w:t>Rate Comparison</w:t>
      </w:r>
    </w:p>
    <w:tbl>
      <w:tblPr>
        <w:tblStyle w:val="TableGrid"/>
        <w:tblW w:w="0" w:type="auto"/>
        <w:jc w:val="center"/>
        <w:tblLook w:val="04A0"/>
      </w:tblPr>
      <w:tblGrid>
        <w:gridCol w:w="1524"/>
        <w:gridCol w:w="1709"/>
        <w:gridCol w:w="1346"/>
        <w:gridCol w:w="1715"/>
      </w:tblGrid>
      <w:tr w:rsidR="00F4281C" w:rsidTr="004569C7">
        <w:trPr>
          <w:jc w:val="center"/>
        </w:trPr>
        <w:tc>
          <w:tcPr>
            <w:tcW w:w="1524" w:type="dxa"/>
            <w:vMerge w:val="restart"/>
          </w:tcPr>
          <w:p w:rsidR="00F4281C" w:rsidRDefault="00F4281C" w:rsidP="00311218">
            <w:pPr>
              <w:jc w:val="center"/>
              <w:rPr>
                <w:b/>
              </w:rPr>
            </w:pPr>
          </w:p>
          <w:p w:rsidR="00F4281C" w:rsidRDefault="00F4281C" w:rsidP="00311218">
            <w:pPr>
              <w:jc w:val="center"/>
              <w:rPr>
                <w:b/>
              </w:rPr>
            </w:pPr>
            <w:r w:rsidRPr="005B02FC">
              <w:rPr>
                <w:b/>
              </w:rPr>
              <w:t xml:space="preserve">Lot Size </w:t>
            </w:r>
          </w:p>
        </w:tc>
        <w:tc>
          <w:tcPr>
            <w:tcW w:w="3055" w:type="dxa"/>
            <w:gridSpan w:val="2"/>
          </w:tcPr>
          <w:p w:rsidR="00F4281C" w:rsidRPr="004569C7" w:rsidRDefault="00F4281C" w:rsidP="004569C7">
            <w:pPr>
              <w:jc w:val="center"/>
              <w:rPr>
                <w:b/>
              </w:rPr>
            </w:pPr>
            <w:r w:rsidRPr="005B02FC">
              <w:rPr>
                <w:b/>
              </w:rPr>
              <w:t>Annual Charge</w:t>
            </w:r>
          </w:p>
        </w:tc>
        <w:tc>
          <w:tcPr>
            <w:tcW w:w="1715" w:type="dxa"/>
            <w:vMerge w:val="restart"/>
          </w:tcPr>
          <w:p w:rsidR="00F4281C" w:rsidRDefault="00F4281C" w:rsidP="004A5C3A">
            <w:pPr>
              <w:jc w:val="center"/>
              <w:rPr>
                <w:b/>
              </w:rPr>
            </w:pPr>
          </w:p>
          <w:p w:rsidR="00F4281C" w:rsidRPr="004569C7" w:rsidRDefault="00F4281C" w:rsidP="004A5C3A">
            <w:pPr>
              <w:jc w:val="center"/>
              <w:rPr>
                <w:b/>
              </w:rPr>
            </w:pPr>
            <w:r w:rsidRPr="005B02FC">
              <w:rPr>
                <w:b/>
              </w:rPr>
              <w:t>Percent Change</w:t>
            </w:r>
          </w:p>
        </w:tc>
      </w:tr>
      <w:tr w:rsidR="00F4281C" w:rsidTr="004569C7">
        <w:trPr>
          <w:jc w:val="center"/>
        </w:trPr>
        <w:tc>
          <w:tcPr>
            <w:tcW w:w="1524" w:type="dxa"/>
            <w:vMerge/>
          </w:tcPr>
          <w:p w:rsidR="00F4281C" w:rsidRDefault="00F4281C">
            <w:pPr>
              <w:jc w:val="center"/>
              <w:rPr>
                <w:b/>
              </w:rPr>
            </w:pPr>
          </w:p>
        </w:tc>
        <w:tc>
          <w:tcPr>
            <w:tcW w:w="1709" w:type="dxa"/>
          </w:tcPr>
          <w:p w:rsidR="00F4281C" w:rsidRDefault="00F4281C">
            <w:pPr>
              <w:jc w:val="center"/>
              <w:rPr>
                <w:b/>
              </w:rPr>
            </w:pPr>
            <w:r w:rsidRPr="005B02FC">
              <w:rPr>
                <w:b/>
              </w:rPr>
              <w:t xml:space="preserve">Current </w:t>
            </w:r>
          </w:p>
        </w:tc>
        <w:tc>
          <w:tcPr>
            <w:tcW w:w="1346" w:type="dxa"/>
          </w:tcPr>
          <w:p w:rsidR="00F4281C" w:rsidRDefault="00F4281C">
            <w:pPr>
              <w:jc w:val="center"/>
              <w:rPr>
                <w:b/>
              </w:rPr>
            </w:pPr>
            <w:r w:rsidRPr="005B02FC">
              <w:rPr>
                <w:b/>
              </w:rPr>
              <w:t xml:space="preserve">Proposed </w:t>
            </w:r>
          </w:p>
        </w:tc>
        <w:tc>
          <w:tcPr>
            <w:tcW w:w="1715" w:type="dxa"/>
            <w:vMerge/>
          </w:tcPr>
          <w:p w:rsidR="00F4281C" w:rsidRDefault="00F4281C">
            <w:pPr>
              <w:jc w:val="center"/>
              <w:rPr>
                <w:b/>
              </w:rPr>
            </w:pPr>
          </w:p>
        </w:tc>
      </w:tr>
      <w:tr w:rsidR="004569C7" w:rsidTr="004569C7">
        <w:trPr>
          <w:jc w:val="center"/>
        </w:trPr>
        <w:tc>
          <w:tcPr>
            <w:tcW w:w="1524" w:type="dxa"/>
          </w:tcPr>
          <w:p w:rsidR="00207C00" w:rsidRDefault="004569C7">
            <w:pPr>
              <w:jc w:val="center"/>
              <w:rPr>
                <w:sz w:val="24"/>
                <w:szCs w:val="24"/>
              </w:rPr>
            </w:pPr>
            <w:r>
              <w:t>0.5 Acre</w:t>
            </w:r>
          </w:p>
        </w:tc>
        <w:tc>
          <w:tcPr>
            <w:tcW w:w="1709" w:type="dxa"/>
          </w:tcPr>
          <w:p w:rsidR="00207C00" w:rsidRDefault="004569C7">
            <w:pPr>
              <w:jc w:val="center"/>
              <w:rPr>
                <w:sz w:val="24"/>
                <w:szCs w:val="24"/>
              </w:rPr>
            </w:pPr>
            <w:r>
              <w:t>$ 400.00</w:t>
            </w:r>
          </w:p>
        </w:tc>
        <w:tc>
          <w:tcPr>
            <w:tcW w:w="1346" w:type="dxa"/>
          </w:tcPr>
          <w:p w:rsidR="00207C00" w:rsidRDefault="004569C7">
            <w:pPr>
              <w:jc w:val="center"/>
              <w:rPr>
                <w:sz w:val="24"/>
                <w:szCs w:val="24"/>
              </w:rPr>
            </w:pPr>
            <w:r>
              <w:t>$ 400.00</w:t>
            </w:r>
          </w:p>
        </w:tc>
        <w:tc>
          <w:tcPr>
            <w:tcW w:w="1715" w:type="dxa"/>
          </w:tcPr>
          <w:p w:rsidR="00207C00" w:rsidRDefault="004569C7">
            <w:pPr>
              <w:jc w:val="center"/>
              <w:rPr>
                <w:sz w:val="24"/>
                <w:szCs w:val="24"/>
              </w:rPr>
            </w:pPr>
            <w:r>
              <w:t>0 %</w:t>
            </w:r>
          </w:p>
        </w:tc>
      </w:tr>
      <w:tr w:rsidR="004569C7" w:rsidTr="004569C7">
        <w:trPr>
          <w:jc w:val="center"/>
        </w:trPr>
        <w:tc>
          <w:tcPr>
            <w:tcW w:w="1524" w:type="dxa"/>
          </w:tcPr>
          <w:p w:rsidR="00207C00" w:rsidRDefault="004569C7">
            <w:pPr>
              <w:jc w:val="center"/>
            </w:pPr>
            <w:r>
              <w:t>2.5 Acres</w:t>
            </w:r>
          </w:p>
        </w:tc>
        <w:tc>
          <w:tcPr>
            <w:tcW w:w="1709" w:type="dxa"/>
          </w:tcPr>
          <w:p w:rsidR="00207C00" w:rsidRDefault="004569C7">
            <w:pPr>
              <w:jc w:val="center"/>
            </w:pPr>
            <w:r>
              <w:t>$ 400.00</w:t>
            </w:r>
          </w:p>
        </w:tc>
        <w:tc>
          <w:tcPr>
            <w:tcW w:w="1346" w:type="dxa"/>
          </w:tcPr>
          <w:p w:rsidR="00207C00" w:rsidRDefault="004569C7">
            <w:pPr>
              <w:jc w:val="center"/>
            </w:pPr>
            <w:r>
              <w:t>$1,000.00</w:t>
            </w:r>
          </w:p>
        </w:tc>
        <w:tc>
          <w:tcPr>
            <w:tcW w:w="1715" w:type="dxa"/>
          </w:tcPr>
          <w:p w:rsidR="00207C00" w:rsidRDefault="004569C7">
            <w:pPr>
              <w:jc w:val="center"/>
              <w:rPr>
                <w:sz w:val="24"/>
                <w:szCs w:val="24"/>
              </w:rPr>
            </w:pPr>
            <w:r>
              <w:t>250%</w:t>
            </w:r>
          </w:p>
        </w:tc>
      </w:tr>
      <w:tr w:rsidR="004569C7" w:rsidTr="004569C7">
        <w:trPr>
          <w:jc w:val="center"/>
        </w:trPr>
        <w:tc>
          <w:tcPr>
            <w:tcW w:w="1524" w:type="dxa"/>
          </w:tcPr>
          <w:p w:rsidR="00207C00" w:rsidRDefault="004569C7">
            <w:pPr>
              <w:jc w:val="center"/>
            </w:pPr>
            <w:r>
              <w:t>5.0 Acres</w:t>
            </w:r>
          </w:p>
        </w:tc>
        <w:tc>
          <w:tcPr>
            <w:tcW w:w="1709" w:type="dxa"/>
          </w:tcPr>
          <w:p w:rsidR="00207C00" w:rsidRDefault="004569C7">
            <w:pPr>
              <w:jc w:val="center"/>
            </w:pPr>
            <w:r>
              <w:t>$ 400.00</w:t>
            </w:r>
          </w:p>
        </w:tc>
        <w:tc>
          <w:tcPr>
            <w:tcW w:w="1346" w:type="dxa"/>
          </w:tcPr>
          <w:p w:rsidR="00207C00" w:rsidRDefault="004569C7">
            <w:pPr>
              <w:jc w:val="center"/>
            </w:pPr>
            <w:r>
              <w:t>$1,750.00</w:t>
            </w:r>
          </w:p>
        </w:tc>
        <w:tc>
          <w:tcPr>
            <w:tcW w:w="1715" w:type="dxa"/>
          </w:tcPr>
          <w:p w:rsidR="00207C00" w:rsidRDefault="004569C7">
            <w:pPr>
              <w:jc w:val="center"/>
              <w:rPr>
                <w:sz w:val="24"/>
                <w:szCs w:val="24"/>
              </w:rPr>
            </w:pPr>
            <w:r>
              <w:t>437.5%</w:t>
            </w:r>
          </w:p>
        </w:tc>
      </w:tr>
    </w:tbl>
    <w:p w:rsidR="00AF7DD9" w:rsidRDefault="00AF7DD9" w:rsidP="00DF363D"/>
    <w:p w:rsidR="00046A19" w:rsidRDefault="00046A19" w:rsidP="00046A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rsidR="00355AE7" w:rsidRDefault="00355AE7" w:rsidP="00046A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rsidR="002433FE" w:rsidRDefault="002433FE" w:rsidP="002433FE">
      <w:pPr>
        <w:pStyle w:val="NoSpacing"/>
      </w:pPr>
      <w:r>
        <w:t xml:space="preserve">On January 28, the company notified its customers of the proposed irrigation rate increase by mail. One comment has been received to date, opposed to the increase in irrigation rates. Staff advised the customers that he may access company documents filed in this case at </w:t>
      </w:r>
      <w:hyperlink r:id="rId10" w:history="1">
        <w:r>
          <w:rPr>
            <w:rStyle w:val="Hyperlink"/>
          </w:rPr>
          <w:t>www.utc.wa.gov/water</w:t>
        </w:r>
      </w:hyperlink>
      <w:r>
        <w:t>, and that he may contact John Cupp at 1-888-333-WUTC (9882) with questions or concerns.</w:t>
      </w:r>
    </w:p>
    <w:p w:rsidR="002433FE" w:rsidRDefault="002433FE" w:rsidP="002433FE">
      <w:pPr>
        <w:pStyle w:val="NoSpacing"/>
      </w:pPr>
    </w:p>
    <w:p w:rsidR="002433FE" w:rsidRDefault="002433FE" w:rsidP="002433FE">
      <w:pPr>
        <w:pStyle w:val="NoSpacing"/>
        <w:rPr>
          <w:b/>
        </w:rPr>
      </w:pPr>
      <w:r>
        <w:rPr>
          <w:b/>
        </w:rPr>
        <w:t>General</w:t>
      </w:r>
    </w:p>
    <w:p w:rsidR="002433FE" w:rsidRPr="0021604B" w:rsidRDefault="002433FE" w:rsidP="002433FE">
      <w:pPr>
        <w:pStyle w:val="NoSpacing"/>
        <w:numPr>
          <w:ilvl w:val="0"/>
          <w:numId w:val="2"/>
        </w:numPr>
        <w:rPr>
          <w:b/>
        </w:rPr>
      </w:pPr>
      <w:r>
        <w:t xml:space="preserve">Customer says this is a drastic rate increase and it will create a hardship </w:t>
      </w:r>
      <w:r w:rsidR="00D71DA4">
        <w:t>for</w:t>
      </w:r>
      <w:r>
        <w:t xml:space="preserve"> irrigation customers.</w:t>
      </w:r>
    </w:p>
    <w:p w:rsidR="002433FE" w:rsidRDefault="002433FE" w:rsidP="002433FE">
      <w:pPr>
        <w:pStyle w:val="NoSpacing"/>
      </w:pPr>
    </w:p>
    <w:p w:rsidR="002433FE" w:rsidRPr="0021604B" w:rsidRDefault="002433FE" w:rsidP="002433FE">
      <w:pPr>
        <w:pStyle w:val="NoSpacing"/>
        <w:ind w:left="720"/>
        <w:rPr>
          <w:b/>
        </w:rPr>
      </w:pPr>
      <w:r w:rsidRPr="0021604B">
        <w:rPr>
          <w:b/>
        </w:rPr>
        <w:t>Staff Response</w:t>
      </w:r>
    </w:p>
    <w:p w:rsidR="00046A19" w:rsidRDefault="002433FE" w:rsidP="002433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ind w:left="720"/>
      </w:pPr>
      <w:r>
        <w:t xml:space="preserve">Consumer Protection staff informed the customer that analysis of the request is at a preliminary stage and we do not have enough information </w:t>
      </w:r>
      <w:r w:rsidR="00D71DA4">
        <w:t xml:space="preserve">yet </w:t>
      </w:r>
      <w:r>
        <w:t>from the company to determine appropriate rates.</w:t>
      </w:r>
    </w:p>
    <w:p w:rsidR="002433FE" w:rsidRPr="00DB7B59" w:rsidRDefault="002433FE" w:rsidP="002433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u w:val="single"/>
          <w:lang w:bidi="ar-SA"/>
        </w:rPr>
      </w:pPr>
    </w:p>
    <w:p w:rsidR="00301F0C" w:rsidRDefault="00F97111" w:rsidP="00213178">
      <w:r>
        <w:rPr>
          <w:bCs/>
        </w:rPr>
        <w:t xml:space="preserve">Staff received responses </w:t>
      </w:r>
      <w:r w:rsidR="00046A19" w:rsidRPr="00A6009F">
        <w:rPr>
          <w:bCs/>
        </w:rPr>
        <w:t>to data requests</w:t>
      </w:r>
      <w:r w:rsidR="00E976BB">
        <w:rPr>
          <w:bCs/>
        </w:rPr>
        <w:t xml:space="preserve"> on </w:t>
      </w:r>
      <w:r w:rsidR="0038102F">
        <w:rPr>
          <w:bCs/>
        </w:rPr>
        <w:t>February</w:t>
      </w:r>
      <w:r w:rsidR="00E976BB">
        <w:rPr>
          <w:bCs/>
        </w:rPr>
        <w:t xml:space="preserve"> 14, 2011</w:t>
      </w:r>
      <w:r w:rsidR="004569C7">
        <w:rPr>
          <w:bCs/>
        </w:rPr>
        <w:t>,</w:t>
      </w:r>
      <w:r w:rsidR="00E976BB">
        <w:rPr>
          <w:bCs/>
        </w:rPr>
        <w:t xml:space="preserve"> and has not yet completed its review of information received</w:t>
      </w:r>
      <w:r w:rsidR="0047043C">
        <w:rPr>
          <w:bCs/>
        </w:rPr>
        <w:t xml:space="preserve">. </w:t>
      </w:r>
      <w:r w:rsidR="00046A19">
        <w:rPr>
          <w:bCs/>
        </w:rPr>
        <w:t>Therefore, the company has not demonstrated the need</w:t>
      </w:r>
      <w:r w:rsidR="00046A19" w:rsidRPr="00407C80">
        <w:t xml:space="preserve"> </w:t>
      </w:r>
      <w:r w:rsidR="00046A19">
        <w:t>for the additional revenue and has not demonstrated the proposed rates are fair</w:t>
      </w:r>
      <w:r w:rsidR="00E50D3C">
        <w:t>, just</w:t>
      </w:r>
      <w:r w:rsidR="00046A19">
        <w:t>, reasonable and sufficient.</w:t>
      </w:r>
    </w:p>
    <w:p w:rsidR="00903A70" w:rsidRDefault="00903A70" w:rsidP="00046A19"/>
    <w:p w:rsidR="003F7612" w:rsidRDefault="00046A19">
      <w:pPr>
        <w:spacing w:after="200" w:line="276" w:lineRule="auto"/>
        <w:rPr>
          <w:b/>
          <w:u w:val="single"/>
        </w:rPr>
      </w:pPr>
      <w:r w:rsidRPr="00935AF2">
        <w:rPr>
          <w:b/>
          <w:u w:val="single"/>
        </w:rPr>
        <w:t xml:space="preserve">Conclusion </w:t>
      </w:r>
    </w:p>
    <w:p w:rsidR="00EA0ECA" w:rsidRDefault="00CC0D52" w:rsidP="00CC0D52">
      <w:pPr>
        <w:widowControl w:val="0"/>
        <w:autoSpaceDE w:val="0"/>
        <w:autoSpaceDN w:val="0"/>
        <w:adjustRightInd w:val="0"/>
      </w:pPr>
      <w:r w:rsidRPr="004D7E01">
        <w:rPr>
          <w:rFonts w:eastAsia="Times New Roman"/>
          <w:color w:val="000000"/>
          <w:lang w:bidi="ar-SA"/>
        </w:rPr>
        <w:t xml:space="preserve">Issue a Complaint and Order Suspending the </w:t>
      </w:r>
      <w:r>
        <w:rPr>
          <w:rFonts w:eastAsia="Times New Roman"/>
          <w:color w:val="000000"/>
          <w:lang w:bidi="ar-SA"/>
        </w:rPr>
        <w:t>tariff revisions</w:t>
      </w:r>
      <w:r w:rsidRPr="004D7E01">
        <w:rPr>
          <w:rFonts w:eastAsia="Times New Roman"/>
          <w:color w:val="000000"/>
          <w:lang w:bidi="ar-SA"/>
        </w:rPr>
        <w:t xml:space="preserve"> filed by</w:t>
      </w:r>
      <w:r w:rsidRPr="004D7E01">
        <w:t xml:space="preserve"> </w:t>
      </w:r>
      <w:r>
        <w:t>Summit View Water Work</w:t>
      </w:r>
      <w:r w:rsidR="00C76366">
        <w:t xml:space="preserve">s, LLC, on </w:t>
      </w:r>
      <w:r>
        <w:t xml:space="preserve">January </w:t>
      </w:r>
      <w:r w:rsidR="00C76366">
        <w:t>27</w:t>
      </w:r>
      <w:r>
        <w:t>, 2011.</w:t>
      </w:r>
    </w:p>
    <w:sectPr w:rsidR="00EA0ECA" w:rsidSect="001E271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A61" w:rsidRDefault="009C6A61" w:rsidP="00E5657A">
      <w:r>
        <w:separator/>
      </w:r>
    </w:p>
  </w:endnote>
  <w:endnote w:type="continuationSeparator" w:id="0">
    <w:p w:rsidR="009C6A61" w:rsidRDefault="009C6A61" w:rsidP="00E565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A61" w:rsidRDefault="009C6A61" w:rsidP="00E5657A">
      <w:r>
        <w:separator/>
      </w:r>
    </w:p>
  </w:footnote>
  <w:footnote w:type="continuationSeparator" w:id="0">
    <w:p w:rsidR="009C6A61" w:rsidRDefault="009C6A61" w:rsidP="00E56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61" w:rsidRPr="009A29FA" w:rsidRDefault="009C6A61" w:rsidP="001E2713">
    <w:pPr>
      <w:pStyle w:val="Header"/>
      <w:rPr>
        <w:sz w:val="20"/>
        <w:szCs w:val="20"/>
      </w:rPr>
    </w:pPr>
    <w:r w:rsidRPr="009A29FA">
      <w:rPr>
        <w:sz w:val="20"/>
        <w:szCs w:val="20"/>
      </w:rPr>
      <w:t>Docket UW-110220</w:t>
    </w:r>
  </w:p>
  <w:p w:rsidR="009C6A61" w:rsidRPr="009A29FA" w:rsidRDefault="009C6A61" w:rsidP="001E2713">
    <w:pPr>
      <w:pStyle w:val="Header"/>
      <w:rPr>
        <w:sz w:val="20"/>
        <w:szCs w:val="20"/>
      </w:rPr>
    </w:pPr>
    <w:r w:rsidRPr="009A29FA">
      <w:rPr>
        <w:sz w:val="20"/>
        <w:szCs w:val="20"/>
      </w:rPr>
      <w:t>February 25, 2011</w:t>
    </w:r>
  </w:p>
  <w:p w:rsidR="009C6A61" w:rsidRPr="009A29FA" w:rsidRDefault="009C6A61" w:rsidP="001E2713">
    <w:pPr>
      <w:pStyle w:val="Header"/>
      <w:rPr>
        <w:sz w:val="20"/>
        <w:szCs w:val="20"/>
      </w:rPr>
    </w:pPr>
    <w:r w:rsidRPr="009A29FA">
      <w:rPr>
        <w:sz w:val="20"/>
        <w:szCs w:val="20"/>
      </w:rPr>
      <w:t xml:space="preserve">Page </w:t>
    </w:r>
    <w:r w:rsidR="00496779" w:rsidRPr="009A29FA">
      <w:rPr>
        <w:sz w:val="20"/>
        <w:szCs w:val="20"/>
      </w:rPr>
      <w:fldChar w:fldCharType="begin"/>
    </w:r>
    <w:r w:rsidR="0063436A" w:rsidRPr="009A29FA">
      <w:rPr>
        <w:sz w:val="20"/>
        <w:szCs w:val="20"/>
      </w:rPr>
      <w:instrText xml:space="preserve"> PAGE   \* MERGEFORMAT </w:instrText>
    </w:r>
    <w:r w:rsidR="00496779" w:rsidRPr="009A29FA">
      <w:rPr>
        <w:sz w:val="20"/>
        <w:szCs w:val="20"/>
      </w:rPr>
      <w:fldChar w:fldCharType="separate"/>
    </w:r>
    <w:r w:rsidR="00A16B3C">
      <w:rPr>
        <w:noProof/>
        <w:sz w:val="20"/>
        <w:szCs w:val="20"/>
      </w:rPr>
      <w:t>3</w:t>
    </w:r>
    <w:r w:rsidR="00496779" w:rsidRPr="009A29FA">
      <w:rPr>
        <w:sz w:val="20"/>
        <w:szCs w:val="20"/>
      </w:rPr>
      <w:fldChar w:fldCharType="end"/>
    </w:r>
  </w:p>
  <w:p w:rsidR="009C6A61" w:rsidRPr="009A29FA" w:rsidRDefault="009C6A61" w:rsidP="001E2713">
    <w:pPr>
      <w:pStyle w:val="Header"/>
      <w:rPr>
        <w:sz w:val="20"/>
        <w:szCs w:val="20"/>
      </w:rPr>
    </w:pPr>
  </w:p>
  <w:p w:rsidR="009C6A61" w:rsidRPr="009A29FA" w:rsidRDefault="009C6A61" w:rsidP="001E2713">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4152D"/>
    <w:multiLevelType w:val="hybridMultilevel"/>
    <w:tmpl w:val="16BC92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4758EB"/>
    <w:multiLevelType w:val="hybridMultilevel"/>
    <w:tmpl w:val="50BA7BA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1"/>
    <w:footnote w:id="0"/>
  </w:footnotePr>
  <w:endnotePr>
    <w:endnote w:id="-1"/>
    <w:endnote w:id="0"/>
  </w:endnotePr>
  <w:compat/>
  <w:rsids>
    <w:rsidRoot w:val="00046A19"/>
    <w:rsid w:val="00015FA0"/>
    <w:rsid w:val="00027910"/>
    <w:rsid w:val="000365B2"/>
    <w:rsid w:val="00036CE0"/>
    <w:rsid w:val="00046A19"/>
    <w:rsid w:val="00060B19"/>
    <w:rsid w:val="00076EB9"/>
    <w:rsid w:val="000B424F"/>
    <w:rsid w:val="000C23A1"/>
    <w:rsid w:val="000C79FC"/>
    <w:rsid w:val="000D253C"/>
    <w:rsid w:val="000D37C4"/>
    <w:rsid w:val="000E640C"/>
    <w:rsid w:val="000E750D"/>
    <w:rsid w:val="000F5E60"/>
    <w:rsid w:val="00105FE0"/>
    <w:rsid w:val="00115752"/>
    <w:rsid w:val="001232DA"/>
    <w:rsid w:val="001342F6"/>
    <w:rsid w:val="00140595"/>
    <w:rsid w:val="001560B1"/>
    <w:rsid w:val="001779A2"/>
    <w:rsid w:val="00182A1D"/>
    <w:rsid w:val="001974A7"/>
    <w:rsid w:val="001A4157"/>
    <w:rsid w:val="001B31B6"/>
    <w:rsid w:val="001B5D79"/>
    <w:rsid w:val="001C04C2"/>
    <w:rsid w:val="001C40AE"/>
    <w:rsid w:val="001C5AB1"/>
    <w:rsid w:val="001C6E68"/>
    <w:rsid w:val="001E1D7A"/>
    <w:rsid w:val="001E2713"/>
    <w:rsid w:val="001E66F3"/>
    <w:rsid w:val="00207C00"/>
    <w:rsid w:val="00213178"/>
    <w:rsid w:val="00225208"/>
    <w:rsid w:val="002433FE"/>
    <w:rsid w:val="002C039A"/>
    <w:rsid w:val="002C2D06"/>
    <w:rsid w:val="002D7E4A"/>
    <w:rsid w:val="002E6A8A"/>
    <w:rsid w:val="002F2829"/>
    <w:rsid w:val="00301F0C"/>
    <w:rsid w:val="00304628"/>
    <w:rsid w:val="00304AD8"/>
    <w:rsid w:val="00323AED"/>
    <w:rsid w:val="00352D84"/>
    <w:rsid w:val="0035584C"/>
    <w:rsid w:val="00355AE7"/>
    <w:rsid w:val="00356F4A"/>
    <w:rsid w:val="0038102F"/>
    <w:rsid w:val="00397EF0"/>
    <w:rsid w:val="003A533C"/>
    <w:rsid w:val="003B6BE1"/>
    <w:rsid w:val="003E481A"/>
    <w:rsid w:val="003F0350"/>
    <w:rsid w:val="003F7612"/>
    <w:rsid w:val="00434766"/>
    <w:rsid w:val="004569C7"/>
    <w:rsid w:val="004676B0"/>
    <w:rsid w:val="0047043C"/>
    <w:rsid w:val="00474D36"/>
    <w:rsid w:val="00474D5B"/>
    <w:rsid w:val="00485438"/>
    <w:rsid w:val="00496779"/>
    <w:rsid w:val="004C5F4B"/>
    <w:rsid w:val="004D5BC0"/>
    <w:rsid w:val="004E3888"/>
    <w:rsid w:val="00510268"/>
    <w:rsid w:val="00533F6F"/>
    <w:rsid w:val="00552600"/>
    <w:rsid w:val="00554747"/>
    <w:rsid w:val="0055654C"/>
    <w:rsid w:val="00562773"/>
    <w:rsid w:val="005718F0"/>
    <w:rsid w:val="00577E5D"/>
    <w:rsid w:val="005A343E"/>
    <w:rsid w:val="005A6C74"/>
    <w:rsid w:val="005B02FC"/>
    <w:rsid w:val="005C2132"/>
    <w:rsid w:val="005C216D"/>
    <w:rsid w:val="005C6688"/>
    <w:rsid w:val="005E0539"/>
    <w:rsid w:val="005E35E7"/>
    <w:rsid w:val="005F442B"/>
    <w:rsid w:val="0061325E"/>
    <w:rsid w:val="006213E6"/>
    <w:rsid w:val="00621606"/>
    <w:rsid w:val="00622D09"/>
    <w:rsid w:val="0062310E"/>
    <w:rsid w:val="0063436A"/>
    <w:rsid w:val="00635414"/>
    <w:rsid w:val="0064043C"/>
    <w:rsid w:val="00646844"/>
    <w:rsid w:val="00664A55"/>
    <w:rsid w:val="00671B10"/>
    <w:rsid w:val="00672F7B"/>
    <w:rsid w:val="00690058"/>
    <w:rsid w:val="006A219C"/>
    <w:rsid w:val="006A41EE"/>
    <w:rsid w:val="006C0751"/>
    <w:rsid w:val="006D7A58"/>
    <w:rsid w:val="006F41DA"/>
    <w:rsid w:val="007100BD"/>
    <w:rsid w:val="00713811"/>
    <w:rsid w:val="007177E1"/>
    <w:rsid w:val="00717FD6"/>
    <w:rsid w:val="00723011"/>
    <w:rsid w:val="0072504A"/>
    <w:rsid w:val="0073639A"/>
    <w:rsid w:val="007458F8"/>
    <w:rsid w:val="007617F3"/>
    <w:rsid w:val="00790133"/>
    <w:rsid w:val="00790EFE"/>
    <w:rsid w:val="00793227"/>
    <w:rsid w:val="007D2573"/>
    <w:rsid w:val="007F098C"/>
    <w:rsid w:val="007F3DB4"/>
    <w:rsid w:val="008052C3"/>
    <w:rsid w:val="00860B17"/>
    <w:rsid w:val="00870BB6"/>
    <w:rsid w:val="00876E30"/>
    <w:rsid w:val="00880BC5"/>
    <w:rsid w:val="00890C5A"/>
    <w:rsid w:val="00896AD5"/>
    <w:rsid w:val="008A4BE5"/>
    <w:rsid w:val="008B7991"/>
    <w:rsid w:val="008C23E6"/>
    <w:rsid w:val="008E5FBF"/>
    <w:rsid w:val="008F1FA8"/>
    <w:rsid w:val="008F58A0"/>
    <w:rsid w:val="00903A70"/>
    <w:rsid w:val="00923DDC"/>
    <w:rsid w:val="0093429A"/>
    <w:rsid w:val="0093471E"/>
    <w:rsid w:val="00963EDA"/>
    <w:rsid w:val="00973425"/>
    <w:rsid w:val="009816EF"/>
    <w:rsid w:val="009A29FA"/>
    <w:rsid w:val="009A47E4"/>
    <w:rsid w:val="009B11DF"/>
    <w:rsid w:val="009B33DD"/>
    <w:rsid w:val="009B4242"/>
    <w:rsid w:val="009C6A61"/>
    <w:rsid w:val="009C7332"/>
    <w:rsid w:val="009E1B52"/>
    <w:rsid w:val="009E3795"/>
    <w:rsid w:val="009E6738"/>
    <w:rsid w:val="009F495B"/>
    <w:rsid w:val="00A00F3C"/>
    <w:rsid w:val="00A150FF"/>
    <w:rsid w:val="00A16B3C"/>
    <w:rsid w:val="00A447A1"/>
    <w:rsid w:val="00A4580E"/>
    <w:rsid w:val="00A61F9F"/>
    <w:rsid w:val="00A72D4F"/>
    <w:rsid w:val="00A75307"/>
    <w:rsid w:val="00A77CD8"/>
    <w:rsid w:val="00A80CB3"/>
    <w:rsid w:val="00A8348E"/>
    <w:rsid w:val="00A84C2A"/>
    <w:rsid w:val="00AA7F14"/>
    <w:rsid w:val="00AC1234"/>
    <w:rsid w:val="00AD3312"/>
    <w:rsid w:val="00AD48BA"/>
    <w:rsid w:val="00AE273E"/>
    <w:rsid w:val="00AF7DD9"/>
    <w:rsid w:val="00B13041"/>
    <w:rsid w:val="00B23E02"/>
    <w:rsid w:val="00B24110"/>
    <w:rsid w:val="00B25C75"/>
    <w:rsid w:val="00B41916"/>
    <w:rsid w:val="00B74EF0"/>
    <w:rsid w:val="00B93FE6"/>
    <w:rsid w:val="00BB3AF4"/>
    <w:rsid w:val="00BF593A"/>
    <w:rsid w:val="00C20337"/>
    <w:rsid w:val="00C250E7"/>
    <w:rsid w:val="00C309AC"/>
    <w:rsid w:val="00C76366"/>
    <w:rsid w:val="00C9285A"/>
    <w:rsid w:val="00CA1CC6"/>
    <w:rsid w:val="00CB1BF6"/>
    <w:rsid w:val="00CC0D52"/>
    <w:rsid w:val="00CC7AE8"/>
    <w:rsid w:val="00CD4E83"/>
    <w:rsid w:val="00CF2FFD"/>
    <w:rsid w:val="00CF36EC"/>
    <w:rsid w:val="00D11CCC"/>
    <w:rsid w:val="00D13844"/>
    <w:rsid w:val="00D2211C"/>
    <w:rsid w:val="00D45504"/>
    <w:rsid w:val="00D568C6"/>
    <w:rsid w:val="00D61A4B"/>
    <w:rsid w:val="00D718A0"/>
    <w:rsid w:val="00D71DA4"/>
    <w:rsid w:val="00D8448A"/>
    <w:rsid w:val="00DA1B86"/>
    <w:rsid w:val="00DA24A0"/>
    <w:rsid w:val="00DB31B2"/>
    <w:rsid w:val="00DD0246"/>
    <w:rsid w:val="00DD2A47"/>
    <w:rsid w:val="00DD6EBA"/>
    <w:rsid w:val="00DE758A"/>
    <w:rsid w:val="00DF0D24"/>
    <w:rsid w:val="00DF363D"/>
    <w:rsid w:val="00DF5E47"/>
    <w:rsid w:val="00DF7150"/>
    <w:rsid w:val="00E023BF"/>
    <w:rsid w:val="00E05312"/>
    <w:rsid w:val="00E35887"/>
    <w:rsid w:val="00E50D3C"/>
    <w:rsid w:val="00E54422"/>
    <w:rsid w:val="00E5657A"/>
    <w:rsid w:val="00E60EB2"/>
    <w:rsid w:val="00E67789"/>
    <w:rsid w:val="00E976BB"/>
    <w:rsid w:val="00EA0ECA"/>
    <w:rsid w:val="00EA520A"/>
    <w:rsid w:val="00EA5358"/>
    <w:rsid w:val="00EC1BAB"/>
    <w:rsid w:val="00F02C2A"/>
    <w:rsid w:val="00F21B68"/>
    <w:rsid w:val="00F24C1F"/>
    <w:rsid w:val="00F3565A"/>
    <w:rsid w:val="00F4281C"/>
    <w:rsid w:val="00F82D03"/>
    <w:rsid w:val="00F92865"/>
    <w:rsid w:val="00F94C9A"/>
    <w:rsid w:val="00F97111"/>
    <w:rsid w:val="00FA4A2D"/>
    <w:rsid w:val="00FA5576"/>
    <w:rsid w:val="00FB1CD6"/>
    <w:rsid w:val="00FB7FC5"/>
    <w:rsid w:val="00FD0FEB"/>
    <w:rsid w:val="00FF0C15"/>
    <w:rsid w:val="00FF4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2310E"/>
    <w:pPr>
      <w:tabs>
        <w:tab w:val="center" w:pos="4680"/>
        <w:tab w:val="right" w:pos="9360"/>
      </w:tabs>
    </w:pPr>
  </w:style>
  <w:style w:type="character" w:customStyle="1" w:styleId="FooterChar">
    <w:name w:val="Footer Char"/>
    <w:basedOn w:val="DefaultParagraphFont"/>
    <w:link w:val="Footer"/>
    <w:uiPriority w:val="99"/>
    <w:semiHidden/>
    <w:rsid w:val="0062310E"/>
    <w:rPr>
      <w:rFonts w:ascii="Times New Roman" w:eastAsia="Calibri" w:hAnsi="Times New Roman" w:cs="Times New Roman"/>
      <w:sz w:val="24"/>
      <w:szCs w:val="24"/>
      <w:lang w:bidi="en-US"/>
    </w:rPr>
  </w:style>
  <w:style w:type="character" w:styleId="Hyperlink">
    <w:name w:val="Hyperlink"/>
    <w:basedOn w:val="DefaultParagraphFont"/>
    <w:uiPriority w:val="99"/>
    <w:unhideWhenUsed/>
    <w:rsid w:val="00355AE7"/>
    <w:rPr>
      <w:color w:val="0000FF" w:themeColor="hyperlink"/>
      <w:u w:val="single"/>
    </w:rPr>
  </w:style>
  <w:style w:type="character" w:styleId="CommentReference">
    <w:name w:val="annotation reference"/>
    <w:basedOn w:val="DefaultParagraphFont"/>
    <w:uiPriority w:val="99"/>
    <w:semiHidden/>
    <w:unhideWhenUsed/>
    <w:rsid w:val="00CD4E83"/>
    <w:rPr>
      <w:sz w:val="16"/>
      <w:szCs w:val="16"/>
    </w:rPr>
  </w:style>
  <w:style w:type="paragraph" w:styleId="CommentText">
    <w:name w:val="annotation text"/>
    <w:basedOn w:val="Normal"/>
    <w:link w:val="CommentTextChar"/>
    <w:uiPriority w:val="99"/>
    <w:semiHidden/>
    <w:unhideWhenUsed/>
    <w:rsid w:val="00CD4E83"/>
    <w:rPr>
      <w:sz w:val="20"/>
      <w:szCs w:val="20"/>
    </w:rPr>
  </w:style>
  <w:style w:type="character" w:customStyle="1" w:styleId="CommentTextChar">
    <w:name w:val="Comment Text Char"/>
    <w:basedOn w:val="DefaultParagraphFont"/>
    <w:link w:val="CommentText"/>
    <w:uiPriority w:val="99"/>
    <w:semiHidden/>
    <w:rsid w:val="00CD4E83"/>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D4E83"/>
    <w:rPr>
      <w:b/>
      <w:bCs/>
    </w:rPr>
  </w:style>
  <w:style w:type="character" w:customStyle="1" w:styleId="CommentSubjectChar">
    <w:name w:val="Comment Subject Char"/>
    <w:basedOn w:val="CommentTextChar"/>
    <w:link w:val="CommentSubject"/>
    <w:uiPriority w:val="99"/>
    <w:semiHidden/>
    <w:rsid w:val="00CD4E83"/>
    <w:rPr>
      <w:b/>
      <w:bCs/>
    </w:rPr>
  </w:style>
  <w:style w:type="paragraph" w:styleId="Revision">
    <w:name w:val="Revision"/>
    <w:hidden/>
    <w:uiPriority w:val="99"/>
    <w:semiHidden/>
    <w:rsid w:val="00CD4E83"/>
    <w:pPr>
      <w:spacing w:after="0" w:line="240" w:lineRule="auto"/>
    </w:pPr>
    <w:rPr>
      <w:rFonts w:ascii="Times New Roman" w:eastAsia="Calibri"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13741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tc.wa.gov/wa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255FA3FC25B44EA372C9C0E7D2CB30" ma:contentTypeVersion="143" ma:contentTypeDescription="" ma:contentTypeScope="" ma:versionID="cad8437135eae56fc4c7b9b6dc976e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2011-01-27T08:00:00+00:00</OpenedDate>
    <Date1 xmlns="dc463f71-b30c-4ab2-9473-d307f9d35888">2011-02-25T08:00:00+00:00</Date1>
    <IsDocumentOrder xmlns="dc463f71-b30c-4ab2-9473-d307f9d35888" xsi:nil="true"/>
    <IsHighlyConfidential xmlns="dc463f71-b30c-4ab2-9473-d307f9d35888">false</IsHighlyConfidential>
    <CaseCompanyNames xmlns="dc463f71-b30c-4ab2-9473-d307f9d35888">Summit View Water Works</CaseCompanyNames>
    <DocketNumber xmlns="dc463f71-b30c-4ab2-9473-d307f9d35888">110220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507709-4EAB-473A-A42E-FDEBA87FC728}"/>
</file>

<file path=customXml/itemProps2.xml><?xml version="1.0" encoding="utf-8"?>
<ds:datastoreItem xmlns:ds="http://schemas.openxmlformats.org/officeDocument/2006/customXml" ds:itemID="{5D508F9C-D8AA-4D6C-AB99-7C4E100C1A8E}"/>
</file>

<file path=customXml/itemProps3.xml><?xml version="1.0" encoding="utf-8"?>
<ds:datastoreItem xmlns:ds="http://schemas.openxmlformats.org/officeDocument/2006/customXml" ds:itemID="{D3630B3D-7A61-4250-AC79-E615B32A51E4}"/>
</file>

<file path=customXml/itemProps4.xml><?xml version="1.0" encoding="utf-8"?>
<ds:datastoreItem xmlns:ds="http://schemas.openxmlformats.org/officeDocument/2006/customXml" ds:itemID="{76101462-F225-4AA2-8C44-2F21ECD7A8FA}"/>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White</dc:creator>
  <cp:lastModifiedBy>Lisa Wyse, Records Manager</cp:lastModifiedBy>
  <cp:revision>2</cp:revision>
  <cp:lastPrinted>2011-02-18T18:36:00Z</cp:lastPrinted>
  <dcterms:created xsi:type="dcterms:W3CDTF">2011-02-18T21:22:00Z</dcterms:created>
  <dcterms:modified xsi:type="dcterms:W3CDTF">2011-02-18T21:22:00Z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0x0101006E56B4D1795A2E4DB2F0B01679ED314A002D255FA3FC25B44EA372C9C0E7D2CB30</vt:lpwstr>
  </property>
  <property fmtid="{D5CDD505-2E9C-101B-9397-08002B2CF9AE}" pid="3" name="_docset_NoMedatataSyncRequired">
    <vt:lpwstr>False</vt:lpwstr>
  </property>
</Properties>
</file>