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r w:rsidRPr="00EB4CE3">
        <w:t xml:space="preserve">Agenda Date: </w:t>
      </w:r>
      <w:r w:rsidRPr="00EB4CE3">
        <w:tab/>
      </w:r>
      <w:r w:rsidRPr="00EB4CE3">
        <w:tab/>
      </w:r>
      <w:r w:rsidR="00002F08">
        <w:t>November</w:t>
      </w:r>
      <w:r w:rsidR="00143CDB">
        <w:t xml:space="preserve"> 1</w:t>
      </w:r>
      <w:r w:rsidR="00002F08">
        <w:t>0</w:t>
      </w:r>
      <w:r w:rsidRPr="00EB4CE3">
        <w:t xml:space="preserve">, </w:t>
      </w:r>
      <w:r w:rsidR="00705164">
        <w:t>2010</w:t>
      </w:r>
      <w:r w:rsidR="004456FB">
        <w:tab/>
      </w:r>
      <w:r w:rsidR="004456FB">
        <w:tab/>
      </w:r>
    </w:p>
    <w:p w:rsidR="00154718" w:rsidRDefault="00154718" w:rsidP="00BE5610">
      <w:r w:rsidRPr="00EB4CE3">
        <w:t>Item Number:</w:t>
      </w:r>
      <w:r w:rsidRPr="00EB4CE3">
        <w:tab/>
      </w:r>
      <w:r w:rsidRPr="00EB4CE3">
        <w:tab/>
      </w:r>
      <w:r w:rsidR="002C6110" w:rsidRPr="00EB4CE3">
        <w:t>A</w:t>
      </w:r>
      <w:r w:rsidR="00886E84">
        <w:t>2</w:t>
      </w:r>
    </w:p>
    <w:p w:rsidR="006E3B58" w:rsidRPr="00EB4CE3" w:rsidRDefault="006E3B58" w:rsidP="00BE5610"/>
    <w:p w:rsidR="00154718" w:rsidRPr="00EB4CE3" w:rsidRDefault="00154718" w:rsidP="00BE5610">
      <w:r w:rsidRPr="00EB4CE3">
        <w:t xml:space="preserve">Docket: </w:t>
      </w:r>
      <w:r w:rsidRPr="00EB4CE3">
        <w:tab/>
      </w:r>
      <w:r w:rsidRPr="00EB4CE3">
        <w:tab/>
        <w:t>UW-</w:t>
      </w:r>
      <w:r w:rsidR="00705164">
        <w:t>10</w:t>
      </w:r>
      <w:r w:rsidR="00002F08">
        <w:t>1718</w:t>
      </w:r>
    </w:p>
    <w:p w:rsidR="00154718" w:rsidRPr="00EB4CE3" w:rsidRDefault="00A41C23" w:rsidP="00BE5610">
      <w:r w:rsidRPr="00EB4CE3">
        <w:t>Company Name:</w:t>
      </w:r>
      <w:r w:rsidRPr="00EB4CE3">
        <w:tab/>
      </w:r>
      <w:r w:rsidR="00002F08">
        <w:t>Burton Water Company</w:t>
      </w:r>
      <w:r w:rsidR="00187E0D">
        <w:t>, Inc.</w:t>
      </w:r>
    </w:p>
    <w:p w:rsidR="00154718" w:rsidRPr="00EB4CE3" w:rsidRDefault="00154718" w:rsidP="00BE5610"/>
    <w:p w:rsidR="00154718" w:rsidRDefault="00595023" w:rsidP="00BE5610">
      <w:r w:rsidRPr="00EB4CE3">
        <w:t xml:space="preserve">Staff: </w:t>
      </w:r>
      <w:r w:rsidRPr="00EB4CE3">
        <w:tab/>
      </w:r>
      <w:r w:rsidRPr="00EB4CE3">
        <w:tab/>
      </w:r>
      <w:r w:rsidRPr="00EB4CE3">
        <w:tab/>
        <w:t>Jim Ward</w:t>
      </w:r>
      <w:r w:rsidR="00154718" w:rsidRPr="00EB4CE3">
        <w:t>, Regulatory Analyst</w:t>
      </w:r>
    </w:p>
    <w:p w:rsidR="00154718" w:rsidRPr="00EB4CE3" w:rsidRDefault="00154718" w:rsidP="00705164">
      <w:pPr>
        <w:ind w:left="1440" w:firstLine="720"/>
      </w:pPr>
      <w:r w:rsidRPr="00EB4CE3">
        <w:t>Dennis Shutler,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p>
    <w:p w:rsidR="00154718" w:rsidRPr="00EB4CE3" w:rsidRDefault="00154718" w:rsidP="00BE5610"/>
    <w:p w:rsidR="006E3B58" w:rsidRPr="006E3B58" w:rsidRDefault="004D7E01" w:rsidP="006E3B58">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 filed by</w:t>
      </w:r>
      <w:r w:rsidRPr="004D7E01">
        <w:t xml:space="preserve"> </w:t>
      </w:r>
      <w:r w:rsidR="00002F08">
        <w:t>Burton Water Company</w:t>
      </w:r>
      <w:r w:rsidR="00187E0D">
        <w:t>, Inc.</w:t>
      </w:r>
      <w:r w:rsidR="00A17748">
        <w:t>,</w:t>
      </w:r>
      <w:r w:rsidR="00187E0D">
        <w:t xml:space="preserve"> on </w:t>
      </w:r>
      <w:r w:rsidR="00002F08">
        <w:t>October 20</w:t>
      </w:r>
      <w:r w:rsidR="00187E0D">
        <w:t>,</w:t>
      </w:r>
      <w:r w:rsidR="003E6D45">
        <w:t xml:space="preserve"> 2010</w:t>
      </w:r>
      <w:r w:rsidR="000D01D2">
        <w:t>.</w:t>
      </w:r>
    </w:p>
    <w:p w:rsidR="004D7E01" w:rsidRPr="004D7E01" w:rsidRDefault="006E3B58" w:rsidP="006E3B58">
      <w:pPr>
        <w:widowControl w:val="0"/>
        <w:autoSpaceDE w:val="0"/>
        <w:autoSpaceDN w:val="0"/>
        <w:adjustRightInd w:val="0"/>
        <w:ind w:left="360"/>
        <w:rPr>
          <w:color w:val="000000"/>
          <w:sz w:val="22"/>
          <w:szCs w:val="22"/>
          <w:lang w:bidi="ar-SA"/>
        </w:rPr>
      </w:pPr>
      <w:r w:rsidRPr="004D7E01">
        <w:rPr>
          <w:color w:val="000000"/>
          <w:sz w:val="22"/>
          <w:szCs w:val="22"/>
          <w:lang w:bidi="ar-SA"/>
        </w:rPr>
        <w:t xml:space="preserve"> </w:t>
      </w:r>
    </w:p>
    <w:p w:rsidR="00154718" w:rsidRPr="00935AF2" w:rsidRDefault="00154718" w:rsidP="00BE5610">
      <w:pPr>
        <w:rPr>
          <w:b/>
          <w:u w:val="single"/>
        </w:rPr>
      </w:pPr>
      <w:r w:rsidRPr="00935AF2">
        <w:rPr>
          <w:b/>
          <w:u w:val="single"/>
        </w:rPr>
        <w:t>Discussion</w:t>
      </w:r>
    </w:p>
    <w:p w:rsidR="00154718" w:rsidRPr="00EB4CE3" w:rsidRDefault="00154718" w:rsidP="00BE5610"/>
    <w:p w:rsidR="00AD3DD8" w:rsidRDefault="00DD65A6" w:rsidP="008C168F">
      <w:r>
        <w:rPr>
          <w:color w:val="000000"/>
        </w:rPr>
        <w:t xml:space="preserve">On </w:t>
      </w:r>
      <w:r w:rsidR="00002F08">
        <w:rPr>
          <w:color w:val="000000"/>
        </w:rPr>
        <w:t>October 20</w:t>
      </w:r>
      <w:r>
        <w:rPr>
          <w:color w:val="000000"/>
        </w:rPr>
        <w:t xml:space="preserve">, </w:t>
      </w:r>
      <w:r w:rsidR="00705164">
        <w:rPr>
          <w:color w:val="000000"/>
        </w:rPr>
        <w:t>2010</w:t>
      </w:r>
      <w:r>
        <w:rPr>
          <w:color w:val="000000"/>
        </w:rPr>
        <w:t xml:space="preserve">, </w:t>
      </w:r>
      <w:r w:rsidR="00002F08">
        <w:t>Burton Water Company</w:t>
      </w:r>
      <w:r w:rsidR="00187E0D">
        <w:t xml:space="preserve">, </w:t>
      </w:r>
      <w:r w:rsidR="00C272A0">
        <w:t>Inc.</w:t>
      </w:r>
      <w:r>
        <w:t xml:space="preserve"> (</w:t>
      </w:r>
      <w:r w:rsidR="00002F08">
        <w:t>Burton</w:t>
      </w:r>
      <w:r w:rsidR="00187E0D">
        <w:t xml:space="preserve"> Water</w:t>
      </w:r>
      <w:r>
        <w:t xml:space="preserve"> or company</w:t>
      </w:r>
      <w:r w:rsidR="00A201C0">
        <w:t>)</w:t>
      </w:r>
      <w:r w:rsidR="00D0403B">
        <w:t>,</w:t>
      </w:r>
      <w:r w:rsidR="00A201C0">
        <w:t xml:space="preserve"> filed</w:t>
      </w:r>
      <w:r>
        <w:t xml:space="preserve"> </w:t>
      </w:r>
      <w:r w:rsidR="00B3307B">
        <w:t xml:space="preserve">a </w:t>
      </w:r>
      <w:r w:rsidR="008C168F">
        <w:t>t</w:t>
      </w:r>
      <w:r w:rsidR="008C168F" w:rsidRPr="008C168F">
        <w:rPr>
          <w:rFonts w:eastAsia="Times New Roman"/>
          <w:lang w:bidi="ar-SA"/>
        </w:rPr>
        <w:t xml:space="preserve">ariff revision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002F08">
        <w:t>58,785</w:t>
      </w:r>
      <w:r w:rsidR="00CC4FE2" w:rsidRPr="00407C80">
        <w:t xml:space="preserve"> (</w:t>
      </w:r>
      <w:r w:rsidR="00002F08">
        <w:t>38.2</w:t>
      </w:r>
      <w:r w:rsidR="00CC4FE2" w:rsidRPr="00407C80">
        <w:t xml:space="preserve"> percent) </w:t>
      </w:r>
      <w:r w:rsidR="008B479D">
        <w:t xml:space="preserve">in </w:t>
      </w:r>
      <w:r w:rsidR="00863543">
        <w:t>additional annual revenue</w:t>
      </w:r>
      <w:r w:rsidR="00CC4FE2" w:rsidRPr="00407C80">
        <w:t xml:space="preserve">. </w:t>
      </w:r>
      <w:r w:rsidR="00451AF9">
        <w:t xml:space="preserve">The </w:t>
      </w:r>
      <w:r w:rsidR="00D96246">
        <w:t>stat</w:t>
      </w:r>
      <w:r w:rsidR="00451AF9">
        <w:t xml:space="preserve">ed effective date is </w:t>
      </w:r>
      <w:r w:rsidR="00002F08">
        <w:t>November</w:t>
      </w:r>
      <w:r w:rsidR="00451AF9">
        <w:t xml:space="preserve"> </w:t>
      </w:r>
      <w:r w:rsidR="00187E0D">
        <w:t>20</w:t>
      </w:r>
      <w:r w:rsidR="00451AF9">
        <w:t xml:space="preserve">, 2010. The filing was prompted by </w:t>
      </w:r>
      <w:r w:rsidR="00002F08">
        <w:t xml:space="preserve">revenues falling below the level projected in the last rate case, </w:t>
      </w:r>
      <w:r w:rsidR="00C272A0">
        <w:t>cost</w:t>
      </w:r>
      <w:r w:rsidR="00D4026A">
        <w:t>s</w:t>
      </w:r>
      <w:r w:rsidR="00C272A0">
        <w:t xml:space="preserve"> associated with </w:t>
      </w:r>
      <w:r w:rsidR="00002F08">
        <w:t>replac</w:t>
      </w:r>
      <w:r w:rsidR="00C272A0">
        <w:t>ing</w:t>
      </w:r>
      <w:r w:rsidR="00002F08">
        <w:t xml:space="preserve"> computers and billing software</w:t>
      </w:r>
      <w:r w:rsidR="00C272A0">
        <w:t>,</w:t>
      </w:r>
      <w:r w:rsidR="00002F08">
        <w:t xml:space="preserve"> and </w:t>
      </w:r>
      <w:r w:rsidR="00C272A0">
        <w:t xml:space="preserve">increased </w:t>
      </w:r>
      <w:r w:rsidR="00002F08">
        <w:t>fee</w:t>
      </w:r>
      <w:r w:rsidR="00C272A0">
        <w:t>s</w:t>
      </w:r>
      <w:r w:rsidR="00002F08">
        <w:t xml:space="preserve"> </w:t>
      </w:r>
      <w:r w:rsidR="00C272A0">
        <w:t xml:space="preserve">charged </w:t>
      </w:r>
      <w:r w:rsidR="00002F08">
        <w:t xml:space="preserve">by regulating agencies. The company </w:t>
      </w:r>
      <w:r w:rsidR="00C272A0">
        <w:t xml:space="preserve">proposes </w:t>
      </w:r>
      <w:r w:rsidR="00002F08">
        <w:t>to increase base meter charge</w:t>
      </w:r>
      <w:r w:rsidR="00B3307B">
        <w:t>s</w:t>
      </w:r>
      <w:r w:rsidR="00002F08">
        <w:t xml:space="preserve"> and </w:t>
      </w:r>
      <w:r w:rsidR="00C272A0">
        <w:t xml:space="preserve">the </w:t>
      </w:r>
      <w:r w:rsidR="00002F08">
        <w:t xml:space="preserve">ready-to-serve charge. The company </w:t>
      </w:r>
      <w:r w:rsidR="00002F08" w:rsidRPr="00DE3D12">
        <w:t xml:space="preserve">serves </w:t>
      </w:r>
      <w:r w:rsidR="00002F08">
        <w:t>415</w:t>
      </w:r>
      <w:r w:rsidR="00002F08" w:rsidRPr="00DE3D12">
        <w:t xml:space="preserve"> c</w:t>
      </w:r>
      <w:r w:rsidR="00002F08">
        <w:t>ustomer</w:t>
      </w:r>
      <w:r w:rsidR="00002F08" w:rsidRPr="00DE3D12">
        <w:t xml:space="preserve">s </w:t>
      </w:r>
      <w:r w:rsidR="00002F08">
        <w:t>on Vashon Island,</w:t>
      </w:r>
      <w:r w:rsidR="00002F08" w:rsidRPr="00DE3D12">
        <w:t xml:space="preserve"> in </w:t>
      </w:r>
      <w:r w:rsidR="00002F08">
        <w:t>King</w:t>
      </w:r>
      <w:r w:rsidR="00002F08" w:rsidRPr="00DE3D12">
        <w:t xml:space="preserve"> County.</w:t>
      </w:r>
      <w:r w:rsidR="00002F08" w:rsidRPr="00DE3D12">
        <w:rPr>
          <w:color w:val="000000"/>
        </w:rPr>
        <w:t xml:space="preserve"> </w:t>
      </w:r>
      <w:r w:rsidR="00002F08" w:rsidRPr="00DE3D12">
        <w:t>The company</w:t>
      </w:r>
      <w:r w:rsidR="00002F08">
        <w:t>’s</w:t>
      </w:r>
      <w:r w:rsidR="00002F08" w:rsidRPr="00DE3D12">
        <w:t xml:space="preserve"> </w:t>
      </w:r>
      <w:r w:rsidR="00002F08">
        <w:t>last general rate increase was February 1, 2010.</w:t>
      </w:r>
    </w:p>
    <w:p w:rsidR="00DD65A6" w:rsidRDefault="00DD65A6" w:rsidP="00BE5610"/>
    <w:p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rsidR="00F148CB" w:rsidRDefault="00F148CB" w:rsidP="00002F08">
      <w:r w:rsidRPr="002E3E9D">
        <w:t xml:space="preserve">On </w:t>
      </w:r>
      <w:r w:rsidR="00002F08">
        <w:t>October 20</w:t>
      </w:r>
      <w:r w:rsidRPr="002E3E9D">
        <w:t>, 20</w:t>
      </w:r>
      <w:r w:rsidR="00002F08">
        <w:t>10</w:t>
      </w:r>
      <w:r w:rsidRPr="002E3E9D">
        <w:t xml:space="preserve">, the company notified its customers of the proposed rate increase by mail. </w:t>
      </w:r>
    </w:p>
    <w:p w:rsidR="00AB7892" w:rsidRPr="002E3E9D" w:rsidRDefault="00AB7892" w:rsidP="00AB7892">
      <w:r>
        <w:t>Two</w:t>
      </w:r>
      <w:r w:rsidRPr="002E3E9D">
        <w:t xml:space="preserve"> customer comments have been received to date</w:t>
      </w:r>
      <w:r>
        <w:t>.</w:t>
      </w:r>
      <w:r w:rsidRPr="002E3E9D">
        <w:t xml:space="preserve"> </w:t>
      </w:r>
      <w:r>
        <w:t>Both</w:t>
      </w:r>
      <w:r w:rsidRPr="002E3E9D">
        <w:t xml:space="preserve"> customers are opposed to the proposed increase. Please note that customers often address several issues of concern within one comment. Therefore, subtotals may not equal the total number of comments submitted.</w:t>
      </w:r>
    </w:p>
    <w:p w:rsidR="00AB7892" w:rsidRPr="002E3E9D" w:rsidRDefault="00AB7892" w:rsidP="00AB7892">
      <w:pPr>
        <w:rPr>
          <w:b/>
          <w:u w:val="single"/>
        </w:rPr>
      </w:pPr>
    </w:p>
    <w:p w:rsidR="00AB7892" w:rsidRDefault="00AB7892" w:rsidP="00AB7892">
      <w:r w:rsidRPr="002E3E9D">
        <w:t xml:space="preserve">Consumer Protection staff </w:t>
      </w:r>
      <w:r>
        <w:t>advised</w:t>
      </w:r>
      <w:r w:rsidRPr="002E3E9D">
        <w:t xml:space="preserve"> customers that they may access company documents pertinent to this rate case www.utc.wa.gov/water</w:t>
      </w:r>
      <w:r>
        <w:t>,</w:t>
      </w:r>
      <w:r w:rsidRPr="002E3E9D">
        <w:t xml:space="preserve"> and that they may contact Dennis Shutler at </w:t>
      </w:r>
    </w:p>
    <w:p w:rsidR="00AB7892" w:rsidRPr="002E3E9D" w:rsidRDefault="00AB7892" w:rsidP="00AB7892">
      <w:pPr>
        <w:rPr>
          <w:b/>
          <w:u w:val="single"/>
        </w:rPr>
      </w:pPr>
      <w:r w:rsidRPr="002E3E9D">
        <w:t>1-888-333-9882 with questions or concerns.</w:t>
      </w:r>
    </w:p>
    <w:p w:rsidR="00AB7892" w:rsidRPr="00492F13" w:rsidRDefault="00AB7892" w:rsidP="00AB7892">
      <w:pPr>
        <w:tabs>
          <w:tab w:val="left" w:pos="90"/>
        </w:tabs>
      </w:pPr>
    </w:p>
    <w:p w:rsidR="00AB7892" w:rsidRPr="00492F13" w:rsidRDefault="00AB7892" w:rsidP="00AB7892">
      <w:r w:rsidRPr="00492F13">
        <w:rPr>
          <w:b/>
        </w:rPr>
        <w:t>General Comment</w:t>
      </w:r>
    </w:p>
    <w:p w:rsidR="00AB7892" w:rsidRPr="00514A21" w:rsidRDefault="00AB7892" w:rsidP="00AB7892">
      <w:pPr>
        <w:widowControl w:val="0"/>
        <w:numPr>
          <w:ilvl w:val="0"/>
          <w:numId w:val="13"/>
        </w:numPr>
        <w:tabs>
          <w:tab w:val="left" w:pos="90"/>
        </w:tabs>
        <w:autoSpaceDE w:val="0"/>
        <w:autoSpaceDN w:val="0"/>
        <w:adjustRightInd w:val="0"/>
        <w:ind w:left="720"/>
      </w:pPr>
      <w:r>
        <w:t>Two</w:t>
      </w:r>
      <w:r w:rsidRPr="00492F13">
        <w:t xml:space="preserve"> </w:t>
      </w:r>
      <w:r w:rsidRPr="00514A21">
        <w:t xml:space="preserve">customers believe the amount of the increase is excessive </w:t>
      </w:r>
      <w:r>
        <w:t>because</w:t>
      </w:r>
      <w:r w:rsidRPr="00514A21">
        <w:t xml:space="preserve"> the company increased rates </w:t>
      </w:r>
      <w:r>
        <w:t xml:space="preserve">in </w:t>
      </w:r>
      <w:r w:rsidRPr="00514A21">
        <w:t xml:space="preserve">February 2010. </w:t>
      </w:r>
    </w:p>
    <w:p w:rsidR="00AB7892" w:rsidRPr="00514A21" w:rsidRDefault="00AB7892" w:rsidP="00AB7892">
      <w:pPr>
        <w:tabs>
          <w:tab w:val="left" w:pos="90"/>
        </w:tabs>
      </w:pPr>
    </w:p>
    <w:p w:rsidR="00AB7892" w:rsidRPr="00514A21" w:rsidRDefault="00AB7892" w:rsidP="00AB7892">
      <w:pPr>
        <w:tabs>
          <w:tab w:val="left" w:pos="90"/>
        </w:tabs>
        <w:ind w:left="720"/>
        <w:rPr>
          <w:b/>
        </w:rPr>
      </w:pPr>
      <w:r w:rsidRPr="00514A21">
        <w:rPr>
          <w:b/>
        </w:rPr>
        <w:t xml:space="preserve">Staff Response  </w:t>
      </w:r>
    </w:p>
    <w:p w:rsidR="00AB7892" w:rsidRPr="00587FB5" w:rsidRDefault="00AB7892" w:rsidP="00AB7892">
      <w:pPr>
        <w:ind w:left="720"/>
      </w:pPr>
      <w:r w:rsidRPr="00514A21">
        <w:t xml:space="preserve">Customers were advised that state law requires rates to be fair, just, reasonable, and sufficient to allow the company to recover reasonable operating expenses and the </w:t>
      </w:r>
      <w:r w:rsidRPr="00587FB5">
        <w:t xml:space="preserve">opportunity to earn a reasonable return on investment. There are no limitations to the frequency a company may submit tariff changes.  </w:t>
      </w:r>
    </w:p>
    <w:p w:rsidR="00AB7892" w:rsidRPr="00587FB5" w:rsidRDefault="00AB7892" w:rsidP="00AB7892"/>
    <w:p w:rsidR="00AB7892" w:rsidRPr="00587FB5" w:rsidRDefault="00AB7892" w:rsidP="00AB7892">
      <w:pPr>
        <w:numPr>
          <w:ilvl w:val="0"/>
          <w:numId w:val="11"/>
        </w:numPr>
      </w:pPr>
      <w:r w:rsidRPr="00587FB5">
        <w:lastRenderedPageBreak/>
        <w:t xml:space="preserve">One customer asked if </w:t>
      </w:r>
      <w:r w:rsidRPr="00587FB5">
        <w:rPr>
          <w:color w:val="000000"/>
          <w:lang w:bidi="ar-SA"/>
        </w:rPr>
        <w:t>the company has protested the claimed cost increases for Righ</w:t>
      </w:r>
      <w:r>
        <w:rPr>
          <w:color w:val="000000"/>
          <w:lang w:bidi="ar-SA"/>
        </w:rPr>
        <w:t>t-of-Way permits to King County.</w:t>
      </w:r>
      <w:r w:rsidRPr="00587FB5">
        <w:rPr>
          <w:color w:val="000000"/>
          <w:lang w:bidi="ar-SA"/>
        </w:rPr>
        <w:t xml:space="preserve"> This customer </w:t>
      </w:r>
      <w:r w:rsidRPr="00587FB5">
        <w:t xml:space="preserve">believes the costs for King County right-of-way permits should be charged directly to new home builders and not spread out to all system customers. </w:t>
      </w:r>
    </w:p>
    <w:p w:rsidR="00AB7892" w:rsidRPr="00587FB5" w:rsidRDefault="00AB7892" w:rsidP="00AB7892"/>
    <w:p w:rsidR="00AB7892" w:rsidRPr="00587FB5" w:rsidRDefault="00AB7892" w:rsidP="00AB7892">
      <w:pPr>
        <w:ind w:left="720"/>
        <w:rPr>
          <w:b/>
        </w:rPr>
      </w:pPr>
      <w:r w:rsidRPr="00587FB5">
        <w:rPr>
          <w:b/>
        </w:rPr>
        <w:t>Staff Response</w:t>
      </w:r>
    </w:p>
    <w:p w:rsidR="00AB7892" w:rsidRPr="00514A21" w:rsidRDefault="006D30F3" w:rsidP="00AB7892">
      <w:pPr>
        <w:ind w:left="720"/>
      </w:pPr>
      <w:r w:rsidRPr="00EF04D8">
        <w:t>Customer was advised that the compan</w:t>
      </w:r>
      <w:r w:rsidR="00904BBD">
        <w:t>y</w:t>
      </w:r>
      <w:r w:rsidRPr="00EF04D8">
        <w:t xml:space="preserve"> may choose to dispute the costs for </w:t>
      </w:r>
      <w:r w:rsidRPr="00EF04D8">
        <w:rPr>
          <w:lang w:bidi="ar-SA"/>
        </w:rPr>
        <w:t>right-of-way permits to King County</w:t>
      </w:r>
      <w:r w:rsidRPr="00EF04D8">
        <w:t>. Depending on the company’s need and use of a right-of-way permit, the costs may be charged directly to the applicable customer or spread out to all customers.</w:t>
      </w:r>
    </w:p>
    <w:p w:rsidR="00AB7892" w:rsidRPr="00492F13" w:rsidRDefault="00AB7892" w:rsidP="00AB7892">
      <w:pPr>
        <w:tabs>
          <w:tab w:val="left" w:pos="90"/>
        </w:tabs>
        <w:ind w:left="720"/>
      </w:pPr>
    </w:p>
    <w:p w:rsidR="00AB7892" w:rsidRDefault="00AB7892" w:rsidP="00AB7892">
      <w:pPr>
        <w:numPr>
          <w:ilvl w:val="0"/>
          <w:numId w:val="14"/>
        </w:numPr>
      </w:pPr>
      <w:r>
        <w:t>One customer questioned the company’s need for new computers and billing software.</w:t>
      </w:r>
    </w:p>
    <w:p w:rsidR="00AB7892" w:rsidRDefault="00AB7892" w:rsidP="00AB7892"/>
    <w:p w:rsidR="00AB7892" w:rsidRPr="00514A21" w:rsidRDefault="00AB7892" w:rsidP="00AB7892">
      <w:pPr>
        <w:ind w:left="720"/>
        <w:rPr>
          <w:b/>
        </w:rPr>
      </w:pPr>
      <w:r w:rsidRPr="00514A21">
        <w:rPr>
          <w:b/>
        </w:rPr>
        <w:t>Staff Response</w:t>
      </w:r>
    </w:p>
    <w:p w:rsidR="00AB7892" w:rsidRPr="00514A21" w:rsidRDefault="006D30F3" w:rsidP="00AB7892">
      <w:pPr>
        <w:ind w:left="720"/>
      </w:pPr>
      <w:r w:rsidRPr="00EF04D8">
        <w:t>Customer was advised that the compan</w:t>
      </w:r>
      <w:r w:rsidR="00AC5977">
        <w:t>y</w:t>
      </w:r>
      <w:r w:rsidRPr="00EF04D8">
        <w:t xml:space="preserve"> may determine when new computers or new billing software is necessary to perform the day to day business functions.</w:t>
      </w:r>
      <w:r w:rsidR="00AB7892" w:rsidRPr="00514A21">
        <w:t xml:space="preserve"> </w:t>
      </w:r>
    </w:p>
    <w:p w:rsidR="00AB7892" w:rsidRPr="00EE75C5" w:rsidRDefault="00AB7892" w:rsidP="00AB7892"/>
    <w:p w:rsidR="0080117F" w:rsidRPr="0080117F" w:rsidRDefault="0080117F"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rFonts w:eastAsia="Times New Roman"/>
          <w:lang w:bidi="ar-SA"/>
        </w:rPr>
        <w:t>A customer using</w:t>
      </w:r>
      <w:r w:rsidR="00992790">
        <w:rPr>
          <w:rFonts w:eastAsia="Times New Roman"/>
          <w:lang w:bidi="ar-SA"/>
        </w:rPr>
        <w:t xml:space="preserve"> </w:t>
      </w:r>
      <w:r w:rsidR="00E35CB7">
        <w:rPr>
          <w:rFonts w:eastAsia="Times New Roman"/>
          <w:lang w:bidi="ar-SA"/>
        </w:rPr>
        <w:t>599</w:t>
      </w:r>
      <w:r w:rsidR="00114B3D">
        <w:rPr>
          <w:rFonts w:eastAsia="Times New Roman"/>
          <w:lang w:bidi="ar-SA"/>
        </w:rPr>
        <w:t xml:space="preserve"> cubic feet</w:t>
      </w:r>
      <w:r w:rsidRPr="0080117F">
        <w:rPr>
          <w:rFonts w:eastAsia="Times New Roman"/>
          <w:lang w:bidi="ar-SA"/>
        </w:rPr>
        <w:t xml:space="preserve"> of water per month (the calculated company-wide average </w:t>
      </w:r>
      <w:r w:rsidR="00C272A0">
        <w:rPr>
          <w:rFonts w:eastAsia="Times New Roman"/>
          <w:lang w:bidi="ar-SA"/>
        </w:rPr>
        <w:t xml:space="preserve">annual </w:t>
      </w:r>
      <w:r w:rsidRPr="0080117F">
        <w:rPr>
          <w:rFonts w:eastAsia="Times New Roman"/>
          <w:lang w:bidi="ar-SA"/>
        </w:rPr>
        <w:t>water usage) would pay $</w:t>
      </w:r>
      <w:r w:rsidR="00E35CB7">
        <w:rPr>
          <w:rFonts w:eastAsia="Times New Roman"/>
          <w:lang w:bidi="ar-SA"/>
        </w:rPr>
        <w:t>11</w:t>
      </w:r>
      <w:r w:rsidRPr="0080117F">
        <w:rPr>
          <w:rFonts w:eastAsia="Times New Roman"/>
          <w:lang w:bidi="ar-SA"/>
        </w:rPr>
        <w:t>.</w:t>
      </w:r>
      <w:r w:rsidR="00E35CB7">
        <w:rPr>
          <w:rFonts w:eastAsia="Times New Roman"/>
          <w:lang w:bidi="ar-SA"/>
        </w:rPr>
        <w:t>8</w:t>
      </w:r>
      <w:r w:rsidR="00D12B32">
        <w:rPr>
          <w:rFonts w:eastAsia="Times New Roman"/>
          <w:lang w:bidi="ar-SA"/>
        </w:rPr>
        <w:t>0</w:t>
      </w:r>
      <w:r w:rsidRPr="0080117F">
        <w:rPr>
          <w:rFonts w:eastAsia="Times New Roman"/>
          <w:lang w:bidi="ar-SA"/>
        </w:rPr>
        <w:t xml:space="preserve"> (</w:t>
      </w:r>
      <w:r w:rsidR="00E35CB7">
        <w:rPr>
          <w:rFonts w:eastAsia="Times New Roman"/>
          <w:lang w:bidi="ar-SA"/>
        </w:rPr>
        <w:t>36.3</w:t>
      </w:r>
      <w:r w:rsidRPr="0080117F">
        <w:rPr>
          <w:rFonts w:eastAsia="Times New Roman"/>
          <w:lang w:bidi="ar-SA"/>
        </w:rPr>
        <w:t xml:space="preserve"> percent) more per month using the </w:t>
      </w:r>
      <w:r w:rsidR="003C4EB8">
        <w:rPr>
          <w:rFonts w:eastAsia="Times New Roman"/>
          <w:lang w:bidi="ar-SA"/>
        </w:rPr>
        <w:t>proposed</w:t>
      </w:r>
      <w:r w:rsidRPr="0080117F">
        <w:rPr>
          <w:rFonts w:eastAsia="Times New Roman"/>
          <w:lang w:bidi="ar-SA"/>
        </w:rPr>
        <w:t xml:space="preserve"> rates (see “Average Bill Comparison” table below).</w:t>
      </w:r>
    </w:p>
    <w:p w:rsidR="00645A0C" w:rsidRDefault="00645A0C" w:rsidP="0080117F">
      <w:pPr>
        <w:rPr>
          <w:b/>
          <w:u w:val="single"/>
        </w:rPr>
      </w:pPr>
    </w:p>
    <w:p w:rsidR="009270B9" w:rsidRDefault="00832CE0" w:rsidP="009270B9">
      <w:pPr>
        <w:jc w:val="center"/>
        <w:rPr>
          <w:b/>
          <w:u w:val="single"/>
        </w:rPr>
      </w:pPr>
      <w:r w:rsidRPr="00450175">
        <w:rPr>
          <w:b/>
          <w:u w:val="single"/>
        </w:rPr>
        <w:t>Rate Comparison</w:t>
      </w:r>
    </w:p>
    <w:p w:rsidR="00CA3026" w:rsidRDefault="00CA3026" w:rsidP="009270B9">
      <w:pPr>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8"/>
        <w:gridCol w:w="2461"/>
        <w:gridCol w:w="2967"/>
      </w:tblGrid>
      <w:tr w:rsidR="009270B9" w:rsidRPr="009270B9" w:rsidTr="009270B9">
        <w:tc>
          <w:tcPr>
            <w:tcW w:w="2166" w:type="pct"/>
          </w:tcPr>
          <w:p w:rsidR="009270B9" w:rsidRPr="009270B9" w:rsidRDefault="009270B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1285" w:type="pct"/>
            <w:vAlign w:val="center"/>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49" w:type="pct"/>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B3307B" w:rsidRPr="009270B9" w:rsidTr="009270B9">
        <w:tc>
          <w:tcPr>
            <w:tcW w:w="2166" w:type="pct"/>
          </w:tcPr>
          <w:p w:rsidR="00B3307B" w:rsidRDefault="00B3307B" w:rsidP="00B56E98">
            <w:pPr>
              <w:keepNext/>
              <w:widowControl w:val="0"/>
              <w:autoSpaceDE w:val="0"/>
              <w:autoSpaceDN w:val="0"/>
              <w:adjustRightInd w:val="0"/>
              <w:outlineLvl w:val="0"/>
              <w:rPr>
                <w:rFonts w:eastAsia="Times New Roman"/>
                <w:lang w:bidi="ar-SA"/>
              </w:rPr>
            </w:pPr>
            <w:r>
              <w:rPr>
                <w:rFonts w:eastAsia="Times New Roman"/>
                <w:lang w:bidi="ar-SA"/>
              </w:rPr>
              <w:t>Ready-to-Serve</w:t>
            </w:r>
          </w:p>
        </w:tc>
        <w:tc>
          <w:tcPr>
            <w:tcW w:w="1285" w:type="pct"/>
          </w:tcPr>
          <w:p w:rsidR="00B3307B" w:rsidRPr="009270B9" w:rsidRDefault="00B3307B" w:rsidP="00E75935">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21</w:t>
            </w:r>
            <w:r w:rsidRPr="009270B9">
              <w:rPr>
                <w:rFonts w:eastAsia="Times New Roman"/>
                <w:lang w:bidi="ar-SA"/>
              </w:rPr>
              <w:t>.</w:t>
            </w:r>
            <w:r>
              <w:rPr>
                <w:rFonts w:eastAsia="Times New Roman"/>
                <w:lang w:bidi="ar-SA"/>
              </w:rPr>
              <w:t>59</w:t>
            </w:r>
          </w:p>
        </w:tc>
        <w:tc>
          <w:tcPr>
            <w:tcW w:w="1549" w:type="pct"/>
          </w:tcPr>
          <w:p w:rsidR="00B3307B" w:rsidRPr="009270B9" w:rsidRDefault="00B3307B" w:rsidP="00E75935">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33.39</w:t>
            </w:r>
          </w:p>
        </w:tc>
      </w:tr>
      <w:tr w:rsidR="00B3307B" w:rsidRPr="009270B9" w:rsidTr="009270B9">
        <w:tc>
          <w:tcPr>
            <w:tcW w:w="2166" w:type="pct"/>
          </w:tcPr>
          <w:p w:rsidR="00B3307B" w:rsidRPr="009270B9" w:rsidRDefault="00B3307B" w:rsidP="00C753C6">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00C753C6">
              <w:rPr>
                <w:rFonts w:eastAsia="Times New Roman"/>
                <w:lang w:bidi="ar-SA"/>
              </w:rPr>
              <w:t>I</w:t>
            </w:r>
            <w:r w:rsidRPr="009270B9">
              <w:rPr>
                <w:rFonts w:eastAsia="Times New Roman"/>
                <w:lang w:bidi="ar-SA"/>
              </w:rPr>
              <w:t xml:space="preserve">nch </w:t>
            </w:r>
            <w:r w:rsidR="00C753C6">
              <w:rPr>
                <w:rFonts w:eastAsia="Times New Roman"/>
                <w:lang w:bidi="ar-SA"/>
              </w:rPr>
              <w:t>M</w:t>
            </w:r>
            <w:r w:rsidRPr="009270B9">
              <w:rPr>
                <w:rFonts w:eastAsia="Times New Roman"/>
                <w:lang w:bidi="ar-SA"/>
              </w:rPr>
              <w:t>eter)</w:t>
            </w:r>
            <w:r w:rsidRPr="0050505B">
              <w:rPr>
                <w:vertAlign w:val="superscript"/>
              </w:rPr>
              <w:t xml:space="preserve"> 1</w:t>
            </w:r>
          </w:p>
        </w:tc>
        <w:tc>
          <w:tcPr>
            <w:tcW w:w="1285" w:type="pct"/>
          </w:tcPr>
          <w:p w:rsidR="00B3307B" w:rsidRPr="009270B9" w:rsidRDefault="00B3307B" w:rsidP="005A14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21</w:t>
            </w:r>
            <w:r w:rsidRPr="009270B9">
              <w:rPr>
                <w:rFonts w:eastAsia="Times New Roman"/>
                <w:lang w:bidi="ar-SA"/>
              </w:rPr>
              <w:t>.</w:t>
            </w:r>
            <w:r>
              <w:rPr>
                <w:rFonts w:eastAsia="Times New Roman"/>
                <w:lang w:bidi="ar-SA"/>
              </w:rPr>
              <w:t>59</w:t>
            </w:r>
          </w:p>
        </w:tc>
        <w:tc>
          <w:tcPr>
            <w:tcW w:w="1549" w:type="pct"/>
          </w:tcPr>
          <w:p w:rsidR="00B3307B" w:rsidRPr="009270B9" w:rsidRDefault="00B3307B" w:rsidP="00177CFA">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33.39</w:t>
            </w:r>
          </w:p>
        </w:tc>
      </w:tr>
      <w:tr w:rsidR="00B3307B" w:rsidRPr="009270B9" w:rsidTr="009270B9">
        <w:tc>
          <w:tcPr>
            <w:tcW w:w="2166" w:type="pct"/>
          </w:tcPr>
          <w:p w:rsidR="00B3307B" w:rsidRPr="009270B9" w:rsidRDefault="00B3307B" w:rsidP="00177CFA">
            <w:pPr>
              <w:widowControl w:val="0"/>
              <w:autoSpaceDE w:val="0"/>
              <w:autoSpaceDN w:val="0"/>
              <w:adjustRightInd w:val="0"/>
              <w:rPr>
                <w:rFonts w:eastAsia="Times New Roman"/>
                <w:lang w:bidi="ar-SA"/>
              </w:rPr>
            </w:pPr>
            <w:r>
              <w:t>Usage Block 0 – 2,500 Cubic Feet</w:t>
            </w:r>
            <w:r w:rsidRPr="0050505B">
              <w:rPr>
                <w:vertAlign w:val="superscript"/>
              </w:rPr>
              <w:t>1,2</w:t>
            </w:r>
          </w:p>
        </w:tc>
        <w:tc>
          <w:tcPr>
            <w:tcW w:w="1285" w:type="pct"/>
          </w:tcPr>
          <w:p w:rsidR="00B3307B" w:rsidRPr="009270B9" w:rsidRDefault="00B3307B" w:rsidP="00177CFA">
            <w:pPr>
              <w:widowControl w:val="0"/>
              <w:autoSpaceDE w:val="0"/>
              <w:autoSpaceDN w:val="0"/>
              <w:adjustRightInd w:val="0"/>
              <w:jc w:val="center"/>
              <w:rPr>
                <w:rFonts w:eastAsia="Times New Roman"/>
                <w:lang w:bidi="ar-SA"/>
              </w:rPr>
            </w:pPr>
            <w:r>
              <w:rPr>
                <w:rFonts w:eastAsia="Times New Roman"/>
                <w:lang w:bidi="ar-SA"/>
              </w:rPr>
              <w:t>$1.83</w:t>
            </w:r>
          </w:p>
        </w:tc>
        <w:tc>
          <w:tcPr>
            <w:tcW w:w="1549" w:type="pct"/>
          </w:tcPr>
          <w:p w:rsidR="00B3307B" w:rsidRPr="009270B9" w:rsidRDefault="00B3307B" w:rsidP="00177CFA">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r>
      <w:tr w:rsidR="00B3307B" w:rsidRPr="009270B9" w:rsidTr="009270B9">
        <w:tc>
          <w:tcPr>
            <w:tcW w:w="2166" w:type="pct"/>
          </w:tcPr>
          <w:p w:rsidR="00B3307B" w:rsidRPr="009270B9" w:rsidRDefault="00B3307B" w:rsidP="005A1499">
            <w:pPr>
              <w:widowControl w:val="0"/>
              <w:autoSpaceDE w:val="0"/>
              <w:autoSpaceDN w:val="0"/>
              <w:adjustRightInd w:val="0"/>
              <w:rPr>
                <w:rFonts w:eastAsia="Times New Roman"/>
                <w:lang w:bidi="ar-SA"/>
              </w:rPr>
            </w:pPr>
            <w:r>
              <w:t>Usage Block 2,501 – 5,000 Cubic Feet</w:t>
            </w:r>
            <w:r w:rsidRPr="0050505B">
              <w:rPr>
                <w:vertAlign w:val="superscript"/>
              </w:rPr>
              <w:t>1,2</w:t>
            </w:r>
          </w:p>
        </w:tc>
        <w:tc>
          <w:tcPr>
            <w:tcW w:w="1285" w:type="pct"/>
          </w:tcPr>
          <w:p w:rsidR="00B3307B" w:rsidRPr="009270B9" w:rsidRDefault="00B3307B" w:rsidP="005A1499">
            <w:pPr>
              <w:widowControl w:val="0"/>
              <w:autoSpaceDE w:val="0"/>
              <w:autoSpaceDN w:val="0"/>
              <w:adjustRightInd w:val="0"/>
              <w:jc w:val="center"/>
              <w:rPr>
                <w:rFonts w:eastAsia="Times New Roman"/>
                <w:lang w:bidi="ar-SA"/>
              </w:rPr>
            </w:pPr>
            <w:r>
              <w:rPr>
                <w:rFonts w:eastAsia="Times New Roman"/>
                <w:lang w:bidi="ar-SA"/>
              </w:rPr>
              <w:t>$4.71</w:t>
            </w:r>
          </w:p>
        </w:tc>
        <w:tc>
          <w:tcPr>
            <w:tcW w:w="1549" w:type="pct"/>
          </w:tcPr>
          <w:p w:rsidR="00B3307B" w:rsidRPr="009270B9" w:rsidRDefault="00B3307B" w:rsidP="00EC45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4.71</w:t>
            </w:r>
          </w:p>
        </w:tc>
      </w:tr>
      <w:tr w:rsidR="00B3307B" w:rsidRPr="009270B9" w:rsidTr="009270B9">
        <w:tc>
          <w:tcPr>
            <w:tcW w:w="2166" w:type="pct"/>
          </w:tcPr>
          <w:p w:rsidR="00B3307B" w:rsidRPr="009270B9" w:rsidRDefault="00B3307B" w:rsidP="005A1499">
            <w:pPr>
              <w:widowControl w:val="0"/>
              <w:autoSpaceDE w:val="0"/>
              <w:autoSpaceDN w:val="0"/>
              <w:adjustRightInd w:val="0"/>
              <w:rPr>
                <w:rFonts w:eastAsia="Times New Roman"/>
                <w:lang w:bidi="ar-SA"/>
              </w:rPr>
            </w:pPr>
            <w:r>
              <w:t>Over 5,000 Cubic Feet</w:t>
            </w:r>
            <w:r w:rsidRPr="0050505B">
              <w:rPr>
                <w:vertAlign w:val="superscript"/>
              </w:rPr>
              <w:t>1,2</w:t>
            </w:r>
          </w:p>
        </w:tc>
        <w:tc>
          <w:tcPr>
            <w:tcW w:w="1285" w:type="pct"/>
          </w:tcPr>
          <w:p w:rsidR="00B3307B" w:rsidRPr="009270B9" w:rsidRDefault="00B3307B" w:rsidP="00EC4599">
            <w:pPr>
              <w:widowControl w:val="0"/>
              <w:autoSpaceDE w:val="0"/>
              <w:autoSpaceDN w:val="0"/>
              <w:adjustRightInd w:val="0"/>
              <w:jc w:val="center"/>
              <w:rPr>
                <w:rFonts w:eastAsia="Times New Roman"/>
                <w:lang w:bidi="ar-SA"/>
              </w:rPr>
            </w:pPr>
            <w:r>
              <w:rPr>
                <w:rFonts w:eastAsia="Times New Roman"/>
                <w:lang w:bidi="ar-SA"/>
              </w:rPr>
              <w:t>$6.00</w:t>
            </w:r>
          </w:p>
        </w:tc>
        <w:tc>
          <w:tcPr>
            <w:tcW w:w="1549" w:type="pct"/>
          </w:tcPr>
          <w:p w:rsidR="00B3307B" w:rsidRPr="009270B9" w:rsidRDefault="00B3307B" w:rsidP="005A14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6.00</w:t>
            </w:r>
          </w:p>
        </w:tc>
      </w:tr>
    </w:tbl>
    <w:p w:rsidR="00B3307B" w:rsidRDefault="00B3307B"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1 – Based on ¾-inch meter classification, see company’s tariff for upsize meter classification</w:t>
      </w:r>
      <w:r w:rsidR="00B3307B">
        <w:rPr>
          <w:vertAlign w:val="superscript"/>
        </w:rPr>
        <w:t>s</w:t>
      </w:r>
      <w:r w:rsidRPr="0050505B">
        <w:rPr>
          <w:vertAlign w:val="superscript"/>
        </w:rPr>
        <w:t>, usage blocks and rates.</w:t>
      </w:r>
    </w:p>
    <w:p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2 – Based on “per 100 cubic feet”.</w:t>
      </w:r>
    </w:p>
    <w:p w:rsidR="00F148CB" w:rsidRDefault="00F148CB" w:rsidP="003F0972">
      <w:pPr>
        <w:jc w:val="center"/>
        <w:rPr>
          <w:rFonts w:eastAsia="Times New Roman"/>
          <w:b/>
          <w:u w:val="single"/>
          <w:lang w:bidi="ar-SA"/>
        </w:rPr>
      </w:pPr>
    </w:p>
    <w:p w:rsidR="009270B9" w:rsidRPr="009270B9" w:rsidRDefault="009270B9" w:rsidP="003F0972">
      <w:pPr>
        <w:jc w:val="center"/>
        <w:rPr>
          <w:rFonts w:eastAsia="Times New Roman"/>
          <w:b/>
          <w:u w:val="single"/>
          <w:lang w:bidi="ar-SA"/>
        </w:rPr>
      </w:pPr>
      <w:r w:rsidRPr="009270B9">
        <w:rPr>
          <w:rFonts w:eastAsia="Times New Roman"/>
          <w:b/>
          <w:u w:val="single"/>
          <w:lang w:bidi="ar-SA"/>
        </w:rPr>
        <w:t>Average Bill Comparison</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538"/>
        <w:gridCol w:w="2865"/>
      </w:tblGrid>
      <w:tr w:rsidR="009270B9" w:rsidRPr="009270B9" w:rsidTr="009270B9">
        <w:tc>
          <w:tcPr>
            <w:tcW w:w="2179" w:type="pct"/>
          </w:tcPr>
          <w:p w:rsidR="009270B9" w:rsidRPr="009270B9" w:rsidRDefault="009270B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rsidR="009270B9" w:rsidRPr="009270B9" w:rsidRDefault="00E35CB7" w:rsidP="005A1499">
            <w:pPr>
              <w:keepNext/>
              <w:widowControl w:val="0"/>
              <w:autoSpaceDE w:val="0"/>
              <w:autoSpaceDN w:val="0"/>
              <w:adjustRightInd w:val="0"/>
              <w:jc w:val="center"/>
              <w:outlineLvl w:val="0"/>
              <w:rPr>
                <w:rFonts w:eastAsia="Times New Roman"/>
                <w:b/>
                <w:lang w:bidi="ar-SA"/>
              </w:rPr>
            </w:pPr>
            <w:r>
              <w:t>599</w:t>
            </w:r>
            <w:r w:rsidR="00A10E54" w:rsidRPr="009442FC">
              <w:t xml:space="preserve"> </w:t>
            </w:r>
            <w:r w:rsidR="00EC4599">
              <w:t>Cubic Feet</w:t>
            </w:r>
            <w:r w:rsidR="00466174" w:rsidRPr="00466174">
              <w:rPr>
                <w:vertAlign w:val="superscript"/>
              </w:rPr>
              <w:t>3</w:t>
            </w:r>
          </w:p>
        </w:tc>
        <w:tc>
          <w:tcPr>
            <w:tcW w:w="1325" w:type="pct"/>
            <w:vAlign w:val="center"/>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496" w:type="pct"/>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A10E54" w:rsidRPr="009270B9" w:rsidTr="00A10E54">
        <w:tc>
          <w:tcPr>
            <w:tcW w:w="2179" w:type="pct"/>
          </w:tcPr>
          <w:p w:rsidR="00A10E54" w:rsidRPr="009270B9" w:rsidRDefault="00A10E54" w:rsidP="00C753C6">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00C753C6">
              <w:rPr>
                <w:rFonts w:eastAsia="Times New Roman"/>
                <w:lang w:bidi="ar-SA"/>
              </w:rPr>
              <w:t>I</w:t>
            </w:r>
            <w:r w:rsidRPr="009270B9">
              <w:rPr>
                <w:rFonts w:eastAsia="Times New Roman"/>
                <w:lang w:bidi="ar-SA"/>
              </w:rPr>
              <w:t xml:space="preserve">nch </w:t>
            </w:r>
            <w:r w:rsidR="00C753C6">
              <w:rPr>
                <w:rFonts w:eastAsia="Times New Roman"/>
                <w:lang w:bidi="ar-SA"/>
              </w:rPr>
              <w:t>M</w:t>
            </w:r>
            <w:r w:rsidRPr="009270B9">
              <w:rPr>
                <w:rFonts w:eastAsia="Times New Roman"/>
                <w:lang w:bidi="ar-SA"/>
              </w:rPr>
              <w:t>eter)</w:t>
            </w:r>
          </w:p>
        </w:tc>
        <w:tc>
          <w:tcPr>
            <w:tcW w:w="1325" w:type="pct"/>
          </w:tcPr>
          <w:p w:rsidR="00A10E54" w:rsidRPr="009270B9" w:rsidRDefault="00A10E54" w:rsidP="005A1499">
            <w:pPr>
              <w:widowControl w:val="0"/>
              <w:autoSpaceDE w:val="0"/>
              <w:autoSpaceDN w:val="0"/>
              <w:adjustRightInd w:val="0"/>
              <w:jc w:val="center"/>
              <w:rPr>
                <w:rFonts w:eastAsia="Times New Roman"/>
                <w:lang w:bidi="ar-SA"/>
              </w:rPr>
            </w:pPr>
            <w:r w:rsidRPr="009270B9">
              <w:rPr>
                <w:rFonts w:eastAsia="Times New Roman"/>
                <w:lang w:bidi="ar-SA"/>
              </w:rPr>
              <w:t>$</w:t>
            </w:r>
            <w:r w:rsidR="005A1499">
              <w:rPr>
                <w:rFonts w:eastAsia="Times New Roman"/>
                <w:lang w:bidi="ar-SA"/>
              </w:rPr>
              <w:t>2</w:t>
            </w:r>
            <w:r w:rsidR="00EC4599">
              <w:rPr>
                <w:rFonts w:eastAsia="Times New Roman"/>
                <w:lang w:bidi="ar-SA"/>
              </w:rPr>
              <w:t>1</w:t>
            </w:r>
            <w:r>
              <w:rPr>
                <w:rFonts w:eastAsia="Times New Roman"/>
                <w:lang w:bidi="ar-SA"/>
              </w:rPr>
              <w:t>.</w:t>
            </w:r>
            <w:r w:rsidR="005A1499">
              <w:rPr>
                <w:rFonts w:eastAsia="Times New Roman"/>
                <w:lang w:bidi="ar-SA"/>
              </w:rPr>
              <w:t>59</w:t>
            </w:r>
          </w:p>
        </w:tc>
        <w:tc>
          <w:tcPr>
            <w:tcW w:w="1496" w:type="pct"/>
          </w:tcPr>
          <w:p w:rsidR="00A10E54" w:rsidRPr="009270B9" w:rsidRDefault="00A10E54" w:rsidP="005A1499">
            <w:pPr>
              <w:widowControl w:val="0"/>
              <w:autoSpaceDE w:val="0"/>
              <w:autoSpaceDN w:val="0"/>
              <w:adjustRightInd w:val="0"/>
              <w:jc w:val="center"/>
              <w:rPr>
                <w:rFonts w:eastAsia="Times New Roman"/>
                <w:lang w:bidi="ar-SA"/>
              </w:rPr>
            </w:pPr>
            <w:r w:rsidRPr="009270B9">
              <w:rPr>
                <w:rFonts w:eastAsia="Times New Roman"/>
                <w:lang w:bidi="ar-SA"/>
              </w:rPr>
              <w:t>$</w:t>
            </w:r>
            <w:r w:rsidR="005A1499">
              <w:rPr>
                <w:rFonts w:eastAsia="Times New Roman"/>
                <w:lang w:bidi="ar-SA"/>
              </w:rPr>
              <w:t>33.39</w:t>
            </w:r>
          </w:p>
        </w:tc>
      </w:tr>
      <w:tr w:rsidR="00EC4599" w:rsidRPr="009270B9" w:rsidTr="008D4B4D">
        <w:tc>
          <w:tcPr>
            <w:tcW w:w="2179" w:type="pct"/>
          </w:tcPr>
          <w:p w:rsidR="00EC4599" w:rsidRPr="009270B9" w:rsidRDefault="00EC4599" w:rsidP="00E35CB7">
            <w:pPr>
              <w:widowControl w:val="0"/>
              <w:autoSpaceDE w:val="0"/>
              <w:autoSpaceDN w:val="0"/>
              <w:adjustRightInd w:val="0"/>
              <w:rPr>
                <w:rFonts w:eastAsia="Times New Roman"/>
                <w:lang w:bidi="ar-SA"/>
              </w:rPr>
            </w:pPr>
            <w:r>
              <w:rPr>
                <w:rFonts w:eastAsia="Times New Roman"/>
                <w:lang w:bidi="ar-SA"/>
              </w:rPr>
              <w:t xml:space="preserve">0 -  </w:t>
            </w:r>
            <w:r w:rsidR="00E35CB7">
              <w:rPr>
                <w:rFonts w:eastAsia="Times New Roman"/>
                <w:lang w:bidi="ar-SA"/>
              </w:rPr>
              <w:t>599</w:t>
            </w:r>
            <w:r>
              <w:rPr>
                <w:rFonts w:eastAsia="Times New Roman"/>
                <w:lang w:bidi="ar-SA"/>
              </w:rPr>
              <w:t xml:space="preserve"> Cubic Feet</w:t>
            </w:r>
          </w:p>
        </w:tc>
        <w:tc>
          <w:tcPr>
            <w:tcW w:w="1325" w:type="pct"/>
          </w:tcPr>
          <w:p w:rsidR="00EC4599" w:rsidRPr="009270B9" w:rsidRDefault="00EC4599" w:rsidP="008D4B4D">
            <w:pPr>
              <w:widowControl w:val="0"/>
              <w:autoSpaceDE w:val="0"/>
              <w:autoSpaceDN w:val="0"/>
              <w:adjustRightInd w:val="0"/>
              <w:jc w:val="center"/>
              <w:rPr>
                <w:rFonts w:eastAsia="Times New Roman"/>
                <w:lang w:bidi="ar-SA"/>
              </w:rPr>
            </w:pPr>
            <w:r>
              <w:rPr>
                <w:rFonts w:eastAsia="Times New Roman"/>
                <w:lang w:bidi="ar-SA"/>
              </w:rPr>
              <w:t>$</w:t>
            </w:r>
            <w:r w:rsidR="00E35CB7">
              <w:rPr>
                <w:rFonts w:eastAsia="Times New Roman"/>
                <w:lang w:bidi="ar-SA"/>
              </w:rPr>
              <w:t>10.96</w:t>
            </w:r>
          </w:p>
        </w:tc>
        <w:tc>
          <w:tcPr>
            <w:tcW w:w="1496" w:type="pct"/>
          </w:tcPr>
          <w:p w:rsidR="00EC4599" w:rsidRPr="009270B9" w:rsidRDefault="00EC4599" w:rsidP="00E35CB7">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10.</w:t>
            </w:r>
            <w:r w:rsidR="00E35CB7">
              <w:rPr>
                <w:rFonts w:eastAsia="Times New Roman"/>
                <w:lang w:bidi="ar-SA"/>
              </w:rPr>
              <w:t>96</w:t>
            </w:r>
          </w:p>
        </w:tc>
      </w:tr>
      <w:tr w:rsidR="009270B9" w:rsidRPr="009270B9" w:rsidTr="009270B9">
        <w:tc>
          <w:tcPr>
            <w:tcW w:w="2179" w:type="pct"/>
          </w:tcPr>
          <w:p w:rsidR="009270B9" w:rsidRPr="009270B9" w:rsidRDefault="009270B9" w:rsidP="009270B9">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1325" w:type="pct"/>
            <w:tcBorders>
              <w:top w:val="single" w:sz="18" w:space="0" w:color="auto"/>
              <w:bottom w:val="single" w:sz="18" w:space="0" w:color="auto"/>
            </w:tcBorders>
          </w:tcPr>
          <w:p w:rsidR="009270B9" w:rsidRPr="009270B9" w:rsidRDefault="009270B9" w:rsidP="00E35CB7">
            <w:pPr>
              <w:widowControl w:val="0"/>
              <w:autoSpaceDE w:val="0"/>
              <w:autoSpaceDN w:val="0"/>
              <w:adjustRightInd w:val="0"/>
              <w:jc w:val="center"/>
              <w:rPr>
                <w:rFonts w:eastAsia="Times New Roman"/>
                <w:lang w:bidi="ar-SA"/>
              </w:rPr>
            </w:pPr>
            <w:r w:rsidRPr="009270B9">
              <w:rPr>
                <w:rFonts w:eastAsia="Times New Roman"/>
                <w:lang w:bidi="ar-SA"/>
              </w:rPr>
              <w:t>$</w:t>
            </w:r>
            <w:r w:rsidR="006A021F">
              <w:rPr>
                <w:rFonts w:eastAsia="Times New Roman"/>
                <w:lang w:bidi="ar-SA"/>
              </w:rPr>
              <w:t>3</w:t>
            </w:r>
            <w:r w:rsidR="00E35CB7">
              <w:rPr>
                <w:rFonts w:eastAsia="Times New Roman"/>
                <w:lang w:bidi="ar-SA"/>
              </w:rPr>
              <w:t>2</w:t>
            </w:r>
            <w:r w:rsidR="00EC4599">
              <w:rPr>
                <w:rFonts w:eastAsia="Times New Roman"/>
                <w:lang w:bidi="ar-SA"/>
              </w:rPr>
              <w:t>.</w:t>
            </w:r>
            <w:r w:rsidR="00E35CB7">
              <w:rPr>
                <w:rFonts w:eastAsia="Times New Roman"/>
                <w:lang w:bidi="ar-SA"/>
              </w:rPr>
              <w:t>55</w:t>
            </w:r>
          </w:p>
        </w:tc>
        <w:tc>
          <w:tcPr>
            <w:tcW w:w="1496" w:type="pct"/>
            <w:tcBorders>
              <w:top w:val="single" w:sz="18" w:space="0" w:color="auto"/>
              <w:bottom w:val="single" w:sz="18" w:space="0" w:color="auto"/>
            </w:tcBorders>
          </w:tcPr>
          <w:p w:rsidR="009270B9" w:rsidRPr="009270B9" w:rsidRDefault="009270B9" w:rsidP="00E35CB7">
            <w:pPr>
              <w:widowControl w:val="0"/>
              <w:autoSpaceDE w:val="0"/>
              <w:autoSpaceDN w:val="0"/>
              <w:adjustRightInd w:val="0"/>
              <w:jc w:val="center"/>
              <w:rPr>
                <w:rFonts w:eastAsia="Times New Roman"/>
                <w:lang w:bidi="ar-SA"/>
              </w:rPr>
            </w:pPr>
            <w:r w:rsidRPr="009270B9">
              <w:rPr>
                <w:rFonts w:eastAsia="Times New Roman"/>
                <w:lang w:bidi="ar-SA"/>
              </w:rPr>
              <w:t>$</w:t>
            </w:r>
            <w:r w:rsidR="00E35CB7">
              <w:rPr>
                <w:rFonts w:eastAsia="Times New Roman"/>
                <w:lang w:bidi="ar-SA"/>
              </w:rPr>
              <w:t>44.35</w:t>
            </w:r>
          </w:p>
        </w:tc>
      </w:tr>
      <w:tr w:rsidR="009270B9" w:rsidRPr="009270B9" w:rsidTr="009270B9">
        <w:tc>
          <w:tcPr>
            <w:tcW w:w="2179" w:type="pct"/>
          </w:tcPr>
          <w:p w:rsidR="009270B9" w:rsidRPr="009270B9" w:rsidRDefault="00CA3026" w:rsidP="009270B9">
            <w:pPr>
              <w:widowControl w:val="0"/>
              <w:autoSpaceDE w:val="0"/>
              <w:autoSpaceDN w:val="0"/>
              <w:adjustRightInd w:val="0"/>
              <w:rPr>
                <w:rFonts w:eastAsia="Times New Roman"/>
                <w:lang w:bidi="ar-SA"/>
              </w:rPr>
            </w:pPr>
            <w:r w:rsidRPr="007C07AE">
              <w:t>Increase From Current Rates</w:t>
            </w:r>
          </w:p>
        </w:tc>
        <w:tc>
          <w:tcPr>
            <w:tcW w:w="1325" w:type="pct"/>
            <w:tcBorders>
              <w:top w:val="single" w:sz="18" w:space="0" w:color="auto"/>
              <w:bottom w:val="double" w:sz="4" w:space="0" w:color="auto"/>
            </w:tcBorders>
          </w:tcPr>
          <w:p w:rsidR="009270B9" w:rsidRPr="009270B9" w:rsidRDefault="009270B9" w:rsidP="009270B9">
            <w:pPr>
              <w:widowControl w:val="0"/>
              <w:autoSpaceDE w:val="0"/>
              <w:autoSpaceDN w:val="0"/>
              <w:adjustRightInd w:val="0"/>
              <w:jc w:val="center"/>
              <w:rPr>
                <w:rFonts w:eastAsia="Times New Roman"/>
                <w:lang w:bidi="ar-SA"/>
              </w:rPr>
            </w:pPr>
          </w:p>
        </w:tc>
        <w:tc>
          <w:tcPr>
            <w:tcW w:w="1496" w:type="pct"/>
            <w:tcBorders>
              <w:top w:val="single" w:sz="18" w:space="0" w:color="auto"/>
              <w:bottom w:val="double" w:sz="4" w:space="0" w:color="auto"/>
            </w:tcBorders>
          </w:tcPr>
          <w:p w:rsidR="009270B9" w:rsidRPr="009270B9" w:rsidRDefault="00E35CB7" w:rsidP="00E35CB7">
            <w:pPr>
              <w:widowControl w:val="0"/>
              <w:autoSpaceDE w:val="0"/>
              <w:autoSpaceDN w:val="0"/>
              <w:adjustRightInd w:val="0"/>
              <w:jc w:val="center"/>
              <w:rPr>
                <w:rFonts w:eastAsia="Times New Roman"/>
                <w:lang w:bidi="ar-SA"/>
              </w:rPr>
            </w:pPr>
            <w:r>
              <w:rPr>
                <w:rFonts w:eastAsia="Times New Roman"/>
                <w:lang w:bidi="ar-SA"/>
              </w:rPr>
              <w:t>36.3</w:t>
            </w:r>
            <w:r w:rsidR="009270B9" w:rsidRPr="009270B9">
              <w:rPr>
                <w:rFonts w:eastAsia="Times New Roman"/>
                <w:lang w:bidi="ar-SA"/>
              </w:rPr>
              <w:t xml:space="preserve"> %</w:t>
            </w:r>
          </w:p>
        </w:tc>
      </w:tr>
    </w:tbl>
    <w:p w:rsidR="00B3307B" w:rsidRDefault="00B3307B"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 xml:space="preserve">3 – Based on a company-wide average customer </w:t>
      </w:r>
      <w:r w:rsidR="00C753C6">
        <w:rPr>
          <w:vertAlign w:val="superscript"/>
        </w:rPr>
        <w:t xml:space="preserve">annual </w:t>
      </w:r>
      <w:r w:rsidRPr="0050505B">
        <w:rPr>
          <w:vertAlign w:val="superscript"/>
        </w:rPr>
        <w:t>water usage.</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0B0C16" w:rsidRDefault="00A6009F" w:rsidP="00BE5610">
      <w:r w:rsidRPr="00A6009F">
        <w:rPr>
          <w:bCs/>
        </w:rPr>
        <w:lastRenderedPageBreak/>
        <w:t xml:space="preserve">The company has not yet </w:t>
      </w:r>
      <w:r w:rsidR="00D4026A" w:rsidRPr="00A6009F">
        <w:rPr>
          <w:bCs/>
        </w:rPr>
        <w:t>responded</w:t>
      </w:r>
      <w:r w:rsidRPr="00A6009F">
        <w:rPr>
          <w:bCs/>
        </w:rPr>
        <w:t xml:space="preserve"> to </w:t>
      </w:r>
      <w:r w:rsidR="009E4F48">
        <w:rPr>
          <w:bCs/>
        </w:rPr>
        <w:t>s</w:t>
      </w:r>
      <w:r w:rsidR="009E4F48" w:rsidRPr="00A6009F">
        <w:rPr>
          <w:bCs/>
        </w:rPr>
        <w:t>taff’s</w:t>
      </w:r>
      <w:r w:rsidRPr="00A6009F">
        <w:rPr>
          <w:bCs/>
        </w:rPr>
        <w:t xml:space="preserve"> data requests. </w:t>
      </w:r>
      <w:r w:rsidR="00F40EE9">
        <w:rPr>
          <w:bCs/>
        </w:rPr>
        <w:t>T</w:t>
      </w:r>
      <w:r w:rsidR="00863543">
        <w:rPr>
          <w:bCs/>
        </w:rPr>
        <w:t>he</w:t>
      </w:r>
      <w:r>
        <w:rPr>
          <w:bCs/>
        </w:rPr>
        <w:t>refore, the</w:t>
      </w:r>
      <w:r w:rsidR="00863543">
        <w:rPr>
          <w:bCs/>
        </w:rPr>
        <w:t xml:space="preserve"> company has </w:t>
      </w:r>
      <w:r w:rsidR="00D65C0A">
        <w:rPr>
          <w:bCs/>
        </w:rPr>
        <w:t xml:space="preserve">not </w:t>
      </w:r>
      <w:r w:rsidR="00C272A0">
        <w:rPr>
          <w:bCs/>
        </w:rPr>
        <w:t xml:space="preserve">yet demonstrated </w:t>
      </w:r>
      <w:r w:rsidR="00F40EE9">
        <w:rPr>
          <w:bCs/>
        </w:rPr>
        <w:t>the need</w:t>
      </w:r>
      <w:r w:rsidR="00295745" w:rsidRPr="00407C80">
        <w:t xml:space="preserve"> </w:t>
      </w:r>
      <w:r w:rsidR="00295745">
        <w:t xml:space="preserve">for the </w:t>
      </w:r>
      <w:r w:rsidR="00C272A0">
        <w:t xml:space="preserve">additional </w:t>
      </w:r>
      <w:r w:rsidR="00EE7659">
        <w:t>re</w:t>
      </w:r>
      <w:r w:rsidR="00B3307B">
        <w:t>venue</w:t>
      </w:r>
      <w:r w:rsidR="00EE7659">
        <w:t xml:space="preserve"> </w:t>
      </w:r>
      <w:r>
        <w:t xml:space="preserve">and </w:t>
      </w:r>
      <w:r w:rsidR="00D0403B">
        <w:t xml:space="preserve">has not </w:t>
      </w:r>
      <w:r w:rsidR="00451AF9">
        <w:t xml:space="preserve">yet </w:t>
      </w:r>
      <w:r w:rsidR="00D0403B">
        <w:t xml:space="preserve">demonstrated the proposed rates are fair, just, </w:t>
      </w:r>
      <w:r w:rsidR="00CA3026">
        <w:t>reasonable</w:t>
      </w:r>
      <w:r w:rsidR="00D0403B">
        <w:t xml:space="preserve"> and sufficient.</w:t>
      </w:r>
    </w:p>
    <w:p w:rsidR="00AC5977" w:rsidRDefault="00AC5977" w:rsidP="00BE5610"/>
    <w:p w:rsidR="003B700C" w:rsidRDefault="003B700C" w:rsidP="00BE5610">
      <w:pPr>
        <w:rPr>
          <w:b/>
          <w:u w:val="single"/>
        </w:rPr>
      </w:pPr>
      <w:r w:rsidRPr="00935AF2">
        <w:rPr>
          <w:b/>
          <w:u w:val="single"/>
        </w:rPr>
        <w:t xml:space="preserve">Conclusion </w:t>
      </w:r>
    </w:p>
    <w:p w:rsidR="00EE7659" w:rsidRDefault="00EE7659" w:rsidP="00BE5610">
      <w:pPr>
        <w:rPr>
          <w:b/>
          <w:u w:val="single"/>
        </w:rPr>
      </w:pPr>
    </w:p>
    <w:p w:rsidR="00A52858" w:rsidRPr="006E3B58" w:rsidRDefault="00A52858" w:rsidP="00A52858">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 filed by</w:t>
      </w:r>
      <w:r w:rsidRPr="004D7E01">
        <w:t xml:space="preserve"> </w:t>
      </w:r>
      <w:r w:rsidR="00002F08">
        <w:t>Burton Water Company</w:t>
      </w:r>
      <w:r w:rsidR="00187E0D">
        <w:t>, Inc.</w:t>
      </w:r>
      <w:r w:rsidR="00A17748">
        <w:t>,</w:t>
      </w:r>
      <w:r w:rsidR="00114B3D">
        <w:t xml:space="preserve"> on </w:t>
      </w:r>
      <w:r w:rsidR="00B44C58">
        <w:t>October 20</w:t>
      </w:r>
      <w:r w:rsidR="000D01D2" w:rsidRPr="000D01D2">
        <w:t>, 2010</w:t>
      </w:r>
      <w:r w:rsidR="00773CAD">
        <w:t>.</w:t>
      </w:r>
    </w:p>
    <w:p w:rsidR="00EE7659" w:rsidRDefault="00EE7659" w:rsidP="00BE5610">
      <w:pPr>
        <w:rPr>
          <w:b/>
          <w:u w:val="single"/>
        </w:rPr>
      </w:pPr>
    </w:p>
    <w:sectPr w:rsidR="00EE7659"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B4D" w:rsidRDefault="008D4B4D" w:rsidP="00BE5610">
      <w:r>
        <w:separator/>
      </w:r>
    </w:p>
  </w:endnote>
  <w:endnote w:type="continuationSeparator" w:id="0">
    <w:p w:rsidR="008D4B4D" w:rsidRDefault="008D4B4D"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B4D" w:rsidRDefault="008D4B4D" w:rsidP="00BE5610">
      <w:r>
        <w:separator/>
      </w:r>
    </w:p>
  </w:footnote>
  <w:footnote w:type="continuationSeparator" w:id="0">
    <w:p w:rsidR="008D4B4D" w:rsidRDefault="008D4B4D"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4D" w:rsidRPr="00A17748" w:rsidRDefault="008D4B4D" w:rsidP="00BE5610">
    <w:pPr>
      <w:pStyle w:val="Header"/>
      <w:rPr>
        <w:sz w:val="20"/>
        <w:szCs w:val="20"/>
      </w:rPr>
    </w:pPr>
    <w:r w:rsidRPr="00A17748">
      <w:rPr>
        <w:sz w:val="20"/>
        <w:szCs w:val="20"/>
      </w:rPr>
      <w:t>Docket UW-101718</w:t>
    </w:r>
  </w:p>
  <w:p w:rsidR="008D4B4D" w:rsidRPr="00A17748" w:rsidRDefault="008D4B4D" w:rsidP="00BE5610">
    <w:pPr>
      <w:pStyle w:val="Header"/>
      <w:rPr>
        <w:sz w:val="20"/>
        <w:szCs w:val="20"/>
      </w:rPr>
    </w:pPr>
    <w:r w:rsidRPr="00A17748">
      <w:rPr>
        <w:sz w:val="20"/>
        <w:szCs w:val="20"/>
      </w:rPr>
      <w:t>November 10, 2010</w:t>
    </w:r>
  </w:p>
  <w:p w:rsidR="008D4B4D" w:rsidRPr="00A17748" w:rsidRDefault="008D4B4D" w:rsidP="00BE5610">
    <w:pPr>
      <w:pStyle w:val="Header"/>
      <w:rPr>
        <w:sz w:val="20"/>
        <w:szCs w:val="20"/>
      </w:rPr>
    </w:pPr>
    <w:r w:rsidRPr="00A17748">
      <w:rPr>
        <w:sz w:val="20"/>
        <w:szCs w:val="20"/>
      </w:rPr>
      <w:t xml:space="preserve">Page </w:t>
    </w:r>
    <w:r w:rsidR="00903F29" w:rsidRPr="00A17748">
      <w:rPr>
        <w:sz w:val="20"/>
        <w:szCs w:val="20"/>
      </w:rPr>
      <w:fldChar w:fldCharType="begin"/>
    </w:r>
    <w:r w:rsidR="00F56C47" w:rsidRPr="00A17748">
      <w:rPr>
        <w:sz w:val="20"/>
        <w:szCs w:val="20"/>
      </w:rPr>
      <w:instrText xml:space="preserve"> PAGE   \* MERGEFORMAT </w:instrText>
    </w:r>
    <w:r w:rsidR="00903F29" w:rsidRPr="00A17748">
      <w:rPr>
        <w:sz w:val="20"/>
        <w:szCs w:val="20"/>
      </w:rPr>
      <w:fldChar w:fldCharType="separate"/>
    </w:r>
    <w:r w:rsidR="00645DC8">
      <w:rPr>
        <w:noProof/>
        <w:sz w:val="20"/>
        <w:szCs w:val="20"/>
      </w:rPr>
      <w:t>3</w:t>
    </w:r>
    <w:r w:rsidR="00903F29" w:rsidRPr="00A17748">
      <w:rPr>
        <w:sz w:val="20"/>
        <w:szCs w:val="20"/>
      </w:rPr>
      <w:fldChar w:fldCharType="end"/>
    </w:r>
  </w:p>
  <w:p w:rsidR="00A17748" w:rsidRPr="003B700C" w:rsidRDefault="00A17748" w:rsidP="00BE5610">
    <w:pPr>
      <w:pStyle w:val="Header"/>
    </w:pPr>
  </w:p>
  <w:p w:rsidR="008D4B4D" w:rsidRDefault="008D4B4D"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3073D0"/>
    <w:multiLevelType w:val="hybridMultilevel"/>
    <w:tmpl w:val="D84EC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7"/>
  </w:num>
  <w:num w:numId="3">
    <w:abstractNumId w:val="8"/>
  </w:num>
  <w:num w:numId="4">
    <w:abstractNumId w:val="9"/>
  </w:num>
  <w:num w:numId="5">
    <w:abstractNumId w:val="0"/>
  </w:num>
  <w:num w:numId="6">
    <w:abstractNumId w:val="2"/>
  </w:num>
  <w:num w:numId="7">
    <w:abstractNumId w:val="6"/>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hideSpellingErrors/>
  <w:hideGrammaticalErrors/>
  <w:defaultTabStop w:val="720"/>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rsids>
    <w:rsidRoot w:val="00154718"/>
    <w:rsid w:val="000020C4"/>
    <w:rsid w:val="00002F08"/>
    <w:rsid w:val="00005828"/>
    <w:rsid w:val="00015DD8"/>
    <w:rsid w:val="0003714D"/>
    <w:rsid w:val="000420E9"/>
    <w:rsid w:val="000458AC"/>
    <w:rsid w:val="00053628"/>
    <w:rsid w:val="00054CC9"/>
    <w:rsid w:val="00055945"/>
    <w:rsid w:val="000625B1"/>
    <w:rsid w:val="0006481C"/>
    <w:rsid w:val="00066C40"/>
    <w:rsid w:val="0006708E"/>
    <w:rsid w:val="00075E51"/>
    <w:rsid w:val="0008268C"/>
    <w:rsid w:val="00082892"/>
    <w:rsid w:val="00083D7B"/>
    <w:rsid w:val="000908F4"/>
    <w:rsid w:val="000909CD"/>
    <w:rsid w:val="00097E35"/>
    <w:rsid w:val="000B0C16"/>
    <w:rsid w:val="000C2481"/>
    <w:rsid w:val="000C3D4F"/>
    <w:rsid w:val="000D01D2"/>
    <w:rsid w:val="000D3B16"/>
    <w:rsid w:val="000D3CE0"/>
    <w:rsid w:val="000D6DAF"/>
    <w:rsid w:val="000D706D"/>
    <w:rsid w:val="000E640C"/>
    <w:rsid w:val="000E714E"/>
    <w:rsid w:val="000F29ED"/>
    <w:rsid w:val="00111EF9"/>
    <w:rsid w:val="00114B3D"/>
    <w:rsid w:val="00126930"/>
    <w:rsid w:val="0013089B"/>
    <w:rsid w:val="00130B3D"/>
    <w:rsid w:val="00136DD9"/>
    <w:rsid w:val="00140589"/>
    <w:rsid w:val="00141434"/>
    <w:rsid w:val="001423FE"/>
    <w:rsid w:val="00142B36"/>
    <w:rsid w:val="00143CDB"/>
    <w:rsid w:val="0014659D"/>
    <w:rsid w:val="00154718"/>
    <w:rsid w:val="001603B0"/>
    <w:rsid w:val="0016055D"/>
    <w:rsid w:val="0016348F"/>
    <w:rsid w:val="0016545B"/>
    <w:rsid w:val="00171102"/>
    <w:rsid w:val="00173A9E"/>
    <w:rsid w:val="00173F60"/>
    <w:rsid w:val="00177491"/>
    <w:rsid w:val="00177CFA"/>
    <w:rsid w:val="00187E0D"/>
    <w:rsid w:val="00190825"/>
    <w:rsid w:val="001A0A16"/>
    <w:rsid w:val="001C5AB1"/>
    <w:rsid w:val="001C7DFD"/>
    <w:rsid w:val="001D2A48"/>
    <w:rsid w:val="001E0047"/>
    <w:rsid w:val="001E0702"/>
    <w:rsid w:val="001E1BE5"/>
    <w:rsid w:val="001F30F9"/>
    <w:rsid w:val="001F3D7A"/>
    <w:rsid w:val="001F465E"/>
    <w:rsid w:val="002027E0"/>
    <w:rsid w:val="0021363E"/>
    <w:rsid w:val="0022116C"/>
    <w:rsid w:val="002218EF"/>
    <w:rsid w:val="00226657"/>
    <w:rsid w:val="002277F9"/>
    <w:rsid w:val="00227DC0"/>
    <w:rsid w:val="00241B80"/>
    <w:rsid w:val="00244A84"/>
    <w:rsid w:val="00260D57"/>
    <w:rsid w:val="002622A8"/>
    <w:rsid w:val="00283AD9"/>
    <w:rsid w:val="00285152"/>
    <w:rsid w:val="002863C0"/>
    <w:rsid w:val="00291958"/>
    <w:rsid w:val="00292F9A"/>
    <w:rsid w:val="00294AE3"/>
    <w:rsid w:val="00295745"/>
    <w:rsid w:val="002A70D7"/>
    <w:rsid w:val="002B5724"/>
    <w:rsid w:val="002C039A"/>
    <w:rsid w:val="002C6110"/>
    <w:rsid w:val="002E50C7"/>
    <w:rsid w:val="002F70BE"/>
    <w:rsid w:val="00300789"/>
    <w:rsid w:val="00300D92"/>
    <w:rsid w:val="003219B9"/>
    <w:rsid w:val="00324289"/>
    <w:rsid w:val="00330C32"/>
    <w:rsid w:val="00333221"/>
    <w:rsid w:val="00334A7C"/>
    <w:rsid w:val="00337C05"/>
    <w:rsid w:val="00340C02"/>
    <w:rsid w:val="00346012"/>
    <w:rsid w:val="00355F2E"/>
    <w:rsid w:val="00367ED5"/>
    <w:rsid w:val="00385F54"/>
    <w:rsid w:val="00392579"/>
    <w:rsid w:val="00396F67"/>
    <w:rsid w:val="003A0DCE"/>
    <w:rsid w:val="003B4D1C"/>
    <w:rsid w:val="003B700C"/>
    <w:rsid w:val="003C166B"/>
    <w:rsid w:val="003C16E8"/>
    <w:rsid w:val="003C4EB8"/>
    <w:rsid w:val="003D1E26"/>
    <w:rsid w:val="003D2276"/>
    <w:rsid w:val="003D25A3"/>
    <w:rsid w:val="003D717F"/>
    <w:rsid w:val="003E6D45"/>
    <w:rsid w:val="003F0972"/>
    <w:rsid w:val="00405F3D"/>
    <w:rsid w:val="00411F64"/>
    <w:rsid w:val="00424794"/>
    <w:rsid w:val="004456FB"/>
    <w:rsid w:val="00450175"/>
    <w:rsid w:val="00450267"/>
    <w:rsid w:val="00451AF9"/>
    <w:rsid w:val="0045370F"/>
    <w:rsid w:val="00455301"/>
    <w:rsid w:val="00466174"/>
    <w:rsid w:val="0046632D"/>
    <w:rsid w:val="00472DF2"/>
    <w:rsid w:val="00473F57"/>
    <w:rsid w:val="00482338"/>
    <w:rsid w:val="004838E1"/>
    <w:rsid w:val="00495B71"/>
    <w:rsid w:val="00496744"/>
    <w:rsid w:val="00497530"/>
    <w:rsid w:val="004A5C6A"/>
    <w:rsid w:val="004A691E"/>
    <w:rsid w:val="004B0CA7"/>
    <w:rsid w:val="004C5605"/>
    <w:rsid w:val="004D4EF6"/>
    <w:rsid w:val="004D5E19"/>
    <w:rsid w:val="004D7E01"/>
    <w:rsid w:val="004E0141"/>
    <w:rsid w:val="004F009E"/>
    <w:rsid w:val="00504DB9"/>
    <w:rsid w:val="005131DE"/>
    <w:rsid w:val="00527CF8"/>
    <w:rsid w:val="00533DBE"/>
    <w:rsid w:val="00544DDE"/>
    <w:rsid w:val="00552600"/>
    <w:rsid w:val="005561C1"/>
    <w:rsid w:val="0056400F"/>
    <w:rsid w:val="0056751B"/>
    <w:rsid w:val="0057047C"/>
    <w:rsid w:val="00585C41"/>
    <w:rsid w:val="00591D1D"/>
    <w:rsid w:val="00595023"/>
    <w:rsid w:val="00597882"/>
    <w:rsid w:val="005A1499"/>
    <w:rsid w:val="005A6C74"/>
    <w:rsid w:val="005B4C72"/>
    <w:rsid w:val="005C15D1"/>
    <w:rsid w:val="005D4CA4"/>
    <w:rsid w:val="005D7925"/>
    <w:rsid w:val="005F51F2"/>
    <w:rsid w:val="00616813"/>
    <w:rsid w:val="0062191D"/>
    <w:rsid w:val="0062474A"/>
    <w:rsid w:val="00626264"/>
    <w:rsid w:val="006308C7"/>
    <w:rsid w:val="00631A0F"/>
    <w:rsid w:val="00631C8E"/>
    <w:rsid w:val="00641A44"/>
    <w:rsid w:val="00642AC3"/>
    <w:rsid w:val="006449EA"/>
    <w:rsid w:val="00645A0C"/>
    <w:rsid w:val="00645DC8"/>
    <w:rsid w:val="00647ECD"/>
    <w:rsid w:val="00654D5A"/>
    <w:rsid w:val="00661F4F"/>
    <w:rsid w:val="006700B0"/>
    <w:rsid w:val="00671E46"/>
    <w:rsid w:val="00672F7B"/>
    <w:rsid w:val="00683780"/>
    <w:rsid w:val="0068432F"/>
    <w:rsid w:val="00684C49"/>
    <w:rsid w:val="00695625"/>
    <w:rsid w:val="006A021F"/>
    <w:rsid w:val="006A41EE"/>
    <w:rsid w:val="006A4895"/>
    <w:rsid w:val="006B4513"/>
    <w:rsid w:val="006B495A"/>
    <w:rsid w:val="006B51B8"/>
    <w:rsid w:val="006B6D42"/>
    <w:rsid w:val="006B795B"/>
    <w:rsid w:val="006C013C"/>
    <w:rsid w:val="006C3712"/>
    <w:rsid w:val="006C714F"/>
    <w:rsid w:val="006D15C2"/>
    <w:rsid w:val="006D22CE"/>
    <w:rsid w:val="006D30F3"/>
    <w:rsid w:val="006D52E1"/>
    <w:rsid w:val="006E3B58"/>
    <w:rsid w:val="00703A93"/>
    <w:rsid w:val="00705164"/>
    <w:rsid w:val="0071402F"/>
    <w:rsid w:val="00717A8C"/>
    <w:rsid w:val="007228E4"/>
    <w:rsid w:val="007261E5"/>
    <w:rsid w:val="007335C6"/>
    <w:rsid w:val="00734BC8"/>
    <w:rsid w:val="00746397"/>
    <w:rsid w:val="00751B5E"/>
    <w:rsid w:val="00754ED6"/>
    <w:rsid w:val="0076679B"/>
    <w:rsid w:val="00767BDD"/>
    <w:rsid w:val="00772F17"/>
    <w:rsid w:val="00773CAD"/>
    <w:rsid w:val="00774275"/>
    <w:rsid w:val="00790302"/>
    <w:rsid w:val="007913E9"/>
    <w:rsid w:val="00795585"/>
    <w:rsid w:val="0079709F"/>
    <w:rsid w:val="007A0BDB"/>
    <w:rsid w:val="007C141D"/>
    <w:rsid w:val="007E5B2C"/>
    <w:rsid w:val="007E71A3"/>
    <w:rsid w:val="007F26EF"/>
    <w:rsid w:val="0080117F"/>
    <w:rsid w:val="008020A5"/>
    <w:rsid w:val="0080580F"/>
    <w:rsid w:val="008111DE"/>
    <w:rsid w:val="008165AD"/>
    <w:rsid w:val="00816612"/>
    <w:rsid w:val="00825773"/>
    <w:rsid w:val="00826C0C"/>
    <w:rsid w:val="00826F11"/>
    <w:rsid w:val="00827BE3"/>
    <w:rsid w:val="00832CE0"/>
    <w:rsid w:val="00853B63"/>
    <w:rsid w:val="0085598E"/>
    <w:rsid w:val="008630EA"/>
    <w:rsid w:val="00863543"/>
    <w:rsid w:val="0087483A"/>
    <w:rsid w:val="00877282"/>
    <w:rsid w:val="00886E84"/>
    <w:rsid w:val="008871CF"/>
    <w:rsid w:val="008A350E"/>
    <w:rsid w:val="008A6E88"/>
    <w:rsid w:val="008B479D"/>
    <w:rsid w:val="008B4AA0"/>
    <w:rsid w:val="008C168F"/>
    <w:rsid w:val="008C1E17"/>
    <w:rsid w:val="008C26CE"/>
    <w:rsid w:val="008D0AAC"/>
    <w:rsid w:val="008D4B4D"/>
    <w:rsid w:val="00901675"/>
    <w:rsid w:val="00901E60"/>
    <w:rsid w:val="00903F29"/>
    <w:rsid w:val="00904BBD"/>
    <w:rsid w:val="00915BD4"/>
    <w:rsid w:val="009206A2"/>
    <w:rsid w:val="009270B9"/>
    <w:rsid w:val="0093048B"/>
    <w:rsid w:val="00935AF2"/>
    <w:rsid w:val="009768A1"/>
    <w:rsid w:val="00983416"/>
    <w:rsid w:val="00984AEE"/>
    <w:rsid w:val="00992790"/>
    <w:rsid w:val="009A6C76"/>
    <w:rsid w:val="009B2F83"/>
    <w:rsid w:val="009B5DCE"/>
    <w:rsid w:val="009B696D"/>
    <w:rsid w:val="009D109C"/>
    <w:rsid w:val="009E4F48"/>
    <w:rsid w:val="00A04699"/>
    <w:rsid w:val="00A10E54"/>
    <w:rsid w:val="00A17748"/>
    <w:rsid w:val="00A201C0"/>
    <w:rsid w:val="00A26FD3"/>
    <w:rsid w:val="00A2758F"/>
    <w:rsid w:val="00A41C23"/>
    <w:rsid w:val="00A42E8D"/>
    <w:rsid w:val="00A5145E"/>
    <w:rsid w:val="00A52858"/>
    <w:rsid w:val="00A6009F"/>
    <w:rsid w:val="00A67402"/>
    <w:rsid w:val="00A7048A"/>
    <w:rsid w:val="00A70E29"/>
    <w:rsid w:val="00A726C4"/>
    <w:rsid w:val="00A73C46"/>
    <w:rsid w:val="00A8090E"/>
    <w:rsid w:val="00A822CA"/>
    <w:rsid w:val="00A84C2A"/>
    <w:rsid w:val="00A85688"/>
    <w:rsid w:val="00A86F90"/>
    <w:rsid w:val="00A8749C"/>
    <w:rsid w:val="00A902E8"/>
    <w:rsid w:val="00AB7892"/>
    <w:rsid w:val="00AC5977"/>
    <w:rsid w:val="00AC6F3A"/>
    <w:rsid w:val="00AD0897"/>
    <w:rsid w:val="00AD3312"/>
    <w:rsid w:val="00AD3DD8"/>
    <w:rsid w:val="00AD4B87"/>
    <w:rsid w:val="00AE0900"/>
    <w:rsid w:val="00AF1D42"/>
    <w:rsid w:val="00AF5800"/>
    <w:rsid w:val="00B00171"/>
    <w:rsid w:val="00B03361"/>
    <w:rsid w:val="00B13041"/>
    <w:rsid w:val="00B3307B"/>
    <w:rsid w:val="00B34845"/>
    <w:rsid w:val="00B35380"/>
    <w:rsid w:val="00B360DD"/>
    <w:rsid w:val="00B3651B"/>
    <w:rsid w:val="00B42AD0"/>
    <w:rsid w:val="00B44C58"/>
    <w:rsid w:val="00B451F0"/>
    <w:rsid w:val="00B45CF2"/>
    <w:rsid w:val="00B5220D"/>
    <w:rsid w:val="00B5241C"/>
    <w:rsid w:val="00B55CD3"/>
    <w:rsid w:val="00B56E98"/>
    <w:rsid w:val="00B603AA"/>
    <w:rsid w:val="00B639FC"/>
    <w:rsid w:val="00B71DC1"/>
    <w:rsid w:val="00B84E56"/>
    <w:rsid w:val="00B97113"/>
    <w:rsid w:val="00B97C0F"/>
    <w:rsid w:val="00BA0EB0"/>
    <w:rsid w:val="00BB2331"/>
    <w:rsid w:val="00BD1C60"/>
    <w:rsid w:val="00BE5610"/>
    <w:rsid w:val="00BF2510"/>
    <w:rsid w:val="00C011D5"/>
    <w:rsid w:val="00C03AA9"/>
    <w:rsid w:val="00C04FF5"/>
    <w:rsid w:val="00C0624C"/>
    <w:rsid w:val="00C062C0"/>
    <w:rsid w:val="00C07C24"/>
    <w:rsid w:val="00C272A0"/>
    <w:rsid w:val="00C36001"/>
    <w:rsid w:val="00C36D30"/>
    <w:rsid w:val="00C412C5"/>
    <w:rsid w:val="00C41B31"/>
    <w:rsid w:val="00C42A41"/>
    <w:rsid w:val="00C647EB"/>
    <w:rsid w:val="00C71EF8"/>
    <w:rsid w:val="00C753C6"/>
    <w:rsid w:val="00C92705"/>
    <w:rsid w:val="00C9274A"/>
    <w:rsid w:val="00CA22AF"/>
    <w:rsid w:val="00CA3026"/>
    <w:rsid w:val="00CA50F7"/>
    <w:rsid w:val="00CA6007"/>
    <w:rsid w:val="00CC4FE2"/>
    <w:rsid w:val="00CD43F1"/>
    <w:rsid w:val="00CD758B"/>
    <w:rsid w:val="00CF1AA4"/>
    <w:rsid w:val="00CF66D8"/>
    <w:rsid w:val="00D00B3A"/>
    <w:rsid w:val="00D0403B"/>
    <w:rsid w:val="00D108C7"/>
    <w:rsid w:val="00D12988"/>
    <w:rsid w:val="00D12B32"/>
    <w:rsid w:val="00D31072"/>
    <w:rsid w:val="00D33FD2"/>
    <w:rsid w:val="00D4026A"/>
    <w:rsid w:val="00D44D58"/>
    <w:rsid w:val="00D47789"/>
    <w:rsid w:val="00D53F2F"/>
    <w:rsid w:val="00D64963"/>
    <w:rsid w:val="00D65C0A"/>
    <w:rsid w:val="00D662D4"/>
    <w:rsid w:val="00D70105"/>
    <w:rsid w:val="00D7596F"/>
    <w:rsid w:val="00D7659F"/>
    <w:rsid w:val="00D77A03"/>
    <w:rsid w:val="00D96246"/>
    <w:rsid w:val="00D96F9A"/>
    <w:rsid w:val="00DA1B86"/>
    <w:rsid w:val="00DB145D"/>
    <w:rsid w:val="00DB3767"/>
    <w:rsid w:val="00DD2A47"/>
    <w:rsid w:val="00DD65A6"/>
    <w:rsid w:val="00DD6714"/>
    <w:rsid w:val="00DF28C4"/>
    <w:rsid w:val="00E02017"/>
    <w:rsid w:val="00E1796B"/>
    <w:rsid w:val="00E21E65"/>
    <w:rsid w:val="00E254C9"/>
    <w:rsid w:val="00E256DF"/>
    <w:rsid w:val="00E26DE6"/>
    <w:rsid w:val="00E35CB7"/>
    <w:rsid w:val="00E35D9D"/>
    <w:rsid w:val="00E37996"/>
    <w:rsid w:val="00E50A27"/>
    <w:rsid w:val="00E53B48"/>
    <w:rsid w:val="00E60353"/>
    <w:rsid w:val="00E8562C"/>
    <w:rsid w:val="00E864B6"/>
    <w:rsid w:val="00E941B2"/>
    <w:rsid w:val="00E96BCC"/>
    <w:rsid w:val="00EA52A5"/>
    <w:rsid w:val="00EB3A93"/>
    <w:rsid w:val="00EB41E4"/>
    <w:rsid w:val="00EB4CE3"/>
    <w:rsid w:val="00EB6042"/>
    <w:rsid w:val="00EC3B3F"/>
    <w:rsid w:val="00EC4599"/>
    <w:rsid w:val="00EC5118"/>
    <w:rsid w:val="00ED3FED"/>
    <w:rsid w:val="00ED4CC8"/>
    <w:rsid w:val="00EE6798"/>
    <w:rsid w:val="00EE7659"/>
    <w:rsid w:val="00EF436B"/>
    <w:rsid w:val="00F00111"/>
    <w:rsid w:val="00F00561"/>
    <w:rsid w:val="00F148CB"/>
    <w:rsid w:val="00F167E4"/>
    <w:rsid w:val="00F21B68"/>
    <w:rsid w:val="00F27C98"/>
    <w:rsid w:val="00F3018E"/>
    <w:rsid w:val="00F330AF"/>
    <w:rsid w:val="00F35DB6"/>
    <w:rsid w:val="00F40EE9"/>
    <w:rsid w:val="00F435A5"/>
    <w:rsid w:val="00F469E5"/>
    <w:rsid w:val="00F541D0"/>
    <w:rsid w:val="00F56C47"/>
    <w:rsid w:val="00F700D9"/>
    <w:rsid w:val="00F8306C"/>
    <w:rsid w:val="00F87B48"/>
    <w:rsid w:val="00F90612"/>
    <w:rsid w:val="00F90779"/>
    <w:rsid w:val="00F92193"/>
    <w:rsid w:val="00F93D9C"/>
    <w:rsid w:val="00F96ED4"/>
    <w:rsid w:val="00FB741F"/>
    <w:rsid w:val="00FC239F"/>
    <w:rsid w:val="00FE2453"/>
    <w:rsid w:val="00FE5608"/>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2010-10-20T07:00:00+00:00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Burton Water Company, Inc.</CaseCompanyNames>
    <DocketNumber xmlns="dc463f71-b30c-4ab2-9473-d307f9d35888">101718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430251ABBB264CAA27C4F7711BEFFB" ma:contentTypeVersion="131" ma:contentTypeDescription="" ma:contentTypeScope="" ma:versionID="9456e2b09edeb9b8a4931cea79f15f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27816-F000-4174-9D2D-0767F5EBBD00}"/>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BB7019D8-DE9A-4135-AC1B-81447373E450}"/>
</file>

<file path=customXml/itemProps5.xml><?xml version="1.0" encoding="utf-8"?>
<ds:datastoreItem xmlns:ds="http://schemas.openxmlformats.org/officeDocument/2006/customXml" ds:itemID="{CCE2EFD8-9F2E-4075-A8C9-FB75DD52DCED}"/>
</file>

<file path=customXml/itemProps6.xml><?xml version="1.0" encoding="utf-8"?>
<ds:datastoreItem xmlns:ds="http://schemas.openxmlformats.org/officeDocument/2006/customXml" ds:itemID="{F956EE98-E1D3-4C3F-9DAE-B368C9E8016F}"/>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Burton Water Company UW-101718 Memo 01</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Burton Water Company UW-101718 Memo 01</dc:title>
  <dc:creator>JWard</dc:creator>
  <cp:lastModifiedBy>Lisa Wyse, Records Manager</cp:lastModifiedBy>
  <cp:revision>2</cp:revision>
  <cp:lastPrinted>2010-11-05T17:36:00Z</cp:lastPrinted>
  <dcterms:created xsi:type="dcterms:W3CDTF">2010-11-05T19:28:00Z</dcterms:created>
  <dcterms:modified xsi:type="dcterms:W3CDTF">2010-11-05T19:28:00Z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0x0101006E56B4D1795A2E4DB2F0B01679ED314A0024430251ABBB264CAA27C4F7711BEFFB</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