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18" w:rsidRPr="009B7E4B" w:rsidRDefault="00FF0518" w:rsidP="00FF0518">
      <w:pPr>
        <w:spacing w:after="120"/>
        <w:jc w:val="center"/>
        <w:rPr>
          <w:rFonts w:ascii="Times New Roman" w:hAnsi="Times New Roman"/>
          <w:b/>
        </w:rPr>
      </w:pPr>
      <w:r w:rsidRPr="009B7E4B">
        <w:rPr>
          <w:rFonts w:ascii="Times New Roman" w:hAnsi="Times New Roman"/>
          <w:b/>
        </w:rPr>
        <w:t xml:space="preserve">BEFORE THE </w:t>
      </w:r>
      <w:smartTag w:uri="urn:schemas-microsoft-com:office:smarttags" w:element="State">
        <w:smartTag w:uri="urn:schemas-microsoft-com:office:smarttags" w:element="place">
          <w:r w:rsidRPr="009B7E4B">
            <w:rPr>
              <w:rFonts w:ascii="Times New Roman" w:hAnsi="Times New Roman"/>
              <w:b/>
            </w:rPr>
            <w:t>WASHINGTON</w:t>
          </w:r>
        </w:smartTag>
      </w:smartTag>
      <w:r w:rsidRPr="009B7E4B">
        <w:rPr>
          <w:rFonts w:ascii="Times New Roman" w:hAnsi="Times New Roman"/>
          <w:b/>
        </w:rPr>
        <w:t xml:space="preserve"> UTILITIES </w:t>
      </w:r>
      <w:smartTag w:uri="urn:schemas-microsoft-com:office:smarttags" w:element="stockticker">
        <w:r w:rsidRPr="009B7E4B">
          <w:rPr>
            <w:rFonts w:ascii="Times New Roman" w:hAnsi="Times New Roman"/>
            <w:b/>
          </w:rPr>
          <w:t>AND</w:t>
        </w:r>
      </w:smartTag>
      <w:r w:rsidRPr="009B7E4B">
        <w:rPr>
          <w:rFonts w:ascii="Times New Roman" w:hAnsi="Times New Roman"/>
          <w:b/>
        </w:rPr>
        <w:t xml:space="preserve"> TRANSPORTATION COMMISSION</w:t>
      </w:r>
    </w:p>
    <w:p w:rsidR="00FF0518" w:rsidRPr="009B7E4B" w:rsidRDefault="00FF0518" w:rsidP="00FF0518">
      <w:pPr>
        <w:spacing w:after="120"/>
        <w:jc w:val="center"/>
        <w:rPr>
          <w:rFonts w:ascii="Times New Roman" w:hAnsi="Times New Roman"/>
          <w:b/>
        </w:rPr>
      </w:pPr>
    </w:p>
    <w:p w:rsidR="00FF0518" w:rsidRPr="009B7E4B" w:rsidRDefault="00FF0518" w:rsidP="00FF0518">
      <w:pPr>
        <w:spacing w:after="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F0518" w:rsidRPr="00122158" w:rsidTr="00B63F94">
        <w:tc>
          <w:tcPr>
            <w:tcW w:w="4428" w:type="dxa"/>
            <w:tcBorders>
              <w:top w:val="nil"/>
              <w:left w:val="nil"/>
            </w:tcBorders>
          </w:tcPr>
          <w:p w:rsidR="00FF0518" w:rsidRPr="00122158" w:rsidRDefault="00FF0518" w:rsidP="00B63F94">
            <w:pPr>
              <w:rPr>
                <w:rFonts w:ascii="Times New Roman" w:hAnsi="Times New Roman"/>
              </w:rPr>
            </w:pPr>
            <w:smartTag w:uri="urn:schemas-microsoft-com:office:smarttags" w:element="State">
              <w:smartTag w:uri="urn:schemas-microsoft-com:office:smarttags" w:element="place">
                <w:r w:rsidRPr="00122158">
                  <w:rPr>
                    <w:rFonts w:ascii="Times New Roman" w:hAnsi="Times New Roman"/>
                  </w:rPr>
                  <w:t>WASHINGTON</w:t>
                </w:r>
              </w:smartTag>
            </w:smartTag>
            <w:r w:rsidRPr="00122158">
              <w:rPr>
                <w:rFonts w:ascii="Times New Roman" w:hAnsi="Times New Roman"/>
              </w:rPr>
              <w:t xml:space="preserve"> UTILITIES </w:t>
            </w:r>
            <w:smartTag w:uri="urn:schemas-microsoft-com:office:smarttags" w:element="stockticker">
              <w:r w:rsidRPr="00122158">
                <w:rPr>
                  <w:rFonts w:ascii="Times New Roman" w:hAnsi="Times New Roman"/>
                </w:rPr>
                <w:t>AND</w:t>
              </w:r>
            </w:smartTag>
          </w:p>
          <w:p w:rsidR="00FF0518" w:rsidRPr="00122158" w:rsidRDefault="00FF0518" w:rsidP="00B63F94">
            <w:pPr>
              <w:rPr>
                <w:rFonts w:ascii="Times New Roman" w:hAnsi="Times New Roman"/>
              </w:rPr>
            </w:pPr>
            <w:r w:rsidRPr="00122158">
              <w:rPr>
                <w:rFonts w:ascii="Times New Roman" w:hAnsi="Times New Roman"/>
              </w:rPr>
              <w:t>TRANSPORTATION COMMISSION,</w:t>
            </w:r>
          </w:p>
          <w:p w:rsidR="00FF0518" w:rsidRPr="00122158" w:rsidRDefault="00FF0518" w:rsidP="00B63F94">
            <w:pPr>
              <w:rPr>
                <w:rFonts w:ascii="Times New Roman" w:hAnsi="Times New Roman"/>
              </w:rPr>
            </w:pPr>
          </w:p>
          <w:p w:rsidR="00FF0518" w:rsidRPr="00122158" w:rsidRDefault="00FF0518" w:rsidP="00B63F94">
            <w:pPr>
              <w:jc w:val="center"/>
              <w:rPr>
                <w:rFonts w:ascii="Times New Roman" w:hAnsi="Times New Roman"/>
              </w:rPr>
            </w:pPr>
            <w:r w:rsidRPr="00122158">
              <w:rPr>
                <w:rFonts w:ascii="Times New Roman" w:hAnsi="Times New Roman"/>
              </w:rPr>
              <w:t>Complainant,</w:t>
            </w:r>
          </w:p>
          <w:p w:rsidR="00FF0518" w:rsidRPr="00122158" w:rsidRDefault="00FF0518" w:rsidP="00B63F94">
            <w:pPr>
              <w:rPr>
                <w:rFonts w:ascii="Times New Roman" w:hAnsi="Times New Roman"/>
              </w:rPr>
            </w:pPr>
          </w:p>
          <w:p w:rsidR="00FF0518" w:rsidRPr="00122158" w:rsidRDefault="00FF0518" w:rsidP="00B63F94">
            <w:pPr>
              <w:jc w:val="center"/>
              <w:rPr>
                <w:rFonts w:ascii="Times New Roman" w:hAnsi="Times New Roman"/>
              </w:rPr>
            </w:pPr>
            <w:r w:rsidRPr="00122158">
              <w:rPr>
                <w:rFonts w:ascii="Times New Roman" w:hAnsi="Times New Roman"/>
              </w:rPr>
              <w:t>vs.</w:t>
            </w:r>
          </w:p>
          <w:p w:rsidR="00FF0518" w:rsidRPr="00122158" w:rsidRDefault="00FF0518" w:rsidP="00B63F94">
            <w:pPr>
              <w:rPr>
                <w:rFonts w:ascii="Times New Roman" w:hAnsi="Times New Roman"/>
              </w:rPr>
            </w:pPr>
          </w:p>
          <w:p w:rsidR="00FF0518" w:rsidRPr="00122158" w:rsidRDefault="00FF0518" w:rsidP="00B63F94">
            <w:pPr>
              <w:jc w:val="center"/>
              <w:rPr>
                <w:rFonts w:ascii="Times New Roman" w:hAnsi="Times New Roman"/>
              </w:rPr>
            </w:pPr>
            <w:r w:rsidRPr="00122158">
              <w:rPr>
                <w:rFonts w:ascii="Times New Roman" w:hAnsi="Times New Roman"/>
              </w:rPr>
              <w:t>PACIFICORP d.b.a. PACIFIC POWER,</w:t>
            </w:r>
          </w:p>
          <w:p w:rsidR="00FF0518" w:rsidRPr="00122158" w:rsidRDefault="00FF0518" w:rsidP="00B63F94">
            <w:pPr>
              <w:rPr>
                <w:rFonts w:ascii="Times New Roman" w:hAnsi="Times New Roman"/>
              </w:rPr>
            </w:pPr>
          </w:p>
          <w:p w:rsidR="00FF0518" w:rsidRPr="00122158" w:rsidRDefault="00FF0518" w:rsidP="00B63F94">
            <w:pPr>
              <w:jc w:val="center"/>
              <w:rPr>
                <w:rFonts w:ascii="Times New Roman" w:hAnsi="Times New Roman"/>
              </w:rPr>
            </w:pPr>
            <w:r w:rsidRPr="00122158">
              <w:rPr>
                <w:rFonts w:ascii="Times New Roman" w:hAnsi="Times New Roman"/>
              </w:rPr>
              <w:t>Respondent.</w:t>
            </w:r>
          </w:p>
          <w:p w:rsidR="00FF0518" w:rsidRPr="00122158" w:rsidRDefault="00FF0518" w:rsidP="00B63F94">
            <w:pPr>
              <w:rPr>
                <w:rFonts w:ascii="Times New Roman" w:hAnsi="Times New Roman"/>
              </w:rPr>
            </w:pPr>
          </w:p>
        </w:tc>
        <w:tc>
          <w:tcPr>
            <w:tcW w:w="4428" w:type="dxa"/>
            <w:tcBorders>
              <w:top w:val="nil"/>
              <w:bottom w:val="nil"/>
              <w:right w:val="nil"/>
            </w:tcBorders>
          </w:tcPr>
          <w:p w:rsidR="00FF0518" w:rsidRPr="00122158" w:rsidRDefault="00FF0518" w:rsidP="00B63F94">
            <w:pPr>
              <w:rPr>
                <w:rFonts w:ascii="Times New Roman" w:hAnsi="Times New Roman"/>
              </w:rPr>
            </w:pPr>
          </w:p>
          <w:p w:rsidR="00FF0518" w:rsidRPr="00122158" w:rsidRDefault="00FF0518" w:rsidP="00B63F94">
            <w:pPr>
              <w:jc w:val="center"/>
              <w:rPr>
                <w:rFonts w:ascii="Times New Roman" w:hAnsi="Times New Roman"/>
                <w:b/>
              </w:rPr>
            </w:pPr>
            <w:r w:rsidRPr="00122158">
              <w:rPr>
                <w:rFonts w:ascii="Times New Roman" w:hAnsi="Times New Roman"/>
                <w:b/>
              </w:rPr>
              <w:t xml:space="preserve">DOCKET UE- </w:t>
            </w:r>
            <w:r w:rsidR="009939F8">
              <w:rPr>
                <w:rFonts w:ascii="Times New Roman" w:hAnsi="Times New Roman"/>
                <w:b/>
              </w:rPr>
              <w:t>10</w:t>
            </w:r>
            <w:r w:rsidRPr="00122158">
              <w:rPr>
                <w:rFonts w:ascii="Times New Roman" w:hAnsi="Times New Roman"/>
                <w:b/>
              </w:rPr>
              <w:t>_____</w:t>
            </w:r>
          </w:p>
          <w:p w:rsidR="00FF0518" w:rsidRPr="00122158" w:rsidRDefault="00FF0518" w:rsidP="00B63F94">
            <w:pPr>
              <w:rPr>
                <w:rFonts w:ascii="Times New Roman" w:hAnsi="Times New Roman"/>
                <w:b/>
              </w:rPr>
            </w:pPr>
          </w:p>
          <w:p w:rsidR="00FF0518" w:rsidRPr="00122158" w:rsidRDefault="00FF0518" w:rsidP="00B63F94">
            <w:pPr>
              <w:rPr>
                <w:rFonts w:ascii="Times New Roman" w:hAnsi="Times New Roman"/>
                <w:b/>
              </w:rPr>
            </w:pPr>
          </w:p>
          <w:p w:rsidR="00FF0518" w:rsidRPr="00122158" w:rsidRDefault="00FF0518" w:rsidP="00B63F94">
            <w:pPr>
              <w:jc w:val="center"/>
              <w:rPr>
                <w:rFonts w:ascii="Times New Roman" w:hAnsi="Times New Roman"/>
              </w:rPr>
            </w:pPr>
            <w:r w:rsidRPr="00122158">
              <w:rPr>
                <w:rFonts w:ascii="Times New Roman" w:hAnsi="Times New Roman"/>
                <w:b/>
              </w:rPr>
              <w:t>APPLICATION</w:t>
            </w:r>
          </w:p>
        </w:tc>
      </w:tr>
    </w:tbl>
    <w:p w:rsidR="00FF0518" w:rsidRPr="009B7E4B" w:rsidRDefault="00FF0518" w:rsidP="00FF0518">
      <w:pPr>
        <w:spacing w:after="120"/>
        <w:rPr>
          <w:rFonts w:ascii="Times New Roman" w:hAnsi="Times New Roman"/>
        </w:rPr>
      </w:pPr>
    </w:p>
    <w:p w:rsidR="00FF0518" w:rsidRPr="009B7E4B" w:rsidRDefault="00FF0518" w:rsidP="009939F8">
      <w:pPr>
        <w:spacing w:after="120" w:line="480" w:lineRule="auto"/>
        <w:ind w:hanging="720"/>
        <w:rPr>
          <w:rFonts w:ascii="Times New Roman" w:hAnsi="Times New Roman"/>
        </w:rPr>
      </w:pPr>
      <w:r w:rsidRPr="009B7E4B">
        <w:rPr>
          <w:rFonts w:ascii="Times New Roman" w:hAnsi="Times New Roman"/>
          <w:i/>
        </w:rPr>
        <w:t>1</w:t>
      </w:r>
      <w:r w:rsidRPr="009B7E4B">
        <w:rPr>
          <w:rFonts w:ascii="Times New Roman" w:hAnsi="Times New Roman"/>
        </w:rPr>
        <w:tab/>
      </w:r>
      <w:r w:rsidR="009939F8">
        <w:rPr>
          <w:rFonts w:ascii="Times New Roman" w:hAnsi="Times New Roman"/>
        </w:rPr>
        <w:tab/>
      </w:r>
      <w:r w:rsidRPr="009B7E4B">
        <w:rPr>
          <w:rFonts w:ascii="Times New Roman" w:hAnsi="Times New Roman"/>
        </w:rPr>
        <w:t xml:space="preserve">Pursuant to RCW 80.28.050, RCW 80.28.060 and in accordance with </w:t>
      </w:r>
      <w:smartTag w:uri="urn:schemas-microsoft-com:office:smarttags" w:element="stockticker">
        <w:r w:rsidRPr="009B7E4B">
          <w:rPr>
            <w:rFonts w:ascii="Times New Roman" w:hAnsi="Times New Roman"/>
          </w:rPr>
          <w:t>WAC</w:t>
        </w:r>
      </w:smartTag>
      <w:r w:rsidRPr="009B7E4B">
        <w:rPr>
          <w:rFonts w:ascii="Times New Roman" w:hAnsi="Times New Roman"/>
        </w:rPr>
        <w:t xml:space="preserve"> 480-07-510, PacifiCorp d.b.a. Pacific Power (Company), files a general rate increase to revise its tariff schedules to adjust prices for its Washington electric customers. </w:t>
      </w:r>
    </w:p>
    <w:p w:rsidR="00FF0518" w:rsidRDefault="00FF0518" w:rsidP="009939F8">
      <w:pPr>
        <w:spacing w:after="120" w:line="480" w:lineRule="auto"/>
        <w:ind w:hanging="720"/>
        <w:rPr>
          <w:rFonts w:ascii="Times New Roman" w:hAnsi="Times New Roman"/>
        </w:rPr>
      </w:pPr>
      <w:r w:rsidRPr="009B7E4B">
        <w:rPr>
          <w:rFonts w:ascii="Times New Roman" w:hAnsi="Times New Roman"/>
          <w:i/>
        </w:rPr>
        <w:t>2</w:t>
      </w:r>
      <w:r w:rsidRPr="009B7E4B">
        <w:rPr>
          <w:rFonts w:ascii="Times New Roman" w:hAnsi="Times New Roman"/>
        </w:rPr>
        <w:tab/>
      </w:r>
      <w:r w:rsidR="009939F8">
        <w:rPr>
          <w:rFonts w:ascii="Times New Roman" w:hAnsi="Times New Roman"/>
        </w:rPr>
        <w:tab/>
      </w:r>
      <w:r w:rsidRPr="009B7E4B">
        <w:rPr>
          <w:rFonts w:ascii="Times New Roman" w:hAnsi="Times New Roman"/>
        </w:rPr>
        <w:t xml:space="preserve">The Company is an electric company and public service company in the State of Washington within the meaning of RCW 80.04.010, and is subject to the Washington Utilities and Transportation Commission’s (Commission) jurisdiction with respect to its </w:t>
      </w:r>
      <w:proofErr w:type="gramStart"/>
      <w:r w:rsidRPr="009B7E4B">
        <w:rPr>
          <w:rFonts w:ascii="Times New Roman" w:hAnsi="Times New Roman"/>
        </w:rPr>
        <w:t>prices</w:t>
      </w:r>
      <w:proofErr w:type="gramEnd"/>
      <w:r w:rsidRPr="009B7E4B">
        <w:rPr>
          <w:rFonts w:ascii="Times New Roman" w:hAnsi="Times New Roman"/>
        </w:rPr>
        <w:t xml:space="preserve"> and terms of electric service to retail customers in Washington. The Company provides electric service to approximately </w:t>
      </w:r>
      <w:r w:rsidR="00F11B5E" w:rsidRPr="00F11B5E">
        <w:rPr>
          <w:rFonts w:ascii="Times New Roman" w:hAnsi="Times New Roman"/>
        </w:rPr>
        <w:t>131,000</w:t>
      </w:r>
      <w:r w:rsidRPr="009B7E4B">
        <w:rPr>
          <w:rFonts w:ascii="Times New Roman" w:hAnsi="Times New Roman"/>
        </w:rPr>
        <w:t xml:space="preserve"> retail customers in the State of </w:t>
      </w:r>
      <w:smartTag w:uri="urn:schemas-microsoft-com:office:smarttags" w:element="State">
        <w:smartTag w:uri="urn:schemas-microsoft-com:office:smarttags" w:element="place">
          <w:r w:rsidRPr="009B7E4B">
            <w:rPr>
              <w:rFonts w:ascii="Times New Roman" w:hAnsi="Times New Roman"/>
            </w:rPr>
            <w:t>Washington</w:t>
          </w:r>
        </w:smartTag>
      </w:smartTag>
      <w:r w:rsidRPr="009B7E4B">
        <w:rPr>
          <w:rFonts w:ascii="Times New Roman" w:hAnsi="Times New Roman"/>
        </w:rPr>
        <w:t xml:space="preserve"> and approximately </w:t>
      </w:r>
      <w:r w:rsidR="00F11B5E" w:rsidRPr="00F11B5E">
        <w:rPr>
          <w:rFonts w:ascii="Times New Roman" w:hAnsi="Times New Roman"/>
        </w:rPr>
        <w:t>1.7 million</w:t>
      </w:r>
      <w:r w:rsidRPr="009B7E4B">
        <w:rPr>
          <w:rFonts w:ascii="Times New Roman" w:hAnsi="Times New Roman"/>
        </w:rPr>
        <w:t xml:space="preserve"> total retail customers in </w:t>
      </w:r>
      <w:smartTag w:uri="urn:schemas-microsoft-com:office:smarttags" w:element="City">
        <w:r w:rsidRPr="009B7E4B">
          <w:rPr>
            <w:rFonts w:ascii="Times New Roman" w:hAnsi="Times New Roman"/>
          </w:rPr>
          <w:t>Washington</w:t>
        </w:r>
      </w:smartTag>
      <w:r w:rsidRPr="009B7E4B">
        <w:rPr>
          <w:rFonts w:ascii="Times New Roman" w:hAnsi="Times New Roman"/>
        </w:rPr>
        <w:t xml:space="preserve">, California, Idaho, Oregon, Utah and Wyoming. </w:t>
      </w:r>
    </w:p>
    <w:p w:rsidR="00FF0518" w:rsidRPr="009B7E4B" w:rsidRDefault="00FF0518" w:rsidP="009939F8">
      <w:pPr>
        <w:spacing w:after="120" w:line="480" w:lineRule="auto"/>
        <w:ind w:hanging="720"/>
        <w:jc w:val="both"/>
        <w:rPr>
          <w:rFonts w:ascii="Times New Roman" w:hAnsi="Times New Roman"/>
        </w:rPr>
      </w:pPr>
      <w:r>
        <w:rPr>
          <w:rFonts w:ascii="Times New Roman" w:hAnsi="Times New Roman"/>
        </w:rPr>
        <w:br w:type="page"/>
      </w:r>
      <w:r w:rsidRPr="009B7E4B">
        <w:rPr>
          <w:rFonts w:ascii="Times New Roman" w:hAnsi="Times New Roman"/>
          <w:i/>
        </w:rPr>
        <w:lastRenderedPageBreak/>
        <w:t>3</w:t>
      </w:r>
      <w:r w:rsidRPr="009B7E4B">
        <w:rPr>
          <w:rFonts w:ascii="Times New Roman" w:hAnsi="Times New Roman"/>
        </w:rPr>
        <w:tab/>
      </w:r>
      <w:r w:rsidR="009939F8">
        <w:rPr>
          <w:rFonts w:ascii="Times New Roman" w:hAnsi="Times New Roman"/>
        </w:rPr>
        <w:tab/>
      </w:r>
      <w:r w:rsidRPr="009B7E4B">
        <w:rPr>
          <w:rFonts w:ascii="Times New Roman" w:hAnsi="Times New Roman"/>
        </w:rPr>
        <w:t>Communications regarding this filing should be addressed to:</w:t>
      </w:r>
    </w:p>
    <w:tbl>
      <w:tblPr>
        <w:tblW w:w="0" w:type="auto"/>
        <w:tblLook w:val="01E0"/>
      </w:tblPr>
      <w:tblGrid>
        <w:gridCol w:w="4428"/>
        <w:gridCol w:w="4428"/>
      </w:tblGrid>
      <w:tr w:rsidR="00FF0518" w:rsidRPr="00122158" w:rsidTr="00B63F94">
        <w:tc>
          <w:tcPr>
            <w:tcW w:w="4428" w:type="dxa"/>
          </w:tcPr>
          <w:p w:rsidR="00FF0518" w:rsidRPr="00122158" w:rsidRDefault="00FF0518" w:rsidP="00B63F94">
            <w:pPr>
              <w:rPr>
                <w:rFonts w:ascii="Times New Roman" w:hAnsi="Times New Roman"/>
              </w:rPr>
            </w:pPr>
            <w:r>
              <w:rPr>
                <w:rFonts w:ascii="Times New Roman" w:hAnsi="Times New Roman"/>
              </w:rPr>
              <w:t>Cathie Allen</w:t>
            </w:r>
          </w:p>
          <w:p w:rsidR="00FF0518" w:rsidRPr="00122158" w:rsidRDefault="00FF0518" w:rsidP="00B63F94">
            <w:pPr>
              <w:rPr>
                <w:rFonts w:ascii="Times New Roman" w:hAnsi="Times New Roman"/>
              </w:rPr>
            </w:pPr>
            <w:r>
              <w:rPr>
                <w:rFonts w:ascii="Times New Roman" w:hAnsi="Times New Roman"/>
              </w:rPr>
              <w:t>Manager</w:t>
            </w:r>
            <w:r w:rsidRPr="00122158">
              <w:rPr>
                <w:rFonts w:ascii="Times New Roman" w:hAnsi="Times New Roman"/>
              </w:rPr>
              <w:t>, Regulation</w:t>
            </w:r>
          </w:p>
          <w:p w:rsidR="00FF0518" w:rsidRPr="00122158" w:rsidRDefault="00FF0518" w:rsidP="00B63F94">
            <w:pPr>
              <w:rPr>
                <w:rFonts w:ascii="Times New Roman" w:hAnsi="Times New Roman"/>
              </w:rPr>
            </w:pPr>
            <w:r w:rsidRPr="00122158">
              <w:rPr>
                <w:rFonts w:ascii="Times New Roman" w:hAnsi="Times New Roman"/>
              </w:rPr>
              <w:t>PacifiCorp</w:t>
            </w:r>
          </w:p>
          <w:p w:rsidR="00FF0518" w:rsidRPr="00122158" w:rsidRDefault="00FF0518" w:rsidP="00B63F94">
            <w:pPr>
              <w:rPr>
                <w:rFonts w:ascii="Times New Roman" w:hAnsi="Times New Roman"/>
              </w:rPr>
            </w:pPr>
            <w:r w:rsidRPr="00122158">
              <w:rPr>
                <w:rFonts w:ascii="Times New Roman" w:hAnsi="Times New Roman"/>
              </w:rPr>
              <w:t xml:space="preserve">825 NE Multnomah, </w:t>
            </w:r>
            <w:smartTag w:uri="urn:schemas-microsoft-com:office:smarttags" w:element="address">
              <w:smartTag w:uri="urn:schemas-microsoft-com:office:smarttags" w:element="Street">
                <w:r w:rsidRPr="00122158">
                  <w:rPr>
                    <w:rFonts w:ascii="Times New Roman" w:hAnsi="Times New Roman"/>
                  </w:rPr>
                  <w:t>Ste</w:t>
                </w:r>
              </w:smartTag>
              <w:r w:rsidRPr="00122158">
                <w:rPr>
                  <w:rFonts w:ascii="Times New Roman" w:hAnsi="Times New Roman"/>
                </w:rPr>
                <w:t xml:space="preserve"> 2000</w:t>
              </w:r>
            </w:smartTag>
          </w:p>
          <w:p w:rsidR="00FF0518" w:rsidRPr="00122158" w:rsidRDefault="00FF0518" w:rsidP="00B63F94">
            <w:pPr>
              <w:rPr>
                <w:rFonts w:ascii="Times New Roman" w:hAnsi="Times New Roman"/>
              </w:rPr>
            </w:pPr>
            <w:smartTag w:uri="urn:schemas-microsoft-com:office:smarttags" w:element="place">
              <w:smartTag w:uri="urn:schemas-microsoft-com:office:smarttags" w:element="City">
                <w:r w:rsidRPr="00122158">
                  <w:rPr>
                    <w:rFonts w:ascii="Times New Roman" w:hAnsi="Times New Roman"/>
                  </w:rPr>
                  <w:t>Portland</w:t>
                </w:r>
              </w:smartTag>
              <w:r w:rsidRPr="00122158">
                <w:rPr>
                  <w:rFonts w:ascii="Times New Roman" w:hAnsi="Times New Roman"/>
                </w:rPr>
                <w:t xml:space="preserve">, </w:t>
              </w:r>
              <w:smartTag w:uri="urn:schemas-microsoft-com:office:smarttags" w:element="State">
                <w:r w:rsidRPr="00122158">
                  <w:rPr>
                    <w:rFonts w:ascii="Times New Roman" w:hAnsi="Times New Roman"/>
                  </w:rPr>
                  <w:t>OR</w:t>
                </w:r>
              </w:smartTag>
              <w:r w:rsidRPr="00122158">
                <w:rPr>
                  <w:rFonts w:ascii="Times New Roman" w:hAnsi="Times New Roman"/>
                </w:rPr>
                <w:t xml:space="preserve">  </w:t>
              </w:r>
              <w:smartTag w:uri="urn:schemas-microsoft-com:office:smarttags" w:element="PostalCode">
                <w:r w:rsidRPr="00122158">
                  <w:rPr>
                    <w:rFonts w:ascii="Times New Roman" w:hAnsi="Times New Roman"/>
                  </w:rPr>
                  <w:t>97232</w:t>
                </w:r>
              </w:smartTag>
            </w:smartTag>
          </w:p>
          <w:p w:rsidR="00FF0518" w:rsidRPr="00122158" w:rsidRDefault="00FF0518" w:rsidP="00B63F94">
            <w:pPr>
              <w:rPr>
                <w:rFonts w:ascii="Times New Roman" w:hAnsi="Times New Roman"/>
              </w:rPr>
            </w:pPr>
            <w:r w:rsidRPr="00122158">
              <w:rPr>
                <w:rFonts w:ascii="Times New Roman" w:hAnsi="Times New Roman"/>
              </w:rPr>
              <w:t>Telephone: (503) 813-</w:t>
            </w:r>
            <w:r>
              <w:rPr>
                <w:rFonts w:ascii="Times New Roman" w:hAnsi="Times New Roman"/>
              </w:rPr>
              <w:t>5934</w:t>
            </w:r>
          </w:p>
          <w:p w:rsidR="00FF0518" w:rsidRPr="00122158" w:rsidRDefault="00FF0518" w:rsidP="00B63F94">
            <w:pPr>
              <w:rPr>
                <w:rFonts w:ascii="Times New Roman" w:hAnsi="Times New Roman"/>
              </w:rPr>
            </w:pPr>
            <w:r w:rsidRPr="00122158">
              <w:rPr>
                <w:rFonts w:ascii="Times New Roman" w:hAnsi="Times New Roman"/>
              </w:rPr>
              <w:t>Facsimile: (503) 813-</w:t>
            </w:r>
            <w:r>
              <w:rPr>
                <w:rFonts w:ascii="Times New Roman" w:hAnsi="Times New Roman"/>
              </w:rPr>
              <w:t>6060</w:t>
            </w:r>
          </w:p>
          <w:p w:rsidR="00FF0518" w:rsidRDefault="00FF0518" w:rsidP="00B63F94">
            <w:pPr>
              <w:rPr>
                <w:rFonts w:ascii="Times New Roman" w:hAnsi="Times New Roman"/>
              </w:rPr>
            </w:pPr>
            <w:r w:rsidRPr="00122158">
              <w:rPr>
                <w:rFonts w:ascii="Times New Roman" w:hAnsi="Times New Roman"/>
              </w:rPr>
              <w:t xml:space="preserve">Email: </w:t>
            </w:r>
            <w:hyperlink r:id="rId7" w:history="1">
              <w:r w:rsidRPr="00BC5F9E">
                <w:rPr>
                  <w:rStyle w:val="Hyperlink"/>
                  <w:rFonts w:ascii="Times New Roman" w:hAnsi="Times New Roman"/>
                </w:rPr>
                <w:t>cathie.allen@pacificorp.com</w:t>
              </w:r>
            </w:hyperlink>
          </w:p>
          <w:p w:rsidR="00FF0518" w:rsidRDefault="00FF0518" w:rsidP="00B63F94">
            <w:pPr>
              <w:rPr>
                <w:rFonts w:ascii="Times New Roman" w:hAnsi="Times New Roman"/>
              </w:rPr>
            </w:pPr>
          </w:p>
          <w:p w:rsidR="00FB6907" w:rsidRDefault="00FB6907" w:rsidP="00FB6907">
            <w:pPr>
              <w:rPr>
                <w:rFonts w:ascii="Times New Roman" w:hAnsi="Times New Roman"/>
              </w:rPr>
            </w:pPr>
            <w:r>
              <w:rPr>
                <w:rFonts w:ascii="Times New Roman" w:hAnsi="Times New Roman"/>
              </w:rPr>
              <w:t>M</w:t>
            </w:r>
            <w:r w:rsidRPr="00027145">
              <w:rPr>
                <w:rFonts w:ascii="Times New Roman" w:hAnsi="Times New Roman"/>
              </w:rPr>
              <w:t>ichelle Mishoe</w:t>
            </w:r>
          </w:p>
          <w:p w:rsidR="00FB6907" w:rsidRPr="00122158" w:rsidRDefault="00FB6907" w:rsidP="00FB6907">
            <w:pPr>
              <w:rPr>
                <w:rFonts w:ascii="Times New Roman" w:hAnsi="Times New Roman"/>
              </w:rPr>
            </w:pPr>
            <w:r w:rsidRPr="00122158">
              <w:rPr>
                <w:rFonts w:ascii="Times New Roman" w:hAnsi="Times New Roman"/>
              </w:rPr>
              <w:t>Legal Counsel</w:t>
            </w:r>
          </w:p>
          <w:p w:rsidR="00FB6907" w:rsidRPr="00122158" w:rsidRDefault="00FB6907" w:rsidP="00FB6907">
            <w:pPr>
              <w:rPr>
                <w:rFonts w:ascii="Times New Roman" w:hAnsi="Times New Roman"/>
              </w:rPr>
            </w:pPr>
            <w:r w:rsidRPr="00122158">
              <w:rPr>
                <w:rFonts w:ascii="Times New Roman" w:hAnsi="Times New Roman"/>
              </w:rPr>
              <w:t>PacifiCorp</w:t>
            </w:r>
          </w:p>
          <w:p w:rsidR="00FB6907" w:rsidRPr="00122158" w:rsidRDefault="00FB6907" w:rsidP="00FB6907">
            <w:pPr>
              <w:rPr>
                <w:rFonts w:ascii="Times New Roman" w:hAnsi="Times New Roman"/>
              </w:rPr>
            </w:pPr>
            <w:r w:rsidRPr="00122158">
              <w:rPr>
                <w:rFonts w:ascii="Times New Roman" w:hAnsi="Times New Roman"/>
              </w:rPr>
              <w:t xml:space="preserve">825 NE Multnomah, </w:t>
            </w:r>
            <w:smartTag w:uri="urn:schemas-microsoft-com:office:smarttags" w:element="address">
              <w:smartTag w:uri="urn:schemas-microsoft-com:office:smarttags" w:element="Street">
                <w:r w:rsidRPr="00122158">
                  <w:rPr>
                    <w:rFonts w:ascii="Times New Roman" w:hAnsi="Times New Roman"/>
                  </w:rPr>
                  <w:t>Ste</w:t>
                </w:r>
              </w:smartTag>
              <w:r w:rsidRPr="00122158">
                <w:rPr>
                  <w:rFonts w:ascii="Times New Roman" w:hAnsi="Times New Roman"/>
                </w:rPr>
                <w:t xml:space="preserve"> 1800</w:t>
              </w:r>
            </w:smartTag>
          </w:p>
          <w:p w:rsidR="00FB6907" w:rsidRPr="00122158" w:rsidRDefault="00FB6907" w:rsidP="00FB6907">
            <w:pPr>
              <w:rPr>
                <w:rFonts w:ascii="Times New Roman" w:hAnsi="Times New Roman"/>
              </w:rPr>
            </w:pPr>
            <w:smartTag w:uri="urn:schemas-microsoft-com:office:smarttags" w:element="place">
              <w:smartTag w:uri="urn:schemas-microsoft-com:office:smarttags" w:element="City">
                <w:r w:rsidRPr="00122158">
                  <w:rPr>
                    <w:rFonts w:ascii="Times New Roman" w:hAnsi="Times New Roman"/>
                  </w:rPr>
                  <w:t>Portland</w:t>
                </w:r>
              </w:smartTag>
              <w:r w:rsidRPr="00122158">
                <w:rPr>
                  <w:rFonts w:ascii="Times New Roman" w:hAnsi="Times New Roman"/>
                </w:rPr>
                <w:t xml:space="preserve">, </w:t>
              </w:r>
              <w:smartTag w:uri="urn:schemas-microsoft-com:office:smarttags" w:element="State">
                <w:r w:rsidRPr="00122158">
                  <w:rPr>
                    <w:rFonts w:ascii="Times New Roman" w:hAnsi="Times New Roman"/>
                  </w:rPr>
                  <w:t>OR</w:t>
                </w:r>
              </w:smartTag>
              <w:r w:rsidRPr="00122158">
                <w:rPr>
                  <w:rFonts w:ascii="Times New Roman" w:hAnsi="Times New Roman"/>
                </w:rPr>
                <w:t xml:space="preserve">  </w:t>
              </w:r>
              <w:smartTag w:uri="urn:schemas-microsoft-com:office:smarttags" w:element="PostalCode">
                <w:r w:rsidRPr="00122158">
                  <w:rPr>
                    <w:rFonts w:ascii="Times New Roman" w:hAnsi="Times New Roman"/>
                  </w:rPr>
                  <w:t>97232</w:t>
                </w:r>
              </w:smartTag>
            </w:smartTag>
          </w:p>
          <w:p w:rsidR="00FB6907" w:rsidRPr="00122158" w:rsidRDefault="00FB6907" w:rsidP="00FB6907">
            <w:pPr>
              <w:rPr>
                <w:rFonts w:ascii="Times New Roman" w:hAnsi="Times New Roman"/>
              </w:rPr>
            </w:pPr>
            <w:r w:rsidRPr="00122158">
              <w:rPr>
                <w:rFonts w:ascii="Times New Roman" w:hAnsi="Times New Roman"/>
              </w:rPr>
              <w:t>Telephone: (503) 813-6840</w:t>
            </w:r>
          </w:p>
          <w:p w:rsidR="00FB6907" w:rsidRPr="00122158" w:rsidRDefault="00FB6907" w:rsidP="00FB6907">
            <w:pPr>
              <w:rPr>
                <w:rFonts w:ascii="Times New Roman" w:hAnsi="Times New Roman"/>
              </w:rPr>
            </w:pPr>
            <w:r w:rsidRPr="00122158">
              <w:rPr>
                <w:rFonts w:ascii="Times New Roman" w:hAnsi="Times New Roman"/>
              </w:rPr>
              <w:t>Facsimile: (503) 813-7252</w:t>
            </w:r>
          </w:p>
          <w:p w:rsidR="00FB6907" w:rsidRPr="00122158" w:rsidRDefault="00FB6907" w:rsidP="00FB6907">
            <w:pPr>
              <w:rPr>
                <w:rFonts w:ascii="Times New Roman" w:hAnsi="Times New Roman"/>
              </w:rPr>
            </w:pPr>
            <w:r w:rsidRPr="00122158">
              <w:rPr>
                <w:rFonts w:ascii="Times New Roman" w:hAnsi="Times New Roman"/>
              </w:rPr>
              <w:t xml:space="preserve">Email: </w:t>
            </w:r>
            <w:hyperlink r:id="rId8" w:history="1">
              <w:r w:rsidRPr="00027145">
                <w:rPr>
                  <w:rStyle w:val="Hyperlink"/>
                  <w:rFonts w:ascii="Times New Roman" w:hAnsi="Times New Roman"/>
                </w:rPr>
                <w:t>michelle.mishoe@pacificorp.com</w:t>
              </w:r>
            </w:hyperlink>
          </w:p>
          <w:p w:rsidR="00FF0518" w:rsidRPr="00122158" w:rsidRDefault="00FD4DBC" w:rsidP="009939F8">
            <w:pPr>
              <w:rPr>
                <w:rFonts w:ascii="Times New Roman" w:hAnsi="Times New Roman"/>
              </w:rPr>
            </w:pPr>
            <w:hyperlink r:id="rId9" w:history="1"/>
          </w:p>
        </w:tc>
        <w:tc>
          <w:tcPr>
            <w:tcW w:w="4428" w:type="dxa"/>
          </w:tcPr>
          <w:p w:rsidR="00FB6907" w:rsidRDefault="00FB6907" w:rsidP="00FB6907">
            <w:pPr>
              <w:rPr>
                <w:rFonts w:ascii="Times New Roman" w:hAnsi="Times New Roman"/>
              </w:rPr>
            </w:pPr>
            <w:r w:rsidRPr="00027145">
              <w:rPr>
                <w:rFonts w:ascii="Times New Roman" w:hAnsi="Times New Roman"/>
              </w:rPr>
              <w:t>Katherine A. McDowell</w:t>
            </w:r>
          </w:p>
          <w:p w:rsidR="00FB6907" w:rsidRPr="00027145" w:rsidRDefault="00FB6907" w:rsidP="00FB6907">
            <w:pPr>
              <w:rPr>
                <w:rFonts w:ascii="Times New Roman" w:hAnsi="Times New Roman"/>
              </w:rPr>
            </w:pPr>
            <w:r w:rsidRPr="00027145">
              <w:rPr>
                <w:rFonts w:ascii="Times New Roman" w:hAnsi="Times New Roman"/>
              </w:rPr>
              <w:t xml:space="preserve">McDowell </w:t>
            </w:r>
            <w:proofErr w:type="spellStart"/>
            <w:r w:rsidRPr="00027145">
              <w:rPr>
                <w:rFonts w:ascii="Times New Roman" w:hAnsi="Times New Roman"/>
              </w:rPr>
              <w:t>Rackner</w:t>
            </w:r>
            <w:proofErr w:type="spellEnd"/>
            <w:r w:rsidRPr="00027145">
              <w:rPr>
                <w:rFonts w:ascii="Times New Roman" w:hAnsi="Times New Roman"/>
              </w:rPr>
              <w:t xml:space="preserve"> </w:t>
            </w:r>
            <w:r w:rsidR="005B6370">
              <w:rPr>
                <w:rFonts w:ascii="Times New Roman" w:hAnsi="Times New Roman"/>
              </w:rPr>
              <w:t xml:space="preserve">&amp; Gibson </w:t>
            </w:r>
            <w:r w:rsidRPr="00027145">
              <w:rPr>
                <w:rFonts w:ascii="Times New Roman" w:hAnsi="Times New Roman"/>
              </w:rPr>
              <w:t>PC</w:t>
            </w:r>
          </w:p>
          <w:p w:rsidR="00FB6907" w:rsidRPr="00027145" w:rsidRDefault="00FB6907" w:rsidP="00FB6907">
            <w:pPr>
              <w:rPr>
                <w:rFonts w:ascii="Times New Roman" w:hAnsi="Times New Roman"/>
              </w:rPr>
            </w:pPr>
            <w:smartTag w:uri="urn:schemas-microsoft-com:office:smarttags" w:element="Street">
              <w:smartTag w:uri="urn:schemas-microsoft-com:office:smarttags" w:element="address">
                <w:r w:rsidRPr="00027145">
                  <w:rPr>
                    <w:rFonts w:ascii="Times New Roman" w:hAnsi="Times New Roman"/>
                  </w:rPr>
                  <w:t>520 SW 6</w:t>
                </w:r>
                <w:r w:rsidRPr="00027145">
                  <w:rPr>
                    <w:rFonts w:ascii="Times New Roman" w:hAnsi="Times New Roman"/>
                    <w:vertAlign w:val="superscript"/>
                  </w:rPr>
                  <w:t>th</w:t>
                </w:r>
                <w:r w:rsidRPr="00027145">
                  <w:rPr>
                    <w:rFonts w:ascii="Times New Roman" w:hAnsi="Times New Roman"/>
                  </w:rPr>
                  <w:t xml:space="preserve"> Ave., Suite 830</w:t>
                </w:r>
              </w:smartTag>
            </w:smartTag>
          </w:p>
          <w:p w:rsidR="00FB6907" w:rsidRPr="00027145" w:rsidRDefault="00FB6907" w:rsidP="00FB6907">
            <w:pPr>
              <w:rPr>
                <w:rFonts w:ascii="Times New Roman" w:hAnsi="Times New Roman"/>
              </w:rPr>
            </w:pPr>
            <w:smartTag w:uri="urn:schemas-microsoft-com:office:smarttags" w:element="place">
              <w:smartTag w:uri="urn:schemas-microsoft-com:office:smarttags" w:element="City">
                <w:r w:rsidRPr="00027145">
                  <w:rPr>
                    <w:rFonts w:ascii="Times New Roman" w:hAnsi="Times New Roman"/>
                  </w:rPr>
                  <w:t>Portland</w:t>
                </w:r>
              </w:smartTag>
              <w:r w:rsidRPr="00027145">
                <w:rPr>
                  <w:rFonts w:ascii="Times New Roman" w:hAnsi="Times New Roman"/>
                </w:rPr>
                <w:t xml:space="preserve">, </w:t>
              </w:r>
              <w:smartTag w:uri="urn:schemas-microsoft-com:office:smarttags" w:element="State">
                <w:r w:rsidRPr="00027145">
                  <w:rPr>
                    <w:rFonts w:ascii="Times New Roman" w:hAnsi="Times New Roman"/>
                  </w:rPr>
                  <w:t>OR</w:t>
                </w:r>
              </w:smartTag>
              <w:r w:rsidRPr="00027145">
                <w:rPr>
                  <w:rFonts w:ascii="Times New Roman" w:hAnsi="Times New Roman"/>
                </w:rPr>
                <w:t xml:space="preserve"> </w:t>
              </w:r>
              <w:smartTag w:uri="urn:schemas-microsoft-com:office:smarttags" w:element="PostalCode">
                <w:r w:rsidRPr="00027145">
                  <w:rPr>
                    <w:rFonts w:ascii="Times New Roman" w:hAnsi="Times New Roman"/>
                  </w:rPr>
                  <w:t>97204</w:t>
                </w:r>
              </w:smartTag>
            </w:smartTag>
          </w:p>
          <w:p w:rsidR="00FB6907" w:rsidRPr="00027145" w:rsidRDefault="00FB6907" w:rsidP="00FB6907">
            <w:pPr>
              <w:rPr>
                <w:rFonts w:ascii="Times New Roman" w:hAnsi="Times New Roman"/>
              </w:rPr>
            </w:pPr>
            <w:r w:rsidRPr="00027145">
              <w:rPr>
                <w:rFonts w:ascii="Times New Roman" w:hAnsi="Times New Roman"/>
              </w:rPr>
              <w:t>Telephone:  (503) 595-3924</w:t>
            </w:r>
          </w:p>
          <w:p w:rsidR="00FB6907" w:rsidRPr="00027145" w:rsidRDefault="00FB6907" w:rsidP="00FB6907">
            <w:pPr>
              <w:rPr>
                <w:rFonts w:ascii="Times New Roman" w:hAnsi="Times New Roman"/>
              </w:rPr>
            </w:pPr>
            <w:r w:rsidRPr="00027145">
              <w:rPr>
                <w:rFonts w:ascii="Times New Roman" w:hAnsi="Times New Roman"/>
              </w:rPr>
              <w:t>Facsimile: (503)</w:t>
            </w:r>
            <w:r>
              <w:rPr>
                <w:rFonts w:ascii="Times New Roman" w:hAnsi="Times New Roman"/>
              </w:rPr>
              <w:t xml:space="preserve"> </w:t>
            </w:r>
            <w:r w:rsidRPr="00027145">
              <w:rPr>
                <w:rFonts w:ascii="Times New Roman" w:hAnsi="Times New Roman"/>
              </w:rPr>
              <w:t>595-3928</w:t>
            </w:r>
          </w:p>
          <w:p w:rsidR="00FB6907" w:rsidRPr="00027145" w:rsidRDefault="00FB6907" w:rsidP="00FB6907">
            <w:pPr>
              <w:rPr>
                <w:rFonts w:ascii="Times New Roman" w:hAnsi="Times New Roman"/>
              </w:rPr>
            </w:pPr>
            <w:r w:rsidRPr="00027145">
              <w:rPr>
                <w:rFonts w:ascii="Times New Roman" w:hAnsi="Times New Roman"/>
              </w:rPr>
              <w:t xml:space="preserve">Email: </w:t>
            </w:r>
            <w:hyperlink r:id="rId10" w:history="1">
              <w:r w:rsidRPr="00BC5F9E">
                <w:rPr>
                  <w:rStyle w:val="Hyperlink"/>
                  <w:rFonts w:ascii="Times New Roman" w:hAnsi="Times New Roman"/>
                </w:rPr>
                <w:t>katherine@mcd-law.com</w:t>
              </w:r>
            </w:hyperlink>
          </w:p>
          <w:p w:rsidR="00FB6907" w:rsidRPr="0002008C" w:rsidRDefault="00FB6907" w:rsidP="00FB6907">
            <w:pPr>
              <w:rPr>
                <w:rFonts w:ascii="Times New Roman" w:hAnsi="Times New Roman"/>
                <w:i/>
              </w:rPr>
            </w:pPr>
            <w:r w:rsidRPr="0002008C">
              <w:rPr>
                <w:rFonts w:ascii="Times New Roman" w:hAnsi="Times New Roman"/>
                <w:i/>
              </w:rPr>
              <w:t>Attorney for PacifiCorp</w:t>
            </w:r>
          </w:p>
          <w:p w:rsidR="00FF0518" w:rsidRPr="00122158" w:rsidRDefault="00FF0518" w:rsidP="00FB6907">
            <w:pPr>
              <w:rPr>
                <w:rFonts w:ascii="Times New Roman" w:hAnsi="Times New Roman"/>
              </w:rPr>
            </w:pPr>
          </w:p>
        </w:tc>
      </w:tr>
    </w:tbl>
    <w:p w:rsidR="00FF0518" w:rsidRPr="009B7E4B" w:rsidRDefault="00FF0518" w:rsidP="00FF0518">
      <w:pPr>
        <w:spacing w:after="120" w:line="480" w:lineRule="auto"/>
        <w:rPr>
          <w:rFonts w:ascii="Times New Roman" w:hAnsi="Times New Roman"/>
        </w:rPr>
      </w:pPr>
      <w:r w:rsidRPr="009B7E4B">
        <w:rPr>
          <w:rFonts w:ascii="Times New Roman" w:hAnsi="Times New Roman"/>
        </w:rPr>
        <w:t>Communications regarding discover</w:t>
      </w:r>
      <w:r>
        <w:rPr>
          <w:rFonts w:ascii="Times New Roman" w:hAnsi="Times New Roman"/>
        </w:rPr>
        <w:t>y</w:t>
      </w:r>
      <w:r w:rsidRPr="009B7E4B">
        <w:rPr>
          <w:rFonts w:ascii="Times New Roman" w:hAnsi="Times New Roman"/>
        </w:rPr>
        <w:t xml:space="preserve"> matters, including data requests issued to the Company should be addressed to:</w:t>
      </w:r>
    </w:p>
    <w:p w:rsidR="00FF0518" w:rsidRPr="009B7E4B" w:rsidRDefault="00FF0518" w:rsidP="00FF0518">
      <w:pPr>
        <w:rPr>
          <w:rFonts w:ascii="Times New Roman" w:hAnsi="Times New Roman"/>
        </w:rPr>
      </w:pPr>
      <w:r w:rsidRPr="009B7E4B">
        <w:rPr>
          <w:rFonts w:ascii="Times New Roman" w:hAnsi="Times New Roman"/>
        </w:rPr>
        <w:tab/>
      </w:r>
      <w:smartTag w:uri="urn:schemas-microsoft-com:office:smarttags" w:element="place">
        <w:smartTag w:uri="urn:schemas-microsoft-com:office:smarttags" w:element="PlaceName">
          <w:r w:rsidRPr="009B7E4B">
            <w:rPr>
              <w:rFonts w:ascii="Times New Roman" w:hAnsi="Times New Roman"/>
            </w:rPr>
            <w:t>Data</w:t>
          </w:r>
        </w:smartTag>
        <w:r w:rsidRPr="009B7E4B">
          <w:rPr>
            <w:rFonts w:ascii="Times New Roman" w:hAnsi="Times New Roman"/>
          </w:rPr>
          <w:t xml:space="preserve"> </w:t>
        </w:r>
        <w:smartTag w:uri="urn:schemas-microsoft-com:office:smarttags" w:element="PlaceName">
          <w:r w:rsidRPr="009B7E4B">
            <w:rPr>
              <w:rFonts w:ascii="Times New Roman" w:hAnsi="Times New Roman"/>
            </w:rPr>
            <w:t>Request</w:t>
          </w:r>
        </w:smartTag>
        <w:r w:rsidRPr="009B7E4B">
          <w:rPr>
            <w:rFonts w:ascii="Times New Roman" w:hAnsi="Times New Roman"/>
          </w:rPr>
          <w:t xml:space="preserve"> </w:t>
        </w:r>
        <w:smartTag w:uri="urn:schemas-microsoft-com:office:smarttags" w:element="PlaceName">
          <w:r w:rsidRPr="009B7E4B">
            <w:rPr>
              <w:rFonts w:ascii="Times New Roman" w:hAnsi="Times New Roman"/>
            </w:rPr>
            <w:t>Response</w:t>
          </w:r>
        </w:smartTag>
        <w:r w:rsidRPr="009B7E4B">
          <w:rPr>
            <w:rFonts w:ascii="Times New Roman" w:hAnsi="Times New Roman"/>
          </w:rPr>
          <w:t xml:space="preserve"> </w:t>
        </w:r>
        <w:smartTag w:uri="urn:schemas-microsoft-com:office:smarttags" w:element="PlaceType">
          <w:r w:rsidRPr="009B7E4B">
            <w:rPr>
              <w:rFonts w:ascii="Times New Roman" w:hAnsi="Times New Roman"/>
            </w:rPr>
            <w:t>Center</w:t>
          </w:r>
        </w:smartTag>
      </w:smartTag>
    </w:p>
    <w:p w:rsidR="00FF0518" w:rsidRPr="009B7E4B" w:rsidRDefault="00FF0518" w:rsidP="00FF0518">
      <w:pPr>
        <w:rPr>
          <w:rFonts w:ascii="Times New Roman" w:hAnsi="Times New Roman"/>
        </w:rPr>
      </w:pPr>
      <w:r w:rsidRPr="009B7E4B">
        <w:rPr>
          <w:rFonts w:ascii="Times New Roman" w:hAnsi="Times New Roman"/>
        </w:rPr>
        <w:tab/>
        <w:t>PacifiCorp</w:t>
      </w:r>
    </w:p>
    <w:p w:rsidR="00FF0518" w:rsidRPr="009B7E4B" w:rsidRDefault="00FF0518" w:rsidP="00FF0518">
      <w:pPr>
        <w:ind w:firstLine="720"/>
        <w:rPr>
          <w:rFonts w:ascii="Times New Roman" w:hAnsi="Times New Roman"/>
        </w:rPr>
      </w:pPr>
      <w:r w:rsidRPr="009B7E4B">
        <w:rPr>
          <w:rFonts w:ascii="Times New Roman" w:hAnsi="Times New Roman"/>
        </w:rPr>
        <w:t xml:space="preserve">825 NE Multnomah, </w:t>
      </w:r>
      <w:smartTag w:uri="urn:schemas-microsoft-com:office:smarttags" w:element="address">
        <w:smartTag w:uri="urn:schemas-microsoft-com:office:smarttags" w:element="Street">
          <w:r w:rsidRPr="009B7E4B">
            <w:rPr>
              <w:rFonts w:ascii="Times New Roman" w:hAnsi="Times New Roman"/>
            </w:rPr>
            <w:t>Ste</w:t>
          </w:r>
        </w:smartTag>
        <w:r w:rsidRPr="009B7E4B">
          <w:rPr>
            <w:rFonts w:ascii="Times New Roman" w:hAnsi="Times New Roman"/>
          </w:rPr>
          <w:t xml:space="preserve"> 2000</w:t>
        </w:r>
      </w:smartTag>
    </w:p>
    <w:p w:rsidR="00FF0518" w:rsidRPr="009B7E4B" w:rsidRDefault="00FF0518" w:rsidP="00FF0518">
      <w:pPr>
        <w:ind w:firstLine="720"/>
        <w:rPr>
          <w:rFonts w:ascii="Times New Roman" w:hAnsi="Times New Roman"/>
        </w:rPr>
      </w:pPr>
      <w:smartTag w:uri="urn:schemas-microsoft-com:office:smarttags" w:element="place">
        <w:smartTag w:uri="urn:schemas-microsoft-com:office:smarttags" w:element="City">
          <w:r w:rsidRPr="009B7E4B">
            <w:rPr>
              <w:rFonts w:ascii="Times New Roman" w:hAnsi="Times New Roman"/>
            </w:rPr>
            <w:t>Portland</w:t>
          </w:r>
        </w:smartTag>
        <w:r w:rsidRPr="009B7E4B">
          <w:rPr>
            <w:rFonts w:ascii="Times New Roman" w:hAnsi="Times New Roman"/>
          </w:rPr>
          <w:t xml:space="preserve">, </w:t>
        </w:r>
        <w:smartTag w:uri="urn:schemas-microsoft-com:office:smarttags" w:element="State">
          <w:r w:rsidRPr="009B7E4B">
            <w:rPr>
              <w:rFonts w:ascii="Times New Roman" w:hAnsi="Times New Roman"/>
            </w:rPr>
            <w:t>OR</w:t>
          </w:r>
        </w:smartTag>
        <w:r w:rsidRPr="009B7E4B">
          <w:rPr>
            <w:rFonts w:ascii="Times New Roman" w:hAnsi="Times New Roman"/>
          </w:rPr>
          <w:t xml:space="preserve">  </w:t>
        </w:r>
        <w:smartTag w:uri="urn:schemas-microsoft-com:office:smarttags" w:element="PostalCode">
          <w:r w:rsidRPr="009B7E4B">
            <w:rPr>
              <w:rFonts w:ascii="Times New Roman" w:hAnsi="Times New Roman"/>
            </w:rPr>
            <w:t>97232</w:t>
          </w:r>
        </w:smartTag>
      </w:smartTag>
    </w:p>
    <w:p w:rsidR="00FF0518" w:rsidRPr="009B7E4B" w:rsidRDefault="00FF0518" w:rsidP="00FF0518">
      <w:pPr>
        <w:ind w:firstLine="720"/>
        <w:rPr>
          <w:rFonts w:ascii="Times New Roman" w:hAnsi="Times New Roman"/>
        </w:rPr>
      </w:pPr>
      <w:r w:rsidRPr="009B7E4B">
        <w:rPr>
          <w:rFonts w:ascii="Times New Roman" w:hAnsi="Times New Roman"/>
        </w:rPr>
        <w:t xml:space="preserve">Email: </w:t>
      </w:r>
      <w:hyperlink r:id="rId11" w:history="1">
        <w:r w:rsidRPr="009B7E4B">
          <w:rPr>
            <w:rStyle w:val="Hyperlink"/>
            <w:rFonts w:ascii="Times New Roman" w:hAnsi="Times New Roman"/>
          </w:rPr>
          <w:t>datarequest@pacificorp.com</w:t>
        </w:r>
      </w:hyperlink>
    </w:p>
    <w:p w:rsidR="00FF0518" w:rsidRPr="009B7E4B" w:rsidRDefault="00FF0518" w:rsidP="00FF0518">
      <w:pPr>
        <w:spacing w:after="120"/>
        <w:rPr>
          <w:rFonts w:ascii="Times New Roman" w:hAnsi="Times New Roman"/>
        </w:rPr>
      </w:pPr>
    </w:p>
    <w:p w:rsidR="00FF0518" w:rsidRPr="00347DD7" w:rsidRDefault="00FF0518" w:rsidP="009939F8">
      <w:pPr>
        <w:spacing w:line="480" w:lineRule="auto"/>
        <w:ind w:hanging="720"/>
        <w:rPr>
          <w:rFonts w:ascii="Times New Roman" w:hAnsi="Times New Roman"/>
          <w:szCs w:val="24"/>
        </w:rPr>
      </w:pPr>
      <w:r w:rsidRPr="009B7E4B">
        <w:rPr>
          <w:rFonts w:ascii="Times New Roman" w:hAnsi="Times New Roman"/>
          <w:i/>
        </w:rPr>
        <w:t>4</w:t>
      </w:r>
      <w:r w:rsidRPr="009B7E4B">
        <w:rPr>
          <w:rFonts w:ascii="Times New Roman" w:hAnsi="Times New Roman"/>
        </w:rPr>
        <w:tab/>
      </w:r>
      <w:r w:rsidR="009939F8">
        <w:rPr>
          <w:rFonts w:ascii="Times New Roman" w:hAnsi="Times New Roman"/>
        </w:rPr>
        <w:tab/>
      </w:r>
      <w:r w:rsidR="00890C7E">
        <w:rPr>
          <w:rFonts w:ascii="Times New Roman" w:hAnsi="Times New Roman"/>
        </w:rPr>
        <w:t>At current rate levels, t</w:t>
      </w:r>
      <w:r w:rsidRPr="009B7E4B">
        <w:rPr>
          <w:rFonts w:ascii="Times New Roman" w:hAnsi="Times New Roman"/>
        </w:rPr>
        <w:t xml:space="preserve">he Company </w:t>
      </w:r>
      <w:r w:rsidR="00890C7E">
        <w:rPr>
          <w:rFonts w:ascii="Times New Roman" w:hAnsi="Times New Roman"/>
        </w:rPr>
        <w:t>will earn an overall</w:t>
      </w:r>
      <w:r w:rsidRPr="009B7E4B">
        <w:rPr>
          <w:rFonts w:ascii="Times New Roman" w:hAnsi="Times New Roman"/>
        </w:rPr>
        <w:t xml:space="preserve"> return on equity (ROE) of approximately </w:t>
      </w:r>
      <w:r w:rsidR="00BA0EAD">
        <w:rPr>
          <w:rFonts w:ascii="Times New Roman" w:hAnsi="Times New Roman"/>
        </w:rPr>
        <w:t>1.9</w:t>
      </w:r>
      <w:r w:rsidRPr="00A7513B">
        <w:rPr>
          <w:rFonts w:ascii="Times New Roman" w:hAnsi="Times New Roman"/>
        </w:rPr>
        <w:t xml:space="preserve"> p</w:t>
      </w:r>
      <w:r w:rsidRPr="009B7E4B">
        <w:rPr>
          <w:rFonts w:ascii="Times New Roman" w:hAnsi="Times New Roman"/>
        </w:rPr>
        <w:t>ercent in Washington</w:t>
      </w:r>
      <w:r w:rsidR="00890C7E">
        <w:rPr>
          <w:rFonts w:ascii="Times New Roman" w:hAnsi="Times New Roman"/>
        </w:rPr>
        <w:t xml:space="preserve"> during the test period</w:t>
      </w:r>
      <w:r w:rsidRPr="009B7E4B">
        <w:rPr>
          <w:rFonts w:ascii="Times New Roman" w:hAnsi="Times New Roman"/>
        </w:rPr>
        <w:t xml:space="preserve">. </w:t>
      </w:r>
      <w:r>
        <w:rPr>
          <w:rFonts w:ascii="Times New Roman" w:hAnsi="Times New Roman"/>
        </w:rPr>
        <w:t xml:space="preserve"> Company witness Samuel C. </w:t>
      </w:r>
      <w:proofErr w:type="spellStart"/>
      <w:r>
        <w:rPr>
          <w:rFonts w:ascii="Times New Roman" w:hAnsi="Times New Roman"/>
        </w:rPr>
        <w:t>Hadaway</w:t>
      </w:r>
      <w:proofErr w:type="spellEnd"/>
      <w:r>
        <w:rPr>
          <w:rFonts w:ascii="Times New Roman" w:hAnsi="Times New Roman"/>
        </w:rPr>
        <w:t xml:space="preserve"> has recommended an ROE of 1</w:t>
      </w:r>
      <w:r w:rsidR="00692355">
        <w:rPr>
          <w:rFonts w:ascii="Times New Roman" w:hAnsi="Times New Roman"/>
        </w:rPr>
        <w:t>0</w:t>
      </w:r>
      <w:r>
        <w:rPr>
          <w:rFonts w:ascii="Times New Roman" w:hAnsi="Times New Roman"/>
        </w:rPr>
        <w:t>.</w:t>
      </w:r>
      <w:r w:rsidR="00692355">
        <w:rPr>
          <w:rFonts w:ascii="Times New Roman" w:hAnsi="Times New Roman"/>
        </w:rPr>
        <w:t>6</w:t>
      </w:r>
      <w:r w:rsidR="00920B25">
        <w:rPr>
          <w:rFonts w:ascii="Times New Roman" w:hAnsi="Times New Roman"/>
        </w:rPr>
        <w:t>0</w:t>
      </w:r>
      <w:r>
        <w:rPr>
          <w:rFonts w:ascii="Times New Roman" w:hAnsi="Times New Roman"/>
        </w:rPr>
        <w:t xml:space="preserve"> percent.  </w:t>
      </w:r>
      <w:r w:rsidR="0005261E">
        <w:rPr>
          <w:rFonts w:ascii="Times New Roman" w:hAnsi="Times New Roman"/>
        </w:rPr>
        <w:t xml:space="preserve">For an opportunity </w:t>
      </w:r>
      <w:r w:rsidRPr="009B7E4B">
        <w:rPr>
          <w:rFonts w:ascii="Times New Roman" w:hAnsi="Times New Roman"/>
        </w:rPr>
        <w:t>to achieve th</w:t>
      </w:r>
      <w:r>
        <w:rPr>
          <w:rFonts w:ascii="Times New Roman" w:hAnsi="Times New Roman"/>
        </w:rPr>
        <w:t xml:space="preserve">is </w:t>
      </w:r>
      <w:r w:rsidRPr="009B7E4B">
        <w:rPr>
          <w:rFonts w:ascii="Times New Roman" w:hAnsi="Times New Roman"/>
        </w:rPr>
        <w:t xml:space="preserve">ROE </w:t>
      </w:r>
      <w:r>
        <w:rPr>
          <w:rFonts w:ascii="Times New Roman" w:hAnsi="Times New Roman"/>
        </w:rPr>
        <w:t>and</w:t>
      </w:r>
      <w:r w:rsidRPr="00692E32">
        <w:rPr>
          <w:rFonts w:ascii="Times New Roman" w:hAnsi="Times New Roman"/>
        </w:rPr>
        <w:t xml:space="preserve"> maintain the financ</w:t>
      </w:r>
      <w:r w:rsidR="00920B25">
        <w:rPr>
          <w:rFonts w:ascii="Times New Roman" w:hAnsi="Times New Roman"/>
        </w:rPr>
        <w:t>ial integrity of the Company, a rate</w:t>
      </w:r>
      <w:r w:rsidRPr="00692E32">
        <w:rPr>
          <w:rFonts w:ascii="Times New Roman" w:hAnsi="Times New Roman"/>
        </w:rPr>
        <w:t xml:space="preserve"> increase of </w:t>
      </w:r>
      <w:r w:rsidRPr="00232EEF">
        <w:rPr>
          <w:rFonts w:ascii="Times New Roman" w:hAnsi="Times New Roman"/>
        </w:rPr>
        <w:t>$</w:t>
      </w:r>
      <w:r w:rsidR="00BA0EAD">
        <w:rPr>
          <w:rFonts w:ascii="Times New Roman" w:hAnsi="Times New Roman"/>
        </w:rPr>
        <w:t>56.7</w:t>
      </w:r>
      <w:r w:rsidR="00692355">
        <w:rPr>
          <w:rFonts w:ascii="Times New Roman" w:hAnsi="Times New Roman"/>
        </w:rPr>
        <w:t xml:space="preserve"> </w:t>
      </w:r>
      <w:r w:rsidRPr="00692E32">
        <w:rPr>
          <w:rFonts w:ascii="Times New Roman" w:hAnsi="Times New Roman"/>
        </w:rPr>
        <w:t xml:space="preserve">million, or </w:t>
      </w:r>
      <w:r w:rsidR="00A96C01">
        <w:rPr>
          <w:rFonts w:ascii="Times New Roman" w:hAnsi="Times New Roman"/>
        </w:rPr>
        <w:t>20.</w:t>
      </w:r>
      <w:r w:rsidR="00F55554">
        <w:rPr>
          <w:rFonts w:ascii="Times New Roman" w:hAnsi="Times New Roman"/>
        </w:rPr>
        <w:t>88</w:t>
      </w:r>
      <w:r w:rsidRPr="00692E32">
        <w:rPr>
          <w:rFonts w:ascii="Times New Roman" w:hAnsi="Times New Roman"/>
        </w:rPr>
        <w:t xml:space="preserve"> percent</w:t>
      </w:r>
      <w:r w:rsidR="0005261E">
        <w:rPr>
          <w:rFonts w:ascii="Times New Roman" w:hAnsi="Times New Roman"/>
        </w:rPr>
        <w:t xml:space="preserve"> overall</w:t>
      </w:r>
      <w:r w:rsidRPr="00692E32">
        <w:rPr>
          <w:rFonts w:ascii="Times New Roman" w:hAnsi="Times New Roman"/>
        </w:rPr>
        <w:t xml:space="preserve">, is necessary. The revised tariff schedules submitted with this filing reflect an increase in </w:t>
      </w:r>
      <w:r w:rsidRPr="00347DD7">
        <w:rPr>
          <w:rFonts w:ascii="Times New Roman" w:hAnsi="Times New Roman"/>
          <w:szCs w:val="24"/>
        </w:rPr>
        <w:t xml:space="preserve">this amount.  </w:t>
      </w:r>
    </w:p>
    <w:p w:rsidR="00347DD7" w:rsidRDefault="00FF0518" w:rsidP="00347DD7">
      <w:pPr>
        <w:spacing w:line="480" w:lineRule="auto"/>
        <w:ind w:hanging="720"/>
        <w:rPr>
          <w:rFonts w:ascii="Times New Roman" w:hAnsi="Times New Roman"/>
        </w:rPr>
      </w:pPr>
      <w:r w:rsidRPr="009B7E4B">
        <w:rPr>
          <w:rFonts w:ascii="Times New Roman" w:hAnsi="Times New Roman"/>
          <w:i/>
        </w:rPr>
        <w:t>5</w:t>
      </w:r>
      <w:r w:rsidRPr="009B7E4B">
        <w:rPr>
          <w:rFonts w:ascii="Times New Roman" w:hAnsi="Times New Roman"/>
          <w:i/>
        </w:rPr>
        <w:tab/>
      </w:r>
      <w:r w:rsidR="00692355">
        <w:rPr>
          <w:rFonts w:ascii="Times New Roman" w:hAnsi="Times New Roman"/>
        </w:rPr>
        <w:tab/>
      </w:r>
      <w:r w:rsidR="00347DD7" w:rsidRPr="008206E1">
        <w:rPr>
          <w:rFonts w:ascii="Times New Roman" w:hAnsi="Times New Roman"/>
        </w:rPr>
        <w:t xml:space="preserve">The proposed </w:t>
      </w:r>
      <w:r w:rsidR="00347DD7">
        <w:rPr>
          <w:rFonts w:ascii="Times New Roman" w:hAnsi="Times New Roman"/>
        </w:rPr>
        <w:t>rate</w:t>
      </w:r>
      <w:r w:rsidR="00347DD7" w:rsidRPr="008206E1">
        <w:rPr>
          <w:rFonts w:ascii="Times New Roman" w:hAnsi="Times New Roman"/>
        </w:rPr>
        <w:t xml:space="preserve"> increase </w:t>
      </w:r>
      <w:r w:rsidR="00347DD7">
        <w:rPr>
          <w:rFonts w:ascii="Times New Roman" w:hAnsi="Times New Roman"/>
        </w:rPr>
        <w:t>is</w:t>
      </w:r>
      <w:r w:rsidR="00347DD7" w:rsidRPr="008206E1">
        <w:rPr>
          <w:rFonts w:ascii="Times New Roman" w:hAnsi="Times New Roman"/>
        </w:rPr>
        <w:t xml:space="preserve"> based upon normalized Results of Operations for Washington for the test period, a historic twelve-month period end</w:t>
      </w:r>
      <w:r w:rsidR="003F4955">
        <w:rPr>
          <w:rFonts w:ascii="Times New Roman" w:hAnsi="Times New Roman"/>
        </w:rPr>
        <w:t>ed</w:t>
      </w:r>
      <w:r w:rsidR="00347DD7" w:rsidRPr="008206E1">
        <w:rPr>
          <w:rFonts w:ascii="Times New Roman" w:hAnsi="Times New Roman"/>
        </w:rPr>
        <w:t xml:space="preserve"> </w:t>
      </w:r>
      <w:r w:rsidR="00347DD7">
        <w:rPr>
          <w:rFonts w:ascii="Times New Roman" w:hAnsi="Times New Roman"/>
        </w:rPr>
        <w:t>December 31, 2009</w:t>
      </w:r>
      <w:r w:rsidR="00347DD7" w:rsidRPr="008206E1">
        <w:rPr>
          <w:rFonts w:ascii="Times New Roman" w:hAnsi="Times New Roman"/>
        </w:rPr>
        <w:t xml:space="preserve">, </w:t>
      </w:r>
      <w:r w:rsidR="00347DD7" w:rsidRPr="008206E1">
        <w:rPr>
          <w:rFonts w:ascii="Times New Roman" w:hAnsi="Times New Roman"/>
        </w:rPr>
        <w:lastRenderedPageBreak/>
        <w:t xml:space="preserve">adjusted for </w:t>
      </w:r>
      <w:r w:rsidR="00347DD7">
        <w:rPr>
          <w:rFonts w:ascii="Times New Roman" w:hAnsi="Times New Roman"/>
        </w:rPr>
        <w:t xml:space="preserve">limited </w:t>
      </w:r>
      <w:r w:rsidR="00347DD7" w:rsidRPr="008206E1">
        <w:rPr>
          <w:rFonts w:ascii="Times New Roman" w:hAnsi="Times New Roman"/>
        </w:rPr>
        <w:t>known and measurable changes.</w:t>
      </w:r>
      <w:r w:rsidR="00347DD7">
        <w:rPr>
          <w:rFonts w:ascii="Times New Roman" w:hAnsi="Times New Roman"/>
        </w:rPr>
        <w:t xml:space="preserve"> </w:t>
      </w:r>
      <w:r w:rsidR="00347DD7" w:rsidRPr="008206E1">
        <w:rPr>
          <w:rFonts w:ascii="Times New Roman" w:hAnsi="Times New Roman"/>
        </w:rPr>
        <w:t xml:space="preserve"> </w:t>
      </w:r>
      <w:r w:rsidR="00347DD7">
        <w:rPr>
          <w:rFonts w:ascii="Times New Roman" w:hAnsi="Times New Roman"/>
        </w:rPr>
        <w:t xml:space="preserve">Consistent with Commission precedent, the Company’s net power costs are based on a forecast for the </w:t>
      </w:r>
      <w:r w:rsidR="003F4955">
        <w:rPr>
          <w:rFonts w:ascii="Times New Roman" w:hAnsi="Times New Roman"/>
        </w:rPr>
        <w:t>twelve</w:t>
      </w:r>
      <w:r w:rsidR="00890C7E">
        <w:rPr>
          <w:rFonts w:ascii="Times New Roman" w:hAnsi="Times New Roman"/>
        </w:rPr>
        <w:t>-</w:t>
      </w:r>
      <w:r w:rsidR="00347DD7">
        <w:rPr>
          <w:rFonts w:ascii="Times New Roman" w:hAnsi="Times New Roman"/>
        </w:rPr>
        <w:t xml:space="preserve">months ending March 31, 2012, aligned with the rate effective period.   </w:t>
      </w:r>
    </w:p>
    <w:p w:rsidR="00FF0518" w:rsidRPr="009B7E4B" w:rsidRDefault="00347DD7" w:rsidP="00347DD7">
      <w:pPr>
        <w:spacing w:line="480" w:lineRule="auto"/>
        <w:ind w:hanging="720"/>
        <w:rPr>
          <w:rFonts w:ascii="Times New Roman" w:hAnsi="Times New Roman"/>
        </w:rPr>
      </w:pPr>
      <w:r w:rsidRPr="00347DD7">
        <w:rPr>
          <w:rFonts w:ascii="Times New Roman" w:hAnsi="Times New Roman"/>
          <w:i/>
        </w:rPr>
        <w:t>6</w:t>
      </w:r>
      <w:r>
        <w:rPr>
          <w:rFonts w:ascii="Times New Roman" w:hAnsi="Times New Roman"/>
          <w:szCs w:val="24"/>
        </w:rPr>
        <w:tab/>
      </w:r>
      <w:r>
        <w:rPr>
          <w:rFonts w:ascii="Times New Roman" w:hAnsi="Times New Roman"/>
          <w:szCs w:val="24"/>
        </w:rPr>
        <w:tab/>
      </w:r>
      <w:r w:rsidR="00FF0518" w:rsidRPr="00347DD7">
        <w:rPr>
          <w:rFonts w:ascii="Times New Roman" w:hAnsi="Times New Roman"/>
        </w:rPr>
        <w:t>The</w:t>
      </w:r>
      <w:r w:rsidR="00FF0518" w:rsidRPr="00347DD7">
        <w:rPr>
          <w:rFonts w:ascii="Times New Roman" w:hAnsi="Times New Roman"/>
          <w:szCs w:val="24"/>
        </w:rPr>
        <w:t xml:space="preserve"> tariff sheets reflect a proposed effective date of </w:t>
      </w:r>
      <w:r w:rsidR="005E5E9C" w:rsidRPr="005E5E9C">
        <w:rPr>
          <w:rFonts w:ascii="Times New Roman" w:hAnsi="Times New Roman"/>
          <w:szCs w:val="24"/>
        </w:rPr>
        <w:t>June 3</w:t>
      </w:r>
      <w:r w:rsidR="00FF0518" w:rsidRPr="00347DD7">
        <w:rPr>
          <w:rFonts w:ascii="Times New Roman" w:hAnsi="Times New Roman"/>
          <w:szCs w:val="24"/>
        </w:rPr>
        <w:t>, 20</w:t>
      </w:r>
      <w:r w:rsidR="00692355" w:rsidRPr="00347DD7">
        <w:rPr>
          <w:rFonts w:ascii="Times New Roman" w:hAnsi="Times New Roman"/>
          <w:szCs w:val="24"/>
        </w:rPr>
        <w:t>10</w:t>
      </w:r>
      <w:r w:rsidR="00FF0518" w:rsidRPr="00347DD7">
        <w:rPr>
          <w:rFonts w:ascii="Times New Roman" w:hAnsi="Times New Roman"/>
          <w:szCs w:val="24"/>
        </w:rPr>
        <w:t>, which allows</w:t>
      </w:r>
      <w:r w:rsidR="00920B25">
        <w:rPr>
          <w:rFonts w:ascii="Times New Roman" w:hAnsi="Times New Roman"/>
          <w:szCs w:val="24"/>
        </w:rPr>
        <w:t xml:space="preserve"> for</w:t>
      </w:r>
      <w:r w:rsidR="00FF0518" w:rsidRPr="00347DD7">
        <w:rPr>
          <w:rFonts w:ascii="Times New Roman" w:hAnsi="Times New Roman"/>
          <w:szCs w:val="24"/>
        </w:rPr>
        <w:t xml:space="preserve"> </w:t>
      </w:r>
      <w:r w:rsidR="00FF0518" w:rsidRPr="00347DD7">
        <w:rPr>
          <w:rFonts w:ascii="Times New Roman" w:hAnsi="Times New Roman"/>
        </w:rPr>
        <w:t>the required thirty (30) days under RCW 80.28.060 following the submittal of a</w:t>
      </w:r>
      <w:r w:rsidR="00FF0518" w:rsidRPr="00347DD7">
        <w:rPr>
          <w:rFonts w:ascii="Times New Roman" w:hAnsi="Times New Roman"/>
          <w:szCs w:val="24"/>
        </w:rPr>
        <w:t xml:space="preserve"> tariff filing</w:t>
      </w:r>
      <w:r w:rsidR="00FF0518" w:rsidRPr="00186C35">
        <w:rPr>
          <w:rFonts w:ascii="Times New Roman" w:hAnsi="Times New Roman"/>
          <w:szCs w:val="24"/>
        </w:rPr>
        <w:t>.  The Company waives its right to have this filing considered at an open meeting of the Commission and consents to the Commission’s prompt entry of an order suspending the filing a</w:t>
      </w:r>
      <w:r w:rsidR="00FF0518">
        <w:rPr>
          <w:rFonts w:ascii="Times New Roman" w:hAnsi="Times New Roman"/>
          <w:szCs w:val="24"/>
        </w:rPr>
        <w:t>nd commencing an investigation</w:t>
      </w:r>
      <w:r>
        <w:rPr>
          <w:rFonts w:ascii="Times New Roman" w:hAnsi="Times New Roman"/>
          <w:szCs w:val="24"/>
        </w:rPr>
        <w:t>,</w:t>
      </w:r>
      <w:r w:rsidRPr="00347DD7">
        <w:rPr>
          <w:rFonts w:ascii="Times New Roman" w:hAnsi="Times New Roman"/>
          <w:szCs w:val="24"/>
        </w:rPr>
        <w:t xml:space="preserve"> </w:t>
      </w:r>
      <w:r>
        <w:rPr>
          <w:rFonts w:ascii="Times New Roman" w:hAnsi="Times New Roman"/>
          <w:szCs w:val="24"/>
        </w:rPr>
        <w:t>pursuant to</w:t>
      </w:r>
      <w:r w:rsidRPr="00186C35">
        <w:rPr>
          <w:rFonts w:ascii="Times New Roman" w:hAnsi="Times New Roman"/>
          <w:szCs w:val="24"/>
        </w:rPr>
        <w:t xml:space="preserve"> RCW 80.04.130</w:t>
      </w:r>
      <w:r w:rsidR="0024054B">
        <w:rPr>
          <w:rFonts w:ascii="Times New Roman" w:hAnsi="Times New Roman"/>
          <w:szCs w:val="24"/>
        </w:rPr>
        <w:t>(1)</w:t>
      </w:r>
      <w:r w:rsidR="00FF0518">
        <w:rPr>
          <w:rFonts w:ascii="Times New Roman" w:hAnsi="Times New Roman"/>
          <w:szCs w:val="24"/>
        </w:rPr>
        <w:t>.</w:t>
      </w:r>
      <w:r w:rsidR="0024054B">
        <w:rPr>
          <w:rFonts w:ascii="Times New Roman" w:hAnsi="Times New Roman"/>
          <w:szCs w:val="24"/>
        </w:rPr>
        <w:t xml:space="preserve">  </w:t>
      </w:r>
      <w:r w:rsidR="0024054B" w:rsidRPr="00802FA7">
        <w:t xml:space="preserve">The Company agrees that upon suspension of its tariff filing, it will provide notice pursuant to </w:t>
      </w:r>
      <w:smartTag w:uri="urn:schemas-microsoft-com:office:smarttags" w:element="stockticker">
        <w:r w:rsidR="0024054B" w:rsidRPr="00802FA7">
          <w:t>WAC</w:t>
        </w:r>
      </w:smartTag>
      <w:r w:rsidR="0024054B" w:rsidRPr="00802FA7">
        <w:t xml:space="preserve"> 480-100-197.  Accordingly, the notice provisions of </w:t>
      </w:r>
      <w:smartTag w:uri="urn:schemas-microsoft-com:office:smarttags" w:element="stockticker">
        <w:r w:rsidR="0024054B" w:rsidRPr="00802FA7">
          <w:t>WAC</w:t>
        </w:r>
      </w:smartTag>
      <w:r w:rsidR="0024054B" w:rsidRPr="00802FA7">
        <w:t xml:space="preserve"> 480-100-194 are not required for this filing.</w:t>
      </w:r>
    </w:p>
    <w:p w:rsidR="00FF0518" w:rsidRPr="008206E1" w:rsidRDefault="00347DD7" w:rsidP="00347DD7">
      <w:pPr>
        <w:spacing w:line="480" w:lineRule="auto"/>
        <w:ind w:hanging="720"/>
        <w:rPr>
          <w:rFonts w:ascii="Times New Roman" w:hAnsi="Times New Roman"/>
        </w:rPr>
      </w:pPr>
      <w:r w:rsidRPr="00347DD7">
        <w:rPr>
          <w:rFonts w:ascii="Times New Roman" w:hAnsi="Times New Roman"/>
          <w:i/>
        </w:rPr>
        <w:t>7</w:t>
      </w:r>
      <w:r>
        <w:rPr>
          <w:rFonts w:ascii="Times New Roman" w:hAnsi="Times New Roman"/>
        </w:rPr>
        <w:tab/>
      </w:r>
      <w:r>
        <w:rPr>
          <w:rFonts w:ascii="Times New Roman" w:hAnsi="Times New Roman"/>
        </w:rPr>
        <w:tab/>
        <w:t xml:space="preserve"> </w:t>
      </w:r>
      <w:r w:rsidR="00FF0518" w:rsidRPr="008206E1">
        <w:rPr>
          <w:rFonts w:ascii="Times New Roman" w:hAnsi="Times New Roman"/>
        </w:rPr>
        <w:t>The Company’s need for this rate increase is primarily driven by cost incre</w:t>
      </w:r>
      <w:r w:rsidR="00FF0518">
        <w:rPr>
          <w:rFonts w:ascii="Times New Roman" w:hAnsi="Times New Roman"/>
        </w:rPr>
        <w:t>ases in the following key areas:</w:t>
      </w:r>
      <w:r w:rsidR="00FF0518" w:rsidRPr="008206E1">
        <w:rPr>
          <w:rFonts w:ascii="Times New Roman" w:hAnsi="Times New Roman"/>
        </w:rPr>
        <w:t xml:space="preserve"> </w:t>
      </w:r>
    </w:p>
    <w:p w:rsidR="00FF0518" w:rsidRDefault="00FF0518" w:rsidP="00FF0518">
      <w:pPr>
        <w:pStyle w:val="BodyText2"/>
        <w:tabs>
          <w:tab w:val="left" w:pos="720"/>
        </w:tabs>
        <w:spacing w:after="0"/>
        <w:ind w:left="720"/>
      </w:pPr>
      <w:r w:rsidRPr="008206E1">
        <w:rPr>
          <w:b/>
        </w:rPr>
        <w:tab/>
      </w:r>
      <w:proofErr w:type="gramStart"/>
      <w:r w:rsidRPr="008206E1">
        <w:rPr>
          <w:b/>
        </w:rPr>
        <w:t>Increases in net power costs.</w:t>
      </w:r>
      <w:proofErr w:type="gramEnd"/>
      <w:r w:rsidRPr="008206E1">
        <w:rPr>
          <w:b/>
        </w:rPr>
        <w:t xml:space="preserve">  </w:t>
      </w:r>
      <w:r w:rsidRPr="008206E1">
        <w:t>Th</w:t>
      </w:r>
      <w:r w:rsidR="00656CD4">
        <w:t>is</w:t>
      </w:r>
      <w:r w:rsidRPr="008206E1">
        <w:t xml:space="preserve"> increase is </w:t>
      </w:r>
      <w:r w:rsidR="00656CD4">
        <w:t xml:space="preserve">largely </w:t>
      </w:r>
      <w:r w:rsidR="00E416ED">
        <w:t>caused</w:t>
      </w:r>
      <w:r w:rsidRPr="008206E1">
        <w:t xml:space="preserve"> by the expiration </w:t>
      </w:r>
      <w:r w:rsidR="0005261E">
        <w:t xml:space="preserve">and replacement </w:t>
      </w:r>
      <w:r w:rsidRPr="008206E1">
        <w:t xml:space="preserve">of </w:t>
      </w:r>
      <w:r w:rsidR="00656CD4">
        <w:t>several below</w:t>
      </w:r>
      <w:r w:rsidR="0005261E">
        <w:t>-</w:t>
      </w:r>
      <w:r w:rsidR="00656CD4">
        <w:t>market legacy contracts, including contracts for gas suppl</w:t>
      </w:r>
      <w:r w:rsidR="0005261E">
        <w:t>y</w:t>
      </w:r>
      <w:r w:rsidR="00656CD4">
        <w:t xml:space="preserve">, wholesale </w:t>
      </w:r>
      <w:r w:rsidR="00326256">
        <w:t xml:space="preserve">purchase power </w:t>
      </w:r>
      <w:r w:rsidR="00656CD4">
        <w:t xml:space="preserve">contracts associated with the Mid-Columbia hydroelectric projects </w:t>
      </w:r>
      <w:proofErr w:type="gramStart"/>
      <w:r w:rsidR="00656CD4">
        <w:t>and  the</w:t>
      </w:r>
      <w:proofErr w:type="gramEnd"/>
      <w:r w:rsidR="00656CD4">
        <w:t xml:space="preserve"> Bonneville Power Administration</w:t>
      </w:r>
      <w:r w:rsidR="00326256">
        <w:t>,</w:t>
      </w:r>
      <w:r w:rsidR="00656CD4">
        <w:t xml:space="preserve"> and third-party </w:t>
      </w:r>
      <w:r w:rsidRPr="008206E1">
        <w:t>wheeling expenses</w:t>
      </w:r>
      <w:r w:rsidR="00656CD4">
        <w:t>.</w:t>
      </w:r>
      <w:r w:rsidRPr="008206E1">
        <w:t xml:space="preserve">   </w:t>
      </w:r>
      <w:r w:rsidR="00326256">
        <w:t xml:space="preserve">The increase is partially mitigated by a reduction in net power costs associated with a lower load forecast, lower market prices, </w:t>
      </w:r>
      <w:r w:rsidR="00920B25">
        <w:t>and</w:t>
      </w:r>
      <w:r w:rsidR="00865C5A">
        <w:t xml:space="preserve"> </w:t>
      </w:r>
      <w:r w:rsidR="00326256">
        <w:t xml:space="preserve">extended operation of the Condit Dam.  </w:t>
      </w:r>
    </w:p>
    <w:p w:rsidR="00656CD4" w:rsidRPr="00656CD4" w:rsidRDefault="00656CD4" w:rsidP="00656CD4">
      <w:pPr>
        <w:pStyle w:val="BodyText2"/>
        <w:tabs>
          <w:tab w:val="left" w:pos="720"/>
        </w:tabs>
        <w:spacing w:after="0"/>
        <w:ind w:left="720"/>
        <w:rPr>
          <w:rFonts w:ascii="Times New Roman" w:hAnsi="Times New Roman"/>
          <w:szCs w:val="24"/>
        </w:rPr>
      </w:pPr>
      <w:r>
        <w:rPr>
          <w:rFonts w:ascii="Times New Roman" w:hAnsi="Times New Roman"/>
          <w:b/>
          <w:szCs w:val="24"/>
        </w:rPr>
        <w:tab/>
      </w:r>
      <w:proofErr w:type="gramStart"/>
      <w:r w:rsidRPr="00656CD4">
        <w:rPr>
          <w:rFonts w:ascii="Times New Roman" w:hAnsi="Times New Roman"/>
          <w:b/>
          <w:szCs w:val="24"/>
        </w:rPr>
        <w:t>Investment in the system.</w:t>
      </w:r>
      <w:proofErr w:type="gramEnd"/>
      <w:r w:rsidRPr="00656CD4">
        <w:rPr>
          <w:rFonts w:ascii="Times New Roman" w:hAnsi="Times New Roman"/>
          <w:szCs w:val="24"/>
        </w:rPr>
        <w:t xml:space="preserve">  </w:t>
      </w:r>
      <w:r>
        <w:rPr>
          <w:rFonts w:ascii="Times New Roman" w:hAnsi="Times New Roman"/>
          <w:szCs w:val="24"/>
        </w:rPr>
        <w:t>T</w:t>
      </w:r>
      <w:r w:rsidRPr="00656CD4">
        <w:rPr>
          <w:rFonts w:ascii="Times New Roman" w:hAnsi="Times New Roman"/>
          <w:szCs w:val="24"/>
        </w:rPr>
        <w:t>he Company continues to</w:t>
      </w:r>
      <w:r>
        <w:rPr>
          <w:rFonts w:ascii="Times New Roman" w:hAnsi="Times New Roman"/>
          <w:szCs w:val="24"/>
        </w:rPr>
        <w:t xml:space="preserve"> make </w:t>
      </w:r>
      <w:r w:rsidRPr="00656CD4">
        <w:rPr>
          <w:rFonts w:ascii="Times New Roman" w:hAnsi="Times New Roman"/>
          <w:szCs w:val="24"/>
        </w:rPr>
        <w:t>ongoing investment</w:t>
      </w:r>
      <w:r>
        <w:rPr>
          <w:rFonts w:ascii="Times New Roman" w:hAnsi="Times New Roman"/>
          <w:szCs w:val="24"/>
        </w:rPr>
        <w:t>s</w:t>
      </w:r>
      <w:r w:rsidRPr="00656CD4">
        <w:rPr>
          <w:rFonts w:ascii="Times New Roman" w:hAnsi="Times New Roman"/>
          <w:szCs w:val="24"/>
        </w:rPr>
        <w:t xml:space="preserve"> in transmission</w:t>
      </w:r>
      <w:r>
        <w:rPr>
          <w:rFonts w:ascii="Times New Roman" w:hAnsi="Times New Roman"/>
          <w:szCs w:val="24"/>
        </w:rPr>
        <w:t xml:space="preserve">, </w:t>
      </w:r>
      <w:r w:rsidRPr="00656CD4">
        <w:rPr>
          <w:rFonts w:ascii="Times New Roman" w:hAnsi="Times New Roman"/>
          <w:szCs w:val="24"/>
        </w:rPr>
        <w:t xml:space="preserve">distribution </w:t>
      </w:r>
      <w:r>
        <w:rPr>
          <w:rFonts w:ascii="Times New Roman" w:hAnsi="Times New Roman"/>
          <w:szCs w:val="24"/>
        </w:rPr>
        <w:t>and</w:t>
      </w:r>
      <w:r w:rsidRPr="00656CD4">
        <w:rPr>
          <w:rFonts w:ascii="Times New Roman" w:hAnsi="Times New Roman"/>
          <w:szCs w:val="24"/>
        </w:rPr>
        <w:t xml:space="preserve"> hydroelectric generation facilities.  </w:t>
      </w:r>
      <w:r>
        <w:rPr>
          <w:rFonts w:ascii="Times New Roman" w:hAnsi="Times New Roman"/>
          <w:szCs w:val="24"/>
        </w:rPr>
        <w:lastRenderedPageBreak/>
        <w:t xml:space="preserve">The filing also </w:t>
      </w:r>
      <w:r w:rsidRPr="00656CD4">
        <w:rPr>
          <w:rFonts w:ascii="Times New Roman" w:hAnsi="Times New Roman"/>
          <w:szCs w:val="24"/>
        </w:rPr>
        <w:t>captur</w:t>
      </w:r>
      <w:r>
        <w:rPr>
          <w:rFonts w:ascii="Times New Roman" w:hAnsi="Times New Roman"/>
          <w:szCs w:val="24"/>
        </w:rPr>
        <w:t xml:space="preserve">es </w:t>
      </w:r>
      <w:r w:rsidRPr="00656CD4">
        <w:rPr>
          <w:rFonts w:ascii="Times New Roman" w:hAnsi="Times New Roman"/>
          <w:szCs w:val="24"/>
        </w:rPr>
        <w:t>a full year of costs for investments brought into service in the last case</w:t>
      </w:r>
      <w:r>
        <w:rPr>
          <w:rFonts w:ascii="Times New Roman" w:hAnsi="Times New Roman"/>
          <w:szCs w:val="24"/>
        </w:rPr>
        <w:t>.</w:t>
      </w:r>
      <w:r w:rsidRPr="00656CD4">
        <w:rPr>
          <w:rFonts w:ascii="Times New Roman" w:hAnsi="Times New Roman"/>
          <w:szCs w:val="24"/>
        </w:rPr>
        <w:t xml:space="preserve">  </w:t>
      </w:r>
    </w:p>
    <w:p w:rsidR="00C85289" w:rsidRDefault="0005261E" w:rsidP="00FF0518">
      <w:pPr>
        <w:pStyle w:val="BodyText2"/>
        <w:tabs>
          <w:tab w:val="left" w:pos="720"/>
        </w:tabs>
        <w:spacing w:after="0"/>
        <w:ind w:left="720"/>
        <w:rPr>
          <w:rFonts w:ascii="Times New Roman" w:hAnsi="Times New Roman"/>
          <w:szCs w:val="24"/>
        </w:rPr>
      </w:pPr>
      <w:r>
        <w:rPr>
          <w:rFonts w:ascii="Times New Roman" w:hAnsi="Times New Roman"/>
          <w:b/>
          <w:szCs w:val="24"/>
        </w:rPr>
        <w:tab/>
      </w:r>
      <w:proofErr w:type="gramStart"/>
      <w:r w:rsidR="00656CD4" w:rsidRPr="00656CD4">
        <w:rPr>
          <w:rFonts w:ascii="Times New Roman" w:hAnsi="Times New Roman"/>
          <w:b/>
          <w:szCs w:val="24"/>
        </w:rPr>
        <w:t>Under-recovery of historic costs.</w:t>
      </w:r>
      <w:proofErr w:type="gramEnd"/>
      <w:r w:rsidR="00656CD4" w:rsidRPr="00656CD4">
        <w:rPr>
          <w:rFonts w:ascii="Times New Roman" w:hAnsi="Times New Roman"/>
          <w:b/>
          <w:szCs w:val="24"/>
        </w:rPr>
        <w:t xml:space="preserve">  </w:t>
      </w:r>
      <w:r w:rsidR="00656CD4" w:rsidRPr="00656CD4">
        <w:rPr>
          <w:rFonts w:ascii="Times New Roman" w:hAnsi="Times New Roman"/>
          <w:szCs w:val="24"/>
        </w:rPr>
        <w:t xml:space="preserve">In the 2009 Rate Case, </w:t>
      </w:r>
      <w:r>
        <w:rPr>
          <w:rFonts w:ascii="Times New Roman" w:hAnsi="Times New Roman"/>
          <w:szCs w:val="24"/>
        </w:rPr>
        <w:t>t</w:t>
      </w:r>
      <w:r w:rsidR="00656CD4" w:rsidRPr="00656CD4">
        <w:rPr>
          <w:rFonts w:ascii="Times New Roman" w:hAnsi="Times New Roman"/>
          <w:szCs w:val="24"/>
        </w:rPr>
        <w:t xml:space="preserve">he </w:t>
      </w:r>
      <w:r w:rsidR="00656CD4">
        <w:rPr>
          <w:rFonts w:ascii="Times New Roman" w:hAnsi="Times New Roman"/>
          <w:szCs w:val="24"/>
        </w:rPr>
        <w:t>Company settled for a lower</w:t>
      </w:r>
      <w:r>
        <w:rPr>
          <w:rFonts w:ascii="Times New Roman" w:hAnsi="Times New Roman"/>
          <w:szCs w:val="24"/>
        </w:rPr>
        <w:t xml:space="preserve"> base rate increase </w:t>
      </w:r>
      <w:r w:rsidR="00B5181E">
        <w:rPr>
          <w:rFonts w:ascii="Times New Roman" w:hAnsi="Times New Roman"/>
          <w:szCs w:val="24"/>
        </w:rPr>
        <w:t xml:space="preserve">than originally </w:t>
      </w:r>
      <w:r w:rsidR="00DD77E3">
        <w:rPr>
          <w:rFonts w:ascii="Times New Roman" w:hAnsi="Times New Roman"/>
          <w:szCs w:val="24"/>
        </w:rPr>
        <w:t>requested</w:t>
      </w:r>
      <w:r w:rsidR="00326256">
        <w:rPr>
          <w:rFonts w:ascii="Times New Roman" w:hAnsi="Times New Roman"/>
          <w:szCs w:val="24"/>
        </w:rPr>
        <w:t>.  This settlement</w:t>
      </w:r>
      <w:r>
        <w:rPr>
          <w:rFonts w:ascii="Times New Roman" w:hAnsi="Times New Roman"/>
          <w:szCs w:val="24"/>
        </w:rPr>
        <w:t xml:space="preserve"> achieve</w:t>
      </w:r>
      <w:r w:rsidR="00326256">
        <w:rPr>
          <w:rFonts w:ascii="Times New Roman" w:hAnsi="Times New Roman"/>
          <w:szCs w:val="24"/>
        </w:rPr>
        <w:t>d</w:t>
      </w:r>
      <w:r w:rsidR="00B5181E">
        <w:rPr>
          <w:rFonts w:ascii="Times New Roman" w:hAnsi="Times New Roman"/>
          <w:szCs w:val="24"/>
        </w:rPr>
        <w:t>, among other benefits,</w:t>
      </w:r>
      <w:r>
        <w:rPr>
          <w:rFonts w:ascii="Times New Roman" w:hAnsi="Times New Roman"/>
          <w:szCs w:val="24"/>
        </w:rPr>
        <w:t xml:space="preserve"> recovery of </w:t>
      </w:r>
      <w:r w:rsidR="00326256">
        <w:rPr>
          <w:rFonts w:ascii="Times New Roman" w:hAnsi="Times New Roman"/>
          <w:szCs w:val="24"/>
        </w:rPr>
        <w:t xml:space="preserve">a deferral associated with </w:t>
      </w:r>
      <w:r>
        <w:rPr>
          <w:rFonts w:ascii="Times New Roman" w:hAnsi="Times New Roman"/>
          <w:szCs w:val="24"/>
        </w:rPr>
        <w:t>the</w:t>
      </w:r>
      <w:r w:rsidR="00326256">
        <w:rPr>
          <w:rFonts w:ascii="Times New Roman" w:hAnsi="Times New Roman"/>
          <w:szCs w:val="24"/>
        </w:rPr>
        <w:t xml:space="preserve"> recently acquired</w:t>
      </w:r>
      <w:r>
        <w:rPr>
          <w:rFonts w:ascii="Times New Roman" w:hAnsi="Times New Roman"/>
          <w:szCs w:val="24"/>
        </w:rPr>
        <w:t xml:space="preserve"> Chehalis</w:t>
      </w:r>
      <w:r w:rsidR="00326256">
        <w:rPr>
          <w:rFonts w:ascii="Times New Roman" w:hAnsi="Times New Roman"/>
          <w:szCs w:val="24"/>
        </w:rPr>
        <w:t xml:space="preserve"> generating resource</w:t>
      </w:r>
      <w:r>
        <w:rPr>
          <w:rFonts w:ascii="Times New Roman" w:hAnsi="Times New Roman"/>
          <w:szCs w:val="24"/>
        </w:rPr>
        <w:t xml:space="preserve">. </w:t>
      </w:r>
      <w:r w:rsidR="00656CD4" w:rsidRPr="00656CD4">
        <w:rPr>
          <w:rFonts w:ascii="Times New Roman" w:hAnsi="Times New Roman"/>
          <w:szCs w:val="24"/>
        </w:rPr>
        <w:t xml:space="preserve"> In this case, the foregone base rate increase from the last rate case is carried forward as a revenue deficiency into the historic test period.</w:t>
      </w:r>
    </w:p>
    <w:p w:rsidR="005E5E9C" w:rsidRDefault="005E5E9C" w:rsidP="005E5E9C">
      <w:pPr>
        <w:spacing w:line="480" w:lineRule="auto"/>
        <w:ind w:left="720" w:firstLine="630"/>
        <w:rPr>
          <w:rFonts w:ascii="Times New Roman" w:hAnsi="Times New Roman"/>
          <w:szCs w:val="24"/>
        </w:rPr>
      </w:pPr>
      <w:r w:rsidRPr="005E5E9C">
        <w:rPr>
          <w:rFonts w:ascii="Times New Roman" w:hAnsi="Times New Roman"/>
          <w:szCs w:val="24"/>
        </w:rPr>
        <w:t xml:space="preserve">The </w:t>
      </w:r>
      <w:r w:rsidR="00DD77E3">
        <w:rPr>
          <w:rFonts w:ascii="Times New Roman" w:hAnsi="Times New Roman"/>
          <w:szCs w:val="24"/>
        </w:rPr>
        <w:t xml:space="preserve">rate increase </w:t>
      </w:r>
      <w:r w:rsidRPr="005E5E9C">
        <w:rPr>
          <w:rFonts w:ascii="Times New Roman" w:hAnsi="Times New Roman"/>
          <w:szCs w:val="24"/>
        </w:rPr>
        <w:t xml:space="preserve">is mitigated by the Company’s </w:t>
      </w:r>
      <w:r w:rsidR="00DD77E3">
        <w:rPr>
          <w:rFonts w:ascii="Times New Roman" w:hAnsi="Times New Roman"/>
          <w:szCs w:val="24"/>
        </w:rPr>
        <w:t xml:space="preserve">effective control of costs in operations and maintenance and administrative and </w:t>
      </w:r>
      <w:r w:rsidR="00561DF4">
        <w:rPr>
          <w:rFonts w:ascii="Times New Roman" w:hAnsi="Times New Roman"/>
          <w:szCs w:val="24"/>
        </w:rPr>
        <w:t>general</w:t>
      </w:r>
      <w:r w:rsidR="00DD77E3">
        <w:rPr>
          <w:rFonts w:ascii="Times New Roman" w:hAnsi="Times New Roman"/>
          <w:szCs w:val="24"/>
        </w:rPr>
        <w:t xml:space="preserve"> and by its conservative approach in making pro forma known and measurable adjustments</w:t>
      </w:r>
      <w:r w:rsidR="00E416ED">
        <w:rPr>
          <w:rFonts w:ascii="Times New Roman" w:hAnsi="Times New Roman"/>
          <w:szCs w:val="24"/>
        </w:rPr>
        <w:t xml:space="preserve"> in this case</w:t>
      </w:r>
      <w:r w:rsidR="00DD77E3">
        <w:rPr>
          <w:rFonts w:ascii="Times New Roman" w:hAnsi="Times New Roman"/>
          <w:szCs w:val="24"/>
        </w:rPr>
        <w:t xml:space="preserve">.  </w:t>
      </w:r>
    </w:p>
    <w:p w:rsidR="00FF0518" w:rsidRPr="009B7E4B" w:rsidRDefault="00A56F52" w:rsidP="002871BA">
      <w:pPr>
        <w:spacing w:line="480" w:lineRule="auto"/>
        <w:ind w:hanging="720"/>
        <w:rPr>
          <w:rFonts w:ascii="Times New Roman" w:hAnsi="Times New Roman"/>
        </w:rPr>
      </w:pPr>
      <w:r>
        <w:rPr>
          <w:rFonts w:ascii="Times New Roman" w:hAnsi="Times New Roman"/>
          <w:i/>
        </w:rPr>
        <w:t>8</w:t>
      </w:r>
      <w:r w:rsidR="00FF0518" w:rsidRPr="009B7E4B">
        <w:rPr>
          <w:rFonts w:ascii="Times New Roman" w:hAnsi="Times New Roman"/>
        </w:rPr>
        <w:tab/>
      </w:r>
      <w:r w:rsidR="002871BA">
        <w:rPr>
          <w:rFonts w:ascii="Times New Roman" w:hAnsi="Times New Roman"/>
        </w:rPr>
        <w:tab/>
      </w:r>
      <w:r w:rsidR="00FF0518">
        <w:rPr>
          <w:rFonts w:ascii="Times New Roman" w:hAnsi="Times New Roman"/>
        </w:rPr>
        <w:t>Based upon the results of the cost of service study, t</w:t>
      </w:r>
      <w:r w:rsidR="00FF0518" w:rsidRPr="003D7880">
        <w:rPr>
          <w:rFonts w:ascii="Times New Roman" w:hAnsi="Times New Roman"/>
        </w:rPr>
        <w:t xml:space="preserve">he Company proposes to </w:t>
      </w:r>
      <w:r>
        <w:rPr>
          <w:rFonts w:ascii="Times New Roman" w:hAnsi="Times New Roman"/>
        </w:rPr>
        <w:t>spread</w:t>
      </w:r>
      <w:r w:rsidR="00FF0518" w:rsidRPr="003D7880">
        <w:rPr>
          <w:rFonts w:ascii="Times New Roman" w:hAnsi="Times New Roman"/>
        </w:rPr>
        <w:t xml:space="preserve"> the proposed revenue increase across customer classes</w:t>
      </w:r>
      <w:r>
        <w:rPr>
          <w:rFonts w:ascii="Times New Roman" w:hAnsi="Times New Roman"/>
        </w:rPr>
        <w:t xml:space="preserve"> with an increase of 21</w:t>
      </w:r>
      <w:r w:rsidR="006178C7">
        <w:rPr>
          <w:rFonts w:ascii="Times New Roman" w:hAnsi="Times New Roman"/>
        </w:rPr>
        <w:t>.0</w:t>
      </w:r>
      <w:r>
        <w:rPr>
          <w:rFonts w:ascii="Times New Roman" w:hAnsi="Times New Roman"/>
        </w:rPr>
        <w:t xml:space="preserve"> percent for all classes, except </w:t>
      </w:r>
      <w:r w:rsidR="00FF0518">
        <w:rPr>
          <w:rFonts w:ascii="Times New Roman" w:hAnsi="Times New Roman"/>
          <w:bCs/>
          <w:szCs w:val="24"/>
        </w:rPr>
        <w:t xml:space="preserve">public street lighting customers, </w:t>
      </w:r>
      <w:r w:rsidR="004E7740">
        <w:rPr>
          <w:rFonts w:ascii="Times New Roman" w:hAnsi="Times New Roman"/>
          <w:bCs/>
          <w:szCs w:val="24"/>
        </w:rPr>
        <w:t>for wh</w:t>
      </w:r>
      <w:r w:rsidR="00DD77E3">
        <w:rPr>
          <w:rFonts w:ascii="Times New Roman" w:hAnsi="Times New Roman"/>
          <w:bCs/>
          <w:szCs w:val="24"/>
        </w:rPr>
        <w:t>ich</w:t>
      </w:r>
      <w:r w:rsidR="004E7740">
        <w:rPr>
          <w:rFonts w:ascii="Times New Roman" w:hAnsi="Times New Roman"/>
          <w:bCs/>
          <w:szCs w:val="24"/>
        </w:rPr>
        <w:t xml:space="preserve"> </w:t>
      </w:r>
      <w:r w:rsidR="00FF0518">
        <w:rPr>
          <w:rFonts w:ascii="Times New Roman" w:hAnsi="Times New Roman"/>
          <w:bCs/>
          <w:szCs w:val="24"/>
        </w:rPr>
        <w:t xml:space="preserve">the Company proposes </w:t>
      </w:r>
      <w:r w:rsidR="00A96C01">
        <w:rPr>
          <w:rFonts w:ascii="Times New Roman" w:hAnsi="Times New Roman"/>
          <w:bCs/>
          <w:szCs w:val="24"/>
        </w:rPr>
        <w:t>an increase of 5.0 percent</w:t>
      </w:r>
      <w:r w:rsidR="00FF0518">
        <w:rPr>
          <w:rFonts w:ascii="Times New Roman" w:hAnsi="Times New Roman"/>
          <w:bCs/>
          <w:szCs w:val="24"/>
        </w:rPr>
        <w:t xml:space="preserve">.  </w:t>
      </w:r>
      <w:r w:rsidR="00FF0518" w:rsidRPr="00443962">
        <w:rPr>
          <w:rFonts w:ascii="Times New Roman" w:hAnsi="Times New Roman"/>
          <w:bCs/>
          <w:szCs w:val="24"/>
        </w:rPr>
        <w:t xml:space="preserve">  </w:t>
      </w:r>
    </w:p>
    <w:p w:rsidR="00FF0518" w:rsidRDefault="00DD77E3" w:rsidP="002871BA">
      <w:pPr>
        <w:spacing w:line="480" w:lineRule="auto"/>
        <w:ind w:hanging="720"/>
      </w:pPr>
      <w:r>
        <w:rPr>
          <w:rFonts w:ascii="Times New Roman" w:hAnsi="Times New Roman"/>
          <w:i/>
        </w:rPr>
        <w:t>9</w:t>
      </w:r>
      <w:r w:rsidR="00FF0518" w:rsidRPr="009B7E4B">
        <w:rPr>
          <w:rFonts w:ascii="Times New Roman" w:hAnsi="Times New Roman"/>
        </w:rPr>
        <w:tab/>
      </w:r>
      <w:r w:rsidR="002871BA">
        <w:rPr>
          <w:rFonts w:ascii="Times New Roman" w:hAnsi="Times New Roman"/>
        </w:rPr>
        <w:tab/>
      </w:r>
      <w:r w:rsidR="00FF0518" w:rsidRPr="009B7E4B">
        <w:rPr>
          <w:rFonts w:ascii="Times New Roman" w:hAnsi="Times New Roman"/>
        </w:rPr>
        <w:t xml:space="preserve">In </w:t>
      </w:r>
      <w:r w:rsidR="00FF0518">
        <w:rPr>
          <w:rFonts w:ascii="Times New Roman" w:hAnsi="Times New Roman"/>
        </w:rPr>
        <w:t>Docket UE-</w:t>
      </w:r>
      <w:proofErr w:type="gramStart"/>
      <w:r w:rsidR="00FF0518">
        <w:rPr>
          <w:rFonts w:ascii="Times New Roman" w:hAnsi="Times New Roman"/>
        </w:rPr>
        <w:t xml:space="preserve">061546 </w:t>
      </w:r>
      <w:r w:rsidR="00FF0518" w:rsidRPr="009B7E4B">
        <w:rPr>
          <w:rFonts w:ascii="Times New Roman" w:hAnsi="Times New Roman"/>
        </w:rPr>
        <w:t>,</w:t>
      </w:r>
      <w:proofErr w:type="gramEnd"/>
      <w:r w:rsidR="00FF0518" w:rsidRPr="009B7E4B">
        <w:rPr>
          <w:rFonts w:ascii="Times New Roman" w:hAnsi="Times New Roman"/>
        </w:rPr>
        <w:t xml:space="preserve"> Order No. 08</w:t>
      </w:r>
      <w:r w:rsidR="00FF0518">
        <w:rPr>
          <w:rFonts w:ascii="Times New Roman" w:hAnsi="Times New Roman"/>
        </w:rPr>
        <w:t>,</w:t>
      </w:r>
      <w:r w:rsidR="00FF0518" w:rsidRPr="009B7E4B">
        <w:rPr>
          <w:rFonts w:ascii="Times New Roman" w:hAnsi="Times New Roman"/>
        </w:rPr>
        <w:t xml:space="preserve"> issued </w:t>
      </w:r>
      <w:smartTag w:uri="urn:schemas-microsoft-com:office:smarttags" w:element="date">
        <w:smartTagPr>
          <w:attr w:name="Year" w:val="2007"/>
          <w:attr w:name="Day" w:val="21"/>
          <w:attr w:name="Month" w:val="6"/>
        </w:smartTagPr>
        <w:r w:rsidR="00FF0518" w:rsidRPr="009B7E4B">
          <w:rPr>
            <w:rFonts w:ascii="Times New Roman" w:hAnsi="Times New Roman"/>
          </w:rPr>
          <w:t>June 21, 2007</w:t>
        </w:r>
      </w:smartTag>
      <w:r w:rsidR="00FF0518" w:rsidRPr="009B7E4B">
        <w:rPr>
          <w:rFonts w:ascii="Times New Roman" w:hAnsi="Times New Roman"/>
        </w:rPr>
        <w:t>, the Commission approved the West Control Area allocation methodology for a trial period of five years. The Company</w:t>
      </w:r>
      <w:r w:rsidR="00326256">
        <w:rPr>
          <w:rFonts w:ascii="Times New Roman" w:hAnsi="Times New Roman"/>
        </w:rPr>
        <w:t>’s filing</w:t>
      </w:r>
      <w:r w:rsidR="00B72377">
        <w:rPr>
          <w:rFonts w:ascii="Times New Roman" w:hAnsi="Times New Roman"/>
        </w:rPr>
        <w:t xml:space="preserve"> </w:t>
      </w:r>
      <w:r w:rsidR="00326256">
        <w:rPr>
          <w:rFonts w:ascii="Times New Roman" w:hAnsi="Times New Roman"/>
        </w:rPr>
        <w:t>uses</w:t>
      </w:r>
      <w:r w:rsidR="00FF0518" w:rsidRPr="009B7E4B">
        <w:rPr>
          <w:rFonts w:ascii="Times New Roman" w:hAnsi="Times New Roman"/>
        </w:rPr>
        <w:t xml:space="preserve"> the West Control Area allocation methodology consistent with the approved five-year trial period.</w:t>
      </w:r>
      <w:r w:rsidR="00FF0518">
        <w:t xml:space="preserve"> </w:t>
      </w:r>
    </w:p>
    <w:p w:rsidR="00C8640D" w:rsidRPr="00C8640D" w:rsidRDefault="00DD77E3" w:rsidP="002871BA">
      <w:pPr>
        <w:spacing w:line="480" w:lineRule="auto"/>
        <w:ind w:hanging="720"/>
        <w:rPr>
          <w:rFonts w:ascii="Times New Roman" w:hAnsi="Times New Roman"/>
        </w:rPr>
      </w:pPr>
      <w:r>
        <w:rPr>
          <w:i/>
        </w:rPr>
        <w:t>10</w:t>
      </w:r>
      <w:r w:rsidR="00C8640D">
        <w:tab/>
      </w:r>
      <w:r w:rsidR="00C8640D">
        <w:tab/>
        <w:t xml:space="preserve"> </w:t>
      </w:r>
      <w:r>
        <w:t xml:space="preserve">On the issue of income tax accounting, </w:t>
      </w:r>
      <w:r w:rsidR="00C8640D">
        <w:t>the Company</w:t>
      </w:r>
      <w:r w:rsidR="00433477">
        <w:t>’s filing</w:t>
      </w:r>
      <w:r w:rsidR="00C8640D">
        <w:t xml:space="preserve"> </w:t>
      </w:r>
      <w:r w:rsidR="00433477">
        <w:t>explains</w:t>
      </w:r>
      <w:r>
        <w:t xml:space="preserve"> </w:t>
      </w:r>
      <w:r w:rsidR="00433477">
        <w:t xml:space="preserve">a </w:t>
      </w:r>
      <w:r w:rsidR="00C8640D">
        <w:t xml:space="preserve">change in accounting method </w:t>
      </w:r>
      <w:r w:rsidR="00433477">
        <w:t>known as the “repairs deduction.”  The Company proposes to treat</w:t>
      </w:r>
      <w:r w:rsidR="004C3942">
        <w:t xml:space="preserve"> the temporary book-tax difference created by</w:t>
      </w:r>
      <w:r w:rsidR="00433477">
        <w:t xml:space="preserve"> the repairs deduction on a normalized basis, so </w:t>
      </w:r>
      <w:r w:rsidR="00433477">
        <w:lastRenderedPageBreak/>
        <w:t>that customers receive the full benefit of</w:t>
      </w:r>
      <w:r w:rsidR="004C3942">
        <w:t xml:space="preserve"> this accelerated tax deduction</w:t>
      </w:r>
      <w:r w:rsidR="00433477">
        <w:t xml:space="preserve">.  In conjunction with this proposal, the Company seeks authority to establish a regulatory asset or liability for interest that might ultimately be paid to or received from the Internal Revenue Service.  The Company also requests Commission authorization to move to full normalization of all temporary book-tax differences, with the exception of equity AFUDC. </w:t>
      </w:r>
      <w:r w:rsidR="00C8640D">
        <w:t xml:space="preserve"> The Company makes th</w:t>
      </w:r>
      <w:r w:rsidR="00433477">
        <w:t>ese</w:t>
      </w:r>
      <w:r w:rsidR="00C8640D">
        <w:t xml:space="preserve"> request</w:t>
      </w:r>
      <w:r w:rsidR="00433477">
        <w:t>s</w:t>
      </w:r>
      <w:r w:rsidR="00C8640D">
        <w:t xml:space="preserve"> pursuant to RCW 80.01.040(3), which authorizes the Commission to regulate in the public interest the rates, service</w:t>
      </w:r>
      <w:r w:rsidR="007065CC">
        <w:t>s</w:t>
      </w:r>
      <w:r w:rsidR="00C8640D">
        <w:t xml:space="preserve">, facilities, and practices of electric companies; RCW 80.040.090, which authorizes the Commission to prescribe the forms of accounts to be kept by public service companies; and </w:t>
      </w:r>
      <w:smartTag w:uri="urn:schemas-microsoft-com:office:smarttags" w:element="stockticker">
        <w:r w:rsidR="00C8640D">
          <w:t>WAC</w:t>
        </w:r>
      </w:smartTag>
      <w:r w:rsidR="00C8640D">
        <w:t xml:space="preserve"> 480-100-203, pertaining to the accounting requirements applicable to electric utilities in the state of Washington.</w:t>
      </w:r>
    </w:p>
    <w:p w:rsidR="00FF0518" w:rsidRPr="009B7E4B" w:rsidRDefault="00433477" w:rsidP="002871BA">
      <w:pPr>
        <w:spacing w:line="480" w:lineRule="auto"/>
        <w:ind w:hanging="720"/>
        <w:rPr>
          <w:rFonts w:ascii="Times New Roman" w:hAnsi="Times New Roman"/>
        </w:rPr>
      </w:pPr>
      <w:r>
        <w:rPr>
          <w:rFonts w:ascii="Times New Roman" w:hAnsi="Times New Roman"/>
          <w:i/>
        </w:rPr>
        <w:t>11</w:t>
      </w:r>
      <w:r w:rsidR="002871BA">
        <w:rPr>
          <w:rFonts w:ascii="Times New Roman" w:hAnsi="Times New Roman"/>
          <w:i/>
        </w:rPr>
        <w:tab/>
      </w:r>
      <w:r w:rsidR="002871BA">
        <w:rPr>
          <w:rFonts w:ascii="Times New Roman" w:hAnsi="Times New Roman"/>
          <w:i/>
        </w:rPr>
        <w:tab/>
      </w:r>
      <w:r w:rsidR="00FF0518" w:rsidRPr="009B7E4B">
        <w:rPr>
          <w:rFonts w:ascii="Times New Roman" w:hAnsi="Times New Roman"/>
        </w:rPr>
        <w:t xml:space="preserve">The Company’s direct case consists of the </w:t>
      </w:r>
      <w:r w:rsidR="00920B25">
        <w:rPr>
          <w:rFonts w:ascii="Times New Roman" w:hAnsi="Times New Roman"/>
        </w:rPr>
        <w:t>testimony and exhibits of nine</w:t>
      </w:r>
      <w:r w:rsidR="00FF0518" w:rsidRPr="009B7E4B">
        <w:rPr>
          <w:rFonts w:ascii="Times New Roman" w:hAnsi="Times New Roman"/>
        </w:rPr>
        <w:t xml:space="preserve"> witnesses:</w:t>
      </w:r>
      <w:r w:rsidR="00FF0518">
        <w:rPr>
          <w:rFonts w:ascii="Times New Roman" w:hAnsi="Times New Roman"/>
        </w:rPr>
        <w:t xml:space="preserve">  </w:t>
      </w:r>
    </w:p>
    <w:p w:rsidR="00FF0518" w:rsidRDefault="00FF0518" w:rsidP="00FF0518">
      <w:pPr>
        <w:spacing w:line="480" w:lineRule="auto"/>
        <w:ind w:left="720"/>
        <w:rPr>
          <w:rFonts w:ascii="Times New Roman" w:hAnsi="Times New Roman"/>
          <w:szCs w:val="24"/>
        </w:rPr>
      </w:pPr>
      <w:r w:rsidRPr="00E2278F">
        <w:rPr>
          <w:rFonts w:ascii="Times New Roman" w:hAnsi="Times New Roman"/>
          <w:b/>
        </w:rPr>
        <w:t>(a)</w:t>
      </w:r>
      <w:r w:rsidRPr="009B7E4B">
        <w:rPr>
          <w:rFonts w:ascii="Times New Roman" w:hAnsi="Times New Roman"/>
        </w:rPr>
        <w:t xml:space="preserve"> </w:t>
      </w:r>
      <w:r w:rsidRPr="009B7E4B">
        <w:rPr>
          <w:rFonts w:ascii="Times New Roman" w:hAnsi="Times New Roman"/>
        </w:rPr>
        <w:tab/>
      </w:r>
      <w:r w:rsidRPr="009B7E4B">
        <w:rPr>
          <w:rFonts w:ascii="Times New Roman" w:hAnsi="Times New Roman"/>
          <w:b/>
        </w:rPr>
        <w:t xml:space="preserve">Richard Patrick “Pat” </w:t>
      </w:r>
      <w:proofErr w:type="spellStart"/>
      <w:r w:rsidRPr="009B7E4B">
        <w:rPr>
          <w:rFonts w:ascii="Times New Roman" w:hAnsi="Times New Roman"/>
          <w:b/>
        </w:rPr>
        <w:t>Reiten</w:t>
      </w:r>
      <w:proofErr w:type="spellEnd"/>
      <w:r w:rsidRPr="009B7E4B">
        <w:rPr>
          <w:rFonts w:ascii="Times New Roman" w:hAnsi="Times New Roman"/>
          <w:b/>
        </w:rPr>
        <w:t>,</w:t>
      </w:r>
      <w:r w:rsidRPr="009B7E4B">
        <w:rPr>
          <w:rFonts w:ascii="Times New Roman" w:hAnsi="Times New Roman"/>
        </w:rPr>
        <w:t xml:space="preserve"> President, Pacific Power</w:t>
      </w:r>
      <w:r>
        <w:rPr>
          <w:rFonts w:ascii="Times New Roman" w:hAnsi="Times New Roman"/>
        </w:rPr>
        <w:t>,</w:t>
      </w:r>
      <w:r w:rsidRPr="009B7E4B">
        <w:rPr>
          <w:rFonts w:ascii="Times New Roman" w:hAnsi="Times New Roman"/>
          <w:szCs w:val="24"/>
        </w:rPr>
        <w:t xml:space="preserve"> provides an overview of the Company’s request for an increase in its base electric rates and the major factors driving the need for the rate increase. Additionally, he provides an introduction of the other witnesses providing testimony on behalf of the Company.</w:t>
      </w:r>
    </w:p>
    <w:p w:rsidR="00FF0518" w:rsidRPr="00CB59B0" w:rsidRDefault="00FF0518" w:rsidP="00FF0518">
      <w:pPr>
        <w:spacing w:line="480" w:lineRule="auto"/>
        <w:ind w:left="720"/>
        <w:rPr>
          <w:rFonts w:ascii="Times New Roman" w:hAnsi="Times New Roman"/>
        </w:rPr>
      </w:pPr>
      <w:r w:rsidRPr="00CB59B0">
        <w:rPr>
          <w:rFonts w:ascii="Times New Roman" w:hAnsi="Times New Roman"/>
          <w:b/>
        </w:rPr>
        <w:t>(b)</w:t>
      </w:r>
      <w:r w:rsidRPr="00CB59B0">
        <w:rPr>
          <w:rFonts w:ascii="Times New Roman" w:hAnsi="Times New Roman"/>
          <w:b/>
        </w:rPr>
        <w:tab/>
        <w:t xml:space="preserve">Samuel C. </w:t>
      </w:r>
      <w:proofErr w:type="spellStart"/>
      <w:r w:rsidRPr="00CB59B0">
        <w:rPr>
          <w:rFonts w:ascii="Times New Roman" w:hAnsi="Times New Roman"/>
          <w:b/>
        </w:rPr>
        <w:t>Hadaway</w:t>
      </w:r>
      <w:proofErr w:type="spellEnd"/>
      <w:r w:rsidRPr="00CB59B0">
        <w:rPr>
          <w:rFonts w:ascii="Times New Roman" w:hAnsi="Times New Roman"/>
        </w:rPr>
        <w:t>, Principal, FINANCO, Inc</w:t>
      </w:r>
      <w:proofErr w:type="gramStart"/>
      <w:r w:rsidRPr="00CB59B0">
        <w:rPr>
          <w:rFonts w:ascii="Times New Roman" w:hAnsi="Times New Roman"/>
        </w:rPr>
        <w:t>.</w:t>
      </w:r>
      <w:r w:rsidR="00433477">
        <w:rPr>
          <w:rFonts w:ascii="Times New Roman" w:hAnsi="Times New Roman"/>
        </w:rPr>
        <w:t>,</w:t>
      </w:r>
      <w:proofErr w:type="gramEnd"/>
      <w:r w:rsidRPr="00CB59B0">
        <w:rPr>
          <w:rFonts w:ascii="Times New Roman" w:hAnsi="Times New Roman"/>
        </w:rPr>
        <w:t xml:space="preserve"> testifies concerning the Company’s cost of equity.  He present</w:t>
      </w:r>
      <w:r w:rsidR="00433477">
        <w:rPr>
          <w:rFonts w:ascii="Times New Roman" w:hAnsi="Times New Roman"/>
        </w:rPr>
        <w:t>s</w:t>
      </w:r>
      <w:r w:rsidRPr="00CB59B0">
        <w:rPr>
          <w:rFonts w:ascii="Times New Roman" w:hAnsi="Times New Roman"/>
        </w:rPr>
        <w:t xml:space="preserve"> support for the requested authorized return on equity of 1</w:t>
      </w:r>
      <w:r w:rsidR="00A54913">
        <w:rPr>
          <w:rFonts w:ascii="Times New Roman" w:hAnsi="Times New Roman"/>
        </w:rPr>
        <w:t>0</w:t>
      </w:r>
      <w:r w:rsidRPr="00CB59B0">
        <w:rPr>
          <w:rFonts w:ascii="Times New Roman" w:hAnsi="Times New Roman"/>
        </w:rPr>
        <w:t>.</w:t>
      </w:r>
      <w:r w:rsidR="00A54913">
        <w:rPr>
          <w:rFonts w:ascii="Times New Roman" w:hAnsi="Times New Roman"/>
        </w:rPr>
        <w:t>6</w:t>
      </w:r>
      <w:r w:rsidRPr="00CB59B0">
        <w:rPr>
          <w:rFonts w:ascii="Times New Roman" w:hAnsi="Times New Roman"/>
        </w:rPr>
        <w:t>0 percent to account for the risks and operating challenges that the Company faces.</w:t>
      </w:r>
    </w:p>
    <w:p w:rsidR="00FF0518" w:rsidRPr="00CB59B0" w:rsidRDefault="00FF0518" w:rsidP="00FF0518">
      <w:pPr>
        <w:spacing w:line="480" w:lineRule="auto"/>
        <w:ind w:left="720"/>
        <w:rPr>
          <w:rFonts w:ascii="Times New Roman" w:hAnsi="Times New Roman"/>
        </w:rPr>
      </w:pPr>
      <w:r>
        <w:rPr>
          <w:rFonts w:ascii="Times New Roman" w:hAnsi="Times New Roman"/>
          <w:b/>
        </w:rPr>
        <w:lastRenderedPageBreak/>
        <w:t>(c)</w:t>
      </w:r>
      <w:r>
        <w:rPr>
          <w:rFonts w:ascii="Times New Roman" w:hAnsi="Times New Roman"/>
          <w:b/>
        </w:rPr>
        <w:tab/>
      </w:r>
      <w:r w:rsidRPr="00CB59B0">
        <w:rPr>
          <w:rFonts w:ascii="Times New Roman" w:hAnsi="Times New Roman"/>
          <w:b/>
        </w:rPr>
        <w:t>Bruce N. Williams</w:t>
      </w:r>
      <w:r w:rsidRPr="00CB59B0">
        <w:rPr>
          <w:rFonts w:ascii="Times New Roman" w:hAnsi="Times New Roman"/>
        </w:rPr>
        <w:t xml:space="preserve">, </w:t>
      </w:r>
      <w:r w:rsidR="008F33F9">
        <w:rPr>
          <w:rFonts w:ascii="Times New Roman" w:hAnsi="Times New Roman"/>
        </w:rPr>
        <w:t xml:space="preserve">Vice President and </w:t>
      </w:r>
      <w:r w:rsidRPr="00CB59B0">
        <w:rPr>
          <w:rFonts w:ascii="Times New Roman" w:hAnsi="Times New Roman"/>
        </w:rPr>
        <w:t xml:space="preserve">Treasurer, describes the calculation of PacifiCorp’s capital structure, cost of debt and preferred stock.  He also </w:t>
      </w:r>
      <w:r w:rsidR="00854607">
        <w:rPr>
          <w:rFonts w:ascii="Times New Roman" w:hAnsi="Times New Roman"/>
        </w:rPr>
        <w:t>discusses</w:t>
      </w:r>
      <w:r w:rsidR="00433477">
        <w:rPr>
          <w:rFonts w:ascii="Times New Roman" w:hAnsi="Times New Roman"/>
        </w:rPr>
        <w:t xml:space="preserve"> </w:t>
      </w:r>
      <w:r w:rsidRPr="00CB59B0">
        <w:rPr>
          <w:rFonts w:ascii="Times New Roman" w:hAnsi="Times New Roman"/>
        </w:rPr>
        <w:t>PacifiCor</w:t>
      </w:r>
      <w:r w:rsidR="00001D92">
        <w:rPr>
          <w:rFonts w:ascii="Times New Roman" w:hAnsi="Times New Roman"/>
        </w:rPr>
        <w:t>p’s compliance with the Company’</w:t>
      </w:r>
      <w:r w:rsidRPr="00CB59B0">
        <w:rPr>
          <w:rFonts w:ascii="Times New Roman" w:hAnsi="Times New Roman"/>
        </w:rPr>
        <w:t xml:space="preserve">s and </w:t>
      </w:r>
      <w:r w:rsidR="00B72377">
        <w:rPr>
          <w:rFonts w:ascii="Times New Roman" w:hAnsi="Times New Roman"/>
        </w:rPr>
        <w:t>MidAmerican Energy Holding Company’s</w:t>
      </w:r>
      <w:r w:rsidRPr="00CB59B0">
        <w:rPr>
          <w:rFonts w:ascii="Times New Roman" w:hAnsi="Times New Roman"/>
        </w:rPr>
        <w:t xml:space="preserve"> commitment from Docket UE-051090 (Commitment 37)</w:t>
      </w:r>
      <w:r w:rsidR="00421E09">
        <w:rPr>
          <w:rFonts w:ascii="Times New Roman" w:hAnsi="Times New Roman"/>
        </w:rPr>
        <w:t xml:space="preserve"> and requests that the Commission enter an order at the conclusion of the case confirming that this commitment has been fully satisfied</w:t>
      </w:r>
      <w:r w:rsidRPr="00CB59B0">
        <w:rPr>
          <w:rFonts w:ascii="Times New Roman" w:hAnsi="Times New Roman"/>
        </w:rPr>
        <w:t>.</w:t>
      </w:r>
    </w:p>
    <w:p w:rsidR="00FF0518" w:rsidRPr="00CB59B0" w:rsidRDefault="00FF0518" w:rsidP="00FF0518">
      <w:pPr>
        <w:spacing w:line="480" w:lineRule="auto"/>
        <w:ind w:left="720"/>
        <w:rPr>
          <w:rFonts w:ascii="Times New Roman" w:hAnsi="Times New Roman"/>
        </w:rPr>
      </w:pPr>
      <w:r>
        <w:rPr>
          <w:rFonts w:ascii="Times New Roman" w:hAnsi="Times New Roman"/>
          <w:b/>
        </w:rPr>
        <w:t>(d)</w:t>
      </w:r>
      <w:r>
        <w:rPr>
          <w:rFonts w:ascii="Times New Roman" w:hAnsi="Times New Roman"/>
          <w:b/>
        </w:rPr>
        <w:tab/>
      </w:r>
      <w:r w:rsidR="00B63F94">
        <w:rPr>
          <w:rFonts w:ascii="Times New Roman" w:hAnsi="Times New Roman"/>
          <w:b/>
        </w:rPr>
        <w:t>Greg</w:t>
      </w:r>
      <w:r w:rsidR="0002008C">
        <w:rPr>
          <w:rFonts w:ascii="Times New Roman" w:hAnsi="Times New Roman"/>
          <w:b/>
        </w:rPr>
        <w:t>ory</w:t>
      </w:r>
      <w:r w:rsidR="00B63F94">
        <w:rPr>
          <w:rFonts w:ascii="Times New Roman" w:hAnsi="Times New Roman"/>
          <w:b/>
        </w:rPr>
        <w:t xml:space="preserve"> </w:t>
      </w:r>
      <w:r w:rsidR="00F75FEF">
        <w:rPr>
          <w:rFonts w:ascii="Times New Roman" w:hAnsi="Times New Roman"/>
          <w:b/>
        </w:rPr>
        <w:t xml:space="preserve">N. </w:t>
      </w:r>
      <w:r w:rsidR="00B63F94">
        <w:rPr>
          <w:rFonts w:ascii="Times New Roman" w:hAnsi="Times New Roman"/>
          <w:b/>
        </w:rPr>
        <w:t>Duvall</w:t>
      </w:r>
      <w:r w:rsidRPr="00CB59B0">
        <w:rPr>
          <w:rFonts w:ascii="Times New Roman" w:hAnsi="Times New Roman"/>
        </w:rPr>
        <w:t xml:space="preserve">, </w:t>
      </w:r>
      <w:r w:rsidR="00F75FEF">
        <w:rPr>
          <w:rFonts w:ascii="Times New Roman" w:hAnsi="Times New Roman"/>
        </w:rPr>
        <w:t>Director</w:t>
      </w:r>
      <w:r w:rsidRPr="00CB59B0">
        <w:rPr>
          <w:rFonts w:ascii="Times New Roman" w:hAnsi="Times New Roman"/>
        </w:rPr>
        <w:t>,</w:t>
      </w:r>
      <w:r w:rsidR="00001D92">
        <w:rPr>
          <w:rFonts w:ascii="Times New Roman" w:hAnsi="Times New Roman"/>
        </w:rPr>
        <w:t xml:space="preserve"> Long-</w:t>
      </w:r>
      <w:r w:rsidR="00F75FEF">
        <w:rPr>
          <w:rFonts w:ascii="Times New Roman" w:hAnsi="Times New Roman"/>
        </w:rPr>
        <w:t>Range Planning and Net Power Costs,</w:t>
      </w:r>
      <w:r w:rsidRPr="00CB59B0">
        <w:rPr>
          <w:rFonts w:ascii="Times New Roman" w:hAnsi="Times New Roman"/>
        </w:rPr>
        <w:t xml:space="preserve"> describes the Company’s net power costs. </w:t>
      </w:r>
      <w:r w:rsidR="00F75FEF">
        <w:rPr>
          <w:rFonts w:ascii="Times New Roman" w:hAnsi="Times New Roman"/>
        </w:rPr>
        <w:t>H</w:t>
      </w:r>
      <w:r w:rsidR="00001D92">
        <w:rPr>
          <w:rFonts w:ascii="Times New Roman" w:hAnsi="Times New Roman"/>
        </w:rPr>
        <w:t xml:space="preserve">e </w:t>
      </w:r>
      <w:r w:rsidRPr="00CB59B0">
        <w:rPr>
          <w:rFonts w:ascii="Times New Roman" w:hAnsi="Times New Roman"/>
        </w:rPr>
        <w:t>also explain</w:t>
      </w:r>
      <w:r w:rsidR="00001D92">
        <w:rPr>
          <w:rFonts w:ascii="Times New Roman" w:hAnsi="Times New Roman"/>
        </w:rPr>
        <w:t>s</w:t>
      </w:r>
      <w:r w:rsidRPr="00CB59B0">
        <w:rPr>
          <w:rFonts w:ascii="Times New Roman" w:hAnsi="Times New Roman"/>
        </w:rPr>
        <w:t xml:space="preserve"> the Company’s production cost model. </w:t>
      </w:r>
    </w:p>
    <w:p w:rsidR="00FF0518" w:rsidRPr="00CB59B0" w:rsidRDefault="00FF0518" w:rsidP="00FF0518">
      <w:pPr>
        <w:spacing w:line="480" w:lineRule="auto"/>
        <w:ind w:left="720"/>
        <w:rPr>
          <w:rFonts w:ascii="Times New Roman" w:hAnsi="Times New Roman"/>
        </w:rPr>
      </w:pPr>
      <w:r>
        <w:rPr>
          <w:rFonts w:ascii="Times New Roman" w:hAnsi="Times New Roman"/>
          <w:b/>
        </w:rPr>
        <w:t>(e)</w:t>
      </w:r>
      <w:r>
        <w:rPr>
          <w:rFonts w:ascii="Times New Roman" w:hAnsi="Times New Roman"/>
          <w:b/>
        </w:rPr>
        <w:tab/>
      </w:r>
      <w:r w:rsidR="00F75FEF" w:rsidRPr="00CB59B0">
        <w:rPr>
          <w:b/>
        </w:rPr>
        <w:t xml:space="preserve">R. Bryce Dalley, </w:t>
      </w:r>
      <w:r w:rsidR="00F75FEF" w:rsidRPr="00CB59B0">
        <w:t>Manager, Revenue Requirement, presents the Company’s overall revenue requirement</w:t>
      </w:r>
      <w:r w:rsidR="00F75FEF" w:rsidRPr="00CB59B0">
        <w:rPr>
          <w:b/>
        </w:rPr>
        <w:t xml:space="preserve"> </w:t>
      </w:r>
      <w:r w:rsidR="00F75FEF" w:rsidRPr="00CB59B0">
        <w:t>based on the historic twelve-month period end</w:t>
      </w:r>
      <w:r w:rsidR="003F4955">
        <w:t>ed</w:t>
      </w:r>
      <w:r w:rsidR="00F75FEF" w:rsidRPr="00CB59B0">
        <w:t xml:space="preserve"> </w:t>
      </w:r>
      <w:r w:rsidR="00F75FEF">
        <w:t>December 31, 2009</w:t>
      </w:r>
      <w:r w:rsidR="00CF31E0">
        <w:t>.</w:t>
      </w:r>
      <w:r w:rsidR="00F75FEF" w:rsidRPr="00CB59B0">
        <w:rPr>
          <w:b/>
        </w:rPr>
        <w:t xml:space="preserve">  </w:t>
      </w:r>
      <w:r w:rsidR="00F75FEF" w:rsidRPr="00CB59B0">
        <w:t xml:space="preserve">He also presents the </w:t>
      </w:r>
      <w:r w:rsidR="00277DA2">
        <w:t>normalizing</w:t>
      </w:r>
      <w:r w:rsidR="00F75FEF" w:rsidRPr="00CB59B0">
        <w:t xml:space="preserve"> and pro</w:t>
      </w:r>
      <w:r w:rsidR="00F75FEF">
        <w:t xml:space="preserve"> </w:t>
      </w:r>
      <w:r w:rsidR="00F75FEF" w:rsidRPr="00CB59B0">
        <w:t xml:space="preserve">forma </w:t>
      </w:r>
      <w:r w:rsidR="00277DA2">
        <w:t xml:space="preserve">known and measurable </w:t>
      </w:r>
      <w:r w:rsidR="00F75FEF" w:rsidRPr="00CB59B0">
        <w:t>adjustments to historic results related to revenue, operation</w:t>
      </w:r>
      <w:r w:rsidR="00F75FEF">
        <w:t>s</w:t>
      </w:r>
      <w:r w:rsidR="00F75FEF" w:rsidRPr="00CB59B0">
        <w:t xml:space="preserve"> and maintenance expense, net power costs, depreciation and amortization, taxes and rate base.  </w:t>
      </w:r>
    </w:p>
    <w:p w:rsidR="00FF0518" w:rsidRPr="00F75FEF" w:rsidRDefault="00FF0518" w:rsidP="00FF0518">
      <w:pPr>
        <w:pStyle w:val="BodyTextIndent2"/>
        <w:widowControl w:val="0"/>
        <w:spacing w:after="0"/>
        <w:ind w:left="720"/>
      </w:pPr>
      <w:r>
        <w:rPr>
          <w:b/>
        </w:rPr>
        <w:t>(f)</w:t>
      </w:r>
      <w:r>
        <w:rPr>
          <w:b/>
        </w:rPr>
        <w:tab/>
      </w:r>
      <w:r w:rsidR="00045F51">
        <w:rPr>
          <w:b/>
        </w:rPr>
        <w:t xml:space="preserve">Ryan </w:t>
      </w:r>
      <w:r w:rsidR="00F75FEF">
        <w:rPr>
          <w:b/>
        </w:rPr>
        <w:t>Fuller</w:t>
      </w:r>
      <w:r w:rsidR="00F75FEF">
        <w:t>, Assistant Tax Director, presents the Company’s</w:t>
      </w:r>
      <w:r w:rsidR="006664BE">
        <w:t xml:space="preserve"> calculation of the income tax portion of the Washington-allocated revenue requirement. He also d</w:t>
      </w:r>
      <w:r w:rsidR="00421E09">
        <w:t>iscusses the repairs deduction and the Company’s proposal to move to full normalization of</w:t>
      </w:r>
      <w:r w:rsidR="004C3942">
        <w:t xml:space="preserve"> all</w:t>
      </w:r>
      <w:r w:rsidR="00421E09">
        <w:t xml:space="preserve"> temporary book-tax differences</w:t>
      </w:r>
      <w:r w:rsidR="004C3942">
        <w:t>, with the exception of equity AFUDC</w:t>
      </w:r>
      <w:r w:rsidR="00421E09">
        <w:t xml:space="preserve">.  </w:t>
      </w:r>
    </w:p>
    <w:p w:rsidR="00FF0518" w:rsidRPr="00F75FEF" w:rsidRDefault="00FF0518" w:rsidP="00FF0518">
      <w:pPr>
        <w:pStyle w:val="BodyTextIndent2"/>
        <w:widowControl w:val="0"/>
        <w:spacing w:after="0"/>
        <w:ind w:left="720"/>
      </w:pPr>
      <w:r>
        <w:rPr>
          <w:b/>
        </w:rPr>
        <w:t>(g)</w:t>
      </w:r>
      <w:r>
        <w:rPr>
          <w:b/>
        </w:rPr>
        <w:tab/>
      </w:r>
      <w:r w:rsidR="00F75FEF">
        <w:t xml:space="preserve"> </w:t>
      </w:r>
      <w:r w:rsidR="00F75FEF">
        <w:rPr>
          <w:b/>
        </w:rPr>
        <w:t>Erich D. Wilson</w:t>
      </w:r>
      <w:r w:rsidR="00F75FEF">
        <w:t xml:space="preserve">, Director, Human Resources, presents an overview of </w:t>
      </w:r>
      <w:r w:rsidR="00326256">
        <w:t xml:space="preserve">the Company’s </w:t>
      </w:r>
      <w:r w:rsidR="00F75FEF">
        <w:t xml:space="preserve">compensation plans and supports the costs related to </w:t>
      </w:r>
      <w:r w:rsidR="00AA421F">
        <w:t xml:space="preserve">this </w:t>
      </w:r>
      <w:r w:rsidR="00F75FEF">
        <w:t>area in the test period.</w:t>
      </w:r>
    </w:p>
    <w:p w:rsidR="00F75FEF" w:rsidRDefault="00FF0518" w:rsidP="00FF0518">
      <w:pPr>
        <w:pStyle w:val="BodyTextIndent2"/>
        <w:widowControl w:val="0"/>
        <w:spacing w:after="0"/>
        <w:ind w:left="720"/>
        <w:rPr>
          <w:b/>
        </w:rPr>
      </w:pPr>
      <w:r>
        <w:rPr>
          <w:b/>
        </w:rPr>
        <w:lastRenderedPageBreak/>
        <w:t>(h)</w:t>
      </w:r>
      <w:r>
        <w:rPr>
          <w:b/>
        </w:rPr>
        <w:tab/>
      </w:r>
      <w:r w:rsidR="00F75FEF">
        <w:rPr>
          <w:b/>
        </w:rPr>
        <w:t xml:space="preserve">C. </w:t>
      </w:r>
      <w:r w:rsidR="00F75FEF" w:rsidRPr="00CB59B0">
        <w:rPr>
          <w:b/>
        </w:rPr>
        <w:t xml:space="preserve">Craig Paice, </w:t>
      </w:r>
      <w:r w:rsidR="00F75FEF" w:rsidRPr="00A76E37">
        <w:t>Regulatory Consultant,</w:t>
      </w:r>
      <w:r w:rsidR="00F75FEF" w:rsidRPr="00CB59B0">
        <w:t xml:space="preserve"> Cost of Service and Pricing, presents the Company’s cost of service study.  </w:t>
      </w:r>
    </w:p>
    <w:p w:rsidR="00FF0518" w:rsidRPr="00CB59B0" w:rsidRDefault="00F75FEF" w:rsidP="00FF0518">
      <w:pPr>
        <w:pStyle w:val="BodyTextIndent2"/>
        <w:widowControl w:val="0"/>
        <w:spacing w:after="0"/>
        <w:ind w:left="720"/>
      </w:pPr>
      <w:r>
        <w:rPr>
          <w:b/>
        </w:rPr>
        <w:t xml:space="preserve"> </w:t>
      </w:r>
      <w:r w:rsidR="00FF0518">
        <w:rPr>
          <w:b/>
        </w:rPr>
        <w:t>(</w:t>
      </w:r>
      <w:proofErr w:type="spellStart"/>
      <w:r w:rsidR="00FF0518">
        <w:rPr>
          <w:b/>
        </w:rPr>
        <w:t>i</w:t>
      </w:r>
      <w:proofErr w:type="spellEnd"/>
      <w:r w:rsidR="00FF0518">
        <w:rPr>
          <w:b/>
        </w:rPr>
        <w:t>)</w:t>
      </w:r>
      <w:r w:rsidR="00FF0518">
        <w:rPr>
          <w:b/>
        </w:rPr>
        <w:tab/>
      </w:r>
      <w:r w:rsidRPr="00CB59B0">
        <w:rPr>
          <w:b/>
        </w:rPr>
        <w:t>William R. Griffith</w:t>
      </w:r>
      <w:r w:rsidRPr="00CB59B0">
        <w:t xml:space="preserve">, Director, Pricing, Cost of Service and Regulatory Operations, presents the Company’s proposed rate spread and changes in </w:t>
      </w:r>
      <w:r>
        <w:t xml:space="preserve">rate </w:t>
      </w:r>
      <w:r w:rsidRPr="00CB59B0">
        <w:t xml:space="preserve">design for the affected rate schedules.  </w:t>
      </w:r>
      <w:r w:rsidRPr="00CB59B0">
        <w:rPr>
          <w:bCs/>
        </w:rPr>
        <w:t xml:space="preserve">He also describes the changes proposed by the Company to </w:t>
      </w:r>
      <w:r w:rsidRPr="00CB59B0">
        <w:t xml:space="preserve">the low-income bill assistance program. </w:t>
      </w:r>
      <w:r w:rsidRPr="009B7E4B" w:rsidDel="00EB0AE5">
        <w:t xml:space="preserve"> </w:t>
      </w:r>
      <w:r w:rsidRPr="009B7E4B" w:rsidDel="00376A2D">
        <w:t xml:space="preserve"> </w:t>
      </w:r>
      <w:r w:rsidR="00FF0518" w:rsidRPr="00CB59B0">
        <w:t xml:space="preserve"> </w:t>
      </w:r>
    </w:p>
    <w:p w:rsidR="00FF0518" w:rsidRPr="009B7E4B" w:rsidRDefault="00FF0518" w:rsidP="00F75FEF">
      <w:pPr>
        <w:spacing w:line="480" w:lineRule="auto"/>
        <w:ind w:hanging="720"/>
        <w:rPr>
          <w:rFonts w:ascii="Times New Roman" w:hAnsi="Times New Roman"/>
        </w:rPr>
      </w:pPr>
      <w:r w:rsidRPr="009B7E4B" w:rsidDel="00442E81">
        <w:rPr>
          <w:rFonts w:ascii="Times New Roman" w:hAnsi="Times New Roman"/>
        </w:rPr>
        <w:t xml:space="preserve"> </w:t>
      </w:r>
      <w:r w:rsidRPr="009B7E4B" w:rsidDel="007C67E8">
        <w:rPr>
          <w:rFonts w:ascii="Times New Roman" w:hAnsi="Times New Roman"/>
        </w:rPr>
        <w:t xml:space="preserve"> </w:t>
      </w:r>
      <w:r w:rsidR="00277DA2">
        <w:rPr>
          <w:rFonts w:ascii="Times New Roman" w:hAnsi="Times New Roman"/>
          <w:i/>
        </w:rPr>
        <w:t>12</w:t>
      </w:r>
      <w:r w:rsidRPr="009B7E4B">
        <w:rPr>
          <w:rFonts w:ascii="Times New Roman" w:hAnsi="Times New Roman"/>
        </w:rPr>
        <w:tab/>
      </w:r>
      <w:r w:rsidR="00F75FEF">
        <w:rPr>
          <w:rFonts w:ascii="Times New Roman" w:hAnsi="Times New Roman"/>
        </w:rPr>
        <w:tab/>
      </w:r>
      <w:r w:rsidRPr="009B7E4B">
        <w:rPr>
          <w:rFonts w:ascii="Times New Roman" w:hAnsi="Times New Roman"/>
        </w:rPr>
        <w:t xml:space="preserve">Pursuant to </w:t>
      </w:r>
      <w:smartTag w:uri="urn:schemas-microsoft-com:office:smarttags" w:element="stockticker">
        <w:r w:rsidRPr="009B7E4B">
          <w:rPr>
            <w:rFonts w:ascii="Times New Roman" w:hAnsi="Times New Roman"/>
          </w:rPr>
          <w:t>WAC</w:t>
        </w:r>
      </w:smartTag>
      <w:r w:rsidRPr="009B7E4B">
        <w:rPr>
          <w:rFonts w:ascii="Times New Roman" w:hAnsi="Times New Roman"/>
        </w:rPr>
        <w:t xml:space="preserve"> 480-07-510(4), attached as Exhibit A is the Summary Document setting forth the information required to be filed in connection with applications for general rate increases</w:t>
      </w:r>
      <w:r w:rsidRPr="00765221">
        <w:rPr>
          <w:rFonts w:ascii="Times New Roman" w:hAnsi="Times New Roman"/>
        </w:rPr>
        <w:t xml:space="preserve">. </w:t>
      </w:r>
    </w:p>
    <w:p w:rsidR="00FF0518" w:rsidRPr="009B7E4B" w:rsidRDefault="00FF0518" w:rsidP="00FF0518">
      <w:pPr>
        <w:spacing w:line="480" w:lineRule="auto"/>
        <w:jc w:val="both"/>
        <w:rPr>
          <w:rFonts w:ascii="Times New Roman" w:hAnsi="Times New Roman"/>
        </w:rPr>
      </w:pPr>
      <w:r w:rsidRPr="009B7E4B">
        <w:rPr>
          <w:rFonts w:ascii="Times New Roman" w:hAnsi="Times New Roman"/>
        </w:rPr>
        <w:tab/>
      </w:r>
      <w:proofErr w:type="gramStart"/>
      <w:r w:rsidRPr="009B7E4B">
        <w:rPr>
          <w:rFonts w:ascii="Times New Roman" w:hAnsi="Times New Roman"/>
        </w:rPr>
        <w:t>DATED:</w:t>
      </w:r>
      <w:r w:rsidRPr="009B7E4B">
        <w:rPr>
          <w:rFonts w:ascii="Times New Roman" w:hAnsi="Times New Roman"/>
        </w:rPr>
        <w:tab/>
      </w:r>
      <w:r w:rsidR="005E5E9C" w:rsidRPr="005E5E9C">
        <w:rPr>
          <w:rFonts w:ascii="Times New Roman" w:hAnsi="Times New Roman"/>
        </w:rPr>
        <w:t>May 4, 2010</w:t>
      </w:r>
      <w:r w:rsidRPr="009B7E4B">
        <w:rPr>
          <w:rFonts w:ascii="Times New Roman" w:hAnsi="Times New Roman"/>
        </w:rPr>
        <w:t>.</w:t>
      </w:r>
      <w:proofErr w:type="gramEnd"/>
    </w:p>
    <w:p w:rsidR="00FF0518" w:rsidRPr="009B7E4B" w:rsidRDefault="00FF0518" w:rsidP="00FF0518">
      <w:pPr>
        <w:spacing w:after="120"/>
        <w:jc w:val="right"/>
        <w:rPr>
          <w:rFonts w:ascii="Times New Roman" w:hAnsi="Times New Roman"/>
        </w:rPr>
      </w:pPr>
      <w:r w:rsidRPr="009B7E4B">
        <w:rPr>
          <w:rFonts w:ascii="Times New Roman" w:hAnsi="Times New Roman"/>
        </w:rPr>
        <w:t>Respectfully Submitted,</w:t>
      </w:r>
      <w:r w:rsidRPr="009B7E4B">
        <w:rPr>
          <w:rFonts w:ascii="Times New Roman" w:hAnsi="Times New Roman"/>
        </w:rPr>
        <w:tab/>
      </w:r>
      <w:r w:rsidRPr="009B7E4B">
        <w:rPr>
          <w:rFonts w:ascii="Times New Roman" w:hAnsi="Times New Roman"/>
        </w:rPr>
        <w:tab/>
      </w:r>
    </w:p>
    <w:p w:rsidR="00FF0518" w:rsidRPr="009B7E4B" w:rsidRDefault="00FF0518" w:rsidP="00FF0518">
      <w:pPr>
        <w:spacing w:after="120"/>
        <w:jc w:val="right"/>
        <w:rPr>
          <w:rFonts w:ascii="Times New Roman" w:hAnsi="Times New Roman"/>
        </w:rPr>
      </w:pPr>
    </w:p>
    <w:p w:rsidR="00FF0518" w:rsidRPr="009B7E4B" w:rsidRDefault="00FF0518" w:rsidP="00FF0518">
      <w:pPr>
        <w:spacing w:after="120"/>
        <w:jc w:val="right"/>
        <w:rPr>
          <w:rFonts w:ascii="Times New Roman" w:hAnsi="Times New Roman"/>
        </w:rPr>
      </w:pPr>
    </w:p>
    <w:p w:rsidR="00FF0518" w:rsidRDefault="00FF0518" w:rsidP="00FF0518">
      <w:pPr>
        <w:spacing w:after="120"/>
        <w:jc w:val="right"/>
        <w:rPr>
          <w:rFonts w:ascii="Times New Roman" w:hAnsi="Times New Roman"/>
        </w:rPr>
      </w:pPr>
      <w:r w:rsidRPr="009B7E4B">
        <w:rPr>
          <w:rFonts w:ascii="Times New Roman" w:hAnsi="Times New Roman"/>
        </w:rPr>
        <w:t>By ___________________________</w:t>
      </w:r>
    </w:p>
    <w:p w:rsidR="00FF0518" w:rsidRDefault="00FF0518" w:rsidP="00FF0518">
      <w:pPr>
        <w:spacing w:after="120"/>
        <w:ind w:left="5400"/>
        <w:rPr>
          <w:rFonts w:ascii="Times New Roman" w:hAnsi="Times New Roman"/>
        </w:rPr>
      </w:pPr>
      <w:r>
        <w:rPr>
          <w:rFonts w:ascii="Times New Roman" w:hAnsi="Times New Roman"/>
        </w:rPr>
        <w:t>Michelle R. Mishoe</w:t>
      </w:r>
    </w:p>
    <w:p w:rsidR="00FF0518" w:rsidRDefault="00FF0518" w:rsidP="00FF0518">
      <w:pPr>
        <w:spacing w:after="120"/>
        <w:ind w:left="5400"/>
        <w:rPr>
          <w:rFonts w:ascii="Times New Roman" w:hAnsi="Times New Roman"/>
        </w:rPr>
      </w:pPr>
      <w:r>
        <w:rPr>
          <w:rFonts w:ascii="Times New Roman" w:hAnsi="Times New Roman"/>
        </w:rPr>
        <w:t>Pacific Power</w:t>
      </w:r>
    </w:p>
    <w:p w:rsidR="00FF0518" w:rsidRDefault="00FF0518" w:rsidP="00FF0518">
      <w:pPr>
        <w:pStyle w:val="PleadingSignature"/>
        <w:spacing w:line="240" w:lineRule="auto"/>
        <w:ind w:left="180"/>
        <w:rPr>
          <w:szCs w:val="24"/>
        </w:rPr>
      </w:pPr>
    </w:p>
    <w:p w:rsidR="00FF0518" w:rsidRPr="009B7E4B" w:rsidRDefault="00FF0518" w:rsidP="00FF0518">
      <w:pPr>
        <w:spacing w:after="120"/>
        <w:jc w:val="right"/>
        <w:rPr>
          <w:rFonts w:ascii="Times New Roman" w:hAnsi="Times New Roman"/>
        </w:rPr>
      </w:pPr>
      <w:r>
        <w:rPr>
          <w:rFonts w:ascii="Times New Roman" w:hAnsi="Times New Roman"/>
        </w:rPr>
        <w:br w:type="page"/>
      </w:r>
      <w:r w:rsidRPr="009B7E4B">
        <w:rPr>
          <w:rFonts w:ascii="Times New Roman" w:hAnsi="Times New Roman"/>
        </w:rPr>
        <w:lastRenderedPageBreak/>
        <w:tab/>
      </w:r>
      <w:r w:rsidRPr="009B7E4B">
        <w:rPr>
          <w:rFonts w:ascii="Times New Roman" w:hAnsi="Times New Roman"/>
        </w:rPr>
        <w:tab/>
      </w:r>
      <w:r w:rsidRPr="009B7E4B">
        <w:rPr>
          <w:rFonts w:ascii="Times New Roman" w:hAnsi="Times New Roman"/>
        </w:rPr>
        <w:tab/>
      </w:r>
      <w:r w:rsidRPr="009B7E4B">
        <w:rPr>
          <w:rFonts w:ascii="Times New Roman" w:hAnsi="Times New Roman"/>
        </w:rPr>
        <w:tab/>
      </w:r>
    </w:p>
    <w:p w:rsidR="00FF0518" w:rsidRPr="009B7E4B" w:rsidRDefault="00FF0518" w:rsidP="00FF0518">
      <w:pPr>
        <w:spacing w:after="120"/>
        <w:jc w:val="right"/>
        <w:rPr>
          <w:rFonts w:ascii="Times New Roman" w:hAnsi="Times New Roman"/>
        </w:rPr>
      </w:pPr>
    </w:p>
    <w:p w:rsidR="00FF0518" w:rsidRDefault="00FF0518" w:rsidP="00FF0518">
      <w:pPr>
        <w:jc w:val="center"/>
        <w:rPr>
          <w:b/>
        </w:rPr>
      </w:pPr>
      <w:r>
        <w:rPr>
          <w:b/>
        </w:rPr>
        <w:t>PACIFICORP</w:t>
      </w:r>
    </w:p>
    <w:p w:rsidR="00FF0518" w:rsidRDefault="00FF0518" w:rsidP="00FF0518">
      <w:pPr>
        <w:jc w:val="center"/>
      </w:pPr>
    </w:p>
    <w:p w:rsidR="00FF0518" w:rsidRDefault="00FF0518" w:rsidP="00FF0518">
      <w:pPr>
        <w:jc w:val="center"/>
        <w:rPr>
          <w:b/>
        </w:rPr>
      </w:pPr>
      <w:r>
        <w:rPr>
          <w:b/>
        </w:rPr>
        <w:t>Exhibit A</w:t>
      </w:r>
    </w:p>
    <w:p w:rsidR="00FF0518" w:rsidRDefault="00FF0518" w:rsidP="00FF0518">
      <w:pPr>
        <w:jc w:val="center"/>
        <w:rPr>
          <w:b/>
        </w:rPr>
      </w:pPr>
      <w:r>
        <w:rPr>
          <w:b/>
        </w:rPr>
        <w:t>Summary of Requested Electric General Rate Increase</w:t>
      </w:r>
    </w:p>
    <w:p w:rsidR="00FF0518" w:rsidRDefault="00FF0518" w:rsidP="00FF0518">
      <w:pPr>
        <w:jc w:val="center"/>
      </w:pPr>
      <w:smartTag w:uri="urn:schemas-microsoft-com:office:smarttags" w:element="State">
        <w:smartTag w:uri="urn:schemas-microsoft-com:office:smarttags" w:element="place">
          <w:r>
            <w:t>Washington</w:t>
          </w:r>
        </w:smartTag>
      </w:smartTag>
      <w:r>
        <w:t xml:space="preserve"> Jurisdiction</w:t>
      </w:r>
    </w:p>
    <w:p w:rsidR="00FF0518" w:rsidRDefault="00FF0518" w:rsidP="00FF0518">
      <w:pPr>
        <w:jc w:val="center"/>
      </w:pPr>
      <w:r>
        <w:t xml:space="preserve">Filed </w:t>
      </w:r>
      <w:r w:rsidR="005E5E9C" w:rsidRPr="005E5E9C">
        <w:t>May 4, 2010</w:t>
      </w:r>
    </w:p>
    <w:p w:rsidR="00FF0518" w:rsidRDefault="00FF0518" w:rsidP="00FF0518">
      <w:pPr>
        <w:rPr>
          <w:b/>
          <w:u w:val="single"/>
        </w:rPr>
      </w:pPr>
      <w:r>
        <w:rPr>
          <w:b/>
          <w:u w:val="single"/>
        </w:rPr>
        <w:t>________________________________________________________________________</w:t>
      </w:r>
    </w:p>
    <w:p w:rsidR="00FF0518" w:rsidRDefault="00FF0518" w:rsidP="00FF0518"/>
    <w:p w:rsidR="00FF0518" w:rsidRDefault="00FF0518" w:rsidP="00FF0518">
      <w:pPr>
        <w:tabs>
          <w:tab w:val="left" w:pos="900"/>
          <w:tab w:val="left" w:pos="1080"/>
          <w:tab w:val="left" w:pos="1260"/>
        </w:tabs>
        <w:ind w:left="720" w:hanging="720"/>
        <w:rPr>
          <w:b/>
        </w:rPr>
      </w:pPr>
      <w:r>
        <w:rPr>
          <w:b/>
        </w:rPr>
        <w:t>1)</w:t>
      </w:r>
      <w:r>
        <w:rPr>
          <w:b/>
        </w:rPr>
        <w:tab/>
        <w:t>The date and amount of the latest prior general rate increase authorized by the Commission, and the revenue realized from that authorized increase in the test period, based on the company’s test period units of revenue.</w:t>
      </w:r>
    </w:p>
    <w:p w:rsidR="00FF0518" w:rsidRDefault="00FF0518" w:rsidP="00FF0518">
      <w:pPr>
        <w:rPr>
          <w:b/>
        </w:rPr>
      </w:pPr>
    </w:p>
    <w:p w:rsidR="00484F5A" w:rsidRDefault="00FF0518">
      <w:pPr>
        <w:tabs>
          <w:tab w:val="left" w:pos="1440"/>
          <w:tab w:val="left" w:pos="2520"/>
        </w:tabs>
        <w:spacing w:line="360" w:lineRule="auto"/>
      </w:pPr>
      <w:r>
        <w:tab/>
        <w:t>Date:</w:t>
      </w:r>
      <w:r>
        <w:tab/>
      </w:r>
      <w:r>
        <w:tab/>
      </w:r>
      <w:r>
        <w:tab/>
      </w:r>
      <w:r>
        <w:tab/>
      </w:r>
      <w:r>
        <w:tab/>
      </w:r>
      <w:r>
        <w:tab/>
      </w:r>
      <w:r w:rsidR="007D6191">
        <w:t>January 1, 2010</w:t>
      </w:r>
    </w:p>
    <w:p w:rsidR="00484F5A" w:rsidRDefault="00FF0518">
      <w:pPr>
        <w:pStyle w:val="BodyTextIndent"/>
        <w:tabs>
          <w:tab w:val="left" w:pos="1440"/>
          <w:tab w:val="left" w:pos="2520"/>
        </w:tabs>
        <w:spacing w:line="360" w:lineRule="auto"/>
      </w:pPr>
      <w:r>
        <w:tab/>
        <w:t>Amount:</w:t>
      </w:r>
      <w:r>
        <w:tab/>
      </w:r>
      <w:r>
        <w:tab/>
      </w:r>
      <w:r>
        <w:tab/>
      </w:r>
      <w:r>
        <w:tab/>
      </w:r>
      <w:r>
        <w:tab/>
      </w:r>
      <w:r>
        <w:tab/>
      </w:r>
      <w:r w:rsidRPr="007E7830">
        <w:t>$</w:t>
      </w:r>
      <w:r>
        <w:t>1</w:t>
      </w:r>
      <w:r w:rsidR="00255B72">
        <w:t>3</w:t>
      </w:r>
      <w:r>
        <w:t>,</w:t>
      </w:r>
      <w:r w:rsidR="00255B72">
        <w:t>5</w:t>
      </w:r>
      <w:r>
        <w:t xml:space="preserve">00,000 </w:t>
      </w:r>
    </w:p>
    <w:p w:rsidR="00FF0518" w:rsidRDefault="00FF0518" w:rsidP="00FF0518">
      <w:pPr>
        <w:pStyle w:val="BodyTextIndent"/>
        <w:tabs>
          <w:tab w:val="left" w:pos="1440"/>
          <w:tab w:val="left" w:pos="2520"/>
        </w:tabs>
      </w:pPr>
      <w:r>
        <w:tab/>
        <w:t>Amount Realized in the test period:</w:t>
      </w:r>
      <w:r>
        <w:tab/>
        <w:t xml:space="preserve">            </w:t>
      </w:r>
      <w:r w:rsidRPr="003E1ACE">
        <w:t>$</w:t>
      </w:r>
      <w:r w:rsidR="007D6191">
        <w:t>0</w:t>
      </w:r>
    </w:p>
    <w:p w:rsidR="00FF0518" w:rsidRDefault="00FF0518" w:rsidP="00FF0518">
      <w:pPr>
        <w:tabs>
          <w:tab w:val="left" w:pos="900"/>
          <w:tab w:val="left" w:pos="1080"/>
          <w:tab w:val="left" w:pos="1260"/>
          <w:tab w:val="left" w:pos="2880"/>
        </w:tabs>
        <w:rPr>
          <w:b/>
        </w:rPr>
      </w:pPr>
    </w:p>
    <w:p w:rsidR="00FF0518" w:rsidRDefault="00FF0518" w:rsidP="00FF0518">
      <w:pPr>
        <w:tabs>
          <w:tab w:val="left" w:pos="900"/>
          <w:tab w:val="left" w:pos="1080"/>
          <w:tab w:val="left" w:pos="1260"/>
        </w:tabs>
        <w:ind w:left="720" w:hanging="720"/>
        <w:rPr>
          <w:b/>
        </w:rPr>
      </w:pPr>
      <w:r>
        <w:rPr>
          <w:b/>
        </w:rPr>
        <w:t>2)</w:t>
      </w:r>
      <w:r>
        <w:rPr>
          <w:b/>
        </w:rPr>
        <w:tab/>
        <w:t>Total revenues at present rates and at requested rates.</w:t>
      </w:r>
    </w:p>
    <w:p w:rsidR="00FF0518" w:rsidRDefault="00FF0518" w:rsidP="00FF0518">
      <w:pPr>
        <w:tabs>
          <w:tab w:val="left" w:pos="720"/>
          <w:tab w:val="left" w:pos="900"/>
          <w:tab w:val="left" w:pos="1080"/>
          <w:tab w:val="left" w:pos="1260"/>
        </w:tabs>
        <w:rPr>
          <w:b/>
        </w:rPr>
      </w:pPr>
    </w:p>
    <w:p w:rsidR="00FF0518" w:rsidRDefault="00FF0518" w:rsidP="00FF0518">
      <w:pPr>
        <w:tabs>
          <w:tab w:val="left" w:pos="1440"/>
          <w:tab w:val="decimal" w:pos="7200"/>
        </w:tabs>
      </w:pPr>
      <w:r>
        <w:tab/>
        <w:t>Present Rates</w:t>
      </w:r>
      <w:r>
        <w:tab/>
        <w:t>$</w:t>
      </w:r>
      <w:r w:rsidR="00A96C01">
        <w:t>271,765,000</w:t>
      </w:r>
    </w:p>
    <w:p w:rsidR="00FF0518" w:rsidRDefault="00FF0518" w:rsidP="00FF0518">
      <w:pPr>
        <w:tabs>
          <w:tab w:val="left" w:pos="1440"/>
          <w:tab w:val="decimal" w:pos="7200"/>
        </w:tabs>
      </w:pPr>
      <w:r>
        <w:tab/>
        <w:t>Requested Rates</w:t>
      </w:r>
      <w:r>
        <w:tab/>
      </w:r>
      <w:r w:rsidRPr="008567B9">
        <w:t>$</w:t>
      </w:r>
      <w:r w:rsidR="00A96C01">
        <w:t>328,512,000</w:t>
      </w:r>
    </w:p>
    <w:p w:rsidR="00FF0518" w:rsidRDefault="00FF0518" w:rsidP="00FF0518">
      <w:pPr>
        <w:tabs>
          <w:tab w:val="left" w:pos="1440"/>
          <w:tab w:val="decimal" w:pos="7200"/>
        </w:tabs>
      </w:pPr>
      <w:r>
        <w:tab/>
      </w:r>
    </w:p>
    <w:p w:rsidR="00FF0518" w:rsidRDefault="00FF0518" w:rsidP="00FF0518">
      <w:pPr>
        <w:tabs>
          <w:tab w:val="left" w:pos="720"/>
          <w:tab w:val="left" w:pos="900"/>
          <w:tab w:val="left" w:pos="1080"/>
          <w:tab w:val="left" w:pos="1260"/>
        </w:tabs>
        <w:ind w:left="720" w:hanging="720"/>
        <w:rPr>
          <w:b/>
        </w:rPr>
      </w:pPr>
      <w:r>
        <w:rPr>
          <w:b/>
        </w:rPr>
        <w:t>3)</w:t>
      </w:r>
      <w:r>
        <w:rPr>
          <w:b/>
        </w:rPr>
        <w:tab/>
        <w:t xml:space="preserve">Requested revenue change in percentage, in total and by major customer class </w:t>
      </w:r>
    </w:p>
    <w:p w:rsidR="00FF0518" w:rsidRDefault="00FF0518" w:rsidP="00FF0518">
      <w:pPr>
        <w:tabs>
          <w:tab w:val="left" w:pos="720"/>
          <w:tab w:val="left" w:pos="900"/>
          <w:tab w:val="left" w:pos="1080"/>
          <w:tab w:val="left" w:pos="1260"/>
        </w:tabs>
      </w:pPr>
      <w:r>
        <w:tab/>
      </w:r>
      <w:r>
        <w:tab/>
      </w:r>
      <w:r>
        <w:tab/>
      </w:r>
      <w:r>
        <w:tab/>
      </w:r>
      <w:r>
        <w:tab/>
      </w:r>
      <w:r>
        <w:tab/>
      </w:r>
      <w:r>
        <w:tab/>
      </w:r>
      <w:r>
        <w:tab/>
      </w:r>
      <w:r>
        <w:tab/>
      </w:r>
      <w:r>
        <w:tab/>
      </w:r>
      <w:r>
        <w:tab/>
      </w:r>
      <w:r>
        <w:tab/>
      </w:r>
    </w:p>
    <w:p w:rsidR="00FF0518" w:rsidRDefault="00FF0518" w:rsidP="00FF0518">
      <w:pPr>
        <w:tabs>
          <w:tab w:val="left" w:pos="1440"/>
          <w:tab w:val="left" w:pos="6300"/>
        </w:tabs>
      </w:pPr>
      <w:r>
        <w:rPr>
          <w:b/>
        </w:rPr>
        <w:tab/>
      </w:r>
      <w:r>
        <w:t>Residential</w:t>
      </w:r>
      <w:r>
        <w:tab/>
      </w:r>
      <w:r w:rsidR="00A96C01">
        <w:t>21.0</w:t>
      </w:r>
      <w:r w:rsidRPr="008567B9">
        <w:t>%</w:t>
      </w:r>
    </w:p>
    <w:p w:rsidR="00FF0518" w:rsidRDefault="00FF0518" w:rsidP="00FF0518">
      <w:pPr>
        <w:tabs>
          <w:tab w:val="left" w:pos="1440"/>
          <w:tab w:val="left" w:pos="6300"/>
        </w:tabs>
      </w:pPr>
      <w:r>
        <w:tab/>
        <w:t xml:space="preserve">Commercial &amp; Industrial </w:t>
      </w:r>
      <w:r>
        <w:tab/>
      </w:r>
      <w:r w:rsidR="00A96C01">
        <w:t>21.0</w:t>
      </w:r>
      <w:r w:rsidRPr="008567B9">
        <w:t>%</w:t>
      </w:r>
    </w:p>
    <w:p w:rsidR="00FF0518" w:rsidRDefault="00FF0518" w:rsidP="00FF0518">
      <w:pPr>
        <w:tabs>
          <w:tab w:val="left" w:pos="1440"/>
          <w:tab w:val="left" w:pos="6300"/>
        </w:tabs>
      </w:pPr>
      <w:r>
        <w:tab/>
        <w:t xml:space="preserve">Public Street Lighting  </w:t>
      </w:r>
      <w:r>
        <w:tab/>
      </w:r>
      <w:r w:rsidR="00A96C01">
        <w:t>5.0</w:t>
      </w:r>
      <w:r w:rsidRPr="005E0966">
        <w:t>%</w:t>
      </w:r>
      <w:r>
        <w:tab/>
      </w:r>
    </w:p>
    <w:p w:rsidR="00FF0518" w:rsidRDefault="00FF0518" w:rsidP="00FF0518">
      <w:pPr>
        <w:tabs>
          <w:tab w:val="left" w:pos="1440"/>
          <w:tab w:val="left" w:pos="4320"/>
          <w:tab w:val="left" w:pos="6300"/>
        </w:tabs>
      </w:pPr>
      <w:r>
        <w:tab/>
      </w:r>
      <w:r>
        <w:tab/>
        <w:t xml:space="preserve">Total </w:t>
      </w:r>
      <w:r>
        <w:tab/>
      </w:r>
      <w:r w:rsidR="00A96C01">
        <w:t>20.9</w:t>
      </w:r>
      <w:r w:rsidRPr="005E0966">
        <w:t>%</w:t>
      </w:r>
    </w:p>
    <w:p w:rsidR="00FF0518" w:rsidRDefault="00FF0518" w:rsidP="00FF0518">
      <w:pPr>
        <w:tabs>
          <w:tab w:val="left" w:pos="900"/>
          <w:tab w:val="left" w:pos="1080"/>
          <w:tab w:val="left" w:pos="1260"/>
        </w:tabs>
      </w:pPr>
    </w:p>
    <w:p w:rsidR="00FF0518" w:rsidRDefault="00FF0518" w:rsidP="00FF0518">
      <w:pPr>
        <w:tabs>
          <w:tab w:val="left" w:pos="900"/>
          <w:tab w:val="left" w:pos="1080"/>
          <w:tab w:val="left" w:pos="1260"/>
        </w:tabs>
        <w:ind w:left="720" w:hanging="720"/>
      </w:pPr>
      <w:r>
        <w:rPr>
          <w:b/>
        </w:rPr>
        <w:t>4)</w:t>
      </w:r>
      <w:r>
        <w:rPr>
          <w:b/>
        </w:rPr>
        <w:tab/>
        <w:t xml:space="preserve">Requested revenue change in dollars, in total and by major customer class </w:t>
      </w:r>
      <w:r>
        <w:tab/>
        <w:t xml:space="preserve"> </w:t>
      </w:r>
    </w:p>
    <w:p w:rsidR="00FF0518" w:rsidRDefault="00FF0518" w:rsidP="00FF0518">
      <w:pPr>
        <w:tabs>
          <w:tab w:val="left" w:pos="720"/>
          <w:tab w:val="left" w:pos="900"/>
          <w:tab w:val="left" w:pos="1080"/>
          <w:tab w:val="left" w:pos="1260"/>
        </w:tabs>
      </w:pPr>
      <w:r>
        <w:tab/>
      </w:r>
      <w:r>
        <w:tab/>
      </w:r>
      <w:r>
        <w:tab/>
      </w:r>
      <w:r>
        <w:tab/>
      </w:r>
      <w:r>
        <w:tab/>
      </w:r>
      <w:r>
        <w:tab/>
      </w:r>
      <w:r>
        <w:tab/>
      </w:r>
      <w:r>
        <w:tab/>
      </w:r>
      <w:r>
        <w:tab/>
      </w:r>
      <w:r>
        <w:tab/>
      </w:r>
      <w:r>
        <w:tab/>
      </w:r>
      <w:r>
        <w:tab/>
      </w:r>
      <w:r>
        <w:tab/>
      </w:r>
      <w:r>
        <w:tab/>
      </w:r>
      <w:r>
        <w:tab/>
      </w:r>
    </w:p>
    <w:p w:rsidR="00FF0518" w:rsidRPr="000716A5" w:rsidRDefault="00FF0518" w:rsidP="00FF0518">
      <w:pPr>
        <w:tabs>
          <w:tab w:val="left" w:pos="1440"/>
          <w:tab w:val="left" w:pos="4320"/>
          <w:tab w:val="decimal" w:pos="7200"/>
        </w:tabs>
      </w:pPr>
      <w:r>
        <w:tab/>
        <w:t>Residential</w:t>
      </w:r>
      <w:r>
        <w:tab/>
      </w:r>
      <w:r>
        <w:tab/>
      </w:r>
      <w:r w:rsidRPr="00E85C53">
        <w:t>$</w:t>
      </w:r>
      <w:r w:rsidR="00A96C01">
        <w:t>24,90</w:t>
      </w:r>
      <w:r w:rsidR="00B5002D">
        <w:t>2</w:t>
      </w:r>
      <w:r w:rsidR="00A96C01">
        <w:t>,000</w:t>
      </w:r>
      <w:r w:rsidRPr="000716A5">
        <w:tab/>
        <w:t xml:space="preserve">   </w:t>
      </w:r>
      <w:r w:rsidRPr="000716A5">
        <w:tab/>
        <w:t xml:space="preserve">    </w:t>
      </w:r>
    </w:p>
    <w:p w:rsidR="00FF0518" w:rsidRPr="000716A5" w:rsidRDefault="00FF0518" w:rsidP="00FF0518">
      <w:pPr>
        <w:tabs>
          <w:tab w:val="left" w:pos="1440"/>
          <w:tab w:val="left" w:pos="4320"/>
          <w:tab w:val="decimal" w:pos="7200"/>
        </w:tabs>
      </w:pPr>
      <w:r w:rsidRPr="000716A5">
        <w:tab/>
        <w:t>Commercial &amp; Industrial</w:t>
      </w:r>
      <w:r w:rsidRPr="000716A5">
        <w:tab/>
      </w:r>
      <w:r w:rsidRPr="000716A5">
        <w:tab/>
      </w:r>
      <w:r w:rsidRPr="008567B9">
        <w:t>$</w:t>
      </w:r>
      <w:r w:rsidR="00A96C01">
        <w:t>31,75</w:t>
      </w:r>
      <w:r w:rsidR="00B5002D">
        <w:t>7</w:t>
      </w:r>
      <w:r w:rsidR="00A96C01">
        <w:t>,000</w:t>
      </w:r>
    </w:p>
    <w:p w:rsidR="00FF0518" w:rsidRPr="000716A5" w:rsidRDefault="00FF0518" w:rsidP="00FF0518">
      <w:pPr>
        <w:tabs>
          <w:tab w:val="left" w:pos="1440"/>
          <w:tab w:val="left" w:pos="4320"/>
          <w:tab w:val="decimal" w:pos="7200"/>
        </w:tabs>
      </w:pPr>
      <w:r w:rsidRPr="000716A5">
        <w:tab/>
        <w:t>Public Street Lighting</w:t>
      </w:r>
      <w:r w:rsidRPr="000716A5">
        <w:tab/>
      </w:r>
      <w:r w:rsidRPr="000716A5">
        <w:tab/>
        <w:t xml:space="preserve">$ </w:t>
      </w:r>
      <w:r w:rsidR="00A96C01">
        <w:t>88,000</w:t>
      </w:r>
      <w:r w:rsidRPr="000716A5">
        <w:tab/>
      </w:r>
      <w:r w:rsidRPr="000716A5">
        <w:tab/>
      </w:r>
      <w:r w:rsidRPr="000716A5">
        <w:tab/>
      </w:r>
    </w:p>
    <w:p w:rsidR="00FF0518" w:rsidRDefault="00FF0518" w:rsidP="00FF0518">
      <w:pPr>
        <w:tabs>
          <w:tab w:val="left" w:pos="1440"/>
          <w:tab w:val="left" w:pos="4320"/>
          <w:tab w:val="decimal" w:pos="7200"/>
        </w:tabs>
      </w:pPr>
      <w:r w:rsidRPr="000716A5">
        <w:tab/>
      </w:r>
      <w:r w:rsidRPr="000716A5">
        <w:tab/>
        <w:t>Total</w:t>
      </w:r>
      <w:r w:rsidRPr="000716A5">
        <w:tab/>
      </w:r>
      <w:r w:rsidRPr="008567B9">
        <w:t>$</w:t>
      </w:r>
      <w:r w:rsidR="00A96C01">
        <w:t>56,747,000</w:t>
      </w:r>
      <w:r>
        <w:tab/>
      </w:r>
      <w:r>
        <w:tab/>
        <w:t xml:space="preserve">    </w:t>
      </w:r>
    </w:p>
    <w:p w:rsidR="00FF0518" w:rsidRDefault="00FF0518" w:rsidP="00FF0518">
      <w:pPr>
        <w:tabs>
          <w:tab w:val="left" w:pos="900"/>
          <w:tab w:val="left" w:pos="1080"/>
          <w:tab w:val="left" w:pos="1260"/>
        </w:tabs>
      </w:pPr>
    </w:p>
    <w:p w:rsidR="00FF0518" w:rsidRDefault="00FF0518" w:rsidP="00FF0518">
      <w:pPr>
        <w:tabs>
          <w:tab w:val="left" w:pos="900"/>
          <w:tab w:val="left" w:pos="1080"/>
          <w:tab w:val="left" w:pos="1260"/>
        </w:tabs>
        <w:ind w:left="720" w:hanging="720"/>
      </w:pPr>
      <w:r>
        <w:rPr>
          <w:b/>
        </w:rPr>
        <w:t>5)</w:t>
      </w:r>
      <w:r>
        <w:rPr>
          <w:b/>
        </w:rPr>
        <w:tab/>
        <w:t>Requested rate change in dollars per month, per average residential customer.</w:t>
      </w:r>
    </w:p>
    <w:p w:rsidR="00FF0518" w:rsidRDefault="00FF0518" w:rsidP="00FF0518">
      <w:pPr>
        <w:tabs>
          <w:tab w:val="left" w:pos="900"/>
          <w:tab w:val="left" w:pos="1080"/>
          <w:tab w:val="left" w:pos="1260"/>
        </w:tabs>
      </w:pPr>
    </w:p>
    <w:p w:rsidR="00FF0518" w:rsidRDefault="00FF0518" w:rsidP="00FF0518">
      <w:pPr>
        <w:tabs>
          <w:tab w:val="left" w:pos="1440"/>
        </w:tabs>
      </w:pPr>
      <w:r>
        <w:tab/>
        <w:t xml:space="preserve">Monthly impact at average usage </w:t>
      </w:r>
      <w:r w:rsidRPr="008567B9">
        <w:t xml:space="preserve">of </w:t>
      </w:r>
      <w:r w:rsidR="00F11B5E" w:rsidRPr="00F11B5E">
        <w:t>1,300</w:t>
      </w:r>
      <w:r w:rsidRPr="008567B9">
        <w:t xml:space="preserve"> kWh per month - $</w:t>
      </w:r>
      <w:r w:rsidR="00A96C01">
        <w:t>19.75</w:t>
      </w:r>
    </w:p>
    <w:p w:rsidR="00FF0518" w:rsidRDefault="00FF0518" w:rsidP="00FF0518">
      <w:pPr>
        <w:tabs>
          <w:tab w:val="left" w:pos="1440"/>
        </w:tabs>
      </w:pPr>
    </w:p>
    <w:p w:rsidR="00FF0518" w:rsidRDefault="00FF0518" w:rsidP="00FF0518">
      <w:pPr>
        <w:tabs>
          <w:tab w:val="left" w:pos="900"/>
          <w:tab w:val="left" w:pos="1080"/>
          <w:tab w:val="left" w:pos="1260"/>
        </w:tabs>
      </w:pPr>
      <w:r>
        <w:lastRenderedPageBreak/>
        <w:tab/>
      </w:r>
      <w:r>
        <w:tab/>
      </w:r>
    </w:p>
    <w:p w:rsidR="00FF0518" w:rsidRDefault="00FF0518" w:rsidP="00FF0518">
      <w:pPr>
        <w:tabs>
          <w:tab w:val="left" w:pos="900"/>
          <w:tab w:val="left" w:pos="1080"/>
          <w:tab w:val="left" w:pos="1260"/>
        </w:tabs>
        <w:ind w:left="720" w:hanging="720"/>
        <w:rPr>
          <w:b/>
        </w:rPr>
      </w:pPr>
      <w:r>
        <w:rPr>
          <w:b/>
        </w:rPr>
        <w:t>6)</w:t>
      </w:r>
      <w:r>
        <w:rPr>
          <w:b/>
        </w:rPr>
        <w:tab/>
      </w:r>
      <w:r w:rsidRPr="003E1ACE">
        <w:rPr>
          <w:b/>
        </w:rPr>
        <w:t>Most current</w:t>
      </w:r>
      <w:r>
        <w:rPr>
          <w:b/>
        </w:rPr>
        <w:t xml:space="preserve"> customer count by major customer class.</w:t>
      </w:r>
    </w:p>
    <w:p w:rsidR="00FF0518" w:rsidRDefault="00FF0518" w:rsidP="00FF0518">
      <w:pPr>
        <w:tabs>
          <w:tab w:val="left" w:pos="900"/>
          <w:tab w:val="left" w:pos="1080"/>
          <w:tab w:val="left" w:pos="1260"/>
        </w:tabs>
        <w:rPr>
          <w:b/>
        </w:rPr>
      </w:pPr>
    </w:p>
    <w:p w:rsidR="00FF0518" w:rsidRPr="00C269A7" w:rsidRDefault="00FF0518" w:rsidP="00FF0518">
      <w:pPr>
        <w:tabs>
          <w:tab w:val="left" w:pos="1440"/>
          <w:tab w:val="decimal" w:pos="7200"/>
        </w:tabs>
      </w:pPr>
      <w:r>
        <w:rPr>
          <w:b/>
        </w:rPr>
        <w:tab/>
      </w:r>
      <w:r>
        <w:t>Residential</w:t>
      </w:r>
      <w:r>
        <w:tab/>
      </w:r>
      <w:r w:rsidR="00A96C01">
        <w:t>103,542</w:t>
      </w:r>
    </w:p>
    <w:p w:rsidR="00FF0518" w:rsidRPr="00C269A7" w:rsidRDefault="00FF0518" w:rsidP="00FF0518">
      <w:pPr>
        <w:tabs>
          <w:tab w:val="left" w:pos="1440"/>
          <w:tab w:val="decimal" w:pos="7200"/>
        </w:tabs>
      </w:pPr>
      <w:r w:rsidRPr="00C269A7">
        <w:tab/>
        <w:t>Commercial &amp; Industrial</w:t>
      </w:r>
      <w:r w:rsidRPr="00C269A7">
        <w:tab/>
      </w:r>
      <w:r w:rsidR="00A96C01">
        <w:t>24,464</w:t>
      </w:r>
    </w:p>
    <w:p w:rsidR="00FF0518" w:rsidRPr="00C269A7" w:rsidRDefault="00FF0518" w:rsidP="00FF0518">
      <w:pPr>
        <w:tabs>
          <w:tab w:val="left" w:pos="1440"/>
          <w:tab w:val="decimal" w:pos="7200"/>
        </w:tabs>
      </w:pPr>
      <w:r w:rsidRPr="00C269A7">
        <w:tab/>
        <w:t>Public Street Lighting</w:t>
      </w:r>
      <w:r w:rsidRPr="00C269A7">
        <w:tab/>
      </w:r>
      <w:r w:rsidR="00A96C01">
        <w:t>3,073</w:t>
      </w:r>
    </w:p>
    <w:p w:rsidR="00FF0518" w:rsidRDefault="00FF0518" w:rsidP="00FF0518">
      <w:pPr>
        <w:tabs>
          <w:tab w:val="left" w:pos="1440"/>
          <w:tab w:val="left" w:pos="4320"/>
          <w:tab w:val="decimal" w:pos="7200"/>
        </w:tabs>
      </w:pPr>
      <w:r w:rsidRPr="00C269A7">
        <w:tab/>
      </w:r>
      <w:r w:rsidRPr="00C269A7">
        <w:tab/>
        <w:t>Total</w:t>
      </w:r>
      <w:r w:rsidRPr="00C269A7">
        <w:tab/>
      </w:r>
      <w:r w:rsidR="00A96C01">
        <w:t>131,079</w:t>
      </w:r>
    </w:p>
    <w:p w:rsidR="00FF0518" w:rsidRDefault="00FF0518" w:rsidP="00FF0518">
      <w:pPr>
        <w:tabs>
          <w:tab w:val="left" w:pos="900"/>
          <w:tab w:val="left" w:pos="1080"/>
          <w:tab w:val="left" w:pos="1260"/>
        </w:tabs>
      </w:pPr>
      <w:r>
        <w:tab/>
      </w:r>
    </w:p>
    <w:p w:rsidR="00FF0518" w:rsidRDefault="00FF0518" w:rsidP="00FF0518">
      <w:pPr>
        <w:tabs>
          <w:tab w:val="left" w:pos="1440"/>
        </w:tabs>
      </w:pPr>
      <w:r>
        <w:tab/>
        <w:t xml:space="preserve">Twelve months </w:t>
      </w:r>
      <w:r w:rsidRPr="001D7543">
        <w:t xml:space="preserve">ended </w:t>
      </w:r>
      <w:r w:rsidR="00F11B5E" w:rsidRPr="00F11B5E">
        <w:t>December 31, 2009</w:t>
      </w:r>
      <w:r>
        <w:t>.</w:t>
      </w:r>
    </w:p>
    <w:p w:rsidR="00FF0518" w:rsidRDefault="00FF0518" w:rsidP="00FF0518">
      <w:pPr>
        <w:tabs>
          <w:tab w:val="left" w:pos="900"/>
          <w:tab w:val="left" w:pos="1080"/>
          <w:tab w:val="left" w:pos="1260"/>
        </w:tabs>
      </w:pPr>
    </w:p>
    <w:p w:rsidR="00FF0518" w:rsidRDefault="00FF0518" w:rsidP="00FF0518">
      <w:pPr>
        <w:tabs>
          <w:tab w:val="left" w:pos="900"/>
          <w:tab w:val="left" w:pos="1080"/>
          <w:tab w:val="left" w:pos="1260"/>
        </w:tabs>
        <w:ind w:left="720" w:hanging="720"/>
        <w:rPr>
          <w:b/>
        </w:rPr>
      </w:pPr>
      <w:r>
        <w:rPr>
          <w:b/>
        </w:rPr>
        <w:t>7)</w:t>
      </w:r>
      <w:r>
        <w:rPr>
          <w:b/>
        </w:rPr>
        <w:tab/>
        <w:t>Current authorized overall rate of return and authorized rate of return on common equity.</w:t>
      </w:r>
    </w:p>
    <w:p w:rsidR="00FF0518" w:rsidRDefault="00FF0518" w:rsidP="00FF0518">
      <w:pPr>
        <w:tabs>
          <w:tab w:val="left" w:pos="900"/>
          <w:tab w:val="left" w:pos="1080"/>
          <w:tab w:val="left" w:pos="1260"/>
        </w:tabs>
        <w:ind w:left="720" w:hanging="720"/>
        <w:rPr>
          <w:b/>
        </w:rPr>
      </w:pPr>
    </w:p>
    <w:p w:rsidR="00FF0518" w:rsidRDefault="00FF0518" w:rsidP="00FF0518">
      <w:pPr>
        <w:tabs>
          <w:tab w:val="left" w:pos="1440"/>
          <w:tab w:val="left" w:pos="6300"/>
        </w:tabs>
        <w:ind w:left="720" w:hanging="720"/>
      </w:pPr>
      <w:r>
        <w:tab/>
      </w:r>
      <w:r>
        <w:tab/>
        <w:t>Overall rate of return (UE-061546)</w:t>
      </w:r>
      <w:r>
        <w:tab/>
        <w:t xml:space="preserve">  </w:t>
      </w:r>
      <w:r>
        <w:tab/>
        <w:t xml:space="preserve">  8.06%</w:t>
      </w:r>
    </w:p>
    <w:p w:rsidR="002B3F76" w:rsidRDefault="00FF0518" w:rsidP="00FF0518">
      <w:pPr>
        <w:tabs>
          <w:tab w:val="left" w:pos="1440"/>
          <w:tab w:val="left" w:pos="6300"/>
        </w:tabs>
        <w:ind w:left="720" w:hanging="720"/>
      </w:pPr>
      <w:r>
        <w:tab/>
      </w:r>
      <w:r>
        <w:tab/>
        <w:t>Rate of return on common equity (UE-061546)</w:t>
      </w:r>
      <w:r>
        <w:tab/>
      </w:r>
      <w:r>
        <w:tab/>
        <w:t>10.20%</w:t>
      </w:r>
    </w:p>
    <w:p w:rsidR="002B3F76" w:rsidRDefault="002B3F76" w:rsidP="00FF0518">
      <w:pPr>
        <w:tabs>
          <w:tab w:val="left" w:pos="1440"/>
          <w:tab w:val="left" w:pos="6300"/>
        </w:tabs>
        <w:ind w:left="720" w:hanging="720"/>
      </w:pPr>
      <w:r>
        <w:tab/>
      </w:r>
      <w:r>
        <w:tab/>
      </w:r>
    </w:p>
    <w:p w:rsidR="00FF0518" w:rsidRDefault="008F33F9" w:rsidP="00F227FB">
      <w:pPr>
        <w:tabs>
          <w:tab w:val="left" w:pos="1440"/>
          <w:tab w:val="left" w:pos="6300"/>
        </w:tabs>
        <w:ind w:left="1440"/>
      </w:pPr>
      <w:r>
        <w:t>The settlement stipulation from the Company’s last general rate case</w:t>
      </w:r>
      <w:r w:rsidR="00123901">
        <w:t>,</w:t>
      </w:r>
      <w:r>
        <w:t xml:space="preserve"> Docket UE-090205, specified an agreed-upon overall rate of return of 8.06%.  Parties did not agree on the </w:t>
      </w:r>
      <w:r w:rsidR="00123901">
        <w:t>appropriate capital ratios or the cost of any capital structure component.  The rate of return on common equity provided here is from the Company’s last fully litigated case in Docket UE-061546.</w:t>
      </w:r>
    </w:p>
    <w:p w:rsidR="00FF0518" w:rsidRDefault="00FF0518" w:rsidP="00FF0518">
      <w:pPr>
        <w:tabs>
          <w:tab w:val="left" w:pos="900"/>
          <w:tab w:val="left" w:pos="1080"/>
          <w:tab w:val="left" w:pos="1260"/>
        </w:tabs>
        <w:ind w:left="720" w:hanging="720"/>
      </w:pPr>
    </w:p>
    <w:p w:rsidR="00FF0518" w:rsidRDefault="00FF0518" w:rsidP="00FF0518">
      <w:pPr>
        <w:tabs>
          <w:tab w:val="left" w:pos="900"/>
          <w:tab w:val="left" w:pos="1080"/>
          <w:tab w:val="left" w:pos="1260"/>
        </w:tabs>
        <w:ind w:left="720" w:hanging="720"/>
        <w:rPr>
          <w:b/>
        </w:rPr>
      </w:pPr>
      <w:r>
        <w:rPr>
          <w:b/>
        </w:rPr>
        <w:t>8)</w:t>
      </w:r>
      <w:r>
        <w:rPr>
          <w:b/>
        </w:rPr>
        <w:tab/>
        <w:t>Requested overall rate of return and requested rate of return on common equity, and the method or methods used to calculate rate of return on common equity.</w:t>
      </w:r>
    </w:p>
    <w:p w:rsidR="00FF0518" w:rsidRDefault="00FF0518" w:rsidP="00FF0518">
      <w:pPr>
        <w:tabs>
          <w:tab w:val="left" w:pos="900"/>
          <w:tab w:val="left" w:pos="1080"/>
          <w:tab w:val="left" w:pos="1260"/>
        </w:tabs>
        <w:ind w:left="720" w:hanging="720"/>
        <w:rPr>
          <w:b/>
        </w:rPr>
      </w:pPr>
    </w:p>
    <w:p w:rsidR="00FF0518" w:rsidRDefault="00FF0518" w:rsidP="00FF0518">
      <w:pPr>
        <w:tabs>
          <w:tab w:val="left" w:pos="1440"/>
          <w:tab w:val="left" w:pos="6480"/>
        </w:tabs>
        <w:ind w:left="720" w:hanging="720"/>
      </w:pPr>
      <w:r>
        <w:tab/>
      </w:r>
      <w:r>
        <w:tab/>
        <w:t>Overall rate of return</w:t>
      </w:r>
      <w:r>
        <w:tab/>
      </w:r>
      <w:r w:rsidR="00AA421F">
        <w:t xml:space="preserve">  </w:t>
      </w:r>
      <w:r>
        <w:t>8.3</w:t>
      </w:r>
      <w:r w:rsidR="00FB6907">
        <w:t>4</w:t>
      </w:r>
      <w:r>
        <w:t>%</w:t>
      </w:r>
    </w:p>
    <w:p w:rsidR="00FF0518" w:rsidRDefault="00FF0518" w:rsidP="00FF0518">
      <w:pPr>
        <w:tabs>
          <w:tab w:val="left" w:pos="1440"/>
          <w:tab w:val="left" w:pos="6300"/>
        </w:tabs>
        <w:ind w:left="720" w:hanging="720"/>
      </w:pPr>
      <w:r>
        <w:tab/>
      </w:r>
      <w:r>
        <w:tab/>
        <w:t>Rate of return on common equity</w:t>
      </w:r>
      <w:r>
        <w:tab/>
      </w:r>
      <w:r>
        <w:tab/>
        <w:t>1</w:t>
      </w:r>
      <w:r w:rsidR="000E6330">
        <w:t>0</w:t>
      </w:r>
      <w:r>
        <w:t>.</w:t>
      </w:r>
      <w:r w:rsidR="000E6330">
        <w:t>6</w:t>
      </w:r>
      <w:r>
        <w:t>0%</w:t>
      </w:r>
    </w:p>
    <w:p w:rsidR="00FF0518" w:rsidRDefault="00FF0518" w:rsidP="00FF0518">
      <w:pPr>
        <w:tabs>
          <w:tab w:val="left" w:pos="1440"/>
        </w:tabs>
        <w:ind w:left="1440" w:hanging="720"/>
      </w:pPr>
      <w:r>
        <w:tab/>
      </w:r>
    </w:p>
    <w:p w:rsidR="002B3F76" w:rsidRDefault="002B3F76" w:rsidP="002B3F76">
      <w:pPr>
        <w:tabs>
          <w:tab w:val="left" w:pos="1440"/>
        </w:tabs>
        <w:ind w:left="1440" w:hanging="720"/>
      </w:pPr>
      <w:r>
        <w:tab/>
      </w:r>
      <w:r w:rsidR="008359AD">
        <w:t>Method(s) of calculation:</w:t>
      </w:r>
      <w:r>
        <w:t xml:space="preserve">  The discounted cash flow and risk premium analysis methodologies were used to determine a reasonable range of return on equity.  Based on these quantitative results and further review of other economic data, a point estimate of 10.6</w:t>
      </w:r>
      <w:r w:rsidR="00123901">
        <w:t>0</w:t>
      </w:r>
      <w:r w:rsidR="007D6191">
        <w:t xml:space="preserve"> percent is</w:t>
      </w:r>
      <w:r>
        <w:t xml:space="preserve"> recommended.  </w:t>
      </w:r>
    </w:p>
    <w:p w:rsidR="008359AD" w:rsidRDefault="008359AD" w:rsidP="00FF0518">
      <w:pPr>
        <w:tabs>
          <w:tab w:val="left" w:pos="1440"/>
        </w:tabs>
        <w:ind w:left="1440" w:hanging="720"/>
      </w:pPr>
    </w:p>
    <w:p w:rsidR="00FF0518" w:rsidRDefault="00FF0518" w:rsidP="00FF0518">
      <w:pPr>
        <w:tabs>
          <w:tab w:val="left" w:pos="900"/>
          <w:tab w:val="left" w:pos="1080"/>
          <w:tab w:val="left" w:pos="1260"/>
        </w:tabs>
        <w:ind w:left="720" w:hanging="720"/>
        <w:rPr>
          <w:b/>
        </w:rPr>
      </w:pPr>
      <w:r>
        <w:rPr>
          <w:b/>
        </w:rPr>
        <w:t>9)</w:t>
      </w:r>
      <w:r>
        <w:rPr>
          <w:b/>
        </w:rPr>
        <w:tab/>
        <w:t>Requested capital structure.</w:t>
      </w:r>
    </w:p>
    <w:p w:rsidR="00FF0518" w:rsidRDefault="00FF0518" w:rsidP="00FF0518">
      <w:pPr>
        <w:tabs>
          <w:tab w:val="left" w:pos="900"/>
          <w:tab w:val="left" w:pos="1080"/>
          <w:tab w:val="left" w:pos="1260"/>
        </w:tabs>
        <w:ind w:left="720" w:hanging="720"/>
      </w:pPr>
    </w:p>
    <w:p w:rsidR="00FF0518" w:rsidRDefault="00FF0518" w:rsidP="00FF0518">
      <w:pPr>
        <w:tabs>
          <w:tab w:val="left" w:pos="1440"/>
          <w:tab w:val="left" w:pos="6300"/>
        </w:tabs>
        <w:ind w:left="720" w:hanging="720"/>
      </w:pPr>
      <w:r>
        <w:tab/>
      </w:r>
      <w:r>
        <w:tab/>
        <w:t>Long-term Debt</w:t>
      </w:r>
      <w:r>
        <w:tab/>
        <w:t>4</w:t>
      </w:r>
      <w:r w:rsidR="00FB6907">
        <w:t>7</w:t>
      </w:r>
      <w:r>
        <w:t>.</w:t>
      </w:r>
      <w:r w:rsidR="00FB6907">
        <w:t>6</w:t>
      </w:r>
      <w:r>
        <w:t>%</w:t>
      </w:r>
    </w:p>
    <w:p w:rsidR="00FF0518" w:rsidRDefault="00FF0518" w:rsidP="00FF0518">
      <w:pPr>
        <w:tabs>
          <w:tab w:val="left" w:pos="1440"/>
          <w:tab w:val="left" w:pos="6300"/>
        </w:tabs>
        <w:ind w:left="720" w:hanging="720"/>
      </w:pPr>
      <w:r>
        <w:tab/>
      </w:r>
      <w:r>
        <w:tab/>
        <w:t>Preferred stock</w:t>
      </w:r>
      <w:r>
        <w:tab/>
        <w:t xml:space="preserve">  0.</w:t>
      </w:r>
      <w:r w:rsidR="008359AD">
        <w:t>3</w:t>
      </w:r>
      <w:r>
        <w:t>%</w:t>
      </w:r>
    </w:p>
    <w:p w:rsidR="00FF0518" w:rsidRDefault="00FF0518" w:rsidP="00FF0518">
      <w:pPr>
        <w:tabs>
          <w:tab w:val="left" w:pos="1440"/>
          <w:tab w:val="left" w:pos="6300"/>
        </w:tabs>
        <w:ind w:left="720" w:hanging="720"/>
      </w:pPr>
      <w:r>
        <w:tab/>
      </w:r>
      <w:r>
        <w:tab/>
        <w:t>Common Equity</w:t>
      </w:r>
      <w:r>
        <w:tab/>
        <w:t>5</w:t>
      </w:r>
      <w:r w:rsidR="008359AD">
        <w:t>2</w:t>
      </w:r>
      <w:r>
        <w:t>.1%</w:t>
      </w:r>
    </w:p>
    <w:p w:rsidR="00FF0518" w:rsidRDefault="00FF0518" w:rsidP="008359AD">
      <w:pPr>
        <w:tabs>
          <w:tab w:val="left" w:pos="1440"/>
          <w:tab w:val="left" w:pos="6300"/>
        </w:tabs>
        <w:ind w:left="720" w:hanging="720"/>
      </w:pPr>
      <w:r>
        <w:tab/>
      </w:r>
      <w:r>
        <w:tab/>
      </w:r>
    </w:p>
    <w:p w:rsidR="00FF0518" w:rsidRDefault="00FF0518" w:rsidP="00FF0518">
      <w:pPr>
        <w:tabs>
          <w:tab w:val="left" w:pos="900"/>
          <w:tab w:val="left" w:pos="1080"/>
          <w:tab w:val="left" w:pos="1260"/>
        </w:tabs>
        <w:ind w:left="720" w:hanging="720"/>
        <w:rPr>
          <w:b/>
        </w:rPr>
      </w:pPr>
      <w:r>
        <w:rPr>
          <w:b/>
        </w:rPr>
        <w:t>10)</w:t>
      </w:r>
      <w:r>
        <w:rPr>
          <w:b/>
        </w:rPr>
        <w:tab/>
        <w:t>Requested total net operating income.</w:t>
      </w:r>
    </w:p>
    <w:p w:rsidR="00FF0518" w:rsidRDefault="00FF0518" w:rsidP="00FF0518">
      <w:pPr>
        <w:tabs>
          <w:tab w:val="left" w:pos="900"/>
          <w:tab w:val="left" w:pos="1080"/>
          <w:tab w:val="left" w:pos="1260"/>
        </w:tabs>
        <w:ind w:left="720" w:hanging="720"/>
        <w:rPr>
          <w:b/>
        </w:rPr>
      </w:pPr>
    </w:p>
    <w:p w:rsidR="00F227FB" w:rsidRDefault="00FF0518" w:rsidP="00FF0518">
      <w:pPr>
        <w:tabs>
          <w:tab w:val="left" w:pos="1440"/>
          <w:tab w:val="decimal" w:pos="7200"/>
        </w:tabs>
        <w:ind w:left="720" w:hanging="720"/>
      </w:pPr>
      <w:r>
        <w:tab/>
      </w:r>
      <w:r>
        <w:tab/>
        <w:t>Net operating income:</w:t>
      </w:r>
      <w:r>
        <w:tab/>
      </w:r>
      <w:r w:rsidR="005E5E9C" w:rsidRPr="005E5E9C">
        <w:t>$</w:t>
      </w:r>
      <w:r w:rsidR="00F55554">
        <w:t>64,614,000</w:t>
      </w:r>
    </w:p>
    <w:p w:rsidR="00FF0518" w:rsidRDefault="00FF0518" w:rsidP="00FF0518">
      <w:pPr>
        <w:tabs>
          <w:tab w:val="left" w:pos="1440"/>
          <w:tab w:val="decimal" w:pos="7200"/>
        </w:tabs>
        <w:ind w:left="720" w:hanging="720"/>
      </w:pPr>
    </w:p>
    <w:p w:rsidR="00FF0518" w:rsidRDefault="00FF0518" w:rsidP="00FF0518">
      <w:pPr>
        <w:tabs>
          <w:tab w:val="left" w:pos="900"/>
          <w:tab w:val="left" w:pos="1080"/>
          <w:tab w:val="left" w:pos="1260"/>
        </w:tabs>
        <w:ind w:left="720" w:hanging="720"/>
      </w:pPr>
    </w:p>
    <w:p w:rsidR="00FF0518" w:rsidRDefault="00FF0518" w:rsidP="00FF0518">
      <w:pPr>
        <w:tabs>
          <w:tab w:val="left" w:pos="900"/>
          <w:tab w:val="left" w:pos="1080"/>
          <w:tab w:val="left" w:pos="1260"/>
        </w:tabs>
        <w:ind w:left="720" w:hanging="720"/>
        <w:rPr>
          <w:b/>
        </w:rPr>
      </w:pPr>
      <w:r>
        <w:rPr>
          <w:b/>
        </w:rPr>
        <w:lastRenderedPageBreak/>
        <w:t>11)</w:t>
      </w:r>
      <w:r>
        <w:rPr>
          <w:b/>
        </w:rPr>
        <w:tab/>
        <w:t>Requested total rate base and method of calculation, or equivalent.</w:t>
      </w:r>
    </w:p>
    <w:p w:rsidR="00FF0518" w:rsidRDefault="00FF0518" w:rsidP="00FF0518">
      <w:pPr>
        <w:tabs>
          <w:tab w:val="left" w:pos="900"/>
          <w:tab w:val="left" w:pos="1080"/>
          <w:tab w:val="left" w:pos="1260"/>
        </w:tabs>
        <w:ind w:left="720" w:hanging="720"/>
        <w:rPr>
          <w:b/>
        </w:rPr>
      </w:pPr>
    </w:p>
    <w:p w:rsidR="00FF0518" w:rsidRDefault="00FF0518" w:rsidP="00FF0518">
      <w:pPr>
        <w:tabs>
          <w:tab w:val="left" w:pos="1440"/>
          <w:tab w:val="decimal" w:pos="7200"/>
        </w:tabs>
        <w:ind w:left="720" w:hanging="720"/>
      </w:pPr>
      <w:r>
        <w:tab/>
      </w:r>
      <w:r>
        <w:tab/>
        <w:t>Rate base:</w:t>
      </w:r>
      <w:r>
        <w:tab/>
        <w:t>$</w:t>
      </w:r>
      <w:r w:rsidR="00F55554">
        <w:t>774,753,000</w:t>
      </w:r>
    </w:p>
    <w:p w:rsidR="00FF0518" w:rsidRDefault="00FF0518" w:rsidP="00FF0518">
      <w:pPr>
        <w:tabs>
          <w:tab w:val="left" w:pos="1440"/>
          <w:tab w:val="decimal" w:pos="7200"/>
        </w:tabs>
        <w:ind w:left="720" w:hanging="720"/>
      </w:pPr>
      <w:r>
        <w:tab/>
      </w:r>
      <w:r>
        <w:tab/>
      </w:r>
      <w:r>
        <w:tab/>
      </w:r>
      <w:r>
        <w:tab/>
      </w:r>
    </w:p>
    <w:p w:rsidR="00FF0518" w:rsidRDefault="00FF0518" w:rsidP="00FF0518">
      <w:pPr>
        <w:tabs>
          <w:tab w:val="left" w:pos="1440"/>
          <w:tab w:val="decimal" w:pos="7200"/>
        </w:tabs>
        <w:ind w:left="720" w:hanging="720"/>
      </w:pPr>
      <w:r>
        <w:tab/>
      </w:r>
      <w:r>
        <w:tab/>
        <w:t>Method of calculation: Average of Monthly Averages (“AMA”).</w:t>
      </w:r>
    </w:p>
    <w:p w:rsidR="00FF0518" w:rsidRDefault="00FF0518" w:rsidP="00FF0518">
      <w:pPr>
        <w:tabs>
          <w:tab w:val="left" w:pos="900"/>
          <w:tab w:val="left" w:pos="1080"/>
          <w:tab w:val="left" w:pos="1260"/>
        </w:tabs>
        <w:ind w:left="720" w:hanging="720"/>
      </w:pPr>
    </w:p>
    <w:p w:rsidR="00FF0518" w:rsidRDefault="00FF0518" w:rsidP="00FF0518">
      <w:pPr>
        <w:tabs>
          <w:tab w:val="left" w:pos="900"/>
          <w:tab w:val="left" w:pos="1080"/>
          <w:tab w:val="left" w:pos="1260"/>
        </w:tabs>
        <w:ind w:left="720" w:hanging="720"/>
        <w:rPr>
          <w:b/>
        </w:rPr>
      </w:pPr>
      <w:r>
        <w:rPr>
          <w:b/>
        </w:rPr>
        <w:t>12)</w:t>
      </w:r>
      <w:r>
        <w:rPr>
          <w:b/>
        </w:rPr>
        <w:tab/>
        <w:t>Requested revenue effect of attrition allowance, if any requested.</w:t>
      </w:r>
    </w:p>
    <w:p w:rsidR="00FF0518" w:rsidRDefault="00FF0518" w:rsidP="00FF0518">
      <w:pPr>
        <w:tabs>
          <w:tab w:val="left" w:pos="900"/>
          <w:tab w:val="left" w:pos="1080"/>
          <w:tab w:val="left" w:pos="1260"/>
        </w:tabs>
        <w:ind w:left="720" w:hanging="720"/>
        <w:rPr>
          <w:b/>
        </w:rPr>
      </w:pPr>
    </w:p>
    <w:p w:rsidR="00FF0518" w:rsidRPr="009B7E4B" w:rsidRDefault="00FF0518" w:rsidP="00783D8C">
      <w:pPr>
        <w:tabs>
          <w:tab w:val="left" w:pos="1440"/>
        </w:tabs>
        <w:ind w:left="720" w:hanging="720"/>
        <w:rPr>
          <w:rFonts w:ascii="Times New Roman" w:hAnsi="Times New Roman"/>
        </w:rPr>
      </w:pPr>
      <w:r>
        <w:rPr>
          <w:b/>
        </w:rPr>
        <w:tab/>
      </w:r>
      <w:r>
        <w:rPr>
          <w:b/>
        </w:rPr>
        <w:tab/>
      </w:r>
      <w:r>
        <w:t xml:space="preserve">Attrition allowance requested: None. </w:t>
      </w:r>
    </w:p>
    <w:p w:rsidR="00FF0518" w:rsidRPr="009B7E4B" w:rsidRDefault="00FF0518" w:rsidP="00FF0518">
      <w:pPr>
        <w:spacing w:after="120" w:line="480" w:lineRule="auto"/>
        <w:jc w:val="both"/>
        <w:rPr>
          <w:rFonts w:ascii="Times New Roman" w:hAnsi="Times New Roman"/>
        </w:rPr>
      </w:pPr>
    </w:p>
    <w:p w:rsidR="00076E5D" w:rsidRDefault="00076E5D"/>
    <w:sectPr w:rsidR="00076E5D" w:rsidSect="00054AC7">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08C" w:rsidRDefault="0002008C" w:rsidP="00054AC7">
      <w:r>
        <w:separator/>
      </w:r>
    </w:p>
  </w:endnote>
  <w:endnote w:type="continuationSeparator" w:id="0">
    <w:p w:rsidR="0002008C" w:rsidRDefault="0002008C" w:rsidP="00054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8C" w:rsidRDefault="00FD4DBC" w:rsidP="00B63F94">
    <w:pPr>
      <w:pStyle w:val="Footer"/>
      <w:framePr w:wrap="around" w:vAnchor="text" w:hAnchor="margin" w:xAlign="right" w:y="1"/>
      <w:rPr>
        <w:rStyle w:val="PageNumber"/>
      </w:rPr>
    </w:pPr>
    <w:r>
      <w:rPr>
        <w:rStyle w:val="PageNumber"/>
      </w:rPr>
      <w:fldChar w:fldCharType="begin"/>
    </w:r>
    <w:r w:rsidR="0002008C">
      <w:rPr>
        <w:rStyle w:val="PageNumber"/>
      </w:rPr>
      <w:instrText xml:space="preserve">PAGE  </w:instrText>
    </w:r>
    <w:r>
      <w:rPr>
        <w:rStyle w:val="PageNumber"/>
      </w:rPr>
      <w:fldChar w:fldCharType="end"/>
    </w:r>
  </w:p>
  <w:p w:rsidR="0002008C" w:rsidRDefault="0002008C" w:rsidP="00B63F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8C" w:rsidRDefault="00FD4DBC" w:rsidP="00B63F94">
    <w:pPr>
      <w:pStyle w:val="Footer"/>
      <w:framePr w:wrap="around" w:vAnchor="text" w:hAnchor="margin" w:xAlign="right" w:y="1"/>
      <w:jc w:val="both"/>
      <w:rPr>
        <w:rStyle w:val="PageNumber"/>
      </w:rPr>
    </w:pPr>
    <w:r>
      <w:rPr>
        <w:rStyle w:val="PageNumber"/>
      </w:rPr>
      <w:fldChar w:fldCharType="begin"/>
    </w:r>
    <w:r w:rsidR="0002008C">
      <w:rPr>
        <w:rStyle w:val="PageNumber"/>
      </w:rPr>
      <w:instrText xml:space="preserve">PAGE  </w:instrText>
    </w:r>
    <w:r>
      <w:rPr>
        <w:rStyle w:val="PageNumber"/>
      </w:rPr>
      <w:fldChar w:fldCharType="separate"/>
    </w:r>
    <w:r w:rsidR="006178C7">
      <w:rPr>
        <w:rStyle w:val="PageNumber"/>
        <w:noProof/>
      </w:rPr>
      <w:t>4</w:t>
    </w:r>
    <w:r>
      <w:rPr>
        <w:rStyle w:val="PageNumber"/>
      </w:rPr>
      <w:fldChar w:fldCharType="end"/>
    </w:r>
  </w:p>
  <w:p w:rsidR="0002008C" w:rsidRPr="0002008C" w:rsidRDefault="0002008C" w:rsidP="00B63F94">
    <w:pPr>
      <w:pStyle w:val="Footer"/>
      <w:ind w:right="360"/>
      <w:rPr>
        <w:rFonts w:ascii="Times New Roman" w:hAnsi="Times New Roman"/>
        <w:szCs w:val="24"/>
      </w:rPr>
    </w:pPr>
    <w:r w:rsidRPr="0002008C">
      <w:rPr>
        <w:rFonts w:ascii="Times New Roman" w:hAnsi="Times New Roman"/>
        <w:szCs w:val="24"/>
      </w:rPr>
      <w:t xml:space="preserve">UE-10_____ PacifiCorp Application for General Increase in Rates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08C" w:rsidRDefault="0002008C" w:rsidP="00054AC7">
      <w:r>
        <w:separator/>
      </w:r>
    </w:p>
  </w:footnote>
  <w:footnote w:type="continuationSeparator" w:id="0">
    <w:p w:rsidR="0002008C" w:rsidRDefault="0002008C" w:rsidP="00054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0518"/>
    <w:rsid w:val="00001D92"/>
    <w:rsid w:val="0002008C"/>
    <w:rsid w:val="00020D63"/>
    <w:rsid w:val="00045F51"/>
    <w:rsid w:val="0005261E"/>
    <w:rsid w:val="00054AC7"/>
    <w:rsid w:val="00076E5D"/>
    <w:rsid w:val="000E6330"/>
    <w:rsid w:val="00123901"/>
    <w:rsid w:val="001F650D"/>
    <w:rsid w:val="0024054B"/>
    <w:rsid w:val="00244E0F"/>
    <w:rsid w:val="00255B72"/>
    <w:rsid w:val="002778C7"/>
    <w:rsid w:val="00277DA2"/>
    <w:rsid w:val="00285ECE"/>
    <w:rsid w:val="002871BA"/>
    <w:rsid w:val="002A7CBF"/>
    <w:rsid w:val="002B3F76"/>
    <w:rsid w:val="003006D7"/>
    <w:rsid w:val="00326256"/>
    <w:rsid w:val="00347DD7"/>
    <w:rsid w:val="003F4955"/>
    <w:rsid w:val="00405839"/>
    <w:rsid w:val="00421E09"/>
    <w:rsid w:val="00433477"/>
    <w:rsid w:val="00484F5A"/>
    <w:rsid w:val="004C3942"/>
    <w:rsid w:val="004E7740"/>
    <w:rsid w:val="0051371A"/>
    <w:rsid w:val="00561DF4"/>
    <w:rsid w:val="005B6370"/>
    <w:rsid w:val="005C2801"/>
    <w:rsid w:val="005E5E9C"/>
    <w:rsid w:val="006178C7"/>
    <w:rsid w:val="00650497"/>
    <w:rsid w:val="00656CD4"/>
    <w:rsid w:val="006664BE"/>
    <w:rsid w:val="00692355"/>
    <w:rsid w:val="00692859"/>
    <w:rsid w:val="00694C60"/>
    <w:rsid w:val="007065CC"/>
    <w:rsid w:val="00783D8C"/>
    <w:rsid w:val="007D6191"/>
    <w:rsid w:val="007F5FE9"/>
    <w:rsid w:val="008359AD"/>
    <w:rsid w:val="00854607"/>
    <w:rsid w:val="00865C5A"/>
    <w:rsid w:val="00874C83"/>
    <w:rsid w:val="00890C7E"/>
    <w:rsid w:val="008F33F9"/>
    <w:rsid w:val="00920B25"/>
    <w:rsid w:val="009565E5"/>
    <w:rsid w:val="0097280C"/>
    <w:rsid w:val="009939F8"/>
    <w:rsid w:val="0099635F"/>
    <w:rsid w:val="00997BA1"/>
    <w:rsid w:val="009A4328"/>
    <w:rsid w:val="009C02C3"/>
    <w:rsid w:val="00A27C38"/>
    <w:rsid w:val="00A54913"/>
    <w:rsid w:val="00A56F52"/>
    <w:rsid w:val="00A60953"/>
    <w:rsid w:val="00A96C01"/>
    <w:rsid w:val="00AA421F"/>
    <w:rsid w:val="00AE3CEB"/>
    <w:rsid w:val="00AF263F"/>
    <w:rsid w:val="00B5002D"/>
    <w:rsid w:val="00B5181E"/>
    <w:rsid w:val="00B63F94"/>
    <w:rsid w:val="00B72377"/>
    <w:rsid w:val="00BA0EAD"/>
    <w:rsid w:val="00BC60F9"/>
    <w:rsid w:val="00C01C0B"/>
    <w:rsid w:val="00C85289"/>
    <w:rsid w:val="00C8640D"/>
    <w:rsid w:val="00C97A10"/>
    <w:rsid w:val="00CF31E0"/>
    <w:rsid w:val="00DC139E"/>
    <w:rsid w:val="00DC4C96"/>
    <w:rsid w:val="00DD77E3"/>
    <w:rsid w:val="00E10AC6"/>
    <w:rsid w:val="00E2278F"/>
    <w:rsid w:val="00E416ED"/>
    <w:rsid w:val="00EA209E"/>
    <w:rsid w:val="00F11B5E"/>
    <w:rsid w:val="00F227FB"/>
    <w:rsid w:val="00F3015D"/>
    <w:rsid w:val="00F55554"/>
    <w:rsid w:val="00F75FEF"/>
    <w:rsid w:val="00F81875"/>
    <w:rsid w:val="00FB6907"/>
    <w:rsid w:val="00FD4DBC"/>
    <w:rsid w:val="00FF05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ockticker"/>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8"/>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518"/>
    <w:rPr>
      <w:color w:val="0000FF"/>
      <w:u w:val="single"/>
    </w:rPr>
  </w:style>
  <w:style w:type="paragraph" w:styleId="BodyTextIndent2">
    <w:name w:val="Body Text Indent 2"/>
    <w:basedOn w:val="Normal"/>
    <w:link w:val="BodyTextIndent2Char"/>
    <w:rsid w:val="00FF0518"/>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FF0518"/>
    <w:rPr>
      <w:rFonts w:eastAsia="Times New Roman"/>
    </w:rPr>
  </w:style>
  <w:style w:type="paragraph" w:styleId="FootnoteText">
    <w:name w:val="footnote text"/>
    <w:basedOn w:val="Normal"/>
    <w:link w:val="FootnoteTextChar"/>
    <w:semiHidden/>
    <w:rsid w:val="00FF0518"/>
    <w:rPr>
      <w:szCs w:val="24"/>
    </w:rPr>
  </w:style>
  <w:style w:type="character" w:customStyle="1" w:styleId="FootnoteTextChar">
    <w:name w:val="Footnote Text Char"/>
    <w:basedOn w:val="DefaultParagraphFont"/>
    <w:link w:val="FootnoteText"/>
    <w:semiHidden/>
    <w:rsid w:val="00FF0518"/>
    <w:rPr>
      <w:rFonts w:ascii="Times" w:eastAsia="Times" w:hAnsi="Times"/>
    </w:rPr>
  </w:style>
  <w:style w:type="paragraph" w:styleId="Footer">
    <w:name w:val="footer"/>
    <w:basedOn w:val="Normal"/>
    <w:link w:val="FooterChar"/>
    <w:semiHidden/>
    <w:rsid w:val="00FF0518"/>
    <w:pPr>
      <w:tabs>
        <w:tab w:val="center" w:pos="4320"/>
        <w:tab w:val="right" w:pos="8640"/>
      </w:tabs>
    </w:pPr>
  </w:style>
  <w:style w:type="character" w:customStyle="1" w:styleId="FooterChar">
    <w:name w:val="Footer Char"/>
    <w:basedOn w:val="DefaultParagraphFont"/>
    <w:link w:val="Footer"/>
    <w:semiHidden/>
    <w:rsid w:val="00FF0518"/>
    <w:rPr>
      <w:rFonts w:ascii="Times" w:eastAsia="Times" w:hAnsi="Times"/>
      <w:szCs w:val="20"/>
    </w:rPr>
  </w:style>
  <w:style w:type="character" w:styleId="PageNumber">
    <w:name w:val="page number"/>
    <w:basedOn w:val="DefaultParagraphFont"/>
    <w:rsid w:val="00FF0518"/>
  </w:style>
  <w:style w:type="paragraph" w:styleId="BodyTextIndent">
    <w:name w:val="Body Text Indent"/>
    <w:basedOn w:val="Normal"/>
    <w:link w:val="BodyTextIndentChar"/>
    <w:rsid w:val="00FF0518"/>
    <w:pPr>
      <w:spacing w:after="120"/>
      <w:ind w:left="360"/>
    </w:pPr>
  </w:style>
  <w:style w:type="character" w:customStyle="1" w:styleId="BodyTextIndentChar">
    <w:name w:val="Body Text Indent Char"/>
    <w:basedOn w:val="DefaultParagraphFont"/>
    <w:link w:val="BodyTextIndent"/>
    <w:rsid w:val="00FF0518"/>
    <w:rPr>
      <w:rFonts w:ascii="Times" w:eastAsia="Times" w:hAnsi="Times"/>
      <w:szCs w:val="20"/>
    </w:rPr>
  </w:style>
  <w:style w:type="paragraph" w:styleId="BodyText2">
    <w:name w:val="Body Text 2"/>
    <w:basedOn w:val="Normal"/>
    <w:link w:val="BodyText2Char"/>
    <w:rsid w:val="00FF0518"/>
    <w:pPr>
      <w:spacing w:after="120" w:line="480" w:lineRule="auto"/>
    </w:pPr>
  </w:style>
  <w:style w:type="character" w:customStyle="1" w:styleId="BodyText2Char">
    <w:name w:val="Body Text 2 Char"/>
    <w:basedOn w:val="DefaultParagraphFont"/>
    <w:link w:val="BodyText2"/>
    <w:rsid w:val="00FF0518"/>
    <w:rPr>
      <w:rFonts w:ascii="Times" w:eastAsia="Times" w:hAnsi="Times"/>
      <w:szCs w:val="20"/>
    </w:rPr>
  </w:style>
  <w:style w:type="paragraph" w:customStyle="1" w:styleId="CharChar1">
    <w:name w:val="Char Char1"/>
    <w:basedOn w:val="Normal"/>
    <w:rsid w:val="00FF0518"/>
    <w:pPr>
      <w:spacing w:after="160" w:line="240" w:lineRule="exact"/>
    </w:pPr>
    <w:rPr>
      <w:rFonts w:ascii="Verdana" w:eastAsia="Times New Roman" w:hAnsi="Verdana" w:cs="Verdana"/>
      <w:sz w:val="20"/>
    </w:rPr>
  </w:style>
  <w:style w:type="paragraph" w:customStyle="1" w:styleId="PleadingSignature">
    <w:name w:val="Pleading Signature"/>
    <w:basedOn w:val="Normal"/>
    <w:rsid w:val="00FF0518"/>
    <w:pPr>
      <w:keepNext/>
      <w:keepLines/>
      <w:spacing w:line="240" w:lineRule="exact"/>
    </w:pPr>
    <w:rPr>
      <w:rFonts w:ascii="Times New Roman" w:eastAsia="Times New Roman" w:hAnsi="Times New Roman"/>
    </w:rPr>
  </w:style>
  <w:style w:type="character" w:styleId="CommentReference">
    <w:name w:val="annotation reference"/>
    <w:basedOn w:val="DefaultParagraphFont"/>
    <w:uiPriority w:val="99"/>
    <w:semiHidden/>
    <w:unhideWhenUsed/>
    <w:rsid w:val="002871BA"/>
    <w:rPr>
      <w:sz w:val="16"/>
      <w:szCs w:val="16"/>
    </w:rPr>
  </w:style>
  <w:style w:type="paragraph" w:styleId="CommentText">
    <w:name w:val="annotation text"/>
    <w:basedOn w:val="Normal"/>
    <w:link w:val="CommentTextChar"/>
    <w:uiPriority w:val="99"/>
    <w:semiHidden/>
    <w:unhideWhenUsed/>
    <w:rsid w:val="002871BA"/>
    <w:rPr>
      <w:sz w:val="20"/>
    </w:rPr>
  </w:style>
  <w:style w:type="character" w:customStyle="1" w:styleId="CommentTextChar">
    <w:name w:val="Comment Text Char"/>
    <w:basedOn w:val="DefaultParagraphFont"/>
    <w:link w:val="CommentText"/>
    <w:uiPriority w:val="99"/>
    <w:semiHidden/>
    <w:rsid w:val="002871BA"/>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871BA"/>
    <w:rPr>
      <w:b/>
      <w:bCs/>
    </w:rPr>
  </w:style>
  <w:style w:type="character" w:customStyle="1" w:styleId="CommentSubjectChar">
    <w:name w:val="Comment Subject Char"/>
    <w:basedOn w:val="CommentTextChar"/>
    <w:link w:val="CommentSubject"/>
    <w:uiPriority w:val="99"/>
    <w:semiHidden/>
    <w:rsid w:val="002871BA"/>
    <w:rPr>
      <w:b/>
      <w:bCs/>
    </w:rPr>
  </w:style>
  <w:style w:type="paragraph" w:styleId="BalloonText">
    <w:name w:val="Balloon Text"/>
    <w:basedOn w:val="Normal"/>
    <w:link w:val="BalloonTextChar"/>
    <w:uiPriority w:val="99"/>
    <w:semiHidden/>
    <w:unhideWhenUsed/>
    <w:rsid w:val="002871BA"/>
    <w:rPr>
      <w:rFonts w:ascii="Tahoma" w:hAnsi="Tahoma" w:cs="Tahoma"/>
      <w:sz w:val="16"/>
      <w:szCs w:val="16"/>
    </w:rPr>
  </w:style>
  <w:style w:type="character" w:customStyle="1" w:styleId="BalloonTextChar">
    <w:name w:val="Balloon Text Char"/>
    <w:basedOn w:val="DefaultParagraphFont"/>
    <w:link w:val="BalloonText"/>
    <w:uiPriority w:val="99"/>
    <w:semiHidden/>
    <w:rsid w:val="002871BA"/>
    <w:rPr>
      <w:rFonts w:ascii="Tahoma" w:eastAsia="Times" w:hAnsi="Tahoma" w:cs="Tahoma"/>
      <w:sz w:val="16"/>
      <w:szCs w:val="16"/>
    </w:rPr>
  </w:style>
  <w:style w:type="paragraph" w:styleId="Header">
    <w:name w:val="header"/>
    <w:basedOn w:val="Normal"/>
    <w:link w:val="HeaderChar"/>
    <w:uiPriority w:val="99"/>
    <w:semiHidden/>
    <w:unhideWhenUsed/>
    <w:rsid w:val="001F650D"/>
    <w:pPr>
      <w:tabs>
        <w:tab w:val="center" w:pos="4680"/>
        <w:tab w:val="right" w:pos="9360"/>
      </w:tabs>
    </w:pPr>
  </w:style>
  <w:style w:type="character" w:customStyle="1" w:styleId="HeaderChar">
    <w:name w:val="Header Char"/>
    <w:basedOn w:val="DefaultParagraphFont"/>
    <w:link w:val="Header"/>
    <w:uiPriority w:val="99"/>
    <w:semiHidden/>
    <w:rsid w:val="001F650D"/>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edmonds@pacificorp.com"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cathie.allen@pacificorp.co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tarequest@pacificorp.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therine@mcd-law.com" TargetMode="Externa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988A58C-4902-4554-8C11-4532E4CB15BC}"/>
</file>

<file path=customXml/itemProps2.xml><?xml version="1.0" encoding="utf-8"?>
<ds:datastoreItem xmlns:ds="http://schemas.openxmlformats.org/officeDocument/2006/customXml" ds:itemID="{17E16009-872B-46F9-9910-1E1AD0F75986}"/>
</file>

<file path=customXml/itemProps3.xml><?xml version="1.0" encoding="utf-8"?>
<ds:datastoreItem xmlns:ds="http://schemas.openxmlformats.org/officeDocument/2006/customXml" ds:itemID="{69EC852C-8263-4970-AA8E-23644BE74214}"/>
</file>

<file path=customXml/itemProps4.xml><?xml version="1.0" encoding="utf-8"?>
<ds:datastoreItem xmlns:ds="http://schemas.openxmlformats.org/officeDocument/2006/customXml" ds:itemID="{CE0CAF07-EB14-4A69-9527-D1AF5BD70C17}"/>
</file>

<file path=customXml/itemProps5.xml><?xml version="1.0" encoding="utf-8"?>
<ds:datastoreItem xmlns:ds="http://schemas.openxmlformats.org/officeDocument/2006/customXml" ds:itemID="{A3D1FC79-389E-48B2-B46B-873EF7628D4A}"/>
</file>

<file path=docProps/app.xml><?xml version="1.0" encoding="utf-8"?>
<Properties xmlns="http://schemas.openxmlformats.org/officeDocument/2006/extended-properties" xmlns:vt="http://schemas.openxmlformats.org/officeDocument/2006/docPropsVTypes">
  <Template>Normal.dotm</Template>
  <TotalTime>18</TotalTime>
  <Pages>10</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12732</CharactersWithSpaces>
  <SharedDoc>false</SharedDoc>
  <HLinks>
    <vt:vector size="30" baseType="variant">
      <vt:variant>
        <vt:i4>4522100</vt:i4>
      </vt:variant>
      <vt:variant>
        <vt:i4>12</vt:i4>
      </vt:variant>
      <vt:variant>
        <vt:i4>0</vt:i4>
      </vt:variant>
      <vt:variant>
        <vt:i4>5</vt:i4>
      </vt:variant>
      <vt:variant>
        <vt:lpwstr>mailto:datarequest@pacificorp.com</vt:lpwstr>
      </vt:variant>
      <vt:variant>
        <vt:lpwstr/>
      </vt:variant>
      <vt:variant>
        <vt:i4>524401</vt:i4>
      </vt:variant>
      <vt:variant>
        <vt:i4>9</vt:i4>
      </vt:variant>
      <vt:variant>
        <vt:i4>0</vt:i4>
      </vt:variant>
      <vt:variant>
        <vt:i4>5</vt:i4>
      </vt:variant>
      <vt:variant>
        <vt:lpwstr>mailto:katherine@mcd-law.com</vt:lpwstr>
      </vt:variant>
      <vt:variant>
        <vt:lpwstr/>
      </vt:variant>
      <vt:variant>
        <vt:i4>6422640</vt:i4>
      </vt:variant>
      <vt:variant>
        <vt:i4>6</vt:i4>
      </vt:variant>
      <vt:variant>
        <vt:i4>0</vt:i4>
      </vt:variant>
      <vt:variant>
        <vt:i4>5</vt:i4>
      </vt:variant>
      <vt:variant>
        <vt:lpwstr>mailto:</vt:lpwstr>
      </vt:variant>
      <vt:variant>
        <vt:lpwstr/>
      </vt:variant>
      <vt:variant>
        <vt:i4>3866710</vt:i4>
      </vt:variant>
      <vt:variant>
        <vt:i4>3</vt:i4>
      </vt:variant>
      <vt:variant>
        <vt:i4>0</vt:i4>
      </vt:variant>
      <vt:variant>
        <vt:i4>5</vt:i4>
      </vt:variant>
      <vt:variant>
        <vt:lpwstr>mailto:sarah.edmonds@pacificorp.com</vt:lpwstr>
      </vt:variant>
      <vt:variant>
        <vt:lpwstr/>
      </vt:variant>
      <vt:variant>
        <vt:i4>720992</vt:i4>
      </vt:variant>
      <vt:variant>
        <vt:i4>0</vt:i4>
      </vt:variant>
      <vt:variant>
        <vt:i4>0</vt:i4>
      </vt:variant>
      <vt:variant>
        <vt:i4>5</vt:i4>
      </vt:variant>
      <vt:variant>
        <vt:lpwstr>mailto:cathie.allen@pacificorp.com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Mishoe</dc:creator>
  <cp:keywords/>
  <dc:description/>
  <cp:lastModifiedBy>P20165</cp:lastModifiedBy>
  <cp:revision>8</cp:revision>
  <cp:lastPrinted>2010-05-02T18:32:00Z</cp:lastPrinted>
  <dcterms:created xsi:type="dcterms:W3CDTF">2010-04-30T19:54:00Z</dcterms:created>
  <dcterms:modified xsi:type="dcterms:W3CDTF">2010-05-02T20:42:00Z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