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r w:rsidRPr="00EB4CE3">
        <w:t xml:space="preserve">Agenda Date: </w:t>
      </w:r>
      <w:r w:rsidRPr="00EB4CE3">
        <w:tab/>
      </w:r>
      <w:r w:rsidRPr="00EB4CE3">
        <w:tab/>
      </w:r>
      <w:r w:rsidR="00705164">
        <w:t>May</w:t>
      </w:r>
      <w:r w:rsidR="00143CDB">
        <w:t xml:space="preserve"> </w:t>
      </w:r>
      <w:r w:rsidR="000605DC">
        <w:t>27</w:t>
      </w:r>
      <w:r w:rsidRPr="00EB4CE3">
        <w:t xml:space="preserve">, </w:t>
      </w:r>
      <w:r w:rsidR="00705164">
        <w:t>2010</w:t>
      </w:r>
      <w:r w:rsidR="004456FB">
        <w:tab/>
      </w:r>
      <w:r w:rsidR="004456FB">
        <w:tab/>
      </w:r>
    </w:p>
    <w:p w:rsidR="00154718" w:rsidRDefault="00154718" w:rsidP="00BE5610">
      <w:r w:rsidRPr="00EB4CE3">
        <w:t>Item Number:</w:t>
      </w:r>
      <w:r w:rsidRPr="00EB4CE3">
        <w:tab/>
      </w:r>
      <w:r w:rsidRPr="00EB4CE3">
        <w:tab/>
      </w:r>
      <w:r w:rsidR="002C6110" w:rsidRPr="00EB4CE3">
        <w:t>A</w:t>
      </w:r>
      <w:r w:rsidR="00F22205">
        <w:t>4</w:t>
      </w:r>
    </w:p>
    <w:p w:rsidR="006E3B58" w:rsidRPr="00EB4CE3" w:rsidRDefault="006E3B58" w:rsidP="00BE5610"/>
    <w:p w:rsidR="00154718" w:rsidRPr="00EB4CE3" w:rsidRDefault="00154718" w:rsidP="00BE5610">
      <w:r w:rsidRPr="00EB4CE3">
        <w:t xml:space="preserve">Docket: </w:t>
      </w:r>
      <w:r w:rsidRPr="00EB4CE3">
        <w:tab/>
      </w:r>
      <w:r w:rsidRPr="00EB4CE3">
        <w:tab/>
        <w:t>UW-</w:t>
      </w:r>
      <w:r w:rsidR="00705164">
        <w:t>100</w:t>
      </w:r>
      <w:r w:rsidR="000605DC">
        <w:t>622</w:t>
      </w:r>
    </w:p>
    <w:p w:rsidR="00154718" w:rsidRPr="00EB4CE3" w:rsidRDefault="00A41C23" w:rsidP="00BE5610">
      <w:r w:rsidRPr="00EB4CE3">
        <w:t>Company Name:</w:t>
      </w:r>
      <w:r w:rsidRPr="00EB4CE3">
        <w:tab/>
      </w:r>
      <w:r w:rsidR="000605DC">
        <w:t>South Bainbridge Water System,</w:t>
      </w:r>
      <w:r w:rsidR="001B3508">
        <w:t xml:space="preserve"> Inc.</w:t>
      </w:r>
    </w:p>
    <w:p w:rsidR="00154718" w:rsidRPr="00EB4CE3" w:rsidRDefault="00154718" w:rsidP="00BE5610"/>
    <w:p w:rsidR="00154718" w:rsidRDefault="00595023" w:rsidP="00BE5610">
      <w:r w:rsidRPr="00EB4CE3">
        <w:t xml:space="preserve">Staff: </w:t>
      </w:r>
      <w:r w:rsidRPr="00EB4CE3">
        <w:tab/>
      </w:r>
      <w:r w:rsidRPr="00EB4CE3">
        <w:tab/>
      </w:r>
      <w:r w:rsidRPr="00EB4CE3">
        <w:tab/>
        <w:t>Jim Ward</w:t>
      </w:r>
      <w:r w:rsidR="00154718" w:rsidRPr="00EB4CE3">
        <w:t>, Regulatory Analyst</w:t>
      </w:r>
    </w:p>
    <w:p w:rsidR="00154718" w:rsidRPr="00EB4CE3" w:rsidRDefault="00154718" w:rsidP="00705164">
      <w:pPr>
        <w:ind w:left="1440" w:firstLine="720"/>
      </w:pPr>
      <w:r w:rsidRPr="00EB4CE3">
        <w:t>Dennis Shutler,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p>
    <w:p w:rsidR="00154718" w:rsidRPr="00EB4CE3" w:rsidRDefault="00154718" w:rsidP="00BE5610"/>
    <w:p w:rsidR="006E3B58" w:rsidRPr="006E3B58" w:rsidRDefault="004D7E01" w:rsidP="006E3B58">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w:t>
      </w:r>
      <w:r w:rsidR="006E3B58">
        <w:rPr>
          <w:rFonts w:eastAsia="Times New Roman"/>
          <w:color w:val="000000"/>
          <w:lang w:bidi="ar-SA"/>
        </w:rPr>
        <w:t>s</w:t>
      </w:r>
      <w:r w:rsidRPr="004D7E01">
        <w:rPr>
          <w:rFonts w:eastAsia="Times New Roman"/>
          <w:color w:val="000000"/>
          <w:lang w:bidi="ar-SA"/>
        </w:rPr>
        <w:t xml:space="preserve"> filed by</w:t>
      </w:r>
      <w:r w:rsidRPr="004D7E01">
        <w:t xml:space="preserve"> </w:t>
      </w:r>
      <w:r w:rsidR="000605DC">
        <w:t>South Bainbridge Water System,</w:t>
      </w:r>
      <w:r w:rsidR="001B3508">
        <w:t xml:space="preserve"> Inc.</w:t>
      </w:r>
      <w:r w:rsidR="000D01D2">
        <w:t xml:space="preserve"> </w:t>
      </w:r>
      <w:r w:rsidR="00FD4A41">
        <w:t xml:space="preserve">in Docket UW-100622 </w:t>
      </w:r>
      <w:r w:rsidR="000D01D2">
        <w:t xml:space="preserve">on April </w:t>
      </w:r>
      <w:r w:rsidR="001B3508">
        <w:t>16</w:t>
      </w:r>
      <w:r w:rsidR="000D01D2">
        <w:t>, 2010.</w:t>
      </w:r>
    </w:p>
    <w:p w:rsidR="004D7E01" w:rsidRPr="004D7E01" w:rsidRDefault="006E3B58" w:rsidP="006E3B58">
      <w:pPr>
        <w:widowControl w:val="0"/>
        <w:autoSpaceDE w:val="0"/>
        <w:autoSpaceDN w:val="0"/>
        <w:adjustRightInd w:val="0"/>
        <w:ind w:left="360"/>
        <w:rPr>
          <w:color w:val="000000"/>
          <w:sz w:val="22"/>
          <w:szCs w:val="22"/>
          <w:lang w:bidi="ar-SA"/>
        </w:rPr>
      </w:pPr>
      <w:r w:rsidRPr="004D7E01">
        <w:rPr>
          <w:color w:val="000000"/>
          <w:sz w:val="22"/>
          <w:szCs w:val="22"/>
          <w:lang w:bidi="ar-SA"/>
        </w:rPr>
        <w:t xml:space="preserve"> </w:t>
      </w:r>
    </w:p>
    <w:p w:rsidR="00154718" w:rsidRPr="00935AF2" w:rsidRDefault="00154718" w:rsidP="00BE5610">
      <w:pPr>
        <w:rPr>
          <w:b/>
          <w:u w:val="single"/>
        </w:rPr>
      </w:pPr>
      <w:r w:rsidRPr="00935AF2">
        <w:rPr>
          <w:b/>
          <w:u w:val="single"/>
        </w:rPr>
        <w:t>Discussion</w:t>
      </w:r>
    </w:p>
    <w:p w:rsidR="00154718" w:rsidRPr="00EB4CE3" w:rsidRDefault="00154718" w:rsidP="00BE5610"/>
    <w:p w:rsidR="00AD3DD8" w:rsidRDefault="00DD65A6" w:rsidP="008C168F">
      <w:r>
        <w:rPr>
          <w:color w:val="000000"/>
        </w:rPr>
        <w:t xml:space="preserve">On </w:t>
      </w:r>
      <w:r w:rsidR="00705164">
        <w:t>April</w:t>
      </w:r>
      <w:r w:rsidR="002218EF">
        <w:t xml:space="preserve"> </w:t>
      </w:r>
      <w:r w:rsidR="001B3508">
        <w:t>16</w:t>
      </w:r>
      <w:r>
        <w:rPr>
          <w:color w:val="000000"/>
        </w:rPr>
        <w:t xml:space="preserve">, </w:t>
      </w:r>
      <w:r w:rsidR="00705164">
        <w:rPr>
          <w:color w:val="000000"/>
        </w:rPr>
        <w:t>2010</w:t>
      </w:r>
      <w:r>
        <w:rPr>
          <w:color w:val="000000"/>
        </w:rPr>
        <w:t xml:space="preserve">, </w:t>
      </w:r>
      <w:r w:rsidR="000605DC">
        <w:t>South Bainbridge Water System,</w:t>
      </w:r>
      <w:r w:rsidR="001B3508">
        <w:t xml:space="preserve"> </w:t>
      </w:r>
      <w:r w:rsidR="003C76F5">
        <w:t>Inc.</w:t>
      </w:r>
      <w:r>
        <w:t xml:space="preserve"> (</w:t>
      </w:r>
      <w:r w:rsidR="000605DC">
        <w:t>South Bainbridge</w:t>
      </w:r>
      <w:r>
        <w:t xml:space="preserve"> or company</w:t>
      </w:r>
      <w:r w:rsidR="00A201C0">
        <w:t>)</w:t>
      </w:r>
      <w:r w:rsidR="00D0403B">
        <w:t>,</w:t>
      </w:r>
      <w:r w:rsidR="00A201C0">
        <w:t xml:space="preserve"> filed</w:t>
      </w:r>
      <w:r>
        <w:t xml:space="preserve"> </w:t>
      </w:r>
      <w:r w:rsidR="008C168F">
        <w:t>t</w:t>
      </w:r>
      <w:r w:rsidR="008C168F" w:rsidRPr="008C168F">
        <w:rPr>
          <w:rFonts w:eastAsia="Times New Roman"/>
          <w:lang w:bidi="ar-SA"/>
        </w:rPr>
        <w:t>ariff revision</w:t>
      </w:r>
      <w:r w:rsidR="006E3B58">
        <w:rPr>
          <w:rFonts w:eastAsia="Times New Roman"/>
          <w:lang w:bidi="ar-SA"/>
        </w:rPr>
        <w:t>s</w:t>
      </w:r>
      <w:r w:rsidR="008C168F" w:rsidRPr="008C168F">
        <w:rPr>
          <w:rFonts w:eastAsia="Times New Roman"/>
          <w:lang w:bidi="ar-SA"/>
        </w:rPr>
        <w:t xml:space="preserve">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143CDB">
        <w:t>1</w:t>
      </w:r>
      <w:r w:rsidR="008248B7">
        <w:t>28</w:t>
      </w:r>
      <w:r w:rsidR="006E3B58">
        <w:t>,</w:t>
      </w:r>
      <w:r w:rsidR="008248B7">
        <w:t>500</w:t>
      </w:r>
      <w:r w:rsidR="00CC4FE2" w:rsidRPr="00407C80">
        <w:t xml:space="preserve"> (</w:t>
      </w:r>
      <w:r w:rsidR="008248B7">
        <w:t>2</w:t>
      </w:r>
      <w:r w:rsidR="002218EF">
        <w:t>0</w:t>
      </w:r>
      <w:r w:rsidR="00CC4FE2" w:rsidRPr="00407C80">
        <w:t xml:space="preserve"> percent) </w:t>
      </w:r>
      <w:r w:rsidR="008B479D">
        <w:t xml:space="preserve">in </w:t>
      </w:r>
      <w:r w:rsidR="00863543">
        <w:t>additional annual revenue</w:t>
      </w:r>
      <w:r w:rsidR="00CC4FE2" w:rsidRPr="00407C80">
        <w:t xml:space="preserve">. </w:t>
      </w:r>
      <w:r w:rsidR="00451AF9">
        <w:t xml:space="preserve">The proposed effective date is </w:t>
      </w:r>
      <w:r w:rsidR="008248B7">
        <w:t>June</w:t>
      </w:r>
      <w:r w:rsidR="00451AF9">
        <w:t xml:space="preserve"> 1, 2010. The filing was prompted by increases in</w:t>
      </w:r>
      <w:r w:rsidR="00451AF9" w:rsidRPr="00E96BCC">
        <w:t xml:space="preserve"> </w:t>
      </w:r>
      <w:r w:rsidR="008248B7">
        <w:t>company costs of operations, such as insurance, property tax, power costs and payroll</w:t>
      </w:r>
      <w:r w:rsidR="00451AF9">
        <w:t>.</w:t>
      </w:r>
    </w:p>
    <w:p w:rsidR="00AD3DD8" w:rsidRDefault="00AD3DD8" w:rsidP="008C168F"/>
    <w:p w:rsidR="008C168F" w:rsidRPr="008C168F" w:rsidRDefault="00D66624" w:rsidP="008C168F">
      <w:pPr>
        <w:rPr>
          <w:rFonts w:eastAsia="Times New Roman"/>
          <w:lang w:bidi="ar-SA"/>
        </w:rPr>
      </w:pPr>
      <w:r w:rsidRPr="00CA722D">
        <w:t>Th</w:t>
      </w:r>
      <w:r w:rsidR="003C76F5">
        <w:t xml:space="preserve">e company proposes to </w:t>
      </w:r>
      <w:r w:rsidRPr="00CA722D">
        <w:t>add</w:t>
      </w:r>
      <w:r w:rsidR="003C76F5">
        <w:t xml:space="preserve"> the increase</w:t>
      </w:r>
      <w:r w:rsidRPr="00CA722D">
        <w:t xml:space="preserve"> to the current base charge and </w:t>
      </w:r>
      <w:r>
        <w:t>R</w:t>
      </w:r>
      <w:r w:rsidRPr="00CA722D">
        <w:t>eady</w:t>
      </w:r>
      <w:r>
        <w:t>-</w:t>
      </w:r>
      <w:r w:rsidRPr="00CA722D">
        <w:t>to</w:t>
      </w:r>
      <w:r>
        <w:t>-S</w:t>
      </w:r>
      <w:r w:rsidRPr="00CA722D">
        <w:t xml:space="preserve">erve </w:t>
      </w:r>
      <w:r>
        <w:t>charge</w:t>
      </w:r>
      <w:r w:rsidR="003C76F5">
        <w:t>,</w:t>
      </w:r>
      <w:r>
        <w:t xml:space="preserve"> </w:t>
      </w:r>
      <w:r w:rsidRPr="00CA722D">
        <w:t xml:space="preserve">resulting in a proposed </w:t>
      </w:r>
      <w:r w:rsidR="003C76F5" w:rsidRPr="003C76F5">
        <w:t xml:space="preserve">$34.18 </w:t>
      </w:r>
      <w:r w:rsidRPr="00CA722D">
        <w:t xml:space="preserve">Base Meter charge and </w:t>
      </w:r>
      <w:r w:rsidR="003C76F5">
        <w:t xml:space="preserve">a </w:t>
      </w:r>
      <w:r>
        <w:t xml:space="preserve">proposed </w:t>
      </w:r>
      <w:r w:rsidR="003C76F5" w:rsidRPr="003C76F5">
        <w:t>$34.18</w:t>
      </w:r>
      <w:r w:rsidR="00FD4A41">
        <w:t xml:space="preserve"> </w:t>
      </w:r>
      <w:r w:rsidRPr="00CA722D">
        <w:t>Ready</w:t>
      </w:r>
      <w:r>
        <w:t>-</w:t>
      </w:r>
      <w:r w:rsidRPr="00CA722D">
        <w:t>to</w:t>
      </w:r>
      <w:r>
        <w:t>-</w:t>
      </w:r>
      <w:r w:rsidRPr="00CA722D">
        <w:t>Serve charge.</w:t>
      </w:r>
      <w:r>
        <w:t xml:space="preserve"> The usage rates established last year would remain the same under the company’s proposal. </w:t>
      </w:r>
      <w:r w:rsidR="00BB1679">
        <w:t xml:space="preserve">South Bainbridge serves about </w:t>
      </w:r>
      <w:r w:rsidR="00BB1679" w:rsidRPr="00CD2C06">
        <w:t>1</w:t>
      </w:r>
      <w:r w:rsidR="00BB1679">
        <w:t>,250</w:t>
      </w:r>
      <w:r w:rsidR="00BB1679" w:rsidRPr="00CD2C06">
        <w:t xml:space="preserve"> customers</w:t>
      </w:r>
      <w:r w:rsidR="00BB1679">
        <w:t>, on the south end of Bainbridge Island</w:t>
      </w:r>
      <w:r w:rsidR="00BB1679" w:rsidRPr="00CD2C06">
        <w:t xml:space="preserve"> in </w:t>
      </w:r>
      <w:r w:rsidR="00BB1679">
        <w:t>Kitsap</w:t>
      </w:r>
      <w:r w:rsidR="00BB1679" w:rsidRPr="00CD2C06">
        <w:t xml:space="preserve"> County.</w:t>
      </w:r>
      <w:r w:rsidR="00BB1679">
        <w:t xml:space="preserve"> </w:t>
      </w:r>
      <w:r w:rsidR="006E3B58">
        <w:t xml:space="preserve">The company’s last rate increase was </w:t>
      </w:r>
      <w:r w:rsidR="00E96BCC">
        <w:t xml:space="preserve">effective </w:t>
      </w:r>
      <w:r w:rsidR="008B479D">
        <w:t xml:space="preserve">in </w:t>
      </w:r>
      <w:r w:rsidR="006D22CE">
        <w:t>March</w:t>
      </w:r>
      <w:r w:rsidR="006E3B58">
        <w:t xml:space="preserve"> 200</w:t>
      </w:r>
      <w:r w:rsidR="006D22CE">
        <w:t>9</w:t>
      </w:r>
      <w:r w:rsidR="006E3B58">
        <w:t>.</w:t>
      </w:r>
    </w:p>
    <w:p w:rsidR="00DD65A6" w:rsidRDefault="00DD65A6" w:rsidP="00BE5610"/>
    <w:p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rsidR="008248B7" w:rsidRDefault="008248B7" w:rsidP="008248B7"/>
    <w:p w:rsidR="008248B7" w:rsidRPr="008248B7" w:rsidRDefault="008248B7" w:rsidP="008248B7">
      <w:r w:rsidRPr="008248B7">
        <w:t>On April 16, 2010, the company notified its customers of the proposed rate increase by mail. The commission received 15 customer comments on this filing; 13 oppose, one is undecided and one supports the proposed increase. Please note that customers often address several issues of concern within one comment. Therefore, subtotals may not equal the total number of comments submitted.</w:t>
      </w:r>
    </w:p>
    <w:p w:rsidR="008248B7" w:rsidRPr="008248B7" w:rsidRDefault="008248B7" w:rsidP="008248B7">
      <w:pPr>
        <w:rPr>
          <w:b/>
          <w:u w:val="single"/>
        </w:rPr>
      </w:pPr>
    </w:p>
    <w:p w:rsidR="008248B7" w:rsidRPr="008248B7" w:rsidRDefault="000B14E0" w:rsidP="008248B7">
      <w:pPr>
        <w:rPr>
          <w:b/>
          <w:u w:val="single"/>
        </w:rPr>
      </w:pPr>
      <w:r w:rsidRPr="008248B7">
        <w:t>Consumer Protection staff advise</w:t>
      </w:r>
      <w:r>
        <w:t>d</w:t>
      </w:r>
      <w:r w:rsidRPr="008248B7">
        <w:t xml:space="preserve"> customers that they may access company documents pertinent to this rate case </w:t>
      </w:r>
      <w:r w:rsidR="00FD4A41">
        <w:t xml:space="preserve">at </w:t>
      </w:r>
      <w:r w:rsidRPr="008248B7">
        <w:t>www.utc.wa.gov/water, and that they may contact Dennis Shutler at 1-888-333-9882 with questions or concerns.</w:t>
      </w:r>
    </w:p>
    <w:p w:rsidR="008248B7" w:rsidRPr="008248B7" w:rsidRDefault="008248B7" w:rsidP="008248B7"/>
    <w:p w:rsidR="008248B7" w:rsidRPr="008248B7" w:rsidRDefault="008248B7" w:rsidP="008248B7">
      <w:pPr>
        <w:rPr>
          <w:b/>
        </w:rPr>
      </w:pPr>
      <w:r w:rsidRPr="008248B7">
        <w:rPr>
          <w:b/>
        </w:rPr>
        <w:t>Filing Documents and Methodology Comments</w:t>
      </w:r>
    </w:p>
    <w:p w:rsidR="008248B7" w:rsidRPr="008248B7" w:rsidRDefault="008248B7" w:rsidP="008248B7">
      <w:pPr>
        <w:numPr>
          <w:ilvl w:val="0"/>
          <w:numId w:val="11"/>
        </w:numPr>
      </w:pPr>
      <w:r w:rsidRPr="008248B7">
        <w:t>Eight customers believe increasing only the base rate does not encourage conservation. The usage rates should be increased so customers who use more water should pay more.</w:t>
      </w:r>
    </w:p>
    <w:p w:rsidR="008248B7" w:rsidRPr="008248B7" w:rsidRDefault="008248B7" w:rsidP="008248B7"/>
    <w:p w:rsidR="008248B7" w:rsidRPr="008248B7" w:rsidRDefault="008248B7" w:rsidP="008248B7">
      <w:pPr>
        <w:ind w:left="720"/>
        <w:rPr>
          <w:b/>
        </w:rPr>
      </w:pPr>
      <w:r w:rsidRPr="008248B7">
        <w:rPr>
          <w:b/>
        </w:rPr>
        <w:t>Staff Response</w:t>
      </w:r>
    </w:p>
    <w:p w:rsidR="008248B7" w:rsidRPr="008248B7" w:rsidRDefault="008248B7" w:rsidP="008248B7">
      <w:pPr>
        <w:tabs>
          <w:tab w:val="left" w:pos="90"/>
        </w:tabs>
        <w:ind w:left="720"/>
      </w:pPr>
      <w:r w:rsidRPr="008248B7">
        <w:t>Staff’s rate design ensures that rates are fair, just, reasonable and sufficient.</w:t>
      </w:r>
    </w:p>
    <w:p w:rsidR="008248B7" w:rsidRPr="008248B7" w:rsidRDefault="008248B7" w:rsidP="008248B7">
      <w:pPr>
        <w:tabs>
          <w:tab w:val="left" w:pos="90"/>
        </w:tabs>
        <w:ind w:left="720"/>
      </w:pPr>
    </w:p>
    <w:p w:rsidR="00FF295F" w:rsidRDefault="00FF295F" w:rsidP="008248B7">
      <w:pPr>
        <w:rPr>
          <w:b/>
        </w:rPr>
      </w:pPr>
    </w:p>
    <w:p w:rsidR="008248B7" w:rsidRPr="008248B7" w:rsidRDefault="008248B7" w:rsidP="008248B7">
      <w:r w:rsidRPr="008248B7">
        <w:rPr>
          <w:b/>
        </w:rPr>
        <w:lastRenderedPageBreak/>
        <w:t>General Comment</w:t>
      </w:r>
    </w:p>
    <w:p w:rsidR="008248B7" w:rsidRPr="008248B7" w:rsidRDefault="008248B7" w:rsidP="004710D8">
      <w:pPr>
        <w:widowControl w:val="0"/>
        <w:numPr>
          <w:ilvl w:val="0"/>
          <w:numId w:val="12"/>
        </w:numPr>
        <w:tabs>
          <w:tab w:val="left" w:pos="90"/>
        </w:tabs>
        <w:autoSpaceDE w:val="0"/>
        <w:autoSpaceDN w:val="0"/>
        <w:adjustRightInd w:val="0"/>
        <w:ind w:left="720"/>
      </w:pPr>
      <w:r w:rsidRPr="008248B7">
        <w:t>Eight customers believe the proposed rates are excessive. Two customers believe a smaller rate increase should be considered.</w:t>
      </w:r>
    </w:p>
    <w:p w:rsidR="008248B7" w:rsidRPr="008248B7" w:rsidRDefault="008248B7" w:rsidP="008248B7">
      <w:pPr>
        <w:tabs>
          <w:tab w:val="left" w:pos="90"/>
        </w:tabs>
      </w:pPr>
    </w:p>
    <w:p w:rsidR="008248B7" w:rsidRPr="008248B7" w:rsidRDefault="008248B7" w:rsidP="008248B7">
      <w:pPr>
        <w:tabs>
          <w:tab w:val="left" w:pos="90"/>
        </w:tabs>
        <w:ind w:left="720"/>
        <w:rPr>
          <w:b/>
        </w:rPr>
      </w:pPr>
      <w:r w:rsidRPr="008248B7">
        <w:rPr>
          <w:b/>
        </w:rPr>
        <w:t xml:space="preserve">Staff Response  </w:t>
      </w:r>
    </w:p>
    <w:p w:rsidR="008248B7" w:rsidRPr="008248B7" w:rsidRDefault="008248B7" w:rsidP="008248B7">
      <w:pPr>
        <w:ind w:left="720"/>
      </w:pPr>
      <w:r w:rsidRPr="008248B7">
        <w:t>Customers were advised that state law requires rates to be fair and reasonable, and sufficient to allow the company the opportunity to recover reasonable operating expenses and earn a reasonable return on investment.</w:t>
      </w:r>
    </w:p>
    <w:p w:rsidR="00A8749C" w:rsidRPr="00A8749C" w:rsidRDefault="00A8749C" w:rsidP="00A8749C"/>
    <w:p w:rsidR="0080117F" w:rsidRPr="0080117F" w:rsidRDefault="0080117F"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rFonts w:eastAsia="Times New Roman"/>
          <w:lang w:bidi="ar-SA"/>
        </w:rPr>
        <w:t>A customer using</w:t>
      </w:r>
      <w:r w:rsidR="00992790">
        <w:rPr>
          <w:rFonts w:eastAsia="Times New Roman"/>
          <w:lang w:bidi="ar-SA"/>
        </w:rPr>
        <w:t xml:space="preserve"> </w:t>
      </w:r>
      <w:r w:rsidR="00684EEF">
        <w:rPr>
          <w:rFonts w:eastAsia="Times New Roman"/>
          <w:lang w:bidi="ar-SA"/>
        </w:rPr>
        <w:t>903</w:t>
      </w:r>
      <w:r w:rsidRPr="0080117F">
        <w:rPr>
          <w:rFonts w:eastAsia="Times New Roman"/>
          <w:lang w:bidi="ar-SA"/>
        </w:rPr>
        <w:t xml:space="preserve"> </w:t>
      </w:r>
      <w:r w:rsidR="00771097">
        <w:rPr>
          <w:rFonts w:eastAsia="Times New Roman"/>
          <w:lang w:bidi="ar-SA"/>
        </w:rPr>
        <w:t>cubic feet</w:t>
      </w:r>
      <w:r w:rsidRPr="0080117F">
        <w:rPr>
          <w:rFonts w:eastAsia="Times New Roman"/>
          <w:lang w:bidi="ar-SA"/>
        </w:rPr>
        <w:t xml:space="preserve"> of water per month (the calculated company-wide average water usage) would pay $</w:t>
      </w:r>
      <w:r w:rsidR="00771097">
        <w:rPr>
          <w:rFonts w:eastAsia="Times New Roman"/>
          <w:lang w:bidi="ar-SA"/>
        </w:rPr>
        <w:t>8.43</w:t>
      </w:r>
      <w:r w:rsidRPr="0080117F">
        <w:rPr>
          <w:rFonts w:eastAsia="Times New Roman"/>
          <w:lang w:bidi="ar-SA"/>
        </w:rPr>
        <w:t xml:space="preserve"> (</w:t>
      </w:r>
      <w:r w:rsidR="00771097">
        <w:rPr>
          <w:rFonts w:eastAsia="Times New Roman"/>
          <w:lang w:bidi="ar-SA"/>
        </w:rPr>
        <w:t>24</w:t>
      </w:r>
      <w:r w:rsidR="00684EEF">
        <w:rPr>
          <w:rFonts w:eastAsia="Times New Roman"/>
          <w:lang w:bidi="ar-SA"/>
        </w:rPr>
        <w:t>.2</w:t>
      </w:r>
      <w:r w:rsidRPr="0080117F">
        <w:rPr>
          <w:rFonts w:eastAsia="Times New Roman"/>
          <w:lang w:bidi="ar-SA"/>
        </w:rPr>
        <w:t xml:space="preserve"> percent) more per month using the </w:t>
      </w:r>
      <w:r w:rsidR="003C4EB8">
        <w:rPr>
          <w:rFonts w:eastAsia="Times New Roman"/>
          <w:lang w:bidi="ar-SA"/>
        </w:rPr>
        <w:t>proposed</w:t>
      </w:r>
      <w:r w:rsidRPr="0080117F">
        <w:rPr>
          <w:rFonts w:eastAsia="Times New Roman"/>
          <w:lang w:bidi="ar-SA"/>
        </w:rPr>
        <w:t xml:space="preserve"> rates </w:t>
      </w:r>
      <w:r w:rsidR="003C76F5">
        <w:rPr>
          <w:rFonts w:eastAsia="Times New Roman"/>
          <w:lang w:bidi="ar-SA"/>
        </w:rPr>
        <w:t xml:space="preserve">as compared to </w:t>
      </w:r>
      <w:r w:rsidRPr="0080117F">
        <w:rPr>
          <w:rFonts w:eastAsia="Times New Roman"/>
          <w:lang w:bidi="ar-SA"/>
        </w:rPr>
        <w:t xml:space="preserve">the </w:t>
      </w:r>
      <w:r w:rsidR="003C4EB8">
        <w:rPr>
          <w:rFonts w:eastAsia="Times New Roman"/>
          <w:lang w:bidi="ar-SA"/>
        </w:rPr>
        <w:t>current</w:t>
      </w:r>
      <w:r w:rsidRPr="0080117F">
        <w:rPr>
          <w:rFonts w:eastAsia="Times New Roman"/>
          <w:lang w:bidi="ar-SA"/>
        </w:rPr>
        <w:t xml:space="preserve"> rates (see “Average Bill Comparison” table below).</w:t>
      </w:r>
    </w:p>
    <w:p w:rsidR="00D31072" w:rsidRDefault="00D31072" w:rsidP="0080117F">
      <w:pPr>
        <w:rPr>
          <w:b/>
          <w:u w:val="single"/>
        </w:rPr>
      </w:pPr>
    </w:p>
    <w:p w:rsidR="009270B9" w:rsidRDefault="00832CE0" w:rsidP="009270B9">
      <w:pPr>
        <w:jc w:val="center"/>
        <w:rPr>
          <w:b/>
          <w:u w:val="single"/>
        </w:rPr>
      </w:pPr>
      <w:r w:rsidRPr="00450175">
        <w:rPr>
          <w:b/>
          <w:u w:val="single"/>
        </w:rPr>
        <w:t>Rate Comparison</w:t>
      </w:r>
    </w:p>
    <w:p w:rsidR="00CA3026" w:rsidRDefault="00CA3026" w:rsidP="009270B9">
      <w:pPr>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8"/>
        <w:gridCol w:w="2461"/>
        <w:gridCol w:w="2967"/>
      </w:tblGrid>
      <w:tr w:rsidR="009270B9" w:rsidRPr="009270B9" w:rsidTr="009270B9">
        <w:tc>
          <w:tcPr>
            <w:tcW w:w="2166" w:type="pct"/>
          </w:tcPr>
          <w:p w:rsidR="009270B9" w:rsidRPr="009270B9" w:rsidRDefault="009270B9" w:rsidP="00FF295F">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 xml:space="preserve">Monthly </w:t>
            </w:r>
            <w:r w:rsidR="00087106" w:rsidRPr="00263F7B">
              <w:rPr>
                <w:rFonts w:eastAsia="Times New Roman"/>
                <w:b/>
                <w:lang w:bidi="ar-SA"/>
              </w:rPr>
              <w:t>Rate</w:t>
            </w:r>
            <w:r w:rsidR="00087106" w:rsidRPr="00263F7B">
              <w:rPr>
                <w:vertAlign w:val="superscript"/>
              </w:rPr>
              <w:t>1</w:t>
            </w:r>
          </w:p>
        </w:tc>
        <w:tc>
          <w:tcPr>
            <w:tcW w:w="1285" w:type="pct"/>
            <w:vAlign w:val="center"/>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49" w:type="pct"/>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A10E54" w:rsidRPr="009270B9" w:rsidTr="00A10E54">
        <w:tc>
          <w:tcPr>
            <w:tcW w:w="2166" w:type="pct"/>
          </w:tcPr>
          <w:p w:rsidR="00A10E54" w:rsidRDefault="00BB1679" w:rsidP="00BB1679">
            <w:pPr>
              <w:widowControl w:val="0"/>
              <w:autoSpaceDE w:val="0"/>
              <w:autoSpaceDN w:val="0"/>
              <w:adjustRightInd w:val="0"/>
              <w:rPr>
                <w:rFonts w:eastAsia="Times New Roman"/>
                <w:lang w:bidi="ar-SA"/>
              </w:rPr>
            </w:pPr>
            <w:r>
              <w:rPr>
                <w:rFonts w:eastAsia="Times New Roman"/>
                <w:lang w:bidi="ar-SA"/>
              </w:rPr>
              <w:t xml:space="preserve">Non-Metered </w:t>
            </w:r>
          </w:p>
        </w:tc>
        <w:tc>
          <w:tcPr>
            <w:tcW w:w="1285" w:type="pct"/>
          </w:tcPr>
          <w:p w:rsidR="00A10E54" w:rsidRDefault="00A10E54" w:rsidP="00D66624">
            <w:pPr>
              <w:widowControl w:val="0"/>
              <w:autoSpaceDE w:val="0"/>
              <w:autoSpaceDN w:val="0"/>
              <w:adjustRightInd w:val="0"/>
              <w:jc w:val="center"/>
              <w:rPr>
                <w:rFonts w:eastAsia="Times New Roman"/>
                <w:lang w:bidi="ar-SA"/>
              </w:rPr>
            </w:pPr>
            <w:r>
              <w:rPr>
                <w:rFonts w:eastAsia="Times New Roman"/>
                <w:lang w:bidi="ar-SA"/>
              </w:rPr>
              <w:t>$2</w:t>
            </w:r>
            <w:r w:rsidR="00D66624">
              <w:rPr>
                <w:rFonts w:eastAsia="Times New Roman"/>
                <w:lang w:bidi="ar-SA"/>
              </w:rPr>
              <w:t>9</w:t>
            </w:r>
            <w:r>
              <w:rPr>
                <w:rFonts w:eastAsia="Times New Roman"/>
                <w:lang w:bidi="ar-SA"/>
              </w:rPr>
              <w:t>.</w:t>
            </w:r>
            <w:r w:rsidR="00D66624">
              <w:rPr>
                <w:rFonts w:eastAsia="Times New Roman"/>
                <w:lang w:bidi="ar-SA"/>
              </w:rPr>
              <w:t>5</w:t>
            </w:r>
            <w:r>
              <w:rPr>
                <w:rFonts w:eastAsia="Times New Roman"/>
                <w:lang w:bidi="ar-SA"/>
              </w:rPr>
              <w:t>5</w:t>
            </w:r>
          </w:p>
        </w:tc>
        <w:tc>
          <w:tcPr>
            <w:tcW w:w="1549" w:type="pct"/>
          </w:tcPr>
          <w:p w:rsidR="00A10E54" w:rsidRPr="009270B9" w:rsidRDefault="00A10E54" w:rsidP="00BB1679">
            <w:pPr>
              <w:widowControl w:val="0"/>
              <w:autoSpaceDE w:val="0"/>
              <w:autoSpaceDN w:val="0"/>
              <w:adjustRightInd w:val="0"/>
              <w:jc w:val="center"/>
              <w:rPr>
                <w:rFonts w:eastAsia="Times New Roman"/>
                <w:lang w:bidi="ar-SA"/>
              </w:rPr>
            </w:pPr>
            <w:r>
              <w:rPr>
                <w:rFonts w:eastAsia="Times New Roman"/>
                <w:lang w:bidi="ar-SA"/>
              </w:rPr>
              <w:t>$</w:t>
            </w:r>
            <w:r w:rsidR="00BB1679">
              <w:rPr>
                <w:rFonts w:eastAsia="Times New Roman"/>
                <w:lang w:bidi="ar-SA"/>
              </w:rPr>
              <w:t>37</w:t>
            </w:r>
            <w:r>
              <w:rPr>
                <w:rFonts w:eastAsia="Times New Roman"/>
                <w:lang w:bidi="ar-SA"/>
              </w:rPr>
              <w:t>.</w:t>
            </w:r>
            <w:r w:rsidR="00BB1679">
              <w:rPr>
                <w:rFonts w:eastAsia="Times New Roman"/>
                <w:lang w:bidi="ar-SA"/>
              </w:rPr>
              <w:t>98</w:t>
            </w:r>
          </w:p>
        </w:tc>
      </w:tr>
      <w:tr w:rsidR="00BB1679" w:rsidRPr="009270B9" w:rsidTr="009270B9">
        <w:tc>
          <w:tcPr>
            <w:tcW w:w="2166" w:type="pct"/>
          </w:tcPr>
          <w:p w:rsidR="00BB1679" w:rsidRDefault="00BB1679" w:rsidP="00B56E98">
            <w:pPr>
              <w:keepNext/>
              <w:widowControl w:val="0"/>
              <w:autoSpaceDE w:val="0"/>
              <w:autoSpaceDN w:val="0"/>
              <w:adjustRightInd w:val="0"/>
              <w:outlineLvl w:val="0"/>
              <w:rPr>
                <w:rFonts w:eastAsia="Times New Roman"/>
                <w:lang w:bidi="ar-SA"/>
              </w:rPr>
            </w:pPr>
            <w:r>
              <w:rPr>
                <w:rFonts w:eastAsia="Times New Roman"/>
                <w:lang w:bidi="ar-SA"/>
              </w:rPr>
              <w:t>Ready to Serve</w:t>
            </w:r>
          </w:p>
        </w:tc>
        <w:tc>
          <w:tcPr>
            <w:tcW w:w="1285" w:type="pct"/>
          </w:tcPr>
          <w:p w:rsidR="00BB1679" w:rsidRDefault="00BB1679" w:rsidP="00087106">
            <w:pPr>
              <w:widowControl w:val="0"/>
              <w:autoSpaceDE w:val="0"/>
              <w:autoSpaceDN w:val="0"/>
              <w:adjustRightInd w:val="0"/>
              <w:jc w:val="center"/>
              <w:rPr>
                <w:rFonts w:eastAsia="Times New Roman"/>
                <w:lang w:bidi="ar-SA"/>
              </w:rPr>
            </w:pPr>
            <w:r>
              <w:rPr>
                <w:rFonts w:eastAsia="Times New Roman"/>
                <w:lang w:bidi="ar-SA"/>
              </w:rPr>
              <w:t>$25.75</w:t>
            </w:r>
          </w:p>
        </w:tc>
        <w:tc>
          <w:tcPr>
            <w:tcW w:w="1549" w:type="pct"/>
          </w:tcPr>
          <w:p w:rsidR="00BB1679" w:rsidRPr="009270B9" w:rsidRDefault="00BB1679" w:rsidP="00087106">
            <w:pPr>
              <w:widowControl w:val="0"/>
              <w:autoSpaceDE w:val="0"/>
              <w:autoSpaceDN w:val="0"/>
              <w:adjustRightInd w:val="0"/>
              <w:jc w:val="center"/>
              <w:rPr>
                <w:rFonts w:eastAsia="Times New Roman"/>
                <w:lang w:bidi="ar-SA"/>
              </w:rPr>
            </w:pPr>
            <w:r>
              <w:rPr>
                <w:rFonts w:eastAsia="Times New Roman"/>
                <w:lang w:bidi="ar-SA"/>
              </w:rPr>
              <w:t>$34.18</w:t>
            </w:r>
          </w:p>
        </w:tc>
      </w:tr>
      <w:tr w:rsidR="00BB1679" w:rsidRPr="009270B9" w:rsidTr="009270B9">
        <w:tc>
          <w:tcPr>
            <w:tcW w:w="2166" w:type="pct"/>
          </w:tcPr>
          <w:p w:rsidR="00BB1679" w:rsidRPr="009270B9" w:rsidRDefault="00BB1679" w:rsidP="00B56E98">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Pr="009270B9">
              <w:rPr>
                <w:rFonts w:eastAsia="Times New Roman"/>
                <w:lang w:bidi="ar-SA"/>
              </w:rPr>
              <w:t>inch meter)</w:t>
            </w:r>
          </w:p>
        </w:tc>
        <w:tc>
          <w:tcPr>
            <w:tcW w:w="1285" w:type="pct"/>
          </w:tcPr>
          <w:p w:rsidR="00BB1679" w:rsidRDefault="00BB1679" w:rsidP="00087106">
            <w:pPr>
              <w:widowControl w:val="0"/>
              <w:autoSpaceDE w:val="0"/>
              <w:autoSpaceDN w:val="0"/>
              <w:adjustRightInd w:val="0"/>
              <w:jc w:val="center"/>
              <w:rPr>
                <w:rFonts w:eastAsia="Times New Roman"/>
                <w:lang w:bidi="ar-SA"/>
              </w:rPr>
            </w:pPr>
            <w:r>
              <w:rPr>
                <w:rFonts w:eastAsia="Times New Roman"/>
                <w:lang w:bidi="ar-SA"/>
              </w:rPr>
              <w:t>$25.75</w:t>
            </w:r>
          </w:p>
        </w:tc>
        <w:tc>
          <w:tcPr>
            <w:tcW w:w="1549" w:type="pct"/>
          </w:tcPr>
          <w:p w:rsidR="00BB1679" w:rsidRPr="009270B9" w:rsidRDefault="00BB1679" w:rsidP="00087106">
            <w:pPr>
              <w:widowControl w:val="0"/>
              <w:autoSpaceDE w:val="0"/>
              <w:autoSpaceDN w:val="0"/>
              <w:adjustRightInd w:val="0"/>
              <w:jc w:val="center"/>
              <w:rPr>
                <w:rFonts w:eastAsia="Times New Roman"/>
                <w:lang w:bidi="ar-SA"/>
              </w:rPr>
            </w:pPr>
            <w:r>
              <w:rPr>
                <w:rFonts w:eastAsia="Times New Roman"/>
                <w:lang w:bidi="ar-SA"/>
              </w:rPr>
              <w:t>$34.18</w:t>
            </w:r>
          </w:p>
        </w:tc>
      </w:tr>
      <w:tr w:rsidR="007851BC" w:rsidRPr="009270B9" w:rsidTr="009270B9">
        <w:tc>
          <w:tcPr>
            <w:tcW w:w="2166" w:type="pct"/>
          </w:tcPr>
          <w:p w:rsidR="007851BC" w:rsidRPr="009270B9" w:rsidRDefault="007851BC" w:rsidP="00BB1679">
            <w:pPr>
              <w:widowControl w:val="0"/>
              <w:autoSpaceDE w:val="0"/>
              <w:autoSpaceDN w:val="0"/>
              <w:adjustRightInd w:val="0"/>
              <w:rPr>
                <w:rFonts w:eastAsia="Times New Roman"/>
                <w:lang w:bidi="ar-SA"/>
              </w:rPr>
            </w:pPr>
            <w:r>
              <w:t>0 – 800 Cubic Feet</w:t>
            </w:r>
          </w:p>
        </w:tc>
        <w:tc>
          <w:tcPr>
            <w:tcW w:w="1285" w:type="pct"/>
          </w:tcPr>
          <w:p w:rsidR="007851BC" w:rsidRPr="009270B9" w:rsidRDefault="007851BC" w:rsidP="00B56E98">
            <w:pPr>
              <w:widowControl w:val="0"/>
              <w:autoSpaceDE w:val="0"/>
              <w:autoSpaceDN w:val="0"/>
              <w:adjustRightInd w:val="0"/>
              <w:jc w:val="center"/>
              <w:rPr>
                <w:rFonts w:eastAsia="Times New Roman"/>
                <w:lang w:bidi="ar-SA"/>
              </w:rPr>
            </w:pPr>
            <w:r>
              <w:rPr>
                <w:rFonts w:eastAsia="Times New Roman"/>
                <w:lang w:bidi="ar-SA"/>
              </w:rPr>
              <w:t>$.94</w:t>
            </w:r>
          </w:p>
        </w:tc>
        <w:tc>
          <w:tcPr>
            <w:tcW w:w="1549" w:type="pct"/>
          </w:tcPr>
          <w:p w:rsidR="007851BC" w:rsidRPr="009270B9" w:rsidRDefault="007851BC" w:rsidP="00267E83">
            <w:pPr>
              <w:widowControl w:val="0"/>
              <w:autoSpaceDE w:val="0"/>
              <w:autoSpaceDN w:val="0"/>
              <w:adjustRightInd w:val="0"/>
              <w:jc w:val="center"/>
              <w:rPr>
                <w:rFonts w:eastAsia="Times New Roman"/>
                <w:lang w:bidi="ar-SA"/>
              </w:rPr>
            </w:pPr>
            <w:r>
              <w:rPr>
                <w:rFonts w:eastAsia="Times New Roman"/>
                <w:lang w:bidi="ar-SA"/>
              </w:rPr>
              <w:t>$.94</w:t>
            </w:r>
          </w:p>
        </w:tc>
      </w:tr>
      <w:tr w:rsidR="007851BC" w:rsidRPr="009270B9" w:rsidTr="009270B9">
        <w:tc>
          <w:tcPr>
            <w:tcW w:w="2166" w:type="pct"/>
          </w:tcPr>
          <w:p w:rsidR="007851BC" w:rsidRPr="009442FC" w:rsidRDefault="00267E83" w:rsidP="002C4114">
            <w:r>
              <w:t>8</w:t>
            </w:r>
            <w:r w:rsidR="007851BC" w:rsidRPr="009442FC">
              <w:t xml:space="preserve">01 </w:t>
            </w:r>
            <w:r w:rsidR="007851BC">
              <w:t>–</w:t>
            </w:r>
            <w:r w:rsidR="007851BC" w:rsidRPr="009442FC">
              <w:t xml:space="preserve"> 1</w:t>
            </w:r>
            <w:r w:rsidR="007851BC">
              <w:t>,2</w:t>
            </w:r>
            <w:r w:rsidR="007851BC" w:rsidRPr="009442FC">
              <w:t xml:space="preserve">00 </w:t>
            </w:r>
            <w:r w:rsidR="007851BC">
              <w:t>Cubic Feet</w:t>
            </w:r>
          </w:p>
        </w:tc>
        <w:tc>
          <w:tcPr>
            <w:tcW w:w="1285" w:type="pct"/>
          </w:tcPr>
          <w:p w:rsidR="007851BC" w:rsidRPr="009442FC" w:rsidRDefault="007851BC" w:rsidP="007851BC">
            <w:pPr>
              <w:jc w:val="center"/>
            </w:pPr>
            <w:r w:rsidRPr="009442FC">
              <w:t>$</w:t>
            </w:r>
            <w:r>
              <w:t>1.5</w:t>
            </w:r>
            <w:r w:rsidRPr="009442FC">
              <w:t>5</w:t>
            </w:r>
          </w:p>
        </w:tc>
        <w:tc>
          <w:tcPr>
            <w:tcW w:w="1549" w:type="pct"/>
          </w:tcPr>
          <w:p w:rsidR="007851BC" w:rsidRPr="009442FC" w:rsidRDefault="007851BC" w:rsidP="00267E83">
            <w:pPr>
              <w:jc w:val="center"/>
            </w:pPr>
            <w:r w:rsidRPr="009442FC">
              <w:t>$</w:t>
            </w:r>
            <w:r>
              <w:t>1.5</w:t>
            </w:r>
            <w:r w:rsidRPr="009442FC">
              <w:t>5</w:t>
            </w:r>
          </w:p>
        </w:tc>
      </w:tr>
      <w:tr w:rsidR="007851BC" w:rsidRPr="009270B9" w:rsidTr="009270B9">
        <w:tc>
          <w:tcPr>
            <w:tcW w:w="2166" w:type="pct"/>
          </w:tcPr>
          <w:p w:rsidR="007851BC" w:rsidRPr="009442FC" w:rsidRDefault="007851BC" w:rsidP="002C4114">
            <w:r>
              <w:t>1,2</w:t>
            </w:r>
            <w:r w:rsidRPr="009442FC">
              <w:t xml:space="preserve">01 </w:t>
            </w:r>
            <w:r>
              <w:t>–</w:t>
            </w:r>
            <w:r w:rsidRPr="009442FC">
              <w:t xml:space="preserve"> 1</w:t>
            </w:r>
            <w:r>
              <w:t>,8</w:t>
            </w:r>
            <w:r w:rsidRPr="009442FC">
              <w:t xml:space="preserve">00 </w:t>
            </w:r>
            <w:r>
              <w:t>Cubic Feet</w:t>
            </w:r>
          </w:p>
        </w:tc>
        <w:tc>
          <w:tcPr>
            <w:tcW w:w="1285" w:type="pct"/>
          </w:tcPr>
          <w:p w:rsidR="007851BC" w:rsidRPr="009442FC" w:rsidRDefault="007851BC" w:rsidP="007851BC">
            <w:pPr>
              <w:jc w:val="center"/>
            </w:pPr>
            <w:r w:rsidRPr="009442FC">
              <w:t>$</w:t>
            </w:r>
            <w:r>
              <w:t>4.04</w:t>
            </w:r>
          </w:p>
        </w:tc>
        <w:tc>
          <w:tcPr>
            <w:tcW w:w="1549" w:type="pct"/>
          </w:tcPr>
          <w:p w:rsidR="007851BC" w:rsidRPr="009442FC" w:rsidRDefault="007851BC" w:rsidP="00267E83">
            <w:pPr>
              <w:jc w:val="center"/>
            </w:pPr>
            <w:r w:rsidRPr="009442FC">
              <w:t>$</w:t>
            </w:r>
            <w:r>
              <w:t>4.04</w:t>
            </w:r>
          </w:p>
        </w:tc>
      </w:tr>
      <w:tr w:rsidR="007851BC" w:rsidRPr="009270B9" w:rsidTr="009270B9">
        <w:tc>
          <w:tcPr>
            <w:tcW w:w="2166" w:type="pct"/>
          </w:tcPr>
          <w:p w:rsidR="007851BC" w:rsidRPr="009442FC" w:rsidRDefault="007851BC" w:rsidP="002C4114">
            <w:r>
              <w:t>1,8</w:t>
            </w:r>
            <w:r w:rsidRPr="009442FC">
              <w:t xml:space="preserve">01 </w:t>
            </w:r>
            <w:r>
              <w:t>–</w:t>
            </w:r>
            <w:r w:rsidRPr="009442FC">
              <w:t xml:space="preserve"> </w:t>
            </w:r>
            <w:r>
              <w:t>3,2</w:t>
            </w:r>
            <w:r w:rsidRPr="009442FC">
              <w:t xml:space="preserve">00 </w:t>
            </w:r>
            <w:r>
              <w:t>Cubic Feet</w:t>
            </w:r>
          </w:p>
        </w:tc>
        <w:tc>
          <w:tcPr>
            <w:tcW w:w="1285" w:type="pct"/>
          </w:tcPr>
          <w:p w:rsidR="007851BC" w:rsidRPr="009442FC" w:rsidRDefault="007851BC" w:rsidP="007851BC">
            <w:pPr>
              <w:jc w:val="center"/>
            </w:pPr>
            <w:r w:rsidRPr="009442FC">
              <w:t>$</w:t>
            </w:r>
            <w:r>
              <w:t>5.39</w:t>
            </w:r>
          </w:p>
        </w:tc>
        <w:tc>
          <w:tcPr>
            <w:tcW w:w="1549" w:type="pct"/>
          </w:tcPr>
          <w:p w:rsidR="007851BC" w:rsidRPr="009442FC" w:rsidRDefault="007851BC" w:rsidP="00267E83">
            <w:pPr>
              <w:jc w:val="center"/>
            </w:pPr>
            <w:r w:rsidRPr="009442FC">
              <w:t>$</w:t>
            </w:r>
            <w:r>
              <w:t>5.39</w:t>
            </w:r>
          </w:p>
        </w:tc>
      </w:tr>
      <w:tr w:rsidR="007851BC" w:rsidRPr="009270B9" w:rsidTr="009270B9">
        <w:tc>
          <w:tcPr>
            <w:tcW w:w="2166" w:type="pct"/>
          </w:tcPr>
          <w:p w:rsidR="007851BC" w:rsidRPr="009442FC" w:rsidRDefault="007851BC" w:rsidP="002C4114">
            <w:r w:rsidRPr="009442FC">
              <w:t xml:space="preserve">Over </w:t>
            </w:r>
            <w:r>
              <w:t>3</w:t>
            </w:r>
            <w:r w:rsidRPr="009442FC">
              <w:t>,</w:t>
            </w:r>
            <w:r>
              <w:t>2</w:t>
            </w:r>
            <w:r w:rsidRPr="009442FC">
              <w:t xml:space="preserve">00 </w:t>
            </w:r>
            <w:r>
              <w:t>Cubic Feet</w:t>
            </w:r>
          </w:p>
        </w:tc>
        <w:tc>
          <w:tcPr>
            <w:tcW w:w="1285" w:type="pct"/>
          </w:tcPr>
          <w:p w:rsidR="007851BC" w:rsidRPr="009442FC" w:rsidRDefault="007851BC" w:rsidP="007851BC">
            <w:pPr>
              <w:jc w:val="center"/>
            </w:pPr>
            <w:r w:rsidRPr="009442FC">
              <w:t>$</w:t>
            </w:r>
            <w:r>
              <w:t>6.61</w:t>
            </w:r>
          </w:p>
        </w:tc>
        <w:tc>
          <w:tcPr>
            <w:tcW w:w="1549" w:type="pct"/>
          </w:tcPr>
          <w:p w:rsidR="007851BC" w:rsidRPr="009442FC" w:rsidRDefault="007851BC" w:rsidP="00267E83">
            <w:pPr>
              <w:jc w:val="center"/>
            </w:pPr>
            <w:r w:rsidRPr="009442FC">
              <w:t>$</w:t>
            </w:r>
            <w:r>
              <w:t>6.61</w:t>
            </w:r>
          </w:p>
        </w:tc>
      </w:tr>
    </w:tbl>
    <w:p w:rsidR="00087106" w:rsidRDefault="00087106" w:rsidP="00087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eastAsia="Times New Roman"/>
          <w:sz w:val="20"/>
          <w:szCs w:val="20"/>
          <w:lang w:bidi="ar-SA"/>
        </w:rPr>
      </w:pPr>
      <w:r w:rsidRPr="00263F7B">
        <w:rPr>
          <w:rFonts w:eastAsia="Times New Roman"/>
          <w:vertAlign w:val="superscript"/>
          <w:lang w:bidi="ar-SA"/>
        </w:rPr>
        <w:t>1</w:t>
      </w:r>
      <w:r w:rsidRPr="00263F7B">
        <w:rPr>
          <w:rFonts w:eastAsia="Times New Roman"/>
          <w:lang w:bidi="ar-SA"/>
        </w:rPr>
        <w:t xml:space="preserve"> </w:t>
      </w:r>
      <w:r w:rsidRPr="00263F7B">
        <w:rPr>
          <w:rFonts w:eastAsia="Times New Roman"/>
          <w:sz w:val="20"/>
          <w:szCs w:val="20"/>
          <w:lang w:bidi="ar-SA"/>
        </w:rPr>
        <w:t xml:space="preserve">- Based on </w:t>
      </w:r>
      <w:r w:rsidR="002C4114">
        <w:rPr>
          <w:rFonts w:eastAsia="Times New Roman"/>
          <w:sz w:val="20"/>
          <w:szCs w:val="20"/>
          <w:lang w:bidi="ar-SA"/>
        </w:rPr>
        <w:t>3</w:t>
      </w:r>
      <w:r w:rsidRPr="00263F7B">
        <w:rPr>
          <w:rFonts w:eastAsia="Times New Roman"/>
          <w:sz w:val="20"/>
          <w:szCs w:val="20"/>
          <w:lang w:bidi="ar-SA"/>
        </w:rPr>
        <w:t>/</w:t>
      </w:r>
      <w:r w:rsidR="002C4114">
        <w:rPr>
          <w:rFonts w:eastAsia="Times New Roman"/>
          <w:sz w:val="20"/>
          <w:szCs w:val="20"/>
          <w:lang w:bidi="ar-SA"/>
        </w:rPr>
        <w:t>4</w:t>
      </w:r>
      <w:r w:rsidRPr="00263F7B">
        <w:rPr>
          <w:rFonts w:eastAsia="Times New Roman"/>
          <w:sz w:val="20"/>
          <w:szCs w:val="20"/>
          <w:lang w:bidi="ar-SA"/>
        </w:rPr>
        <w:t>-inch meter classification</w:t>
      </w:r>
      <w:r w:rsidR="003C76F5">
        <w:rPr>
          <w:rFonts w:eastAsia="Times New Roman"/>
          <w:sz w:val="20"/>
          <w:szCs w:val="20"/>
          <w:lang w:bidi="ar-SA"/>
        </w:rPr>
        <w:t xml:space="preserve">. The </w:t>
      </w:r>
      <w:r w:rsidRPr="00263F7B">
        <w:rPr>
          <w:rFonts w:eastAsia="Times New Roman"/>
          <w:sz w:val="20"/>
          <w:szCs w:val="20"/>
          <w:lang w:bidi="ar-SA"/>
        </w:rPr>
        <w:t xml:space="preserve">company’s tariff </w:t>
      </w:r>
      <w:r w:rsidR="003C76F5">
        <w:rPr>
          <w:rFonts w:eastAsia="Times New Roman"/>
          <w:sz w:val="20"/>
          <w:szCs w:val="20"/>
          <w:lang w:bidi="ar-SA"/>
        </w:rPr>
        <w:t xml:space="preserve">also provides </w:t>
      </w:r>
      <w:r w:rsidRPr="00263F7B">
        <w:rPr>
          <w:rFonts w:eastAsia="Times New Roman"/>
          <w:sz w:val="20"/>
          <w:szCs w:val="20"/>
          <w:lang w:bidi="ar-SA"/>
        </w:rPr>
        <w:t>upsize meter classification</w:t>
      </w:r>
      <w:r w:rsidR="003C76F5">
        <w:rPr>
          <w:rFonts w:eastAsia="Times New Roman"/>
          <w:sz w:val="20"/>
          <w:szCs w:val="20"/>
          <w:lang w:bidi="ar-SA"/>
        </w:rPr>
        <w:t>s</w:t>
      </w:r>
      <w:r w:rsidRPr="00263F7B">
        <w:rPr>
          <w:rFonts w:eastAsia="Times New Roman"/>
          <w:sz w:val="20"/>
          <w:szCs w:val="20"/>
          <w:lang w:bidi="ar-SA"/>
        </w:rPr>
        <w:t>, usage blocks and rates.</w:t>
      </w:r>
    </w:p>
    <w:p w:rsidR="00FF295F" w:rsidRPr="00263F7B" w:rsidRDefault="00FF295F" w:rsidP="00087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eastAsia="Times New Roman"/>
          <w:sz w:val="20"/>
          <w:szCs w:val="20"/>
          <w:lang w:bidi="ar-SA"/>
        </w:rPr>
      </w:pPr>
    </w:p>
    <w:p w:rsidR="009270B9" w:rsidRPr="009270B9" w:rsidRDefault="009270B9" w:rsidP="003F0972">
      <w:pPr>
        <w:jc w:val="center"/>
        <w:rPr>
          <w:rFonts w:eastAsia="Times New Roman"/>
          <w:b/>
          <w:u w:val="single"/>
          <w:lang w:bidi="ar-SA"/>
        </w:rPr>
      </w:pPr>
      <w:r w:rsidRPr="009270B9">
        <w:rPr>
          <w:rFonts w:eastAsia="Times New Roman"/>
          <w:b/>
          <w:u w:val="single"/>
          <w:lang w:bidi="ar-SA"/>
        </w:rPr>
        <w:t>Average Bill Comparison</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538"/>
        <w:gridCol w:w="2865"/>
      </w:tblGrid>
      <w:tr w:rsidR="009270B9" w:rsidRPr="009270B9" w:rsidTr="009270B9">
        <w:tc>
          <w:tcPr>
            <w:tcW w:w="2179" w:type="pct"/>
          </w:tcPr>
          <w:p w:rsidR="009270B9" w:rsidRPr="009270B9" w:rsidRDefault="009270B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rsidR="009270B9" w:rsidRPr="00FF295F" w:rsidRDefault="00FF295F" w:rsidP="00FF295F">
            <w:pPr>
              <w:keepNext/>
              <w:widowControl w:val="0"/>
              <w:autoSpaceDE w:val="0"/>
              <w:autoSpaceDN w:val="0"/>
              <w:adjustRightInd w:val="0"/>
              <w:jc w:val="center"/>
              <w:outlineLvl w:val="0"/>
              <w:rPr>
                <w:rFonts w:eastAsia="Times New Roman"/>
                <w:b/>
                <w:sz w:val="20"/>
                <w:szCs w:val="20"/>
                <w:lang w:bidi="ar-SA"/>
              </w:rPr>
            </w:pPr>
            <w:r w:rsidRPr="00FF295F">
              <w:rPr>
                <w:b/>
                <w:sz w:val="20"/>
                <w:szCs w:val="20"/>
              </w:rPr>
              <w:t>(</w:t>
            </w:r>
            <w:r w:rsidR="00684EEF" w:rsidRPr="00FF295F">
              <w:rPr>
                <w:b/>
                <w:sz w:val="20"/>
                <w:szCs w:val="20"/>
              </w:rPr>
              <w:t>903</w:t>
            </w:r>
            <w:r w:rsidR="002C4114" w:rsidRPr="00FF295F">
              <w:rPr>
                <w:b/>
                <w:sz w:val="20"/>
                <w:szCs w:val="20"/>
              </w:rPr>
              <w:t xml:space="preserve"> Cubic Feet</w:t>
            </w:r>
            <w:r w:rsidRPr="00FF295F">
              <w:rPr>
                <w:b/>
                <w:sz w:val="20"/>
                <w:szCs w:val="20"/>
              </w:rPr>
              <w:t xml:space="preserve"> Company-Wide Average)</w:t>
            </w:r>
          </w:p>
        </w:tc>
        <w:tc>
          <w:tcPr>
            <w:tcW w:w="1325" w:type="pct"/>
            <w:vAlign w:val="center"/>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496" w:type="pct"/>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2C4114" w:rsidRPr="009270B9" w:rsidTr="00A10E54">
        <w:tc>
          <w:tcPr>
            <w:tcW w:w="2179" w:type="pct"/>
          </w:tcPr>
          <w:p w:rsidR="002C4114" w:rsidRPr="009270B9" w:rsidRDefault="002C4114" w:rsidP="00A10E54">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Pr="009270B9">
              <w:rPr>
                <w:rFonts w:eastAsia="Times New Roman"/>
                <w:lang w:bidi="ar-SA"/>
              </w:rPr>
              <w:t>inch meter)</w:t>
            </w:r>
          </w:p>
        </w:tc>
        <w:tc>
          <w:tcPr>
            <w:tcW w:w="1325" w:type="pct"/>
          </w:tcPr>
          <w:p w:rsidR="002C4114" w:rsidRDefault="002C4114" w:rsidP="002C4114">
            <w:pPr>
              <w:widowControl w:val="0"/>
              <w:autoSpaceDE w:val="0"/>
              <w:autoSpaceDN w:val="0"/>
              <w:adjustRightInd w:val="0"/>
              <w:jc w:val="center"/>
              <w:rPr>
                <w:rFonts w:eastAsia="Times New Roman"/>
                <w:lang w:bidi="ar-SA"/>
              </w:rPr>
            </w:pPr>
            <w:r>
              <w:rPr>
                <w:rFonts w:eastAsia="Times New Roman"/>
                <w:lang w:bidi="ar-SA"/>
              </w:rPr>
              <w:t>$25.75</w:t>
            </w:r>
          </w:p>
        </w:tc>
        <w:tc>
          <w:tcPr>
            <w:tcW w:w="1496" w:type="pct"/>
          </w:tcPr>
          <w:p w:rsidR="002C4114" w:rsidRPr="009270B9" w:rsidRDefault="002C4114" w:rsidP="002C4114">
            <w:pPr>
              <w:widowControl w:val="0"/>
              <w:autoSpaceDE w:val="0"/>
              <w:autoSpaceDN w:val="0"/>
              <w:adjustRightInd w:val="0"/>
              <w:jc w:val="center"/>
              <w:rPr>
                <w:rFonts w:eastAsia="Times New Roman"/>
                <w:lang w:bidi="ar-SA"/>
              </w:rPr>
            </w:pPr>
            <w:r>
              <w:rPr>
                <w:rFonts w:eastAsia="Times New Roman"/>
                <w:lang w:bidi="ar-SA"/>
              </w:rPr>
              <w:t>$34.18</w:t>
            </w:r>
          </w:p>
        </w:tc>
      </w:tr>
      <w:tr w:rsidR="002C4114" w:rsidRPr="009270B9" w:rsidTr="0080117F">
        <w:tc>
          <w:tcPr>
            <w:tcW w:w="2179" w:type="pct"/>
          </w:tcPr>
          <w:p w:rsidR="002C4114" w:rsidRPr="009270B9" w:rsidRDefault="002C4114" w:rsidP="002C4114">
            <w:pPr>
              <w:widowControl w:val="0"/>
              <w:autoSpaceDE w:val="0"/>
              <w:autoSpaceDN w:val="0"/>
              <w:adjustRightInd w:val="0"/>
              <w:rPr>
                <w:rFonts w:eastAsia="Times New Roman"/>
                <w:lang w:bidi="ar-SA"/>
              </w:rPr>
            </w:pPr>
            <w:r>
              <w:rPr>
                <w:rFonts w:eastAsia="Times New Roman"/>
                <w:lang w:bidi="ar-SA"/>
              </w:rPr>
              <w:t>0 -  800 Cubic Feet</w:t>
            </w:r>
          </w:p>
        </w:tc>
        <w:tc>
          <w:tcPr>
            <w:tcW w:w="1325" w:type="pct"/>
          </w:tcPr>
          <w:p w:rsidR="002C4114" w:rsidRPr="009270B9" w:rsidRDefault="002C4114" w:rsidP="00992790">
            <w:pPr>
              <w:widowControl w:val="0"/>
              <w:autoSpaceDE w:val="0"/>
              <w:autoSpaceDN w:val="0"/>
              <w:adjustRightInd w:val="0"/>
              <w:jc w:val="center"/>
              <w:rPr>
                <w:rFonts w:eastAsia="Times New Roman"/>
                <w:lang w:bidi="ar-SA"/>
              </w:rPr>
            </w:pPr>
            <w:r>
              <w:rPr>
                <w:rFonts w:eastAsia="Times New Roman"/>
                <w:lang w:bidi="ar-SA"/>
              </w:rPr>
              <w:t>$</w:t>
            </w:r>
            <w:r w:rsidR="00267E83">
              <w:rPr>
                <w:rFonts w:eastAsia="Times New Roman"/>
                <w:lang w:bidi="ar-SA"/>
              </w:rPr>
              <w:t>7.52</w:t>
            </w:r>
          </w:p>
        </w:tc>
        <w:tc>
          <w:tcPr>
            <w:tcW w:w="1496" w:type="pct"/>
          </w:tcPr>
          <w:p w:rsidR="002C4114" w:rsidRPr="009270B9" w:rsidRDefault="002C4114" w:rsidP="00267E83">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7</w:t>
            </w:r>
            <w:r w:rsidR="00267E83">
              <w:rPr>
                <w:rFonts w:eastAsia="Times New Roman"/>
                <w:lang w:bidi="ar-SA"/>
              </w:rPr>
              <w:t>.52</w:t>
            </w:r>
          </w:p>
        </w:tc>
      </w:tr>
      <w:tr w:rsidR="002C4114" w:rsidRPr="009270B9" w:rsidTr="0080117F">
        <w:tc>
          <w:tcPr>
            <w:tcW w:w="2179" w:type="pct"/>
          </w:tcPr>
          <w:p w:rsidR="002C4114" w:rsidRDefault="002C4114" w:rsidP="00684EEF">
            <w:pPr>
              <w:widowControl w:val="0"/>
              <w:autoSpaceDE w:val="0"/>
              <w:autoSpaceDN w:val="0"/>
              <w:adjustRightInd w:val="0"/>
              <w:rPr>
                <w:rFonts w:eastAsia="Times New Roman"/>
                <w:lang w:bidi="ar-SA"/>
              </w:rPr>
            </w:pPr>
            <w:r>
              <w:rPr>
                <w:rFonts w:eastAsia="Times New Roman"/>
                <w:lang w:bidi="ar-SA"/>
              </w:rPr>
              <w:t xml:space="preserve">801 – </w:t>
            </w:r>
            <w:r w:rsidR="00684EEF">
              <w:rPr>
                <w:rFonts w:eastAsia="Times New Roman"/>
                <w:lang w:bidi="ar-SA"/>
              </w:rPr>
              <w:t>903</w:t>
            </w:r>
            <w:r>
              <w:rPr>
                <w:rFonts w:eastAsia="Times New Roman"/>
                <w:lang w:bidi="ar-SA"/>
              </w:rPr>
              <w:t xml:space="preserve"> cubic Feet</w:t>
            </w:r>
          </w:p>
        </w:tc>
        <w:tc>
          <w:tcPr>
            <w:tcW w:w="1325" w:type="pct"/>
          </w:tcPr>
          <w:p w:rsidR="002C4114" w:rsidRDefault="00267E83" w:rsidP="00992790">
            <w:pPr>
              <w:widowControl w:val="0"/>
              <w:autoSpaceDE w:val="0"/>
              <w:autoSpaceDN w:val="0"/>
              <w:adjustRightInd w:val="0"/>
              <w:jc w:val="center"/>
              <w:rPr>
                <w:rFonts w:eastAsia="Times New Roman"/>
                <w:lang w:bidi="ar-SA"/>
              </w:rPr>
            </w:pPr>
            <w:r>
              <w:rPr>
                <w:rFonts w:eastAsia="Times New Roman"/>
                <w:lang w:bidi="ar-SA"/>
              </w:rPr>
              <w:t>$</w:t>
            </w:r>
            <w:r w:rsidR="00684EEF">
              <w:rPr>
                <w:rFonts w:eastAsia="Times New Roman"/>
                <w:lang w:bidi="ar-SA"/>
              </w:rPr>
              <w:t>1.60</w:t>
            </w:r>
          </w:p>
        </w:tc>
        <w:tc>
          <w:tcPr>
            <w:tcW w:w="1496" w:type="pct"/>
          </w:tcPr>
          <w:p w:rsidR="002C4114" w:rsidRPr="009270B9" w:rsidRDefault="00267E83" w:rsidP="00684EEF">
            <w:pPr>
              <w:widowControl w:val="0"/>
              <w:autoSpaceDE w:val="0"/>
              <w:autoSpaceDN w:val="0"/>
              <w:adjustRightInd w:val="0"/>
              <w:jc w:val="center"/>
              <w:rPr>
                <w:rFonts w:eastAsia="Times New Roman"/>
                <w:lang w:bidi="ar-SA"/>
              </w:rPr>
            </w:pPr>
            <w:r>
              <w:rPr>
                <w:rFonts w:eastAsia="Times New Roman"/>
                <w:lang w:bidi="ar-SA"/>
              </w:rPr>
              <w:t>$</w:t>
            </w:r>
            <w:r w:rsidR="00684EEF">
              <w:rPr>
                <w:rFonts w:eastAsia="Times New Roman"/>
                <w:lang w:bidi="ar-SA"/>
              </w:rPr>
              <w:t>1.60</w:t>
            </w:r>
          </w:p>
        </w:tc>
      </w:tr>
      <w:tr w:rsidR="002C4114" w:rsidRPr="009270B9" w:rsidTr="009270B9">
        <w:tc>
          <w:tcPr>
            <w:tcW w:w="2179" w:type="pct"/>
          </w:tcPr>
          <w:p w:rsidR="002C4114" w:rsidRPr="009270B9" w:rsidRDefault="002C4114" w:rsidP="009270B9">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1325" w:type="pct"/>
            <w:tcBorders>
              <w:top w:val="single" w:sz="18" w:space="0" w:color="auto"/>
              <w:bottom w:val="single" w:sz="18" w:space="0" w:color="auto"/>
            </w:tcBorders>
          </w:tcPr>
          <w:p w:rsidR="002C4114" w:rsidRPr="009270B9" w:rsidRDefault="002C4114" w:rsidP="00684EEF">
            <w:pPr>
              <w:widowControl w:val="0"/>
              <w:autoSpaceDE w:val="0"/>
              <w:autoSpaceDN w:val="0"/>
              <w:adjustRightInd w:val="0"/>
              <w:jc w:val="center"/>
              <w:rPr>
                <w:rFonts w:eastAsia="Times New Roman"/>
                <w:lang w:bidi="ar-SA"/>
              </w:rPr>
            </w:pPr>
            <w:r w:rsidRPr="009270B9">
              <w:rPr>
                <w:rFonts w:eastAsia="Times New Roman"/>
                <w:lang w:bidi="ar-SA"/>
              </w:rPr>
              <w:t>$</w:t>
            </w:r>
            <w:r w:rsidR="00587C9A">
              <w:rPr>
                <w:rFonts w:eastAsia="Times New Roman"/>
                <w:lang w:bidi="ar-SA"/>
              </w:rPr>
              <w:t>34.8</w:t>
            </w:r>
            <w:r w:rsidR="00684EEF">
              <w:rPr>
                <w:rFonts w:eastAsia="Times New Roman"/>
                <w:lang w:bidi="ar-SA"/>
              </w:rPr>
              <w:t>7</w:t>
            </w:r>
          </w:p>
        </w:tc>
        <w:tc>
          <w:tcPr>
            <w:tcW w:w="1496" w:type="pct"/>
            <w:tcBorders>
              <w:top w:val="single" w:sz="18" w:space="0" w:color="auto"/>
              <w:bottom w:val="single" w:sz="18" w:space="0" w:color="auto"/>
            </w:tcBorders>
          </w:tcPr>
          <w:p w:rsidR="002C4114" w:rsidRPr="009270B9" w:rsidRDefault="002C4114" w:rsidP="00684EEF">
            <w:pPr>
              <w:widowControl w:val="0"/>
              <w:autoSpaceDE w:val="0"/>
              <w:autoSpaceDN w:val="0"/>
              <w:adjustRightInd w:val="0"/>
              <w:jc w:val="center"/>
              <w:rPr>
                <w:rFonts w:eastAsia="Times New Roman"/>
                <w:lang w:bidi="ar-SA"/>
              </w:rPr>
            </w:pPr>
            <w:r w:rsidRPr="009270B9">
              <w:rPr>
                <w:rFonts w:eastAsia="Times New Roman"/>
                <w:lang w:bidi="ar-SA"/>
              </w:rPr>
              <w:t>$</w:t>
            </w:r>
            <w:r w:rsidR="00587C9A">
              <w:rPr>
                <w:rFonts w:eastAsia="Times New Roman"/>
                <w:lang w:bidi="ar-SA"/>
              </w:rPr>
              <w:t>4</w:t>
            </w:r>
            <w:r w:rsidR="00684EEF">
              <w:rPr>
                <w:rFonts w:eastAsia="Times New Roman"/>
                <w:lang w:bidi="ar-SA"/>
              </w:rPr>
              <w:t>3.30</w:t>
            </w:r>
          </w:p>
        </w:tc>
      </w:tr>
      <w:tr w:rsidR="002C4114" w:rsidRPr="009270B9" w:rsidTr="009270B9">
        <w:tc>
          <w:tcPr>
            <w:tcW w:w="2179" w:type="pct"/>
          </w:tcPr>
          <w:p w:rsidR="002C4114" w:rsidRPr="009270B9" w:rsidRDefault="002C4114" w:rsidP="009270B9">
            <w:pPr>
              <w:widowControl w:val="0"/>
              <w:autoSpaceDE w:val="0"/>
              <w:autoSpaceDN w:val="0"/>
              <w:adjustRightInd w:val="0"/>
              <w:rPr>
                <w:rFonts w:eastAsia="Times New Roman"/>
                <w:lang w:bidi="ar-SA"/>
              </w:rPr>
            </w:pPr>
            <w:r w:rsidRPr="007C07AE">
              <w:t>Increase From Current Rates</w:t>
            </w:r>
          </w:p>
        </w:tc>
        <w:tc>
          <w:tcPr>
            <w:tcW w:w="1325" w:type="pct"/>
            <w:tcBorders>
              <w:top w:val="single" w:sz="18" w:space="0" w:color="auto"/>
              <w:bottom w:val="double" w:sz="4" w:space="0" w:color="auto"/>
            </w:tcBorders>
          </w:tcPr>
          <w:p w:rsidR="002C4114" w:rsidRPr="009270B9" w:rsidRDefault="002C4114" w:rsidP="009270B9">
            <w:pPr>
              <w:widowControl w:val="0"/>
              <w:autoSpaceDE w:val="0"/>
              <w:autoSpaceDN w:val="0"/>
              <w:adjustRightInd w:val="0"/>
              <w:jc w:val="center"/>
              <w:rPr>
                <w:rFonts w:eastAsia="Times New Roman"/>
                <w:lang w:bidi="ar-SA"/>
              </w:rPr>
            </w:pPr>
          </w:p>
        </w:tc>
        <w:tc>
          <w:tcPr>
            <w:tcW w:w="1496" w:type="pct"/>
            <w:tcBorders>
              <w:top w:val="single" w:sz="18" w:space="0" w:color="auto"/>
              <w:bottom w:val="double" w:sz="4" w:space="0" w:color="auto"/>
            </w:tcBorders>
          </w:tcPr>
          <w:p w:rsidR="002C4114" w:rsidRPr="009270B9" w:rsidRDefault="00587C9A" w:rsidP="00684EEF">
            <w:pPr>
              <w:widowControl w:val="0"/>
              <w:autoSpaceDE w:val="0"/>
              <w:autoSpaceDN w:val="0"/>
              <w:adjustRightInd w:val="0"/>
              <w:jc w:val="center"/>
              <w:rPr>
                <w:rFonts w:eastAsia="Times New Roman"/>
                <w:lang w:bidi="ar-SA"/>
              </w:rPr>
            </w:pPr>
            <w:r>
              <w:rPr>
                <w:rFonts w:eastAsia="Times New Roman"/>
                <w:lang w:bidi="ar-SA"/>
              </w:rPr>
              <w:t>24</w:t>
            </w:r>
            <w:r w:rsidR="002C4114">
              <w:rPr>
                <w:rFonts w:eastAsia="Times New Roman"/>
                <w:lang w:bidi="ar-SA"/>
              </w:rPr>
              <w:t>.</w:t>
            </w:r>
            <w:r w:rsidR="00684EEF">
              <w:rPr>
                <w:rFonts w:eastAsia="Times New Roman"/>
                <w:lang w:bidi="ar-SA"/>
              </w:rPr>
              <w:t>2</w:t>
            </w:r>
            <w:r w:rsidR="002C4114" w:rsidRPr="009270B9">
              <w:rPr>
                <w:rFonts w:eastAsia="Times New Roman"/>
                <w:lang w:bidi="ar-SA"/>
              </w:rPr>
              <w:t xml:space="preserve"> %</w:t>
            </w:r>
          </w:p>
        </w:tc>
      </w:tr>
    </w:tbl>
    <w:p w:rsidR="00FF295F" w:rsidRDefault="00FF295F" w:rsidP="00BE5610">
      <w:pPr>
        <w:rPr>
          <w:bCs/>
        </w:rPr>
      </w:pPr>
    </w:p>
    <w:p w:rsidR="000B0C16" w:rsidRDefault="00A6009F" w:rsidP="00BE5610">
      <w:r w:rsidRPr="00A6009F">
        <w:rPr>
          <w:bCs/>
        </w:rPr>
        <w:t xml:space="preserve">The company </w:t>
      </w:r>
      <w:r w:rsidR="00FD4A41">
        <w:rPr>
          <w:bCs/>
        </w:rPr>
        <w:t xml:space="preserve">did not file the documents that are both required and necessary to analyze a request for a general rate increase. Nor </w:t>
      </w:r>
      <w:r w:rsidRPr="00A6009F">
        <w:rPr>
          <w:bCs/>
        </w:rPr>
        <w:t xml:space="preserve">has </w:t>
      </w:r>
      <w:r w:rsidR="00FD4A41">
        <w:rPr>
          <w:bCs/>
        </w:rPr>
        <w:t xml:space="preserve">the company </w:t>
      </w:r>
      <w:r w:rsidR="000B14E0">
        <w:rPr>
          <w:bCs/>
        </w:rPr>
        <w:t>completely</w:t>
      </w:r>
      <w:r w:rsidRPr="00A6009F">
        <w:rPr>
          <w:bCs/>
        </w:rPr>
        <w:t xml:space="preserve"> responded to </w:t>
      </w:r>
      <w:r w:rsidR="009E4F48">
        <w:rPr>
          <w:bCs/>
        </w:rPr>
        <w:t>s</w:t>
      </w:r>
      <w:r w:rsidR="009E4F48" w:rsidRPr="00A6009F">
        <w:rPr>
          <w:bCs/>
        </w:rPr>
        <w:t>taff’s</w:t>
      </w:r>
      <w:r w:rsidRPr="00A6009F">
        <w:rPr>
          <w:bCs/>
        </w:rPr>
        <w:t xml:space="preserve"> data requests. </w:t>
      </w:r>
      <w:r w:rsidR="00F40EE9">
        <w:rPr>
          <w:bCs/>
        </w:rPr>
        <w:t>T</w:t>
      </w:r>
      <w:r w:rsidR="00863543">
        <w:rPr>
          <w:bCs/>
        </w:rPr>
        <w:t>he</w:t>
      </w:r>
      <w:r>
        <w:rPr>
          <w:bCs/>
        </w:rPr>
        <w:t>refore, the</w:t>
      </w:r>
      <w:r w:rsidR="00863543">
        <w:rPr>
          <w:bCs/>
        </w:rPr>
        <w:t xml:space="preserve"> company has </w:t>
      </w:r>
      <w:r w:rsidR="00D65C0A">
        <w:rPr>
          <w:bCs/>
        </w:rPr>
        <w:t xml:space="preserve">not </w:t>
      </w:r>
      <w:r w:rsidR="003C76F5">
        <w:rPr>
          <w:bCs/>
        </w:rPr>
        <w:t xml:space="preserve">demonstrated that it needs additional revenue </w:t>
      </w:r>
      <w:r>
        <w:t xml:space="preserve">and </w:t>
      </w:r>
      <w:r w:rsidR="00D0403B">
        <w:t xml:space="preserve">has not demonstrated the proposed rates are fair, just, </w:t>
      </w:r>
      <w:r w:rsidR="00CA3026">
        <w:t>reasonable</w:t>
      </w:r>
      <w:r w:rsidR="00D0403B">
        <w:t xml:space="preserve"> and sufficient.</w:t>
      </w:r>
    </w:p>
    <w:p w:rsidR="00D66624" w:rsidRDefault="00D66624">
      <w:pPr>
        <w:rPr>
          <w:b/>
          <w:u w:val="single"/>
        </w:rPr>
      </w:pPr>
    </w:p>
    <w:p w:rsidR="003B700C" w:rsidRDefault="003B700C" w:rsidP="00BE5610">
      <w:pPr>
        <w:rPr>
          <w:b/>
          <w:u w:val="single"/>
        </w:rPr>
      </w:pPr>
      <w:r w:rsidRPr="00935AF2">
        <w:rPr>
          <w:b/>
          <w:u w:val="single"/>
        </w:rPr>
        <w:t xml:space="preserve">Conclusion </w:t>
      </w:r>
    </w:p>
    <w:p w:rsidR="00EE7659" w:rsidRDefault="00EE7659" w:rsidP="00BE5610">
      <w:pPr>
        <w:rPr>
          <w:b/>
          <w:u w:val="single"/>
        </w:rPr>
      </w:pPr>
    </w:p>
    <w:p w:rsidR="00FF295F" w:rsidRPr="00FF295F" w:rsidRDefault="00FF295F" w:rsidP="00FF295F">
      <w:pPr>
        <w:widowControl w:val="0"/>
        <w:autoSpaceDE w:val="0"/>
        <w:autoSpaceDN w:val="0"/>
        <w:adjustRightInd w:val="0"/>
      </w:pPr>
      <w:r w:rsidRPr="00FF295F">
        <w:t>Issue a Complaint and Order Suspending the Tariff Revisions filed by South Bainbridge Water System, Inc. in Docket UW-100622 on April 16, 2010.</w:t>
      </w:r>
    </w:p>
    <w:p w:rsidR="00EE7659" w:rsidRDefault="00EE7659" w:rsidP="00771097">
      <w:pPr>
        <w:widowControl w:val="0"/>
        <w:autoSpaceDE w:val="0"/>
        <w:autoSpaceDN w:val="0"/>
        <w:adjustRightInd w:val="0"/>
        <w:rPr>
          <w:b/>
          <w:u w:val="single"/>
        </w:rPr>
      </w:pPr>
    </w:p>
    <w:sectPr w:rsidR="00EE7659" w:rsidSect="00FF295F">
      <w:headerReference w:type="default" r:id="rId12"/>
      <w:pgSz w:w="12240" w:h="15840"/>
      <w:pgMar w:top="1440"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D9" w:rsidRDefault="00070AD9" w:rsidP="00BE5610">
      <w:r>
        <w:separator/>
      </w:r>
    </w:p>
  </w:endnote>
  <w:endnote w:type="continuationSeparator" w:id="0">
    <w:p w:rsidR="00070AD9" w:rsidRDefault="00070AD9"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D9" w:rsidRDefault="00070AD9" w:rsidP="00BE5610">
      <w:r>
        <w:separator/>
      </w:r>
    </w:p>
  </w:footnote>
  <w:footnote w:type="continuationSeparator" w:id="0">
    <w:p w:rsidR="00070AD9" w:rsidRDefault="00070AD9"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97" w:rsidRPr="00F94191" w:rsidRDefault="00771097" w:rsidP="00BE5610">
    <w:pPr>
      <w:pStyle w:val="Header"/>
      <w:rPr>
        <w:sz w:val="20"/>
        <w:szCs w:val="20"/>
      </w:rPr>
    </w:pPr>
    <w:r w:rsidRPr="00F94191">
      <w:rPr>
        <w:sz w:val="20"/>
        <w:szCs w:val="20"/>
      </w:rPr>
      <w:t>Docket UW-100622</w:t>
    </w:r>
  </w:p>
  <w:p w:rsidR="00771097" w:rsidRPr="00F94191" w:rsidRDefault="00771097" w:rsidP="00BE5610">
    <w:pPr>
      <w:pStyle w:val="Header"/>
      <w:rPr>
        <w:sz w:val="20"/>
        <w:szCs w:val="20"/>
      </w:rPr>
    </w:pPr>
    <w:r w:rsidRPr="00F94191">
      <w:rPr>
        <w:sz w:val="20"/>
        <w:szCs w:val="20"/>
      </w:rPr>
      <w:t>May 27, 2010</w:t>
    </w:r>
  </w:p>
  <w:p w:rsidR="00771097" w:rsidRPr="00F94191" w:rsidRDefault="00771097" w:rsidP="00BE5610">
    <w:pPr>
      <w:pStyle w:val="Header"/>
      <w:rPr>
        <w:sz w:val="20"/>
        <w:szCs w:val="20"/>
      </w:rPr>
    </w:pPr>
    <w:r w:rsidRPr="00F94191">
      <w:rPr>
        <w:sz w:val="20"/>
        <w:szCs w:val="20"/>
      </w:rPr>
      <w:t xml:space="preserve">Page </w:t>
    </w:r>
    <w:r w:rsidR="006A659A" w:rsidRPr="00F94191">
      <w:rPr>
        <w:sz w:val="20"/>
        <w:szCs w:val="20"/>
      </w:rPr>
      <w:fldChar w:fldCharType="begin"/>
    </w:r>
    <w:r w:rsidR="00B943DC" w:rsidRPr="00F94191">
      <w:rPr>
        <w:sz w:val="20"/>
        <w:szCs w:val="20"/>
      </w:rPr>
      <w:instrText xml:space="preserve"> PAGE   \* MERGEFORMAT </w:instrText>
    </w:r>
    <w:r w:rsidR="006A659A" w:rsidRPr="00F94191">
      <w:rPr>
        <w:sz w:val="20"/>
        <w:szCs w:val="20"/>
      </w:rPr>
      <w:fldChar w:fldCharType="separate"/>
    </w:r>
    <w:r w:rsidR="00E23EF7">
      <w:rPr>
        <w:noProof/>
        <w:sz w:val="20"/>
        <w:szCs w:val="20"/>
      </w:rPr>
      <w:t>2</w:t>
    </w:r>
    <w:r w:rsidR="006A659A" w:rsidRPr="00F94191">
      <w:rPr>
        <w:sz w:val="20"/>
        <w:szCs w:val="20"/>
      </w:rPr>
      <w:fldChar w:fldCharType="end"/>
    </w:r>
  </w:p>
  <w:p w:rsidR="00771097" w:rsidRDefault="00771097"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2"/>
  </w:num>
  <w:num w:numId="7">
    <w:abstractNumId w:val="5"/>
  </w:num>
  <w:num w:numId="8">
    <w:abstractNumId w:val="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hideSpellingErrors/>
  <w:hideGrammaticalErrors/>
  <w:defaultTabStop w:val="720"/>
  <w:drawingGridHorizontalSpacing w:val="120"/>
  <w:displayHorizontalDrawingGridEvery w:val="2"/>
  <w:characterSpacingControl w:val="doNotCompress"/>
  <w:hdrShapeDefaults>
    <o:shapedefaults v:ext="edit" spidmax="145409"/>
  </w:hdrShapeDefaults>
  <w:footnotePr>
    <w:footnote w:id="-1"/>
    <w:footnote w:id="0"/>
  </w:footnotePr>
  <w:endnotePr>
    <w:endnote w:id="-1"/>
    <w:endnote w:id="0"/>
  </w:endnotePr>
  <w:compat/>
  <w:rsids>
    <w:rsidRoot w:val="00154718"/>
    <w:rsid w:val="000020C4"/>
    <w:rsid w:val="00005828"/>
    <w:rsid w:val="00015DD8"/>
    <w:rsid w:val="0003714D"/>
    <w:rsid w:val="000458AC"/>
    <w:rsid w:val="00053628"/>
    <w:rsid w:val="00054CC9"/>
    <w:rsid w:val="00055945"/>
    <w:rsid w:val="000605DC"/>
    <w:rsid w:val="000625B1"/>
    <w:rsid w:val="0006481C"/>
    <w:rsid w:val="00066C40"/>
    <w:rsid w:val="0006708E"/>
    <w:rsid w:val="00070AD9"/>
    <w:rsid w:val="0008268C"/>
    <w:rsid w:val="00082892"/>
    <w:rsid w:val="000863A0"/>
    <w:rsid w:val="00087106"/>
    <w:rsid w:val="000908F4"/>
    <w:rsid w:val="000909CD"/>
    <w:rsid w:val="00097E35"/>
    <w:rsid w:val="000B0C16"/>
    <w:rsid w:val="000B14E0"/>
    <w:rsid w:val="000C2481"/>
    <w:rsid w:val="000C3D4F"/>
    <w:rsid w:val="000C5553"/>
    <w:rsid w:val="000D01D2"/>
    <w:rsid w:val="000D3B16"/>
    <w:rsid w:val="000D3CE0"/>
    <w:rsid w:val="000D6DAF"/>
    <w:rsid w:val="000D706D"/>
    <w:rsid w:val="000E640C"/>
    <w:rsid w:val="000E714E"/>
    <w:rsid w:val="000F29ED"/>
    <w:rsid w:val="001003BC"/>
    <w:rsid w:val="00111EF9"/>
    <w:rsid w:val="00126930"/>
    <w:rsid w:val="0013089B"/>
    <w:rsid w:val="00130B3D"/>
    <w:rsid w:val="00140589"/>
    <w:rsid w:val="00141434"/>
    <w:rsid w:val="001423FE"/>
    <w:rsid w:val="00142B36"/>
    <w:rsid w:val="00143CDB"/>
    <w:rsid w:val="0014659D"/>
    <w:rsid w:val="00154718"/>
    <w:rsid w:val="001603B0"/>
    <w:rsid w:val="0016055D"/>
    <w:rsid w:val="0016348F"/>
    <w:rsid w:val="0016545B"/>
    <w:rsid w:val="00173A9E"/>
    <w:rsid w:val="00173F60"/>
    <w:rsid w:val="00177491"/>
    <w:rsid w:val="00190825"/>
    <w:rsid w:val="00194802"/>
    <w:rsid w:val="001A0A16"/>
    <w:rsid w:val="001B3508"/>
    <w:rsid w:val="001C5AB1"/>
    <w:rsid w:val="001C7DFD"/>
    <w:rsid w:val="001D2A48"/>
    <w:rsid w:val="001E0047"/>
    <w:rsid w:val="001E0702"/>
    <w:rsid w:val="001E1BE5"/>
    <w:rsid w:val="001F30F9"/>
    <w:rsid w:val="001F3D7A"/>
    <w:rsid w:val="001F465E"/>
    <w:rsid w:val="002027E0"/>
    <w:rsid w:val="0021363E"/>
    <w:rsid w:val="0022116C"/>
    <w:rsid w:val="002218EF"/>
    <w:rsid w:val="00226657"/>
    <w:rsid w:val="002277F9"/>
    <w:rsid w:val="00227DC0"/>
    <w:rsid w:val="00241B80"/>
    <w:rsid w:val="00244A84"/>
    <w:rsid w:val="00260D57"/>
    <w:rsid w:val="002622A8"/>
    <w:rsid w:val="00267E83"/>
    <w:rsid w:val="00277FD4"/>
    <w:rsid w:val="00283AD9"/>
    <w:rsid w:val="00285152"/>
    <w:rsid w:val="002863C0"/>
    <w:rsid w:val="00291958"/>
    <w:rsid w:val="00294AE3"/>
    <w:rsid w:val="00295745"/>
    <w:rsid w:val="002A70D7"/>
    <w:rsid w:val="002B5724"/>
    <w:rsid w:val="002C039A"/>
    <w:rsid w:val="002C4114"/>
    <w:rsid w:val="002C6110"/>
    <w:rsid w:val="002E50C7"/>
    <w:rsid w:val="002F70BE"/>
    <w:rsid w:val="00300789"/>
    <w:rsid w:val="00300D92"/>
    <w:rsid w:val="003219B9"/>
    <w:rsid w:val="00324289"/>
    <w:rsid w:val="00330C32"/>
    <w:rsid w:val="00333221"/>
    <w:rsid w:val="00334A7C"/>
    <w:rsid w:val="00337C05"/>
    <w:rsid w:val="00340C02"/>
    <w:rsid w:val="00355F2E"/>
    <w:rsid w:val="00367ED5"/>
    <w:rsid w:val="00385F54"/>
    <w:rsid w:val="00392579"/>
    <w:rsid w:val="00396F67"/>
    <w:rsid w:val="003B4D1C"/>
    <w:rsid w:val="003B700C"/>
    <w:rsid w:val="003C166B"/>
    <w:rsid w:val="003C16E8"/>
    <w:rsid w:val="003C4EB8"/>
    <w:rsid w:val="003C76F5"/>
    <w:rsid w:val="003D1E26"/>
    <w:rsid w:val="003D2276"/>
    <w:rsid w:val="003D25A3"/>
    <w:rsid w:val="003D717F"/>
    <w:rsid w:val="003E6D45"/>
    <w:rsid w:val="003F0972"/>
    <w:rsid w:val="00405F3D"/>
    <w:rsid w:val="00411F64"/>
    <w:rsid w:val="00424794"/>
    <w:rsid w:val="004456FB"/>
    <w:rsid w:val="00450175"/>
    <w:rsid w:val="00450267"/>
    <w:rsid w:val="00451AF9"/>
    <w:rsid w:val="0045370F"/>
    <w:rsid w:val="00455301"/>
    <w:rsid w:val="0046632D"/>
    <w:rsid w:val="004710D8"/>
    <w:rsid w:val="00472DF2"/>
    <w:rsid w:val="00482338"/>
    <w:rsid w:val="004838E1"/>
    <w:rsid w:val="00486F46"/>
    <w:rsid w:val="00495B71"/>
    <w:rsid w:val="00496744"/>
    <w:rsid w:val="00497530"/>
    <w:rsid w:val="004A5C6A"/>
    <w:rsid w:val="004A691E"/>
    <w:rsid w:val="004C503C"/>
    <w:rsid w:val="004C5605"/>
    <w:rsid w:val="004D4EF6"/>
    <w:rsid w:val="004D5E19"/>
    <w:rsid w:val="004D61BA"/>
    <w:rsid w:val="004D7E01"/>
    <w:rsid w:val="004E0141"/>
    <w:rsid w:val="004F009E"/>
    <w:rsid w:val="00504DB9"/>
    <w:rsid w:val="005131DE"/>
    <w:rsid w:val="00527CF8"/>
    <w:rsid w:val="00533DBE"/>
    <w:rsid w:val="00552600"/>
    <w:rsid w:val="005561C1"/>
    <w:rsid w:val="0056400F"/>
    <w:rsid w:val="0056751B"/>
    <w:rsid w:val="005804E0"/>
    <w:rsid w:val="00587C9A"/>
    <w:rsid w:val="00591D1D"/>
    <w:rsid w:val="00595023"/>
    <w:rsid w:val="00597882"/>
    <w:rsid w:val="005A6C74"/>
    <w:rsid w:val="005B4C72"/>
    <w:rsid w:val="005C15D1"/>
    <w:rsid w:val="005D4CA4"/>
    <w:rsid w:val="005D7925"/>
    <w:rsid w:val="005F51F2"/>
    <w:rsid w:val="00616813"/>
    <w:rsid w:val="0062191D"/>
    <w:rsid w:val="0062474A"/>
    <w:rsid w:val="00626264"/>
    <w:rsid w:val="006308C7"/>
    <w:rsid w:val="00631C8E"/>
    <w:rsid w:val="00641A44"/>
    <w:rsid w:val="00642AC3"/>
    <w:rsid w:val="006449EA"/>
    <w:rsid w:val="00645A0C"/>
    <w:rsid w:val="00647ECD"/>
    <w:rsid w:val="00654D5A"/>
    <w:rsid w:val="00661F4F"/>
    <w:rsid w:val="006700B0"/>
    <w:rsid w:val="00672F7B"/>
    <w:rsid w:val="00683780"/>
    <w:rsid w:val="0068432F"/>
    <w:rsid w:val="00684C49"/>
    <w:rsid w:val="00684EEF"/>
    <w:rsid w:val="00695625"/>
    <w:rsid w:val="006A021F"/>
    <w:rsid w:val="006A41EE"/>
    <w:rsid w:val="006A4895"/>
    <w:rsid w:val="006A659A"/>
    <w:rsid w:val="006B495A"/>
    <w:rsid w:val="006B51B8"/>
    <w:rsid w:val="006B6D42"/>
    <w:rsid w:val="006C013C"/>
    <w:rsid w:val="006C3712"/>
    <w:rsid w:val="006C714F"/>
    <w:rsid w:val="006D15C2"/>
    <w:rsid w:val="006D1D63"/>
    <w:rsid w:val="006D22CE"/>
    <w:rsid w:val="006D52E1"/>
    <w:rsid w:val="006E3B58"/>
    <w:rsid w:val="00705164"/>
    <w:rsid w:val="0071402F"/>
    <w:rsid w:val="007228E4"/>
    <w:rsid w:val="007261E5"/>
    <w:rsid w:val="007335C6"/>
    <w:rsid w:val="00734BC8"/>
    <w:rsid w:val="00746397"/>
    <w:rsid w:val="00751B5E"/>
    <w:rsid w:val="00754ED6"/>
    <w:rsid w:val="0076679B"/>
    <w:rsid w:val="00767BDD"/>
    <w:rsid w:val="00771097"/>
    <w:rsid w:val="00772F17"/>
    <w:rsid w:val="00773CAD"/>
    <w:rsid w:val="00774275"/>
    <w:rsid w:val="007851BC"/>
    <w:rsid w:val="00790302"/>
    <w:rsid w:val="007913E9"/>
    <w:rsid w:val="0079709F"/>
    <w:rsid w:val="007A0BDB"/>
    <w:rsid w:val="007E5B2C"/>
    <w:rsid w:val="007F26EF"/>
    <w:rsid w:val="0080117F"/>
    <w:rsid w:val="008020A5"/>
    <w:rsid w:val="008111DE"/>
    <w:rsid w:val="008165AD"/>
    <w:rsid w:val="00816612"/>
    <w:rsid w:val="008248B7"/>
    <w:rsid w:val="00825773"/>
    <w:rsid w:val="00826F11"/>
    <w:rsid w:val="00827BE3"/>
    <w:rsid w:val="00832CE0"/>
    <w:rsid w:val="00853B63"/>
    <w:rsid w:val="0085598E"/>
    <w:rsid w:val="008630EA"/>
    <w:rsid w:val="00863543"/>
    <w:rsid w:val="00877282"/>
    <w:rsid w:val="008871CF"/>
    <w:rsid w:val="008A350E"/>
    <w:rsid w:val="008A6E88"/>
    <w:rsid w:val="008B479D"/>
    <w:rsid w:val="008B4AA0"/>
    <w:rsid w:val="008C168F"/>
    <w:rsid w:val="008C1E17"/>
    <w:rsid w:val="008C26CE"/>
    <w:rsid w:val="008D0AAC"/>
    <w:rsid w:val="008F0F4F"/>
    <w:rsid w:val="00901675"/>
    <w:rsid w:val="00901E60"/>
    <w:rsid w:val="00915BD4"/>
    <w:rsid w:val="009206A2"/>
    <w:rsid w:val="009270B9"/>
    <w:rsid w:val="0093048B"/>
    <w:rsid w:val="00935AF2"/>
    <w:rsid w:val="009768A1"/>
    <w:rsid w:val="00983416"/>
    <w:rsid w:val="00984AEE"/>
    <w:rsid w:val="00992790"/>
    <w:rsid w:val="009B2F83"/>
    <w:rsid w:val="009B5DCE"/>
    <w:rsid w:val="009B696D"/>
    <w:rsid w:val="009D109C"/>
    <w:rsid w:val="009E4F48"/>
    <w:rsid w:val="00A008F8"/>
    <w:rsid w:val="00A10E54"/>
    <w:rsid w:val="00A201C0"/>
    <w:rsid w:val="00A26FD3"/>
    <w:rsid w:val="00A2758F"/>
    <w:rsid w:val="00A41C23"/>
    <w:rsid w:val="00A42E8D"/>
    <w:rsid w:val="00A5145E"/>
    <w:rsid w:val="00A52858"/>
    <w:rsid w:val="00A6009F"/>
    <w:rsid w:val="00A624E2"/>
    <w:rsid w:val="00A67402"/>
    <w:rsid w:val="00A7048A"/>
    <w:rsid w:val="00A70E29"/>
    <w:rsid w:val="00A726C4"/>
    <w:rsid w:val="00A73C46"/>
    <w:rsid w:val="00A8090E"/>
    <w:rsid w:val="00A822CA"/>
    <w:rsid w:val="00A84C2A"/>
    <w:rsid w:val="00A85688"/>
    <w:rsid w:val="00A8749C"/>
    <w:rsid w:val="00A902E8"/>
    <w:rsid w:val="00AC6F3A"/>
    <w:rsid w:val="00AD0897"/>
    <w:rsid w:val="00AD3312"/>
    <w:rsid w:val="00AD3DD8"/>
    <w:rsid w:val="00AD4B87"/>
    <w:rsid w:val="00AE0900"/>
    <w:rsid w:val="00AF1D42"/>
    <w:rsid w:val="00AF5800"/>
    <w:rsid w:val="00B00171"/>
    <w:rsid w:val="00B03361"/>
    <w:rsid w:val="00B13041"/>
    <w:rsid w:val="00B34845"/>
    <w:rsid w:val="00B35380"/>
    <w:rsid w:val="00B360DD"/>
    <w:rsid w:val="00B451F0"/>
    <w:rsid w:val="00B45CF2"/>
    <w:rsid w:val="00B5241C"/>
    <w:rsid w:val="00B55CD3"/>
    <w:rsid w:val="00B56E98"/>
    <w:rsid w:val="00B603AA"/>
    <w:rsid w:val="00B639FC"/>
    <w:rsid w:val="00B71DC1"/>
    <w:rsid w:val="00B84E56"/>
    <w:rsid w:val="00B943DC"/>
    <w:rsid w:val="00B97113"/>
    <w:rsid w:val="00BA0EB0"/>
    <w:rsid w:val="00BB1679"/>
    <w:rsid w:val="00BB2331"/>
    <w:rsid w:val="00BE5610"/>
    <w:rsid w:val="00BF2510"/>
    <w:rsid w:val="00C011D5"/>
    <w:rsid w:val="00C03AA9"/>
    <w:rsid w:val="00C04FF5"/>
    <w:rsid w:val="00C0624C"/>
    <w:rsid w:val="00C062C0"/>
    <w:rsid w:val="00C07C24"/>
    <w:rsid w:val="00C214DE"/>
    <w:rsid w:val="00C36001"/>
    <w:rsid w:val="00C36D30"/>
    <w:rsid w:val="00C41B31"/>
    <w:rsid w:val="00C42A41"/>
    <w:rsid w:val="00C647EB"/>
    <w:rsid w:val="00C71EF8"/>
    <w:rsid w:val="00C73177"/>
    <w:rsid w:val="00C92705"/>
    <w:rsid w:val="00C9274A"/>
    <w:rsid w:val="00CA22AF"/>
    <w:rsid w:val="00CA3026"/>
    <w:rsid w:val="00CA50F7"/>
    <w:rsid w:val="00CA6007"/>
    <w:rsid w:val="00CC4FE2"/>
    <w:rsid w:val="00CD43F1"/>
    <w:rsid w:val="00CD758B"/>
    <w:rsid w:val="00CF1AA4"/>
    <w:rsid w:val="00CF66D8"/>
    <w:rsid w:val="00D00B3A"/>
    <w:rsid w:val="00D0403B"/>
    <w:rsid w:val="00D108C7"/>
    <w:rsid w:val="00D12988"/>
    <w:rsid w:val="00D31072"/>
    <w:rsid w:val="00D33FD2"/>
    <w:rsid w:val="00D44D58"/>
    <w:rsid w:val="00D47789"/>
    <w:rsid w:val="00D53F2F"/>
    <w:rsid w:val="00D65C0A"/>
    <w:rsid w:val="00D662D4"/>
    <w:rsid w:val="00D66624"/>
    <w:rsid w:val="00D70105"/>
    <w:rsid w:val="00D7596F"/>
    <w:rsid w:val="00D7659F"/>
    <w:rsid w:val="00D77A03"/>
    <w:rsid w:val="00D96F9A"/>
    <w:rsid w:val="00DA1B86"/>
    <w:rsid w:val="00DB145D"/>
    <w:rsid w:val="00DB3767"/>
    <w:rsid w:val="00DD2A47"/>
    <w:rsid w:val="00DD4F93"/>
    <w:rsid w:val="00DD65A6"/>
    <w:rsid w:val="00DD6714"/>
    <w:rsid w:val="00E02017"/>
    <w:rsid w:val="00E03043"/>
    <w:rsid w:val="00E21E65"/>
    <w:rsid w:val="00E23EF7"/>
    <w:rsid w:val="00E256DF"/>
    <w:rsid w:val="00E26DE6"/>
    <w:rsid w:val="00E35D9D"/>
    <w:rsid w:val="00E37996"/>
    <w:rsid w:val="00E50A27"/>
    <w:rsid w:val="00E53B48"/>
    <w:rsid w:val="00E60353"/>
    <w:rsid w:val="00E8562C"/>
    <w:rsid w:val="00E864B6"/>
    <w:rsid w:val="00E941B2"/>
    <w:rsid w:val="00E96BCC"/>
    <w:rsid w:val="00EA0FE4"/>
    <w:rsid w:val="00EA52A5"/>
    <w:rsid w:val="00EB3A93"/>
    <w:rsid w:val="00EB41E4"/>
    <w:rsid w:val="00EB4CE3"/>
    <w:rsid w:val="00EB6042"/>
    <w:rsid w:val="00EC3B3F"/>
    <w:rsid w:val="00EC5118"/>
    <w:rsid w:val="00ED3FED"/>
    <w:rsid w:val="00ED4CC8"/>
    <w:rsid w:val="00EE6798"/>
    <w:rsid w:val="00EE7659"/>
    <w:rsid w:val="00EF436B"/>
    <w:rsid w:val="00F00561"/>
    <w:rsid w:val="00F167E4"/>
    <w:rsid w:val="00F21B68"/>
    <w:rsid w:val="00F22205"/>
    <w:rsid w:val="00F27C98"/>
    <w:rsid w:val="00F3018E"/>
    <w:rsid w:val="00F330AF"/>
    <w:rsid w:val="00F35DB6"/>
    <w:rsid w:val="00F40EE9"/>
    <w:rsid w:val="00F435A5"/>
    <w:rsid w:val="00F469E5"/>
    <w:rsid w:val="00F541D0"/>
    <w:rsid w:val="00F700D9"/>
    <w:rsid w:val="00F8306C"/>
    <w:rsid w:val="00F87B48"/>
    <w:rsid w:val="00F90612"/>
    <w:rsid w:val="00F93D9C"/>
    <w:rsid w:val="00F94191"/>
    <w:rsid w:val="00F96ED4"/>
    <w:rsid w:val="00FB741F"/>
    <w:rsid w:val="00FC239F"/>
    <w:rsid w:val="00FD4A41"/>
    <w:rsid w:val="00FE2453"/>
    <w:rsid w:val="00FE5608"/>
    <w:rsid w:val="00FF295F"/>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2010-04-16T07:00:00+00:00</OpenedDate>
    <Date1 xmlns="dc463f71-b30c-4ab2-9473-d307f9d35888">2010-05-27T07:00:00+00:00</Date1>
    <IsDocumentOrder xmlns="dc463f71-b30c-4ab2-9473-d307f9d35888" xsi:nil="true"/>
    <IsHighlyConfidential xmlns="dc463f71-b30c-4ab2-9473-d307f9d35888">false</IsHighlyConfidential>
    <CaseCompanyNames xmlns="dc463f71-b30c-4ab2-9473-d307f9d35888">South Bainbridge Water System, Inc.</CaseCompanyNames>
    <DocketNumber xmlns="dc463f71-b30c-4ab2-9473-d307f9d35888">100622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FE86BBDF5C694EB376EED8D178314A" ma:contentTypeVersion="131" ma:contentTypeDescription="" ma:contentTypeScope="" ma:versionID="ae503f41cd6e86b01822f615435826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9C35-4DB2-4B11-863A-E32F1BC314F6}"/>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54EE1C7B-BF1F-470A-B90E-773543C03927}"/>
</file>

<file path=customXml/itemProps5.xml><?xml version="1.0" encoding="utf-8"?>
<ds:datastoreItem xmlns:ds="http://schemas.openxmlformats.org/officeDocument/2006/customXml" ds:itemID="{F8D4492F-90C2-4F11-B1B9-C12E55552E69}"/>
</file>

<file path=customXml/itemProps6.xml><?xml version="1.0" encoding="utf-8"?>
<ds:datastoreItem xmlns:ds="http://schemas.openxmlformats.org/officeDocument/2006/customXml" ds:itemID="{A5E05270-2765-48FD-BBF7-4C98330DEC7D}"/>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UW-100622 South Bainbidge Memo</dc:title>
  <dc:subject/>
  <dc:creator>JWard</dc:creator>
  <cp:keywords/>
  <dc:description/>
  <cp:lastModifiedBy>Lisa Wyse, Records Manager</cp:lastModifiedBy>
  <cp:revision>2</cp:revision>
  <cp:lastPrinted>2010-05-24T17:54:00Z</cp:lastPrinted>
  <dcterms:created xsi:type="dcterms:W3CDTF">2010-05-24T22:16:00Z</dcterms:created>
  <dcterms:modified xsi:type="dcterms:W3CDTF">2010-05-24T22:16:00Z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0x0101006E56B4D1795A2E4DB2F0B01679ED314A0002FE86BBDF5C694EB376EED8D178314A</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