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6D" w:rsidRPr="00BA5FD4" w:rsidRDefault="009F7D6D" w:rsidP="009F7D6D">
      <w:pPr>
        <w:jc w:val="center"/>
        <w:rPr>
          <w:rFonts w:ascii="Times New Roman" w:hAnsi="Times New Roman"/>
        </w:rPr>
      </w:pPr>
      <w:r w:rsidRPr="00BA5FD4">
        <w:rPr>
          <w:rFonts w:ascii="Times New Roman" w:hAnsi="Times New Roman"/>
        </w:rPr>
        <w:t>BEFORE THE WASHINGTON STATE</w:t>
      </w:r>
    </w:p>
    <w:p w:rsidR="009F7D6D" w:rsidRPr="00BA5FD4" w:rsidRDefault="009F7D6D" w:rsidP="009F7D6D">
      <w:pPr>
        <w:jc w:val="center"/>
        <w:rPr>
          <w:rFonts w:ascii="Times New Roman" w:hAnsi="Times New Roman"/>
        </w:rPr>
      </w:pPr>
    </w:p>
    <w:p w:rsidR="009F7D6D" w:rsidRPr="00BA5FD4" w:rsidRDefault="009F7D6D" w:rsidP="009F7D6D">
      <w:pPr>
        <w:jc w:val="center"/>
        <w:rPr>
          <w:rFonts w:ascii="Times New Roman" w:hAnsi="Times New Roman"/>
        </w:rPr>
      </w:pPr>
      <w:r w:rsidRPr="00BA5FD4">
        <w:rPr>
          <w:rFonts w:ascii="Times New Roman" w:hAnsi="Times New Roman"/>
        </w:rPr>
        <w:t>UTILITIES AND TRANSPORTATION COMMISSION</w:t>
      </w:r>
    </w:p>
    <w:p w:rsidR="009F7D6D" w:rsidRPr="00BA5FD4" w:rsidRDefault="009F7D6D" w:rsidP="009F7D6D">
      <w:pPr>
        <w:rPr>
          <w:rFonts w:ascii="Times New Roman" w:hAnsi="Times New Roman"/>
        </w:rPr>
      </w:pPr>
    </w:p>
    <w:p w:rsidR="009F7D6D" w:rsidRPr="00BA5FD4" w:rsidRDefault="009F7D6D" w:rsidP="009F7D6D">
      <w:pPr>
        <w:rPr>
          <w:rFonts w:ascii="Times New Roman" w:hAnsi="Times New Roman"/>
        </w:rPr>
      </w:pPr>
    </w:p>
    <w:p w:rsidR="009F7D6D" w:rsidRPr="00BA5FD4" w:rsidRDefault="009F7D6D" w:rsidP="009F7D6D">
      <w:pPr>
        <w:rPr>
          <w:rFonts w:ascii="Times New Roman" w:hAnsi="Times New Roman"/>
        </w:rPr>
      </w:pPr>
      <w:r w:rsidRPr="00BA5FD4">
        <w:rPr>
          <w:rFonts w:ascii="Times New Roman" w:hAnsi="Times New Roman"/>
        </w:rPr>
        <w:t>WASHINGTON UTILITIES AND</w:t>
      </w:r>
      <w:r w:rsidRPr="00BA5FD4">
        <w:rPr>
          <w:rFonts w:ascii="Times New Roman" w:hAnsi="Times New Roman"/>
        </w:rPr>
        <w:tab/>
      </w:r>
      <w:r w:rsidRPr="00BA5FD4">
        <w:rPr>
          <w:rFonts w:ascii="Times New Roman" w:hAnsi="Times New Roman"/>
        </w:rPr>
        <w:tab/>
        <w:t>)</w:t>
      </w:r>
      <w:r w:rsidRPr="00BA5FD4">
        <w:rPr>
          <w:rFonts w:ascii="Times New Roman" w:hAnsi="Times New Roman"/>
        </w:rPr>
        <w:tab/>
        <w:t>DOCKET NO. UE-100749</w:t>
      </w:r>
    </w:p>
    <w:p w:rsidR="009F7D6D" w:rsidRPr="00BA5FD4" w:rsidRDefault="009F7D6D" w:rsidP="009F7D6D">
      <w:pPr>
        <w:rPr>
          <w:rFonts w:ascii="Times New Roman" w:hAnsi="Times New Roman"/>
        </w:rPr>
      </w:pPr>
      <w:r w:rsidRPr="00BA5FD4">
        <w:rPr>
          <w:rFonts w:ascii="Times New Roman" w:hAnsi="Times New Roman"/>
        </w:rPr>
        <w:t>TRANSPORTATION COMMISSION</w:t>
      </w:r>
      <w:r w:rsidRPr="00BA5FD4">
        <w:rPr>
          <w:rFonts w:ascii="Times New Roman" w:hAnsi="Times New Roman"/>
        </w:rPr>
        <w:tab/>
        <w:t>)</w:t>
      </w:r>
    </w:p>
    <w:p w:rsidR="009F7D6D" w:rsidRPr="00BA5FD4" w:rsidRDefault="009F7D6D" w:rsidP="009F7D6D">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w:t>
      </w:r>
    </w:p>
    <w:p w:rsidR="009F7D6D" w:rsidRPr="00BA5FD4" w:rsidRDefault="009F7D6D" w:rsidP="009F7D6D">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t>Complainant,</w:t>
      </w:r>
      <w:r w:rsidRPr="00BA5FD4">
        <w:rPr>
          <w:rFonts w:ascii="Times New Roman" w:hAnsi="Times New Roman"/>
        </w:rPr>
        <w:tab/>
      </w:r>
      <w:r w:rsidRPr="00BA5FD4">
        <w:rPr>
          <w:rFonts w:ascii="Times New Roman" w:hAnsi="Times New Roman"/>
        </w:rPr>
        <w:tab/>
        <w:t>)</w:t>
      </w:r>
      <w:r w:rsidRPr="00BA5FD4">
        <w:rPr>
          <w:rFonts w:ascii="Times New Roman" w:hAnsi="Times New Roman"/>
        </w:rPr>
        <w:tab/>
      </w:r>
    </w:p>
    <w:p w:rsidR="009F7D6D" w:rsidRPr="00BA5FD4" w:rsidRDefault="009F7D6D" w:rsidP="009F7D6D">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w:t>
      </w:r>
      <w:r w:rsidRPr="00BA5FD4">
        <w:rPr>
          <w:rFonts w:ascii="Times New Roman" w:hAnsi="Times New Roman"/>
        </w:rPr>
        <w:tab/>
      </w:r>
    </w:p>
    <w:p w:rsidR="009F7D6D" w:rsidRPr="00BA5FD4" w:rsidRDefault="009F7D6D" w:rsidP="009F7D6D">
      <w:pPr>
        <w:rPr>
          <w:rFonts w:ascii="Times New Roman" w:hAnsi="Times New Roman"/>
        </w:rPr>
      </w:pPr>
      <w:proofErr w:type="gramStart"/>
      <w:r w:rsidRPr="00BA5FD4">
        <w:rPr>
          <w:rFonts w:ascii="Times New Roman" w:hAnsi="Times New Roman"/>
        </w:rPr>
        <w:t>v</w:t>
      </w:r>
      <w:proofErr w:type="gramEnd"/>
      <w:r w:rsidRPr="00BA5FD4">
        <w:rPr>
          <w:rFonts w:ascii="Times New Roman" w:hAnsi="Times New Roman"/>
        </w:rPr>
        <w:t>.</w:t>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w:t>
      </w:r>
    </w:p>
    <w:p w:rsidR="009F7D6D" w:rsidRPr="00BA5FD4" w:rsidRDefault="009F7D6D" w:rsidP="009F7D6D">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w:t>
      </w:r>
    </w:p>
    <w:p w:rsidR="009F7D6D" w:rsidRPr="00BA5FD4" w:rsidRDefault="009F7D6D" w:rsidP="009F7D6D">
      <w:pPr>
        <w:rPr>
          <w:rFonts w:ascii="Times New Roman" w:hAnsi="Times New Roman"/>
        </w:rPr>
      </w:pPr>
      <w:r w:rsidRPr="00BA5FD4">
        <w:rPr>
          <w:rFonts w:ascii="Times New Roman" w:hAnsi="Times New Roman"/>
        </w:rPr>
        <w:t>PACIFICORP d/b/a/ PACIFIC POWER &amp;</w:t>
      </w:r>
      <w:r w:rsidRPr="00BA5FD4">
        <w:rPr>
          <w:rFonts w:ascii="Times New Roman" w:hAnsi="Times New Roman"/>
        </w:rPr>
        <w:tab/>
        <w:t>)</w:t>
      </w:r>
    </w:p>
    <w:p w:rsidR="009F7D6D" w:rsidRPr="00BA5FD4" w:rsidRDefault="009F7D6D" w:rsidP="009F7D6D">
      <w:pPr>
        <w:rPr>
          <w:rFonts w:ascii="Times New Roman" w:hAnsi="Times New Roman"/>
        </w:rPr>
      </w:pPr>
      <w:r w:rsidRPr="00BA5FD4">
        <w:rPr>
          <w:rFonts w:ascii="Times New Roman" w:hAnsi="Times New Roman"/>
        </w:rPr>
        <w:t>LIGHT COMPANY</w:t>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w:t>
      </w:r>
    </w:p>
    <w:p w:rsidR="009F7D6D" w:rsidRPr="00BA5FD4" w:rsidRDefault="009F7D6D" w:rsidP="009F7D6D">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w:t>
      </w:r>
    </w:p>
    <w:p w:rsidR="009F7D6D" w:rsidRPr="00BA5FD4" w:rsidRDefault="009F7D6D" w:rsidP="009F7D6D">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proofErr w:type="gramStart"/>
      <w:r w:rsidRPr="00BA5FD4">
        <w:rPr>
          <w:rFonts w:ascii="Times New Roman" w:hAnsi="Times New Roman"/>
        </w:rPr>
        <w:t>Respondent.</w:t>
      </w:r>
      <w:proofErr w:type="gramEnd"/>
      <w:r w:rsidRPr="00BA5FD4">
        <w:rPr>
          <w:rFonts w:ascii="Times New Roman" w:hAnsi="Times New Roman"/>
        </w:rPr>
        <w:tab/>
      </w:r>
      <w:r w:rsidRPr="00BA5FD4">
        <w:rPr>
          <w:rFonts w:ascii="Times New Roman" w:hAnsi="Times New Roman"/>
        </w:rPr>
        <w:tab/>
        <w:t>)</w:t>
      </w:r>
    </w:p>
    <w:p w:rsidR="009F7D6D" w:rsidRPr="00BA5FD4" w:rsidRDefault="009F7D6D" w:rsidP="009F7D6D">
      <w:pPr>
        <w:rPr>
          <w:rFonts w:ascii="Times New Roman" w:hAnsi="Times New Roman"/>
        </w:rPr>
      </w:pPr>
      <w:r w:rsidRPr="00BA5FD4">
        <w:rPr>
          <w:rFonts w:ascii="Times New Roman" w:hAnsi="Times New Roman"/>
        </w:rPr>
        <w:t>. . . . . . . . . . . . . . . . . . . . . . . . . . . . . . . . . . . . )</w:t>
      </w:r>
    </w:p>
    <w:p w:rsidR="009F7D6D" w:rsidRPr="00BA5FD4" w:rsidRDefault="009F7D6D" w:rsidP="009F7D6D">
      <w:pPr>
        <w:pStyle w:val="Title"/>
        <w:jc w:val="left"/>
        <w:rPr>
          <w:b w:val="0"/>
          <w:szCs w:val="26"/>
        </w:rPr>
      </w:pPr>
    </w:p>
    <w:p w:rsidR="009F7D6D" w:rsidRPr="00BA5FD4" w:rsidRDefault="009F7D6D" w:rsidP="00B46ACF">
      <w:pPr>
        <w:autoSpaceDE w:val="0"/>
        <w:autoSpaceDN w:val="0"/>
        <w:adjustRightInd w:val="0"/>
        <w:rPr>
          <w:rFonts w:ascii="Times New Roman" w:hAnsi="Times New Roman"/>
        </w:rPr>
      </w:pPr>
    </w:p>
    <w:p w:rsidR="009F7D6D" w:rsidRPr="00BA5FD4" w:rsidRDefault="009F7D6D" w:rsidP="00B46ACF">
      <w:pPr>
        <w:autoSpaceDE w:val="0"/>
        <w:autoSpaceDN w:val="0"/>
        <w:adjustRightInd w:val="0"/>
        <w:rPr>
          <w:rFonts w:ascii="Times New Roman" w:hAnsi="Times New Roman"/>
          <w:bCs/>
        </w:rPr>
      </w:pPr>
    </w:p>
    <w:p w:rsidR="009F7D6D" w:rsidRPr="00BA5FD4" w:rsidRDefault="009F7D6D" w:rsidP="00B46ACF">
      <w:pPr>
        <w:autoSpaceDE w:val="0"/>
        <w:autoSpaceDN w:val="0"/>
        <w:adjustRightInd w:val="0"/>
        <w:jc w:val="center"/>
        <w:rPr>
          <w:rFonts w:ascii="Times New Roman" w:hAnsi="Times New Roman"/>
          <w:bCs/>
        </w:rPr>
      </w:pPr>
      <w:r w:rsidRPr="00BA5FD4">
        <w:rPr>
          <w:rFonts w:ascii="Times New Roman" w:hAnsi="Times New Roman"/>
          <w:bCs/>
        </w:rPr>
        <w:t>INITIAL BRIEF OF</w:t>
      </w:r>
    </w:p>
    <w:p w:rsidR="00DD5D53" w:rsidRPr="00BA5FD4" w:rsidRDefault="009F7D6D" w:rsidP="00B46ACF">
      <w:pPr>
        <w:autoSpaceDE w:val="0"/>
        <w:autoSpaceDN w:val="0"/>
        <w:adjustRightInd w:val="0"/>
        <w:jc w:val="center"/>
        <w:rPr>
          <w:rFonts w:ascii="Times New Roman" w:hAnsi="Times New Roman"/>
          <w:bCs/>
        </w:rPr>
      </w:pPr>
      <w:r w:rsidRPr="00BA5FD4">
        <w:rPr>
          <w:rFonts w:ascii="Times New Roman" w:hAnsi="Times New Roman"/>
          <w:bCs/>
        </w:rPr>
        <w:t>THE ENERGY PROJECT</w:t>
      </w:r>
    </w:p>
    <w:p w:rsidR="009F7D6D" w:rsidRPr="00BA5FD4" w:rsidRDefault="009F7D6D" w:rsidP="009F7D6D">
      <w:pPr>
        <w:autoSpaceDE w:val="0"/>
        <w:autoSpaceDN w:val="0"/>
        <w:adjustRightInd w:val="0"/>
        <w:ind w:right="-720"/>
        <w:rPr>
          <w:rFonts w:ascii="Times New Roman" w:hAnsi="Times New Roman"/>
          <w:bCs/>
        </w:rPr>
      </w:pPr>
    </w:p>
    <w:p w:rsidR="006A39AF" w:rsidRPr="00BA5FD4" w:rsidRDefault="006A39AF">
      <w:pPr>
        <w:rPr>
          <w:rFonts w:ascii="Times New Roman" w:hAnsi="Times New Roman"/>
          <w:bCs/>
        </w:rPr>
      </w:pPr>
      <w:r w:rsidRPr="00BA5FD4">
        <w:rPr>
          <w:rFonts w:ascii="Times New Roman" w:hAnsi="Times New Roman"/>
          <w:bCs/>
        </w:rPr>
        <w:br w:type="page"/>
      </w:r>
    </w:p>
    <w:p w:rsidR="00261A38" w:rsidRPr="00BA5FD4" w:rsidRDefault="00261A38" w:rsidP="00B46ACF">
      <w:pPr>
        <w:autoSpaceDE w:val="0"/>
        <w:autoSpaceDN w:val="0"/>
        <w:adjustRightInd w:val="0"/>
        <w:spacing w:line="480" w:lineRule="auto"/>
        <w:ind w:right="-720"/>
        <w:jc w:val="center"/>
        <w:rPr>
          <w:rFonts w:ascii="Times New Roman" w:hAnsi="Times New Roman"/>
          <w:b/>
          <w:bCs/>
        </w:rPr>
      </w:pPr>
      <w:r w:rsidRPr="00BA5FD4">
        <w:rPr>
          <w:rFonts w:ascii="Times New Roman" w:hAnsi="Times New Roman"/>
          <w:b/>
          <w:bCs/>
        </w:rPr>
        <w:lastRenderedPageBreak/>
        <w:t>I.</w:t>
      </w:r>
      <w:r w:rsidRPr="00BA5FD4">
        <w:rPr>
          <w:rFonts w:ascii="Times New Roman" w:hAnsi="Times New Roman"/>
          <w:b/>
          <w:bCs/>
        </w:rPr>
        <w:tab/>
        <w:t>INTRODUCTION</w:t>
      </w:r>
    </w:p>
    <w:p w:rsidR="00261A38" w:rsidRPr="00BA5FD4" w:rsidRDefault="005829AC" w:rsidP="00B46ACF">
      <w:pPr>
        <w:autoSpaceDE w:val="0"/>
        <w:autoSpaceDN w:val="0"/>
        <w:adjustRightInd w:val="0"/>
        <w:spacing w:line="480" w:lineRule="auto"/>
        <w:ind w:right="-720"/>
        <w:rPr>
          <w:rFonts w:ascii="Times New Roman" w:hAnsi="Times New Roman"/>
          <w:bCs/>
        </w:rPr>
      </w:pPr>
      <w:r w:rsidRPr="00BA5FD4">
        <w:rPr>
          <w:rFonts w:ascii="Times New Roman" w:hAnsi="Times New Roman"/>
          <w:b/>
          <w:bCs/>
        </w:rPr>
        <w:tab/>
      </w:r>
      <w:r w:rsidRPr="00BA5FD4">
        <w:rPr>
          <w:rFonts w:ascii="Times New Roman" w:hAnsi="Times New Roman"/>
          <w:bCs/>
        </w:rPr>
        <w:t>The following brief of the Energy Project addresses the following issues:</w:t>
      </w:r>
    </w:p>
    <w:p w:rsidR="005829AC" w:rsidRPr="00BA5FD4" w:rsidRDefault="005829AC" w:rsidP="00B46ACF">
      <w:pPr>
        <w:autoSpaceDE w:val="0"/>
        <w:autoSpaceDN w:val="0"/>
        <w:adjustRightInd w:val="0"/>
        <w:spacing w:line="480" w:lineRule="auto"/>
        <w:ind w:right="-720"/>
        <w:rPr>
          <w:rFonts w:ascii="Times New Roman" w:hAnsi="Times New Roman"/>
          <w:bCs/>
        </w:rPr>
      </w:pPr>
      <w:r w:rsidRPr="00BA5FD4">
        <w:rPr>
          <w:rFonts w:ascii="Times New Roman" w:hAnsi="Times New Roman"/>
          <w:bCs/>
        </w:rPr>
        <w:tab/>
        <w:t>1)</w:t>
      </w:r>
      <w:r w:rsidRPr="00BA5FD4">
        <w:rPr>
          <w:rFonts w:ascii="Times New Roman" w:hAnsi="Times New Roman"/>
          <w:bCs/>
        </w:rPr>
        <w:tab/>
        <w:t>LIBA Funding</w:t>
      </w:r>
    </w:p>
    <w:p w:rsidR="005829AC" w:rsidRPr="00BA5FD4" w:rsidRDefault="005829AC" w:rsidP="00B46ACF">
      <w:pPr>
        <w:autoSpaceDE w:val="0"/>
        <w:autoSpaceDN w:val="0"/>
        <w:adjustRightInd w:val="0"/>
        <w:spacing w:line="480" w:lineRule="auto"/>
        <w:ind w:right="-720"/>
        <w:rPr>
          <w:rFonts w:ascii="Times New Roman" w:hAnsi="Times New Roman"/>
          <w:bCs/>
        </w:rPr>
      </w:pPr>
      <w:r w:rsidRPr="00BA5FD4">
        <w:rPr>
          <w:rFonts w:ascii="Times New Roman" w:hAnsi="Times New Roman"/>
          <w:bCs/>
        </w:rPr>
        <w:tab/>
        <w:t>2)</w:t>
      </w:r>
      <w:r w:rsidRPr="00BA5FD4">
        <w:rPr>
          <w:rFonts w:ascii="Times New Roman" w:hAnsi="Times New Roman"/>
          <w:bCs/>
        </w:rPr>
        <w:tab/>
        <w:t>Other LIBA Issues</w:t>
      </w:r>
    </w:p>
    <w:p w:rsidR="005829AC" w:rsidRPr="00BA5FD4" w:rsidRDefault="005829AC" w:rsidP="00B46ACF">
      <w:pPr>
        <w:autoSpaceDE w:val="0"/>
        <w:autoSpaceDN w:val="0"/>
        <w:adjustRightInd w:val="0"/>
        <w:spacing w:line="480" w:lineRule="auto"/>
        <w:ind w:right="-720"/>
        <w:rPr>
          <w:rFonts w:ascii="Times New Roman" w:hAnsi="Times New Roman"/>
          <w:bCs/>
        </w:rPr>
      </w:pPr>
      <w:r w:rsidRPr="00BA5FD4">
        <w:rPr>
          <w:rFonts w:ascii="Times New Roman" w:hAnsi="Times New Roman"/>
          <w:bCs/>
        </w:rPr>
        <w:tab/>
      </w:r>
      <w:r w:rsidRPr="00BA5FD4">
        <w:rPr>
          <w:rFonts w:ascii="Times New Roman" w:hAnsi="Times New Roman"/>
          <w:bCs/>
        </w:rPr>
        <w:tab/>
        <w:t>-Serving additional customers</w:t>
      </w:r>
    </w:p>
    <w:p w:rsidR="005829AC" w:rsidRPr="00BA5FD4" w:rsidRDefault="005829AC" w:rsidP="00B46ACF">
      <w:pPr>
        <w:autoSpaceDE w:val="0"/>
        <w:autoSpaceDN w:val="0"/>
        <w:adjustRightInd w:val="0"/>
        <w:spacing w:line="480" w:lineRule="auto"/>
        <w:ind w:right="-720"/>
        <w:rPr>
          <w:rFonts w:ascii="Times New Roman" w:hAnsi="Times New Roman"/>
          <w:bCs/>
        </w:rPr>
      </w:pPr>
      <w:r w:rsidRPr="00BA5FD4">
        <w:rPr>
          <w:rFonts w:ascii="Times New Roman" w:hAnsi="Times New Roman"/>
          <w:bCs/>
        </w:rPr>
        <w:tab/>
      </w:r>
      <w:r w:rsidRPr="00BA5FD4">
        <w:rPr>
          <w:rFonts w:ascii="Times New Roman" w:hAnsi="Times New Roman"/>
          <w:bCs/>
        </w:rPr>
        <w:tab/>
        <w:t>-Income eligibility</w:t>
      </w:r>
    </w:p>
    <w:p w:rsidR="005829AC" w:rsidRPr="00BA5FD4" w:rsidRDefault="005829AC" w:rsidP="00B46ACF">
      <w:pPr>
        <w:autoSpaceDE w:val="0"/>
        <w:autoSpaceDN w:val="0"/>
        <w:adjustRightInd w:val="0"/>
        <w:spacing w:line="480" w:lineRule="auto"/>
        <w:ind w:right="-720"/>
        <w:rPr>
          <w:rFonts w:ascii="Times New Roman" w:hAnsi="Times New Roman"/>
          <w:bCs/>
        </w:rPr>
      </w:pPr>
      <w:r w:rsidRPr="00BA5FD4">
        <w:rPr>
          <w:rFonts w:ascii="Times New Roman" w:hAnsi="Times New Roman"/>
          <w:bCs/>
        </w:rPr>
        <w:tab/>
      </w:r>
      <w:r w:rsidRPr="00BA5FD4">
        <w:rPr>
          <w:rFonts w:ascii="Times New Roman" w:hAnsi="Times New Roman"/>
          <w:bCs/>
        </w:rPr>
        <w:tab/>
        <w:t>-LIBA Certification Fee</w:t>
      </w:r>
    </w:p>
    <w:p w:rsidR="005829AC" w:rsidRPr="00BA5FD4" w:rsidRDefault="005829AC" w:rsidP="00B46ACF">
      <w:pPr>
        <w:autoSpaceDE w:val="0"/>
        <w:autoSpaceDN w:val="0"/>
        <w:adjustRightInd w:val="0"/>
        <w:spacing w:line="480" w:lineRule="auto"/>
        <w:ind w:right="-720"/>
        <w:rPr>
          <w:rFonts w:ascii="Times New Roman" w:hAnsi="Times New Roman"/>
          <w:bCs/>
        </w:rPr>
      </w:pPr>
      <w:r w:rsidRPr="00BA5FD4">
        <w:rPr>
          <w:rFonts w:ascii="Times New Roman" w:hAnsi="Times New Roman"/>
          <w:bCs/>
        </w:rPr>
        <w:tab/>
      </w:r>
      <w:r w:rsidRPr="00BA5FD4">
        <w:rPr>
          <w:rFonts w:ascii="Times New Roman" w:hAnsi="Times New Roman"/>
          <w:bCs/>
        </w:rPr>
        <w:tab/>
        <w:t>-Every Other Year Certification</w:t>
      </w:r>
    </w:p>
    <w:p w:rsidR="005829AC" w:rsidRPr="00BA5FD4" w:rsidRDefault="005829AC" w:rsidP="00B46ACF">
      <w:pPr>
        <w:autoSpaceDE w:val="0"/>
        <w:autoSpaceDN w:val="0"/>
        <w:adjustRightInd w:val="0"/>
        <w:spacing w:line="480" w:lineRule="auto"/>
        <w:ind w:right="-720"/>
        <w:rPr>
          <w:rFonts w:ascii="Times New Roman" w:hAnsi="Times New Roman"/>
          <w:bCs/>
        </w:rPr>
      </w:pPr>
      <w:r w:rsidRPr="00BA5FD4">
        <w:rPr>
          <w:rFonts w:ascii="Times New Roman" w:hAnsi="Times New Roman"/>
          <w:bCs/>
        </w:rPr>
        <w:tab/>
        <w:t>3)</w:t>
      </w:r>
      <w:r w:rsidRPr="00BA5FD4">
        <w:rPr>
          <w:rFonts w:ascii="Times New Roman" w:hAnsi="Times New Roman"/>
          <w:bCs/>
        </w:rPr>
        <w:tab/>
        <w:t>Basic Charge</w:t>
      </w:r>
    </w:p>
    <w:p w:rsidR="005829AC" w:rsidRPr="00BA5FD4" w:rsidRDefault="005829AC" w:rsidP="00B46ACF">
      <w:pPr>
        <w:autoSpaceDE w:val="0"/>
        <w:autoSpaceDN w:val="0"/>
        <w:adjustRightInd w:val="0"/>
        <w:spacing w:line="480" w:lineRule="auto"/>
        <w:ind w:right="-720"/>
        <w:rPr>
          <w:rFonts w:ascii="Times New Roman" w:hAnsi="Times New Roman"/>
          <w:bCs/>
        </w:rPr>
      </w:pPr>
      <w:r w:rsidRPr="00BA5FD4">
        <w:rPr>
          <w:rFonts w:ascii="Times New Roman" w:hAnsi="Times New Roman"/>
          <w:bCs/>
        </w:rPr>
        <w:tab/>
        <w:t>4)</w:t>
      </w:r>
      <w:r w:rsidRPr="00BA5FD4">
        <w:rPr>
          <w:rFonts w:ascii="Times New Roman" w:hAnsi="Times New Roman"/>
          <w:bCs/>
        </w:rPr>
        <w:tab/>
        <w:t>Low-Income Weatherization</w:t>
      </w:r>
    </w:p>
    <w:p w:rsidR="004B35DE" w:rsidRPr="00BA5FD4" w:rsidRDefault="004B35DE" w:rsidP="00B46ACF">
      <w:pPr>
        <w:autoSpaceDE w:val="0"/>
        <w:autoSpaceDN w:val="0"/>
        <w:adjustRightInd w:val="0"/>
        <w:spacing w:line="480" w:lineRule="auto"/>
        <w:ind w:right="-720"/>
        <w:jc w:val="center"/>
        <w:rPr>
          <w:rFonts w:ascii="Times New Roman" w:hAnsi="Times New Roman"/>
          <w:b/>
          <w:bCs/>
        </w:rPr>
      </w:pPr>
      <w:r w:rsidRPr="00BA5FD4">
        <w:rPr>
          <w:rFonts w:ascii="Times New Roman" w:hAnsi="Times New Roman"/>
          <w:b/>
          <w:bCs/>
        </w:rPr>
        <w:t>II.</w:t>
      </w:r>
      <w:r w:rsidRPr="00BA5FD4">
        <w:rPr>
          <w:rFonts w:ascii="Times New Roman" w:hAnsi="Times New Roman"/>
          <w:b/>
          <w:bCs/>
        </w:rPr>
        <w:tab/>
        <w:t>ARGUMENT</w:t>
      </w:r>
    </w:p>
    <w:p w:rsidR="00AD2C4A" w:rsidRPr="00BA5FD4" w:rsidRDefault="00AD2C4A" w:rsidP="005A2432">
      <w:pPr>
        <w:autoSpaceDE w:val="0"/>
        <w:autoSpaceDN w:val="0"/>
        <w:adjustRightInd w:val="0"/>
        <w:spacing w:line="480" w:lineRule="auto"/>
        <w:rPr>
          <w:rFonts w:ascii="Times New Roman" w:hAnsi="Times New Roman"/>
          <w:bCs/>
        </w:rPr>
      </w:pPr>
      <w:r w:rsidRPr="00BA5FD4">
        <w:rPr>
          <w:rFonts w:ascii="Times New Roman" w:hAnsi="Times New Roman"/>
          <w:b/>
          <w:bCs/>
        </w:rPr>
        <w:t>1.</w:t>
      </w:r>
      <w:r w:rsidRPr="00BA5FD4">
        <w:rPr>
          <w:rFonts w:ascii="Times New Roman" w:hAnsi="Times New Roman"/>
          <w:b/>
          <w:bCs/>
        </w:rPr>
        <w:tab/>
        <w:t>LIBA Funding</w:t>
      </w:r>
    </w:p>
    <w:p w:rsidR="006F44B6" w:rsidRPr="00BA5FD4" w:rsidRDefault="00AD2C4A" w:rsidP="005A2432">
      <w:pPr>
        <w:autoSpaceDE w:val="0"/>
        <w:autoSpaceDN w:val="0"/>
        <w:adjustRightInd w:val="0"/>
        <w:spacing w:line="480" w:lineRule="auto"/>
        <w:rPr>
          <w:rFonts w:ascii="Times New Roman" w:hAnsi="Times New Roman"/>
          <w:bCs/>
        </w:rPr>
      </w:pPr>
      <w:r w:rsidRPr="00BA5FD4">
        <w:rPr>
          <w:rFonts w:ascii="Times New Roman" w:hAnsi="Times New Roman"/>
          <w:bCs/>
        </w:rPr>
        <w:tab/>
      </w:r>
      <w:r w:rsidR="00B46ACF" w:rsidRPr="00BA5FD4">
        <w:rPr>
          <w:rFonts w:ascii="Times New Roman" w:hAnsi="Times New Roman"/>
          <w:bCs/>
        </w:rPr>
        <w:t xml:space="preserve">The Energy Project proposes that the Commission issue an order approving a twenty-one percent (21%) increase in the existing amount of annual Low-Income Bill Assistance (LIBA) funding collected through the Company’s Schedule 91 surcharge.  The Energy Project recommends that this Commission accept PPL’s firm commitment to make a 21% increase to LIBA without any </w:t>
      </w:r>
      <w:r w:rsidR="003A4243" w:rsidRPr="00BA5FD4">
        <w:rPr>
          <w:rFonts w:ascii="Times New Roman" w:hAnsi="Times New Roman"/>
          <w:bCs/>
        </w:rPr>
        <w:t>connection to</w:t>
      </w:r>
      <w:r w:rsidR="006F44B6" w:rsidRPr="00BA5FD4">
        <w:rPr>
          <w:rFonts w:ascii="Times New Roman" w:hAnsi="Times New Roman"/>
          <w:bCs/>
        </w:rPr>
        <w:t xml:space="preserve"> or dependence on</w:t>
      </w:r>
      <w:r w:rsidR="003A4243" w:rsidRPr="00BA5FD4">
        <w:rPr>
          <w:rFonts w:ascii="Times New Roman" w:hAnsi="Times New Roman"/>
          <w:bCs/>
        </w:rPr>
        <w:t xml:space="preserve"> the amount of rate increase potentially</w:t>
      </w:r>
      <w:r w:rsidR="006F44B6" w:rsidRPr="00BA5FD4">
        <w:rPr>
          <w:rFonts w:ascii="Times New Roman" w:hAnsi="Times New Roman"/>
          <w:bCs/>
        </w:rPr>
        <w:t>, either system-wide or class-specific,</w:t>
      </w:r>
      <w:r w:rsidR="003A4243" w:rsidRPr="00BA5FD4">
        <w:rPr>
          <w:rFonts w:ascii="Times New Roman" w:hAnsi="Times New Roman"/>
          <w:bCs/>
        </w:rPr>
        <w:t xml:space="preserve"> awarded to PPL by the Commission.  </w:t>
      </w:r>
    </w:p>
    <w:p w:rsidR="00B46ACF" w:rsidRPr="00BA5FD4" w:rsidRDefault="006F44B6" w:rsidP="005A2432">
      <w:pPr>
        <w:autoSpaceDE w:val="0"/>
        <w:autoSpaceDN w:val="0"/>
        <w:adjustRightInd w:val="0"/>
        <w:spacing w:line="480" w:lineRule="auto"/>
        <w:rPr>
          <w:rFonts w:ascii="Times New Roman" w:hAnsi="Times New Roman"/>
          <w:bCs/>
        </w:rPr>
      </w:pPr>
      <w:r w:rsidRPr="00BA5FD4">
        <w:rPr>
          <w:rFonts w:ascii="Times New Roman" w:hAnsi="Times New Roman"/>
          <w:bCs/>
        </w:rPr>
        <w:tab/>
      </w:r>
      <w:r w:rsidR="003A4243" w:rsidRPr="00BA5FD4">
        <w:rPr>
          <w:rFonts w:ascii="Times New Roman" w:hAnsi="Times New Roman"/>
          <w:bCs/>
        </w:rPr>
        <w:t xml:space="preserve">As </w:t>
      </w:r>
      <w:r w:rsidR="00EF05F2" w:rsidRPr="00BA5FD4">
        <w:rPr>
          <w:rFonts w:ascii="Times New Roman" w:hAnsi="Times New Roman"/>
          <w:bCs/>
        </w:rPr>
        <w:t xml:space="preserve">an aside and </w:t>
      </w:r>
      <w:r w:rsidR="003A4243" w:rsidRPr="00BA5FD4">
        <w:rPr>
          <w:rFonts w:ascii="Times New Roman" w:hAnsi="Times New Roman"/>
          <w:bCs/>
        </w:rPr>
        <w:t xml:space="preserve">discussed below, PPL </w:t>
      </w:r>
      <w:r w:rsidR="00EF05F2" w:rsidRPr="00BA5FD4">
        <w:rPr>
          <w:rFonts w:ascii="Times New Roman" w:hAnsi="Times New Roman"/>
          <w:bCs/>
        </w:rPr>
        <w:t>proposes</w:t>
      </w:r>
      <w:r w:rsidR="00F05A11" w:rsidRPr="00BA5FD4">
        <w:rPr>
          <w:rFonts w:ascii="Times New Roman" w:hAnsi="Times New Roman"/>
          <w:bCs/>
        </w:rPr>
        <w:t xml:space="preserve"> that 30% of the LIBA funding increase be dedicated to serving additional customers.  This is an important issue to the agencies that will be addressed in detail below</w:t>
      </w:r>
      <w:r w:rsidRPr="00BA5FD4">
        <w:rPr>
          <w:rFonts w:ascii="Times New Roman" w:hAnsi="Times New Roman"/>
          <w:bCs/>
        </w:rPr>
        <w:t>.  The E</w:t>
      </w:r>
      <w:r w:rsidR="00F05A11" w:rsidRPr="00BA5FD4">
        <w:rPr>
          <w:rFonts w:ascii="Times New Roman" w:hAnsi="Times New Roman"/>
          <w:bCs/>
        </w:rPr>
        <w:t>nergy Project submits that the full 21% increase be dedicated to increasing the existing discount.</w:t>
      </w:r>
      <w:r w:rsidR="00267514" w:rsidRPr="00BA5FD4">
        <w:rPr>
          <w:rFonts w:ascii="Times New Roman" w:hAnsi="Times New Roman"/>
          <w:bCs/>
        </w:rPr>
        <w:t xml:space="preserve">  </w:t>
      </w:r>
    </w:p>
    <w:p w:rsidR="002C3117" w:rsidRPr="00BA5FD4" w:rsidRDefault="006E1693" w:rsidP="005A2432">
      <w:pPr>
        <w:autoSpaceDE w:val="0"/>
        <w:autoSpaceDN w:val="0"/>
        <w:adjustRightInd w:val="0"/>
        <w:spacing w:line="480" w:lineRule="auto"/>
        <w:rPr>
          <w:rFonts w:ascii="Times New Roman" w:hAnsi="Times New Roman"/>
          <w:bCs/>
        </w:rPr>
      </w:pPr>
      <w:r w:rsidRPr="00BA5FD4">
        <w:rPr>
          <w:rFonts w:ascii="Times New Roman" w:hAnsi="Times New Roman"/>
          <w:bCs/>
        </w:rPr>
        <w:lastRenderedPageBreak/>
        <w:tab/>
      </w:r>
      <w:r w:rsidR="002C3117" w:rsidRPr="00BA5FD4">
        <w:rPr>
          <w:rFonts w:ascii="Times New Roman" w:hAnsi="Times New Roman"/>
          <w:bCs/>
        </w:rPr>
        <w:t>The Energy Project respectfully asserts that there is abundant factual and legal support for approving a</w:t>
      </w:r>
      <w:r w:rsidR="00EF05F2" w:rsidRPr="00BA5FD4">
        <w:rPr>
          <w:rFonts w:ascii="Times New Roman" w:hAnsi="Times New Roman"/>
          <w:bCs/>
        </w:rPr>
        <w:t xml:space="preserve"> funding</w:t>
      </w:r>
      <w:r w:rsidR="002C3117" w:rsidRPr="00BA5FD4">
        <w:rPr>
          <w:rFonts w:ascii="Times New Roman" w:hAnsi="Times New Roman"/>
          <w:bCs/>
        </w:rPr>
        <w:t xml:space="preserve"> increase to PPL’s LIBA program.  First, no party to this proceeding, including PPL itself, disputes that the Company’s LIBA funding, on a per capita basis, is considerably lower than either PSE or AVISTA.</w:t>
      </w:r>
    </w:p>
    <w:p w:rsidR="002C3117" w:rsidRPr="00BA5FD4" w:rsidRDefault="00AA3C21" w:rsidP="002C3117">
      <w:pPr>
        <w:autoSpaceDE w:val="0"/>
        <w:autoSpaceDN w:val="0"/>
        <w:adjustRightInd w:val="0"/>
        <w:spacing w:line="480" w:lineRule="auto"/>
        <w:rPr>
          <w:rFonts w:ascii="Times New Roman" w:hAnsi="Times New Roman" w:cs="TimesNewRomanPS-BoldMT"/>
        </w:rPr>
      </w:pPr>
      <w:r w:rsidRPr="00BA5FD4">
        <w:rPr>
          <w:rFonts w:ascii="Times New Roman" w:hAnsi="Times New Roman" w:cs="TimesNewRomanPS-BoldMT"/>
        </w:rPr>
        <w:tab/>
      </w:r>
      <w:r w:rsidR="002C3117" w:rsidRPr="00BA5FD4">
        <w:rPr>
          <w:rFonts w:ascii="Times New Roman" w:hAnsi="Times New Roman" w:cs="TimesNewRomanPS-BoldMT"/>
        </w:rPr>
        <w:t xml:space="preserve">In assessing the sufficiency, or lack thereof, of PPL’s existing LIBA program, Mr. </w:t>
      </w:r>
      <w:proofErr w:type="spellStart"/>
      <w:r w:rsidR="002C3117" w:rsidRPr="00BA5FD4">
        <w:rPr>
          <w:rFonts w:ascii="Times New Roman" w:hAnsi="Times New Roman" w:cs="TimesNewRomanPS-BoldMT"/>
        </w:rPr>
        <w:t>Eberdt</w:t>
      </w:r>
      <w:proofErr w:type="spellEnd"/>
      <w:r w:rsidR="002C3117" w:rsidRPr="00BA5FD4">
        <w:rPr>
          <w:rFonts w:ascii="Times New Roman" w:hAnsi="Times New Roman" w:cs="TimesNewRomanPS-BoldMT"/>
        </w:rPr>
        <w:t xml:space="preserve"> compared the Company’s per capita funding level to that of PSE and AVISTA concluding that PPL funds at an average of $220 per qualifying participant whereas PSE funds at $462 and AVISTA at $555.</w:t>
      </w:r>
      <w:r w:rsidR="002C3117" w:rsidRPr="00BA5FD4">
        <w:rPr>
          <w:rStyle w:val="FootnoteReference"/>
          <w:rFonts w:ascii="Times New Roman" w:hAnsi="Times New Roman" w:cs="TimesNewRomanPS-BoldMT"/>
        </w:rPr>
        <w:footnoteReference w:id="1"/>
      </w:r>
      <w:r w:rsidRPr="00BA5FD4">
        <w:rPr>
          <w:rFonts w:ascii="Times New Roman" w:hAnsi="Times New Roman" w:cs="TimesNewRomanPS-BoldMT"/>
        </w:rPr>
        <w:t xml:space="preserve">  </w:t>
      </w:r>
    </w:p>
    <w:p w:rsidR="002C3117" w:rsidRPr="00BA5FD4" w:rsidRDefault="002C3117" w:rsidP="002C3117">
      <w:pPr>
        <w:autoSpaceDE w:val="0"/>
        <w:autoSpaceDN w:val="0"/>
        <w:adjustRightInd w:val="0"/>
        <w:spacing w:line="480" w:lineRule="auto"/>
        <w:rPr>
          <w:rFonts w:ascii="Times New Roman" w:hAnsi="Times New Roman"/>
          <w:bCs/>
        </w:rPr>
      </w:pPr>
      <w:r w:rsidRPr="00BA5FD4">
        <w:rPr>
          <w:rFonts w:ascii="Times New Roman" w:hAnsi="Times New Roman" w:cs="TimesNewRomanPS-BoldMT"/>
        </w:rPr>
        <w:tab/>
        <w:t>PPL apparently</w:t>
      </w:r>
      <w:r w:rsidR="00420277" w:rsidRPr="00BA5FD4">
        <w:rPr>
          <w:rFonts w:ascii="Times New Roman" w:hAnsi="Times New Roman" w:cs="TimesNewRomanPS-BoldMT"/>
        </w:rPr>
        <w:t xml:space="preserve"> has no concerns</w:t>
      </w:r>
      <w:r w:rsidRPr="00BA5FD4">
        <w:rPr>
          <w:rFonts w:ascii="Times New Roman" w:hAnsi="Times New Roman" w:cs="TimesNewRomanPS-BoldMT"/>
        </w:rPr>
        <w:t xml:space="preserve"> about its </w:t>
      </w:r>
      <w:r w:rsidR="00EF05F2" w:rsidRPr="00BA5FD4">
        <w:rPr>
          <w:rFonts w:ascii="Times New Roman" w:hAnsi="Times New Roman" w:cs="TimesNewRomanPS-BoldMT"/>
        </w:rPr>
        <w:t xml:space="preserve">relatively </w:t>
      </w:r>
      <w:r w:rsidRPr="00BA5FD4">
        <w:rPr>
          <w:rFonts w:ascii="Times New Roman" w:hAnsi="Times New Roman" w:cs="TimesNewRomanPS-BoldMT"/>
        </w:rPr>
        <w:t xml:space="preserve">lower level of bill assistance funding </w:t>
      </w:r>
      <w:r w:rsidR="00EF05F2" w:rsidRPr="00BA5FD4">
        <w:rPr>
          <w:rFonts w:ascii="Times New Roman" w:hAnsi="Times New Roman" w:cs="TimesNewRomanPS-BoldMT"/>
        </w:rPr>
        <w:t>in comparison to</w:t>
      </w:r>
      <w:r w:rsidRPr="00BA5FD4">
        <w:rPr>
          <w:rFonts w:ascii="Times New Roman" w:hAnsi="Times New Roman" w:cs="TimesNewRomanPS-BoldMT"/>
        </w:rPr>
        <w:t xml:space="preserve"> PSE’s or AVISTA’s as evidenced by Company witness William Griffith </w:t>
      </w:r>
      <w:r w:rsidR="00EF05F2" w:rsidRPr="00BA5FD4">
        <w:rPr>
          <w:rFonts w:ascii="Times New Roman" w:hAnsi="Times New Roman" w:cs="TimesNewRomanPS-BoldMT"/>
        </w:rPr>
        <w:t>who</w:t>
      </w:r>
      <w:r w:rsidR="00420277" w:rsidRPr="00BA5FD4">
        <w:rPr>
          <w:rFonts w:ascii="Times New Roman" w:hAnsi="Times New Roman" w:cs="TimesNewRomanPS-BoldMT"/>
        </w:rPr>
        <w:t xml:space="preserve"> testified</w:t>
      </w:r>
      <w:r w:rsidR="00EF05F2" w:rsidRPr="00BA5FD4">
        <w:rPr>
          <w:rFonts w:ascii="Times New Roman" w:hAnsi="Times New Roman" w:cs="TimesNewRomanPS-BoldMT"/>
        </w:rPr>
        <w:t xml:space="preserve"> </w:t>
      </w:r>
      <w:r w:rsidRPr="00BA5FD4">
        <w:rPr>
          <w:rFonts w:ascii="Times New Roman" w:hAnsi="Times New Roman" w:cs="TimesNewRomanPS-BoldMT"/>
        </w:rPr>
        <w:t>during cross-examination</w:t>
      </w:r>
      <w:r w:rsidR="00420277" w:rsidRPr="00BA5FD4">
        <w:rPr>
          <w:rFonts w:ascii="Times New Roman" w:hAnsi="Times New Roman" w:cs="TimesNewRomanPS-BoldMT"/>
        </w:rPr>
        <w:t>:</w:t>
      </w:r>
      <w:r w:rsidRPr="00BA5FD4">
        <w:rPr>
          <w:rFonts w:ascii="Times New Roman" w:hAnsi="Times New Roman" w:cs="TimesNewRomanPS-BoldMT"/>
        </w:rPr>
        <w:t xml:space="preserve"> </w:t>
      </w:r>
      <w:r w:rsidRPr="00BA5FD4">
        <w:rPr>
          <w:rFonts w:ascii="Times New Roman" w:hAnsi="Times New Roman"/>
          <w:bCs/>
        </w:rPr>
        <w:t>“I don't think our goal is to gain ground with the other utilities or to compete with them.  Our goal is really to balance out the impacts of the rate increase on low-income customers and the other customers who fund the surcharge so that we have a fair balance for all the different classes.”</w:t>
      </w:r>
      <w:r w:rsidRPr="00BA5FD4">
        <w:rPr>
          <w:rStyle w:val="FootnoteReference"/>
          <w:rFonts w:ascii="Times New Roman" w:hAnsi="Times New Roman"/>
          <w:bCs/>
        </w:rPr>
        <w:footnoteReference w:id="2"/>
      </w:r>
      <w:r w:rsidRPr="00BA5FD4">
        <w:rPr>
          <w:rFonts w:ascii="Times New Roman" w:hAnsi="Times New Roman"/>
          <w:bCs/>
        </w:rPr>
        <w:t xml:space="preserve">  </w:t>
      </w:r>
    </w:p>
    <w:p w:rsidR="00420277" w:rsidRPr="00BA5FD4" w:rsidRDefault="002C3117" w:rsidP="005A2432">
      <w:pPr>
        <w:autoSpaceDE w:val="0"/>
        <w:autoSpaceDN w:val="0"/>
        <w:adjustRightInd w:val="0"/>
        <w:spacing w:line="480" w:lineRule="auto"/>
        <w:rPr>
          <w:rFonts w:ascii="Times New Roman" w:hAnsi="Times New Roman"/>
          <w:bCs/>
        </w:rPr>
      </w:pPr>
      <w:r w:rsidRPr="00BA5FD4">
        <w:rPr>
          <w:rFonts w:ascii="Times New Roman" w:hAnsi="Times New Roman"/>
          <w:bCs/>
        </w:rPr>
        <w:tab/>
        <w:t>Mr. Griffith supports his position on the basis that PPL’s rates are lower</w:t>
      </w:r>
      <w:r w:rsidR="00EF05F2" w:rsidRPr="00BA5FD4">
        <w:rPr>
          <w:rFonts w:ascii="Times New Roman" w:hAnsi="Times New Roman"/>
          <w:bCs/>
        </w:rPr>
        <w:t xml:space="preserve"> than those of PSE and AVISTA.</w:t>
      </w:r>
      <w:r w:rsidR="00EF05F2" w:rsidRPr="00BA5FD4">
        <w:rPr>
          <w:rStyle w:val="FootnoteReference"/>
          <w:rFonts w:ascii="Times New Roman" w:hAnsi="Times New Roman"/>
          <w:bCs/>
        </w:rPr>
        <w:footnoteReference w:id="3"/>
      </w:r>
      <w:r w:rsidR="00EF05F2" w:rsidRPr="00BA5FD4">
        <w:rPr>
          <w:rFonts w:ascii="Times New Roman" w:hAnsi="Times New Roman"/>
          <w:bCs/>
        </w:rPr>
        <w:t xml:space="preserve">  </w:t>
      </w:r>
      <w:r w:rsidR="00420277" w:rsidRPr="00BA5FD4">
        <w:rPr>
          <w:rFonts w:ascii="Times New Roman" w:hAnsi="Times New Roman"/>
          <w:bCs/>
        </w:rPr>
        <w:t xml:space="preserve">First, Mr. Griffith did not state by how much PPL’s rates are lower than PSE’s or AVISTA’s, whether PPL’s residential class rates are equally lower than PSE’s and AVISTA’s, and to what extent PPL’s lower rates offset the fact that it’s bill assistance funding is substantially below that of PSE and AVISTA.  </w:t>
      </w:r>
      <w:r w:rsidR="00F61493" w:rsidRPr="00BA5FD4">
        <w:rPr>
          <w:rFonts w:ascii="Times New Roman" w:hAnsi="Times New Roman"/>
          <w:bCs/>
        </w:rPr>
        <w:t xml:space="preserve">As noted above, PPL’s LIBA funding is less than one-half that of PSE and roughly one-third that of AVISTA.  Though both Mr. Griffith and Company President </w:t>
      </w:r>
      <w:proofErr w:type="spellStart"/>
      <w:r w:rsidR="00F61493" w:rsidRPr="00BA5FD4">
        <w:rPr>
          <w:rFonts w:ascii="Times New Roman" w:hAnsi="Times New Roman"/>
          <w:bCs/>
        </w:rPr>
        <w:t>Reitten</w:t>
      </w:r>
      <w:proofErr w:type="spellEnd"/>
      <w:r w:rsidR="00F61493" w:rsidRPr="00BA5FD4">
        <w:rPr>
          <w:rFonts w:ascii="Times New Roman" w:hAnsi="Times New Roman"/>
          <w:bCs/>
        </w:rPr>
        <w:t xml:space="preserve"> testified that PPL’s lower level of bill assistance funding must be </w:t>
      </w:r>
      <w:r w:rsidR="00F61493" w:rsidRPr="00BA5FD4">
        <w:rPr>
          <w:rFonts w:ascii="Times New Roman" w:hAnsi="Times New Roman"/>
          <w:bCs/>
        </w:rPr>
        <w:lastRenderedPageBreak/>
        <w:t>considered alongside the fact that the Company’s rates are relatively low, no individual or party to this proceeding made any attempt to quantify the magnitude of differential between the three utilities’ rates and to what extent that somehow offsets PPL’s substantially lower bill assistance funding.</w:t>
      </w:r>
    </w:p>
    <w:p w:rsidR="00ED3AF8" w:rsidRPr="00BA5FD4" w:rsidRDefault="00420277" w:rsidP="005A2432">
      <w:pPr>
        <w:autoSpaceDE w:val="0"/>
        <w:autoSpaceDN w:val="0"/>
        <w:adjustRightInd w:val="0"/>
        <w:spacing w:line="480" w:lineRule="auto"/>
        <w:rPr>
          <w:rFonts w:ascii="Times New Roman" w:hAnsi="Times New Roman" w:cs="TimesNewRomanPS-BoldMT"/>
        </w:rPr>
      </w:pPr>
      <w:r w:rsidRPr="00BA5FD4">
        <w:rPr>
          <w:rFonts w:ascii="Times New Roman" w:hAnsi="Times New Roman"/>
          <w:bCs/>
        </w:rPr>
        <w:tab/>
        <w:t>Furthermore, t</w:t>
      </w:r>
      <w:r w:rsidR="002C3117" w:rsidRPr="00BA5FD4">
        <w:rPr>
          <w:rFonts w:ascii="Times New Roman" w:hAnsi="Times New Roman"/>
          <w:bCs/>
        </w:rPr>
        <w:t xml:space="preserve">he Energy Project submits that to the extent PPL’s rates are somewhat lower than other utilities such as PSE or AVISTA, there are numerous factors that offset this benefit to PPL’s ratepayers.  </w:t>
      </w:r>
      <w:r w:rsidR="00AA3C21" w:rsidRPr="00BA5FD4">
        <w:rPr>
          <w:rFonts w:ascii="Times New Roman" w:hAnsi="Times New Roman"/>
          <w:bCs/>
        </w:rPr>
        <w:t>First, a</w:t>
      </w:r>
      <w:r w:rsidR="002C3117" w:rsidRPr="00BA5FD4">
        <w:rPr>
          <w:rFonts w:ascii="Times New Roman" w:hAnsi="Times New Roman"/>
          <w:bCs/>
        </w:rPr>
        <w:t>s already noted, PPL’s service territory includes some of the most impoverished counties in Washington</w:t>
      </w:r>
      <w:r w:rsidR="00AA3C21" w:rsidRPr="00BA5FD4">
        <w:rPr>
          <w:rFonts w:ascii="Times New Roman" w:hAnsi="Times New Roman"/>
          <w:bCs/>
        </w:rPr>
        <w:t xml:space="preserve">.  </w:t>
      </w:r>
      <w:r w:rsidR="002C3117" w:rsidRPr="00BA5FD4">
        <w:rPr>
          <w:rFonts w:ascii="Times New Roman" w:hAnsi="Times New Roman"/>
          <w:bCs/>
        </w:rPr>
        <w:t xml:space="preserve">Mr. </w:t>
      </w:r>
      <w:proofErr w:type="spellStart"/>
      <w:r w:rsidR="002C3117" w:rsidRPr="00BA5FD4">
        <w:rPr>
          <w:rFonts w:ascii="Times New Roman" w:hAnsi="Times New Roman"/>
          <w:bCs/>
        </w:rPr>
        <w:t>Eberdt</w:t>
      </w:r>
      <w:proofErr w:type="spellEnd"/>
      <w:r w:rsidR="002C3117" w:rsidRPr="00BA5FD4">
        <w:rPr>
          <w:rFonts w:ascii="Times New Roman" w:hAnsi="Times New Roman"/>
          <w:bCs/>
        </w:rPr>
        <w:t xml:space="preserve"> </w:t>
      </w:r>
      <w:r w:rsidR="00AA3C21" w:rsidRPr="00BA5FD4">
        <w:rPr>
          <w:rFonts w:ascii="Times New Roman" w:hAnsi="Times New Roman"/>
          <w:bCs/>
        </w:rPr>
        <w:t xml:space="preserve">provided </w:t>
      </w:r>
      <w:r w:rsidRPr="00BA5FD4">
        <w:rPr>
          <w:rFonts w:ascii="Times New Roman" w:hAnsi="Times New Roman"/>
          <w:bCs/>
        </w:rPr>
        <w:t xml:space="preserve">undisputed </w:t>
      </w:r>
      <w:r w:rsidR="00AA3C21" w:rsidRPr="00BA5FD4">
        <w:rPr>
          <w:rFonts w:ascii="Times New Roman" w:hAnsi="Times New Roman"/>
          <w:bCs/>
        </w:rPr>
        <w:t xml:space="preserve">evidence regarding the relatively </w:t>
      </w:r>
      <w:r w:rsidRPr="00BA5FD4">
        <w:rPr>
          <w:rFonts w:ascii="Times New Roman" w:hAnsi="Times New Roman"/>
          <w:bCs/>
        </w:rPr>
        <w:t xml:space="preserve">high </w:t>
      </w:r>
      <w:r w:rsidR="00AA3C21" w:rsidRPr="00BA5FD4">
        <w:rPr>
          <w:rFonts w:ascii="Times New Roman" w:hAnsi="Times New Roman"/>
          <w:bCs/>
        </w:rPr>
        <w:t>levels of poverty in PPL’s Washington service territory</w:t>
      </w:r>
      <w:r w:rsidR="006E1693" w:rsidRPr="00BA5FD4">
        <w:rPr>
          <w:rFonts w:ascii="Times New Roman" w:hAnsi="Times New Roman"/>
          <w:bCs/>
        </w:rPr>
        <w:t>.</w:t>
      </w:r>
      <w:r w:rsidR="006E1693" w:rsidRPr="00BA5FD4">
        <w:rPr>
          <w:rStyle w:val="FootnoteReference"/>
          <w:rFonts w:ascii="Times New Roman" w:hAnsi="Times New Roman"/>
          <w:bCs/>
        </w:rPr>
        <w:footnoteReference w:id="4"/>
      </w:r>
      <w:r w:rsidR="006E1693" w:rsidRPr="00BA5FD4">
        <w:rPr>
          <w:rFonts w:ascii="Times New Roman" w:hAnsi="Times New Roman"/>
          <w:bCs/>
        </w:rPr>
        <w:t xml:space="preserve"> </w:t>
      </w:r>
      <w:r w:rsidR="00AA3C21" w:rsidRPr="00BA5FD4">
        <w:rPr>
          <w:rFonts w:ascii="Times New Roman" w:hAnsi="Times New Roman"/>
          <w:bCs/>
        </w:rPr>
        <w:t xml:space="preserve"> </w:t>
      </w:r>
      <w:r w:rsidR="00ED3AF8" w:rsidRPr="00BA5FD4">
        <w:rPr>
          <w:rFonts w:ascii="Times New Roman" w:hAnsi="Times New Roman"/>
          <w:bCs/>
        </w:rPr>
        <w:t xml:space="preserve">Yakima County is one of only four counties in Washington that are estimated to have more than 25% of children under </w:t>
      </w:r>
      <w:r w:rsidR="00F61493" w:rsidRPr="00BA5FD4">
        <w:rPr>
          <w:rFonts w:ascii="Times New Roman" w:hAnsi="Times New Roman"/>
          <w:bCs/>
        </w:rPr>
        <w:t xml:space="preserve">the age of </w:t>
      </w:r>
      <w:r w:rsidR="00ED3AF8" w:rsidRPr="00BA5FD4">
        <w:rPr>
          <w:rFonts w:ascii="Times New Roman" w:hAnsi="Times New Roman"/>
          <w:bCs/>
        </w:rPr>
        <w:t>18 living in poverty.</w:t>
      </w:r>
      <w:r w:rsidR="00ED3AF8" w:rsidRPr="00BA5FD4">
        <w:rPr>
          <w:rStyle w:val="FootnoteReference"/>
          <w:rFonts w:ascii="Times New Roman" w:hAnsi="Times New Roman"/>
          <w:bCs/>
        </w:rPr>
        <w:footnoteReference w:id="5"/>
      </w:r>
      <w:r w:rsidR="001C3632" w:rsidRPr="00BA5FD4">
        <w:rPr>
          <w:rFonts w:ascii="Times New Roman" w:hAnsi="Times New Roman"/>
          <w:bCs/>
        </w:rPr>
        <w:t xml:space="preserve">  The two counties that comprise the PacifiCorp service territory, Yakima and Walla </w:t>
      </w:r>
      <w:proofErr w:type="spellStart"/>
      <w:r w:rsidR="001C3632" w:rsidRPr="00BA5FD4">
        <w:rPr>
          <w:rFonts w:ascii="Times New Roman" w:hAnsi="Times New Roman"/>
          <w:bCs/>
        </w:rPr>
        <w:t>Walla</w:t>
      </w:r>
      <w:proofErr w:type="spellEnd"/>
      <w:r w:rsidR="001C3632" w:rsidRPr="00BA5FD4">
        <w:rPr>
          <w:rFonts w:ascii="Times New Roman" w:hAnsi="Times New Roman"/>
          <w:bCs/>
        </w:rPr>
        <w:t xml:space="preserve"> Counties, have the 5</w:t>
      </w:r>
      <w:r w:rsidR="001C3632" w:rsidRPr="00BA5FD4">
        <w:rPr>
          <w:rFonts w:ascii="Times New Roman" w:hAnsi="Times New Roman"/>
          <w:bCs/>
          <w:vertAlign w:val="superscript"/>
        </w:rPr>
        <w:t>th</w:t>
      </w:r>
      <w:r w:rsidR="001C3632" w:rsidRPr="00BA5FD4">
        <w:rPr>
          <w:rFonts w:ascii="Times New Roman" w:hAnsi="Times New Roman"/>
          <w:bCs/>
        </w:rPr>
        <w:t xml:space="preserve"> and 7</w:t>
      </w:r>
      <w:r w:rsidR="001C3632" w:rsidRPr="00BA5FD4">
        <w:rPr>
          <w:rFonts w:ascii="Times New Roman" w:hAnsi="Times New Roman"/>
          <w:bCs/>
          <w:vertAlign w:val="superscript"/>
        </w:rPr>
        <w:t>th</w:t>
      </w:r>
      <w:r w:rsidR="001C3632" w:rsidRPr="00BA5FD4">
        <w:rPr>
          <w:rFonts w:ascii="Times New Roman" w:hAnsi="Times New Roman"/>
          <w:bCs/>
        </w:rPr>
        <w:t xml:space="preserve"> highest levels, respectively, of adult poverty among Washington’s 39 counties according to the Bureau of Census, Small Area Income and Poverty Estimates.</w:t>
      </w:r>
      <w:r w:rsidR="001C3632" w:rsidRPr="00BA5FD4">
        <w:rPr>
          <w:rStyle w:val="FootnoteReference"/>
          <w:rFonts w:ascii="Times New Roman" w:hAnsi="Times New Roman"/>
          <w:bCs/>
        </w:rPr>
        <w:footnoteReference w:id="6"/>
      </w:r>
      <w:r w:rsidR="001C3632" w:rsidRPr="00BA5FD4">
        <w:rPr>
          <w:rFonts w:ascii="Times New Roman" w:hAnsi="Times New Roman"/>
          <w:bCs/>
        </w:rPr>
        <w:t xml:space="preserve"> </w:t>
      </w:r>
      <w:r w:rsidR="00ED3AF8" w:rsidRPr="00BA5FD4">
        <w:rPr>
          <w:rFonts w:ascii="Times New Roman" w:hAnsi="Times New Roman" w:cs="TimesNewRomanPS-BoldMT"/>
        </w:rPr>
        <w:t xml:space="preserve"> </w:t>
      </w:r>
      <w:r w:rsidR="001C3632" w:rsidRPr="00BA5FD4">
        <w:rPr>
          <w:rFonts w:ascii="Times New Roman" w:hAnsi="Times New Roman" w:cs="TimesNewRomanPS-BoldMT"/>
        </w:rPr>
        <w:t xml:space="preserve">Walla </w:t>
      </w:r>
      <w:proofErr w:type="spellStart"/>
      <w:r w:rsidR="001C3632" w:rsidRPr="00BA5FD4">
        <w:rPr>
          <w:rFonts w:ascii="Times New Roman" w:hAnsi="Times New Roman" w:cs="TimesNewRomanPS-BoldMT"/>
        </w:rPr>
        <w:t>Walla</w:t>
      </w:r>
      <w:proofErr w:type="spellEnd"/>
      <w:r w:rsidR="001C3632" w:rsidRPr="00BA5FD4">
        <w:rPr>
          <w:rFonts w:ascii="Times New Roman" w:hAnsi="Times New Roman" w:cs="TimesNewRomanPS-BoldMT"/>
        </w:rPr>
        <w:t xml:space="preserve"> County poverty has increased four percentage points since 2000.</w:t>
      </w:r>
      <w:r w:rsidR="001C3632" w:rsidRPr="00BA5FD4">
        <w:rPr>
          <w:rStyle w:val="FootnoteReference"/>
          <w:rFonts w:ascii="Times New Roman" w:hAnsi="Times New Roman" w:cs="TimesNewRomanPS-BoldMT"/>
        </w:rPr>
        <w:footnoteReference w:id="7"/>
      </w:r>
    </w:p>
    <w:p w:rsidR="005A2432" w:rsidRPr="00BA5FD4" w:rsidRDefault="003A5AB7" w:rsidP="005A2432">
      <w:pPr>
        <w:autoSpaceDE w:val="0"/>
        <w:autoSpaceDN w:val="0"/>
        <w:adjustRightInd w:val="0"/>
        <w:spacing w:line="480" w:lineRule="auto"/>
        <w:rPr>
          <w:rFonts w:ascii="Times New Roman" w:hAnsi="Times New Roman" w:cs="TimesNewRomanPS-BoldMT"/>
          <w:b/>
        </w:rPr>
      </w:pPr>
      <w:r w:rsidRPr="00BA5FD4">
        <w:rPr>
          <w:rFonts w:ascii="Times New Roman" w:hAnsi="Times New Roman" w:cs="TimesNewRomanPS-BoldMT"/>
        </w:rPr>
        <w:tab/>
        <w:t xml:space="preserve">Another point of reference used </w:t>
      </w:r>
      <w:r w:rsidR="00250FB3" w:rsidRPr="00BA5FD4">
        <w:rPr>
          <w:rFonts w:ascii="Times New Roman" w:hAnsi="Times New Roman" w:cs="TimesNewRomanPS-BoldMT"/>
        </w:rPr>
        <w:t xml:space="preserve">by Mr. </w:t>
      </w:r>
      <w:proofErr w:type="spellStart"/>
      <w:r w:rsidR="00250FB3" w:rsidRPr="00BA5FD4">
        <w:rPr>
          <w:rFonts w:ascii="Times New Roman" w:hAnsi="Times New Roman" w:cs="TimesNewRomanPS-BoldMT"/>
        </w:rPr>
        <w:t>Eberdt</w:t>
      </w:r>
      <w:proofErr w:type="spellEnd"/>
      <w:r w:rsidR="00250FB3" w:rsidRPr="00BA5FD4">
        <w:rPr>
          <w:rFonts w:ascii="Times New Roman" w:hAnsi="Times New Roman" w:cs="TimesNewRomanPS-BoldMT"/>
        </w:rPr>
        <w:t xml:space="preserve"> in his analysis </w:t>
      </w:r>
      <w:r w:rsidRPr="00BA5FD4">
        <w:rPr>
          <w:rFonts w:ascii="Times New Roman" w:hAnsi="Times New Roman" w:cs="TimesNewRomanPS-BoldMT"/>
        </w:rPr>
        <w:t xml:space="preserve">to assess the adequacy of PPL’s LIBA funding level is the federal Low Income Home Energy Assistance Program (LIHEAP).  Mr. </w:t>
      </w:r>
      <w:proofErr w:type="spellStart"/>
      <w:r w:rsidRPr="00BA5FD4">
        <w:rPr>
          <w:rFonts w:ascii="Times New Roman" w:hAnsi="Times New Roman" w:cs="TimesNewRomanPS-BoldMT"/>
        </w:rPr>
        <w:t>Eberdt</w:t>
      </w:r>
      <w:proofErr w:type="spellEnd"/>
      <w:r w:rsidRPr="00BA5FD4">
        <w:rPr>
          <w:rFonts w:ascii="Times New Roman" w:hAnsi="Times New Roman" w:cs="TimesNewRomanPS-BoldMT"/>
        </w:rPr>
        <w:t xml:space="preserve"> testified that the average electric benefit provided through LIHEAP last year was $384, roughly 1.75 times PacifiCorp’s average benefit.</w:t>
      </w:r>
      <w:r w:rsidR="00250FB3" w:rsidRPr="00BA5FD4">
        <w:rPr>
          <w:rStyle w:val="FootnoteReference"/>
          <w:rFonts w:ascii="Times New Roman" w:hAnsi="Times New Roman" w:cs="TimesNewRomanPS-BoldMT"/>
        </w:rPr>
        <w:footnoteReference w:id="8"/>
      </w:r>
      <w:r w:rsidRPr="00BA5FD4">
        <w:rPr>
          <w:rFonts w:ascii="Times New Roman" w:hAnsi="Times New Roman" w:cs="TimesNewRomanPS-BoldMT"/>
        </w:rPr>
        <w:t xml:space="preserve">  </w:t>
      </w:r>
    </w:p>
    <w:p w:rsidR="003A5AB7" w:rsidRPr="00BA5FD4" w:rsidRDefault="005A2432" w:rsidP="005A2432">
      <w:pPr>
        <w:autoSpaceDE w:val="0"/>
        <w:autoSpaceDN w:val="0"/>
        <w:adjustRightInd w:val="0"/>
        <w:spacing w:line="480" w:lineRule="auto"/>
        <w:rPr>
          <w:rFonts w:ascii="Times New Roman" w:hAnsi="Times New Roman"/>
        </w:rPr>
      </w:pPr>
      <w:r w:rsidRPr="00BA5FD4">
        <w:rPr>
          <w:rFonts w:ascii="Times New Roman" w:hAnsi="Times New Roman" w:cs="TimesNewRomanPS-BoldMT"/>
          <w:b/>
        </w:rPr>
        <w:lastRenderedPageBreak/>
        <w:tab/>
      </w:r>
      <w:r w:rsidRPr="00BA5FD4">
        <w:rPr>
          <w:rFonts w:ascii="Times New Roman" w:hAnsi="Times New Roman" w:cs="TimesNewRomanPS-BoldMT"/>
        </w:rPr>
        <w:t xml:space="preserve">Another aspect of LIBA that diminishes is impact on bill assistance is that the rate discount provided under the program is available only during the six months of the heating season.  </w:t>
      </w:r>
      <w:r w:rsidR="002C3117" w:rsidRPr="00BA5FD4">
        <w:rPr>
          <w:rFonts w:ascii="Times New Roman" w:hAnsi="Times New Roman" w:cs="TimesNewRomanPS-BoldMT"/>
        </w:rPr>
        <w:t>T</w:t>
      </w:r>
      <w:r w:rsidR="00F35988" w:rsidRPr="00BA5FD4">
        <w:rPr>
          <w:rFonts w:ascii="Times New Roman" w:hAnsi="Times New Roman" w:cs="TimesNewRomanPS-BoldMT"/>
        </w:rPr>
        <w:t>he PSE and AVISTA</w:t>
      </w:r>
      <w:r w:rsidR="00F35988" w:rsidRPr="00BA5FD4">
        <w:rPr>
          <w:rFonts w:ascii="Times New Roman" w:hAnsi="Times New Roman"/>
        </w:rPr>
        <w:t xml:space="preserve"> programs</w:t>
      </w:r>
      <w:r w:rsidR="002C3117" w:rsidRPr="00BA5FD4">
        <w:rPr>
          <w:rFonts w:ascii="Times New Roman" w:hAnsi="Times New Roman"/>
        </w:rPr>
        <w:t xml:space="preserve"> by contrast,</w:t>
      </w:r>
      <w:r w:rsidR="00F35988" w:rsidRPr="00BA5FD4">
        <w:rPr>
          <w:rFonts w:ascii="Times New Roman" w:hAnsi="Times New Roman"/>
        </w:rPr>
        <w:t xml:space="preserve"> base the benefit level on the annual bill and a participant can apply and receive the benefit for a longer time of the year.</w:t>
      </w:r>
      <w:r w:rsidR="008E4F19" w:rsidRPr="00BA5FD4">
        <w:rPr>
          <w:rStyle w:val="FootnoteReference"/>
          <w:rFonts w:ascii="Times New Roman" w:hAnsi="Times New Roman"/>
        </w:rPr>
        <w:footnoteReference w:id="9"/>
      </w:r>
    </w:p>
    <w:p w:rsidR="00267514" w:rsidRPr="00BA5FD4" w:rsidRDefault="00C76BFF" w:rsidP="00623155">
      <w:pPr>
        <w:autoSpaceDE w:val="0"/>
        <w:autoSpaceDN w:val="0"/>
        <w:adjustRightInd w:val="0"/>
        <w:spacing w:line="480" w:lineRule="auto"/>
        <w:rPr>
          <w:rFonts w:ascii="Times New Roman" w:hAnsi="Times New Roman" w:cs="TimesNewRomanPS-BoldMT"/>
        </w:rPr>
      </w:pPr>
      <w:r w:rsidRPr="00BA5FD4">
        <w:rPr>
          <w:rFonts w:ascii="Times New Roman" w:hAnsi="Times New Roman" w:cs="TimesNewRomanPS-BoldMT"/>
        </w:rPr>
        <w:tab/>
        <w:t xml:space="preserve">Staff witness Thomas </w:t>
      </w:r>
      <w:proofErr w:type="spellStart"/>
      <w:r w:rsidRPr="00BA5FD4">
        <w:rPr>
          <w:rFonts w:ascii="Times New Roman" w:hAnsi="Times New Roman" w:cs="TimesNewRomanPS-BoldMT"/>
        </w:rPr>
        <w:t>Schooley</w:t>
      </w:r>
      <w:proofErr w:type="spellEnd"/>
      <w:r w:rsidRPr="00BA5FD4">
        <w:rPr>
          <w:rFonts w:ascii="Times New Roman" w:hAnsi="Times New Roman" w:cs="TimesNewRomanPS-BoldMT"/>
        </w:rPr>
        <w:t xml:space="preserve"> admitted that PPL customers receive lower bill assistance than qualifying PSE or AVISTA customers, but puts a positive spin on this testifying: </w:t>
      </w:r>
      <w:r w:rsidRPr="00BA5FD4">
        <w:rPr>
          <w:rFonts w:ascii="Times New Roman" w:hAnsi="Times New Roman"/>
        </w:rPr>
        <w:t>“</w:t>
      </w:r>
      <w:r w:rsidRPr="00BA5FD4">
        <w:rPr>
          <w:rFonts w:ascii="Times New Roman" w:eastAsia="Calibri" w:hAnsi="Times New Roman" w:cs="Times New Roman"/>
        </w:rPr>
        <w:t>It is evident that PacifiCorp’s customers incur a lower “tax” for low income assistance than the other electric utilities.</w:t>
      </w:r>
      <w:r w:rsidRPr="00BA5FD4">
        <w:rPr>
          <w:rFonts w:ascii="Times New Roman" w:hAnsi="Times New Roman"/>
        </w:rPr>
        <w:t>”</w:t>
      </w:r>
      <w:r w:rsidRPr="00BA5FD4">
        <w:rPr>
          <w:rStyle w:val="FootnoteReference"/>
          <w:rFonts w:ascii="Times New Roman" w:hAnsi="Times New Roman"/>
        </w:rPr>
        <w:footnoteReference w:id="10"/>
      </w:r>
      <w:r w:rsidRPr="00BA5FD4">
        <w:rPr>
          <w:rFonts w:ascii="Times New Roman" w:hAnsi="Times New Roman"/>
        </w:rPr>
        <w:t xml:space="preserve"> Mr. </w:t>
      </w:r>
      <w:proofErr w:type="spellStart"/>
      <w:r w:rsidRPr="00BA5FD4">
        <w:rPr>
          <w:rFonts w:ascii="Times New Roman" w:hAnsi="Times New Roman"/>
        </w:rPr>
        <w:t>Schooley</w:t>
      </w:r>
      <w:proofErr w:type="spellEnd"/>
      <w:r w:rsidRPr="00BA5FD4">
        <w:rPr>
          <w:rFonts w:ascii="Times New Roman" w:hAnsi="Times New Roman"/>
        </w:rPr>
        <w:t xml:space="preserve"> characterizes the overall effect </w:t>
      </w:r>
      <w:r w:rsidR="00B13EE3" w:rsidRPr="00BA5FD4">
        <w:rPr>
          <w:rFonts w:ascii="Times New Roman" w:hAnsi="Times New Roman"/>
        </w:rPr>
        <w:t>of</w:t>
      </w:r>
      <w:r w:rsidRPr="00BA5FD4">
        <w:rPr>
          <w:rFonts w:ascii="Times New Roman" w:hAnsi="Times New Roman"/>
        </w:rPr>
        <w:t xml:space="preserve"> PPL’s proposed funding increase to its LIBA program compared to PSE and AVISTA as bringing PPL a “smidgeon closer” to PSE and AVISTA.</w:t>
      </w:r>
      <w:r w:rsidRPr="00BA5FD4">
        <w:rPr>
          <w:rStyle w:val="FootnoteReference"/>
          <w:rFonts w:ascii="Times New Roman" w:hAnsi="Times New Roman"/>
        </w:rPr>
        <w:footnoteReference w:id="11"/>
      </w:r>
      <w:r w:rsidRPr="00BA5FD4">
        <w:rPr>
          <w:rFonts w:ascii="Times New Roman" w:hAnsi="Times New Roman"/>
        </w:rPr>
        <w:t xml:space="preserve">  </w:t>
      </w:r>
      <w:r w:rsidRPr="00BA5FD4">
        <w:rPr>
          <w:rFonts w:ascii="Times New Roman" w:hAnsi="Times New Roman" w:cs="TimesNewRomanPS-BoldMT"/>
        </w:rPr>
        <w:t xml:space="preserve">Mr. </w:t>
      </w:r>
      <w:proofErr w:type="spellStart"/>
      <w:r w:rsidRPr="00BA5FD4">
        <w:rPr>
          <w:rFonts w:ascii="Times New Roman" w:hAnsi="Times New Roman" w:cs="TimesNewRomanPS-BoldMT"/>
        </w:rPr>
        <w:t>Schooley</w:t>
      </w:r>
      <w:proofErr w:type="spellEnd"/>
      <w:r w:rsidRPr="00BA5FD4">
        <w:rPr>
          <w:rFonts w:ascii="Times New Roman" w:hAnsi="Times New Roman" w:cs="TimesNewRomanPS-BoldMT"/>
        </w:rPr>
        <w:t xml:space="preserve"> does not recognize the benefits that LIBA provides to all of PPL’s customers</w:t>
      </w:r>
      <w:r w:rsidR="00B13EE3" w:rsidRPr="00BA5FD4">
        <w:rPr>
          <w:rFonts w:ascii="Times New Roman" w:hAnsi="Times New Roman" w:cs="TimesNewRomanPS-BoldMT"/>
        </w:rPr>
        <w:t xml:space="preserve"> (for example, helping customers stay more timely in paying their electric bills, help keep them from being disconnected due to inability to pay, etc.)</w:t>
      </w:r>
      <w:r w:rsidRPr="00BA5FD4">
        <w:rPr>
          <w:rFonts w:ascii="Times New Roman" w:hAnsi="Times New Roman" w:cs="TimesNewRomanPS-BoldMT"/>
        </w:rPr>
        <w:t>, let alone attempt to quantify those benefits in order to offset them against the LIBA surcharge collected through Schedule 91.</w:t>
      </w:r>
    </w:p>
    <w:p w:rsidR="00AD6DD1" w:rsidRPr="00BA5FD4" w:rsidRDefault="00267514" w:rsidP="00B46ACF">
      <w:pPr>
        <w:autoSpaceDE w:val="0"/>
        <w:autoSpaceDN w:val="0"/>
        <w:adjustRightInd w:val="0"/>
        <w:spacing w:line="480" w:lineRule="auto"/>
        <w:ind w:right="-720"/>
        <w:rPr>
          <w:rFonts w:ascii="Times New Roman" w:hAnsi="Times New Roman"/>
        </w:rPr>
      </w:pPr>
      <w:r w:rsidRPr="00BA5FD4">
        <w:rPr>
          <w:rFonts w:ascii="Times New Roman" w:hAnsi="Times New Roman" w:cs="TimesNewRomanPS-BoldMT"/>
        </w:rPr>
        <w:tab/>
        <w:t xml:space="preserve">To be clear, the Energy Project agrees with one aspect of Staff’s recommendation regarding the proposal to increase LIBA funding by 21% </w:t>
      </w:r>
      <w:r w:rsidRPr="00BA5FD4">
        <w:rPr>
          <w:rFonts w:ascii="Times New Roman" w:hAnsi="Times New Roman" w:cs="TimesNewRomanPS-BoldMT"/>
          <w:u w:val="single"/>
        </w:rPr>
        <w:t>regardless of wh</w:t>
      </w:r>
      <w:r w:rsidR="00E156BC" w:rsidRPr="00BA5FD4">
        <w:rPr>
          <w:rFonts w:ascii="Times New Roman" w:hAnsi="Times New Roman" w:cs="TimesNewRomanPS-BoldMT"/>
          <w:u w:val="single"/>
        </w:rPr>
        <w:t>ether a lower rate increase is ultimately granted wither system-wide or for the residential class</w:t>
      </w:r>
      <w:r w:rsidRPr="00BA5FD4">
        <w:rPr>
          <w:rFonts w:ascii="Times New Roman" w:hAnsi="Times New Roman" w:cs="TimesNewRomanPS-BoldMT"/>
          <w:u w:val="single"/>
        </w:rPr>
        <w:t>.</w:t>
      </w:r>
      <w:r w:rsidRPr="00BA5FD4">
        <w:rPr>
          <w:rFonts w:ascii="Times New Roman" w:hAnsi="Times New Roman" w:cs="TimesNewRomanPS-BoldMT"/>
        </w:rPr>
        <w:t xml:space="preserve">  As will be demonstrated throughout this brief, Staff proposes changes to PPL’s LIBA program that will cause disruption to the LIBA certification process performed by the Co</w:t>
      </w:r>
      <w:r w:rsidR="00B13EE3" w:rsidRPr="00BA5FD4">
        <w:rPr>
          <w:rFonts w:ascii="Times New Roman" w:hAnsi="Times New Roman" w:cs="TimesNewRomanPS-BoldMT"/>
        </w:rPr>
        <w:t>mmunity Action Agencies (CAAs) who</w:t>
      </w:r>
      <w:r w:rsidRPr="00BA5FD4">
        <w:rPr>
          <w:rFonts w:ascii="Times New Roman" w:hAnsi="Times New Roman" w:cs="TimesNewRomanPS-BoldMT"/>
        </w:rPr>
        <w:t xml:space="preserve"> implement LIBA.  Staff also proposes changes to LIBA that, by Staff’s own admission, will result in revenue shortfalls for the CAAs implementing LIBA.  The purpose of emphasizing Staff’s apparent distaste for LIBA is to highlight the </w:t>
      </w:r>
      <w:r w:rsidRPr="00BA5FD4">
        <w:rPr>
          <w:rFonts w:ascii="Times New Roman" w:hAnsi="Times New Roman" w:cs="TimesNewRomanPS-BoldMT"/>
        </w:rPr>
        <w:lastRenderedPageBreak/>
        <w:t xml:space="preserve">untenable nature of Staff’s recommendations, one of which will require the CAAs to certify more LIBA participants than it currently is with relatively less money to cover its costs.  The solution that Staff offers is for the agencies to initiate a future proceeding seeking to increase the amount of money it is paid to implement (administer) LIBA.  </w:t>
      </w:r>
    </w:p>
    <w:p w:rsidR="00F35988" w:rsidRPr="00BA5FD4" w:rsidRDefault="00F35988" w:rsidP="00B46ACF">
      <w:pPr>
        <w:autoSpaceDE w:val="0"/>
        <w:autoSpaceDN w:val="0"/>
        <w:adjustRightInd w:val="0"/>
        <w:spacing w:line="480" w:lineRule="auto"/>
        <w:ind w:right="-720"/>
        <w:rPr>
          <w:rFonts w:ascii="Times New Roman" w:hAnsi="Times New Roman"/>
        </w:rPr>
      </w:pPr>
      <w:r w:rsidRPr="00BA5FD4">
        <w:rPr>
          <w:rFonts w:ascii="Times New Roman" w:hAnsi="Times New Roman"/>
        </w:rPr>
        <w:tab/>
        <w:t xml:space="preserve">Notwithstanding whatever philosophical objections Staff might have to LIBA, Mr. </w:t>
      </w:r>
      <w:proofErr w:type="spellStart"/>
      <w:r w:rsidRPr="00BA5FD4">
        <w:rPr>
          <w:rFonts w:ascii="Times New Roman" w:hAnsi="Times New Roman"/>
        </w:rPr>
        <w:t>Schooley</w:t>
      </w:r>
      <w:proofErr w:type="spellEnd"/>
      <w:r w:rsidRPr="00BA5FD4">
        <w:rPr>
          <w:rFonts w:ascii="Times New Roman" w:hAnsi="Times New Roman"/>
        </w:rPr>
        <w:t xml:space="preserve"> agreed that </w:t>
      </w:r>
      <w:r w:rsidR="003315E6" w:rsidRPr="00BA5FD4">
        <w:rPr>
          <w:rFonts w:ascii="Times New Roman" w:hAnsi="Times New Roman"/>
        </w:rPr>
        <w:t>LIBA funding should be increased by 21% as proposed by the Company, “</w:t>
      </w:r>
      <w:r w:rsidRPr="00BA5FD4">
        <w:rPr>
          <w:rFonts w:ascii="Times New Roman" w:hAnsi="Times New Roman"/>
        </w:rPr>
        <w:t xml:space="preserve">regardless of the </w:t>
      </w:r>
      <w:r w:rsidR="003315E6" w:rsidRPr="00BA5FD4">
        <w:rPr>
          <w:rFonts w:ascii="Times New Roman" w:hAnsi="Times New Roman"/>
        </w:rPr>
        <w:t>level of revenues granted.”</w:t>
      </w:r>
      <w:r w:rsidR="003315E6" w:rsidRPr="00BA5FD4">
        <w:rPr>
          <w:rStyle w:val="FootnoteReference"/>
          <w:rFonts w:ascii="Times New Roman" w:hAnsi="Times New Roman"/>
        </w:rPr>
        <w:footnoteReference w:id="12"/>
      </w:r>
      <w:r w:rsidR="003315E6" w:rsidRPr="00BA5FD4">
        <w:rPr>
          <w:rFonts w:ascii="Times New Roman" w:hAnsi="Times New Roman"/>
        </w:rPr>
        <w:t xml:space="preserve"> </w:t>
      </w:r>
    </w:p>
    <w:p w:rsidR="00E877E3" w:rsidRPr="00BA5FD4" w:rsidRDefault="00E877E3" w:rsidP="00B46ACF">
      <w:pPr>
        <w:autoSpaceDE w:val="0"/>
        <w:autoSpaceDN w:val="0"/>
        <w:adjustRightInd w:val="0"/>
        <w:spacing w:line="480" w:lineRule="auto"/>
        <w:ind w:right="-720"/>
        <w:rPr>
          <w:rFonts w:ascii="Times New Roman" w:hAnsi="Times New Roman"/>
        </w:rPr>
      </w:pPr>
      <w:r w:rsidRPr="00BA5FD4">
        <w:rPr>
          <w:rFonts w:ascii="Times New Roman" w:hAnsi="Times New Roman"/>
        </w:rPr>
        <w:tab/>
      </w:r>
      <w:r w:rsidRPr="00BA5FD4">
        <w:rPr>
          <w:rFonts w:ascii="Times New Roman" w:hAnsi="Times New Roman" w:cs="Times New Roman"/>
        </w:rPr>
        <w:t xml:space="preserve">Though the Company’s initial application and supporting testimony and exhibits did not state whether the increase to LIBA funding would be affected by the amount of revenue requirement ultimately granted by the Commission, witness </w:t>
      </w:r>
      <w:proofErr w:type="spellStart"/>
      <w:r w:rsidRPr="00BA5FD4">
        <w:rPr>
          <w:rFonts w:ascii="Times New Roman" w:hAnsi="Times New Roman" w:cs="Times New Roman"/>
        </w:rPr>
        <w:t>Eberle</w:t>
      </w:r>
      <w:proofErr w:type="spellEnd"/>
      <w:r w:rsidRPr="00BA5FD4">
        <w:rPr>
          <w:rFonts w:ascii="Times New Roman" w:hAnsi="Times New Roman" w:cs="Times New Roman"/>
        </w:rPr>
        <w:t xml:space="preserve"> clarified on cross-examination that PPL would accept Mr. </w:t>
      </w:r>
      <w:proofErr w:type="spellStart"/>
      <w:r w:rsidRPr="00BA5FD4">
        <w:rPr>
          <w:rFonts w:ascii="Times New Roman" w:hAnsi="Times New Roman" w:cs="Times New Roman"/>
        </w:rPr>
        <w:t>Schooley’s</w:t>
      </w:r>
      <w:proofErr w:type="spellEnd"/>
      <w:r w:rsidRPr="00BA5FD4">
        <w:rPr>
          <w:rFonts w:ascii="Times New Roman" w:hAnsi="Times New Roman" w:cs="Times New Roman"/>
        </w:rPr>
        <w:t xml:space="preserve"> proposal that LIBA be increased by 21% regardless of whatever rate increase is ultimately awarded.</w:t>
      </w:r>
      <w:r w:rsidRPr="00BA5FD4">
        <w:rPr>
          <w:rStyle w:val="FootnoteReference"/>
          <w:rFonts w:ascii="Times New Roman" w:hAnsi="Times New Roman" w:cs="Times New Roman"/>
        </w:rPr>
        <w:footnoteReference w:id="13"/>
      </w:r>
      <w:r w:rsidR="0087767B" w:rsidRPr="00BA5FD4">
        <w:rPr>
          <w:rFonts w:ascii="Times New Roman" w:hAnsi="Times New Roman" w:cs="Times New Roman"/>
        </w:rPr>
        <w:t xml:space="preserve">  This was also confirmed by </w:t>
      </w:r>
      <w:r w:rsidR="007C5F6E" w:rsidRPr="00BA5FD4">
        <w:rPr>
          <w:rFonts w:ascii="Times New Roman" w:hAnsi="Times New Roman" w:cs="Times New Roman"/>
        </w:rPr>
        <w:t>Company witness</w:t>
      </w:r>
      <w:r w:rsidR="0087767B" w:rsidRPr="00BA5FD4">
        <w:rPr>
          <w:rFonts w:ascii="Times New Roman" w:hAnsi="Times New Roman" w:cs="Times New Roman"/>
        </w:rPr>
        <w:t xml:space="preserve"> Griffith during cross-examination.</w:t>
      </w:r>
      <w:r w:rsidR="0087767B" w:rsidRPr="00BA5FD4">
        <w:rPr>
          <w:rStyle w:val="FootnoteReference"/>
          <w:rFonts w:ascii="Times New Roman" w:hAnsi="Times New Roman" w:cs="Times New Roman"/>
        </w:rPr>
        <w:footnoteReference w:id="14"/>
      </w:r>
    </w:p>
    <w:p w:rsidR="00214FA1" w:rsidRPr="00BA5FD4" w:rsidRDefault="00214FA1" w:rsidP="00B46ACF">
      <w:pPr>
        <w:autoSpaceDE w:val="0"/>
        <w:autoSpaceDN w:val="0"/>
        <w:adjustRightInd w:val="0"/>
        <w:spacing w:line="480" w:lineRule="auto"/>
        <w:ind w:right="-720"/>
        <w:rPr>
          <w:rFonts w:ascii="Times New Roman" w:hAnsi="Times New Roman"/>
          <w:b/>
        </w:rPr>
      </w:pPr>
      <w:r w:rsidRPr="00BA5FD4">
        <w:rPr>
          <w:rFonts w:ascii="Times New Roman" w:hAnsi="Times New Roman"/>
          <w:b/>
        </w:rPr>
        <w:t>2.</w:t>
      </w:r>
      <w:r w:rsidRPr="00BA5FD4">
        <w:rPr>
          <w:rFonts w:ascii="Times New Roman" w:hAnsi="Times New Roman"/>
          <w:b/>
        </w:rPr>
        <w:tab/>
        <w:t>Other LIBA Issues</w:t>
      </w:r>
    </w:p>
    <w:p w:rsidR="00214FA1" w:rsidRPr="00BA5FD4" w:rsidRDefault="00214FA1" w:rsidP="00B46ACF">
      <w:pPr>
        <w:autoSpaceDE w:val="0"/>
        <w:autoSpaceDN w:val="0"/>
        <w:adjustRightInd w:val="0"/>
        <w:spacing w:line="480" w:lineRule="auto"/>
        <w:ind w:right="-720"/>
        <w:rPr>
          <w:rFonts w:ascii="Times New Roman" w:hAnsi="Times New Roman"/>
          <w:b/>
        </w:rPr>
      </w:pPr>
      <w:r w:rsidRPr="00BA5FD4">
        <w:rPr>
          <w:rFonts w:ascii="Times New Roman" w:hAnsi="Times New Roman"/>
          <w:b/>
        </w:rPr>
        <w:tab/>
        <w:t>A.</w:t>
      </w:r>
      <w:r w:rsidRPr="00BA5FD4">
        <w:rPr>
          <w:rFonts w:ascii="Times New Roman" w:hAnsi="Times New Roman"/>
          <w:b/>
        </w:rPr>
        <w:tab/>
        <w:t>Serving Additional Customers</w:t>
      </w:r>
    </w:p>
    <w:p w:rsidR="00121293" w:rsidRPr="00BA5FD4" w:rsidRDefault="00121293" w:rsidP="00823773">
      <w:pPr>
        <w:autoSpaceDE w:val="0"/>
        <w:autoSpaceDN w:val="0"/>
        <w:adjustRightInd w:val="0"/>
        <w:spacing w:line="480" w:lineRule="auto"/>
        <w:ind w:right="-720"/>
        <w:rPr>
          <w:rFonts w:ascii="Times New Roman" w:hAnsi="Times New Roman"/>
        </w:rPr>
      </w:pPr>
      <w:r w:rsidRPr="00BA5FD4">
        <w:rPr>
          <w:rFonts w:ascii="Times New Roman" w:hAnsi="Times New Roman"/>
        </w:rPr>
        <w:tab/>
        <w:t xml:space="preserve">The Energy Project objects to PPL’s proposal that 30% of LIBA funding be dedicated to serving additional customers.  Mr. </w:t>
      </w:r>
      <w:proofErr w:type="spellStart"/>
      <w:r w:rsidRPr="00BA5FD4">
        <w:rPr>
          <w:rFonts w:ascii="Times New Roman" w:hAnsi="Times New Roman"/>
        </w:rPr>
        <w:t>Eberdt’s</w:t>
      </w:r>
      <w:proofErr w:type="spellEnd"/>
      <w:r w:rsidRPr="00BA5FD4">
        <w:rPr>
          <w:rFonts w:ascii="Times New Roman" w:hAnsi="Times New Roman"/>
        </w:rPr>
        <w:t xml:space="preserve"> testimony contains a reasoned explanation why this</w:t>
      </w:r>
      <w:r w:rsidR="000A791A" w:rsidRPr="00BA5FD4">
        <w:rPr>
          <w:rFonts w:ascii="Times New Roman" w:hAnsi="Times New Roman"/>
        </w:rPr>
        <w:t xml:space="preserve"> proposal</w:t>
      </w:r>
      <w:r w:rsidRPr="00BA5FD4">
        <w:rPr>
          <w:rFonts w:ascii="Times New Roman" w:hAnsi="Times New Roman"/>
        </w:rPr>
        <w:t xml:space="preserve"> is not</w:t>
      </w:r>
      <w:r w:rsidR="002F647B" w:rsidRPr="00BA5FD4">
        <w:rPr>
          <w:rFonts w:ascii="Times New Roman" w:hAnsi="Times New Roman"/>
        </w:rPr>
        <w:t xml:space="preserve"> in the best interests of t</w:t>
      </w:r>
      <w:r w:rsidRPr="00BA5FD4">
        <w:rPr>
          <w:rFonts w:ascii="Times New Roman" w:hAnsi="Times New Roman"/>
        </w:rPr>
        <w:t>he CAAs</w:t>
      </w:r>
      <w:r w:rsidR="002F647B" w:rsidRPr="00BA5FD4">
        <w:rPr>
          <w:rFonts w:ascii="Times New Roman" w:hAnsi="Times New Roman"/>
        </w:rPr>
        <w:t xml:space="preserve"> and the low-income customers they assist</w:t>
      </w:r>
      <w:r w:rsidRPr="00BA5FD4">
        <w:rPr>
          <w:rFonts w:ascii="Times New Roman" w:hAnsi="Times New Roman"/>
        </w:rPr>
        <w:t xml:space="preserve">.  </w:t>
      </w:r>
      <w:r w:rsidR="000A791A" w:rsidRPr="00BA5FD4">
        <w:rPr>
          <w:rFonts w:ascii="Times New Roman" w:hAnsi="Times New Roman"/>
        </w:rPr>
        <w:t>Under more ideal circumstances, such as i</w:t>
      </w:r>
      <w:r w:rsidRPr="00BA5FD4">
        <w:rPr>
          <w:rFonts w:ascii="Times New Roman" w:hAnsi="Times New Roman"/>
        </w:rPr>
        <w:t>f</w:t>
      </w:r>
      <w:r w:rsidR="000A791A" w:rsidRPr="00BA5FD4">
        <w:rPr>
          <w:rFonts w:ascii="Times New Roman" w:hAnsi="Times New Roman"/>
        </w:rPr>
        <w:t xml:space="preserve"> PPL’s</w:t>
      </w:r>
      <w:r w:rsidRPr="00BA5FD4">
        <w:rPr>
          <w:rFonts w:ascii="Times New Roman" w:hAnsi="Times New Roman"/>
        </w:rPr>
        <w:t xml:space="preserve"> LIBA funding w</w:t>
      </w:r>
      <w:r w:rsidR="000A791A" w:rsidRPr="00BA5FD4">
        <w:rPr>
          <w:rFonts w:ascii="Times New Roman" w:hAnsi="Times New Roman"/>
        </w:rPr>
        <w:t>as</w:t>
      </w:r>
      <w:r w:rsidRPr="00BA5FD4">
        <w:rPr>
          <w:rFonts w:ascii="Times New Roman" w:hAnsi="Times New Roman"/>
        </w:rPr>
        <w:t xml:space="preserve"> significantly higher than it is, the prospect of serving additional customers might very well become desirable.  Under the circumstances extant at this time, </w:t>
      </w:r>
      <w:r w:rsidR="000A791A" w:rsidRPr="00BA5FD4">
        <w:rPr>
          <w:rFonts w:ascii="Times New Roman" w:hAnsi="Times New Roman"/>
        </w:rPr>
        <w:t>however, this condition</w:t>
      </w:r>
      <w:r w:rsidRPr="00BA5FD4">
        <w:rPr>
          <w:rFonts w:ascii="Times New Roman" w:hAnsi="Times New Roman"/>
        </w:rPr>
        <w:t xml:space="preserve"> poses several problems.  PPL’s LIBA funding is far from adequate to meet the </w:t>
      </w:r>
      <w:r w:rsidRPr="00BA5FD4">
        <w:rPr>
          <w:rFonts w:ascii="Times New Roman" w:hAnsi="Times New Roman"/>
        </w:rPr>
        <w:lastRenderedPageBreak/>
        <w:t>existing need</w:t>
      </w:r>
      <w:r w:rsidR="000A791A" w:rsidRPr="00BA5FD4">
        <w:rPr>
          <w:rFonts w:ascii="Times New Roman" w:hAnsi="Times New Roman"/>
        </w:rPr>
        <w:t xml:space="preserve"> of the Company’s qualifying low-income customers</w:t>
      </w:r>
      <w:r w:rsidRPr="00BA5FD4">
        <w:rPr>
          <w:rFonts w:ascii="Times New Roman" w:hAnsi="Times New Roman"/>
        </w:rPr>
        <w:t>.  In its past few general rate cases</w:t>
      </w:r>
      <w:r w:rsidR="00D43965" w:rsidRPr="00BA5FD4">
        <w:rPr>
          <w:rFonts w:ascii="Times New Roman" w:hAnsi="Times New Roman"/>
        </w:rPr>
        <w:t>,</w:t>
      </w:r>
      <w:r w:rsidRPr="00BA5FD4">
        <w:rPr>
          <w:rFonts w:ascii="Times New Roman" w:hAnsi="Times New Roman"/>
        </w:rPr>
        <w:t xml:space="preserve"> PPL has </w:t>
      </w:r>
      <w:r w:rsidR="000A791A" w:rsidRPr="00BA5FD4">
        <w:rPr>
          <w:rFonts w:ascii="Times New Roman" w:hAnsi="Times New Roman"/>
        </w:rPr>
        <w:t>essentially just proposed increasing</w:t>
      </w:r>
      <w:r w:rsidRPr="00BA5FD4">
        <w:rPr>
          <w:rFonts w:ascii="Times New Roman" w:hAnsi="Times New Roman"/>
        </w:rPr>
        <w:t xml:space="preserve"> LIBA funding</w:t>
      </w:r>
      <w:r w:rsidR="000A791A" w:rsidRPr="00BA5FD4">
        <w:rPr>
          <w:rFonts w:ascii="Times New Roman" w:hAnsi="Times New Roman"/>
        </w:rPr>
        <w:t xml:space="preserve"> to </w:t>
      </w:r>
      <w:r w:rsidRPr="00BA5FD4">
        <w:rPr>
          <w:rFonts w:ascii="Times New Roman" w:hAnsi="Times New Roman"/>
        </w:rPr>
        <w:t>more or less offset the</w:t>
      </w:r>
      <w:r w:rsidR="000A791A" w:rsidRPr="00BA5FD4">
        <w:rPr>
          <w:rFonts w:ascii="Times New Roman" w:hAnsi="Times New Roman"/>
        </w:rPr>
        <w:t xml:space="preserve"> amount of the</w:t>
      </w:r>
      <w:r w:rsidRPr="00BA5FD4">
        <w:rPr>
          <w:rFonts w:ascii="Times New Roman" w:hAnsi="Times New Roman"/>
        </w:rPr>
        <w:t xml:space="preserve"> rate increase proposed.  Because</w:t>
      </w:r>
      <w:r w:rsidR="000A791A" w:rsidRPr="00BA5FD4">
        <w:rPr>
          <w:rFonts w:ascii="Times New Roman" w:hAnsi="Times New Roman"/>
        </w:rPr>
        <w:t>, for many reasons,</w:t>
      </w:r>
      <w:r w:rsidRPr="00BA5FD4">
        <w:rPr>
          <w:rFonts w:ascii="Times New Roman" w:hAnsi="Times New Roman"/>
        </w:rPr>
        <w:t xml:space="preserve"> not all low-income customers receive the LIBA discount, the Company’s low-income customers are worse off </w:t>
      </w:r>
      <w:r w:rsidR="000A791A" w:rsidRPr="00BA5FD4">
        <w:rPr>
          <w:rFonts w:ascii="Times New Roman" w:hAnsi="Times New Roman"/>
        </w:rPr>
        <w:t xml:space="preserve">on the whole </w:t>
      </w:r>
      <w:r w:rsidRPr="00BA5FD4">
        <w:rPr>
          <w:rFonts w:ascii="Times New Roman" w:hAnsi="Times New Roman"/>
        </w:rPr>
        <w:t>every time the Company’s rates are increased.</w:t>
      </w:r>
    </w:p>
    <w:p w:rsidR="00121293" w:rsidRPr="00BA5FD4" w:rsidRDefault="00121293" w:rsidP="00823773">
      <w:pPr>
        <w:autoSpaceDE w:val="0"/>
        <w:autoSpaceDN w:val="0"/>
        <w:adjustRightInd w:val="0"/>
        <w:spacing w:line="480" w:lineRule="auto"/>
        <w:ind w:right="-720"/>
        <w:rPr>
          <w:rFonts w:ascii="Times New Roman" w:hAnsi="Times New Roman"/>
        </w:rPr>
      </w:pPr>
      <w:r w:rsidRPr="00BA5FD4">
        <w:rPr>
          <w:rFonts w:ascii="Times New Roman" w:hAnsi="Times New Roman"/>
        </w:rPr>
        <w:tab/>
        <w:t xml:space="preserve">As Mr. </w:t>
      </w:r>
      <w:proofErr w:type="spellStart"/>
      <w:r w:rsidRPr="00BA5FD4">
        <w:rPr>
          <w:rFonts w:ascii="Times New Roman" w:hAnsi="Times New Roman"/>
        </w:rPr>
        <w:t>Eberdt</w:t>
      </w:r>
      <w:proofErr w:type="spellEnd"/>
      <w:r w:rsidRPr="00BA5FD4">
        <w:rPr>
          <w:rFonts w:ascii="Times New Roman" w:hAnsi="Times New Roman"/>
        </w:rPr>
        <w:t xml:space="preserve"> explained, requiring the agencies to serve additional customers rather than increase the amount of the discount currently </w:t>
      </w:r>
      <w:proofErr w:type="gramStart"/>
      <w:r w:rsidRPr="00BA5FD4">
        <w:rPr>
          <w:rFonts w:ascii="Times New Roman" w:hAnsi="Times New Roman"/>
        </w:rPr>
        <w:t>available,</w:t>
      </w:r>
      <w:proofErr w:type="gramEnd"/>
      <w:r w:rsidRPr="00BA5FD4">
        <w:rPr>
          <w:rFonts w:ascii="Times New Roman" w:hAnsi="Times New Roman"/>
        </w:rPr>
        <w:t xml:space="preserve"> hampers their ability to make a significant difference to any given customer and to tailor LIBA discounts in a manner that is best for low-income customers on the whole.</w:t>
      </w:r>
    </w:p>
    <w:p w:rsidR="000C181C" w:rsidRPr="00BA5FD4" w:rsidRDefault="00121293" w:rsidP="00823773">
      <w:pPr>
        <w:autoSpaceDE w:val="0"/>
        <w:autoSpaceDN w:val="0"/>
        <w:adjustRightInd w:val="0"/>
        <w:spacing w:line="480" w:lineRule="auto"/>
        <w:ind w:right="-720"/>
        <w:rPr>
          <w:rFonts w:ascii="Times New Roman" w:hAnsi="Times New Roman"/>
        </w:rPr>
      </w:pPr>
      <w:r w:rsidRPr="00BA5FD4">
        <w:rPr>
          <w:rFonts w:ascii="Times New Roman" w:hAnsi="Times New Roman"/>
        </w:rPr>
        <w:tab/>
        <w:t xml:space="preserve">Next, as even Staff conceded, requiring the agencies to serve more customers will require a “substantial” increase in LIBA funding, more than proposed in this case.  </w:t>
      </w:r>
      <w:r w:rsidR="000C181C" w:rsidRPr="00BA5FD4">
        <w:rPr>
          <w:rFonts w:ascii="Times New Roman" w:hAnsi="Times New Roman"/>
        </w:rPr>
        <w:t xml:space="preserve">Regarding the consequences of every other year LIBA certification, discussed below, Mr. </w:t>
      </w:r>
      <w:proofErr w:type="spellStart"/>
      <w:r w:rsidR="000C181C" w:rsidRPr="00BA5FD4">
        <w:rPr>
          <w:rFonts w:ascii="Times New Roman" w:hAnsi="Times New Roman"/>
        </w:rPr>
        <w:t>Schooley</w:t>
      </w:r>
      <w:proofErr w:type="spellEnd"/>
      <w:r w:rsidR="000C181C" w:rsidRPr="00BA5FD4">
        <w:rPr>
          <w:rFonts w:ascii="Times New Roman" w:hAnsi="Times New Roman"/>
        </w:rPr>
        <w:t xml:space="preserve"> noted that an increase in the number of customers served requires an increase in overall LIBA funding.  He testified that: “If the agencies wish to maintain their income levels, they, and their advocates, have the opportunity to consider significantly increasing the number of participants</w:t>
      </w:r>
      <w:r w:rsidR="00CF430E" w:rsidRPr="00BA5FD4">
        <w:rPr>
          <w:rFonts w:ascii="Times New Roman" w:hAnsi="Times New Roman"/>
        </w:rPr>
        <w:t>.  Of course, this would necessitate a substantial increase in the surcharge [referring to the Schedule 91 LIBA surcharge].</w:t>
      </w:r>
      <w:r w:rsidR="00CF430E" w:rsidRPr="00BA5FD4">
        <w:rPr>
          <w:rStyle w:val="FootnoteReference"/>
          <w:rFonts w:ascii="Times New Roman" w:hAnsi="Times New Roman"/>
        </w:rPr>
        <w:footnoteReference w:id="15"/>
      </w:r>
    </w:p>
    <w:p w:rsidR="00855E46" w:rsidRPr="00BA5FD4" w:rsidRDefault="00CF430E" w:rsidP="00823773">
      <w:pPr>
        <w:autoSpaceDE w:val="0"/>
        <w:autoSpaceDN w:val="0"/>
        <w:adjustRightInd w:val="0"/>
        <w:spacing w:line="480" w:lineRule="auto"/>
        <w:ind w:right="-720"/>
        <w:rPr>
          <w:rFonts w:ascii="Times New Roman" w:hAnsi="Times New Roman"/>
        </w:rPr>
      </w:pPr>
      <w:r w:rsidRPr="00BA5FD4">
        <w:rPr>
          <w:rFonts w:ascii="Times New Roman" w:hAnsi="Times New Roman"/>
        </w:rPr>
        <w:tab/>
      </w:r>
      <w:r w:rsidR="00855E46" w:rsidRPr="00BA5FD4">
        <w:rPr>
          <w:rFonts w:ascii="Times New Roman" w:hAnsi="Times New Roman"/>
        </w:rPr>
        <w:t>As discussed in greater detail below, the CAAs are not currently recovering their LIBA certification costs under the reduced fee of $48 per household they receive.  Thus, they are operating the program at a loss to them and requiring additional customers will simply compound the problem.</w:t>
      </w:r>
    </w:p>
    <w:p w:rsidR="00855E46" w:rsidRPr="00BA5FD4" w:rsidRDefault="00855E46" w:rsidP="00823773">
      <w:pPr>
        <w:autoSpaceDE w:val="0"/>
        <w:autoSpaceDN w:val="0"/>
        <w:adjustRightInd w:val="0"/>
        <w:spacing w:line="480" w:lineRule="auto"/>
        <w:ind w:right="-720"/>
        <w:rPr>
          <w:rFonts w:ascii="Times New Roman" w:hAnsi="Times New Roman"/>
        </w:rPr>
      </w:pPr>
      <w:r w:rsidRPr="00BA5FD4">
        <w:rPr>
          <w:rFonts w:ascii="Times New Roman" w:hAnsi="Times New Roman"/>
        </w:rPr>
        <w:tab/>
        <w:t xml:space="preserve">The agencies would be quite happy to serve every single eligible household under LIBA, but the insufficient amount of overall LIBA funding combined with a certification fee that falls short of actual costs makes serving additional customers impractical until other changes are made.  Also discussed </w:t>
      </w:r>
      <w:r w:rsidRPr="00BA5FD4">
        <w:rPr>
          <w:rFonts w:ascii="Times New Roman" w:hAnsi="Times New Roman"/>
        </w:rPr>
        <w:lastRenderedPageBreak/>
        <w:t>below is the fact that converting to every other year certification</w:t>
      </w:r>
      <w:r w:rsidR="00CF430E" w:rsidRPr="00BA5FD4">
        <w:rPr>
          <w:rFonts w:ascii="Times New Roman" w:hAnsi="Times New Roman"/>
        </w:rPr>
        <w:t xml:space="preserve"> as proposed by PPL and Staff</w:t>
      </w:r>
      <w:r w:rsidRPr="00BA5FD4">
        <w:rPr>
          <w:rFonts w:ascii="Times New Roman" w:hAnsi="Times New Roman"/>
        </w:rPr>
        <w:t xml:space="preserve"> will </w:t>
      </w:r>
      <w:r w:rsidR="00CF430E" w:rsidRPr="00BA5FD4">
        <w:rPr>
          <w:rFonts w:ascii="Times New Roman" w:hAnsi="Times New Roman"/>
        </w:rPr>
        <w:t>further</w:t>
      </w:r>
      <w:r w:rsidR="002F1230" w:rsidRPr="00BA5FD4">
        <w:rPr>
          <w:rFonts w:ascii="Times New Roman" w:hAnsi="Times New Roman"/>
        </w:rPr>
        <w:t xml:space="preserve"> exacerbate the existing problems just </w:t>
      </w:r>
      <w:proofErr w:type="gramStart"/>
      <w:r w:rsidR="002F1230" w:rsidRPr="00BA5FD4">
        <w:rPr>
          <w:rFonts w:ascii="Times New Roman" w:hAnsi="Times New Roman"/>
        </w:rPr>
        <w:t>identified.</w:t>
      </w:r>
      <w:proofErr w:type="gramEnd"/>
    </w:p>
    <w:p w:rsidR="002F1230" w:rsidRPr="00BA5FD4" w:rsidRDefault="002F1230" w:rsidP="00823773">
      <w:pPr>
        <w:autoSpaceDE w:val="0"/>
        <w:autoSpaceDN w:val="0"/>
        <w:adjustRightInd w:val="0"/>
        <w:spacing w:line="480" w:lineRule="auto"/>
        <w:ind w:right="-720"/>
        <w:rPr>
          <w:rFonts w:ascii="Times New Roman" w:hAnsi="Times New Roman"/>
        </w:rPr>
      </w:pPr>
      <w:r w:rsidRPr="00BA5FD4">
        <w:rPr>
          <w:rFonts w:ascii="Times New Roman" w:hAnsi="Times New Roman"/>
        </w:rPr>
        <w:tab/>
        <w:t>The Energy Project believes it important to point out that the Company’s claim that its proposal to serve additional customers is consistent with a “consensus” supposedly received with the agencies during a meeting in Toppenish, Washington last spring</w:t>
      </w:r>
      <w:r w:rsidR="004D2F88" w:rsidRPr="00BA5FD4">
        <w:rPr>
          <w:rFonts w:ascii="Times New Roman" w:hAnsi="Times New Roman"/>
        </w:rPr>
        <w:t xml:space="preserve"> (March 24, 2010)</w:t>
      </w:r>
      <w:r w:rsidRPr="00BA5FD4">
        <w:rPr>
          <w:rFonts w:ascii="Times New Roman" w:hAnsi="Times New Roman"/>
        </w:rPr>
        <w:t xml:space="preserve"> mischaracterizes the facts and</w:t>
      </w:r>
      <w:r w:rsidR="004D2F88" w:rsidRPr="00BA5FD4">
        <w:rPr>
          <w:rFonts w:ascii="Times New Roman" w:hAnsi="Times New Roman"/>
        </w:rPr>
        <w:t>, for a number of reasons,</w:t>
      </w:r>
      <w:r w:rsidRPr="00BA5FD4">
        <w:rPr>
          <w:rFonts w:ascii="Times New Roman" w:hAnsi="Times New Roman"/>
        </w:rPr>
        <w:t xml:space="preserve"> is not</w:t>
      </w:r>
      <w:r w:rsidR="004D2F88" w:rsidRPr="00BA5FD4">
        <w:rPr>
          <w:rFonts w:ascii="Times New Roman" w:hAnsi="Times New Roman"/>
        </w:rPr>
        <w:t xml:space="preserve"> a</w:t>
      </w:r>
      <w:r w:rsidRPr="00BA5FD4">
        <w:rPr>
          <w:rFonts w:ascii="Times New Roman" w:hAnsi="Times New Roman"/>
        </w:rPr>
        <w:t xml:space="preserve"> legitimate</w:t>
      </w:r>
      <w:r w:rsidR="004D2F88" w:rsidRPr="00BA5FD4">
        <w:rPr>
          <w:rFonts w:ascii="Times New Roman" w:hAnsi="Times New Roman"/>
        </w:rPr>
        <w:t xml:space="preserve"> basis for a ruling by the Commission.</w:t>
      </w:r>
    </w:p>
    <w:p w:rsidR="004D2F88" w:rsidRPr="00BA5FD4" w:rsidRDefault="002F1230" w:rsidP="00823773">
      <w:pPr>
        <w:autoSpaceDE w:val="0"/>
        <w:autoSpaceDN w:val="0"/>
        <w:adjustRightInd w:val="0"/>
        <w:spacing w:line="480" w:lineRule="auto"/>
        <w:ind w:right="-720"/>
        <w:rPr>
          <w:rFonts w:ascii="Times New Roman" w:hAnsi="Times New Roman"/>
        </w:rPr>
      </w:pPr>
      <w:r w:rsidRPr="00BA5FD4">
        <w:rPr>
          <w:rFonts w:ascii="Times New Roman" w:hAnsi="Times New Roman"/>
        </w:rPr>
        <w:tab/>
        <w:t xml:space="preserve">First, as Ms. </w:t>
      </w:r>
      <w:proofErr w:type="spellStart"/>
      <w:r w:rsidRPr="00BA5FD4">
        <w:rPr>
          <w:rFonts w:ascii="Times New Roman" w:hAnsi="Times New Roman"/>
        </w:rPr>
        <w:t>Eberle</w:t>
      </w:r>
      <w:proofErr w:type="spellEnd"/>
      <w:r w:rsidRPr="00BA5FD4">
        <w:rPr>
          <w:rFonts w:ascii="Times New Roman" w:hAnsi="Times New Roman"/>
        </w:rPr>
        <w:t xml:space="preserve"> acknowledged, a number of ideas involving possible new programs, or </w:t>
      </w:r>
      <w:proofErr w:type="gramStart"/>
      <w:r w:rsidRPr="00BA5FD4">
        <w:rPr>
          <w:rFonts w:ascii="Times New Roman" w:hAnsi="Times New Roman"/>
        </w:rPr>
        <w:t xml:space="preserve">changes to existing programs, to assist low-income customers </w:t>
      </w:r>
      <w:r w:rsidR="00E33B4C" w:rsidRPr="00BA5FD4">
        <w:rPr>
          <w:rFonts w:ascii="Times New Roman" w:hAnsi="Times New Roman"/>
        </w:rPr>
        <w:t>w</w:t>
      </w:r>
      <w:r w:rsidR="004D2F88" w:rsidRPr="00BA5FD4">
        <w:rPr>
          <w:rFonts w:ascii="Times New Roman" w:hAnsi="Times New Roman"/>
        </w:rPr>
        <w:t>as</w:t>
      </w:r>
      <w:proofErr w:type="gramEnd"/>
      <w:r w:rsidR="00E33B4C" w:rsidRPr="00BA5FD4">
        <w:rPr>
          <w:rFonts w:ascii="Times New Roman" w:hAnsi="Times New Roman"/>
        </w:rPr>
        <w:t xml:space="preserve"> discussed during Toppenish.  PPL has chosen to focus solely on the single idea of serving additional customers </w:t>
      </w:r>
      <w:r w:rsidR="004D2F88" w:rsidRPr="00BA5FD4">
        <w:rPr>
          <w:rFonts w:ascii="Times New Roman" w:hAnsi="Times New Roman"/>
        </w:rPr>
        <w:t xml:space="preserve">on </w:t>
      </w:r>
      <w:r w:rsidR="00E33B4C" w:rsidRPr="00BA5FD4">
        <w:rPr>
          <w:rFonts w:ascii="Times New Roman" w:hAnsi="Times New Roman"/>
        </w:rPr>
        <w:t xml:space="preserve">which Ms. </w:t>
      </w:r>
      <w:proofErr w:type="spellStart"/>
      <w:r w:rsidR="00E33B4C" w:rsidRPr="00BA5FD4">
        <w:rPr>
          <w:rFonts w:ascii="Times New Roman" w:hAnsi="Times New Roman"/>
        </w:rPr>
        <w:t>Eberle</w:t>
      </w:r>
      <w:proofErr w:type="spellEnd"/>
      <w:r w:rsidR="004D2F88" w:rsidRPr="00BA5FD4">
        <w:rPr>
          <w:rFonts w:ascii="Times New Roman" w:hAnsi="Times New Roman"/>
        </w:rPr>
        <w:t xml:space="preserve"> contends a “consensus” was reached at Toppenish and</w:t>
      </w:r>
      <w:r w:rsidR="00E33B4C" w:rsidRPr="00BA5FD4">
        <w:rPr>
          <w:rFonts w:ascii="Times New Roman" w:hAnsi="Times New Roman"/>
        </w:rPr>
        <w:t xml:space="preserve"> was agreed to and supported by a representative of each </w:t>
      </w:r>
      <w:r w:rsidR="004D2F88" w:rsidRPr="00BA5FD4">
        <w:rPr>
          <w:rFonts w:ascii="Times New Roman" w:hAnsi="Times New Roman"/>
        </w:rPr>
        <w:t>of the three Community Action Agencies (CAAs)</w:t>
      </w:r>
      <w:r w:rsidR="00E33B4C" w:rsidRPr="00BA5FD4">
        <w:rPr>
          <w:rFonts w:ascii="Times New Roman" w:hAnsi="Times New Roman"/>
        </w:rPr>
        <w:t xml:space="preserve"> present at the meeting.  </w:t>
      </w:r>
    </w:p>
    <w:p w:rsidR="002F1230" w:rsidRPr="00BA5FD4" w:rsidRDefault="004D2F88" w:rsidP="00823773">
      <w:pPr>
        <w:autoSpaceDE w:val="0"/>
        <w:autoSpaceDN w:val="0"/>
        <w:adjustRightInd w:val="0"/>
        <w:spacing w:line="480" w:lineRule="auto"/>
        <w:ind w:right="-720"/>
        <w:rPr>
          <w:rFonts w:ascii="Times New Roman" w:hAnsi="Times New Roman"/>
        </w:rPr>
      </w:pPr>
      <w:r w:rsidRPr="00BA5FD4">
        <w:rPr>
          <w:rFonts w:ascii="Times New Roman" w:hAnsi="Times New Roman"/>
        </w:rPr>
        <w:tab/>
      </w:r>
      <w:r w:rsidR="00E33B4C" w:rsidRPr="00BA5FD4">
        <w:rPr>
          <w:rFonts w:ascii="Times New Roman" w:hAnsi="Times New Roman"/>
        </w:rPr>
        <w:t xml:space="preserve">As Ms. </w:t>
      </w:r>
      <w:proofErr w:type="spellStart"/>
      <w:r w:rsidR="00E33B4C" w:rsidRPr="00BA5FD4">
        <w:rPr>
          <w:rFonts w:ascii="Times New Roman" w:hAnsi="Times New Roman"/>
        </w:rPr>
        <w:t>Eberle</w:t>
      </w:r>
      <w:proofErr w:type="spellEnd"/>
      <w:r w:rsidR="00E33B4C" w:rsidRPr="00BA5FD4">
        <w:rPr>
          <w:rFonts w:ascii="Times New Roman" w:hAnsi="Times New Roman"/>
        </w:rPr>
        <w:t xml:space="preserve"> admitted during cross-examination, however, there was no stipulation or formal agreement reached at the meeting.  In fact, nothing was ever reduced to writing.  There were no minutes taken, no audio or video recording of the meeting, and no votes tallied regarding any issue whatsoever.</w:t>
      </w:r>
      <w:r w:rsidR="0048681A" w:rsidRPr="00BA5FD4">
        <w:rPr>
          <w:rStyle w:val="FootnoteReference"/>
          <w:rFonts w:ascii="Times New Roman" w:hAnsi="Times New Roman"/>
        </w:rPr>
        <w:footnoteReference w:id="16"/>
      </w:r>
      <w:r w:rsidR="00E33B4C" w:rsidRPr="00BA5FD4">
        <w:rPr>
          <w:rFonts w:ascii="Times New Roman" w:hAnsi="Times New Roman"/>
        </w:rPr>
        <w:t xml:space="preserve">  Ms. </w:t>
      </w:r>
      <w:proofErr w:type="spellStart"/>
      <w:r w:rsidR="00E33B4C" w:rsidRPr="00BA5FD4">
        <w:rPr>
          <w:rFonts w:ascii="Times New Roman" w:hAnsi="Times New Roman"/>
        </w:rPr>
        <w:t>Eberle’s</w:t>
      </w:r>
      <w:proofErr w:type="spellEnd"/>
      <w:r w:rsidR="00E33B4C" w:rsidRPr="00BA5FD4">
        <w:rPr>
          <w:rFonts w:ascii="Times New Roman" w:hAnsi="Times New Roman"/>
        </w:rPr>
        <w:t xml:space="preserve"> contention that the agencies agreed to serve more customers</w:t>
      </w:r>
      <w:r w:rsidR="00D43965" w:rsidRPr="00BA5FD4">
        <w:rPr>
          <w:rFonts w:ascii="Times New Roman" w:hAnsi="Times New Roman"/>
        </w:rPr>
        <w:t xml:space="preserve"> in this program under a 70/30 split of the incremental funding increase</w:t>
      </w:r>
      <w:r w:rsidR="00E33B4C" w:rsidRPr="00BA5FD4">
        <w:rPr>
          <w:rFonts w:ascii="Times New Roman" w:hAnsi="Times New Roman"/>
        </w:rPr>
        <w:t xml:space="preserve"> is based solely on her act of purportedly going around the room and privately speaking with each agency’s representative.</w:t>
      </w:r>
      <w:r w:rsidR="0048681A" w:rsidRPr="00BA5FD4">
        <w:rPr>
          <w:rStyle w:val="FootnoteReference"/>
          <w:rFonts w:ascii="Times New Roman" w:hAnsi="Times New Roman"/>
        </w:rPr>
        <w:footnoteReference w:id="17"/>
      </w:r>
      <w:r w:rsidR="00E33B4C" w:rsidRPr="00BA5FD4">
        <w:rPr>
          <w:rFonts w:ascii="Times New Roman" w:hAnsi="Times New Roman"/>
        </w:rPr>
        <w:t xml:space="preserve">  This is troubling on many levels.</w:t>
      </w:r>
    </w:p>
    <w:p w:rsidR="00786440" w:rsidRPr="00BA5FD4" w:rsidRDefault="00E33B4C" w:rsidP="00823773">
      <w:pPr>
        <w:autoSpaceDE w:val="0"/>
        <w:autoSpaceDN w:val="0"/>
        <w:adjustRightInd w:val="0"/>
        <w:spacing w:line="480" w:lineRule="auto"/>
        <w:ind w:right="-720"/>
        <w:rPr>
          <w:rFonts w:ascii="Times New Roman" w:hAnsi="Times New Roman"/>
        </w:rPr>
      </w:pPr>
      <w:r w:rsidRPr="00BA5FD4">
        <w:rPr>
          <w:rFonts w:ascii="Times New Roman" w:hAnsi="Times New Roman"/>
        </w:rPr>
        <w:tab/>
        <w:t xml:space="preserve">Ms. </w:t>
      </w:r>
      <w:proofErr w:type="spellStart"/>
      <w:r w:rsidRPr="00BA5FD4">
        <w:rPr>
          <w:rFonts w:ascii="Times New Roman" w:hAnsi="Times New Roman"/>
        </w:rPr>
        <w:t>Eberle</w:t>
      </w:r>
      <w:proofErr w:type="spellEnd"/>
      <w:r w:rsidRPr="00BA5FD4">
        <w:rPr>
          <w:rFonts w:ascii="Times New Roman" w:hAnsi="Times New Roman"/>
        </w:rPr>
        <w:t xml:space="preserve"> admitted that there were a number of ideas discussed at Toppenish</w:t>
      </w:r>
      <w:r w:rsidR="00274091" w:rsidRPr="00BA5FD4">
        <w:rPr>
          <w:rFonts w:ascii="Times New Roman" w:hAnsi="Times New Roman"/>
        </w:rPr>
        <w:t xml:space="preserve"> including implementation of a </w:t>
      </w:r>
      <w:proofErr w:type="gramStart"/>
      <w:r w:rsidR="00274091" w:rsidRPr="00BA5FD4">
        <w:rPr>
          <w:rFonts w:ascii="Times New Roman" w:hAnsi="Times New Roman"/>
        </w:rPr>
        <w:t>seniors</w:t>
      </w:r>
      <w:proofErr w:type="gramEnd"/>
      <w:r w:rsidR="00274091" w:rsidRPr="00BA5FD4">
        <w:rPr>
          <w:rFonts w:ascii="Times New Roman" w:hAnsi="Times New Roman"/>
        </w:rPr>
        <w:t xml:space="preserve"> assistance program similar to AVISTA’s.  There was consensus on this idea, but no action was ever taken by the Company to bring it to fruition.  According to Ms. </w:t>
      </w:r>
      <w:proofErr w:type="spellStart"/>
      <w:r w:rsidR="00274091" w:rsidRPr="00BA5FD4">
        <w:rPr>
          <w:rFonts w:ascii="Times New Roman" w:hAnsi="Times New Roman"/>
        </w:rPr>
        <w:t>Eberle</w:t>
      </w:r>
      <w:proofErr w:type="spellEnd"/>
      <w:r w:rsidR="00274091" w:rsidRPr="00BA5FD4">
        <w:rPr>
          <w:rFonts w:ascii="Times New Roman" w:hAnsi="Times New Roman"/>
        </w:rPr>
        <w:t xml:space="preserve">, the </w:t>
      </w:r>
      <w:r w:rsidR="00274091" w:rsidRPr="00BA5FD4">
        <w:rPr>
          <w:rFonts w:ascii="Times New Roman" w:hAnsi="Times New Roman"/>
        </w:rPr>
        <w:lastRenderedPageBreak/>
        <w:t>reason she spoke privately with each agency about serving additional customers was that she “realized that would be an issue in the rate case.”</w:t>
      </w:r>
      <w:r w:rsidR="00274091" w:rsidRPr="00BA5FD4">
        <w:rPr>
          <w:rStyle w:val="FootnoteReference"/>
          <w:rFonts w:ascii="Times New Roman" w:hAnsi="Times New Roman"/>
        </w:rPr>
        <w:footnoteReference w:id="18"/>
      </w:r>
      <w:r w:rsidR="00274091" w:rsidRPr="00BA5FD4">
        <w:rPr>
          <w:rFonts w:ascii="Times New Roman" w:hAnsi="Times New Roman"/>
        </w:rPr>
        <w:t xml:space="preserve">  </w:t>
      </w:r>
    </w:p>
    <w:p w:rsidR="00786440" w:rsidRPr="00BA5FD4" w:rsidRDefault="00786440" w:rsidP="004D2F88">
      <w:pPr>
        <w:autoSpaceDE w:val="0"/>
        <w:autoSpaceDN w:val="0"/>
        <w:adjustRightInd w:val="0"/>
        <w:spacing w:line="480" w:lineRule="auto"/>
        <w:rPr>
          <w:rFonts w:ascii="Times New Roman" w:hAnsi="Times New Roman"/>
        </w:rPr>
      </w:pPr>
      <w:r w:rsidRPr="00BA5FD4">
        <w:rPr>
          <w:rFonts w:ascii="Times New Roman" w:hAnsi="Times New Roman"/>
        </w:rPr>
        <w:tab/>
      </w:r>
      <w:r w:rsidR="00274091" w:rsidRPr="00BA5FD4">
        <w:rPr>
          <w:rFonts w:ascii="Times New Roman" w:hAnsi="Times New Roman"/>
        </w:rPr>
        <w:t>The Toppenish meeting took place on March 24, 2011.</w:t>
      </w:r>
      <w:r w:rsidR="00274091" w:rsidRPr="00BA5FD4">
        <w:rPr>
          <w:rStyle w:val="FootnoteReference"/>
          <w:rFonts w:ascii="Times New Roman" w:hAnsi="Times New Roman"/>
        </w:rPr>
        <w:footnoteReference w:id="19"/>
      </w:r>
      <w:r w:rsidR="00274091" w:rsidRPr="00BA5FD4">
        <w:rPr>
          <w:rFonts w:ascii="Times New Roman" w:hAnsi="Times New Roman"/>
        </w:rPr>
        <w:t xml:space="preserve">  The Company did not make its initial filing in this case until May 4, 2011.  Thus, by Ms. </w:t>
      </w:r>
      <w:proofErr w:type="spellStart"/>
      <w:r w:rsidR="00274091" w:rsidRPr="00BA5FD4">
        <w:rPr>
          <w:rFonts w:ascii="Times New Roman" w:hAnsi="Times New Roman"/>
        </w:rPr>
        <w:t>Eberle’s</w:t>
      </w:r>
      <w:proofErr w:type="spellEnd"/>
      <w:r w:rsidR="00274091" w:rsidRPr="00BA5FD4">
        <w:rPr>
          <w:rFonts w:ascii="Times New Roman" w:hAnsi="Times New Roman"/>
        </w:rPr>
        <w:t xml:space="preserve"> own statements, PPL had apparently already decided to propose increasing the number of customers served through the LIBA program.  This is a</w:t>
      </w:r>
      <w:r w:rsidR="004D2F88" w:rsidRPr="00BA5FD4">
        <w:rPr>
          <w:rFonts w:ascii="Times New Roman" w:hAnsi="Times New Roman"/>
        </w:rPr>
        <w:t xml:space="preserve">n issue that has been in dispute </w:t>
      </w:r>
      <w:r w:rsidR="00274091" w:rsidRPr="00BA5FD4">
        <w:rPr>
          <w:rFonts w:ascii="Times New Roman" w:hAnsi="Times New Roman"/>
        </w:rPr>
        <w:t xml:space="preserve">for </w:t>
      </w:r>
      <w:r w:rsidR="004E3017" w:rsidRPr="00BA5FD4">
        <w:rPr>
          <w:rFonts w:ascii="Times New Roman" w:hAnsi="Times New Roman"/>
        </w:rPr>
        <w:t>years</w:t>
      </w:r>
      <w:r w:rsidR="004D2F88" w:rsidRPr="00BA5FD4">
        <w:rPr>
          <w:rFonts w:ascii="Times New Roman" w:hAnsi="Times New Roman"/>
        </w:rPr>
        <w:t xml:space="preserve"> between PPL and the Energy Project</w:t>
      </w:r>
      <w:r w:rsidR="004E3017" w:rsidRPr="00BA5FD4">
        <w:rPr>
          <w:rFonts w:ascii="Times New Roman" w:hAnsi="Times New Roman"/>
        </w:rPr>
        <w:t xml:space="preserve"> and is important to both PPL and the agencies.  Given the importance of the issue and the fact that </w:t>
      </w:r>
      <w:r w:rsidRPr="00BA5FD4">
        <w:rPr>
          <w:rFonts w:ascii="Times New Roman" w:hAnsi="Times New Roman"/>
        </w:rPr>
        <w:t>PPL</w:t>
      </w:r>
      <w:r w:rsidR="004E3017" w:rsidRPr="00BA5FD4">
        <w:rPr>
          <w:rFonts w:ascii="Times New Roman" w:hAnsi="Times New Roman"/>
        </w:rPr>
        <w:t xml:space="preserve"> intended to raise it in an upcoming general rate case, it would have been more than justified for the Company to pose the issue to the entire group</w:t>
      </w:r>
      <w:r w:rsidR="004D2F88" w:rsidRPr="00BA5FD4">
        <w:rPr>
          <w:rFonts w:ascii="Times New Roman" w:hAnsi="Times New Roman"/>
        </w:rPr>
        <w:t>,</w:t>
      </w:r>
      <w:r w:rsidR="004E3017" w:rsidRPr="00BA5FD4">
        <w:rPr>
          <w:rFonts w:ascii="Times New Roman" w:hAnsi="Times New Roman"/>
        </w:rPr>
        <w:t xml:space="preserve"> which consisted of only 12-15 people</w:t>
      </w:r>
      <w:r w:rsidR="004D2F88" w:rsidRPr="00BA5FD4">
        <w:rPr>
          <w:rFonts w:ascii="Times New Roman" w:hAnsi="Times New Roman"/>
        </w:rPr>
        <w:t xml:space="preserve">, and which also included the Energy Project’s representatives </w:t>
      </w:r>
      <w:r w:rsidR="00EC681D" w:rsidRPr="00BA5FD4">
        <w:rPr>
          <w:rFonts w:ascii="Times New Roman" w:hAnsi="Times New Roman"/>
        </w:rPr>
        <w:t>Charles</w:t>
      </w:r>
      <w:r w:rsidR="004D2F88" w:rsidRPr="00BA5FD4">
        <w:rPr>
          <w:rFonts w:ascii="Times New Roman" w:hAnsi="Times New Roman"/>
        </w:rPr>
        <w:t xml:space="preserve"> </w:t>
      </w:r>
      <w:proofErr w:type="spellStart"/>
      <w:r w:rsidR="004D2F88" w:rsidRPr="00BA5FD4">
        <w:rPr>
          <w:rFonts w:ascii="Times New Roman" w:hAnsi="Times New Roman"/>
        </w:rPr>
        <w:t>Eberdt</w:t>
      </w:r>
      <w:proofErr w:type="spellEnd"/>
      <w:r w:rsidR="004D2F88" w:rsidRPr="00BA5FD4">
        <w:rPr>
          <w:rFonts w:ascii="Times New Roman" w:hAnsi="Times New Roman"/>
        </w:rPr>
        <w:t xml:space="preserve"> and</w:t>
      </w:r>
      <w:r w:rsidR="00EC681D" w:rsidRPr="00BA5FD4">
        <w:rPr>
          <w:rFonts w:ascii="Times New Roman" w:hAnsi="Times New Roman"/>
        </w:rPr>
        <w:t xml:space="preserve"> Michael</w:t>
      </w:r>
      <w:r w:rsidR="004D2F88" w:rsidRPr="00BA5FD4">
        <w:rPr>
          <w:rFonts w:ascii="Times New Roman" w:hAnsi="Times New Roman"/>
        </w:rPr>
        <w:t xml:space="preserve"> Karp</w:t>
      </w:r>
      <w:r w:rsidR="004E3017" w:rsidRPr="00BA5FD4">
        <w:rPr>
          <w:rFonts w:ascii="Times New Roman" w:hAnsi="Times New Roman"/>
        </w:rPr>
        <w:t>.</w:t>
      </w:r>
      <w:r w:rsidR="004E3017" w:rsidRPr="00BA5FD4">
        <w:rPr>
          <w:rStyle w:val="FootnoteReference"/>
          <w:rFonts w:ascii="Times New Roman" w:hAnsi="Times New Roman"/>
        </w:rPr>
        <w:footnoteReference w:id="20"/>
      </w:r>
      <w:r w:rsidR="004E3017" w:rsidRPr="00BA5FD4">
        <w:rPr>
          <w:rFonts w:ascii="Times New Roman" w:hAnsi="Times New Roman"/>
        </w:rPr>
        <w:t xml:space="preserve">  </w:t>
      </w:r>
      <w:r w:rsidR="00507046" w:rsidRPr="00BA5FD4">
        <w:rPr>
          <w:rFonts w:ascii="Times New Roman" w:hAnsi="Times New Roman"/>
        </w:rPr>
        <w:t>Staff did not participate in the Toppenish meeting.</w:t>
      </w:r>
      <w:r w:rsidR="00507046" w:rsidRPr="00BA5FD4">
        <w:rPr>
          <w:rStyle w:val="FootnoteReference"/>
          <w:rFonts w:ascii="Times New Roman" w:hAnsi="Times New Roman"/>
        </w:rPr>
        <w:footnoteReference w:id="21"/>
      </w:r>
    </w:p>
    <w:p w:rsidR="00EC681D" w:rsidRPr="00BA5FD4" w:rsidRDefault="00786440" w:rsidP="004D2F88">
      <w:pPr>
        <w:autoSpaceDE w:val="0"/>
        <w:autoSpaceDN w:val="0"/>
        <w:adjustRightInd w:val="0"/>
        <w:spacing w:line="480" w:lineRule="auto"/>
        <w:rPr>
          <w:rFonts w:ascii="Times New Roman" w:hAnsi="Times New Roman"/>
        </w:rPr>
      </w:pPr>
      <w:r w:rsidRPr="00BA5FD4">
        <w:rPr>
          <w:rFonts w:ascii="Times New Roman" w:hAnsi="Times New Roman"/>
        </w:rPr>
        <w:tab/>
        <w:t xml:space="preserve">Though </w:t>
      </w:r>
      <w:proofErr w:type="spellStart"/>
      <w:r w:rsidRPr="00BA5FD4">
        <w:rPr>
          <w:rFonts w:ascii="Times New Roman" w:hAnsi="Times New Roman"/>
        </w:rPr>
        <w:t>Eberle</w:t>
      </w:r>
      <w:proofErr w:type="spellEnd"/>
      <w:r w:rsidRPr="00BA5FD4">
        <w:rPr>
          <w:rFonts w:ascii="Times New Roman" w:hAnsi="Times New Roman"/>
        </w:rPr>
        <w:t xml:space="preserve"> claims that each of the three representatives she purportedly spoke with at the meeting agreed that they wanted to serve additional customers, her claims raise several concerns.  First, </w:t>
      </w:r>
      <w:r w:rsidR="00EC681D" w:rsidRPr="00BA5FD4">
        <w:rPr>
          <w:rFonts w:ascii="Times New Roman" w:hAnsi="Times New Roman"/>
        </w:rPr>
        <w:t xml:space="preserve">as pointed out, </w:t>
      </w:r>
      <w:r w:rsidRPr="00BA5FD4">
        <w:rPr>
          <w:rFonts w:ascii="Times New Roman" w:hAnsi="Times New Roman"/>
        </w:rPr>
        <w:t xml:space="preserve">if </w:t>
      </w:r>
      <w:proofErr w:type="spellStart"/>
      <w:r w:rsidRPr="00BA5FD4">
        <w:rPr>
          <w:rFonts w:ascii="Times New Roman" w:hAnsi="Times New Roman"/>
        </w:rPr>
        <w:t>Eberle</w:t>
      </w:r>
      <w:proofErr w:type="spellEnd"/>
      <w:r w:rsidRPr="00BA5FD4">
        <w:rPr>
          <w:rFonts w:ascii="Times New Roman" w:hAnsi="Times New Roman"/>
        </w:rPr>
        <w:t xml:space="preserve"> knew the matter was of sufficient importance that it would be part of the next general rate case, why didn’t she somehow formalize the agencies’ positions on the issue</w:t>
      </w:r>
      <w:r w:rsidR="00EC681D" w:rsidRPr="00BA5FD4">
        <w:rPr>
          <w:rFonts w:ascii="Times New Roman" w:hAnsi="Times New Roman"/>
        </w:rPr>
        <w:t xml:space="preserve"> if, by no other means, than simply standing up before the small group, making the proposal, and asking for a consensus</w:t>
      </w:r>
      <w:r w:rsidRPr="00BA5FD4">
        <w:rPr>
          <w:rFonts w:ascii="Times New Roman" w:hAnsi="Times New Roman"/>
        </w:rPr>
        <w:t xml:space="preserve">?  Why didn’t </w:t>
      </w:r>
      <w:r w:rsidR="00EC681D" w:rsidRPr="00BA5FD4">
        <w:rPr>
          <w:rFonts w:ascii="Times New Roman" w:hAnsi="Times New Roman"/>
        </w:rPr>
        <w:t xml:space="preserve">Ms. </w:t>
      </w:r>
      <w:proofErr w:type="spellStart"/>
      <w:r w:rsidRPr="00BA5FD4">
        <w:rPr>
          <w:rFonts w:ascii="Times New Roman" w:hAnsi="Times New Roman"/>
        </w:rPr>
        <w:t>Eberle</w:t>
      </w:r>
      <w:proofErr w:type="spellEnd"/>
      <w:r w:rsidRPr="00BA5FD4">
        <w:rPr>
          <w:rFonts w:ascii="Times New Roman" w:hAnsi="Times New Roman"/>
        </w:rPr>
        <w:t xml:space="preserve"> ensure that all those participating, including the Energy Project’s representatives</w:t>
      </w:r>
      <w:r w:rsidR="00EC681D" w:rsidRPr="00BA5FD4">
        <w:rPr>
          <w:rFonts w:ascii="Times New Roman" w:hAnsi="Times New Roman"/>
        </w:rPr>
        <w:t xml:space="preserve">, Messrs. </w:t>
      </w:r>
      <w:proofErr w:type="spellStart"/>
      <w:r w:rsidR="00EC681D" w:rsidRPr="00BA5FD4">
        <w:rPr>
          <w:rFonts w:ascii="Times New Roman" w:hAnsi="Times New Roman"/>
        </w:rPr>
        <w:t>Eberdt</w:t>
      </w:r>
      <w:proofErr w:type="spellEnd"/>
      <w:r w:rsidR="00EC681D" w:rsidRPr="00BA5FD4">
        <w:rPr>
          <w:rFonts w:ascii="Times New Roman" w:hAnsi="Times New Roman"/>
        </w:rPr>
        <w:t xml:space="preserve"> and Karp,</w:t>
      </w:r>
      <w:r w:rsidRPr="00BA5FD4">
        <w:rPr>
          <w:rFonts w:ascii="Times New Roman" w:hAnsi="Times New Roman"/>
        </w:rPr>
        <w:t xml:space="preserve"> heard </w:t>
      </w:r>
      <w:r w:rsidR="00EC681D" w:rsidRPr="00BA5FD4">
        <w:rPr>
          <w:rFonts w:ascii="Times New Roman" w:hAnsi="Times New Roman"/>
        </w:rPr>
        <w:t xml:space="preserve">the proposal </w:t>
      </w:r>
      <w:r w:rsidRPr="00BA5FD4">
        <w:rPr>
          <w:rFonts w:ascii="Times New Roman" w:hAnsi="Times New Roman"/>
        </w:rPr>
        <w:t xml:space="preserve">and could weigh in?  </w:t>
      </w:r>
    </w:p>
    <w:p w:rsidR="00786440" w:rsidRPr="00BA5FD4" w:rsidRDefault="00EC681D" w:rsidP="004D2F88">
      <w:pPr>
        <w:autoSpaceDE w:val="0"/>
        <w:autoSpaceDN w:val="0"/>
        <w:adjustRightInd w:val="0"/>
        <w:spacing w:line="480" w:lineRule="auto"/>
        <w:rPr>
          <w:rFonts w:ascii="Times New Roman" w:hAnsi="Times New Roman"/>
        </w:rPr>
      </w:pPr>
      <w:r w:rsidRPr="00BA5FD4">
        <w:rPr>
          <w:rFonts w:ascii="Times New Roman" w:hAnsi="Times New Roman"/>
        </w:rPr>
        <w:tab/>
        <w:t>Of even greater curiosity, w</w:t>
      </w:r>
      <w:r w:rsidR="00786440" w:rsidRPr="00BA5FD4">
        <w:rPr>
          <w:rFonts w:ascii="Times New Roman" w:hAnsi="Times New Roman"/>
        </w:rPr>
        <w:t xml:space="preserve">hat was the specific question </w:t>
      </w:r>
      <w:r w:rsidRPr="00BA5FD4">
        <w:rPr>
          <w:rFonts w:ascii="Times New Roman" w:hAnsi="Times New Roman"/>
        </w:rPr>
        <w:t xml:space="preserve">that Ms. </w:t>
      </w:r>
      <w:proofErr w:type="spellStart"/>
      <w:r w:rsidR="00786440" w:rsidRPr="00BA5FD4">
        <w:rPr>
          <w:rFonts w:ascii="Times New Roman" w:hAnsi="Times New Roman"/>
        </w:rPr>
        <w:t>Eberle</w:t>
      </w:r>
      <w:proofErr w:type="spellEnd"/>
      <w:r w:rsidR="00786440" w:rsidRPr="00BA5FD4">
        <w:rPr>
          <w:rFonts w:ascii="Times New Roman" w:hAnsi="Times New Roman"/>
        </w:rPr>
        <w:t xml:space="preserve"> asked each of the three agency representatives and exactly how did they respond?  Is it possible that the </w:t>
      </w:r>
      <w:r w:rsidR="00786440" w:rsidRPr="00BA5FD4">
        <w:rPr>
          <w:rFonts w:ascii="Times New Roman" w:hAnsi="Times New Roman"/>
        </w:rPr>
        <w:lastRenderedPageBreak/>
        <w:t xml:space="preserve">representatives perceived </w:t>
      </w:r>
      <w:r w:rsidRPr="00BA5FD4">
        <w:rPr>
          <w:rFonts w:ascii="Times New Roman" w:hAnsi="Times New Roman"/>
        </w:rPr>
        <w:t xml:space="preserve">Ms. </w:t>
      </w:r>
      <w:proofErr w:type="spellStart"/>
      <w:r w:rsidR="00786440" w:rsidRPr="00BA5FD4">
        <w:rPr>
          <w:rFonts w:ascii="Times New Roman" w:hAnsi="Times New Roman"/>
        </w:rPr>
        <w:t>Eberle’s</w:t>
      </w:r>
      <w:proofErr w:type="spellEnd"/>
      <w:r w:rsidR="00786440" w:rsidRPr="00BA5FD4">
        <w:rPr>
          <w:rFonts w:ascii="Times New Roman" w:hAnsi="Times New Roman"/>
        </w:rPr>
        <w:t xml:space="preserve"> question to be whether, all other things being equal, </w:t>
      </w:r>
      <w:r w:rsidRPr="00BA5FD4">
        <w:rPr>
          <w:rFonts w:ascii="Times New Roman" w:hAnsi="Times New Roman"/>
        </w:rPr>
        <w:t xml:space="preserve">would </w:t>
      </w:r>
      <w:r w:rsidR="00786440" w:rsidRPr="00BA5FD4">
        <w:rPr>
          <w:rFonts w:ascii="Times New Roman" w:hAnsi="Times New Roman"/>
        </w:rPr>
        <w:t xml:space="preserve">they like to see more low-income customers served?  Is it possible that the agency representatives did not know that by serving additional customers, </w:t>
      </w:r>
      <w:r w:rsidRPr="00BA5FD4">
        <w:rPr>
          <w:rFonts w:ascii="Times New Roman" w:hAnsi="Times New Roman"/>
        </w:rPr>
        <w:t xml:space="preserve">Ms. </w:t>
      </w:r>
      <w:proofErr w:type="spellStart"/>
      <w:r w:rsidR="00786440" w:rsidRPr="00BA5FD4">
        <w:rPr>
          <w:rFonts w:ascii="Times New Roman" w:hAnsi="Times New Roman"/>
        </w:rPr>
        <w:t>Eberle</w:t>
      </w:r>
      <w:proofErr w:type="spellEnd"/>
      <w:r w:rsidR="00786440" w:rsidRPr="00BA5FD4">
        <w:rPr>
          <w:rFonts w:ascii="Times New Roman" w:hAnsi="Times New Roman"/>
        </w:rPr>
        <w:t xml:space="preserve"> and PPL were also proposing that the amount of the discount per customer would have to be reduced?  These are questions that can only be answered </w:t>
      </w:r>
      <w:r w:rsidRPr="00BA5FD4">
        <w:rPr>
          <w:rFonts w:ascii="Times New Roman" w:hAnsi="Times New Roman"/>
        </w:rPr>
        <w:t xml:space="preserve">now </w:t>
      </w:r>
      <w:r w:rsidR="00786440" w:rsidRPr="00BA5FD4">
        <w:rPr>
          <w:rFonts w:ascii="Times New Roman" w:hAnsi="Times New Roman"/>
        </w:rPr>
        <w:t>through speculation</w:t>
      </w:r>
      <w:r w:rsidRPr="00BA5FD4">
        <w:rPr>
          <w:rFonts w:ascii="Times New Roman" w:hAnsi="Times New Roman"/>
        </w:rPr>
        <w:t>.  This untenable position that the Commission and the Energy Project has been placed in</w:t>
      </w:r>
      <w:r w:rsidR="00786440" w:rsidRPr="00BA5FD4">
        <w:rPr>
          <w:rFonts w:ascii="Times New Roman" w:hAnsi="Times New Roman"/>
        </w:rPr>
        <w:t xml:space="preserve"> could have been avoided by simply posing the issue to the entire group and seeking a formal consensus that was somehow memorialized</w:t>
      </w:r>
      <w:r w:rsidRPr="00BA5FD4">
        <w:rPr>
          <w:rFonts w:ascii="Times New Roman" w:hAnsi="Times New Roman"/>
        </w:rPr>
        <w:t xml:space="preserve"> (i.e., simply written down on a piece of paper)</w:t>
      </w:r>
      <w:r w:rsidR="00786440" w:rsidRPr="00BA5FD4">
        <w:rPr>
          <w:rFonts w:ascii="Times New Roman" w:hAnsi="Times New Roman"/>
        </w:rPr>
        <w:t>.  The foregoing list of concerns highlights why it is inappropriate for this Commission to base its ruling on the issue of whether to reduce the LIBA discount to increase the number of customers served on the Toppenish</w:t>
      </w:r>
      <w:r w:rsidRPr="00BA5FD4">
        <w:rPr>
          <w:rFonts w:ascii="Times New Roman" w:hAnsi="Times New Roman"/>
        </w:rPr>
        <w:t xml:space="preserve"> meeting.</w:t>
      </w:r>
    </w:p>
    <w:p w:rsidR="00280BC6" w:rsidRPr="00BA5FD4" w:rsidRDefault="007173C8" w:rsidP="007173C8">
      <w:pPr>
        <w:autoSpaceDE w:val="0"/>
        <w:autoSpaceDN w:val="0"/>
        <w:adjustRightInd w:val="0"/>
        <w:spacing w:line="480" w:lineRule="auto"/>
        <w:ind w:right="-720"/>
        <w:rPr>
          <w:rFonts w:ascii="Times New Roman" w:hAnsi="Times New Roman"/>
        </w:rPr>
      </w:pPr>
      <w:r w:rsidRPr="00BA5FD4">
        <w:rPr>
          <w:rFonts w:ascii="Times New Roman" w:hAnsi="Times New Roman"/>
        </w:rPr>
        <w:tab/>
      </w:r>
      <w:r w:rsidR="00EC681D" w:rsidRPr="00BA5FD4">
        <w:rPr>
          <w:rFonts w:ascii="Times New Roman" w:hAnsi="Times New Roman"/>
        </w:rPr>
        <w:t>Finally, t</w:t>
      </w:r>
      <w:r w:rsidRPr="00BA5FD4">
        <w:rPr>
          <w:rFonts w:ascii="Times New Roman" w:hAnsi="Times New Roman"/>
        </w:rPr>
        <w:t xml:space="preserve">he Energy Project notes that </w:t>
      </w:r>
      <w:r w:rsidR="00280BC6" w:rsidRPr="00BA5FD4">
        <w:rPr>
          <w:rFonts w:ascii="Times New Roman" w:hAnsi="Times New Roman"/>
        </w:rPr>
        <w:t xml:space="preserve">using 30% of the incremental increase </w:t>
      </w:r>
      <w:r w:rsidRPr="00BA5FD4">
        <w:rPr>
          <w:rFonts w:ascii="Times New Roman" w:hAnsi="Times New Roman"/>
        </w:rPr>
        <w:t xml:space="preserve">to serve additional customers, without a substantial increase in LIBA </w:t>
      </w:r>
      <w:proofErr w:type="gramStart"/>
      <w:r w:rsidRPr="00BA5FD4">
        <w:rPr>
          <w:rFonts w:ascii="Times New Roman" w:hAnsi="Times New Roman"/>
        </w:rPr>
        <w:t>funding,</w:t>
      </w:r>
      <w:proofErr w:type="gramEnd"/>
      <w:r w:rsidR="00280BC6" w:rsidRPr="00BA5FD4">
        <w:rPr>
          <w:rFonts w:ascii="Times New Roman" w:hAnsi="Times New Roman"/>
        </w:rPr>
        <w:t xml:space="preserve"> will drive the benefit level down.  Under PacifiCorp’s proposed design, this would result in a reduction in the level of benefits – that is, a participant in the program will see comparatively less benefit; they will be exposed to more of the bill.  Since the benefit level is already quite a bit lower than, say, LIHEAP, this raises concerns.  In the past </w:t>
      </w:r>
      <w:r w:rsidR="003A2CF1" w:rsidRPr="00BA5FD4">
        <w:rPr>
          <w:rFonts w:ascii="Times New Roman" w:hAnsi="Times New Roman"/>
        </w:rPr>
        <w:t>the Energy Project has advocated</w:t>
      </w:r>
      <w:r w:rsidR="00280BC6" w:rsidRPr="00BA5FD4">
        <w:rPr>
          <w:rFonts w:ascii="Times New Roman" w:hAnsi="Times New Roman"/>
        </w:rPr>
        <w:t xml:space="preserve"> for all of </w:t>
      </w:r>
      <w:r w:rsidR="003A2CF1" w:rsidRPr="00BA5FD4">
        <w:rPr>
          <w:rFonts w:ascii="Times New Roman" w:hAnsi="Times New Roman"/>
        </w:rPr>
        <w:t>a given increase to LIBA</w:t>
      </w:r>
      <w:r w:rsidR="00280BC6" w:rsidRPr="00BA5FD4">
        <w:rPr>
          <w:rFonts w:ascii="Times New Roman" w:hAnsi="Times New Roman"/>
        </w:rPr>
        <w:t xml:space="preserve"> to go to serve the same number of customers</w:t>
      </w:r>
      <w:r w:rsidR="003A2CF1" w:rsidRPr="00BA5FD4">
        <w:rPr>
          <w:rFonts w:ascii="Times New Roman" w:hAnsi="Times New Roman"/>
        </w:rPr>
        <w:t xml:space="preserve"> thereby increasing or “deepening” the discount per qualifying customer</w:t>
      </w:r>
      <w:r w:rsidR="00280BC6" w:rsidRPr="00BA5FD4">
        <w:rPr>
          <w:rFonts w:ascii="Times New Roman" w:hAnsi="Times New Roman"/>
        </w:rPr>
        <w:t>.</w:t>
      </w:r>
    </w:p>
    <w:p w:rsidR="00F35988" w:rsidRPr="00BA5FD4" w:rsidRDefault="00F35988" w:rsidP="00F35988">
      <w:pPr>
        <w:autoSpaceDE w:val="0"/>
        <w:autoSpaceDN w:val="0"/>
        <w:adjustRightInd w:val="0"/>
        <w:spacing w:line="480" w:lineRule="auto"/>
        <w:ind w:right="-720"/>
        <w:rPr>
          <w:rFonts w:ascii="Times New Roman" w:hAnsi="Times New Roman"/>
          <w:b/>
        </w:rPr>
      </w:pPr>
      <w:r w:rsidRPr="00BA5FD4">
        <w:rPr>
          <w:rFonts w:ascii="Times New Roman" w:hAnsi="Times New Roman"/>
        </w:rPr>
        <w:tab/>
        <w:t>In conclusion</w:t>
      </w:r>
      <w:r w:rsidRPr="00BA5FD4">
        <w:rPr>
          <w:rFonts w:ascii="Times New Roman" w:hAnsi="Times New Roman" w:cs="TimesNewRomanPS-BoldMT"/>
        </w:rPr>
        <w:t xml:space="preserve">, the agencies applaud the Company’s intention to serve more customers.  Given the high level of poverty in the area, the agencies are only too aware of the greater number of households who are in need and strongly support reaching out to more of them.  </w:t>
      </w:r>
      <w:r w:rsidR="007A0DEC" w:rsidRPr="00BA5FD4">
        <w:rPr>
          <w:rFonts w:ascii="Times New Roman" w:hAnsi="Times New Roman" w:cs="TimesNewRomanPS-BoldMT"/>
        </w:rPr>
        <w:t>E</w:t>
      </w:r>
      <w:r w:rsidRPr="00BA5FD4">
        <w:rPr>
          <w:rFonts w:ascii="Times New Roman" w:hAnsi="Times New Roman" w:cs="TimesNewRomanPS-BoldMT"/>
        </w:rPr>
        <w:t>ven just adding a small number of additional LIBA recipients is difficult</w:t>
      </w:r>
      <w:r w:rsidR="003A2CF1" w:rsidRPr="00BA5FD4">
        <w:rPr>
          <w:rFonts w:ascii="Times New Roman" w:hAnsi="Times New Roman" w:cs="TimesNewRomanPS-BoldMT"/>
        </w:rPr>
        <w:t xml:space="preserve"> for the agencies</w:t>
      </w:r>
      <w:r w:rsidRPr="00BA5FD4">
        <w:rPr>
          <w:rFonts w:ascii="Times New Roman" w:hAnsi="Times New Roman" w:cs="TimesNewRomanPS-BoldMT"/>
        </w:rPr>
        <w:t>.  The Company proposes</w:t>
      </w:r>
      <w:r w:rsidR="003A2CF1" w:rsidRPr="00BA5FD4">
        <w:rPr>
          <w:rFonts w:ascii="Times New Roman" w:hAnsi="Times New Roman" w:cs="TimesNewRomanPS-BoldMT"/>
        </w:rPr>
        <w:t xml:space="preserve"> in this case</w:t>
      </w:r>
      <w:r w:rsidRPr="00BA5FD4">
        <w:rPr>
          <w:rFonts w:ascii="Times New Roman" w:hAnsi="Times New Roman" w:cs="TimesNewRomanPS-BoldMT"/>
        </w:rPr>
        <w:t xml:space="preserve"> increasing the program participant number from 4475 customer to 4720, an increase of 5%.  This </w:t>
      </w:r>
      <w:r w:rsidRPr="00BA5FD4">
        <w:rPr>
          <w:rFonts w:ascii="Times New Roman" w:hAnsi="Times New Roman" w:cs="TimesNewRomanPS-BoldMT"/>
        </w:rPr>
        <w:lastRenderedPageBreak/>
        <w:t xml:space="preserve">5% increase might seem small, but it adds up over time.  </w:t>
      </w:r>
      <w:r w:rsidR="00E726C9" w:rsidRPr="00BA5FD4">
        <w:rPr>
          <w:rFonts w:ascii="Times New Roman" w:hAnsi="Times New Roman" w:cs="TimesNewRomanPS-BoldMT"/>
        </w:rPr>
        <w:t>It is, of course, not possible</w:t>
      </w:r>
      <w:r w:rsidRPr="00BA5FD4">
        <w:rPr>
          <w:rFonts w:ascii="Times New Roman" w:hAnsi="Times New Roman" w:cs="TimesNewRomanPS-BoldMT"/>
        </w:rPr>
        <w:t xml:space="preserve"> to hire 5% of a person or buy 5% of a computer.  The Company is asking the agencies to serve more households while at the same time removing funding needed to maintain their ability to provide service. </w:t>
      </w:r>
      <w:r w:rsidR="00E726C9" w:rsidRPr="00BA5FD4">
        <w:rPr>
          <w:rFonts w:ascii="Times New Roman" w:hAnsi="Times New Roman" w:cs="TimesNewRomanPS-BoldMT"/>
        </w:rPr>
        <w:t xml:space="preserve"> </w:t>
      </w:r>
    </w:p>
    <w:p w:rsidR="00214FA1" w:rsidRPr="00BA5FD4" w:rsidRDefault="00C6227F" w:rsidP="007173C8">
      <w:pPr>
        <w:autoSpaceDE w:val="0"/>
        <w:autoSpaceDN w:val="0"/>
        <w:adjustRightInd w:val="0"/>
        <w:spacing w:line="480" w:lineRule="auto"/>
        <w:rPr>
          <w:rFonts w:ascii="Times New Roman" w:hAnsi="Times New Roman"/>
          <w:b/>
        </w:rPr>
      </w:pPr>
      <w:r w:rsidRPr="00BA5FD4">
        <w:rPr>
          <w:rFonts w:ascii="Times New Roman" w:hAnsi="Times New Roman"/>
        </w:rPr>
        <w:tab/>
      </w:r>
      <w:r w:rsidR="00214FA1" w:rsidRPr="00BA5FD4">
        <w:rPr>
          <w:rFonts w:ascii="Times New Roman" w:hAnsi="Times New Roman"/>
          <w:b/>
        </w:rPr>
        <w:t>B.</w:t>
      </w:r>
      <w:r w:rsidR="00214FA1" w:rsidRPr="00BA5FD4">
        <w:rPr>
          <w:rFonts w:ascii="Times New Roman" w:hAnsi="Times New Roman"/>
          <w:b/>
        </w:rPr>
        <w:tab/>
        <w:t>Income Eligibility</w:t>
      </w:r>
    </w:p>
    <w:p w:rsidR="00F50AF2" w:rsidRPr="00BA5FD4" w:rsidRDefault="00F50AF2" w:rsidP="007173C8">
      <w:pPr>
        <w:spacing w:line="480" w:lineRule="auto"/>
        <w:ind w:hanging="720"/>
        <w:rPr>
          <w:rFonts w:ascii="Times New Roman" w:hAnsi="Times New Roman"/>
        </w:rPr>
      </w:pPr>
      <w:r w:rsidRPr="00BA5FD4">
        <w:rPr>
          <w:rFonts w:ascii="Times New Roman" w:hAnsi="Times New Roman"/>
        </w:rPr>
        <w:tab/>
      </w:r>
      <w:r w:rsidRPr="00BA5FD4">
        <w:rPr>
          <w:rFonts w:ascii="Times New Roman" w:hAnsi="Times New Roman"/>
        </w:rPr>
        <w:tab/>
        <w:t xml:space="preserve">This issue is uncontested due to agreement by PPL to accept the Energy Project’s </w:t>
      </w:r>
      <w:r w:rsidR="00EC0C45" w:rsidRPr="00BA5FD4">
        <w:rPr>
          <w:rFonts w:ascii="Times New Roman" w:hAnsi="Times New Roman"/>
        </w:rPr>
        <w:t>position for the time being</w:t>
      </w:r>
      <w:r w:rsidRPr="00BA5FD4">
        <w:rPr>
          <w:rFonts w:ascii="Times New Roman" w:hAnsi="Times New Roman"/>
        </w:rPr>
        <w:t>.  The following information is provided for those who wish to understand</w:t>
      </w:r>
      <w:r w:rsidR="00EC0C45" w:rsidRPr="00BA5FD4">
        <w:rPr>
          <w:rFonts w:ascii="Times New Roman" w:hAnsi="Times New Roman"/>
        </w:rPr>
        <w:t xml:space="preserve"> the issue and why PPL agreed to essentially withdraw its proposal.</w:t>
      </w:r>
      <w:r w:rsidR="007173C8" w:rsidRPr="00BA5FD4">
        <w:rPr>
          <w:rFonts w:ascii="Times New Roman" w:hAnsi="Times New Roman"/>
        </w:rPr>
        <w:tab/>
      </w:r>
    </w:p>
    <w:p w:rsidR="00F50AF2" w:rsidRPr="00BA5FD4" w:rsidRDefault="007173C8" w:rsidP="007173C8">
      <w:pPr>
        <w:spacing w:line="480" w:lineRule="auto"/>
        <w:ind w:hanging="720"/>
        <w:rPr>
          <w:rFonts w:ascii="Times New Roman" w:hAnsi="Times New Roman"/>
        </w:rPr>
      </w:pPr>
      <w:r w:rsidRPr="00BA5FD4">
        <w:rPr>
          <w:rFonts w:ascii="Times New Roman" w:hAnsi="Times New Roman"/>
        </w:rPr>
        <w:tab/>
      </w:r>
      <w:r w:rsidR="00EC0C45" w:rsidRPr="00BA5FD4">
        <w:rPr>
          <w:rFonts w:ascii="Times New Roman" w:hAnsi="Times New Roman"/>
        </w:rPr>
        <w:tab/>
      </w:r>
      <w:r w:rsidRPr="00BA5FD4">
        <w:rPr>
          <w:rFonts w:ascii="Times New Roman" w:hAnsi="Times New Roman"/>
        </w:rPr>
        <w:t xml:space="preserve">In its application, PPL proposed to increase LIBA eligibility by moving the threshold criterion from customers whose income is 125% of the federal poverty level to customer earning up to 150% of the </w:t>
      </w:r>
      <w:r w:rsidR="00F50AF2" w:rsidRPr="00BA5FD4">
        <w:rPr>
          <w:rFonts w:ascii="Times New Roman" w:hAnsi="Times New Roman"/>
        </w:rPr>
        <w:t>federal poverty level (</w:t>
      </w:r>
      <w:r w:rsidRPr="00BA5FD4">
        <w:rPr>
          <w:rFonts w:ascii="Times New Roman" w:hAnsi="Times New Roman"/>
        </w:rPr>
        <w:t>FPL</w:t>
      </w:r>
      <w:r w:rsidR="00F50AF2" w:rsidRPr="00BA5FD4">
        <w:rPr>
          <w:rFonts w:ascii="Times New Roman" w:hAnsi="Times New Roman"/>
        </w:rPr>
        <w:t>)</w:t>
      </w:r>
      <w:r w:rsidRPr="00BA5FD4">
        <w:rPr>
          <w:rFonts w:ascii="Times New Roman" w:hAnsi="Times New Roman"/>
        </w:rPr>
        <w:t xml:space="preserve">.  Though the Energy Project understands and appreciates the Company’s motive for making this proposed eligibility criteria change, </w:t>
      </w:r>
      <w:r w:rsidR="00F50AF2" w:rsidRPr="00BA5FD4">
        <w:rPr>
          <w:rFonts w:ascii="Times New Roman" w:hAnsi="Times New Roman"/>
        </w:rPr>
        <w:t>the Energy Project p</w:t>
      </w:r>
      <w:r w:rsidRPr="00BA5FD4">
        <w:rPr>
          <w:rFonts w:ascii="Times New Roman" w:hAnsi="Times New Roman"/>
        </w:rPr>
        <w:t>roposes leaving the eligibility at 125% of FPL for now.  This is because i</w:t>
      </w:r>
      <w:r w:rsidR="00D704C5" w:rsidRPr="00BA5FD4">
        <w:rPr>
          <w:rFonts w:ascii="Times New Roman" w:hAnsi="Times New Roman"/>
        </w:rPr>
        <w:t>t becomes problematic if making LIBA funding available to those additional households</w:t>
      </w:r>
      <w:r w:rsidR="00FB2DF8" w:rsidRPr="00BA5FD4">
        <w:rPr>
          <w:rFonts w:ascii="Times New Roman" w:hAnsi="Times New Roman"/>
        </w:rPr>
        <w:t xml:space="preserve"> with income between 125% and 150% of the FPL</w:t>
      </w:r>
      <w:r w:rsidR="00D704C5" w:rsidRPr="00BA5FD4">
        <w:rPr>
          <w:rFonts w:ascii="Times New Roman" w:hAnsi="Times New Roman"/>
        </w:rPr>
        <w:t xml:space="preserve"> results in reducing the benefits available for households at the bottom of the poverty ladder.  </w:t>
      </w:r>
    </w:p>
    <w:p w:rsidR="00D704C5" w:rsidRPr="00BA5FD4" w:rsidRDefault="00F50AF2" w:rsidP="00F50AF2">
      <w:pPr>
        <w:spacing w:line="480" w:lineRule="auto"/>
        <w:rPr>
          <w:rFonts w:ascii="Times New Roman" w:hAnsi="Times New Roman"/>
        </w:rPr>
      </w:pPr>
      <w:r w:rsidRPr="00BA5FD4">
        <w:rPr>
          <w:rFonts w:ascii="Times New Roman" w:hAnsi="Times New Roman"/>
        </w:rPr>
        <w:tab/>
      </w:r>
      <w:r w:rsidR="00D704C5" w:rsidRPr="00BA5FD4">
        <w:rPr>
          <w:rFonts w:ascii="Times New Roman" w:hAnsi="Times New Roman"/>
        </w:rPr>
        <w:t xml:space="preserve">When program participation is dependent on a “first come-first served” basis, it can be unpredictable and difficult to manage.  Last year the U.S. Department of Health and Human Services allowed states to increase the LIHEAP eligibility threshold to 175% FPL, but the Washington Department of Commerce and the LIHEAP agencies agreed to keep it set at 125% FPL because there were so many households at the 125% FPL level, who were not getting served.  It can also set up a double standard that is difficult to explain.  </w:t>
      </w:r>
    </w:p>
    <w:p w:rsidR="00B06D33" w:rsidRPr="00BA5FD4" w:rsidRDefault="00FB2DF8" w:rsidP="00F35988">
      <w:pPr>
        <w:autoSpaceDE w:val="0"/>
        <w:autoSpaceDN w:val="0"/>
        <w:adjustRightInd w:val="0"/>
        <w:spacing w:line="480" w:lineRule="auto"/>
        <w:rPr>
          <w:rFonts w:ascii="Times New Roman" w:hAnsi="Times New Roman"/>
        </w:rPr>
      </w:pPr>
      <w:r w:rsidRPr="00BA5FD4">
        <w:rPr>
          <w:rFonts w:ascii="Times New Roman" w:hAnsi="Times New Roman"/>
        </w:rPr>
        <w:tab/>
        <w:t xml:space="preserve">As Mr. </w:t>
      </w:r>
      <w:proofErr w:type="spellStart"/>
      <w:r w:rsidRPr="00BA5FD4">
        <w:rPr>
          <w:rFonts w:ascii="Times New Roman" w:hAnsi="Times New Roman"/>
        </w:rPr>
        <w:t>Eberdt</w:t>
      </w:r>
      <w:proofErr w:type="spellEnd"/>
      <w:r w:rsidRPr="00BA5FD4">
        <w:rPr>
          <w:rFonts w:ascii="Times New Roman" w:hAnsi="Times New Roman"/>
        </w:rPr>
        <w:t xml:space="preserve"> noted in his responsive testimony, this was one of the items </w:t>
      </w:r>
      <w:r w:rsidR="00D704C5" w:rsidRPr="00BA5FD4">
        <w:rPr>
          <w:rFonts w:ascii="Times New Roman" w:hAnsi="Times New Roman"/>
        </w:rPr>
        <w:t xml:space="preserve">discussed when the Energy Project and the Washington </w:t>
      </w:r>
      <w:r w:rsidR="00F50AF2" w:rsidRPr="00BA5FD4">
        <w:rPr>
          <w:rFonts w:ascii="Times New Roman" w:hAnsi="Times New Roman"/>
        </w:rPr>
        <w:t>CAAs</w:t>
      </w:r>
      <w:r w:rsidR="00D704C5" w:rsidRPr="00BA5FD4">
        <w:rPr>
          <w:rFonts w:ascii="Times New Roman" w:hAnsi="Times New Roman"/>
        </w:rPr>
        <w:t xml:space="preserve"> handling PacifiCorp’s service territory met </w:t>
      </w:r>
      <w:r w:rsidR="00D704C5" w:rsidRPr="00BA5FD4">
        <w:rPr>
          <w:rFonts w:ascii="Times New Roman" w:hAnsi="Times New Roman"/>
        </w:rPr>
        <w:lastRenderedPageBreak/>
        <w:t>with the Company last March.</w:t>
      </w:r>
      <w:r w:rsidRPr="00BA5FD4">
        <w:rPr>
          <w:rStyle w:val="FootnoteReference"/>
          <w:rFonts w:ascii="Times New Roman" w:hAnsi="Times New Roman"/>
        </w:rPr>
        <w:footnoteReference w:id="22"/>
      </w:r>
      <w:r w:rsidR="00D704C5" w:rsidRPr="00BA5FD4">
        <w:rPr>
          <w:rFonts w:ascii="Times New Roman" w:hAnsi="Times New Roman"/>
        </w:rPr>
        <w:t xml:space="preserve">  </w:t>
      </w:r>
      <w:r w:rsidRPr="00BA5FD4">
        <w:rPr>
          <w:rFonts w:ascii="Times New Roman" w:hAnsi="Times New Roman"/>
        </w:rPr>
        <w:t>The Energy Project proposes developing</w:t>
      </w:r>
      <w:r w:rsidR="00D704C5" w:rsidRPr="00BA5FD4">
        <w:rPr>
          <w:rFonts w:ascii="Times New Roman" w:hAnsi="Times New Roman"/>
        </w:rPr>
        <w:t xml:space="preserve"> a distinct mechanism that is specifically targeted, something different enough that focuses on a clearly distinct population to avoid the complication of having two income thresholds, one for</w:t>
      </w:r>
      <w:r w:rsidRPr="00BA5FD4">
        <w:rPr>
          <w:rFonts w:ascii="Times New Roman" w:hAnsi="Times New Roman"/>
        </w:rPr>
        <w:t xml:space="preserve"> LIHEAP and one for LIBA.  The Energy Project notes that the a</w:t>
      </w:r>
      <w:r w:rsidR="00D704C5" w:rsidRPr="00BA5FD4">
        <w:rPr>
          <w:rFonts w:ascii="Times New Roman" w:hAnsi="Times New Roman"/>
        </w:rPr>
        <w:t>gencies are certainly willing to work with the Company on an alternative delivery mechanism, other than the LIBA program as it is currently designed but I believe it is more complicated to work out than can be accomplished here.  Thus, the Energy Project</w:t>
      </w:r>
      <w:r w:rsidRPr="00BA5FD4">
        <w:rPr>
          <w:rFonts w:ascii="Times New Roman" w:hAnsi="Times New Roman"/>
        </w:rPr>
        <w:t xml:space="preserve"> proposes that</w:t>
      </w:r>
      <w:r w:rsidR="00D704C5" w:rsidRPr="00BA5FD4">
        <w:rPr>
          <w:rFonts w:ascii="Times New Roman" w:hAnsi="Times New Roman"/>
        </w:rPr>
        <w:t xml:space="preserve"> PacifiCorp and all other parties meet to discuss this possibility prior to the Company’s next general rate case.</w:t>
      </w:r>
    </w:p>
    <w:p w:rsidR="00FF139E" w:rsidRPr="00BA5FD4" w:rsidRDefault="00FF139E" w:rsidP="00F35988">
      <w:pPr>
        <w:autoSpaceDE w:val="0"/>
        <w:autoSpaceDN w:val="0"/>
        <w:adjustRightInd w:val="0"/>
        <w:spacing w:line="480" w:lineRule="auto"/>
        <w:rPr>
          <w:rFonts w:ascii="Times New Roman" w:hAnsi="Times New Roman" w:cs="Times New Roman"/>
        </w:rPr>
      </w:pPr>
      <w:r w:rsidRPr="00BA5FD4">
        <w:rPr>
          <w:rFonts w:ascii="Times New Roman" w:hAnsi="Times New Roman"/>
        </w:rPr>
        <w:tab/>
      </w:r>
      <w:r w:rsidR="00D704C5" w:rsidRPr="00BA5FD4">
        <w:rPr>
          <w:rFonts w:ascii="Times New Roman" w:hAnsi="Times New Roman"/>
        </w:rPr>
        <w:t xml:space="preserve">PPL witness </w:t>
      </w:r>
      <w:proofErr w:type="spellStart"/>
      <w:r w:rsidR="00D704C5" w:rsidRPr="00BA5FD4">
        <w:rPr>
          <w:rFonts w:ascii="Times New Roman" w:hAnsi="Times New Roman"/>
        </w:rPr>
        <w:t>Eberle</w:t>
      </w:r>
      <w:proofErr w:type="spellEnd"/>
      <w:r w:rsidR="00D704C5" w:rsidRPr="00BA5FD4">
        <w:rPr>
          <w:rFonts w:ascii="Times New Roman" w:hAnsi="Times New Roman"/>
        </w:rPr>
        <w:t xml:space="preserve"> is the only other witness and party to respond to TEP’s proposal.  Ms. </w:t>
      </w:r>
      <w:proofErr w:type="spellStart"/>
      <w:r w:rsidR="00D704C5" w:rsidRPr="00BA5FD4">
        <w:rPr>
          <w:rFonts w:ascii="Times New Roman" w:hAnsi="Times New Roman"/>
        </w:rPr>
        <w:t>Eberle</w:t>
      </w:r>
      <w:proofErr w:type="spellEnd"/>
      <w:r w:rsidR="00D704C5" w:rsidRPr="00BA5FD4">
        <w:rPr>
          <w:rFonts w:ascii="Times New Roman" w:hAnsi="Times New Roman"/>
        </w:rPr>
        <w:t xml:space="preserve"> testified that </w:t>
      </w:r>
      <w:r w:rsidR="00051567" w:rsidRPr="00BA5FD4">
        <w:rPr>
          <w:rFonts w:ascii="Times New Roman" w:hAnsi="Times New Roman"/>
        </w:rPr>
        <w:t>“t</w:t>
      </w:r>
      <w:r w:rsidRPr="00BA5FD4">
        <w:rPr>
          <w:rFonts w:ascii="Times New Roman" w:hAnsi="Times New Roman" w:cs="Times New Roman"/>
        </w:rPr>
        <w:t xml:space="preserve">he Company can accept Mr. </w:t>
      </w:r>
      <w:proofErr w:type="spellStart"/>
      <w:r w:rsidRPr="00BA5FD4">
        <w:rPr>
          <w:rFonts w:ascii="Times New Roman" w:hAnsi="Times New Roman" w:cs="Times New Roman"/>
        </w:rPr>
        <w:t>Eberdt’s</w:t>
      </w:r>
      <w:proofErr w:type="spellEnd"/>
      <w:r w:rsidRPr="00BA5FD4">
        <w:rPr>
          <w:rFonts w:ascii="Times New Roman" w:hAnsi="Times New Roman" w:cs="Times New Roman"/>
        </w:rPr>
        <w:t xml:space="preserve"> recommendation because it understands that there are many households with incomes at or below 125 percent of federal poverty guidelines today that are unable to enroll in the program due to the maximum annual cap of 4,475.</w:t>
      </w:r>
      <w:r w:rsidR="00051567" w:rsidRPr="00BA5FD4">
        <w:rPr>
          <w:rFonts w:ascii="Times New Roman" w:hAnsi="Times New Roman" w:cs="Times New Roman"/>
        </w:rPr>
        <w:t>”</w:t>
      </w:r>
      <w:r w:rsidRPr="00BA5FD4">
        <w:rPr>
          <w:rFonts w:ascii="Times New Roman" w:hAnsi="Times New Roman" w:cs="Times New Roman"/>
        </w:rPr>
        <w:t xml:space="preserve">  </w:t>
      </w:r>
      <w:r w:rsidR="00051567" w:rsidRPr="00BA5FD4">
        <w:rPr>
          <w:rFonts w:ascii="Times New Roman" w:hAnsi="Times New Roman" w:cs="Times New Roman"/>
        </w:rPr>
        <w:t xml:space="preserve">Ms. </w:t>
      </w:r>
      <w:proofErr w:type="spellStart"/>
      <w:r w:rsidR="00051567" w:rsidRPr="00BA5FD4">
        <w:rPr>
          <w:rFonts w:ascii="Times New Roman" w:hAnsi="Times New Roman" w:cs="Times New Roman"/>
        </w:rPr>
        <w:t>Eberle</w:t>
      </w:r>
      <w:proofErr w:type="spellEnd"/>
      <w:r w:rsidR="00051567" w:rsidRPr="00BA5FD4">
        <w:rPr>
          <w:rFonts w:ascii="Times New Roman" w:hAnsi="Times New Roman" w:cs="Times New Roman"/>
        </w:rPr>
        <w:t xml:space="preserve"> further notes that</w:t>
      </w:r>
      <w:r w:rsidRPr="00BA5FD4">
        <w:rPr>
          <w:rFonts w:ascii="Times New Roman" w:hAnsi="Times New Roman" w:cs="Times New Roman"/>
        </w:rPr>
        <w:t xml:space="preserve"> if a different poverty guideline threshold were applied to this program than the one that is in place for LIHEAP, </w:t>
      </w:r>
      <w:r w:rsidR="00051567" w:rsidRPr="00BA5FD4">
        <w:rPr>
          <w:rFonts w:ascii="Times New Roman" w:hAnsi="Times New Roman" w:cs="Times New Roman"/>
        </w:rPr>
        <w:t>“</w:t>
      </w:r>
      <w:r w:rsidRPr="00BA5FD4">
        <w:rPr>
          <w:rFonts w:ascii="Times New Roman" w:hAnsi="Times New Roman" w:cs="Times New Roman"/>
        </w:rPr>
        <w:t>it could increase the agencies’ administrative costs.</w:t>
      </w:r>
      <w:r w:rsidR="00051567" w:rsidRPr="00BA5FD4">
        <w:rPr>
          <w:rFonts w:ascii="Times New Roman" w:hAnsi="Times New Roman" w:cs="Times New Roman"/>
        </w:rPr>
        <w:t>”</w:t>
      </w:r>
      <w:r w:rsidRPr="00BA5FD4">
        <w:rPr>
          <w:rFonts w:ascii="Times New Roman" w:hAnsi="Times New Roman" w:cs="Times New Roman"/>
        </w:rPr>
        <w:t xml:space="preserve">  For these reasons, </w:t>
      </w:r>
      <w:r w:rsidR="00051567" w:rsidRPr="00BA5FD4">
        <w:rPr>
          <w:rFonts w:ascii="Times New Roman" w:hAnsi="Times New Roman" w:cs="Times New Roman"/>
        </w:rPr>
        <w:t>PPL agrees to maintain</w:t>
      </w:r>
      <w:r w:rsidRPr="00BA5FD4">
        <w:rPr>
          <w:rFonts w:ascii="Times New Roman" w:hAnsi="Times New Roman" w:cs="Times New Roman"/>
        </w:rPr>
        <w:t xml:space="preserve"> the income eligibility at or below 125 percent of federal poverty guidelines could be appropriate.</w:t>
      </w:r>
      <w:r w:rsidRPr="00BA5FD4">
        <w:rPr>
          <w:rStyle w:val="FootnoteReference"/>
          <w:rFonts w:ascii="Times New Roman" w:hAnsi="Times New Roman" w:cs="Times New Roman"/>
        </w:rPr>
        <w:footnoteReference w:id="23"/>
      </w:r>
    </w:p>
    <w:p w:rsidR="00FF139E" w:rsidRPr="00BA5FD4" w:rsidRDefault="00051567" w:rsidP="00F35988">
      <w:pPr>
        <w:autoSpaceDE w:val="0"/>
        <w:autoSpaceDN w:val="0"/>
        <w:adjustRightInd w:val="0"/>
        <w:spacing w:line="480" w:lineRule="auto"/>
        <w:rPr>
          <w:rFonts w:ascii="Times New Roman" w:hAnsi="Times New Roman"/>
        </w:rPr>
      </w:pPr>
      <w:r w:rsidRPr="00BA5FD4">
        <w:rPr>
          <w:rFonts w:ascii="Times New Roman" w:hAnsi="Times New Roman" w:cs="Times New Roman"/>
        </w:rPr>
        <w:tab/>
        <w:t xml:space="preserve">Considering the </w:t>
      </w:r>
      <w:r w:rsidR="002B564B" w:rsidRPr="00BA5FD4">
        <w:rPr>
          <w:rFonts w:ascii="Times New Roman" w:hAnsi="Times New Roman" w:cs="Times New Roman"/>
        </w:rPr>
        <w:t>complete</w:t>
      </w:r>
      <w:r w:rsidRPr="00BA5FD4">
        <w:rPr>
          <w:rFonts w:ascii="Times New Roman" w:hAnsi="Times New Roman" w:cs="Times New Roman"/>
        </w:rPr>
        <w:t xml:space="preserve"> agreement between the only two parties weighing in on the issue, the Energy Project proposes that no change be made to the LIBA income eligibility criterion at this time.</w:t>
      </w:r>
    </w:p>
    <w:p w:rsidR="00C6227F" w:rsidRPr="00BA5FD4" w:rsidRDefault="00C6227F" w:rsidP="00F35988">
      <w:pPr>
        <w:autoSpaceDE w:val="0"/>
        <w:autoSpaceDN w:val="0"/>
        <w:adjustRightInd w:val="0"/>
        <w:spacing w:line="480" w:lineRule="auto"/>
        <w:rPr>
          <w:rFonts w:ascii="Times New Roman" w:hAnsi="Times New Roman"/>
          <w:b/>
        </w:rPr>
      </w:pPr>
      <w:r w:rsidRPr="00BA5FD4">
        <w:rPr>
          <w:rFonts w:ascii="Times New Roman" w:hAnsi="Times New Roman"/>
        </w:rPr>
        <w:tab/>
      </w:r>
      <w:r w:rsidRPr="00BA5FD4">
        <w:rPr>
          <w:rFonts w:ascii="Times New Roman" w:hAnsi="Times New Roman"/>
          <w:b/>
        </w:rPr>
        <w:t>C.</w:t>
      </w:r>
      <w:r w:rsidRPr="00BA5FD4">
        <w:rPr>
          <w:rFonts w:ascii="Times New Roman" w:hAnsi="Times New Roman"/>
          <w:b/>
        </w:rPr>
        <w:tab/>
      </w:r>
      <w:r w:rsidR="00EF1E2F" w:rsidRPr="00BA5FD4">
        <w:rPr>
          <w:rFonts w:ascii="Times New Roman" w:hAnsi="Times New Roman"/>
          <w:b/>
        </w:rPr>
        <w:t>LIBA Certification</w:t>
      </w:r>
      <w:r w:rsidRPr="00BA5FD4">
        <w:rPr>
          <w:rFonts w:ascii="Times New Roman" w:hAnsi="Times New Roman"/>
          <w:b/>
        </w:rPr>
        <w:t xml:space="preserve"> Fee  </w:t>
      </w:r>
    </w:p>
    <w:p w:rsidR="001F6D6E" w:rsidRPr="00BA5FD4" w:rsidRDefault="001F6D6E" w:rsidP="00F35988">
      <w:pPr>
        <w:autoSpaceDE w:val="0"/>
        <w:autoSpaceDN w:val="0"/>
        <w:adjustRightInd w:val="0"/>
        <w:spacing w:line="480" w:lineRule="auto"/>
        <w:rPr>
          <w:rFonts w:ascii="Times New Roman" w:hAnsi="Times New Roman"/>
        </w:rPr>
      </w:pPr>
      <w:r w:rsidRPr="00BA5FD4">
        <w:rPr>
          <w:rFonts w:ascii="Times New Roman" w:hAnsi="Times New Roman"/>
        </w:rPr>
        <w:tab/>
        <w:t xml:space="preserve">The Energy Project </w:t>
      </w:r>
      <w:r w:rsidR="002B564B" w:rsidRPr="00BA5FD4">
        <w:rPr>
          <w:rFonts w:ascii="Times New Roman" w:hAnsi="Times New Roman"/>
        </w:rPr>
        <w:t>submits</w:t>
      </w:r>
      <w:r w:rsidRPr="00BA5FD4">
        <w:rPr>
          <w:rFonts w:ascii="Times New Roman" w:hAnsi="Times New Roman"/>
        </w:rPr>
        <w:t xml:space="preserve"> that the $48 fee currently paid to the CAAs to certify LIBA participants is less than necessary to cover the agencies’ actual certification costs</w:t>
      </w:r>
      <w:r w:rsidR="002B564B" w:rsidRPr="00BA5FD4">
        <w:rPr>
          <w:rFonts w:ascii="Times New Roman" w:hAnsi="Times New Roman"/>
        </w:rPr>
        <w:t xml:space="preserve"> and requests an </w:t>
      </w:r>
      <w:r w:rsidR="002B564B" w:rsidRPr="00BA5FD4">
        <w:rPr>
          <w:rFonts w:ascii="Times New Roman" w:hAnsi="Times New Roman"/>
        </w:rPr>
        <w:lastRenderedPageBreak/>
        <w:t>order from this Commission increasing the fee to $65</w:t>
      </w:r>
      <w:r w:rsidRPr="00BA5FD4">
        <w:rPr>
          <w:rFonts w:ascii="Times New Roman" w:hAnsi="Times New Roman"/>
        </w:rPr>
        <w:t xml:space="preserve">.  As evidentiary support for this proposal, the Energy Project submitted Exhibit No. </w:t>
      </w:r>
      <w:proofErr w:type="gramStart"/>
      <w:r w:rsidRPr="00BA5FD4">
        <w:rPr>
          <w:rFonts w:ascii="Times New Roman" w:hAnsi="Times New Roman"/>
        </w:rPr>
        <w:t xml:space="preserve">CME-4 which is </w:t>
      </w:r>
      <w:r w:rsidRPr="00BA5FD4">
        <w:rPr>
          <w:rFonts w:ascii="Times New Roman" w:hAnsi="Times New Roman" w:cs="TimesNewRomanPS-BoldMT"/>
        </w:rPr>
        <w:t>an accounting of the costs incurred by the Blue Mountain Action Council to certify a LIBA participant.</w:t>
      </w:r>
      <w:proofErr w:type="gramEnd"/>
      <w:r w:rsidRPr="00BA5FD4">
        <w:rPr>
          <w:rFonts w:ascii="Times New Roman" w:hAnsi="Times New Roman" w:cs="TimesNewRomanPS-BoldMT"/>
        </w:rPr>
        <w:t xml:space="preserve">  </w:t>
      </w:r>
      <w:proofErr w:type="gramStart"/>
      <w:r w:rsidR="002B564B" w:rsidRPr="00BA5FD4">
        <w:rPr>
          <w:rFonts w:ascii="Times New Roman" w:hAnsi="Times New Roman" w:cs="TimesNewRomanPS-BoldMT"/>
        </w:rPr>
        <w:t xml:space="preserve">As explained in the testimony of Mr. </w:t>
      </w:r>
      <w:proofErr w:type="spellStart"/>
      <w:r w:rsidR="002B564B" w:rsidRPr="00BA5FD4">
        <w:rPr>
          <w:rFonts w:ascii="Times New Roman" w:hAnsi="Times New Roman" w:cs="TimesNewRomanPS-BoldMT"/>
        </w:rPr>
        <w:t>Eberdt</w:t>
      </w:r>
      <w:proofErr w:type="spellEnd"/>
      <w:r w:rsidR="002B564B" w:rsidRPr="00BA5FD4">
        <w:rPr>
          <w:rFonts w:ascii="Times New Roman" w:hAnsi="Times New Roman" w:cs="TimesNewRomanPS-BoldMT"/>
        </w:rPr>
        <w:t>, the</w:t>
      </w:r>
      <w:r w:rsidRPr="00BA5FD4">
        <w:rPr>
          <w:rFonts w:ascii="Times New Roman" w:hAnsi="Times New Roman" w:cs="TimesNewRomanPS-BoldMT"/>
        </w:rPr>
        <w:t xml:space="preserve"> data</w:t>
      </w:r>
      <w:r w:rsidR="002B564B" w:rsidRPr="00BA5FD4">
        <w:rPr>
          <w:rFonts w:ascii="Times New Roman" w:hAnsi="Times New Roman" w:cs="TimesNewRomanPS-BoldMT"/>
        </w:rPr>
        <w:t xml:space="preserve"> contained in Exhibit No.</w:t>
      </w:r>
      <w:proofErr w:type="gramEnd"/>
      <w:r w:rsidR="002B564B" w:rsidRPr="00BA5FD4">
        <w:rPr>
          <w:rFonts w:ascii="Times New Roman" w:hAnsi="Times New Roman" w:cs="TimesNewRomanPS-BoldMT"/>
        </w:rPr>
        <w:t xml:space="preserve"> CME-4</w:t>
      </w:r>
      <w:r w:rsidRPr="00BA5FD4">
        <w:rPr>
          <w:rFonts w:ascii="Times New Roman" w:hAnsi="Times New Roman" w:cs="TimesNewRomanPS-BoldMT"/>
        </w:rPr>
        <w:t xml:space="preserve"> was obtained from Mr. Bob </w:t>
      </w:r>
      <w:proofErr w:type="spellStart"/>
      <w:r w:rsidRPr="00BA5FD4">
        <w:rPr>
          <w:rFonts w:ascii="Times New Roman" w:hAnsi="Times New Roman" w:cs="TimesNewRomanPS-BoldMT"/>
        </w:rPr>
        <w:t>Casoldi</w:t>
      </w:r>
      <w:proofErr w:type="spellEnd"/>
      <w:r w:rsidRPr="00BA5FD4">
        <w:rPr>
          <w:rFonts w:ascii="Times New Roman" w:hAnsi="Times New Roman" w:cs="TimesNewRomanPS-BoldMT"/>
        </w:rPr>
        <w:t xml:space="preserve"> who oversees implementation of both LIBA and LIHEAP for Blue Mountain.</w:t>
      </w:r>
      <w:r w:rsidR="003563C0" w:rsidRPr="00BA5FD4">
        <w:rPr>
          <w:rStyle w:val="FootnoteReference"/>
          <w:rFonts w:ascii="Times New Roman" w:hAnsi="Times New Roman" w:cs="TimesNewRomanPS-BoldMT"/>
        </w:rPr>
        <w:footnoteReference w:id="24"/>
      </w:r>
      <w:r w:rsidRPr="00BA5FD4">
        <w:rPr>
          <w:rFonts w:ascii="Times New Roman" w:hAnsi="Times New Roman" w:cs="TimesNewRomanPS-BoldMT"/>
        </w:rPr>
        <w:t xml:space="preserve">   To summarize Mr. </w:t>
      </w:r>
      <w:proofErr w:type="spellStart"/>
      <w:r w:rsidRPr="00BA5FD4">
        <w:rPr>
          <w:rFonts w:ascii="Times New Roman" w:hAnsi="Times New Roman" w:cs="TimesNewRomanPS-BoldMT"/>
        </w:rPr>
        <w:t>Castoldi’s</w:t>
      </w:r>
      <w:proofErr w:type="spellEnd"/>
      <w:r w:rsidRPr="00BA5FD4">
        <w:rPr>
          <w:rFonts w:ascii="Times New Roman" w:hAnsi="Times New Roman" w:cs="TimesNewRomanPS-BoldMT"/>
        </w:rPr>
        <w:t xml:space="preserve"> analysis, the cost to his agency is approximately $73 per qualified household to handle all the outreach, scheduling, calculation, verification, and communication needed</w:t>
      </w:r>
      <w:r w:rsidR="003563C0" w:rsidRPr="00BA5FD4">
        <w:rPr>
          <w:rFonts w:ascii="Times New Roman" w:hAnsi="Times New Roman" w:cs="TimesNewRomanPS-BoldMT"/>
        </w:rPr>
        <w:t xml:space="preserve"> to certify LIBA participants</w:t>
      </w:r>
      <w:r w:rsidRPr="00BA5FD4">
        <w:rPr>
          <w:rFonts w:ascii="Times New Roman" w:hAnsi="Times New Roman" w:cs="TimesNewRomanPS-BoldMT"/>
        </w:rPr>
        <w:t>.  Increasing the number</w:t>
      </w:r>
      <w:r w:rsidR="003563C0" w:rsidRPr="00BA5FD4">
        <w:rPr>
          <w:rFonts w:ascii="Times New Roman" w:hAnsi="Times New Roman" w:cs="TimesNewRomanPS-BoldMT"/>
        </w:rPr>
        <w:t xml:space="preserve"> of customers served under LIBA obviously</w:t>
      </w:r>
      <w:r w:rsidRPr="00BA5FD4">
        <w:rPr>
          <w:rFonts w:ascii="Times New Roman" w:hAnsi="Times New Roman" w:cs="TimesNewRomanPS-BoldMT"/>
        </w:rPr>
        <w:t xml:space="preserve"> increases the </w:t>
      </w:r>
      <w:r w:rsidR="003563C0" w:rsidRPr="00BA5FD4">
        <w:rPr>
          <w:rFonts w:ascii="Times New Roman" w:hAnsi="Times New Roman" w:cs="TimesNewRomanPS-BoldMT"/>
        </w:rPr>
        <w:t xml:space="preserve">costs as outlined in Exhibit No. </w:t>
      </w:r>
      <w:proofErr w:type="gramStart"/>
      <w:r w:rsidR="003563C0" w:rsidRPr="00BA5FD4">
        <w:rPr>
          <w:rFonts w:ascii="Times New Roman" w:hAnsi="Times New Roman" w:cs="TimesNewRomanPS-BoldMT"/>
        </w:rPr>
        <w:t>CME-4.</w:t>
      </w:r>
      <w:proofErr w:type="gramEnd"/>
      <w:r w:rsidRPr="00BA5FD4">
        <w:rPr>
          <w:rFonts w:ascii="Times New Roman" w:hAnsi="Times New Roman" w:cs="TimesNewRomanPS-BoldMT"/>
        </w:rPr>
        <w:t xml:space="preserve">  </w:t>
      </w:r>
      <w:r w:rsidR="003563C0" w:rsidRPr="00BA5FD4">
        <w:rPr>
          <w:rFonts w:ascii="Times New Roman" w:hAnsi="Times New Roman" w:cs="TimesNewRomanPS-BoldMT"/>
        </w:rPr>
        <w:t>Though the cost for certifying LIBA as calculated by Blue Mountain is $73 per participant, t</w:t>
      </w:r>
      <w:r w:rsidRPr="00BA5FD4">
        <w:rPr>
          <w:rFonts w:ascii="Times New Roman" w:hAnsi="Times New Roman" w:cs="TimesNewRomanPS-BoldMT"/>
        </w:rPr>
        <w:t xml:space="preserve">he Energy Project proposes in this case that the certification fee be increased to $65 per </w:t>
      </w:r>
      <w:r w:rsidR="003563C0" w:rsidRPr="00BA5FD4">
        <w:rPr>
          <w:rFonts w:ascii="Times New Roman" w:hAnsi="Times New Roman" w:cs="TimesNewRomanPS-BoldMT"/>
        </w:rPr>
        <w:t>qualified participant</w:t>
      </w:r>
      <w:r w:rsidRPr="00BA5FD4">
        <w:rPr>
          <w:rFonts w:ascii="Times New Roman" w:hAnsi="Times New Roman" w:cs="TimesNewRomanPS-BoldMT"/>
        </w:rPr>
        <w:t>.</w:t>
      </w:r>
    </w:p>
    <w:p w:rsidR="002572DA" w:rsidRPr="00BA5FD4" w:rsidRDefault="007E18CB" w:rsidP="00F35988">
      <w:pPr>
        <w:autoSpaceDE w:val="0"/>
        <w:autoSpaceDN w:val="0"/>
        <w:adjustRightInd w:val="0"/>
        <w:spacing w:line="480" w:lineRule="auto"/>
        <w:rPr>
          <w:rFonts w:ascii="Times New Roman" w:hAnsi="Times New Roman"/>
        </w:rPr>
      </w:pPr>
      <w:r w:rsidRPr="00BA5FD4">
        <w:rPr>
          <w:rFonts w:ascii="Times New Roman" w:hAnsi="Times New Roman"/>
        </w:rPr>
        <w:tab/>
        <w:t xml:space="preserve">Because the validity of several of PPL’s and Staff’s recommendations in this case involving LIBA rest on the assumption that the current certification fee of $48 sufficiently recovers all of the CAAs certification costs, and the only evidence submitted by any party to this proceeding as to what those costs actually are, the issue of certification fee </w:t>
      </w:r>
      <w:r w:rsidR="009D5D69" w:rsidRPr="00BA5FD4">
        <w:rPr>
          <w:rFonts w:ascii="Times New Roman" w:hAnsi="Times New Roman"/>
        </w:rPr>
        <w:t xml:space="preserve">transcends whether the agencies are being fairly compensated into issues such as whether the agencies should be required to serve additional customers when, as asserted by the Energy Project, the agencies cannot afford to certify the existing number of customers due to an unreasonably low administrative fee.  </w:t>
      </w:r>
    </w:p>
    <w:p w:rsidR="003008F3" w:rsidRPr="00BA5FD4" w:rsidRDefault="002572DA" w:rsidP="00F35988">
      <w:pPr>
        <w:autoSpaceDE w:val="0"/>
        <w:autoSpaceDN w:val="0"/>
        <w:adjustRightInd w:val="0"/>
        <w:spacing w:line="480" w:lineRule="auto"/>
        <w:rPr>
          <w:rFonts w:ascii="Times New Roman" w:hAnsi="Times New Roman"/>
        </w:rPr>
      </w:pPr>
      <w:r w:rsidRPr="00BA5FD4">
        <w:rPr>
          <w:rFonts w:ascii="Times New Roman" w:hAnsi="Times New Roman"/>
        </w:rPr>
        <w:tab/>
      </w:r>
      <w:r w:rsidR="009D5D69" w:rsidRPr="00BA5FD4">
        <w:rPr>
          <w:rFonts w:ascii="Times New Roman" w:hAnsi="Times New Roman"/>
        </w:rPr>
        <w:t>As an</w:t>
      </w:r>
      <w:r w:rsidR="007E18CB" w:rsidRPr="00BA5FD4">
        <w:rPr>
          <w:rFonts w:ascii="Times New Roman" w:hAnsi="Times New Roman"/>
        </w:rPr>
        <w:t xml:space="preserve"> example, Mr. </w:t>
      </w:r>
      <w:proofErr w:type="spellStart"/>
      <w:r w:rsidR="007E18CB" w:rsidRPr="00BA5FD4">
        <w:rPr>
          <w:rFonts w:ascii="Times New Roman" w:hAnsi="Times New Roman"/>
        </w:rPr>
        <w:t>Schooley</w:t>
      </w:r>
      <w:proofErr w:type="spellEnd"/>
      <w:r w:rsidR="007E18CB" w:rsidRPr="00BA5FD4">
        <w:rPr>
          <w:rFonts w:ascii="Times New Roman" w:hAnsi="Times New Roman"/>
        </w:rPr>
        <w:t xml:space="preserve"> proposes </w:t>
      </w:r>
      <w:r w:rsidR="009D5D69" w:rsidRPr="00BA5FD4">
        <w:rPr>
          <w:rFonts w:ascii="Times New Roman" w:hAnsi="Times New Roman"/>
        </w:rPr>
        <w:t xml:space="preserve">in his testimony </w:t>
      </w:r>
      <w:r w:rsidR="007E18CB" w:rsidRPr="00BA5FD4">
        <w:rPr>
          <w:rFonts w:ascii="Times New Roman" w:hAnsi="Times New Roman"/>
        </w:rPr>
        <w:t xml:space="preserve">that in order to overcome the revenue shortfall that the CAAs will face if required </w:t>
      </w:r>
      <w:proofErr w:type="gramStart"/>
      <w:r w:rsidR="007E18CB" w:rsidRPr="00BA5FD4">
        <w:rPr>
          <w:rFonts w:ascii="Times New Roman" w:hAnsi="Times New Roman"/>
        </w:rPr>
        <w:t>to serve</w:t>
      </w:r>
      <w:proofErr w:type="gramEnd"/>
      <w:r w:rsidR="007E18CB" w:rsidRPr="00BA5FD4">
        <w:rPr>
          <w:rFonts w:ascii="Times New Roman" w:hAnsi="Times New Roman"/>
        </w:rPr>
        <w:t xml:space="preserve"> additional customers that they simply serve more customers</w:t>
      </w:r>
      <w:r w:rsidR="009D5D69" w:rsidRPr="00BA5FD4">
        <w:rPr>
          <w:rFonts w:ascii="Times New Roman" w:hAnsi="Times New Roman"/>
        </w:rPr>
        <w:t xml:space="preserve">.  Mr. </w:t>
      </w:r>
      <w:proofErr w:type="spellStart"/>
      <w:r w:rsidR="009D5D69" w:rsidRPr="00BA5FD4">
        <w:rPr>
          <w:rFonts w:ascii="Times New Roman" w:hAnsi="Times New Roman"/>
        </w:rPr>
        <w:t>Schooley</w:t>
      </w:r>
      <w:proofErr w:type="spellEnd"/>
      <w:r w:rsidR="009D5D69" w:rsidRPr="00BA5FD4">
        <w:rPr>
          <w:rFonts w:ascii="Times New Roman" w:hAnsi="Times New Roman"/>
        </w:rPr>
        <w:t xml:space="preserve"> testified: “If the agencies wish to maintain their </w:t>
      </w:r>
      <w:r w:rsidR="009D5D69" w:rsidRPr="00BA5FD4">
        <w:rPr>
          <w:rFonts w:ascii="Times New Roman" w:hAnsi="Times New Roman"/>
        </w:rPr>
        <w:lastRenderedPageBreak/>
        <w:t>income levels, they, and their advocates, have the opportunity to consider significantly increasing the number of participants.”</w:t>
      </w:r>
      <w:r w:rsidR="009D5D69" w:rsidRPr="00BA5FD4">
        <w:rPr>
          <w:rStyle w:val="FootnoteReference"/>
          <w:rFonts w:ascii="Times New Roman" w:hAnsi="Times New Roman"/>
        </w:rPr>
        <w:footnoteReference w:id="25"/>
      </w:r>
      <w:r w:rsidRPr="00BA5FD4">
        <w:rPr>
          <w:rFonts w:ascii="Times New Roman" w:hAnsi="Times New Roman"/>
        </w:rPr>
        <w:t xml:space="preserve">  The fallacy of this logic is apparent.  To draw an analogy, any business selling a product or service that does not cover the costs of that product or service cannot simply increase production to solve their financial dilemma.  Mr. </w:t>
      </w:r>
      <w:proofErr w:type="spellStart"/>
      <w:r w:rsidRPr="00BA5FD4">
        <w:rPr>
          <w:rFonts w:ascii="Times New Roman" w:hAnsi="Times New Roman"/>
        </w:rPr>
        <w:t>Schooley</w:t>
      </w:r>
      <w:proofErr w:type="spellEnd"/>
      <w:r w:rsidRPr="00BA5FD4">
        <w:rPr>
          <w:rFonts w:ascii="Times New Roman" w:hAnsi="Times New Roman"/>
        </w:rPr>
        <w:t xml:space="preserve"> seems to recognize this himself when he testified: </w:t>
      </w:r>
      <w:proofErr w:type="gramStart"/>
      <w:r w:rsidRPr="00BA5FD4">
        <w:rPr>
          <w:rFonts w:ascii="Times New Roman" w:hAnsi="Times New Roman"/>
        </w:rPr>
        <w:t>“</w:t>
      </w:r>
      <w:r w:rsidR="009D5D69" w:rsidRPr="00BA5FD4">
        <w:rPr>
          <w:rFonts w:ascii="Times New Roman" w:hAnsi="Times New Roman"/>
        </w:rPr>
        <w:t xml:space="preserve"> Of</w:t>
      </w:r>
      <w:proofErr w:type="gramEnd"/>
      <w:r w:rsidR="009D5D69" w:rsidRPr="00BA5FD4">
        <w:rPr>
          <w:rFonts w:ascii="Times New Roman" w:hAnsi="Times New Roman"/>
        </w:rPr>
        <w:t xml:space="preserve"> course, this would necessitate a substantial increase in the surcharge.  </w:t>
      </w:r>
      <w:r w:rsidR="009D5D69" w:rsidRPr="00BA5FD4">
        <w:rPr>
          <w:rFonts w:ascii="Times New Roman" w:hAnsi="Times New Roman"/>
          <w:u w:val="single"/>
        </w:rPr>
        <w:t>The agencies through their advocates may bring such proposals to the Commission for consideration</w:t>
      </w:r>
      <w:r w:rsidR="009D5D69" w:rsidRPr="00BA5FD4">
        <w:rPr>
          <w:rFonts w:ascii="Times New Roman" w:hAnsi="Times New Roman"/>
        </w:rPr>
        <w:t>.</w:t>
      </w:r>
      <w:r w:rsidRPr="00BA5FD4">
        <w:rPr>
          <w:rFonts w:ascii="Times New Roman" w:hAnsi="Times New Roman"/>
        </w:rPr>
        <w:t>”</w:t>
      </w:r>
      <w:r w:rsidRPr="00BA5FD4">
        <w:rPr>
          <w:rStyle w:val="FootnoteReference"/>
          <w:rFonts w:ascii="Times New Roman" w:hAnsi="Times New Roman"/>
        </w:rPr>
        <w:footnoteReference w:id="26"/>
      </w:r>
      <w:r w:rsidR="00C8128D" w:rsidRPr="00BA5FD4">
        <w:rPr>
          <w:rFonts w:ascii="Times New Roman" w:hAnsi="Times New Roman"/>
        </w:rPr>
        <w:t xml:space="preserve">  It is the last sentence of the foregoing quote that reveals the hole in Staff’s logic.  </w:t>
      </w:r>
    </w:p>
    <w:p w:rsidR="001F6D6E" w:rsidRPr="00BA5FD4" w:rsidRDefault="003008F3" w:rsidP="00F35988">
      <w:pPr>
        <w:autoSpaceDE w:val="0"/>
        <w:autoSpaceDN w:val="0"/>
        <w:adjustRightInd w:val="0"/>
        <w:spacing w:line="480" w:lineRule="auto"/>
        <w:rPr>
          <w:rFonts w:ascii="Times New Roman" w:hAnsi="Times New Roman"/>
        </w:rPr>
      </w:pPr>
      <w:r w:rsidRPr="00BA5FD4">
        <w:rPr>
          <w:rFonts w:ascii="Times New Roman" w:hAnsi="Times New Roman"/>
        </w:rPr>
        <w:tab/>
      </w:r>
      <w:r w:rsidR="00C8128D" w:rsidRPr="00BA5FD4">
        <w:rPr>
          <w:rFonts w:ascii="Times New Roman" w:hAnsi="Times New Roman"/>
        </w:rPr>
        <w:t xml:space="preserve">One of the proposals made by Mr. </w:t>
      </w:r>
      <w:proofErr w:type="spellStart"/>
      <w:r w:rsidR="00C8128D" w:rsidRPr="00BA5FD4">
        <w:rPr>
          <w:rFonts w:ascii="Times New Roman" w:hAnsi="Times New Roman"/>
        </w:rPr>
        <w:t>Eberdt</w:t>
      </w:r>
      <w:proofErr w:type="spellEnd"/>
      <w:r w:rsidR="00C8128D" w:rsidRPr="00BA5FD4">
        <w:rPr>
          <w:rFonts w:ascii="Times New Roman" w:hAnsi="Times New Roman"/>
        </w:rPr>
        <w:t xml:space="preserve"> is for an increase in the certification (administrative) fee in this case.  Mr. </w:t>
      </w:r>
      <w:proofErr w:type="spellStart"/>
      <w:r w:rsidR="00C8128D" w:rsidRPr="00BA5FD4">
        <w:rPr>
          <w:rFonts w:ascii="Times New Roman" w:hAnsi="Times New Roman"/>
        </w:rPr>
        <w:t>Schooley’s</w:t>
      </w:r>
      <w:proofErr w:type="spellEnd"/>
      <w:r w:rsidR="00C8128D" w:rsidRPr="00BA5FD4">
        <w:rPr>
          <w:rFonts w:ascii="Times New Roman" w:hAnsi="Times New Roman"/>
        </w:rPr>
        <w:t xml:space="preserve"> logic, therefore, seems flawed.  Staff supports PPL’s proposal that more customers be served under LIBA, </w:t>
      </w:r>
      <w:r w:rsidR="00C568CB" w:rsidRPr="00BA5FD4">
        <w:rPr>
          <w:rFonts w:ascii="Times New Roman" w:hAnsi="Times New Roman"/>
        </w:rPr>
        <w:t xml:space="preserve">then notes that the agencies will experience a revenue shortfall in LIBA certification, but that the answer is for their “advocates” to bring a request for increased funding, including administrative fee, before the Commission, when this is precisely what the Energy Project is doing in this proceeding.  Staff’s position is </w:t>
      </w:r>
      <w:r w:rsidRPr="00BA5FD4">
        <w:rPr>
          <w:rFonts w:ascii="Times New Roman" w:hAnsi="Times New Roman"/>
        </w:rPr>
        <w:t>difficult to understand logically.</w:t>
      </w:r>
      <w:r w:rsidR="00C568CB" w:rsidRPr="00BA5FD4">
        <w:rPr>
          <w:rFonts w:ascii="Times New Roman" w:hAnsi="Times New Roman"/>
        </w:rPr>
        <w:t xml:space="preserve">  In reality, Staff is proposing that LIBA be increased by an amount that is roughly equal to the rate increase proposed by PPL for its residential customers, that </w:t>
      </w:r>
      <w:r w:rsidRPr="00BA5FD4">
        <w:rPr>
          <w:rFonts w:ascii="Times New Roman" w:hAnsi="Times New Roman"/>
        </w:rPr>
        <w:t>the agencies be required to serve more customers which will require them to seek and obtain additional funding (which is what the agencies are doing in this case), but Staff opposes any increase in the administrative fee until some future time in a separate docket.  This line of reasoning is circular at best.</w:t>
      </w:r>
    </w:p>
    <w:p w:rsidR="00D60248" w:rsidRPr="00BA5FD4" w:rsidRDefault="007E18CB" w:rsidP="00F35988">
      <w:pPr>
        <w:autoSpaceDE w:val="0"/>
        <w:autoSpaceDN w:val="0"/>
        <w:adjustRightInd w:val="0"/>
        <w:spacing w:line="480" w:lineRule="auto"/>
        <w:rPr>
          <w:rFonts w:ascii="Times New Roman" w:hAnsi="Times New Roman"/>
        </w:rPr>
      </w:pPr>
      <w:r w:rsidRPr="00BA5FD4">
        <w:rPr>
          <w:rFonts w:ascii="Times New Roman" w:hAnsi="Times New Roman"/>
        </w:rPr>
        <w:tab/>
      </w:r>
      <w:r w:rsidR="00474D4F" w:rsidRPr="00BA5FD4">
        <w:rPr>
          <w:rFonts w:ascii="Times New Roman" w:hAnsi="Times New Roman"/>
        </w:rPr>
        <w:t xml:space="preserve">Regarding the evidence put forth by the Energy Project to seek the additional funding, in the form of increased administrative </w:t>
      </w:r>
      <w:proofErr w:type="gramStart"/>
      <w:r w:rsidR="00474D4F" w:rsidRPr="00BA5FD4">
        <w:rPr>
          <w:rFonts w:ascii="Times New Roman" w:hAnsi="Times New Roman"/>
        </w:rPr>
        <w:t xml:space="preserve">fee, that Mr. </w:t>
      </w:r>
      <w:proofErr w:type="spellStart"/>
      <w:r w:rsidR="00474D4F" w:rsidRPr="00BA5FD4">
        <w:rPr>
          <w:rFonts w:ascii="Times New Roman" w:hAnsi="Times New Roman"/>
        </w:rPr>
        <w:t>Schooley</w:t>
      </w:r>
      <w:proofErr w:type="spellEnd"/>
      <w:r w:rsidR="00474D4F" w:rsidRPr="00BA5FD4">
        <w:rPr>
          <w:rFonts w:ascii="Times New Roman" w:hAnsi="Times New Roman"/>
        </w:rPr>
        <w:t xml:space="preserve"> refers to,</w:t>
      </w:r>
      <w:proofErr w:type="gramEnd"/>
      <w:r w:rsidR="00474D4F" w:rsidRPr="00BA5FD4">
        <w:rPr>
          <w:rFonts w:ascii="Times New Roman" w:hAnsi="Times New Roman"/>
        </w:rPr>
        <w:t xml:space="preserve"> </w:t>
      </w:r>
      <w:r w:rsidRPr="00BA5FD4">
        <w:rPr>
          <w:rFonts w:ascii="Times New Roman" w:hAnsi="Times New Roman"/>
        </w:rPr>
        <w:t xml:space="preserve">Staff dismisses Exhibit No. </w:t>
      </w:r>
      <w:r w:rsidRPr="00BA5FD4">
        <w:rPr>
          <w:rFonts w:ascii="Times New Roman" w:hAnsi="Times New Roman"/>
        </w:rPr>
        <w:lastRenderedPageBreak/>
        <w:t>CME-4 and the Energy Project’s contention that the agencies are not being sufficiently compensated on the basis that Exhibit CME-4 reflects the costs of only one of th</w:t>
      </w:r>
      <w:r w:rsidR="00D60248" w:rsidRPr="00BA5FD4">
        <w:rPr>
          <w:rFonts w:ascii="Times New Roman" w:hAnsi="Times New Roman"/>
        </w:rPr>
        <w:t xml:space="preserve">ree agencies and one month of associated costs instead of an entire year.  </w:t>
      </w:r>
      <w:proofErr w:type="gramStart"/>
      <w:r w:rsidR="00D60248" w:rsidRPr="00BA5FD4">
        <w:rPr>
          <w:rFonts w:ascii="Times New Roman" w:hAnsi="Times New Roman"/>
        </w:rPr>
        <w:t xml:space="preserve">If one </w:t>
      </w:r>
      <w:r w:rsidR="007A0DEC" w:rsidRPr="00BA5FD4">
        <w:rPr>
          <w:rFonts w:ascii="Times New Roman" w:hAnsi="Times New Roman"/>
        </w:rPr>
        <w:t xml:space="preserve">carefully </w:t>
      </w:r>
      <w:r w:rsidR="00D60248" w:rsidRPr="00BA5FD4">
        <w:rPr>
          <w:rFonts w:ascii="Times New Roman" w:hAnsi="Times New Roman"/>
        </w:rPr>
        <w:t>examines Exhibit No.</w:t>
      </w:r>
      <w:proofErr w:type="gramEnd"/>
      <w:r w:rsidR="00D60248" w:rsidRPr="00BA5FD4">
        <w:rPr>
          <w:rFonts w:ascii="Times New Roman" w:hAnsi="Times New Roman"/>
        </w:rPr>
        <w:t xml:space="preserve"> CME-4, however, it is stated at the bottom that it takes two employees working 13 weeks to certify 805 customers.  The certification cost for Blue Mountain, therefore, is calculated by breaking out associated costs for one month, then using this figure to determine costs for the entire year.</w:t>
      </w:r>
    </w:p>
    <w:p w:rsidR="007E18CB" w:rsidRPr="00BA5FD4" w:rsidRDefault="00D60248" w:rsidP="00623155">
      <w:pPr>
        <w:autoSpaceDE w:val="0"/>
        <w:autoSpaceDN w:val="0"/>
        <w:adjustRightInd w:val="0"/>
        <w:spacing w:line="480" w:lineRule="auto"/>
        <w:rPr>
          <w:rFonts w:ascii="Times New Roman" w:hAnsi="Times New Roman"/>
        </w:rPr>
      </w:pPr>
      <w:r w:rsidRPr="00BA5FD4">
        <w:rPr>
          <w:rFonts w:ascii="Times New Roman" w:hAnsi="Times New Roman"/>
        </w:rPr>
        <w:tab/>
        <w:t xml:space="preserve">The entirety of Staff’s argument on this issue is as follows: “Staff is not opposed to the principle that PacifiCorp should fairly compensate low income agencies for this work.  However, Mr. </w:t>
      </w:r>
      <w:proofErr w:type="spellStart"/>
      <w:r w:rsidRPr="00BA5FD4">
        <w:rPr>
          <w:rFonts w:ascii="Times New Roman" w:hAnsi="Times New Roman"/>
        </w:rPr>
        <w:t>Eberdt’s</w:t>
      </w:r>
      <w:proofErr w:type="spellEnd"/>
      <w:r w:rsidRPr="00BA5FD4">
        <w:rPr>
          <w:rFonts w:ascii="Times New Roman" w:hAnsi="Times New Roman"/>
        </w:rPr>
        <w:t xml:space="preserve"> exhibit is insufficient to justify a change in the current level.  For example, his exhibit contains information for one month, for one agency.  The other two agencies and the other eleven months are notably absent.  A thorough review of the low-income agency expenses and operations is needed in order to judge a realistic reimbursement rate.  Therefore, the Commission should maintain the current rate of $48 per certified customer.”</w:t>
      </w:r>
      <w:r w:rsidRPr="00BA5FD4">
        <w:rPr>
          <w:rStyle w:val="FootnoteReference"/>
          <w:rFonts w:ascii="Times New Roman" w:hAnsi="Times New Roman"/>
        </w:rPr>
        <w:footnoteReference w:id="27"/>
      </w:r>
    </w:p>
    <w:p w:rsidR="007E18CB" w:rsidRPr="00BA5FD4" w:rsidRDefault="008A3F28" w:rsidP="00623155">
      <w:pPr>
        <w:autoSpaceDE w:val="0"/>
        <w:autoSpaceDN w:val="0"/>
        <w:adjustRightInd w:val="0"/>
        <w:spacing w:line="480" w:lineRule="auto"/>
        <w:rPr>
          <w:rFonts w:ascii="Times New Roman" w:hAnsi="Times New Roman"/>
        </w:rPr>
      </w:pPr>
      <w:r w:rsidRPr="00BA5FD4">
        <w:rPr>
          <w:rFonts w:ascii="Times New Roman" w:hAnsi="Times New Roman"/>
        </w:rPr>
        <w:tab/>
        <w:t>Staff did not challenge any particular cost calculation contained in Exhibit CME-4 and did not offer any calculations or analyses of its own regarding the costs incurred by the agencies in certifying LIBA participants.  Staff simply dismisses the Energy Project’s evidence as insufficient and argues that “a thorough review of the low-income agency expenses and operations is needed in order to judge a realistic reimbursement rate.”</w:t>
      </w:r>
      <w:r w:rsidRPr="00BA5FD4">
        <w:rPr>
          <w:rStyle w:val="FootnoteReference"/>
          <w:rFonts w:ascii="Times New Roman" w:hAnsi="Times New Roman"/>
        </w:rPr>
        <w:footnoteReference w:id="28"/>
      </w:r>
      <w:r w:rsidR="00E72B3E" w:rsidRPr="00BA5FD4">
        <w:rPr>
          <w:rFonts w:ascii="Times New Roman" w:hAnsi="Times New Roman"/>
        </w:rPr>
        <w:t xml:space="preserve">  Again, Staff simultaneously agrees with PPL’s proposal for the agencies to serve additional customers, notes that this will cause an administrative revenue shortfall for the agencies, proposes to remedy this by serving more customers which will cost more money which the agencies must seek through </w:t>
      </w:r>
      <w:r w:rsidR="00E72B3E" w:rsidRPr="00BA5FD4">
        <w:rPr>
          <w:rFonts w:ascii="Times New Roman" w:hAnsi="Times New Roman"/>
        </w:rPr>
        <w:lastRenderedPageBreak/>
        <w:t>their advocates, then dismisses the agencies’ attempts to prove the need for and obtain additional administrative funding as insufficient and propose that the matter somehow be resolved through a separate proceeding at some unspecified time in the future.</w:t>
      </w:r>
    </w:p>
    <w:p w:rsidR="00B37451" w:rsidRPr="00BA5FD4" w:rsidRDefault="00AA07D4" w:rsidP="00623155">
      <w:pPr>
        <w:autoSpaceDE w:val="0"/>
        <w:autoSpaceDN w:val="0"/>
        <w:adjustRightInd w:val="0"/>
        <w:spacing w:line="480" w:lineRule="auto"/>
        <w:rPr>
          <w:rFonts w:ascii="Times New Roman" w:hAnsi="Times New Roman" w:cs="Times New Roman"/>
        </w:rPr>
      </w:pPr>
      <w:r w:rsidRPr="00BA5FD4">
        <w:rPr>
          <w:rFonts w:ascii="Times New Roman" w:hAnsi="Times New Roman"/>
        </w:rPr>
        <w:tab/>
      </w:r>
      <w:r w:rsidR="000C0ED9" w:rsidRPr="00BA5FD4">
        <w:rPr>
          <w:rFonts w:ascii="Times New Roman" w:hAnsi="Times New Roman"/>
        </w:rPr>
        <w:t xml:space="preserve">The entirety of PPL’s position on the issue is set forth in Ms. </w:t>
      </w:r>
      <w:proofErr w:type="spellStart"/>
      <w:r w:rsidR="000C0ED9" w:rsidRPr="00BA5FD4">
        <w:rPr>
          <w:rFonts w:ascii="Times New Roman" w:hAnsi="Times New Roman"/>
        </w:rPr>
        <w:t>Eberle’s</w:t>
      </w:r>
      <w:proofErr w:type="spellEnd"/>
      <w:r w:rsidR="000C0ED9" w:rsidRPr="00BA5FD4">
        <w:rPr>
          <w:rFonts w:ascii="Times New Roman" w:hAnsi="Times New Roman"/>
        </w:rPr>
        <w:t xml:space="preserve"> testimony as follows: “</w:t>
      </w:r>
      <w:r w:rsidR="000C0ED9" w:rsidRPr="00BA5FD4">
        <w:rPr>
          <w:rFonts w:ascii="Times New Roman" w:hAnsi="Times New Roman" w:cs="Times New Roman"/>
        </w:rPr>
        <w:t>The Company does not believe that this is in the best interest of its customers.  However, PacifiCorp recognizes that its partnering agencies are providing a variety of valuable services often with minimal funding.</w:t>
      </w:r>
      <w:r w:rsidR="007C5999" w:rsidRPr="00BA5FD4">
        <w:rPr>
          <w:rFonts w:ascii="Times New Roman" w:hAnsi="Times New Roman" w:cs="Times New Roman"/>
        </w:rPr>
        <w:t xml:space="preserve">  In fact, Ms. </w:t>
      </w:r>
      <w:proofErr w:type="spellStart"/>
      <w:r w:rsidR="007C5999" w:rsidRPr="00BA5FD4">
        <w:rPr>
          <w:rFonts w:ascii="Times New Roman" w:hAnsi="Times New Roman" w:cs="Times New Roman"/>
        </w:rPr>
        <w:t>Eberle</w:t>
      </w:r>
      <w:proofErr w:type="spellEnd"/>
      <w:r w:rsidR="007C5999" w:rsidRPr="00BA5FD4">
        <w:rPr>
          <w:rFonts w:ascii="Times New Roman" w:hAnsi="Times New Roman" w:cs="Times New Roman"/>
        </w:rPr>
        <w:t xml:space="preserve"> testified:  “PacifiCorp recognizes that its partnering agencies are providing a variety of valuable services often with minimal funding.”</w:t>
      </w:r>
      <w:r w:rsidR="007C5999" w:rsidRPr="00BA5FD4">
        <w:rPr>
          <w:rStyle w:val="FootnoteReference"/>
          <w:rFonts w:ascii="Times New Roman" w:hAnsi="Times New Roman" w:cs="Times New Roman"/>
        </w:rPr>
        <w:footnoteReference w:id="29"/>
      </w:r>
      <w:r w:rsidR="007C5999" w:rsidRPr="00BA5FD4">
        <w:rPr>
          <w:rFonts w:ascii="Times New Roman" w:hAnsi="Times New Roman" w:cs="Times New Roman"/>
        </w:rPr>
        <w:t xml:space="preserve"> (p.7, </w:t>
      </w:r>
      <w:proofErr w:type="spellStart"/>
      <w:r w:rsidR="007C5999" w:rsidRPr="00BA5FD4">
        <w:rPr>
          <w:rFonts w:ascii="Times New Roman" w:hAnsi="Times New Roman" w:cs="Times New Roman"/>
        </w:rPr>
        <w:t>lns</w:t>
      </w:r>
      <w:proofErr w:type="spellEnd"/>
      <w:r w:rsidR="007C5999" w:rsidRPr="00BA5FD4">
        <w:rPr>
          <w:rFonts w:ascii="Times New Roman" w:hAnsi="Times New Roman" w:cs="Times New Roman"/>
        </w:rPr>
        <w:t xml:space="preserve"> 10-19)</w:t>
      </w:r>
      <w:r w:rsidR="000C0ED9" w:rsidRPr="00BA5FD4">
        <w:rPr>
          <w:rFonts w:ascii="Times New Roman" w:hAnsi="Times New Roman" w:cs="Times New Roman"/>
        </w:rPr>
        <w:t xml:space="preserve">  Instead of increasing administrative costs, the Company requests Commission staff convene a collaborative meeting of interested parties to determine how the certification process can be modified in order to lower agency costs and increase benefits to people in need.”</w:t>
      </w:r>
      <w:r w:rsidR="000C0ED9" w:rsidRPr="00BA5FD4">
        <w:rPr>
          <w:rStyle w:val="FootnoteReference"/>
          <w:rFonts w:ascii="Times New Roman" w:hAnsi="Times New Roman" w:cs="Times New Roman"/>
        </w:rPr>
        <w:footnoteReference w:id="30"/>
      </w:r>
      <w:r w:rsidR="00EF1E2F" w:rsidRPr="00BA5FD4">
        <w:rPr>
          <w:rFonts w:ascii="Times New Roman" w:hAnsi="Times New Roman" w:cs="Times New Roman"/>
        </w:rPr>
        <w:t xml:space="preserve">  Thus, like Staff, the Company is asking the Commission to order the agencies to increase their output in terms of LIBA certification in spite of the fact that the agencies argue, and have filed supporting evidence, that they are not recovering their costs of certification, and to defer into the future any discussion of providing the compensation necessary for the agencies to continue implementing the LIBA program.</w:t>
      </w:r>
    </w:p>
    <w:p w:rsidR="00D8646D" w:rsidRPr="00BA5FD4" w:rsidRDefault="00D8646D" w:rsidP="00623155">
      <w:pPr>
        <w:autoSpaceDE w:val="0"/>
        <w:autoSpaceDN w:val="0"/>
        <w:adjustRightInd w:val="0"/>
        <w:spacing w:line="480" w:lineRule="auto"/>
        <w:rPr>
          <w:rFonts w:ascii="Times New Roman" w:hAnsi="Times New Roman" w:cs="Times New Roman"/>
        </w:rPr>
      </w:pPr>
      <w:r w:rsidRPr="00BA5FD4">
        <w:rPr>
          <w:rFonts w:ascii="Times New Roman" w:hAnsi="Times New Roman" w:cs="Times New Roman"/>
        </w:rPr>
        <w:tab/>
        <w:t>In summary, the Energy Project proposes that the administrative fee be increased to $65 which will require $76,000 in additional funding.</w:t>
      </w:r>
    </w:p>
    <w:p w:rsidR="003B6D16" w:rsidRPr="00BA5FD4" w:rsidRDefault="003B6D16" w:rsidP="003B6D16">
      <w:pPr>
        <w:autoSpaceDE w:val="0"/>
        <w:autoSpaceDN w:val="0"/>
        <w:adjustRightInd w:val="0"/>
        <w:spacing w:line="480" w:lineRule="auto"/>
        <w:rPr>
          <w:rFonts w:ascii="Times New Roman" w:hAnsi="Times New Roman"/>
        </w:rPr>
      </w:pPr>
      <w:r w:rsidRPr="00BA5FD4">
        <w:rPr>
          <w:rFonts w:ascii="Times New Roman" w:hAnsi="Times New Roman"/>
          <w:b/>
        </w:rPr>
        <w:t>D.</w:t>
      </w:r>
      <w:r w:rsidRPr="00BA5FD4">
        <w:rPr>
          <w:rFonts w:ascii="Times New Roman" w:hAnsi="Times New Roman"/>
          <w:b/>
        </w:rPr>
        <w:tab/>
        <w:t>Every Other Year LIBA Certification</w:t>
      </w:r>
    </w:p>
    <w:p w:rsidR="003B6D16" w:rsidRPr="00BA5FD4" w:rsidRDefault="003B6D16" w:rsidP="003B6D16">
      <w:pPr>
        <w:autoSpaceDE w:val="0"/>
        <w:autoSpaceDN w:val="0"/>
        <w:adjustRightInd w:val="0"/>
        <w:spacing w:line="480" w:lineRule="auto"/>
        <w:rPr>
          <w:rFonts w:ascii="Times New Roman" w:hAnsi="Times New Roman"/>
        </w:rPr>
      </w:pPr>
      <w:r w:rsidRPr="00BA5FD4">
        <w:rPr>
          <w:rFonts w:ascii="Times New Roman" w:hAnsi="Times New Roman"/>
        </w:rPr>
        <w:tab/>
        <w:t xml:space="preserve">In a purported effort to reduce LIBA administrative costs, PPL, with Staff’s support, proposes that the three CAAs implementing the LIBA program convert </w:t>
      </w:r>
      <w:r w:rsidR="00045881" w:rsidRPr="00BA5FD4">
        <w:rPr>
          <w:rFonts w:ascii="Times New Roman" w:hAnsi="Times New Roman"/>
        </w:rPr>
        <w:t xml:space="preserve">to every other year LIBA </w:t>
      </w:r>
      <w:r w:rsidR="00045881" w:rsidRPr="00BA5FD4">
        <w:rPr>
          <w:rFonts w:ascii="Times New Roman" w:hAnsi="Times New Roman"/>
        </w:rPr>
        <w:lastRenderedPageBreak/>
        <w:t>certification</w:t>
      </w:r>
      <w:r w:rsidRPr="00BA5FD4">
        <w:rPr>
          <w:rFonts w:ascii="Times New Roman" w:hAnsi="Times New Roman"/>
        </w:rPr>
        <w:t>.  This, the Company and Staff contend, will result in cost reductions leaving additional monies available for disbursement to LIBA recipients.</w:t>
      </w:r>
    </w:p>
    <w:p w:rsidR="003B6D16" w:rsidRPr="00BA5FD4" w:rsidRDefault="003B6D16" w:rsidP="003B6D16">
      <w:pPr>
        <w:autoSpaceDE w:val="0"/>
        <w:autoSpaceDN w:val="0"/>
        <w:adjustRightInd w:val="0"/>
        <w:spacing w:line="480" w:lineRule="auto"/>
        <w:rPr>
          <w:rFonts w:ascii="Times New Roman" w:hAnsi="Times New Roman"/>
        </w:rPr>
      </w:pPr>
      <w:r w:rsidRPr="00BA5FD4">
        <w:rPr>
          <w:rFonts w:ascii="Times New Roman" w:hAnsi="Times New Roman"/>
        </w:rPr>
        <w:tab/>
        <w:t xml:space="preserve">The Energy Project is strongly opposed to every other year certification.  In theory, and on its face, it might carry some degree of appeal, but as applied to PPL’s LIBA program as administered by the community action agencies in the state of Washington, it </w:t>
      </w:r>
      <w:r w:rsidR="00045881" w:rsidRPr="00BA5FD4">
        <w:rPr>
          <w:rFonts w:ascii="Times New Roman" w:hAnsi="Times New Roman"/>
        </w:rPr>
        <w:t>could well prove</w:t>
      </w:r>
      <w:r w:rsidRPr="00BA5FD4">
        <w:rPr>
          <w:rFonts w:ascii="Times New Roman" w:hAnsi="Times New Roman"/>
        </w:rPr>
        <w:t xml:space="preserve"> </w:t>
      </w:r>
      <w:r w:rsidR="00AB22D9" w:rsidRPr="00BA5FD4">
        <w:rPr>
          <w:rFonts w:ascii="Times New Roman" w:hAnsi="Times New Roman"/>
        </w:rPr>
        <w:t>extremely disruptive and financially impractical</w:t>
      </w:r>
      <w:r w:rsidRPr="00BA5FD4">
        <w:rPr>
          <w:rFonts w:ascii="Times New Roman" w:hAnsi="Times New Roman"/>
        </w:rPr>
        <w:t xml:space="preserve">.  Though the issue can be somewhat complex, it has been thoroughly analyzed in the </w:t>
      </w:r>
      <w:proofErr w:type="spellStart"/>
      <w:r w:rsidRPr="00BA5FD4">
        <w:rPr>
          <w:rFonts w:ascii="Times New Roman" w:hAnsi="Times New Roman"/>
        </w:rPr>
        <w:t>prefiled</w:t>
      </w:r>
      <w:proofErr w:type="spellEnd"/>
      <w:r w:rsidRPr="00BA5FD4">
        <w:rPr>
          <w:rFonts w:ascii="Times New Roman" w:hAnsi="Times New Roman"/>
        </w:rPr>
        <w:t xml:space="preserve"> testimonies of Mr. </w:t>
      </w:r>
      <w:proofErr w:type="spellStart"/>
      <w:r w:rsidRPr="00BA5FD4">
        <w:rPr>
          <w:rFonts w:ascii="Times New Roman" w:hAnsi="Times New Roman"/>
        </w:rPr>
        <w:t>Eberdt</w:t>
      </w:r>
      <w:proofErr w:type="spellEnd"/>
      <w:r w:rsidRPr="00BA5FD4">
        <w:rPr>
          <w:rFonts w:ascii="Times New Roman" w:hAnsi="Times New Roman"/>
        </w:rPr>
        <w:t xml:space="preserve"> and was discussed at length during cross-examination.  To summarize, PPL’s proposal would create what Mr. </w:t>
      </w:r>
      <w:proofErr w:type="spellStart"/>
      <w:r w:rsidRPr="00BA5FD4">
        <w:rPr>
          <w:rFonts w:ascii="Times New Roman" w:hAnsi="Times New Roman"/>
        </w:rPr>
        <w:t>Eberdt</w:t>
      </w:r>
      <w:proofErr w:type="spellEnd"/>
      <w:r w:rsidRPr="00BA5FD4">
        <w:rPr>
          <w:rFonts w:ascii="Times New Roman" w:hAnsi="Times New Roman"/>
        </w:rPr>
        <w:t xml:space="preserve"> has characterized as “logistical nightmares,”</w:t>
      </w:r>
      <w:r w:rsidRPr="00BA5FD4">
        <w:rPr>
          <w:rStyle w:val="FootnoteReference"/>
          <w:rFonts w:ascii="Times New Roman" w:hAnsi="Times New Roman"/>
        </w:rPr>
        <w:footnoteReference w:id="31"/>
      </w:r>
      <w:r w:rsidRPr="00BA5FD4">
        <w:rPr>
          <w:rFonts w:ascii="Times New Roman" w:hAnsi="Times New Roman"/>
        </w:rPr>
        <w:t xml:space="preserve"> would make implementation of the Company’s Washington bill assistance program difficult if not impossible, would actually increase the financial burden the agencies already face because of an administrative fee that is too low, and would not result in the cost savings claimed by PPL and Staff.</w:t>
      </w:r>
    </w:p>
    <w:p w:rsidR="003B6D16" w:rsidRPr="00BA5FD4" w:rsidRDefault="003B6D16" w:rsidP="003B6D16">
      <w:pPr>
        <w:autoSpaceDE w:val="0"/>
        <w:autoSpaceDN w:val="0"/>
        <w:adjustRightInd w:val="0"/>
        <w:spacing w:line="480" w:lineRule="auto"/>
        <w:rPr>
          <w:rFonts w:ascii="Times New Roman" w:hAnsi="Times New Roman"/>
        </w:rPr>
      </w:pPr>
      <w:r w:rsidRPr="00BA5FD4">
        <w:rPr>
          <w:rFonts w:ascii="Times New Roman" w:hAnsi="Times New Roman"/>
        </w:rPr>
        <w:tab/>
        <w:t xml:space="preserve">In support of its proposal to alter LIBA to certify participants every other year instead of annually, PPL places considerable weight on the Company’s bill assistance programs in the states of Utah and California where certification is performed every other year.  As was demonstrated during cross-examination, however, the Company’s Utah and California bill assistance programs are significantly different from LIBA in many respects.  Furthermore, neither PPL nor Staff made a thorough and fair comparison of the different programs’ designs, </w:t>
      </w:r>
      <w:r w:rsidR="00AB22D9" w:rsidRPr="00BA5FD4">
        <w:rPr>
          <w:rFonts w:ascii="Times New Roman" w:hAnsi="Times New Roman"/>
        </w:rPr>
        <w:t>the tasks performed in certifying recipients, the costs of certification</w:t>
      </w:r>
      <w:r w:rsidRPr="00BA5FD4">
        <w:rPr>
          <w:rFonts w:ascii="Times New Roman" w:hAnsi="Times New Roman"/>
        </w:rPr>
        <w:t xml:space="preserve">, or </w:t>
      </w:r>
      <w:r w:rsidR="00AB22D9" w:rsidRPr="00BA5FD4">
        <w:rPr>
          <w:rFonts w:ascii="Times New Roman" w:hAnsi="Times New Roman"/>
        </w:rPr>
        <w:t>program</w:t>
      </w:r>
      <w:r w:rsidRPr="00BA5FD4">
        <w:rPr>
          <w:rFonts w:ascii="Times New Roman" w:hAnsi="Times New Roman"/>
        </w:rPr>
        <w:t xml:space="preserve"> benefits to determine whether every other year certification in Washington would have the same cost savings effect PPL claims occurred in other states.</w:t>
      </w:r>
    </w:p>
    <w:p w:rsidR="003B6D16" w:rsidRPr="00BA5FD4" w:rsidRDefault="003B6D16" w:rsidP="003B6D16">
      <w:pPr>
        <w:autoSpaceDE w:val="0"/>
        <w:autoSpaceDN w:val="0"/>
        <w:adjustRightInd w:val="0"/>
        <w:spacing w:line="480" w:lineRule="auto"/>
        <w:rPr>
          <w:rFonts w:ascii="Times New Roman" w:hAnsi="Times New Roman"/>
        </w:rPr>
      </w:pPr>
      <w:r w:rsidRPr="00BA5FD4">
        <w:rPr>
          <w:rFonts w:ascii="Times New Roman" w:hAnsi="Times New Roman"/>
        </w:rPr>
        <w:lastRenderedPageBreak/>
        <w:tab/>
        <w:t xml:space="preserve">To illustrate, Ms. </w:t>
      </w:r>
      <w:proofErr w:type="spellStart"/>
      <w:r w:rsidRPr="00BA5FD4">
        <w:rPr>
          <w:rFonts w:ascii="Times New Roman" w:hAnsi="Times New Roman"/>
        </w:rPr>
        <w:t>Eberle</w:t>
      </w:r>
      <w:proofErr w:type="spellEnd"/>
      <w:r w:rsidRPr="00BA5FD4">
        <w:rPr>
          <w:rFonts w:ascii="Times New Roman" w:hAnsi="Times New Roman"/>
        </w:rPr>
        <w:t xml:space="preserve"> conceded numerous facts during cross-examination that bear repeating.  First, PacifiCorp’s California program is legislatively mandated and provides benefits all twelve months of the year, as opposed to LIBA which only provides benefits during the six months of the heating season.  The California program is actually self-certifying and simply consists of a one-page document submitted by the applicant.  There is no “cap” or participant limit under the program and the benefits received by customers are significantly higher than in Washington.</w:t>
      </w:r>
      <w:r w:rsidR="0013672E" w:rsidRPr="00BA5FD4">
        <w:rPr>
          <w:rStyle w:val="FootnoteReference"/>
          <w:rFonts w:ascii="Times New Roman" w:hAnsi="Times New Roman"/>
        </w:rPr>
        <w:footnoteReference w:id="32"/>
      </w:r>
    </w:p>
    <w:p w:rsidR="003B6D16" w:rsidRPr="00BA5FD4" w:rsidRDefault="003B6D16" w:rsidP="003B6D16">
      <w:pPr>
        <w:autoSpaceDE w:val="0"/>
        <w:autoSpaceDN w:val="0"/>
        <w:adjustRightInd w:val="0"/>
        <w:spacing w:line="480" w:lineRule="auto"/>
        <w:rPr>
          <w:rFonts w:ascii="Times New Roman" w:hAnsi="Times New Roman"/>
        </w:rPr>
      </w:pPr>
      <w:r w:rsidRPr="00BA5FD4">
        <w:rPr>
          <w:rFonts w:ascii="Times New Roman" w:hAnsi="Times New Roman"/>
        </w:rPr>
        <w:tab/>
        <w:t>The Company provided less information about its Utah program, but stated that the LIHEAP and LIBA certification processes are conducted simultaneously in that state.  PPL did not offer any other information about its Utah program, including relative benefits, exactly what certification involves and how it compares to Washington.  This type of information is absolutely critical for the Commission to be able to determine whether the bald statement by PPL that PacifiCorp has had success with every other year certification in California and Utah without a shred of data, documentation, calculations, or any tangible, quantifiable evidence that 1) cost savings did in fact result from converting to every other year certification, 2) that said cost savings were solely and directly attributable to converting to every other year, 3) how certification is performed under the California and Utah programs and how the program design characteristics of those states compare to Washington, 4) how the Washington certification is performed, and 5) whether the California and Utah models are even feasible in Washington.  These are but a few of many pieces of critical information that should have been provided to this Commission if PPL had truly wanted the Commission to be fully informed.</w:t>
      </w:r>
    </w:p>
    <w:p w:rsidR="00C359D6" w:rsidRPr="00BA5FD4" w:rsidRDefault="003B6D16" w:rsidP="003B6D16">
      <w:pPr>
        <w:autoSpaceDE w:val="0"/>
        <w:autoSpaceDN w:val="0"/>
        <w:adjustRightInd w:val="0"/>
        <w:spacing w:line="480" w:lineRule="auto"/>
        <w:rPr>
          <w:rFonts w:ascii="Times New Roman" w:hAnsi="Times New Roman"/>
        </w:rPr>
      </w:pPr>
      <w:r w:rsidRPr="00BA5FD4">
        <w:rPr>
          <w:rFonts w:ascii="Times New Roman" w:hAnsi="Times New Roman"/>
        </w:rPr>
        <w:lastRenderedPageBreak/>
        <w:tab/>
        <w:t>As was quickly revealed during cross-examination at hearing, there are significant differences between the Utah/California bill assistance programs and Washington’s LIBA.  Thus, PPL’s premise that converting to every other year certification in Washington will necessarily reduce costs and increase direct benefits to customers is riddled with flaws including invalid assumptions, incomplete data, and a failure to compare the bill assistance programs of Utah, California and Washington in their entirety to ensure that a fair and full comparison and consideration of the differences between the programs are made.</w:t>
      </w:r>
    </w:p>
    <w:p w:rsidR="003B6D16" w:rsidRPr="00BA5FD4" w:rsidRDefault="00C359D6" w:rsidP="003B6D16">
      <w:pPr>
        <w:autoSpaceDE w:val="0"/>
        <w:autoSpaceDN w:val="0"/>
        <w:adjustRightInd w:val="0"/>
        <w:spacing w:line="480" w:lineRule="auto"/>
        <w:rPr>
          <w:rFonts w:ascii="Times New Roman" w:hAnsi="Times New Roman"/>
        </w:rPr>
      </w:pPr>
      <w:r w:rsidRPr="00BA5FD4">
        <w:rPr>
          <w:rFonts w:ascii="Times New Roman" w:hAnsi="Times New Roman"/>
        </w:rPr>
        <w:tab/>
      </w:r>
      <w:r w:rsidR="003B6D16" w:rsidRPr="00BA5FD4">
        <w:rPr>
          <w:rFonts w:ascii="Times New Roman" w:hAnsi="Times New Roman"/>
          <w:bCs/>
        </w:rPr>
        <w:t xml:space="preserve">When asked whether the California self-reporting requirement was “voluntary” and “somewhat of an honor system” </w:t>
      </w:r>
      <w:proofErr w:type="spellStart"/>
      <w:r w:rsidR="003B6D16" w:rsidRPr="00BA5FD4">
        <w:rPr>
          <w:rFonts w:ascii="Times New Roman" w:hAnsi="Times New Roman"/>
          <w:bCs/>
        </w:rPr>
        <w:t>Eberle</w:t>
      </w:r>
      <w:proofErr w:type="spellEnd"/>
      <w:r w:rsidR="003B6D16" w:rsidRPr="00BA5FD4">
        <w:rPr>
          <w:rFonts w:ascii="Times New Roman" w:hAnsi="Times New Roman"/>
          <w:bCs/>
        </w:rPr>
        <w:t xml:space="preserve"> testified in the affirmative.</w:t>
      </w:r>
      <w:r w:rsidR="003B6D16" w:rsidRPr="00BA5FD4">
        <w:rPr>
          <w:rStyle w:val="FootnoteReference"/>
          <w:rFonts w:ascii="Times New Roman" w:hAnsi="Times New Roman"/>
          <w:bCs/>
        </w:rPr>
        <w:footnoteReference w:id="33"/>
      </w:r>
      <w:r w:rsidR="003B6D16" w:rsidRPr="00BA5FD4">
        <w:rPr>
          <w:rFonts w:ascii="Times New Roman" w:hAnsi="Times New Roman"/>
          <w:bCs/>
        </w:rPr>
        <w:t xml:space="preserve">  While the Energy Project is not suggesting that any LIBA recipient would knowingly refuse to notify a community action agency of a change in eligibility, this honor system artificially assumes that the customers will remember to monitor their eligibility, know how to determine it, how/where to report their altered circumstances, etc.  </w:t>
      </w:r>
    </w:p>
    <w:p w:rsidR="003B6D16" w:rsidRPr="00BA5FD4" w:rsidRDefault="003B6D16" w:rsidP="003B6D16">
      <w:pPr>
        <w:autoSpaceDE w:val="0"/>
        <w:autoSpaceDN w:val="0"/>
        <w:adjustRightInd w:val="0"/>
        <w:spacing w:line="480" w:lineRule="auto"/>
        <w:rPr>
          <w:rFonts w:ascii="Times New Roman" w:hAnsi="Times New Roman"/>
        </w:rPr>
      </w:pPr>
      <w:r w:rsidRPr="00BA5FD4">
        <w:rPr>
          <w:rFonts w:ascii="Times New Roman" w:hAnsi="Times New Roman"/>
        </w:rPr>
        <w:tab/>
        <w:t xml:space="preserve">When questioned during cross-examination about how the LIBA certification process takes place in Washington compared to other states, Ms. </w:t>
      </w:r>
      <w:proofErr w:type="spellStart"/>
      <w:r w:rsidRPr="00BA5FD4">
        <w:rPr>
          <w:rFonts w:ascii="Times New Roman" w:hAnsi="Times New Roman"/>
        </w:rPr>
        <w:t>Eberle</w:t>
      </w:r>
      <w:proofErr w:type="spellEnd"/>
      <w:r w:rsidRPr="00BA5FD4">
        <w:rPr>
          <w:rFonts w:ascii="Times New Roman" w:hAnsi="Times New Roman"/>
        </w:rPr>
        <w:t xml:space="preserve"> was unfamiliar with many aspects of the Washington process.  First, she conceded that each of the CAAs performs its certification during different times of the year and that the number of participants certified by the three Washington agencies varies.</w:t>
      </w:r>
      <w:r w:rsidRPr="00BA5FD4">
        <w:rPr>
          <w:rStyle w:val="FootnoteReference"/>
          <w:rFonts w:ascii="Times New Roman" w:hAnsi="Times New Roman"/>
        </w:rPr>
        <w:footnoteReference w:id="34"/>
      </w:r>
    </w:p>
    <w:p w:rsidR="003B6D16" w:rsidRPr="00BA5FD4" w:rsidRDefault="003B6D16" w:rsidP="003B6D16">
      <w:pPr>
        <w:autoSpaceDE w:val="0"/>
        <w:autoSpaceDN w:val="0"/>
        <w:adjustRightInd w:val="0"/>
        <w:spacing w:line="480" w:lineRule="auto"/>
        <w:rPr>
          <w:rFonts w:ascii="Times New Roman" w:hAnsi="Times New Roman"/>
          <w:bCs/>
        </w:rPr>
      </w:pPr>
      <w:r w:rsidRPr="00BA5FD4">
        <w:rPr>
          <w:rFonts w:ascii="Times New Roman" w:hAnsi="Times New Roman"/>
        </w:rPr>
        <w:tab/>
      </w:r>
      <w:r w:rsidR="00C359D6" w:rsidRPr="00BA5FD4">
        <w:rPr>
          <w:rFonts w:ascii="Times New Roman" w:hAnsi="Times New Roman"/>
        </w:rPr>
        <w:t xml:space="preserve">Ms. </w:t>
      </w:r>
      <w:proofErr w:type="spellStart"/>
      <w:r w:rsidRPr="00BA5FD4">
        <w:rPr>
          <w:rFonts w:ascii="Times New Roman" w:hAnsi="Times New Roman"/>
          <w:bCs/>
        </w:rPr>
        <w:t>Eberle</w:t>
      </w:r>
      <w:proofErr w:type="spellEnd"/>
      <w:r w:rsidRPr="00BA5FD4">
        <w:rPr>
          <w:rFonts w:ascii="Times New Roman" w:hAnsi="Times New Roman"/>
          <w:bCs/>
        </w:rPr>
        <w:t xml:space="preserve"> admits that each CAA does its LIBA intake during different times of the year and that the number of participants certified by each agency varies considerably.  Ms. </w:t>
      </w:r>
      <w:proofErr w:type="spellStart"/>
      <w:r w:rsidRPr="00BA5FD4">
        <w:rPr>
          <w:rFonts w:ascii="Times New Roman" w:hAnsi="Times New Roman"/>
          <w:bCs/>
        </w:rPr>
        <w:t>Eberle</w:t>
      </w:r>
      <w:proofErr w:type="spellEnd"/>
      <w:r w:rsidRPr="00BA5FD4">
        <w:rPr>
          <w:rFonts w:ascii="Times New Roman" w:hAnsi="Times New Roman"/>
          <w:bCs/>
        </w:rPr>
        <w:t xml:space="preserve"> does not know how many people each of Washington’s CAAs require </w:t>
      </w:r>
      <w:proofErr w:type="gramStart"/>
      <w:r w:rsidRPr="00BA5FD4">
        <w:rPr>
          <w:rFonts w:ascii="Times New Roman" w:hAnsi="Times New Roman"/>
          <w:bCs/>
        </w:rPr>
        <w:t>to perform</w:t>
      </w:r>
      <w:proofErr w:type="gramEnd"/>
      <w:r w:rsidRPr="00BA5FD4">
        <w:rPr>
          <w:rFonts w:ascii="Times New Roman" w:hAnsi="Times New Roman"/>
          <w:bCs/>
        </w:rPr>
        <w:t xml:space="preserve"> LIBA </w:t>
      </w:r>
      <w:r w:rsidRPr="00BA5FD4">
        <w:rPr>
          <w:rFonts w:ascii="Times New Roman" w:hAnsi="Times New Roman"/>
          <w:bCs/>
        </w:rPr>
        <w:lastRenderedPageBreak/>
        <w:t>certification.</w:t>
      </w:r>
      <w:r w:rsidRPr="00BA5FD4">
        <w:rPr>
          <w:rStyle w:val="FootnoteReference"/>
          <w:rFonts w:ascii="Times New Roman" w:hAnsi="Times New Roman"/>
          <w:bCs/>
        </w:rPr>
        <w:footnoteReference w:id="35"/>
      </w:r>
      <w:r w:rsidRPr="00BA5FD4">
        <w:rPr>
          <w:rFonts w:ascii="Times New Roman" w:hAnsi="Times New Roman"/>
          <w:bCs/>
        </w:rPr>
        <w:t xml:space="preserve">  </w:t>
      </w:r>
      <w:r w:rsidR="00C359D6" w:rsidRPr="00BA5FD4">
        <w:rPr>
          <w:rFonts w:ascii="Times New Roman" w:hAnsi="Times New Roman"/>
          <w:bCs/>
        </w:rPr>
        <w:t xml:space="preserve">Ms. </w:t>
      </w:r>
      <w:proofErr w:type="spellStart"/>
      <w:r w:rsidRPr="00BA5FD4">
        <w:rPr>
          <w:rFonts w:ascii="Times New Roman" w:hAnsi="Times New Roman"/>
          <w:bCs/>
        </w:rPr>
        <w:t>Eberle</w:t>
      </w:r>
      <w:proofErr w:type="spellEnd"/>
      <w:r w:rsidRPr="00BA5FD4">
        <w:rPr>
          <w:rFonts w:ascii="Times New Roman" w:hAnsi="Times New Roman"/>
          <w:bCs/>
        </w:rPr>
        <w:t xml:space="preserve"> doesn’t know how many people each agency needs to do LIBA certification, how much time it requires for each employee to complete LIBA certification, what percentage of the year each employee needs to complete LIBA certification, and what those employees spend their work time doing for the remainder of the year when they are no longer performing LIBA certification. </w:t>
      </w:r>
      <w:r w:rsidRPr="00BA5FD4">
        <w:rPr>
          <w:rStyle w:val="FootnoteReference"/>
          <w:rFonts w:ascii="Times New Roman" w:hAnsi="Times New Roman"/>
          <w:bCs/>
        </w:rPr>
        <w:footnoteReference w:id="36"/>
      </w:r>
      <w:r w:rsidRPr="00BA5FD4">
        <w:rPr>
          <w:rFonts w:ascii="Times New Roman" w:hAnsi="Times New Roman"/>
          <w:bCs/>
        </w:rPr>
        <w:t xml:space="preserve">  </w:t>
      </w:r>
      <w:r w:rsidR="00C359D6" w:rsidRPr="00BA5FD4">
        <w:rPr>
          <w:rFonts w:ascii="Times New Roman" w:hAnsi="Times New Roman"/>
          <w:bCs/>
        </w:rPr>
        <w:t xml:space="preserve">Ms. </w:t>
      </w:r>
      <w:proofErr w:type="spellStart"/>
      <w:r w:rsidRPr="00BA5FD4">
        <w:rPr>
          <w:rFonts w:ascii="Times New Roman" w:hAnsi="Times New Roman"/>
          <w:bCs/>
        </w:rPr>
        <w:t>Eberle</w:t>
      </w:r>
      <w:proofErr w:type="spellEnd"/>
      <w:r w:rsidRPr="00BA5FD4">
        <w:rPr>
          <w:rFonts w:ascii="Times New Roman" w:hAnsi="Times New Roman"/>
          <w:bCs/>
        </w:rPr>
        <w:t xml:space="preserve"> is aware that the Company’s Washington LIBA program includes a multi-tier rate discount and that it takes longer to perform certification under this arrangement.</w:t>
      </w:r>
      <w:r w:rsidRPr="00BA5FD4">
        <w:rPr>
          <w:rStyle w:val="FootnoteReference"/>
          <w:rFonts w:ascii="Times New Roman" w:hAnsi="Times New Roman"/>
          <w:bCs/>
        </w:rPr>
        <w:footnoteReference w:id="37"/>
      </w:r>
      <w:r w:rsidRPr="00BA5FD4">
        <w:rPr>
          <w:rFonts w:ascii="Times New Roman" w:hAnsi="Times New Roman"/>
          <w:bCs/>
        </w:rPr>
        <w:t xml:space="preserve"> </w:t>
      </w:r>
      <w:r w:rsidR="006F1190" w:rsidRPr="00BA5FD4">
        <w:rPr>
          <w:rFonts w:ascii="Times New Roman" w:hAnsi="Times New Roman"/>
          <w:bCs/>
        </w:rPr>
        <w:t xml:space="preserve"> This fact, however, and other similar program design differences between the bill assistance programs in California, Utah, and Washington, do not seem to have been taken into consideration in reaching the conclusion that every other year certification would not just result in cost savings in Washington, but be practical from an administrative standpoint.</w:t>
      </w:r>
    </w:p>
    <w:p w:rsidR="00F95C20" w:rsidRPr="00BA5FD4" w:rsidRDefault="003B6D16" w:rsidP="003B6D16">
      <w:pPr>
        <w:autoSpaceDE w:val="0"/>
        <w:autoSpaceDN w:val="0"/>
        <w:adjustRightInd w:val="0"/>
        <w:spacing w:line="480" w:lineRule="auto"/>
        <w:rPr>
          <w:rFonts w:ascii="Times New Roman" w:hAnsi="Times New Roman" w:cs="Times New Roman"/>
        </w:rPr>
      </w:pPr>
      <w:r w:rsidRPr="00BA5FD4">
        <w:rPr>
          <w:rFonts w:ascii="Times New Roman" w:hAnsi="Times New Roman"/>
        </w:rPr>
        <w:tab/>
        <w:t xml:space="preserve">Mr. </w:t>
      </w:r>
      <w:proofErr w:type="spellStart"/>
      <w:r w:rsidRPr="00BA5FD4">
        <w:rPr>
          <w:rFonts w:ascii="Times New Roman" w:hAnsi="Times New Roman"/>
        </w:rPr>
        <w:t>Eberdt</w:t>
      </w:r>
      <w:proofErr w:type="spellEnd"/>
      <w:r w:rsidRPr="00BA5FD4">
        <w:rPr>
          <w:rFonts w:ascii="Times New Roman" w:hAnsi="Times New Roman"/>
        </w:rPr>
        <w:t xml:space="preserve"> set forth a number of practical reasons why every other year LIBA certification is not feasible as a means to fund the increase</w:t>
      </w:r>
      <w:r w:rsidR="00224ACC" w:rsidRPr="00BA5FD4">
        <w:rPr>
          <w:rFonts w:ascii="Times New Roman" w:hAnsi="Times New Roman"/>
        </w:rPr>
        <w:t xml:space="preserve">d administrative costs to the agencies </w:t>
      </w:r>
      <w:r w:rsidRPr="00BA5FD4">
        <w:rPr>
          <w:rFonts w:ascii="Times New Roman" w:hAnsi="Times New Roman"/>
        </w:rPr>
        <w:t>resulting from serving additional customers</w:t>
      </w:r>
      <w:r w:rsidR="00224ACC" w:rsidRPr="00BA5FD4">
        <w:rPr>
          <w:rFonts w:ascii="Times New Roman" w:hAnsi="Times New Roman"/>
        </w:rPr>
        <w:t xml:space="preserve">.  Mr. </w:t>
      </w:r>
      <w:proofErr w:type="spellStart"/>
      <w:r w:rsidR="00224ACC" w:rsidRPr="00BA5FD4">
        <w:rPr>
          <w:rFonts w:ascii="Times New Roman" w:hAnsi="Times New Roman"/>
        </w:rPr>
        <w:t>Eberdt</w:t>
      </w:r>
      <w:proofErr w:type="spellEnd"/>
      <w:r w:rsidR="00224ACC" w:rsidRPr="00BA5FD4">
        <w:rPr>
          <w:rFonts w:ascii="Times New Roman" w:hAnsi="Times New Roman"/>
        </w:rPr>
        <w:t xml:space="preserve"> testified:</w:t>
      </w:r>
      <w:r w:rsidRPr="00BA5FD4">
        <w:rPr>
          <w:rFonts w:ascii="Times New Roman" w:hAnsi="Times New Roman"/>
        </w:rPr>
        <w:t xml:space="preserve"> </w:t>
      </w:r>
      <w:r w:rsidR="00224ACC" w:rsidRPr="00BA5FD4">
        <w:rPr>
          <w:rFonts w:ascii="Times New Roman" w:hAnsi="Times New Roman"/>
        </w:rPr>
        <w:t>“</w:t>
      </w:r>
      <w:r w:rsidRPr="00BA5FD4">
        <w:rPr>
          <w:rFonts w:ascii="Times New Roman" w:hAnsi="Times New Roman" w:cs="TimesNewRomanPS-BoldMT"/>
        </w:rPr>
        <w:t>Unfortunately doing that [certifying every other year] would create other logistical nightmares.</w:t>
      </w:r>
      <w:r w:rsidR="00224ACC" w:rsidRPr="00BA5FD4">
        <w:rPr>
          <w:rFonts w:ascii="Times New Roman" w:hAnsi="Times New Roman" w:cs="TimesNewRomanPS-BoldMT"/>
        </w:rPr>
        <w:t>”</w:t>
      </w:r>
      <w:r w:rsidR="00224ACC" w:rsidRPr="00BA5FD4">
        <w:rPr>
          <w:rStyle w:val="FootnoteReference"/>
          <w:rFonts w:ascii="Times New Roman" w:hAnsi="Times New Roman" w:cs="TimesNewRomanPS-BoldMT"/>
        </w:rPr>
        <w:footnoteReference w:id="38"/>
      </w:r>
      <w:r w:rsidRPr="00BA5FD4">
        <w:rPr>
          <w:rFonts w:ascii="Times New Roman" w:hAnsi="Times New Roman" w:cs="TimesNewRomanPS-BoldMT"/>
        </w:rPr>
        <w:t xml:space="preserve">  </w:t>
      </w:r>
      <w:r w:rsidR="008D06E2" w:rsidRPr="00BA5FD4">
        <w:rPr>
          <w:rFonts w:ascii="Times New Roman" w:hAnsi="Times New Roman" w:cs="TimesNewRomanPS-BoldMT"/>
        </w:rPr>
        <w:t xml:space="preserve">Mr. </w:t>
      </w:r>
      <w:proofErr w:type="spellStart"/>
      <w:r w:rsidR="008D06E2" w:rsidRPr="00BA5FD4">
        <w:rPr>
          <w:rFonts w:ascii="Times New Roman" w:hAnsi="Times New Roman" w:cs="TimesNewRomanPS-BoldMT"/>
        </w:rPr>
        <w:t>Eberdt</w:t>
      </w:r>
      <w:proofErr w:type="spellEnd"/>
      <w:r w:rsidR="008D06E2" w:rsidRPr="00BA5FD4">
        <w:rPr>
          <w:rFonts w:ascii="Times New Roman" w:hAnsi="Times New Roman" w:cs="TimesNewRomanPS-BoldMT"/>
        </w:rPr>
        <w:t xml:space="preserve"> noted that the Company’s proposal presents</w:t>
      </w:r>
      <w:r w:rsidRPr="00BA5FD4">
        <w:rPr>
          <w:rFonts w:ascii="Times New Roman" w:hAnsi="Times New Roman" w:cs="TimesNewRomanPS-BoldMT"/>
        </w:rPr>
        <w:t xml:space="preserve"> a huge barrier to the agencies’ ability to maintain </w:t>
      </w:r>
      <w:r w:rsidR="008D06E2" w:rsidRPr="00BA5FD4">
        <w:rPr>
          <w:rFonts w:ascii="Times New Roman" w:hAnsi="Times New Roman" w:cs="TimesNewRomanPS-BoldMT"/>
        </w:rPr>
        <w:t>LIBA</w:t>
      </w:r>
      <w:r w:rsidRPr="00BA5FD4">
        <w:rPr>
          <w:rFonts w:ascii="Times New Roman" w:hAnsi="Times New Roman" w:cs="TimesNewRomanPS-BoldMT"/>
        </w:rPr>
        <w:t xml:space="preserve"> in a number of respects, but particularly in terms of the cost to train and/or retain skilled employees to do the work.  The staff who operate the program need to be trained to know what documentation is required, how to communicate effectively with customers, how to calculate and verify their incomes, as well as some other general clerical and computer skills.  Because the programs serve on a first come first served basis, agency staff will need to know how to qualify customers for LIHEAP or other programs as well.  </w:t>
      </w:r>
      <w:r w:rsidR="003C689B" w:rsidRPr="00BA5FD4">
        <w:rPr>
          <w:rFonts w:ascii="Times New Roman" w:hAnsi="Times New Roman" w:cs="TimesNewRomanPS-BoldMT"/>
        </w:rPr>
        <w:t xml:space="preserve">According to Mr. </w:t>
      </w:r>
      <w:proofErr w:type="spellStart"/>
      <w:r w:rsidR="003C689B" w:rsidRPr="00BA5FD4">
        <w:rPr>
          <w:rFonts w:ascii="Times New Roman" w:hAnsi="Times New Roman" w:cs="TimesNewRomanPS-BoldMT"/>
        </w:rPr>
        <w:t>Eberdt</w:t>
      </w:r>
      <w:proofErr w:type="spellEnd"/>
      <w:r w:rsidR="003C689B" w:rsidRPr="00BA5FD4">
        <w:rPr>
          <w:rFonts w:ascii="Times New Roman" w:hAnsi="Times New Roman" w:cs="TimesNewRomanPS-BoldMT"/>
        </w:rPr>
        <w:t>, e</w:t>
      </w:r>
      <w:r w:rsidRPr="00BA5FD4">
        <w:rPr>
          <w:rFonts w:ascii="Times New Roman" w:hAnsi="Times New Roman" w:cs="TimesNewRomanPS-BoldMT"/>
        </w:rPr>
        <w:t xml:space="preserve">ven with other </w:t>
      </w:r>
      <w:r w:rsidRPr="00BA5FD4">
        <w:rPr>
          <w:rFonts w:ascii="Times New Roman" w:hAnsi="Times New Roman" w:cs="TimesNewRomanPS-BoldMT"/>
        </w:rPr>
        <w:lastRenderedPageBreak/>
        <w:t xml:space="preserve">funding sources, many </w:t>
      </w:r>
      <w:r w:rsidR="003C689B" w:rsidRPr="00BA5FD4">
        <w:rPr>
          <w:rFonts w:ascii="Times New Roman" w:hAnsi="Times New Roman" w:cs="TimesNewRomanPS-BoldMT"/>
        </w:rPr>
        <w:t>agency personnel</w:t>
      </w:r>
      <w:r w:rsidRPr="00BA5FD4">
        <w:rPr>
          <w:rFonts w:ascii="Times New Roman" w:hAnsi="Times New Roman" w:cs="TimesNewRomanPS-BoldMT"/>
        </w:rPr>
        <w:t xml:space="preserve"> are already only working part-time, while the rest of the year they are either laid off or work for some other program at the agency if there is one that can work with that arrangement.  In addition, </w:t>
      </w:r>
      <w:r w:rsidR="003C689B" w:rsidRPr="00BA5FD4">
        <w:rPr>
          <w:rFonts w:ascii="Times New Roman" w:hAnsi="Times New Roman" w:cs="TimesNewRomanPS-BoldMT"/>
        </w:rPr>
        <w:t>one must consider the</w:t>
      </w:r>
      <w:r w:rsidRPr="00BA5FD4">
        <w:rPr>
          <w:rFonts w:ascii="Times New Roman" w:hAnsi="Times New Roman" w:cs="TimesNewRomanPS-BoldMT"/>
        </w:rPr>
        <w:t xml:space="preserve"> costs</w:t>
      </w:r>
      <w:r w:rsidR="003C689B" w:rsidRPr="00BA5FD4">
        <w:rPr>
          <w:rFonts w:ascii="Times New Roman" w:hAnsi="Times New Roman" w:cs="TimesNewRomanPS-BoldMT"/>
        </w:rPr>
        <w:t xml:space="preserve"> incurred</w:t>
      </w:r>
      <w:r w:rsidRPr="00BA5FD4">
        <w:rPr>
          <w:rFonts w:ascii="Times New Roman" w:hAnsi="Times New Roman" w:cs="TimesNewRomanPS-BoldMT"/>
        </w:rPr>
        <w:t xml:space="preserve"> for materials, equipment, and space as well as personnel</w:t>
      </w:r>
      <w:r w:rsidR="003C689B" w:rsidRPr="00BA5FD4">
        <w:rPr>
          <w:rFonts w:ascii="Times New Roman" w:hAnsi="Times New Roman" w:cs="TimesNewRomanPS-BoldMT"/>
        </w:rPr>
        <w:t>, necessary to implement LIBA</w:t>
      </w:r>
      <w:r w:rsidRPr="00BA5FD4">
        <w:rPr>
          <w:rFonts w:ascii="Times New Roman" w:hAnsi="Times New Roman" w:cs="TimesNewRomanPS-BoldMT"/>
        </w:rPr>
        <w:t xml:space="preserve">.  </w:t>
      </w:r>
      <w:r w:rsidR="003C689B" w:rsidRPr="00BA5FD4">
        <w:rPr>
          <w:rFonts w:ascii="Times New Roman" w:hAnsi="Times New Roman" w:cs="TimesNewRomanPS-BoldMT"/>
        </w:rPr>
        <w:t xml:space="preserve">Mr. </w:t>
      </w:r>
      <w:proofErr w:type="spellStart"/>
      <w:r w:rsidR="003C689B" w:rsidRPr="00BA5FD4">
        <w:rPr>
          <w:rFonts w:ascii="Times New Roman" w:hAnsi="Times New Roman" w:cs="TimesNewRomanPS-BoldMT"/>
        </w:rPr>
        <w:t>Eberdt</w:t>
      </w:r>
      <w:proofErr w:type="spellEnd"/>
      <w:r w:rsidR="003C689B" w:rsidRPr="00BA5FD4">
        <w:rPr>
          <w:rFonts w:ascii="Times New Roman" w:hAnsi="Times New Roman" w:cs="TimesNewRomanPS-BoldMT"/>
        </w:rPr>
        <w:t xml:space="preserve"> asserts that i</w:t>
      </w:r>
      <w:r w:rsidRPr="00BA5FD4">
        <w:rPr>
          <w:rFonts w:ascii="Times New Roman" w:hAnsi="Times New Roman" w:cs="TimesNewRomanPS-BoldMT"/>
        </w:rPr>
        <w:t xml:space="preserve">t just isn’t practical to expect </w:t>
      </w:r>
      <w:r w:rsidR="003C689B" w:rsidRPr="00BA5FD4">
        <w:rPr>
          <w:rFonts w:ascii="Times New Roman" w:hAnsi="Times New Roman" w:cs="TimesNewRomanPS-BoldMT"/>
        </w:rPr>
        <w:t xml:space="preserve">that </w:t>
      </w:r>
      <w:r w:rsidRPr="00BA5FD4">
        <w:rPr>
          <w:rFonts w:ascii="Times New Roman" w:hAnsi="Times New Roman" w:cs="TimesNewRomanPS-BoldMT"/>
        </w:rPr>
        <w:t xml:space="preserve">agency staff can do the necessary work to serve roughly 5000 households, in addition to LIHEAP, in one year, but none or few the next.  </w:t>
      </w:r>
      <w:r w:rsidRPr="00BA5FD4">
        <w:rPr>
          <w:rFonts w:ascii="Times New Roman" w:hAnsi="Times New Roman" w:cs="Times-Roman"/>
          <w:lang w:bidi="en-US"/>
        </w:rPr>
        <w:t>This sort of “feast or famine” approach</w:t>
      </w:r>
      <w:r w:rsidR="003C689B" w:rsidRPr="00BA5FD4">
        <w:rPr>
          <w:rFonts w:ascii="Times New Roman" w:hAnsi="Times New Roman" w:cs="Times-Roman"/>
          <w:lang w:bidi="en-US"/>
        </w:rPr>
        <w:t xml:space="preserve">, Mr. </w:t>
      </w:r>
      <w:proofErr w:type="spellStart"/>
      <w:r w:rsidR="003C689B" w:rsidRPr="00BA5FD4">
        <w:rPr>
          <w:rFonts w:ascii="Times New Roman" w:hAnsi="Times New Roman" w:cs="Times-Roman"/>
          <w:lang w:bidi="en-US"/>
        </w:rPr>
        <w:t>Eberdt</w:t>
      </w:r>
      <w:proofErr w:type="spellEnd"/>
      <w:r w:rsidR="003C689B" w:rsidRPr="00BA5FD4">
        <w:rPr>
          <w:rFonts w:ascii="Times New Roman" w:hAnsi="Times New Roman" w:cs="Times-Roman"/>
          <w:lang w:bidi="en-US"/>
        </w:rPr>
        <w:t xml:space="preserve"> opines,</w:t>
      </w:r>
      <w:r w:rsidRPr="00BA5FD4">
        <w:rPr>
          <w:rFonts w:ascii="Times New Roman" w:hAnsi="Times New Roman" w:cs="Times-Roman"/>
          <w:lang w:bidi="en-US"/>
        </w:rPr>
        <w:t xml:space="preserve"> is just not manageable from an administrative standpoint or from the point of just managing the demand that come</w:t>
      </w:r>
      <w:r w:rsidR="003C689B" w:rsidRPr="00BA5FD4">
        <w:rPr>
          <w:rFonts w:ascii="Times New Roman" w:hAnsi="Times New Roman" w:cs="Times-Roman"/>
          <w:lang w:bidi="en-US"/>
        </w:rPr>
        <w:t>s</w:t>
      </w:r>
      <w:r w:rsidRPr="00BA5FD4">
        <w:rPr>
          <w:rFonts w:ascii="Times New Roman" w:hAnsi="Times New Roman" w:cs="Times-Roman"/>
          <w:lang w:bidi="en-US"/>
        </w:rPr>
        <w:t xml:space="preserve"> in the door.  Finally, one must realize that energy assistance intake is the doorway that most </w:t>
      </w:r>
      <w:r w:rsidR="003C689B" w:rsidRPr="00BA5FD4">
        <w:rPr>
          <w:rFonts w:ascii="Times New Roman" w:hAnsi="Times New Roman" w:cs="Times-Roman"/>
          <w:lang w:bidi="en-US"/>
        </w:rPr>
        <w:t>low-income customers</w:t>
      </w:r>
      <w:r w:rsidRPr="00BA5FD4">
        <w:rPr>
          <w:rFonts w:ascii="Times New Roman" w:hAnsi="Times New Roman" w:cs="Times-Roman"/>
          <w:lang w:bidi="en-US"/>
        </w:rPr>
        <w:t xml:space="preserve"> enter to get to the energy efficiency programs.  Every other year certification for LIBA eligibility will disrupt the flow for that program.</w:t>
      </w:r>
      <w:r w:rsidRPr="00BA5FD4">
        <w:rPr>
          <w:rStyle w:val="FootnoteReference"/>
          <w:rFonts w:ascii="Times New Roman" w:hAnsi="Times New Roman" w:cs="Times-Roman"/>
          <w:lang w:bidi="en-US"/>
        </w:rPr>
        <w:footnoteReference w:id="39"/>
      </w:r>
      <w:r w:rsidR="00AA07D4" w:rsidRPr="00BA5FD4">
        <w:rPr>
          <w:rFonts w:ascii="Times New Roman" w:hAnsi="Times New Roman" w:cs="Times New Roman"/>
        </w:rPr>
        <w:tab/>
      </w:r>
    </w:p>
    <w:p w:rsidR="00333D99" w:rsidRPr="00BA5FD4" w:rsidRDefault="00333D99" w:rsidP="003B6D16">
      <w:pPr>
        <w:autoSpaceDE w:val="0"/>
        <w:autoSpaceDN w:val="0"/>
        <w:adjustRightInd w:val="0"/>
        <w:spacing w:line="480" w:lineRule="auto"/>
        <w:rPr>
          <w:rFonts w:ascii="Times New Roman" w:hAnsi="Times New Roman" w:cs="Times New Roman"/>
        </w:rPr>
      </w:pPr>
      <w:r w:rsidRPr="00BA5FD4">
        <w:rPr>
          <w:rFonts w:ascii="Times New Roman" w:hAnsi="Times New Roman" w:cs="Times New Roman"/>
        </w:rPr>
        <w:tab/>
        <w:t xml:space="preserve">Finally, one must consider the overarching, fundamental equity of PPL and Staff’s positions on all LIBA issues considered as a whole.  To summarize, PPL is proposing an increase in LIBA barely offsetting its proposed residential class rate increase, is proposing that the CAAs serve additional customers, refuses to even consider in this proceeding increasing the administrative fee paid to the CAAs even though the latter strongly believe, and have submitted supporting evidence, that they are not covering LIBA costs as it is, and finally to </w:t>
      </w:r>
      <w:r w:rsidR="00B94B2B" w:rsidRPr="00BA5FD4">
        <w:rPr>
          <w:rFonts w:ascii="Times New Roman" w:hAnsi="Times New Roman" w:cs="Times New Roman"/>
        </w:rPr>
        <w:t xml:space="preserve">require the CAAs to certify LIBA every other year which even Staff witness </w:t>
      </w:r>
      <w:proofErr w:type="spellStart"/>
      <w:r w:rsidR="00B94B2B" w:rsidRPr="00BA5FD4">
        <w:rPr>
          <w:rFonts w:ascii="Times New Roman" w:hAnsi="Times New Roman" w:cs="Times New Roman"/>
        </w:rPr>
        <w:t>Schooley</w:t>
      </w:r>
      <w:proofErr w:type="spellEnd"/>
      <w:r w:rsidR="00B94B2B" w:rsidRPr="00BA5FD4">
        <w:rPr>
          <w:rFonts w:ascii="Times New Roman" w:hAnsi="Times New Roman" w:cs="Times New Roman"/>
        </w:rPr>
        <w:t xml:space="preserve"> is precisely the opposite of what is needed for the agencies to increase the money they receive to cover their LIBA costs.  It defies logic that the agencies can simply serve additional customers to make up for their revenue shortfall, while simultaneously </w:t>
      </w:r>
      <w:r w:rsidR="00F22A85" w:rsidRPr="00BA5FD4">
        <w:rPr>
          <w:rFonts w:ascii="Times New Roman" w:hAnsi="Times New Roman" w:cs="Times New Roman"/>
        </w:rPr>
        <w:t xml:space="preserve">cutting back on the number of customers they certify every year.  Again, when one combines the logic advanced by PPL and Staff, it is quite </w:t>
      </w:r>
      <w:r w:rsidR="00F22A85" w:rsidRPr="00BA5FD4">
        <w:rPr>
          <w:rFonts w:ascii="Times New Roman" w:hAnsi="Times New Roman" w:cs="Times New Roman"/>
        </w:rPr>
        <w:lastRenderedPageBreak/>
        <w:t>difficult to understand who the suite of proposals put on the table by those parties in this case will do anything but drastically diminish the system-wide benefits that LIBA provides.  If one has predetermined that LIBA should be curtailed, it would seem that the totality of proposals put on the table by PPL and Staff will certainly accomplish that, at least to some degree.</w:t>
      </w:r>
    </w:p>
    <w:p w:rsidR="0043144C" w:rsidRPr="00BA5FD4" w:rsidRDefault="0043144C" w:rsidP="003B6D16">
      <w:pPr>
        <w:autoSpaceDE w:val="0"/>
        <w:autoSpaceDN w:val="0"/>
        <w:adjustRightInd w:val="0"/>
        <w:spacing w:line="480" w:lineRule="auto"/>
        <w:rPr>
          <w:rFonts w:ascii="Times New Roman" w:hAnsi="Times New Roman" w:cs="Times New Roman"/>
        </w:rPr>
      </w:pPr>
      <w:r w:rsidRPr="00BA5FD4">
        <w:rPr>
          <w:rFonts w:ascii="Times New Roman" w:hAnsi="Times New Roman" w:cs="Times New Roman"/>
        </w:rPr>
        <w:tab/>
      </w:r>
      <w:r w:rsidRPr="00BA5FD4">
        <w:rPr>
          <w:rFonts w:ascii="Times New Roman" w:hAnsi="Times New Roman" w:cs="Times New Roman"/>
        </w:rPr>
        <w:t>In summary, The Energy Project contends that switching the LIBA program to qualify participants every other year should only be done after consideration of a number of factors that the Company and Staff appear not to be familiar with or to have addressed.  Simply holding up the example of how this is successful in other states without any detailed analysis of how the programs are similar or different is not a valid justification to make the change.  For some unexplained reason, parties who are typically very concerned about customers taking advantage of benefits for which they don’t qualify appear to discount that as a potential problem while ignoring that it will deprive other eligible families from much-needed assistance.  The sole goal appears to be to shift funding from program implementation to program benefits with no regard for the impact that will have on the agencies’ abilities to implement the program.  The Energy Project believes this proposal is ill-advised and should be rejected by the Commission.  If the Company and Staff are truly interested in exploring ways to make the program more effective and less costly to administer, The Energy Project is willing to participate and to recruit knowledgeable staff from the agencies to help develop reasonable, appropriate, and effective al</w:t>
      </w:r>
      <w:r w:rsidRPr="00BA5FD4">
        <w:rPr>
          <w:rFonts w:ascii="Times New Roman" w:hAnsi="Times New Roman" w:cs="Times New Roman"/>
        </w:rPr>
        <w:t>t</w:t>
      </w:r>
      <w:r w:rsidRPr="00BA5FD4">
        <w:rPr>
          <w:rFonts w:ascii="Times New Roman" w:hAnsi="Times New Roman" w:cs="Times New Roman"/>
        </w:rPr>
        <w:t>ernatives.</w:t>
      </w:r>
    </w:p>
    <w:p w:rsidR="00C022EF" w:rsidRPr="00BA5FD4" w:rsidRDefault="00C022EF" w:rsidP="00C022EF">
      <w:pPr>
        <w:autoSpaceDE w:val="0"/>
        <w:autoSpaceDN w:val="0"/>
        <w:adjustRightInd w:val="0"/>
        <w:spacing w:line="480" w:lineRule="auto"/>
        <w:rPr>
          <w:rFonts w:ascii="Times New Roman" w:hAnsi="Times New Roman" w:cs="TimesNewRomanPS-BoldMT"/>
        </w:rPr>
      </w:pPr>
      <w:r w:rsidRPr="00BA5FD4">
        <w:rPr>
          <w:rFonts w:ascii="Times New Roman" w:hAnsi="Times New Roman" w:cs="TimesNewRomanPS-BoldMT"/>
          <w:b/>
        </w:rPr>
        <w:t>3.</w:t>
      </w:r>
      <w:r w:rsidRPr="00BA5FD4">
        <w:rPr>
          <w:rFonts w:ascii="Times New Roman" w:hAnsi="Times New Roman" w:cs="TimesNewRomanPS-BoldMT"/>
          <w:b/>
        </w:rPr>
        <w:tab/>
        <w:t>BASIC CHARGE</w:t>
      </w:r>
    </w:p>
    <w:p w:rsidR="00C022EF" w:rsidRPr="00BA5FD4" w:rsidRDefault="00C022EF" w:rsidP="00C022EF">
      <w:pPr>
        <w:autoSpaceDE w:val="0"/>
        <w:autoSpaceDN w:val="0"/>
        <w:adjustRightInd w:val="0"/>
        <w:spacing w:line="480" w:lineRule="auto"/>
        <w:rPr>
          <w:rFonts w:ascii="Times New Roman" w:hAnsi="Times New Roman"/>
          <w:bCs/>
        </w:rPr>
      </w:pPr>
      <w:r w:rsidRPr="00BA5FD4">
        <w:rPr>
          <w:rFonts w:ascii="Times New Roman" w:hAnsi="Times New Roman"/>
          <w:bCs/>
        </w:rPr>
        <w:tab/>
        <w:t>PPL offers a number of reasons why its basic charge should be increased</w:t>
      </w:r>
      <w:r w:rsidR="009471FC" w:rsidRPr="00BA5FD4">
        <w:rPr>
          <w:rFonts w:ascii="Times New Roman" w:hAnsi="Times New Roman"/>
          <w:bCs/>
        </w:rPr>
        <w:t xml:space="preserve">.  Those reasons run the gamut from the objective of sending appropriate price signals to customers to the purported logic of recovering what are labeled “customer charges” through a fixed charge.  Both </w:t>
      </w:r>
      <w:r w:rsidR="009471FC" w:rsidRPr="00BA5FD4">
        <w:rPr>
          <w:rFonts w:ascii="Times New Roman" w:hAnsi="Times New Roman"/>
          <w:bCs/>
        </w:rPr>
        <w:lastRenderedPageBreak/>
        <w:t>PPL and Staff argue strenuously that a relatively higher basic charge actually works to the benefit of low-income customers which those two parties characterize as “high-usage” customers.  For reasons outlined below, the Energy Project has consistently opposed any increase to PPL’s existing $6.00 basic charge.</w:t>
      </w:r>
    </w:p>
    <w:p w:rsidR="00C022EF" w:rsidRPr="00BA5FD4" w:rsidRDefault="009471FC" w:rsidP="00C022EF">
      <w:pPr>
        <w:autoSpaceDE w:val="0"/>
        <w:autoSpaceDN w:val="0"/>
        <w:adjustRightInd w:val="0"/>
        <w:spacing w:line="480" w:lineRule="auto"/>
        <w:rPr>
          <w:rFonts w:ascii="Times New Roman" w:hAnsi="Times New Roman"/>
          <w:bCs/>
        </w:rPr>
      </w:pPr>
      <w:r w:rsidRPr="00BA5FD4">
        <w:rPr>
          <w:rFonts w:ascii="Times New Roman" w:hAnsi="Times New Roman"/>
          <w:bCs/>
        </w:rPr>
        <w:tab/>
        <w:t xml:space="preserve">One justification offered by PPL for increasing its basic charge is based </w:t>
      </w:r>
      <w:proofErr w:type="gramStart"/>
      <w:r w:rsidRPr="00BA5FD4">
        <w:rPr>
          <w:rFonts w:ascii="Times New Roman" w:hAnsi="Times New Roman"/>
          <w:bCs/>
        </w:rPr>
        <w:t>on a “survey” of 17 other utilities’ basic charges</w:t>
      </w:r>
      <w:proofErr w:type="gramEnd"/>
      <w:r w:rsidRPr="00BA5FD4">
        <w:rPr>
          <w:rFonts w:ascii="Times New Roman" w:hAnsi="Times New Roman"/>
          <w:bCs/>
        </w:rPr>
        <w:t xml:space="preserve"> referred to by Company witness </w:t>
      </w:r>
      <w:r w:rsidR="00E156BC" w:rsidRPr="00BA5FD4">
        <w:rPr>
          <w:rFonts w:ascii="Times New Roman" w:hAnsi="Times New Roman"/>
          <w:bCs/>
        </w:rPr>
        <w:t>Griffith which, purportedly</w:t>
      </w:r>
      <w:r w:rsidR="000969DA" w:rsidRPr="00BA5FD4">
        <w:rPr>
          <w:rFonts w:ascii="Times New Roman" w:hAnsi="Times New Roman"/>
          <w:bCs/>
        </w:rPr>
        <w:t>, demonstrates that PPL is 9</w:t>
      </w:r>
      <w:r w:rsidR="000969DA" w:rsidRPr="00BA5FD4">
        <w:rPr>
          <w:rFonts w:ascii="Times New Roman" w:hAnsi="Times New Roman"/>
          <w:bCs/>
          <w:vertAlign w:val="superscript"/>
        </w:rPr>
        <w:t>th</w:t>
      </w:r>
      <w:r w:rsidR="000969DA" w:rsidRPr="00BA5FD4">
        <w:rPr>
          <w:rFonts w:ascii="Times New Roman" w:hAnsi="Times New Roman"/>
          <w:bCs/>
        </w:rPr>
        <w:t xml:space="preserve"> lowest among the 17.  As Mr. Griffith conceded, however, only three of the 17 were IOUs.  The rest are non-profit electric providers whose customer costs might differ substantially from a large IOU such as PPL.  The survey was never made part of the record and not disclosed during hearing.</w:t>
      </w:r>
      <w:r w:rsidR="000969DA" w:rsidRPr="00BA5FD4">
        <w:rPr>
          <w:rStyle w:val="FootnoteReference"/>
          <w:rFonts w:ascii="Times New Roman" w:hAnsi="Times New Roman"/>
          <w:bCs/>
        </w:rPr>
        <w:footnoteReference w:id="40"/>
      </w:r>
      <w:r w:rsidR="00E156BC" w:rsidRPr="00BA5FD4">
        <w:rPr>
          <w:rFonts w:ascii="Times New Roman" w:hAnsi="Times New Roman"/>
          <w:bCs/>
        </w:rPr>
        <w:t xml:space="preserve"> </w:t>
      </w:r>
    </w:p>
    <w:p w:rsidR="00C022EF" w:rsidRPr="00BA5FD4" w:rsidRDefault="00A7213A" w:rsidP="00C022EF">
      <w:pPr>
        <w:autoSpaceDE w:val="0"/>
        <w:autoSpaceDN w:val="0"/>
        <w:adjustRightInd w:val="0"/>
        <w:spacing w:line="480" w:lineRule="auto"/>
        <w:rPr>
          <w:rFonts w:ascii="Times New Roman" w:hAnsi="Times New Roman"/>
          <w:bCs/>
        </w:rPr>
      </w:pPr>
      <w:r w:rsidRPr="00BA5FD4">
        <w:rPr>
          <w:rFonts w:ascii="Times New Roman" w:hAnsi="Times New Roman"/>
          <w:bCs/>
        </w:rPr>
        <w:tab/>
        <w:t>Regarding price signals, Mr. Griffith agreed that increasing the basic charge undermines the price signals sent by an otherwise well designed tiered rate design.</w:t>
      </w:r>
      <w:r w:rsidRPr="00BA5FD4">
        <w:rPr>
          <w:rStyle w:val="FootnoteReference"/>
          <w:rFonts w:ascii="Times New Roman" w:hAnsi="Times New Roman"/>
          <w:bCs/>
        </w:rPr>
        <w:footnoteReference w:id="41"/>
      </w:r>
      <w:r w:rsidRPr="00BA5FD4">
        <w:rPr>
          <w:rFonts w:ascii="Times New Roman" w:hAnsi="Times New Roman"/>
          <w:bCs/>
        </w:rPr>
        <w:t xml:space="preserve">.  </w:t>
      </w:r>
    </w:p>
    <w:p w:rsidR="00A7213A" w:rsidRPr="00BA5FD4" w:rsidRDefault="00A7213A" w:rsidP="00C022EF">
      <w:pPr>
        <w:autoSpaceDE w:val="0"/>
        <w:autoSpaceDN w:val="0"/>
        <w:adjustRightInd w:val="0"/>
        <w:spacing w:line="480" w:lineRule="auto"/>
        <w:rPr>
          <w:rFonts w:ascii="Times New Roman" w:hAnsi="Times New Roman"/>
          <w:bCs/>
        </w:rPr>
      </w:pPr>
      <w:r w:rsidRPr="00BA5FD4">
        <w:rPr>
          <w:rFonts w:ascii="Times New Roman" w:hAnsi="Times New Roman"/>
          <w:bCs/>
        </w:rPr>
        <w:tab/>
        <w:t xml:space="preserve">When asked about his contention that low-income users are relatively higher residential users, and that a higher basic charge benefits them, Mr. Griffith relied upon </w:t>
      </w:r>
      <w:proofErr w:type="spellStart"/>
      <w:r w:rsidRPr="00BA5FD4">
        <w:rPr>
          <w:rFonts w:ascii="Times New Roman" w:hAnsi="Times New Roman"/>
          <w:bCs/>
        </w:rPr>
        <w:t>Exh</w:t>
      </w:r>
      <w:proofErr w:type="spellEnd"/>
      <w:r w:rsidRPr="00BA5FD4">
        <w:rPr>
          <w:rFonts w:ascii="Times New Roman" w:hAnsi="Times New Roman"/>
          <w:bCs/>
        </w:rPr>
        <w:t>. No. WRG-11 showing the consumption levels of all residential customers compared to customers receiving LIBA discounts.  When questioned whether there might be any number of low-income customers who do not receive LIBA discounts and whether their consumption would be reflected or rolled into the non-low-income data in exhibit WRG-11, Mr. Griffith acknowledged that this was possible.</w:t>
      </w:r>
      <w:r w:rsidRPr="00BA5FD4">
        <w:rPr>
          <w:rStyle w:val="FootnoteReference"/>
          <w:rFonts w:ascii="Times New Roman" w:hAnsi="Times New Roman"/>
          <w:bCs/>
        </w:rPr>
        <w:footnoteReference w:id="42"/>
      </w:r>
    </w:p>
    <w:p w:rsidR="00A7213A" w:rsidRPr="00BA5FD4" w:rsidRDefault="00A7213A" w:rsidP="00C022EF">
      <w:pPr>
        <w:autoSpaceDE w:val="0"/>
        <w:autoSpaceDN w:val="0"/>
        <w:adjustRightInd w:val="0"/>
        <w:spacing w:line="480" w:lineRule="auto"/>
        <w:rPr>
          <w:rFonts w:ascii="Times New Roman" w:hAnsi="Times New Roman"/>
          <w:bCs/>
        </w:rPr>
      </w:pPr>
      <w:r w:rsidRPr="00BA5FD4">
        <w:rPr>
          <w:rFonts w:ascii="Times New Roman" w:hAnsi="Times New Roman"/>
          <w:bCs/>
        </w:rPr>
        <w:tab/>
        <w:t xml:space="preserve">Mr. Griffith agrees with “certainty” that there might be any number of reasons or factors that distinguish LIBA participants from other low-income residential customers explaining why </w:t>
      </w:r>
      <w:r w:rsidRPr="00BA5FD4">
        <w:rPr>
          <w:rFonts w:ascii="Times New Roman" w:hAnsi="Times New Roman"/>
          <w:bCs/>
        </w:rPr>
        <w:lastRenderedPageBreak/>
        <w:t>LIBA recipients might consume relatively more electricity</w:t>
      </w:r>
      <w:r w:rsidRPr="00BA5FD4">
        <w:rPr>
          <w:rStyle w:val="FootnoteReference"/>
          <w:rFonts w:ascii="Times New Roman" w:hAnsi="Times New Roman"/>
          <w:bCs/>
        </w:rPr>
        <w:footnoteReference w:id="43"/>
      </w:r>
      <w:r w:rsidRPr="00BA5FD4">
        <w:rPr>
          <w:rFonts w:ascii="Times New Roman" w:hAnsi="Times New Roman"/>
          <w:bCs/>
        </w:rPr>
        <w:t xml:space="preserve">  He notes, however, that the Company “doesn’t collect income data on its customers and that it doesn’t know about the incomes of Schedule 16 customers [all residential customers, including low-income, who do not receive assistance under LIBA (Schedule 17)].</w:t>
      </w:r>
      <w:r w:rsidRPr="00BA5FD4">
        <w:rPr>
          <w:rStyle w:val="FootnoteReference"/>
          <w:rFonts w:ascii="Times New Roman" w:hAnsi="Times New Roman"/>
          <w:bCs/>
        </w:rPr>
        <w:footnoteReference w:id="44"/>
      </w:r>
      <w:r w:rsidRPr="00BA5FD4">
        <w:rPr>
          <w:rFonts w:ascii="Times New Roman" w:hAnsi="Times New Roman"/>
          <w:bCs/>
        </w:rPr>
        <w:t xml:space="preserve"> </w:t>
      </w:r>
    </w:p>
    <w:p w:rsidR="00A7213A" w:rsidRPr="00BA5FD4" w:rsidRDefault="00BD2338" w:rsidP="00C022EF">
      <w:pPr>
        <w:autoSpaceDE w:val="0"/>
        <w:autoSpaceDN w:val="0"/>
        <w:adjustRightInd w:val="0"/>
        <w:spacing w:line="480" w:lineRule="auto"/>
        <w:rPr>
          <w:rFonts w:ascii="Times New Roman" w:hAnsi="Times New Roman"/>
          <w:bCs/>
        </w:rPr>
      </w:pPr>
      <w:r w:rsidRPr="00BA5FD4">
        <w:rPr>
          <w:rFonts w:ascii="Times New Roman" w:hAnsi="Times New Roman"/>
          <w:bCs/>
        </w:rPr>
        <w:tab/>
        <w:t xml:space="preserve">The Energy Project submits that whatever price signals PPL believes its basic charge sends to customers including whether fixed costs should be recovered through a fixed charge, the reality is that, in all likelihood, and without meaning disrespect to anyone, the average residential customer is concerned about one thing; the amount of his or her bill.  Should that amount grab their attention, the most likely thing they are to is then look at their level of consumption for the month.  Absent some extraordinary event of which they are already aware, they will possibly then contact their electric provider and inquire why their bill seems high.  </w:t>
      </w:r>
      <w:r w:rsidR="00D21513" w:rsidRPr="00BA5FD4">
        <w:rPr>
          <w:rFonts w:ascii="Times New Roman" w:hAnsi="Times New Roman"/>
          <w:bCs/>
        </w:rPr>
        <w:t>Any answer given to that customer that fails to tie their bill to their monthly consumption is not likely to be well received, even if it is technically understood.</w:t>
      </w:r>
    </w:p>
    <w:p w:rsidR="00D21513" w:rsidRPr="00BA5FD4" w:rsidRDefault="00D21513" w:rsidP="00C022EF">
      <w:pPr>
        <w:autoSpaceDE w:val="0"/>
        <w:autoSpaceDN w:val="0"/>
        <w:adjustRightInd w:val="0"/>
        <w:spacing w:line="480" w:lineRule="auto"/>
        <w:rPr>
          <w:rFonts w:ascii="Times New Roman" w:hAnsi="Times New Roman"/>
          <w:bCs/>
        </w:rPr>
      </w:pPr>
      <w:r w:rsidRPr="00BA5FD4">
        <w:rPr>
          <w:rFonts w:ascii="Times New Roman" w:hAnsi="Times New Roman"/>
          <w:bCs/>
        </w:rPr>
        <w:tab/>
        <w:t>The Energy Project does not dispute that there are any number of price signals that could be sent through</w:t>
      </w:r>
      <w:r w:rsidR="0094109F" w:rsidRPr="00BA5FD4">
        <w:rPr>
          <w:rFonts w:ascii="Times New Roman" w:hAnsi="Times New Roman"/>
          <w:bCs/>
        </w:rPr>
        <w:t xml:space="preserve"> rate design, but as far as residential customers are concerned, it is intuitive that the most powerful signal is one that rewards customers when they are judicious with their power consumption and that imposes a premium on them when they are not.  To the extent that rate design should encourage conservation which typically is in</w:t>
      </w:r>
      <w:r w:rsidR="003876F3" w:rsidRPr="00BA5FD4">
        <w:rPr>
          <w:rFonts w:ascii="Times New Roman" w:hAnsi="Times New Roman"/>
          <w:bCs/>
        </w:rPr>
        <w:t xml:space="preserve"> all customers’ best interests, then a rate design that emphasizes the connection between consumption and total bill is going to be the most effective.</w:t>
      </w:r>
    </w:p>
    <w:p w:rsidR="00935486" w:rsidRPr="00BA5FD4" w:rsidRDefault="00935486" w:rsidP="00C022EF">
      <w:pPr>
        <w:autoSpaceDE w:val="0"/>
        <w:autoSpaceDN w:val="0"/>
        <w:adjustRightInd w:val="0"/>
        <w:spacing w:line="480" w:lineRule="auto"/>
        <w:rPr>
          <w:rFonts w:ascii="Times New Roman" w:hAnsi="Times New Roman"/>
          <w:bCs/>
        </w:rPr>
      </w:pPr>
      <w:r w:rsidRPr="00BA5FD4">
        <w:rPr>
          <w:rFonts w:ascii="Times New Roman" w:hAnsi="Times New Roman"/>
          <w:bCs/>
        </w:rPr>
        <w:lastRenderedPageBreak/>
        <w:tab/>
        <w:t xml:space="preserve">Staff witness Thomas </w:t>
      </w:r>
      <w:proofErr w:type="spellStart"/>
      <w:r w:rsidRPr="00BA5FD4">
        <w:rPr>
          <w:rFonts w:ascii="Times New Roman" w:hAnsi="Times New Roman"/>
          <w:bCs/>
        </w:rPr>
        <w:t>Schooley</w:t>
      </w:r>
      <w:proofErr w:type="spellEnd"/>
      <w:r w:rsidRPr="00BA5FD4">
        <w:rPr>
          <w:rFonts w:ascii="Times New Roman" w:hAnsi="Times New Roman"/>
          <w:bCs/>
        </w:rPr>
        <w:t xml:space="preserve"> also weighed in on PPL’s proposed basic charge.  </w:t>
      </w:r>
      <w:proofErr w:type="gramStart"/>
      <w:r w:rsidRPr="00BA5FD4">
        <w:rPr>
          <w:rFonts w:ascii="Times New Roman" w:hAnsi="Times New Roman"/>
          <w:bCs/>
        </w:rPr>
        <w:t xml:space="preserve">Though Staff supports an increase that is 50% of that requested by PPL, Mr. </w:t>
      </w:r>
      <w:proofErr w:type="spellStart"/>
      <w:r w:rsidRPr="00BA5FD4">
        <w:rPr>
          <w:rFonts w:ascii="Times New Roman" w:hAnsi="Times New Roman"/>
          <w:bCs/>
        </w:rPr>
        <w:t>Schooley</w:t>
      </w:r>
      <w:proofErr w:type="spellEnd"/>
      <w:r w:rsidRPr="00BA5FD4">
        <w:rPr>
          <w:rFonts w:ascii="Times New Roman" w:hAnsi="Times New Roman"/>
          <w:bCs/>
        </w:rPr>
        <w:t xml:space="preserve"> agreed that categorizing costs to include in a basic residential customer charge is inherently subjective.</w:t>
      </w:r>
      <w:proofErr w:type="gramEnd"/>
      <w:r w:rsidRPr="00BA5FD4">
        <w:rPr>
          <w:rStyle w:val="FootnoteReference"/>
          <w:rFonts w:ascii="Times New Roman" w:hAnsi="Times New Roman"/>
          <w:bCs/>
        </w:rPr>
        <w:footnoteReference w:id="45"/>
      </w:r>
    </w:p>
    <w:p w:rsidR="00F601FD" w:rsidRPr="00BA5FD4" w:rsidRDefault="00F601FD" w:rsidP="00C022EF">
      <w:pPr>
        <w:autoSpaceDE w:val="0"/>
        <w:autoSpaceDN w:val="0"/>
        <w:adjustRightInd w:val="0"/>
        <w:spacing w:line="480" w:lineRule="auto"/>
        <w:rPr>
          <w:rFonts w:ascii="Times New Roman" w:hAnsi="Times New Roman"/>
          <w:bCs/>
        </w:rPr>
      </w:pPr>
      <w:r w:rsidRPr="00BA5FD4">
        <w:rPr>
          <w:rFonts w:ascii="Times New Roman" w:hAnsi="Times New Roman"/>
          <w:bCs/>
        </w:rPr>
        <w:tab/>
        <w:t xml:space="preserve">Staff agrees that in recent years, there is a trend on the part of utilities to increasingly seek to recover costs they deem to be “fixed” through fixed charges that do not vary with consumption.  Mr. </w:t>
      </w:r>
      <w:proofErr w:type="spellStart"/>
      <w:r w:rsidRPr="00BA5FD4">
        <w:rPr>
          <w:rFonts w:ascii="Times New Roman" w:hAnsi="Times New Roman"/>
          <w:bCs/>
        </w:rPr>
        <w:t>Schooley</w:t>
      </w:r>
      <w:proofErr w:type="spellEnd"/>
      <w:r w:rsidRPr="00BA5FD4">
        <w:rPr>
          <w:rFonts w:ascii="Times New Roman" w:hAnsi="Times New Roman"/>
          <w:bCs/>
        </w:rPr>
        <w:t xml:space="preserve"> actually supports this on the basis that it constitutes “risk mitigation” for the utilities.</w:t>
      </w:r>
      <w:r w:rsidR="00211DE3" w:rsidRPr="00BA5FD4">
        <w:rPr>
          <w:rFonts w:ascii="Times New Roman" w:hAnsi="Times New Roman"/>
          <w:bCs/>
        </w:rPr>
        <w:t xml:space="preserve">  Mr. </w:t>
      </w:r>
      <w:proofErr w:type="spellStart"/>
      <w:r w:rsidR="00211DE3" w:rsidRPr="00BA5FD4">
        <w:rPr>
          <w:rFonts w:ascii="Times New Roman" w:hAnsi="Times New Roman"/>
          <w:bCs/>
        </w:rPr>
        <w:t>Schooley’s</w:t>
      </w:r>
      <w:proofErr w:type="spellEnd"/>
      <w:r w:rsidR="00211DE3" w:rsidRPr="00BA5FD4">
        <w:rPr>
          <w:rFonts w:ascii="Times New Roman" w:hAnsi="Times New Roman"/>
          <w:bCs/>
        </w:rPr>
        <w:t xml:space="preserve"> theory is that by helping utilities ameliorate their risk somehow keeps costs down.  It is not clear how this necessarily works in favor of ratepayers unless the utilities’ authorized returns are lowered to reflect that mitigated risk.</w:t>
      </w:r>
      <w:r w:rsidR="00211DE3" w:rsidRPr="00BA5FD4">
        <w:rPr>
          <w:rStyle w:val="FootnoteReference"/>
          <w:rFonts w:ascii="Times New Roman" w:hAnsi="Times New Roman"/>
          <w:bCs/>
        </w:rPr>
        <w:footnoteReference w:id="46"/>
      </w:r>
    </w:p>
    <w:p w:rsidR="004032E7" w:rsidRPr="00BA5FD4" w:rsidRDefault="004032E7" w:rsidP="003B6D16">
      <w:pPr>
        <w:autoSpaceDE w:val="0"/>
        <w:autoSpaceDN w:val="0"/>
        <w:adjustRightInd w:val="0"/>
        <w:spacing w:line="480" w:lineRule="auto"/>
        <w:rPr>
          <w:rFonts w:ascii="Times New Roman" w:hAnsi="Times New Roman"/>
          <w:bCs/>
        </w:rPr>
      </w:pPr>
      <w:r w:rsidRPr="00BA5FD4">
        <w:rPr>
          <w:rFonts w:ascii="Times New Roman" w:hAnsi="Times New Roman"/>
          <w:b/>
          <w:bCs/>
        </w:rPr>
        <w:t>4.</w:t>
      </w:r>
      <w:r w:rsidRPr="00BA5FD4">
        <w:rPr>
          <w:rFonts w:ascii="Times New Roman" w:hAnsi="Times New Roman"/>
          <w:b/>
          <w:bCs/>
        </w:rPr>
        <w:tab/>
        <w:t>LOW-INCOME WEATHERIZATION</w:t>
      </w:r>
    </w:p>
    <w:p w:rsidR="004032E7" w:rsidRPr="00BA5FD4" w:rsidRDefault="005A6B72" w:rsidP="004032E7">
      <w:pPr>
        <w:autoSpaceDE w:val="0"/>
        <w:autoSpaceDN w:val="0"/>
        <w:adjustRightInd w:val="0"/>
        <w:spacing w:line="480" w:lineRule="auto"/>
        <w:rPr>
          <w:rFonts w:ascii="Times New Roman" w:hAnsi="Times New Roman"/>
          <w:bCs/>
        </w:rPr>
      </w:pPr>
      <w:r w:rsidRPr="00BA5FD4">
        <w:rPr>
          <w:rFonts w:ascii="Times New Roman" w:hAnsi="Times New Roman"/>
          <w:bCs/>
        </w:rPr>
        <w:tab/>
        <w:t>As far as the Energy Project is able to understand, it is Staff’s, and possibly PPL’s, position that the issue of low-income weatherization assistance (LIWA) cannot or at the least should not be addressed by the parties and ruled upon by the Commission in this case simply because PPL declined to include the issue in its application and supporting testimonies and exhibits, failed to file related tariffs and, consequently, the Commission did not suspend any tariffs pertaining to LIWA when it suspended all other tariffs related to the Company’s filing.  The Energy Project respectfully submits that not only is this argument utterly without basis in law, precedent, or common sense, but it could lead to a very dangerous and regrettable precedent in future proceedings before this Commission.</w:t>
      </w:r>
    </w:p>
    <w:p w:rsidR="004032E7" w:rsidRPr="00BA5FD4" w:rsidRDefault="005A6B72" w:rsidP="004032E7">
      <w:pPr>
        <w:autoSpaceDE w:val="0"/>
        <w:autoSpaceDN w:val="0"/>
        <w:adjustRightInd w:val="0"/>
        <w:spacing w:line="480" w:lineRule="auto"/>
        <w:rPr>
          <w:rFonts w:ascii="Times New Roman" w:hAnsi="Times New Roman"/>
          <w:bCs/>
        </w:rPr>
      </w:pPr>
      <w:r w:rsidRPr="00BA5FD4">
        <w:rPr>
          <w:rFonts w:ascii="Times New Roman" w:hAnsi="Times New Roman"/>
          <w:bCs/>
        </w:rPr>
        <w:tab/>
        <w:t>First, t</w:t>
      </w:r>
      <w:r w:rsidR="004032E7" w:rsidRPr="00BA5FD4">
        <w:rPr>
          <w:rFonts w:ascii="Times New Roman" w:hAnsi="Times New Roman"/>
          <w:bCs/>
        </w:rPr>
        <w:t xml:space="preserve">he Energy Project is unaware of any Commission rule or precedent established by UTC rulings or appellate courts empowering regulated public utilities to dictate which issues will </w:t>
      </w:r>
      <w:r w:rsidR="004032E7" w:rsidRPr="00BA5FD4">
        <w:rPr>
          <w:rFonts w:ascii="Times New Roman" w:hAnsi="Times New Roman"/>
          <w:bCs/>
        </w:rPr>
        <w:lastRenderedPageBreak/>
        <w:t>and will not be litigated in a general rate case.  Thus, the matter becomes one of practicality and equity.</w:t>
      </w:r>
    </w:p>
    <w:p w:rsidR="004032E7" w:rsidRPr="00BA5FD4" w:rsidRDefault="005A6B72" w:rsidP="004032E7">
      <w:pPr>
        <w:autoSpaceDE w:val="0"/>
        <w:autoSpaceDN w:val="0"/>
        <w:adjustRightInd w:val="0"/>
        <w:spacing w:line="480" w:lineRule="auto"/>
        <w:rPr>
          <w:rFonts w:ascii="Times New Roman" w:hAnsi="Times New Roman"/>
          <w:bCs/>
        </w:rPr>
      </w:pPr>
      <w:r w:rsidRPr="00BA5FD4">
        <w:rPr>
          <w:rFonts w:ascii="Times New Roman" w:hAnsi="Times New Roman"/>
          <w:bCs/>
        </w:rPr>
        <w:tab/>
        <w:t xml:space="preserve">Staff seems to believe that </w:t>
      </w:r>
      <w:r w:rsidR="0043136F" w:rsidRPr="00BA5FD4">
        <w:rPr>
          <w:rFonts w:ascii="Times New Roman" w:hAnsi="Times New Roman"/>
          <w:bCs/>
        </w:rPr>
        <w:t>if a utility does not raise an issue AND does not file related tariffs with the Commission as part of its general rate case, the Commission “should not accept” whatever proposal a third party such as the Energy Project makes.</w:t>
      </w:r>
      <w:r w:rsidR="0043136F" w:rsidRPr="00BA5FD4">
        <w:rPr>
          <w:rStyle w:val="FootnoteReference"/>
          <w:rFonts w:ascii="Times New Roman" w:hAnsi="Times New Roman"/>
          <w:bCs/>
        </w:rPr>
        <w:footnoteReference w:id="47"/>
      </w:r>
      <w:r w:rsidR="0043136F" w:rsidRPr="00BA5FD4">
        <w:rPr>
          <w:rFonts w:ascii="Times New Roman" w:hAnsi="Times New Roman"/>
          <w:bCs/>
        </w:rPr>
        <w:t xml:space="preserve">  In his cross-answering testimony, Mr. </w:t>
      </w:r>
      <w:proofErr w:type="spellStart"/>
      <w:r w:rsidR="0043136F" w:rsidRPr="00BA5FD4">
        <w:rPr>
          <w:rFonts w:ascii="Times New Roman" w:hAnsi="Times New Roman"/>
          <w:bCs/>
        </w:rPr>
        <w:t>Schooley</w:t>
      </w:r>
      <w:proofErr w:type="spellEnd"/>
      <w:r w:rsidR="0043136F" w:rsidRPr="00BA5FD4">
        <w:rPr>
          <w:rFonts w:ascii="Times New Roman" w:hAnsi="Times New Roman"/>
          <w:bCs/>
        </w:rPr>
        <w:t xml:space="preserve"> testified: “First, Tariff Sheet 191 does not appear to be before the Commission in this docket; it was not among the tariffs filed by PacifiCorp and suspended by the Commission.</w:t>
      </w:r>
      <w:r w:rsidR="0043136F" w:rsidRPr="00BA5FD4">
        <w:rPr>
          <w:rStyle w:val="FootnoteReference"/>
          <w:rFonts w:ascii="Times New Roman" w:hAnsi="Times New Roman"/>
          <w:bCs/>
        </w:rPr>
        <w:footnoteReference w:id="48"/>
      </w:r>
    </w:p>
    <w:p w:rsidR="0043136F" w:rsidRPr="00BA5FD4" w:rsidRDefault="0043136F" w:rsidP="004032E7">
      <w:pPr>
        <w:autoSpaceDE w:val="0"/>
        <w:autoSpaceDN w:val="0"/>
        <w:adjustRightInd w:val="0"/>
        <w:spacing w:line="480" w:lineRule="auto"/>
        <w:rPr>
          <w:rFonts w:ascii="Times New Roman" w:hAnsi="Times New Roman"/>
          <w:bCs/>
        </w:rPr>
      </w:pPr>
      <w:r w:rsidRPr="00BA5FD4">
        <w:rPr>
          <w:rFonts w:ascii="Times New Roman" w:hAnsi="Times New Roman"/>
          <w:bCs/>
        </w:rPr>
        <w:tab/>
        <w:t>As a practical matter, a</w:t>
      </w:r>
      <w:r w:rsidR="004032E7" w:rsidRPr="00BA5FD4">
        <w:rPr>
          <w:rFonts w:ascii="Times New Roman" w:hAnsi="Times New Roman"/>
          <w:bCs/>
        </w:rPr>
        <w:t xml:space="preserve">bsent a motion by </w:t>
      </w:r>
      <w:r w:rsidRPr="00BA5FD4">
        <w:rPr>
          <w:rFonts w:ascii="Times New Roman" w:hAnsi="Times New Roman"/>
          <w:bCs/>
        </w:rPr>
        <w:t xml:space="preserve">the Energy Project </w:t>
      </w:r>
      <w:r w:rsidR="004032E7" w:rsidRPr="00BA5FD4">
        <w:rPr>
          <w:rFonts w:ascii="Times New Roman" w:hAnsi="Times New Roman"/>
          <w:bCs/>
        </w:rPr>
        <w:t xml:space="preserve">to force PPL to include associated tariffs or rate schedules in its direct filing, there is nothing </w:t>
      </w:r>
      <w:r w:rsidRPr="00BA5FD4">
        <w:rPr>
          <w:rFonts w:ascii="Times New Roman" w:hAnsi="Times New Roman"/>
          <w:bCs/>
        </w:rPr>
        <w:t>Energy Project could have done</w:t>
      </w:r>
      <w:r w:rsidR="004032E7" w:rsidRPr="00BA5FD4">
        <w:rPr>
          <w:rFonts w:ascii="Times New Roman" w:hAnsi="Times New Roman"/>
          <w:bCs/>
        </w:rPr>
        <w:t xml:space="preserve"> to force </w:t>
      </w:r>
      <w:r w:rsidRPr="00BA5FD4">
        <w:rPr>
          <w:rFonts w:ascii="Times New Roman" w:hAnsi="Times New Roman"/>
          <w:bCs/>
        </w:rPr>
        <w:t>PPL</w:t>
      </w:r>
      <w:r w:rsidR="004032E7" w:rsidRPr="00BA5FD4">
        <w:rPr>
          <w:rFonts w:ascii="Times New Roman" w:hAnsi="Times New Roman"/>
          <w:bCs/>
        </w:rPr>
        <w:t xml:space="preserve"> to </w:t>
      </w:r>
      <w:r w:rsidRPr="00BA5FD4">
        <w:rPr>
          <w:rFonts w:ascii="Times New Roman" w:hAnsi="Times New Roman"/>
          <w:bCs/>
        </w:rPr>
        <w:t xml:space="preserve">have </w:t>
      </w:r>
      <w:r w:rsidR="004032E7" w:rsidRPr="00BA5FD4">
        <w:rPr>
          <w:rFonts w:ascii="Times New Roman" w:hAnsi="Times New Roman"/>
          <w:bCs/>
        </w:rPr>
        <w:t>address</w:t>
      </w:r>
      <w:r w:rsidRPr="00BA5FD4">
        <w:rPr>
          <w:rFonts w:ascii="Times New Roman" w:hAnsi="Times New Roman"/>
          <w:bCs/>
        </w:rPr>
        <w:t>ed an issue</w:t>
      </w:r>
      <w:r w:rsidR="004032E7" w:rsidRPr="00BA5FD4">
        <w:rPr>
          <w:rFonts w:ascii="Times New Roman" w:hAnsi="Times New Roman"/>
          <w:bCs/>
        </w:rPr>
        <w:t xml:space="preserve"> it d</w:t>
      </w:r>
      <w:r w:rsidRPr="00BA5FD4">
        <w:rPr>
          <w:rFonts w:ascii="Times New Roman" w:hAnsi="Times New Roman"/>
          <w:bCs/>
        </w:rPr>
        <w:t>idn’t</w:t>
      </w:r>
      <w:r w:rsidR="004032E7" w:rsidRPr="00BA5FD4">
        <w:rPr>
          <w:rFonts w:ascii="Times New Roman" w:hAnsi="Times New Roman"/>
          <w:bCs/>
        </w:rPr>
        <w:t xml:space="preserve"> want to address.  Putting the onus on other parties to have prescience re</w:t>
      </w:r>
      <w:r w:rsidRPr="00BA5FD4">
        <w:rPr>
          <w:rFonts w:ascii="Times New Roman" w:hAnsi="Times New Roman"/>
          <w:bCs/>
        </w:rPr>
        <w:t>garding</w:t>
      </w:r>
      <w:r w:rsidR="004032E7" w:rsidRPr="00BA5FD4">
        <w:rPr>
          <w:rFonts w:ascii="Times New Roman" w:hAnsi="Times New Roman"/>
          <w:bCs/>
        </w:rPr>
        <w:t xml:space="preserve"> what </w:t>
      </w:r>
      <w:r w:rsidRPr="00BA5FD4">
        <w:rPr>
          <w:rFonts w:ascii="Times New Roman" w:hAnsi="Times New Roman"/>
          <w:bCs/>
        </w:rPr>
        <w:t xml:space="preserve">a </w:t>
      </w:r>
      <w:r w:rsidR="004032E7" w:rsidRPr="00BA5FD4">
        <w:rPr>
          <w:rFonts w:ascii="Times New Roman" w:hAnsi="Times New Roman"/>
          <w:bCs/>
        </w:rPr>
        <w:t xml:space="preserve">utility is going to file and/or require </w:t>
      </w:r>
      <w:r w:rsidRPr="00BA5FD4">
        <w:rPr>
          <w:rFonts w:ascii="Times New Roman" w:hAnsi="Times New Roman"/>
          <w:bCs/>
        </w:rPr>
        <w:t xml:space="preserve">a </w:t>
      </w:r>
      <w:r w:rsidR="004032E7" w:rsidRPr="00BA5FD4">
        <w:rPr>
          <w:rFonts w:ascii="Times New Roman" w:hAnsi="Times New Roman"/>
          <w:bCs/>
        </w:rPr>
        <w:t xml:space="preserve">utility to change its filing every time an issue isn’t raised in a filing &amp; related tariffs included &amp; suspended is impractical.  </w:t>
      </w:r>
    </w:p>
    <w:p w:rsidR="004032E7" w:rsidRPr="00BA5FD4" w:rsidRDefault="0043136F" w:rsidP="004032E7">
      <w:pPr>
        <w:autoSpaceDE w:val="0"/>
        <w:autoSpaceDN w:val="0"/>
        <w:adjustRightInd w:val="0"/>
        <w:spacing w:line="480" w:lineRule="auto"/>
        <w:rPr>
          <w:rFonts w:ascii="Times New Roman" w:hAnsi="Times New Roman"/>
          <w:bCs/>
        </w:rPr>
      </w:pPr>
      <w:r w:rsidRPr="00BA5FD4">
        <w:rPr>
          <w:rFonts w:ascii="Times New Roman" w:hAnsi="Times New Roman"/>
          <w:bCs/>
        </w:rPr>
        <w:tab/>
      </w:r>
      <w:r w:rsidR="004032E7" w:rsidRPr="00BA5FD4">
        <w:rPr>
          <w:rFonts w:ascii="Times New Roman" w:hAnsi="Times New Roman"/>
          <w:bCs/>
        </w:rPr>
        <w:t xml:space="preserve">First, TEP is asking for an increase to a program that does have related tariffs, but if the Company doesn’t want to change them, why would it include them w/its filing?  What would including them accomplish if PPL proposes no changes to them?  </w:t>
      </w:r>
      <w:r w:rsidRPr="00BA5FD4">
        <w:rPr>
          <w:rFonts w:ascii="Times New Roman" w:hAnsi="Times New Roman"/>
          <w:bCs/>
        </w:rPr>
        <w:t xml:space="preserve">Thus, contrary to Mr. </w:t>
      </w:r>
      <w:proofErr w:type="spellStart"/>
      <w:r w:rsidRPr="00BA5FD4">
        <w:rPr>
          <w:rFonts w:ascii="Times New Roman" w:hAnsi="Times New Roman"/>
          <w:bCs/>
        </w:rPr>
        <w:t>Schooley’s</w:t>
      </w:r>
      <w:proofErr w:type="spellEnd"/>
      <w:r w:rsidRPr="00BA5FD4">
        <w:rPr>
          <w:rFonts w:ascii="Times New Roman" w:hAnsi="Times New Roman"/>
          <w:bCs/>
        </w:rPr>
        <w:t xml:space="preserve"> statement, there was no low-income weatherization for the Commission to have suspended.  In any event, because PPL did not want to increase or alter low-income weatherization, even if it had filed Schedule 191, it would have done so without changes.  Again, why would the Commission have found it necessary to suspend a tariff already in place and for which no changes had been made by the party filing it as part of the rate case? </w:t>
      </w:r>
    </w:p>
    <w:p w:rsidR="005A696E" w:rsidRPr="00BA5FD4" w:rsidRDefault="005A696E" w:rsidP="004032E7">
      <w:pPr>
        <w:autoSpaceDE w:val="0"/>
        <w:autoSpaceDN w:val="0"/>
        <w:adjustRightInd w:val="0"/>
        <w:spacing w:line="480" w:lineRule="auto"/>
        <w:rPr>
          <w:rFonts w:ascii="Times New Roman" w:hAnsi="Times New Roman"/>
          <w:bCs/>
        </w:rPr>
      </w:pPr>
      <w:r w:rsidRPr="00BA5FD4">
        <w:rPr>
          <w:rFonts w:ascii="Times New Roman" w:hAnsi="Times New Roman"/>
          <w:bCs/>
        </w:rPr>
        <w:lastRenderedPageBreak/>
        <w:tab/>
        <w:t xml:space="preserve">Perhaps the most important and concerning aspect of Staff’s legal position taken in this case is that it sets a very dangerous precedent for future cases if utilities are allowed iron-fisted control over what issues they will deal with and which they won’t.  It is well understood that a Commission may, for any legitimate reason, bifurcate issues out of a general rate case.  These reasons might include convenience to the Commission and all parties, to expedite the case, because the issue is already being addressed in another proceeding, and so on.  But the </w:t>
      </w:r>
      <w:r w:rsidR="00E725BA" w:rsidRPr="00BA5FD4">
        <w:rPr>
          <w:rFonts w:ascii="Times New Roman" w:hAnsi="Times New Roman"/>
          <w:bCs/>
        </w:rPr>
        <w:t>unfettered power of a utility to shut issues out of a general rate case that it wishes not to be bothered by would have a highly chilling effect on future cases.</w:t>
      </w:r>
    </w:p>
    <w:p w:rsidR="00E725BA" w:rsidRPr="00BA5FD4" w:rsidRDefault="00E725BA" w:rsidP="004032E7">
      <w:pPr>
        <w:autoSpaceDE w:val="0"/>
        <w:autoSpaceDN w:val="0"/>
        <w:adjustRightInd w:val="0"/>
        <w:spacing w:line="480" w:lineRule="auto"/>
        <w:rPr>
          <w:rFonts w:ascii="Times New Roman" w:hAnsi="Times New Roman"/>
          <w:bCs/>
        </w:rPr>
      </w:pPr>
      <w:r w:rsidRPr="00BA5FD4">
        <w:rPr>
          <w:rFonts w:ascii="Times New Roman" w:hAnsi="Times New Roman"/>
          <w:bCs/>
        </w:rPr>
        <w:tab/>
        <w:t>Regardless of how the Commission rules on the Energy Project’s request for an increase in LIWA, it is hoped that the Commission does not condone the procedural path that Staff would allow for utilities in future rate cases.</w:t>
      </w:r>
    </w:p>
    <w:p w:rsidR="00E725BA" w:rsidRPr="00BA5FD4" w:rsidRDefault="00E725BA" w:rsidP="004032E7">
      <w:pPr>
        <w:autoSpaceDE w:val="0"/>
        <w:autoSpaceDN w:val="0"/>
        <w:adjustRightInd w:val="0"/>
        <w:spacing w:line="480" w:lineRule="auto"/>
        <w:rPr>
          <w:rFonts w:ascii="Times New Roman" w:hAnsi="Times New Roman"/>
          <w:bCs/>
        </w:rPr>
      </w:pPr>
      <w:r w:rsidRPr="00BA5FD4">
        <w:rPr>
          <w:rFonts w:ascii="Times New Roman" w:hAnsi="Times New Roman"/>
          <w:bCs/>
        </w:rPr>
        <w:tab/>
        <w:t xml:space="preserve">Regarding LIWA itself, it might well be that the Commission believes the issue of LIWA can and should better be addressed in another docket.  The Energy Project is well aware that the Commission is currently examining this issue in the context of at least one other proceeding or process.  Suffice it to </w:t>
      </w:r>
      <w:proofErr w:type="gramStart"/>
      <w:r w:rsidRPr="00BA5FD4">
        <w:rPr>
          <w:rFonts w:ascii="Times New Roman" w:hAnsi="Times New Roman"/>
          <w:bCs/>
        </w:rPr>
        <w:t>say,</w:t>
      </w:r>
      <w:proofErr w:type="gramEnd"/>
      <w:r w:rsidRPr="00BA5FD4">
        <w:rPr>
          <w:rFonts w:ascii="Times New Roman" w:hAnsi="Times New Roman"/>
          <w:bCs/>
        </w:rPr>
        <w:t xml:space="preserve"> the Energy Project was the only party to provide any substantive input into LIWA and, at the very least, hopes that the Commission at least provide an opportunity in the near future to address this important issue.</w:t>
      </w:r>
    </w:p>
    <w:p w:rsidR="004032E7" w:rsidRPr="00BA5FD4" w:rsidRDefault="004032E7" w:rsidP="004032E7">
      <w:pPr>
        <w:autoSpaceDE w:val="0"/>
        <w:autoSpaceDN w:val="0"/>
        <w:adjustRightInd w:val="0"/>
        <w:spacing w:line="480" w:lineRule="auto"/>
        <w:jc w:val="center"/>
        <w:rPr>
          <w:rFonts w:ascii="Times New Roman" w:hAnsi="Times New Roman"/>
          <w:b/>
          <w:bCs/>
        </w:rPr>
      </w:pPr>
      <w:r w:rsidRPr="00BA5FD4">
        <w:rPr>
          <w:rFonts w:ascii="Times New Roman" w:hAnsi="Times New Roman"/>
          <w:b/>
          <w:bCs/>
        </w:rPr>
        <w:t>III.</w:t>
      </w:r>
      <w:r w:rsidRPr="00BA5FD4">
        <w:rPr>
          <w:rFonts w:ascii="Times New Roman" w:hAnsi="Times New Roman"/>
          <w:b/>
          <w:bCs/>
        </w:rPr>
        <w:tab/>
        <w:t>CONCLUSION</w:t>
      </w:r>
    </w:p>
    <w:p w:rsidR="004032E7" w:rsidRPr="00BA5FD4" w:rsidRDefault="00E725BA" w:rsidP="004032E7">
      <w:pPr>
        <w:spacing w:line="480" w:lineRule="auto"/>
        <w:jc w:val="both"/>
        <w:rPr>
          <w:rFonts w:ascii="Times New Roman" w:hAnsi="Times New Roman"/>
          <w:bCs/>
        </w:rPr>
      </w:pPr>
      <w:r w:rsidRPr="00BA5FD4">
        <w:rPr>
          <w:rFonts w:ascii="Times New Roman" w:hAnsi="Times New Roman"/>
          <w:b/>
          <w:bCs/>
        </w:rPr>
        <w:tab/>
      </w:r>
      <w:r w:rsidRPr="00BA5FD4">
        <w:rPr>
          <w:rFonts w:ascii="Times New Roman" w:hAnsi="Times New Roman"/>
          <w:bCs/>
        </w:rPr>
        <w:t xml:space="preserve">The Energy Project wishes to express its gratitude to the Commission, the Company, and all parties for their participation in this proceeding.  Though the Energy Project obviously has strong differences of opinion with the Company and Staff, particularly on LIBA-related issues, it is important to remember that this </w:t>
      </w:r>
      <w:proofErr w:type="spellStart"/>
      <w:r w:rsidRPr="00BA5FD4">
        <w:rPr>
          <w:rFonts w:ascii="Times New Roman" w:hAnsi="Times New Roman"/>
          <w:bCs/>
        </w:rPr>
        <w:t>intervenor</w:t>
      </w:r>
      <w:proofErr w:type="spellEnd"/>
      <w:r w:rsidRPr="00BA5FD4">
        <w:rPr>
          <w:rFonts w:ascii="Times New Roman" w:hAnsi="Times New Roman"/>
          <w:bCs/>
        </w:rPr>
        <w:t xml:space="preserve"> represents agencies whose mandate is to use any and all tools at their disposal to assist PPL’s low-income customers, to do so in the most cost-</w:t>
      </w:r>
      <w:r w:rsidRPr="00BA5FD4">
        <w:rPr>
          <w:rFonts w:ascii="Times New Roman" w:hAnsi="Times New Roman"/>
          <w:bCs/>
        </w:rPr>
        <w:lastRenderedPageBreak/>
        <w:t>effective manner, and in a way that hopefully results in benefits passed along to all customers, low-income or otherwise.</w:t>
      </w:r>
    </w:p>
    <w:p w:rsidR="0014782A" w:rsidRPr="00BA5FD4" w:rsidRDefault="0014782A" w:rsidP="004032E7">
      <w:pPr>
        <w:spacing w:line="480" w:lineRule="auto"/>
        <w:jc w:val="both"/>
        <w:rPr>
          <w:rFonts w:ascii="Times New Roman" w:hAnsi="Times New Roman"/>
          <w:bCs/>
        </w:rPr>
      </w:pPr>
      <w:r w:rsidRPr="00BA5FD4">
        <w:rPr>
          <w:rFonts w:ascii="Times New Roman" w:hAnsi="Times New Roman"/>
          <w:bCs/>
        </w:rPr>
        <w:tab/>
        <w:t xml:space="preserve">The Energy Project places greatest importance in this case on the proposal to certify LIBA every other year.  The issue has been fully fleshed out, but given the conflicting and sometimes contradictory nature of the numerous proposed changes to LIBA, the agencies are being placed in a financial and logistical squeeze that is simply untenable.  As PPL witness Becky </w:t>
      </w:r>
      <w:proofErr w:type="spellStart"/>
      <w:r w:rsidRPr="00BA5FD4">
        <w:rPr>
          <w:rFonts w:ascii="Times New Roman" w:hAnsi="Times New Roman"/>
          <w:bCs/>
        </w:rPr>
        <w:t>Eberle</w:t>
      </w:r>
      <w:proofErr w:type="spellEnd"/>
      <w:r w:rsidRPr="00BA5FD4">
        <w:rPr>
          <w:rFonts w:ascii="Times New Roman" w:hAnsi="Times New Roman"/>
          <w:bCs/>
        </w:rPr>
        <w:t xml:space="preserve"> noted several times throughout this proceeding, these agencies do good work with very limited resources.  The Energy Project submits that until there is sufficient LIBA funding available, the requirement to serve additional customers, while keeping the LIBA administrative fee below actual costs, while simultaneously requiring agencies to only certify every other year likely reducing their compensation but causing disruptive logistical administrative problems is simply not justifiable and the Energy Project strongly urges the Commission to not allow this scenario to develop.</w:t>
      </w:r>
    </w:p>
    <w:p w:rsidR="004032E7" w:rsidRPr="00BA5FD4" w:rsidRDefault="0014782A" w:rsidP="004032E7">
      <w:pPr>
        <w:spacing w:line="480" w:lineRule="auto"/>
        <w:jc w:val="both"/>
        <w:rPr>
          <w:rFonts w:ascii="Times New Roman" w:hAnsi="Times New Roman" w:cs="TimesNewRomanPS-BoldMT"/>
        </w:rPr>
      </w:pPr>
      <w:r w:rsidRPr="00BA5FD4">
        <w:rPr>
          <w:rFonts w:ascii="Times New Roman" w:hAnsi="Times New Roman" w:cs="TimesNewRomanPS-BoldMT"/>
        </w:rPr>
        <w:tab/>
        <w:t xml:space="preserve">In summary, </w:t>
      </w:r>
      <w:r w:rsidR="004032E7" w:rsidRPr="00BA5FD4">
        <w:rPr>
          <w:rFonts w:ascii="Times New Roman" w:hAnsi="Times New Roman" w:cs="TimesNewRomanPS-BoldMT"/>
        </w:rPr>
        <w:t>1) The LIBA discount does not provide enough relief compared to other existing programs.  2) The existing program certification fee does not cover the agency’s cost to do the work.  3) The proposal to certify every two years cripples the agencies’ abilities to maintain the program.  4) The desire to serve more clients without a significant budget adjustment just makes problems 1-3 above even worse.  Funding the increased number of customers the Company has proposed with an increase equal to the proposed 21% revenue and a $65 certification fee will cost an additional $365,264 over the $1,200,000.00 the current program is projected to collect.  This is $111,264.00 more than the Company’s proposed 21% increase ($1,452,000.00).</w:t>
      </w:r>
    </w:p>
    <w:p w:rsidR="009F41AF" w:rsidRPr="00BA5FD4" w:rsidRDefault="009F41AF" w:rsidP="004032E7">
      <w:pPr>
        <w:rPr>
          <w:rFonts w:ascii="Times New Roman" w:hAnsi="Times New Roman"/>
        </w:rPr>
      </w:pPr>
    </w:p>
    <w:p w:rsidR="00846B54" w:rsidRPr="00BA5FD4" w:rsidRDefault="00846B54" w:rsidP="004032E7">
      <w:pPr>
        <w:rPr>
          <w:rFonts w:ascii="Times New Roman" w:hAnsi="Times New Roman"/>
        </w:rPr>
      </w:pPr>
      <w:r w:rsidRPr="00BA5FD4">
        <w:rPr>
          <w:rFonts w:ascii="Times New Roman" w:hAnsi="Times New Roman"/>
        </w:rPr>
        <w:t>RESPECTFULLY SUBMITTED, this 11 day of February, 2011,</w:t>
      </w:r>
    </w:p>
    <w:p w:rsidR="00846B54" w:rsidRPr="00BA5FD4" w:rsidRDefault="00846B54" w:rsidP="004032E7">
      <w:pPr>
        <w:rPr>
          <w:rFonts w:ascii="Times New Roman" w:hAnsi="Times New Roman"/>
        </w:rPr>
      </w:pPr>
    </w:p>
    <w:p w:rsidR="00846B54" w:rsidRPr="00BA5FD4" w:rsidRDefault="00846B54" w:rsidP="004032E7">
      <w:pPr>
        <w:rPr>
          <w:rFonts w:ascii="Times New Roman" w:hAnsi="Times New Roman"/>
        </w:rPr>
      </w:pPr>
    </w:p>
    <w:p w:rsidR="00846B54" w:rsidRPr="00BA5FD4" w:rsidRDefault="00846B54" w:rsidP="004032E7">
      <w:pPr>
        <w:rPr>
          <w:rFonts w:ascii="Times New Roman" w:hAnsi="Times New Roman"/>
        </w:rPr>
      </w:pPr>
    </w:p>
    <w:p w:rsidR="00846B54" w:rsidRPr="00BA5FD4" w:rsidRDefault="00846B54" w:rsidP="004032E7">
      <w:pPr>
        <w:rPr>
          <w:rFonts w:ascii="Times New Roman" w:hAnsi="Times New Roman"/>
        </w:rPr>
      </w:pPr>
    </w:p>
    <w:p w:rsidR="00846B54" w:rsidRPr="00BA5FD4" w:rsidRDefault="00846B54" w:rsidP="004032E7">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_____________________________________</w:t>
      </w:r>
    </w:p>
    <w:p w:rsidR="00846B54" w:rsidRPr="00BA5FD4" w:rsidRDefault="00846B54" w:rsidP="004032E7">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Brad M. Purdy</w:t>
      </w:r>
    </w:p>
    <w:p w:rsidR="00B06E72" w:rsidRPr="00BA5FD4" w:rsidRDefault="00846B54" w:rsidP="004032E7">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Attorney for the Energy Project</w:t>
      </w:r>
    </w:p>
    <w:p w:rsidR="00B06E72" w:rsidRPr="00BA5FD4" w:rsidRDefault="00B06E72">
      <w:pPr>
        <w:rPr>
          <w:rFonts w:ascii="Times New Roman" w:hAnsi="Times New Roman"/>
        </w:rPr>
      </w:pPr>
      <w:r w:rsidRPr="00BA5FD4">
        <w:rPr>
          <w:rFonts w:ascii="Times New Roman" w:hAnsi="Times New Roman"/>
        </w:rPr>
        <w:br w:type="page"/>
      </w:r>
    </w:p>
    <w:p w:rsidR="00B06E72" w:rsidRPr="00BA5FD4" w:rsidRDefault="00B06E72" w:rsidP="00B06E72">
      <w:pPr>
        <w:jc w:val="center"/>
        <w:rPr>
          <w:rFonts w:ascii="Times New Roman" w:hAnsi="Times New Roman"/>
        </w:rPr>
      </w:pPr>
      <w:r w:rsidRPr="00BA5FD4">
        <w:rPr>
          <w:rFonts w:ascii="Times New Roman" w:hAnsi="Times New Roman"/>
        </w:rPr>
        <w:lastRenderedPageBreak/>
        <w:t>CERTIFICATE OF SERVICE</w:t>
      </w:r>
    </w:p>
    <w:p w:rsidR="00B06E72" w:rsidRPr="00BA5FD4" w:rsidRDefault="00B06E72" w:rsidP="00B06E72">
      <w:pPr>
        <w:rPr>
          <w:rFonts w:ascii="Times New Roman" w:hAnsi="Times New Roman"/>
        </w:rPr>
      </w:pPr>
    </w:p>
    <w:p w:rsidR="00B06E72" w:rsidRPr="00BA5FD4" w:rsidRDefault="00B06E72" w:rsidP="00B06E72">
      <w:pPr>
        <w:spacing w:line="480" w:lineRule="auto"/>
        <w:rPr>
          <w:rFonts w:ascii="Times New Roman" w:hAnsi="Times New Roman"/>
        </w:rPr>
      </w:pPr>
      <w:r w:rsidRPr="00BA5FD4">
        <w:rPr>
          <w:rFonts w:ascii="Times New Roman" w:hAnsi="Times New Roman"/>
        </w:rPr>
        <w:tab/>
        <w:t>I hereby certify that on the 11th day of February, 2011, I served the foregoing document on the following individuals via email and U.S. Mail at the addresses shown.</w:t>
      </w:r>
    </w:p>
    <w:p w:rsidR="00B06E72" w:rsidRPr="00BA5FD4" w:rsidRDefault="00B06E72" w:rsidP="00B06E72">
      <w:pPr>
        <w:rPr>
          <w:rFonts w:ascii="Times New Roman" w:hAnsi="Times New Roman"/>
        </w:rPr>
      </w:pPr>
      <w:r w:rsidRPr="00BA5FD4">
        <w:rPr>
          <w:rFonts w:ascii="Times New Roman" w:hAnsi="Times New Roman"/>
        </w:rPr>
        <w:t>WUTC</w:t>
      </w:r>
    </w:p>
    <w:p w:rsidR="00B06E72" w:rsidRPr="00BA5FD4" w:rsidRDefault="00B06E72" w:rsidP="00B06E72">
      <w:pPr>
        <w:rPr>
          <w:rFonts w:ascii="Times New Roman" w:hAnsi="Times New Roman"/>
        </w:rPr>
      </w:pPr>
      <w:r w:rsidRPr="00BA5FD4">
        <w:rPr>
          <w:rFonts w:ascii="Times New Roman" w:hAnsi="Times New Roman"/>
        </w:rPr>
        <w:t>Records Center</w:t>
      </w:r>
    </w:p>
    <w:p w:rsidR="00B06E72" w:rsidRPr="00BA5FD4" w:rsidRDefault="00B06E72" w:rsidP="00B06E72">
      <w:pPr>
        <w:rPr>
          <w:rFonts w:ascii="Times New Roman" w:hAnsi="Times New Roman"/>
        </w:rPr>
      </w:pPr>
      <w:r w:rsidRPr="00BA5FD4">
        <w:rPr>
          <w:rFonts w:ascii="Times New Roman" w:hAnsi="Times New Roman"/>
        </w:rPr>
        <w:t>1300 S. Evergreen Dr. SW</w:t>
      </w:r>
    </w:p>
    <w:p w:rsidR="00B06E72" w:rsidRPr="00BA5FD4" w:rsidRDefault="00B06E72" w:rsidP="00B06E72">
      <w:pPr>
        <w:rPr>
          <w:rFonts w:ascii="Times New Roman" w:hAnsi="Times New Roman"/>
        </w:rPr>
      </w:pPr>
      <w:r w:rsidRPr="00BA5FD4">
        <w:rPr>
          <w:rFonts w:ascii="Times New Roman" w:hAnsi="Times New Roman"/>
        </w:rPr>
        <w:t>Olympia, WA 98504-7250</w:t>
      </w:r>
    </w:p>
    <w:p w:rsidR="00B06E72" w:rsidRPr="00BA5FD4" w:rsidRDefault="00B06E72" w:rsidP="00B06E72">
      <w:pPr>
        <w:rPr>
          <w:rFonts w:ascii="Times New Roman" w:hAnsi="Times New Roman"/>
        </w:rPr>
      </w:pPr>
      <w:hyperlink r:id="rId7" w:history="1">
        <w:r w:rsidRPr="00BA5FD4">
          <w:rPr>
            <w:rStyle w:val="Hyperlink"/>
            <w:rFonts w:ascii="Times New Roman" w:hAnsi="Times New Roman"/>
          </w:rPr>
          <w:t>records@utc.wa.gov</w:t>
        </w:r>
      </w:hyperlink>
    </w:p>
    <w:p w:rsidR="00B06E72" w:rsidRPr="00BA5FD4" w:rsidRDefault="00B06E72" w:rsidP="00B06E72">
      <w:pPr>
        <w:rPr>
          <w:rFonts w:ascii="Times New Roman" w:hAnsi="Times New Roman"/>
        </w:rPr>
      </w:pPr>
    </w:p>
    <w:p w:rsidR="00B06E72" w:rsidRPr="00BA5FD4" w:rsidRDefault="00B06E72" w:rsidP="00B06E72">
      <w:pPr>
        <w:rPr>
          <w:rFonts w:ascii="Times New Roman" w:hAnsi="Times New Roman"/>
        </w:rPr>
      </w:pPr>
      <w:r w:rsidRPr="00BA5FD4">
        <w:rPr>
          <w:rFonts w:ascii="Times New Roman" w:hAnsi="Times New Roman"/>
        </w:rPr>
        <w:t>Cathie Allen</w:t>
      </w:r>
    </w:p>
    <w:p w:rsidR="00B06E72" w:rsidRPr="00BA5FD4" w:rsidRDefault="00B06E72" w:rsidP="00B06E72">
      <w:pPr>
        <w:rPr>
          <w:rFonts w:ascii="Times New Roman" w:hAnsi="Times New Roman"/>
        </w:rPr>
      </w:pPr>
      <w:r w:rsidRPr="00BA5FD4">
        <w:rPr>
          <w:rFonts w:ascii="Times New Roman" w:hAnsi="Times New Roman"/>
        </w:rPr>
        <w:t>PacifiCorp</w:t>
      </w:r>
    </w:p>
    <w:p w:rsidR="00B06E72" w:rsidRPr="00BA5FD4" w:rsidRDefault="00B06E72" w:rsidP="00B06E72">
      <w:pPr>
        <w:rPr>
          <w:rFonts w:ascii="Times New Roman" w:hAnsi="Times New Roman"/>
        </w:rPr>
      </w:pPr>
      <w:r w:rsidRPr="00BA5FD4">
        <w:rPr>
          <w:rFonts w:ascii="Times New Roman" w:hAnsi="Times New Roman"/>
        </w:rPr>
        <w:t>825 NE Multnomah Street</w:t>
      </w:r>
    </w:p>
    <w:p w:rsidR="00B06E72" w:rsidRPr="00BA5FD4" w:rsidRDefault="00B06E72" w:rsidP="00B06E72">
      <w:pPr>
        <w:rPr>
          <w:rFonts w:ascii="Times New Roman" w:hAnsi="Times New Roman"/>
        </w:rPr>
      </w:pPr>
      <w:r w:rsidRPr="00BA5FD4">
        <w:rPr>
          <w:rFonts w:ascii="Times New Roman" w:hAnsi="Times New Roman"/>
        </w:rPr>
        <w:t>Suite 2000</w:t>
      </w:r>
    </w:p>
    <w:p w:rsidR="00B06E72" w:rsidRPr="00BA5FD4" w:rsidRDefault="00B06E72" w:rsidP="00B06E72">
      <w:pPr>
        <w:rPr>
          <w:rFonts w:ascii="Times New Roman" w:hAnsi="Times New Roman"/>
        </w:rPr>
      </w:pPr>
      <w:r w:rsidRPr="00BA5FD4">
        <w:rPr>
          <w:rFonts w:ascii="Times New Roman" w:hAnsi="Times New Roman"/>
        </w:rPr>
        <w:t>Portland, OR 97232</w:t>
      </w:r>
    </w:p>
    <w:p w:rsidR="00B06E72" w:rsidRPr="00BA5FD4" w:rsidRDefault="00B06E72" w:rsidP="00B06E72">
      <w:pPr>
        <w:rPr>
          <w:rFonts w:ascii="Times New Roman" w:hAnsi="Times New Roman"/>
        </w:rPr>
      </w:pPr>
      <w:hyperlink r:id="rId8" w:history="1">
        <w:r w:rsidRPr="00BA5FD4">
          <w:rPr>
            <w:rStyle w:val="Hyperlink"/>
            <w:rFonts w:ascii="Times New Roman" w:hAnsi="Times New Roman"/>
          </w:rPr>
          <w:t>Cathie.allen@pacificorp.com</w:t>
        </w:r>
      </w:hyperlink>
    </w:p>
    <w:p w:rsidR="00B06E72" w:rsidRPr="00BA5FD4" w:rsidRDefault="00B06E72" w:rsidP="00B06E72">
      <w:pPr>
        <w:rPr>
          <w:rFonts w:ascii="Times New Roman" w:hAnsi="Times New Roman"/>
        </w:rPr>
      </w:pPr>
    </w:p>
    <w:p w:rsidR="00B06E72" w:rsidRPr="00BA5FD4" w:rsidRDefault="00B06E72" w:rsidP="00B06E72">
      <w:pPr>
        <w:rPr>
          <w:rFonts w:ascii="Times New Roman" w:hAnsi="Times New Roman"/>
        </w:rPr>
      </w:pPr>
      <w:r w:rsidRPr="00BA5FD4">
        <w:rPr>
          <w:rFonts w:ascii="Times New Roman" w:hAnsi="Times New Roman"/>
        </w:rPr>
        <w:t>Katherine McDowell</w:t>
      </w:r>
    </w:p>
    <w:p w:rsidR="00B06E72" w:rsidRPr="00BA5FD4" w:rsidRDefault="00B06E72" w:rsidP="00B06E72">
      <w:pPr>
        <w:rPr>
          <w:rFonts w:ascii="Times New Roman" w:hAnsi="Times New Roman"/>
        </w:rPr>
      </w:pPr>
      <w:r w:rsidRPr="00BA5FD4">
        <w:rPr>
          <w:rFonts w:ascii="Times New Roman" w:hAnsi="Times New Roman"/>
        </w:rPr>
        <w:t>Pacific Power &amp; Light</w:t>
      </w:r>
    </w:p>
    <w:p w:rsidR="00B06E72" w:rsidRPr="00BA5FD4" w:rsidRDefault="00B06E72" w:rsidP="00B06E72">
      <w:pPr>
        <w:rPr>
          <w:rFonts w:ascii="Times New Roman" w:hAnsi="Times New Roman"/>
        </w:rPr>
      </w:pPr>
      <w:r w:rsidRPr="00BA5FD4">
        <w:rPr>
          <w:rFonts w:ascii="Times New Roman" w:hAnsi="Times New Roman"/>
        </w:rPr>
        <w:t>520 SW 6</w:t>
      </w:r>
      <w:r w:rsidRPr="00BA5FD4">
        <w:rPr>
          <w:rFonts w:ascii="Times New Roman" w:hAnsi="Times New Roman"/>
          <w:vertAlign w:val="superscript"/>
        </w:rPr>
        <w:t>th</w:t>
      </w:r>
      <w:r w:rsidRPr="00BA5FD4">
        <w:rPr>
          <w:rFonts w:ascii="Times New Roman" w:hAnsi="Times New Roman"/>
        </w:rPr>
        <w:t xml:space="preserve"> Avenue</w:t>
      </w:r>
    </w:p>
    <w:p w:rsidR="00B06E72" w:rsidRPr="00BA5FD4" w:rsidRDefault="00B06E72" w:rsidP="00B06E72">
      <w:pPr>
        <w:rPr>
          <w:rFonts w:ascii="Times New Roman" w:hAnsi="Times New Roman"/>
        </w:rPr>
      </w:pPr>
      <w:r w:rsidRPr="00BA5FD4">
        <w:rPr>
          <w:rFonts w:ascii="Times New Roman" w:hAnsi="Times New Roman"/>
        </w:rPr>
        <w:t>Suite 830</w:t>
      </w:r>
    </w:p>
    <w:p w:rsidR="00B06E72" w:rsidRPr="00BA5FD4" w:rsidRDefault="00B06E72" w:rsidP="00B06E72">
      <w:pPr>
        <w:rPr>
          <w:rFonts w:ascii="Times New Roman" w:hAnsi="Times New Roman"/>
        </w:rPr>
      </w:pPr>
      <w:r w:rsidRPr="00BA5FD4">
        <w:rPr>
          <w:rFonts w:ascii="Times New Roman" w:hAnsi="Times New Roman"/>
        </w:rPr>
        <w:t>Portland, OR 97204</w:t>
      </w:r>
    </w:p>
    <w:p w:rsidR="00B06E72" w:rsidRPr="00BA5FD4" w:rsidRDefault="00B06E72" w:rsidP="00B06E72">
      <w:pPr>
        <w:rPr>
          <w:rFonts w:ascii="Times New Roman" w:hAnsi="Times New Roman"/>
        </w:rPr>
      </w:pPr>
      <w:hyperlink r:id="rId9" w:history="1">
        <w:r w:rsidRPr="00BA5FD4">
          <w:rPr>
            <w:rStyle w:val="Hyperlink"/>
            <w:rFonts w:ascii="Times New Roman" w:hAnsi="Times New Roman"/>
          </w:rPr>
          <w:t>Katherine@mcd-law.com</w:t>
        </w:r>
      </w:hyperlink>
    </w:p>
    <w:p w:rsidR="00B06E72" w:rsidRPr="00BA5FD4" w:rsidRDefault="00B06E72" w:rsidP="00B06E72">
      <w:pPr>
        <w:rPr>
          <w:rFonts w:ascii="Times New Roman" w:hAnsi="Times New Roman"/>
        </w:rPr>
      </w:pPr>
    </w:p>
    <w:p w:rsidR="00B06E72" w:rsidRPr="00BA5FD4" w:rsidRDefault="00B06E72" w:rsidP="00B06E72">
      <w:pPr>
        <w:rPr>
          <w:rFonts w:ascii="Times New Roman" w:hAnsi="Times New Roman"/>
        </w:rPr>
      </w:pPr>
      <w:r w:rsidRPr="00BA5FD4">
        <w:rPr>
          <w:rFonts w:ascii="Times New Roman" w:hAnsi="Times New Roman"/>
        </w:rPr>
        <w:t>Amy Jamison</w:t>
      </w:r>
    </w:p>
    <w:p w:rsidR="00B06E72" w:rsidRPr="00BA5FD4" w:rsidRDefault="00B06E72" w:rsidP="00B06E72">
      <w:pPr>
        <w:rPr>
          <w:rFonts w:ascii="Times New Roman" w:hAnsi="Times New Roman"/>
        </w:rPr>
      </w:pPr>
      <w:proofErr w:type="spellStart"/>
      <w:r w:rsidRPr="00BA5FD4">
        <w:rPr>
          <w:rFonts w:ascii="Times New Roman" w:hAnsi="Times New Roman"/>
        </w:rPr>
        <w:t>Pacificorp</w:t>
      </w:r>
      <w:proofErr w:type="spellEnd"/>
      <w:r w:rsidRPr="00BA5FD4">
        <w:rPr>
          <w:rFonts w:ascii="Times New Roman" w:hAnsi="Times New Roman"/>
        </w:rPr>
        <w:t xml:space="preserve"> d/b/a PPL</w:t>
      </w:r>
    </w:p>
    <w:p w:rsidR="00B06E72" w:rsidRPr="00BA5FD4" w:rsidRDefault="00B06E72" w:rsidP="00B06E72">
      <w:pPr>
        <w:rPr>
          <w:rFonts w:ascii="Times New Roman" w:hAnsi="Times New Roman"/>
        </w:rPr>
      </w:pPr>
      <w:r w:rsidRPr="00BA5FD4">
        <w:rPr>
          <w:rFonts w:ascii="Times New Roman" w:hAnsi="Times New Roman"/>
        </w:rPr>
        <w:t>825 NE Multnomah, Suite 1800</w:t>
      </w:r>
    </w:p>
    <w:p w:rsidR="00B06E72" w:rsidRPr="00BA5FD4" w:rsidRDefault="00B06E72" w:rsidP="00B06E72">
      <w:pPr>
        <w:rPr>
          <w:rFonts w:ascii="Times New Roman" w:hAnsi="Times New Roman"/>
        </w:rPr>
      </w:pPr>
      <w:r w:rsidRPr="00BA5FD4">
        <w:rPr>
          <w:rFonts w:ascii="Times New Roman" w:hAnsi="Times New Roman"/>
        </w:rPr>
        <w:t>Portland, OR 97232</w:t>
      </w:r>
    </w:p>
    <w:p w:rsidR="00B06E72" w:rsidRPr="00BA5FD4" w:rsidRDefault="00B06E72" w:rsidP="00B06E72">
      <w:pPr>
        <w:rPr>
          <w:rFonts w:ascii="Times New Roman" w:hAnsi="Times New Roman"/>
        </w:rPr>
      </w:pPr>
    </w:p>
    <w:p w:rsidR="00B06E72" w:rsidRPr="00BA5FD4" w:rsidRDefault="00B06E72" w:rsidP="00B06E72">
      <w:pPr>
        <w:rPr>
          <w:rFonts w:ascii="Times New Roman" w:hAnsi="Times New Roman"/>
        </w:rPr>
      </w:pPr>
      <w:r w:rsidRPr="00BA5FD4">
        <w:rPr>
          <w:rFonts w:ascii="Times New Roman" w:hAnsi="Times New Roman"/>
        </w:rPr>
        <w:t>Melinda Davison</w:t>
      </w:r>
    </w:p>
    <w:p w:rsidR="00B06E72" w:rsidRPr="00BA5FD4" w:rsidRDefault="00B06E72" w:rsidP="00B06E72">
      <w:pPr>
        <w:rPr>
          <w:rFonts w:ascii="Times New Roman" w:hAnsi="Times New Roman"/>
        </w:rPr>
      </w:pPr>
      <w:r w:rsidRPr="00BA5FD4">
        <w:rPr>
          <w:rFonts w:ascii="Times New Roman" w:hAnsi="Times New Roman"/>
        </w:rPr>
        <w:t>333 SW Taylor</w:t>
      </w:r>
    </w:p>
    <w:p w:rsidR="00B06E72" w:rsidRPr="00BA5FD4" w:rsidRDefault="00B06E72" w:rsidP="00B06E72">
      <w:pPr>
        <w:rPr>
          <w:rFonts w:ascii="Times New Roman" w:hAnsi="Times New Roman"/>
        </w:rPr>
      </w:pPr>
      <w:r w:rsidRPr="00BA5FD4">
        <w:rPr>
          <w:rFonts w:ascii="Times New Roman" w:hAnsi="Times New Roman"/>
        </w:rPr>
        <w:t>Suite 400</w:t>
      </w:r>
    </w:p>
    <w:p w:rsidR="00B06E72" w:rsidRPr="00BA5FD4" w:rsidRDefault="00B06E72" w:rsidP="00B06E72">
      <w:pPr>
        <w:rPr>
          <w:rFonts w:ascii="Times New Roman" w:hAnsi="Times New Roman"/>
        </w:rPr>
      </w:pPr>
      <w:r w:rsidRPr="00BA5FD4">
        <w:rPr>
          <w:rFonts w:ascii="Times New Roman" w:hAnsi="Times New Roman"/>
        </w:rPr>
        <w:t>Portland, OR 97204</w:t>
      </w:r>
    </w:p>
    <w:p w:rsidR="00B06E72" w:rsidRPr="00BA5FD4" w:rsidRDefault="00B06E72" w:rsidP="00B06E72">
      <w:pPr>
        <w:rPr>
          <w:rFonts w:ascii="Times New Roman" w:hAnsi="Times New Roman"/>
        </w:rPr>
      </w:pPr>
      <w:hyperlink r:id="rId10" w:history="1">
        <w:r w:rsidRPr="00BA5FD4">
          <w:rPr>
            <w:rStyle w:val="Hyperlink"/>
            <w:rFonts w:ascii="Times New Roman" w:hAnsi="Times New Roman"/>
          </w:rPr>
          <w:t>mail@dvclaw.com</w:t>
        </w:r>
      </w:hyperlink>
    </w:p>
    <w:p w:rsidR="00B06E72" w:rsidRPr="00BA5FD4" w:rsidRDefault="00B06E72" w:rsidP="00B06E72">
      <w:pPr>
        <w:rPr>
          <w:rFonts w:ascii="Times New Roman" w:hAnsi="Times New Roman"/>
        </w:rPr>
      </w:pPr>
    </w:p>
    <w:p w:rsidR="00B06E72" w:rsidRPr="00BA5FD4" w:rsidRDefault="00B06E72" w:rsidP="00B06E72">
      <w:pPr>
        <w:rPr>
          <w:rFonts w:ascii="Times New Roman" w:hAnsi="Times New Roman"/>
        </w:rPr>
      </w:pPr>
      <w:r w:rsidRPr="00BA5FD4">
        <w:rPr>
          <w:rFonts w:ascii="Times New Roman" w:hAnsi="Times New Roman"/>
        </w:rPr>
        <w:t>Irion A. Sanger</w:t>
      </w:r>
    </w:p>
    <w:p w:rsidR="00B06E72" w:rsidRPr="00BA5FD4" w:rsidRDefault="00B06E72" w:rsidP="00B06E72">
      <w:pPr>
        <w:rPr>
          <w:rFonts w:ascii="Times New Roman" w:hAnsi="Times New Roman"/>
        </w:rPr>
      </w:pPr>
      <w:r w:rsidRPr="00BA5FD4">
        <w:rPr>
          <w:rFonts w:ascii="Times New Roman" w:hAnsi="Times New Roman"/>
        </w:rPr>
        <w:t>333 SW Taylor</w:t>
      </w:r>
    </w:p>
    <w:p w:rsidR="00B06E72" w:rsidRPr="00BA5FD4" w:rsidRDefault="00B06E72" w:rsidP="00B06E72">
      <w:pPr>
        <w:rPr>
          <w:rFonts w:ascii="Times New Roman" w:hAnsi="Times New Roman"/>
        </w:rPr>
      </w:pPr>
      <w:r w:rsidRPr="00BA5FD4">
        <w:rPr>
          <w:rFonts w:ascii="Times New Roman" w:hAnsi="Times New Roman"/>
        </w:rPr>
        <w:t>Suite 400</w:t>
      </w:r>
    </w:p>
    <w:p w:rsidR="00B06E72" w:rsidRPr="00BA5FD4" w:rsidRDefault="00B06E72" w:rsidP="00B06E72">
      <w:pPr>
        <w:rPr>
          <w:rFonts w:ascii="Times New Roman" w:hAnsi="Times New Roman"/>
        </w:rPr>
      </w:pPr>
      <w:r w:rsidRPr="00BA5FD4">
        <w:rPr>
          <w:rFonts w:ascii="Times New Roman" w:hAnsi="Times New Roman"/>
        </w:rPr>
        <w:t>Portland, OR 97204</w:t>
      </w:r>
    </w:p>
    <w:p w:rsidR="00B06E72" w:rsidRPr="00BA5FD4" w:rsidRDefault="00B06E72" w:rsidP="00B06E72">
      <w:pPr>
        <w:rPr>
          <w:rFonts w:ascii="Times New Roman" w:hAnsi="Times New Roman"/>
        </w:rPr>
      </w:pPr>
      <w:hyperlink r:id="rId11" w:history="1">
        <w:r w:rsidRPr="00BA5FD4">
          <w:rPr>
            <w:rStyle w:val="Hyperlink"/>
            <w:rFonts w:ascii="Times New Roman" w:hAnsi="Times New Roman"/>
          </w:rPr>
          <w:t>mail@dvclaw.com</w:t>
        </w:r>
      </w:hyperlink>
    </w:p>
    <w:p w:rsidR="00B06E72" w:rsidRPr="00BA5FD4" w:rsidRDefault="00B06E72" w:rsidP="00B06E72">
      <w:pPr>
        <w:rPr>
          <w:rFonts w:ascii="Times New Roman" w:hAnsi="Times New Roman"/>
        </w:rPr>
      </w:pPr>
    </w:p>
    <w:p w:rsidR="00B06E72" w:rsidRPr="00BA5FD4" w:rsidRDefault="00B06E72" w:rsidP="00B06E72">
      <w:pPr>
        <w:rPr>
          <w:rFonts w:ascii="Times New Roman" w:hAnsi="Times New Roman"/>
        </w:rPr>
      </w:pPr>
      <w:r w:rsidRPr="00BA5FD4">
        <w:rPr>
          <w:rFonts w:ascii="Times New Roman" w:hAnsi="Times New Roman"/>
        </w:rPr>
        <w:t>Don Trotter</w:t>
      </w:r>
    </w:p>
    <w:p w:rsidR="00B06E72" w:rsidRPr="00BA5FD4" w:rsidRDefault="00B06E72" w:rsidP="00B06E72">
      <w:pPr>
        <w:rPr>
          <w:rFonts w:ascii="Times New Roman" w:hAnsi="Times New Roman"/>
        </w:rPr>
      </w:pPr>
      <w:r w:rsidRPr="00BA5FD4">
        <w:rPr>
          <w:rFonts w:ascii="Times New Roman" w:hAnsi="Times New Roman"/>
        </w:rPr>
        <w:t>WUTC</w:t>
      </w:r>
    </w:p>
    <w:p w:rsidR="00B06E72" w:rsidRPr="00BA5FD4" w:rsidRDefault="00B06E72" w:rsidP="00B06E72">
      <w:pPr>
        <w:rPr>
          <w:rFonts w:ascii="Times New Roman" w:hAnsi="Times New Roman"/>
        </w:rPr>
      </w:pPr>
      <w:r w:rsidRPr="00BA5FD4">
        <w:rPr>
          <w:rFonts w:ascii="Times New Roman" w:hAnsi="Times New Roman"/>
        </w:rPr>
        <w:t>Attorney General Section</w:t>
      </w:r>
    </w:p>
    <w:p w:rsidR="00B06E72" w:rsidRPr="00BA5FD4" w:rsidRDefault="00B06E72" w:rsidP="00B06E72">
      <w:pPr>
        <w:rPr>
          <w:rFonts w:ascii="Times New Roman" w:hAnsi="Times New Roman"/>
        </w:rPr>
      </w:pPr>
      <w:r w:rsidRPr="00BA5FD4">
        <w:rPr>
          <w:rFonts w:ascii="Times New Roman" w:hAnsi="Times New Roman"/>
        </w:rPr>
        <w:lastRenderedPageBreak/>
        <w:t>1400 S. Evergreen Park Dr. SW</w:t>
      </w:r>
    </w:p>
    <w:p w:rsidR="00B06E72" w:rsidRPr="00BA5FD4" w:rsidRDefault="00B06E72" w:rsidP="00B06E72">
      <w:pPr>
        <w:rPr>
          <w:rFonts w:ascii="Times New Roman" w:hAnsi="Times New Roman"/>
        </w:rPr>
      </w:pPr>
      <w:r w:rsidRPr="00BA5FD4">
        <w:rPr>
          <w:rFonts w:ascii="Times New Roman" w:hAnsi="Times New Roman"/>
        </w:rPr>
        <w:t>Olympia, WA 98504-7250</w:t>
      </w:r>
    </w:p>
    <w:p w:rsidR="00B06E72" w:rsidRPr="00BA5FD4" w:rsidRDefault="00B06E72" w:rsidP="00B06E72">
      <w:pPr>
        <w:rPr>
          <w:rFonts w:ascii="Times New Roman" w:hAnsi="Times New Roman"/>
        </w:rPr>
      </w:pPr>
      <w:hyperlink r:id="rId12" w:history="1">
        <w:r w:rsidRPr="00BA5FD4">
          <w:rPr>
            <w:rStyle w:val="Hyperlink"/>
            <w:rFonts w:ascii="Times New Roman" w:hAnsi="Times New Roman"/>
          </w:rPr>
          <w:t>dtrotter@utc.wa.gov</w:t>
        </w:r>
      </w:hyperlink>
    </w:p>
    <w:p w:rsidR="00B06E72" w:rsidRPr="00BA5FD4" w:rsidRDefault="00B06E72" w:rsidP="00B06E72">
      <w:pPr>
        <w:rPr>
          <w:rFonts w:ascii="Times New Roman" w:hAnsi="Times New Roman"/>
        </w:rPr>
      </w:pPr>
    </w:p>
    <w:p w:rsidR="00B06E72" w:rsidRPr="00BA5FD4" w:rsidRDefault="00B06E72" w:rsidP="00B06E72">
      <w:pPr>
        <w:rPr>
          <w:rFonts w:ascii="Times New Roman" w:hAnsi="Times New Roman"/>
        </w:rPr>
      </w:pPr>
      <w:r w:rsidRPr="00BA5FD4">
        <w:rPr>
          <w:rFonts w:ascii="Times New Roman" w:hAnsi="Times New Roman"/>
        </w:rPr>
        <w:t xml:space="preserve">Sarah </w:t>
      </w:r>
      <w:proofErr w:type="spellStart"/>
      <w:r w:rsidRPr="00BA5FD4">
        <w:rPr>
          <w:rFonts w:ascii="Times New Roman" w:hAnsi="Times New Roman"/>
        </w:rPr>
        <w:t>Shifley</w:t>
      </w:r>
      <w:proofErr w:type="spellEnd"/>
    </w:p>
    <w:p w:rsidR="00B06E72" w:rsidRPr="00BA5FD4" w:rsidRDefault="00B06E72" w:rsidP="00B06E72">
      <w:pPr>
        <w:rPr>
          <w:rFonts w:ascii="Times New Roman" w:hAnsi="Times New Roman"/>
        </w:rPr>
      </w:pPr>
      <w:r w:rsidRPr="00BA5FD4">
        <w:rPr>
          <w:rFonts w:ascii="Times New Roman" w:hAnsi="Times New Roman"/>
        </w:rPr>
        <w:t>Public Counsel</w:t>
      </w:r>
    </w:p>
    <w:p w:rsidR="00B06E72" w:rsidRPr="00BA5FD4" w:rsidRDefault="00B06E72" w:rsidP="00B06E72">
      <w:pPr>
        <w:rPr>
          <w:rFonts w:ascii="Times New Roman" w:hAnsi="Times New Roman"/>
        </w:rPr>
      </w:pPr>
      <w:r w:rsidRPr="00BA5FD4">
        <w:rPr>
          <w:rFonts w:ascii="Times New Roman" w:hAnsi="Times New Roman"/>
        </w:rPr>
        <w:t>800 5</w:t>
      </w:r>
      <w:r w:rsidRPr="00BA5FD4">
        <w:rPr>
          <w:rFonts w:ascii="Times New Roman" w:hAnsi="Times New Roman"/>
          <w:vertAlign w:val="superscript"/>
        </w:rPr>
        <w:t>th</w:t>
      </w:r>
      <w:r w:rsidRPr="00BA5FD4">
        <w:rPr>
          <w:rFonts w:ascii="Times New Roman" w:hAnsi="Times New Roman"/>
        </w:rPr>
        <w:t xml:space="preserve"> Ave</w:t>
      </w:r>
    </w:p>
    <w:p w:rsidR="00B06E72" w:rsidRPr="00BA5FD4" w:rsidRDefault="00B06E72" w:rsidP="00B06E72">
      <w:pPr>
        <w:rPr>
          <w:rFonts w:ascii="Times New Roman" w:hAnsi="Times New Roman"/>
        </w:rPr>
      </w:pPr>
      <w:r w:rsidRPr="00BA5FD4">
        <w:rPr>
          <w:rFonts w:ascii="Times New Roman" w:hAnsi="Times New Roman"/>
        </w:rPr>
        <w:t>Suite 2000</w:t>
      </w:r>
    </w:p>
    <w:p w:rsidR="00B06E72" w:rsidRPr="00BA5FD4" w:rsidRDefault="00B06E72" w:rsidP="00B06E72">
      <w:pPr>
        <w:rPr>
          <w:rFonts w:ascii="Times New Roman" w:hAnsi="Times New Roman"/>
        </w:rPr>
      </w:pPr>
      <w:r w:rsidRPr="00BA5FD4">
        <w:rPr>
          <w:rFonts w:ascii="Times New Roman" w:hAnsi="Times New Roman"/>
        </w:rPr>
        <w:t>Seattle, WA 98104-3188</w:t>
      </w:r>
    </w:p>
    <w:p w:rsidR="00B06E72" w:rsidRPr="00BA5FD4" w:rsidRDefault="00B06E72" w:rsidP="00B06E72">
      <w:pPr>
        <w:rPr>
          <w:rFonts w:ascii="Times New Roman" w:hAnsi="Times New Roman"/>
        </w:rPr>
      </w:pPr>
      <w:hyperlink r:id="rId13" w:history="1">
        <w:r w:rsidRPr="00BA5FD4">
          <w:rPr>
            <w:rStyle w:val="Hyperlink"/>
            <w:rFonts w:ascii="Times New Roman" w:hAnsi="Times New Roman"/>
          </w:rPr>
          <w:t>Sarah.Shifley@atg.wa.gov</w:t>
        </w:r>
      </w:hyperlink>
    </w:p>
    <w:p w:rsidR="00B06E72" w:rsidRPr="00BA5FD4" w:rsidRDefault="00B06E72" w:rsidP="00B06E72">
      <w:pPr>
        <w:rPr>
          <w:rFonts w:ascii="Times New Roman" w:hAnsi="Times New Roman"/>
        </w:rPr>
      </w:pPr>
    </w:p>
    <w:p w:rsidR="00B06E72" w:rsidRPr="00BA5FD4" w:rsidRDefault="00B06E72" w:rsidP="00B06E72">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p>
    <w:p w:rsidR="00B06E72" w:rsidRPr="00BA5FD4" w:rsidRDefault="00B06E72" w:rsidP="00B06E72">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______________________________</w:t>
      </w:r>
    </w:p>
    <w:p w:rsidR="00B06E72" w:rsidRPr="00BA5FD4" w:rsidRDefault="00B06E72" w:rsidP="00B06E72">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Brad M. Purdy</w:t>
      </w:r>
    </w:p>
    <w:p w:rsidR="00B06E72" w:rsidRPr="00BA5FD4" w:rsidRDefault="00B06E72" w:rsidP="00B06E72">
      <w:pPr>
        <w:rPr>
          <w:rFonts w:ascii="Times New Roman" w:hAnsi="Times New Roman"/>
        </w:rPr>
      </w:pP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r>
      <w:r w:rsidRPr="00BA5FD4">
        <w:rPr>
          <w:rFonts w:ascii="Times New Roman" w:hAnsi="Times New Roman"/>
        </w:rPr>
        <w:tab/>
        <w:t>Attorney for the Energy Project</w:t>
      </w:r>
    </w:p>
    <w:p w:rsidR="00B06E72" w:rsidRPr="00BA5FD4" w:rsidRDefault="00B06E72" w:rsidP="00B06E72">
      <w:pPr>
        <w:rPr>
          <w:rFonts w:ascii="Times New Roman" w:hAnsi="Times New Roman"/>
        </w:rPr>
      </w:pPr>
    </w:p>
    <w:p w:rsidR="00B06E72" w:rsidRPr="00BA5FD4" w:rsidRDefault="00B06E72" w:rsidP="00B06E72">
      <w:pPr>
        <w:rPr>
          <w:rFonts w:ascii="Times New Roman" w:hAnsi="Times New Roman"/>
        </w:rPr>
      </w:pPr>
    </w:p>
    <w:p w:rsidR="00846B54" w:rsidRPr="00BA5FD4" w:rsidRDefault="00846B54" w:rsidP="004032E7">
      <w:pPr>
        <w:rPr>
          <w:rFonts w:ascii="Times New Roman" w:hAnsi="Times New Roman" w:cs="TimesNewRomanPS-BoldMT"/>
        </w:rPr>
      </w:pPr>
    </w:p>
    <w:sectPr w:rsidR="00846B54" w:rsidRPr="00BA5FD4" w:rsidSect="00974C62">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8FF" w:rsidRDefault="005F28FF" w:rsidP="00CD2AD4">
      <w:r>
        <w:separator/>
      </w:r>
    </w:p>
  </w:endnote>
  <w:endnote w:type="continuationSeparator" w:id="0">
    <w:p w:rsidR="005F28FF" w:rsidRDefault="005F28FF" w:rsidP="00CD2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102164"/>
      <w:docPartObj>
        <w:docPartGallery w:val="Page Numbers (Bottom of Page)"/>
        <w:docPartUnique/>
      </w:docPartObj>
    </w:sdtPr>
    <w:sdtContent>
      <w:p w:rsidR="00E725BA" w:rsidRPr="007B10E4" w:rsidRDefault="00E725BA">
        <w:pPr>
          <w:pStyle w:val="Footer"/>
          <w:rPr>
            <w:rFonts w:ascii="Times New Roman" w:hAnsi="Times New Roman"/>
          </w:rPr>
        </w:pPr>
        <w:r w:rsidRPr="007B10E4">
          <w:rPr>
            <w:rFonts w:ascii="Times New Roman" w:hAnsi="Times New Roman"/>
          </w:rPr>
          <w:t>ENERGY PROJECT’S INITIAL POST-HEARING BRIEF</w:t>
        </w:r>
        <w:r w:rsidRPr="007B10E4">
          <w:rPr>
            <w:rFonts w:ascii="Times New Roman" w:hAnsi="Times New Roman"/>
          </w:rPr>
          <w:tab/>
        </w:r>
        <w:r w:rsidRPr="007B10E4">
          <w:rPr>
            <w:rFonts w:ascii="Times New Roman" w:hAnsi="Times New Roman"/>
          </w:rPr>
          <w:fldChar w:fldCharType="begin"/>
        </w:r>
        <w:r w:rsidRPr="007B10E4">
          <w:rPr>
            <w:rFonts w:ascii="Times New Roman" w:hAnsi="Times New Roman"/>
          </w:rPr>
          <w:instrText xml:space="preserve"> PAGE   \* MERGEFORMAT </w:instrText>
        </w:r>
        <w:r w:rsidRPr="007B10E4">
          <w:rPr>
            <w:rFonts w:ascii="Times New Roman" w:hAnsi="Times New Roman"/>
          </w:rPr>
          <w:fldChar w:fldCharType="separate"/>
        </w:r>
        <w:r w:rsidR="00BA5FD4">
          <w:rPr>
            <w:rFonts w:ascii="Times New Roman" w:hAnsi="Times New Roman"/>
            <w:noProof/>
          </w:rPr>
          <w:t>12</w:t>
        </w:r>
        <w:r w:rsidRPr="007B10E4">
          <w:rPr>
            <w:rFonts w:ascii="Times New Roman" w:hAnsi="Times New Roman"/>
          </w:rPr>
          <w:fldChar w:fldCharType="end"/>
        </w:r>
      </w:p>
    </w:sdtContent>
  </w:sdt>
  <w:p w:rsidR="00E725BA" w:rsidRDefault="00E725BA" w:rsidP="00D8342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8FF" w:rsidRDefault="005F28FF" w:rsidP="00CD2AD4">
      <w:r>
        <w:separator/>
      </w:r>
    </w:p>
  </w:footnote>
  <w:footnote w:type="continuationSeparator" w:id="0">
    <w:p w:rsidR="005F28FF" w:rsidRDefault="005F28FF" w:rsidP="00CD2AD4">
      <w:r>
        <w:continuationSeparator/>
      </w:r>
    </w:p>
  </w:footnote>
  <w:footnote w:id="1">
    <w:p w:rsidR="00E725BA" w:rsidRDefault="00E725BA" w:rsidP="002C3117">
      <w:pPr>
        <w:pStyle w:val="FootnoteText"/>
      </w:pPr>
      <w:r>
        <w:rPr>
          <w:rStyle w:val="FootnoteReference"/>
        </w:rPr>
        <w:footnoteRef/>
      </w:r>
      <w:r>
        <w:t xml:space="preserve"> </w:t>
      </w:r>
      <w:proofErr w:type="spellStart"/>
      <w:r>
        <w:t>Eberdt</w:t>
      </w:r>
      <w:proofErr w:type="spellEnd"/>
      <w:r>
        <w:t xml:space="preserve">, </w:t>
      </w:r>
      <w:proofErr w:type="spellStart"/>
      <w:r>
        <w:t>Exh</w:t>
      </w:r>
      <w:proofErr w:type="spellEnd"/>
      <w:r>
        <w:t xml:space="preserve">. No. CME-1T, p. 5: </w:t>
      </w:r>
      <w:proofErr w:type="spellStart"/>
      <w:r>
        <w:t>lns</w:t>
      </w:r>
      <w:proofErr w:type="spellEnd"/>
      <w:r>
        <w:t xml:space="preserve"> 5-10.</w:t>
      </w:r>
    </w:p>
  </w:footnote>
  <w:footnote w:id="2">
    <w:p w:rsidR="00E725BA" w:rsidRDefault="00E725BA" w:rsidP="002C3117">
      <w:pPr>
        <w:pStyle w:val="FootnoteText"/>
      </w:pPr>
      <w:r>
        <w:rPr>
          <w:rStyle w:val="FootnoteReference"/>
        </w:rPr>
        <w:footnoteRef/>
      </w:r>
      <w:r>
        <w:t xml:space="preserve"> Tr. p. 562: </w:t>
      </w:r>
      <w:proofErr w:type="spellStart"/>
      <w:r>
        <w:t>lns</w:t>
      </w:r>
      <w:proofErr w:type="spellEnd"/>
      <w:r>
        <w:t xml:space="preserve">. </w:t>
      </w:r>
      <w:proofErr w:type="gramStart"/>
      <w:r>
        <w:t>5-10, Griffith Cross.</w:t>
      </w:r>
      <w:proofErr w:type="gramEnd"/>
    </w:p>
  </w:footnote>
  <w:footnote w:id="3">
    <w:p w:rsidR="00E725BA" w:rsidRDefault="00E725BA">
      <w:pPr>
        <w:pStyle w:val="FootnoteText"/>
      </w:pPr>
      <w:r>
        <w:rPr>
          <w:rStyle w:val="FootnoteReference"/>
        </w:rPr>
        <w:footnoteRef/>
      </w:r>
      <w:r>
        <w:t xml:space="preserve"> </w:t>
      </w:r>
      <w:r>
        <w:rPr>
          <w:i/>
        </w:rPr>
        <w:t>Id.</w:t>
      </w:r>
      <w:r>
        <w:t xml:space="preserve">, p. 561: </w:t>
      </w:r>
      <w:proofErr w:type="spellStart"/>
      <w:r>
        <w:t>ln</w:t>
      </w:r>
      <w:proofErr w:type="spellEnd"/>
      <w:r>
        <w:t xml:space="preserve">. 17. </w:t>
      </w:r>
    </w:p>
  </w:footnote>
  <w:footnote w:id="4">
    <w:p w:rsidR="00E725BA" w:rsidRPr="006E1693" w:rsidRDefault="00E725BA">
      <w:pPr>
        <w:pStyle w:val="FootnoteText"/>
        <w:rPr>
          <w:rFonts w:ascii="Times New Roman" w:hAnsi="Times New Roman"/>
        </w:rPr>
      </w:pPr>
      <w:r>
        <w:rPr>
          <w:rStyle w:val="FootnoteReference"/>
        </w:rPr>
        <w:footnoteRef/>
      </w:r>
      <w:r>
        <w:t xml:space="preserve"> </w:t>
      </w:r>
      <w:proofErr w:type="spellStart"/>
      <w:r>
        <w:t>Eberdt</w:t>
      </w:r>
      <w:proofErr w:type="spellEnd"/>
      <w:r>
        <w:t xml:space="preserve">, </w:t>
      </w:r>
      <w:proofErr w:type="spellStart"/>
      <w:r>
        <w:t>Exh</w:t>
      </w:r>
      <w:proofErr w:type="spellEnd"/>
      <w:r>
        <w:t xml:space="preserve">. No. </w:t>
      </w:r>
      <w:r>
        <w:rPr>
          <w:rFonts w:ascii="Times New Roman" w:hAnsi="Times New Roman"/>
        </w:rPr>
        <w:t xml:space="preserve">CME-1T, at p. 6: </w:t>
      </w:r>
      <w:proofErr w:type="spellStart"/>
      <w:r>
        <w:rPr>
          <w:rFonts w:ascii="Times New Roman" w:hAnsi="Times New Roman"/>
        </w:rPr>
        <w:t>lns</w:t>
      </w:r>
      <w:proofErr w:type="spellEnd"/>
      <w:r>
        <w:rPr>
          <w:rFonts w:ascii="Times New Roman" w:hAnsi="Times New Roman"/>
        </w:rPr>
        <w:t xml:space="preserve">. 19-23 - p.7: </w:t>
      </w:r>
      <w:proofErr w:type="spellStart"/>
      <w:r>
        <w:rPr>
          <w:rFonts w:ascii="Times New Roman" w:hAnsi="Times New Roman"/>
        </w:rPr>
        <w:t>lns</w:t>
      </w:r>
      <w:proofErr w:type="spellEnd"/>
      <w:r>
        <w:rPr>
          <w:rFonts w:ascii="Times New Roman" w:hAnsi="Times New Roman"/>
        </w:rPr>
        <w:t>. 1-4.</w:t>
      </w:r>
    </w:p>
  </w:footnote>
  <w:footnote w:id="5">
    <w:p w:rsidR="00E725BA" w:rsidRDefault="00E725BA">
      <w:pPr>
        <w:pStyle w:val="FootnoteText"/>
      </w:pPr>
      <w:r>
        <w:rPr>
          <w:rStyle w:val="FootnoteReference"/>
        </w:rPr>
        <w:footnoteRef/>
      </w:r>
      <w:r>
        <w:t xml:space="preserve"> </w:t>
      </w:r>
      <w:r>
        <w:rPr>
          <w:i/>
        </w:rPr>
        <w:t>Id.</w:t>
      </w:r>
      <w:r>
        <w:t xml:space="preserve">, p. 6: </w:t>
      </w:r>
      <w:proofErr w:type="spellStart"/>
      <w:r>
        <w:t>lns</w:t>
      </w:r>
      <w:proofErr w:type="spellEnd"/>
      <w:r>
        <w:t xml:space="preserve"> 19-23 - p. 7: </w:t>
      </w:r>
      <w:proofErr w:type="spellStart"/>
      <w:r>
        <w:t>lns</w:t>
      </w:r>
      <w:proofErr w:type="spellEnd"/>
      <w:r>
        <w:t xml:space="preserve"> 1-4</w:t>
      </w:r>
      <w:proofErr w:type="gramStart"/>
      <w:r>
        <w:t xml:space="preserve">;  </w:t>
      </w:r>
      <w:proofErr w:type="spellStart"/>
      <w:r>
        <w:t>Exh</w:t>
      </w:r>
      <w:proofErr w:type="spellEnd"/>
      <w:proofErr w:type="gramEnd"/>
      <w:r>
        <w:t xml:space="preserve">. No. </w:t>
      </w:r>
      <w:proofErr w:type="gramStart"/>
      <w:r>
        <w:t>CME-3.</w:t>
      </w:r>
      <w:proofErr w:type="gramEnd"/>
    </w:p>
  </w:footnote>
  <w:footnote w:id="6">
    <w:p w:rsidR="00E725BA" w:rsidRPr="001C3632" w:rsidRDefault="00E725BA">
      <w:pPr>
        <w:pStyle w:val="FootnoteText"/>
        <w:rPr>
          <w:i/>
        </w:rPr>
      </w:pPr>
      <w:r>
        <w:rPr>
          <w:rStyle w:val="FootnoteReference"/>
        </w:rPr>
        <w:footnoteRef/>
      </w:r>
      <w:r>
        <w:t xml:space="preserve"> </w:t>
      </w:r>
      <w:proofErr w:type="spellStart"/>
      <w:r>
        <w:t>Eberdt</w:t>
      </w:r>
      <w:proofErr w:type="spellEnd"/>
      <w:r>
        <w:t xml:space="preserve">, </w:t>
      </w:r>
      <w:proofErr w:type="spellStart"/>
      <w:r>
        <w:t>Exh</w:t>
      </w:r>
      <w:proofErr w:type="spellEnd"/>
      <w:r>
        <w:t xml:space="preserve">. No. CME-1T, p. 6: </w:t>
      </w:r>
      <w:proofErr w:type="spellStart"/>
      <w:r>
        <w:t>lns</w:t>
      </w:r>
      <w:proofErr w:type="spellEnd"/>
      <w:r>
        <w:t xml:space="preserve">. 19-23 – p. 7: </w:t>
      </w:r>
      <w:proofErr w:type="spellStart"/>
      <w:r>
        <w:t>lns</w:t>
      </w:r>
      <w:proofErr w:type="spellEnd"/>
      <w:r>
        <w:t>. 1-4.</w:t>
      </w:r>
    </w:p>
  </w:footnote>
  <w:footnote w:id="7">
    <w:p w:rsidR="00E725BA" w:rsidRPr="001C3632" w:rsidRDefault="00E725BA">
      <w:pPr>
        <w:pStyle w:val="FootnoteText"/>
        <w:rPr>
          <w:i/>
        </w:rPr>
      </w:pPr>
      <w:r>
        <w:rPr>
          <w:rStyle w:val="FootnoteReference"/>
        </w:rPr>
        <w:footnoteRef/>
      </w:r>
      <w:r>
        <w:t xml:space="preserve"> </w:t>
      </w:r>
      <w:r>
        <w:rPr>
          <w:i/>
        </w:rPr>
        <w:t>Id.</w:t>
      </w:r>
    </w:p>
  </w:footnote>
  <w:footnote w:id="8">
    <w:p w:rsidR="00E725BA" w:rsidRDefault="00E725BA">
      <w:pPr>
        <w:pStyle w:val="FootnoteText"/>
      </w:pPr>
      <w:r>
        <w:rPr>
          <w:rStyle w:val="FootnoteReference"/>
        </w:rPr>
        <w:footnoteRef/>
      </w:r>
      <w:r>
        <w:t xml:space="preserve"> </w:t>
      </w:r>
      <w:r>
        <w:rPr>
          <w:i/>
        </w:rPr>
        <w:t>Id.</w:t>
      </w:r>
      <w:r>
        <w:t xml:space="preserve"> at p. 5: </w:t>
      </w:r>
      <w:proofErr w:type="spellStart"/>
      <w:r>
        <w:t>ln</w:t>
      </w:r>
      <w:proofErr w:type="spellEnd"/>
      <w:r>
        <w:t>. 4.</w:t>
      </w:r>
    </w:p>
  </w:footnote>
  <w:footnote w:id="9">
    <w:p w:rsidR="00E725BA" w:rsidRDefault="00E725BA">
      <w:pPr>
        <w:pStyle w:val="FootnoteText"/>
      </w:pPr>
      <w:r>
        <w:rPr>
          <w:rStyle w:val="FootnoteReference"/>
        </w:rPr>
        <w:footnoteRef/>
      </w:r>
      <w:r>
        <w:t xml:space="preserve"> </w:t>
      </w:r>
      <w:r>
        <w:rPr>
          <w:i/>
        </w:rPr>
        <w:t>Id.</w:t>
      </w:r>
      <w:r>
        <w:t xml:space="preserve"> at p. 5: </w:t>
      </w:r>
      <w:proofErr w:type="spellStart"/>
      <w:r>
        <w:t>lns</w:t>
      </w:r>
      <w:proofErr w:type="spellEnd"/>
      <w:r>
        <w:t xml:space="preserve"> 19-20 – p. 6: </w:t>
      </w:r>
      <w:proofErr w:type="spellStart"/>
      <w:r>
        <w:t>lns</w:t>
      </w:r>
      <w:proofErr w:type="spellEnd"/>
      <w:r>
        <w:t xml:space="preserve"> 1-3.</w:t>
      </w:r>
    </w:p>
  </w:footnote>
  <w:footnote w:id="10">
    <w:p w:rsidR="00E725BA" w:rsidRDefault="00E725BA">
      <w:pPr>
        <w:pStyle w:val="FootnoteText"/>
      </w:pPr>
      <w:r>
        <w:rPr>
          <w:rStyle w:val="FootnoteReference"/>
        </w:rPr>
        <w:footnoteRef/>
      </w:r>
      <w:r>
        <w:t xml:space="preserve"> </w:t>
      </w:r>
      <w:proofErr w:type="spellStart"/>
      <w:r>
        <w:t>Schooley</w:t>
      </w:r>
      <w:proofErr w:type="spellEnd"/>
      <w:r>
        <w:t xml:space="preserve">, </w:t>
      </w:r>
      <w:proofErr w:type="spellStart"/>
      <w:r>
        <w:t>Exh</w:t>
      </w:r>
      <w:proofErr w:type="spellEnd"/>
      <w:r>
        <w:t xml:space="preserve">. No. TES-1T, p. 41: </w:t>
      </w:r>
      <w:proofErr w:type="spellStart"/>
      <w:r>
        <w:t>lns</w:t>
      </w:r>
      <w:proofErr w:type="spellEnd"/>
      <w:r>
        <w:t>. 13-14.</w:t>
      </w:r>
    </w:p>
  </w:footnote>
  <w:footnote w:id="11">
    <w:p w:rsidR="00E725BA" w:rsidRPr="00C76BFF" w:rsidRDefault="00E725BA">
      <w:pPr>
        <w:pStyle w:val="FootnoteText"/>
        <w:rPr>
          <w:i/>
        </w:rPr>
      </w:pPr>
      <w:r>
        <w:rPr>
          <w:rStyle w:val="FootnoteReference"/>
        </w:rPr>
        <w:footnoteRef/>
      </w:r>
      <w:r>
        <w:t xml:space="preserve"> </w:t>
      </w:r>
      <w:proofErr w:type="gramStart"/>
      <w:r>
        <w:rPr>
          <w:i/>
        </w:rPr>
        <w:t xml:space="preserve">Id. at </w:t>
      </w:r>
      <w:proofErr w:type="spellStart"/>
      <w:r>
        <w:rPr>
          <w:i/>
        </w:rPr>
        <w:t>ln</w:t>
      </w:r>
      <w:proofErr w:type="spellEnd"/>
      <w:r>
        <w:rPr>
          <w:i/>
        </w:rPr>
        <w:t>.</w:t>
      </w:r>
      <w:proofErr w:type="gramEnd"/>
      <w:r>
        <w:rPr>
          <w:i/>
        </w:rPr>
        <w:t xml:space="preserve"> 20.</w:t>
      </w:r>
    </w:p>
  </w:footnote>
  <w:footnote w:id="12">
    <w:p w:rsidR="00E725BA" w:rsidRDefault="00E725BA">
      <w:pPr>
        <w:pStyle w:val="FootnoteText"/>
      </w:pPr>
      <w:r>
        <w:rPr>
          <w:rStyle w:val="FootnoteReference"/>
        </w:rPr>
        <w:footnoteRef/>
      </w:r>
      <w:r>
        <w:t xml:space="preserve"> </w:t>
      </w:r>
      <w:proofErr w:type="spellStart"/>
      <w:r>
        <w:t>Schooley</w:t>
      </w:r>
      <w:proofErr w:type="spellEnd"/>
      <w:r>
        <w:t xml:space="preserve">, </w:t>
      </w:r>
      <w:proofErr w:type="spellStart"/>
      <w:r>
        <w:t>Exh</w:t>
      </w:r>
      <w:proofErr w:type="spellEnd"/>
      <w:r>
        <w:t xml:space="preserve">. No. TES-1T, p. 40: </w:t>
      </w:r>
      <w:proofErr w:type="spellStart"/>
      <w:r>
        <w:t>ln</w:t>
      </w:r>
      <w:proofErr w:type="spellEnd"/>
      <w:r>
        <w:t>. 6.</w:t>
      </w:r>
    </w:p>
  </w:footnote>
  <w:footnote w:id="13">
    <w:p w:rsidR="00E725BA" w:rsidRDefault="00E725BA" w:rsidP="00E877E3">
      <w:pPr>
        <w:pStyle w:val="FootnoteText"/>
      </w:pPr>
      <w:r>
        <w:rPr>
          <w:rStyle w:val="FootnoteReference"/>
        </w:rPr>
        <w:footnoteRef/>
      </w:r>
      <w:r>
        <w:t xml:space="preserve"> </w:t>
      </w:r>
      <w:proofErr w:type="spellStart"/>
      <w:r>
        <w:t>Eberle</w:t>
      </w:r>
      <w:proofErr w:type="spellEnd"/>
      <w:r>
        <w:t xml:space="preserve">, </w:t>
      </w:r>
      <w:proofErr w:type="spellStart"/>
      <w:r>
        <w:t>Exh</w:t>
      </w:r>
      <w:proofErr w:type="spellEnd"/>
      <w:r>
        <w:t xml:space="preserve">. No. RME-1T, p. 3: </w:t>
      </w:r>
      <w:proofErr w:type="spellStart"/>
      <w:r>
        <w:t>lns</w:t>
      </w:r>
      <w:proofErr w:type="spellEnd"/>
      <w:r>
        <w:t>. 3-5.</w:t>
      </w:r>
    </w:p>
  </w:footnote>
  <w:footnote w:id="14">
    <w:p w:rsidR="00E725BA" w:rsidRDefault="00E725BA">
      <w:pPr>
        <w:pStyle w:val="FootnoteText"/>
      </w:pPr>
      <w:r>
        <w:rPr>
          <w:rStyle w:val="FootnoteReference"/>
        </w:rPr>
        <w:footnoteRef/>
      </w:r>
      <w:r>
        <w:t xml:space="preserve"> Tr. p. 559: </w:t>
      </w:r>
      <w:proofErr w:type="spellStart"/>
      <w:r>
        <w:t>lns</w:t>
      </w:r>
      <w:proofErr w:type="spellEnd"/>
      <w:r>
        <w:t>. 5-11.</w:t>
      </w:r>
    </w:p>
  </w:footnote>
  <w:footnote w:id="15">
    <w:p w:rsidR="00E725BA" w:rsidRDefault="00E725BA">
      <w:pPr>
        <w:pStyle w:val="FootnoteText"/>
      </w:pPr>
      <w:r>
        <w:rPr>
          <w:rStyle w:val="FootnoteReference"/>
        </w:rPr>
        <w:footnoteRef/>
      </w:r>
      <w:r>
        <w:t xml:space="preserve"> </w:t>
      </w:r>
      <w:proofErr w:type="spellStart"/>
      <w:r>
        <w:t>Schooley</w:t>
      </w:r>
      <w:proofErr w:type="spellEnd"/>
      <w:r>
        <w:t xml:space="preserve">, TES-1T, p. 42: </w:t>
      </w:r>
      <w:proofErr w:type="spellStart"/>
      <w:r>
        <w:t>lns</w:t>
      </w:r>
      <w:proofErr w:type="spellEnd"/>
      <w:r>
        <w:t xml:space="preserve"> 10-16.</w:t>
      </w:r>
    </w:p>
  </w:footnote>
  <w:footnote w:id="16">
    <w:p w:rsidR="00E725BA" w:rsidRDefault="00E725BA">
      <w:pPr>
        <w:pStyle w:val="FootnoteText"/>
      </w:pPr>
      <w:r>
        <w:rPr>
          <w:rStyle w:val="FootnoteReference"/>
        </w:rPr>
        <w:footnoteRef/>
      </w:r>
      <w:r>
        <w:t xml:space="preserve"> </w:t>
      </w:r>
      <w:r w:rsidRPr="007B10E4">
        <w:rPr>
          <w:rFonts w:ascii="Times New Roman" w:hAnsi="Times New Roman"/>
        </w:rPr>
        <w:t>Tr</w:t>
      </w:r>
      <w:r>
        <w:rPr>
          <w:rFonts w:ascii="Times New Roman" w:hAnsi="Times New Roman"/>
        </w:rPr>
        <w:t>. p.</w:t>
      </w:r>
      <w:r w:rsidRPr="007B10E4">
        <w:rPr>
          <w:rFonts w:ascii="Times New Roman" w:hAnsi="Times New Roman"/>
        </w:rPr>
        <w:t>523</w:t>
      </w:r>
      <w:r>
        <w:rPr>
          <w:rFonts w:ascii="Times New Roman" w:hAnsi="Times New Roman"/>
        </w:rPr>
        <w:t>:</w:t>
      </w:r>
      <w:r w:rsidRPr="007B10E4">
        <w:rPr>
          <w:rFonts w:ascii="Times New Roman" w:hAnsi="Times New Roman"/>
        </w:rPr>
        <w:t xml:space="preserve"> </w:t>
      </w:r>
      <w:proofErr w:type="spellStart"/>
      <w:r w:rsidRPr="007B10E4">
        <w:rPr>
          <w:rFonts w:ascii="Times New Roman" w:hAnsi="Times New Roman"/>
        </w:rPr>
        <w:t>lns</w:t>
      </w:r>
      <w:proofErr w:type="spellEnd"/>
      <w:r w:rsidRPr="007B10E4">
        <w:rPr>
          <w:rFonts w:ascii="Times New Roman" w:hAnsi="Times New Roman"/>
        </w:rPr>
        <w:t xml:space="preserve"> 4-13</w:t>
      </w:r>
      <w:r>
        <w:rPr>
          <w:rFonts w:ascii="Times New Roman" w:hAnsi="Times New Roman"/>
        </w:rPr>
        <w:t xml:space="preserve">, and p. 523: </w:t>
      </w:r>
      <w:proofErr w:type="spellStart"/>
      <w:r>
        <w:rPr>
          <w:rFonts w:ascii="Times New Roman" w:hAnsi="Times New Roman"/>
        </w:rPr>
        <w:t>lns</w:t>
      </w:r>
      <w:proofErr w:type="spellEnd"/>
      <w:r>
        <w:rPr>
          <w:rFonts w:ascii="Times New Roman" w:hAnsi="Times New Roman"/>
        </w:rPr>
        <w:t xml:space="preserve">. 24-25 – p. 524: </w:t>
      </w:r>
      <w:proofErr w:type="spellStart"/>
      <w:r>
        <w:rPr>
          <w:rFonts w:ascii="Times New Roman" w:hAnsi="Times New Roman"/>
        </w:rPr>
        <w:t>lns</w:t>
      </w:r>
      <w:proofErr w:type="spellEnd"/>
      <w:r>
        <w:rPr>
          <w:rFonts w:ascii="Times New Roman" w:hAnsi="Times New Roman"/>
        </w:rPr>
        <w:t xml:space="preserve"> 1-12, </w:t>
      </w:r>
      <w:proofErr w:type="spellStart"/>
      <w:r>
        <w:rPr>
          <w:rFonts w:ascii="Times New Roman" w:hAnsi="Times New Roman"/>
        </w:rPr>
        <w:t>Eberle</w:t>
      </w:r>
      <w:proofErr w:type="spellEnd"/>
      <w:r>
        <w:rPr>
          <w:rFonts w:ascii="Times New Roman" w:hAnsi="Times New Roman"/>
        </w:rPr>
        <w:t xml:space="preserve"> Cross.</w:t>
      </w:r>
    </w:p>
  </w:footnote>
  <w:footnote w:id="17">
    <w:p w:rsidR="00E725BA" w:rsidRDefault="00E725BA">
      <w:pPr>
        <w:pStyle w:val="FootnoteText"/>
      </w:pPr>
      <w:r>
        <w:rPr>
          <w:rStyle w:val="FootnoteReference"/>
        </w:rPr>
        <w:footnoteRef/>
      </w:r>
      <w:r>
        <w:t xml:space="preserve"> </w:t>
      </w:r>
      <w:r>
        <w:rPr>
          <w:i/>
        </w:rPr>
        <w:t>Id.</w:t>
      </w:r>
      <w:r>
        <w:t xml:space="preserve"> p. 522: </w:t>
      </w:r>
      <w:proofErr w:type="spellStart"/>
      <w:r>
        <w:t>lns</w:t>
      </w:r>
      <w:proofErr w:type="spellEnd"/>
      <w:r>
        <w:t xml:space="preserve"> 24-25 – p. 523: </w:t>
      </w:r>
      <w:proofErr w:type="spellStart"/>
      <w:r>
        <w:t>lns</w:t>
      </w:r>
      <w:proofErr w:type="spellEnd"/>
      <w:r>
        <w:t xml:space="preserve"> 1-5.</w:t>
      </w:r>
    </w:p>
  </w:footnote>
  <w:footnote w:id="18">
    <w:p w:rsidR="00E725BA" w:rsidRDefault="00E725BA">
      <w:pPr>
        <w:pStyle w:val="FootnoteText"/>
      </w:pPr>
      <w:r>
        <w:rPr>
          <w:rStyle w:val="FootnoteReference"/>
        </w:rPr>
        <w:footnoteRef/>
      </w:r>
      <w:r>
        <w:t xml:space="preserve"> </w:t>
      </w:r>
      <w:r>
        <w:rPr>
          <w:i/>
        </w:rPr>
        <w:t xml:space="preserve">Id. </w:t>
      </w:r>
      <w:r>
        <w:t xml:space="preserve"> p. 524: </w:t>
      </w:r>
      <w:proofErr w:type="spellStart"/>
      <w:r>
        <w:t>lns</w:t>
      </w:r>
      <w:proofErr w:type="spellEnd"/>
      <w:r>
        <w:t xml:space="preserve"> 6-7.</w:t>
      </w:r>
    </w:p>
  </w:footnote>
  <w:footnote w:id="19">
    <w:p w:rsidR="00E725BA" w:rsidRDefault="00E725BA">
      <w:pPr>
        <w:pStyle w:val="FootnoteText"/>
      </w:pPr>
      <w:r>
        <w:rPr>
          <w:rStyle w:val="FootnoteReference"/>
        </w:rPr>
        <w:footnoteRef/>
      </w:r>
      <w:r>
        <w:t xml:space="preserve"> </w:t>
      </w:r>
      <w:r>
        <w:rPr>
          <w:i/>
        </w:rPr>
        <w:t>Id.</w:t>
      </w:r>
      <w:r>
        <w:t xml:space="preserve"> p. 521: </w:t>
      </w:r>
      <w:proofErr w:type="spellStart"/>
      <w:r>
        <w:t>lns</w:t>
      </w:r>
      <w:proofErr w:type="spellEnd"/>
      <w:r>
        <w:t>. 12-15.</w:t>
      </w:r>
    </w:p>
  </w:footnote>
  <w:footnote w:id="20">
    <w:p w:rsidR="00E725BA" w:rsidRDefault="00E725BA">
      <w:pPr>
        <w:pStyle w:val="FootnoteText"/>
      </w:pPr>
      <w:r>
        <w:rPr>
          <w:rStyle w:val="FootnoteReference"/>
        </w:rPr>
        <w:footnoteRef/>
      </w:r>
      <w:r>
        <w:t xml:space="preserve"> Tr. p. 522: </w:t>
      </w:r>
      <w:proofErr w:type="spellStart"/>
      <w:r>
        <w:t>ln</w:t>
      </w:r>
      <w:proofErr w:type="spellEnd"/>
      <w:r>
        <w:t xml:space="preserve">. 16, </w:t>
      </w:r>
      <w:proofErr w:type="spellStart"/>
      <w:r>
        <w:t>Eberle</w:t>
      </w:r>
      <w:proofErr w:type="spellEnd"/>
      <w:r>
        <w:t xml:space="preserve"> cross.</w:t>
      </w:r>
    </w:p>
  </w:footnote>
  <w:footnote w:id="21">
    <w:p w:rsidR="00E725BA" w:rsidRDefault="00E725BA">
      <w:pPr>
        <w:pStyle w:val="FootnoteText"/>
      </w:pPr>
      <w:r>
        <w:rPr>
          <w:rStyle w:val="FootnoteReference"/>
        </w:rPr>
        <w:footnoteRef/>
      </w:r>
      <w:r>
        <w:t xml:space="preserve"> Tr. p. 521: </w:t>
      </w:r>
      <w:proofErr w:type="spellStart"/>
      <w:r>
        <w:t>ln</w:t>
      </w:r>
      <w:proofErr w:type="spellEnd"/>
      <w:r>
        <w:t xml:space="preserve">. 25 – p. 522: </w:t>
      </w:r>
      <w:proofErr w:type="spellStart"/>
      <w:r>
        <w:t>ln</w:t>
      </w:r>
      <w:proofErr w:type="spellEnd"/>
      <w:r>
        <w:t xml:space="preserve">. </w:t>
      </w:r>
      <w:proofErr w:type="gramStart"/>
      <w:r>
        <w:t xml:space="preserve">1, </w:t>
      </w:r>
      <w:proofErr w:type="spellStart"/>
      <w:r>
        <w:t>Eberle</w:t>
      </w:r>
      <w:proofErr w:type="spellEnd"/>
      <w:r>
        <w:t xml:space="preserve"> Cross.</w:t>
      </w:r>
      <w:proofErr w:type="gramEnd"/>
    </w:p>
  </w:footnote>
  <w:footnote w:id="22">
    <w:p w:rsidR="00E725BA" w:rsidRDefault="00E725BA">
      <w:pPr>
        <w:pStyle w:val="FootnoteText"/>
      </w:pPr>
      <w:r>
        <w:rPr>
          <w:rStyle w:val="FootnoteReference"/>
        </w:rPr>
        <w:footnoteRef/>
      </w:r>
      <w:r>
        <w:t xml:space="preserve"> </w:t>
      </w:r>
      <w:proofErr w:type="spellStart"/>
      <w:r>
        <w:t>Eberdt</w:t>
      </w:r>
      <w:proofErr w:type="spellEnd"/>
      <w:r>
        <w:t xml:space="preserve">, </w:t>
      </w:r>
      <w:proofErr w:type="spellStart"/>
      <w:r>
        <w:t>Exh</w:t>
      </w:r>
      <w:proofErr w:type="spellEnd"/>
      <w:r>
        <w:t xml:space="preserve">. No. CME-1T, p. 8: </w:t>
      </w:r>
      <w:proofErr w:type="spellStart"/>
      <w:r>
        <w:t>lns</w:t>
      </w:r>
      <w:proofErr w:type="spellEnd"/>
      <w:r>
        <w:t>. 16-18.</w:t>
      </w:r>
    </w:p>
  </w:footnote>
  <w:footnote w:id="23">
    <w:p w:rsidR="00E725BA" w:rsidRDefault="00E725BA">
      <w:pPr>
        <w:pStyle w:val="FootnoteText"/>
      </w:pPr>
      <w:r>
        <w:rPr>
          <w:rStyle w:val="FootnoteReference"/>
        </w:rPr>
        <w:footnoteRef/>
      </w:r>
      <w:r>
        <w:t xml:space="preserve"> </w:t>
      </w:r>
      <w:proofErr w:type="spellStart"/>
      <w:r>
        <w:t>Eberle</w:t>
      </w:r>
      <w:proofErr w:type="spellEnd"/>
      <w:r>
        <w:t xml:space="preserve">, </w:t>
      </w:r>
      <w:proofErr w:type="spellStart"/>
      <w:r>
        <w:t>Exh</w:t>
      </w:r>
      <w:proofErr w:type="spellEnd"/>
      <w:r>
        <w:t xml:space="preserve">. No. RME-1T, p. 5: </w:t>
      </w:r>
      <w:proofErr w:type="spellStart"/>
      <w:r>
        <w:t>lns</w:t>
      </w:r>
      <w:proofErr w:type="spellEnd"/>
      <w:r>
        <w:t>. 3-10.</w:t>
      </w:r>
    </w:p>
  </w:footnote>
  <w:footnote w:id="24">
    <w:p w:rsidR="00E725BA" w:rsidRDefault="00E725BA">
      <w:pPr>
        <w:pStyle w:val="FootnoteText"/>
      </w:pPr>
      <w:r>
        <w:rPr>
          <w:rStyle w:val="FootnoteReference"/>
        </w:rPr>
        <w:footnoteRef/>
      </w:r>
      <w:r>
        <w:t xml:space="preserve"> </w:t>
      </w:r>
      <w:proofErr w:type="spellStart"/>
      <w:r>
        <w:t>Eberdt</w:t>
      </w:r>
      <w:proofErr w:type="spellEnd"/>
      <w:r>
        <w:t xml:space="preserve">, </w:t>
      </w:r>
      <w:proofErr w:type="spellStart"/>
      <w:r>
        <w:t>Exh</w:t>
      </w:r>
      <w:proofErr w:type="spellEnd"/>
      <w:r>
        <w:t xml:space="preserve">. No. CME-1T, p. 10: </w:t>
      </w:r>
      <w:proofErr w:type="spellStart"/>
      <w:r>
        <w:t>lns</w:t>
      </w:r>
      <w:proofErr w:type="spellEnd"/>
      <w:r>
        <w:t>. 12-14.</w:t>
      </w:r>
    </w:p>
  </w:footnote>
  <w:footnote w:id="25">
    <w:p w:rsidR="00E725BA" w:rsidRDefault="00E725BA">
      <w:pPr>
        <w:pStyle w:val="FootnoteText"/>
      </w:pPr>
      <w:r>
        <w:rPr>
          <w:rStyle w:val="FootnoteReference"/>
        </w:rPr>
        <w:footnoteRef/>
      </w:r>
      <w:r>
        <w:t xml:space="preserve"> </w:t>
      </w:r>
      <w:proofErr w:type="spellStart"/>
      <w:r>
        <w:t>Schooley</w:t>
      </w:r>
      <w:proofErr w:type="spellEnd"/>
      <w:r>
        <w:t xml:space="preserve">, </w:t>
      </w:r>
      <w:proofErr w:type="spellStart"/>
      <w:r>
        <w:t>Exh</w:t>
      </w:r>
      <w:proofErr w:type="spellEnd"/>
      <w:r>
        <w:t xml:space="preserve">. No. TES-1T, p. 42: </w:t>
      </w:r>
      <w:proofErr w:type="spellStart"/>
      <w:r>
        <w:t>lns</w:t>
      </w:r>
      <w:proofErr w:type="spellEnd"/>
      <w:r>
        <w:t xml:space="preserve"> 11-16.</w:t>
      </w:r>
    </w:p>
  </w:footnote>
  <w:footnote w:id="26">
    <w:p w:rsidR="00E725BA" w:rsidRPr="00C8128D" w:rsidRDefault="00E725BA">
      <w:pPr>
        <w:pStyle w:val="FootnoteText"/>
      </w:pPr>
      <w:r>
        <w:rPr>
          <w:rStyle w:val="FootnoteReference"/>
        </w:rPr>
        <w:footnoteRef/>
      </w:r>
      <w:r>
        <w:t xml:space="preserve"> </w:t>
      </w:r>
      <w:r>
        <w:rPr>
          <w:i/>
        </w:rPr>
        <w:t>Id.</w:t>
      </w:r>
      <w:r>
        <w:t xml:space="preserve"> [Emphasis added].</w:t>
      </w:r>
    </w:p>
  </w:footnote>
  <w:footnote w:id="27">
    <w:p w:rsidR="00E725BA" w:rsidRDefault="00E725BA">
      <w:pPr>
        <w:pStyle w:val="FootnoteText"/>
      </w:pPr>
      <w:r>
        <w:rPr>
          <w:rStyle w:val="FootnoteReference"/>
        </w:rPr>
        <w:footnoteRef/>
      </w:r>
      <w:r>
        <w:t xml:space="preserve"> </w:t>
      </w:r>
      <w:proofErr w:type="spellStart"/>
      <w:r>
        <w:t>Schooley</w:t>
      </w:r>
      <w:proofErr w:type="spellEnd"/>
      <w:r>
        <w:t xml:space="preserve">, </w:t>
      </w:r>
      <w:proofErr w:type="spellStart"/>
      <w:r>
        <w:t>Exh</w:t>
      </w:r>
      <w:proofErr w:type="spellEnd"/>
      <w:r>
        <w:t xml:space="preserve">. No. TES-4T, p. 17: </w:t>
      </w:r>
      <w:proofErr w:type="spellStart"/>
      <w:r>
        <w:t>lns</w:t>
      </w:r>
      <w:proofErr w:type="spellEnd"/>
      <w:r>
        <w:t xml:space="preserve">. 20-23 – p. 18: </w:t>
      </w:r>
      <w:proofErr w:type="spellStart"/>
      <w:r>
        <w:t>lns</w:t>
      </w:r>
      <w:proofErr w:type="spellEnd"/>
      <w:r>
        <w:t>. 1-3.</w:t>
      </w:r>
    </w:p>
  </w:footnote>
  <w:footnote w:id="28">
    <w:p w:rsidR="00E725BA" w:rsidRPr="008A3F28" w:rsidRDefault="00E725BA">
      <w:pPr>
        <w:pStyle w:val="FootnoteText"/>
      </w:pPr>
      <w:r>
        <w:rPr>
          <w:rStyle w:val="FootnoteReference"/>
        </w:rPr>
        <w:footnoteRef/>
      </w:r>
      <w:r>
        <w:t xml:space="preserve"> </w:t>
      </w:r>
      <w:r>
        <w:rPr>
          <w:i/>
        </w:rPr>
        <w:t>Id.</w:t>
      </w:r>
      <w:r>
        <w:t xml:space="preserve"> p. 18: </w:t>
      </w:r>
      <w:proofErr w:type="spellStart"/>
      <w:r>
        <w:t>lns</w:t>
      </w:r>
      <w:proofErr w:type="spellEnd"/>
      <w:r>
        <w:t>. 1-3.</w:t>
      </w:r>
    </w:p>
  </w:footnote>
  <w:footnote w:id="29">
    <w:p w:rsidR="00E725BA" w:rsidRDefault="00E725BA">
      <w:pPr>
        <w:pStyle w:val="FootnoteText"/>
      </w:pPr>
      <w:r>
        <w:rPr>
          <w:rStyle w:val="FootnoteReference"/>
        </w:rPr>
        <w:footnoteRef/>
      </w:r>
      <w:r>
        <w:t xml:space="preserve"> </w:t>
      </w:r>
      <w:proofErr w:type="spellStart"/>
      <w:r>
        <w:t>Eberle</w:t>
      </w:r>
      <w:proofErr w:type="spellEnd"/>
      <w:r>
        <w:t xml:space="preserve">, </w:t>
      </w:r>
      <w:proofErr w:type="spellStart"/>
      <w:r>
        <w:t>Exh</w:t>
      </w:r>
      <w:proofErr w:type="spellEnd"/>
      <w:r>
        <w:t xml:space="preserve">. No. </w:t>
      </w:r>
      <w:proofErr w:type="gramStart"/>
      <w:r>
        <w:t xml:space="preserve">RME-1T, p. 7, </w:t>
      </w:r>
      <w:proofErr w:type="spellStart"/>
      <w:r>
        <w:t>lns</w:t>
      </w:r>
      <w:proofErr w:type="spellEnd"/>
      <w:r>
        <w:t>.</w:t>
      </w:r>
      <w:proofErr w:type="gramEnd"/>
      <w:r>
        <w:t xml:space="preserve"> 10-19.</w:t>
      </w:r>
    </w:p>
  </w:footnote>
  <w:footnote w:id="30">
    <w:p w:rsidR="00E725BA" w:rsidRDefault="00E725BA">
      <w:pPr>
        <w:pStyle w:val="FootnoteText"/>
      </w:pPr>
      <w:r>
        <w:rPr>
          <w:rStyle w:val="FootnoteReference"/>
        </w:rPr>
        <w:footnoteRef/>
      </w:r>
      <w:r>
        <w:t xml:space="preserve"> </w:t>
      </w:r>
      <w:r>
        <w:rPr>
          <w:i/>
        </w:rPr>
        <w:t>Id.</w:t>
      </w:r>
      <w:r>
        <w:t>, lns. 13-19.</w:t>
      </w:r>
    </w:p>
  </w:footnote>
  <w:footnote w:id="31">
    <w:p w:rsidR="00E725BA" w:rsidRDefault="00E725BA" w:rsidP="003B6D16">
      <w:pPr>
        <w:pStyle w:val="FootnoteText"/>
      </w:pPr>
      <w:r>
        <w:rPr>
          <w:rStyle w:val="FootnoteReference"/>
        </w:rPr>
        <w:footnoteRef/>
      </w:r>
      <w:r>
        <w:t xml:space="preserve"> </w:t>
      </w:r>
      <w:proofErr w:type="spellStart"/>
      <w:r>
        <w:t>Eberdt</w:t>
      </w:r>
      <w:proofErr w:type="spellEnd"/>
      <w:r>
        <w:t xml:space="preserve">, </w:t>
      </w:r>
      <w:proofErr w:type="spellStart"/>
      <w:r>
        <w:t>Exh</w:t>
      </w:r>
      <w:proofErr w:type="spellEnd"/>
      <w:r>
        <w:t xml:space="preserve">. No. CME-1T, p. 10: </w:t>
      </w:r>
      <w:proofErr w:type="spellStart"/>
      <w:r>
        <w:t>ln</w:t>
      </w:r>
      <w:proofErr w:type="spellEnd"/>
      <w:r>
        <w:t>. 23.</w:t>
      </w:r>
    </w:p>
  </w:footnote>
  <w:footnote w:id="32">
    <w:p w:rsidR="00E725BA" w:rsidRDefault="00E725BA">
      <w:pPr>
        <w:pStyle w:val="FootnoteText"/>
      </w:pPr>
      <w:r>
        <w:rPr>
          <w:rStyle w:val="FootnoteReference"/>
        </w:rPr>
        <w:footnoteRef/>
      </w:r>
      <w:r>
        <w:t xml:space="preserve"> </w:t>
      </w:r>
      <w:proofErr w:type="gramStart"/>
      <w:r>
        <w:t xml:space="preserve">Tr. p. 530 – p. 531, </w:t>
      </w:r>
      <w:proofErr w:type="spellStart"/>
      <w:r>
        <w:t>Eberle</w:t>
      </w:r>
      <w:proofErr w:type="spellEnd"/>
      <w:r>
        <w:t xml:space="preserve"> Cross.</w:t>
      </w:r>
      <w:proofErr w:type="gramEnd"/>
    </w:p>
  </w:footnote>
  <w:footnote w:id="33">
    <w:p w:rsidR="00E725BA" w:rsidRDefault="00E725BA" w:rsidP="003B6D16">
      <w:pPr>
        <w:pStyle w:val="FootnoteText"/>
      </w:pPr>
      <w:r>
        <w:rPr>
          <w:rStyle w:val="FootnoteReference"/>
        </w:rPr>
        <w:footnoteRef/>
      </w:r>
      <w:r>
        <w:t xml:space="preserve"> Tr. p. 528: </w:t>
      </w:r>
      <w:proofErr w:type="spellStart"/>
      <w:r>
        <w:t>lns</w:t>
      </w:r>
      <w:proofErr w:type="spellEnd"/>
      <w:r>
        <w:t xml:space="preserve">. </w:t>
      </w:r>
      <w:proofErr w:type="gramStart"/>
      <w:r>
        <w:t xml:space="preserve">16-25, </w:t>
      </w:r>
      <w:proofErr w:type="spellStart"/>
      <w:r>
        <w:t>Eberle</w:t>
      </w:r>
      <w:proofErr w:type="spellEnd"/>
      <w:r>
        <w:t xml:space="preserve"> Cross.</w:t>
      </w:r>
      <w:proofErr w:type="gramEnd"/>
    </w:p>
  </w:footnote>
  <w:footnote w:id="34">
    <w:p w:rsidR="00E725BA" w:rsidRDefault="00E725BA" w:rsidP="003B6D16">
      <w:pPr>
        <w:pStyle w:val="FootnoteText"/>
      </w:pPr>
      <w:r>
        <w:rPr>
          <w:rStyle w:val="FootnoteReference"/>
        </w:rPr>
        <w:footnoteRef/>
      </w:r>
      <w:r>
        <w:t xml:space="preserve"> Tr. p. 524: </w:t>
      </w:r>
      <w:proofErr w:type="spellStart"/>
      <w:r>
        <w:t>lns</w:t>
      </w:r>
      <w:proofErr w:type="spellEnd"/>
      <w:r>
        <w:t xml:space="preserve">. </w:t>
      </w:r>
      <w:proofErr w:type="gramStart"/>
      <w:r>
        <w:t xml:space="preserve">5-21, </w:t>
      </w:r>
      <w:proofErr w:type="spellStart"/>
      <w:r>
        <w:t>Eberle</w:t>
      </w:r>
      <w:proofErr w:type="spellEnd"/>
      <w:r>
        <w:t xml:space="preserve"> Cross.</w:t>
      </w:r>
      <w:proofErr w:type="gramEnd"/>
    </w:p>
  </w:footnote>
  <w:footnote w:id="35">
    <w:p w:rsidR="00E725BA" w:rsidRPr="00AB3DB7" w:rsidRDefault="00E725BA" w:rsidP="003B6D16">
      <w:pPr>
        <w:pStyle w:val="FootnoteText"/>
      </w:pPr>
      <w:r>
        <w:rPr>
          <w:rStyle w:val="FootnoteReference"/>
        </w:rPr>
        <w:footnoteRef/>
      </w:r>
      <w:r>
        <w:t xml:space="preserve"> </w:t>
      </w:r>
      <w:r>
        <w:rPr>
          <w:i/>
        </w:rPr>
        <w:t xml:space="preserve">Id. </w:t>
      </w:r>
      <w:r w:rsidRPr="00AB3DB7">
        <w:t xml:space="preserve">p. 526: </w:t>
      </w:r>
      <w:proofErr w:type="spellStart"/>
      <w:r w:rsidRPr="00AB3DB7">
        <w:t>ln</w:t>
      </w:r>
      <w:r>
        <w:t>s</w:t>
      </w:r>
      <w:proofErr w:type="spellEnd"/>
      <w:r>
        <w:t>. 1-10</w:t>
      </w:r>
      <w:r>
        <w:rPr>
          <w:i/>
        </w:rPr>
        <w:t>.</w:t>
      </w:r>
    </w:p>
  </w:footnote>
  <w:footnote w:id="36">
    <w:p w:rsidR="00E725BA" w:rsidRPr="00AB3DB7" w:rsidRDefault="00E725BA" w:rsidP="003B6D16">
      <w:pPr>
        <w:pStyle w:val="FootnoteText"/>
      </w:pPr>
      <w:r>
        <w:rPr>
          <w:rStyle w:val="FootnoteReference"/>
        </w:rPr>
        <w:footnoteRef/>
      </w:r>
      <w:r>
        <w:t xml:space="preserve"> </w:t>
      </w:r>
      <w:r>
        <w:rPr>
          <w:i/>
        </w:rPr>
        <w:t>Id.</w:t>
      </w:r>
    </w:p>
  </w:footnote>
  <w:footnote w:id="37">
    <w:p w:rsidR="00E725BA" w:rsidRDefault="00E725BA" w:rsidP="003B6D16">
      <w:pPr>
        <w:pStyle w:val="FootnoteText"/>
      </w:pPr>
      <w:r>
        <w:rPr>
          <w:rStyle w:val="FootnoteReference"/>
        </w:rPr>
        <w:footnoteRef/>
      </w:r>
      <w:r>
        <w:t xml:space="preserve"> Tr. p. 531: </w:t>
      </w:r>
      <w:proofErr w:type="spellStart"/>
      <w:r>
        <w:t>lns</w:t>
      </w:r>
      <w:proofErr w:type="spellEnd"/>
      <w:r>
        <w:t xml:space="preserve"> 14-25 – p. 532: </w:t>
      </w:r>
      <w:proofErr w:type="spellStart"/>
      <w:r>
        <w:t>lns</w:t>
      </w:r>
      <w:proofErr w:type="spellEnd"/>
      <w:r>
        <w:t xml:space="preserve">. </w:t>
      </w:r>
      <w:proofErr w:type="gramStart"/>
      <w:r>
        <w:t xml:space="preserve">1-2, </w:t>
      </w:r>
      <w:proofErr w:type="spellStart"/>
      <w:r>
        <w:t>Eberle</w:t>
      </w:r>
      <w:proofErr w:type="spellEnd"/>
      <w:r>
        <w:t xml:space="preserve"> Cross.</w:t>
      </w:r>
      <w:proofErr w:type="gramEnd"/>
    </w:p>
  </w:footnote>
  <w:footnote w:id="38">
    <w:p w:rsidR="00E725BA" w:rsidRDefault="00E725BA">
      <w:pPr>
        <w:pStyle w:val="FootnoteText"/>
      </w:pPr>
      <w:r>
        <w:rPr>
          <w:rStyle w:val="FootnoteReference"/>
        </w:rPr>
        <w:footnoteRef/>
      </w:r>
      <w:r>
        <w:t xml:space="preserve"> </w:t>
      </w:r>
      <w:proofErr w:type="spellStart"/>
      <w:r>
        <w:t>Eberdt</w:t>
      </w:r>
      <w:proofErr w:type="spellEnd"/>
      <w:r>
        <w:t xml:space="preserve">, </w:t>
      </w:r>
      <w:proofErr w:type="spellStart"/>
      <w:r>
        <w:t>Exh</w:t>
      </w:r>
      <w:proofErr w:type="spellEnd"/>
      <w:r>
        <w:t xml:space="preserve">. No. CME-1T, p. 10: </w:t>
      </w:r>
      <w:proofErr w:type="spellStart"/>
      <w:r>
        <w:t>ln</w:t>
      </w:r>
      <w:proofErr w:type="spellEnd"/>
      <w:r>
        <w:t>. 23.</w:t>
      </w:r>
    </w:p>
  </w:footnote>
  <w:footnote w:id="39">
    <w:p w:rsidR="00E725BA" w:rsidRDefault="00E725BA" w:rsidP="003B6D16">
      <w:pPr>
        <w:pStyle w:val="FootnoteText"/>
      </w:pPr>
      <w:r>
        <w:rPr>
          <w:rStyle w:val="FootnoteReference"/>
        </w:rPr>
        <w:footnoteRef/>
      </w:r>
      <w:r>
        <w:t xml:space="preserve"> </w:t>
      </w:r>
      <w:proofErr w:type="spellStart"/>
      <w:r>
        <w:t>Eberdt</w:t>
      </w:r>
      <w:proofErr w:type="spellEnd"/>
      <w:r>
        <w:t xml:space="preserve">, </w:t>
      </w:r>
      <w:proofErr w:type="spellStart"/>
      <w:r>
        <w:t>Exh</w:t>
      </w:r>
      <w:proofErr w:type="spellEnd"/>
      <w:r>
        <w:t xml:space="preserve">. No. CME-1T, p. 11: </w:t>
      </w:r>
      <w:proofErr w:type="spellStart"/>
      <w:r>
        <w:t>lns</w:t>
      </w:r>
      <w:proofErr w:type="spellEnd"/>
      <w:r>
        <w:t xml:space="preserve"> 1-19.</w:t>
      </w:r>
    </w:p>
  </w:footnote>
  <w:footnote w:id="40">
    <w:p w:rsidR="00E725BA" w:rsidRDefault="00E725BA">
      <w:pPr>
        <w:pStyle w:val="FootnoteText"/>
      </w:pPr>
      <w:r>
        <w:rPr>
          <w:rStyle w:val="FootnoteReference"/>
        </w:rPr>
        <w:footnoteRef/>
      </w:r>
      <w:r>
        <w:t xml:space="preserve"> Tr. p. 549: </w:t>
      </w:r>
      <w:proofErr w:type="spellStart"/>
      <w:r>
        <w:t>lns</w:t>
      </w:r>
      <w:proofErr w:type="spellEnd"/>
      <w:r>
        <w:t xml:space="preserve"> 8-11, Griffith Cross.</w:t>
      </w:r>
    </w:p>
  </w:footnote>
  <w:footnote w:id="41">
    <w:p w:rsidR="00E725BA" w:rsidRDefault="00E725BA">
      <w:pPr>
        <w:pStyle w:val="FootnoteText"/>
      </w:pPr>
      <w:r>
        <w:rPr>
          <w:rStyle w:val="FootnoteReference"/>
        </w:rPr>
        <w:footnoteRef/>
      </w:r>
      <w:r>
        <w:t xml:space="preserve"> Tr. p. 549: </w:t>
      </w:r>
      <w:proofErr w:type="spellStart"/>
      <w:r>
        <w:t>lns</w:t>
      </w:r>
      <w:proofErr w:type="spellEnd"/>
      <w:r>
        <w:t xml:space="preserve"> 15-25, Griffith Cross.</w:t>
      </w:r>
    </w:p>
  </w:footnote>
  <w:footnote w:id="42">
    <w:p w:rsidR="00E725BA" w:rsidRDefault="00E725BA">
      <w:pPr>
        <w:pStyle w:val="FootnoteText"/>
      </w:pPr>
      <w:r>
        <w:rPr>
          <w:rStyle w:val="FootnoteReference"/>
        </w:rPr>
        <w:footnoteRef/>
      </w:r>
      <w:r>
        <w:t xml:space="preserve"> Tr. p. 555: </w:t>
      </w:r>
      <w:proofErr w:type="spellStart"/>
      <w:r>
        <w:t>lns</w:t>
      </w:r>
      <w:proofErr w:type="spellEnd"/>
      <w:r>
        <w:t xml:space="preserve"> 11-17, Griffith Cross.</w:t>
      </w:r>
    </w:p>
  </w:footnote>
  <w:footnote w:id="43">
    <w:p w:rsidR="00E725BA" w:rsidRPr="00A7213A" w:rsidRDefault="00E725BA">
      <w:pPr>
        <w:pStyle w:val="FootnoteText"/>
      </w:pPr>
      <w:r>
        <w:rPr>
          <w:rStyle w:val="FootnoteReference"/>
        </w:rPr>
        <w:footnoteRef/>
      </w:r>
      <w:r>
        <w:t xml:space="preserve"> </w:t>
      </w:r>
      <w:r>
        <w:rPr>
          <w:i/>
        </w:rPr>
        <w:t>Id.</w:t>
      </w:r>
    </w:p>
  </w:footnote>
  <w:footnote w:id="44">
    <w:p w:rsidR="00E725BA" w:rsidRDefault="00E725BA">
      <w:pPr>
        <w:pStyle w:val="FootnoteText"/>
      </w:pPr>
      <w:r>
        <w:rPr>
          <w:rStyle w:val="FootnoteReference"/>
        </w:rPr>
        <w:footnoteRef/>
      </w:r>
      <w:r>
        <w:t xml:space="preserve"> Tr. p. 556: </w:t>
      </w:r>
      <w:proofErr w:type="spellStart"/>
      <w:r>
        <w:t>lns</w:t>
      </w:r>
      <w:proofErr w:type="spellEnd"/>
      <w:r>
        <w:t xml:space="preserve"> 18-20.</w:t>
      </w:r>
    </w:p>
  </w:footnote>
  <w:footnote w:id="45">
    <w:p w:rsidR="00E725BA" w:rsidRDefault="00E725BA">
      <w:pPr>
        <w:pStyle w:val="FootnoteText"/>
      </w:pPr>
      <w:r>
        <w:rPr>
          <w:rStyle w:val="FootnoteReference"/>
        </w:rPr>
        <w:footnoteRef/>
      </w:r>
      <w:r>
        <w:t xml:space="preserve"> </w:t>
      </w:r>
      <w:proofErr w:type="gramStart"/>
      <w:r>
        <w:t xml:space="preserve">Tr. pp. 778-779, </w:t>
      </w:r>
      <w:proofErr w:type="spellStart"/>
      <w:r>
        <w:t>Schooley</w:t>
      </w:r>
      <w:proofErr w:type="spellEnd"/>
      <w:r>
        <w:t xml:space="preserve"> Cross.</w:t>
      </w:r>
      <w:proofErr w:type="gramEnd"/>
    </w:p>
  </w:footnote>
  <w:footnote w:id="46">
    <w:p w:rsidR="00E725BA" w:rsidRDefault="00E725BA">
      <w:pPr>
        <w:pStyle w:val="FootnoteText"/>
      </w:pPr>
      <w:r>
        <w:rPr>
          <w:rStyle w:val="FootnoteReference"/>
        </w:rPr>
        <w:footnoteRef/>
      </w:r>
      <w:r>
        <w:t xml:space="preserve"> Tr. p. 779: </w:t>
      </w:r>
      <w:proofErr w:type="spellStart"/>
      <w:r>
        <w:t>lns</w:t>
      </w:r>
      <w:proofErr w:type="spellEnd"/>
      <w:r>
        <w:t xml:space="preserve"> 5-18, </w:t>
      </w:r>
      <w:proofErr w:type="spellStart"/>
      <w:r>
        <w:t>Schooley</w:t>
      </w:r>
      <w:proofErr w:type="spellEnd"/>
      <w:r>
        <w:t xml:space="preserve"> Cross.</w:t>
      </w:r>
    </w:p>
  </w:footnote>
  <w:footnote w:id="47">
    <w:p w:rsidR="00E725BA" w:rsidRDefault="00E725BA">
      <w:pPr>
        <w:pStyle w:val="FootnoteText"/>
      </w:pPr>
      <w:r>
        <w:rPr>
          <w:rStyle w:val="FootnoteReference"/>
        </w:rPr>
        <w:footnoteRef/>
      </w:r>
      <w:r>
        <w:t xml:space="preserve"> </w:t>
      </w:r>
      <w:proofErr w:type="spellStart"/>
      <w:r>
        <w:t>Schooley</w:t>
      </w:r>
      <w:proofErr w:type="spellEnd"/>
      <w:r>
        <w:t xml:space="preserve">, </w:t>
      </w:r>
      <w:proofErr w:type="spellStart"/>
      <w:r>
        <w:t>Exh</w:t>
      </w:r>
      <w:proofErr w:type="spellEnd"/>
      <w:r>
        <w:t xml:space="preserve">. TES-4T, p. 19: </w:t>
      </w:r>
      <w:proofErr w:type="spellStart"/>
      <w:r>
        <w:t>lns</w:t>
      </w:r>
      <w:proofErr w:type="spellEnd"/>
      <w:r>
        <w:t>. 2-5.</w:t>
      </w:r>
    </w:p>
  </w:footnote>
  <w:footnote w:id="48">
    <w:p w:rsidR="00E725BA" w:rsidRPr="0043136F" w:rsidRDefault="00E725BA">
      <w:pPr>
        <w:pStyle w:val="FootnoteText"/>
      </w:pPr>
      <w:r>
        <w:rPr>
          <w:rStyle w:val="FootnoteReference"/>
        </w:rPr>
        <w:footnoteRef/>
      </w:r>
      <w:r>
        <w:t xml:space="preserve"> </w:t>
      </w:r>
      <w:r>
        <w:rPr>
          <w:i/>
        </w:rPr>
        <w:t>Id.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7D6D"/>
    <w:rsid w:val="0003543A"/>
    <w:rsid w:val="000417DD"/>
    <w:rsid w:val="00043621"/>
    <w:rsid w:val="00045881"/>
    <w:rsid w:val="00051567"/>
    <w:rsid w:val="00052FAA"/>
    <w:rsid w:val="000825F0"/>
    <w:rsid w:val="00082AF1"/>
    <w:rsid w:val="0008603B"/>
    <w:rsid w:val="000969DA"/>
    <w:rsid w:val="000A445F"/>
    <w:rsid w:val="000A791A"/>
    <w:rsid w:val="000A7EB2"/>
    <w:rsid w:val="000B5DD1"/>
    <w:rsid w:val="000C0ED9"/>
    <w:rsid w:val="000C181C"/>
    <w:rsid w:val="000E1774"/>
    <w:rsid w:val="000F27F6"/>
    <w:rsid w:val="000F486C"/>
    <w:rsid w:val="000F6752"/>
    <w:rsid w:val="000F6A7F"/>
    <w:rsid w:val="00111C9B"/>
    <w:rsid w:val="0011554F"/>
    <w:rsid w:val="00121293"/>
    <w:rsid w:val="001359CB"/>
    <w:rsid w:val="0013672E"/>
    <w:rsid w:val="0014782A"/>
    <w:rsid w:val="00150134"/>
    <w:rsid w:val="001A17B7"/>
    <w:rsid w:val="001C3632"/>
    <w:rsid w:val="001E58DD"/>
    <w:rsid w:val="001F6D6E"/>
    <w:rsid w:val="00201CB1"/>
    <w:rsid w:val="00202EBB"/>
    <w:rsid w:val="002115D4"/>
    <w:rsid w:val="00211DE3"/>
    <w:rsid w:val="002134E4"/>
    <w:rsid w:val="00214FA1"/>
    <w:rsid w:val="00216BCB"/>
    <w:rsid w:val="00217FE6"/>
    <w:rsid w:val="00224ACC"/>
    <w:rsid w:val="0023253F"/>
    <w:rsid w:val="00250FB3"/>
    <w:rsid w:val="00252D81"/>
    <w:rsid w:val="002572DA"/>
    <w:rsid w:val="00261A38"/>
    <w:rsid w:val="00267514"/>
    <w:rsid w:val="00274091"/>
    <w:rsid w:val="00280BC6"/>
    <w:rsid w:val="00282153"/>
    <w:rsid w:val="00283F0B"/>
    <w:rsid w:val="002A01C7"/>
    <w:rsid w:val="002B564B"/>
    <w:rsid w:val="002C02DF"/>
    <w:rsid w:val="002C3117"/>
    <w:rsid w:val="002F1230"/>
    <w:rsid w:val="002F647B"/>
    <w:rsid w:val="003003C3"/>
    <w:rsid w:val="003008F3"/>
    <w:rsid w:val="00304DB2"/>
    <w:rsid w:val="00306DED"/>
    <w:rsid w:val="003167D8"/>
    <w:rsid w:val="003315E6"/>
    <w:rsid w:val="00333D99"/>
    <w:rsid w:val="003435E4"/>
    <w:rsid w:val="003563C0"/>
    <w:rsid w:val="003876F3"/>
    <w:rsid w:val="003978FC"/>
    <w:rsid w:val="003A2CF1"/>
    <w:rsid w:val="003A4243"/>
    <w:rsid w:val="003A5AB7"/>
    <w:rsid w:val="003B6D16"/>
    <w:rsid w:val="003C689B"/>
    <w:rsid w:val="00401E38"/>
    <w:rsid w:val="004032E7"/>
    <w:rsid w:val="00407915"/>
    <w:rsid w:val="004163BA"/>
    <w:rsid w:val="00420277"/>
    <w:rsid w:val="0043136F"/>
    <w:rsid w:val="0043144C"/>
    <w:rsid w:val="00435007"/>
    <w:rsid w:val="0045016A"/>
    <w:rsid w:val="00474D4F"/>
    <w:rsid w:val="0048681A"/>
    <w:rsid w:val="004879FA"/>
    <w:rsid w:val="004914FD"/>
    <w:rsid w:val="0049455E"/>
    <w:rsid w:val="004A3A71"/>
    <w:rsid w:val="004A5D9D"/>
    <w:rsid w:val="004A7732"/>
    <w:rsid w:val="004B2CA8"/>
    <w:rsid w:val="004B35DE"/>
    <w:rsid w:val="004B4971"/>
    <w:rsid w:val="004D2F88"/>
    <w:rsid w:val="004E3017"/>
    <w:rsid w:val="00506C28"/>
    <w:rsid w:val="00507046"/>
    <w:rsid w:val="00551DD0"/>
    <w:rsid w:val="005640C4"/>
    <w:rsid w:val="005829AC"/>
    <w:rsid w:val="00583C81"/>
    <w:rsid w:val="005A2432"/>
    <w:rsid w:val="005A696E"/>
    <w:rsid w:val="005A6B72"/>
    <w:rsid w:val="005B05C9"/>
    <w:rsid w:val="005C2E72"/>
    <w:rsid w:val="005D6B86"/>
    <w:rsid w:val="005E3A98"/>
    <w:rsid w:val="005F28FF"/>
    <w:rsid w:val="00621FF8"/>
    <w:rsid w:val="00623155"/>
    <w:rsid w:val="0062703B"/>
    <w:rsid w:val="006A39AF"/>
    <w:rsid w:val="006E1693"/>
    <w:rsid w:val="006F1190"/>
    <w:rsid w:val="006F44B6"/>
    <w:rsid w:val="007173C8"/>
    <w:rsid w:val="00737568"/>
    <w:rsid w:val="007655E3"/>
    <w:rsid w:val="00786440"/>
    <w:rsid w:val="007A0DEC"/>
    <w:rsid w:val="007B10E4"/>
    <w:rsid w:val="007C5999"/>
    <w:rsid w:val="007C5F6E"/>
    <w:rsid w:val="007C7B86"/>
    <w:rsid w:val="007D5B03"/>
    <w:rsid w:val="007E18CB"/>
    <w:rsid w:val="007E1C4C"/>
    <w:rsid w:val="008031C2"/>
    <w:rsid w:val="00823773"/>
    <w:rsid w:val="00846B54"/>
    <w:rsid w:val="00855E46"/>
    <w:rsid w:val="008701F8"/>
    <w:rsid w:val="00876B06"/>
    <w:rsid w:val="0087767B"/>
    <w:rsid w:val="008927C2"/>
    <w:rsid w:val="00897E23"/>
    <w:rsid w:val="008A0174"/>
    <w:rsid w:val="008A3F28"/>
    <w:rsid w:val="008B7E40"/>
    <w:rsid w:val="008D008D"/>
    <w:rsid w:val="008D06E2"/>
    <w:rsid w:val="008E4F19"/>
    <w:rsid w:val="008F5297"/>
    <w:rsid w:val="00905308"/>
    <w:rsid w:val="00932DBE"/>
    <w:rsid w:val="00934EE0"/>
    <w:rsid w:val="00935486"/>
    <w:rsid w:val="0094109F"/>
    <w:rsid w:val="009471FC"/>
    <w:rsid w:val="00961958"/>
    <w:rsid w:val="00962C20"/>
    <w:rsid w:val="00974C62"/>
    <w:rsid w:val="009863D8"/>
    <w:rsid w:val="009A16F5"/>
    <w:rsid w:val="009B3B55"/>
    <w:rsid w:val="009D5D69"/>
    <w:rsid w:val="009D6BE3"/>
    <w:rsid w:val="009F062F"/>
    <w:rsid w:val="009F41AF"/>
    <w:rsid w:val="009F5C4A"/>
    <w:rsid w:val="009F7D6D"/>
    <w:rsid w:val="00A017DD"/>
    <w:rsid w:val="00A4032B"/>
    <w:rsid w:val="00A6408B"/>
    <w:rsid w:val="00A7213A"/>
    <w:rsid w:val="00A75FB6"/>
    <w:rsid w:val="00AA07D4"/>
    <w:rsid w:val="00AA1C87"/>
    <w:rsid w:val="00AA3C21"/>
    <w:rsid w:val="00AB22D9"/>
    <w:rsid w:val="00AB3DB7"/>
    <w:rsid w:val="00AC3FDF"/>
    <w:rsid w:val="00AD2C4A"/>
    <w:rsid w:val="00AD6DD1"/>
    <w:rsid w:val="00AE50CA"/>
    <w:rsid w:val="00AE6198"/>
    <w:rsid w:val="00AF3557"/>
    <w:rsid w:val="00AF4B51"/>
    <w:rsid w:val="00B01C8A"/>
    <w:rsid w:val="00B06D33"/>
    <w:rsid w:val="00B06E72"/>
    <w:rsid w:val="00B12428"/>
    <w:rsid w:val="00B13EE3"/>
    <w:rsid w:val="00B37451"/>
    <w:rsid w:val="00B46ACF"/>
    <w:rsid w:val="00B94B2B"/>
    <w:rsid w:val="00BA45FD"/>
    <w:rsid w:val="00BA5FD4"/>
    <w:rsid w:val="00BC114E"/>
    <w:rsid w:val="00BC3080"/>
    <w:rsid w:val="00BD2338"/>
    <w:rsid w:val="00BE62B7"/>
    <w:rsid w:val="00C022EF"/>
    <w:rsid w:val="00C04268"/>
    <w:rsid w:val="00C073F5"/>
    <w:rsid w:val="00C323A6"/>
    <w:rsid w:val="00C359D6"/>
    <w:rsid w:val="00C50BA1"/>
    <w:rsid w:val="00C51759"/>
    <w:rsid w:val="00C568CB"/>
    <w:rsid w:val="00C614D2"/>
    <w:rsid w:val="00C61E48"/>
    <w:rsid w:val="00C6227F"/>
    <w:rsid w:val="00C65EB5"/>
    <w:rsid w:val="00C76BFF"/>
    <w:rsid w:val="00C8128D"/>
    <w:rsid w:val="00CA495D"/>
    <w:rsid w:val="00CB6463"/>
    <w:rsid w:val="00CC6439"/>
    <w:rsid w:val="00CD2AD4"/>
    <w:rsid w:val="00CF430E"/>
    <w:rsid w:val="00D02145"/>
    <w:rsid w:val="00D14905"/>
    <w:rsid w:val="00D1692F"/>
    <w:rsid w:val="00D21513"/>
    <w:rsid w:val="00D247EE"/>
    <w:rsid w:val="00D43965"/>
    <w:rsid w:val="00D46177"/>
    <w:rsid w:val="00D54192"/>
    <w:rsid w:val="00D60248"/>
    <w:rsid w:val="00D6468E"/>
    <w:rsid w:val="00D704C5"/>
    <w:rsid w:val="00D77267"/>
    <w:rsid w:val="00D8342C"/>
    <w:rsid w:val="00D85409"/>
    <w:rsid w:val="00D85AC4"/>
    <w:rsid w:val="00D8646D"/>
    <w:rsid w:val="00D947D5"/>
    <w:rsid w:val="00DA419E"/>
    <w:rsid w:val="00DB1FF0"/>
    <w:rsid w:val="00DD5D53"/>
    <w:rsid w:val="00DD7FB5"/>
    <w:rsid w:val="00E01239"/>
    <w:rsid w:val="00E01F9C"/>
    <w:rsid w:val="00E13937"/>
    <w:rsid w:val="00E156BC"/>
    <w:rsid w:val="00E23F23"/>
    <w:rsid w:val="00E30FBA"/>
    <w:rsid w:val="00E33B4C"/>
    <w:rsid w:val="00E40F95"/>
    <w:rsid w:val="00E725BA"/>
    <w:rsid w:val="00E726C9"/>
    <w:rsid w:val="00E72B0F"/>
    <w:rsid w:val="00E72B3E"/>
    <w:rsid w:val="00E75D7D"/>
    <w:rsid w:val="00E877E3"/>
    <w:rsid w:val="00E91A5B"/>
    <w:rsid w:val="00E979CE"/>
    <w:rsid w:val="00EC0C45"/>
    <w:rsid w:val="00EC681D"/>
    <w:rsid w:val="00ED3AF8"/>
    <w:rsid w:val="00EE3EE9"/>
    <w:rsid w:val="00EF05F2"/>
    <w:rsid w:val="00EF1E2F"/>
    <w:rsid w:val="00F05A11"/>
    <w:rsid w:val="00F0722D"/>
    <w:rsid w:val="00F22A85"/>
    <w:rsid w:val="00F24AB0"/>
    <w:rsid w:val="00F328F8"/>
    <w:rsid w:val="00F35988"/>
    <w:rsid w:val="00F42F70"/>
    <w:rsid w:val="00F50AF2"/>
    <w:rsid w:val="00F5511F"/>
    <w:rsid w:val="00F601FD"/>
    <w:rsid w:val="00F61493"/>
    <w:rsid w:val="00F731BF"/>
    <w:rsid w:val="00F95C20"/>
    <w:rsid w:val="00FB2DF8"/>
    <w:rsid w:val="00FC5AFE"/>
    <w:rsid w:val="00FD505E"/>
    <w:rsid w:val="00FE2EC6"/>
    <w:rsid w:val="00FE3138"/>
    <w:rsid w:val="00FF139E"/>
    <w:rsid w:val="00FF4229"/>
    <w:rsid w:val="00FF4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D6D"/>
    <w:rPr>
      <w:rFonts w:asciiTheme="minorHAnsi" w:hAnsiTheme="minorHAnsi"/>
      <w:szCs w:val="24"/>
    </w:rPr>
  </w:style>
  <w:style w:type="paragraph" w:styleId="Heading1">
    <w:name w:val="heading 1"/>
    <w:basedOn w:val="Normal"/>
    <w:next w:val="Normal"/>
    <w:link w:val="Heading1Char"/>
    <w:qFormat/>
    <w:rsid w:val="0043136F"/>
    <w:pPr>
      <w:keepNext/>
      <w:spacing w:line="480" w:lineRule="auto"/>
      <w:ind w:left="720" w:hanging="7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F7D6D"/>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9F7D6D"/>
    <w:rPr>
      <w:rFonts w:eastAsia="Times New Roman" w:cs="Times New Roman"/>
      <w:b/>
      <w:bCs/>
      <w:szCs w:val="24"/>
    </w:rPr>
  </w:style>
  <w:style w:type="paragraph" w:styleId="FootnoteText">
    <w:name w:val="footnote text"/>
    <w:basedOn w:val="Normal"/>
    <w:link w:val="FootnoteTextChar"/>
    <w:rsid w:val="00CD2AD4"/>
  </w:style>
  <w:style w:type="character" w:customStyle="1" w:styleId="FootnoteTextChar">
    <w:name w:val="Footnote Text Char"/>
    <w:basedOn w:val="DefaultParagraphFont"/>
    <w:link w:val="FootnoteText"/>
    <w:rsid w:val="00CD2AD4"/>
    <w:rPr>
      <w:rFonts w:asciiTheme="minorHAnsi" w:hAnsiTheme="minorHAnsi"/>
      <w:szCs w:val="24"/>
    </w:rPr>
  </w:style>
  <w:style w:type="character" w:styleId="FootnoteReference">
    <w:name w:val="footnote reference"/>
    <w:basedOn w:val="DefaultParagraphFont"/>
    <w:rsid w:val="00CD2AD4"/>
    <w:rPr>
      <w:vertAlign w:val="superscript"/>
    </w:rPr>
  </w:style>
  <w:style w:type="paragraph" w:styleId="Header">
    <w:name w:val="header"/>
    <w:basedOn w:val="Normal"/>
    <w:link w:val="HeaderChar"/>
    <w:uiPriority w:val="99"/>
    <w:semiHidden/>
    <w:unhideWhenUsed/>
    <w:rsid w:val="00506C28"/>
    <w:pPr>
      <w:tabs>
        <w:tab w:val="center" w:pos="4680"/>
        <w:tab w:val="right" w:pos="9360"/>
      </w:tabs>
    </w:pPr>
  </w:style>
  <w:style w:type="character" w:customStyle="1" w:styleId="HeaderChar">
    <w:name w:val="Header Char"/>
    <w:basedOn w:val="DefaultParagraphFont"/>
    <w:link w:val="Header"/>
    <w:uiPriority w:val="99"/>
    <w:semiHidden/>
    <w:rsid w:val="00506C28"/>
    <w:rPr>
      <w:rFonts w:asciiTheme="minorHAnsi" w:hAnsiTheme="minorHAnsi"/>
      <w:szCs w:val="24"/>
    </w:rPr>
  </w:style>
  <w:style w:type="paragraph" w:styleId="Footer">
    <w:name w:val="footer"/>
    <w:basedOn w:val="Normal"/>
    <w:link w:val="FooterChar"/>
    <w:uiPriority w:val="99"/>
    <w:unhideWhenUsed/>
    <w:rsid w:val="00506C28"/>
    <w:pPr>
      <w:tabs>
        <w:tab w:val="center" w:pos="4680"/>
        <w:tab w:val="right" w:pos="9360"/>
      </w:tabs>
    </w:pPr>
  </w:style>
  <w:style w:type="character" w:customStyle="1" w:styleId="FooterChar">
    <w:name w:val="Footer Char"/>
    <w:basedOn w:val="DefaultParagraphFont"/>
    <w:link w:val="Footer"/>
    <w:uiPriority w:val="99"/>
    <w:rsid w:val="00506C28"/>
    <w:rPr>
      <w:rFonts w:asciiTheme="minorHAnsi" w:hAnsiTheme="minorHAnsi"/>
      <w:szCs w:val="24"/>
    </w:rPr>
  </w:style>
  <w:style w:type="paragraph" w:styleId="BalloonText">
    <w:name w:val="Balloon Text"/>
    <w:basedOn w:val="Normal"/>
    <w:link w:val="BalloonTextChar"/>
    <w:uiPriority w:val="99"/>
    <w:semiHidden/>
    <w:unhideWhenUsed/>
    <w:rsid w:val="00D8342C"/>
    <w:rPr>
      <w:rFonts w:ascii="Tahoma" w:hAnsi="Tahoma" w:cs="Tahoma"/>
      <w:sz w:val="16"/>
      <w:szCs w:val="16"/>
    </w:rPr>
  </w:style>
  <w:style w:type="character" w:customStyle="1" w:styleId="BalloonTextChar">
    <w:name w:val="Balloon Text Char"/>
    <w:basedOn w:val="DefaultParagraphFont"/>
    <w:link w:val="BalloonText"/>
    <w:uiPriority w:val="99"/>
    <w:semiHidden/>
    <w:rsid w:val="00D8342C"/>
    <w:rPr>
      <w:rFonts w:ascii="Tahoma" w:hAnsi="Tahoma" w:cs="Tahoma"/>
      <w:sz w:val="16"/>
      <w:szCs w:val="16"/>
    </w:rPr>
  </w:style>
  <w:style w:type="character" w:styleId="Hyperlink">
    <w:name w:val="Hyperlink"/>
    <w:basedOn w:val="DefaultParagraphFont"/>
    <w:uiPriority w:val="99"/>
    <w:unhideWhenUsed/>
    <w:rsid w:val="00B06E72"/>
    <w:rPr>
      <w:color w:val="0000FF" w:themeColor="hyperlink"/>
      <w:u w:val="single"/>
    </w:rPr>
  </w:style>
  <w:style w:type="character" w:customStyle="1" w:styleId="Heading1Char">
    <w:name w:val="Heading 1 Char"/>
    <w:basedOn w:val="DefaultParagraphFont"/>
    <w:link w:val="Heading1"/>
    <w:rsid w:val="0043136F"/>
    <w:rPr>
      <w:rFonts w:eastAsia="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athie.allen@pacificorp.com" TargetMode="External"/><Relationship Id="rId13" Type="http://schemas.openxmlformats.org/officeDocument/2006/relationships/hyperlink" Target="mailto:Sarah.Shifley@atg.wa.gov"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cords@utc.wa.gov" TargetMode="External"/><Relationship Id="rId12" Type="http://schemas.openxmlformats.org/officeDocument/2006/relationships/hyperlink" Target="mailto:dtrotter@utc.wa.go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il@dvclaw.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il@dvclaw.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Katherine@mcd-law.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2011-02-11T08:00:00+00:00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80FB5-D4E0-4575-832D-938137F03A9B}"/>
</file>

<file path=customXml/itemProps2.xml><?xml version="1.0" encoding="utf-8"?>
<ds:datastoreItem xmlns:ds="http://schemas.openxmlformats.org/officeDocument/2006/customXml" ds:itemID="{C3850A51-947A-4E87-A6AC-4881C3EADAF3}"/>
</file>

<file path=customXml/itemProps3.xml><?xml version="1.0" encoding="utf-8"?>
<ds:datastoreItem xmlns:ds="http://schemas.openxmlformats.org/officeDocument/2006/customXml" ds:itemID="{B37C4B8F-6974-4C71-94EF-3125EF610B1C}"/>
</file>

<file path=customXml/itemProps4.xml><?xml version="1.0" encoding="utf-8"?>
<ds:datastoreItem xmlns:ds="http://schemas.openxmlformats.org/officeDocument/2006/customXml" ds:itemID="{DF8476EB-6592-40B2-AE6B-548DCA335B40}"/>
</file>

<file path=customXml/itemProps5.xml><?xml version="1.0" encoding="utf-8"?>
<ds:datastoreItem xmlns:ds="http://schemas.openxmlformats.org/officeDocument/2006/customXml" ds:itemID="{90E8E3C4-3B6E-498D-AA6B-A4E52B6E287D}"/>
</file>

<file path=docProps/app.xml><?xml version="1.0" encoding="utf-8"?>
<Properties xmlns="http://schemas.openxmlformats.org/officeDocument/2006/extended-properties" xmlns:vt="http://schemas.openxmlformats.org/officeDocument/2006/docPropsVTypes">
  <Template>Normal</Template>
  <TotalTime>1</TotalTime>
  <Pages>31</Pages>
  <Words>7706</Words>
  <Characters>43928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2</cp:revision>
  <dcterms:created xsi:type="dcterms:W3CDTF">2011-02-11T22:49:00Z</dcterms:created>
  <dcterms:modified xsi:type="dcterms:W3CDTF">2011-02-11T22:49:00Z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