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AB" w:rsidRDefault="007461AB" w:rsidP="007461AB">
      <w:pPr>
        <w:spacing w:after="0"/>
        <w:rPr>
          <w:rFonts w:eastAsia="Times New Roman" w:cs="Times New Roman"/>
          <w:b/>
          <w:szCs w:val="24"/>
        </w:rPr>
      </w:pPr>
    </w:p>
    <w:p w:rsidR="007461AB" w:rsidRDefault="007461AB" w:rsidP="007461AB">
      <w:pPr>
        <w:spacing w:after="0"/>
        <w:jc w:val="center"/>
        <w:rPr>
          <w:rFonts w:eastAsia="Times New Roman" w:cs="Times New Roman"/>
          <w:b/>
          <w:szCs w:val="24"/>
        </w:rPr>
      </w:pPr>
      <w:r>
        <w:rPr>
          <w:rFonts w:eastAsia="Times New Roman" w:cs="Times New Roman"/>
          <w:b/>
          <w:szCs w:val="24"/>
        </w:rPr>
        <w:t xml:space="preserve">BEFORE THE </w:t>
      </w:r>
    </w:p>
    <w:p w:rsidR="007461AB" w:rsidRDefault="007461AB" w:rsidP="007461AB">
      <w:pPr>
        <w:spacing w:after="0"/>
        <w:jc w:val="center"/>
        <w:rPr>
          <w:rFonts w:eastAsia="Times New Roman" w:cs="Times New Roman"/>
          <w:b/>
          <w:szCs w:val="24"/>
        </w:rPr>
      </w:pPr>
      <w:r>
        <w:rPr>
          <w:rFonts w:eastAsia="Times New Roman" w:cs="Times New Roman"/>
          <w:b/>
          <w:szCs w:val="24"/>
        </w:rPr>
        <w:t>WASHINGTON UTILITIES AND TRANSPORTATION COMMISSION</w:t>
      </w:r>
    </w:p>
    <w:p w:rsidR="007461AB" w:rsidRDefault="007461AB" w:rsidP="007461AB">
      <w:pPr>
        <w:spacing w:after="0"/>
        <w:jc w:val="center"/>
        <w:rPr>
          <w:rFonts w:eastAsia="Times New Roman" w:cs="Times New Roman"/>
          <w:szCs w:val="24"/>
        </w:rPr>
      </w:pPr>
      <w:r>
        <w:rPr>
          <w:rFonts w:eastAsia="Times New Roman" w:cs="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7461AB" w:rsidTr="0044764A">
        <w:tc>
          <w:tcPr>
            <w:tcW w:w="4608" w:type="dxa"/>
            <w:tcBorders>
              <w:top w:val="nil"/>
              <w:left w:val="nil"/>
              <w:bottom w:val="single" w:sz="4" w:space="0" w:color="auto"/>
              <w:right w:val="nil"/>
            </w:tcBorders>
          </w:tcPr>
          <w:p w:rsidR="007461AB" w:rsidRDefault="007461AB" w:rsidP="0044764A">
            <w:pPr>
              <w:spacing w:after="0"/>
              <w:rPr>
                <w:rFonts w:eastAsia="Times New Roman" w:cs="Times New Roman"/>
                <w:b/>
                <w:szCs w:val="24"/>
              </w:rPr>
            </w:pPr>
          </w:p>
          <w:p w:rsidR="007461AB" w:rsidRDefault="007461AB" w:rsidP="0044764A">
            <w:pPr>
              <w:tabs>
                <w:tab w:val="left" w:pos="1440"/>
              </w:tabs>
              <w:spacing w:after="0"/>
              <w:rPr>
                <w:rFonts w:eastAsia="Times New Roman" w:cs="Times New Roman"/>
                <w:b/>
                <w:szCs w:val="24"/>
                <w:lang w:eastAsia="zh-CN"/>
              </w:rPr>
            </w:pPr>
            <w:r>
              <w:rPr>
                <w:rFonts w:eastAsia="Times New Roman" w:cs="Times New Roman"/>
                <w:b/>
                <w:szCs w:val="24"/>
                <w:lang w:eastAsia="zh-CN"/>
              </w:rPr>
              <w:t>WASHINGTON UTILITIES AND TRANSPORTATION COMMISSION,</w:t>
            </w:r>
          </w:p>
          <w:p w:rsidR="007461AB" w:rsidRDefault="007461AB" w:rsidP="0044764A">
            <w:pPr>
              <w:tabs>
                <w:tab w:val="left" w:pos="1440"/>
              </w:tabs>
              <w:spacing w:after="0"/>
              <w:rPr>
                <w:rFonts w:eastAsia="Times New Roman" w:cs="Times New Roman"/>
                <w:b/>
                <w:szCs w:val="24"/>
                <w:lang w:eastAsia="zh-CN"/>
              </w:rPr>
            </w:pPr>
          </w:p>
          <w:p w:rsidR="007461AB" w:rsidRDefault="007461AB" w:rsidP="0044764A">
            <w:pPr>
              <w:tabs>
                <w:tab w:val="left" w:pos="1440"/>
              </w:tabs>
              <w:spacing w:after="0"/>
              <w:rPr>
                <w:rFonts w:eastAsia="Times New Roman" w:cs="Times New Roman"/>
                <w:b/>
                <w:szCs w:val="24"/>
                <w:lang w:eastAsia="zh-CN"/>
              </w:rPr>
            </w:pPr>
            <w:r>
              <w:rPr>
                <w:rFonts w:eastAsia="Times New Roman" w:cs="Times New Roman"/>
                <w:b/>
                <w:szCs w:val="24"/>
                <w:lang w:eastAsia="zh-CN"/>
              </w:rPr>
              <w:tab/>
              <w:t>Complainant,</w:t>
            </w:r>
          </w:p>
          <w:p w:rsidR="007461AB" w:rsidRDefault="007461AB" w:rsidP="0044764A">
            <w:pPr>
              <w:tabs>
                <w:tab w:val="left" w:pos="1440"/>
              </w:tabs>
              <w:spacing w:after="0"/>
              <w:rPr>
                <w:rFonts w:eastAsia="Times New Roman" w:cs="Times New Roman"/>
                <w:b/>
                <w:szCs w:val="24"/>
                <w:lang w:eastAsia="zh-CN"/>
              </w:rPr>
            </w:pPr>
          </w:p>
          <w:p w:rsidR="007461AB" w:rsidRDefault="007461AB" w:rsidP="0044764A">
            <w:pPr>
              <w:spacing w:after="0"/>
              <w:rPr>
                <w:rFonts w:eastAsia="Times New Roman" w:cs="Times New Roman"/>
                <w:b/>
                <w:szCs w:val="24"/>
                <w:lang w:eastAsia="zh-CN"/>
              </w:rPr>
            </w:pPr>
            <w:proofErr w:type="gramStart"/>
            <w:r>
              <w:rPr>
                <w:rFonts w:eastAsia="Times New Roman" w:cs="Times New Roman"/>
                <w:b/>
                <w:szCs w:val="24"/>
                <w:lang w:eastAsia="zh-CN"/>
              </w:rPr>
              <w:t>v</w:t>
            </w:r>
            <w:proofErr w:type="gramEnd"/>
            <w:r>
              <w:rPr>
                <w:rFonts w:eastAsia="Times New Roman" w:cs="Times New Roman"/>
                <w:b/>
                <w:szCs w:val="24"/>
                <w:lang w:eastAsia="zh-CN"/>
              </w:rPr>
              <w:t>.</w:t>
            </w:r>
          </w:p>
          <w:p w:rsidR="007461AB" w:rsidRDefault="007461AB" w:rsidP="0044764A">
            <w:pPr>
              <w:spacing w:after="0"/>
              <w:rPr>
                <w:rFonts w:eastAsia="Times New Roman" w:cs="Times New Roman"/>
                <w:b/>
                <w:szCs w:val="24"/>
                <w:lang w:eastAsia="zh-CN"/>
              </w:rPr>
            </w:pPr>
          </w:p>
          <w:p w:rsidR="007461AB" w:rsidRDefault="007461AB" w:rsidP="0044764A">
            <w:pPr>
              <w:spacing w:after="0"/>
              <w:rPr>
                <w:rFonts w:eastAsia="Times New Roman" w:cs="Times New Roman"/>
                <w:b/>
                <w:szCs w:val="24"/>
                <w:lang w:eastAsia="zh-CN"/>
              </w:rPr>
            </w:pPr>
            <w:r>
              <w:rPr>
                <w:rFonts w:eastAsia="Times New Roman" w:cs="Times New Roman"/>
                <w:b/>
                <w:szCs w:val="24"/>
                <w:lang w:eastAsia="zh-CN"/>
              </w:rPr>
              <w:t>AVISTA CORPORATION, DBA</w:t>
            </w:r>
          </w:p>
          <w:p w:rsidR="007461AB" w:rsidRDefault="007461AB" w:rsidP="0044764A">
            <w:pPr>
              <w:spacing w:after="0"/>
              <w:rPr>
                <w:rFonts w:eastAsia="Times New Roman" w:cs="Times New Roman"/>
                <w:b/>
                <w:szCs w:val="24"/>
                <w:lang w:eastAsia="zh-CN"/>
              </w:rPr>
            </w:pPr>
            <w:r>
              <w:rPr>
                <w:rFonts w:eastAsia="Times New Roman" w:cs="Times New Roman"/>
                <w:b/>
                <w:szCs w:val="24"/>
                <w:lang w:eastAsia="zh-CN"/>
              </w:rPr>
              <w:t>AVISTA UTILITIES,</w:t>
            </w:r>
          </w:p>
          <w:p w:rsidR="007461AB" w:rsidRDefault="007461AB" w:rsidP="0044764A">
            <w:pPr>
              <w:spacing w:after="0"/>
              <w:rPr>
                <w:rFonts w:eastAsia="Times New Roman" w:cs="Times New Roman"/>
                <w:b/>
                <w:szCs w:val="24"/>
                <w:lang w:eastAsia="zh-CN"/>
              </w:rPr>
            </w:pPr>
          </w:p>
          <w:p w:rsidR="007461AB" w:rsidRDefault="007461AB" w:rsidP="0044764A">
            <w:pPr>
              <w:spacing w:after="0"/>
              <w:jc w:val="center"/>
              <w:rPr>
                <w:rFonts w:eastAsia="Times New Roman" w:cs="Times New Roman"/>
                <w:b/>
                <w:szCs w:val="24"/>
                <w:lang w:eastAsia="zh-CN"/>
              </w:rPr>
            </w:pPr>
            <w:r>
              <w:rPr>
                <w:rFonts w:eastAsia="Times New Roman" w:cs="Times New Roman"/>
                <w:b/>
                <w:szCs w:val="24"/>
                <w:lang w:eastAsia="zh-CN"/>
              </w:rPr>
              <w:t>Respondent.</w:t>
            </w:r>
          </w:p>
          <w:p w:rsidR="007461AB" w:rsidRDefault="007461AB" w:rsidP="0044764A">
            <w:pPr>
              <w:spacing w:after="0"/>
              <w:rPr>
                <w:rFonts w:eastAsia="Times New Roman" w:cs="Times New Roman"/>
                <w:b/>
                <w:szCs w:val="24"/>
              </w:rPr>
            </w:pPr>
          </w:p>
        </w:tc>
        <w:tc>
          <w:tcPr>
            <w:tcW w:w="360" w:type="dxa"/>
            <w:tcBorders>
              <w:top w:val="nil"/>
              <w:left w:val="nil"/>
              <w:bottom w:val="nil"/>
              <w:right w:val="nil"/>
            </w:tcBorders>
          </w:tcPr>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p w:rsidR="007461AB" w:rsidRDefault="007461AB" w:rsidP="0044764A">
            <w:pPr>
              <w:spacing w:after="0"/>
              <w:rPr>
                <w:rFonts w:eastAsia="Times New Roman" w:cs="Times New Roman"/>
                <w:b/>
                <w:szCs w:val="24"/>
              </w:rPr>
            </w:pPr>
            <w:r>
              <w:rPr>
                <w:rFonts w:eastAsia="Times New Roman" w:cs="Times New Roman"/>
                <w:b/>
                <w:szCs w:val="24"/>
              </w:rPr>
              <w:t>)</w:t>
            </w:r>
          </w:p>
        </w:tc>
        <w:tc>
          <w:tcPr>
            <w:tcW w:w="4608" w:type="dxa"/>
            <w:tcBorders>
              <w:top w:val="nil"/>
              <w:left w:val="nil"/>
              <w:bottom w:val="nil"/>
              <w:right w:val="nil"/>
            </w:tcBorders>
          </w:tcPr>
          <w:p w:rsidR="007461AB" w:rsidRDefault="007461AB" w:rsidP="0044764A">
            <w:pPr>
              <w:spacing w:after="0"/>
              <w:rPr>
                <w:rFonts w:eastAsia="Times New Roman" w:cs="Times New Roman"/>
                <w:b/>
                <w:szCs w:val="24"/>
              </w:rPr>
            </w:pPr>
          </w:p>
          <w:p w:rsidR="007461AB" w:rsidRDefault="007461AB" w:rsidP="0044764A">
            <w:pPr>
              <w:spacing w:after="0"/>
              <w:rPr>
                <w:rFonts w:eastAsia="Times New Roman" w:cs="Times New Roman"/>
                <w:b/>
                <w:szCs w:val="24"/>
              </w:rPr>
            </w:pPr>
          </w:p>
          <w:p w:rsidR="007461AB" w:rsidRDefault="007461AB" w:rsidP="0044764A">
            <w:pPr>
              <w:spacing w:after="0"/>
              <w:rPr>
                <w:rFonts w:eastAsia="Times New Roman" w:cs="Times New Roman"/>
                <w:b/>
                <w:szCs w:val="24"/>
              </w:rPr>
            </w:pPr>
          </w:p>
          <w:p w:rsidR="007461AB" w:rsidRDefault="007461AB" w:rsidP="0044764A">
            <w:pPr>
              <w:spacing w:after="0"/>
              <w:rPr>
                <w:rFonts w:eastAsia="Times New Roman" w:cs="Times New Roman"/>
                <w:b/>
                <w:szCs w:val="24"/>
              </w:rPr>
            </w:pPr>
          </w:p>
          <w:p w:rsidR="007461AB" w:rsidRDefault="007461AB" w:rsidP="0044764A">
            <w:pPr>
              <w:spacing w:after="0"/>
              <w:rPr>
                <w:rFonts w:eastAsia="Times New Roman" w:cs="Times New Roman"/>
                <w:b/>
                <w:szCs w:val="24"/>
              </w:rPr>
            </w:pPr>
          </w:p>
          <w:p w:rsidR="007461AB" w:rsidRDefault="007461AB" w:rsidP="0044764A">
            <w:pPr>
              <w:spacing w:after="0"/>
              <w:jc w:val="center"/>
              <w:rPr>
                <w:b/>
              </w:rPr>
            </w:pPr>
            <w:bookmarkStart w:id="0" w:name="_Toc354586559"/>
            <w:r>
              <w:rPr>
                <w:b/>
              </w:rPr>
              <w:t>DOCKETS UE-</w:t>
            </w:r>
            <w:bookmarkEnd w:id="0"/>
            <w:r>
              <w:rPr>
                <w:b/>
              </w:rPr>
              <w:t>160228 and</w:t>
            </w:r>
          </w:p>
          <w:p w:rsidR="007461AB" w:rsidRDefault="007461AB" w:rsidP="0044764A">
            <w:pPr>
              <w:spacing w:after="0"/>
              <w:jc w:val="center"/>
              <w:rPr>
                <w:b/>
              </w:rPr>
            </w:pPr>
            <w:r>
              <w:rPr>
                <w:b/>
              </w:rPr>
              <w:t>UG-160229 (Consolidated)</w:t>
            </w:r>
          </w:p>
          <w:p w:rsidR="007461AB" w:rsidRDefault="007461AB" w:rsidP="0044764A">
            <w:pPr>
              <w:jc w:val="right"/>
              <w:rPr>
                <w:b/>
              </w:rPr>
            </w:pPr>
          </w:p>
        </w:tc>
      </w:tr>
    </w:tbl>
    <w:p w:rsidR="007461AB" w:rsidRDefault="007461AB" w:rsidP="007461AB">
      <w:pPr>
        <w:spacing w:after="0"/>
        <w:jc w:val="both"/>
        <w:rPr>
          <w:rFonts w:eastAsia="Times New Roman" w:cs="Times New Roman"/>
          <w:szCs w:val="24"/>
        </w:rPr>
      </w:pPr>
    </w:p>
    <w:p w:rsidR="007461AB" w:rsidRDefault="007461AB" w:rsidP="007461AB">
      <w:pPr>
        <w:tabs>
          <w:tab w:val="left" w:pos="6450"/>
        </w:tabs>
        <w:spacing w:after="0"/>
        <w:jc w:val="both"/>
        <w:rPr>
          <w:rFonts w:eastAsia="Times New Roman" w:cs="Times New Roman"/>
          <w:szCs w:val="24"/>
        </w:rPr>
      </w:pPr>
    </w:p>
    <w:p w:rsidR="007461AB" w:rsidRDefault="007461AB" w:rsidP="007461AB">
      <w:pPr>
        <w:spacing w:after="0"/>
        <w:jc w:val="both"/>
        <w:rPr>
          <w:rFonts w:eastAsia="Times New Roman" w:cs="Times New Roman"/>
          <w:szCs w:val="24"/>
        </w:rPr>
      </w:pPr>
    </w:p>
    <w:p w:rsidR="007461AB" w:rsidRDefault="007461AB" w:rsidP="007461AB">
      <w:pPr>
        <w:spacing w:after="0"/>
        <w:jc w:val="both"/>
        <w:rPr>
          <w:rFonts w:eastAsia="Times New Roman" w:cs="Times New Roman"/>
          <w:szCs w:val="24"/>
        </w:rPr>
      </w:pPr>
    </w:p>
    <w:p w:rsidR="007461AB" w:rsidRDefault="007461AB" w:rsidP="007461AB">
      <w:pPr>
        <w:spacing w:after="0"/>
        <w:jc w:val="both"/>
        <w:rPr>
          <w:rFonts w:eastAsia="Times New Roman" w:cs="Times New Roman"/>
          <w:szCs w:val="24"/>
        </w:rPr>
      </w:pPr>
    </w:p>
    <w:p w:rsidR="007461AB" w:rsidRDefault="007461AB" w:rsidP="007461AB">
      <w:pPr>
        <w:spacing w:after="0"/>
        <w:jc w:val="both"/>
        <w:rPr>
          <w:rFonts w:eastAsia="Times New Roman" w:cs="Times New Roman"/>
          <w:szCs w:val="24"/>
        </w:rPr>
      </w:pPr>
    </w:p>
    <w:p w:rsidR="007461AB" w:rsidRDefault="007461AB" w:rsidP="007461AB">
      <w:pPr>
        <w:spacing w:after="0"/>
        <w:jc w:val="center"/>
        <w:rPr>
          <w:rFonts w:eastAsia="Times New Roman" w:cs="Times New Roman"/>
          <w:b/>
          <w:bCs/>
          <w:szCs w:val="24"/>
        </w:rPr>
      </w:pPr>
      <w:r>
        <w:rPr>
          <w:rFonts w:eastAsia="Times New Roman" w:cs="Times New Roman"/>
          <w:b/>
          <w:bCs/>
          <w:szCs w:val="20"/>
        </w:rPr>
        <w:t xml:space="preserve">CROSS-ANSWERING TESTIMONY </w:t>
      </w:r>
      <w:r>
        <w:rPr>
          <w:rFonts w:eastAsia="Times New Roman" w:cs="Times New Roman"/>
          <w:b/>
          <w:bCs/>
          <w:szCs w:val="24"/>
        </w:rPr>
        <w:t xml:space="preserve">OF </w:t>
      </w:r>
      <w:r>
        <w:rPr>
          <w:rFonts w:eastAsia="Times New Roman" w:cs="Times New Roman"/>
          <w:b/>
          <w:szCs w:val="24"/>
        </w:rPr>
        <w:t>BRIAN C. COLLINS</w:t>
      </w:r>
    </w:p>
    <w:p w:rsidR="007461AB" w:rsidRDefault="007461AB" w:rsidP="007461AB">
      <w:pPr>
        <w:spacing w:after="0"/>
        <w:rPr>
          <w:rFonts w:eastAsia="Times New Roman" w:cs="Times New Roman"/>
          <w:szCs w:val="20"/>
        </w:rPr>
      </w:pPr>
    </w:p>
    <w:p w:rsidR="007461AB" w:rsidRDefault="007461AB" w:rsidP="007461AB">
      <w:pPr>
        <w:spacing w:after="0"/>
        <w:jc w:val="center"/>
        <w:rPr>
          <w:rFonts w:eastAsia="Times New Roman" w:cs="Times New Roman"/>
          <w:b/>
          <w:bCs/>
          <w:szCs w:val="20"/>
        </w:rPr>
      </w:pPr>
      <w:r>
        <w:rPr>
          <w:rFonts w:eastAsia="Times New Roman" w:cs="Times New Roman"/>
          <w:b/>
          <w:bCs/>
          <w:szCs w:val="20"/>
        </w:rPr>
        <w:t>ON BEHALF OF</w:t>
      </w:r>
    </w:p>
    <w:p w:rsidR="007461AB" w:rsidRDefault="007461AB" w:rsidP="007461AB">
      <w:pPr>
        <w:spacing w:after="0"/>
        <w:rPr>
          <w:rFonts w:eastAsia="Times New Roman" w:cs="Times New Roman"/>
          <w:szCs w:val="20"/>
        </w:rPr>
      </w:pPr>
    </w:p>
    <w:p w:rsidR="007461AB" w:rsidRDefault="007461AB" w:rsidP="007461AB">
      <w:pPr>
        <w:spacing w:after="0"/>
        <w:jc w:val="center"/>
        <w:rPr>
          <w:rFonts w:eastAsia="Times New Roman" w:cs="Times New Roman"/>
          <w:szCs w:val="24"/>
        </w:rPr>
      </w:pPr>
      <w:r>
        <w:rPr>
          <w:rFonts w:eastAsia="Times New Roman" w:cs="Times New Roman"/>
          <w:b/>
          <w:bCs/>
          <w:szCs w:val="20"/>
        </w:rPr>
        <w:t>THE NORTHWEST INDUSTRIAL GAS USERS</w:t>
      </w:r>
    </w:p>
    <w:p w:rsidR="007461AB" w:rsidRDefault="007461AB" w:rsidP="007461AB">
      <w:pPr>
        <w:spacing w:after="0"/>
        <w:jc w:val="center"/>
        <w:rPr>
          <w:rFonts w:eastAsia="Times New Roman" w:cs="Times New Roman"/>
          <w:szCs w:val="24"/>
        </w:rPr>
      </w:pPr>
    </w:p>
    <w:p w:rsidR="007461AB" w:rsidRDefault="007461AB" w:rsidP="007461AB">
      <w:pPr>
        <w:spacing w:after="0"/>
        <w:jc w:val="center"/>
        <w:rPr>
          <w:rFonts w:eastAsia="Times New Roman" w:cs="Times New Roman"/>
          <w:szCs w:val="24"/>
        </w:rPr>
      </w:pPr>
    </w:p>
    <w:p w:rsidR="007461AB" w:rsidRDefault="007461AB" w:rsidP="007461AB">
      <w:pPr>
        <w:spacing w:after="0"/>
        <w:jc w:val="center"/>
        <w:rPr>
          <w:rFonts w:eastAsia="Times New Roman" w:cs="Times New Roman"/>
          <w:szCs w:val="24"/>
        </w:rPr>
      </w:pPr>
    </w:p>
    <w:p w:rsidR="007461AB" w:rsidRDefault="007461AB" w:rsidP="007461AB">
      <w:pPr>
        <w:spacing w:after="0"/>
        <w:jc w:val="center"/>
        <w:rPr>
          <w:rFonts w:eastAsia="Times New Roman" w:cs="Times New Roman"/>
          <w:szCs w:val="24"/>
        </w:rPr>
      </w:pPr>
    </w:p>
    <w:p w:rsidR="007461AB" w:rsidRDefault="007461AB" w:rsidP="007461AB">
      <w:pPr>
        <w:spacing w:after="0"/>
        <w:jc w:val="center"/>
        <w:rPr>
          <w:rFonts w:eastAsia="Times New Roman" w:cs="Times New Roman"/>
          <w:szCs w:val="24"/>
        </w:rPr>
      </w:pPr>
    </w:p>
    <w:p w:rsidR="007461AB" w:rsidRDefault="007461AB" w:rsidP="007461AB">
      <w:pPr>
        <w:spacing w:after="0"/>
        <w:jc w:val="center"/>
        <w:rPr>
          <w:rFonts w:eastAsia="Times New Roman" w:cs="Times New Roman"/>
          <w:b/>
          <w:szCs w:val="24"/>
        </w:rPr>
      </w:pPr>
      <w:r>
        <w:rPr>
          <w:rFonts w:eastAsia="Times New Roman" w:cs="Times New Roman"/>
          <w:b/>
          <w:szCs w:val="24"/>
        </w:rPr>
        <w:t>September 19, 2016</w:t>
      </w:r>
    </w:p>
    <w:p w:rsidR="007461AB" w:rsidRDefault="007461AB" w:rsidP="007461AB">
      <w:pPr>
        <w:spacing w:after="0"/>
        <w:jc w:val="center"/>
        <w:rPr>
          <w:rFonts w:eastAsia="Times New Roman" w:cs="Times New Roman"/>
          <w:szCs w:val="24"/>
        </w:rPr>
      </w:pPr>
    </w:p>
    <w:p w:rsidR="007461AB" w:rsidRDefault="007461AB" w:rsidP="007461AB">
      <w:pPr>
        <w:spacing w:after="0"/>
        <w:jc w:val="center"/>
        <w:rPr>
          <w:rFonts w:eastAsia="Times New Roman" w:cs="Times New Roman"/>
          <w:szCs w:val="24"/>
        </w:rPr>
      </w:pPr>
    </w:p>
    <w:p w:rsidR="007461AB" w:rsidRDefault="007461AB" w:rsidP="007461AB">
      <w:pPr>
        <w:spacing w:after="0" w:line="480" w:lineRule="auto"/>
        <w:jc w:val="both"/>
        <w:rPr>
          <w:rFonts w:eastAsia="Times New Roman" w:cs="Times New Roman"/>
          <w:b/>
          <w:szCs w:val="24"/>
        </w:rPr>
        <w:sectPr w:rsidR="007461AB">
          <w:headerReference w:type="default" r:id="rId8"/>
          <w:pgSz w:w="12240" w:h="15840" w:code="1"/>
          <w:pgMar w:top="1440" w:right="1440" w:bottom="1440" w:left="1728" w:header="576" w:footer="576" w:gutter="0"/>
          <w:pgNumType w:start="1"/>
          <w:cols w:space="720"/>
          <w:docGrid w:linePitch="299"/>
        </w:sectPr>
      </w:pPr>
    </w:p>
    <w:p w:rsidR="007461AB" w:rsidRDefault="007461AB" w:rsidP="007461AB">
      <w:pPr>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PLEASE STATE YOUR NAME AND BUSINESS ADDRESS.</w:t>
      </w:r>
    </w:p>
    <w:p w:rsidR="007461AB" w:rsidRDefault="007461AB" w:rsidP="007461AB">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Brian C. Collins.  My business address is 16690 Swingley Ridge Road, Suite 140, Chesterfield, MO 63017.</w:t>
      </w:r>
    </w:p>
    <w:p w:rsidR="007461AB" w:rsidRDefault="007461AB" w:rsidP="007461AB">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WHAT IS YOUR OCCUPATION?  </w:t>
      </w:r>
    </w:p>
    <w:p w:rsidR="007461AB" w:rsidRDefault="007461AB" w:rsidP="007461AB">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I am a consultant in the field of public utility regulation and a Principal of Brubaker &amp; Associates, Inc., energy, economic and regulatory consultants.</w:t>
      </w:r>
    </w:p>
    <w:p w:rsidR="007461AB" w:rsidRDefault="007461AB" w:rsidP="007461AB">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ARE YOU THE SAME BRIAN C. COLLINS WHO PREVIOUSLY FILED TESTIMONY IN THIS PROCEEDING?</w:t>
      </w:r>
    </w:p>
    <w:p w:rsidR="007461AB" w:rsidRDefault="007461AB" w:rsidP="007461AB">
      <w:pPr>
        <w:spacing w:after="0" w:line="480" w:lineRule="auto"/>
        <w:ind w:left="720" w:hanging="720"/>
        <w:jc w:val="both"/>
        <w:rPr>
          <w:rFonts w:eastAsia="Times New Roman" w:cs="Times New Roman"/>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Yes, on August 17, 2016, I filed Response Testimony </w:t>
      </w:r>
      <w:r>
        <w:rPr>
          <w:rFonts w:eastAsia="Times New Roman" w:cs="Times New Roman"/>
        </w:rPr>
        <w:t>on behalf of the Northwest Industrial Gas Users (“NWIGU”).</w:t>
      </w: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 xml:space="preserve">HAVE YOU REVIEWED THE TESTIMONIES OF </w:t>
      </w:r>
      <w:r w:rsidRPr="003C185F">
        <w:rPr>
          <w:rFonts w:eastAsia="Times New Roman"/>
          <w:b/>
          <w:szCs w:val="24"/>
        </w:rPr>
        <w:t>WASHINGTON UTILITIES AND TRANSPORTATION COMMISSION (“WUTC”</w:t>
      </w:r>
      <w:r>
        <w:rPr>
          <w:rFonts w:eastAsia="Times New Roman"/>
          <w:b/>
          <w:szCs w:val="24"/>
        </w:rPr>
        <w:t xml:space="preserve"> OR “COMMISSION”</w:t>
      </w:r>
      <w:r w:rsidRPr="003C185F">
        <w:rPr>
          <w:rFonts w:eastAsia="Times New Roman"/>
          <w:b/>
          <w:szCs w:val="24"/>
        </w:rPr>
        <w:t xml:space="preserve">) </w:t>
      </w:r>
      <w:r>
        <w:rPr>
          <w:rFonts w:eastAsia="Times New Roman"/>
          <w:b/>
          <w:szCs w:val="24"/>
        </w:rPr>
        <w:t>STAFF AND INTERVENOR WITNESSES AS THEY RELATE TO THE ISSUES THAT YOU ADDRESSED IN YOUR RESPONSE TESTIMONY?</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Yes, I have.</w:t>
      </w: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 xml:space="preserve">DO THE RESPONSE TESTIMONIES OF </w:t>
      </w:r>
      <w:r w:rsidRPr="003C185F">
        <w:rPr>
          <w:rFonts w:eastAsia="Times New Roman"/>
          <w:b/>
          <w:szCs w:val="24"/>
        </w:rPr>
        <w:t>STAFF</w:t>
      </w:r>
      <w:r>
        <w:rPr>
          <w:rFonts w:eastAsia="Times New Roman"/>
          <w:b/>
          <w:szCs w:val="24"/>
        </w:rPr>
        <w:t xml:space="preserve"> OR INTERVENOR WITNESSES CAUSE YOU TO CHANGE ANY OF THE POSITIONS THAT YOU TOOK IN YOUR RESPONSE TESTIMONY?</w:t>
      </w:r>
    </w:p>
    <w:p w:rsidR="007461AB" w:rsidRPr="00ED2679"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No, they do not.  </w:t>
      </w:r>
    </w:p>
    <w:p w:rsidR="007461AB" w:rsidRPr="00272C05" w:rsidRDefault="007461AB" w:rsidP="007461AB">
      <w:pPr>
        <w:autoSpaceDE w:val="0"/>
        <w:autoSpaceDN w:val="0"/>
        <w:adjustRightInd w:val="0"/>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WHAT IS THE </w:t>
      </w:r>
      <w:r>
        <w:rPr>
          <w:rFonts w:eastAsia="Times New Roman"/>
          <w:b/>
          <w:szCs w:val="24"/>
        </w:rPr>
        <w:t>PURPOSE</w:t>
      </w:r>
      <w:r w:rsidRPr="00272C05">
        <w:rPr>
          <w:rFonts w:eastAsia="Times New Roman"/>
          <w:b/>
          <w:szCs w:val="24"/>
        </w:rPr>
        <w:t xml:space="preserve"> OF YOUR </w:t>
      </w:r>
      <w:r>
        <w:rPr>
          <w:rFonts w:eastAsia="Times New Roman"/>
          <w:b/>
          <w:szCs w:val="24"/>
        </w:rPr>
        <w:t xml:space="preserve">CROSS-ANSWERING </w:t>
      </w:r>
      <w:r w:rsidRPr="00272C05">
        <w:rPr>
          <w:rFonts w:eastAsia="Times New Roman"/>
          <w:b/>
          <w:szCs w:val="24"/>
        </w:rPr>
        <w:t>TESTIMONY?</w:t>
      </w:r>
    </w:p>
    <w:p w:rsidR="007461AB" w:rsidRDefault="007461AB" w:rsidP="007461AB">
      <w:pPr>
        <w:spacing w:after="0" w:line="480" w:lineRule="auto"/>
        <w:ind w:left="720" w:hanging="720"/>
        <w:jc w:val="both"/>
        <w:outlineLvl w:val="1"/>
        <w:rPr>
          <w:rFonts w:cs="Arial"/>
          <w:bCs/>
          <w:color w:val="000000"/>
        </w:rPr>
      </w:pPr>
      <w:bookmarkStart w:id="1" w:name="_Toc392680466"/>
      <w:r w:rsidRPr="00272C05">
        <w:rPr>
          <w:rFonts w:eastAsia="Times New Roman"/>
          <w:b/>
          <w:szCs w:val="24"/>
        </w:rPr>
        <w:t>A.</w:t>
      </w:r>
      <w:r w:rsidRPr="00272C05">
        <w:rPr>
          <w:rFonts w:eastAsia="Times New Roman"/>
          <w:szCs w:val="24"/>
        </w:rPr>
        <w:tab/>
      </w:r>
      <w:bookmarkEnd w:id="1"/>
      <w:r>
        <w:rPr>
          <w:rFonts w:eastAsia="Times New Roman"/>
          <w:szCs w:val="24"/>
        </w:rPr>
        <w:t>I will address the testimony of Staff witness Jason L. Ball</w:t>
      </w:r>
      <w:r w:rsidR="00130AA5">
        <w:rPr>
          <w:rStyle w:val="FootnoteReference"/>
          <w:rFonts w:eastAsia="Times New Roman"/>
          <w:szCs w:val="24"/>
        </w:rPr>
        <w:footnoteReference w:id="1"/>
      </w:r>
      <w:r>
        <w:rPr>
          <w:rFonts w:eastAsia="Times New Roman"/>
          <w:szCs w:val="24"/>
        </w:rPr>
        <w:t xml:space="preserve"> as it relates to natural gas cost of service and rate spread.</w:t>
      </w:r>
    </w:p>
    <w:p w:rsidR="007461AB" w:rsidRDefault="007461AB" w:rsidP="007461AB">
      <w:pPr>
        <w:spacing w:line="480" w:lineRule="auto"/>
        <w:ind w:left="720" w:firstLine="720"/>
        <w:jc w:val="both"/>
        <w:outlineLvl w:val="1"/>
        <w:rPr>
          <w:rFonts w:cs="Arial"/>
          <w:bCs/>
          <w:color w:val="000000"/>
        </w:rPr>
      </w:pPr>
      <w:bookmarkStart w:id="2" w:name="_Toc392680467"/>
      <w:r>
        <w:rPr>
          <w:rFonts w:cs="Arial"/>
          <w:bCs/>
          <w:color w:val="000000"/>
        </w:rPr>
        <w:t>The fact that I do not address any particular issue should not be interpreted as tacit approval of any position taken by Avista Corporation (“Avista” or the “Company”) or any other party.</w:t>
      </w:r>
      <w:bookmarkEnd w:id="2"/>
    </w:p>
    <w:p w:rsidR="007461AB" w:rsidRPr="00272C05" w:rsidRDefault="007461AB" w:rsidP="007461AB">
      <w:pPr>
        <w:keepNext/>
        <w:autoSpaceDE w:val="0"/>
        <w:autoSpaceDN w:val="0"/>
        <w:adjustRightInd w:val="0"/>
        <w:ind w:left="720" w:hanging="720"/>
        <w:jc w:val="both"/>
        <w:rPr>
          <w:rFonts w:eastAsia="Times New Roman"/>
          <w:b/>
          <w:szCs w:val="24"/>
        </w:rPr>
      </w:pPr>
      <w:r w:rsidRPr="00272C05">
        <w:rPr>
          <w:rFonts w:eastAsia="Times New Roman"/>
          <w:b/>
          <w:szCs w:val="24"/>
        </w:rPr>
        <w:lastRenderedPageBreak/>
        <w:t>Q.</w:t>
      </w:r>
      <w:r w:rsidRPr="00272C05">
        <w:rPr>
          <w:rFonts w:eastAsia="Times New Roman"/>
          <w:b/>
          <w:szCs w:val="24"/>
        </w:rPr>
        <w:tab/>
      </w:r>
      <w:r>
        <w:rPr>
          <w:rFonts w:eastAsia="Times New Roman"/>
          <w:b/>
          <w:szCs w:val="24"/>
        </w:rPr>
        <w:t>PLEASE SUMMARIZE YOUR CROSS-ANSWERING TESTIMONY.</w:t>
      </w:r>
    </w:p>
    <w:p w:rsidR="007461AB" w:rsidRDefault="007461AB" w:rsidP="007461AB">
      <w:pPr>
        <w:keepNext/>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Pr>
          <w:rFonts w:eastAsia="Times New Roman"/>
          <w:szCs w:val="24"/>
        </w:rPr>
        <w:t>My cross-answering testimony can be summarized as follows:</w:t>
      </w:r>
    </w:p>
    <w:p w:rsidR="007461AB" w:rsidRDefault="007461AB" w:rsidP="007461AB">
      <w:pPr>
        <w:pStyle w:val="ListParagraph"/>
        <w:numPr>
          <w:ilvl w:val="0"/>
          <w:numId w:val="11"/>
        </w:numPr>
        <w:spacing w:after="0"/>
        <w:ind w:left="1080"/>
        <w:jc w:val="both"/>
        <w:rPr>
          <w:rFonts w:eastAsia="Times New Roman"/>
          <w:szCs w:val="24"/>
        </w:rPr>
      </w:pPr>
      <w:r w:rsidRPr="009D1043">
        <w:rPr>
          <w:rFonts w:eastAsia="Times New Roman"/>
          <w:szCs w:val="24"/>
        </w:rPr>
        <w:t xml:space="preserve">I agree with Staff’s recommendation that the Commission </w:t>
      </w:r>
      <w:r>
        <w:rPr>
          <w:rFonts w:eastAsia="Times New Roman"/>
          <w:szCs w:val="24"/>
        </w:rPr>
        <w:t>initiate</w:t>
      </w:r>
      <w:r w:rsidRPr="009D1043">
        <w:rPr>
          <w:rFonts w:eastAsia="Times New Roman"/>
          <w:szCs w:val="24"/>
        </w:rPr>
        <w:t xml:space="preserve"> a generic proceeding to review </w:t>
      </w:r>
      <w:r>
        <w:rPr>
          <w:rFonts w:eastAsia="Times New Roman"/>
          <w:szCs w:val="24"/>
        </w:rPr>
        <w:t xml:space="preserve">natural gas </w:t>
      </w:r>
      <w:r w:rsidRPr="009D1043">
        <w:rPr>
          <w:rFonts w:eastAsia="Times New Roman"/>
          <w:szCs w:val="24"/>
        </w:rPr>
        <w:t xml:space="preserve">cost of service methodologies for all investor-owned utilities in Washington. </w:t>
      </w:r>
    </w:p>
    <w:p w:rsidR="007461AB" w:rsidRPr="009D1043" w:rsidRDefault="007461AB" w:rsidP="007461AB">
      <w:pPr>
        <w:pStyle w:val="ListParagraph"/>
        <w:suppressLineNumbers/>
        <w:spacing w:after="0"/>
        <w:ind w:left="1080"/>
        <w:jc w:val="both"/>
        <w:rPr>
          <w:rFonts w:eastAsia="Times New Roman"/>
          <w:szCs w:val="24"/>
        </w:rPr>
      </w:pPr>
    </w:p>
    <w:p w:rsidR="007461AB" w:rsidRDefault="007461AB" w:rsidP="007461AB">
      <w:pPr>
        <w:pStyle w:val="ListParagraph"/>
        <w:numPr>
          <w:ilvl w:val="0"/>
          <w:numId w:val="11"/>
        </w:numPr>
        <w:spacing w:after="0"/>
        <w:ind w:left="1080"/>
        <w:jc w:val="both"/>
        <w:rPr>
          <w:rFonts w:eastAsia="Times New Roman"/>
          <w:szCs w:val="24"/>
        </w:rPr>
      </w:pPr>
      <w:r w:rsidRPr="009D1043">
        <w:rPr>
          <w:rFonts w:eastAsia="Times New Roman"/>
          <w:szCs w:val="24"/>
        </w:rPr>
        <w:t xml:space="preserve">I </w:t>
      </w:r>
      <w:r>
        <w:rPr>
          <w:rFonts w:eastAsia="Times New Roman"/>
          <w:szCs w:val="24"/>
        </w:rPr>
        <w:t>conditionally</w:t>
      </w:r>
      <w:r w:rsidRPr="009D1043">
        <w:rPr>
          <w:rFonts w:eastAsia="Times New Roman"/>
          <w:szCs w:val="24"/>
        </w:rPr>
        <w:t xml:space="preserve"> agree with Staff’s recommendation that the Commission defer all major decisions regarding any specific </w:t>
      </w:r>
      <w:r>
        <w:rPr>
          <w:rFonts w:eastAsia="Times New Roman"/>
          <w:szCs w:val="24"/>
        </w:rPr>
        <w:t>natural gas c</w:t>
      </w:r>
      <w:r w:rsidRPr="009D1043">
        <w:rPr>
          <w:rFonts w:eastAsia="Times New Roman"/>
          <w:szCs w:val="24"/>
        </w:rPr>
        <w:t>ost of service methodology in the pr</w:t>
      </w:r>
      <w:r>
        <w:rPr>
          <w:rFonts w:eastAsia="Times New Roman"/>
          <w:szCs w:val="24"/>
        </w:rPr>
        <w:t>esent case in the event that the Commission</w:t>
      </w:r>
      <w:r w:rsidRPr="009D1043">
        <w:rPr>
          <w:rFonts w:eastAsia="Times New Roman"/>
          <w:szCs w:val="24"/>
        </w:rPr>
        <w:t xml:space="preserve"> chooses to initiate the generic proceeding recommended by Staff.</w:t>
      </w:r>
    </w:p>
    <w:p w:rsidR="007461AB" w:rsidRPr="009D1043" w:rsidRDefault="007461AB" w:rsidP="007461AB">
      <w:pPr>
        <w:pStyle w:val="ListParagraph"/>
        <w:suppressLineNumbers/>
        <w:spacing w:after="0"/>
        <w:ind w:left="1080"/>
        <w:jc w:val="both"/>
        <w:rPr>
          <w:rFonts w:eastAsia="Times New Roman"/>
          <w:szCs w:val="24"/>
        </w:rPr>
      </w:pPr>
    </w:p>
    <w:p w:rsidR="007461AB" w:rsidRDefault="007461AB" w:rsidP="007461AB">
      <w:pPr>
        <w:pStyle w:val="ListParagraph"/>
        <w:numPr>
          <w:ilvl w:val="0"/>
          <w:numId w:val="11"/>
        </w:numPr>
        <w:spacing w:after="0"/>
        <w:ind w:left="1080"/>
        <w:jc w:val="both"/>
        <w:rPr>
          <w:rFonts w:eastAsia="Times New Roman"/>
          <w:szCs w:val="24"/>
        </w:rPr>
      </w:pPr>
      <w:r w:rsidRPr="006E207F">
        <w:rPr>
          <w:rFonts w:eastAsia="Times New Roman"/>
          <w:szCs w:val="24"/>
        </w:rPr>
        <w:t xml:space="preserve">I disagree with Staff’s recommendation to maintain the status quo with respect to </w:t>
      </w:r>
      <w:r>
        <w:rPr>
          <w:rFonts w:eastAsia="Times New Roman"/>
          <w:szCs w:val="24"/>
        </w:rPr>
        <w:t xml:space="preserve">the natural gas </w:t>
      </w:r>
      <w:r w:rsidRPr="006E207F">
        <w:rPr>
          <w:rFonts w:eastAsia="Times New Roman"/>
          <w:szCs w:val="24"/>
        </w:rPr>
        <w:t xml:space="preserve">rate spread, i.e., to spread the proposed rate increase across all customer classes on an equal percentage basis.  Such an approach would needlessly continue the large cost disparity between Schedule 101 revenues and cost of service.  </w:t>
      </w:r>
      <w:r>
        <w:rPr>
          <w:rFonts w:eastAsia="Times New Roman"/>
          <w:szCs w:val="24"/>
        </w:rPr>
        <w:t>As a result, I continue to recommend that the Company recover its revenue deficiency from the Schedule 101 class and that all other classes’ rates be held at current levels.</w:t>
      </w:r>
    </w:p>
    <w:p w:rsidR="007461AB" w:rsidRPr="006E207F" w:rsidRDefault="007461AB" w:rsidP="007461AB">
      <w:pPr>
        <w:suppressLineNumbers/>
        <w:spacing w:after="0"/>
        <w:jc w:val="both"/>
        <w:rPr>
          <w:rFonts w:eastAsia="Times New Roman"/>
          <w:szCs w:val="24"/>
        </w:rPr>
      </w:pP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 xml:space="preserve">AT PAGE 4, MR. BALL STATES STAFF’S POSITION REGARDING THE INITIATION OF GENERIC COST OF SERVICE PROCEEDINGS, ONE FOR ELECTRIC AND ONE FOR NATURAL GAS.  HE GOES ON TO OPINE THAT SUCH A PROCEEDING WOULD </w:t>
      </w:r>
    </w:p>
    <w:p w:rsidR="007461AB" w:rsidRDefault="007461AB" w:rsidP="007461AB">
      <w:pPr>
        <w:autoSpaceDE w:val="0"/>
        <w:autoSpaceDN w:val="0"/>
        <w:adjustRightInd w:val="0"/>
        <w:ind w:left="1440" w:right="720"/>
        <w:jc w:val="both"/>
        <w:rPr>
          <w:rFonts w:eastAsia="Times New Roman"/>
          <w:b/>
          <w:szCs w:val="24"/>
        </w:rPr>
      </w:pPr>
      <w:r>
        <w:rPr>
          <w:rFonts w:eastAsia="Times New Roman"/>
          <w:b/>
          <w:szCs w:val="24"/>
        </w:rPr>
        <w:t xml:space="preserve">“OFFER THE COMMISSION THE OPPORTUNITY TO ARTICULATE A COHERENT AND CONSISTENT COSS APPROACH FOR ALL IOUS IN WASHINGTON THROUGH A SINGLE POLICY STATEMENT OR ORDER.” </w:t>
      </w:r>
    </w:p>
    <w:p w:rsidR="007461AB" w:rsidRDefault="007461AB" w:rsidP="007461AB">
      <w:pPr>
        <w:autoSpaceDE w:val="0"/>
        <w:autoSpaceDN w:val="0"/>
        <w:adjustRightInd w:val="0"/>
        <w:ind w:left="720"/>
        <w:jc w:val="both"/>
        <w:rPr>
          <w:rFonts w:eastAsia="Times New Roman"/>
          <w:b/>
          <w:szCs w:val="24"/>
        </w:rPr>
      </w:pPr>
      <w:r>
        <w:rPr>
          <w:rFonts w:eastAsia="Times New Roman"/>
          <w:b/>
          <w:szCs w:val="24"/>
        </w:rPr>
        <w:t>DO YOU AGREE?</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I generally agree.  Both the Commission and the utilities could benefit from a proceeding that establishes guidance to the utilities on determining the cost of serving each customer class.  However, unique circumstances as well as data availability may necessitate the use of somewhat different approaches for a certain utility or utilities.  Nonetheless, the generic proceeding should afford the Commission the opportunity to provide guidance to the class cost of service study methods.  For example, the </w:t>
      </w:r>
      <w:r>
        <w:rPr>
          <w:rFonts w:eastAsia="Times New Roman"/>
          <w:szCs w:val="24"/>
        </w:rPr>
        <w:lastRenderedPageBreak/>
        <w:t xml:space="preserve">Commission could require all utilities to also perform a class cost of service study that allocates distribution main costs on both a coincident peak basis and on a customer basis.  </w:t>
      </w: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WHAT IS TYPICALLY THE LARGEST COST ITEM IN A NATURAL GAS CLASS COST OF SERVICE STUDY UPON WHICH THE COMMISSION COULD PROVIDE GUIDANCE?</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sidRPr="00E02E27">
        <w:rPr>
          <w:rFonts w:eastAsia="Times New Roman"/>
          <w:szCs w:val="24"/>
        </w:rPr>
        <w:t>The classification</w:t>
      </w:r>
      <w:r>
        <w:rPr>
          <w:rFonts w:eastAsia="Times New Roman"/>
          <w:szCs w:val="24"/>
        </w:rPr>
        <w:t xml:space="preserve"> and allocation of distribution main fixed costs is typically the largest cost item in a natural gas class cost of service study.  The classification of distribution main costs as demand or customer related as well as the allocation methods for distribution main costs are important factors in determining the cost of service.</w:t>
      </w: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AT PAGES 11 THROUGH 12 OF HIS TESTIMONY, MR. BALL IDENTIFIES SEVERAL TOPICS THAT POTENTIALLY COULD BE EXPLORED IN THE CONTEXT OF A GENERIC PROCEEDING.  DO YOU AGREE WITH MR. BALL’S LIST?</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Mr. Ball has captured the major points of impact in a natural gas cost of service study.  Some of these points are the same as the ones I addressed in my Response Testimony.  For example, I addressed the classification of distribution main costs on both a demand and customer basis.</w:t>
      </w:r>
    </w:p>
    <w:p w:rsidR="007461AB" w:rsidRDefault="007461AB" w:rsidP="007461AB">
      <w:pPr>
        <w:autoSpaceDE w:val="0"/>
        <w:autoSpaceDN w:val="0"/>
        <w:adjustRightInd w:val="0"/>
        <w:ind w:left="720" w:hanging="720"/>
        <w:jc w:val="both"/>
        <w:rPr>
          <w:rFonts w:eastAsia="Times New Roman"/>
          <w:b/>
          <w:szCs w:val="24"/>
        </w:rPr>
      </w:pPr>
      <w:r w:rsidRPr="00810740">
        <w:rPr>
          <w:rFonts w:eastAsia="Times New Roman"/>
          <w:b/>
          <w:szCs w:val="24"/>
        </w:rPr>
        <w:t>Q.</w:t>
      </w:r>
      <w:r w:rsidRPr="00810740">
        <w:rPr>
          <w:rFonts w:eastAsia="Times New Roman"/>
          <w:b/>
          <w:szCs w:val="24"/>
        </w:rPr>
        <w:tab/>
        <w:t xml:space="preserve">DOES </w:t>
      </w:r>
      <w:r>
        <w:rPr>
          <w:rFonts w:eastAsia="Times New Roman"/>
          <w:b/>
          <w:szCs w:val="24"/>
        </w:rPr>
        <w:t>MR. BALL OFFER ANY SPECIFIC CRITICISM OF AVISTA’S CLASS COST OF SERVICE STUDY RESULTS?</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No, he does not.  In fact, at page 12 of his testimony Mr. Ball indicates that Avista’s cost of service study “can be used to inform rate spread for all customer classes.”  However, as indicated in my response testimony, the Schedule 146 class is also subsidizing the Schedule 101 class.  The subsidy to the Schedule 101 class is larger than that indicated by the Company’s study.</w:t>
      </w:r>
    </w:p>
    <w:p w:rsidR="007461AB" w:rsidRDefault="007461AB" w:rsidP="007461AB">
      <w:pPr>
        <w:keepNext/>
        <w:keepLines/>
        <w:autoSpaceDE w:val="0"/>
        <w:autoSpaceDN w:val="0"/>
        <w:adjustRightInd w:val="0"/>
        <w:ind w:left="720" w:hanging="720"/>
        <w:jc w:val="both"/>
        <w:rPr>
          <w:rFonts w:eastAsia="Times New Roman"/>
          <w:b/>
          <w:szCs w:val="24"/>
        </w:rPr>
      </w:pPr>
      <w:r>
        <w:rPr>
          <w:rFonts w:eastAsia="Times New Roman"/>
          <w:b/>
          <w:szCs w:val="24"/>
        </w:rPr>
        <w:lastRenderedPageBreak/>
        <w:t>Q.</w:t>
      </w:r>
      <w:r>
        <w:rPr>
          <w:rFonts w:eastAsia="Times New Roman"/>
          <w:b/>
          <w:szCs w:val="24"/>
        </w:rPr>
        <w:tab/>
        <w:t xml:space="preserve">IS IT POSSIBLE THAT THE COMMISSION’S DETERMINATION IN A GENERIC COST OF SERVICE PROCEEDING ULTIMATELY WOULD SHOW THAT SCHEDULE 101 IS NOT BEING SUBSIDIZED, I.E., THAT </w:t>
      </w:r>
      <w:proofErr w:type="gramStart"/>
      <w:r>
        <w:rPr>
          <w:rFonts w:eastAsia="Times New Roman"/>
          <w:b/>
          <w:szCs w:val="24"/>
        </w:rPr>
        <w:t>ITS</w:t>
      </w:r>
      <w:proofErr w:type="gramEnd"/>
      <w:r>
        <w:rPr>
          <w:rFonts w:eastAsia="Times New Roman"/>
          <w:b/>
          <w:szCs w:val="24"/>
        </w:rPr>
        <w:t xml:space="preserve"> PARITY RATIO IS ACTUALLY GREATER THAN 1.00?</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This is unlikely because the classification and allocation methods used by Avista on the major cost driver, distribution main costs, are already skewed heavily in favor of low load factor classes, such as the Schedule 101 class.  Specifically, because the Company allocates distribution main costs on the basis of the Peak and Average method and fails to include a customer classification and allocation of distribution main costs, the results of the cost of service study favor low load factor customer classes.  I explain this in depth in my Response Testimony.  </w:t>
      </w: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HAVE YOU REVIEWED STAFF’S PROPOSED RATE SPREAD FOR GAS SERVICE?</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I have.  Mr. Ball addresses this at pages 14 through 16 of his testimony.  </w:t>
      </w:r>
    </w:p>
    <w:p w:rsidR="007461AB" w:rsidRDefault="007461AB" w:rsidP="007461AB">
      <w:pPr>
        <w:spacing w:after="0" w:line="480" w:lineRule="auto"/>
        <w:ind w:left="720" w:hanging="720"/>
        <w:jc w:val="both"/>
        <w:rPr>
          <w:rFonts w:eastAsia="Times New Roman"/>
          <w:b/>
          <w:szCs w:val="24"/>
        </w:rPr>
      </w:pPr>
      <w:r>
        <w:rPr>
          <w:rFonts w:eastAsia="Times New Roman"/>
          <w:b/>
          <w:szCs w:val="24"/>
        </w:rPr>
        <w:t>Q.</w:t>
      </w:r>
      <w:r>
        <w:rPr>
          <w:rFonts w:eastAsia="Times New Roman"/>
          <w:b/>
          <w:szCs w:val="24"/>
        </w:rPr>
        <w:tab/>
        <w:t>WHAT IS STAFF’S POSITION ON RATE SPREAD?</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As explained at page 16 of his testimony, Mr. Ball indicates that the Company’s proposed rate spread is consistent with the Company’s cost of service study, but that the precision of the Company’s cost of service study is concerning.  Also on page 16 of his testimony, Mr. Ball goes on to state: </w:t>
      </w:r>
    </w:p>
    <w:p w:rsidR="007461AB" w:rsidRDefault="007461AB" w:rsidP="007461AB">
      <w:pPr>
        <w:ind w:left="1440" w:right="720"/>
        <w:jc w:val="both"/>
        <w:rPr>
          <w:rFonts w:eastAsia="Times New Roman"/>
          <w:szCs w:val="24"/>
        </w:rPr>
      </w:pPr>
      <w:r>
        <w:rPr>
          <w:rFonts w:eastAsia="Times New Roman"/>
          <w:szCs w:val="24"/>
        </w:rPr>
        <w:t>Without a completely accurate COSS, however, it is impossible to tell if cross-class subsidization exists or, accordingly, whether a specific customer class should be assigned a higher- or lower-than-average increase.</w:t>
      </w:r>
    </w:p>
    <w:p w:rsidR="007461AB" w:rsidRDefault="007461AB" w:rsidP="007461AB">
      <w:pPr>
        <w:spacing w:after="0" w:line="480" w:lineRule="auto"/>
        <w:ind w:left="720"/>
        <w:jc w:val="both"/>
        <w:rPr>
          <w:rFonts w:eastAsia="Times New Roman"/>
          <w:szCs w:val="24"/>
          <w:vertAlign w:val="superscript"/>
        </w:rPr>
      </w:pPr>
      <w:r>
        <w:rPr>
          <w:rFonts w:eastAsia="Times New Roman"/>
          <w:szCs w:val="24"/>
        </w:rPr>
        <w:t>Accordingly, Mr. Ball concludes at page 14 of his testimony “Staff proposes sprea</w:t>
      </w:r>
      <w:r w:rsidR="00130AA5">
        <w:rPr>
          <w:rFonts w:eastAsia="Times New Roman"/>
          <w:szCs w:val="24"/>
        </w:rPr>
        <w:t>ding any increase</w:t>
      </w:r>
      <w:r>
        <w:rPr>
          <w:rFonts w:eastAsia="Times New Roman"/>
          <w:szCs w:val="24"/>
        </w:rPr>
        <w:t xml:space="preserve"> to rates amongst the customer classes uniformly.”</w:t>
      </w:r>
    </w:p>
    <w:p w:rsidR="007461AB" w:rsidRDefault="007461AB" w:rsidP="007461AB">
      <w:pPr>
        <w:keepNext/>
        <w:spacing w:after="0" w:line="480" w:lineRule="auto"/>
        <w:ind w:left="720" w:hanging="720"/>
        <w:jc w:val="both"/>
        <w:rPr>
          <w:rFonts w:eastAsia="Times New Roman"/>
          <w:b/>
          <w:szCs w:val="24"/>
        </w:rPr>
      </w:pPr>
      <w:r>
        <w:rPr>
          <w:rFonts w:eastAsia="Times New Roman"/>
          <w:b/>
          <w:szCs w:val="24"/>
        </w:rPr>
        <w:lastRenderedPageBreak/>
        <w:t>Q.</w:t>
      </w:r>
      <w:r>
        <w:rPr>
          <w:rFonts w:eastAsia="Times New Roman"/>
          <w:b/>
          <w:szCs w:val="24"/>
        </w:rPr>
        <w:tab/>
        <w:t>DO YOU AGREE WITH MR. BALL’S CONCLUSION?</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sidRPr="001E7F5F">
        <w:rPr>
          <w:rFonts w:eastAsia="Times New Roman"/>
          <w:szCs w:val="24"/>
        </w:rPr>
        <w:t>No</w:t>
      </w:r>
      <w:r>
        <w:rPr>
          <w:rFonts w:eastAsia="Times New Roman"/>
          <w:szCs w:val="24"/>
        </w:rPr>
        <w:t>, I do not agree</w:t>
      </w:r>
      <w:r w:rsidRPr="001E7F5F">
        <w:rPr>
          <w:rFonts w:eastAsia="Times New Roman"/>
          <w:szCs w:val="24"/>
        </w:rPr>
        <w:t>.</w:t>
      </w:r>
      <w:r>
        <w:rPr>
          <w:rFonts w:eastAsia="Times New Roman"/>
          <w:szCs w:val="24"/>
        </w:rPr>
        <w:t xml:space="preserve">  Under both the Company’s class cost of service study and my class cost of service study, the Schedule 101 rate class is being subsidized by other customer classes.  My study indicates that the Schedule 146 class is contributing to this subsidy, and shows that the subsidy provided to the Schedule 101 class is even greater than that calculated by the Company.  As a result, I continue to recommend that the Company’s revenue deficiency be recovered from the Schedule 101 class and that all other classes’ rates be held at current levels.</w:t>
      </w:r>
    </w:p>
    <w:p w:rsidR="007461AB" w:rsidRDefault="007461AB" w:rsidP="007461AB">
      <w:pPr>
        <w:keepNext/>
        <w:keepLines/>
        <w:autoSpaceDE w:val="0"/>
        <w:autoSpaceDN w:val="0"/>
        <w:adjustRightInd w:val="0"/>
        <w:ind w:left="720" w:hanging="720"/>
        <w:jc w:val="both"/>
        <w:rPr>
          <w:rFonts w:eastAsia="Times New Roman"/>
          <w:b/>
          <w:szCs w:val="24"/>
        </w:rPr>
      </w:pPr>
      <w:r>
        <w:rPr>
          <w:rFonts w:eastAsia="Times New Roman"/>
          <w:b/>
          <w:szCs w:val="24"/>
        </w:rPr>
        <w:t xml:space="preserve">Q. </w:t>
      </w:r>
      <w:r>
        <w:rPr>
          <w:rFonts w:eastAsia="Times New Roman"/>
          <w:b/>
          <w:szCs w:val="24"/>
        </w:rPr>
        <w:tab/>
        <w:t>DO YOU AGREE THAT THE PRECISION OF THE C</w:t>
      </w:r>
      <w:r w:rsidR="00130AA5">
        <w:rPr>
          <w:rFonts w:eastAsia="Times New Roman"/>
          <w:b/>
          <w:szCs w:val="24"/>
        </w:rPr>
        <w:t>OMPANY’S COST OF SERVICE STUDY</w:t>
      </w:r>
      <w:r>
        <w:rPr>
          <w:rFonts w:eastAsia="Times New Roman"/>
          <w:b/>
          <w:szCs w:val="24"/>
        </w:rPr>
        <w:t xml:space="preserve"> IS CONCERNING?</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but only to a limited degree.  My concerns are that the Company’s study does not show the full extent of the inequities present in current rates.  As shown in my class cost of service study, proper cost of service study techniques applied to the allocation of distribution main costs reveals that the Schedule 101 class is being even more heavily subsidized than Avista’s class cost of service study suggests, and that the Schedule 146 class is contributing to this subsidy.  </w:t>
      </w:r>
    </w:p>
    <w:p w:rsidR="007461AB" w:rsidRDefault="007461AB" w:rsidP="007461AB">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DO YOU AGREE WITH MR. BALL’S ASSERTION THAT WITHOUT A COMPLETELY ACCURATE COSS, IT IS IMPOSSIBLE TO TELL IF CROSS-CLASS SUBSIDIZATION EXISTS?</w:t>
      </w:r>
    </w:p>
    <w:p w:rsidR="007461AB" w:rsidRDefault="007461AB" w:rsidP="007461AB">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No, I do not agree.  If there is a clear indication of cross-class subsidization in reasonably accurate class cost of service studies, such as the cost of service studies presented in this case, it is reasonable to conclude that a significant cross-class subsidy exists.  For the Schedule 101 class, refinement to the class cost of service study may determine that the class parity ratio is something different from 0.84 as calculated by </w:t>
      </w:r>
      <w:r>
        <w:rPr>
          <w:rFonts w:eastAsia="Times New Roman"/>
          <w:szCs w:val="24"/>
        </w:rPr>
        <w:lastRenderedPageBreak/>
        <w:t xml:space="preserve">the Company or 0.72 as calculated in my class cost of service study, but it is unrealistic to think that a refinement would cause the ratio to be found anywhere near parity, or even greater than one.  The class cost of service information in this record makes it quite clear that very significant cross-class subsidization continues to exist, at least as it relates to Schedule 101.  </w:t>
      </w:r>
    </w:p>
    <w:p w:rsidR="007461AB" w:rsidRPr="00272C05" w:rsidRDefault="007461AB" w:rsidP="007461AB">
      <w:pPr>
        <w:autoSpaceDE w:val="0"/>
        <w:autoSpaceDN w:val="0"/>
        <w:adjustRightInd w:val="0"/>
        <w:ind w:left="720" w:hanging="720"/>
        <w:jc w:val="both"/>
        <w:rPr>
          <w:rFonts w:eastAsia="Times New Roman"/>
          <w:b/>
          <w:szCs w:val="24"/>
        </w:rPr>
      </w:pPr>
      <w:r w:rsidRPr="00272C05">
        <w:rPr>
          <w:rFonts w:eastAsia="Times New Roman"/>
          <w:b/>
          <w:szCs w:val="24"/>
        </w:rPr>
        <w:t>Q.</w:t>
      </w:r>
      <w:r w:rsidRPr="00272C05">
        <w:rPr>
          <w:rFonts w:eastAsia="Times New Roman"/>
          <w:b/>
          <w:szCs w:val="24"/>
        </w:rPr>
        <w:tab/>
      </w:r>
      <w:r>
        <w:rPr>
          <w:rFonts w:eastAsia="Times New Roman"/>
          <w:b/>
          <w:szCs w:val="24"/>
        </w:rPr>
        <w:t>HOW DO YOUR PARITY RATIOS COMPARE TO THE COMPANY’S RATIOS UNDER THE COMPANY’S CURRENT RATES FOR NATURAL GAS SERVICE</w:t>
      </w:r>
      <w:r w:rsidRPr="00272C05">
        <w:rPr>
          <w:rFonts w:eastAsia="Times New Roman"/>
          <w:b/>
          <w:szCs w:val="24"/>
        </w:rPr>
        <w:t>?</w:t>
      </w:r>
    </w:p>
    <w:p w:rsidR="007461AB" w:rsidRDefault="007461AB" w:rsidP="007461AB">
      <w:pPr>
        <w:spacing w:after="0" w:line="480" w:lineRule="auto"/>
        <w:ind w:left="720" w:hanging="720"/>
        <w:jc w:val="both"/>
        <w:rPr>
          <w:rFonts w:eastAsia="Times New Roman"/>
          <w:szCs w:val="24"/>
        </w:rPr>
      </w:pPr>
      <w:r w:rsidRPr="00272C05">
        <w:rPr>
          <w:rFonts w:eastAsia="Times New Roman"/>
          <w:b/>
          <w:szCs w:val="24"/>
        </w:rPr>
        <w:t>A.</w:t>
      </w:r>
      <w:r>
        <w:rPr>
          <w:rFonts w:eastAsia="Times New Roman"/>
          <w:szCs w:val="24"/>
        </w:rPr>
        <w:tab/>
        <w:t>This is shown in Table 1 below:</w:t>
      </w:r>
    </w:p>
    <w:tbl>
      <w:tblPr>
        <w:tblStyle w:val="TableGrid"/>
        <w:tblW w:w="0" w:type="auto"/>
        <w:jc w:val="center"/>
        <w:tblBorders>
          <w:insideH w:val="nil"/>
          <w:insideV w:val="nil"/>
        </w:tblBorders>
        <w:tblLook w:val="04A0"/>
      </w:tblPr>
      <w:tblGrid>
        <w:gridCol w:w="1608"/>
        <w:gridCol w:w="1380"/>
        <w:gridCol w:w="1571"/>
      </w:tblGrid>
      <w:tr w:rsidR="007461AB" w:rsidRPr="00B07E2B" w:rsidTr="0044764A">
        <w:trPr>
          <w:jc w:val="center"/>
        </w:trPr>
        <w:tc>
          <w:tcPr>
            <w:tcW w:w="4559" w:type="dxa"/>
            <w:gridSpan w:val="3"/>
          </w:tcPr>
          <w:p w:rsidR="007461AB" w:rsidRPr="00B07E2B" w:rsidRDefault="007461AB" w:rsidP="0044764A">
            <w:pPr>
              <w:spacing w:after="0"/>
              <w:ind w:left="720" w:hanging="720"/>
              <w:jc w:val="center"/>
              <w:rPr>
                <w:rFonts w:eastAsia="Times New Roman"/>
                <w:b/>
                <w:sz w:val="24"/>
                <w:szCs w:val="24"/>
              </w:rPr>
            </w:pPr>
          </w:p>
          <w:p w:rsidR="007461AB" w:rsidRPr="00B07E2B" w:rsidRDefault="007461AB" w:rsidP="0044764A">
            <w:pPr>
              <w:spacing w:after="0"/>
              <w:ind w:left="720" w:hanging="720"/>
              <w:jc w:val="center"/>
              <w:rPr>
                <w:rFonts w:eastAsia="Times New Roman"/>
                <w:b/>
                <w:sz w:val="24"/>
                <w:szCs w:val="24"/>
              </w:rPr>
            </w:pPr>
            <w:r w:rsidRPr="00B07E2B">
              <w:rPr>
                <w:rFonts w:eastAsia="Times New Roman"/>
                <w:b/>
                <w:sz w:val="24"/>
                <w:szCs w:val="24"/>
              </w:rPr>
              <w:t>TABLE 1</w:t>
            </w:r>
          </w:p>
          <w:p w:rsidR="007461AB" w:rsidRPr="00B07E2B" w:rsidRDefault="007461AB" w:rsidP="0044764A">
            <w:pPr>
              <w:spacing w:after="0"/>
              <w:ind w:left="720" w:hanging="720"/>
              <w:jc w:val="center"/>
              <w:rPr>
                <w:rFonts w:eastAsia="Times New Roman"/>
                <w:b/>
                <w:sz w:val="24"/>
                <w:szCs w:val="24"/>
              </w:rPr>
            </w:pPr>
          </w:p>
          <w:p w:rsidR="007461AB" w:rsidRPr="00B07E2B" w:rsidRDefault="007461AB" w:rsidP="0044764A">
            <w:pPr>
              <w:spacing w:after="0"/>
              <w:ind w:left="720" w:hanging="720"/>
              <w:jc w:val="center"/>
              <w:rPr>
                <w:rFonts w:eastAsia="Times New Roman"/>
                <w:b/>
                <w:sz w:val="24"/>
                <w:szCs w:val="24"/>
              </w:rPr>
            </w:pPr>
            <w:r w:rsidRPr="00B07E2B">
              <w:rPr>
                <w:rFonts w:eastAsia="Times New Roman"/>
                <w:b/>
                <w:sz w:val="24"/>
                <w:szCs w:val="24"/>
              </w:rPr>
              <w:t>Class Cost of Service Study Parity Ratios</w:t>
            </w:r>
          </w:p>
          <w:p w:rsidR="007461AB" w:rsidRPr="00B07E2B" w:rsidRDefault="007461AB" w:rsidP="0044764A">
            <w:pPr>
              <w:spacing w:after="0"/>
              <w:ind w:left="720" w:hanging="720"/>
              <w:jc w:val="center"/>
              <w:rPr>
                <w:rFonts w:eastAsia="Times New Roman"/>
                <w:b/>
                <w:sz w:val="24"/>
                <w:szCs w:val="24"/>
                <w:u w:val="single"/>
              </w:rPr>
            </w:pPr>
            <w:r w:rsidRPr="00B07E2B">
              <w:rPr>
                <w:rFonts w:eastAsia="Times New Roman"/>
                <w:b/>
                <w:sz w:val="24"/>
                <w:szCs w:val="24"/>
                <w:u w:val="single"/>
              </w:rPr>
              <w:t>                    At Present Rates                    </w:t>
            </w:r>
          </w:p>
          <w:p w:rsidR="007461AB" w:rsidRPr="00B07E2B" w:rsidRDefault="007461AB" w:rsidP="0044764A">
            <w:pPr>
              <w:spacing w:after="0"/>
              <w:jc w:val="center"/>
              <w:rPr>
                <w:rFonts w:eastAsia="Times New Roman"/>
                <w:sz w:val="24"/>
                <w:szCs w:val="24"/>
              </w:rPr>
            </w:pPr>
          </w:p>
        </w:tc>
      </w:tr>
      <w:tr w:rsidR="007461AB" w:rsidRPr="00B07E2B" w:rsidTr="0044764A">
        <w:trPr>
          <w:jc w:val="center"/>
        </w:trPr>
        <w:tc>
          <w:tcPr>
            <w:tcW w:w="1608" w:type="dxa"/>
          </w:tcPr>
          <w:p w:rsidR="007461AB" w:rsidRPr="00B07E2B" w:rsidRDefault="007461AB" w:rsidP="0044764A">
            <w:pPr>
              <w:spacing w:after="0"/>
              <w:ind w:left="90"/>
              <w:rPr>
                <w:rFonts w:eastAsia="Times New Roman"/>
                <w:sz w:val="24"/>
                <w:szCs w:val="24"/>
              </w:rPr>
            </w:pPr>
            <w:r w:rsidRPr="00B07E2B">
              <w:rPr>
                <w:rFonts w:eastAsia="Times New Roman"/>
                <w:b/>
                <w:sz w:val="24"/>
                <w:szCs w:val="24"/>
                <w:u w:val="single"/>
              </w:rPr>
              <w:t>  Rate Class </w:t>
            </w:r>
          </w:p>
        </w:tc>
        <w:tc>
          <w:tcPr>
            <w:tcW w:w="1380" w:type="dxa"/>
          </w:tcPr>
          <w:p w:rsidR="007461AB" w:rsidRPr="00B07E2B" w:rsidRDefault="007461AB" w:rsidP="0044764A">
            <w:pPr>
              <w:spacing w:after="0"/>
              <w:jc w:val="center"/>
              <w:rPr>
                <w:rFonts w:eastAsia="Times New Roman"/>
                <w:sz w:val="24"/>
                <w:szCs w:val="24"/>
              </w:rPr>
            </w:pPr>
            <w:r w:rsidRPr="00B07E2B">
              <w:rPr>
                <w:rFonts w:eastAsia="Times New Roman"/>
                <w:b/>
                <w:sz w:val="24"/>
                <w:szCs w:val="24"/>
                <w:u w:val="single"/>
              </w:rPr>
              <w:t>NWIGU</w:t>
            </w:r>
            <w:r w:rsidR="00B07E2B" w:rsidRPr="00B07E2B">
              <w:rPr>
                <w:rFonts w:eastAsia="Times New Roman"/>
                <w:b/>
                <w:sz w:val="24"/>
                <w:szCs w:val="24"/>
                <w:vertAlign w:val="superscript"/>
              </w:rPr>
              <w:t>1</w:t>
            </w:r>
          </w:p>
        </w:tc>
        <w:tc>
          <w:tcPr>
            <w:tcW w:w="1571" w:type="dxa"/>
          </w:tcPr>
          <w:p w:rsidR="007461AB" w:rsidRPr="00B07E2B" w:rsidRDefault="007461AB" w:rsidP="0044764A">
            <w:pPr>
              <w:spacing w:after="0"/>
              <w:jc w:val="center"/>
              <w:rPr>
                <w:rFonts w:eastAsia="Times New Roman"/>
                <w:sz w:val="24"/>
                <w:szCs w:val="24"/>
              </w:rPr>
            </w:pPr>
            <w:r w:rsidRPr="00B07E2B">
              <w:rPr>
                <w:rFonts w:eastAsia="Times New Roman"/>
                <w:b/>
                <w:sz w:val="24"/>
                <w:szCs w:val="24"/>
                <w:u w:val="single"/>
              </w:rPr>
              <w:t>Company</w:t>
            </w:r>
            <w:r w:rsidR="00B07E2B" w:rsidRPr="00B07E2B">
              <w:rPr>
                <w:rFonts w:eastAsia="Times New Roman"/>
                <w:b/>
                <w:sz w:val="24"/>
                <w:szCs w:val="24"/>
                <w:vertAlign w:val="superscript"/>
              </w:rPr>
              <w:t>2</w:t>
            </w:r>
          </w:p>
        </w:tc>
      </w:tr>
      <w:tr w:rsidR="007461AB" w:rsidRPr="00B07E2B" w:rsidTr="0044764A">
        <w:trPr>
          <w:jc w:val="center"/>
        </w:trPr>
        <w:tc>
          <w:tcPr>
            <w:tcW w:w="1608" w:type="dxa"/>
          </w:tcPr>
          <w:p w:rsidR="007461AB" w:rsidRPr="00B07E2B" w:rsidRDefault="007461AB" w:rsidP="0044764A">
            <w:pPr>
              <w:spacing w:after="0"/>
              <w:ind w:left="90"/>
              <w:jc w:val="center"/>
              <w:rPr>
                <w:rFonts w:eastAsia="Times New Roman"/>
                <w:b/>
                <w:sz w:val="24"/>
                <w:szCs w:val="24"/>
                <w:u w:val="single"/>
              </w:rPr>
            </w:pPr>
          </w:p>
        </w:tc>
        <w:tc>
          <w:tcPr>
            <w:tcW w:w="1380" w:type="dxa"/>
          </w:tcPr>
          <w:p w:rsidR="007461AB" w:rsidRPr="00B07E2B" w:rsidRDefault="007461AB" w:rsidP="0044764A">
            <w:pPr>
              <w:spacing w:after="0"/>
              <w:jc w:val="center"/>
              <w:rPr>
                <w:rFonts w:eastAsia="Times New Roman"/>
                <w:b/>
                <w:sz w:val="24"/>
                <w:szCs w:val="24"/>
                <w:u w:val="single"/>
              </w:rPr>
            </w:pPr>
          </w:p>
        </w:tc>
        <w:tc>
          <w:tcPr>
            <w:tcW w:w="1571" w:type="dxa"/>
          </w:tcPr>
          <w:p w:rsidR="007461AB" w:rsidRPr="00B07E2B" w:rsidRDefault="007461AB" w:rsidP="0044764A">
            <w:pPr>
              <w:spacing w:after="0"/>
              <w:jc w:val="center"/>
              <w:rPr>
                <w:rFonts w:eastAsia="Times New Roman"/>
                <w:b/>
                <w:sz w:val="24"/>
                <w:szCs w:val="24"/>
                <w:u w:val="single"/>
              </w:rPr>
            </w:pPr>
          </w:p>
        </w:tc>
      </w:tr>
      <w:tr w:rsidR="007461AB" w:rsidRPr="00B07E2B" w:rsidTr="0044764A">
        <w:trPr>
          <w:jc w:val="center"/>
        </w:trPr>
        <w:tc>
          <w:tcPr>
            <w:tcW w:w="1608" w:type="dxa"/>
          </w:tcPr>
          <w:p w:rsidR="007461AB" w:rsidRPr="00B07E2B" w:rsidRDefault="007461AB" w:rsidP="0044764A">
            <w:pPr>
              <w:spacing w:after="0" w:line="480" w:lineRule="auto"/>
              <w:ind w:left="90"/>
              <w:jc w:val="center"/>
              <w:rPr>
                <w:rFonts w:eastAsia="Times New Roman"/>
                <w:sz w:val="24"/>
                <w:szCs w:val="24"/>
              </w:rPr>
            </w:pPr>
            <w:r w:rsidRPr="00B07E2B">
              <w:rPr>
                <w:rFonts w:eastAsia="Times New Roman"/>
                <w:sz w:val="24"/>
                <w:szCs w:val="24"/>
              </w:rPr>
              <w:t>Schedule 101</w:t>
            </w:r>
          </w:p>
        </w:tc>
        <w:tc>
          <w:tcPr>
            <w:tcW w:w="1380"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0.72</w:t>
            </w:r>
          </w:p>
        </w:tc>
        <w:tc>
          <w:tcPr>
            <w:tcW w:w="1571"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0.84</w:t>
            </w:r>
          </w:p>
        </w:tc>
      </w:tr>
      <w:tr w:rsidR="007461AB" w:rsidRPr="00B07E2B" w:rsidTr="0044764A">
        <w:trPr>
          <w:jc w:val="center"/>
        </w:trPr>
        <w:tc>
          <w:tcPr>
            <w:tcW w:w="1608" w:type="dxa"/>
          </w:tcPr>
          <w:p w:rsidR="007461AB" w:rsidRPr="00B07E2B" w:rsidRDefault="007461AB" w:rsidP="0044764A">
            <w:pPr>
              <w:spacing w:after="0" w:line="480" w:lineRule="auto"/>
              <w:ind w:left="90"/>
              <w:jc w:val="center"/>
              <w:rPr>
                <w:rFonts w:eastAsia="Times New Roman"/>
                <w:sz w:val="24"/>
                <w:szCs w:val="24"/>
              </w:rPr>
            </w:pPr>
            <w:r w:rsidRPr="00B07E2B">
              <w:rPr>
                <w:rFonts w:eastAsia="Times New Roman"/>
                <w:sz w:val="24"/>
                <w:szCs w:val="24"/>
              </w:rPr>
              <w:t>Schedule 111</w:t>
            </w:r>
          </w:p>
        </w:tc>
        <w:tc>
          <w:tcPr>
            <w:tcW w:w="1380"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2.72</w:t>
            </w:r>
          </w:p>
        </w:tc>
        <w:tc>
          <w:tcPr>
            <w:tcW w:w="1571"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1.80</w:t>
            </w:r>
          </w:p>
        </w:tc>
      </w:tr>
      <w:tr w:rsidR="007461AB" w:rsidRPr="00B07E2B" w:rsidTr="0044764A">
        <w:trPr>
          <w:jc w:val="center"/>
        </w:trPr>
        <w:tc>
          <w:tcPr>
            <w:tcW w:w="1608" w:type="dxa"/>
          </w:tcPr>
          <w:p w:rsidR="007461AB" w:rsidRPr="00B07E2B" w:rsidRDefault="007461AB" w:rsidP="0044764A">
            <w:pPr>
              <w:spacing w:after="0" w:line="480" w:lineRule="auto"/>
              <w:ind w:left="90"/>
              <w:jc w:val="center"/>
              <w:rPr>
                <w:rFonts w:eastAsia="Times New Roman"/>
                <w:sz w:val="24"/>
                <w:szCs w:val="24"/>
              </w:rPr>
            </w:pPr>
            <w:r w:rsidRPr="00B07E2B">
              <w:rPr>
                <w:rFonts w:eastAsia="Times New Roman"/>
                <w:sz w:val="24"/>
                <w:szCs w:val="24"/>
              </w:rPr>
              <w:t>Schedule 121</w:t>
            </w:r>
          </w:p>
        </w:tc>
        <w:tc>
          <w:tcPr>
            <w:tcW w:w="1380"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3.05</w:t>
            </w:r>
          </w:p>
        </w:tc>
        <w:tc>
          <w:tcPr>
            <w:tcW w:w="1571"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1.70</w:t>
            </w:r>
          </w:p>
        </w:tc>
      </w:tr>
      <w:tr w:rsidR="007461AB" w:rsidRPr="00B07E2B" w:rsidTr="0044764A">
        <w:trPr>
          <w:jc w:val="center"/>
        </w:trPr>
        <w:tc>
          <w:tcPr>
            <w:tcW w:w="1608" w:type="dxa"/>
          </w:tcPr>
          <w:p w:rsidR="007461AB" w:rsidRPr="00B07E2B" w:rsidRDefault="007461AB" w:rsidP="0044764A">
            <w:pPr>
              <w:spacing w:after="0" w:line="480" w:lineRule="auto"/>
              <w:ind w:left="90"/>
              <w:jc w:val="center"/>
              <w:rPr>
                <w:rFonts w:eastAsia="Times New Roman"/>
                <w:sz w:val="24"/>
                <w:szCs w:val="24"/>
              </w:rPr>
            </w:pPr>
            <w:r w:rsidRPr="00B07E2B">
              <w:rPr>
                <w:rFonts w:eastAsia="Times New Roman"/>
                <w:sz w:val="24"/>
                <w:szCs w:val="24"/>
              </w:rPr>
              <w:t>Schedule 132</w:t>
            </w:r>
          </w:p>
        </w:tc>
        <w:tc>
          <w:tcPr>
            <w:tcW w:w="1380"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1.90</w:t>
            </w:r>
          </w:p>
        </w:tc>
        <w:tc>
          <w:tcPr>
            <w:tcW w:w="1571" w:type="dxa"/>
          </w:tcPr>
          <w:p w:rsidR="007461AB" w:rsidRPr="00B07E2B" w:rsidRDefault="007461AB" w:rsidP="0044764A">
            <w:pPr>
              <w:spacing w:after="0" w:line="480" w:lineRule="auto"/>
              <w:jc w:val="center"/>
              <w:rPr>
                <w:rFonts w:eastAsia="Times New Roman"/>
                <w:sz w:val="24"/>
                <w:szCs w:val="24"/>
              </w:rPr>
            </w:pPr>
            <w:r w:rsidRPr="00B07E2B">
              <w:rPr>
                <w:rFonts w:eastAsia="Times New Roman"/>
                <w:sz w:val="24"/>
                <w:szCs w:val="24"/>
              </w:rPr>
              <w:t>1.37</w:t>
            </w:r>
          </w:p>
        </w:tc>
      </w:tr>
      <w:tr w:rsidR="007461AB" w:rsidRPr="00B07E2B" w:rsidTr="0044764A">
        <w:trPr>
          <w:jc w:val="center"/>
        </w:trPr>
        <w:tc>
          <w:tcPr>
            <w:tcW w:w="1608" w:type="dxa"/>
          </w:tcPr>
          <w:p w:rsidR="007461AB" w:rsidRPr="00B07E2B" w:rsidRDefault="007461AB" w:rsidP="00B07E2B">
            <w:pPr>
              <w:spacing w:after="0"/>
              <w:ind w:left="90"/>
              <w:jc w:val="center"/>
              <w:rPr>
                <w:rFonts w:eastAsia="Times New Roman"/>
                <w:sz w:val="24"/>
                <w:szCs w:val="24"/>
              </w:rPr>
            </w:pPr>
            <w:r w:rsidRPr="00B07E2B">
              <w:rPr>
                <w:rFonts w:eastAsia="Times New Roman"/>
                <w:sz w:val="24"/>
                <w:szCs w:val="24"/>
              </w:rPr>
              <w:t>Schedule 146</w:t>
            </w:r>
          </w:p>
        </w:tc>
        <w:tc>
          <w:tcPr>
            <w:tcW w:w="1380" w:type="dxa"/>
          </w:tcPr>
          <w:p w:rsidR="007461AB" w:rsidRPr="00B07E2B" w:rsidRDefault="007461AB" w:rsidP="00B07E2B">
            <w:pPr>
              <w:spacing w:after="0"/>
              <w:jc w:val="center"/>
              <w:rPr>
                <w:rFonts w:eastAsia="Times New Roman"/>
                <w:sz w:val="24"/>
                <w:szCs w:val="24"/>
              </w:rPr>
            </w:pPr>
            <w:r w:rsidRPr="00B07E2B">
              <w:rPr>
                <w:rFonts w:eastAsia="Times New Roman"/>
                <w:sz w:val="24"/>
                <w:szCs w:val="24"/>
              </w:rPr>
              <w:t>1.69</w:t>
            </w:r>
          </w:p>
        </w:tc>
        <w:tc>
          <w:tcPr>
            <w:tcW w:w="1571" w:type="dxa"/>
          </w:tcPr>
          <w:p w:rsidR="007461AB" w:rsidRPr="00B07E2B" w:rsidRDefault="007461AB" w:rsidP="00B07E2B">
            <w:pPr>
              <w:spacing w:after="0"/>
              <w:jc w:val="center"/>
              <w:rPr>
                <w:rFonts w:eastAsia="Times New Roman"/>
                <w:sz w:val="24"/>
                <w:szCs w:val="24"/>
              </w:rPr>
            </w:pPr>
            <w:r w:rsidRPr="00B07E2B">
              <w:rPr>
                <w:rFonts w:eastAsia="Times New Roman"/>
                <w:sz w:val="24"/>
                <w:szCs w:val="24"/>
              </w:rPr>
              <w:t>0.82</w:t>
            </w:r>
          </w:p>
        </w:tc>
      </w:tr>
      <w:tr w:rsidR="00B07E2B" w:rsidRPr="00B07E2B" w:rsidTr="005F67BD">
        <w:trPr>
          <w:jc w:val="center"/>
        </w:trPr>
        <w:tc>
          <w:tcPr>
            <w:tcW w:w="4559" w:type="dxa"/>
            <w:gridSpan w:val="3"/>
          </w:tcPr>
          <w:p w:rsidR="00B07E2B" w:rsidRPr="00B07E2B" w:rsidRDefault="00B07E2B" w:rsidP="00B07E2B">
            <w:pPr>
              <w:spacing w:after="0"/>
              <w:ind w:left="156"/>
              <w:rPr>
                <w:rFonts w:eastAsia="Times New Roman"/>
                <w:sz w:val="24"/>
                <w:szCs w:val="24"/>
              </w:rPr>
            </w:pPr>
            <w:r w:rsidRPr="00B07E2B">
              <w:rPr>
                <w:rFonts w:eastAsia="Times New Roman"/>
                <w:sz w:val="24"/>
                <w:szCs w:val="24"/>
              </w:rPr>
              <w:t>_____________</w:t>
            </w:r>
          </w:p>
          <w:p w:rsidR="00B07E2B" w:rsidRPr="00B07E2B" w:rsidRDefault="00B07E2B" w:rsidP="00B07E2B">
            <w:pPr>
              <w:spacing w:after="0"/>
              <w:ind w:left="156"/>
              <w:rPr>
                <w:rFonts w:eastAsia="Times New Roman"/>
              </w:rPr>
            </w:pPr>
            <w:r w:rsidRPr="00B07E2B">
              <w:rPr>
                <w:rFonts w:eastAsia="Times New Roman"/>
              </w:rPr>
              <w:t>Sources:</w:t>
            </w:r>
          </w:p>
          <w:p w:rsidR="00B07E2B" w:rsidRDefault="00B07E2B" w:rsidP="00B07E2B">
            <w:pPr>
              <w:spacing w:after="0"/>
              <w:ind w:left="246" w:hanging="90"/>
              <w:rPr>
                <w:rFonts w:eastAsia="Times New Roman"/>
              </w:rPr>
            </w:pPr>
            <w:r w:rsidRPr="00B07E2B">
              <w:rPr>
                <w:rFonts w:eastAsia="Times New Roman"/>
                <w:vertAlign w:val="superscript"/>
              </w:rPr>
              <w:t>1</w:t>
            </w:r>
            <w:r w:rsidRPr="00B07E2B">
              <w:rPr>
                <w:rFonts w:eastAsia="Times New Roman"/>
              </w:rPr>
              <w:t>Response T</w:t>
            </w:r>
            <w:r>
              <w:rPr>
                <w:rFonts w:eastAsia="Times New Roman"/>
              </w:rPr>
              <w:t>estimony workpapers of Brian C. </w:t>
            </w:r>
            <w:r w:rsidRPr="00B07E2B">
              <w:rPr>
                <w:rFonts w:eastAsia="Times New Roman"/>
              </w:rPr>
              <w:t>Collins, Filename “Exhibit Nos</w:t>
            </w:r>
            <w:proofErr w:type="gramStart"/>
            <w:r w:rsidRPr="00B07E2B">
              <w:rPr>
                <w:rFonts w:eastAsia="Times New Roman"/>
              </w:rPr>
              <w:t xml:space="preserve">. </w:t>
            </w:r>
            <w:proofErr w:type="gramEnd"/>
            <w:r w:rsidRPr="00B07E2B">
              <w:rPr>
                <w:rFonts w:eastAsia="Times New Roman"/>
              </w:rPr>
              <w:t>BCC-3, BCC-4, BCC-5.xlsm</w:t>
            </w:r>
            <w:r>
              <w:rPr>
                <w:rFonts w:eastAsia="Times New Roman"/>
              </w:rPr>
              <w:t>”, “Summary” tab, Row 50.</w:t>
            </w:r>
          </w:p>
          <w:p w:rsidR="00B07E2B" w:rsidRDefault="00B07E2B" w:rsidP="00B07E2B">
            <w:pPr>
              <w:spacing w:after="0"/>
              <w:ind w:left="246" w:hanging="90"/>
              <w:rPr>
                <w:rFonts w:eastAsia="Times New Roman"/>
              </w:rPr>
            </w:pPr>
            <w:r>
              <w:rPr>
                <w:rFonts w:eastAsia="Times New Roman"/>
                <w:vertAlign w:val="superscript"/>
              </w:rPr>
              <w:t>2</w:t>
            </w:r>
            <w:r>
              <w:rPr>
                <w:rFonts w:eastAsia="Times New Roman"/>
              </w:rPr>
              <w:t>Avista response to Data Request NWIGU</w:t>
            </w:r>
            <w:r>
              <w:rPr>
                <w:rFonts w:eastAsia="Times New Roman"/>
              </w:rPr>
              <w:noBreakHyphen/>
              <w:t>2.1:  “NWIGU_DR_2.1 Attachment A.xlsm”, “Summary” tab, Row 50.</w:t>
            </w:r>
          </w:p>
          <w:p w:rsidR="00B07E2B" w:rsidRPr="00B07E2B" w:rsidRDefault="00B07E2B" w:rsidP="00B07E2B">
            <w:pPr>
              <w:spacing w:after="0"/>
              <w:ind w:left="246" w:hanging="90"/>
              <w:rPr>
                <w:rFonts w:eastAsia="Times New Roman"/>
                <w:sz w:val="24"/>
                <w:szCs w:val="24"/>
              </w:rPr>
            </w:pPr>
          </w:p>
        </w:tc>
      </w:tr>
    </w:tbl>
    <w:p w:rsidR="007461AB" w:rsidRDefault="007461AB" w:rsidP="007461AB">
      <w:pPr>
        <w:suppressLineNumbers/>
        <w:spacing w:after="0"/>
        <w:ind w:left="720" w:hanging="720"/>
        <w:jc w:val="both"/>
        <w:rPr>
          <w:rFonts w:eastAsia="Times New Roman"/>
          <w:szCs w:val="24"/>
        </w:rPr>
      </w:pPr>
    </w:p>
    <w:p w:rsidR="007461AB" w:rsidRPr="003E1312" w:rsidRDefault="007461AB" w:rsidP="007461AB">
      <w:pPr>
        <w:tabs>
          <w:tab w:val="left" w:pos="1440"/>
          <w:tab w:val="left" w:pos="5472"/>
        </w:tabs>
        <w:spacing w:after="0" w:line="480" w:lineRule="auto"/>
        <w:ind w:left="720" w:hanging="720"/>
        <w:jc w:val="both"/>
        <w:rPr>
          <w:rFonts w:eastAsia="Times New Roman"/>
          <w:szCs w:val="24"/>
        </w:rPr>
      </w:pPr>
      <w:r>
        <w:rPr>
          <w:rFonts w:eastAsia="Times New Roman"/>
          <w:szCs w:val="24"/>
        </w:rPr>
        <w:lastRenderedPageBreak/>
        <w:tab/>
      </w:r>
      <w:r>
        <w:rPr>
          <w:rFonts w:eastAsia="Times New Roman"/>
          <w:szCs w:val="24"/>
        </w:rPr>
        <w:tab/>
        <w:t>Because I have allocated distribution main costs on both a coincident demand and customer basis to better reflect cost causation, my study results indicate that the subsidy to the Schedule 101 class is larger than that indicated by the Company’s class cost of service study.</w:t>
      </w:r>
    </w:p>
    <w:p w:rsidR="007461AB" w:rsidRPr="00272C05" w:rsidRDefault="007461AB" w:rsidP="007461AB">
      <w:pPr>
        <w:keepNext/>
        <w:autoSpaceDE w:val="0"/>
        <w:autoSpaceDN w:val="0"/>
        <w:adjustRightInd w:val="0"/>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DOES THIS CONCLUDE YOUR </w:t>
      </w:r>
      <w:r>
        <w:rPr>
          <w:rFonts w:eastAsia="Times New Roman"/>
          <w:b/>
          <w:szCs w:val="24"/>
        </w:rPr>
        <w:t>CROSS-ANSWERING</w:t>
      </w:r>
      <w:r w:rsidRPr="00272C05">
        <w:rPr>
          <w:rFonts w:eastAsia="Times New Roman"/>
          <w:b/>
          <w:szCs w:val="24"/>
        </w:rPr>
        <w:t xml:space="preserve"> TESTIMONY?</w:t>
      </w:r>
    </w:p>
    <w:p w:rsidR="007461AB" w:rsidRPr="0001004B" w:rsidRDefault="007461AB" w:rsidP="007461AB">
      <w:pPr>
        <w:keepNext/>
        <w:tabs>
          <w:tab w:val="left" w:pos="1440"/>
          <w:tab w:val="left" w:pos="5472"/>
        </w:tabs>
        <w:spacing w:after="0" w:line="480" w:lineRule="auto"/>
        <w:ind w:left="720" w:hanging="720"/>
        <w:jc w:val="both"/>
        <w:rPr>
          <w:rFonts w:eastAsia="Times New Roman"/>
          <w:szCs w:val="24"/>
        </w:rPr>
      </w:pPr>
      <w:r w:rsidRPr="00272C05">
        <w:rPr>
          <w:rFonts w:eastAsia="Times New Roman"/>
          <w:b/>
          <w:szCs w:val="24"/>
        </w:rPr>
        <w:t>A.</w:t>
      </w:r>
      <w:r>
        <w:rPr>
          <w:rFonts w:eastAsia="Times New Roman"/>
          <w:szCs w:val="24"/>
        </w:rPr>
        <w:tab/>
        <w:t>Yes, it does.</w:t>
      </w:r>
    </w:p>
    <w:p w:rsidR="00E06DB4" w:rsidRPr="007461AB" w:rsidRDefault="007F5943" w:rsidP="007461AB">
      <w:pPr>
        <w:suppressLineNumbers/>
        <w:tabs>
          <w:tab w:val="left" w:pos="1440"/>
          <w:tab w:val="left" w:pos="5472"/>
        </w:tabs>
        <w:spacing w:after="0" w:line="480" w:lineRule="auto"/>
        <w:ind w:left="720" w:hanging="720"/>
        <w:jc w:val="both"/>
        <w:rPr>
          <w:rFonts w:eastAsia="Times New Roman" w:cs="Times New Roman"/>
          <w:sz w:val="12"/>
          <w:szCs w:val="12"/>
        </w:rPr>
      </w:pPr>
      <w:fldSimple w:instr=" FILENAME  \* Lower \p  \* MERGEFORMAT ">
        <w:r w:rsidR="007461AB" w:rsidRPr="0057153D">
          <w:rPr>
            <w:noProof/>
            <w:sz w:val="12"/>
            <w:szCs w:val="12"/>
          </w:rPr>
          <w:t>\\doc\shares\prolawdocs\sdw\10223\testimony-bai\304505.docx</w:t>
        </w:r>
      </w:fldSimple>
    </w:p>
    <w:sectPr w:rsidR="00E06DB4" w:rsidRPr="007461AB" w:rsidSect="00E06DB4">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DFD" w:rsidRDefault="00274DFD">
      <w:pPr>
        <w:spacing w:after="0"/>
      </w:pPr>
      <w:r>
        <w:separator/>
      </w:r>
    </w:p>
  </w:endnote>
  <w:endnote w:type="continuationSeparator" w:id="0">
    <w:p w:rsidR="00274DFD" w:rsidRDefault="00274D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FD" w:rsidRDefault="00274DFD">
    <w:pPr>
      <w:pStyle w:val="Footer"/>
      <w:tabs>
        <w:tab w:val="right" w:pos="9334"/>
      </w:tabs>
    </w:pPr>
    <w:r>
      <w:t>Brian C. Collins Cross-Answering Testimony</w:t>
    </w:r>
    <w:r>
      <w:tab/>
    </w:r>
    <w:r>
      <w:tab/>
      <w:t>Exhibit No</w:t>
    </w:r>
    <w:proofErr w:type="gramStart"/>
    <w:r>
      <w:t xml:space="preserve">. </w:t>
    </w:r>
    <w:proofErr w:type="gramEnd"/>
    <w:r>
      <w:t>BCC-6T</w:t>
    </w:r>
  </w:p>
  <w:p w:rsidR="00274DFD" w:rsidRDefault="00274DFD">
    <w:pPr>
      <w:pStyle w:val="Footer"/>
      <w:tabs>
        <w:tab w:val="right" w:pos="9334"/>
      </w:tabs>
    </w:pPr>
    <w:r>
      <w:rPr>
        <w:rFonts w:eastAsia="Calibri" w:cs="Times New Roman"/>
      </w:rPr>
      <w:t>Dockets</w:t>
    </w:r>
    <w:r>
      <w:rPr>
        <w:rFonts w:eastAsia="Calibri" w:cs="Times New Roman"/>
        <w:smallCaps/>
      </w:rPr>
      <w:t xml:space="preserve"> </w:t>
    </w:r>
    <w:r>
      <w:rPr>
        <w:rFonts w:eastAsia="Times New Roman" w:cs="Times New Roman"/>
        <w:smallCaps/>
        <w:szCs w:val="20"/>
      </w:rPr>
      <w:t xml:space="preserve">UE-160228 </w:t>
    </w:r>
    <w:r>
      <w:rPr>
        <w:rFonts w:eastAsia="Times New Roman" w:cs="Times New Roman"/>
        <w:szCs w:val="20"/>
      </w:rPr>
      <w:t>and</w:t>
    </w:r>
    <w:r>
      <w:rPr>
        <w:rFonts w:eastAsia="Times New Roman" w:cs="Times New Roman"/>
        <w:smallCaps/>
        <w:szCs w:val="20"/>
      </w:rPr>
      <w:t xml:space="preserve"> UG-160229 (</w:t>
    </w:r>
    <w:r>
      <w:rPr>
        <w:rFonts w:eastAsia="Times New Roman" w:cs="Times New Roman"/>
        <w:szCs w:val="20"/>
      </w:rPr>
      <w:t>Cons.)</w:t>
    </w:r>
    <w:r>
      <w:tab/>
    </w:r>
    <w:r>
      <w:tab/>
      <w:t xml:space="preserve">Page </w:t>
    </w:r>
    <w:r w:rsidR="007F5943">
      <w:rPr>
        <w:rStyle w:val="PageNumber"/>
      </w:rPr>
      <w:fldChar w:fldCharType="begin"/>
    </w:r>
    <w:r>
      <w:rPr>
        <w:rStyle w:val="PageNumber"/>
      </w:rPr>
      <w:instrText xml:space="preserve"> PAGE </w:instrText>
    </w:r>
    <w:r w:rsidR="007F5943">
      <w:rPr>
        <w:rStyle w:val="PageNumber"/>
      </w:rPr>
      <w:fldChar w:fldCharType="separate"/>
    </w:r>
    <w:r w:rsidR="006640E3">
      <w:rPr>
        <w:rStyle w:val="PageNumber"/>
        <w:noProof/>
      </w:rPr>
      <w:t>3</w:t>
    </w:r>
    <w:r w:rsidR="007F594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DFD" w:rsidRDefault="00274DFD">
      <w:pPr>
        <w:spacing w:after="0"/>
      </w:pPr>
      <w:r>
        <w:separator/>
      </w:r>
    </w:p>
  </w:footnote>
  <w:footnote w:type="continuationSeparator" w:id="0">
    <w:p w:rsidR="00274DFD" w:rsidRDefault="00274DFD">
      <w:pPr>
        <w:spacing w:after="0"/>
      </w:pPr>
      <w:r>
        <w:continuationSeparator/>
      </w:r>
    </w:p>
  </w:footnote>
  <w:footnote w:id="1">
    <w:p w:rsidR="00130AA5" w:rsidRDefault="00130AA5" w:rsidP="00130AA5">
      <w:pPr>
        <w:pStyle w:val="FootnoteText"/>
        <w:ind w:firstLine="0"/>
      </w:pPr>
      <w:r>
        <w:rPr>
          <w:rStyle w:val="FootnoteReference"/>
        </w:rPr>
        <w:footnoteRef/>
      </w:r>
      <w:r>
        <w:t>Exhibit No</w:t>
      </w:r>
      <w:proofErr w:type="gramStart"/>
      <w:r>
        <w:t xml:space="preserve">. </w:t>
      </w:r>
      <w:proofErr w:type="gramEnd"/>
      <w:r>
        <w:t>JLB-1T, revised August 24,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AB" w:rsidRDefault="007461AB">
    <w:pPr>
      <w:autoSpaceDE w:val="0"/>
      <w:autoSpaceDN w:val="0"/>
      <w:adjustRightInd w:val="0"/>
      <w:spacing w:after="0"/>
      <w:jc w:val="right"/>
      <w:rPr>
        <w:rFonts w:eastAsia="Times New Roman" w:cs="Times New Roman"/>
        <w:bCs/>
        <w:szCs w:val="24"/>
      </w:rPr>
    </w:pPr>
    <w:r>
      <w:rPr>
        <w:rFonts w:eastAsia="Times New Roman" w:cs="Times New Roman"/>
        <w:bCs/>
        <w:szCs w:val="24"/>
      </w:rPr>
      <w:t>Exhibit No</w:t>
    </w:r>
    <w:proofErr w:type="gramStart"/>
    <w:r>
      <w:rPr>
        <w:rFonts w:eastAsia="Times New Roman" w:cs="Times New Roman"/>
        <w:bCs/>
        <w:szCs w:val="24"/>
      </w:rPr>
      <w:t xml:space="preserve">. </w:t>
    </w:r>
    <w:proofErr w:type="gramEnd"/>
    <w:r>
      <w:rPr>
        <w:rFonts w:eastAsia="Times New Roman" w:cs="Times New Roman"/>
        <w:bCs/>
        <w:szCs w:val="24"/>
      </w:rPr>
      <w:t>BCC-6T</w:t>
    </w:r>
  </w:p>
  <w:p w:rsidR="007461AB" w:rsidRDefault="007461AB">
    <w:pPr>
      <w:spacing w:after="0"/>
      <w:jc w:val="right"/>
      <w:rPr>
        <w:rFonts w:eastAsia="Times New Roman" w:cs="Times New Roman"/>
        <w:szCs w:val="24"/>
      </w:rPr>
    </w:pPr>
    <w:r>
      <w:rPr>
        <w:rFonts w:eastAsia="Times New Roman" w:cs="Times New Roman"/>
        <w:bCs/>
        <w:szCs w:val="24"/>
      </w:rPr>
      <w:t>Dockets UE-160228/UG-160229</w:t>
    </w:r>
  </w:p>
  <w:p w:rsidR="007461AB" w:rsidRDefault="007461AB">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FD" w:rsidRDefault="00274DFD">
    <w:pPr>
      <w:autoSpaceDE w:val="0"/>
      <w:autoSpaceDN w:val="0"/>
      <w:adjustRightInd w:val="0"/>
      <w:spacing w:after="0"/>
      <w:jc w:val="right"/>
      <w:rPr>
        <w:rFonts w:eastAsia="Times New Roman" w:cs="Times New Roman"/>
        <w:bCs/>
        <w:szCs w:val="24"/>
      </w:rPr>
    </w:pPr>
    <w:r>
      <w:rPr>
        <w:rFonts w:eastAsia="Times New Roman" w:cs="Times New Roman"/>
        <w:bCs/>
        <w:szCs w:val="24"/>
      </w:rPr>
      <w:t>Exhibit No</w:t>
    </w:r>
    <w:proofErr w:type="gramStart"/>
    <w:r>
      <w:rPr>
        <w:rFonts w:eastAsia="Times New Roman" w:cs="Times New Roman"/>
        <w:bCs/>
        <w:szCs w:val="24"/>
      </w:rPr>
      <w:t xml:space="preserve">. </w:t>
    </w:r>
    <w:proofErr w:type="gramEnd"/>
    <w:r>
      <w:rPr>
        <w:rFonts w:eastAsia="Times New Roman" w:cs="Times New Roman"/>
        <w:bCs/>
        <w:szCs w:val="24"/>
      </w:rPr>
      <w:t>BCC-6T</w:t>
    </w:r>
  </w:p>
  <w:p w:rsidR="00274DFD" w:rsidRDefault="00274DFD">
    <w:pPr>
      <w:spacing w:after="0"/>
      <w:jc w:val="right"/>
      <w:rPr>
        <w:rFonts w:eastAsia="Times New Roman" w:cs="Times New Roman"/>
        <w:szCs w:val="24"/>
      </w:rPr>
    </w:pPr>
    <w:r>
      <w:rPr>
        <w:rFonts w:eastAsia="Times New Roman" w:cs="Times New Roman"/>
        <w:bCs/>
        <w:szCs w:val="24"/>
      </w:rPr>
      <w:t>Dockets UE-160228/UG-160229</w:t>
    </w:r>
  </w:p>
  <w:p w:rsidR="00274DFD" w:rsidRDefault="00274DFD">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p w:rsidR="00274DFD" w:rsidRDefault="00274D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A62127C"/>
    <w:multiLevelType w:val="hybridMultilevel"/>
    <w:tmpl w:val="F9DC2ED2"/>
    <w:lvl w:ilvl="0" w:tplc="1F3A391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D7E86"/>
    <w:multiLevelType w:val="hybridMultilevel"/>
    <w:tmpl w:val="566007D0"/>
    <w:lvl w:ilvl="0" w:tplc="FA5AD4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7024F8"/>
    <w:multiLevelType w:val="hybridMultilevel"/>
    <w:tmpl w:val="E12A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0B203C"/>
    <w:multiLevelType w:val="hybridMultilevel"/>
    <w:tmpl w:val="B8B2FB28"/>
    <w:lvl w:ilvl="0" w:tplc="1F3A39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10"/>
  </w:num>
  <w:num w:numId="6">
    <w:abstractNumId w:val="0"/>
  </w:num>
  <w:num w:numId="7">
    <w:abstractNumId w:val="8"/>
  </w:num>
  <w:num w:numId="8">
    <w:abstractNumId w:val="9"/>
  </w:num>
  <w:num w:numId="9">
    <w:abstractNumId w:val="4"/>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footnotePr>
    <w:footnote w:id="-1"/>
    <w:footnote w:id="0"/>
  </w:footnotePr>
  <w:endnotePr>
    <w:endnote w:id="-1"/>
    <w:endnote w:id="0"/>
  </w:endnotePr>
  <w:compat/>
  <w:rsids>
    <w:rsidRoot w:val="00E06DB4"/>
    <w:rsid w:val="00083E5A"/>
    <w:rsid w:val="000D33DA"/>
    <w:rsid w:val="000E7BEE"/>
    <w:rsid w:val="00130AA5"/>
    <w:rsid w:val="0013596F"/>
    <w:rsid w:val="00145892"/>
    <w:rsid w:val="001525E5"/>
    <w:rsid w:val="0016069A"/>
    <w:rsid w:val="00176617"/>
    <w:rsid w:val="001827E3"/>
    <w:rsid w:val="00195A08"/>
    <w:rsid w:val="001A669C"/>
    <w:rsid w:val="001D16D9"/>
    <w:rsid w:val="002252A4"/>
    <w:rsid w:val="00237385"/>
    <w:rsid w:val="00274DFD"/>
    <w:rsid w:val="00286696"/>
    <w:rsid w:val="002F12FE"/>
    <w:rsid w:val="003049C1"/>
    <w:rsid w:val="003102B3"/>
    <w:rsid w:val="00351945"/>
    <w:rsid w:val="003B2EAA"/>
    <w:rsid w:val="003C185F"/>
    <w:rsid w:val="003C4B4D"/>
    <w:rsid w:val="003E1312"/>
    <w:rsid w:val="003F5DAD"/>
    <w:rsid w:val="00470157"/>
    <w:rsid w:val="004E4563"/>
    <w:rsid w:val="004F18BE"/>
    <w:rsid w:val="00504466"/>
    <w:rsid w:val="005351AF"/>
    <w:rsid w:val="0057153D"/>
    <w:rsid w:val="005D31F5"/>
    <w:rsid w:val="00630D55"/>
    <w:rsid w:val="00645D1D"/>
    <w:rsid w:val="00653BBE"/>
    <w:rsid w:val="006640E3"/>
    <w:rsid w:val="00674D2D"/>
    <w:rsid w:val="006D2814"/>
    <w:rsid w:val="006E648F"/>
    <w:rsid w:val="00733452"/>
    <w:rsid w:val="007461AB"/>
    <w:rsid w:val="007526FE"/>
    <w:rsid w:val="00764AF1"/>
    <w:rsid w:val="00784256"/>
    <w:rsid w:val="007D71D8"/>
    <w:rsid w:val="007F5943"/>
    <w:rsid w:val="0080233D"/>
    <w:rsid w:val="00806A86"/>
    <w:rsid w:val="00807160"/>
    <w:rsid w:val="0083080D"/>
    <w:rsid w:val="00861C88"/>
    <w:rsid w:val="0088184E"/>
    <w:rsid w:val="008906AC"/>
    <w:rsid w:val="0089283B"/>
    <w:rsid w:val="008D406B"/>
    <w:rsid w:val="008E3507"/>
    <w:rsid w:val="00913D30"/>
    <w:rsid w:val="00925840"/>
    <w:rsid w:val="00955992"/>
    <w:rsid w:val="00965EB6"/>
    <w:rsid w:val="00966065"/>
    <w:rsid w:val="009804EA"/>
    <w:rsid w:val="00987C1D"/>
    <w:rsid w:val="009E153C"/>
    <w:rsid w:val="00A04451"/>
    <w:rsid w:val="00A40959"/>
    <w:rsid w:val="00AA123B"/>
    <w:rsid w:val="00AF525B"/>
    <w:rsid w:val="00B07E2B"/>
    <w:rsid w:val="00B31802"/>
    <w:rsid w:val="00B7630C"/>
    <w:rsid w:val="00B84264"/>
    <w:rsid w:val="00BA4D87"/>
    <w:rsid w:val="00BA6FF0"/>
    <w:rsid w:val="00BB23B2"/>
    <w:rsid w:val="00BD65C4"/>
    <w:rsid w:val="00BE5C83"/>
    <w:rsid w:val="00C13457"/>
    <w:rsid w:val="00C32704"/>
    <w:rsid w:val="00C61D8A"/>
    <w:rsid w:val="00C62A04"/>
    <w:rsid w:val="00C91738"/>
    <w:rsid w:val="00CC0F88"/>
    <w:rsid w:val="00CC3E18"/>
    <w:rsid w:val="00D11596"/>
    <w:rsid w:val="00D54531"/>
    <w:rsid w:val="00D54EED"/>
    <w:rsid w:val="00D75114"/>
    <w:rsid w:val="00DE7A6E"/>
    <w:rsid w:val="00E06DB4"/>
    <w:rsid w:val="00E44D05"/>
    <w:rsid w:val="00E54F6C"/>
    <w:rsid w:val="00E77714"/>
    <w:rsid w:val="00EB7103"/>
    <w:rsid w:val="00ED70B5"/>
    <w:rsid w:val="00F07ED6"/>
    <w:rsid w:val="00F55EEA"/>
    <w:rsid w:val="00F86783"/>
    <w:rsid w:val="00F93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B4"/>
    <w:pPr>
      <w:spacing w:after="240" w:line="240" w:lineRule="auto"/>
    </w:pPr>
    <w:rPr>
      <w:rFonts w:ascii="Times New Roman" w:hAnsi="Times New Roman"/>
      <w:sz w:val="24"/>
    </w:rPr>
  </w:style>
  <w:style w:type="paragraph" w:styleId="Heading1">
    <w:name w:val="heading 1"/>
    <w:basedOn w:val="Normal"/>
    <w:next w:val="Normal"/>
    <w:link w:val="Heading1Char"/>
    <w:qFormat/>
    <w:rsid w:val="00E06DB4"/>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E06DB4"/>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E06DB4"/>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E06DB4"/>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06DB4"/>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E06DB4"/>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E06DB4"/>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E06DB4"/>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E06DB4"/>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B4"/>
    <w:pPr>
      <w:tabs>
        <w:tab w:val="center" w:pos="4680"/>
        <w:tab w:val="right" w:pos="9360"/>
      </w:tabs>
      <w:spacing w:after="0"/>
    </w:pPr>
  </w:style>
  <w:style w:type="character" w:customStyle="1" w:styleId="HeaderChar">
    <w:name w:val="Header Char"/>
    <w:basedOn w:val="DefaultParagraphFont"/>
    <w:link w:val="Header"/>
    <w:uiPriority w:val="99"/>
    <w:rsid w:val="00E06DB4"/>
    <w:rPr>
      <w:rFonts w:ascii="Times New Roman" w:hAnsi="Times New Roman"/>
      <w:sz w:val="24"/>
    </w:rPr>
  </w:style>
  <w:style w:type="paragraph" w:styleId="Footer">
    <w:name w:val="footer"/>
    <w:basedOn w:val="Normal"/>
    <w:link w:val="FooterChar"/>
    <w:unhideWhenUsed/>
    <w:rsid w:val="00E06DB4"/>
    <w:pPr>
      <w:tabs>
        <w:tab w:val="center" w:pos="4680"/>
        <w:tab w:val="right" w:pos="9360"/>
      </w:tabs>
      <w:spacing w:after="0"/>
    </w:pPr>
  </w:style>
  <w:style w:type="character" w:customStyle="1" w:styleId="FooterChar">
    <w:name w:val="Footer Char"/>
    <w:basedOn w:val="DefaultParagraphFont"/>
    <w:link w:val="Footer"/>
    <w:rsid w:val="00E06DB4"/>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qFormat/>
    <w:rsid w:val="00E06DB4"/>
    <w:pPr>
      <w:spacing w:after="0"/>
      <w:ind w:left="720" w:hanging="7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E06DB4"/>
    <w:rPr>
      <w:rFonts w:ascii="Times New Roman" w:hAnsi="Times New Roman"/>
      <w:szCs w:val="20"/>
    </w:rPr>
  </w:style>
  <w:style w:type="character" w:styleId="PageNumber">
    <w:name w:val="page number"/>
    <w:basedOn w:val="DefaultParagraphFont"/>
    <w:semiHidden/>
    <w:rsid w:val="00E06DB4"/>
  </w:style>
  <w:style w:type="character" w:styleId="FootnoteReference">
    <w:name w:val="footnote reference"/>
    <w:aliases w:val="o,fr,Style 3,Style 21,Style 12"/>
    <w:basedOn w:val="DefaultParagraphFont"/>
    <w:rsid w:val="00E06DB4"/>
    <w:rPr>
      <w:vertAlign w:val="superscript"/>
    </w:rPr>
  </w:style>
  <w:style w:type="character" w:styleId="LineNumber">
    <w:name w:val="line number"/>
    <w:basedOn w:val="DefaultParagraphFont"/>
    <w:unhideWhenUsed/>
    <w:rsid w:val="00E06DB4"/>
  </w:style>
  <w:style w:type="paragraph" w:styleId="ListParagraph">
    <w:name w:val="List Paragraph"/>
    <w:basedOn w:val="Normal"/>
    <w:uiPriority w:val="34"/>
    <w:qFormat/>
    <w:rsid w:val="00E06DB4"/>
    <w:pPr>
      <w:ind w:left="720"/>
      <w:contextualSpacing/>
    </w:pPr>
  </w:style>
  <w:style w:type="character" w:styleId="CommentReference">
    <w:name w:val="annotation reference"/>
    <w:basedOn w:val="DefaultParagraphFont"/>
    <w:uiPriority w:val="99"/>
    <w:semiHidden/>
    <w:unhideWhenUsed/>
    <w:rsid w:val="00E06DB4"/>
    <w:rPr>
      <w:sz w:val="16"/>
      <w:szCs w:val="16"/>
    </w:rPr>
  </w:style>
  <w:style w:type="paragraph" w:styleId="CommentText">
    <w:name w:val="annotation text"/>
    <w:basedOn w:val="Normal"/>
    <w:link w:val="CommentTextChar"/>
    <w:uiPriority w:val="99"/>
    <w:semiHidden/>
    <w:unhideWhenUsed/>
    <w:rsid w:val="00E06DB4"/>
    <w:rPr>
      <w:sz w:val="20"/>
      <w:szCs w:val="20"/>
    </w:rPr>
  </w:style>
  <w:style w:type="character" w:customStyle="1" w:styleId="CommentTextChar">
    <w:name w:val="Comment Text Char"/>
    <w:basedOn w:val="DefaultParagraphFont"/>
    <w:link w:val="CommentText"/>
    <w:uiPriority w:val="99"/>
    <w:semiHidden/>
    <w:rsid w:val="00E06D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6DB4"/>
    <w:rPr>
      <w:b/>
      <w:bCs/>
    </w:rPr>
  </w:style>
  <w:style w:type="character" w:customStyle="1" w:styleId="CommentSubjectChar">
    <w:name w:val="Comment Subject Char"/>
    <w:basedOn w:val="CommentTextChar"/>
    <w:link w:val="CommentSubject"/>
    <w:uiPriority w:val="99"/>
    <w:semiHidden/>
    <w:rsid w:val="00E06DB4"/>
    <w:rPr>
      <w:rFonts w:ascii="Times New Roman" w:hAnsi="Times New Roman"/>
      <w:b/>
      <w:bCs/>
      <w:sz w:val="20"/>
      <w:szCs w:val="20"/>
    </w:rPr>
  </w:style>
  <w:style w:type="paragraph" w:styleId="BalloonText">
    <w:name w:val="Balloon Text"/>
    <w:basedOn w:val="Normal"/>
    <w:link w:val="BalloonTextChar"/>
    <w:uiPriority w:val="99"/>
    <w:semiHidden/>
    <w:unhideWhenUsed/>
    <w:rsid w:val="00E06D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B4"/>
    <w:rPr>
      <w:rFonts w:ascii="Tahoma" w:hAnsi="Tahoma" w:cs="Tahoma"/>
      <w:sz w:val="16"/>
      <w:szCs w:val="16"/>
    </w:rPr>
  </w:style>
  <w:style w:type="paragraph" w:styleId="TOC3">
    <w:name w:val="toc 3"/>
    <w:basedOn w:val="Normal"/>
    <w:next w:val="Normal"/>
    <w:autoRedefine/>
    <w:unhideWhenUsed/>
    <w:qFormat/>
    <w:rsid w:val="00E06DB4"/>
    <w:pPr>
      <w:spacing w:after="100"/>
      <w:ind w:left="480"/>
    </w:pPr>
  </w:style>
  <w:style w:type="character" w:styleId="Hyperlink">
    <w:name w:val="Hyperlink"/>
    <w:basedOn w:val="DefaultParagraphFont"/>
    <w:uiPriority w:val="99"/>
    <w:unhideWhenUsed/>
    <w:rsid w:val="00E06DB4"/>
    <w:rPr>
      <w:color w:val="0000FF" w:themeColor="hyperlink"/>
      <w:u w:val="single"/>
    </w:rPr>
  </w:style>
  <w:style w:type="character" w:customStyle="1" w:styleId="Heading1Char">
    <w:name w:val="Heading 1 Char"/>
    <w:basedOn w:val="DefaultParagraphFont"/>
    <w:link w:val="Heading1"/>
    <w:rsid w:val="00E06DB4"/>
    <w:rPr>
      <w:rFonts w:ascii="Times New Roman" w:eastAsia="Times New Roman" w:hAnsi="Times New Roman" w:cs="Times New Roman"/>
      <w:b/>
      <w:bCs/>
      <w:color w:val="000000"/>
      <w:sz w:val="24"/>
      <w:szCs w:val="24"/>
      <w:u w:val="single"/>
    </w:rPr>
  </w:style>
  <w:style w:type="paragraph" w:styleId="TOC1">
    <w:name w:val="toc 1"/>
    <w:basedOn w:val="Normal"/>
    <w:next w:val="Normal"/>
    <w:autoRedefine/>
    <w:uiPriority w:val="39"/>
    <w:unhideWhenUsed/>
    <w:qFormat/>
    <w:rsid w:val="00E06DB4"/>
    <w:pPr>
      <w:suppressLineNumbers/>
      <w:tabs>
        <w:tab w:val="right" w:leader="dot" w:pos="9062"/>
      </w:tabs>
      <w:spacing w:after="0" w:line="480" w:lineRule="auto"/>
    </w:pPr>
  </w:style>
  <w:style w:type="paragraph" w:styleId="Revision">
    <w:name w:val="Revision"/>
    <w:hidden/>
    <w:uiPriority w:val="99"/>
    <w:semiHidden/>
    <w:rsid w:val="00E06DB4"/>
    <w:pPr>
      <w:spacing w:after="0" w:line="240" w:lineRule="auto"/>
    </w:pPr>
    <w:rPr>
      <w:rFonts w:ascii="Times New Roman" w:hAnsi="Times New Roman"/>
      <w:sz w:val="24"/>
    </w:rPr>
  </w:style>
  <w:style w:type="table" w:styleId="TableGrid">
    <w:name w:val="Table Grid"/>
    <w:basedOn w:val="TableNormal"/>
    <w:uiPriority w:val="59"/>
    <w:rsid w:val="00E0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06DB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06DB4"/>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E06DB4"/>
    <w:rPr>
      <w:rFonts w:ascii="Calibri" w:eastAsia="Times New Roman" w:hAnsi="Calibri" w:cs="Times New Roman"/>
      <w:b/>
      <w:bCs/>
      <w:sz w:val="28"/>
      <w:szCs w:val="28"/>
    </w:rPr>
  </w:style>
  <w:style w:type="character" w:customStyle="1" w:styleId="Heading5Char">
    <w:name w:val="Heading 5 Char"/>
    <w:basedOn w:val="DefaultParagraphFont"/>
    <w:link w:val="Heading5"/>
    <w:rsid w:val="00E06DB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06DB4"/>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E06DB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E06DB4"/>
    <w:rPr>
      <w:rFonts w:ascii="Arial" w:eastAsia="Times New Roman" w:hAnsi="Arial" w:cs="Arial"/>
      <w:i/>
      <w:iCs/>
      <w:sz w:val="24"/>
      <w:szCs w:val="20"/>
    </w:rPr>
  </w:style>
  <w:style w:type="character" w:customStyle="1" w:styleId="Heading9Char">
    <w:name w:val="Heading 9 Char"/>
    <w:basedOn w:val="DefaultParagraphFont"/>
    <w:link w:val="Heading9"/>
    <w:rsid w:val="00E06DB4"/>
    <w:rPr>
      <w:rFonts w:ascii="Times New Roman" w:eastAsia="Times New Roman" w:hAnsi="Times New Roman" w:cs="Times New Roman"/>
      <w:b/>
      <w:bCs/>
      <w:sz w:val="24"/>
      <w:szCs w:val="24"/>
    </w:rPr>
  </w:style>
  <w:style w:type="numbering" w:customStyle="1" w:styleId="Style16">
    <w:name w:val="Style16"/>
    <w:next w:val="NoList"/>
    <w:uiPriority w:val="99"/>
    <w:semiHidden/>
    <w:unhideWhenUsed/>
    <w:rsid w:val="00E06DB4"/>
  </w:style>
  <w:style w:type="paragraph" w:styleId="Title">
    <w:name w:val="Title"/>
    <w:basedOn w:val="Normal"/>
    <w:link w:val="TitleChar"/>
    <w:qFormat/>
    <w:rsid w:val="00E06DB4"/>
    <w:pPr>
      <w:spacing w:after="0"/>
      <w:jc w:val="center"/>
    </w:pPr>
    <w:rPr>
      <w:rFonts w:eastAsia="Times New Roman" w:cs="Times New Roman"/>
      <w:b/>
      <w:szCs w:val="24"/>
    </w:rPr>
  </w:style>
  <w:style w:type="character" w:customStyle="1" w:styleId="TitleChar">
    <w:name w:val="Title Char"/>
    <w:basedOn w:val="DefaultParagraphFont"/>
    <w:link w:val="Title"/>
    <w:rsid w:val="00E06DB4"/>
    <w:rPr>
      <w:rFonts w:ascii="Times New Roman" w:eastAsia="Times New Roman" w:hAnsi="Times New Roman" w:cs="Times New Roman"/>
      <w:b/>
      <w:sz w:val="24"/>
      <w:szCs w:val="24"/>
    </w:rPr>
  </w:style>
  <w:style w:type="paragraph" w:styleId="BodyText">
    <w:name w:val="Body Text"/>
    <w:basedOn w:val="Normal"/>
    <w:link w:val="BodyTextChar"/>
    <w:semiHidden/>
    <w:rsid w:val="00E06DB4"/>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E06DB4"/>
    <w:rPr>
      <w:rFonts w:ascii="Times New Roman" w:eastAsia="Times New Roman" w:hAnsi="Times New Roman" w:cs="Times New Roman"/>
      <w:b/>
      <w:caps/>
      <w:sz w:val="24"/>
      <w:szCs w:val="24"/>
    </w:rPr>
  </w:style>
  <w:style w:type="paragraph" w:customStyle="1" w:styleId="Style19">
    <w:name w:val="Style19"/>
    <w:basedOn w:val="Normal"/>
    <w:rsid w:val="00E06DB4"/>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E06DB4"/>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E06DB4"/>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E06D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E06DB4"/>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E06DB4"/>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E06DB4"/>
    <w:rPr>
      <w:rFonts w:ascii="Times New Roman" w:eastAsia="Times New Roman" w:hAnsi="Times New Roman" w:cs="Times New Roman"/>
      <w:sz w:val="24"/>
      <w:szCs w:val="24"/>
    </w:rPr>
  </w:style>
  <w:style w:type="table" w:customStyle="1" w:styleId="Style23">
    <w:name w:val="Style23"/>
    <w:basedOn w:val="TableNormal"/>
    <w:next w:val="TableGrid"/>
    <w:uiPriority w:val="59"/>
    <w:rsid w:val="00E06DB4"/>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4">
    <w:name w:val="Style24"/>
    <w:basedOn w:val="Normal"/>
    <w:next w:val="Normal"/>
    <w:autoRedefine/>
    <w:rsid w:val="00E06DB4"/>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Style25">
    <w:name w:val="Style25"/>
    <w:basedOn w:val="Normal"/>
    <w:next w:val="Normal"/>
    <w:link w:val="Style26"/>
    <w:qFormat/>
    <w:rsid w:val="00E06DB4"/>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Style26">
    <w:name w:val="Style26"/>
    <w:basedOn w:val="DefaultParagraphFont"/>
    <w:link w:val="Style25"/>
    <w:rsid w:val="00E06DB4"/>
    <w:rPr>
      <w:rFonts w:ascii="Times New Roman" w:eastAsia="Times New Roman" w:hAnsi="Times New Roman" w:cs="Times New Roman"/>
      <w:spacing w:val="10"/>
      <w:sz w:val="24"/>
      <w:szCs w:val="24"/>
    </w:rPr>
  </w:style>
  <w:style w:type="numbering" w:customStyle="1" w:styleId="Style27">
    <w:name w:val="Style27"/>
    <w:next w:val="NoList"/>
    <w:uiPriority w:val="99"/>
    <w:semiHidden/>
    <w:unhideWhenUsed/>
    <w:rsid w:val="00E06DB4"/>
  </w:style>
  <w:style w:type="paragraph" w:styleId="Caption">
    <w:name w:val="caption"/>
    <w:basedOn w:val="Normal"/>
    <w:next w:val="Normal"/>
    <w:qFormat/>
    <w:rsid w:val="00E06DB4"/>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E06DB4"/>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E06DB4"/>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E06DB4"/>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E06DB4"/>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E06DB4"/>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E06DB4"/>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E06DB4"/>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E06DB4"/>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E06DB4"/>
    <w:rPr>
      <w:rFonts w:ascii="Times New Roman" w:eastAsia="Times New Roman" w:hAnsi="Times New Roman" w:cs="Times New Roman"/>
      <w:sz w:val="24"/>
      <w:szCs w:val="24"/>
    </w:rPr>
  </w:style>
  <w:style w:type="paragraph" w:styleId="BodyText3">
    <w:name w:val="Body Text 3"/>
    <w:basedOn w:val="BodyText"/>
    <w:link w:val="BodyText3Char"/>
    <w:semiHidden/>
    <w:rsid w:val="00E06DB4"/>
    <w:pPr>
      <w:spacing w:before="240"/>
      <w:ind w:left="720"/>
      <w:jc w:val="both"/>
    </w:pPr>
    <w:rPr>
      <w:b w:val="0"/>
      <w:caps w:val="0"/>
    </w:rPr>
  </w:style>
  <w:style w:type="character" w:customStyle="1" w:styleId="BodyText3Char">
    <w:name w:val="Body Text 3 Char"/>
    <w:basedOn w:val="DefaultParagraphFont"/>
    <w:link w:val="BodyText3"/>
    <w:semiHidden/>
    <w:rsid w:val="00E06DB4"/>
    <w:rPr>
      <w:rFonts w:ascii="Times New Roman" w:eastAsia="Times New Roman" w:hAnsi="Times New Roman" w:cs="Times New Roman"/>
      <w:sz w:val="24"/>
      <w:szCs w:val="24"/>
    </w:rPr>
  </w:style>
  <w:style w:type="paragraph" w:customStyle="1" w:styleId="Style30">
    <w:name w:val="Style30"/>
    <w:basedOn w:val="Normal"/>
    <w:rsid w:val="00E06DB4"/>
    <w:pPr>
      <w:ind w:left="1440" w:right="720"/>
      <w:jc w:val="both"/>
    </w:pPr>
    <w:rPr>
      <w:rFonts w:eastAsia="Times New Roman" w:cs="Times New Roman"/>
      <w:szCs w:val="24"/>
    </w:rPr>
  </w:style>
  <w:style w:type="paragraph" w:customStyle="1" w:styleId="Style31">
    <w:name w:val="Style31"/>
    <w:basedOn w:val="Normal"/>
    <w:next w:val="Normal"/>
    <w:rsid w:val="00E06DB4"/>
    <w:pPr>
      <w:keepNext/>
      <w:keepLines/>
      <w:ind w:left="720" w:hanging="720"/>
      <w:jc w:val="both"/>
    </w:pPr>
    <w:rPr>
      <w:rFonts w:ascii="Times New Roman Bold" w:eastAsia="Times New Roman" w:hAnsi="Times New Roman Bold" w:cs="Times New Roman"/>
      <w:b/>
      <w:caps/>
      <w:szCs w:val="24"/>
    </w:rPr>
  </w:style>
  <w:style w:type="paragraph" w:customStyle="1" w:styleId="Style32">
    <w:name w:val="Style32"/>
    <w:basedOn w:val="Normal"/>
    <w:rsid w:val="00E06DB4"/>
    <w:pPr>
      <w:spacing w:after="0" w:line="254" w:lineRule="exact"/>
    </w:pPr>
    <w:rPr>
      <w:rFonts w:eastAsia="Times New Roman" w:cs="Times New Roman"/>
      <w:szCs w:val="20"/>
    </w:rPr>
  </w:style>
  <w:style w:type="character" w:customStyle="1" w:styleId="Style33">
    <w:name w:val="Style33"/>
    <w:basedOn w:val="DefaultParagraphFont"/>
    <w:uiPriority w:val="99"/>
    <w:semiHidden/>
    <w:rsid w:val="00E06DB4"/>
    <w:rPr>
      <w:rFonts w:ascii="Tahoma" w:hAnsi="Tahoma" w:cs="Tahoma"/>
      <w:sz w:val="16"/>
      <w:szCs w:val="16"/>
    </w:rPr>
  </w:style>
  <w:style w:type="paragraph" w:customStyle="1" w:styleId="Style34">
    <w:name w:val="Style34"/>
    <w:basedOn w:val="Normal"/>
    <w:rsid w:val="00E06DB4"/>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Style35">
    <w:name w:val="Style35"/>
    <w:basedOn w:val="DefaultParagraphFont"/>
    <w:rsid w:val="00E06DB4"/>
    <w:rPr>
      <w:sz w:val="16"/>
    </w:rPr>
  </w:style>
  <w:style w:type="paragraph" w:customStyle="1" w:styleId="Style36">
    <w:name w:val="Style36"/>
    <w:rsid w:val="00E06DB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06DB4"/>
    <w:pPr>
      <w:spacing w:after="0" w:line="480" w:lineRule="auto"/>
      <w:jc w:val="both"/>
    </w:pPr>
    <w:rPr>
      <w:rFonts w:ascii="Arial" w:eastAsia="Times New Roman" w:hAnsi="Arial" w:cs="Times New Roman"/>
      <w:sz w:val="22"/>
      <w:szCs w:val="20"/>
    </w:rPr>
  </w:style>
  <w:style w:type="paragraph" w:customStyle="1" w:styleId="Style38">
    <w:name w:val="Style38"/>
    <w:rsid w:val="00E06DB4"/>
    <w:pPr>
      <w:autoSpaceDE w:val="0"/>
      <w:autoSpaceDN w:val="0"/>
      <w:adjustRightInd w:val="0"/>
      <w:spacing w:after="0" w:line="240" w:lineRule="auto"/>
    </w:pPr>
    <w:rPr>
      <w:rFonts w:ascii="Arial" w:eastAsia="Calibri" w:hAnsi="Arial" w:cs="Arial"/>
      <w:color w:val="000000"/>
      <w:sz w:val="24"/>
      <w:szCs w:val="24"/>
    </w:rPr>
  </w:style>
  <w:style w:type="character" w:customStyle="1" w:styleId="Style39">
    <w:name w:val="Style39"/>
    <w:basedOn w:val="DefaultParagraphFont"/>
    <w:rsid w:val="00E06DB4"/>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sid w:val="00E06DB4"/>
    <w:rPr>
      <w:b/>
      <w:bCs/>
      <w:i w:val="0"/>
      <w:iCs w:val="0"/>
    </w:rPr>
  </w:style>
  <w:style w:type="paragraph" w:styleId="BlockText">
    <w:name w:val="Block Text"/>
    <w:basedOn w:val="Normal"/>
    <w:semiHidden/>
    <w:rsid w:val="00E06DB4"/>
    <w:pPr>
      <w:autoSpaceDE w:val="0"/>
      <w:autoSpaceDN w:val="0"/>
      <w:adjustRightInd w:val="0"/>
      <w:spacing w:after="0"/>
      <w:ind w:left="1440" w:right="72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829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openxmlformats.org/officeDocument/2006/relationships/customXml" Target="../customXml/item5.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377600-00A6-47BF-B42A-F2008CE38533}">
  <ds:schemaRefs>
    <ds:schemaRef ds:uri="http://schemas.openxmlformats.org/officeDocument/2006/bibliography"/>
  </ds:schemaRefs>
</ds:datastoreItem>
</file>

<file path=customXml/itemProps2.xml><?xml version="1.0" encoding="utf-8"?>
<ds:datastoreItem xmlns:ds="http://schemas.openxmlformats.org/officeDocument/2006/customXml" ds:itemID="{04755DD8-8345-4563-917F-71F6DA0DC518}"/>
</file>

<file path=customXml/itemProps3.xml><?xml version="1.0" encoding="utf-8"?>
<ds:datastoreItem xmlns:ds="http://schemas.openxmlformats.org/officeDocument/2006/customXml" ds:itemID="{71C4A786-725C-459A-A984-59B88C398710}"/>
</file>

<file path=customXml/itemProps4.xml><?xml version="1.0" encoding="utf-8"?>
<ds:datastoreItem xmlns:ds="http://schemas.openxmlformats.org/officeDocument/2006/customXml" ds:itemID="{BF596CF7-5558-47C3-90A3-F950E79167CB}"/>
</file>

<file path=customXml/itemProps5.xml><?xml version="1.0" encoding="utf-8"?>
<ds:datastoreItem xmlns:ds="http://schemas.openxmlformats.org/officeDocument/2006/customXml" ds:itemID="{481F7DA1-9147-46C6-AA5B-B257386EFC89}"/>
</file>

<file path=docProps/app.xml><?xml version="1.0" encoding="utf-8"?>
<Properties xmlns="http://schemas.openxmlformats.org/officeDocument/2006/extended-properties" xmlns:vt="http://schemas.openxmlformats.org/officeDocument/2006/docPropsVTypes">
  <Template>Normal.dotm</Template>
  <TotalTime>1</TotalTime>
  <Pages>8</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Michael P. Gorman</cp:lastModifiedBy>
  <cp:revision>2</cp:revision>
  <cp:lastPrinted>2016-09-19T15:54:00Z</cp:lastPrinted>
  <dcterms:created xsi:type="dcterms:W3CDTF">2016-09-19T16:23:00Z</dcterms:created>
  <dcterms:modified xsi:type="dcterms:W3CDTF">2016-09-19T16:23:00Z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