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4379244"/>
        <w:docPartObj>
          <w:docPartGallery w:val="Cover Pages"/>
          <w:docPartUnique/>
        </w:docPartObj>
      </w:sdtPr>
      <w:sdtEndPr>
        <w:rPr>
          <w:rFonts w:eastAsiaTheme="minorHAnsi"/>
        </w:rPr>
      </w:sdtEndPr>
      <w:sdtContent>
        <w:p w:rsidR="00C96946" w:rsidRDefault="008047B9" w:rsidP="00B26833">
          <w:pPr>
            <w:jc w:val="both"/>
          </w:pPr>
          <w:r>
            <w:rPr>
              <w:noProof/>
            </w:rPr>
            <w:pict>
              <v:rect id="_x0000_s1049" style="position:absolute;left:0;text-align:left;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49;mso-fit-shape-to-text:t" inset="14.4pt,,14.4pt">
                  <w:txbxContent>
                    <w:sdt>
                      <w:sdtPr>
                        <w:rPr>
                          <w:rFonts w:asciiTheme="majorHAnsi" w:eastAsiaTheme="majorEastAsia" w:hAnsiTheme="majorHAnsi" w:cstheme="majorBidi"/>
                          <w:color w:val="FFFFFF" w:themeColor="background1"/>
                          <w:sz w:val="72"/>
                          <w:szCs w:val="72"/>
                        </w:rPr>
                        <w:alias w:val="Title"/>
                        <w:id w:val="25553977"/>
                        <w:dataBinding w:prefixMappings="xmlns:ns0='http://schemas.openxmlformats.org/package/2006/metadata/core-properties' xmlns:ns1='http://purl.org/dc/elements/1.1/'" w:xpath="/ns0:coreProperties[1]/ns1:title[1]" w:storeItemID="{6C3C8BC8-F283-45AE-878A-BAB7291924A1}"/>
                        <w:text/>
                      </w:sdtPr>
                      <w:sdtContent>
                        <w:p w:rsidR="00907214" w:rsidRDefault="00907214" w:rsidP="00C96946">
                          <w:pPr>
                            <w:pStyle w:val="NoSpacing"/>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Washington Advanced Metering Project – Business Case</w:t>
                          </w:r>
                        </w:p>
                      </w:sdtContent>
                    </w:sdt>
                  </w:txbxContent>
                </v:textbox>
                <w10:wrap anchorx="page" anchory="page"/>
              </v:rect>
            </w:pict>
          </w:r>
          <w:r>
            <w:rPr>
              <w:noProof/>
            </w:rPr>
            <w:pict>
              <v:group id="_x0000_s1043" style="position:absolute;left:0;text-align:left;margin-left:7259.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5" style="position:absolute;left:7755;width:4505;height:15840;mso-height-percent:1000;mso-position-vertical:top;mso-position-vertical-relative:page;mso-height-percent:1000" fillcolor="#9bbb59 [3206]" stroked="f" strokecolor="#d8d8d8 [2732]">
                    <v:fill color2="#bfbfbf [2412]" rotate="t"/>
                  </v:rect>
                  <v:rect id="_x0000_s1046"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7" inset="28.8pt,14.4pt,14.4pt,14.4pt">
                    <w:txbxContent>
                      <w:sdt>
                        <w:sdtPr>
                          <w:rPr>
                            <w:rFonts w:asciiTheme="majorHAnsi" w:eastAsiaTheme="majorEastAsia" w:hAnsiTheme="majorHAnsi" w:cstheme="majorBidi"/>
                            <w:b/>
                            <w:bCs/>
                            <w:color w:val="FFFFFF" w:themeColor="background1"/>
                            <w:sz w:val="96"/>
                            <w:szCs w:val="96"/>
                          </w:rPr>
                          <w:alias w:val="Year"/>
                          <w:id w:val="25553978"/>
                          <w:dataBinding w:prefixMappings="xmlns:ns0='http://schemas.microsoft.com/office/2006/coverPageProps'" w:xpath="/ns0:CoverPageProperties[1]/ns0:PublishDate[1]" w:storeItemID="{55AF091B-3C7A-41E3-B477-F2FDAA23CFDA}"/>
                          <w:date w:fullDate="2015-02-06T00:00:00Z">
                            <w:dateFormat w:val="yyyy"/>
                            <w:lid w:val="en-US"/>
                            <w:storeMappedDataAs w:val="dateTime"/>
                            <w:calendar w:val="gregorian"/>
                          </w:date>
                        </w:sdtPr>
                        <w:sdtContent>
                          <w:p w:rsidR="00907214" w:rsidRDefault="00907214">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sdtContent>
                      </w:sdt>
                    </w:txbxContent>
                  </v:textbox>
                </v:rect>
                <v:rect id="_x0000_s104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8" inset="28.8pt,14.4pt,14.4pt,14.4pt">
                    <w:txbxContent>
                      <w:sdt>
                        <w:sdtPr>
                          <w:rPr>
                            <w:color w:val="FFFFFF" w:themeColor="background1"/>
                            <w:sz w:val="72"/>
                          </w:rPr>
                          <w:alias w:val="Company"/>
                          <w:id w:val="25553979"/>
                          <w:dataBinding w:prefixMappings="xmlns:ns0='http://schemas.openxmlformats.org/officeDocument/2006/extended-properties'" w:xpath="/ns0:Properties[1]/ns0:Company[1]" w:storeItemID="{6668398D-A668-4E3E-A5EB-62B293D839F1}"/>
                          <w:text/>
                        </w:sdtPr>
                        <w:sdtContent>
                          <w:p w:rsidR="00907214" w:rsidRDefault="00907214">
                            <w:pPr>
                              <w:pStyle w:val="NoSpacing"/>
                              <w:spacing w:line="360" w:lineRule="auto"/>
                              <w:rPr>
                                <w:color w:val="FFFFFF" w:themeColor="background1"/>
                              </w:rPr>
                            </w:pPr>
                            <w:r w:rsidRPr="00E223EB">
                              <w:rPr>
                                <w:color w:val="FFFFFF" w:themeColor="background1"/>
                                <w:sz w:val="72"/>
                              </w:rPr>
                              <w:t>Avista Corporation</w:t>
                            </w:r>
                          </w:p>
                        </w:sdtContent>
                      </w:sdt>
                      <w:sdt>
                        <w:sdtPr>
                          <w:rPr>
                            <w:color w:val="FFFFFF" w:themeColor="background1"/>
                          </w:rPr>
                          <w:alias w:val="Date"/>
                          <w:id w:val="25553980"/>
                          <w:dataBinding w:prefixMappings="xmlns:ns0='http://schemas.microsoft.com/office/2006/coverPageProps'" w:xpath="/ns0:CoverPageProperties[1]/ns0:PublishDate[1]" w:storeItemID="{55AF091B-3C7A-41E3-B477-F2FDAA23CFDA}"/>
                          <w:date w:fullDate="2015-02-06T00:00:00Z">
                            <w:dateFormat w:val="MM-dd-yyyy"/>
                            <w:lid w:val="en-US"/>
                            <w:storeMappedDataAs w:val="dateTime"/>
                            <w:calendar w:val="gregorian"/>
                          </w:date>
                        </w:sdtPr>
                        <w:sdtContent>
                          <w:p w:rsidR="00907214" w:rsidRDefault="00907214">
                            <w:pPr>
                              <w:pStyle w:val="NoSpacing"/>
                              <w:spacing w:line="360" w:lineRule="auto"/>
                              <w:rPr>
                                <w:color w:val="FFFFFF" w:themeColor="background1"/>
                              </w:rPr>
                            </w:pPr>
                            <w:r>
                              <w:rPr>
                                <w:color w:val="FFFFFF" w:themeColor="background1"/>
                              </w:rPr>
                              <w:t>02-06-2015</w:t>
                            </w:r>
                          </w:p>
                        </w:sdtContent>
                      </w:sdt>
                    </w:txbxContent>
                  </v:textbox>
                </v:rect>
                <w10:wrap anchorx="page" anchory="page"/>
              </v:group>
            </w:pict>
          </w: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p>
        <w:p w:rsidR="00C96946" w:rsidRDefault="00C96946" w:rsidP="00B26833">
          <w:pPr>
            <w:jc w:val="both"/>
            <w:rPr>
              <w:rFonts w:eastAsiaTheme="minorHAnsi"/>
            </w:rPr>
          </w:pPr>
          <w:r w:rsidRPr="00C96946">
            <w:rPr>
              <w:rFonts w:eastAsiaTheme="minorHAnsi"/>
              <w:noProof/>
            </w:rPr>
            <w:drawing>
              <wp:inline distT="0" distB="0" distL="0" distR="0">
                <wp:extent cx="4304665" cy="2992755"/>
                <wp:effectExtent l="19050" t="0" r="635" b="0"/>
                <wp:docPr id="4" name="Picture 1" descr="C:\Users\ll4710\Desktop\OpenWay_Centron_Bridge_Meter_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4710\Desktop\OpenWay_Centron_Bridge_Meter_mi.png"/>
                        <pic:cNvPicPr>
                          <a:picLocks noChangeAspect="1" noChangeArrowheads="1"/>
                        </pic:cNvPicPr>
                      </pic:nvPicPr>
                      <pic:blipFill>
                        <a:blip r:embed="rId10" cstate="print"/>
                        <a:srcRect/>
                        <a:stretch>
                          <a:fillRect/>
                        </a:stretch>
                      </pic:blipFill>
                      <pic:spPr bwMode="auto">
                        <a:xfrm>
                          <a:off x="0" y="0"/>
                          <a:ext cx="4304665" cy="2992755"/>
                        </a:xfrm>
                        <a:prstGeom prst="rect">
                          <a:avLst/>
                        </a:prstGeom>
                        <a:noFill/>
                        <a:ln w="9525">
                          <a:noFill/>
                          <a:miter lim="800000"/>
                          <a:headEnd/>
                          <a:tailEnd/>
                        </a:ln>
                      </pic:spPr>
                    </pic:pic>
                  </a:graphicData>
                </a:graphic>
              </wp:inline>
            </w:drawing>
          </w:r>
          <w:r>
            <w:rPr>
              <w:rFonts w:eastAsiaTheme="minorHAnsi"/>
            </w:rPr>
            <w:br w:type="page"/>
          </w:r>
        </w:p>
      </w:sdtContent>
    </w:sdt>
    <w:p w:rsidR="003E324E" w:rsidRDefault="003E324E" w:rsidP="00654DDD">
      <w:pPr>
        <w:jc w:val="center"/>
        <w:rPr>
          <w:sz w:val="32"/>
        </w:rPr>
      </w:pPr>
      <w:r w:rsidRPr="003E324E">
        <w:rPr>
          <w:sz w:val="32"/>
        </w:rPr>
        <w:lastRenderedPageBreak/>
        <w:t xml:space="preserve">Washington Advanced Metering </w:t>
      </w:r>
      <w:r w:rsidR="00C96946">
        <w:rPr>
          <w:sz w:val="32"/>
        </w:rPr>
        <w:t>Project</w:t>
      </w:r>
    </w:p>
    <w:p w:rsidR="00654DDD" w:rsidRPr="003E324E" w:rsidRDefault="00654DDD" w:rsidP="00654DDD">
      <w:pPr>
        <w:jc w:val="center"/>
        <w:rPr>
          <w:sz w:val="32"/>
        </w:rPr>
      </w:pPr>
      <w:r w:rsidRPr="003E324E">
        <w:rPr>
          <w:sz w:val="32"/>
        </w:rPr>
        <w:t>Business Case</w:t>
      </w:r>
    </w:p>
    <w:p w:rsidR="00654DDD" w:rsidRPr="003E324E" w:rsidRDefault="00654DDD" w:rsidP="00B26833">
      <w:pPr>
        <w:jc w:val="both"/>
        <w:rPr>
          <w:sz w:val="32"/>
        </w:rPr>
      </w:pPr>
    </w:p>
    <w:p w:rsidR="003E324E" w:rsidRDefault="003E324E" w:rsidP="00B26833">
      <w:pPr>
        <w:jc w:val="both"/>
        <w:rPr>
          <w:sz w:val="32"/>
        </w:rPr>
      </w:pPr>
    </w:p>
    <w:p w:rsidR="0065650E" w:rsidRPr="00167F11" w:rsidRDefault="0065650E" w:rsidP="00654DDD">
      <w:pPr>
        <w:jc w:val="center"/>
        <w:rPr>
          <w:b/>
          <w:sz w:val="28"/>
        </w:rPr>
      </w:pPr>
      <w:r w:rsidRPr="00167F11">
        <w:rPr>
          <w:b/>
          <w:sz w:val="28"/>
        </w:rPr>
        <w:t>Table of Contents</w:t>
      </w:r>
    </w:p>
    <w:p w:rsidR="0065650E" w:rsidRDefault="0065650E" w:rsidP="00B26833">
      <w:pPr>
        <w:jc w:val="both"/>
        <w:rPr>
          <w:sz w:val="28"/>
        </w:rPr>
      </w:pPr>
    </w:p>
    <w:p w:rsidR="0065650E" w:rsidRDefault="0065650E" w:rsidP="00B26833">
      <w:pPr>
        <w:jc w:val="both"/>
        <w:rPr>
          <w:sz w:val="28"/>
        </w:rPr>
      </w:pPr>
    </w:p>
    <w:p w:rsidR="0065650E" w:rsidRPr="00167F11" w:rsidRDefault="00BC32A5" w:rsidP="00B26833">
      <w:pPr>
        <w:tabs>
          <w:tab w:val="left" w:pos="8640"/>
        </w:tabs>
        <w:jc w:val="both"/>
      </w:pPr>
      <w:r>
        <w:t xml:space="preserve">I. </w:t>
      </w:r>
      <w:r w:rsidR="0065650E" w:rsidRPr="00167F11">
        <w:t xml:space="preserve">Executive </w:t>
      </w:r>
      <w:proofErr w:type="gramStart"/>
      <w:r w:rsidR="0065650E" w:rsidRPr="00167F11">
        <w:t>Summary.</w:t>
      </w:r>
      <w:proofErr w:type="gramEnd"/>
      <w:r w:rsidR="0065650E" w:rsidRPr="00167F11">
        <w:t xml:space="preserve"> . . . . . . . . . . . . . . . . . . . . . . . . . . . . . . </w:t>
      </w:r>
      <w:r w:rsidR="00167F11" w:rsidRPr="00167F11">
        <w:t>. . . . . . . .</w:t>
      </w:r>
      <w:r w:rsidR="00167F11">
        <w:t xml:space="preserve"> . . . . . . . . .</w:t>
      </w:r>
      <w:r w:rsidR="00167F11" w:rsidRPr="00167F11">
        <w:t xml:space="preserve"> . </w:t>
      </w:r>
      <w:r w:rsidR="00167F11">
        <w:t xml:space="preserve">. </w:t>
      </w:r>
      <w:r>
        <w:t xml:space="preserve">. . . . </w:t>
      </w:r>
      <w:r w:rsidR="00B76D60">
        <w:tab/>
      </w:r>
      <w:r w:rsidR="00DD6F9B">
        <w:t>3</w:t>
      </w:r>
    </w:p>
    <w:p w:rsidR="0065650E" w:rsidRPr="00167F11" w:rsidRDefault="0065650E" w:rsidP="00B26833">
      <w:pPr>
        <w:tabs>
          <w:tab w:val="left" w:pos="8640"/>
        </w:tabs>
        <w:jc w:val="both"/>
      </w:pPr>
    </w:p>
    <w:p w:rsidR="00FB530A" w:rsidRPr="00167F11" w:rsidRDefault="00BC32A5" w:rsidP="00B26833">
      <w:pPr>
        <w:tabs>
          <w:tab w:val="left" w:pos="8640"/>
        </w:tabs>
        <w:jc w:val="both"/>
      </w:pPr>
      <w:proofErr w:type="gramStart"/>
      <w:r>
        <w:t xml:space="preserve">II. </w:t>
      </w:r>
      <w:r w:rsidR="00167F11">
        <w:t>Introduction</w:t>
      </w:r>
      <w:r w:rsidR="00167F11" w:rsidRPr="00167F11">
        <w:t>. . . . . . . . . . . . . . . . . . . . . . . . . . . . . . . . . . . . . . .</w:t>
      </w:r>
      <w:r w:rsidR="00167F11">
        <w:t xml:space="preserve"> . . . . . . . . .</w:t>
      </w:r>
      <w:r w:rsidR="00167F11" w:rsidRPr="00167F11">
        <w:t xml:space="preserve"> .</w:t>
      </w:r>
      <w:r w:rsidR="00167F11">
        <w:t xml:space="preserve"> . . . . . . . </w:t>
      </w:r>
      <w:r>
        <w:t>. . . .</w:t>
      </w:r>
      <w:proofErr w:type="gramEnd"/>
      <w:r w:rsidR="00B76D60">
        <w:tab/>
      </w:r>
      <w:r w:rsidR="00DD6F9B">
        <w:t>4</w:t>
      </w:r>
    </w:p>
    <w:p w:rsidR="0065650E" w:rsidRPr="00167F11" w:rsidRDefault="00CC5D7F" w:rsidP="00B26833">
      <w:pPr>
        <w:tabs>
          <w:tab w:val="left" w:pos="720"/>
          <w:tab w:val="left" w:pos="8640"/>
        </w:tabs>
        <w:jc w:val="both"/>
      </w:pPr>
      <w:r>
        <w:tab/>
      </w:r>
      <w:proofErr w:type="gramStart"/>
      <w:r w:rsidR="00BC32A5">
        <w:t xml:space="preserve">A. </w:t>
      </w:r>
      <w:r w:rsidR="0065650E" w:rsidRPr="00167F11">
        <w:t>Advanced Metering Infrastructure</w:t>
      </w:r>
      <w:r w:rsidR="00167F11">
        <w:t xml:space="preserve"> </w:t>
      </w:r>
      <w:r w:rsidR="0065650E" w:rsidRPr="00167F11">
        <w:t xml:space="preserve">. . . . . . . . . . . . . . . . . . . . . . . . . . . . . . . </w:t>
      </w:r>
      <w:r w:rsidR="00BC32A5">
        <w:t>. . . . .</w:t>
      </w:r>
      <w:proofErr w:type="gramEnd"/>
      <w:r w:rsidR="00BC32A5">
        <w:tab/>
      </w:r>
      <w:r w:rsidR="00DD6F9B">
        <w:t>5</w:t>
      </w:r>
    </w:p>
    <w:p w:rsidR="00497ED9" w:rsidRPr="00167F11" w:rsidRDefault="00CC5D7F" w:rsidP="00B26833">
      <w:pPr>
        <w:tabs>
          <w:tab w:val="left" w:pos="720"/>
          <w:tab w:val="left" w:pos="8640"/>
        </w:tabs>
        <w:jc w:val="both"/>
      </w:pPr>
      <w:r>
        <w:tab/>
      </w:r>
      <w:proofErr w:type="gramStart"/>
      <w:r w:rsidR="00BC32A5">
        <w:t xml:space="preserve">B. </w:t>
      </w:r>
      <w:r w:rsidR="00497ED9" w:rsidRPr="00167F11">
        <w:t>Industry Trends in Advanced Metering. . . . . . . . . . . . . . . . . . . . . . . . . . . . . .</w:t>
      </w:r>
      <w:r w:rsidR="00BC32A5">
        <w:t xml:space="preserve"> . .</w:t>
      </w:r>
      <w:proofErr w:type="gramEnd"/>
      <w:r w:rsidR="00BC32A5">
        <w:t xml:space="preserve"> </w:t>
      </w:r>
      <w:r w:rsidR="00497ED9">
        <w:tab/>
      </w:r>
      <w:r w:rsidR="00DD6F9B">
        <w:t>6</w:t>
      </w:r>
    </w:p>
    <w:p w:rsidR="00497ED9" w:rsidRDefault="00CC5D7F" w:rsidP="00B26833">
      <w:pPr>
        <w:tabs>
          <w:tab w:val="left" w:pos="720"/>
          <w:tab w:val="left" w:pos="8640"/>
        </w:tabs>
        <w:jc w:val="both"/>
      </w:pPr>
      <w:r>
        <w:tab/>
      </w:r>
      <w:r w:rsidR="00BC32A5">
        <w:t xml:space="preserve">C. </w:t>
      </w:r>
      <w:r>
        <w:t>Avista’s Experience with</w:t>
      </w:r>
      <w:r w:rsidRPr="00167F11">
        <w:t xml:space="preserve"> </w:t>
      </w:r>
      <w:r w:rsidR="00654DDD">
        <w:t xml:space="preserve">Automated and </w:t>
      </w:r>
      <w:r w:rsidRPr="00167F11">
        <w:t xml:space="preserve">Advanced </w:t>
      </w:r>
      <w:proofErr w:type="gramStart"/>
      <w:r w:rsidRPr="00167F11">
        <w:t>Metering.</w:t>
      </w:r>
      <w:proofErr w:type="gramEnd"/>
      <w:r w:rsidRPr="00167F11">
        <w:t xml:space="preserve"> . . . . . . . . . . . . .</w:t>
      </w:r>
      <w:r w:rsidR="00654DDD">
        <w:t xml:space="preserve"> </w:t>
      </w:r>
      <w:r>
        <w:tab/>
      </w:r>
      <w:r w:rsidR="00DD6F9B">
        <w:t>7</w:t>
      </w:r>
    </w:p>
    <w:p w:rsidR="00497ED9" w:rsidRPr="00167F11" w:rsidRDefault="00CC5D7F" w:rsidP="00B26833">
      <w:pPr>
        <w:tabs>
          <w:tab w:val="left" w:pos="720"/>
          <w:tab w:val="left" w:pos="8640"/>
        </w:tabs>
        <w:jc w:val="both"/>
      </w:pPr>
      <w:r>
        <w:tab/>
      </w:r>
      <w:r w:rsidR="00BC32A5">
        <w:t xml:space="preserve">D. </w:t>
      </w:r>
      <w:r w:rsidR="00936DA2">
        <w:t>Advanced Metering Security</w:t>
      </w:r>
      <w:r w:rsidR="00497ED9" w:rsidRPr="00167F11">
        <w:t xml:space="preserve"> . . . . . . . . . . . . . . . . . . . . . . . . . . . . . . . . . . . . . . .</w:t>
      </w:r>
      <w:r w:rsidR="00BC32A5">
        <w:t xml:space="preserve"> .</w:t>
      </w:r>
      <w:r w:rsidR="00497ED9">
        <w:tab/>
      </w:r>
      <w:r w:rsidR="00DD6F9B">
        <w:t>7</w:t>
      </w:r>
    </w:p>
    <w:p w:rsidR="00497ED9" w:rsidRPr="00167F11" w:rsidRDefault="00CC5D7F" w:rsidP="00B26833">
      <w:pPr>
        <w:tabs>
          <w:tab w:val="left" w:pos="720"/>
          <w:tab w:val="left" w:pos="8640"/>
        </w:tabs>
        <w:jc w:val="both"/>
      </w:pPr>
      <w:r>
        <w:tab/>
      </w:r>
      <w:proofErr w:type="gramStart"/>
      <w:r w:rsidR="00BC32A5">
        <w:t xml:space="preserve">E. </w:t>
      </w:r>
      <w:r w:rsidR="00497ED9" w:rsidRPr="00167F11">
        <w:t xml:space="preserve">Customer </w:t>
      </w:r>
      <w:r w:rsidR="00497ED9">
        <w:t>Meter</w:t>
      </w:r>
      <w:r w:rsidR="00497ED9" w:rsidRPr="00167F11">
        <w:t xml:space="preserve"> Options . . . . . . . . . . . . . . . . . . . . . . . . . . . . . . . </w:t>
      </w:r>
      <w:r w:rsidR="00497ED9">
        <w:t xml:space="preserve">. . . . . </w:t>
      </w:r>
      <w:r w:rsidR="00BC32A5">
        <w:t>. . . . . . .</w:t>
      </w:r>
      <w:proofErr w:type="gramEnd"/>
      <w:r w:rsidR="00BC32A5">
        <w:t xml:space="preserve"> </w:t>
      </w:r>
      <w:r>
        <w:tab/>
      </w:r>
      <w:r w:rsidR="00DD6F9B">
        <w:t>8</w:t>
      </w:r>
    </w:p>
    <w:p w:rsidR="00497ED9" w:rsidRPr="00167F11" w:rsidRDefault="00497ED9" w:rsidP="00B26833">
      <w:pPr>
        <w:tabs>
          <w:tab w:val="left" w:pos="8640"/>
        </w:tabs>
        <w:jc w:val="both"/>
      </w:pPr>
    </w:p>
    <w:p w:rsidR="0065650E" w:rsidRDefault="005148A4" w:rsidP="00B26833">
      <w:pPr>
        <w:tabs>
          <w:tab w:val="left" w:pos="8640"/>
        </w:tabs>
        <w:jc w:val="both"/>
      </w:pPr>
      <w:r>
        <w:t xml:space="preserve">III. </w:t>
      </w:r>
      <w:r w:rsidR="00380530" w:rsidRPr="00167F11">
        <w:t>C</w:t>
      </w:r>
      <w:r w:rsidR="009C717F" w:rsidRPr="00167F11">
        <w:t xml:space="preserve">ustomer Benefits from Advanced </w:t>
      </w:r>
      <w:proofErr w:type="gramStart"/>
      <w:r w:rsidR="009C717F" w:rsidRPr="00167F11">
        <w:t>Metering</w:t>
      </w:r>
      <w:r w:rsidR="0065650E" w:rsidRPr="00167F11">
        <w:t>.</w:t>
      </w:r>
      <w:proofErr w:type="gramEnd"/>
      <w:r w:rsidR="0065650E" w:rsidRPr="00167F11">
        <w:t xml:space="preserve"> . . . . . . . . . . . . . . </w:t>
      </w:r>
      <w:r w:rsidR="009C717F" w:rsidRPr="00167F11">
        <w:t>. . . . . . . . . .</w:t>
      </w:r>
      <w:r w:rsidR="00167F11">
        <w:t xml:space="preserve"> . . . . . . . </w:t>
      </w:r>
      <w:r>
        <w:t xml:space="preserve">. </w:t>
      </w:r>
      <w:r w:rsidR="00B76D60">
        <w:tab/>
      </w:r>
      <w:r w:rsidR="00DD6F9B">
        <w:t>9</w:t>
      </w:r>
    </w:p>
    <w:p w:rsidR="00497ED9" w:rsidRDefault="00497ED9" w:rsidP="00B26833">
      <w:pPr>
        <w:tabs>
          <w:tab w:val="left" w:pos="720"/>
          <w:tab w:val="left" w:pos="8640"/>
        </w:tabs>
        <w:jc w:val="both"/>
      </w:pPr>
      <w:r>
        <w:tab/>
      </w:r>
      <w:r w:rsidR="005148A4">
        <w:t xml:space="preserve">A. </w:t>
      </w:r>
      <w:r>
        <w:t>Access to Interval Energy Usage Data</w:t>
      </w:r>
      <w:r w:rsidRPr="00167F11">
        <w:t xml:space="preserve"> . . . . . . . . . . . . . . . . . . . . . . .</w:t>
      </w:r>
      <w:r w:rsidR="005148A4">
        <w:t xml:space="preserve"> . . . . . . . . . .</w:t>
      </w:r>
      <w:r w:rsidR="00CC5D7F">
        <w:tab/>
      </w:r>
      <w:r w:rsidR="00DD6F9B">
        <w:t>9</w:t>
      </w:r>
    </w:p>
    <w:p w:rsidR="00497ED9" w:rsidRPr="00167F11" w:rsidRDefault="00497ED9" w:rsidP="00B26833">
      <w:pPr>
        <w:tabs>
          <w:tab w:val="left" w:pos="720"/>
          <w:tab w:val="left" w:pos="8640"/>
        </w:tabs>
        <w:jc w:val="both"/>
      </w:pPr>
      <w:r>
        <w:tab/>
      </w:r>
      <w:r w:rsidR="005148A4">
        <w:t xml:space="preserve">B. </w:t>
      </w:r>
      <w:r>
        <w:t>Customer Home Area Network Interface</w:t>
      </w:r>
      <w:r w:rsidRPr="00167F11">
        <w:t xml:space="preserve"> . . . . . . . . . . . . . . . . . . . . . . .</w:t>
      </w:r>
      <w:r w:rsidR="00DD6F9B">
        <w:t xml:space="preserve"> . . . . . . . .</w:t>
      </w:r>
      <w:r w:rsidR="00DD6F9B">
        <w:tab/>
        <w:t>9</w:t>
      </w:r>
    </w:p>
    <w:p w:rsidR="00497ED9" w:rsidRPr="00167F11" w:rsidRDefault="00497ED9" w:rsidP="00B26833">
      <w:pPr>
        <w:tabs>
          <w:tab w:val="left" w:pos="720"/>
          <w:tab w:val="left" w:pos="8640"/>
        </w:tabs>
        <w:jc w:val="both"/>
      </w:pPr>
      <w:r>
        <w:tab/>
      </w:r>
      <w:r w:rsidR="005148A4">
        <w:t xml:space="preserve">C. </w:t>
      </w:r>
      <w:r>
        <w:t>Energy Alerts</w:t>
      </w:r>
      <w:r w:rsidRPr="00167F11">
        <w:t xml:space="preserve"> . . . . . . . . . . . . . . . . . . . . . . . . . . . . . . . . . . . . . . .</w:t>
      </w:r>
      <w:r>
        <w:t xml:space="preserve"> </w:t>
      </w:r>
      <w:r w:rsidR="00DD6F9B">
        <w:t>. . . . . . . . . . . . .</w:t>
      </w:r>
      <w:r w:rsidR="00DD6F9B">
        <w:tab/>
        <w:t>9</w:t>
      </w:r>
    </w:p>
    <w:p w:rsidR="00497ED9" w:rsidRPr="00167F11" w:rsidRDefault="00497ED9" w:rsidP="00B26833">
      <w:pPr>
        <w:tabs>
          <w:tab w:val="left" w:pos="720"/>
          <w:tab w:val="left" w:pos="8640"/>
        </w:tabs>
        <w:jc w:val="both"/>
      </w:pPr>
      <w:r>
        <w:tab/>
      </w:r>
      <w:r w:rsidR="005148A4">
        <w:t xml:space="preserve">D. </w:t>
      </w:r>
      <w:r>
        <w:t>Customer Privacy</w:t>
      </w:r>
      <w:r w:rsidRPr="00167F11">
        <w:t xml:space="preserve"> . . . . . . . . . . . . . . . . . . . . . . . . . . . . . . . . . . . . . . .</w:t>
      </w:r>
      <w:r w:rsidR="005148A4">
        <w:t xml:space="preserve"> . . . . . . . . . .</w:t>
      </w:r>
      <w:r w:rsidR="00CC5D7F">
        <w:tab/>
      </w:r>
      <w:r w:rsidR="00DD6F9B">
        <w:t>9</w:t>
      </w:r>
    </w:p>
    <w:p w:rsidR="00497ED9" w:rsidRPr="00167F11" w:rsidRDefault="00497ED9" w:rsidP="00B26833">
      <w:pPr>
        <w:tabs>
          <w:tab w:val="left" w:pos="720"/>
          <w:tab w:val="left" w:pos="8640"/>
        </w:tabs>
        <w:jc w:val="both"/>
      </w:pPr>
      <w:r>
        <w:tab/>
      </w:r>
      <w:proofErr w:type="gramStart"/>
      <w:r w:rsidR="005148A4">
        <w:t xml:space="preserve">E. </w:t>
      </w:r>
      <w:r>
        <w:t>Utility Employee Safety</w:t>
      </w:r>
      <w:r w:rsidRPr="00167F11">
        <w:t xml:space="preserve"> . . . . . . . . . . . . . . . . . . . . . . . . . . . . . . . . . . . . . . .</w:t>
      </w:r>
      <w:r w:rsidR="005148A4">
        <w:t xml:space="preserve"> . . . .</w:t>
      </w:r>
      <w:proofErr w:type="gramEnd"/>
      <w:r w:rsidR="005148A4">
        <w:t xml:space="preserve"> .</w:t>
      </w:r>
      <w:r w:rsidR="00CC5D7F">
        <w:tab/>
      </w:r>
      <w:r w:rsidR="00AB5F16">
        <w:t>1</w:t>
      </w:r>
      <w:r w:rsidR="00DD6F9B">
        <w:t>0</w:t>
      </w:r>
    </w:p>
    <w:p w:rsidR="00497ED9" w:rsidRPr="00167F11" w:rsidRDefault="00497ED9" w:rsidP="00B26833">
      <w:pPr>
        <w:tabs>
          <w:tab w:val="left" w:pos="720"/>
          <w:tab w:val="left" w:pos="8640"/>
        </w:tabs>
        <w:jc w:val="both"/>
      </w:pPr>
      <w:r>
        <w:tab/>
      </w:r>
      <w:proofErr w:type="gramStart"/>
      <w:r w:rsidR="005148A4">
        <w:t xml:space="preserve">F. </w:t>
      </w:r>
      <w:r>
        <w:t>Future Opportunities for Benefits</w:t>
      </w:r>
      <w:r w:rsidRPr="00167F11">
        <w:t xml:space="preserve"> . . . . . . . . . . . . . . . . . . . . . . .</w:t>
      </w:r>
      <w:r w:rsidR="005148A4">
        <w:t xml:space="preserve"> . . . . . . . . . . . . .</w:t>
      </w:r>
      <w:proofErr w:type="gramEnd"/>
      <w:r w:rsidR="005148A4">
        <w:t xml:space="preserve"> .</w:t>
      </w:r>
      <w:r w:rsidR="00CC5D7F">
        <w:tab/>
      </w:r>
      <w:r w:rsidR="00AB5F16">
        <w:t>1</w:t>
      </w:r>
      <w:r w:rsidR="00DD6F9B">
        <w:t>0</w:t>
      </w:r>
    </w:p>
    <w:p w:rsidR="00497ED9" w:rsidRPr="00167F11" w:rsidRDefault="00497ED9" w:rsidP="00B26833">
      <w:pPr>
        <w:tabs>
          <w:tab w:val="left" w:pos="720"/>
          <w:tab w:val="left" w:pos="8640"/>
        </w:tabs>
        <w:jc w:val="both"/>
      </w:pPr>
      <w:r>
        <w:tab/>
      </w:r>
      <w:proofErr w:type="gramStart"/>
      <w:r w:rsidR="005148A4">
        <w:t xml:space="preserve">G. </w:t>
      </w:r>
      <w:r>
        <w:t>Elimination of Manual Meter Reading</w:t>
      </w:r>
      <w:r w:rsidRPr="00167F11">
        <w:t xml:space="preserve"> . . . . . . . . . . . . . . . . . . . . . . .</w:t>
      </w:r>
      <w:r w:rsidR="005148A4">
        <w:t xml:space="preserve"> . . . . . . . . .</w:t>
      </w:r>
      <w:proofErr w:type="gramEnd"/>
      <w:r w:rsidR="005148A4">
        <w:t xml:space="preserve"> </w:t>
      </w:r>
      <w:r>
        <w:tab/>
        <w:t>1</w:t>
      </w:r>
      <w:r w:rsidR="00DD6F9B">
        <w:t>1</w:t>
      </w:r>
    </w:p>
    <w:p w:rsidR="00497ED9" w:rsidRPr="00167F11" w:rsidRDefault="00497ED9" w:rsidP="00B26833">
      <w:pPr>
        <w:tabs>
          <w:tab w:val="left" w:pos="720"/>
          <w:tab w:val="left" w:pos="8640"/>
        </w:tabs>
        <w:jc w:val="both"/>
      </w:pPr>
      <w:r>
        <w:tab/>
      </w:r>
      <w:r w:rsidR="005148A4">
        <w:t xml:space="preserve">H. </w:t>
      </w:r>
      <w:r>
        <w:t>Remote Rapid Reconnection</w:t>
      </w:r>
      <w:r w:rsidRPr="00167F11">
        <w:t xml:space="preserve"> . . . . . . . . . . . . . . . . . . . . . . . . . . . . . . . . . . . . . . .</w:t>
      </w:r>
      <w:r w:rsidR="005148A4">
        <w:t xml:space="preserve"> . </w:t>
      </w:r>
      <w:r>
        <w:tab/>
        <w:t>1</w:t>
      </w:r>
      <w:r w:rsidR="00FA2DAD">
        <w:t>1</w:t>
      </w:r>
    </w:p>
    <w:p w:rsidR="00612DB1" w:rsidRPr="00167F11" w:rsidRDefault="00612DB1" w:rsidP="00B26833">
      <w:pPr>
        <w:tabs>
          <w:tab w:val="left" w:pos="720"/>
          <w:tab w:val="left" w:pos="8640"/>
        </w:tabs>
        <w:jc w:val="both"/>
      </w:pPr>
      <w:r>
        <w:tab/>
      </w:r>
      <w:r w:rsidR="005148A4">
        <w:t xml:space="preserve">I. </w:t>
      </w:r>
      <w:r>
        <w:t>Outage Management</w:t>
      </w:r>
      <w:r w:rsidRPr="00167F11">
        <w:t xml:space="preserve"> . . . . . . . . . . . . . . . . . . . . . . . . . . . . . . . . . . . . . . .</w:t>
      </w:r>
      <w:r w:rsidR="005148A4">
        <w:t xml:space="preserve"> . . . . . . . . </w:t>
      </w:r>
      <w:r>
        <w:tab/>
      </w:r>
      <w:r w:rsidR="00CC5D7F">
        <w:t>1</w:t>
      </w:r>
      <w:r w:rsidR="00FA2DAD">
        <w:t>2</w:t>
      </w:r>
    </w:p>
    <w:p w:rsidR="00612DB1" w:rsidRPr="00167F11" w:rsidRDefault="00612DB1" w:rsidP="00B26833">
      <w:pPr>
        <w:tabs>
          <w:tab w:val="left" w:pos="720"/>
          <w:tab w:val="left" w:pos="8640"/>
        </w:tabs>
        <w:jc w:val="both"/>
      </w:pPr>
      <w:r>
        <w:tab/>
      </w:r>
      <w:r w:rsidR="005148A4">
        <w:t xml:space="preserve">J. </w:t>
      </w:r>
      <w:r w:rsidRPr="00167F11">
        <w:t xml:space="preserve">Energy </w:t>
      </w:r>
      <w:r>
        <w:t>Efficiency</w:t>
      </w:r>
      <w:r w:rsidRPr="00167F11">
        <w:t xml:space="preserve"> . . . . . . . . . . . . . . . . . . . . . . . . . . . . . . . . . . . . . . .</w:t>
      </w:r>
      <w:r w:rsidR="005148A4">
        <w:t xml:space="preserve"> . . . . . . . . . . </w:t>
      </w:r>
      <w:r>
        <w:tab/>
        <w:t>1</w:t>
      </w:r>
      <w:r w:rsidR="00FA2DAD">
        <w:t>3</w:t>
      </w:r>
    </w:p>
    <w:p w:rsidR="00612DB1" w:rsidRPr="00167F11" w:rsidRDefault="00612DB1" w:rsidP="00B26833">
      <w:pPr>
        <w:tabs>
          <w:tab w:val="left" w:pos="720"/>
          <w:tab w:val="left" w:pos="8640"/>
        </w:tabs>
        <w:jc w:val="both"/>
      </w:pPr>
      <w:r>
        <w:tab/>
      </w:r>
      <w:proofErr w:type="gramStart"/>
      <w:r w:rsidR="005148A4">
        <w:t xml:space="preserve">K. </w:t>
      </w:r>
      <w:r>
        <w:t>Energy Theft and Unbilled Energy Usage</w:t>
      </w:r>
      <w:r w:rsidRPr="00167F11">
        <w:t xml:space="preserve"> . . . . . . . . . . . . . . . . . . . . . . .</w:t>
      </w:r>
      <w:r>
        <w:t xml:space="preserve"> . . . . .</w:t>
      </w:r>
      <w:r w:rsidR="005148A4">
        <w:t xml:space="preserve"> .</w:t>
      </w:r>
      <w:proofErr w:type="gramEnd"/>
      <w:r w:rsidR="005148A4">
        <w:t xml:space="preserve"> .</w:t>
      </w:r>
      <w:r w:rsidR="005148A4">
        <w:tab/>
      </w:r>
      <w:r>
        <w:t>1</w:t>
      </w:r>
      <w:r w:rsidR="00FA2DAD">
        <w:t>4</w:t>
      </w:r>
    </w:p>
    <w:p w:rsidR="00612DB1" w:rsidRPr="00167F11" w:rsidRDefault="00612DB1" w:rsidP="00B26833">
      <w:pPr>
        <w:tabs>
          <w:tab w:val="left" w:pos="720"/>
          <w:tab w:val="left" w:pos="8640"/>
        </w:tabs>
        <w:jc w:val="both"/>
      </w:pPr>
      <w:r>
        <w:tab/>
      </w:r>
      <w:proofErr w:type="gramStart"/>
      <w:r w:rsidR="005148A4">
        <w:t xml:space="preserve">L. </w:t>
      </w:r>
      <w:r>
        <w:t>Billing Accuracy</w:t>
      </w:r>
      <w:r w:rsidRPr="00167F11">
        <w:t xml:space="preserve"> . . . . . . . . . . . . . . . . . . . . . . . . . . . . . . . . . . . . . . .</w:t>
      </w:r>
      <w:r w:rsidR="005148A4">
        <w:t xml:space="preserve"> . . . . . . . . . . .</w:t>
      </w:r>
      <w:proofErr w:type="gramEnd"/>
      <w:r>
        <w:tab/>
        <w:t>1</w:t>
      </w:r>
      <w:r w:rsidR="00FA2DAD">
        <w:t>6</w:t>
      </w:r>
    </w:p>
    <w:p w:rsidR="00612DB1" w:rsidRPr="00167F11" w:rsidRDefault="00612DB1" w:rsidP="00B26833">
      <w:pPr>
        <w:tabs>
          <w:tab w:val="left" w:pos="720"/>
          <w:tab w:val="left" w:pos="8640"/>
        </w:tabs>
        <w:jc w:val="both"/>
      </w:pPr>
      <w:r>
        <w:tab/>
      </w:r>
      <w:r w:rsidR="005148A4">
        <w:t xml:space="preserve">M. </w:t>
      </w:r>
      <w:r>
        <w:t>Utility System Studies</w:t>
      </w:r>
      <w:r w:rsidRPr="00167F11">
        <w:t xml:space="preserve"> . . . . . . . . . . . . . . . . . . . . . . . . . . . . . . . . . . . . . . .</w:t>
      </w:r>
      <w:r w:rsidR="005148A4">
        <w:t xml:space="preserve"> . . . . . .</w:t>
      </w:r>
      <w:r>
        <w:tab/>
        <w:t>1</w:t>
      </w:r>
      <w:r w:rsidR="00FA2DAD">
        <w:t>7</w:t>
      </w:r>
    </w:p>
    <w:p w:rsidR="00612DB1" w:rsidRPr="00167F11" w:rsidRDefault="00612DB1" w:rsidP="00B26833">
      <w:pPr>
        <w:tabs>
          <w:tab w:val="left" w:pos="720"/>
          <w:tab w:val="left" w:pos="8640"/>
        </w:tabs>
        <w:jc w:val="both"/>
      </w:pPr>
      <w:r>
        <w:tab/>
      </w:r>
      <w:r w:rsidR="005148A4">
        <w:t xml:space="preserve">N. </w:t>
      </w:r>
      <w:r w:rsidR="00FA54D8" w:rsidRPr="00FA54D8">
        <w:rPr>
          <w:bCs/>
          <w:color w:val="000000"/>
          <w:szCs w:val="22"/>
        </w:rPr>
        <w:t>Washington Advanced Metering - Project Benefit Summar</w:t>
      </w:r>
      <w:r w:rsidR="00FA54D8">
        <w:rPr>
          <w:bCs/>
          <w:color w:val="000000"/>
          <w:szCs w:val="22"/>
        </w:rPr>
        <w:t>y</w:t>
      </w:r>
      <w:r w:rsidRPr="00167F11">
        <w:t xml:space="preserve"> . . . . . . .</w:t>
      </w:r>
      <w:r w:rsidR="005148A4">
        <w:t xml:space="preserve"> . . . . . . . .</w:t>
      </w:r>
      <w:r>
        <w:tab/>
      </w:r>
      <w:r w:rsidR="00CC5D7F">
        <w:t>1</w:t>
      </w:r>
      <w:r w:rsidR="00FA2DAD">
        <w:t>8</w:t>
      </w:r>
    </w:p>
    <w:p w:rsidR="005F2CF6" w:rsidRDefault="005F2CF6" w:rsidP="00B26833">
      <w:pPr>
        <w:tabs>
          <w:tab w:val="left" w:pos="8640"/>
        </w:tabs>
        <w:jc w:val="both"/>
      </w:pPr>
    </w:p>
    <w:p w:rsidR="005F2CF6" w:rsidRPr="00167F11" w:rsidRDefault="005148A4" w:rsidP="00B26833">
      <w:pPr>
        <w:tabs>
          <w:tab w:val="left" w:pos="8640"/>
        </w:tabs>
        <w:jc w:val="both"/>
      </w:pPr>
      <w:r>
        <w:t xml:space="preserve">IV. </w:t>
      </w:r>
      <w:r w:rsidR="005F2CF6">
        <w:t xml:space="preserve">Preliminary Estimate of the Project Cost . </w:t>
      </w:r>
      <w:r w:rsidR="005F2CF6" w:rsidRPr="00167F11">
        <w:t>. . . . . . . . . . . . . . . . . . . . . . . . . . . .</w:t>
      </w:r>
      <w:r w:rsidR="005F2CF6">
        <w:t xml:space="preserve"> . . . . . </w:t>
      </w:r>
      <w:r>
        <w:t xml:space="preserve">. . </w:t>
      </w:r>
      <w:r w:rsidR="00B76D60">
        <w:tab/>
      </w:r>
      <w:r w:rsidR="00FA2DAD">
        <w:t>19</w:t>
      </w:r>
    </w:p>
    <w:p w:rsidR="00612DB1" w:rsidRDefault="00612DB1" w:rsidP="00B26833">
      <w:pPr>
        <w:tabs>
          <w:tab w:val="left" w:pos="720"/>
          <w:tab w:val="left" w:pos="8640"/>
        </w:tabs>
        <w:jc w:val="both"/>
      </w:pPr>
      <w:r>
        <w:tab/>
      </w:r>
      <w:r w:rsidR="005148A4">
        <w:t xml:space="preserve">A. </w:t>
      </w:r>
      <w:r w:rsidR="009E377A">
        <w:t xml:space="preserve">Electric Meters . . . . . . . . . . . . . . . . . . . . . . . . . . . . . . . . . </w:t>
      </w:r>
      <w:r w:rsidRPr="00167F11">
        <w:t xml:space="preserve"> . . . . . . .</w:t>
      </w:r>
      <w:r w:rsidR="005148A4">
        <w:t xml:space="preserve"> . . . . . . . . . . </w:t>
      </w:r>
      <w:r>
        <w:tab/>
      </w:r>
      <w:r w:rsidR="00FA2DAD">
        <w:t>19</w:t>
      </w:r>
    </w:p>
    <w:p w:rsidR="009E377A" w:rsidRDefault="009E377A" w:rsidP="00B26833">
      <w:pPr>
        <w:tabs>
          <w:tab w:val="left" w:pos="720"/>
          <w:tab w:val="left" w:pos="8640"/>
        </w:tabs>
        <w:jc w:val="both"/>
      </w:pPr>
      <w:r>
        <w:tab/>
        <w:t xml:space="preserve">B. Electric Meter Labor – Internal Cost . . . . . . . . . . . . . . . . . . . </w:t>
      </w:r>
      <w:r w:rsidR="00FA2DAD">
        <w:t>. . . . . . . . . . . . . . .</w:t>
      </w:r>
      <w:r w:rsidR="00FA2DAD">
        <w:tab/>
        <w:t>19</w:t>
      </w:r>
    </w:p>
    <w:p w:rsidR="009E377A" w:rsidRDefault="009E377A" w:rsidP="00B26833">
      <w:pPr>
        <w:tabs>
          <w:tab w:val="left" w:pos="720"/>
          <w:tab w:val="left" w:pos="8640"/>
        </w:tabs>
        <w:jc w:val="both"/>
      </w:pPr>
      <w:r>
        <w:tab/>
        <w:t xml:space="preserve">C. Electric Meter Labor – Contract Cost . . . . . . . . . . . . . . . . . . . . </w:t>
      </w:r>
      <w:r w:rsidR="004E4B5A">
        <w:t xml:space="preserve">. . . </w:t>
      </w:r>
      <w:r w:rsidR="00FA2DAD">
        <w:t xml:space="preserve">. . . . . . . . . . </w:t>
      </w:r>
      <w:r w:rsidR="00FA2DAD">
        <w:tab/>
        <w:t>19</w:t>
      </w:r>
    </w:p>
    <w:p w:rsidR="009E377A" w:rsidRDefault="009E377A" w:rsidP="00B26833">
      <w:pPr>
        <w:tabs>
          <w:tab w:val="left" w:pos="720"/>
          <w:tab w:val="left" w:pos="8640"/>
        </w:tabs>
        <w:jc w:val="both"/>
      </w:pPr>
      <w:r>
        <w:tab/>
      </w:r>
      <w:proofErr w:type="gramStart"/>
      <w:r>
        <w:t xml:space="preserve">D. Natural Gas Modules . . . . . . . . . . . . . . . . . . . . . . . . . . . . . . . </w:t>
      </w:r>
      <w:r w:rsidR="00FA2DAD">
        <w:t>. . . . . . . . . . . . . . .</w:t>
      </w:r>
      <w:proofErr w:type="gramEnd"/>
      <w:r w:rsidR="00FA2DAD">
        <w:tab/>
        <w:t>20</w:t>
      </w:r>
    </w:p>
    <w:p w:rsidR="009E377A" w:rsidRDefault="009E377A" w:rsidP="00B26833">
      <w:pPr>
        <w:tabs>
          <w:tab w:val="left" w:pos="720"/>
          <w:tab w:val="left" w:pos="8640"/>
        </w:tabs>
        <w:jc w:val="both"/>
      </w:pPr>
      <w:r>
        <w:tab/>
        <w:t>E. Gas Module Labor – Contract Cost . . . . . . . . . . . . . . . . . . . . . . . . . . . . . . . . . . .</w:t>
      </w:r>
      <w:r>
        <w:tab/>
      </w:r>
      <w:r w:rsidR="00FA2DAD">
        <w:t>20</w:t>
      </w:r>
    </w:p>
    <w:p w:rsidR="009E377A" w:rsidRDefault="009E377A" w:rsidP="00B26833">
      <w:pPr>
        <w:tabs>
          <w:tab w:val="left" w:pos="720"/>
          <w:tab w:val="left" w:pos="8640"/>
        </w:tabs>
        <w:jc w:val="both"/>
      </w:pPr>
      <w:r>
        <w:tab/>
        <w:t xml:space="preserve">F. Head End Hardware . . . . . . . . . . . . . . . . . . . . . . . . . . . . . . . . </w:t>
      </w:r>
      <w:r w:rsidR="00FA2DAD">
        <w:t>. . . . . . . . . . . . . . .</w:t>
      </w:r>
      <w:r w:rsidR="00FA2DAD">
        <w:tab/>
        <w:t>20</w:t>
      </w:r>
    </w:p>
    <w:p w:rsidR="009E377A" w:rsidRDefault="009E377A" w:rsidP="00B26833">
      <w:pPr>
        <w:tabs>
          <w:tab w:val="left" w:pos="720"/>
          <w:tab w:val="left" w:pos="8640"/>
        </w:tabs>
        <w:jc w:val="both"/>
      </w:pPr>
      <w:r>
        <w:tab/>
        <w:t xml:space="preserve">G. Head End Software . . . . . . . . . . . . </w:t>
      </w:r>
      <w:proofErr w:type="gramStart"/>
      <w:r>
        <w:t xml:space="preserve">.  </w:t>
      </w:r>
      <w:proofErr w:type="gramEnd"/>
      <w:r>
        <w:t xml:space="preserve">. . . . . . . . . . . . . . . . . . . </w:t>
      </w:r>
      <w:r w:rsidR="00FA2DAD">
        <w:t>. . . . . . . . . . . . . . .</w:t>
      </w:r>
      <w:r w:rsidR="00FA2DAD">
        <w:tab/>
        <w:t>20</w:t>
      </w:r>
    </w:p>
    <w:p w:rsidR="009E377A" w:rsidRDefault="009E377A" w:rsidP="00B26833">
      <w:pPr>
        <w:tabs>
          <w:tab w:val="left" w:pos="720"/>
          <w:tab w:val="left" w:pos="8640"/>
        </w:tabs>
        <w:jc w:val="both"/>
      </w:pPr>
      <w:r>
        <w:tab/>
        <w:t xml:space="preserve">H. Head End Labor – Contract and Internal Cost . . . . . . . . . . . . </w:t>
      </w:r>
      <w:r w:rsidR="00FA2DAD">
        <w:t>. . . . . . . . . . . . . . .</w:t>
      </w:r>
      <w:r w:rsidR="00FA2DAD">
        <w:tab/>
        <w:t>20</w:t>
      </w:r>
    </w:p>
    <w:p w:rsidR="009E377A" w:rsidRDefault="009E377A" w:rsidP="00B26833">
      <w:pPr>
        <w:tabs>
          <w:tab w:val="left" w:pos="720"/>
          <w:tab w:val="left" w:pos="8640"/>
        </w:tabs>
        <w:jc w:val="both"/>
      </w:pPr>
      <w:r>
        <w:tab/>
        <w:t>I. Network Communications – Hardware . . . . . . . . . . . . . . . . . . . . . . . . . . . . . . . . .</w:t>
      </w:r>
      <w:r>
        <w:tab/>
        <w:t>2</w:t>
      </w:r>
      <w:r w:rsidR="00FA2DAD">
        <w:t>0</w:t>
      </w:r>
    </w:p>
    <w:p w:rsidR="009E377A" w:rsidRDefault="009E377A" w:rsidP="00B26833">
      <w:pPr>
        <w:tabs>
          <w:tab w:val="left" w:pos="720"/>
          <w:tab w:val="left" w:pos="8640"/>
        </w:tabs>
        <w:jc w:val="both"/>
      </w:pPr>
      <w:r>
        <w:tab/>
        <w:t xml:space="preserve">J. Network Communications – Software . . . . . . . . . . . . . . . . . . . . . . . . . . . . . . . . . </w:t>
      </w:r>
      <w:r>
        <w:tab/>
        <w:t>2</w:t>
      </w:r>
      <w:r w:rsidR="00FA2DAD">
        <w:t>0</w:t>
      </w:r>
    </w:p>
    <w:p w:rsidR="009E377A" w:rsidRDefault="009E377A" w:rsidP="00B26833">
      <w:pPr>
        <w:tabs>
          <w:tab w:val="left" w:pos="720"/>
          <w:tab w:val="left" w:pos="8640"/>
        </w:tabs>
        <w:jc w:val="both"/>
      </w:pPr>
      <w:r>
        <w:tab/>
        <w:t xml:space="preserve">K. Network Communications – Labor . . . . . . . . . . . . . . . . . . . . . . . . . . . . . . . . . . . </w:t>
      </w:r>
      <w:r>
        <w:tab/>
        <w:t>2</w:t>
      </w:r>
      <w:r w:rsidR="00FA2DAD">
        <w:t>0</w:t>
      </w:r>
    </w:p>
    <w:p w:rsidR="009E377A" w:rsidRDefault="009E377A" w:rsidP="00B26833">
      <w:pPr>
        <w:tabs>
          <w:tab w:val="left" w:pos="720"/>
          <w:tab w:val="left" w:pos="8640"/>
        </w:tabs>
        <w:jc w:val="both"/>
      </w:pPr>
      <w:r>
        <w:tab/>
      </w:r>
      <w:proofErr w:type="gramStart"/>
      <w:r>
        <w:t>L. Corporate Communications . . . . . . . . . . . . . . . . . . . . . . . . . . . . . . . . . . . . . . . . .</w:t>
      </w:r>
      <w:proofErr w:type="gramEnd"/>
      <w:r>
        <w:tab/>
        <w:t>2</w:t>
      </w:r>
      <w:r w:rsidR="00FA2DAD">
        <w:t>0</w:t>
      </w:r>
    </w:p>
    <w:p w:rsidR="009E377A" w:rsidRPr="00167F11" w:rsidRDefault="009E377A" w:rsidP="00B26833">
      <w:pPr>
        <w:tabs>
          <w:tab w:val="left" w:pos="720"/>
          <w:tab w:val="left" w:pos="8640"/>
        </w:tabs>
        <w:jc w:val="both"/>
      </w:pPr>
      <w:r>
        <w:tab/>
        <w:t xml:space="preserve">M. </w:t>
      </w:r>
      <w:r w:rsidR="000B0649" w:rsidRPr="000B0649">
        <w:rPr>
          <w:bCs/>
          <w:color w:val="000000"/>
          <w:szCs w:val="22"/>
        </w:rPr>
        <w:t>Washington Advanced Metering - Project Cost Summary</w:t>
      </w:r>
      <w:r w:rsidRPr="00167F11">
        <w:t xml:space="preserve"> . . . . . . .</w:t>
      </w:r>
      <w:r>
        <w:t xml:space="preserve"> . . . . . . . . . .</w:t>
      </w:r>
      <w:r>
        <w:tab/>
        <w:t>2</w:t>
      </w:r>
      <w:r w:rsidR="00FA2DAD">
        <w:t>1</w:t>
      </w:r>
    </w:p>
    <w:p w:rsidR="005F2CF6" w:rsidRDefault="005F2CF6" w:rsidP="00B26833">
      <w:pPr>
        <w:tabs>
          <w:tab w:val="left" w:pos="8640"/>
        </w:tabs>
        <w:jc w:val="both"/>
        <w:rPr>
          <w:sz w:val="28"/>
        </w:rPr>
      </w:pPr>
    </w:p>
    <w:p w:rsidR="0065650E" w:rsidRDefault="00654DDD" w:rsidP="004E4B5A">
      <w:pPr>
        <w:tabs>
          <w:tab w:val="left" w:pos="8640"/>
        </w:tabs>
        <w:jc w:val="both"/>
      </w:pPr>
      <w:proofErr w:type="gramStart"/>
      <w:r>
        <w:t xml:space="preserve">V. </w:t>
      </w:r>
      <w:r w:rsidR="005F2CF6">
        <w:t xml:space="preserve">Preliminary Deployment Schedule </w:t>
      </w:r>
      <w:r w:rsidR="005F2CF6" w:rsidRPr="00167F11">
        <w:t>. . . . . . . . . . .</w:t>
      </w:r>
      <w:r w:rsidR="005F2CF6" w:rsidRPr="005F2CF6">
        <w:t xml:space="preserve"> </w:t>
      </w:r>
      <w:r w:rsidR="005F2CF6" w:rsidRPr="00167F11">
        <w:t xml:space="preserve">. . . . . . </w:t>
      </w:r>
      <w:r w:rsidR="005F2CF6">
        <w:t>.</w:t>
      </w:r>
      <w:r w:rsidR="005F2CF6" w:rsidRPr="00167F11">
        <w:t xml:space="preserve"> . . . . . . . . . . . . . . . . .</w:t>
      </w:r>
      <w:r w:rsidR="005F2CF6">
        <w:t xml:space="preserve"> . . . . . </w:t>
      </w:r>
      <w:r w:rsidR="004E4B5A">
        <w:t>.</w:t>
      </w:r>
      <w:proofErr w:type="gramEnd"/>
      <w:r w:rsidR="004E4B5A">
        <w:t xml:space="preserve"> </w:t>
      </w:r>
      <w:r w:rsidR="00B76D60">
        <w:tab/>
      </w:r>
      <w:r w:rsidR="00612DB1">
        <w:t>2</w:t>
      </w:r>
      <w:r w:rsidR="00FA2DAD">
        <w:t>2</w:t>
      </w: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CC5D7F" w:rsidRDefault="00CC5D7F" w:rsidP="00B26833">
      <w:pPr>
        <w:tabs>
          <w:tab w:val="left" w:pos="8640"/>
        </w:tabs>
        <w:jc w:val="both"/>
      </w:pPr>
    </w:p>
    <w:p w:rsidR="00654DDD" w:rsidRDefault="00654DDD">
      <w:r>
        <w:br w:type="page"/>
      </w:r>
    </w:p>
    <w:p w:rsidR="002C4E6C" w:rsidRPr="003E324E" w:rsidRDefault="00B26833" w:rsidP="00B26833">
      <w:pPr>
        <w:jc w:val="center"/>
        <w:rPr>
          <w:b/>
          <w:sz w:val="28"/>
        </w:rPr>
      </w:pPr>
      <w:r>
        <w:rPr>
          <w:b/>
          <w:sz w:val="28"/>
        </w:rPr>
        <w:lastRenderedPageBreak/>
        <w:t xml:space="preserve">I. </w:t>
      </w:r>
      <w:r w:rsidR="0065650E" w:rsidRPr="003E324E">
        <w:rPr>
          <w:b/>
          <w:sz w:val="28"/>
        </w:rPr>
        <w:t>Executive Summary</w:t>
      </w:r>
    </w:p>
    <w:p w:rsidR="002C4E6C" w:rsidRPr="00B70CDB" w:rsidRDefault="002C4E6C" w:rsidP="00B26833">
      <w:pPr>
        <w:jc w:val="both"/>
      </w:pPr>
    </w:p>
    <w:p w:rsidR="00B162E3" w:rsidRDefault="006E38D3" w:rsidP="00DB27C1">
      <w:pPr>
        <w:jc w:val="both"/>
      </w:pPr>
      <w:r>
        <w:t>Avista Corporation (</w:t>
      </w:r>
      <w:r w:rsidR="00B162E3">
        <w:t xml:space="preserve">“Avista” or the “Company”) is committed to </w:t>
      </w:r>
      <w:r w:rsidR="00E223EB">
        <w:t xml:space="preserve">a path of </w:t>
      </w:r>
      <w:r w:rsidR="00FE3A72">
        <w:t xml:space="preserve">high </w:t>
      </w:r>
      <w:r w:rsidR="00E223EB">
        <w:t xml:space="preserve">customer </w:t>
      </w:r>
      <w:r w:rsidR="00FE3A72">
        <w:t>satisfaction</w:t>
      </w:r>
      <w:r w:rsidR="00E223EB">
        <w:t xml:space="preserve">, </w:t>
      </w:r>
      <w:r w:rsidR="00FE3A72">
        <w:t xml:space="preserve">which includes, among other things, </w:t>
      </w:r>
      <w:r w:rsidR="00B162E3">
        <w:t>offering its customers information and choices that help</w:t>
      </w:r>
      <w:r w:rsidR="00E223EB">
        <w:t xml:space="preserve"> them manage their energy costs.</w:t>
      </w:r>
      <w:r w:rsidR="00B162E3">
        <w:t xml:space="preserve"> </w:t>
      </w:r>
      <w:r w:rsidR="00E223EB">
        <w:t>The Company</w:t>
      </w:r>
      <w:r w:rsidR="00B162E3">
        <w:t xml:space="preserve"> views advan</w:t>
      </w:r>
      <w:r>
        <w:t>ced metering infrastructure (</w:t>
      </w:r>
      <w:r w:rsidR="00B162E3">
        <w:t>“advanced me</w:t>
      </w:r>
      <w:r w:rsidR="00A71D4F">
        <w:t xml:space="preserve">tering” or “AMI”) as an </w:t>
      </w:r>
      <w:r w:rsidR="00B162E3">
        <w:t xml:space="preserve">enabling technology </w:t>
      </w:r>
      <w:r w:rsidR="00A71D4F">
        <w:t>key</w:t>
      </w:r>
      <w:r w:rsidR="00B162E3">
        <w:t xml:space="preserve"> to this mission. </w:t>
      </w:r>
      <w:r w:rsidR="00B70CDB" w:rsidRPr="00B70CDB">
        <w:t xml:space="preserve">Advanced metering has emerged as a powerful </w:t>
      </w:r>
      <w:r w:rsidR="00AC3F59">
        <w:t xml:space="preserve">solution </w:t>
      </w:r>
      <w:r w:rsidR="00B70CDB">
        <w:t>among a r</w:t>
      </w:r>
      <w:r w:rsidR="00546A0F">
        <w:t>ange of smart grid technologies</w:t>
      </w:r>
      <w:r w:rsidR="00B70CDB" w:rsidRPr="00B70CDB">
        <w:t xml:space="preserve"> </w:t>
      </w:r>
      <w:r w:rsidR="00015A43">
        <w:t>that enables</w:t>
      </w:r>
      <w:r w:rsidR="00B70CDB" w:rsidRPr="00B70CDB">
        <w:t xml:space="preserve"> utilities to </w:t>
      </w:r>
      <w:r w:rsidR="00B70CDB">
        <w:t xml:space="preserve">improve </w:t>
      </w:r>
      <w:r w:rsidR="00480720">
        <w:t xml:space="preserve">responsiveness to customer needs, improve information sharing with customers, and ultimately improve overall customer service. </w:t>
      </w:r>
      <w:r w:rsidR="005205D2">
        <w:t>Advanced meters</w:t>
      </w:r>
      <w:r w:rsidR="00480720">
        <w:t xml:space="preserve"> are</w:t>
      </w:r>
      <w:r w:rsidR="005205D2">
        <w:t xml:space="preserve"> capable of two-way communication</w:t>
      </w:r>
      <w:r w:rsidR="00480720">
        <w:t xml:space="preserve"> and</w:t>
      </w:r>
      <w:r w:rsidR="005205D2">
        <w:t xml:space="preserve"> are equipped with the ability to measure the incoming and outgoing flow of electricity from a customer’s premise</w:t>
      </w:r>
      <w:r w:rsidR="00A0760D">
        <w:t>s</w:t>
      </w:r>
      <w:r w:rsidR="005205D2">
        <w:t xml:space="preserve"> in </w:t>
      </w:r>
      <w:r w:rsidR="00AC3F59">
        <w:t>configurable</w:t>
      </w:r>
      <w:r w:rsidR="005205D2">
        <w:t xml:space="preserve"> intervals </w:t>
      </w:r>
      <w:r w:rsidR="00AC3F59">
        <w:t>that range from 5 minutes to an hour</w:t>
      </w:r>
      <w:r w:rsidR="005205D2">
        <w:t>. This communication capability means the met</w:t>
      </w:r>
      <w:r w:rsidR="00654DDD">
        <w:t>er can remotely transmit energy-</w:t>
      </w:r>
      <w:r w:rsidR="005205D2">
        <w:t xml:space="preserve">use information to the utility and the customer, and can also receive and respond to signals sent from the utility to the meter. </w:t>
      </w:r>
    </w:p>
    <w:p w:rsidR="00B162E3" w:rsidRDefault="00B162E3" w:rsidP="00DB27C1">
      <w:pPr>
        <w:jc w:val="both"/>
      </w:pPr>
    </w:p>
    <w:p w:rsidR="00A371DE" w:rsidRDefault="00B162E3">
      <w:pPr>
        <w:ind w:firstLine="720"/>
        <w:jc w:val="both"/>
      </w:pPr>
      <w:r>
        <w:t>Avista is cert</w:t>
      </w:r>
      <w:r w:rsidR="00A71D4F">
        <w:t>ainly not alone in the deployment of advanced metering</w:t>
      </w:r>
      <w:r>
        <w:t xml:space="preserve">. The drive of utilities to improve customer service levels, coupled with </w:t>
      </w:r>
      <w:r w:rsidR="00DB27C1">
        <w:t>supportive regulatory policies</w:t>
      </w:r>
      <w:r w:rsidR="00553ECF">
        <w:t xml:space="preserve">, </w:t>
      </w:r>
      <w:r>
        <w:t>advances in metering technology</w:t>
      </w:r>
      <w:r w:rsidR="00553ECF">
        <w:t>,</w:t>
      </w:r>
      <w:r>
        <w:t xml:space="preserve"> and reductions in the price of meters, have helped propel a trend toward digital metering across the industrialized world. Penetration of advanced meters in the U.S. has increased from just </w:t>
      </w:r>
      <w:proofErr w:type="gramStart"/>
      <w:r>
        <w:t>under</w:t>
      </w:r>
      <w:proofErr w:type="gramEnd"/>
      <w:r>
        <w:t xml:space="preserve"> 5% in 2008 to over 30% by 2013</w:t>
      </w:r>
      <w:r w:rsidR="00DB27C1">
        <w:rPr>
          <w:rStyle w:val="FootnoteReference"/>
        </w:rPr>
        <w:footnoteReference w:id="1"/>
      </w:r>
      <w:r>
        <w:t xml:space="preserve">, and </w:t>
      </w:r>
      <w:r w:rsidR="00E223EB">
        <w:t>is</w:t>
      </w:r>
      <w:r>
        <w:t xml:space="preserve"> expected to reach 50%</w:t>
      </w:r>
      <w:r w:rsidR="00C932AD">
        <w:rPr>
          <w:rStyle w:val="FootnoteReference"/>
        </w:rPr>
        <w:footnoteReference w:id="2"/>
      </w:r>
      <w:r>
        <w:t xml:space="preserve"> </w:t>
      </w:r>
      <w:r w:rsidR="00C932AD">
        <w:t>to 70%</w:t>
      </w:r>
      <w:r w:rsidR="00C932AD">
        <w:rPr>
          <w:rStyle w:val="FootnoteReference"/>
        </w:rPr>
        <w:footnoteReference w:id="3"/>
      </w:r>
      <w:r w:rsidR="00C932AD">
        <w:t xml:space="preserve"> </w:t>
      </w:r>
      <w:r>
        <w:t xml:space="preserve">by the year </w:t>
      </w:r>
      <w:r w:rsidR="00577E26">
        <w:t>2020.</w:t>
      </w:r>
    </w:p>
    <w:p w:rsidR="00AA7B0E" w:rsidRDefault="00AA7B0E">
      <w:pPr>
        <w:jc w:val="both"/>
      </w:pPr>
    </w:p>
    <w:p w:rsidR="00AA7B0E" w:rsidRDefault="00B162E3">
      <w:pPr>
        <w:jc w:val="both"/>
      </w:pPr>
      <w:r>
        <w:t>The range of customer benefits associated with advanced metering</w:t>
      </w:r>
      <w:r w:rsidR="005205D2">
        <w:t xml:space="preserve"> include</w:t>
      </w:r>
      <w:r>
        <w:t>s</w:t>
      </w:r>
      <w:r w:rsidR="005205D2">
        <w:t xml:space="preserve"> near real-time energy use information, energy alerts, more accurate billing, greater privacy, improved energy efficiency</w:t>
      </w:r>
      <w:r w:rsidR="00E223EB">
        <w:t>,</w:t>
      </w:r>
      <w:r w:rsidR="005205D2">
        <w:t xml:space="preserve"> and remote </w:t>
      </w:r>
      <w:r w:rsidR="00AB1CA9">
        <w:t>rapid reconnect of service</w:t>
      </w:r>
      <w:r w:rsidR="00F2178C">
        <w:t xml:space="preserve">. Advanced metering also </w:t>
      </w:r>
      <w:r w:rsidR="00AB1CA9">
        <w:t xml:space="preserve">provides the opportunity for </w:t>
      </w:r>
      <w:r w:rsidR="00654DDD">
        <w:t xml:space="preserve">pre-pay options, </w:t>
      </w:r>
      <w:r w:rsidR="005205D2">
        <w:t>time</w:t>
      </w:r>
      <w:r w:rsidR="00AC3F59">
        <w:t>-</w:t>
      </w:r>
      <w:r w:rsidR="005205D2">
        <w:t>of</w:t>
      </w:r>
      <w:r w:rsidR="00AC3F59">
        <w:t>-</w:t>
      </w:r>
      <w:r w:rsidR="005205D2">
        <w:t>use pricing</w:t>
      </w:r>
      <w:r w:rsidR="0082662A">
        <w:t xml:space="preserve">, </w:t>
      </w:r>
      <w:r w:rsidR="00A0760D">
        <w:t xml:space="preserve">improvements in </w:t>
      </w:r>
      <w:r w:rsidR="005205D2">
        <w:t>the integration of customer-owned distributed generation</w:t>
      </w:r>
      <w:r w:rsidR="0082662A">
        <w:t>, and demand-based pricing mechanisms</w:t>
      </w:r>
      <w:r w:rsidR="005205D2">
        <w:t xml:space="preserve">. </w:t>
      </w:r>
      <w:r w:rsidR="00F2178C">
        <w:t xml:space="preserve">These systems </w:t>
      </w:r>
      <w:r w:rsidR="00546A0F">
        <w:t xml:space="preserve">also </w:t>
      </w:r>
      <w:r w:rsidR="00AB1CA9">
        <w:t xml:space="preserve">enable improved </w:t>
      </w:r>
      <w:r w:rsidR="00E223EB">
        <w:t>theft-</w:t>
      </w:r>
      <w:r w:rsidR="006E38D3">
        <w:t>loss prevention</w:t>
      </w:r>
      <w:r w:rsidR="005205D2">
        <w:t xml:space="preserve">, outage management, utility </w:t>
      </w:r>
      <w:r w:rsidR="00AB1CA9">
        <w:t xml:space="preserve">infrastructure </w:t>
      </w:r>
      <w:r w:rsidR="005205D2">
        <w:t>planning</w:t>
      </w:r>
      <w:r w:rsidR="00F2178C">
        <w:t>,</w:t>
      </w:r>
      <w:r w:rsidR="005205D2">
        <w:t xml:space="preserve"> employee safety</w:t>
      </w:r>
      <w:r w:rsidR="00AB1CA9">
        <w:t>, and reduced fuel and carbon emissions with fewer meter reader and service vehicles on the road</w:t>
      </w:r>
      <w:r w:rsidR="005205D2">
        <w:t>.</w:t>
      </w:r>
      <w:r>
        <w:t xml:space="preserve"> In addition to </w:t>
      </w:r>
      <w:r w:rsidR="00F2178C">
        <w:t>these benefits</w:t>
      </w:r>
      <w:r>
        <w:t xml:space="preserve">, advanced metering </w:t>
      </w:r>
      <w:r w:rsidR="00AB1CA9">
        <w:t>provides additional</w:t>
      </w:r>
      <w:r>
        <w:t xml:space="preserve"> tools that allow </w:t>
      </w:r>
      <w:r w:rsidR="00F2178C">
        <w:t xml:space="preserve">the utility </w:t>
      </w:r>
      <w:r>
        <w:t xml:space="preserve">to </w:t>
      </w:r>
      <w:r w:rsidR="00AB1CA9">
        <w:t xml:space="preserve">communicate and transact </w:t>
      </w:r>
      <w:r>
        <w:t xml:space="preserve">with customers in ways </w:t>
      </w:r>
      <w:r w:rsidR="00AC3F59">
        <w:t xml:space="preserve">the customer </w:t>
      </w:r>
      <w:r w:rsidR="003E324E">
        <w:t>prefer</w:t>
      </w:r>
      <w:r w:rsidR="00AC3F59">
        <w:t>s</w:t>
      </w:r>
      <w:r>
        <w:t>.</w:t>
      </w:r>
    </w:p>
    <w:p w:rsidR="00015A43" w:rsidRDefault="00015A43" w:rsidP="00B26833">
      <w:pPr>
        <w:jc w:val="both"/>
      </w:pPr>
    </w:p>
    <w:p w:rsidR="00B70CDB" w:rsidRDefault="0071405B" w:rsidP="00B26833">
      <w:pPr>
        <w:jc w:val="both"/>
      </w:pPr>
      <w:r>
        <w:t>The</w:t>
      </w:r>
      <w:r w:rsidR="00015A43">
        <w:t xml:space="preserve"> Company has entered</w:t>
      </w:r>
      <w:r w:rsidR="00B70CDB">
        <w:t xml:space="preserve"> the initial </w:t>
      </w:r>
      <w:r w:rsidR="00E223EB">
        <w:t xml:space="preserve">planning </w:t>
      </w:r>
      <w:r w:rsidR="00A71D4F">
        <w:t>phase</w:t>
      </w:r>
      <w:r w:rsidR="00B70CDB">
        <w:t xml:space="preserve"> of</w:t>
      </w:r>
      <w:r w:rsidR="005E4E2B">
        <w:t xml:space="preserve"> a program to</w:t>
      </w:r>
      <w:r w:rsidR="00B70CDB">
        <w:t xml:space="preserve"> </w:t>
      </w:r>
      <w:r w:rsidR="005E4E2B">
        <w:t>deploy</w:t>
      </w:r>
      <w:r w:rsidR="00B70CDB">
        <w:t xml:space="preserve"> advanced metering for its electric and natural gas customers</w:t>
      </w:r>
      <w:r w:rsidR="00015A43">
        <w:t xml:space="preserve"> in its </w:t>
      </w:r>
      <w:r w:rsidR="00F2178C">
        <w:t xml:space="preserve">Washington </w:t>
      </w:r>
      <w:r w:rsidR="00015A43">
        <w:t>service</w:t>
      </w:r>
      <w:r w:rsidR="00F2178C">
        <w:t xml:space="preserve"> area</w:t>
      </w:r>
      <w:r w:rsidR="00015A43">
        <w:t>.</w:t>
      </w:r>
      <w:r>
        <w:t xml:space="preserve"> </w:t>
      </w:r>
      <w:r w:rsidR="00F2178C">
        <w:t xml:space="preserve">The Washington advanced metering project will build on the Company’s experience with automated meter reading in Idaho and Oregon, and advanced metering in Pullman, Washington, to provide direct customer </w:t>
      </w:r>
      <w:r w:rsidR="006E38D3">
        <w:t xml:space="preserve">benefits </w:t>
      </w:r>
      <w:r w:rsidR="00F2178C">
        <w:t xml:space="preserve">and </w:t>
      </w:r>
      <w:r w:rsidR="00CB64EC">
        <w:t>improved operations</w:t>
      </w:r>
      <w:r w:rsidR="00F2178C">
        <w:t xml:space="preserve"> </w:t>
      </w:r>
      <w:r w:rsidR="00CB64EC">
        <w:t>for</w:t>
      </w:r>
      <w:r w:rsidR="00F2178C">
        <w:t xml:space="preserve"> Avista’s </w:t>
      </w:r>
      <w:r w:rsidR="00F2178C">
        <w:lastRenderedPageBreak/>
        <w:t xml:space="preserve">Washington </w:t>
      </w:r>
      <w:r w:rsidR="00CB64EC">
        <w:t>customers</w:t>
      </w:r>
      <w:r w:rsidR="00F2178C">
        <w:t xml:space="preserve">. </w:t>
      </w:r>
      <w:r>
        <w:t xml:space="preserve">The project, which will encompass approximately </w:t>
      </w:r>
      <w:r w:rsidR="00CB64EC">
        <w:t>six</w:t>
      </w:r>
      <w:r>
        <w:t xml:space="preserve"> years, will deploy adva</w:t>
      </w:r>
      <w:r w:rsidR="00E223EB">
        <w:t>nced meters to approximately 253</w:t>
      </w:r>
      <w:r>
        <w:t>,000 electric customers</w:t>
      </w:r>
      <w:r w:rsidR="003E324E">
        <w:t>,</w:t>
      </w:r>
      <w:r>
        <w:t xml:space="preserve"> and </w:t>
      </w:r>
      <w:r w:rsidR="00E223EB">
        <w:t>155</w:t>
      </w:r>
      <w:r>
        <w:t>,000 natural gas customers</w:t>
      </w:r>
      <w:r w:rsidR="00553ECF">
        <w:rPr>
          <w:rStyle w:val="FootnoteReference"/>
        </w:rPr>
        <w:footnoteReference w:id="4"/>
      </w:r>
      <w:r>
        <w:t>.</w:t>
      </w:r>
      <w:r w:rsidR="00C31B8D">
        <w:t xml:space="preserve"> The preliminary estimate of the capital </w:t>
      </w:r>
      <w:r w:rsidR="00EC7BFA">
        <w:t xml:space="preserve">cost </w:t>
      </w:r>
      <w:r w:rsidR="00F2178C">
        <w:t>for this program is approximately $</w:t>
      </w:r>
      <w:r w:rsidR="00937C6B">
        <w:t>1</w:t>
      </w:r>
      <w:r w:rsidR="00DB27C1">
        <w:t>42.1</w:t>
      </w:r>
      <w:r w:rsidR="00046B07">
        <w:t xml:space="preserve"> </w:t>
      </w:r>
      <w:r w:rsidR="00F2178C">
        <w:t xml:space="preserve">million. The Company has also estimated the </w:t>
      </w:r>
      <w:r w:rsidR="00CB64EC">
        <w:t>quantifiable</w:t>
      </w:r>
      <w:r w:rsidR="00F2178C">
        <w:t xml:space="preserve"> benefits </w:t>
      </w:r>
      <w:r w:rsidR="004917DE">
        <w:t xml:space="preserve">associated with </w:t>
      </w:r>
      <w:r w:rsidR="000D5BA7">
        <w:t>advanced metering</w:t>
      </w:r>
      <w:r w:rsidR="00937C6B">
        <w:t>.</w:t>
      </w:r>
      <w:r w:rsidR="004917DE">
        <w:t xml:space="preserve"> In the near term, the overall direct cost to customers associated with converting to </w:t>
      </w:r>
      <w:proofErr w:type="gramStart"/>
      <w:r w:rsidR="004917DE">
        <w:t>advanced</w:t>
      </w:r>
      <w:proofErr w:type="gramEnd"/>
      <w:r w:rsidR="004917DE">
        <w:t xml:space="preserve"> metering </w:t>
      </w:r>
      <w:r w:rsidR="006E38D3">
        <w:t xml:space="preserve">is expected to exceed the </w:t>
      </w:r>
      <w:r w:rsidR="00C370C1">
        <w:t>quantifiable</w:t>
      </w:r>
      <w:r w:rsidR="006E38D3">
        <w:t xml:space="preserve"> benefits</w:t>
      </w:r>
      <w:r w:rsidR="004917DE">
        <w:t>, but in</w:t>
      </w:r>
      <w:r w:rsidR="006E38D3">
        <w:t xml:space="preserve"> the long term the overall </w:t>
      </w:r>
      <w:r w:rsidR="00B26833">
        <w:t>benefit</w:t>
      </w:r>
      <w:r w:rsidR="006E38D3">
        <w:t xml:space="preserve"> to customers</w:t>
      </w:r>
      <w:r w:rsidR="004917DE">
        <w:t xml:space="preserve"> </w:t>
      </w:r>
      <w:r w:rsidR="006E38D3">
        <w:t>is</w:t>
      </w:r>
      <w:r w:rsidR="004917DE">
        <w:t xml:space="preserve"> expected to </w:t>
      </w:r>
      <w:r w:rsidR="00B26833">
        <w:t>exceed the costs</w:t>
      </w:r>
      <w:r w:rsidR="004917DE">
        <w:t xml:space="preserve">. </w:t>
      </w:r>
      <w:proofErr w:type="gramStart"/>
      <w:r w:rsidR="004917DE">
        <w:t>And</w:t>
      </w:r>
      <w:proofErr w:type="gramEnd"/>
      <w:r w:rsidR="004917DE">
        <w:t>, as highlighted above, advanced metering will provide immediate opportunities for improvements in customer communications, education, energy efficiency, carbon reduction, and a host of other benefits to both the customer and the Company.</w:t>
      </w:r>
    </w:p>
    <w:p w:rsidR="00B516E5" w:rsidRDefault="00B516E5" w:rsidP="00B26833">
      <w:pPr>
        <w:jc w:val="both"/>
      </w:pPr>
    </w:p>
    <w:p w:rsidR="008F327C" w:rsidRPr="004B6556" w:rsidRDefault="00727BA5" w:rsidP="00727BA5">
      <w:pPr>
        <w:jc w:val="center"/>
        <w:rPr>
          <w:b/>
          <w:sz w:val="28"/>
        </w:rPr>
      </w:pPr>
      <w:r>
        <w:rPr>
          <w:b/>
          <w:sz w:val="28"/>
        </w:rPr>
        <w:t xml:space="preserve">II. </w:t>
      </w:r>
      <w:r w:rsidR="008F327C">
        <w:rPr>
          <w:b/>
          <w:sz w:val="28"/>
        </w:rPr>
        <w:t>Introduction</w:t>
      </w:r>
    </w:p>
    <w:p w:rsidR="00E107B7" w:rsidRDefault="00E107B7" w:rsidP="00B26833">
      <w:pPr>
        <w:jc w:val="both"/>
        <w:rPr>
          <w:b/>
        </w:rPr>
      </w:pPr>
    </w:p>
    <w:p w:rsidR="008F327C" w:rsidRDefault="008F327C" w:rsidP="00B26833">
      <w:pPr>
        <w:jc w:val="both"/>
      </w:pPr>
      <w:r>
        <w:t>Utilities today are engaged in a major reinvestment effort in the nation’s electric grid, with much of that focused on infrastructure designed to transform the system into the intelligent grid of the 21</w:t>
      </w:r>
      <w:r w:rsidRPr="00857BA7">
        <w:rPr>
          <w:vertAlign w:val="superscript"/>
        </w:rPr>
        <w:t>st</w:t>
      </w:r>
      <w:r>
        <w:t xml:space="preserve"> century. Deployment of these modernization technologies </w:t>
      </w:r>
      <w:proofErr w:type="gramStart"/>
      <w:r w:rsidR="00AF70F9">
        <w:t xml:space="preserve">is </w:t>
      </w:r>
      <w:r w:rsidR="00CB64EC">
        <w:t>designed</w:t>
      </w:r>
      <w:proofErr w:type="gramEnd"/>
      <w:r w:rsidR="00CB64EC">
        <w:t xml:space="preserve"> </w:t>
      </w:r>
      <w:r>
        <w:t>to improve the power grid’s reliability and performance by optimizing electricity supply and demand</w:t>
      </w:r>
      <w:r w:rsidR="00AF70F9">
        <w:t xml:space="preserve"> through better visibility of the system and response capabilities</w:t>
      </w:r>
      <w:r w:rsidR="00802013">
        <w:t>. Known also as the “smart</w:t>
      </w:r>
      <w:r>
        <w:t xml:space="preserve"> grid</w:t>
      </w:r>
      <w:r w:rsidR="00802013">
        <w:t>,”</w:t>
      </w:r>
      <w:r>
        <w:rPr>
          <w:rStyle w:val="FootnoteReference"/>
        </w:rPr>
        <w:footnoteReference w:id="5"/>
      </w:r>
      <w:r>
        <w:t xml:space="preserve"> these technologies </w:t>
      </w:r>
      <w:proofErr w:type="gramStart"/>
      <w:r>
        <w:t>are designed</w:t>
      </w:r>
      <w:proofErr w:type="gramEnd"/>
      <w:r>
        <w:t xml:space="preserve"> to enhance power delivery by promoting intelligent two-way communication between suppliers and consumers. Ultimately, these types of investments will move the nation closer to establishing a more efficient and effective electricity infrastructure that is expected to help contain costs, reduce emissions, incorporate more sources of variable renewable energy, increase power grid reliability, and provide greater choice and flexibility for utility customers. Improving the efficiency of the na</w:t>
      </w:r>
      <w:r w:rsidR="00CB64EC">
        <w:t>tion’s grid infrastructure is not</w:t>
      </w:r>
      <w:r>
        <w:t xml:space="preserve"> the only driver of these investments. Utilities are also under increasing pressure to deliver customers an improved and more-tailored service experience and greater service value, </w:t>
      </w:r>
      <w:r w:rsidR="0072450D">
        <w:t>on par with</w:t>
      </w:r>
      <w:r>
        <w:t xml:space="preserve"> what they are experiencing </w:t>
      </w:r>
      <w:r w:rsidR="00814ED1">
        <w:t xml:space="preserve">in their interaction </w:t>
      </w:r>
      <w:r>
        <w:t>with other service providers.</w:t>
      </w:r>
    </w:p>
    <w:p w:rsidR="00F43DA5" w:rsidRDefault="00F43DA5" w:rsidP="00B26833">
      <w:pPr>
        <w:jc w:val="both"/>
      </w:pPr>
    </w:p>
    <w:p w:rsidR="008F327C" w:rsidRDefault="00F43DA5" w:rsidP="00B26833">
      <w:pPr>
        <w:jc w:val="both"/>
      </w:pPr>
      <w:r>
        <w:t>Though</w:t>
      </w:r>
      <w:r w:rsidR="008F327C">
        <w:t xml:space="preserve"> utilities </w:t>
      </w:r>
      <w:proofErr w:type="gramStart"/>
      <w:r w:rsidR="008F327C">
        <w:t xml:space="preserve">are </w:t>
      </w:r>
      <w:r w:rsidR="007E51C2">
        <w:t>viewed</w:t>
      </w:r>
      <w:proofErr w:type="gramEnd"/>
      <w:r w:rsidR="007E51C2">
        <w:t xml:space="preserve"> as </w:t>
      </w:r>
      <w:r w:rsidR="008F327C">
        <w:t xml:space="preserve">lagging behind their retail counterparts when it comes to providing </w:t>
      </w:r>
      <w:r w:rsidR="00D47B36">
        <w:t xml:space="preserve">personalized </w:t>
      </w:r>
      <w:r w:rsidR="008F327C">
        <w:t>customer experience</w:t>
      </w:r>
      <w:r>
        <w:t>,</w:t>
      </w:r>
      <w:r w:rsidR="008F327C">
        <w:t xml:space="preserve"> </w:t>
      </w:r>
      <w:r w:rsidR="00C10A8C">
        <w:t>the industry is</w:t>
      </w:r>
      <w:r w:rsidR="008F327C">
        <w:t xml:space="preserve"> </w:t>
      </w:r>
      <w:r w:rsidR="007E51C2">
        <w:t>moving</w:t>
      </w:r>
      <w:r w:rsidR="00937C6B">
        <w:t xml:space="preserve"> forward</w:t>
      </w:r>
      <w:r w:rsidR="00CB64EC">
        <w:t xml:space="preserve">. </w:t>
      </w:r>
      <w:proofErr w:type="gramStart"/>
      <w:r w:rsidR="00937C6B">
        <w:t>Better understanding customer preferences allows</w:t>
      </w:r>
      <w:proofErr w:type="gramEnd"/>
      <w:r w:rsidR="00937C6B">
        <w:t xml:space="preserve"> the utility to differentiate its service offerings, which results in more informed and satisfied customers.</w:t>
      </w:r>
      <w:r w:rsidR="00C10A8C">
        <w:t xml:space="preserve"> </w:t>
      </w:r>
      <w:r w:rsidR="004570FF">
        <w:t xml:space="preserve">More informed customers are more likely to participate in utility-sponsored initiatives and innovations, and </w:t>
      </w:r>
      <w:proofErr w:type="gramStart"/>
      <w:r w:rsidR="004570FF">
        <w:t>they also</w:t>
      </w:r>
      <w:proofErr w:type="gramEnd"/>
      <w:r w:rsidR="004570FF">
        <w:t xml:space="preserve"> perceive higher value from their personalized service. Developing this capability requires investment in a range of supporting technologies</w:t>
      </w:r>
      <w:r w:rsidR="001E3BC5">
        <w:t>, one of which has been</w:t>
      </w:r>
      <w:r w:rsidR="004570FF">
        <w:t xml:space="preserve"> </w:t>
      </w:r>
      <w:r w:rsidR="008F327C">
        <w:t>the deployment of</w:t>
      </w:r>
      <w:r w:rsidR="008F327C" w:rsidRPr="00B75CF9">
        <w:t xml:space="preserve"> </w:t>
      </w:r>
      <w:r w:rsidR="008F327C">
        <w:t xml:space="preserve">meters equipped with two-way communication capability, referred to in the industry as “advanced” or “smart” meters. Utilities installing these metering systems are aiming to </w:t>
      </w:r>
      <w:r w:rsidR="008F327C">
        <w:lastRenderedPageBreak/>
        <w:t xml:space="preserve">provide customers with tools to better </w:t>
      </w:r>
      <w:r w:rsidR="0082662A">
        <w:t>understan</w:t>
      </w:r>
      <w:r w:rsidR="009760A8">
        <w:t xml:space="preserve">d </w:t>
      </w:r>
      <w:r w:rsidR="00454C0B">
        <w:t xml:space="preserve">and manage </w:t>
      </w:r>
      <w:r w:rsidR="008F327C">
        <w:t>their energy use, deliver improved service</w:t>
      </w:r>
      <w:r w:rsidR="00C25CD1">
        <w:t xml:space="preserve"> quality</w:t>
      </w:r>
      <w:r w:rsidR="0082662A">
        <w:t xml:space="preserve"> and operational </w:t>
      </w:r>
      <w:r w:rsidR="00547048">
        <w:t>benefits</w:t>
      </w:r>
      <w:r w:rsidR="008F327C">
        <w:t xml:space="preserve">, and achieve a greater degree of customer </w:t>
      </w:r>
      <w:r w:rsidR="004676F4">
        <w:t>satisfaction</w:t>
      </w:r>
      <w:r w:rsidR="008F327C">
        <w:t>.</w:t>
      </w:r>
    </w:p>
    <w:p w:rsidR="00CB64EC" w:rsidRDefault="00CB64EC" w:rsidP="00B26833">
      <w:pPr>
        <w:jc w:val="both"/>
      </w:pPr>
    </w:p>
    <w:p w:rsidR="002045F9" w:rsidRPr="00C10A8C" w:rsidRDefault="00727BA5" w:rsidP="00B26833">
      <w:pPr>
        <w:jc w:val="both"/>
        <w:rPr>
          <w:b/>
        </w:rPr>
      </w:pPr>
      <w:r>
        <w:rPr>
          <w:b/>
        </w:rPr>
        <w:t xml:space="preserve">A.  </w:t>
      </w:r>
      <w:r w:rsidR="004B6556" w:rsidRPr="00C10A8C">
        <w:rPr>
          <w:b/>
        </w:rPr>
        <w:t>Advanced Metering Infrastructure</w:t>
      </w:r>
    </w:p>
    <w:p w:rsidR="00D71AE7" w:rsidRDefault="00D71AE7" w:rsidP="00B26833">
      <w:pPr>
        <w:jc w:val="both"/>
      </w:pPr>
      <w:r>
        <w:t>Advanced meters themselves are only part of an integr</w:t>
      </w:r>
      <w:r w:rsidR="00204508">
        <w:t>ated metering system. T</w:t>
      </w:r>
      <w:r w:rsidR="0032485B">
        <w:t>hat is, t</w:t>
      </w:r>
      <w:r w:rsidR="00046B07">
        <w:t xml:space="preserve">hey </w:t>
      </w:r>
      <w:proofErr w:type="gramStart"/>
      <w:r w:rsidR="00046B07">
        <w:t xml:space="preserve">must be </w:t>
      </w:r>
      <w:r>
        <w:t>connected</w:t>
      </w:r>
      <w:proofErr w:type="gramEnd"/>
      <w:r>
        <w:t xml:space="preserve"> with </w:t>
      </w:r>
      <w:r w:rsidR="00204508">
        <w:t xml:space="preserve">specialized </w:t>
      </w:r>
      <w:r>
        <w:t xml:space="preserve">communication </w:t>
      </w:r>
      <w:r w:rsidR="00204508">
        <w:t xml:space="preserve">networks </w:t>
      </w:r>
      <w:r>
        <w:t>and information management systems in order to deliver value to the consum</w:t>
      </w:r>
      <w:r w:rsidR="0032485B">
        <w:t>er and the utility provider. This</w:t>
      </w:r>
      <w:r>
        <w:t xml:space="preserve"> entire system of meters, communication</w:t>
      </w:r>
      <w:r w:rsidR="00146942">
        <w:t>s</w:t>
      </w:r>
      <w:r>
        <w:t xml:space="preserve">, and digital hardware and software systems </w:t>
      </w:r>
      <w:proofErr w:type="gramStart"/>
      <w:r>
        <w:t>is referred</w:t>
      </w:r>
      <w:proofErr w:type="gramEnd"/>
      <w:r>
        <w:t xml:space="preserve"> to as advanced metering infrastructure.</w:t>
      </w:r>
      <w:r w:rsidRPr="00A5792C">
        <w:t xml:space="preserve"> </w:t>
      </w:r>
      <w:r>
        <w:t xml:space="preserve">A brief description of the major components of these systems </w:t>
      </w:r>
      <w:proofErr w:type="gramStart"/>
      <w:r>
        <w:t>is provided</w:t>
      </w:r>
      <w:proofErr w:type="gramEnd"/>
      <w:r>
        <w:t xml:space="preserve"> below.</w:t>
      </w:r>
    </w:p>
    <w:p w:rsidR="00D71AE7" w:rsidRDefault="00D71AE7" w:rsidP="00B26833">
      <w:pPr>
        <w:jc w:val="both"/>
      </w:pPr>
    </w:p>
    <w:p w:rsidR="00F256BB" w:rsidRPr="00204508" w:rsidRDefault="00727BA5" w:rsidP="00B26833">
      <w:pPr>
        <w:jc w:val="both"/>
        <w:rPr>
          <w:u w:val="single"/>
        </w:rPr>
      </w:pPr>
      <w:r>
        <w:rPr>
          <w:u w:val="single"/>
        </w:rPr>
        <w:t xml:space="preserve">1. </w:t>
      </w:r>
      <w:r w:rsidR="005A0B55" w:rsidRPr="00204508">
        <w:rPr>
          <w:u w:val="single"/>
        </w:rPr>
        <w:t>Meters</w:t>
      </w:r>
    </w:p>
    <w:p w:rsidR="00C93A57" w:rsidRDefault="0032485B" w:rsidP="00B26833">
      <w:pPr>
        <w:jc w:val="both"/>
      </w:pPr>
      <w:r>
        <w:t>Traditionally, utility customers have had few tools to effectively understand and manage their energy use, because conventional meters</w:t>
      </w:r>
      <w:r w:rsidR="00B4312C">
        <w:t>, including automatic meter reading</w:t>
      </w:r>
      <w:r w:rsidR="00AE79F1">
        <w:t xml:space="preserve"> (AMR) </w:t>
      </w:r>
      <w:r w:rsidR="00B4312C">
        <w:t>systems</w:t>
      </w:r>
      <w:r w:rsidR="00B4312C">
        <w:rPr>
          <w:rStyle w:val="FootnoteReference"/>
        </w:rPr>
        <w:footnoteReference w:id="6"/>
      </w:r>
      <w:r w:rsidR="00B4312C">
        <w:t>,</w:t>
      </w:r>
      <w:r>
        <w:t xml:space="preserve"> are not equipped to provide specific and timely information on consumption. Advanced meters</w:t>
      </w:r>
      <w:r w:rsidR="00454C0B">
        <w:rPr>
          <w:rStyle w:val="FootnoteReference"/>
        </w:rPr>
        <w:footnoteReference w:id="7"/>
      </w:r>
      <w:r>
        <w:t xml:space="preserve"> can measure the incoming and outgoing flow of </w:t>
      </w:r>
      <w:r w:rsidR="00974873">
        <w:t>energy</w:t>
      </w:r>
      <w:r>
        <w:t xml:space="preserve"> from a customer’s premise</w:t>
      </w:r>
      <w:r w:rsidR="00A0760D">
        <w:t>s</w:t>
      </w:r>
      <w:r>
        <w:t xml:space="preserve"> in configurable intervals that range from 5 minutes to an hour.</w:t>
      </w:r>
      <w:r w:rsidR="00362A5D">
        <w:t xml:space="preserve"> This</w:t>
      </w:r>
      <w:r w:rsidR="00F97F91">
        <w:t xml:space="preserve"> communication capability means the meter can remotely transmit energy use information to the utility and the customer</w:t>
      </w:r>
      <w:r w:rsidR="00362A5D">
        <w:t>, and can also receive</w:t>
      </w:r>
      <w:r w:rsidR="00F97F91">
        <w:t xml:space="preserve"> </w:t>
      </w:r>
      <w:r w:rsidR="00362A5D">
        <w:t xml:space="preserve">and respond to </w:t>
      </w:r>
      <w:r w:rsidR="00F97F91">
        <w:t>signal</w:t>
      </w:r>
      <w:r w:rsidR="00362A5D">
        <w:t>s</w:t>
      </w:r>
      <w:r w:rsidR="00F97F91">
        <w:t xml:space="preserve"> sent from the utility to the meter.</w:t>
      </w:r>
      <w:r w:rsidR="00362A5D">
        <w:t xml:space="preserve"> When the advanced meter </w:t>
      </w:r>
      <w:proofErr w:type="gramStart"/>
      <w:r w:rsidR="00362A5D">
        <w:t>is paired</w:t>
      </w:r>
      <w:proofErr w:type="gramEnd"/>
      <w:r w:rsidR="00362A5D">
        <w:t xml:space="preserve"> with </w:t>
      </w:r>
      <w:r w:rsidR="007C2508" w:rsidRPr="007C2508">
        <w:t>a customer-focused website</w:t>
      </w:r>
      <w:r w:rsidR="007C2508">
        <w:t xml:space="preserve"> or </w:t>
      </w:r>
      <w:r w:rsidR="00362A5D">
        <w:t xml:space="preserve">an in-home energy display, the information </w:t>
      </w:r>
      <w:r w:rsidR="007C2508">
        <w:t xml:space="preserve">it provides </w:t>
      </w:r>
      <w:r w:rsidR="00362A5D">
        <w:t>enables the customer to make informed and timely decisions in relati</w:t>
      </w:r>
      <w:r w:rsidR="00C93A57">
        <w:t>on to their energy consumption</w:t>
      </w:r>
      <w:r w:rsidR="007C2508">
        <w:t>, helping the customer turn information into actions that benefit them.</w:t>
      </w:r>
    </w:p>
    <w:p w:rsidR="00362A5D" w:rsidRDefault="00362A5D" w:rsidP="00B26833">
      <w:pPr>
        <w:jc w:val="both"/>
      </w:pPr>
    </w:p>
    <w:p w:rsidR="00F256BB" w:rsidRPr="00204508" w:rsidRDefault="00727BA5" w:rsidP="00B26833">
      <w:pPr>
        <w:jc w:val="both"/>
        <w:rPr>
          <w:u w:val="single"/>
        </w:rPr>
      </w:pPr>
      <w:r>
        <w:rPr>
          <w:u w:val="single"/>
        </w:rPr>
        <w:t xml:space="preserve">2. </w:t>
      </w:r>
      <w:r w:rsidR="00362A5D" w:rsidRPr="00204508">
        <w:rPr>
          <w:u w:val="single"/>
        </w:rPr>
        <w:t>Metering Communications</w:t>
      </w:r>
      <w:r w:rsidR="00AB4AD4" w:rsidRPr="00204508">
        <w:rPr>
          <w:u w:val="single"/>
        </w:rPr>
        <w:t xml:space="preserve"> Network</w:t>
      </w:r>
    </w:p>
    <w:p w:rsidR="00362A5D" w:rsidRDefault="00362A5D" w:rsidP="00B26833">
      <w:pPr>
        <w:jc w:val="both"/>
      </w:pPr>
      <w:r>
        <w:t xml:space="preserve">A </w:t>
      </w:r>
      <w:r w:rsidR="00CF731C">
        <w:t xml:space="preserve">specialized and </w:t>
      </w:r>
      <w:r>
        <w:t>secure</w:t>
      </w:r>
      <w:r w:rsidR="00397D54">
        <w:t xml:space="preserve"> </w:t>
      </w:r>
      <w:r>
        <w:t xml:space="preserve">communication </w:t>
      </w:r>
      <w:r w:rsidR="00A35C21">
        <w:t xml:space="preserve">system </w:t>
      </w:r>
      <w:r>
        <w:t xml:space="preserve">is required to transmit information between </w:t>
      </w:r>
      <w:r w:rsidR="00814ED1">
        <w:t xml:space="preserve">the advanced meter and </w:t>
      </w:r>
      <w:r w:rsidR="00A423E5">
        <w:t xml:space="preserve">the utility. </w:t>
      </w:r>
      <w:proofErr w:type="gramStart"/>
      <w:r w:rsidR="00A423E5">
        <w:t>And</w:t>
      </w:r>
      <w:proofErr w:type="gramEnd"/>
      <w:r>
        <w:t xml:space="preserve"> while there are various options available for </w:t>
      </w:r>
      <w:r w:rsidR="00CA3DB9">
        <w:t xml:space="preserve">providing this communication link, it is commonly accomplished by the implementation of </w:t>
      </w:r>
      <w:r w:rsidR="00AA7B0E">
        <w:t xml:space="preserve">three </w:t>
      </w:r>
      <w:r w:rsidR="00397D54">
        <w:t xml:space="preserve">integrated </w:t>
      </w:r>
      <w:r w:rsidR="00CA3DB9">
        <w:t xml:space="preserve">systems, the </w:t>
      </w:r>
      <w:r w:rsidR="00AA7B0E">
        <w:t xml:space="preserve">Neighborhood Area Network, the </w:t>
      </w:r>
      <w:r w:rsidR="00CA3DB9">
        <w:t>Field Area Network and the Wide Area Network.</w:t>
      </w:r>
      <w:r w:rsidR="005920E3">
        <w:t xml:space="preserve"> </w:t>
      </w:r>
      <w:r w:rsidR="00AA7B0E">
        <w:t>The Neighborhood Area Network</w:t>
      </w:r>
      <w:r w:rsidR="00046B07">
        <w:t>, also known as a “mesh</w:t>
      </w:r>
      <w:r w:rsidR="00D55166">
        <w:t xml:space="preserve"> network,</w:t>
      </w:r>
      <w:r w:rsidR="00046B07">
        <w:t>”</w:t>
      </w:r>
      <w:r w:rsidR="00AA7B0E">
        <w:t xml:space="preserve"> is composed of the wireless communication </w:t>
      </w:r>
      <w:r w:rsidR="007758CA">
        <w:t xml:space="preserve">that takes place between the individual advanced meters. </w:t>
      </w:r>
      <w:r w:rsidR="00D55166">
        <w:t xml:space="preserve">Through this </w:t>
      </w:r>
      <w:r w:rsidR="00046B07">
        <w:t>network</w:t>
      </w:r>
      <w:r w:rsidR="00802013">
        <w:t xml:space="preserve"> of</w:t>
      </w:r>
      <w:r w:rsidR="00046B07">
        <w:t xml:space="preserve"> </w:t>
      </w:r>
      <w:r w:rsidR="00D55166">
        <w:t>communication, i</w:t>
      </w:r>
      <w:r w:rsidR="007758CA">
        <w:t xml:space="preserve">nformation </w:t>
      </w:r>
      <w:proofErr w:type="gramStart"/>
      <w:r w:rsidR="007758CA">
        <w:t>is transmitted</w:t>
      </w:r>
      <w:proofErr w:type="gramEnd"/>
      <w:r w:rsidR="007758CA">
        <w:t xml:space="preserve"> from meter to meter</w:t>
      </w:r>
      <w:r w:rsidR="00AA7B0E">
        <w:t xml:space="preserve"> </w:t>
      </w:r>
      <w:r w:rsidR="00D55166">
        <w:t>and in the process is aggregated and transmitted to the</w:t>
      </w:r>
      <w:r w:rsidR="00AA7B0E">
        <w:t xml:space="preserve"> Field Area Network. </w:t>
      </w:r>
      <w:r w:rsidR="005920E3" w:rsidRPr="00E646ED">
        <w:t xml:space="preserve">The </w:t>
      </w:r>
      <w:r w:rsidR="00802013">
        <w:t>latter</w:t>
      </w:r>
      <w:r w:rsidR="005920E3" w:rsidRPr="00E646ED">
        <w:t xml:space="preserve"> is a broadband wireless system that </w:t>
      </w:r>
      <w:r w:rsidR="00D55166">
        <w:t xml:space="preserve">may support only one function, such as advanced metering, but which </w:t>
      </w:r>
      <w:proofErr w:type="gramStart"/>
      <w:r w:rsidR="005920E3" w:rsidRPr="00E646ED">
        <w:t xml:space="preserve">can </w:t>
      </w:r>
      <w:r w:rsidR="00D55166">
        <w:t xml:space="preserve">also </w:t>
      </w:r>
      <w:r w:rsidR="005920E3" w:rsidRPr="00E646ED">
        <w:t xml:space="preserve">be </w:t>
      </w:r>
      <w:r w:rsidR="00AA7B0E">
        <w:t>designed</w:t>
      </w:r>
      <w:proofErr w:type="gramEnd"/>
      <w:r w:rsidR="00AA7B0E">
        <w:t xml:space="preserve"> to support</w:t>
      </w:r>
      <w:r w:rsidR="00046B07">
        <w:t xml:space="preserve"> a full range of advanced grid-</w:t>
      </w:r>
      <w:r w:rsidR="005920E3" w:rsidRPr="00E646ED">
        <w:t>device communications.</w:t>
      </w:r>
      <w:r w:rsidR="00373F00">
        <w:t xml:space="preserve"> </w:t>
      </w:r>
      <w:r w:rsidR="00B832B3">
        <w:t xml:space="preserve">The Wide Area Network is a </w:t>
      </w:r>
      <w:r w:rsidR="00A35C21">
        <w:t xml:space="preserve">separate </w:t>
      </w:r>
      <w:r w:rsidR="00802013">
        <w:t>computer-</w:t>
      </w:r>
      <w:r w:rsidR="00B832B3">
        <w:t>based communication network that connects seamlessly with the Field Area Network</w:t>
      </w:r>
      <w:r w:rsidR="00A35C21">
        <w:t>. The Wide Area Network</w:t>
      </w:r>
      <w:r w:rsidR="00B832B3">
        <w:t xml:space="preserve"> </w:t>
      </w:r>
      <w:r w:rsidR="00A35C21">
        <w:t>is responsible for</w:t>
      </w:r>
      <w:r w:rsidR="00B832B3">
        <w:t xml:space="preserve"> transmit</w:t>
      </w:r>
      <w:r w:rsidR="00A35C21">
        <w:t>ting</w:t>
      </w:r>
      <w:r w:rsidR="00B832B3">
        <w:t xml:space="preserve"> metering data </w:t>
      </w:r>
      <w:r w:rsidR="00A35C21">
        <w:t>coll</w:t>
      </w:r>
      <w:r w:rsidR="00727BA5">
        <w:t>ected by the Field Area Network</w:t>
      </w:r>
      <w:r w:rsidR="00B832B3">
        <w:t xml:space="preserve"> to the utility operations center.</w:t>
      </w:r>
      <w:r w:rsidR="00E820CF">
        <w:t xml:space="preserve"> The </w:t>
      </w:r>
      <w:r w:rsidR="00CF731C">
        <w:t>design</w:t>
      </w:r>
      <w:r w:rsidR="00E820CF">
        <w:t xml:space="preserve"> of </w:t>
      </w:r>
      <w:r w:rsidR="00E820CF">
        <w:lastRenderedPageBreak/>
        <w:t xml:space="preserve">these </w:t>
      </w:r>
      <w:r w:rsidR="00046B07">
        <w:t>three</w:t>
      </w:r>
      <w:r w:rsidR="00E820CF">
        <w:t xml:space="preserve"> network systems is dependent on </w:t>
      </w:r>
      <w:r w:rsidR="00802013">
        <w:t xml:space="preserve">the characteristics of each utility’s system and </w:t>
      </w:r>
      <w:r w:rsidR="00E820CF">
        <w:t xml:space="preserve">the advanced metering </w:t>
      </w:r>
      <w:r w:rsidR="00802013">
        <w:t>solutions</w:t>
      </w:r>
      <w:r w:rsidR="00E820CF">
        <w:t xml:space="preserve"> ultimately selected.</w:t>
      </w:r>
    </w:p>
    <w:p w:rsidR="00CA3DB9" w:rsidRDefault="00CA3DB9" w:rsidP="00B26833">
      <w:pPr>
        <w:jc w:val="both"/>
      </w:pPr>
    </w:p>
    <w:p w:rsidR="00F256BB" w:rsidRPr="00204508" w:rsidRDefault="00727BA5" w:rsidP="00B26833">
      <w:pPr>
        <w:jc w:val="both"/>
        <w:rPr>
          <w:u w:val="single"/>
        </w:rPr>
      </w:pPr>
      <w:r>
        <w:rPr>
          <w:u w:val="single"/>
        </w:rPr>
        <w:t xml:space="preserve">3. </w:t>
      </w:r>
      <w:r w:rsidR="00E820CF" w:rsidRPr="00204508">
        <w:rPr>
          <w:u w:val="single"/>
        </w:rPr>
        <w:t>Meter Data Collection System</w:t>
      </w:r>
    </w:p>
    <w:p w:rsidR="00E820CF" w:rsidRDefault="00E820CF" w:rsidP="00B26833">
      <w:pPr>
        <w:jc w:val="both"/>
      </w:pPr>
      <w:r>
        <w:t>This</w:t>
      </w:r>
      <w:r w:rsidR="003E6247">
        <w:t xml:space="preserve"> system</w:t>
      </w:r>
      <w:r>
        <w:t xml:space="preserve"> is composed of computer ha</w:t>
      </w:r>
      <w:r w:rsidR="007F72F2">
        <w:t>rdware and software application</w:t>
      </w:r>
      <w:r w:rsidR="00A46F99">
        <w:t>s</w:t>
      </w:r>
      <w:r>
        <w:t xml:space="preserve"> that </w:t>
      </w:r>
      <w:r w:rsidR="00A83055">
        <w:t>control and coordinate</w:t>
      </w:r>
      <w:r>
        <w:t xml:space="preserve"> the communications </w:t>
      </w:r>
      <w:r w:rsidR="00817ABB">
        <w:t xml:space="preserve">networks </w:t>
      </w:r>
      <w:r>
        <w:t>as well as collecting</w:t>
      </w:r>
      <w:r w:rsidR="00817ABB">
        <w:t xml:space="preserve"> </w:t>
      </w:r>
      <w:r>
        <w:t xml:space="preserve">the usage </w:t>
      </w:r>
      <w:r w:rsidR="00817ABB">
        <w:t xml:space="preserve">data </w:t>
      </w:r>
      <w:r>
        <w:t>from the advanced meter</w:t>
      </w:r>
      <w:r w:rsidR="00817ABB">
        <w:t>s in the field</w:t>
      </w:r>
      <w:r>
        <w:t>.</w:t>
      </w:r>
      <w:r w:rsidR="007F72F2">
        <w:t xml:space="preserve"> The software is designed and provided by the manufacturer of the advanced meters </w:t>
      </w:r>
      <w:proofErr w:type="gramStart"/>
      <w:r w:rsidR="007F72F2">
        <w:t>being installed</w:t>
      </w:r>
      <w:proofErr w:type="gramEnd"/>
      <w:r w:rsidR="007F72F2">
        <w:t>.</w:t>
      </w:r>
      <w:r w:rsidR="00A46F99" w:rsidRPr="00A46F99">
        <w:t xml:space="preserve"> </w:t>
      </w:r>
      <w:r w:rsidR="00A46F99">
        <w:t xml:space="preserve">Metering data </w:t>
      </w:r>
      <w:proofErr w:type="gramStart"/>
      <w:r w:rsidR="00A46F99">
        <w:t>is then transmitted</w:t>
      </w:r>
      <w:proofErr w:type="gramEnd"/>
      <w:r w:rsidR="00A46F99">
        <w:t xml:space="preserve"> from the collection system to the utility’s Meter Data Management System.</w:t>
      </w:r>
    </w:p>
    <w:p w:rsidR="007F72F2" w:rsidRDefault="007F72F2" w:rsidP="00B26833">
      <w:pPr>
        <w:jc w:val="both"/>
      </w:pPr>
    </w:p>
    <w:p w:rsidR="00F256BB" w:rsidRPr="00204508" w:rsidRDefault="00727BA5" w:rsidP="00B26833">
      <w:pPr>
        <w:jc w:val="both"/>
        <w:rPr>
          <w:u w:val="single"/>
        </w:rPr>
      </w:pPr>
      <w:r>
        <w:rPr>
          <w:u w:val="single"/>
        </w:rPr>
        <w:t xml:space="preserve">4. </w:t>
      </w:r>
      <w:r w:rsidR="007F72F2" w:rsidRPr="00204508">
        <w:rPr>
          <w:u w:val="single"/>
        </w:rPr>
        <w:t>Meter Data Management System</w:t>
      </w:r>
    </w:p>
    <w:p w:rsidR="009C2926" w:rsidRDefault="007F72F2" w:rsidP="00B26833">
      <w:pPr>
        <w:jc w:val="both"/>
      </w:pPr>
      <w:r>
        <w:t>This system includes computer hardware and software application</w:t>
      </w:r>
      <w:r w:rsidR="008F2BD8">
        <w:t>s</w:t>
      </w:r>
      <w:r>
        <w:t xml:space="preserve"> that </w:t>
      </w:r>
      <w:r w:rsidR="008F2BD8">
        <w:t xml:space="preserve">are </w:t>
      </w:r>
      <w:r>
        <w:t>responsible for storing, validating, editing</w:t>
      </w:r>
      <w:r w:rsidR="00A423E5">
        <w:t>,</w:t>
      </w:r>
      <w:r>
        <w:t xml:space="preserve"> and analyzing the advanced meter usage data. Metering information from this system </w:t>
      </w:r>
      <w:proofErr w:type="gramStart"/>
      <w:r>
        <w:t xml:space="preserve">is then </w:t>
      </w:r>
      <w:r w:rsidR="00397D54">
        <w:t>imported</w:t>
      </w:r>
      <w:proofErr w:type="gramEnd"/>
      <w:r w:rsidR="00397D54">
        <w:t xml:space="preserve"> to</w:t>
      </w:r>
      <w:r>
        <w:t xml:space="preserve"> other specialized software applications to perform</w:t>
      </w:r>
      <w:r w:rsidR="00397D54">
        <w:t xml:space="preserve"> </w:t>
      </w:r>
      <w:r w:rsidR="008F2BD8">
        <w:t xml:space="preserve">a </w:t>
      </w:r>
      <w:r w:rsidR="00397D54">
        <w:t>range of</w:t>
      </w:r>
      <w:r>
        <w:t xml:space="preserve"> business functions such as customer billing, outage management, conservation voltage </w:t>
      </w:r>
      <w:r w:rsidR="00397D54">
        <w:t>monitoring</w:t>
      </w:r>
      <w:r>
        <w:t xml:space="preserve">, </w:t>
      </w:r>
      <w:r w:rsidR="008F2BD8">
        <w:t xml:space="preserve">and </w:t>
      </w:r>
      <w:r>
        <w:t>theft detection.</w:t>
      </w:r>
    </w:p>
    <w:p w:rsidR="00F256BB" w:rsidRDefault="00F256BB" w:rsidP="00B26833">
      <w:pPr>
        <w:jc w:val="both"/>
      </w:pPr>
    </w:p>
    <w:p w:rsidR="00A83055" w:rsidRPr="00CC175D" w:rsidRDefault="00727BA5" w:rsidP="00B26833">
      <w:pPr>
        <w:jc w:val="both"/>
        <w:rPr>
          <w:b/>
        </w:rPr>
      </w:pPr>
      <w:r>
        <w:rPr>
          <w:b/>
        </w:rPr>
        <w:t xml:space="preserve">B.  </w:t>
      </w:r>
      <w:r w:rsidR="00A83055" w:rsidRPr="00CC175D">
        <w:rPr>
          <w:b/>
        </w:rPr>
        <w:t>Industry Trends in Advanced Metering</w:t>
      </w:r>
    </w:p>
    <w:p w:rsidR="00A83055" w:rsidRDefault="00A83055" w:rsidP="00B26833">
      <w:pPr>
        <w:jc w:val="both"/>
      </w:pPr>
      <w:r>
        <w:t>The drive of utilit</w:t>
      </w:r>
      <w:r w:rsidR="007A2622">
        <w:t xml:space="preserve">ies to improve customer </w:t>
      </w:r>
      <w:r w:rsidR="00937C6B">
        <w:t>satisfaction</w:t>
      </w:r>
      <w:r w:rsidR="007A2622">
        <w:t xml:space="preserve"> and deliver operational </w:t>
      </w:r>
      <w:r w:rsidR="00547048">
        <w:t>benefits</w:t>
      </w:r>
      <w:r>
        <w:t>, coupled with advances in metering technology, has helped propel a trend toward digital metering a</w:t>
      </w:r>
      <w:r w:rsidR="007C2508">
        <w:t xml:space="preserve">cross the industrialized world. </w:t>
      </w:r>
      <w:r w:rsidR="00034680">
        <w:t>Advanced metering systems today are more robust and reliable than previous iterations</w:t>
      </w:r>
      <w:r w:rsidR="007C2508">
        <w:t>,</w:t>
      </w:r>
      <w:r w:rsidR="007C2508" w:rsidRPr="007C2508">
        <w:t xml:space="preserve"> </w:t>
      </w:r>
      <w:r w:rsidR="007C2508">
        <w:t xml:space="preserve">and technologies are coalescing around proven approaches and standards. </w:t>
      </w:r>
      <w:proofErr w:type="gramStart"/>
      <w:r w:rsidR="007C2508">
        <w:t>A</w:t>
      </w:r>
      <w:r w:rsidR="00034680">
        <w:t>nd</w:t>
      </w:r>
      <w:proofErr w:type="gramEnd"/>
      <w:r w:rsidR="00034680">
        <w:t xml:space="preserve"> as the technology continues to mature, the cost of the meters continues to decline. </w:t>
      </w:r>
      <w:r w:rsidR="009E58BE">
        <w:t xml:space="preserve">State and federal regulatory policies, as well as those of regulatory associations, such as </w:t>
      </w:r>
      <w:proofErr w:type="spellStart"/>
      <w:r w:rsidR="009E58BE">
        <w:t>NARUC</w:t>
      </w:r>
      <w:proofErr w:type="spellEnd"/>
      <w:r w:rsidR="009E58BE">
        <w:t xml:space="preserve">, have also played a role in accelerating the deployment of advanced metering systems. </w:t>
      </w:r>
      <w:r>
        <w:t>The Energy Information Administration</w:t>
      </w:r>
      <w:r>
        <w:rPr>
          <w:rStyle w:val="FootnoteReference"/>
        </w:rPr>
        <w:footnoteReference w:id="8"/>
      </w:r>
      <w:r>
        <w:t xml:space="preserve"> reported that in 2012, 533 U.S. utilities had installed 43,165,183 advanced meters. Data collected from various sources by the Federal Energy Regulatory Commission</w:t>
      </w:r>
      <w:r>
        <w:rPr>
          <w:rStyle w:val="FootnoteReference"/>
        </w:rPr>
        <w:footnoteReference w:id="9"/>
      </w:r>
      <w:r>
        <w:t xml:space="preserve">, reported the penetration of advanced meters as </w:t>
      </w:r>
      <w:r w:rsidR="00802013">
        <w:t>climbing</w:t>
      </w:r>
      <w:r>
        <w:t xml:space="preserve"> from just under 5% in 2008 to over 30% by 2013. In addition to rates of penetration, the report documents federal and state regulatory efforts promoting advanced metering, customer benefits resulting from deployment, and efforts around the nation to promote demand response initiatives. </w:t>
      </w:r>
      <w:r w:rsidR="00B4312C">
        <w:t xml:space="preserve">According to the Edison Foundation Institute for Electric Innovation, </w:t>
      </w:r>
      <w:r w:rsidR="000208AB">
        <w:t>the number of advanced meters deployed in the U.S. had reached 50 million by July 2014, with a residential penetration rate exceeding 43%</w:t>
      </w:r>
      <w:r w:rsidR="000208AB">
        <w:rPr>
          <w:rStyle w:val="FootnoteReference"/>
        </w:rPr>
        <w:footnoteReference w:id="10"/>
      </w:r>
      <w:r w:rsidR="000208AB">
        <w:t xml:space="preserve">. </w:t>
      </w:r>
      <w:r>
        <w:t>According to Gartner</w:t>
      </w:r>
      <w:r>
        <w:rPr>
          <w:rStyle w:val="FootnoteReference"/>
        </w:rPr>
        <w:footnoteReference w:id="11"/>
      </w:r>
      <w:r>
        <w:t xml:space="preserve"> research, the installation of advanced meters </w:t>
      </w:r>
      <w:proofErr w:type="gramStart"/>
      <w:r>
        <w:t>is expected</w:t>
      </w:r>
      <w:proofErr w:type="gramEnd"/>
      <w:r>
        <w:t xml:space="preserve"> to top 130 million in Europe by 2016. In the United States, the number of deployment projects for advanced meters </w:t>
      </w:r>
      <w:proofErr w:type="gramStart"/>
      <w:r>
        <w:t>is expected</w:t>
      </w:r>
      <w:proofErr w:type="gramEnd"/>
      <w:r>
        <w:t xml:space="preserve"> to reach 260 in 2016, double the number of deployment projects in 2009.</w:t>
      </w:r>
      <w:r w:rsidRPr="00A14593">
        <w:t xml:space="preserve"> </w:t>
      </w:r>
      <w:r w:rsidR="00802013">
        <w:t>Longer term, the</w:t>
      </w:r>
      <w:r>
        <w:t xml:space="preserve"> </w:t>
      </w:r>
      <w:r>
        <w:lastRenderedPageBreak/>
        <w:t xml:space="preserve">penetration of advanced meters in the U.S. </w:t>
      </w:r>
      <w:proofErr w:type="gramStart"/>
      <w:r>
        <w:t>is expected</w:t>
      </w:r>
      <w:proofErr w:type="gramEnd"/>
      <w:r>
        <w:t xml:space="preserve"> to reach 50% </w:t>
      </w:r>
      <w:r w:rsidR="000208AB">
        <w:t>to 70%</w:t>
      </w:r>
      <w:r w:rsidR="000208AB">
        <w:rPr>
          <w:rStyle w:val="FootnoteReference"/>
        </w:rPr>
        <w:footnoteReference w:id="12"/>
      </w:r>
      <w:r w:rsidR="000208AB">
        <w:t xml:space="preserve"> </w:t>
      </w:r>
      <w:r>
        <w:t>by the year 2020.</w:t>
      </w:r>
    </w:p>
    <w:p w:rsidR="00CF5E14" w:rsidRDefault="00CF5E14" w:rsidP="00B26833">
      <w:pPr>
        <w:jc w:val="both"/>
      </w:pPr>
    </w:p>
    <w:p w:rsidR="00CF5E14" w:rsidRDefault="00CF5E14" w:rsidP="00B26833">
      <w:pPr>
        <w:jc w:val="both"/>
      </w:pPr>
      <w:r>
        <w:t xml:space="preserve">Here in the Pacific Northwest, several </w:t>
      </w:r>
      <w:r w:rsidR="00727BA5">
        <w:t>investor-owned</w:t>
      </w:r>
      <w:r>
        <w:t xml:space="preserve"> utilities have already implemented </w:t>
      </w:r>
      <w:r w:rsidR="00D64049">
        <w:t>automated meter reading or advanced</w:t>
      </w:r>
      <w:r>
        <w:t xml:space="preserve"> metering systems, including </w:t>
      </w:r>
      <w:r w:rsidR="00D64049">
        <w:t>Avista, Idaho Power Company</w:t>
      </w:r>
      <w:r>
        <w:t xml:space="preserve">, </w:t>
      </w:r>
      <w:r w:rsidR="00D64049">
        <w:t xml:space="preserve">Pacific Power, </w:t>
      </w:r>
      <w:r>
        <w:t>Por</w:t>
      </w:r>
      <w:r w:rsidR="00D64049">
        <w:t>tland General Electric</w:t>
      </w:r>
      <w:r>
        <w:t xml:space="preserve">, </w:t>
      </w:r>
      <w:r w:rsidR="00D64049">
        <w:t>and Puget Sound Energy</w:t>
      </w:r>
      <w:r>
        <w:t>. In addition to these, many public utilities in the region</w:t>
      </w:r>
      <w:r w:rsidR="009E58BE">
        <w:t>, including Avista’s neighbors Inland Power and Light and Kootenai Electric Cooperative,</w:t>
      </w:r>
      <w:r>
        <w:t xml:space="preserve"> </w:t>
      </w:r>
      <w:r w:rsidR="000208AB">
        <w:t xml:space="preserve">have installed </w:t>
      </w:r>
      <w:r w:rsidR="00802013">
        <w:t>advanced metering</w:t>
      </w:r>
      <w:r w:rsidR="000208AB">
        <w:t xml:space="preserve">, or </w:t>
      </w:r>
      <w:r>
        <w:t xml:space="preserve">are </w:t>
      </w:r>
      <w:r w:rsidR="000208AB">
        <w:t>in the planning or acquisition phase</w:t>
      </w:r>
      <w:r w:rsidR="00802013">
        <w:t xml:space="preserve"> of doing so</w:t>
      </w:r>
      <w:r>
        <w:t>.</w:t>
      </w:r>
    </w:p>
    <w:p w:rsidR="00A83055" w:rsidRDefault="00A83055" w:rsidP="00B26833">
      <w:pPr>
        <w:jc w:val="both"/>
      </w:pPr>
    </w:p>
    <w:p w:rsidR="00CC175D" w:rsidRPr="00CC175D" w:rsidRDefault="00727BA5" w:rsidP="00B26833">
      <w:pPr>
        <w:jc w:val="both"/>
        <w:rPr>
          <w:b/>
        </w:rPr>
      </w:pPr>
      <w:r>
        <w:rPr>
          <w:b/>
        </w:rPr>
        <w:t xml:space="preserve">C.  </w:t>
      </w:r>
      <w:r w:rsidR="00CC175D">
        <w:rPr>
          <w:b/>
        </w:rPr>
        <w:t xml:space="preserve">Avista’s </w:t>
      </w:r>
      <w:r w:rsidR="00CC175D" w:rsidRPr="00CC175D">
        <w:rPr>
          <w:b/>
        </w:rPr>
        <w:t>Experience with Automated and Advanced Metering</w:t>
      </w:r>
    </w:p>
    <w:p w:rsidR="00A83055" w:rsidRDefault="00727BA5" w:rsidP="00B26833">
      <w:pPr>
        <w:jc w:val="both"/>
      </w:pPr>
      <w:proofErr w:type="gramStart"/>
      <w:r>
        <w:t>Avista’s</w:t>
      </w:r>
      <w:proofErr w:type="gramEnd"/>
      <w:r w:rsidR="00A83055">
        <w:t xml:space="preserve"> Washington advanced metering project will build on the Company’s experience with automated meter reading and advanced metering to provide customer and operational benefits to Avista’s Washington operations. In its Oregon service area, Avista has for many years operated a mobile </w:t>
      </w:r>
      <w:proofErr w:type="gramStart"/>
      <w:r w:rsidR="00A83055">
        <w:t>meter data collection system</w:t>
      </w:r>
      <w:proofErr w:type="gramEnd"/>
      <w:r w:rsidR="00A83055">
        <w:t xml:space="preserve"> that encompasses 104,000 meters. In 2004 - 2008, Avista installed approximately 220,000 automated </w:t>
      </w:r>
      <w:proofErr w:type="gramStart"/>
      <w:r w:rsidR="00A83055">
        <w:t>meter</w:t>
      </w:r>
      <w:proofErr w:type="gramEnd"/>
      <w:r w:rsidR="00A83055">
        <w:t xml:space="preserve"> reading meters in its Idaho service territory. This system employed multiple telecommunication technologies, including wireless networks, powerline carrier, and mobile field collectors.</w:t>
      </w:r>
    </w:p>
    <w:p w:rsidR="001F229B" w:rsidRDefault="001F229B" w:rsidP="00B26833">
      <w:pPr>
        <w:jc w:val="both"/>
      </w:pPr>
    </w:p>
    <w:p w:rsidR="00A83055" w:rsidRDefault="00A83055" w:rsidP="00B26833">
      <w:pPr>
        <w:jc w:val="both"/>
      </w:pPr>
      <w:r>
        <w:t xml:space="preserve">In Pullman, Washington, the Company </w:t>
      </w:r>
      <w:r w:rsidR="005A472E">
        <w:t>led</w:t>
      </w:r>
      <w:r>
        <w:t xml:space="preserve"> a smart grid demonstration project that created the first “smart community” in the Pacific North</w:t>
      </w:r>
      <w:r w:rsidR="00CF5E14">
        <w:t>west. The demonstration project</w:t>
      </w:r>
      <w:r>
        <w:t xml:space="preserve"> was part of a larger federal initiat</w:t>
      </w:r>
      <w:r w:rsidR="00D64049">
        <w:t xml:space="preserve">ive that </w:t>
      </w:r>
      <w:proofErr w:type="gramStart"/>
      <w:r w:rsidR="00D64049">
        <w:t>was launched</w:t>
      </w:r>
      <w:proofErr w:type="gramEnd"/>
      <w:r w:rsidR="00D64049">
        <w:t xml:space="preserve"> in 2009. </w:t>
      </w:r>
      <w:r>
        <w:t xml:space="preserve">The project involved the automation of many parts of the electric distribution system in Pullman, </w:t>
      </w:r>
      <w:r w:rsidR="00D64049">
        <w:t>and included</w:t>
      </w:r>
      <w:r>
        <w:t xml:space="preserve"> the deployment of advanced metering infrastructure. In addition to </w:t>
      </w:r>
      <w:r w:rsidR="00CC175D">
        <w:t>deploying</w:t>
      </w:r>
      <w:r>
        <w:t xml:space="preserve"> advanced meters, Avista installed a wireless telecommunication network to </w:t>
      </w:r>
      <w:r w:rsidR="00CC175D">
        <w:t>provide connectivity with</w:t>
      </w:r>
      <w:r>
        <w:t xml:space="preserve"> the meters, and a </w:t>
      </w:r>
      <w:proofErr w:type="gramStart"/>
      <w:r>
        <w:t>meter data management system</w:t>
      </w:r>
      <w:proofErr w:type="gramEnd"/>
      <w:r>
        <w:t xml:space="preserve"> to aggregate, store a</w:t>
      </w:r>
      <w:r w:rsidR="00034680">
        <w:t>nd display customer meter data.</w:t>
      </w:r>
    </w:p>
    <w:p w:rsidR="00A83055" w:rsidRDefault="00A83055" w:rsidP="00B26833">
      <w:pPr>
        <w:jc w:val="both"/>
      </w:pPr>
    </w:p>
    <w:p w:rsidR="00A83055" w:rsidRPr="00034680" w:rsidRDefault="00727BA5" w:rsidP="00B26833">
      <w:pPr>
        <w:jc w:val="both"/>
        <w:rPr>
          <w:b/>
        </w:rPr>
      </w:pPr>
      <w:r>
        <w:rPr>
          <w:b/>
        </w:rPr>
        <w:t xml:space="preserve">D.  </w:t>
      </w:r>
      <w:r w:rsidR="00936DA2">
        <w:rPr>
          <w:b/>
        </w:rPr>
        <w:t>Advanced Metering Security</w:t>
      </w:r>
    </w:p>
    <w:p w:rsidR="00C655E6" w:rsidRDefault="009E58BE" w:rsidP="00B26833">
      <w:pPr>
        <w:jc w:val="both"/>
      </w:pPr>
      <w:r>
        <w:t xml:space="preserve">In keeping with its Customer Privacy Policy, </w:t>
      </w:r>
      <w:r w:rsidR="00C655E6">
        <w:t xml:space="preserve">Avista is committed to </w:t>
      </w:r>
      <w:r>
        <w:t xml:space="preserve">ensuring that </w:t>
      </w:r>
      <w:r w:rsidR="00C655E6">
        <w:t xml:space="preserve">private customer information </w:t>
      </w:r>
      <w:r>
        <w:t xml:space="preserve">is </w:t>
      </w:r>
      <w:r w:rsidR="00C655E6">
        <w:t>safe</w:t>
      </w:r>
      <w:r>
        <w:t xml:space="preserve"> and secure</w:t>
      </w:r>
      <w:r w:rsidR="002A071B">
        <w:t xml:space="preserve"> at all times.</w:t>
      </w:r>
      <w:r w:rsidR="00C655E6">
        <w:t xml:space="preserve"> </w:t>
      </w:r>
      <w:r w:rsidR="002A071B">
        <w:t>P</w:t>
      </w:r>
      <w:r w:rsidR="00C655E6">
        <w:t xml:space="preserve">roviding robust security measures </w:t>
      </w:r>
      <w:r w:rsidR="002A071B">
        <w:t xml:space="preserve">to help accomplish this </w:t>
      </w:r>
      <w:proofErr w:type="gramStart"/>
      <w:r w:rsidR="00C655E6">
        <w:t>is integral to the success of the Washington advanced</w:t>
      </w:r>
      <w:proofErr w:type="gramEnd"/>
      <w:r w:rsidR="00C655E6">
        <w:t xml:space="preserve"> metering project. Advanced metering systems today incorporate modern cyber security methods to ensure data </w:t>
      </w:r>
      <w:proofErr w:type="gramStart"/>
      <w:r w:rsidR="00C655E6">
        <w:t>is protected</w:t>
      </w:r>
      <w:proofErr w:type="gramEnd"/>
      <w:r w:rsidR="00C655E6">
        <w:t xml:space="preserve"> from the meters to the secure data center. Metering data </w:t>
      </w:r>
      <w:proofErr w:type="gramStart"/>
      <w:r w:rsidR="00C655E6">
        <w:t>is encrypted</w:t>
      </w:r>
      <w:proofErr w:type="gramEnd"/>
      <w:r w:rsidR="00C655E6">
        <w:t xml:space="preserve"> at the meter, and any access to the metering systems must be authorized and authenticated. Although security </w:t>
      </w:r>
      <w:proofErr w:type="gramStart"/>
      <w:r w:rsidR="00C655E6">
        <w:t>is embedded</w:t>
      </w:r>
      <w:proofErr w:type="gramEnd"/>
      <w:r w:rsidR="00C655E6">
        <w:t xml:space="preserve"> in the meter and system components, it is up to Avista to understand each component and to ensure that the equipment design and implementation meet</w:t>
      </w:r>
      <w:r w:rsidR="00A423E5">
        <w:t>s</w:t>
      </w:r>
      <w:r w:rsidR="00C655E6">
        <w:t xml:space="preserve"> the security requirements for this application. Items such as data integrity, availability, and confidentiality of customer information </w:t>
      </w:r>
      <w:proofErr w:type="gramStart"/>
      <w:r w:rsidR="00C655E6">
        <w:t>are considered</w:t>
      </w:r>
      <w:proofErr w:type="gramEnd"/>
      <w:r w:rsidR="00C655E6">
        <w:t xml:space="preserve"> each time a particular technology is assessed and implemented. To that end, Avista will leverage an existing </w:t>
      </w:r>
      <w:r w:rsidR="001F229B">
        <w:t>“</w:t>
      </w:r>
      <w:r w:rsidR="00C655E6">
        <w:t>security working group</w:t>
      </w:r>
      <w:r w:rsidR="001F229B">
        <w:t>”</w:t>
      </w:r>
      <w:r w:rsidR="00C655E6">
        <w:t xml:space="preserve"> that applies risk assessments, oversees implementation of controls, and evaluates each technology device. The </w:t>
      </w:r>
      <w:proofErr w:type="gramStart"/>
      <w:r w:rsidR="00C655E6">
        <w:t>security working</w:t>
      </w:r>
      <w:proofErr w:type="gramEnd"/>
      <w:r w:rsidR="00C655E6">
        <w:t xml:space="preserve"> group is composed of a representative cross section of employees from the functional </w:t>
      </w:r>
      <w:r w:rsidR="00C655E6">
        <w:lastRenderedPageBreak/>
        <w:t xml:space="preserve">areas in the Company, and will include members associated with the advanced metering project, including the meter shop, distribution operations, information technology, security, application development, and others as necessary. The Company will use industry best practices based on a variety of guidelines and standards, including </w:t>
      </w:r>
      <w:proofErr w:type="spellStart"/>
      <w:r w:rsidR="00C655E6">
        <w:t>NISTIR</w:t>
      </w:r>
      <w:proofErr w:type="spellEnd"/>
      <w:r w:rsidR="00C655E6">
        <w:t xml:space="preserve"> 7628, since it deals directly with guidelines for smart grid cyber security.</w:t>
      </w:r>
    </w:p>
    <w:p w:rsidR="00C655E6" w:rsidRDefault="00C655E6" w:rsidP="00B26833">
      <w:pPr>
        <w:jc w:val="both"/>
      </w:pPr>
    </w:p>
    <w:p w:rsidR="00A83055" w:rsidRDefault="00C655E6" w:rsidP="00B26833">
      <w:pPr>
        <w:jc w:val="both"/>
      </w:pPr>
      <w:r>
        <w:t xml:space="preserve">The security working group will also develop a Washington advanced metering system security plan to document the Company’s </w:t>
      </w:r>
      <w:r w:rsidR="00462BD3">
        <w:t>strategy</w:t>
      </w:r>
      <w:r>
        <w:t xml:space="preserve"> for the secure implementation and operation of the system. The structure of the plan will focus on the assessment of security risks and control measures, and the implementation and monitoring of security controls. The plan will adopt what </w:t>
      </w:r>
      <w:proofErr w:type="gramStart"/>
      <w:r>
        <w:t>is known</w:t>
      </w:r>
      <w:proofErr w:type="gramEnd"/>
      <w:r>
        <w:t xml:space="preserve"> as a “cyclical” strategy because the review and assessment steps are repeated over time as the technologies and their respective risk profiles change and evolve. This group will carry out the implementation of the security plan, will address new and upcoming issues, perform evaluations of the effectiveness of controls, and make recommendations to the </w:t>
      </w:r>
      <w:r w:rsidR="001F229B">
        <w:t>“</w:t>
      </w:r>
      <w:r>
        <w:t>oversight committee</w:t>
      </w:r>
      <w:r w:rsidR="001F229B">
        <w:t>”</w:t>
      </w:r>
      <w:r>
        <w:t xml:space="preserve"> when appropriate. The oversight committee is </w:t>
      </w:r>
      <w:r w:rsidR="00462BD3">
        <w:t>composed</w:t>
      </w:r>
      <w:r>
        <w:t xml:space="preserve"> of directors and managers who are responsible for managing security risks at the enterprise level.  </w:t>
      </w:r>
    </w:p>
    <w:p w:rsidR="00A83055" w:rsidRDefault="00A83055" w:rsidP="00B26833">
      <w:pPr>
        <w:jc w:val="both"/>
      </w:pPr>
    </w:p>
    <w:p w:rsidR="00A83055" w:rsidRPr="00034680" w:rsidRDefault="00727BA5" w:rsidP="00B26833">
      <w:pPr>
        <w:jc w:val="both"/>
        <w:rPr>
          <w:b/>
        </w:rPr>
      </w:pPr>
      <w:r>
        <w:rPr>
          <w:b/>
        </w:rPr>
        <w:t xml:space="preserve">E.  </w:t>
      </w:r>
      <w:r w:rsidR="00A83055" w:rsidRPr="00034680">
        <w:rPr>
          <w:b/>
        </w:rPr>
        <w:t>Customer Meter Options</w:t>
      </w:r>
    </w:p>
    <w:p w:rsidR="00A83055" w:rsidRDefault="00A83055" w:rsidP="00B26833">
      <w:pPr>
        <w:jc w:val="both"/>
        <w:rPr>
          <w:rStyle w:val="SurveyTextChar"/>
          <w:rFonts w:ascii="Times New Roman" w:hAnsi="Times New Roman"/>
          <w:color w:val="auto"/>
        </w:rPr>
      </w:pPr>
      <w:r>
        <w:t xml:space="preserve">Avista is aware of the range of customer issues and concerns that </w:t>
      </w:r>
      <w:proofErr w:type="gramStart"/>
      <w:r>
        <w:t>have been raised</w:t>
      </w:r>
      <w:proofErr w:type="gramEnd"/>
      <w:r>
        <w:t xml:space="preserve"> in connection with the deployment of advanced metering across the country. While the vast majority of consumers </w:t>
      </w:r>
      <w:proofErr w:type="gramStart"/>
      <w:r w:rsidR="000D5BA7">
        <w:t>is</w:t>
      </w:r>
      <w:proofErr w:type="gramEnd"/>
      <w:r>
        <w:t xml:space="preserve"> </w:t>
      </w:r>
      <w:r w:rsidR="00727BA5">
        <w:t>willing to accept a new digital</w:t>
      </w:r>
      <w:r>
        <w:t>/communicating meter, there is a small percentage that can be strongly opposed to the installation of such equipment at their premise</w:t>
      </w:r>
      <w:r w:rsidR="00A0760D">
        <w:t>s</w:t>
      </w:r>
      <w:r w:rsidRPr="00A814F6">
        <w:t xml:space="preserve">. </w:t>
      </w:r>
      <w:r>
        <w:t xml:space="preserve">Those consumers who refuse to receive a new meter </w:t>
      </w:r>
      <w:proofErr w:type="gramStart"/>
      <w:r>
        <w:t>are referred</w:t>
      </w:r>
      <w:proofErr w:type="gramEnd"/>
      <w:r>
        <w:t xml:space="preserve"> to as choosing to “opt out” of the program. </w:t>
      </w:r>
      <w:proofErr w:type="gramStart"/>
      <w:r w:rsidRPr="00A814F6">
        <w:rPr>
          <w:rStyle w:val="SurveyTextChar"/>
          <w:rFonts w:ascii="Times New Roman" w:hAnsi="Times New Roman"/>
          <w:color w:val="auto"/>
        </w:rPr>
        <w:t>The choice a customer makes to oppose advanced metering is typically motivated by three main drivers</w:t>
      </w:r>
      <w:proofErr w:type="gramEnd"/>
      <w:r w:rsidRPr="00A814F6">
        <w:rPr>
          <w:rStyle w:val="SurveyTextChar"/>
          <w:rFonts w:ascii="Times New Roman" w:hAnsi="Times New Roman"/>
          <w:color w:val="auto"/>
        </w:rPr>
        <w:t xml:space="preserve">. The first is health concerns related to perceptions about radio frequency emissions. The second driver is </w:t>
      </w:r>
      <w:r w:rsidR="001571DD">
        <w:rPr>
          <w:rStyle w:val="SurveyTextChar"/>
          <w:rFonts w:ascii="Times New Roman" w:hAnsi="Times New Roman"/>
          <w:color w:val="auto"/>
        </w:rPr>
        <w:t xml:space="preserve">a </w:t>
      </w:r>
      <w:r w:rsidR="000D5BA7">
        <w:rPr>
          <w:rStyle w:val="SurveyTextChar"/>
          <w:rFonts w:ascii="Times New Roman" w:hAnsi="Times New Roman"/>
          <w:color w:val="auto"/>
        </w:rPr>
        <w:t>privacy</w:t>
      </w:r>
      <w:r w:rsidRPr="00A814F6">
        <w:rPr>
          <w:rStyle w:val="SurveyTextChar"/>
          <w:rFonts w:ascii="Times New Roman" w:hAnsi="Times New Roman"/>
          <w:color w:val="auto"/>
        </w:rPr>
        <w:t xml:space="preserve"> concern over the kind of customer information being </w:t>
      </w:r>
      <w:proofErr w:type="gramStart"/>
      <w:r w:rsidRPr="00A814F6">
        <w:rPr>
          <w:rStyle w:val="SurveyTextChar"/>
          <w:rFonts w:ascii="Times New Roman" w:hAnsi="Times New Roman"/>
          <w:color w:val="auto"/>
        </w:rPr>
        <w:t>communicated</w:t>
      </w:r>
      <w:proofErr w:type="gramEnd"/>
      <w:r w:rsidRPr="00A814F6">
        <w:rPr>
          <w:rStyle w:val="SurveyTextChar"/>
          <w:rFonts w:ascii="Times New Roman" w:hAnsi="Times New Roman"/>
          <w:color w:val="auto"/>
        </w:rPr>
        <w:t xml:space="preserve"> by the meter and collected by the utility</w:t>
      </w:r>
      <w:r>
        <w:rPr>
          <w:rStyle w:val="SurveyTextChar"/>
          <w:rFonts w:ascii="Times New Roman" w:hAnsi="Times New Roman"/>
          <w:color w:val="auto"/>
        </w:rPr>
        <w:t xml:space="preserve">. </w:t>
      </w:r>
      <w:r w:rsidRPr="00A814F6">
        <w:rPr>
          <w:rStyle w:val="SurveyTextChar"/>
          <w:rFonts w:ascii="Times New Roman" w:hAnsi="Times New Roman"/>
          <w:color w:val="auto"/>
        </w:rPr>
        <w:t xml:space="preserve">The third has to do with </w:t>
      </w:r>
      <w:r>
        <w:rPr>
          <w:rStyle w:val="SurveyTextChar"/>
          <w:rFonts w:ascii="Times New Roman" w:hAnsi="Times New Roman"/>
          <w:color w:val="auto"/>
        </w:rPr>
        <w:t xml:space="preserve">perceptions about the accuracy of digital </w:t>
      </w:r>
      <w:r w:rsidRPr="00A814F6">
        <w:rPr>
          <w:rStyle w:val="SurveyTextChar"/>
          <w:rFonts w:ascii="Times New Roman" w:hAnsi="Times New Roman"/>
          <w:color w:val="auto"/>
        </w:rPr>
        <w:t>meter</w:t>
      </w:r>
      <w:r>
        <w:rPr>
          <w:rStyle w:val="SurveyTextChar"/>
          <w:rFonts w:ascii="Times New Roman" w:hAnsi="Times New Roman"/>
          <w:color w:val="auto"/>
        </w:rPr>
        <w:t>s</w:t>
      </w:r>
      <w:r w:rsidRPr="00A814F6">
        <w:rPr>
          <w:rStyle w:val="SurveyTextChar"/>
          <w:rFonts w:ascii="Times New Roman" w:hAnsi="Times New Roman"/>
          <w:color w:val="auto"/>
        </w:rPr>
        <w:t xml:space="preserve"> </w:t>
      </w:r>
      <w:r>
        <w:rPr>
          <w:rStyle w:val="SurveyTextChar"/>
          <w:rFonts w:ascii="Times New Roman" w:hAnsi="Times New Roman"/>
          <w:color w:val="auto"/>
        </w:rPr>
        <w:t>compared with conventional metering</w:t>
      </w:r>
      <w:r w:rsidRPr="00A814F6">
        <w:rPr>
          <w:rStyle w:val="SurveyTextChar"/>
          <w:rFonts w:ascii="Times New Roman" w:hAnsi="Times New Roman"/>
          <w:color w:val="auto"/>
        </w:rPr>
        <w:t>.</w:t>
      </w:r>
    </w:p>
    <w:p w:rsidR="00A83055" w:rsidRDefault="00A83055" w:rsidP="00B26833">
      <w:pPr>
        <w:jc w:val="both"/>
        <w:rPr>
          <w:rStyle w:val="SurveyTextChar"/>
          <w:rFonts w:ascii="Times New Roman" w:hAnsi="Times New Roman"/>
          <w:color w:val="auto"/>
        </w:rPr>
      </w:pPr>
    </w:p>
    <w:p w:rsidR="00A83055" w:rsidRDefault="00A83055" w:rsidP="00B26833">
      <w:pPr>
        <w:jc w:val="both"/>
        <w:rPr>
          <w:rStyle w:val="SurveyTextChar"/>
          <w:rFonts w:ascii="Times New Roman" w:hAnsi="Times New Roman"/>
          <w:color w:val="auto"/>
        </w:rPr>
      </w:pPr>
      <w:r>
        <w:rPr>
          <w:rStyle w:val="SurveyTextChar"/>
          <w:rFonts w:ascii="Times New Roman" w:hAnsi="Times New Roman"/>
          <w:color w:val="auto"/>
        </w:rPr>
        <w:t xml:space="preserve">The Company believes that proactive customer communication is </w:t>
      </w:r>
      <w:proofErr w:type="gramStart"/>
      <w:r>
        <w:rPr>
          <w:rStyle w:val="SurveyTextChar"/>
          <w:rFonts w:ascii="Times New Roman" w:hAnsi="Times New Roman"/>
          <w:color w:val="auto"/>
        </w:rPr>
        <w:t>key</w:t>
      </w:r>
      <w:proofErr w:type="gramEnd"/>
      <w:r>
        <w:rPr>
          <w:rStyle w:val="SurveyTextChar"/>
          <w:rFonts w:ascii="Times New Roman" w:hAnsi="Times New Roman"/>
          <w:color w:val="auto"/>
        </w:rPr>
        <w:t xml:space="preserve"> to minimizing the number of customers who ultimately choose to opt out. In addition to early and active communication on the part of the Company</w:t>
      </w:r>
      <w:r w:rsidRPr="00241B68">
        <w:rPr>
          <w:rStyle w:val="SurveyTextChar"/>
          <w:rFonts w:ascii="Times New Roman" w:hAnsi="Times New Roman"/>
          <w:color w:val="auto"/>
        </w:rPr>
        <w:t xml:space="preserve">, Avista will focus on providing ways for our customers to raise questions, </w:t>
      </w:r>
      <w:proofErr w:type="gramStart"/>
      <w:r w:rsidRPr="00241B68">
        <w:rPr>
          <w:rStyle w:val="SurveyTextChar"/>
          <w:rFonts w:ascii="Times New Roman" w:hAnsi="Times New Roman"/>
          <w:color w:val="auto"/>
        </w:rPr>
        <w:t>issues</w:t>
      </w:r>
      <w:proofErr w:type="gramEnd"/>
      <w:r w:rsidRPr="00241B68">
        <w:rPr>
          <w:rStyle w:val="SurveyTextChar"/>
          <w:rFonts w:ascii="Times New Roman" w:hAnsi="Times New Roman"/>
          <w:color w:val="auto"/>
        </w:rPr>
        <w:t xml:space="preserve"> and concerns they have about advanced metering. We believe responsive communication with the individual customer is the best way to address their issues</w:t>
      </w:r>
      <w:r>
        <w:rPr>
          <w:rStyle w:val="SurveyTextChar"/>
          <w:rFonts w:ascii="Times New Roman" w:hAnsi="Times New Roman"/>
          <w:color w:val="auto"/>
        </w:rPr>
        <w:t xml:space="preserve"> and </w:t>
      </w:r>
      <w:r w:rsidRPr="00241B68">
        <w:rPr>
          <w:rStyle w:val="SurveyTextChar"/>
          <w:rFonts w:ascii="Times New Roman" w:hAnsi="Times New Roman"/>
          <w:color w:val="auto"/>
        </w:rPr>
        <w:t>concerns. Additionally, by listening to customers, Avista can adjust its communications to ensure we are addressing the full range of issues that are important to our customers.</w:t>
      </w:r>
    </w:p>
    <w:p w:rsidR="00A83055" w:rsidRDefault="00A83055" w:rsidP="00B26833">
      <w:pPr>
        <w:jc w:val="both"/>
        <w:rPr>
          <w:rStyle w:val="SurveyTextChar"/>
          <w:rFonts w:ascii="Times New Roman" w:hAnsi="Times New Roman"/>
          <w:color w:val="auto"/>
        </w:rPr>
      </w:pPr>
    </w:p>
    <w:p w:rsidR="00A83055" w:rsidRPr="00241B68" w:rsidRDefault="00A83055" w:rsidP="00B26833">
      <w:pPr>
        <w:jc w:val="both"/>
        <w:rPr>
          <w:rStyle w:val="SurveyTextChar"/>
          <w:rFonts w:ascii="Times New Roman" w:hAnsi="Times New Roman"/>
          <w:color w:val="auto"/>
        </w:rPr>
      </w:pPr>
      <w:r>
        <w:rPr>
          <w:rStyle w:val="SurveyTextChar"/>
          <w:rFonts w:ascii="Times New Roman" w:hAnsi="Times New Roman"/>
          <w:color w:val="auto"/>
        </w:rPr>
        <w:t xml:space="preserve">From its research and its own experience, Avista expects the number of customers who ultimately choose to opt out to be very small. For example, of the approximately 13,000 customers </w:t>
      </w:r>
      <w:r w:rsidR="00727BA5">
        <w:rPr>
          <w:rStyle w:val="SurveyTextChar"/>
          <w:rFonts w:ascii="Times New Roman" w:hAnsi="Times New Roman"/>
          <w:color w:val="auto"/>
        </w:rPr>
        <w:t>who received</w:t>
      </w:r>
      <w:r>
        <w:rPr>
          <w:rStyle w:val="SurveyTextChar"/>
          <w:rFonts w:ascii="Times New Roman" w:hAnsi="Times New Roman"/>
          <w:color w:val="auto"/>
        </w:rPr>
        <w:t xml:space="preserve"> advanced meters in the Pullman project, </w:t>
      </w:r>
      <w:r w:rsidR="00727BA5">
        <w:rPr>
          <w:rStyle w:val="SurveyTextChar"/>
          <w:rFonts w:ascii="Times New Roman" w:hAnsi="Times New Roman"/>
          <w:color w:val="auto"/>
        </w:rPr>
        <w:t>none</w:t>
      </w:r>
      <w:r>
        <w:rPr>
          <w:rStyle w:val="SurveyTextChar"/>
          <w:rFonts w:ascii="Times New Roman" w:hAnsi="Times New Roman"/>
          <w:color w:val="auto"/>
        </w:rPr>
        <w:t xml:space="preserve"> ultimately opted out of the program. </w:t>
      </w:r>
      <w:r w:rsidR="00E579B7">
        <w:rPr>
          <w:rStyle w:val="SurveyTextChar"/>
          <w:rFonts w:ascii="Times New Roman" w:hAnsi="Times New Roman"/>
          <w:color w:val="auto"/>
        </w:rPr>
        <w:t xml:space="preserve">Prior to deploying meters under </w:t>
      </w:r>
      <w:r w:rsidR="000C346C">
        <w:rPr>
          <w:rStyle w:val="SurveyTextChar"/>
          <w:rFonts w:ascii="Times New Roman" w:hAnsi="Times New Roman"/>
          <w:color w:val="auto"/>
        </w:rPr>
        <w:t>the Washington advanced metering project</w:t>
      </w:r>
      <w:r>
        <w:rPr>
          <w:rStyle w:val="SurveyTextChar"/>
          <w:rFonts w:ascii="Times New Roman" w:hAnsi="Times New Roman"/>
          <w:color w:val="auto"/>
        </w:rPr>
        <w:t>,</w:t>
      </w:r>
      <w:r w:rsidR="000C346C">
        <w:t xml:space="preserve"> </w:t>
      </w:r>
      <w:r w:rsidR="001F229B">
        <w:t>Avista</w:t>
      </w:r>
      <w:r w:rsidR="000C346C">
        <w:t xml:space="preserve"> will file a separate tariff </w:t>
      </w:r>
      <w:r w:rsidR="001F229B">
        <w:t xml:space="preserve">with the Washington Utilities and Transportation Commission </w:t>
      </w:r>
      <w:r w:rsidR="000C346C">
        <w:t xml:space="preserve">that will contain the proposed conditions under which any customer can opt </w:t>
      </w:r>
      <w:r w:rsidR="000C346C">
        <w:lastRenderedPageBreak/>
        <w:t xml:space="preserve">out of the advanced metering program. That, of course, comes at a cost to the utility and its other customers, as we separately dispatch trucks and service personnel to widely dispersed parts of our service area to read meters and perform other </w:t>
      </w:r>
      <w:r w:rsidR="00781236">
        <w:t>tasks</w:t>
      </w:r>
      <w:r w:rsidR="000C346C">
        <w:t xml:space="preserve"> as needed. Details of the proposed tariff will be discussed with Staff and other interested parties before it is filed</w:t>
      </w:r>
      <w:r>
        <w:rPr>
          <w:rStyle w:val="SurveyTextChar"/>
          <w:rFonts w:ascii="Times New Roman" w:hAnsi="Times New Roman"/>
          <w:color w:val="auto"/>
        </w:rPr>
        <w:t>.</w:t>
      </w:r>
    </w:p>
    <w:p w:rsidR="00A31097" w:rsidRDefault="00A31097" w:rsidP="00B26833">
      <w:pPr>
        <w:jc w:val="both"/>
      </w:pPr>
    </w:p>
    <w:p w:rsidR="00272512" w:rsidRDefault="00727BA5" w:rsidP="00727BA5">
      <w:pPr>
        <w:jc w:val="center"/>
        <w:rPr>
          <w:b/>
          <w:sz w:val="28"/>
        </w:rPr>
      </w:pPr>
      <w:r>
        <w:rPr>
          <w:b/>
          <w:sz w:val="28"/>
        </w:rPr>
        <w:t xml:space="preserve">III. </w:t>
      </w:r>
      <w:r w:rsidR="004B6556" w:rsidRPr="00034680">
        <w:rPr>
          <w:b/>
          <w:sz w:val="28"/>
        </w:rPr>
        <w:t>Customer Benefits from Advanced Metering</w:t>
      </w:r>
    </w:p>
    <w:p w:rsidR="00034680" w:rsidRPr="00034680" w:rsidRDefault="00034680" w:rsidP="00B26833">
      <w:pPr>
        <w:jc w:val="both"/>
        <w:rPr>
          <w:b/>
          <w:sz w:val="28"/>
        </w:rPr>
      </w:pPr>
    </w:p>
    <w:p w:rsidR="009471A6" w:rsidRPr="009471A6" w:rsidRDefault="009471A6" w:rsidP="00B26833">
      <w:pPr>
        <w:jc w:val="both"/>
      </w:pPr>
      <w:r>
        <w:t xml:space="preserve">Customers </w:t>
      </w:r>
      <w:r w:rsidR="00A509BF">
        <w:t xml:space="preserve">experience </w:t>
      </w:r>
      <w:r>
        <w:t>benefit</w:t>
      </w:r>
      <w:r w:rsidR="00A509BF">
        <w:t>s</w:t>
      </w:r>
      <w:r>
        <w:t xml:space="preserve"> from the deployment of advanced metering in a variety of ways</w:t>
      </w:r>
      <w:r w:rsidR="00F256BB">
        <w:t xml:space="preserve">. </w:t>
      </w:r>
      <w:r w:rsidR="00527E1F">
        <w:t xml:space="preserve">These include </w:t>
      </w:r>
      <w:r>
        <w:t>improve</w:t>
      </w:r>
      <w:r w:rsidR="00527E1F">
        <w:t>ments in</w:t>
      </w:r>
      <w:r>
        <w:t xml:space="preserve"> service quality </w:t>
      </w:r>
      <w:r w:rsidR="00527E1F">
        <w:t>and customer</w:t>
      </w:r>
      <w:r>
        <w:t xml:space="preserve"> experience</w:t>
      </w:r>
      <w:r w:rsidR="000E0CCE">
        <w:t xml:space="preserve"> that are generally more visible to the customer</w:t>
      </w:r>
      <w:r>
        <w:t xml:space="preserve">, </w:t>
      </w:r>
      <w:r w:rsidR="00527E1F">
        <w:t xml:space="preserve">as well as </w:t>
      </w:r>
      <w:r w:rsidR="000E0CCE">
        <w:t xml:space="preserve">those, which may not be visible to the customer, that serve to </w:t>
      </w:r>
      <w:r>
        <w:t>reduce operating cost</w:t>
      </w:r>
      <w:r w:rsidR="00527E1F">
        <w:t>s</w:t>
      </w:r>
      <w:r>
        <w:t xml:space="preserve"> </w:t>
      </w:r>
      <w:r w:rsidR="00527E1F">
        <w:t xml:space="preserve">associated with </w:t>
      </w:r>
      <w:r>
        <w:t>providing service.</w:t>
      </w:r>
      <w:r w:rsidR="00527E1F">
        <w:t xml:space="preserve"> These benefits </w:t>
      </w:r>
      <w:proofErr w:type="gramStart"/>
      <w:r w:rsidR="00527E1F">
        <w:t xml:space="preserve">are </w:t>
      </w:r>
      <w:r w:rsidR="000E0CCE">
        <w:t xml:space="preserve">also </w:t>
      </w:r>
      <w:r w:rsidR="00527E1F">
        <w:t>often categorized</w:t>
      </w:r>
      <w:proofErr w:type="gramEnd"/>
      <w:r w:rsidR="00527E1F">
        <w:t xml:space="preserve"> </w:t>
      </w:r>
      <w:r w:rsidR="007E1F68">
        <w:t>by whether or not their financial value can be readily quantified</w:t>
      </w:r>
      <w:r w:rsidR="00527E1F">
        <w:t>.</w:t>
      </w:r>
      <w:r w:rsidR="000E0CCE">
        <w:t xml:space="preserve"> </w:t>
      </w:r>
      <w:r w:rsidR="00360F73">
        <w:t xml:space="preserve">A brief description of these </w:t>
      </w:r>
      <w:r w:rsidR="000E0CCE">
        <w:t xml:space="preserve">customer </w:t>
      </w:r>
      <w:r w:rsidR="00360F73">
        <w:t xml:space="preserve">benefits </w:t>
      </w:r>
      <w:proofErr w:type="gramStart"/>
      <w:r w:rsidR="00360F73">
        <w:t>is provided</w:t>
      </w:r>
      <w:proofErr w:type="gramEnd"/>
      <w:r w:rsidR="00360F73">
        <w:t xml:space="preserve"> below</w:t>
      </w:r>
      <w:r w:rsidR="000E0CCE">
        <w:t xml:space="preserve">, including the Company’s estimate of the </w:t>
      </w:r>
      <w:r w:rsidR="001C2843">
        <w:t xml:space="preserve">annual </w:t>
      </w:r>
      <w:r w:rsidR="000E0CCE">
        <w:t>fi</w:t>
      </w:r>
      <w:r w:rsidR="00C370C1">
        <w:t>nancial value for those</w:t>
      </w:r>
      <w:r w:rsidR="000E0CCE">
        <w:t xml:space="preserve"> that are </w:t>
      </w:r>
      <w:r w:rsidR="007A2622">
        <w:t xml:space="preserve">readily </w:t>
      </w:r>
      <w:r w:rsidR="000E0CCE">
        <w:t>quantifiable</w:t>
      </w:r>
      <w:r w:rsidR="00360F73">
        <w:t>.</w:t>
      </w:r>
      <w:r w:rsidR="00472378">
        <w:t xml:space="preserve"> A </w:t>
      </w:r>
      <w:r w:rsidR="000D5BA7">
        <w:t>summary table</w:t>
      </w:r>
      <w:r w:rsidR="00472378">
        <w:t xml:space="preserve"> of these customer benefits </w:t>
      </w:r>
      <w:r w:rsidR="00CF5E14">
        <w:t xml:space="preserve">and their estimated value </w:t>
      </w:r>
      <w:proofErr w:type="gramStart"/>
      <w:r w:rsidR="00CF5E14">
        <w:t>is provided</w:t>
      </w:r>
      <w:proofErr w:type="gramEnd"/>
      <w:r w:rsidR="00CF5E14">
        <w:t xml:space="preserve"> at the end of this section</w:t>
      </w:r>
      <w:r w:rsidR="000D5BA7">
        <w:t xml:space="preserve"> of the</w:t>
      </w:r>
      <w:r w:rsidR="00472378">
        <w:t xml:space="preserve"> report.</w:t>
      </w:r>
    </w:p>
    <w:p w:rsidR="00497A85" w:rsidRDefault="00497A85" w:rsidP="00B26833">
      <w:pPr>
        <w:jc w:val="both"/>
      </w:pPr>
    </w:p>
    <w:p w:rsidR="00F256BB" w:rsidRPr="009573DF" w:rsidRDefault="00727BA5" w:rsidP="00B26833">
      <w:pPr>
        <w:jc w:val="both"/>
        <w:rPr>
          <w:b/>
        </w:rPr>
      </w:pPr>
      <w:r>
        <w:rPr>
          <w:b/>
        </w:rPr>
        <w:t xml:space="preserve">A.  </w:t>
      </w:r>
      <w:r w:rsidR="009022DF">
        <w:rPr>
          <w:b/>
        </w:rPr>
        <w:t xml:space="preserve">Access to Interval </w:t>
      </w:r>
      <w:r w:rsidR="005A0B55" w:rsidRPr="005A0B55">
        <w:rPr>
          <w:b/>
        </w:rPr>
        <w:t>Energy Usage Data</w:t>
      </w:r>
    </w:p>
    <w:p w:rsidR="00497A85" w:rsidRDefault="00497A85" w:rsidP="00B26833">
      <w:pPr>
        <w:jc w:val="both"/>
      </w:pPr>
      <w:r>
        <w:t>Conventional meters, including automated meter reading, provide the utility and its customer</w:t>
      </w:r>
      <w:r w:rsidR="009022DF">
        <w:t>s</w:t>
      </w:r>
      <w:r>
        <w:t xml:space="preserve"> with only very basic</w:t>
      </w:r>
      <w:r w:rsidR="009022DF">
        <w:t>, historical,</w:t>
      </w:r>
      <w:r w:rsidR="0003786B">
        <w:t xml:space="preserve"> monthly energy-</w:t>
      </w:r>
      <w:r>
        <w:t>use data</w:t>
      </w:r>
      <w:r w:rsidR="000D5BA7">
        <w:t xml:space="preserve">. </w:t>
      </w:r>
      <w:r>
        <w:t xml:space="preserve">Advanced meters </w:t>
      </w:r>
      <w:r w:rsidR="000D5BA7">
        <w:t xml:space="preserve">continuously </w:t>
      </w:r>
      <w:r w:rsidR="00781236">
        <w:t>measure</w:t>
      </w:r>
      <w:r w:rsidR="00903559">
        <w:t xml:space="preserve"> customer energy </w:t>
      </w:r>
      <w:r w:rsidR="00781236">
        <w:t xml:space="preserve">use, which </w:t>
      </w:r>
      <w:proofErr w:type="gramStart"/>
      <w:r w:rsidR="00781236">
        <w:t xml:space="preserve">is recorded and stored </w:t>
      </w:r>
      <w:r w:rsidR="00903559">
        <w:t>at set intervals (typically every 5 to 15 minutes)</w:t>
      </w:r>
      <w:proofErr w:type="gramEnd"/>
      <w:r w:rsidR="00903559">
        <w:t xml:space="preserve">. This interval data </w:t>
      </w:r>
      <w:proofErr w:type="gramStart"/>
      <w:r w:rsidR="00903559">
        <w:t>is then periodically transmitted</w:t>
      </w:r>
      <w:proofErr w:type="gramEnd"/>
      <w:r w:rsidR="00903559">
        <w:t xml:space="preserve"> </w:t>
      </w:r>
      <w:r>
        <w:t xml:space="preserve">to </w:t>
      </w:r>
      <w:r w:rsidR="00903559">
        <w:t xml:space="preserve">the </w:t>
      </w:r>
      <w:r>
        <w:t xml:space="preserve">utility where it </w:t>
      </w:r>
      <w:r w:rsidR="00903559">
        <w:t>supports business processes</w:t>
      </w:r>
      <w:r>
        <w:t xml:space="preserve"> and </w:t>
      </w:r>
      <w:r w:rsidR="00903559">
        <w:t xml:space="preserve">is made available to </w:t>
      </w:r>
      <w:r>
        <w:t xml:space="preserve">the consumer. </w:t>
      </w:r>
      <w:r w:rsidR="0082662A">
        <w:t>C</w:t>
      </w:r>
      <w:r>
        <w:t xml:space="preserve">ustomers can </w:t>
      </w:r>
      <w:r w:rsidR="0082662A">
        <w:t xml:space="preserve">use </w:t>
      </w:r>
      <w:r w:rsidR="00A7506D">
        <w:t xml:space="preserve">the </w:t>
      </w:r>
      <w:r w:rsidR="0082662A">
        <w:t xml:space="preserve">utility web portal to </w:t>
      </w:r>
      <w:r>
        <w:t xml:space="preserve">view and analyze their </w:t>
      </w:r>
      <w:r w:rsidR="002813DB">
        <w:t xml:space="preserve">recent </w:t>
      </w:r>
      <w:r w:rsidR="00903559">
        <w:t>interval-energy use</w:t>
      </w:r>
      <w:r>
        <w:t xml:space="preserve"> to learn more about how they use energy</w:t>
      </w:r>
      <w:r w:rsidR="00A7506D">
        <w:t>,</w:t>
      </w:r>
      <w:r>
        <w:t xml:space="preserve"> and as a tool to save energy and money.</w:t>
      </w:r>
    </w:p>
    <w:p w:rsidR="00497A85" w:rsidRDefault="00497A85" w:rsidP="00B26833">
      <w:pPr>
        <w:jc w:val="both"/>
      </w:pPr>
    </w:p>
    <w:p w:rsidR="00F256BB" w:rsidRPr="009573DF" w:rsidRDefault="00727BA5" w:rsidP="00B26833">
      <w:pPr>
        <w:jc w:val="both"/>
        <w:rPr>
          <w:b/>
        </w:rPr>
      </w:pPr>
      <w:r>
        <w:rPr>
          <w:b/>
        </w:rPr>
        <w:t>B</w:t>
      </w:r>
      <w:r w:rsidR="002F1C0E">
        <w:rPr>
          <w:b/>
        </w:rPr>
        <w:t>.</w:t>
      </w:r>
      <w:r>
        <w:rPr>
          <w:b/>
        </w:rPr>
        <w:t xml:space="preserve">  </w:t>
      </w:r>
      <w:r w:rsidR="00A7506D">
        <w:rPr>
          <w:b/>
        </w:rPr>
        <w:t xml:space="preserve">Customer </w:t>
      </w:r>
      <w:r w:rsidR="005A0B55" w:rsidRPr="005A0B55">
        <w:rPr>
          <w:b/>
        </w:rPr>
        <w:t>Home Area Network Interface</w:t>
      </w:r>
    </w:p>
    <w:p w:rsidR="00497A85" w:rsidRDefault="00497A85" w:rsidP="00B26833">
      <w:pPr>
        <w:jc w:val="both"/>
      </w:pPr>
      <w:r>
        <w:t>The home area network</w:t>
      </w:r>
      <w:r w:rsidR="00DF366A">
        <w:t xml:space="preserve"> is a specialized w</w:t>
      </w:r>
      <w:r w:rsidR="0082662A">
        <w:t>ireless network for energy data</w:t>
      </w:r>
      <w:r w:rsidR="00031EFE">
        <w:t xml:space="preserve">; </w:t>
      </w:r>
      <w:r>
        <w:t xml:space="preserve">advanced meters have the capability to interface with this network. This interface allows the advanced meter to provide the customer actual </w:t>
      </w:r>
      <w:r w:rsidR="003E6247">
        <w:t>real-</w:t>
      </w:r>
      <w:r w:rsidR="0019238E">
        <w:t>time energy-</w:t>
      </w:r>
      <w:r>
        <w:t xml:space="preserve">use data via </w:t>
      </w:r>
      <w:r w:rsidR="00031EFE">
        <w:t>an in-home display</w:t>
      </w:r>
      <w:r>
        <w:t xml:space="preserve"> or for use by </w:t>
      </w:r>
      <w:r w:rsidR="00031EFE">
        <w:t>a “smart” thermostat</w:t>
      </w:r>
      <w:r>
        <w:t xml:space="preserve">. As consumer technologies continue to evolve, the </w:t>
      </w:r>
      <w:proofErr w:type="gramStart"/>
      <w:r>
        <w:t>home area network interface</w:t>
      </w:r>
      <w:proofErr w:type="gramEnd"/>
      <w:r>
        <w:t xml:space="preserve"> to real-time energy data will play an increasing</w:t>
      </w:r>
      <w:r w:rsidR="00814ED1">
        <w:t>ly important</w:t>
      </w:r>
      <w:r>
        <w:t xml:space="preserve"> role in </w:t>
      </w:r>
      <w:r w:rsidR="00814ED1">
        <w:t xml:space="preserve">the </w:t>
      </w:r>
      <w:r>
        <w:t>development of “smart” homes and businesses.</w:t>
      </w:r>
    </w:p>
    <w:p w:rsidR="009573DF" w:rsidRDefault="009573DF" w:rsidP="00B26833">
      <w:pPr>
        <w:jc w:val="both"/>
      </w:pPr>
    </w:p>
    <w:p w:rsidR="00F256BB" w:rsidRPr="009573DF" w:rsidRDefault="00727BA5" w:rsidP="00B26833">
      <w:pPr>
        <w:jc w:val="both"/>
        <w:rPr>
          <w:b/>
        </w:rPr>
      </w:pPr>
      <w:r>
        <w:rPr>
          <w:b/>
        </w:rPr>
        <w:t xml:space="preserve">C.  </w:t>
      </w:r>
      <w:r w:rsidR="005A0B55" w:rsidRPr="005A0B55">
        <w:rPr>
          <w:b/>
        </w:rPr>
        <w:t>Energy Alerts</w:t>
      </w:r>
    </w:p>
    <w:p w:rsidR="009573DF" w:rsidRDefault="009573DF" w:rsidP="00B26833">
      <w:pPr>
        <w:jc w:val="both"/>
      </w:pPr>
      <w:r>
        <w:t xml:space="preserve">The detailed information on energy usage provided by advanced metering gives the utility the ability to send outbound messages to customers about the status of their energy use at any given point in time. An example of an energy alert would be the customer’s request to </w:t>
      </w:r>
      <w:proofErr w:type="gramStart"/>
      <w:r>
        <w:t>be notified</w:t>
      </w:r>
      <w:proofErr w:type="gramEnd"/>
      <w:r>
        <w:t xml:space="preserve"> by the utility when the customer’s monthly usage reached a certain level, or instantaneous demand surpassed a customer-set number. </w:t>
      </w:r>
    </w:p>
    <w:p w:rsidR="00F256BB" w:rsidRDefault="00F256BB" w:rsidP="00B26833">
      <w:pPr>
        <w:jc w:val="both"/>
      </w:pPr>
    </w:p>
    <w:p w:rsidR="00F256BB" w:rsidRPr="009573DF" w:rsidRDefault="00727BA5" w:rsidP="00B26833">
      <w:pPr>
        <w:jc w:val="both"/>
        <w:rPr>
          <w:b/>
        </w:rPr>
      </w:pPr>
      <w:r>
        <w:rPr>
          <w:b/>
        </w:rPr>
        <w:t xml:space="preserve">D.  </w:t>
      </w:r>
      <w:r w:rsidR="005A0B55" w:rsidRPr="005A0B55">
        <w:rPr>
          <w:b/>
        </w:rPr>
        <w:t>Customer Privacy</w:t>
      </w:r>
    </w:p>
    <w:p w:rsidR="009573DF" w:rsidRDefault="009573DF" w:rsidP="00B26833">
      <w:pPr>
        <w:jc w:val="both"/>
      </w:pPr>
      <w:r>
        <w:t xml:space="preserve">Because the advanced meter is transmitting energy-use information to the utility, there is no longer the need to have </w:t>
      </w:r>
      <w:proofErr w:type="gramStart"/>
      <w:r>
        <w:t>meter reading</w:t>
      </w:r>
      <w:proofErr w:type="gramEnd"/>
      <w:r>
        <w:t xml:space="preserve"> employees on the customer’s property each month. While there will still be instances where utility employees must visit the </w:t>
      </w:r>
      <w:r>
        <w:lastRenderedPageBreak/>
        <w:t>customer’s premise</w:t>
      </w:r>
      <w:r w:rsidR="00133949">
        <w:t>s</w:t>
      </w:r>
      <w:r>
        <w:t>, advanced meters significantly reduce the overall frequency of such occurrences.</w:t>
      </w:r>
    </w:p>
    <w:p w:rsidR="00F256BB" w:rsidRDefault="00F256BB" w:rsidP="00B26833">
      <w:pPr>
        <w:jc w:val="both"/>
      </w:pPr>
    </w:p>
    <w:p w:rsidR="00F256BB" w:rsidRPr="009573DF" w:rsidRDefault="00727BA5" w:rsidP="00B26833">
      <w:pPr>
        <w:jc w:val="both"/>
        <w:rPr>
          <w:b/>
        </w:rPr>
      </w:pPr>
      <w:r>
        <w:rPr>
          <w:b/>
        </w:rPr>
        <w:t xml:space="preserve">E.  </w:t>
      </w:r>
      <w:r w:rsidR="005A0B55" w:rsidRPr="005A0B55">
        <w:rPr>
          <w:b/>
        </w:rPr>
        <w:t>Utility Employee Safety</w:t>
      </w:r>
    </w:p>
    <w:p w:rsidR="009573DF" w:rsidRDefault="005E16A2" w:rsidP="00B26833">
      <w:pPr>
        <w:jc w:val="both"/>
      </w:pPr>
      <w:r>
        <w:t>The</w:t>
      </w:r>
      <w:r w:rsidR="009573DF">
        <w:t xml:space="preserve"> deployment of advanced metering </w:t>
      </w:r>
      <w:r w:rsidR="00CF5E14">
        <w:t>reduces the number</w:t>
      </w:r>
      <w:r w:rsidR="009573DF">
        <w:t xml:space="preserve"> of instances where a utility employee </w:t>
      </w:r>
      <w:proofErr w:type="gramStart"/>
      <w:r w:rsidR="009573DF">
        <w:t>is dispatched</w:t>
      </w:r>
      <w:proofErr w:type="gramEnd"/>
      <w:r w:rsidR="009573DF">
        <w:t xml:space="preserve"> for a field service call. </w:t>
      </w:r>
      <w:r>
        <w:t>Fewer field service calls</w:t>
      </w:r>
      <w:r w:rsidR="00920A5F">
        <w:t>, in addition to eliminating manual meter reading,</w:t>
      </w:r>
      <w:r>
        <w:t xml:space="preserve"> reduces the</w:t>
      </w:r>
      <w:r w:rsidR="009573DF">
        <w:t xml:space="preserve"> risk of injury to employees engaged in field activities. </w:t>
      </w:r>
    </w:p>
    <w:p w:rsidR="00F256BB" w:rsidRDefault="00F256BB" w:rsidP="00B26833">
      <w:pPr>
        <w:jc w:val="both"/>
      </w:pPr>
    </w:p>
    <w:p w:rsidR="00F256BB" w:rsidRPr="00CB1A8A" w:rsidRDefault="00727BA5" w:rsidP="00B26833">
      <w:pPr>
        <w:jc w:val="both"/>
        <w:rPr>
          <w:b/>
        </w:rPr>
      </w:pPr>
      <w:r>
        <w:rPr>
          <w:b/>
        </w:rPr>
        <w:t xml:space="preserve">F.  </w:t>
      </w:r>
      <w:r w:rsidR="005E16A2">
        <w:rPr>
          <w:b/>
        </w:rPr>
        <w:t>Future Opportunities for Benefits</w:t>
      </w:r>
    </w:p>
    <w:p w:rsidR="00CB1A8A" w:rsidRDefault="005E16A2" w:rsidP="00B26833">
      <w:pPr>
        <w:jc w:val="both"/>
      </w:pPr>
      <w:r>
        <w:t>Advanced</w:t>
      </w:r>
      <w:r w:rsidR="00CB1A8A">
        <w:t xml:space="preserve"> metering is an enabling technology that provides the platform to achieve additional customer value and </w:t>
      </w:r>
      <w:r w:rsidR="00CF5E14">
        <w:t>satisfaction</w:t>
      </w:r>
      <w:r w:rsidR="00CB1A8A">
        <w:t xml:space="preserve">. Though some of these consumer benefits may not yet be practical in the Pacific Northwest, due to </w:t>
      </w:r>
      <w:r w:rsidR="007A2622">
        <w:t>relatively low</w:t>
      </w:r>
      <w:r w:rsidR="00CB1A8A">
        <w:t xml:space="preserve"> retail electricity prices, they </w:t>
      </w:r>
      <w:proofErr w:type="gramStart"/>
      <w:r w:rsidR="00CB1A8A">
        <w:t>have been implemented</w:t>
      </w:r>
      <w:proofErr w:type="gramEnd"/>
      <w:r w:rsidR="00CB1A8A">
        <w:t xml:space="preserve"> by utilities in other parts of the country. Having advanced metering capability allows the utility to have the technology available to integrate additional customer benefits as the timing becomes appropriate. Some of these future benefits </w:t>
      </w:r>
      <w:proofErr w:type="gramStart"/>
      <w:r w:rsidR="00CB1A8A">
        <w:t>are described</w:t>
      </w:r>
      <w:proofErr w:type="gramEnd"/>
      <w:r w:rsidR="00CB1A8A">
        <w:t xml:space="preserve"> below.</w:t>
      </w:r>
    </w:p>
    <w:p w:rsidR="00CB1A8A" w:rsidRDefault="00CB1A8A" w:rsidP="00B26833">
      <w:pPr>
        <w:jc w:val="both"/>
      </w:pPr>
    </w:p>
    <w:p w:rsidR="00C72E47" w:rsidRDefault="00727BA5" w:rsidP="00B26833">
      <w:pPr>
        <w:jc w:val="both"/>
      </w:pPr>
      <w:r>
        <w:rPr>
          <w:u w:val="single"/>
        </w:rPr>
        <w:t xml:space="preserve">1. </w:t>
      </w:r>
      <w:r w:rsidR="00CB1A8A" w:rsidRPr="00950F18">
        <w:rPr>
          <w:u w:val="single"/>
        </w:rPr>
        <w:t>Rate Options</w:t>
      </w:r>
    </w:p>
    <w:p w:rsidR="00CB1A8A" w:rsidRDefault="00CB1A8A" w:rsidP="00B26833">
      <w:pPr>
        <w:jc w:val="both"/>
      </w:pPr>
      <w:r>
        <w:t xml:space="preserve">Advanced metering is a foundational technology for enabling the utility to implement rate structures that require </w:t>
      </w:r>
      <w:proofErr w:type="gramStart"/>
      <w:r>
        <w:t>interval metering</w:t>
      </w:r>
      <w:proofErr w:type="gramEnd"/>
      <w:r>
        <w:t xml:space="preserve"> capabilities. Some of these rate options include time-of-use pricing, critical peak pricing, and demand pricing. Of these options, demand pricing is emerging as a likely means to ensure customers’ rates more accurately reflect the value of the system they use. This is particularly the case for customers owning distributed generation. Advanced meters with remote connectivity </w:t>
      </w:r>
      <w:proofErr w:type="gramStart"/>
      <w:r>
        <w:t>can also be used</w:t>
      </w:r>
      <w:proofErr w:type="gramEnd"/>
      <w:r>
        <w:t xml:space="preserve"> to support </w:t>
      </w:r>
      <w:r w:rsidR="006E00F3">
        <w:t xml:space="preserve">demand-response initiatives and </w:t>
      </w:r>
      <w:r>
        <w:t xml:space="preserve">rate </w:t>
      </w:r>
      <w:r w:rsidR="006E00F3">
        <w:t>offerings</w:t>
      </w:r>
      <w:r>
        <w:t xml:space="preserve"> such as ‘pre-pay’ options.</w:t>
      </w:r>
    </w:p>
    <w:p w:rsidR="00CB1A8A" w:rsidRDefault="00CB1A8A" w:rsidP="00B26833">
      <w:pPr>
        <w:jc w:val="both"/>
      </w:pPr>
    </w:p>
    <w:p w:rsidR="00C72E47" w:rsidRDefault="00727BA5" w:rsidP="00B26833">
      <w:pPr>
        <w:jc w:val="both"/>
      </w:pPr>
      <w:r>
        <w:rPr>
          <w:u w:val="single"/>
        </w:rPr>
        <w:t>2.</w:t>
      </w:r>
      <w:r w:rsidR="006E00F3">
        <w:rPr>
          <w:u w:val="single"/>
        </w:rPr>
        <w:t xml:space="preserve"> </w:t>
      </w:r>
      <w:r w:rsidR="00CB1A8A" w:rsidRPr="005714C1">
        <w:rPr>
          <w:u w:val="single"/>
        </w:rPr>
        <w:t>Micro Grids and Smart Cities</w:t>
      </w:r>
    </w:p>
    <w:p w:rsidR="00CB1A8A" w:rsidRDefault="005B1B66" w:rsidP="00B26833">
      <w:pPr>
        <w:jc w:val="both"/>
      </w:pPr>
      <w:r>
        <w:t>The field area network</w:t>
      </w:r>
      <w:r w:rsidRPr="00E646ED">
        <w:t xml:space="preserve"> installed as part of the advanced metering deployment </w:t>
      </w:r>
      <w:proofErr w:type="gramStart"/>
      <w:r w:rsidR="00920A5F">
        <w:t>can</w:t>
      </w:r>
      <w:r w:rsidRPr="00E646ED">
        <w:t xml:space="preserve"> be </w:t>
      </w:r>
      <w:r w:rsidR="00920A5F">
        <w:t>designed</w:t>
      </w:r>
      <w:proofErr w:type="gramEnd"/>
      <w:r w:rsidR="00920A5F">
        <w:t xml:space="preserve"> as </w:t>
      </w:r>
      <w:r>
        <w:t xml:space="preserve">a ‘multi-application’ </w:t>
      </w:r>
      <w:r w:rsidRPr="00E646ED">
        <w:t>network.</w:t>
      </w:r>
      <w:r>
        <w:t xml:space="preserve"> As such, the network can support the communication needs of a range of other grid modernization </w:t>
      </w:r>
      <w:r w:rsidR="00920A5F">
        <w:t xml:space="preserve">and automation </w:t>
      </w:r>
      <w:r>
        <w:t>efforts, including micro grids and smart cities initiatives.</w:t>
      </w:r>
    </w:p>
    <w:p w:rsidR="005B1B66" w:rsidRDefault="005B1B66" w:rsidP="00B26833">
      <w:pPr>
        <w:jc w:val="both"/>
      </w:pPr>
    </w:p>
    <w:p w:rsidR="00C72E47" w:rsidRDefault="00727BA5" w:rsidP="00B26833">
      <w:pPr>
        <w:jc w:val="both"/>
      </w:pPr>
      <w:r>
        <w:rPr>
          <w:u w:val="single"/>
        </w:rPr>
        <w:t xml:space="preserve">3. </w:t>
      </w:r>
      <w:r w:rsidR="005E16A2" w:rsidRPr="00950F18">
        <w:rPr>
          <w:u w:val="single"/>
        </w:rPr>
        <w:t>Data Analytics</w:t>
      </w:r>
    </w:p>
    <w:p w:rsidR="005E16A2" w:rsidRDefault="005E16A2" w:rsidP="00B26833">
      <w:pPr>
        <w:jc w:val="both"/>
      </w:pPr>
      <w:r>
        <w:t xml:space="preserve">While there </w:t>
      </w:r>
      <w:proofErr w:type="gramStart"/>
      <w:r>
        <w:t>are</w:t>
      </w:r>
      <w:proofErr w:type="gramEnd"/>
      <w:r>
        <w:t xml:space="preserve"> many documented uses of the information provided by advanced metering that provide customers value, </w:t>
      </w:r>
      <w:r w:rsidR="00E044EB">
        <w:t>the industry expects</w:t>
      </w:r>
      <w:r>
        <w:t xml:space="preserve"> </w:t>
      </w:r>
      <w:r w:rsidR="00E044EB">
        <w:t xml:space="preserve">it </w:t>
      </w:r>
      <w:r w:rsidR="00E044EB" w:rsidRPr="00E044EB">
        <w:t>will provide the utility a platform for creative and innovative uses of interval energy and other data</w:t>
      </w:r>
      <w:r w:rsidR="00E044EB">
        <w:t xml:space="preserve"> that will emerge over time.</w:t>
      </w:r>
    </w:p>
    <w:p w:rsidR="005E16A2" w:rsidRDefault="005E16A2" w:rsidP="00B26833">
      <w:pPr>
        <w:jc w:val="both"/>
      </w:pPr>
    </w:p>
    <w:p w:rsidR="00C72E47" w:rsidRDefault="00727BA5" w:rsidP="00B26833">
      <w:pPr>
        <w:jc w:val="both"/>
      </w:pPr>
      <w:r>
        <w:rPr>
          <w:u w:val="single"/>
        </w:rPr>
        <w:t xml:space="preserve">4. </w:t>
      </w:r>
      <w:r w:rsidR="00CB1A8A" w:rsidRPr="005714C1">
        <w:rPr>
          <w:u w:val="single"/>
        </w:rPr>
        <w:t>Distributed Generation</w:t>
      </w:r>
    </w:p>
    <w:p w:rsidR="00CB1A8A" w:rsidRDefault="00CB1A8A" w:rsidP="00B26833">
      <w:pPr>
        <w:jc w:val="both"/>
      </w:pPr>
      <w:r>
        <w:t xml:space="preserve">Advanced metering provides the utility with </w:t>
      </w:r>
      <w:r w:rsidR="00133949">
        <w:t>improved</w:t>
      </w:r>
      <w:r>
        <w:t xml:space="preserve"> capability to accommodate the increasing prevalence of customer-owned generation on its system. Advanced metering will provide a better understanding of the operation and effects of distributed generation on the system, as well as support a range of utility programs </w:t>
      </w:r>
      <w:proofErr w:type="gramStart"/>
      <w:r>
        <w:t>to appropriately compensate</w:t>
      </w:r>
      <w:proofErr w:type="gramEnd"/>
      <w:r>
        <w:t xml:space="preserve"> customers for the contribution of their generation.</w:t>
      </w:r>
    </w:p>
    <w:p w:rsidR="0081399C" w:rsidRDefault="0081399C" w:rsidP="00B26833">
      <w:pPr>
        <w:jc w:val="both"/>
      </w:pPr>
    </w:p>
    <w:p w:rsidR="00946D51" w:rsidRPr="00AA7203" w:rsidRDefault="00727BA5" w:rsidP="00B26833">
      <w:pPr>
        <w:jc w:val="both"/>
        <w:rPr>
          <w:b/>
        </w:rPr>
      </w:pPr>
      <w:r>
        <w:rPr>
          <w:b/>
        </w:rPr>
        <w:lastRenderedPageBreak/>
        <w:t xml:space="preserve">G.  </w:t>
      </w:r>
      <w:r w:rsidR="00946D51">
        <w:rPr>
          <w:b/>
        </w:rPr>
        <w:t xml:space="preserve">Elimination of Manual </w:t>
      </w:r>
      <w:r w:rsidR="00946D51" w:rsidRPr="005A0B55">
        <w:rPr>
          <w:b/>
        </w:rPr>
        <w:t xml:space="preserve">Meter Reading </w:t>
      </w:r>
    </w:p>
    <w:p w:rsidR="00946D51" w:rsidRDefault="00946D51" w:rsidP="00B26833">
      <w:pPr>
        <w:jc w:val="both"/>
      </w:pPr>
      <w:r>
        <w:t xml:space="preserve">Deployment of advanced meters </w:t>
      </w:r>
      <w:r w:rsidR="00920A5F">
        <w:t>virtually eliminates</w:t>
      </w:r>
      <w:r>
        <w:t xml:space="preserve"> manual meter reading, creating the opportunity for substantial operational </w:t>
      </w:r>
      <w:r w:rsidR="00547048">
        <w:t>benefits. These</w:t>
      </w:r>
      <w:r>
        <w:t xml:space="preserve"> come from reduced labor costs, </w:t>
      </w:r>
      <w:r w:rsidR="00C31378">
        <w:t xml:space="preserve">vehicle </w:t>
      </w:r>
      <w:r>
        <w:t>miles driven, diminished safety concerns, and reduced back office activities.</w:t>
      </w:r>
    </w:p>
    <w:p w:rsidR="00946D51" w:rsidRDefault="00946D51" w:rsidP="00B26833">
      <w:pPr>
        <w:jc w:val="both"/>
      </w:pPr>
    </w:p>
    <w:p w:rsidR="00946D51" w:rsidRDefault="00727BA5"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946D51">
        <w:rPr>
          <w:rFonts w:ascii="Times New Roman" w:hAnsi="Times New Roman" w:cs="Times New Roman"/>
          <w:sz w:val="24"/>
          <w:szCs w:val="24"/>
          <w:u w:val="single"/>
        </w:rPr>
        <w:t xml:space="preserve">Regular </w:t>
      </w:r>
      <w:r w:rsidR="00946D51" w:rsidRPr="00977A39">
        <w:rPr>
          <w:rFonts w:ascii="Times New Roman" w:hAnsi="Times New Roman" w:cs="Times New Roman"/>
          <w:sz w:val="24"/>
          <w:szCs w:val="24"/>
          <w:u w:val="single"/>
        </w:rPr>
        <w:t>Meter Reading Routes</w:t>
      </w:r>
    </w:p>
    <w:p w:rsidR="00946D51" w:rsidRPr="0091020B"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Avista’s Washington service </w:t>
      </w:r>
      <w:proofErr w:type="gramStart"/>
      <w:r>
        <w:rPr>
          <w:rFonts w:ascii="Times New Roman" w:hAnsi="Times New Roman" w:cs="Times New Roman"/>
          <w:sz w:val="24"/>
          <w:szCs w:val="24"/>
        </w:rPr>
        <w:t>territory,</w:t>
      </w:r>
      <w:proofErr w:type="gramEnd"/>
      <w:r>
        <w:rPr>
          <w:rFonts w:ascii="Times New Roman" w:hAnsi="Times New Roman" w:cs="Times New Roman"/>
          <w:sz w:val="24"/>
          <w:szCs w:val="24"/>
        </w:rPr>
        <w:t xml:space="preserve"> t</w:t>
      </w:r>
      <w:r w:rsidRPr="00977A39">
        <w:rPr>
          <w:rFonts w:ascii="Times New Roman" w:hAnsi="Times New Roman" w:cs="Times New Roman"/>
          <w:sz w:val="24"/>
          <w:szCs w:val="24"/>
        </w:rPr>
        <w:t>here were approximately 40 meter readers that completed 4.</w:t>
      </w:r>
      <w:r w:rsidR="002713AC">
        <w:rPr>
          <w:rFonts w:ascii="Times New Roman" w:hAnsi="Times New Roman" w:cs="Times New Roman"/>
          <w:sz w:val="24"/>
          <w:szCs w:val="24"/>
        </w:rPr>
        <w:t>66</w:t>
      </w:r>
      <w:r w:rsidRPr="00977A39">
        <w:rPr>
          <w:rFonts w:ascii="Times New Roman" w:hAnsi="Times New Roman" w:cs="Times New Roman"/>
          <w:sz w:val="24"/>
          <w:szCs w:val="24"/>
        </w:rPr>
        <w:t xml:space="preserve"> million manual reads </w:t>
      </w:r>
      <w:r>
        <w:rPr>
          <w:rFonts w:ascii="Times New Roman" w:hAnsi="Times New Roman" w:cs="Times New Roman"/>
          <w:sz w:val="24"/>
          <w:szCs w:val="24"/>
        </w:rPr>
        <w:t>in 2013. C</w:t>
      </w:r>
      <w:r w:rsidRPr="00977A39">
        <w:rPr>
          <w:rFonts w:ascii="Times New Roman" w:hAnsi="Times New Roman" w:cs="Times New Roman"/>
          <w:sz w:val="24"/>
          <w:szCs w:val="24"/>
        </w:rPr>
        <w:t xml:space="preserve">osts for manual </w:t>
      </w:r>
      <w:r>
        <w:rPr>
          <w:rFonts w:ascii="Times New Roman" w:hAnsi="Times New Roman" w:cs="Times New Roman"/>
          <w:sz w:val="24"/>
          <w:szCs w:val="24"/>
        </w:rPr>
        <w:t>meter reading include</w:t>
      </w:r>
      <w:r w:rsidRPr="00977A39">
        <w:rPr>
          <w:rFonts w:ascii="Times New Roman" w:hAnsi="Times New Roman" w:cs="Times New Roman"/>
          <w:sz w:val="24"/>
          <w:szCs w:val="24"/>
        </w:rPr>
        <w:t xml:space="preserve"> </w:t>
      </w:r>
      <w:r>
        <w:rPr>
          <w:rFonts w:ascii="Times New Roman" w:hAnsi="Times New Roman" w:cs="Times New Roman"/>
          <w:sz w:val="24"/>
          <w:szCs w:val="24"/>
        </w:rPr>
        <w:t xml:space="preserve">labor, meter reading </w:t>
      </w:r>
      <w:proofErr w:type="gramStart"/>
      <w:r>
        <w:rPr>
          <w:rFonts w:ascii="Times New Roman" w:hAnsi="Times New Roman" w:cs="Times New Roman"/>
          <w:sz w:val="24"/>
          <w:szCs w:val="24"/>
        </w:rPr>
        <w:t>hardware</w:t>
      </w:r>
      <w:proofErr w:type="gramEnd"/>
      <w:r>
        <w:rPr>
          <w:rFonts w:ascii="Times New Roman" w:hAnsi="Times New Roman" w:cs="Times New Roman"/>
          <w:sz w:val="24"/>
          <w:szCs w:val="24"/>
        </w:rPr>
        <w:t xml:space="preserve"> and transportation,</w:t>
      </w:r>
      <w:r w:rsidRPr="00977A39">
        <w:rPr>
          <w:rFonts w:ascii="Times New Roman" w:hAnsi="Times New Roman" w:cs="Times New Roman"/>
          <w:sz w:val="24"/>
          <w:szCs w:val="24"/>
        </w:rPr>
        <w:t xml:space="preserve"> along with apportioned costs for admin</w:t>
      </w:r>
      <w:r>
        <w:rPr>
          <w:rFonts w:ascii="Times New Roman" w:hAnsi="Times New Roman" w:cs="Times New Roman"/>
          <w:sz w:val="24"/>
          <w:szCs w:val="24"/>
        </w:rPr>
        <w:t xml:space="preserve">istration. </w:t>
      </w:r>
      <w:r w:rsidR="007A2622">
        <w:rPr>
          <w:rFonts w:ascii="Times New Roman" w:hAnsi="Times New Roman" w:cs="Times New Roman"/>
          <w:sz w:val="24"/>
          <w:szCs w:val="24"/>
        </w:rPr>
        <w:t>O</w:t>
      </w:r>
      <w:r w:rsidRPr="00977A39">
        <w:rPr>
          <w:rFonts w:ascii="Times New Roman" w:hAnsi="Times New Roman" w:cs="Times New Roman"/>
          <w:sz w:val="24"/>
          <w:szCs w:val="24"/>
        </w:rPr>
        <w:t xml:space="preserve">perational </w:t>
      </w:r>
      <w:r w:rsidR="00547048">
        <w:rPr>
          <w:rFonts w:ascii="Times New Roman" w:hAnsi="Times New Roman" w:cs="Times New Roman"/>
          <w:sz w:val="24"/>
          <w:szCs w:val="24"/>
        </w:rPr>
        <w:t>benefits</w:t>
      </w:r>
      <w:r w:rsidRPr="00977A39">
        <w:rPr>
          <w:rFonts w:ascii="Times New Roman" w:hAnsi="Times New Roman" w:cs="Times New Roman"/>
          <w:sz w:val="24"/>
          <w:szCs w:val="24"/>
        </w:rPr>
        <w:t xml:space="preserve"> resulting from advanced meter</w:t>
      </w:r>
      <w:r>
        <w:rPr>
          <w:rFonts w:ascii="Times New Roman" w:hAnsi="Times New Roman" w:cs="Times New Roman"/>
          <w:sz w:val="24"/>
          <w:szCs w:val="24"/>
        </w:rPr>
        <w:t>ing</w:t>
      </w:r>
      <w:r w:rsidRPr="00977A39">
        <w:rPr>
          <w:rFonts w:ascii="Times New Roman" w:hAnsi="Times New Roman" w:cs="Times New Roman"/>
          <w:sz w:val="24"/>
          <w:szCs w:val="24"/>
        </w:rPr>
        <w:t xml:space="preserve"> </w:t>
      </w:r>
      <w:proofErr w:type="gramStart"/>
      <w:r>
        <w:rPr>
          <w:rFonts w:ascii="Times New Roman" w:hAnsi="Times New Roman" w:cs="Times New Roman"/>
          <w:sz w:val="24"/>
          <w:szCs w:val="24"/>
        </w:rPr>
        <w:t>are estimated</w:t>
      </w:r>
      <w:proofErr w:type="gramEnd"/>
      <w:r>
        <w:rPr>
          <w:rFonts w:ascii="Times New Roman" w:hAnsi="Times New Roman" w:cs="Times New Roman"/>
          <w:sz w:val="24"/>
          <w:szCs w:val="24"/>
        </w:rPr>
        <w:t xml:space="preserve"> at $</w:t>
      </w:r>
      <w:r w:rsidR="00C370C1">
        <w:rPr>
          <w:rFonts w:ascii="Times New Roman" w:hAnsi="Times New Roman" w:cs="Times New Roman"/>
          <w:sz w:val="24"/>
          <w:szCs w:val="24"/>
        </w:rPr>
        <w:t>4,842,671, which</w:t>
      </w:r>
      <w:r w:rsidRPr="00977A39">
        <w:rPr>
          <w:rFonts w:ascii="Times New Roman" w:hAnsi="Times New Roman" w:cs="Times New Roman"/>
          <w:sz w:val="24"/>
          <w:szCs w:val="24"/>
        </w:rPr>
        <w:t xml:space="preserve"> </w:t>
      </w:r>
      <w:r>
        <w:rPr>
          <w:rFonts w:ascii="Times New Roman" w:hAnsi="Times New Roman" w:cs="Times New Roman"/>
          <w:sz w:val="24"/>
          <w:szCs w:val="24"/>
        </w:rPr>
        <w:t>represent</w:t>
      </w:r>
      <w:r w:rsidR="00C370C1">
        <w:rPr>
          <w:rFonts w:ascii="Times New Roman" w:hAnsi="Times New Roman" w:cs="Times New Roman"/>
          <w:sz w:val="24"/>
          <w:szCs w:val="24"/>
        </w:rPr>
        <w:t>s</w:t>
      </w:r>
      <w:r w:rsidRPr="00977A39">
        <w:rPr>
          <w:rFonts w:ascii="Times New Roman" w:hAnsi="Times New Roman" w:cs="Times New Roman"/>
          <w:sz w:val="24"/>
          <w:szCs w:val="24"/>
        </w:rPr>
        <w:t xml:space="preserve"> </w:t>
      </w:r>
      <w:r>
        <w:rPr>
          <w:rFonts w:ascii="Times New Roman" w:hAnsi="Times New Roman" w:cs="Times New Roman"/>
          <w:sz w:val="24"/>
          <w:szCs w:val="24"/>
        </w:rPr>
        <w:t xml:space="preserve">a reduction in </w:t>
      </w:r>
      <w:r w:rsidR="00C370C1">
        <w:rPr>
          <w:rFonts w:ascii="Times New Roman" w:hAnsi="Times New Roman" w:cs="Times New Roman"/>
          <w:sz w:val="24"/>
          <w:szCs w:val="24"/>
        </w:rPr>
        <w:t xml:space="preserve">only </w:t>
      </w:r>
      <w:r w:rsidRPr="00977A39">
        <w:rPr>
          <w:rFonts w:ascii="Times New Roman" w:hAnsi="Times New Roman" w:cs="Times New Roman"/>
          <w:sz w:val="24"/>
          <w:szCs w:val="24"/>
        </w:rPr>
        <w:t xml:space="preserve">the </w:t>
      </w:r>
      <w:r>
        <w:rPr>
          <w:rFonts w:ascii="Times New Roman" w:hAnsi="Times New Roman" w:cs="Times New Roman"/>
          <w:sz w:val="24"/>
          <w:szCs w:val="24"/>
        </w:rPr>
        <w:t>direct</w:t>
      </w:r>
      <w:r w:rsidRPr="00977A39">
        <w:rPr>
          <w:rFonts w:ascii="Times New Roman" w:hAnsi="Times New Roman" w:cs="Times New Roman"/>
          <w:sz w:val="24"/>
          <w:szCs w:val="24"/>
        </w:rPr>
        <w:t xml:space="preserve"> costs associated with reading the meter</w:t>
      </w:r>
      <w:r w:rsidR="00C370C1">
        <w:rPr>
          <w:rFonts w:ascii="Times New Roman" w:hAnsi="Times New Roman" w:cs="Times New Roman"/>
          <w:sz w:val="24"/>
          <w:szCs w:val="24"/>
        </w:rPr>
        <w:t>.</w:t>
      </w:r>
    </w:p>
    <w:p w:rsidR="00946D51" w:rsidRDefault="00946D51" w:rsidP="00B26833">
      <w:pPr>
        <w:pStyle w:val="NoSpacing"/>
        <w:jc w:val="both"/>
        <w:rPr>
          <w:rFonts w:ascii="Times New Roman" w:hAnsi="Times New Roman" w:cs="Times New Roman"/>
          <w:sz w:val="24"/>
          <w:szCs w:val="24"/>
        </w:rPr>
      </w:pPr>
    </w:p>
    <w:p w:rsidR="00946D51" w:rsidRDefault="00727BA5"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2. </w:t>
      </w:r>
      <w:r w:rsidR="00946D51" w:rsidRPr="00155E2B">
        <w:rPr>
          <w:rFonts w:ascii="Times New Roman" w:hAnsi="Times New Roman" w:cs="Times New Roman"/>
          <w:sz w:val="24"/>
          <w:szCs w:val="24"/>
          <w:u w:val="single"/>
        </w:rPr>
        <w:t>Special Meter Reads</w:t>
      </w:r>
    </w:p>
    <w:p w:rsidR="00946D51" w:rsidRPr="00F256BB"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M</w:t>
      </w:r>
      <w:r w:rsidRPr="009D4859">
        <w:rPr>
          <w:rFonts w:ascii="Times New Roman" w:hAnsi="Times New Roman" w:cs="Times New Roman"/>
          <w:sz w:val="24"/>
          <w:szCs w:val="24"/>
        </w:rPr>
        <w:t xml:space="preserve">eter readers perform an average of 7,750 special </w:t>
      </w:r>
      <w:r>
        <w:rPr>
          <w:rFonts w:ascii="Times New Roman" w:hAnsi="Times New Roman" w:cs="Times New Roman"/>
          <w:sz w:val="24"/>
          <w:szCs w:val="24"/>
        </w:rPr>
        <w:t xml:space="preserve">meter </w:t>
      </w:r>
      <w:r w:rsidRPr="009D4859">
        <w:rPr>
          <w:rFonts w:ascii="Times New Roman" w:hAnsi="Times New Roman" w:cs="Times New Roman"/>
          <w:sz w:val="24"/>
          <w:szCs w:val="24"/>
        </w:rPr>
        <w:t>reads</w:t>
      </w:r>
      <w:r>
        <w:rPr>
          <w:rFonts w:ascii="Times New Roman" w:hAnsi="Times New Roman" w:cs="Times New Roman"/>
          <w:sz w:val="24"/>
          <w:szCs w:val="24"/>
        </w:rPr>
        <w:t xml:space="preserve"> each year. </w:t>
      </w:r>
      <w:r w:rsidRPr="009D4859">
        <w:rPr>
          <w:rFonts w:ascii="Times New Roman" w:hAnsi="Times New Roman" w:cs="Times New Roman"/>
          <w:sz w:val="24"/>
          <w:szCs w:val="24"/>
        </w:rPr>
        <w:t>While</w:t>
      </w:r>
      <w:r>
        <w:rPr>
          <w:rFonts w:ascii="Times New Roman" w:hAnsi="Times New Roman" w:cs="Times New Roman"/>
          <w:sz w:val="24"/>
          <w:szCs w:val="24"/>
        </w:rPr>
        <w:t xml:space="preserve"> special reads are</w:t>
      </w:r>
      <w:r w:rsidRPr="009D4859">
        <w:rPr>
          <w:rFonts w:ascii="Times New Roman" w:hAnsi="Times New Roman" w:cs="Times New Roman"/>
          <w:sz w:val="24"/>
          <w:szCs w:val="24"/>
        </w:rPr>
        <w:t xml:space="preserve"> a small fraction of the overall reads gathered, they represent a significant cost </w:t>
      </w:r>
      <w:r>
        <w:rPr>
          <w:rFonts w:ascii="Times New Roman" w:hAnsi="Times New Roman" w:cs="Times New Roman"/>
          <w:sz w:val="24"/>
          <w:szCs w:val="24"/>
        </w:rPr>
        <w:t>since they are often not part of the meter readers’ regular route.</w:t>
      </w:r>
      <w:r w:rsidRPr="009D4859">
        <w:rPr>
          <w:rFonts w:ascii="Times New Roman" w:hAnsi="Times New Roman" w:cs="Times New Roman"/>
          <w:sz w:val="24"/>
          <w:szCs w:val="24"/>
        </w:rPr>
        <w:t xml:space="preserve"> In addition to the time spent </w:t>
      </w:r>
      <w:r>
        <w:rPr>
          <w:rFonts w:ascii="Times New Roman" w:hAnsi="Times New Roman" w:cs="Times New Roman"/>
          <w:sz w:val="24"/>
          <w:szCs w:val="24"/>
        </w:rPr>
        <w:t>gathering the read,</w:t>
      </w:r>
      <w:r w:rsidRPr="009D4859">
        <w:rPr>
          <w:rFonts w:ascii="Times New Roman" w:hAnsi="Times New Roman" w:cs="Times New Roman"/>
          <w:sz w:val="24"/>
          <w:szCs w:val="24"/>
        </w:rPr>
        <w:t xml:space="preserve"> there are added costs for driving to and from the </w:t>
      </w:r>
      <w:r>
        <w:rPr>
          <w:rFonts w:ascii="Times New Roman" w:hAnsi="Times New Roman" w:cs="Times New Roman"/>
          <w:sz w:val="24"/>
          <w:szCs w:val="24"/>
        </w:rPr>
        <w:t xml:space="preserve">individual </w:t>
      </w:r>
      <w:r w:rsidRPr="009D4859">
        <w:rPr>
          <w:rFonts w:ascii="Times New Roman" w:hAnsi="Times New Roman" w:cs="Times New Roman"/>
          <w:sz w:val="24"/>
          <w:szCs w:val="24"/>
        </w:rPr>
        <w:t>premise</w:t>
      </w:r>
      <w:r w:rsidR="00133949">
        <w:rPr>
          <w:rFonts w:ascii="Times New Roman" w:hAnsi="Times New Roman" w:cs="Times New Roman"/>
          <w:sz w:val="24"/>
          <w:szCs w:val="24"/>
        </w:rPr>
        <w:t>s</w:t>
      </w:r>
      <w:r>
        <w:rPr>
          <w:rFonts w:ascii="Times New Roman" w:hAnsi="Times New Roman" w:cs="Times New Roman"/>
          <w:sz w:val="24"/>
          <w:szCs w:val="24"/>
        </w:rPr>
        <w:t xml:space="preserve"> and for the customer service representatives’ </w:t>
      </w:r>
      <w:r w:rsidRPr="009D4859">
        <w:rPr>
          <w:rFonts w:ascii="Times New Roman" w:hAnsi="Times New Roman" w:cs="Times New Roman"/>
          <w:sz w:val="24"/>
          <w:szCs w:val="24"/>
        </w:rPr>
        <w:t xml:space="preserve">time spent setting up </w:t>
      </w:r>
      <w:r>
        <w:rPr>
          <w:rFonts w:ascii="Times New Roman" w:hAnsi="Times New Roman" w:cs="Times New Roman"/>
          <w:sz w:val="24"/>
          <w:szCs w:val="24"/>
        </w:rPr>
        <w:t>the read</w:t>
      </w:r>
      <w:r w:rsidR="00133949">
        <w:rPr>
          <w:rFonts w:ascii="Times New Roman" w:hAnsi="Times New Roman" w:cs="Times New Roman"/>
          <w:sz w:val="24"/>
          <w:szCs w:val="24"/>
        </w:rPr>
        <w:t>,</w:t>
      </w:r>
      <w:r>
        <w:rPr>
          <w:rFonts w:ascii="Times New Roman" w:hAnsi="Times New Roman" w:cs="Times New Roman"/>
          <w:sz w:val="24"/>
          <w:szCs w:val="24"/>
        </w:rPr>
        <w:t xml:space="preserve"> </w:t>
      </w:r>
      <w:r w:rsidRPr="009D4859">
        <w:rPr>
          <w:rFonts w:ascii="Times New Roman" w:hAnsi="Times New Roman" w:cs="Times New Roman"/>
          <w:sz w:val="24"/>
          <w:szCs w:val="24"/>
        </w:rPr>
        <w:t xml:space="preserve">and then updating the customer information after the read is complete. Operational </w:t>
      </w:r>
      <w:r w:rsidR="00C370C1">
        <w:rPr>
          <w:rFonts w:ascii="Times New Roman" w:hAnsi="Times New Roman" w:cs="Times New Roman"/>
          <w:sz w:val="24"/>
          <w:szCs w:val="24"/>
        </w:rPr>
        <w:t>benefits</w:t>
      </w:r>
      <w:r w:rsidRPr="009D4859">
        <w:rPr>
          <w:rFonts w:ascii="Times New Roman" w:hAnsi="Times New Roman" w:cs="Times New Roman"/>
          <w:sz w:val="24"/>
          <w:szCs w:val="24"/>
        </w:rPr>
        <w:t xml:space="preserve"> </w:t>
      </w:r>
      <w:r w:rsidR="00C31378">
        <w:rPr>
          <w:rFonts w:ascii="Times New Roman" w:hAnsi="Times New Roman" w:cs="Times New Roman"/>
          <w:sz w:val="24"/>
          <w:szCs w:val="24"/>
        </w:rPr>
        <w:t>for special reads enabled by</w:t>
      </w:r>
      <w:r w:rsidRPr="009D4859">
        <w:rPr>
          <w:rFonts w:ascii="Times New Roman" w:hAnsi="Times New Roman" w:cs="Times New Roman"/>
          <w:sz w:val="24"/>
          <w:szCs w:val="24"/>
        </w:rPr>
        <w:t xml:space="preserve"> the implementation of adva</w:t>
      </w:r>
      <w:r>
        <w:rPr>
          <w:rFonts w:ascii="Times New Roman" w:hAnsi="Times New Roman" w:cs="Times New Roman"/>
          <w:sz w:val="24"/>
          <w:szCs w:val="24"/>
        </w:rPr>
        <w:t xml:space="preserve">nced metering </w:t>
      </w:r>
      <w:proofErr w:type="gramStart"/>
      <w:r>
        <w:rPr>
          <w:rFonts w:ascii="Times New Roman" w:hAnsi="Times New Roman" w:cs="Times New Roman"/>
          <w:sz w:val="24"/>
          <w:szCs w:val="24"/>
        </w:rPr>
        <w:t xml:space="preserve">are </w:t>
      </w:r>
      <w:r w:rsidRPr="009D4859">
        <w:rPr>
          <w:rFonts w:ascii="Times New Roman" w:hAnsi="Times New Roman" w:cs="Times New Roman"/>
          <w:sz w:val="24"/>
          <w:szCs w:val="24"/>
        </w:rPr>
        <w:t>estimated</w:t>
      </w:r>
      <w:proofErr w:type="gramEnd"/>
      <w:r w:rsidRPr="009D4859">
        <w:rPr>
          <w:rFonts w:ascii="Times New Roman" w:hAnsi="Times New Roman" w:cs="Times New Roman"/>
          <w:sz w:val="24"/>
          <w:szCs w:val="24"/>
        </w:rPr>
        <w:t xml:space="preserve"> at </w:t>
      </w:r>
      <w:r>
        <w:rPr>
          <w:rFonts w:ascii="Times New Roman" w:hAnsi="Times New Roman" w:cs="Times New Roman"/>
          <w:sz w:val="24"/>
          <w:szCs w:val="24"/>
        </w:rPr>
        <w:t>$204,017</w:t>
      </w:r>
      <w:r w:rsidRPr="009D4859">
        <w:rPr>
          <w:rFonts w:ascii="Times New Roman" w:hAnsi="Times New Roman" w:cs="Times New Roman"/>
          <w:sz w:val="24"/>
          <w:szCs w:val="24"/>
        </w:rPr>
        <w:t>.</w:t>
      </w:r>
    </w:p>
    <w:p w:rsidR="00946D51" w:rsidRDefault="00946D51" w:rsidP="00B26833">
      <w:pPr>
        <w:jc w:val="both"/>
        <w:rPr>
          <w:b/>
        </w:rPr>
      </w:pPr>
    </w:p>
    <w:p w:rsidR="00946D51" w:rsidRPr="00290F0D" w:rsidRDefault="00727BA5" w:rsidP="00B26833">
      <w:pPr>
        <w:jc w:val="both"/>
        <w:rPr>
          <w:b/>
        </w:rPr>
      </w:pPr>
      <w:r>
        <w:rPr>
          <w:b/>
        </w:rPr>
        <w:t xml:space="preserve">H.  </w:t>
      </w:r>
      <w:r w:rsidR="00946D51" w:rsidRPr="005A0B55">
        <w:rPr>
          <w:b/>
        </w:rPr>
        <w:t>Remote Rapid Reconnection</w:t>
      </w:r>
    </w:p>
    <w:p w:rsidR="00946D51" w:rsidRDefault="00946D51" w:rsidP="00B26833">
      <w:pPr>
        <w:jc w:val="both"/>
      </w:pPr>
      <w:r w:rsidRPr="00453EF6">
        <w:t xml:space="preserve">The remote service switch is a feature of </w:t>
      </w:r>
      <w:r w:rsidR="00C31378">
        <w:t xml:space="preserve">the </w:t>
      </w:r>
      <w:r>
        <w:t>advanced</w:t>
      </w:r>
      <w:r w:rsidR="00C31378">
        <w:t xml:space="preserve"> meter</w:t>
      </w:r>
      <w:r w:rsidRPr="00453EF6">
        <w:t xml:space="preserve"> </w:t>
      </w:r>
      <w:r>
        <w:t xml:space="preserve">that allows </w:t>
      </w:r>
      <w:r w:rsidR="00C31378">
        <w:t>it</w:t>
      </w:r>
      <w:r>
        <w:t xml:space="preserve"> to be remotely </w:t>
      </w:r>
      <w:proofErr w:type="gramStart"/>
      <w:r>
        <w:t>disconnected</w:t>
      </w:r>
      <w:proofErr w:type="gramEnd"/>
      <w:r>
        <w:t xml:space="preserve"> and </w:t>
      </w:r>
      <w:r w:rsidR="00920A5F">
        <w:t>re</w:t>
      </w:r>
      <w:r>
        <w:t xml:space="preserve">connected. </w:t>
      </w:r>
      <w:r w:rsidRPr="005B3509">
        <w:t xml:space="preserve">In circumstances where a customer’s service </w:t>
      </w:r>
      <w:proofErr w:type="gramStart"/>
      <w:r w:rsidRPr="005B3509">
        <w:t>has been disconnected</w:t>
      </w:r>
      <w:proofErr w:type="gramEnd"/>
      <w:r w:rsidRPr="005B3509">
        <w:t xml:space="preserve">, those customers will experience a </w:t>
      </w:r>
      <w:r w:rsidR="00920A5F">
        <w:t xml:space="preserve">more </w:t>
      </w:r>
      <w:r>
        <w:t>rapid</w:t>
      </w:r>
      <w:r w:rsidRPr="005B3509">
        <w:t xml:space="preserve"> restoration of service through advanced metering. </w:t>
      </w:r>
      <w:r>
        <w:t>This is because the utility will no longer have to send a service person to the premise</w:t>
      </w:r>
      <w:r w:rsidR="00133949">
        <w:t>s</w:t>
      </w:r>
      <w:r>
        <w:t xml:space="preserve"> </w:t>
      </w:r>
      <w:proofErr w:type="gramStart"/>
      <w:r>
        <w:t>to physically restore</w:t>
      </w:r>
      <w:proofErr w:type="gramEnd"/>
      <w:r>
        <w:t xml:space="preserve"> energy service. </w:t>
      </w:r>
    </w:p>
    <w:p w:rsidR="00946D51" w:rsidRDefault="00946D51" w:rsidP="00B26833">
      <w:pPr>
        <w:jc w:val="both"/>
      </w:pPr>
    </w:p>
    <w:p w:rsidR="004C2CC8" w:rsidRPr="00F92719" w:rsidRDefault="004C2CC8" w:rsidP="00B26833">
      <w:pPr>
        <w:pStyle w:val="NoSpacing"/>
        <w:jc w:val="both"/>
        <w:rPr>
          <w:rFonts w:ascii="Times New Roman" w:hAnsi="Times New Roman" w:cs="Times New Roman"/>
          <w:sz w:val="24"/>
          <w:szCs w:val="24"/>
        </w:rPr>
      </w:pPr>
      <w:r w:rsidRPr="00453EF6">
        <w:rPr>
          <w:rFonts w:ascii="Times New Roman" w:hAnsi="Times New Roman" w:cs="Times New Roman"/>
          <w:sz w:val="24"/>
          <w:szCs w:val="24"/>
        </w:rPr>
        <w:t xml:space="preserve">In 2013, Avista experienced over </w:t>
      </w:r>
      <w:r>
        <w:rPr>
          <w:rFonts w:ascii="Times New Roman" w:hAnsi="Times New Roman" w:cs="Times New Roman"/>
          <w:sz w:val="24"/>
          <w:szCs w:val="24"/>
        </w:rPr>
        <w:t>150</w:t>
      </w:r>
      <w:r w:rsidRPr="00453EF6">
        <w:rPr>
          <w:rFonts w:ascii="Times New Roman" w:hAnsi="Times New Roman" w:cs="Times New Roman"/>
          <w:sz w:val="24"/>
          <w:szCs w:val="24"/>
        </w:rPr>
        <w:t>,000 instances of accoun</w:t>
      </w:r>
      <w:r>
        <w:rPr>
          <w:rFonts w:ascii="Times New Roman" w:hAnsi="Times New Roman" w:cs="Times New Roman"/>
          <w:sz w:val="24"/>
          <w:szCs w:val="24"/>
        </w:rPr>
        <w:t xml:space="preserve">ts being opened, </w:t>
      </w:r>
      <w:proofErr w:type="gramStart"/>
      <w:r w:rsidRPr="00453EF6">
        <w:rPr>
          <w:rFonts w:ascii="Times New Roman" w:hAnsi="Times New Roman" w:cs="Times New Roman"/>
          <w:sz w:val="24"/>
          <w:szCs w:val="24"/>
        </w:rPr>
        <w:t>closed</w:t>
      </w:r>
      <w:proofErr w:type="gramEnd"/>
      <w:r>
        <w:rPr>
          <w:rFonts w:ascii="Times New Roman" w:hAnsi="Times New Roman" w:cs="Times New Roman"/>
          <w:sz w:val="24"/>
          <w:szCs w:val="24"/>
        </w:rPr>
        <w:t xml:space="preserve"> or transferred in its Washington service area</w:t>
      </w:r>
      <w:r w:rsidRPr="00453EF6">
        <w:rPr>
          <w:rFonts w:ascii="Times New Roman" w:hAnsi="Times New Roman" w:cs="Times New Roman"/>
          <w:sz w:val="24"/>
          <w:szCs w:val="24"/>
        </w:rPr>
        <w:t xml:space="preserve">. Over </w:t>
      </w:r>
      <w:r w:rsidR="007B063F">
        <w:rPr>
          <w:rFonts w:ascii="Times New Roman" w:hAnsi="Times New Roman" w:cs="Times New Roman"/>
          <w:sz w:val="24"/>
          <w:szCs w:val="24"/>
        </w:rPr>
        <w:t>29</w:t>
      </w:r>
      <w:r w:rsidRPr="00453EF6">
        <w:rPr>
          <w:rFonts w:ascii="Times New Roman" w:hAnsi="Times New Roman" w:cs="Times New Roman"/>
          <w:sz w:val="24"/>
          <w:szCs w:val="24"/>
        </w:rPr>
        <w:t>,000 of these cases involved greater than one day between the close of one service and the opening of the next service, and 14,</w:t>
      </w:r>
      <w:r>
        <w:rPr>
          <w:rFonts w:ascii="Times New Roman" w:hAnsi="Times New Roman" w:cs="Times New Roman"/>
          <w:sz w:val="24"/>
          <w:szCs w:val="24"/>
        </w:rPr>
        <w:t>702</w:t>
      </w:r>
      <w:r w:rsidRPr="00453EF6">
        <w:rPr>
          <w:rFonts w:ascii="Times New Roman" w:hAnsi="Times New Roman" w:cs="Times New Roman"/>
          <w:sz w:val="24"/>
          <w:szCs w:val="24"/>
        </w:rPr>
        <w:t xml:space="preserve"> </w:t>
      </w:r>
      <w:r w:rsidR="007B063F">
        <w:rPr>
          <w:rFonts w:ascii="Times New Roman" w:hAnsi="Times New Roman" w:cs="Times New Roman"/>
          <w:sz w:val="24"/>
          <w:szCs w:val="24"/>
        </w:rPr>
        <w:t>of these cases</w:t>
      </w:r>
      <w:r w:rsidRPr="00453EF6">
        <w:rPr>
          <w:rFonts w:ascii="Times New Roman" w:hAnsi="Times New Roman" w:cs="Times New Roman"/>
          <w:sz w:val="24"/>
          <w:szCs w:val="24"/>
        </w:rPr>
        <w:t xml:space="preserve"> required the dispatch of field service personnel to physically disconnect or reconnect </w:t>
      </w:r>
      <w:r>
        <w:rPr>
          <w:rFonts w:ascii="Times New Roman" w:hAnsi="Times New Roman" w:cs="Times New Roman"/>
          <w:sz w:val="24"/>
          <w:szCs w:val="24"/>
        </w:rPr>
        <w:t xml:space="preserve">the </w:t>
      </w:r>
      <w:r w:rsidRPr="00453EF6">
        <w:rPr>
          <w:rFonts w:ascii="Times New Roman" w:hAnsi="Times New Roman" w:cs="Times New Roman"/>
          <w:sz w:val="24"/>
          <w:szCs w:val="24"/>
        </w:rPr>
        <w:t xml:space="preserve">service. </w:t>
      </w:r>
      <w:r>
        <w:rPr>
          <w:rFonts w:ascii="Times New Roman" w:hAnsi="Times New Roman" w:cs="Times New Roman"/>
          <w:sz w:val="24"/>
          <w:szCs w:val="24"/>
        </w:rPr>
        <w:t xml:space="preserve">The </w:t>
      </w:r>
      <w:r w:rsidR="00637882">
        <w:rPr>
          <w:rFonts w:ascii="Times New Roman" w:hAnsi="Times New Roman" w:cs="Times New Roman"/>
          <w:sz w:val="24"/>
          <w:szCs w:val="24"/>
        </w:rPr>
        <w:t>benefit</w:t>
      </w:r>
      <w:r>
        <w:rPr>
          <w:rFonts w:ascii="Times New Roman" w:hAnsi="Times New Roman" w:cs="Times New Roman"/>
          <w:sz w:val="24"/>
          <w:szCs w:val="24"/>
        </w:rPr>
        <w:t xml:space="preserve"> </w:t>
      </w:r>
      <w:r w:rsidR="00920A5F">
        <w:rPr>
          <w:rFonts w:ascii="Times New Roman" w:hAnsi="Times New Roman" w:cs="Times New Roman"/>
          <w:sz w:val="24"/>
          <w:szCs w:val="24"/>
        </w:rPr>
        <w:t>of</w:t>
      </w:r>
      <w:r>
        <w:rPr>
          <w:rFonts w:ascii="Times New Roman" w:hAnsi="Times New Roman" w:cs="Times New Roman"/>
          <w:sz w:val="24"/>
          <w:szCs w:val="24"/>
        </w:rPr>
        <w:t xml:space="preserve"> having remote service connectivity for </w:t>
      </w:r>
      <w:r w:rsidR="007B063F">
        <w:rPr>
          <w:rFonts w:ascii="Times New Roman" w:hAnsi="Times New Roman" w:cs="Times New Roman"/>
          <w:sz w:val="24"/>
          <w:szCs w:val="24"/>
        </w:rPr>
        <w:t>all account opens and closes</w:t>
      </w:r>
      <w:r>
        <w:rPr>
          <w:rFonts w:ascii="Times New Roman" w:hAnsi="Times New Roman" w:cs="Times New Roman"/>
          <w:sz w:val="24"/>
          <w:szCs w:val="24"/>
        </w:rPr>
        <w:t xml:space="preserve"> </w:t>
      </w:r>
      <w:proofErr w:type="gramStart"/>
      <w:r w:rsidR="00637882">
        <w:rPr>
          <w:rFonts w:ascii="Times New Roman" w:hAnsi="Times New Roman" w:cs="Times New Roman"/>
          <w:sz w:val="24"/>
          <w:szCs w:val="24"/>
        </w:rPr>
        <w:t>was</w:t>
      </w:r>
      <w:r>
        <w:rPr>
          <w:rFonts w:ascii="Times New Roman" w:hAnsi="Times New Roman" w:cs="Times New Roman"/>
          <w:sz w:val="24"/>
          <w:szCs w:val="24"/>
        </w:rPr>
        <w:t xml:space="preserve"> </w:t>
      </w:r>
      <w:r w:rsidR="00637882">
        <w:rPr>
          <w:rFonts w:ascii="Times New Roman" w:hAnsi="Times New Roman" w:cs="Times New Roman"/>
          <w:sz w:val="24"/>
          <w:szCs w:val="24"/>
        </w:rPr>
        <w:t>estimated</w:t>
      </w:r>
      <w:proofErr w:type="gramEnd"/>
      <w:r w:rsidR="00637882">
        <w:rPr>
          <w:rFonts w:ascii="Times New Roman" w:hAnsi="Times New Roman" w:cs="Times New Roman"/>
          <w:sz w:val="24"/>
          <w:szCs w:val="24"/>
        </w:rPr>
        <w:t xml:space="preserve"> at </w:t>
      </w:r>
      <w:r>
        <w:rPr>
          <w:rFonts w:ascii="Times New Roman" w:hAnsi="Times New Roman" w:cs="Times New Roman"/>
          <w:sz w:val="24"/>
          <w:szCs w:val="24"/>
        </w:rPr>
        <w:t xml:space="preserve">$1,728,042. </w:t>
      </w:r>
    </w:p>
    <w:p w:rsidR="004C2CC8" w:rsidRDefault="004C2CC8" w:rsidP="00B26833">
      <w:pPr>
        <w:jc w:val="both"/>
      </w:pPr>
    </w:p>
    <w:p w:rsidR="00946D51" w:rsidRDefault="00946D51" w:rsidP="00B26833">
      <w:pPr>
        <w:jc w:val="both"/>
      </w:pPr>
      <w:r w:rsidRPr="00453EF6">
        <w:t xml:space="preserve">In </w:t>
      </w:r>
      <w:r w:rsidR="004C2CC8">
        <w:t>the same year, Avista recorded over 39</w:t>
      </w:r>
      <w:r w:rsidRPr="00453EF6">
        <w:t xml:space="preserve">,000 </w:t>
      </w:r>
      <w:r>
        <w:t xml:space="preserve">contacts related to credit or collection issues, and </w:t>
      </w:r>
      <w:r w:rsidR="00637882">
        <w:t>over 30,000</w:t>
      </w:r>
      <w:r w:rsidRPr="00453EF6">
        <w:t xml:space="preserve"> instances where field service personnel </w:t>
      </w:r>
      <w:proofErr w:type="gramStart"/>
      <w:r w:rsidRPr="00453EF6">
        <w:t>were dispatched</w:t>
      </w:r>
      <w:proofErr w:type="gramEnd"/>
      <w:r w:rsidRPr="00453EF6">
        <w:t xml:space="preserve"> </w:t>
      </w:r>
      <w:r w:rsidR="00920A5F">
        <w:t>and</w:t>
      </w:r>
      <w:r w:rsidRPr="00453EF6">
        <w:t xml:space="preserve"> physically suspend</w:t>
      </w:r>
      <w:r w:rsidR="00920A5F">
        <w:t>ed</w:t>
      </w:r>
      <w:r w:rsidRPr="00453EF6">
        <w:t xml:space="preserve"> or restore</w:t>
      </w:r>
      <w:r w:rsidR="00920A5F">
        <w:t>d</w:t>
      </w:r>
      <w:r w:rsidRPr="00453EF6">
        <w:t xml:space="preserve"> service.</w:t>
      </w:r>
      <w:r>
        <w:t xml:space="preserve"> With the deployment of advanced metering, the majority of these fiel</w:t>
      </w:r>
      <w:r w:rsidR="00637882">
        <w:t>d dispatches</w:t>
      </w:r>
      <w:r w:rsidR="004C2CC8">
        <w:t xml:space="preserve"> </w:t>
      </w:r>
      <w:proofErr w:type="gramStart"/>
      <w:r w:rsidR="004C2CC8">
        <w:t>would</w:t>
      </w:r>
      <w:r w:rsidR="00B3613E">
        <w:t xml:space="preserve"> be avoided</w:t>
      </w:r>
      <w:proofErr w:type="gramEnd"/>
      <w:r w:rsidR="00B3613E">
        <w:t xml:space="preserve">. The annual </w:t>
      </w:r>
      <w:r w:rsidR="00C370C1">
        <w:t>benefit</w:t>
      </w:r>
      <w:r>
        <w:t xml:space="preserve"> associated with this change </w:t>
      </w:r>
      <w:proofErr w:type="gramStart"/>
      <w:r w:rsidR="00C370C1">
        <w:t>was</w:t>
      </w:r>
      <w:r w:rsidRPr="00453EF6">
        <w:t xml:space="preserve"> </w:t>
      </w:r>
      <w:r>
        <w:t>estimated</w:t>
      </w:r>
      <w:proofErr w:type="gramEnd"/>
      <w:r>
        <w:t xml:space="preserve"> to be </w:t>
      </w:r>
      <w:r w:rsidRPr="00453EF6">
        <w:t>$</w:t>
      </w:r>
      <w:r w:rsidR="004C2CC8">
        <w:t>1,193,060</w:t>
      </w:r>
      <w:r w:rsidRPr="00453EF6">
        <w:t>.</w:t>
      </w:r>
      <w:r w:rsidR="00637882">
        <w:t xml:space="preserve"> </w:t>
      </w:r>
      <w:r w:rsidRPr="00D5272F">
        <w:t xml:space="preserve">In addition to these costs, there are cases when a Company service employee </w:t>
      </w:r>
      <w:r w:rsidR="00B3613E" w:rsidRPr="00D5272F">
        <w:t xml:space="preserve">who </w:t>
      </w:r>
      <w:proofErr w:type="gramStart"/>
      <w:r w:rsidR="00B3613E" w:rsidRPr="00D5272F">
        <w:t>is dispatched</w:t>
      </w:r>
      <w:proofErr w:type="gramEnd"/>
      <w:r w:rsidR="00B3613E" w:rsidRPr="00D5272F">
        <w:t xml:space="preserve"> to suspend service </w:t>
      </w:r>
      <w:r w:rsidRPr="00D5272F">
        <w:t xml:space="preserve">ends up making a collection on an account </w:t>
      </w:r>
      <w:r w:rsidR="00B3613E" w:rsidRPr="00D5272F">
        <w:t>instead</w:t>
      </w:r>
      <w:r w:rsidRPr="00D5272F">
        <w:t xml:space="preserve">. </w:t>
      </w:r>
      <w:r w:rsidR="007E24E7" w:rsidRPr="00D5272F">
        <w:t>This type</w:t>
      </w:r>
      <w:r w:rsidR="00B3613E" w:rsidRPr="00D5272F">
        <w:t xml:space="preserve"> of </w:t>
      </w:r>
      <w:r w:rsidR="007E24E7" w:rsidRPr="00D5272F">
        <w:t>service call, as well as those related to leaving written notices,</w:t>
      </w:r>
      <w:r w:rsidR="00B3613E" w:rsidRPr="00D5272F">
        <w:t xml:space="preserve"> </w:t>
      </w:r>
      <w:proofErr w:type="gramStart"/>
      <w:r w:rsidR="00920A5F">
        <w:t>could</w:t>
      </w:r>
      <w:r w:rsidR="00B3613E" w:rsidRPr="00D5272F">
        <w:t xml:space="preserve"> be avoided</w:t>
      </w:r>
      <w:proofErr w:type="gramEnd"/>
      <w:r w:rsidR="00B3613E" w:rsidRPr="00D5272F">
        <w:t xml:space="preserve"> with advanced metering, and the</w:t>
      </w:r>
      <w:r w:rsidRPr="00D5272F">
        <w:t xml:space="preserve"> associated </w:t>
      </w:r>
      <w:r w:rsidR="00C370C1" w:rsidRPr="00D5272F">
        <w:t>benefit</w:t>
      </w:r>
      <w:r w:rsidR="00B3613E" w:rsidRPr="00D5272F">
        <w:t xml:space="preserve"> </w:t>
      </w:r>
      <w:r w:rsidR="00C370C1" w:rsidRPr="00D5272F">
        <w:t>was</w:t>
      </w:r>
      <w:r w:rsidR="00B3613E" w:rsidRPr="00D5272F">
        <w:t xml:space="preserve"> </w:t>
      </w:r>
      <w:r w:rsidRPr="00D5272F">
        <w:t>estimated to be $</w:t>
      </w:r>
      <w:r w:rsidR="00716530" w:rsidRPr="00D5272F">
        <w:t>453,454</w:t>
      </w:r>
      <w:r w:rsidRPr="00D5272F">
        <w:t>.</w:t>
      </w:r>
    </w:p>
    <w:p w:rsidR="00946D51" w:rsidRDefault="00727BA5" w:rsidP="00B26833">
      <w:pPr>
        <w:jc w:val="both"/>
      </w:pPr>
      <w:r>
        <w:lastRenderedPageBreak/>
        <w:t>In addition</w:t>
      </w:r>
      <w:r w:rsidR="00946D51">
        <w:t xml:space="preserve">, when a connection request falls outside normal business hours, there is a tariff-related charge to the customer for service after hours. With the capability for remote service connectivity, customers requesting reconnection after hours would have their service restored almost immediately, and </w:t>
      </w:r>
      <w:r w:rsidR="00920A5F">
        <w:t>could avoid</w:t>
      </w:r>
      <w:r w:rsidR="00946D51">
        <w:t xml:space="preserve"> </w:t>
      </w:r>
      <w:r w:rsidR="00920A5F">
        <w:t xml:space="preserve">paying </w:t>
      </w:r>
      <w:r w:rsidR="00946D51">
        <w:t>an after-hours service fee. The</w:t>
      </w:r>
      <w:r>
        <w:t xml:space="preserve"> Company estimated that in 2013</w:t>
      </w:r>
      <w:r w:rsidR="00946D51">
        <w:t xml:space="preserve"> </w:t>
      </w:r>
      <w:r w:rsidR="00920A5F">
        <w:t>this</w:t>
      </w:r>
      <w:r w:rsidR="00946D51">
        <w:t xml:space="preserve"> would have saved customers $104,040. </w:t>
      </w:r>
    </w:p>
    <w:p w:rsidR="00946D51" w:rsidRDefault="00946D51" w:rsidP="00B26833">
      <w:pPr>
        <w:jc w:val="both"/>
      </w:pPr>
    </w:p>
    <w:p w:rsidR="00946D51" w:rsidRDefault="004C2CC8" w:rsidP="00B26833">
      <w:pPr>
        <w:pStyle w:val="NoSpacing"/>
        <w:jc w:val="both"/>
        <w:rPr>
          <w:rFonts w:ascii="Times New Roman" w:hAnsi="Times New Roman" w:cs="Times New Roman"/>
          <w:sz w:val="24"/>
          <w:szCs w:val="24"/>
        </w:rPr>
      </w:pPr>
      <w:r>
        <w:rPr>
          <w:rFonts w:ascii="Times New Roman" w:hAnsi="Times New Roman" w:cs="Times New Roman"/>
          <w:sz w:val="24"/>
          <w:szCs w:val="24"/>
        </w:rPr>
        <w:t>T</w:t>
      </w:r>
      <w:r w:rsidR="00946D51" w:rsidRPr="0015548D">
        <w:rPr>
          <w:rFonts w:ascii="Times New Roman" w:hAnsi="Times New Roman" w:cs="Times New Roman"/>
          <w:sz w:val="24"/>
          <w:szCs w:val="24"/>
        </w:rPr>
        <w:t xml:space="preserve">here </w:t>
      </w:r>
      <w:r w:rsidR="00946D51">
        <w:rPr>
          <w:rFonts w:ascii="Times New Roman" w:hAnsi="Times New Roman" w:cs="Times New Roman"/>
          <w:sz w:val="24"/>
          <w:szCs w:val="24"/>
        </w:rPr>
        <w:t xml:space="preserve">are </w:t>
      </w:r>
      <w:r>
        <w:rPr>
          <w:rFonts w:ascii="Times New Roman" w:hAnsi="Times New Roman" w:cs="Times New Roman"/>
          <w:sz w:val="24"/>
          <w:szCs w:val="24"/>
        </w:rPr>
        <w:t xml:space="preserve">occasionally </w:t>
      </w:r>
      <w:r w:rsidR="000D7B25">
        <w:rPr>
          <w:rFonts w:ascii="Times New Roman" w:hAnsi="Times New Roman" w:cs="Times New Roman"/>
          <w:sz w:val="24"/>
          <w:szCs w:val="24"/>
        </w:rPr>
        <w:t xml:space="preserve">times when </w:t>
      </w:r>
      <w:proofErr w:type="gramStart"/>
      <w:r w:rsidR="000D7B25">
        <w:rPr>
          <w:rFonts w:ascii="Times New Roman" w:hAnsi="Times New Roman" w:cs="Times New Roman"/>
          <w:sz w:val="24"/>
          <w:szCs w:val="24"/>
        </w:rPr>
        <w:t xml:space="preserve">a service </w:t>
      </w:r>
      <w:r w:rsidR="00946D51">
        <w:rPr>
          <w:rFonts w:ascii="Times New Roman" w:hAnsi="Times New Roman" w:cs="Times New Roman"/>
          <w:sz w:val="24"/>
          <w:szCs w:val="24"/>
        </w:rPr>
        <w:t>disconnect</w:t>
      </w:r>
      <w:proofErr w:type="gramEnd"/>
      <w:r w:rsidR="00946D51">
        <w:rPr>
          <w:rFonts w:ascii="Times New Roman" w:hAnsi="Times New Roman" w:cs="Times New Roman"/>
          <w:sz w:val="24"/>
          <w:szCs w:val="24"/>
        </w:rPr>
        <w:t xml:space="preserve"> or reconnect becomes complicated and requires the presence of law enforcement personnel or other measures to ensure the safety of the Avista employee. With deployment of advanced metering, and the elimination of the need to dispatch field employees to perform this function, the Company estimates it would save $25,896 each year.</w:t>
      </w:r>
    </w:p>
    <w:p w:rsidR="004C2CC8" w:rsidRDefault="004C2CC8" w:rsidP="00B26833">
      <w:pPr>
        <w:pStyle w:val="NoSpacing"/>
        <w:jc w:val="both"/>
        <w:rPr>
          <w:rFonts w:ascii="Times New Roman" w:hAnsi="Times New Roman" w:cs="Times New Roman"/>
          <w:sz w:val="24"/>
          <w:szCs w:val="24"/>
        </w:rPr>
      </w:pPr>
    </w:p>
    <w:p w:rsidR="004C2CC8" w:rsidRPr="0015548D" w:rsidRDefault="004C2CC8" w:rsidP="00B26833">
      <w:pPr>
        <w:pStyle w:val="NoSpacing"/>
        <w:jc w:val="both"/>
        <w:rPr>
          <w:rFonts w:ascii="Times New Roman" w:hAnsi="Times New Roman" w:cs="Times New Roman"/>
          <w:sz w:val="24"/>
          <w:szCs w:val="24"/>
        </w:rPr>
      </w:pPr>
      <w:r>
        <w:rPr>
          <w:rFonts w:ascii="Times New Roman" w:hAnsi="Times New Roman" w:cs="Times New Roman"/>
          <w:sz w:val="24"/>
          <w:szCs w:val="24"/>
        </w:rPr>
        <w:t>Finally, Avista has estimated that the rapid reconnect fe</w:t>
      </w:r>
      <w:r w:rsidR="00053641">
        <w:rPr>
          <w:rFonts w:ascii="Times New Roman" w:hAnsi="Times New Roman" w:cs="Times New Roman"/>
          <w:sz w:val="24"/>
          <w:szCs w:val="24"/>
        </w:rPr>
        <w:t>ature will reduce customer call-</w:t>
      </w:r>
      <w:r>
        <w:rPr>
          <w:rFonts w:ascii="Times New Roman" w:hAnsi="Times New Roman" w:cs="Times New Roman"/>
          <w:sz w:val="24"/>
          <w:szCs w:val="24"/>
        </w:rPr>
        <w:t xml:space="preserve">time costs by $107,242, and </w:t>
      </w:r>
      <w:r w:rsidR="0069421F">
        <w:rPr>
          <w:rFonts w:ascii="Times New Roman" w:hAnsi="Times New Roman" w:cs="Times New Roman"/>
          <w:sz w:val="24"/>
          <w:szCs w:val="24"/>
        </w:rPr>
        <w:t>will reduce lost revenues by $36</w:t>
      </w:r>
      <w:r>
        <w:rPr>
          <w:rFonts w:ascii="Times New Roman" w:hAnsi="Times New Roman" w:cs="Times New Roman"/>
          <w:sz w:val="24"/>
          <w:szCs w:val="24"/>
        </w:rPr>
        <w:t>,931.</w:t>
      </w:r>
    </w:p>
    <w:p w:rsidR="00946D51" w:rsidRDefault="00946D51" w:rsidP="00B26833">
      <w:pPr>
        <w:jc w:val="both"/>
        <w:rPr>
          <w:b/>
        </w:rPr>
      </w:pPr>
    </w:p>
    <w:p w:rsidR="00946D51" w:rsidRPr="00152E69" w:rsidRDefault="00727BA5" w:rsidP="00B26833">
      <w:pPr>
        <w:jc w:val="both"/>
        <w:rPr>
          <w:b/>
        </w:rPr>
      </w:pPr>
      <w:r>
        <w:rPr>
          <w:b/>
        </w:rPr>
        <w:t xml:space="preserve">I.  </w:t>
      </w:r>
      <w:r w:rsidR="00946D51" w:rsidRPr="005A0B55">
        <w:rPr>
          <w:b/>
        </w:rPr>
        <w:t>Outage Management</w:t>
      </w:r>
    </w:p>
    <w:p w:rsidR="00946D51" w:rsidRDefault="00946D51" w:rsidP="00B26833">
      <w:pPr>
        <w:jc w:val="both"/>
      </w:pPr>
      <w:r>
        <w:t xml:space="preserve">Advanced meters are constantly sensing meter function and communicating with the utility’s data systems to alert the utility of status changes. This allows the provider to know in near real-time whether there is power to the individual meter, or if it has been </w:t>
      </w:r>
      <w:r w:rsidR="00053641">
        <w:t>interrupted</w:t>
      </w:r>
      <w:r>
        <w:t xml:space="preserve"> for some reason. When power </w:t>
      </w:r>
      <w:proofErr w:type="gramStart"/>
      <w:r>
        <w:t>is disrupted</w:t>
      </w:r>
      <w:proofErr w:type="gramEnd"/>
      <w:r>
        <w:t xml:space="preserve">, the advanced meter is equipped to send a signal indicating a potential power outage at the particular customer premise. This outage information </w:t>
      </w:r>
      <w:proofErr w:type="gramStart"/>
      <w:r>
        <w:t>can be integrated</w:t>
      </w:r>
      <w:proofErr w:type="gramEnd"/>
      <w:r>
        <w:t xml:space="preserve"> with the utility’s outage management </w:t>
      </w:r>
      <w:r w:rsidRPr="00F256BB">
        <w:t xml:space="preserve">system to provide a more complete picture of overall system outages. With better visibility of the many isolated outages during a large outage event, the investigation and restoration processes will be more efficient and shorter in duration, resulting in both operational and customer </w:t>
      </w:r>
      <w:r w:rsidR="00547048">
        <w:t>benefits</w:t>
      </w:r>
      <w:r w:rsidRPr="00F256BB">
        <w:t>.</w:t>
      </w:r>
    </w:p>
    <w:p w:rsidR="00946D51" w:rsidRPr="00F256BB" w:rsidRDefault="00946D51" w:rsidP="00B26833">
      <w:pPr>
        <w:jc w:val="both"/>
      </w:pPr>
    </w:p>
    <w:p w:rsidR="00946D51" w:rsidRPr="00F256BB" w:rsidRDefault="00946D51" w:rsidP="00B26833">
      <w:pPr>
        <w:pStyle w:val="NoSpacing"/>
        <w:jc w:val="both"/>
        <w:rPr>
          <w:rFonts w:ascii="Times New Roman" w:hAnsi="Times New Roman" w:cs="Times New Roman"/>
          <w:sz w:val="24"/>
          <w:szCs w:val="24"/>
        </w:rPr>
      </w:pPr>
      <w:r w:rsidRPr="00F256BB">
        <w:rPr>
          <w:rFonts w:ascii="Times New Roman" w:hAnsi="Times New Roman" w:cs="Times New Roman"/>
          <w:sz w:val="24"/>
          <w:szCs w:val="24"/>
        </w:rPr>
        <w:t xml:space="preserve">Customers impacted by an electric outage, depending on the duration, can experience financial losses due to </w:t>
      </w:r>
      <w:r w:rsidR="00555892">
        <w:rPr>
          <w:rFonts w:ascii="Times New Roman" w:hAnsi="Times New Roman" w:cs="Times New Roman"/>
          <w:sz w:val="24"/>
          <w:szCs w:val="24"/>
        </w:rPr>
        <w:t xml:space="preserve">manufacturing disruptions, </w:t>
      </w:r>
      <w:r w:rsidRPr="00F256BB">
        <w:rPr>
          <w:rFonts w:ascii="Times New Roman" w:hAnsi="Times New Roman" w:cs="Times New Roman"/>
          <w:sz w:val="24"/>
          <w:szCs w:val="24"/>
        </w:rPr>
        <w:t xml:space="preserve">food spoilage and myriad other issues. This is particularly the case for commercial </w:t>
      </w:r>
      <w:r w:rsidR="00555892">
        <w:rPr>
          <w:rFonts w:ascii="Times New Roman" w:hAnsi="Times New Roman" w:cs="Times New Roman"/>
          <w:sz w:val="24"/>
          <w:szCs w:val="24"/>
        </w:rPr>
        <w:t xml:space="preserve">and industrial </w:t>
      </w:r>
      <w:r w:rsidRPr="00F256BB">
        <w:rPr>
          <w:rFonts w:ascii="Times New Roman" w:hAnsi="Times New Roman" w:cs="Times New Roman"/>
          <w:sz w:val="24"/>
          <w:szCs w:val="24"/>
        </w:rPr>
        <w:t>customers, who very often cannot conduct their business without the use of electricity</w:t>
      </w:r>
      <w:r w:rsidR="00555892">
        <w:rPr>
          <w:rStyle w:val="FootnoteReference"/>
          <w:rFonts w:ascii="Times New Roman" w:hAnsi="Times New Roman" w:cs="Times New Roman"/>
          <w:sz w:val="24"/>
          <w:szCs w:val="24"/>
        </w:rPr>
        <w:footnoteReference w:id="13"/>
      </w:r>
      <w:r w:rsidRPr="00F256BB">
        <w:rPr>
          <w:rFonts w:ascii="Times New Roman" w:hAnsi="Times New Roman" w:cs="Times New Roman"/>
          <w:sz w:val="24"/>
          <w:szCs w:val="24"/>
        </w:rPr>
        <w:t xml:space="preserve">. The U.S. Department of Energy has developed a </w:t>
      </w:r>
      <w:r w:rsidR="00C975F6">
        <w:rPr>
          <w:rFonts w:ascii="Times New Roman" w:hAnsi="Times New Roman" w:cs="Times New Roman"/>
          <w:sz w:val="24"/>
          <w:szCs w:val="24"/>
        </w:rPr>
        <w:t>tool</w:t>
      </w:r>
      <w:r w:rsidRPr="00F256BB">
        <w:rPr>
          <w:rFonts w:ascii="Times New Roman" w:hAnsi="Times New Roman" w:cs="Times New Roman"/>
          <w:sz w:val="24"/>
          <w:szCs w:val="24"/>
        </w:rPr>
        <w:t xml:space="preserve">, known as the </w:t>
      </w:r>
      <w:r w:rsidR="00C975F6">
        <w:rPr>
          <w:rFonts w:ascii="Times New Roman" w:hAnsi="Times New Roman" w:cs="Times New Roman"/>
          <w:sz w:val="24"/>
          <w:szCs w:val="24"/>
        </w:rPr>
        <w:t>Interruption Cost Estimate Calculator (</w:t>
      </w:r>
      <w:r w:rsidRPr="00F256BB">
        <w:rPr>
          <w:rFonts w:ascii="Times New Roman" w:hAnsi="Times New Roman" w:cs="Times New Roman"/>
          <w:sz w:val="24"/>
          <w:szCs w:val="24"/>
        </w:rPr>
        <w:t>ICE</w:t>
      </w:r>
      <w:r w:rsidR="00C975F6">
        <w:rPr>
          <w:rFonts w:ascii="Times New Roman" w:hAnsi="Times New Roman" w:cs="Times New Roman"/>
          <w:sz w:val="24"/>
          <w:szCs w:val="24"/>
        </w:rPr>
        <w:t>)</w:t>
      </w:r>
      <w:r w:rsidRPr="00F256BB">
        <w:rPr>
          <w:rStyle w:val="FootnoteReference"/>
          <w:rFonts w:ascii="Times New Roman" w:hAnsi="Times New Roman" w:cs="Times New Roman"/>
          <w:sz w:val="24"/>
          <w:szCs w:val="24"/>
        </w:rPr>
        <w:footnoteReference w:id="14"/>
      </w:r>
      <w:r w:rsidRPr="00F256BB">
        <w:rPr>
          <w:rFonts w:ascii="Times New Roman" w:hAnsi="Times New Roman" w:cs="Times New Roman"/>
          <w:sz w:val="24"/>
          <w:szCs w:val="24"/>
        </w:rPr>
        <w:t xml:space="preserve"> that </w:t>
      </w:r>
      <w:proofErr w:type="gramStart"/>
      <w:r w:rsidRPr="00F256BB">
        <w:rPr>
          <w:rFonts w:ascii="Times New Roman" w:hAnsi="Times New Roman" w:cs="Times New Roman"/>
          <w:sz w:val="24"/>
          <w:szCs w:val="24"/>
        </w:rPr>
        <w:t>can</w:t>
      </w:r>
      <w:r w:rsidR="00C975F6">
        <w:rPr>
          <w:rFonts w:ascii="Times New Roman" w:hAnsi="Times New Roman" w:cs="Times New Roman"/>
          <w:sz w:val="24"/>
          <w:szCs w:val="24"/>
        </w:rPr>
        <w:t xml:space="preserve"> </w:t>
      </w:r>
      <w:r w:rsidRPr="00F256BB">
        <w:rPr>
          <w:rFonts w:ascii="Times New Roman" w:hAnsi="Times New Roman" w:cs="Times New Roman"/>
          <w:sz w:val="24"/>
          <w:szCs w:val="24"/>
        </w:rPr>
        <w:t>be used</w:t>
      </w:r>
      <w:proofErr w:type="gramEnd"/>
      <w:r w:rsidRPr="00F256BB">
        <w:rPr>
          <w:rFonts w:ascii="Times New Roman" w:hAnsi="Times New Roman" w:cs="Times New Roman"/>
          <w:sz w:val="24"/>
          <w:szCs w:val="24"/>
        </w:rPr>
        <w:t xml:space="preserve"> to estimate the ultimate cost to customers of an electric outage. To estimate the value of improvement in outage restoration times, the Company used the ICE calculator to place a value on its total outage time for 2013, and then assumed that on average, outage restoration times </w:t>
      </w:r>
      <w:proofErr w:type="gramStart"/>
      <w:r w:rsidRPr="00F256BB">
        <w:rPr>
          <w:rFonts w:ascii="Times New Roman" w:hAnsi="Times New Roman" w:cs="Times New Roman"/>
          <w:sz w:val="24"/>
          <w:szCs w:val="24"/>
        </w:rPr>
        <w:t>would be improved</w:t>
      </w:r>
      <w:proofErr w:type="gramEnd"/>
      <w:r w:rsidRPr="00F256BB">
        <w:rPr>
          <w:rFonts w:ascii="Times New Roman" w:hAnsi="Times New Roman" w:cs="Times New Roman"/>
          <w:sz w:val="24"/>
          <w:szCs w:val="24"/>
        </w:rPr>
        <w:t xml:space="preserve"> by five percent with the deployment of advanced metering. </w:t>
      </w:r>
      <w:r w:rsidRPr="00690DBB">
        <w:rPr>
          <w:rFonts w:ascii="Times New Roman" w:hAnsi="Times New Roman" w:cs="Times New Roman"/>
          <w:sz w:val="24"/>
          <w:szCs w:val="24"/>
        </w:rPr>
        <w:t xml:space="preserve">Similar figures </w:t>
      </w:r>
      <w:proofErr w:type="gramStart"/>
      <w:r w:rsidRPr="00690DBB">
        <w:rPr>
          <w:rFonts w:ascii="Times New Roman" w:hAnsi="Times New Roman" w:cs="Times New Roman"/>
          <w:sz w:val="24"/>
          <w:szCs w:val="24"/>
        </w:rPr>
        <w:t>have been reported</w:t>
      </w:r>
      <w:proofErr w:type="gramEnd"/>
      <w:r w:rsidRPr="00690DBB">
        <w:rPr>
          <w:rFonts w:ascii="Times New Roman" w:hAnsi="Times New Roman" w:cs="Times New Roman"/>
          <w:sz w:val="24"/>
          <w:szCs w:val="24"/>
        </w:rPr>
        <w:t xml:space="preserve"> in the industry to be as high as 10 percent</w:t>
      </w:r>
      <w:r w:rsidR="00690DBB" w:rsidRPr="00690DBB">
        <w:rPr>
          <w:rStyle w:val="FootnoteReference"/>
          <w:rFonts w:ascii="Times New Roman" w:hAnsi="Times New Roman" w:cs="Times New Roman"/>
          <w:sz w:val="24"/>
          <w:szCs w:val="24"/>
        </w:rPr>
        <w:footnoteReference w:id="15"/>
      </w:r>
      <w:r w:rsidRPr="00690DBB">
        <w:rPr>
          <w:rFonts w:ascii="Times New Roman" w:hAnsi="Times New Roman" w:cs="Times New Roman"/>
          <w:sz w:val="24"/>
          <w:szCs w:val="24"/>
        </w:rPr>
        <w:t>.</w:t>
      </w:r>
      <w:r w:rsidRPr="00F256BB">
        <w:rPr>
          <w:rFonts w:ascii="Times New Roman" w:hAnsi="Times New Roman" w:cs="Times New Roman"/>
          <w:sz w:val="24"/>
          <w:szCs w:val="24"/>
        </w:rPr>
        <w:t xml:space="preserve"> For Avista, a 5 percent reduction in outage time produced a calculated </w:t>
      </w:r>
      <w:r w:rsidR="00C370C1">
        <w:rPr>
          <w:rFonts w:ascii="Times New Roman" w:hAnsi="Times New Roman" w:cs="Times New Roman"/>
          <w:sz w:val="24"/>
          <w:szCs w:val="24"/>
        </w:rPr>
        <w:t>savings</w:t>
      </w:r>
      <w:r w:rsidRPr="00F256BB">
        <w:rPr>
          <w:rFonts w:ascii="Times New Roman" w:hAnsi="Times New Roman" w:cs="Times New Roman"/>
          <w:sz w:val="24"/>
          <w:szCs w:val="24"/>
        </w:rPr>
        <w:t xml:space="preserve"> for customers of $</w:t>
      </w:r>
      <w:r w:rsidR="002713AC">
        <w:rPr>
          <w:rFonts w:ascii="Times New Roman" w:hAnsi="Times New Roman" w:cs="Times New Roman"/>
          <w:sz w:val="24"/>
          <w:szCs w:val="24"/>
        </w:rPr>
        <w:t>2,218,195</w:t>
      </w:r>
      <w:r w:rsidRPr="00F256BB">
        <w:rPr>
          <w:rFonts w:ascii="Times New Roman" w:hAnsi="Times New Roman" w:cs="Times New Roman"/>
          <w:sz w:val="24"/>
          <w:szCs w:val="24"/>
        </w:rPr>
        <w:t>.</w:t>
      </w:r>
    </w:p>
    <w:p w:rsidR="00946D51" w:rsidRDefault="00946D51" w:rsidP="00B26833">
      <w:pPr>
        <w:pStyle w:val="NoSpacing"/>
        <w:jc w:val="both"/>
        <w:rPr>
          <w:rFonts w:ascii="Times New Roman" w:hAnsi="Times New Roman" w:cs="Times New Roman"/>
          <w:sz w:val="24"/>
          <w:szCs w:val="24"/>
        </w:rPr>
      </w:pPr>
      <w:r w:rsidRPr="00F256BB">
        <w:rPr>
          <w:rFonts w:ascii="Times New Roman" w:hAnsi="Times New Roman" w:cs="Times New Roman"/>
          <w:sz w:val="24"/>
          <w:szCs w:val="24"/>
        </w:rPr>
        <w:lastRenderedPageBreak/>
        <w:t>Each year, Avista dispatches field personnel to respond to electric outages that are ultimately determined to be on the customer’s side of the meter. In these instances, the Company’s facilities are working properly (there is power to the meter) and it is up to the</w:t>
      </w:r>
      <w:r>
        <w:rPr>
          <w:rFonts w:ascii="Times New Roman" w:hAnsi="Times New Roman" w:cs="Times New Roman"/>
          <w:sz w:val="24"/>
          <w:szCs w:val="24"/>
        </w:rPr>
        <w:t xml:space="preserve"> customer to contact a commercial electrician to investigate and repair the</w:t>
      </w:r>
      <w:r w:rsidR="00964BB9">
        <w:rPr>
          <w:rFonts w:ascii="Times New Roman" w:hAnsi="Times New Roman" w:cs="Times New Roman"/>
          <w:sz w:val="24"/>
          <w:szCs w:val="24"/>
        </w:rPr>
        <w:t>ir</w:t>
      </w:r>
      <w:r>
        <w:rPr>
          <w:rFonts w:ascii="Times New Roman" w:hAnsi="Times New Roman" w:cs="Times New Roman"/>
          <w:sz w:val="24"/>
          <w:szCs w:val="24"/>
        </w:rPr>
        <w:t xml:space="preserve"> problem. This circumstance </w:t>
      </w:r>
      <w:proofErr w:type="gramStart"/>
      <w:r>
        <w:rPr>
          <w:rFonts w:ascii="Times New Roman" w:hAnsi="Times New Roman" w:cs="Times New Roman"/>
          <w:sz w:val="24"/>
          <w:szCs w:val="24"/>
        </w:rPr>
        <w:t>is referred</w:t>
      </w:r>
      <w:proofErr w:type="gramEnd"/>
      <w:r>
        <w:rPr>
          <w:rFonts w:ascii="Times New Roman" w:hAnsi="Times New Roman" w:cs="Times New Roman"/>
          <w:sz w:val="24"/>
          <w:szCs w:val="24"/>
        </w:rPr>
        <w:t xml:space="preserve"> to a “false positive.” With advanced metering, the customer service person taking the outage call will be able to </w:t>
      </w:r>
      <w:r w:rsidR="00964BB9">
        <w:rPr>
          <w:rFonts w:ascii="Times New Roman" w:hAnsi="Times New Roman" w:cs="Times New Roman"/>
          <w:sz w:val="24"/>
          <w:szCs w:val="24"/>
        </w:rPr>
        <w:t>query</w:t>
      </w:r>
      <w:r>
        <w:rPr>
          <w:rFonts w:ascii="Times New Roman" w:hAnsi="Times New Roman" w:cs="Times New Roman"/>
          <w:sz w:val="24"/>
          <w:szCs w:val="24"/>
        </w:rPr>
        <w:t xml:space="preserve"> the meter in question to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there is actually power to the meter, reducing the likelihood of a false positive. The Company has estimated that having this capability will reduce the incidence of false positives by 80%, resulting in an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of $396,967.</w:t>
      </w:r>
    </w:p>
    <w:p w:rsidR="002713AC" w:rsidRDefault="002713AC" w:rsidP="00B26833">
      <w:pPr>
        <w:pStyle w:val="NoSpacing"/>
        <w:jc w:val="both"/>
        <w:rPr>
          <w:rFonts w:ascii="Times New Roman" w:hAnsi="Times New Roman" w:cs="Times New Roman"/>
          <w:sz w:val="24"/>
          <w:szCs w:val="24"/>
        </w:rPr>
      </w:pPr>
    </w:p>
    <w:p w:rsidR="002713AC" w:rsidRPr="00946D51" w:rsidRDefault="006E00F3"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2713AC">
        <w:rPr>
          <w:rFonts w:ascii="Times New Roman" w:hAnsi="Times New Roman" w:cs="Times New Roman"/>
          <w:sz w:val="24"/>
          <w:szCs w:val="24"/>
        </w:rPr>
        <w:t xml:space="preserve">Company also expects that the number of customer calls to report outages </w:t>
      </w:r>
      <w:proofErr w:type="gramStart"/>
      <w:r w:rsidR="002713AC">
        <w:rPr>
          <w:rFonts w:ascii="Times New Roman" w:hAnsi="Times New Roman" w:cs="Times New Roman"/>
          <w:sz w:val="24"/>
          <w:szCs w:val="24"/>
        </w:rPr>
        <w:t>will be reduced</w:t>
      </w:r>
      <w:proofErr w:type="gramEnd"/>
      <w:r w:rsidR="002713AC">
        <w:rPr>
          <w:rFonts w:ascii="Times New Roman" w:hAnsi="Times New Roman" w:cs="Times New Roman"/>
          <w:sz w:val="24"/>
          <w:szCs w:val="24"/>
        </w:rPr>
        <w:t xml:space="preserve"> with advanced metering. This will result from more accurate automated outage notification to customers. The annual </w:t>
      </w:r>
      <w:r w:rsidR="00547048">
        <w:rPr>
          <w:rFonts w:ascii="Times New Roman" w:hAnsi="Times New Roman" w:cs="Times New Roman"/>
          <w:sz w:val="24"/>
          <w:szCs w:val="24"/>
        </w:rPr>
        <w:t>benefit</w:t>
      </w:r>
      <w:r w:rsidR="002713AC">
        <w:rPr>
          <w:rFonts w:ascii="Times New Roman" w:hAnsi="Times New Roman" w:cs="Times New Roman"/>
          <w:sz w:val="24"/>
          <w:szCs w:val="24"/>
        </w:rPr>
        <w:t xml:space="preserve"> associated with the reduced number of calls </w:t>
      </w:r>
      <w:proofErr w:type="gramStart"/>
      <w:r w:rsidR="00C370C1">
        <w:rPr>
          <w:rFonts w:ascii="Times New Roman" w:hAnsi="Times New Roman" w:cs="Times New Roman"/>
          <w:sz w:val="24"/>
          <w:szCs w:val="24"/>
        </w:rPr>
        <w:t>was</w:t>
      </w:r>
      <w:r w:rsidR="002713AC">
        <w:rPr>
          <w:rFonts w:ascii="Times New Roman" w:hAnsi="Times New Roman" w:cs="Times New Roman"/>
          <w:sz w:val="24"/>
          <w:szCs w:val="24"/>
        </w:rPr>
        <w:t xml:space="preserve"> estimated</w:t>
      </w:r>
      <w:proofErr w:type="gramEnd"/>
      <w:r w:rsidR="002713AC">
        <w:rPr>
          <w:rFonts w:ascii="Times New Roman" w:hAnsi="Times New Roman" w:cs="Times New Roman"/>
          <w:sz w:val="24"/>
          <w:szCs w:val="24"/>
        </w:rPr>
        <w:t xml:space="preserve"> at $69,498.</w:t>
      </w:r>
    </w:p>
    <w:p w:rsidR="00073DF5" w:rsidRDefault="00073DF5" w:rsidP="00B26833">
      <w:pPr>
        <w:jc w:val="both"/>
        <w:rPr>
          <w:b/>
        </w:rPr>
      </w:pPr>
    </w:p>
    <w:p w:rsidR="00F256BB" w:rsidRPr="009573DF" w:rsidRDefault="00727BA5" w:rsidP="00B26833">
      <w:pPr>
        <w:jc w:val="both"/>
        <w:rPr>
          <w:b/>
        </w:rPr>
      </w:pPr>
      <w:r>
        <w:rPr>
          <w:b/>
        </w:rPr>
        <w:t xml:space="preserve">J.  </w:t>
      </w:r>
      <w:r w:rsidR="005A0B55" w:rsidRPr="005A0B55">
        <w:rPr>
          <w:b/>
        </w:rPr>
        <w:t>Energy Efficiency</w:t>
      </w:r>
    </w:p>
    <w:p w:rsidR="00CB1A8A" w:rsidRDefault="00CB1A8A" w:rsidP="00B26833">
      <w:pPr>
        <w:jc w:val="both"/>
      </w:pPr>
      <w:r>
        <w:t xml:space="preserve">There are two principal areas of </w:t>
      </w:r>
      <w:r w:rsidR="00964BB9">
        <w:t xml:space="preserve">energy efficiency </w:t>
      </w:r>
      <w:r w:rsidR="00C370C1">
        <w:t>savings</w:t>
      </w:r>
      <w:r>
        <w:t xml:space="preserve"> enabled by the deployment of advanced meters, efficiency measures undertaken by the customer, and energy savings associated with the utility’s management of th</w:t>
      </w:r>
      <w:r w:rsidR="00C72E47">
        <w:t>e electric distribution system.</w:t>
      </w:r>
    </w:p>
    <w:p w:rsidR="00CB1A8A" w:rsidRDefault="00CB1A8A" w:rsidP="00B26833">
      <w:pPr>
        <w:jc w:val="both"/>
      </w:pPr>
    </w:p>
    <w:p w:rsidR="00CB1A8A" w:rsidRPr="00CB1A8A" w:rsidRDefault="00727BA5" w:rsidP="00B26833">
      <w:pPr>
        <w:jc w:val="both"/>
        <w:rPr>
          <w:u w:val="single"/>
        </w:rPr>
      </w:pPr>
      <w:r>
        <w:rPr>
          <w:u w:val="single"/>
        </w:rPr>
        <w:t xml:space="preserve">1. </w:t>
      </w:r>
      <w:r w:rsidR="005A0B55" w:rsidRPr="005A0B55">
        <w:rPr>
          <w:u w:val="single"/>
        </w:rPr>
        <w:t>Customer Energy Efficiency</w:t>
      </w:r>
    </w:p>
    <w:p w:rsidR="00497A85" w:rsidRDefault="00CE65B4" w:rsidP="00B26833">
      <w:pPr>
        <w:jc w:val="both"/>
      </w:pPr>
      <w:r>
        <w:t xml:space="preserve">When </w:t>
      </w:r>
      <w:r w:rsidR="00EF1CC4">
        <w:t>customers have acces</w:t>
      </w:r>
      <w:r w:rsidR="00053641">
        <w:t>s to detailed and timely energy-</w:t>
      </w:r>
      <w:r w:rsidR="00EF1CC4">
        <w:t xml:space="preserve">use data they will be able </w:t>
      </w:r>
      <w:proofErr w:type="gramStart"/>
      <w:r w:rsidR="00EF1CC4">
        <w:t>to better u</w:t>
      </w:r>
      <w:r w:rsidR="00053641">
        <w:t>nderstand</w:t>
      </w:r>
      <w:proofErr w:type="gramEnd"/>
      <w:r w:rsidR="00053641">
        <w:t xml:space="preserve"> their energy use. </w:t>
      </w:r>
      <w:proofErr w:type="gramStart"/>
      <w:r w:rsidR="00053641">
        <w:t>And</w:t>
      </w:r>
      <w:proofErr w:type="gramEnd"/>
      <w:r w:rsidR="00EF1CC4">
        <w:t xml:space="preserve"> when </w:t>
      </w:r>
      <w:r>
        <w:t xml:space="preserve">coupled with </w:t>
      </w:r>
      <w:r w:rsidR="00EF1CC4">
        <w:t xml:space="preserve">utility-provided </w:t>
      </w:r>
      <w:r>
        <w:t xml:space="preserve">information and education on energy consumption, customers will have </w:t>
      </w:r>
      <w:r w:rsidR="00C72E47">
        <w:t>new, advanced</w:t>
      </w:r>
      <w:r>
        <w:t xml:space="preserve"> tools to </w:t>
      </w:r>
      <w:r w:rsidR="004A6B3C">
        <w:t>undertake the structural and behavioral changes necessary to achieve</w:t>
      </w:r>
      <w:r>
        <w:t xml:space="preserve"> </w:t>
      </w:r>
      <w:r w:rsidR="004A6B3C">
        <w:t xml:space="preserve">their own </w:t>
      </w:r>
      <w:r>
        <w:t>personal energy conservation objectives.</w:t>
      </w:r>
    </w:p>
    <w:p w:rsidR="00CB1A8A" w:rsidRDefault="00CB1A8A" w:rsidP="00B26833">
      <w:pPr>
        <w:jc w:val="both"/>
      </w:pPr>
    </w:p>
    <w:p w:rsidR="00CB1A8A" w:rsidRDefault="00CB1A8A" w:rsidP="00B26833">
      <w:pPr>
        <w:jc w:val="both"/>
      </w:pPr>
      <w:r>
        <w:t>Avista has estimated from its Pullman smart grid demonstration project, that approximately 5 percent of its eligible customers took advantage of the opportunity to use a</w:t>
      </w:r>
      <w:r w:rsidR="00964BB9">
        <w:t>n in-</w:t>
      </w:r>
      <w:r>
        <w:t xml:space="preserve">home device that provided them real-time information on </w:t>
      </w:r>
      <w:r w:rsidR="00964BB9">
        <w:t>their energy use</w:t>
      </w:r>
      <w:r>
        <w:t xml:space="preserve">. </w:t>
      </w:r>
      <w:r w:rsidRPr="00690DBB">
        <w:t>This rate of participation is similar to results reported elsewhere in the country</w:t>
      </w:r>
      <w:r w:rsidR="00690DBB" w:rsidRPr="00690DBB">
        <w:rPr>
          <w:rStyle w:val="FootnoteReference"/>
        </w:rPr>
        <w:footnoteReference w:id="16"/>
      </w:r>
      <w:r>
        <w:t>. In addition to the rate of participation, customers who engage</w:t>
      </w:r>
      <w:r w:rsidR="00920A5F">
        <w:t>d</w:t>
      </w:r>
      <w:r>
        <w:t xml:space="preserve"> with the real-time energy tools reduce</w:t>
      </w:r>
      <w:r w:rsidR="00920A5F">
        <w:t>d</w:t>
      </w:r>
      <w:r>
        <w:t xml:space="preserve"> their use of electricity by 3 percent on average. These findings are reasonably consistent with industry reports where the </w:t>
      </w:r>
      <w:r w:rsidR="00920A5F">
        <w:t xml:space="preserve">average </w:t>
      </w:r>
      <w:r>
        <w:t>electricity saved by each customer has ranged between 1 and 6 percent</w:t>
      </w:r>
      <w:r w:rsidR="00734508">
        <w:rPr>
          <w:rStyle w:val="FootnoteReference"/>
        </w:rPr>
        <w:footnoteReference w:id="17"/>
      </w:r>
      <w:r>
        <w:t xml:space="preserve">. The Company used this information to estimate that its </w:t>
      </w:r>
      <w:r>
        <w:lastRenderedPageBreak/>
        <w:t xml:space="preserve">Washington electric customers would save $491,882 in annual energy costs </w:t>
      </w:r>
      <w:r w:rsidR="000A6452">
        <w:t>through the</w:t>
      </w:r>
      <w:r>
        <w:t xml:space="preserve"> deployment of advanced meters. </w:t>
      </w:r>
    </w:p>
    <w:p w:rsidR="005F6CF2" w:rsidRDefault="005F6CF2" w:rsidP="00B26833">
      <w:pPr>
        <w:jc w:val="both"/>
      </w:pPr>
    </w:p>
    <w:p w:rsidR="005F6CF2" w:rsidRPr="005F6CF2" w:rsidRDefault="00727BA5" w:rsidP="00B26833">
      <w:pPr>
        <w:jc w:val="both"/>
        <w:rPr>
          <w:u w:val="single"/>
        </w:rPr>
      </w:pPr>
      <w:r>
        <w:rPr>
          <w:u w:val="single"/>
        </w:rPr>
        <w:t xml:space="preserve">2.  </w:t>
      </w:r>
      <w:r w:rsidR="005A0B55" w:rsidRPr="005A0B55">
        <w:rPr>
          <w:u w:val="single"/>
        </w:rPr>
        <w:t xml:space="preserve">Distribution </w:t>
      </w:r>
      <w:r w:rsidR="000711F1">
        <w:rPr>
          <w:u w:val="single"/>
        </w:rPr>
        <w:t xml:space="preserve">System </w:t>
      </w:r>
      <w:r w:rsidR="005A0B55" w:rsidRPr="005A0B55">
        <w:rPr>
          <w:u w:val="single"/>
        </w:rPr>
        <w:t>Energy Efficiency</w:t>
      </w:r>
    </w:p>
    <w:p w:rsidR="005F6CF2" w:rsidRDefault="005F6CF2" w:rsidP="00B26833">
      <w:pPr>
        <w:jc w:val="both"/>
      </w:pPr>
      <w:r>
        <w:t xml:space="preserve">The electric distribution system </w:t>
      </w:r>
      <w:proofErr w:type="gramStart"/>
      <w:r>
        <w:t>is designed</w:t>
      </w:r>
      <w:proofErr w:type="gramEnd"/>
      <w:r>
        <w:t xml:space="preserve"> to operate within a voltage range, which is manually set for each neighborhood “feeder” line at a voltage regulator in the substation. The types and the magnitude of electrical loads on a feeder (e.g. motors vs. lighting) are constantly in flux, causing variation in the actual voltage level on that feeder over time. Since </w:t>
      </w:r>
      <w:proofErr w:type="gramStart"/>
      <w:r>
        <w:t>it’s</w:t>
      </w:r>
      <w:proofErr w:type="gramEnd"/>
      <w:r>
        <w:t xml:space="preserve"> important that a minimum line voltage always be maintained, the set-point voltage will be conservatively set at a higher voltage level than is required much of the time to provide a</w:t>
      </w:r>
      <w:r w:rsidR="00CF5E14">
        <w:t>n adequate</w:t>
      </w:r>
      <w:r>
        <w:t xml:space="preserve"> buffer for the variation in loads. Since more electrical energy is required to support higher line voltages, this results in some inefficiency in the use of electricity at times when the line voltage is greater than the minimum required.</w:t>
      </w:r>
    </w:p>
    <w:p w:rsidR="005F6CF2" w:rsidRDefault="005F6CF2" w:rsidP="00B26833">
      <w:pPr>
        <w:jc w:val="both"/>
      </w:pPr>
    </w:p>
    <w:p w:rsidR="00EF1CC4" w:rsidRDefault="005F6CF2" w:rsidP="00B26833">
      <w:pPr>
        <w:jc w:val="both"/>
      </w:pPr>
      <w:r>
        <w:t xml:space="preserve">Recently, utilities have been able to deploy smart grid technology that allows them to adjust the voltage on a feeder </w:t>
      </w:r>
      <w:r w:rsidR="00EF1CC4">
        <w:t>based on voltage readings taken from the distribution line transformers along the feeder. This capability allows them</w:t>
      </w:r>
      <w:r>
        <w:t xml:space="preserve"> </w:t>
      </w:r>
      <w:proofErr w:type="gramStart"/>
      <w:r>
        <w:t xml:space="preserve">to </w:t>
      </w:r>
      <w:r w:rsidR="00EF1CC4">
        <w:t xml:space="preserve">effectively </w:t>
      </w:r>
      <w:r>
        <w:t>reduce</w:t>
      </w:r>
      <w:proofErr w:type="gramEnd"/>
      <w:r>
        <w:t xml:space="preserve"> the energy required to maintain the minimum line voltage. This strategy </w:t>
      </w:r>
      <w:proofErr w:type="gramStart"/>
      <w:r>
        <w:t>is known</w:t>
      </w:r>
      <w:proofErr w:type="gramEnd"/>
      <w:r>
        <w:t xml:space="preserve"> as “conservation voltage reduction.” The approach uses a Distribution Management System application </w:t>
      </w:r>
      <w:r w:rsidR="00EF1CC4">
        <w:t>that</w:t>
      </w:r>
      <w:r>
        <w:t xml:space="preserve"> </w:t>
      </w:r>
      <w:r w:rsidR="00EF1CC4">
        <w:t xml:space="preserve">receives voltage readings from the transformers, and </w:t>
      </w:r>
      <w:r>
        <w:t>send</w:t>
      </w:r>
      <w:r w:rsidR="00EF1CC4">
        <w:t>s</w:t>
      </w:r>
      <w:r>
        <w:t xml:space="preserve"> voltage control signals to the regulator</w:t>
      </w:r>
      <w:r w:rsidR="00EF1CC4">
        <w:t xml:space="preserve"> in the substation</w:t>
      </w:r>
      <w:r>
        <w:t xml:space="preserve"> in near real time</w:t>
      </w:r>
      <w:r w:rsidR="00EF1CC4">
        <w:t>.</w:t>
      </w:r>
    </w:p>
    <w:p w:rsidR="00EF1CC4" w:rsidRDefault="00EF1CC4" w:rsidP="00B26833">
      <w:pPr>
        <w:jc w:val="both"/>
      </w:pPr>
    </w:p>
    <w:p w:rsidR="005F6CF2" w:rsidRDefault="005F6CF2" w:rsidP="00B26833">
      <w:pPr>
        <w:jc w:val="both"/>
      </w:pPr>
      <w:r>
        <w:t xml:space="preserve">The energy savings from conservation voltage reduction </w:t>
      </w:r>
      <w:proofErr w:type="gramStart"/>
      <w:r>
        <w:t>can be further optimized</w:t>
      </w:r>
      <w:proofErr w:type="gramEnd"/>
      <w:r>
        <w:t xml:space="preserve"> by adding advanced meters that are equipped with voltage alarm capability. Now, instead of relying on voltage readings from the transformer, the actual voltage at the customer’s premise</w:t>
      </w:r>
      <w:r w:rsidR="00133949">
        <w:t>s</w:t>
      </w:r>
      <w:r>
        <w:t xml:space="preserve"> </w:t>
      </w:r>
      <w:proofErr w:type="gramStart"/>
      <w:r>
        <w:t>can be monitored</w:t>
      </w:r>
      <w:proofErr w:type="gramEnd"/>
      <w:r>
        <w:t xml:space="preserve"> and those readings can be used to further reduce the feeder voltage to meet the minimum level required.</w:t>
      </w:r>
    </w:p>
    <w:p w:rsidR="00497A85" w:rsidRDefault="00497A85" w:rsidP="00B26833">
      <w:pPr>
        <w:jc w:val="both"/>
      </w:pPr>
    </w:p>
    <w:p w:rsidR="00497A85" w:rsidRDefault="005F6CF2" w:rsidP="00B26833">
      <w:pPr>
        <w:jc w:val="both"/>
      </w:pPr>
      <w:r w:rsidRPr="00FB7097">
        <w:t>Avista</w:t>
      </w:r>
      <w:r>
        <w:t xml:space="preserve"> has experience with conservation voltage reduction through the implementation of two smart grid programs in Spokane and Pullman, Washington. By deploying advanced metering with voltage alarming capability, the Company estimates it will be able to further-lower the voltage on the distribution feeders (those equipped with </w:t>
      </w:r>
      <w:r w:rsidR="00920A5F">
        <w:t xml:space="preserve">conservation voltage reduction), </w:t>
      </w:r>
      <w:r w:rsidR="00CF5E14">
        <w:t xml:space="preserve">resulting in an annual </w:t>
      </w:r>
      <w:r w:rsidR="00C370C1">
        <w:t xml:space="preserve">energy </w:t>
      </w:r>
      <w:r w:rsidR="00CF5E14">
        <w:t xml:space="preserve">savings estimated at </w:t>
      </w:r>
      <w:r w:rsidR="00920A5F">
        <w:t xml:space="preserve">0.5% or </w:t>
      </w:r>
      <w:r w:rsidR="00CF5E14">
        <w:t xml:space="preserve">13,798,937 kWh. </w:t>
      </w:r>
      <w:r w:rsidR="00CF5E14" w:rsidRPr="00D5272F">
        <w:t xml:space="preserve">The </w:t>
      </w:r>
      <w:r w:rsidRPr="00D5272F">
        <w:t xml:space="preserve">estimated </w:t>
      </w:r>
      <w:r w:rsidR="00CF5E14" w:rsidRPr="00D5272F">
        <w:t xml:space="preserve">value of the annual </w:t>
      </w:r>
      <w:r w:rsidR="00EA76D0">
        <w:t xml:space="preserve">energy </w:t>
      </w:r>
      <w:r w:rsidR="00C370C1" w:rsidRPr="00D5272F">
        <w:t>savings</w:t>
      </w:r>
      <w:r w:rsidR="00CF5E14" w:rsidRPr="00D5272F">
        <w:t xml:space="preserve"> to customers is</w:t>
      </w:r>
      <w:r w:rsidRPr="00D5272F">
        <w:t xml:space="preserve"> $</w:t>
      </w:r>
      <w:r w:rsidR="004C2CC8" w:rsidRPr="00D5272F">
        <w:t>1,186,709</w:t>
      </w:r>
      <w:r w:rsidRPr="00D5272F">
        <w:t>.</w:t>
      </w:r>
      <w:r w:rsidR="00373FCC" w:rsidRPr="00FA54D8">
        <w:rPr>
          <w:highlight w:val="yellow"/>
        </w:rPr>
        <w:t xml:space="preserve"> </w:t>
      </w:r>
    </w:p>
    <w:p w:rsidR="00D5272F" w:rsidRDefault="00D5272F" w:rsidP="00B26833">
      <w:pPr>
        <w:jc w:val="both"/>
      </w:pPr>
    </w:p>
    <w:p w:rsidR="00946D51" w:rsidRDefault="00FA54D8" w:rsidP="00B26833">
      <w:pPr>
        <w:jc w:val="both"/>
        <w:rPr>
          <w:b/>
        </w:rPr>
      </w:pPr>
      <w:r>
        <w:rPr>
          <w:b/>
        </w:rPr>
        <w:t xml:space="preserve">K.  </w:t>
      </w:r>
      <w:r w:rsidR="00946D51">
        <w:rPr>
          <w:b/>
        </w:rPr>
        <w:t>Energy Theft and Unbilled Energy Usage</w:t>
      </w:r>
    </w:p>
    <w:p w:rsidR="00946D51" w:rsidRPr="00FD2036" w:rsidRDefault="002713AC" w:rsidP="00B26833">
      <w:pPr>
        <w:jc w:val="both"/>
      </w:pPr>
      <w:r w:rsidRPr="00FD2036">
        <w:t xml:space="preserve">Tampering or theft diversion </w:t>
      </w:r>
      <w:r>
        <w:t>occurs when</w:t>
      </w:r>
      <w:r w:rsidRPr="00FD2036">
        <w:t xml:space="preserve"> a customer has purposefully altered the meter</w:t>
      </w:r>
      <w:r w:rsidR="00A0760D">
        <w:t xml:space="preserve"> so that power </w:t>
      </w:r>
      <w:proofErr w:type="gramStart"/>
      <w:r w:rsidR="00A0760D">
        <w:t xml:space="preserve">is </w:t>
      </w:r>
      <w:r w:rsidRPr="00FD2036">
        <w:t>consumed</w:t>
      </w:r>
      <w:proofErr w:type="gramEnd"/>
      <w:r w:rsidRPr="00FD2036">
        <w:t xml:space="preserve"> at the premise</w:t>
      </w:r>
      <w:r w:rsidR="00133949">
        <w:t>s</w:t>
      </w:r>
      <w:r w:rsidRPr="00FD2036">
        <w:t xml:space="preserve"> without being registered on the meter.</w:t>
      </w:r>
      <w:r>
        <w:t xml:space="preserve"> </w:t>
      </w:r>
      <w:r w:rsidR="00946D51">
        <w:t>Advanced meters are equipped with tamper alarms that will automatically communicate with the utility in the event a person should attempt to circumvent the metering of en</w:t>
      </w:r>
      <w:r>
        <w:t>ergy</w:t>
      </w:r>
      <w:r w:rsidR="00946D51">
        <w:t xml:space="preserve">. In addition to the alarm capability, the utility can employ analytics to evaluate the interval metering data to help identify potential theft of service far more accurately. Using this theft-detection software helps the utility deploy field inspection personnel </w:t>
      </w:r>
      <w:r w:rsidR="00946D51">
        <w:lastRenderedPageBreak/>
        <w:t>more efficiently, further reducing the frequency of field service calls and customer disruptions. In addition to helping curb theft of electricity, advanced metering also aids the utility in isolating potential unbilled usage at a premise, as well as identifying slow, failing and stopped meters.</w:t>
      </w:r>
    </w:p>
    <w:p w:rsidR="00946D51" w:rsidRPr="00FD2036" w:rsidRDefault="00946D51" w:rsidP="00B26833">
      <w:pPr>
        <w:pStyle w:val="NoSpacing"/>
        <w:jc w:val="both"/>
        <w:rPr>
          <w:rFonts w:ascii="Times New Roman" w:hAnsi="Times New Roman" w:cs="Times New Roman"/>
          <w:sz w:val="24"/>
          <w:szCs w:val="24"/>
        </w:rPr>
      </w:pPr>
    </w:p>
    <w:p w:rsidR="00946D51" w:rsidRPr="00FD2036" w:rsidRDefault="00946D51" w:rsidP="00B26833">
      <w:pPr>
        <w:pStyle w:val="NoSpacing"/>
        <w:jc w:val="both"/>
        <w:rPr>
          <w:rFonts w:ascii="Times New Roman" w:hAnsi="Times New Roman" w:cs="Times New Roman"/>
          <w:sz w:val="24"/>
          <w:szCs w:val="24"/>
        </w:rPr>
      </w:pPr>
      <w:r w:rsidRPr="00FD2036">
        <w:rPr>
          <w:rFonts w:ascii="Times New Roman" w:hAnsi="Times New Roman" w:cs="Times New Roman"/>
          <w:sz w:val="24"/>
          <w:szCs w:val="24"/>
        </w:rPr>
        <w:t xml:space="preserve">The development of estimates for the value associated with </w:t>
      </w:r>
      <w:r w:rsidR="001A36CB">
        <w:rPr>
          <w:rFonts w:ascii="Times New Roman" w:hAnsi="Times New Roman" w:cs="Times New Roman"/>
          <w:sz w:val="24"/>
          <w:szCs w:val="24"/>
        </w:rPr>
        <w:t xml:space="preserve">energy theft </w:t>
      </w:r>
      <w:proofErr w:type="gramStart"/>
      <w:r w:rsidRPr="00FD2036">
        <w:rPr>
          <w:rFonts w:ascii="Times New Roman" w:hAnsi="Times New Roman" w:cs="Times New Roman"/>
          <w:sz w:val="24"/>
          <w:szCs w:val="24"/>
        </w:rPr>
        <w:t>is based</w:t>
      </w:r>
      <w:proofErr w:type="gramEnd"/>
      <w:r w:rsidRPr="00FD2036">
        <w:rPr>
          <w:rFonts w:ascii="Times New Roman" w:hAnsi="Times New Roman" w:cs="Times New Roman"/>
          <w:sz w:val="24"/>
          <w:szCs w:val="24"/>
        </w:rPr>
        <w:t xml:space="preserve"> on Avista’s own experience</w:t>
      </w:r>
      <w:r>
        <w:rPr>
          <w:rFonts w:ascii="Times New Roman" w:hAnsi="Times New Roman" w:cs="Times New Roman"/>
          <w:sz w:val="24"/>
          <w:szCs w:val="24"/>
        </w:rPr>
        <w:t>,</w:t>
      </w:r>
      <w:r w:rsidRPr="00FD2036">
        <w:rPr>
          <w:rFonts w:ascii="Times New Roman" w:hAnsi="Times New Roman" w:cs="Times New Roman"/>
          <w:sz w:val="24"/>
          <w:szCs w:val="24"/>
        </w:rPr>
        <w:t xml:space="preserve"> as well as a range of estimates from the utility industry. In most literature, the range of opportunity is between 1 and 3 percent of total utility revenue. </w:t>
      </w:r>
      <w:r w:rsidRPr="007B44E6">
        <w:rPr>
          <w:rFonts w:ascii="Times New Roman" w:hAnsi="Times New Roman" w:cs="Times New Roman"/>
          <w:sz w:val="24"/>
          <w:szCs w:val="24"/>
        </w:rPr>
        <w:t>In some business cases for advanced metering projects, t</w:t>
      </w:r>
      <w:r w:rsidR="001A36CB">
        <w:rPr>
          <w:rFonts w:ascii="Times New Roman" w:hAnsi="Times New Roman" w:cs="Times New Roman"/>
          <w:sz w:val="24"/>
          <w:szCs w:val="24"/>
        </w:rPr>
        <w:t xml:space="preserve">he opportunity to address theft </w:t>
      </w:r>
      <w:r w:rsidRPr="007B44E6">
        <w:rPr>
          <w:rFonts w:ascii="Times New Roman" w:hAnsi="Times New Roman" w:cs="Times New Roman"/>
          <w:sz w:val="24"/>
          <w:szCs w:val="24"/>
        </w:rPr>
        <w:t>represents the single largest benefit among all those evaluated</w:t>
      </w:r>
      <w:r w:rsidR="007B44E6" w:rsidRPr="007B44E6">
        <w:rPr>
          <w:rStyle w:val="FootnoteReference"/>
          <w:rFonts w:ascii="Times New Roman" w:hAnsi="Times New Roman" w:cs="Times New Roman"/>
          <w:sz w:val="24"/>
          <w:szCs w:val="24"/>
        </w:rPr>
        <w:footnoteReference w:id="18"/>
      </w:r>
      <w:r w:rsidR="001A36CB">
        <w:rPr>
          <w:rFonts w:ascii="Times New Roman" w:hAnsi="Times New Roman" w:cs="Times New Roman"/>
          <w:sz w:val="24"/>
          <w:szCs w:val="24"/>
        </w:rPr>
        <w:t>.</w:t>
      </w:r>
      <w:r w:rsidRPr="00FD2036">
        <w:rPr>
          <w:rFonts w:ascii="Times New Roman" w:hAnsi="Times New Roman" w:cs="Times New Roman"/>
          <w:sz w:val="24"/>
          <w:szCs w:val="24"/>
        </w:rPr>
        <w:t xml:space="preserve"> Avista believes</w:t>
      </w:r>
      <w:r>
        <w:rPr>
          <w:rFonts w:ascii="Times New Roman" w:hAnsi="Times New Roman" w:cs="Times New Roman"/>
          <w:sz w:val="24"/>
          <w:szCs w:val="24"/>
        </w:rPr>
        <w:t xml:space="preserve"> </w:t>
      </w:r>
      <w:r w:rsidR="00964BB9">
        <w:rPr>
          <w:rFonts w:ascii="Times New Roman" w:hAnsi="Times New Roman" w:cs="Times New Roman"/>
          <w:sz w:val="24"/>
          <w:szCs w:val="24"/>
        </w:rPr>
        <w:t>the savings</w:t>
      </w:r>
      <w:r w:rsidRPr="00FD2036">
        <w:rPr>
          <w:rFonts w:ascii="Times New Roman" w:hAnsi="Times New Roman" w:cs="Times New Roman"/>
          <w:sz w:val="24"/>
          <w:szCs w:val="24"/>
        </w:rPr>
        <w:t xml:space="preserve"> </w:t>
      </w:r>
      <w:r>
        <w:rPr>
          <w:rFonts w:ascii="Times New Roman" w:hAnsi="Times New Roman" w:cs="Times New Roman"/>
          <w:sz w:val="24"/>
          <w:szCs w:val="24"/>
        </w:rPr>
        <w:t>opportunity is</w:t>
      </w:r>
      <w:r w:rsidRPr="00FD2036">
        <w:rPr>
          <w:rFonts w:ascii="Times New Roman" w:hAnsi="Times New Roman" w:cs="Times New Roman"/>
          <w:sz w:val="24"/>
          <w:szCs w:val="24"/>
        </w:rPr>
        <w:t xml:space="preserve"> greater than what we </w:t>
      </w:r>
      <w:r>
        <w:rPr>
          <w:rFonts w:ascii="Times New Roman" w:hAnsi="Times New Roman" w:cs="Times New Roman"/>
          <w:sz w:val="24"/>
          <w:szCs w:val="24"/>
        </w:rPr>
        <w:t>experience</w:t>
      </w:r>
      <w:r w:rsidRPr="00FD2036">
        <w:rPr>
          <w:rFonts w:ascii="Times New Roman" w:hAnsi="Times New Roman" w:cs="Times New Roman"/>
          <w:sz w:val="24"/>
          <w:szCs w:val="24"/>
        </w:rPr>
        <w:t xml:space="preserve"> today with our conventional metering, but less </w:t>
      </w:r>
      <w:r>
        <w:rPr>
          <w:rFonts w:ascii="Times New Roman" w:hAnsi="Times New Roman" w:cs="Times New Roman"/>
          <w:sz w:val="24"/>
          <w:szCs w:val="24"/>
        </w:rPr>
        <w:t xml:space="preserve">than the industry averages. </w:t>
      </w:r>
      <w:r w:rsidRPr="00FD2036">
        <w:rPr>
          <w:rFonts w:ascii="Times New Roman" w:hAnsi="Times New Roman" w:cs="Times New Roman"/>
          <w:sz w:val="24"/>
          <w:szCs w:val="24"/>
        </w:rPr>
        <w:t xml:space="preserve">Accordingly, we have </w:t>
      </w:r>
      <w:r>
        <w:rPr>
          <w:rFonts w:ascii="Times New Roman" w:hAnsi="Times New Roman" w:cs="Times New Roman"/>
          <w:sz w:val="24"/>
          <w:szCs w:val="24"/>
        </w:rPr>
        <w:t>estimated</w:t>
      </w:r>
      <w:r w:rsidRPr="00FD2036">
        <w:rPr>
          <w:rFonts w:ascii="Times New Roman" w:hAnsi="Times New Roman" w:cs="Times New Roman"/>
          <w:sz w:val="24"/>
          <w:szCs w:val="24"/>
        </w:rPr>
        <w:t xml:space="preserve"> the opportunity </w:t>
      </w:r>
      <w:r>
        <w:rPr>
          <w:rFonts w:ascii="Times New Roman" w:hAnsi="Times New Roman" w:cs="Times New Roman"/>
          <w:sz w:val="24"/>
          <w:szCs w:val="24"/>
        </w:rPr>
        <w:t>at</w:t>
      </w:r>
      <w:r w:rsidRPr="00FD2036">
        <w:rPr>
          <w:rFonts w:ascii="Times New Roman" w:hAnsi="Times New Roman" w:cs="Times New Roman"/>
          <w:sz w:val="24"/>
          <w:szCs w:val="24"/>
        </w:rPr>
        <w:t xml:space="preserve"> 0.</w:t>
      </w:r>
      <w:r>
        <w:rPr>
          <w:rFonts w:ascii="Times New Roman" w:hAnsi="Times New Roman" w:cs="Times New Roman"/>
          <w:sz w:val="24"/>
          <w:szCs w:val="24"/>
        </w:rPr>
        <w:t>4</w:t>
      </w:r>
      <w:r w:rsidRPr="00FD2036">
        <w:rPr>
          <w:rFonts w:ascii="Times New Roman" w:hAnsi="Times New Roman" w:cs="Times New Roman"/>
          <w:sz w:val="24"/>
          <w:szCs w:val="24"/>
        </w:rPr>
        <w:t xml:space="preserve">% of total revenue. </w:t>
      </w:r>
      <w:r w:rsidRPr="00351841">
        <w:rPr>
          <w:rFonts w:ascii="Times New Roman" w:hAnsi="Times New Roman" w:cs="Times New Roman"/>
          <w:sz w:val="24"/>
          <w:szCs w:val="24"/>
        </w:rPr>
        <w:t>Several research studies, business cases, and anecdotal conversations with other utilities have supported this as a reasonable assumption</w:t>
      </w:r>
      <w:r w:rsidR="002713AC" w:rsidRPr="00351841">
        <w:rPr>
          <w:rStyle w:val="FootnoteReference"/>
          <w:rFonts w:ascii="Times New Roman" w:hAnsi="Times New Roman" w:cs="Times New Roman"/>
          <w:sz w:val="24"/>
          <w:szCs w:val="24"/>
        </w:rPr>
        <w:footnoteReference w:id="19"/>
      </w:r>
      <w:r w:rsidRPr="00351841">
        <w:rPr>
          <w:rFonts w:ascii="Times New Roman" w:hAnsi="Times New Roman" w:cs="Times New Roman"/>
          <w:sz w:val="24"/>
          <w:szCs w:val="24"/>
        </w:rPr>
        <w:t>.</w:t>
      </w:r>
      <w:r w:rsidRPr="00FD2036">
        <w:rPr>
          <w:rFonts w:ascii="Times New Roman" w:hAnsi="Times New Roman" w:cs="Times New Roman"/>
          <w:sz w:val="24"/>
          <w:szCs w:val="24"/>
        </w:rPr>
        <w:t xml:space="preserve"> </w:t>
      </w:r>
    </w:p>
    <w:p w:rsidR="00946D51" w:rsidRPr="00FD2036" w:rsidRDefault="00946D51" w:rsidP="00B26833">
      <w:pPr>
        <w:pStyle w:val="NoSpacing"/>
        <w:jc w:val="both"/>
        <w:rPr>
          <w:rFonts w:ascii="Times New Roman" w:hAnsi="Times New Roman" w:cs="Times New Roman"/>
          <w:b/>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1. </w:t>
      </w:r>
      <w:r w:rsidR="00946D51" w:rsidRPr="00FD2036">
        <w:rPr>
          <w:rFonts w:ascii="Times New Roman" w:hAnsi="Times New Roman" w:cs="Times New Roman"/>
          <w:sz w:val="24"/>
          <w:szCs w:val="24"/>
          <w:u w:val="single"/>
        </w:rPr>
        <w:t>Theft Diversion</w:t>
      </w:r>
    </w:p>
    <w:p w:rsidR="00946D51" w:rsidRPr="00FD2036" w:rsidRDefault="00946D51" w:rsidP="00B26833">
      <w:pPr>
        <w:pStyle w:val="NoSpacing"/>
        <w:jc w:val="both"/>
        <w:rPr>
          <w:rFonts w:ascii="Times New Roman" w:hAnsi="Times New Roman" w:cs="Times New Roman"/>
          <w:sz w:val="24"/>
          <w:szCs w:val="24"/>
        </w:rPr>
      </w:pPr>
      <w:r w:rsidRPr="00FD2036">
        <w:rPr>
          <w:rFonts w:ascii="Times New Roman" w:hAnsi="Times New Roman" w:cs="Times New Roman"/>
          <w:sz w:val="24"/>
          <w:szCs w:val="24"/>
        </w:rPr>
        <w:t xml:space="preserve">Currently, 80% of Avista’s theft cases </w:t>
      </w:r>
      <w:proofErr w:type="gramStart"/>
      <w:r w:rsidRPr="00FD2036">
        <w:rPr>
          <w:rFonts w:ascii="Times New Roman" w:hAnsi="Times New Roman" w:cs="Times New Roman"/>
          <w:sz w:val="24"/>
          <w:szCs w:val="24"/>
        </w:rPr>
        <w:t>are represented</w:t>
      </w:r>
      <w:proofErr w:type="gramEnd"/>
      <w:r w:rsidRPr="00FD2036">
        <w:rPr>
          <w:rFonts w:ascii="Times New Roman" w:hAnsi="Times New Roman" w:cs="Times New Roman"/>
          <w:sz w:val="24"/>
          <w:szCs w:val="24"/>
        </w:rPr>
        <w:t xml:space="preserve"> by </w:t>
      </w:r>
      <w:r w:rsidR="001A36CB">
        <w:rPr>
          <w:rFonts w:ascii="Times New Roman" w:hAnsi="Times New Roman" w:cs="Times New Roman"/>
          <w:sz w:val="24"/>
          <w:szCs w:val="24"/>
        </w:rPr>
        <w:t>instances</w:t>
      </w:r>
      <w:r w:rsidRPr="00FD2036">
        <w:rPr>
          <w:rFonts w:ascii="Times New Roman" w:hAnsi="Times New Roman" w:cs="Times New Roman"/>
          <w:sz w:val="24"/>
          <w:szCs w:val="24"/>
        </w:rPr>
        <w:t xml:space="preserve"> where the customer has turned </w:t>
      </w:r>
      <w:r>
        <w:rPr>
          <w:rFonts w:ascii="Times New Roman" w:hAnsi="Times New Roman" w:cs="Times New Roman"/>
          <w:sz w:val="24"/>
          <w:szCs w:val="24"/>
        </w:rPr>
        <w:t>on an inactive meter</w:t>
      </w:r>
      <w:r w:rsidRPr="00FD2036">
        <w:rPr>
          <w:rFonts w:ascii="Times New Roman" w:hAnsi="Times New Roman" w:cs="Times New Roman"/>
          <w:sz w:val="24"/>
          <w:szCs w:val="24"/>
        </w:rPr>
        <w:t xml:space="preserve"> or </w:t>
      </w:r>
      <w:r w:rsidR="00D53FC0">
        <w:rPr>
          <w:rFonts w:ascii="Times New Roman" w:hAnsi="Times New Roman" w:cs="Times New Roman"/>
          <w:sz w:val="24"/>
          <w:szCs w:val="24"/>
        </w:rPr>
        <w:t xml:space="preserve">has </w:t>
      </w:r>
      <w:r w:rsidRPr="00FD2036">
        <w:rPr>
          <w:rFonts w:ascii="Times New Roman" w:hAnsi="Times New Roman" w:cs="Times New Roman"/>
          <w:sz w:val="24"/>
          <w:szCs w:val="24"/>
        </w:rPr>
        <w:t xml:space="preserve">damaged the meter to the point where it stops reading. These circumstances can represent cases of complete diversion, where no usage at all </w:t>
      </w:r>
      <w:proofErr w:type="gramStart"/>
      <w:r w:rsidRPr="00FD2036">
        <w:rPr>
          <w:rFonts w:ascii="Times New Roman" w:hAnsi="Times New Roman" w:cs="Times New Roman"/>
          <w:sz w:val="24"/>
          <w:szCs w:val="24"/>
        </w:rPr>
        <w:t>is registered</w:t>
      </w:r>
      <w:proofErr w:type="gramEnd"/>
      <w:r w:rsidRPr="00FD2036">
        <w:rPr>
          <w:rFonts w:ascii="Times New Roman" w:hAnsi="Times New Roman" w:cs="Times New Roman"/>
          <w:sz w:val="24"/>
          <w:szCs w:val="24"/>
        </w:rPr>
        <w:t xml:space="preserve"> on the meter, partial diversion, and intermittent diversion. </w:t>
      </w:r>
      <w:r w:rsidR="002713AC">
        <w:rPr>
          <w:rFonts w:ascii="Times New Roman" w:hAnsi="Times New Roman" w:cs="Times New Roman"/>
          <w:sz w:val="24"/>
          <w:szCs w:val="24"/>
        </w:rPr>
        <w:t>By taking advantage of meter alarming capability</w:t>
      </w:r>
      <w:r w:rsidR="00964BB9">
        <w:rPr>
          <w:rFonts w:ascii="Times New Roman" w:hAnsi="Times New Roman" w:cs="Times New Roman"/>
          <w:sz w:val="24"/>
          <w:szCs w:val="24"/>
        </w:rPr>
        <w:t>,</w:t>
      </w:r>
      <w:r w:rsidR="002713AC">
        <w:rPr>
          <w:rFonts w:ascii="Times New Roman" w:hAnsi="Times New Roman" w:cs="Times New Roman"/>
          <w:sz w:val="24"/>
          <w:szCs w:val="24"/>
        </w:rPr>
        <w:t xml:space="preserve"> coupled with </w:t>
      </w:r>
      <w:r>
        <w:rPr>
          <w:rFonts w:ascii="Times New Roman" w:hAnsi="Times New Roman" w:cs="Times New Roman"/>
          <w:sz w:val="24"/>
          <w:szCs w:val="24"/>
        </w:rPr>
        <w:t>powerful diagnostic analytics to identify meter locations where dive</w:t>
      </w:r>
      <w:r w:rsidR="002713AC">
        <w:rPr>
          <w:rFonts w:ascii="Times New Roman" w:hAnsi="Times New Roman" w:cs="Times New Roman"/>
          <w:sz w:val="24"/>
          <w:szCs w:val="24"/>
        </w:rPr>
        <w:t>rsion is likely to be occurring, the Company</w:t>
      </w:r>
      <w:r>
        <w:rPr>
          <w:rFonts w:ascii="Times New Roman" w:hAnsi="Times New Roman" w:cs="Times New Roman"/>
          <w:sz w:val="24"/>
          <w:szCs w:val="24"/>
        </w:rPr>
        <w:t xml:space="preserve"> estimate</w:t>
      </w:r>
      <w:r w:rsidR="002713AC">
        <w:rPr>
          <w:rFonts w:ascii="Times New Roman" w:hAnsi="Times New Roman" w:cs="Times New Roman"/>
          <w:sz w:val="24"/>
          <w:szCs w:val="24"/>
        </w:rPr>
        <w:t>s</w:t>
      </w:r>
      <w:r>
        <w:rPr>
          <w:rFonts w:ascii="Times New Roman" w:hAnsi="Times New Roman" w:cs="Times New Roman"/>
          <w:sz w:val="24"/>
          <w:szCs w:val="24"/>
        </w:rPr>
        <w:t xml:space="preserve"> the potential </w:t>
      </w:r>
      <w:r w:rsidR="00C370C1">
        <w:rPr>
          <w:rFonts w:ascii="Times New Roman" w:hAnsi="Times New Roman" w:cs="Times New Roman"/>
          <w:sz w:val="24"/>
          <w:szCs w:val="24"/>
        </w:rPr>
        <w:t>benefit</w:t>
      </w:r>
      <w:r>
        <w:rPr>
          <w:rFonts w:ascii="Times New Roman" w:hAnsi="Times New Roman" w:cs="Times New Roman"/>
          <w:sz w:val="24"/>
          <w:szCs w:val="24"/>
        </w:rPr>
        <w:t xml:space="preserve"> associated with identifying more of these diversion cases at </w:t>
      </w:r>
      <w:r w:rsidRPr="00FD2036">
        <w:rPr>
          <w:rFonts w:ascii="Times New Roman" w:hAnsi="Times New Roman" w:cs="Times New Roman"/>
          <w:sz w:val="24"/>
          <w:szCs w:val="24"/>
        </w:rPr>
        <w:t>$</w:t>
      </w:r>
      <w:r w:rsidR="002713AC">
        <w:rPr>
          <w:rFonts w:ascii="Times New Roman" w:hAnsi="Times New Roman" w:cs="Times New Roman"/>
          <w:sz w:val="24"/>
          <w:szCs w:val="24"/>
        </w:rPr>
        <w:t>1,053,322</w:t>
      </w:r>
      <w:r w:rsidRPr="00FD2036">
        <w:rPr>
          <w:rFonts w:ascii="Times New Roman" w:hAnsi="Times New Roman" w:cs="Times New Roman"/>
          <w:sz w:val="24"/>
          <w:szCs w:val="24"/>
        </w:rPr>
        <w:t>.</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b/>
          <w:sz w:val="24"/>
          <w:szCs w:val="24"/>
        </w:rPr>
      </w:pPr>
      <w:r>
        <w:rPr>
          <w:rFonts w:ascii="Times New Roman" w:hAnsi="Times New Roman" w:cs="Times New Roman"/>
          <w:sz w:val="24"/>
          <w:szCs w:val="24"/>
          <w:u w:val="single"/>
        </w:rPr>
        <w:t xml:space="preserve">2. </w:t>
      </w:r>
      <w:r w:rsidR="00946D51" w:rsidRPr="00097518">
        <w:rPr>
          <w:rFonts w:ascii="Times New Roman" w:hAnsi="Times New Roman" w:cs="Times New Roman"/>
          <w:sz w:val="24"/>
          <w:szCs w:val="24"/>
          <w:u w:val="single"/>
        </w:rPr>
        <w:t>Unbilled Usage</w:t>
      </w:r>
    </w:p>
    <w:p w:rsidR="00946D51" w:rsidRDefault="00946D51" w:rsidP="00B26833">
      <w:pPr>
        <w:pStyle w:val="NoSpacing"/>
        <w:jc w:val="both"/>
        <w:rPr>
          <w:rFonts w:ascii="Times New Roman" w:hAnsi="Times New Roman" w:cs="Times New Roman"/>
          <w:sz w:val="24"/>
          <w:szCs w:val="24"/>
        </w:rPr>
      </w:pPr>
      <w:r>
        <w:rPr>
          <w:rFonts w:ascii="Times New Roman" w:hAnsi="Times New Roman" w:cs="Times New Roman"/>
          <w:sz w:val="24"/>
          <w:szCs w:val="24"/>
        </w:rPr>
        <w:t>Unbilled usage</w:t>
      </w:r>
      <w:r w:rsidRPr="00097518">
        <w:rPr>
          <w:rFonts w:ascii="Times New Roman" w:hAnsi="Times New Roman" w:cs="Times New Roman"/>
          <w:sz w:val="24"/>
          <w:szCs w:val="24"/>
        </w:rPr>
        <w:t xml:space="preserve"> occurs when an account has been inactivated, and there is no customer associated with </w:t>
      </w:r>
      <w:proofErr w:type="gramStart"/>
      <w:r w:rsidRPr="00097518">
        <w:rPr>
          <w:rFonts w:ascii="Times New Roman" w:hAnsi="Times New Roman" w:cs="Times New Roman"/>
          <w:sz w:val="24"/>
          <w:szCs w:val="24"/>
        </w:rPr>
        <w:t>the account, but where energy usage is still occurring at the premise</w:t>
      </w:r>
      <w:proofErr w:type="gramEnd"/>
      <w:r>
        <w:rPr>
          <w:rFonts w:ascii="Times New Roman" w:hAnsi="Times New Roman" w:cs="Times New Roman"/>
          <w:sz w:val="24"/>
          <w:szCs w:val="24"/>
        </w:rPr>
        <w:t xml:space="preserve">. </w:t>
      </w:r>
      <w:r w:rsidRPr="00097518">
        <w:rPr>
          <w:rFonts w:ascii="Times New Roman" w:hAnsi="Times New Roman" w:cs="Times New Roman"/>
          <w:sz w:val="24"/>
          <w:szCs w:val="24"/>
        </w:rPr>
        <w:t xml:space="preserve">This unbilled usage </w:t>
      </w:r>
      <w:r>
        <w:rPr>
          <w:rFonts w:ascii="Times New Roman" w:hAnsi="Times New Roman" w:cs="Times New Roman"/>
          <w:sz w:val="24"/>
          <w:szCs w:val="24"/>
        </w:rPr>
        <w:t>is</w:t>
      </w:r>
      <w:r w:rsidRPr="00097518">
        <w:rPr>
          <w:rFonts w:ascii="Times New Roman" w:hAnsi="Times New Roman" w:cs="Times New Roman"/>
          <w:sz w:val="24"/>
          <w:szCs w:val="24"/>
        </w:rPr>
        <w:t xml:space="preserve"> difficult </w:t>
      </w:r>
      <w:proofErr w:type="gramStart"/>
      <w:r w:rsidRPr="00097518">
        <w:rPr>
          <w:rFonts w:ascii="Times New Roman" w:hAnsi="Times New Roman" w:cs="Times New Roman"/>
          <w:sz w:val="24"/>
          <w:szCs w:val="24"/>
        </w:rPr>
        <w:t xml:space="preserve">to </w:t>
      </w:r>
      <w:r>
        <w:rPr>
          <w:rFonts w:ascii="Times New Roman" w:hAnsi="Times New Roman" w:cs="Times New Roman"/>
          <w:sz w:val="24"/>
          <w:szCs w:val="24"/>
        </w:rPr>
        <w:t xml:space="preserve">initially </w:t>
      </w:r>
      <w:r w:rsidRPr="00097518">
        <w:rPr>
          <w:rFonts w:ascii="Times New Roman" w:hAnsi="Times New Roman" w:cs="Times New Roman"/>
          <w:sz w:val="24"/>
          <w:szCs w:val="24"/>
        </w:rPr>
        <w:t>identify</w:t>
      </w:r>
      <w:proofErr w:type="gramEnd"/>
      <w:r>
        <w:rPr>
          <w:rFonts w:ascii="Times New Roman" w:hAnsi="Times New Roman" w:cs="Times New Roman"/>
          <w:sz w:val="24"/>
          <w:szCs w:val="24"/>
        </w:rPr>
        <w:t xml:space="preserve"> with conventional metering, and</w:t>
      </w:r>
      <w:r w:rsidRPr="00097518">
        <w:rPr>
          <w:rFonts w:ascii="Times New Roman" w:hAnsi="Times New Roman" w:cs="Times New Roman"/>
          <w:sz w:val="24"/>
          <w:szCs w:val="24"/>
        </w:rPr>
        <w:t xml:space="preserve"> </w:t>
      </w:r>
      <w:r>
        <w:rPr>
          <w:rFonts w:ascii="Times New Roman" w:hAnsi="Times New Roman" w:cs="Times New Roman"/>
          <w:sz w:val="24"/>
          <w:szCs w:val="24"/>
        </w:rPr>
        <w:t xml:space="preserve">consequently, </w:t>
      </w:r>
      <w:r w:rsidRPr="00097518">
        <w:rPr>
          <w:rFonts w:ascii="Times New Roman" w:hAnsi="Times New Roman" w:cs="Times New Roman"/>
          <w:sz w:val="24"/>
          <w:szCs w:val="24"/>
        </w:rPr>
        <w:t xml:space="preserve">it can </w:t>
      </w:r>
      <w:r>
        <w:rPr>
          <w:rFonts w:ascii="Times New Roman" w:hAnsi="Times New Roman" w:cs="Times New Roman"/>
          <w:sz w:val="24"/>
          <w:szCs w:val="24"/>
        </w:rPr>
        <w:t>take</w:t>
      </w:r>
      <w:r w:rsidRPr="00097518">
        <w:rPr>
          <w:rFonts w:ascii="Times New Roman" w:hAnsi="Times New Roman" w:cs="Times New Roman"/>
          <w:sz w:val="24"/>
          <w:szCs w:val="24"/>
        </w:rPr>
        <w:t xml:space="preserve"> several weeks to several months before </w:t>
      </w:r>
      <w:r>
        <w:rPr>
          <w:rFonts w:ascii="Times New Roman" w:hAnsi="Times New Roman" w:cs="Times New Roman"/>
          <w:sz w:val="24"/>
          <w:szCs w:val="24"/>
        </w:rPr>
        <w:t>each issue</w:t>
      </w:r>
      <w:r w:rsidRPr="00097518">
        <w:rPr>
          <w:rFonts w:ascii="Times New Roman" w:hAnsi="Times New Roman" w:cs="Times New Roman"/>
          <w:sz w:val="24"/>
          <w:szCs w:val="24"/>
        </w:rPr>
        <w:t xml:space="preserve"> is resolved.</w:t>
      </w:r>
      <w:r>
        <w:rPr>
          <w:rFonts w:ascii="Times New Roman" w:hAnsi="Times New Roman" w:cs="Times New Roman"/>
          <w:b/>
          <w:sz w:val="24"/>
          <w:szCs w:val="24"/>
        </w:rPr>
        <w:t xml:space="preserve"> </w:t>
      </w:r>
      <w:r w:rsidRPr="00C9689D">
        <w:rPr>
          <w:rFonts w:ascii="Times New Roman" w:hAnsi="Times New Roman" w:cs="Times New Roman"/>
          <w:sz w:val="24"/>
          <w:szCs w:val="24"/>
        </w:rPr>
        <w:t>Ad</w:t>
      </w:r>
      <w:r>
        <w:rPr>
          <w:rFonts w:ascii="Times New Roman" w:hAnsi="Times New Roman" w:cs="Times New Roman"/>
          <w:sz w:val="24"/>
          <w:szCs w:val="24"/>
        </w:rPr>
        <w:t xml:space="preserve">vanced meters can </w:t>
      </w:r>
      <w:proofErr w:type="gramStart"/>
      <w:r>
        <w:rPr>
          <w:rFonts w:ascii="Times New Roman" w:hAnsi="Times New Roman" w:cs="Times New Roman"/>
          <w:sz w:val="24"/>
          <w:szCs w:val="24"/>
        </w:rPr>
        <w:t>either be disabled</w:t>
      </w:r>
      <w:proofErr w:type="gramEnd"/>
      <w:r>
        <w:rPr>
          <w:rFonts w:ascii="Times New Roman" w:hAnsi="Times New Roman" w:cs="Times New Roman"/>
          <w:sz w:val="24"/>
          <w:szCs w:val="24"/>
        </w:rPr>
        <w:t xml:space="preserve"> when an account is closed to prevent unbilled usage, or the meter can trigger an alarm when usage is occurring during a period when there is no active customer account. In either event, the amount of unbilled usage </w:t>
      </w:r>
      <w:proofErr w:type="gramStart"/>
      <w:r>
        <w:rPr>
          <w:rFonts w:ascii="Times New Roman" w:hAnsi="Times New Roman" w:cs="Times New Roman"/>
          <w:sz w:val="24"/>
          <w:szCs w:val="24"/>
        </w:rPr>
        <w:t>can either be eliminated or substantially reduced</w:t>
      </w:r>
      <w:proofErr w:type="gramEnd"/>
      <w:r>
        <w:rPr>
          <w:rFonts w:ascii="Times New Roman" w:hAnsi="Times New Roman" w:cs="Times New Roman"/>
          <w:sz w:val="24"/>
          <w:szCs w:val="24"/>
        </w:rPr>
        <w:t xml:space="preserve">. Avista has estimated the annual net </w:t>
      </w:r>
      <w:r w:rsidR="00547048">
        <w:rPr>
          <w:rFonts w:ascii="Times New Roman" w:hAnsi="Times New Roman" w:cs="Times New Roman"/>
          <w:sz w:val="24"/>
          <w:szCs w:val="24"/>
        </w:rPr>
        <w:t>benefit</w:t>
      </w:r>
      <w:r>
        <w:rPr>
          <w:rFonts w:ascii="Times New Roman" w:hAnsi="Times New Roman" w:cs="Times New Roman"/>
          <w:sz w:val="24"/>
          <w:szCs w:val="24"/>
        </w:rPr>
        <w:t xml:space="preserve"> opportunity to be $</w:t>
      </w:r>
      <w:r w:rsidR="002713AC">
        <w:rPr>
          <w:rFonts w:ascii="Times New Roman" w:hAnsi="Times New Roman" w:cs="Times New Roman"/>
          <w:sz w:val="24"/>
          <w:szCs w:val="24"/>
        </w:rPr>
        <w:t>235,081</w:t>
      </w:r>
      <w:r w:rsidRPr="00097518">
        <w:rPr>
          <w:rFonts w:ascii="Times New Roman" w:hAnsi="Times New Roman" w:cs="Times New Roman"/>
          <w:sz w:val="24"/>
          <w:szCs w:val="24"/>
        </w:rPr>
        <w:t xml:space="preserve">.   </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3. </w:t>
      </w:r>
      <w:r w:rsidR="00946D51" w:rsidRPr="00097518">
        <w:rPr>
          <w:rFonts w:ascii="Times New Roman" w:hAnsi="Times New Roman" w:cs="Times New Roman"/>
          <w:sz w:val="24"/>
          <w:szCs w:val="24"/>
          <w:u w:val="single"/>
        </w:rPr>
        <w:t>Slow or Failing Meters</w:t>
      </w:r>
    </w:p>
    <w:p w:rsidR="00946D51" w:rsidRPr="00097518" w:rsidRDefault="00946D51" w:rsidP="00B26833">
      <w:pPr>
        <w:pStyle w:val="NoSpacing"/>
        <w:jc w:val="both"/>
        <w:rPr>
          <w:rFonts w:ascii="Times New Roman" w:hAnsi="Times New Roman" w:cs="Times New Roman"/>
          <w:sz w:val="24"/>
          <w:szCs w:val="24"/>
        </w:rPr>
      </w:pPr>
      <w:r w:rsidRPr="00097518">
        <w:rPr>
          <w:rFonts w:ascii="Times New Roman" w:hAnsi="Times New Roman" w:cs="Times New Roman"/>
          <w:sz w:val="24"/>
          <w:szCs w:val="24"/>
        </w:rPr>
        <w:t xml:space="preserve">These meters, as the name implies, simply under-represent the actual energy that </w:t>
      </w:r>
      <w:proofErr w:type="gramStart"/>
      <w:r>
        <w:rPr>
          <w:rFonts w:ascii="Times New Roman" w:hAnsi="Times New Roman" w:cs="Times New Roman"/>
          <w:sz w:val="24"/>
          <w:szCs w:val="24"/>
        </w:rPr>
        <w:t>is</w:t>
      </w:r>
      <w:r w:rsidRPr="00097518">
        <w:rPr>
          <w:rFonts w:ascii="Times New Roman" w:hAnsi="Times New Roman" w:cs="Times New Roman"/>
          <w:sz w:val="24"/>
          <w:szCs w:val="24"/>
        </w:rPr>
        <w:t xml:space="preserve"> used</w:t>
      </w:r>
      <w:proofErr w:type="gramEnd"/>
      <w:r w:rsidRPr="00097518">
        <w:rPr>
          <w:rFonts w:ascii="Times New Roman" w:hAnsi="Times New Roman" w:cs="Times New Roman"/>
          <w:sz w:val="24"/>
          <w:szCs w:val="24"/>
        </w:rPr>
        <w:t xml:space="preserve"> at a premise</w:t>
      </w:r>
      <w:r w:rsidR="00133949">
        <w:rPr>
          <w:rFonts w:ascii="Times New Roman" w:hAnsi="Times New Roman" w:cs="Times New Roman"/>
          <w:sz w:val="24"/>
          <w:szCs w:val="24"/>
        </w:rPr>
        <w:t>s</w:t>
      </w:r>
      <w:r w:rsidRPr="00097518">
        <w:rPr>
          <w:rFonts w:ascii="Times New Roman" w:hAnsi="Times New Roman" w:cs="Times New Roman"/>
          <w:sz w:val="24"/>
          <w:szCs w:val="24"/>
        </w:rPr>
        <w:t xml:space="preserve">. Depending on the degree of error, slow and failing meters can be very </w:t>
      </w:r>
      <w:r w:rsidRPr="00097518">
        <w:rPr>
          <w:rFonts w:ascii="Times New Roman" w:hAnsi="Times New Roman" w:cs="Times New Roman"/>
          <w:sz w:val="24"/>
          <w:szCs w:val="24"/>
        </w:rPr>
        <w:lastRenderedPageBreak/>
        <w:t xml:space="preserve">difficult to isolate </w:t>
      </w:r>
      <w:r>
        <w:rPr>
          <w:rFonts w:ascii="Times New Roman" w:hAnsi="Times New Roman" w:cs="Times New Roman"/>
          <w:sz w:val="24"/>
          <w:szCs w:val="24"/>
        </w:rPr>
        <w:t>with</w:t>
      </w:r>
      <w:r w:rsidRPr="00097518">
        <w:rPr>
          <w:rFonts w:ascii="Times New Roman" w:hAnsi="Times New Roman" w:cs="Times New Roman"/>
          <w:sz w:val="24"/>
          <w:szCs w:val="24"/>
        </w:rPr>
        <w:t xml:space="preserve"> conventional metering. The longer the time the meter is not </w:t>
      </w:r>
      <w:proofErr w:type="gramStart"/>
      <w:r w:rsidRPr="00097518">
        <w:rPr>
          <w:rFonts w:ascii="Times New Roman" w:hAnsi="Times New Roman" w:cs="Times New Roman"/>
          <w:sz w:val="24"/>
          <w:szCs w:val="24"/>
        </w:rPr>
        <w:t>functioning</w:t>
      </w:r>
      <w:proofErr w:type="gramEnd"/>
      <w:r w:rsidRPr="00097518">
        <w:rPr>
          <w:rFonts w:ascii="Times New Roman" w:hAnsi="Times New Roman" w:cs="Times New Roman"/>
          <w:sz w:val="24"/>
          <w:szCs w:val="24"/>
        </w:rPr>
        <w:t xml:space="preserve"> properly the more complex the issue becomes to resolve. This can create a significant </w:t>
      </w:r>
      <w:r>
        <w:rPr>
          <w:rFonts w:ascii="Times New Roman" w:hAnsi="Times New Roman" w:cs="Times New Roman"/>
          <w:sz w:val="24"/>
          <w:szCs w:val="24"/>
        </w:rPr>
        <w:t xml:space="preserve">under billing </w:t>
      </w:r>
      <w:r w:rsidRPr="00097518">
        <w:rPr>
          <w:rFonts w:ascii="Times New Roman" w:hAnsi="Times New Roman" w:cs="Times New Roman"/>
          <w:sz w:val="24"/>
          <w:szCs w:val="24"/>
        </w:rPr>
        <w:t>issue for customers, and</w:t>
      </w: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r w:rsidRPr="00097518">
        <w:rPr>
          <w:rFonts w:ascii="Times New Roman" w:hAnsi="Times New Roman" w:cs="Times New Roman"/>
          <w:sz w:val="24"/>
          <w:szCs w:val="24"/>
        </w:rPr>
        <w:t xml:space="preserve"> also</w:t>
      </w:r>
      <w:proofErr w:type="gramEnd"/>
      <w:r w:rsidRPr="00097518">
        <w:rPr>
          <w:rFonts w:ascii="Times New Roman" w:hAnsi="Times New Roman" w:cs="Times New Roman"/>
          <w:sz w:val="24"/>
          <w:szCs w:val="24"/>
        </w:rPr>
        <w:t xml:space="preserve"> places the under</w:t>
      </w:r>
      <w:r>
        <w:rPr>
          <w:rFonts w:ascii="Times New Roman" w:hAnsi="Times New Roman" w:cs="Times New Roman"/>
          <w:sz w:val="24"/>
          <w:szCs w:val="24"/>
        </w:rPr>
        <w:t>-</w:t>
      </w:r>
      <w:r w:rsidRPr="00097518">
        <w:rPr>
          <w:rFonts w:ascii="Times New Roman" w:hAnsi="Times New Roman" w:cs="Times New Roman"/>
          <w:sz w:val="24"/>
          <w:szCs w:val="24"/>
        </w:rPr>
        <w:t>billed revenue at risk for recovery.</w:t>
      </w:r>
      <w:r>
        <w:rPr>
          <w:rFonts w:ascii="Times New Roman" w:hAnsi="Times New Roman" w:cs="Times New Roman"/>
          <w:sz w:val="24"/>
          <w:szCs w:val="24"/>
        </w:rPr>
        <w:t xml:space="preserve"> </w:t>
      </w:r>
      <w:r w:rsidRPr="00097518">
        <w:rPr>
          <w:rFonts w:ascii="Times New Roman" w:hAnsi="Times New Roman" w:cs="Times New Roman"/>
          <w:sz w:val="24"/>
          <w:szCs w:val="24"/>
        </w:rPr>
        <w:t xml:space="preserve">For this analysis, Avista assumed it would identify </w:t>
      </w:r>
      <w:proofErr w:type="gramStart"/>
      <w:r w:rsidRPr="00097518">
        <w:rPr>
          <w:rFonts w:ascii="Times New Roman" w:hAnsi="Times New Roman" w:cs="Times New Roman"/>
          <w:sz w:val="24"/>
          <w:szCs w:val="24"/>
        </w:rPr>
        <w:t>one third</w:t>
      </w:r>
      <w:proofErr w:type="gramEnd"/>
      <w:r w:rsidRPr="00097518">
        <w:rPr>
          <w:rFonts w:ascii="Times New Roman" w:hAnsi="Times New Roman" w:cs="Times New Roman"/>
          <w:sz w:val="24"/>
          <w:szCs w:val="24"/>
        </w:rPr>
        <w:t xml:space="preserve"> more slow or failing meters through the deployment of advanced meteri</w:t>
      </w:r>
      <w:r>
        <w:rPr>
          <w:rFonts w:ascii="Times New Roman" w:hAnsi="Times New Roman" w:cs="Times New Roman"/>
          <w:sz w:val="24"/>
          <w:szCs w:val="24"/>
        </w:rPr>
        <w:t xml:space="preserve">ng. The annual </w:t>
      </w:r>
      <w:r w:rsidR="00547048">
        <w:rPr>
          <w:rFonts w:ascii="Times New Roman" w:hAnsi="Times New Roman" w:cs="Times New Roman"/>
          <w:sz w:val="24"/>
          <w:szCs w:val="24"/>
        </w:rPr>
        <w:t>benefit</w:t>
      </w:r>
      <w:r w:rsidRPr="00097518">
        <w:rPr>
          <w:rFonts w:ascii="Times New Roman" w:hAnsi="Times New Roman" w:cs="Times New Roman"/>
          <w:sz w:val="24"/>
          <w:szCs w:val="24"/>
        </w:rPr>
        <w:t xml:space="preserve"> </w:t>
      </w:r>
      <w:proofErr w:type="gramStart"/>
      <w:r w:rsidRPr="00097518">
        <w:rPr>
          <w:rFonts w:ascii="Times New Roman" w:hAnsi="Times New Roman" w:cs="Times New Roman"/>
          <w:sz w:val="24"/>
          <w:szCs w:val="24"/>
        </w:rPr>
        <w:t>is estimated</w:t>
      </w:r>
      <w:proofErr w:type="gramEnd"/>
      <w:r w:rsidRPr="00097518">
        <w:rPr>
          <w:rFonts w:ascii="Times New Roman" w:hAnsi="Times New Roman" w:cs="Times New Roman"/>
          <w:sz w:val="24"/>
          <w:szCs w:val="24"/>
        </w:rPr>
        <w:t xml:space="preserve"> at </w:t>
      </w:r>
      <w:r>
        <w:rPr>
          <w:rFonts w:ascii="Times New Roman" w:hAnsi="Times New Roman" w:cs="Times New Roman"/>
          <w:sz w:val="24"/>
          <w:szCs w:val="24"/>
        </w:rPr>
        <w:t>$169,817</w:t>
      </w:r>
      <w:r w:rsidRPr="00097518">
        <w:rPr>
          <w:rFonts w:ascii="Times New Roman" w:hAnsi="Times New Roman" w:cs="Times New Roman"/>
          <w:sz w:val="24"/>
          <w:szCs w:val="24"/>
        </w:rPr>
        <w:t xml:space="preserve">. </w:t>
      </w:r>
    </w:p>
    <w:p w:rsidR="00946D51" w:rsidRPr="00097518" w:rsidRDefault="00946D51" w:rsidP="00B26833">
      <w:pPr>
        <w:pStyle w:val="NoSpacing"/>
        <w:jc w:val="both"/>
        <w:rPr>
          <w:rFonts w:ascii="Times New Roman" w:hAnsi="Times New Roman" w:cs="Times New Roman"/>
          <w:sz w:val="24"/>
          <w:szCs w:val="24"/>
        </w:rPr>
      </w:pPr>
    </w:p>
    <w:p w:rsidR="00946D51" w:rsidRDefault="00FA54D8" w:rsidP="00B26833">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4. </w:t>
      </w:r>
      <w:r w:rsidR="00946D51" w:rsidRPr="009A504F">
        <w:rPr>
          <w:rFonts w:ascii="Times New Roman" w:hAnsi="Times New Roman" w:cs="Times New Roman"/>
          <w:sz w:val="24"/>
          <w:szCs w:val="24"/>
          <w:u w:val="single"/>
        </w:rPr>
        <w:t>Stopped Meters</w:t>
      </w:r>
    </w:p>
    <w:p w:rsidR="00946D51" w:rsidRPr="00946D51" w:rsidRDefault="00946D51" w:rsidP="00B26833">
      <w:pPr>
        <w:pStyle w:val="NoSpacing"/>
        <w:jc w:val="both"/>
        <w:rPr>
          <w:rFonts w:ascii="Times New Roman" w:hAnsi="Times New Roman" w:cs="Times New Roman"/>
          <w:sz w:val="24"/>
          <w:szCs w:val="24"/>
        </w:rPr>
      </w:pPr>
      <w:r w:rsidRPr="009A504F">
        <w:rPr>
          <w:rFonts w:ascii="Times New Roman" w:hAnsi="Times New Roman" w:cs="Times New Roman"/>
          <w:sz w:val="24"/>
          <w:szCs w:val="24"/>
        </w:rPr>
        <w:t xml:space="preserve">When a meter appears to have stopped recording energy use, </w:t>
      </w:r>
      <w:proofErr w:type="gramStart"/>
      <w:r w:rsidRPr="009A504F">
        <w:rPr>
          <w:rFonts w:ascii="Times New Roman" w:hAnsi="Times New Roman" w:cs="Times New Roman"/>
          <w:sz w:val="24"/>
          <w:szCs w:val="24"/>
        </w:rPr>
        <w:t>it is flagged for investigation by the Company’s meter shop personnel</w:t>
      </w:r>
      <w:proofErr w:type="gramEnd"/>
      <w:r w:rsidRPr="009A504F">
        <w:rPr>
          <w:rFonts w:ascii="Times New Roman" w:hAnsi="Times New Roman" w:cs="Times New Roman"/>
          <w:sz w:val="24"/>
          <w:szCs w:val="24"/>
        </w:rPr>
        <w:t xml:space="preserve">. Unfortunately, the </w:t>
      </w:r>
      <w:r>
        <w:rPr>
          <w:rFonts w:ascii="Times New Roman" w:hAnsi="Times New Roman" w:cs="Times New Roman"/>
          <w:sz w:val="24"/>
          <w:szCs w:val="24"/>
        </w:rPr>
        <w:t xml:space="preserve">great </w:t>
      </w:r>
      <w:r w:rsidRPr="009A504F">
        <w:rPr>
          <w:rFonts w:ascii="Times New Roman" w:hAnsi="Times New Roman" w:cs="Times New Roman"/>
          <w:sz w:val="24"/>
          <w:szCs w:val="24"/>
        </w:rPr>
        <w:t xml:space="preserve">majority of the time meters are reported as potentially stopped, there has simply been no use at the </w:t>
      </w:r>
      <w:proofErr w:type="gramStart"/>
      <w:r w:rsidRPr="009A504F">
        <w:rPr>
          <w:rFonts w:ascii="Times New Roman" w:hAnsi="Times New Roman" w:cs="Times New Roman"/>
          <w:sz w:val="24"/>
          <w:szCs w:val="24"/>
        </w:rPr>
        <w:t>premise</w:t>
      </w:r>
      <w:r w:rsidR="00133949">
        <w:rPr>
          <w:rFonts w:ascii="Times New Roman" w:hAnsi="Times New Roman" w:cs="Times New Roman"/>
          <w:sz w:val="24"/>
          <w:szCs w:val="24"/>
        </w:rPr>
        <w:t>s</w:t>
      </w:r>
      <w:proofErr w:type="gramEnd"/>
      <w:r w:rsidRPr="009A504F">
        <w:rPr>
          <w:rFonts w:ascii="Times New Roman" w:hAnsi="Times New Roman" w:cs="Times New Roman"/>
          <w:sz w:val="24"/>
          <w:szCs w:val="24"/>
        </w:rPr>
        <w:t xml:space="preserve"> and the meter is working properly. This is </w:t>
      </w:r>
      <w:proofErr w:type="gramStart"/>
      <w:r w:rsidRPr="009A504F">
        <w:rPr>
          <w:rFonts w:ascii="Times New Roman" w:hAnsi="Times New Roman" w:cs="Times New Roman"/>
          <w:sz w:val="24"/>
          <w:szCs w:val="24"/>
        </w:rPr>
        <w:t>what’s</w:t>
      </w:r>
      <w:proofErr w:type="gramEnd"/>
      <w:r w:rsidRPr="009A504F">
        <w:rPr>
          <w:rFonts w:ascii="Times New Roman" w:hAnsi="Times New Roman" w:cs="Times New Roman"/>
          <w:sz w:val="24"/>
          <w:szCs w:val="24"/>
        </w:rPr>
        <w:t xml:space="preserve"> known as a “false positive.” </w:t>
      </w:r>
      <w:r>
        <w:rPr>
          <w:rFonts w:ascii="Times New Roman" w:hAnsi="Times New Roman" w:cs="Times New Roman"/>
          <w:sz w:val="24"/>
          <w:szCs w:val="24"/>
        </w:rPr>
        <w:t>Currently, Avista</w:t>
      </w:r>
      <w:r w:rsidRPr="009A504F">
        <w:rPr>
          <w:rFonts w:ascii="Times New Roman" w:hAnsi="Times New Roman" w:cs="Times New Roman"/>
          <w:sz w:val="24"/>
          <w:szCs w:val="24"/>
        </w:rPr>
        <w:t xml:space="preserve"> experience</w:t>
      </w:r>
      <w:r>
        <w:rPr>
          <w:rFonts w:ascii="Times New Roman" w:hAnsi="Times New Roman" w:cs="Times New Roman"/>
          <w:sz w:val="24"/>
          <w:szCs w:val="24"/>
        </w:rPr>
        <w:t>s</w:t>
      </w:r>
      <w:r w:rsidRPr="009A504F">
        <w:rPr>
          <w:rFonts w:ascii="Times New Roman" w:hAnsi="Times New Roman" w:cs="Times New Roman"/>
          <w:sz w:val="24"/>
          <w:szCs w:val="24"/>
        </w:rPr>
        <w:t xml:space="preserve"> these false positives </w:t>
      </w:r>
      <w:r>
        <w:rPr>
          <w:rFonts w:ascii="Times New Roman" w:hAnsi="Times New Roman" w:cs="Times New Roman"/>
          <w:sz w:val="24"/>
          <w:szCs w:val="24"/>
        </w:rPr>
        <w:t>in</w:t>
      </w:r>
      <w:r w:rsidRPr="009A504F">
        <w:rPr>
          <w:rFonts w:ascii="Times New Roman" w:hAnsi="Times New Roman" w:cs="Times New Roman"/>
          <w:sz w:val="24"/>
          <w:szCs w:val="24"/>
        </w:rPr>
        <w:t xml:space="preserve"> 85% </w:t>
      </w:r>
      <w:r>
        <w:rPr>
          <w:rFonts w:ascii="Times New Roman" w:hAnsi="Times New Roman" w:cs="Times New Roman"/>
          <w:sz w:val="24"/>
          <w:szCs w:val="24"/>
        </w:rPr>
        <w:t xml:space="preserve">of the cases investigated </w:t>
      </w:r>
      <w:r w:rsidRPr="009A504F">
        <w:rPr>
          <w:rFonts w:ascii="Times New Roman" w:hAnsi="Times New Roman" w:cs="Times New Roman"/>
          <w:sz w:val="24"/>
          <w:szCs w:val="24"/>
        </w:rPr>
        <w:t>for electric meters and 95% for natural gas meters. Reducing the number of field visits to investigate these false positives represents the core savings opportunity a</w:t>
      </w:r>
      <w:r>
        <w:rPr>
          <w:rFonts w:ascii="Times New Roman" w:hAnsi="Times New Roman" w:cs="Times New Roman"/>
          <w:sz w:val="24"/>
          <w:szCs w:val="24"/>
        </w:rPr>
        <w:t xml:space="preserve">ssociated with stopped meters. </w:t>
      </w:r>
      <w:r w:rsidRPr="009A504F">
        <w:rPr>
          <w:rFonts w:ascii="Times New Roman" w:hAnsi="Times New Roman" w:cs="Times New Roman"/>
          <w:sz w:val="24"/>
          <w:szCs w:val="24"/>
        </w:rPr>
        <w:t xml:space="preserve">Avista predicts that better analytics enabled by advanced metering will result in the reduction of false positives to </w:t>
      </w:r>
      <w:r>
        <w:rPr>
          <w:rFonts w:ascii="Times New Roman" w:hAnsi="Times New Roman" w:cs="Times New Roman"/>
          <w:sz w:val="24"/>
          <w:szCs w:val="24"/>
        </w:rPr>
        <w:t xml:space="preserve">a rate of </w:t>
      </w:r>
      <w:r w:rsidRPr="009A504F">
        <w:rPr>
          <w:rFonts w:ascii="Times New Roman" w:hAnsi="Times New Roman" w:cs="Times New Roman"/>
          <w:sz w:val="24"/>
          <w:szCs w:val="24"/>
        </w:rPr>
        <w:t>40% for both gas and electric meters</w:t>
      </w:r>
      <w:r>
        <w:rPr>
          <w:rFonts w:ascii="Times New Roman" w:hAnsi="Times New Roman" w:cs="Times New Roman"/>
          <w:sz w:val="24"/>
          <w:szCs w:val="24"/>
        </w:rPr>
        <w:t xml:space="preserve">. The net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associated with the reduction in dispatched field personnel </w:t>
      </w:r>
      <w:proofErr w:type="gramStart"/>
      <w:r>
        <w:rPr>
          <w:rFonts w:ascii="Times New Roman" w:hAnsi="Times New Roman" w:cs="Times New Roman"/>
          <w:sz w:val="24"/>
          <w:szCs w:val="24"/>
        </w:rPr>
        <w:t>is estimated</w:t>
      </w:r>
      <w:proofErr w:type="gramEnd"/>
      <w:r>
        <w:rPr>
          <w:rFonts w:ascii="Times New Roman" w:hAnsi="Times New Roman" w:cs="Times New Roman"/>
          <w:sz w:val="24"/>
          <w:szCs w:val="24"/>
        </w:rPr>
        <w:t xml:space="preserve"> at $205,924</w:t>
      </w:r>
      <w:r w:rsidRPr="009A504F">
        <w:rPr>
          <w:rFonts w:ascii="Times New Roman" w:hAnsi="Times New Roman" w:cs="Times New Roman"/>
          <w:sz w:val="24"/>
          <w:szCs w:val="24"/>
        </w:rPr>
        <w:t>.</w:t>
      </w:r>
    </w:p>
    <w:p w:rsidR="00946D51" w:rsidRDefault="00946D51" w:rsidP="00B26833">
      <w:pPr>
        <w:jc w:val="both"/>
      </w:pPr>
    </w:p>
    <w:p w:rsidR="00F256BB" w:rsidRPr="00801E25" w:rsidRDefault="00FA54D8" w:rsidP="00B26833">
      <w:pPr>
        <w:jc w:val="both"/>
        <w:rPr>
          <w:b/>
        </w:rPr>
      </w:pPr>
      <w:r>
        <w:rPr>
          <w:b/>
        </w:rPr>
        <w:t xml:space="preserve">L.  </w:t>
      </w:r>
      <w:r w:rsidR="005A0B55" w:rsidRPr="005A0B55">
        <w:rPr>
          <w:b/>
        </w:rPr>
        <w:t>Billing Accuracy</w:t>
      </w:r>
    </w:p>
    <w:p w:rsidR="00497A85" w:rsidRDefault="00D53FC0" w:rsidP="00B26833">
      <w:pPr>
        <w:jc w:val="both"/>
      </w:pPr>
      <w:r>
        <w:t>Because energy-</w:t>
      </w:r>
      <w:r w:rsidR="00497A85">
        <w:t xml:space="preserve">use information is </w:t>
      </w:r>
      <w:r w:rsidR="00A05743">
        <w:t>available</w:t>
      </w:r>
      <w:r w:rsidR="00497A85">
        <w:t xml:space="preserve"> from the advanced meter to the utility on a 5 – 15 minute interval, there </w:t>
      </w:r>
      <w:r w:rsidR="008B59A4">
        <w:t xml:space="preserve">is </w:t>
      </w:r>
      <w:r w:rsidR="00497A85">
        <w:t xml:space="preserve">no longer a need to estimate bills </w:t>
      </w:r>
      <w:r w:rsidR="001A36CB">
        <w:t>related to manual meter reading</w:t>
      </w:r>
      <w:r w:rsidR="00497A85">
        <w:t>, or for the processes of opening, closing</w:t>
      </w:r>
      <w:r w:rsidR="00FA54D8">
        <w:t>,</w:t>
      </w:r>
      <w:r w:rsidR="00497A85">
        <w:t xml:space="preserve"> or transferring utility service. </w:t>
      </w:r>
      <w:r w:rsidR="008B59A4" w:rsidRPr="0079358E">
        <w:t xml:space="preserve">The customer service representative can simply </w:t>
      </w:r>
      <w:r w:rsidR="008B59A4">
        <w:t>query</w:t>
      </w:r>
      <w:r w:rsidR="008B59A4" w:rsidRPr="0079358E">
        <w:t xml:space="preserve"> the meter and receive an actual reading of the metered usage. </w:t>
      </w:r>
      <w:r w:rsidR="00497A85">
        <w:t>In addition to doing away with the nee</w:t>
      </w:r>
      <w:r w:rsidR="00814ED1">
        <w:t>d to estimate usage, the energy-</w:t>
      </w:r>
      <w:r w:rsidR="00497A85">
        <w:t xml:space="preserve">use information </w:t>
      </w:r>
      <w:r w:rsidR="00814ED1">
        <w:t>also equips</w:t>
      </w:r>
      <w:r w:rsidR="00497A85">
        <w:t xml:space="preserve"> the utility </w:t>
      </w:r>
      <w:r w:rsidR="00814ED1">
        <w:t>customer service representative</w:t>
      </w:r>
      <w:r w:rsidR="00497A85">
        <w:t xml:space="preserve"> with timely and meaningful usage data to assist customer</w:t>
      </w:r>
      <w:r w:rsidR="003E6247">
        <w:t>s</w:t>
      </w:r>
      <w:r w:rsidR="00497A85">
        <w:t xml:space="preserve"> </w:t>
      </w:r>
      <w:r w:rsidR="003E6247">
        <w:t xml:space="preserve">during </w:t>
      </w:r>
      <w:r w:rsidR="00497A85">
        <w:t>billing inquiries.</w:t>
      </w:r>
      <w:r>
        <w:t xml:space="preserve"> </w:t>
      </w:r>
      <w:proofErr w:type="gramStart"/>
      <w:r w:rsidR="00A05743">
        <w:t xml:space="preserve">This increase in </w:t>
      </w:r>
      <w:r w:rsidR="00C01595">
        <w:t xml:space="preserve">accuracy and </w:t>
      </w:r>
      <w:r w:rsidR="00A05743">
        <w:t>convenience is valued by customers</w:t>
      </w:r>
      <w:proofErr w:type="gramEnd"/>
      <w:r w:rsidR="00A05743">
        <w:t>.</w:t>
      </w:r>
    </w:p>
    <w:p w:rsidR="008B59A4" w:rsidRDefault="008B59A4" w:rsidP="00B26833">
      <w:pPr>
        <w:pStyle w:val="NoSpacing"/>
        <w:jc w:val="both"/>
        <w:rPr>
          <w:rFonts w:ascii="Times New Roman" w:hAnsi="Times New Roman" w:cs="Times New Roman"/>
          <w:sz w:val="24"/>
          <w:szCs w:val="24"/>
          <w:u w:val="single"/>
        </w:rPr>
      </w:pPr>
    </w:p>
    <w:p w:rsidR="008B59A4" w:rsidRPr="0079358E" w:rsidRDefault="008B59A4" w:rsidP="00B26833">
      <w:pPr>
        <w:pStyle w:val="NoSpacing"/>
        <w:jc w:val="both"/>
        <w:rPr>
          <w:rFonts w:ascii="Times New Roman" w:hAnsi="Times New Roman" w:cs="Times New Roman"/>
          <w:sz w:val="24"/>
          <w:szCs w:val="24"/>
          <w:u w:val="single"/>
        </w:rPr>
      </w:pPr>
      <w:r>
        <w:rPr>
          <w:rFonts w:ascii="Times New Roman" w:hAnsi="Times New Roman" w:cs="Times New Roman"/>
          <w:sz w:val="24"/>
          <w:szCs w:val="24"/>
        </w:rPr>
        <w:t xml:space="preserve">Each year, Avista’s customer service representatives perform opens, </w:t>
      </w:r>
      <w:proofErr w:type="gramStart"/>
      <w:r>
        <w:rPr>
          <w:rFonts w:ascii="Times New Roman" w:hAnsi="Times New Roman" w:cs="Times New Roman"/>
          <w:sz w:val="24"/>
          <w:szCs w:val="24"/>
        </w:rPr>
        <w:t>closes</w:t>
      </w:r>
      <w:proofErr w:type="gramEnd"/>
      <w:r>
        <w:rPr>
          <w:rFonts w:ascii="Times New Roman" w:hAnsi="Times New Roman" w:cs="Times New Roman"/>
          <w:sz w:val="24"/>
          <w:szCs w:val="24"/>
        </w:rPr>
        <w:t xml:space="preserve"> and transfers of service</w:t>
      </w:r>
      <w:r w:rsidR="00290F0D">
        <w:rPr>
          <w:rFonts w:ascii="Times New Roman" w:hAnsi="Times New Roman" w:cs="Times New Roman"/>
          <w:sz w:val="24"/>
          <w:szCs w:val="24"/>
        </w:rPr>
        <w:t xml:space="preserve"> that total </w:t>
      </w:r>
      <w:r w:rsidR="004C2CC8">
        <w:rPr>
          <w:rFonts w:ascii="Times New Roman" w:hAnsi="Times New Roman" w:cs="Times New Roman"/>
          <w:sz w:val="24"/>
          <w:szCs w:val="24"/>
        </w:rPr>
        <w:t>over 150,000</w:t>
      </w:r>
      <w:r w:rsidR="00290F0D">
        <w:rPr>
          <w:rFonts w:ascii="Times New Roman" w:hAnsi="Times New Roman" w:cs="Times New Roman"/>
          <w:sz w:val="24"/>
          <w:szCs w:val="24"/>
        </w:rPr>
        <w:t xml:space="preserve"> transactions</w:t>
      </w:r>
      <w:r w:rsidR="004C2CC8">
        <w:rPr>
          <w:rFonts w:ascii="Times New Roman" w:hAnsi="Times New Roman" w:cs="Times New Roman"/>
          <w:sz w:val="24"/>
          <w:szCs w:val="24"/>
        </w:rPr>
        <w:t xml:space="preserve"> in its Washington service area</w:t>
      </w:r>
      <w:r w:rsidR="00D53FC0">
        <w:rPr>
          <w:rFonts w:ascii="Times New Roman" w:hAnsi="Times New Roman" w:cs="Times New Roman"/>
          <w:sz w:val="24"/>
          <w:szCs w:val="24"/>
        </w:rPr>
        <w:t xml:space="preserve">. </w:t>
      </w:r>
      <w:r>
        <w:rPr>
          <w:rFonts w:ascii="Times New Roman" w:hAnsi="Times New Roman" w:cs="Times New Roman"/>
          <w:sz w:val="24"/>
          <w:szCs w:val="24"/>
        </w:rPr>
        <w:t>Avista expects</w:t>
      </w:r>
      <w:r w:rsidRPr="0079358E">
        <w:rPr>
          <w:rFonts w:ascii="Times New Roman" w:hAnsi="Times New Roman" w:cs="Times New Roman"/>
          <w:sz w:val="24"/>
          <w:szCs w:val="24"/>
        </w:rPr>
        <w:t xml:space="preserve"> </w:t>
      </w:r>
      <w:r w:rsidR="00785370">
        <w:rPr>
          <w:rFonts w:ascii="Times New Roman" w:hAnsi="Times New Roman" w:cs="Times New Roman"/>
          <w:sz w:val="24"/>
          <w:szCs w:val="24"/>
        </w:rPr>
        <w:t>its</w:t>
      </w:r>
      <w:r w:rsidRPr="0079358E">
        <w:rPr>
          <w:rFonts w:ascii="Times New Roman" w:hAnsi="Times New Roman" w:cs="Times New Roman"/>
          <w:sz w:val="24"/>
          <w:szCs w:val="24"/>
        </w:rPr>
        <w:t xml:space="preserve"> customer service representative</w:t>
      </w:r>
      <w:r w:rsidR="00785370">
        <w:rPr>
          <w:rFonts w:ascii="Times New Roman" w:hAnsi="Times New Roman" w:cs="Times New Roman"/>
          <w:sz w:val="24"/>
          <w:szCs w:val="24"/>
        </w:rPr>
        <w:t>s</w:t>
      </w:r>
      <w:r w:rsidRPr="0079358E">
        <w:rPr>
          <w:rFonts w:ascii="Times New Roman" w:hAnsi="Times New Roman" w:cs="Times New Roman"/>
          <w:sz w:val="24"/>
          <w:szCs w:val="24"/>
        </w:rPr>
        <w:t xml:space="preserve"> </w:t>
      </w:r>
      <w:r>
        <w:rPr>
          <w:rFonts w:ascii="Times New Roman" w:hAnsi="Times New Roman" w:cs="Times New Roman"/>
          <w:sz w:val="24"/>
          <w:szCs w:val="24"/>
        </w:rPr>
        <w:t>will</w:t>
      </w:r>
      <w:r w:rsidRPr="0079358E">
        <w:rPr>
          <w:rFonts w:ascii="Times New Roman" w:hAnsi="Times New Roman" w:cs="Times New Roman"/>
          <w:sz w:val="24"/>
          <w:szCs w:val="24"/>
        </w:rPr>
        <w:t xml:space="preserve"> </w:t>
      </w:r>
      <w:r>
        <w:rPr>
          <w:rFonts w:ascii="Times New Roman" w:hAnsi="Times New Roman" w:cs="Times New Roman"/>
          <w:sz w:val="24"/>
          <w:szCs w:val="24"/>
        </w:rPr>
        <w:t xml:space="preserve">save </w:t>
      </w:r>
      <w:r w:rsidR="00785370">
        <w:rPr>
          <w:rFonts w:ascii="Times New Roman" w:hAnsi="Times New Roman" w:cs="Times New Roman"/>
          <w:sz w:val="24"/>
          <w:szCs w:val="24"/>
        </w:rPr>
        <w:t>one</w:t>
      </w:r>
      <w:r w:rsidRPr="0079358E">
        <w:rPr>
          <w:rFonts w:ascii="Times New Roman" w:hAnsi="Times New Roman" w:cs="Times New Roman"/>
          <w:sz w:val="24"/>
          <w:szCs w:val="24"/>
        </w:rPr>
        <w:t xml:space="preserve"> minute on average </w:t>
      </w:r>
      <w:r>
        <w:rPr>
          <w:rFonts w:ascii="Times New Roman" w:hAnsi="Times New Roman" w:cs="Times New Roman"/>
          <w:sz w:val="24"/>
          <w:szCs w:val="24"/>
        </w:rPr>
        <w:t>for each of these</w:t>
      </w:r>
      <w:r w:rsidRPr="0079358E">
        <w:rPr>
          <w:rFonts w:ascii="Times New Roman" w:hAnsi="Times New Roman" w:cs="Times New Roman"/>
          <w:sz w:val="24"/>
          <w:szCs w:val="24"/>
        </w:rPr>
        <w:t xml:space="preserve"> call</w:t>
      </w:r>
      <w:r>
        <w:rPr>
          <w:rFonts w:ascii="Times New Roman" w:hAnsi="Times New Roman" w:cs="Times New Roman"/>
          <w:sz w:val="24"/>
          <w:szCs w:val="24"/>
        </w:rPr>
        <w:t>s</w:t>
      </w:r>
      <w:r w:rsidRPr="0079358E">
        <w:rPr>
          <w:rFonts w:ascii="Times New Roman" w:hAnsi="Times New Roman" w:cs="Times New Roman"/>
          <w:sz w:val="24"/>
          <w:szCs w:val="24"/>
        </w:rPr>
        <w:t xml:space="preserve"> if they </w:t>
      </w:r>
      <w:r>
        <w:rPr>
          <w:rFonts w:ascii="Times New Roman" w:hAnsi="Times New Roman" w:cs="Times New Roman"/>
          <w:sz w:val="24"/>
          <w:szCs w:val="24"/>
        </w:rPr>
        <w:t>do</w:t>
      </w:r>
      <w:r w:rsidRPr="0079358E">
        <w:rPr>
          <w:rFonts w:ascii="Times New Roman" w:hAnsi="Times New Roman" w:cs="Times New Roman"/>
          <w:sz w:val="24"/>
          <w:szCs w:val="24"/>
        </w:rPr>
        <w:t xml:space="preserve"> not have to estimate the closing and/or opening read. The </w:t>
      </w:r>
      <w:r w:rsidR="00547048">
        <w:rPr>
          <w:rFonts w:ascii="Times New Roman" w:hAnsi="Times New Roman" w:cs="Times New Roman"/>
          <w:sz w:val="24"/>
          <w:szCs w:val="24"/>
        </w:rPr>
        <w:t>benefit</w:t>
      </w:r>
      <w:r w:rsidRPr="0079358E">
        <w:rPr>
          <w:rFonts w:ascii="Times New Roman" w:hAnsi="Times New Roman" w:cs="Times New Roman"/>
          <w:sz w:val="24"/>
          <w:szCs w:val="24"/>
        </w:rPr>
        <w:t xml:space="preserve"> from this reduction in call time </w:t>
      </w:r>
      <w:proofErr w:type="gramStart"/>
      <w:r>
        <w:rPr>
          <w:rFonts w:ascii="Times New Roman" w:hAnsi="Times New Roman" w:cs="Times New Roman"/>
          <w:sz w:val="24"/>
          <w:szCs w:val="24"/>
        </w:rPr>
        <w:t>is</w:t>
      </w:r>
      <w:r w:rsidRPr="0079358E">
        <w:rPr>
          <w:rFonts w:ascii="Times New Roman" w:hAnsi="Times New Roman" w:cs="Times New Roman"/>
          <w:sz w:val="24"/>
          <w:szCs w:val="24"/>
        </w:rPr>
        <w:t xml:space="preserve"> estimated</w:t>
      </w:r>
      <w:proofErr w:type="gramEnd"/>
      <w:r w:rsidRPr="0079358E">
        <w:rPr>
          <w:rFonts w:ascii="Times New Roman" w:hAnsi="Times New Roman" w:cs="Times New Roman"/>
          <w:sz w:val="24"/>
          <w:szCs w:val="24"/>
        </w:rPr>
        <w:t xml:space="preserve"> </w:t>
      </w:r>
      <w:r>
        <w:rPr>
          <w:rFonts w:ascii="Times New Roman" w:hAnsi="Times New Roman" w:cs="Times New Roman"/>
          <w:sz w:val="24"/>
          <w:szCs w:val="24"/>
        </w:rPr>
        <w:t>at</w:t>
      </w:r>
      <w:r w:rsidRPr="0079358E">
        <w:rPr>
          <w:rFonts w:ascii="Times New Roman" w:hAnsi="Times New Roman" w:cs="Times New Roman"/>
          <w:sz w:val="24"/>
          <w:szCs w:val="24"/>
        </w:rPr>
        <w:t xml:space="preserve"> </w:t>
      </w:r>
      <w:r>
        <w:rPr>
          <w:rFonts w:ascii="Times New Roman" w:hAnsi="Times New Roman" w:cs="Times New Roman"/>
          <w:sz w:val="24"/>
          <w:szCs w:val="24"/>
        </w:rPr>
        <w:t>$266,658</w:t>
      </w:r>
      <w:r w:rsidRPr="0079358E">
        <w:rPr>
          <w:rFonts w:ascii="Times New Roman" w:hAnsi="Times New Roman" w:cs="Times New Roman"/>
          <w:sz w:val="24"/>
          <w:szCs w:val="24"/>
        </w:rPr>
        <w:t>.</w:t>
      </w:r>
      <w:r w:rsidR="00785370">
        <w:rPr>
          <w:rFonts w:ascii="Times New Roman" w:hAnsi="Times New Roman" w:cs="Times New Roman"/>
          <w:sz w:val="24"/>
          <w:szCs w:val="24"/>
        </w:rPr>
        <w:t xml:space="preserve"> </w:t>
      </w:r>
      <w:r w:rsidR="00C370C1">
        <w:rPr>
          <w:rFonts w:ascii="Times New Roman" w:hAnsi="Times New Roman" w:cs="Times New Roman"/>
          <w:sz w:val="24"/>
          <w:szCs w:val="24"/>
        </w:rPr>
        <w:t>The</w:t>
      </w:r>
      <w:r w:rsidR="004C2CC8">
        <w:rPr>
          <w:rFonts w:ascii="Times New Roman" w:hAnsi="Times New Roman" w:cs="Times New Roman"/>
          <w:sz w:val="24"/>
          <w:szCs w:val="24"/>
        </w:rPr>
        <w:t xml:space="preserve"> Company </w:t>
      </w:r>
      <w:r w:rsidR="00C370C1">
        <w:rPr>
          <w:rFonts w:ascii="Times New Roman" w:hAnsi="Times New Roman" w:cs="Times New Roman"/>
          <w:sz w:val="24"/>
          <w:szCs w:val="24"/>
        </w:rPr>
        <w:t xml:space="preserve">also </w:t>
      </w:r>
      <w:r w:rsidR="004C2CC8">
        <w:rPr>
          <w:rFonts w:ascii="Times New Roman" w:hAnsi="Times New Roman" w:cs="Times New Roman"/>
          <w:sz w:val="24"/>
          <w:szCs w:val="24"/>
        </w:rPr>
        <w:t xml:space="preserve">estimates that the time reduction in calls </w:t>
      </w:r>
      <w:r w:rsidR="00964BB9">
        <w:rPr>
          <w:rFonts w:ascii="Times New Roman" w:hAnsi="Times New Roman" w:cs="Times New Roman"/>
          <w:sz w:val="24"/>
          <w:szCs w:val="24"/>
        </w:rPr>
        <w:t>associated with</w:t>
      </w:r>
      <w:r w:rsidR="004C2CC8">
        <w:rPr>
          <w:rFonts w:ascii="Times New Roman" w:hAnsi="Times New Roman" w:cs="Times New Roman"/>
          <w:sz w:val="24"/>
          <w:szCs w:val="24"/>
        </w:rPr>
        <w:t xml:space="preserve"> customer billing inquiries will result in an annual </w:t>
      </w:r>
      <w:r w:rsidR="00547048">
        <w:rPr>
          <w:rFonts w:ascii="Times New Roman" w:hAnsi="Times New Roman" w:cs="Times New Roman"/>
          <w:sz w:val="24"/>
          <w:szCs w:val="24"/>
        </w:rPr>
        <w:t>benefit</w:t>
      </w:r>
      <w:r w:rsidR="004C2CC8">
        <w:rPr>
          <w:rFonts w:ascii="Times New Roman" w:hAnsi="Times New Roman" w:cs="Times New Roman"/>
          <w:sz w:val="24"/>
          <w:szCs w:val="24"/>
        </w:rPr>
        <w:t xml:space="preserve"> of $99,756.</w:t>
      </w:r>
    </w:p>
    <w:p w:rsidR="008B59A4" w:rsidRDefault="008B59A4" w:rsidP="00B26833">
      <w:pPr>
        <w:pStyle w:val="NoSpacing"/>
        <w:jc w:val="both"/>
        <w:rPr>
          <w:rFonts w:ascii="Times New Roman" w:hAnsi="Times New Roman" w:cs="Times New Roman"/>
          <w:sz w:val="24"/>
          <w:szCs w:val="24"/>
          <w:u w:val="single"/>
        </w:rPr>
      </w:pPr>
    </w:p>
    <w:p w:rsidR="008B59A4" w:rsidRDefault="008B59A4" w:rsidP="00B26833">
      <w:pPr>
        <w:pStyle w:val="NoSpacing"/>
        <w:jc w:val="both"/>
        <w:rPr>
          <w:rFonts w:ascii="Times New Roman" w:hAnsi="Times New Roman" w:cs="Times New Roman"/>
          <w:sz w:val="24"/>
          <w:szCs w:val="24"/>
        </w:rPr>
      </w:pPr>
      <w:r w:rsidRPr="00032C80">
        <w:rPr>
          <w:rFonts w:ascii="Times New Roman" w:hAnsi="Times New Roman" w:cs="Times New Roman"/>
          <w:sz w:val="24"/>
          <w:szCs w:val="24"/>
        </w:rPr>
        <w:t xml:space="preserve">Avista </w:t>
      </w:r>
      <w:r>
        <w:rPr>
          <w:rFonts w:ascii="Times New Roman" w:hAnsi="Times New Roman" w:cs="Times New Roman"/>
          <w:sz w:val="24"/>
          <w:szCs w:val="24"/>
        </w:rPr>
        <w:t>employs billing analysts who review customer billing data each month t</w:t>
      </w:r>
      <w:r w:rsidR="00D53FC0">
        <w:rPr>
          <w:rFonts w:ascii="Times New Roman" w:hAnsi="Times New Roman" w:cs="Times New Roman"/>
          <w:sz w:val="24"/>
          <w:szCs w:val="24"/>
        </w:rPr>
        <w:t>o look for anomalies</w:t>
      </w:r>
      <w:r>
        <w:rPr>
          <w:rFonts w:ascii="Times New Roman" w:hAnsi="Times New Roman" w:cs="Times New Roman"/>
          <w:sz w:val="24"/>
          <w:szCs w:val="24"/>
        </w:rPr>
        <w:t xml:space="preserve"> that might suggest a problem with an electric or natural gas meter. Typical billing situations flagged by the analysts include abnormally high or low monthly bills. </w:t>
      </w:r>
      <w:proofErr w:type="gramStart"/>
      <w:r>
        <w:rPr>
          <w:rFonts w:ascii="Times New Roman" w:hAnsi="Times New Roman" w:cs="Times New Roman"/>
          <w:sz w:val="24"/>
          <w:szCs w:val="24"/>
        </w:rPr>
        <w:t>Each unusual billing situation is evaluated by analysts who have to make a determination whether to send a meter technician into the field to test the subject meter</w:t>
      </w:r>
      <w:proofErr w:type="gramEnd"/>
      <w:r>
        <w:rPr>
          <w:rFonts w:ascii="Times New Roman" w:hAnsi="Times New Roman" w:cs="Times New Roman"/>
          <w:sz w:val="24"/>
          <w:szCs w:val="24"/>
        </w:rPr>
        <w:t xml:space="preserve">. Deployment of advanced metering will eliminate much of the review process for these types of bills because diagnostic algorithms in the metering system, along with communications to the meter, will be able to better determine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there is an actual problem with the </w:t>
      </w:r>
      <w:r>
        <w:rPr>
          <w:rFonts w:ascii="Times New Roman" w:hAnsi="Times New Roman" w:cs="Times New Roman"/>
          <w:sz w:val="24"/>
          <w:szCs w:val="24"/>
        </w:rPr>
        <w:lastRenderedPageBreak/>
        <w:t xml:space="preserve">meter. The </w:t>
      </w:r>
      <w:r w:rsidR="00547048">
        <w:rPr>
          <w:rFonts w:ascii="Times New Roman" w:hAnsi="Times New Roman" w:cs="Times New Roman"/>
          <w:sz w:val="24"/>
          <w:szCs w:val="24"/>
        </w:rPr>
        <w:t>benefit associated with a reduction</w:t>
      </w:r>
      <w:r>
        <w:rPr>
          <w:rFonts w:ascii="Times New Roman" w:hAnsi="Times New Roman" w:cs="Times New Roman"/>
          <w:sz w:val="24"/>
          <w:szCs w:val="24"/>
        </w:rPr>
        <w:t xml:space="preserve"> in billing analysts’ time </w:t>
      </w:r>
      <w:proofErr w:type="gramStart"/>
      <w:r>
        <w:rPr>
          <w:rFonts w:ascii="Times New Roman" w:hAnsi="Times New Roman" w:cs="Times New Roman"/>
          <w:sz w:val="24"/>
          <w:szCs w:val="24"/>
        </w:rPr>
        <w:t>has been estimated</w:t>
      </w:r>
      <w:proofErr w:type="gramEnd"/>
      <w:r>
        <w:rPr>
          <w:rFonts w:ascii="Times New Roman" w:hAnsi="Times New Roman" w:cs="Times New Roman"/>
          <w:sz w:val="24"/>
          <w:szCs w:val="24"/>
        </w:rPr>
        <w:t xml:space="preserve"> at $</w:t>
      </w:r>
      <w:r w:rsidR="004C2CC8">
        <w:rPr>
          <w:rFonts w:ascii="Times New Roman" w:hAnsi="Times New Roman" w:cs="Times New Roman"/>
          <w:sz w:val="24"/>
          <w:szCs w:val="24"/>
        </w:rPr>
        <w:t>71,338</w:t>
      </w:r>
      <w:r>
        <w:rPr>
          <w:rFonts w:ascii="Times New Roman" w:hAnsi="Times New Roman" w:cs="Times New Roman"/>
          <w:sz w:val="24"/>
          <w:szCs w:val="24"/>
        </w:rPr>
        <w:t>.</w:t>
      </w:r>
    </w:p>
    <w:p w:rsidR="008B59A4" w:rsidRDefault="008B59A4" w:rsidP="00B26833">
      <w:pPr>
        <w:pStyle w:val="NoSpacing"/>
        <w:jc w:val="both"/>
        <w:rPr>
          <w:rFonts w:ascii="Times New Roman" w:hAnsi="Times New Roman" w:cs="Times New Roman"/>
          <w:sz w:val="24"/>
          <w:szCs w:val="24"/>
        </w:rPr>
      </w:pPr>
    </w:p>
    <w:p w:rsidR="00073DF5" w:rsidRDefault="008B59A4" w:rsidP="00B26833">
      <w:pPr>
        <w:jc w:val="both"/>
      </w:pPr>
      <w:r>
        <w:t xml:space="preserve">Another area of </w:t>
      </w:r>
      <w:r w:rsidR="00547048">
        <w:t>benefit</w:t>
      </w:r>
      <w:r>
        <w:t xml:space="preserve"> resulting from advanced metering is in the work process known as “rebilling.” There are </w:t>
      </w:r>
      <w:proofErr w:type="gramStart"/>
      <w:r>
        <w:t>a variety</w:t>
      </w:r>
      <w:proofErr w:type="gramEnd"/>
      <w:r>
        <w:t xml:space="preserve"> of instances that can lead to errors in the initial bill that is sent to a customer, particularly arising from the need to estimate a monthly bill. Since the customer service person will be able to acquire an actual reading </w:t>
      </w:r>
      <w:r w:rsidR="00C03EC9">
        <w:t>from</w:t>
      </w:r>
      <w:r>
        <w:t xml:space="preserve"> the meter in </w:t>
      </w:r>
      <w:r w:rsidR="00C03EC9">
        <w:t xml:space="preserve">near </w:t>
      </w:r>
      <w:r>
        <w:t xml:space="preserve">real time for an account in question, there will no longer be a need to estimate bills. Avista estimates that 90% of the need for rebilling </w:t>
      </w:r>
      <w:proofErr w:type="gramStart"/>
      <w:r>
        <w:t>will be displaced</w:t>
      </w:r>
      <w:proofErr w:type="gramEnd"/>
      <w:r>
        <w:t xml:space="preserve">, for an </w:t>
      </w:r>
      <w:r w:rsidR="009B0AC7">
        <w:t xml:space="preserve">estimated </w:t>
      </w:r>
      <w:r>
        <w:t xml:space="preserve">annual </w:t>
      </w:r>
      <w:r w:rsidR="00547048">
        <w:t>benefit</w:t>
      </w:r>
      <w:r>
        <w:t xml:space="preserve"> of $43,692.</w:t>
      </w:r>
    </w:p>
    <w:p w:rsidR="00073DF5" w:rsidRDefault="00073DF5" w:rsidP="00B26833">
      <w:pPr>
        <w:jc w:val="both"/>
      </w:pPr>
    </w:p>
    <w:p w:rsidR="00F256BB" w:rsidRDefault="00FA54D8" w:rsidP="00B26833">
      <w:pPr>
        <w:jc w:val="both"/>
      </w:pPr>
      <w:r>
        <w:rPr>
          <w:b/>
        </w:rPr>
        <w:t xml:space="preserve">M.  </w:t>
      </w:r>
      <w:r w:rsidR="005A0B55" w:rsidRPr="005A0B55">
        <w:rPr>
          <w:b/>
        </w:rPr>
        <w:t xml:space="preserve">Utility </w:t>
      </w:r>
      <w:r w:rsidR="00612DB1">
        <w:rPr>
          <w:b/>
        </w:rPr>
        <w:t>System Studies</w:t>
      </w:r>
      <w:r w:rsidR="00691A5E">
        <w:t xml:space="preserve"> </w:t>
      </w:r>
    </w:p>
    <w:p w:rsidR="00691A5E" w:rsidRDefault="00DB3B28" w:rsidP="00B26833">
      <w:pPr>
        <w:jc w:val="both"/>
      </w:pPr>
      <w:r>
        <w:t xml:space="preserve">Utility departments such as rates and engineering </w:t>
      </w:r>
      <w:r w:rsidR="00F4179E">
        <w:t xml:space="preserve">use </w:t>
      </w:r>
      <w:r w:rsidR="00D53FC0">
        <w:t xml:space="preserve">electricity </w:t>
      </w:r>
      <w:r w:rsidR="005F0734">
        <w:t>load information</w:t>
      </w:r>
      <w:r>
        <w:t xml:space="preserve"> </w:t>
      </w:r>
      <w:r w:rsidR="00F96026">
        <w:t>in studies related to</w:t>
      </w:r>
      <w:r w:rsidR="005F0734">
        <w:t xml:space="preserve"> system planning,</w:t>
      </w:r>
      <w:r>
        <w:t xml:space="preserve"> </w:t>
      </w:r>
      <w:r w:rsidR="002713AC">
        <w:t xml:space="preserve">customer </w:t>
      </w:r>
      <w:r>
        <w:t>rates</w:t>
      </w:r>
      <w:r w:rsidR="005F0734">
        <w:t>,</w:t>
      </w:r>
      <w:r>
        <w:t xml:space="preserve"> </w:t>
      </w:r>
      <w:r w:rsidR="005F0734">
        <w:t>reliability, and efficiency</w:t>
      </w:r>
      <w:r>
        <w:t xml:space="preserve">. Having information on the use patterns of </w:t>
      </w:r>
      <w:r w:rsidR="007F5376">
        <w:t>the individual customer</w:t>
      </w:r>
      <w:r>
        <w:t xml:space="preserve"> </w:t>
      </w:r>
      <w:r w:rsidR="001A36CB">
        <w:t>will allow</w:t>
      </w:r>
      <w:r w:rsidR="005F0734">
        <w:t xml:space="preserve"> </w:t>
      </w:r>
      <w:r w:rsidR="001A36CB">
        <w:t>Avista</w:t>
      </w:r>
      <w:r w:rsidR="005F0734">
        <w:t xml:space="preserve"> </w:t>
      </w:r>
      <w:proofErr w:type="gramStart"/>
      <w:r w:rsidR="005F0734">
        <w:t>to better understand</w:t>
      </w:r>
      <w:proofErr w:type="gramEnd"/>
      <w:r w:rsidR="005F0734">
        <w:t xml:space="preserve"> how </w:t>
      </w:r>
      <w:r w:rsidR="00F03CE6">
        <w:t xml:space="preserve">and when </w:t>
      </w:r>
      <w:r w:rsidR="005F0734">
        <w:t xml:space="preserve">each customer interacts with </w:t>
      </w:r>
      <w:r w:rsidR="001A36CB">
        <w:t>its</w:t>
      </w:r>
      <w:r w:rsidR="007F5376">
        <w:t xml:space="preserve"> system. This more-</w:t>
      </w:r>
      <w:r w:rsidR="005F0734">
        <w:t xml:space="preserve">detailed information </w:t>
      </w:r>
      <w:r>
        <w:t xml:space="preserve">makes these particular studies easier </w:t>
      </w:r>
      <w:r w:rsidR="005F0734">
        <w:t xml:space="preserve">and less expensive </w:t>
      </w:r>
      <w:r>
        <w:t>to perform and</w:t>
      </w:r>
      <w:r w:rsidR="005F0734">
        <w:t xml:space="preserve"> the results</w:t>
      </w:r>
      <w:r>
        <w:t xml:space="preserve"> more accurate.</w:t>
      </w:r>
      <w:r w:rsidR="009D21C6">
        <w:t xml:space="preserve"> In addition to these </w:t>
      </w:r>
      <w:r w:rsidR="00547048">
        <w:t>benefits</w:t>
      </w:r>
      <w:r w:rsidR="009D21C6">
        <w:t xml:space="preserve">, the deployment of advanced metering will reduce the cost of </w:t>
      </w:r>
      <w:r w:rsidR="00F96026">
        <w:t xml:space="preserve">the </w:t>
      </w:r>
      <w:r w:rsidR="009D21C6">
        <w:t xml:space="preserve">annual </w:t>
      </w:r>
      <w:proofErr w:type="gramStart"/>
      <w:r w:rsidR="009D21C6">
        <w:t>meter testing</w:t>
      </w:r>
      <w:proofErr w:type="gramEnd"/>
      <w:r w:rsidR="00F96026">
        <w:t xml:space="preserve"> program.</w:t>
      </w:r>
    </w:p>
    <w:p w:rsidR="00691A5E" w:rsidRDefault="00691A5E" w:rsidP="00B26833">
      <w:pPr>
        <w:jc w:val="both"/>
      </w:pPr>
    </w:p>
    <w:p w:rsidR="00774480" w:rsidRPr="00774480" w:rsidRDefault="00FA54D8" w:rsidP="00B26833">
      <w:pPr>
        <w:jc w:val="both"/>
        <w:rPr>
          <w:u w:val="single"/>
        </w:rPr>
      </w:pPr>
      <w:r>
        <w:rPr>
          <w:u w:val="single"/>
        </w:rPr>
        <w:t xml:space="preserve">1. </w:t>
      </w:r>
      <w:r w:rsidR="00F96026">
        <w:rPr>
          <w:u w:val="single"/>
        </w:rPr>
        <w:t>Retail Load Study</w:t>
      </w:r>
    </w:p>
    <w:p w:rsidR="00AA7203" w:rsidRDefault="00AA7203" w:rsidP="00B26833">
      <w:pPr>
        <w:pStyle w:val="NoSpacing"/>
        <w:jc w:val="both"/>
        <w:rPr>
          <w:rFonts w:ascii="Times New Roman" w:hAnsi="Times New Roman" w:cs="Times New Roman"/>
          <w:sz w:val="24"/>
          <w:szCs w:val="24"/>
        </w:rPr>
      </w:pPr>
      <w:r>
        <w:rPr>
          <w:rFonts w:ascii="Times New Roman" w:hAnsi="Times New Roman" w:cs="Times New Roman"/>
          <w:sz w:val="24"/>
          <w:szCs w:val="24"/>
        </w:rPr>
        <w:t>Every five years, the Company conduct</w:t>
      </w:r>
      <w:r w:rsidR="00F96026">
        <w:rPr>
          <w:rFonts w:ascii="Times New Roman" w:hAnsi="Times New Roman" w:cs="Times New Roman"/>
          <w:sz w:val="24"/>
          <w:szCs w:val="24"/>
        </w:rPr>
        <w:t>s</w:t>
      </w:r>
      <w:r>
        <w:rPr>
          <w:rFonts w:ascii="Times New Roman" w:hAnsi="Times New Roman" w:cs="Times New Roman"/>
          <w:sz w:val="24"/>
          <w:szCs w:val="24"/>
        </w:rPr>
        <w:t xml:space="preserve"> a study of the electrical “demand” placed on the system by each of its groups or classes of customers. This information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as part of the Company’s cost of service analysis developed for each of these customer classes. Currently, this demand data </w:t>
      </w:r>
      <w:proofErr w:type="gramStart"/>
      <w:r>
        <w:rPr>
          <w:rFonts w:ascii="Times New Roman" w:hAnsi="Times New Roman" w:cs="Times New Roman"/>
          <w:sz w:val="24"/>
          <w:szCs w:val="24"/>
        </w:rPr>
        <w:t>is collected</w:t>
      </w:r>
      <w:proofErr w:type="gramEnd"/>
      <w:r>
        <w:rPr>
          <w:rFonts w:ascii="Times New Roman" w:hAnsi="Times New Roman" w:cs="Times New Roman"/>
          <w:sz w:val="24"/>
          <w:szCs w:val="24"/>
        </w:rPr>
        <w:t xml:space="preserve"> </w:t>
      </w:r>
      <w:r w:rsidR="00C03EC9">
        <w:rPr>
          <w:rFonts w:ascii="Times New Roman" w:hAnsi="Times New Roman" w:cs="Times New Roman"/>
          <w:sz w:val="24"/>
          <w:szCs w:val="24"/>
        </w:rPr>
        <w:t>at</w:t>
      </w:r>
      <w:r>
        <w:rPr>
          <w:rFonts w:ascii="Times New Roman" w:hAnsi="Times New Roman" w:cs="Times New Roman"/>
          <w:sz w:val="24"/>
          <w:szCs w:val="24"/>
        </w:rPr>
        <w:t xml:space="preserve"> hourly </w:t>
      </w:r>
      <w:r w:rsidR="00C03EC9">
        <w:rPr>
          <w:rFonts w:ascii="Times New Roman" w:hAnsi="Times New Roman" w:cs="Times New Roman"/>
          <w:sz w:val="24"/>
          <w:szCs w:val="24"/>
        </w:rPr>
        <w:t>intervals</w:t>
      </w:r>
      <w:r>
        <w:rPr>
          <w:rFonts w:ascii="Times New Roman" w:hAnsi="Times New Roman" w:cs="Times New Roman"/>
          <w:sz w:val="24"/>
          <w:szCs w:val="24"/>
        </w:rPr>
        <w:t xml:space="preserve"> from a sample of customers </w:t>
      </w:r>
      <w:r w:rsidR="00C03EC9">
        <w:rPr>
          <w:rFonts w:ascii="Times New Roman" w:hAnsi="Times New Roman" w:cs="Times New Roman"/>
          <w:sz w:val="24"/>
          <w:szCs w:val="24"/>
        </w:rPr>
        <w:t xml:space="preserve">by </w:t>
      </w:r>
      <w:r>
        <w:rPr>
          <w:rFonts w:ascii="Times New Roman" w:hAnsi="Times New Roman" w:cs="Times New Roman"/>
          <w:sz w:val="24"/>
          <w:szCs w:val="24"/>
        </w:rPr>
        <w:t xml:space="preserve">using </w:t>
      </w:r>
      <w:r w:rsidR="001A36CB">
        <w:rPr>
          <w:rFonts w:ascii="Times New Roman" w:hAnsi="Times New Roman" w:cs="Times New Roman"/>
          <w:sz w:val="24"/>
          <w:szCs w:val="24"/>
        </w:rPr>
        <w:t xml:space="preserve">approximately </w:t>
      </w:r>
      <w:r>
        <w:rPr>
          <w:rFonts w:ascii="Times New Roman" w:hAnsi="Times New Roman" w:cs="Times New Roman"/>
          <w:sz w:val="24"/>
          <w:szCs w:val="24"/>
        </w:rPr>
        <w:t xml:space="preserve">700 specialized meters that have been placed in the field for this purpose. </w:t>
      </w:r>
      <w:proofErr w:type="gramStart"/>
      <w:r>
        <w:rPr>
          <w:rFonts w:ascii="Times New Roman" w:hAnsi="Times New Roman" w:cs="Times New Roman"/>
          <w:sz w:val="24"/>
          <w:szCs w:val="24"/>
        </w:rPr>
        <w:t>Installing these meters, and moving them periodically, as well as providing them with communication capability, is a substantial portion of the cost of these studies.</w:t>
      </w:r>
      <w:proofErr w:type="gramEnd"/>
      <w:r>
        <w:rPr>
          <w:rFonts w:ascii="Times New Roman" w:hAnsi="Times New Roman" w:cs="Times New Roman"/>
          <w:sz w:val="24"/>
          <w:szCs w:val="24"/>
        </w:rPr>
        <w:t xml:space="preserve"> With the deployment of advanced metering, each customer meter will have the capability to record and communicate demand information, so there will no longer be a need </w:t>
      </w:r>
      <w:r w:rsidR="002713AC">
        <w:rPr>
          <w:rFonts w:ascii="Times New Roman" w:hAnsi="Times New Roman" w:cs="Times New Roman"/>
          <w:sz w:val="24"/>
          <w:szCs w:val="24"/>
        </w:rPr>
        <w:t xml:space="preserve">to deploy </w:t>
      </w:r>
      <w:r>
        <w:rPr>
          <w:rFonts w:ascii="Times New Roman" w:hAnsi="Times New Roman" w:cs="Times New Roman"/>
          <w:sz w:val="24"/>
          <w:szCs w:val="24"/>
        </w:rPr>
        <w:t xml:space="preserve">specialized meters or </w:t>
      </w:r>
      <w:r w:rsidR="002713AC">
        <w:rPr>
          <w:rFonts w:ascii="Times New Roman" w:hAnsi="Times New Roman" w:cs="Times New Roman"/>
          <w:sz w:val="24"/>
          <w:szCs w:val="24"/>
        </w:rPr>
        <w:t xml:space="preserve">pay </w:t>
      </w:r>
      <w:r>
        <w:rPr>
          <w:rFonts w:ascii="Times New Roman" w:hAnsi="Times New Roman" w:cs="Times New Roman"/>
          <w:sz w:val="24"/>
          <w:szCs w:val="24"/>
        </w:rPr>
        <w:t xml:space="preserve">their communication costs. The annualized </w:t>
      </w:r>
      <w:r w:rsidR="00C370C1">
        <w:rPr>
          <w:rFonts w:ascii="Times New Roman" w:hAnsi="Times New Roman" w:cs="Times New Roman"/>
          <w:sz w:val="24"/>
          <w:szCs w:val="24"/>
        </w:rPr>
        <w:t>benefit</w:t>
      </w:r>
      <w:r>
        <w:rPr>
          <w:rFonts w:ascii="Times New Roman" w:hAnsi="Times New Roman" w:cs="Times New Roman"/>
          <w:sz w:val="24"/>
          <w:szCs w:val="24"/>
        </w:rPr>
        <w:t xml:space="preserve"> expected from this change </w:t>
      </w:r>
      <w:proofErr w:type="gramStart"/>
      <w:r w:rsidR="00547048">
        <w:rPr>
          <w:rFonts w:ascii="Times New Roman" w:hAnsi="Times New Roman" w:cs="Times New Roman"/>
          <w:sz w:val="24"/>
          <w:szCs w:val="24"/>
        </w:rPr>
        <w:t>is</w:t>
      </w:r>
      <w:r>
        <w:rPr>
          <w:rFonts w:ascii="Times New Roman" w:hAnsi="Times New Roman" w:cs="Times New Roman"/>
          <w:sz w:val="24"/>
          <w:szCs w:val="24"/>
        </w:rPr>
        <w:t xml:space="preserve"> estimated</w:t>
      </w:r>
      <w:proofErr w:type="gramEnd"/>
      <w:r>
        <w:rPr>
          <w:rFonts w:ascii="Times New Roman" w:hAnsi="Times New Roman" w:cs="Times New Roman"/>
          <w:sz w:val="24"/>
          <w:szCs w:val="24"/>
        </w:rPr>
        <w:t xml:space="preserve"> at $145,167.</w:t>
      </w:r>
    </w:p>
    <w:p w:rsidR="00AA7203" w:rsidRDefault="00AA7203" w:rsidP="00B26833">
      <w:pPr>
        <w:pStyle w:val="NoSpacing"/>
        <w:jc w:val="both"/>
        <w:rPr>
          <w:rFonts w:ascii="Times New Roman" w:hAnsi="Times New Roman" w:cs="Times New Roman"/>
          <w:sz w:val="24"/>
          <w:szCs w:val="24"/>
        </w:rPr>
      </w:pPr>
    </w:p>
    <w:p w:rsidR="00AA7203" w:rsidRPr="00F256BB" w:rsidRDefault="00FA54D8" w:rsidP="00B26833">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005A0B55" w:rsidRPr="00F256BB">
        <w:rPr>
          <w:rFonts w:ascii="Times New Roman" w:hAnsi="Times New Roman" w:cs="Times New Roman"/>
          <w:sz w:val="24"/>
          <w:szCs w:val="24"/>
          <w:u w:val="single"/>
        </w:rPr>
        <w:t>Meter Shop</w:t>
      </w:r>
    </w:p>
    <w:p w:rsidR="00AE2B8D" w:rsidRDefault="00AA7203" w:rsidP="00B268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Each year, Avista meter technicians </w:t>
      </w:r>
      <w:proofErr w:type="gramStart"/>
      <w:r>
        <w:rPr>
          <w:rFonts w:ascii="Times New Roman" w:hAnsi="Times New Roman" w:cs="Times New Roman"/>
          <w:sz w:val="24"/>
          <w:szCs w:val="24"/>
        </w:rPr>
        <w:t>field test</w:t>
      </w:r>
      <w:proofErr w:type="gramEnd"/>
      <w:r>
        <w:rPr>
          <w:rFonts w:ascii="Times New Roman" w:hAnsi="Times New Roman" w:cs="Times New Roman"/>
          <w:sz w:val="24"/>
          <w:szCs w:val="24"/>
        </w:rPr>
        <w:t xml:space="preserve"> a sample of meters to determine whether the overall ‘population’ of meters in service is performing reasonably. The number of meters in the sample tested each year is approximately 1,900. The sample size is relatively large, in part, because over the years there have been several classes or ‘families’ of meters placed into service, and the sample must contain an adequate number from each of these meter families. With the deployment of advanc</w:t>
      </w:r>
      <w:r w:rsidR="00C03EC9">
        <w:rPr>
          <w:rFonts w:ascii="Times New Roman" w:hAnsi="Times New Roman" w:cs="Times New Roman"/>
          <w:sz w:val="24"/>
          <w:szCs w:val="24"/>
        </w:rPr>
        <w:t>ed meters, there will be a much-</w:t>
      </w:r>
      <w:r>
        <w:rPr>
          <w:rFonts w:ascii="Times New Roman" w:hAnsi="Times New Roman" w:cs="Times New Roman"/>
          <w:sz w:val="24"/>
          <w:szCs w:val="24"/>
        </w:rPr>
        <w:t xml:space="preserve">more uniform population of meters, meaning the sample size of meters to </w:t>
      </w:r>
      <w:proofErr w:type="gramStart"/>
      <w:r>
        <w:rPr>
          <w:rFonts w:ascii="Times New Roman" w:hAnsi="Times New Roman" w:cs="Times New Roman"/>
          <w:sz w:val="24"/>
          <w:szCs w:val="24"/>
        </w:rPr>
        <w:t>be tested</w:t>
      </w:r>
      <w:proofErr w:type="gramEnd"/>
      <w:r>
        <w:rPr>
          <w:rFonts w:ascii="Times New Roman" w:hAnsi="Times New Roman" w:cs="Times New Roman"/>
          <w:sz w:val="24"/>
          <w:szCs w:val="24"/>
        </w:rPr>
        <w:t xml:space="preserve"> each year will be considerably smaller. The annual </w:t>
      </w:r>
      <w:r w:rsidR="00547048">
        <w:rPr>
          <w:rFonts w:ascii="Times New Roman" w:hAnsi="Times New Roman" w:cs="Times New Roman"/>
          <w:sz w:val="24"/>
          <w:szCs w:val="24"/>
        </w:rPr>
        <w:t>benefit</w:t>
      </w:r>
      <w:r>
        <w:rPr>
          <w:rFonts w:ascii="Times New Roman" w:hAnsi="Times New Roman" w:cs="Times New Roman"/>
          <w:sz w:val="24"/>
          <w:szCs w:val="24"/>
        </w:rPr>
        <w:t xml:space="preserve"> estimated from the reduced testing effort is $54,150.</w:t>
      </w:r>
    </w:p>
    <w:p w:rsidR="00C2621F" w:rsidRDefault="00C2621F" w:rsidP="00B26833">
      <w:pPr>
        <w:pStyle w:val="NoSpacing"/>
        <w:jc w:val="both"/>
        <w:rPr>
          <w:rFonts w:ascii="Times New Roman" w:hAnsi="Times New Roman" w:cs="Times New Roman"/>
          <w:sz w:val="24"/>
          <w:szCs w:val="24"/>
        </w:rPr>
      </w:pPr>
    </w:p>
    <w:p w:rsidR="00C2621F" w:rsidRDefault="00C2621F" w:rsidP="00B26833">
      <w:pPr>
        <w:pStyle w:val="NoSpacing"/>
        <w:jc w:val="both"/>
        <w:rPr>
          <w:rFonts w:ascii="Times New Roman" w:hAnsi="Times New Roman" w:cs="Times New Roman"/>
          <w:sz w:val="24"/>
          <w:szCs w:val="24"/>
        </w:rPr>
      </w:pPr>
    </w:p>
    <w:p w:rsidR="00C2621F" w:rsidRDefault="00C2621F" w:rsidP="00B26833">
      <w:pPr>
        <w:pStyle w:val="NoSpacing"/>
        <w:jc w:val="both"/>
        <w:rPr>
          <w:rFonts w:ascii="Times New Roman" w:hAnsi="Times New Roman" w:cs="Times New Roman"/>
          <w:sz w:val="24"/>
          <w:szCs w:val="24"/>
        </w:rPr>
      </w:pPr>
    </w:p>
    <w:p w:rsidR="00831598" w:rsidRPr="00831598" w:rsidRDefault="00831598" w:rsidP="00B26833">
      <w:pPr>
        <w:pStyle w:val="NoSpacing"/>
        <w:jc w:val="both"/>
        <w:rPr>
          <w:rFonts w:ascii="Times New Roman" w:hAnsi="Times New Roman" w:cs="Times New Roman"/>
          <w:sz w:val="24"/>
          <w:szCs w:val="24"/>
          <w:u w:val="single"/>
        </w:rPr>
      </w:pPr>
      <w:r w:rsidRPr="00831598">
        <w:rPr>
          <w:rFonts w:ascii="Times New Roman" w:hAnsi="Times New Roman" w:cs="Times New Roman"/>
          <w:sz w:val="24"/>
          <w:szCs w:val="24"/>
          <w:u w:val="single"/>
        </w:rPr>
        <w:lastRenderedPageBreak/>
        <w:t>3. Engineering Studies</w:t>
      </w:r>
    </w:p>
    <w:p w:rsidR="00831598" w:rsidRPr="000A3FB5" w:rsidRDefault="001A36CB" w:rsidP="00B26833">
      <w:pPr>
        <w:pStyle w:val="NoSpacing"/>
        <w:jc w:val="both"/>
        <w:rPr>
          <w:rFonts w:ascii="Times New Roman" w:hAnsi="Times New Roman" w:cs="Times New Roman"/>
          <w:sz w:val="24"/>
          <w:szCs w:val="24"/>
        </w:rPr>
      </w:pPr>
      <w:r>
        <w:rPr>
          <w:rFonts w:ascii="Times New Roman" w:hAnsi="Times New Roman" w:cs="Times New Roman"/>
          <w:sz w:val="24"/>
          <w:szCs w:val="24"/>
        </w:rPr>
        <w:t>Utilities are experiencing</w:t>
      </w:r>
      <w:r w:rsidR="00831598">
        <w:rPr>
          <w:rFonts w:ascii="Times New Roman" w:hAnsi="Times New Roman" w:cs="Times New Roman"/>
          <w:sz w:val="24"/>
          <w:szCs w:val="24"/>
        </w:rPr>
        <w:t xml:space="preserve"> new influences, such as the increasing penetration of electric vehicles and customer-owned distributed </w:t>
      </w:r>
      <w:proofErr w:type="gramStart"/>
      <w:r w:rsidR="00831598">
        <w:rPr>
          <w:rFonts w:ascii="Times New Roman" w:hAnsi="Times New Roman" w:cs="Times New Roman"/>
          <w:sz w:val="24"/>
          <w:szCs w:val="24"/>
        </w:rPr>
        <w:t>generation,</w:t>
      </w:r>
      <w:r w:rsidR="003B3A81">
        <w:rPr>
          <w:rFonts w:ascii="Times New Roman" w:hAnsi="Times New Roman" w:cs="Times New Roman"/>
          <w:sz w:val="24"/>
          <w:szCs w:val="24"/>
        </w:rPr>
        <w:t xml:space="preserve"> </w:t>
      </w:r>
      <w:r w:rsidR="00831598">
        <w:rPr>
          <w:rFonts w:ascii="Times New Roman" w:hAnsi="Times New Roman" w:cs="Times New Roman"/>
          <w:sz w:val="24"/>
          <w:szCs w:val="24"/>
        </w:rPr>
        <w:t>that</w:t>
      </w:r>
      <w:proofErr w:type="gramEnd"/>
      <w:r w:rsidR="00831598">
        <w:rPr>
          <w:rFonts w:ascii="Times New Roman" w:hAnsi="Times New Roman" w:cs="Times New Roman"/>
          <w:sz w:val="24"/>
          <w:szCs w:val="24"/>
        </w:rPr>
        <w:t xml:space="preserve"> are affecting the performance and predictability of </w:t>
      </w:r>
      <w:r>
        <w:rPr>
          <w:rFonts w:ascii="Times New Roman" w:hAnsi="Times New Roman" w:cs="Times New Roman"/>
          <w:sz w:val="24"/>
          <w:szCs w:val="24"/>
        </w:rPr>
        <w:t>their</w:t>
      </w:r>
      <w:r w:rsidR="00831598">
        <w:rPr>
          <w:rFonts w:ascii="Times New Roman" w:hAnsi="Times New Roman" w:cs="Times New Roman"/>
          <w:sz w:val="24"/>
          <w:szCs w:val="24"/>
        </w:rPr>
        <w:t xml:space="preserve"> electric distribution systems. These new dynamics can </w:t>
      </w:r>
      <w:proofErr w:type="gramStart"/>
      <w:r w:rsidR="00831598">
        <w:rPr>
          <w:rFonts w:ascii="Times New Roman" w:hAnsi="Times New Roman" w:cs="Times New Roman"/>
          <w:sz w:val="24"/>
          <w:szCs w:val="24"/>
        </w:rPr>
        <w:t>impact</w:t>
      </w:r>
      <w:proofErr w:type="gramEnd"/>
      <w:r w:rsidR="00831598">
        <w:rPr>
          <w:rFonts w:ascii="Times New Roman" w:hAnsi="Times New Roman" w:cs="Times New Roman"/>
          <w:sz w:val="24"/>
          <w:szCs w:val="24"/>
        </w:rPr>
        <w:t xml:space="preserve"> the reliability of conventional </w:t>
      </w:r>
      <w:r w:rsidR="003E0EA6">
        <w:rPr>
          <w:rFonts w:ascii="Times New Roman" w:hAnsi="Times New Roman" w:cs="Times New Roman"/>
          <w:sz w:val="24"/>
          <w:szCs w:val="24"/>
        </w:rPr>
        <w:t xml:space="preserve">engineering </w:t>
      </w:r>
      <w:r w:rsidR="00831598">
        <w:rPr>
          <w:rFonts w:ascii="Times New Roman" w:hAnsi="Times New Roman" w:cs="Times New Roman"/>
          <w:sz w:val="24"/>
          <w:szCs w:val="24"/>
        </w:rPr>
        <w:t xml:space="preserve">models that have been used to evaluate system performance and plan for future infrastructure investment. The data provided by advanced metering will help engineers better understand the new ways customers </w:t>
      </w:r>
      <w:r w:rsidR="003E0EA6">
        <w:rPr>
          <w:rFonts w:ascii="Times New Roman" w:hAnsi="Times New Roman" w:cs="Times New Roman"/>
          <w:sz w:val="24"/>
          <w:szCs w:val="24"/>
        </w:rPr>
        <w:t>are interacting with the system</w:t>
      </w:r>
      <w:r w:rsidR="00831598">
        <w:rPr>
          <w:rFonts w:ascii="Times New Roman" w:hAnsi="Times New Roman" w:cs="Times New Roman"/>
          <w:sz w:val="24"/>
          <w:szCs w:val="24"/>
        </w:rPr>
        <w:t xml:space="preserve">, and to more accurately </w:t>
      </w:r>
      <w:r w:rsidR="003E0EA6">
        <w:rPr>
          <w:rFonts w:ascii="Times New Roman" w:hAnsi="Times New Roman" w:cs="Times New Roman"/>
          <w:sz w:val="24"/>
          <w:szCs w:val="24"/>
        </w:rPr>
        <w:t>model current and future system performance.</w:t>
      </w:r>
    </w:p>
    <w:p w:rsidR="00A571CF" w:rsidRDefault="00A571CF" w:rsidP="00B26833">
      <w:pPr>
        <w:jc w:val="both"/>
        <w:rPr>
          <w:rFonts w:eastAsiaTheme="minorHAnsi"/>
        </w:rPr>
      </w:pPr>
    </w:p>
    <w:p w:rsidR="00D547DE" w:rsidRDefault="00D547DE" w:rsidP="00B26833">
      <w:pPr>
        <w:jc w:val="both"/>
        <w:rPr>
          <w:rFonts w:eastAsiaTheme="minorHAnsi"/>
        </w:rPr>
      </w:pPr>
    </w:p>
    <w:p w:rsidR="00792015" w:rsidRPr="00B359E2" w:rsidRDefault="001A36CB" w:rsidP="00D547DE">
      <w:pPr>
        <w:rPr>
          <w:rFonts w:ascii="Calibri" w:hAnsi="Calibri"/>
          <w:b/>
          <w:bCs/>
          <w:color w:val="000000"/>
          <w:sz w:val="18"/>
          <w:szCs w:val="20"/>
        </w:rPr>
      </w:pPr>
      <w:r w:rsidRPr="00B359E2">
        <w:rPr>
          <w:b/>
          <w:bCs/>
          <w:color w:val="000000"/>
          <w:szCs w:val="22"/>
        </w:rPr>
        <w:t xml:space="preserve">N. </w:t>
      </w:r>
      <w:r w:rsidR="00B359E2">
        <w:rPr>
          <w:b/>
          <w:bCs/>
          <w:color w:val="000000"/>
          <w:szCs w:val="22"/>
        </w:rPr>
        <w:t xml:space="preserve"> </w:t>
      </w:r>
      <w:r w:rsidR="00FA54D8" w:rsidRPr="00B359E2">
        <w:rPr>
          <w:b/>
          <w:bCs/>
          <w:color w:val="000000"/>
          <w:szCs w:val="22"/>
        </w:rPr>
        <w:t xml:space="preserve">Washington Advanced Metering - Project Benefit Summary           </w:t>
      </w:r>
    </w:p>
    <w:tbl>
      <w:tblPr>
        <w:tblW w:w="9603" w:type="dxa"/>
        <w:tblInd w:w="98" w:type="dxa"/>
        <w:tblLook w:val="04A0"/>
      </w:tblPr>
      <w:tblGrid>
        <w:gridCol w:w="960"/>
        <w:gridCol w:w="2965"/>
        <w:gridCol w:w="222"/>
        <w:gridCol w:w="271"/>
        <w:gridCol w:w="271"/>
        <w:gridCol w:w="271"/>
        <w:gridCol w:w="222"/>
        <w:gridCol w:w="1398"/>
        <w:gridCol w:w="2752"/>
        <w:gridCol w:w="271"/>
      </w:tblGrid>
      <w:tr w:rsidR="00792015" w:rsidRPr="002F0991" w:rsidTr="00FA54D8">
        <w:trPr>
          <w:trHeight w:val="189"/>
        </w:trPr>
        <w:tc>
          <w:tcPr>
            <w:tcW w:w="960"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4150" w:type="dxa"/>
            <w:gridSpan w:val="2"/>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FA54D8">
        <w:trPr>
          <w:trHeight w:val="300"/>
        </w:trPr>
        <w:tc>
          <w:tcPr>
            <w:tcW w:w="4147" w:type="dxa"/>
            <w:gridSpan w:val="3"/>
            <w:tcBorders>
              <w:top w:val="nil"/>
              <w:left w:val="nil"/>
              <w:bottom w:val="single" w:sz="4" w:space="0" w:color="auto"/>
              <w:right w:val="nil"/>
            </w:tcBorders>
            <w:shd w:val="clear" w:color="auto" w:fill="auto"/>
            <w:noWrap/>
            <w:vAlign w:val="bottom"/>
            <w:hideMark/>
          </w:tcPr>
          <w:p w:rsidR="00792015" w:rsidRPr="002F0991" w:rsidRDefault="00792015" w:rsidP="00D547DE">
            <w:pPr>
              <w:rPr>
                <w:b/>
                <w:bCs/>
                <w:color w:val="000000"/>
                <w:sz w:val="22"/>
                <w:szCs w:val="22"/>
              </w:rPr>
            </w:pPr>
            <w:r w:rsidRPr="002F0991">
              <w:rPr>
                <w:b/>
                <w:bCs/>
                <w:color w:val="000000"/>
                <w:sz w:val="22"/>
                <w:szCs w:val="22"/>
              </w:rPr>
              <w:t>Area of Improvement</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color w:val="000000"/>
                <w:sz w:val="22"/>
                <w:szCs w:val="22"/>
              </w:rPr>
            </w:pPr>
            <w:r w:rsidRPr="002F0991">
              <w:rPr>
                <w:color w:val="000000"/>
                <w:sz w:val="22"/>
                <w:szCs w:val="22"/>
              </w:rPr>
              <w:t> </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 </w:t>
            </w:r>
          </w:p>
        </w:tc>
        <w:tc>
          <w:tcPr>
            <w:tcW w:w="271" w:type="dxa"/>
            <w:tcBorders>
              <w:top w:val="nil"/>
              <w:left w:val="nil"/>
              <w:bottom w:val="single" w:sz="4" w:space="0" w:color="auto"/>
              <w:right w:val="nil"/>
            </w:tcBorders>
            <w:shd w:val="clear" w:color="auto" w:fill="auto"/>
            <w:noWrap/>
            <w:vAlign w:val="bottom"/>
            <w:hideMark/>
          </w:tcPr>
          <w:p w:rsidR="00792015" w:rsidRPr="002F0991" w:rsidRDefault="00792015" w:rsidP="00D547DE">
            <w:pPr>
              <w:rPr>
                <w:color w:val="000000"/>
                <w:sz w:val="22"/>
                <w:szCs w:val="22"/>
              </w:rPr>
            </w:pPr>
            <w:r w:rsidRPr="002F0991">
              <w:rPr>
                <w:color w:val="000000"/>
                <w:sz w:val="22"/>
                <w:szCs w:val="22"/>
              </w:rPr>
              <w:t> </w:t>
            </w:r>
          </w:p>
        </w:tc>
        <w:tc>
          <w:tcPr>
            <w:tcW w:w="4643" w:type="dxa"/>
            <w:gridSpan w:val="4"/>
            <w:tcBorders>
              <w:top w:val="nil"/>
              <w:left w:val="nil"/>
              <w:bottom w:val="single" w:sz="4" w:space="0" w:color="auto"/>
              <w:right w:val="nil"/>
            </w:tcBorders>
            <w:shd w:val="clear" w:color="auto" w:fill="auto"/>
            <w:noWrap/>
            <w:vAlign w:val="bottom"/>
            <w:hideMark/>
          </w:tcPr>
          <w:p w:rsidR="00792015" w:rsidRPr="002F0991" w:rsidRDefault="00792015" w:rsidP="00D547DE">
            <w:pPr>
              <w:rPr>
                <w:b/>
                <w:bCs/>
                <w:color w:val="000000"/>
                <w:sz w:val="22"/>
                <w:szCs w:val="22"/>
              </w:rPr>
            </w:pPr>
            <w:r w:rsidRPr="002F0991">
              <w:rPr>
                <w:bCs/>
                <w:color w:val="000000"/>
                <w:sz w:val="22"/>
                <w:szCs w:val="22"/>
              </w:rPr>
              <w:t xml:space="preserve">         </w:t>
            </w:r>
            <w:r w:rsidRPr="002F0991">
              <w:rPr>
                <w:b/>
                <w:bCs/>
                <w:color w:val="000000"/>
                <w:sz w:val="22"/>
                <w:szCs w:val="22"/>
              </w:rPr>
              <w:t xml:space="preserve">Quantified </w:t>
            </w:r>
            <w:r w:rsidR="00F57438">
              <w:rPr>
                <w:b/>
                <w:bCs/>
                <w:color w:val="000000"/>
                <w:sz w:val="22"/>
                <w:szCs w:val="22"/>
              </w:rPr>
              <w:t xml:space="preserve">Annual </w:t>
            </w:r>
            <w:r w:rsidRPr="002F0991">
              <w:rPr>
                <w:b/>
                <w:bCs/>
                <w:color w:val="000000"/>
                <w:sz w:val="22"/>
                <w:szCs w:val="22"/>
              </w:rPr>
              <w:t>Customer Benefit</w:t>
            </w:r>
          </w:p>
        </w:tc>
      </w:tr>
      <w:tr w:rsidR="00792015" w:rsidRPr="002F0991" w:rsidTr="00D547DE">
        <w:trPr>
          <w:trHeight w:val="7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Experience</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Access Interval Usage Data</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729" w:type="dxa"/>
            <w:gridSpan w:val="4"/>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w:t>
            </w:r>
            <w:r w:rsidR="001A36CB">
              <w:rPr>
                <w:bCs/>
                <w:color w:val="000000"/>
                <w:sz w:val="22"/>
                <w:szCs w:val="22"/>
              </w:rPr>
              <w:t>omer Home Network Interface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3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Alerts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Privacy</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43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Future Opportunity for Benefits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Rate Options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roofErr w:type="spellStart"/>
            <w:r w:rsidRPr="002F0991">
              <w:rPr>
                <w:bCs/>
                <w:color w:val="000000"/>
                <w:sz w:val="22"/>
                <w:szCs w:val="22"/>
              </w:rPr>
              <w:t>Microgrids</w:t>
            </w:r>
            <w:proofErr w:type="spellEnd"/>
            <w:r w:rsidRPr="002F0991">
              <w:rPr>
                <w:bCs/>
                <w:color w:val="000000"/>
                <w:sz w:val="22"/>
                <w:szCs w:val="22"/>
              </w:rPr>
              <w:t xml:space="preserve"> and Smart Cities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Data Analytics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Distributed Generation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Meter Reading</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Regular Reads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$4,842,671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6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Special Reads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$204,017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r>
      <w:tr w:rsidR="00792015" w:rsidRPr="002F0991" w:rsidTr="00D547DE">
        <w:trPr>
          <w:trHeight w:val="37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Remote Rapid Reconnect</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1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Account Open, Close, Transfer</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$1,728,042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3F6D6C" w:rsidP="00D547DE">
            <w:pPr>
              <w:rPr>
                <w:bCs/>
                <w:color w:val="000000"/>
                <w:sz w:val="22"/>
                <w:szCs w:val="22"/>
              </w:rPr>
            </w:pPr>
            <w:r>
              <w:rPr>
                <w:bCs/>
                <w:color w:val="000000"/>
                <w:sz w:val="22"/>
                <w:szCs w:val="22"/>
              </w:rPr>
              <w:t>Credit Connections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$1,193,060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1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Credit Collections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716530">
            <w:pPr>
              <w:rPr>
                <w:bCs/>
                <w:color w:val="000000"/>
                <w:sz w:val="22"/>
                <w:szCs w:val="22"/>
              </w:rPr>
            </w:pPr>
            <w:r w:rsidRPr="002F0991">
              <w:rPr>
                <w:bCs/>
                <w:color w:val="000000"/>
                <w:sz w:val="22"/>
                <w:szCs w:val="22"/>
              </w:rPr>
              <w:t>$</w:t>
            </w:r>
            <w:r w:rsidR="00716530">
              <w:rPr>
                <w:bCs/>
                <w:color w:val="000000"/>
                <w:sz w:val="22"/>
                <w:szCs w:val="22"/>
              </w:rPr>
              <w:t>453,454</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After Hours Fees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$104,040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Special Cases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$25,896</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Reduced Customer Call Time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$107,242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Reduced Lost Revenue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$36,931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Outage Management</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000000" w:fill="FFFFFF"/>
            <w:noWrap/>
            <w:vAlign w:val="bottom"/>
            <w:hideMark/>
          </w:tcPr>
          <w:p w:rsidR="00792015" w:rsidRPr="002F0991" w:rsidRDefault="00792015" w:rsidP="00D547DE">
            <w:pPr>
              <w:rPr>
                <w:color w:val="000000"/>
                <w:sz w:val="22"/>
                <w:szCs w:val="22"/>
              </w:rPr>
            </w:pPr>
            <w:r w:rsidRPr="002F0991">
              <w:rPr>
                <w:color w:val="000000"/>
                <w:sz w:val="22"/>
                <w:szCs w:val="22"/>
              </w:rPr>
              <w:t> </w:t>
            </w: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Savings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$2,218,195</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Side of Meter</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$396,967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85"/>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A2622" w:rsidP="00D547DE">
            <w:pPr>
              <w:rPr>
                <w:bCs/>
                <w:color w:val="000000"/>
                <w:sz w:val="22"/>
                <w:szCs w:val="22"/>
              </w:rPr>
            </w:pPr>
            <w:r>
              <w:rPr>
                <w:bCs/>
                <w:color w:val="000000"/>
                <w:sz w:val="22"/>
                <w:szCs w:val="22"/>
              </w:rPr>
              <w:t>Reduc</w:t>
            </w:r>
            <w:r w:rsidR="00792015" w:rsidRPr="002F0991">
              <w:rPr>
                <w:bCs/>
                <w:color w:val="000000"/>
                <w:sz w:val="22"/>
                <w:szCs w:val="22"/>
              </w:rPr>
              <w:t>ed Customer Calls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$69,498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90"/>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Efficiency</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Conservation Voltage Reduction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$1,186,709</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458"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Customer Installed Measures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$491,882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4147" w:type="dxa"/>
            <w:gridSpan w:val="3"/>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Energy Theft and Unbilled Usage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Theft Diversion</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$1,053,322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A2622" w:rsidP="00D547DE">
            <w:pPr>
              <w:rPr>
                <w:bCs/>
                <w:color w:val="000000"/>
                <w:sz w:val="22"/>
                <w:szCs w:val="22"/>
              </w:rPr>
            </w:pPr>
            <w:r>
              <w:rPr>
                <w:bCs/>
                <w:color w:val="000000"/>
                <w:sz w:val="22"/>
                <w:szCs w:val="22"/>
              </w:rPr>
              <w:t>Unbi</w:t>
            </w:r>
            <w:r w:rsidR="00792015" w:rsidRPr="002F0991">
              <w:rPr>
                <w:bCs/>
                <w:color w:val="000000"/>
                <w:sz w:val="22"/>
                <w:szCs w:val="22"/>
              </w:rPr>
              <w:t>lled Usage</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$235,081</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7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Slow/Failing Meters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$169,817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Stopped Meters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$205,924</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Billing Accuracy</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Estimated Bills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$266,658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 Inquiries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$99,756</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Billing Analysis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$71,338</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Rebilling</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$43,692</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75"/>
        </w:trPr>
        <w:tc>
          <w:tcPr>
            <w:tcW w:w="3925"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Utility Studies</w:t>
            </w: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Retail Load Studies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$145,167</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Meter Sampling</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$54,150</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3187"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r w:rsidRPr="002F0991">
              <w:rPr>
                <w:bCs/>
                <w:color w:val="000000"/>
                <w:sz w:val="22"/>
                <w:szCs w:val="22"/>
              </w:rPr>
              <w:t>Engineering Studies</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21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D547DE">
            <w:pPr>
              <w:rPr>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color w:val="000000"/>
                <w:sz w:val="22"/>
                <w:szCs w:val="22"/>
              </w:rPr>
            </w:pPr>
          </w:p>
        </w:tc>
      </w:tr>
      <w:tr w:rsidR="00792015" w:rsidRPr="002F0991" w:rsidTr="00D547DE">
        <w:trPr>
          <w:trHeight w:val="300"/>
        </w:trPr>
        <w:tc>
          <w:tcPr>
            <w:tcW w:w="960"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r w:rsidRPr="002F0991">
              <w:rPr>
                <w:b/>
                <w:bCs/>
                <w:color w:val="000000"/>
                <w:sz w:val="22"/>
                <w:szCs w:val="22"/>
              </w:rPr>
              <w:t>Total</w:t>
            </w:r>
          </w:p>
        </w:tc>
        <w:tc>
          <w:tcPr>
            <w:tcW w:w="2965"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22"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1620" w:type="dxa"/>
            <w:gridSpan w:val="2"/>
            <w:tcBorders>
              <w:top w:val="nil"/>
              <w:left w:val="nil"/>
              <w:bottom w:val="nil"/>
              <w:right w:val="nil"/>
            </w:tcBorders>
            <w:shd w:val="clear" w:color="auto" w:fill="auto"/>
            <w:noWrap/>
            <w:vAlign w:val="bottom"/>
            <w:hideMark/>
          </w:tcPr>
          <w:p w:rsidR="00792015" w:rsidRPr="002F0991" w:rsidRDefault="00792015" w:rsidP="00D547DE">
            <w:pPr>
              <w:rPr>
                <w:b/>
                <w:bCs/>
                <w:color w:val="000000"/>
                <w:sz w:val="22"/>
                <w:szCs w:val="22"/>
              </w:rPr>
            </w:pPr>
          </w:p>
        </w:tc>
        <w:tc>
          <w:tcPr>
            <w:tcW w:w="2752" w:type="dxa"/>
            <w:tcBorders>
              <w:top w:val="nil"/>
              <w:left w:val="nil"/>
              <w:bottom w:val="nil"/>
              <w:right w:val="nil"/>
            </w:tcBorders>
            <w:shd w:val="clear" w:color="auto" w:fill="auto"/>
            <w:noWrap/>
            <w:vAlign w:val="bottom"/>
            <w:hideMark/>
          </w:tcPr>
          <w:p w:rsidR="00792015" w:rsidRPr="002F0991" w:rsidRDefault="00792015" w:rsidP="00716530">
            <w:pPr>
              <w:rPr>
                <w:b/>
                <w:bCs/>
                <w:color w:val="000000"/>
                <w:sz w:val="22"/>
                <w:szCs w:val="22"/>
              </w:rPr>
            </w:pPr>
            <w:r w:rsidRPr="00073DF5">
              <w:rPr>
                <w:b/>
                <w:bCs/>
                <w:color w:val="000000"/>
                <w:sz w:val="22"/>
                <w:szCs w:val="22"/>
              </w:rPr>
              <w:t>$15,</w:t>
            </w:r>
            <w:r w:rsidR="00716530" w:rsidRPr="00073DF5">
              <w:rPr>
                <w:b/>
                <w:bCs/>
                <w:color w:val="000000"/>
                <w:sz w:val="22"/>
                <w:szCs w:val="22"/>
              </w:rPr>
              <w:t>403,509</w:t>
            </w:r>
          </w:p>
        </w:tc>
        <w:tc>
          <w:tcPr>
            <w:tcW w:w="271" w:type="dxa"/>
            <w:tcBorders>
              <w:top w:val="nil"/>
              <w:left w:val="nil"/>
              <w:bottom w:val="nil"/>
              <w:right w:val="nil"/>
            </w:tcBorders>
            <w:shd w:val="clear" w:color="auto" w:fill="auto"/>
            <w:noWrap/>
            <w:vAlign w:val="bottom"/>
            <w:hideMark/>
          </w:tcPr>
          <w:p w:rsidR="00792015" w:rsidRPr="002F0991" w:rsidRDefault="00792015" w:rsidP="00D547DE">
            <w:pPr>
              <w:rPr>
                <w:b/>
                <w:color w:val="000000"/>
                <w:sz w:val="22"/>
                <w:szCs w:val="22"/>
              </w:rPr>
            </w:pPr>
          </w:p>
        </w:tc>
      </w:tr>
    </w:tbl>
    <w:p w:rsidR="00792015" w:rsidRPr="00792015" w:rsidRDefault="00792015" w:rsidP="00B26833">
      <w:pPr>
        <w:jc w:val="both"/>
        <w:rPr>
          <w:rFonts w:ascii="Calibri" w:hAnsi="Calibri"/>
          <w:b/>
          <w:bCs/>
          <w:color w:val="000000"/>
          <w:sz w:val="20"/>
          <w:szCs w:val="20"/>
        </w:rPr>
      </w:pPr>
    </w:p>
    <w:p w:rsidR="004B0719" w:rsidRDefault="004B0719" w:rsidP="00B26833">
      <w:pPr>
        <w:jc w:val="both"/>
        <w:rPr>
          <w:rStyle w:val="SurveyTextChar"/>
        </w:rPr>
      </w:pPr>
    </w:p>
    <w:p w:rsidR="00C2621F" w:rsidRDefault="00C2621F" w:rsidP="00B26833">
      <w:pPr>
        <w:jc w:val="both"/>
      </w:pPr>
    </w:p>
    <w:p w:rsidR="00073DF5" w:rsidRDefault="00073DF5" w:rsidP="00B26833">
      <w:pPr>
        <w:jc w:val="both"/>
      </w:pPr>
    </w:p>
    <w:p w:rsidR="00497A85" w:rsidRPr="004B6556" w:rsidRDefault="00FA54D8" w:rsidP="00FA54D8">
      <w:pPr>
        <w:jc w:val="center"/>
        <w:rPr>
          <w:b/>
          <w:sz w:val="28"/>
        </w:rPr>
      </w:pPr>
      <w:r>
        <w:rPr>
          <w:b/>
          <w:sz w:val="28"/>
        </w:rPr>
        <w:t xml:space="preserve">IV. </w:t>
      </w:r>
      <w:r w:rsidR="004B6556" w:rsidRPr="004B6556">
        <w:rPr>
          <w:b/>
          <w:sz w:val="28"/>
        </w:rPr>
        <w:t xml:space="preserve">Preliminary Estimate of the </w:t>
      </w:r>
      <w:r w:rsidR="00CA5E2B">
        <w:rPr>
          <w:b/>
          <w:sz w:val="28"/>
        </w:rPr>
        <w:t>Project</w:t>
      </w:r>
      <w:r w:rsidR="004B6556" w:rsidRPr="004B6556">
        <w:rPr>
          <w:b/>
          <w:sz w:val="28"/>
        </w:rPr>
        <w:t xml:space="preserve"> Cost</w:t>
      </w:r>
    </w:p>
    <w:p w:rsidR="001F4E0B" w:rsidRPr="001F4E0B" w:rsidRDefault="001F4E0B" w:rsidP="00B26833">
      <w:pPr>
        <w:jc w:val="both"/>
        <w:rPr>
          <w:b/>
        </w:rPr>
      </w:pPr>
    </w:p>
    <w:p w:rsidR="007148BE" w:rsidRPr="002D1C0D" w:rsidRDefault="00A90527" w:rsidP="00B26833">
      <w:pPr>
        <w:jc w:val="both"/>
      </w:pPr>
      <w:r>
        <w:t>Avista has developed an initial estimate of the cost of implementing the Washin</w:t>
      </w:r>
      <w:r w:rsidR="00965533">
        <w:t xml:space="preserve">gton advanced metering project. The nature of this estimate should be considered preliminary since the technical requirements for the various systems have not been completed, and since none of the vendors’ </w:t>
      </w:r>
      <w:r w:rsidR="00E01DB0">
        <w:t xml:space="preserve">proposed configurations and </w:t>
      </w:r>
      <w:r w:rsidR="002F0991">
        <w:t xml:space="preserve">final </w:t>
      </w:r>
      <w:r w:rsidR="00965533">
        <w:t>pricing for these systems is presently known. The preliminary estimate of the capital cost totals $</w:t>
      </w:r>
      <w:r w:rsidR="002D1C0D">
        <w:t>1</w:t>
      </w:r>
      <w:r w:rsidR="003E0EA6">
        <w:t>42.1</w:t>
      </w:r>
      <w:r w:rsidR="00E01DB0">
        <w:t xml:space="preserve"> </w:t>
      </w:r>
      <w:r w:rsidR="00965533">
        <w:t xml:space="preserve">million, and the annual operating costs </w:t>
      </w:r>
      <w:proofErr w:type="gramStart"/>
      <w:r w:rsidR="00965533">
        <w:t>are estimated</w:t>
      </w:r>
      <w:proofErr w:type="gramEnd"/>
      <w:r w:rsidR="00965533">
        <w:t xml:space="preserve"> at </w:t>
      </w:r>
      <w:r w:rsidR="00965533" w:rsidRPr="002F0991">
        <w:t>$</w:t>
      </w:r>
      <w:r w:rsidR="002F0991">
        <w:t>5.</w:t>
      </w:r>
      <w:r w:rsidR="00662B30">
        <w:t>2</w:t>
      </w:r>
      <w:r w:rsidR="002D1C0D" w:rsidRPr="002F0991">
        <w:t xml:space="preserve"> million</w:t>
      </w:r>
      <w:r w:rsidR="002D1C0D">
        <w:t xml:space="preserve">. Avista will continue to refine its estimate of the program cost through the course of the project as more-specific information is developed and available. The major component costs </w:t>
      </w:r>
      <w:proofErr w:type="gramStart"/>
      <w:r w:rsidR="002D1C0D">
        <w:t>are described</w:t>
      </w:r>
      <w:proofErr w:type="gramEnd"/>
      <w:r w:rsidR="002D1C0D">
        <w:t xml:space="preserve"> below</w:t>
      </w:r>
      <w:r w:rsidR="009B24DF">
        <w:t xml:space="preserve"> </w:t>
      </w:r>
      <w:r w:rsidR="00E9361F">
        <w:t>followed by</w:t>
      </w:r>
      <w:r w:rsidR="009B24DF">
        <w:t xml:space="preserve"> a summary table of the </w:t>
      </w:r>
      <w:r w:rsidR="002F0991">
        <w:t xml:space="preserve">estimated </w:t>
      </w:r>
      <w:r w:rsidR="009B24DF">
        <w:t>costs</w:t>
      </w:r>
      <w:r w:rsidR="002F0991">
        <w:t xml:space="preserve"> associated with each component</w:t>
      </w:r>
      <w:r w:rsidR="002D1C0D">
        <w:t xml:space="preserve">. </w:t>
      </w:r>
      <w:r w:rsidR="00FA54D8">
        <w:t>Additional details related to the estimated costs are available in supporting work papers.</w:t>
      </w:r>
    </w:p>
    <w:p w:rsidR="00D72785" w:rsidRPr="002D1C0D" w:rsidRDefault="00D72785" w:rsidP="00B26833">
      <w:pPr>
        <w:jc w:val="both"/>
      </w:pPr>
    </w:p>
    <w:p w:rsidR="00D72785" w:rsidRPr="004A764A" w:rsidRDefault="002F1C0E" w:rsidP="00B26833">
      <w:pPr>
        <w:autoSpaceDE w:val="0"/>
        <w:autoSpaceDN w:val="0"/>
        <w:adjustRightInd w:val="0"/>
        <w:jc w:val="both"/>
        <w:rPr>
          <w:b/>
          <w:color w:val="000000"/>
        </w:rPr>
      </w:pPr>
      <w:r>
        <w:rPr>
          <w:b/>
          <w:color w:val="000000"/>
        </w:rPr>
        <w:t xml:space="preserve">A. </w:t>
      </w:r>
      <w:r w:rsidR="00D72785" w:rsidRPr="004A764A">
        <w:rPr>
          <w:b/>
          <w:color w:val="000000"/>
        </w:rPr>
        <w:t>Electric Meters</w:t>
      </w:r>
    </w:p>
    <w:p w:rsidR="00D72785" w:rsidRDefault="00D72785" w:rsidP="00B26833">
      <w:pPr>
        <w:jc w:val="both"/>
        <w:rPr>
          <w:color w:val="000000"/>
        </w:rPr>
      </w:pPr>
      <w:proofErr w:type="gramStart"/>
      <w:r w:rsidRPr="002D1C0D">
        <w:rPr>
          <w:color w:val="000000"/>
        </w:rPr>
        <w:t xml:space="preserve">Includes all types of electric meters, based on </w:t>
      </w:r>
      <w:r w:rsidR="002D1C0D">
        <w:rPr>
          <w:color w:val="000000"/>
        </w:rPr>
        <w:t xml:space="preserve">the </w:t>
      </w:r>
      <w:r w:rsidRPr="002D1C0D">
        <w:rPr>
          <w:color w:val="000000"/>
        </w:rPr>
        <w:t xml:space="preserve">quantity and </w:t>
      </w:r>
      <w:r w:rsidR="002D1C0D">
        <w:rPr>
          <w:color w:val="000000"/>
        </w:rPr>
        <w:t xml:space="preserve">unit </w:t>
      </w:r>
      <w:r w:rsidRPr="002D1C0D">
        <w:rPr>
          <w:color w:val="000000"/>
        </w:rPr>
        <w:t>cost of each type</w:t>
      </w:r>
      <w:r w:rsidR="002D1C0D">
        <w:rPr>
          <w:color w:val="000000"/>
        </w:rPr>
        <w:t xml:space="preserve"> of meter</w:t>
      </w:r>
      <w:r w:rsidRPr="002D1C0D">
        <w:rPr>
          <w:color w:val="000000"/>
        </w:rPr>
        <w:t>.</w:t>
      </w:r>
      <w:proofErr w:type="gramEnd"/>
    </w:p>
    <w:p w:rsidR="0080676B" w:rsidRPr="002D1C0D" w:rsidRDefault="0080676B" w:rsidP="00B26833">
      <w:pPr>
        <w:jc w:val="both"/>
      </w:pPr>
    </w:p>
    <w:p w:rsidR="00D72785" w:rsidRPr="004A764A" w:rsidRDefault="002F1C0E" w:rsidP="00B26833">
      <w:pPr>
        <w:autoSpaceDE w:val="0"/>
        <w:autoSpaceDN w:val="0"/>
        <w:adjustRightInd w:val="0"/>
        <w:jc w:val="both"/>
        <w:rPr>
          <w:b/>
          <w:color w:val="000000"/>
        </w:rPr>
      </w:pPr>
      <w:r>
        <w:rPr>
          <w:b/>
          <w:color w:val="000000"/>
        </w:rPr>
        <w:t xml:space="preserve">B. </w:t>
      </w:r>
      <w:r w:rsidR="002D1C0D" w:rsidRPr="004A764A">
        <w:rPr>
          <w:b/>
          <w:color w:val="000000"/>
        </w:rPr>
        <w:t>Electric Meter Labor – Internal Cost</w:t>
      </w:r>
    </w:p>
    <w:p w:rsidR="00D72785" w:rsidRPr="002D1C0D" w:rsidRDefault="002F0991" w:rsidP="00B26833">
      <w:pPr>
        <w:jc w:val="both"/>
        <w:rPr>
          <w:color w:val="000000"/>
        </w:rPr>
      </w:pPr>
      <w:r>
        <w:rPr>
          <w:color w:val="000000"/>
        </w:rPr>
        <w:t>The</w:t>
      </w:r>
      <w:r w:rsidR="002D1C0D">
        <w:rPr>
          <w:color w:val="000000"/>
        </w:rPr>
        <w:t xml:space="preserve"> expected Avista employee </w:t>
      </w:r>
      <w:r w:rsidR="00D72785" w:rsidRPr="002D1C0D">
        <w:rPr>
          <w:color w:val="000000"/>
        </w:rPr>
        <w:t xml:space="preserve">labor </w:t>
      </w:r>
      <w:r w:rsidR="004A764A">
        <w:rPr>
          <w:color w:val="000000"/>
        </w:rPr>
        <w:t>associated with the installation</w:t>
      </w:r>
      <w:r w:rsidR="00D72785" w:rsidRPr="002D1C0D">
        <w:rPr>
          <w:color w:val="000000"/>
        </w:rPr>
        <w:t xml:space="preserve"> of </w:t>
      </w:r>
      <w:r w:rsidR="004A764A">
        <w:rPr>
          <w:color w:val="000000"/>
        </w:rPr>
        <w:t>commercial</w:t>
      </w:r>
      <w:r w:rsidR="00D72785" w:rsidRPr="002D1C0D">
        <w:rPr>
          <w:color w:val="000000"/>
        </w:rPr>
        <w:t xml:space="preserve"> meters, </w:t>
      </w:r>
      <w:r w:rsidR="004A764A">
        <w:rPr>
          <w:color w:val="000000"/>
        </w:rPr>
        <w:t>providing advanced metering</w:t>
      </w:r>
      <w:r w:rsidR="00D72785" w:rsidRPr="002D1C0D">
        <w:rPr>
          <w:color w:val="000000"/>
        </w:rPr>
        <w:t xml:space="preserve"> systems support</w:t>
      </w:r>
      <w:r w:rsidR="004A764A">
        <w:rPr>
          <w:color w:val="000000"/>
        </w:rPr>
        <w:t>,</w:t>
      </w:r>
      <w:r w:rsidR="00D72785" w:rsidRPr="002D1C0D">
        <w:rPr>
          <w:color w:val="000000"/>
        </w:rPr>
        <w:t xml:space="preserve"> and </w:t>
      </w:r>
      <w:r w:rsidR="004A764A">
        <w:rPr>
          <w:color w:val="000000"/>
        </w:rPr>
        <w:t xml:space="preserve">performing </w:t>
      </w:r>
      <w:r w:rsidR="00D72785" w:rsidRPr="002D1C0D">
        <w:rPr>
          <w:color w:val="000000"/>
        </w:rPr>
        <w:t>meter re-installs.</w:t>
      </w:r>
    </w:p>
    <w:p w:rsidR="0081399C" w:rsidRDefault="0081399C" w:rsidP="00B26833">
      <w:pPr>
        <w:autoSpaceDE w:val="0"/>
        <w:autoSpaceDN w:val="0"/>
        <w:adjustRightInd w:val="0"/>
        <w:jc w:val="both"/>
        <w:rPr>
          <w:b/>
          <w:color w:val="000000"/>
        </w:rPr>
      </w:pPr>
    </w:p>
    <w:p w:rsidR="00D72785" w:rsidRPr="004A764A" w:rsidRDefault="002F1C0E" w:rsidP="00B26833">
      <w:pPr>
        <w:autoSpaceDE w:val="0"/>
        <w:autoSpaceDN w:val="0"/>
        <w:adjustRightInd w:val="0"/>
        <w:jc w:val="both"/>
        <w:rPr>
          <w:b/>
          <w:color w:val="000000"/>
        </w:rPr>
      </w:pPr>
      <w:r>
        <w:rPr>
          <w:b/>
          <w:color w:val="000000"/>
        </w:rPr>
        <w:t xml:space="preserve">C. </w:t>
      </w:r>
      <w:r w:rsidR="00D72785" w:rsidRPr="004A764A">
        <w:rPr>
          <w:b/>
          <w:color w:val="000000"/>
        </w:rPr>
        <w:t>Ele</w:t>
      </w:r>
      <w:r w:rsidR="004A764A">
        <w:rPr>
          <w:b/>
          <w:color w:val="000000"/>
        </w:rPr>
        <w:t>ctric Meter Labor – Contract Cost</w:t>
      </w:r>
    </w:p>
    <w:p w:rsidR="00D72785" w:rsidRPr="002D1C0D" w:rsidRDefault="0034574F" w:rsidP="00B26833">
      <w:pPr>
        <w:jc w:val="both"/>
        <w:rPr>
          <w:color w:val="000000"/>
        </w:rPr>
      </w:pPr>
      <w:r>
        <w:rPr>
          <w:color w:val="000000"/>
        </w:rPr>
        <w:t>Estimated</w:t>
      </w:r>
      <w:r w:rsidR="00D72785" w:rsidRPr="002D1C0D">
        <w:rPr>
          <w:color w:val="000000"/>
        </w:rPr>
        <w:t xml:space="preserve"> contract labor cost for installing residential electric meters.</w:t>
      </w:r>
    </w:p>
    <w:p w:rsidR="0081399C" w:rsidRDefault="0081399C" w:rsidP="00B26833">
      <w:pPr>
        <w:autoSpaceDE w:val="0"/>
        <w:autoSpaceDN w:val="0"/>
        <w:adjustRightInd w:val="0"/>
        <w:jc w:val="both"/>
        <w:rPr>
          <w:b/>
          <w:color w:val="000000"/>
        </w:rPr>
      </w:pPr>
    </w:p>
    <w:p w:rsidR="00D72785" w:rsidRPr="0034574F" w:rsidRDefault="002F1C0E" w:rsidP="00B26833">
      <w:pPr>
        <w:autoSpaceDE w:val="0"/>
        <w:autoSpaceDN w:val="0"/>
        <w:adjustRightInd w:val="0"/>
        <w:jc w:val="both"/>
        <w:rPr>
          <w:b/>
          <w:color w:val="000000"/>
        </w:rPr>
      </w:pPr>
      <w:r>
        <w:rPr>
          <w:b/>
          <w:color w:val="000000"/>
        </w:rPr>
        <w:lastRenderedPageBreak/>
        <w:t xml:space="preserve">D. </w:t>
      </w:r>
      <w:r w:rsidR="00A9342C">
        <w:rPr>
          <w:b/>
          <w:color w:val="000000"/>
        </w:rPr>
        <w:t xml:space="preserve">Natural </w:t>
      </w:r>
      <w:r w:rsidR="00D72785" w:rsidRPr="0034574F">
        <w:rPr>
          <w:b/>
          <w:color w:val="000000"/>
        </w:rPr>
        <w:t>Gas Modules</w:t>
      </w:r>
    </w:p>
    <w:p w:rsidR="00D72785" w:rsidRDefault="0034574F" w:rsidP="00B26833">
      <w:pPr>
        <w:jc w:val="both"/>
        <w:rPr>
          <w:color w:val="000000"/>
        </w:rPr>
      </w:pPr>
      <w:proofErr w:type="gramStart"/>
      <w:r>
        <w:rPr>
          <w:color w:val="000000"/>
        </w:rPr>
        <w:t>Expected</w:t>
      </w:r>
      <w:r w:rsidR="00D72785" w:rsidRPr="002D1C0D">
        <w:rPr>
          <w:color w:val="000000"/>
        </w:rPr>
        <w:t xml:space="preserve"> cost of </w:t>
      </w:r>
      <w:r>
        <w:rPr>
          <w:color w:val="000000"/>
        </w:rPr>
        <w:t xml:space="preserve">the </w:t>
      </w:r>
      <w:r w:rsidR="00D72785" w:rsidRPr="002D1C0D">
        <w:rPr>
          <w:color w:val="000000"/>
        </w:rPr>
        <w:t>register modules</w:t>
      </w:r>
      <w:r>
        <w:rPr>
          <w:color w:val="000000"/>
        </w:rPr>
        <w:t xml:space="preserve"> for installation on existing natural gas meters</w:t>
      </w:r>
      <w:r w:rsidR="00D72785" w:rsidRPr="002D1C0D">
        <w:rPr>
          <w:color w:val="000000"/>
        </w:rPr>
        <w:t xml:space="preserve">, based on </w:t>
      </w:r>
      <w:r w:rsidR="00B359E2">
        <w:rPr>
          <w:color w:val="000000"/>
        </w:rPr>
        <w:t xml:space="preserve">the </w:t>
      </w:r>
      <w:r w:rsidR="00D72785" w:rsidRPr="002D1C0D">
        <w:rPr>
          <w:color w:val="000000"/>
        </w:rPr>
        <w:t xml:space="preserve">quantity and cost of each </w:t>
      </w:r>
      <w:r>
        <w:rPr>
          <w:color w:val="000000"/>
        </w:rPr>
        <w:t xml:space="preserve">module </w:t>
      </w:r>
      <w:r w:rsidR="00D72785" w:rsidRPr="002D1C0D">
        <w:rPr>
          <w:color w:val="000000"/>
        </w:rPr>
        <w:t>type.</w:t>
      </w:r>
      <w:proofErr w:type="gramEnd"/>
    </w:p>
    <w:p w:rsidR="0034574F" w:rsidRPr="002D1C0D" w:rsidRDefault="0034574F" w:rsidP="00B26833">
      <w:pPr>
        <w:jc w:val="both"/>
        <w:rPr>
          <w:color w:val="000000"/>
        </w:rPr>
      </w:pPr>
    </w:p>
    <w:p w:rsidR="00D72785" w:rsidRPr="0034574F" w:rsidRDefault="002F1C0E" w:rsidP="00B26833">
      <w:pPr>
        <w:autoSpaceDE w:val="0"/>
        <w:autoSpaceDN w:val="0"/>
        <w:adjustRightInd w:val="0"/>
        <w:jc w:val="both"/>
        <w:rPr>
          <w:b/>
          <w:color w:val="000000"/>
        </w:rPr>
      </w:pPr>
      <w:r>
        <w:rPr>
          <w:b/>
          <w:color w:val="000000"/>
        </w:rPr>
        <w:t xml:space="preserve">E. </w:t>
      </w:r>
      <w:r w:rsidR="00D72785" w:rsidRPr="0034574F">
        <w:rPr>
          <w:b/>
          <w:color w:val="000000"/>
        </w:rPr>
        <w:t xml:space="preserve">Gas </w:t>
      </w:r>
      <w:r w:rsidR="0034574F">
        <w:rPr>
          <w:b/>
          <w:color w:val="000000"/>
        </w:rPr>
        <w:t>Module Labor – Contract Cost</w:t>
      </w:r>
    </w:p>
    <w:p w:rsidR="00D72785" w:rsidRPr="002D1C0D" w:rsidRDefault="0034574F" w:rsidP="00B26833">
      <w:pPr>
        <w:jc w:val="both"/>
        <w:rPr>
          <w:color w:val="000000"/>
        </w:rPr>
      </w:pPr>
      <w:r>
        <w:rPr>
          <w:color w:val="000000"/>
        </w:rPr>
        <w:t xml:space="preserve">Estimated cost for the </w:t>
      </w:r>
      <w:r w:rsidR="00D72785" w:rsidRPr="002D1C0D">
        <w:rPr>
          <w:color w:val="000000"/>
        </w:rPr>
        <w:t xml:space="preserve">contract labor </w:t>
      </w:r>
      <w:r>
        <w:rPr>
          <w:color w:val="000000"/>
        </w:rPr>
        <w:t>required to install the natural</w:t>
      </w:r>
      <w:r w:rsidR="00D72785" w:rsidRPr="002D1C0D">
        <w:rPr>
          <w:color w:val="000000"/>
        </w:rPr>
        <w:t xml:space="preserve"> gas </w:t>
      </w:r>
      <w:r>
        <w:rPr>
          <w:color w:val="000000"/>
        </w:rPr>
        <w:t xml:space="preserve">meter </w:t>
      </w:r>
      <w:r w:rsidR="00D72785" w:rsidRPr="002D1C0D">
        <w:rPr>
          <w:color w:val="000000"/>
        </w:rPr>
        <w:t>modules.</w:t>
      </w:r>
    </w:p>
    <w:p w:rsidR="00D72785" w:rsidRPr="002D1C0D" w:rsidRDefault="00D72785" w:rsidP="00B26833">
      <w:pPr>
        <w:jc w:val="both"/>
        <w:rPr>
          <w:color w:val="000000"/>
        </w:rPr>
      </w:pPr>
    </w:p>
    <w:p w:rsidR="00D72785" w:rsidRPr="00041482" w:rsidRDefault="002F1C0E" w:rsidP="00B26833">
      <w:pPr>
        <w:autoSpaceDE w:val="0"/>
        <w:autoSpaceDN w:val="0"/>
        <w:adjustRightInd w:val="0"/>
        <w:jc w:val="both"/>
        <w:rPr>
          <w:b/>
          <w:color w:val="000000"/>
        </w:rPr>
      </w:pPr>
      <w:r>
        <w:rPr>
          <w:b/>
          <w:color w:val="000000"/>
        </w:rPr>
        <w:t xml:space="preserve">F. </w:t>
      </w:r>
      <w:r w:rsidR="00D72785" w:rsidRPr="00041482">
        <w:rPr>
          <w:b/>
          <w:color w:val="000000"/>
        </w:rPr>
        <w:t>Head End Hardware</w:t>
      </w:r>
    </w:p>
    <w:p w:rsidR="00D72785" w:rsidRPr="002D1C0D" w:rsidRDefault="00D72785" w:rsidP="00B26833">
      <w:pPr>
        <w:jc w:val="both"/>
        <w:rPr>
          <w:color w:val="000000"/>
        </w:rPr>
      </w:pPr>
      <w:r w:rsidRPr="002D1C0D">
        <w:rPr>
          <w:color w:val="000000"/>
        </w:rPr>
        <w:t xml:space="preserve">Includes </w:t>
      </w:r>
      <w:r w:rsidR="00041482">
        <w:rPr>
          <w:color w:val="000000"/>
        </w:rPr>
        <w:t xml:space="preserve">the </w:t>
      </w:r>
      <w:proofErr w:type="gramStart"/>
      <w:r w:rsidR="00041482">
        <w:rPr>
          <w:color w:val="000000"/>
        </w:rPr>
        <w:t xml:space="preserve">meter data collection computer </w:t>
      </w:r>
      <w:r w:rsidRPr="002D1C0D">
        <w:rPr>
          <w:color w:val="000000"/>
        </w:rPr>
        <w:t>hardware</w:t>
      </w:r>
      <w:proofErr w:type="gramEnd"/>
      <w:r w:rsidRPr="002D1C0D">
        <w:rPr>
          <w:color w:val="000000"/>
        </w:rPr>
        <w:t xml:space="preserve">, meter security </w:t>
      </w:r>
      <w:r w:rsidR="00041482">
        <w:rPr>
          <w:color w:val="000000"/>
        </w:rPr>
        <w:t xml:space="preserve">computer </w:t>
      </w:r>
      <w:r w:rsidRPr="002D1C0D">
        <w:rPr>
          <w:color w:val="000000"/>
        </w:rPr>
        <w:t xml:space="preserve">hardware, </w:t>
      </w:r>
      <w:r w:rsidR="00041482">
        <w:rPr>
          <w:color w:val="000000"/>
        </w:rPr>
        <w:t>the m</w:t>
      </w:r>
      <w:r w:rsidRPr="002D1C0D">
        <w:rPr>
          <w:color w:val="000000"/>
        </w:rPr>
        <w:t xml:space="preserve">eter </w:t>
      </w:r>
      <w:r w:rsidR="00041482">
        <w:rPr>
          <w:color w:val="000000"/>
        </w:rPr>
        <w:t>data management system</w:t>
      </w:r>
      <w:r w:rsidRPr="002D1C0D">
        <w:rPr>
          <w:color w:val="000000"/>
        </w:rPr>
        <w:t xml:space="preserve"> hardware, </w:t>
      </w:r>
      <w:r w:rsidR="00041482">
        <w:rPr>
          <w:color w:val="000000"/>
        </w:rPr>
        <w:t>and information technology</w:t>
      </w:r>
      <w:r w:rsidRPr="002D1C0D">
        <w:rPr>
          <w:color w:val="000000"/>
        </w:rPr>
        <w:t xml:space="preserve"> back office eq</w:t>
      </w:r>
      <w:r w:rsidR="00041482">
        <w:rPr>
          <w:color w:val="000000"/>
        </w:rPr>
        <w:t xml:space="preserve">uipment, data storage and </w:t>
      </w:r>
      <w:r w:rsidRPr="002D1C0D">
        <w:rPr>
          <w:color w:val="000000"/>
        </w:rPr>
        <w:t>central systems design.</w:t>
      </w:r>
    </w:p>
    <w:p w:rsidR="00D72785" w:rsidRPr="002D1C0D" w:rsidRDefault="00D72785" w:rsidP="00B26833">
      <w:pPr>
        <w:jc w:val="both"/>
        <w:rPr>
          <w:color w:val="000000"/>
        </w:rPr>
      </w:pPr>
    </w:p>
    <w:p w:rsidR="00D72785" w:rsidRPr="00B55EE7" w:rsidRDefault="002F1C0E" w:rsidP="00B26833">
      <w:pPr>
        <w:autoSpaceDE w:val="0"/>
        <w:autoSpaceDN w:val="0"/>
        <w:adjustRightInd w:val="0"/>
        <w:jc w:val="both"/>
        <w:rPr>
          <w:b/>
          <w:color w:val="000000"/>
        </w:rPr>
      </w:pPr>
      <w:r>
        <w:rPr>
          <w:b/>
          <w:color w:val="000000"/>
        </w:rPr>
        <w:t xml:space="preserve">G. </w:t>
      </w:r>
      <w:r w:rsidR="00D72785" w:rsidRPr="00B55EE7">
        <w:rPr>
          <w:b/>
          <w:color w:val="000000"/>
        </w:rPr>
        <w:t>Head End Software</w:t>
      </w:r>
    </w:p>
    <w:p w:rsidR="00D72785" w:rsidRPr="002D1C0D" w:rsidRDefault="00B55EE7" w:rsidP="00B26833">
      <w:pPr>
        <w:jc w:val="both"/>
        <w:rPr>
          <w:color w:val="000000"/>
        </w:rPr>
      </w:pPr>
      <w:r>
        <w:rPr>
          <w:color w:val="000000"/>
        </w:rPr>
        <w:t xml:space="preserve">Estimated cost of the </w:t>
      </w:r>
      <w:r w:rsidR="002F0991">
        <w:rPr>
          <w:color w:val="000000"/>
        </w:rPr>
        <w:t xml:space="preserve">software </w:t>
      </w:r>
      <w:r>
        <w:rPr>
          <w:color w:val="000000"/>
        </w:rPr>
        <w:t>license</w:t>
      </w:r>
      <w:r w:rsidR="002F0991">
        <w:rPr>
          <w:color w:val="000000"/>
        </w:rPr>
        <w:t>s</w:t>
      </w:r>
      <w:r>
        <w:rPr>
          <w:color w:val="000000"/>
        </w:rPr>
        <w:t xml:space="preserve"> for the </w:t>
      </w:r>
      <w:proofErr w:type="gramStart"/>
      <w:r>
        <w:rPr>
          <w:color w:val="000000"/>
        </w:rPr>
        <w:t>meter data collection</w:t>
      </w:r>
      <w:r w:rsidR="00D72785" w:rsidRPr="002D1C0D">
        <w:rPr>
          <w:color w:val="000000"/>
        </w:rPr>
        <w:t xml:space="preserve"> software</w:t>
      </w:r>
      <w:proofErr w:type="gramEnd"/>
      <w:r w:rsidR="00D72785" w:rsidRPr="002D1C0D">
        <w:rPr>
          <w:color w:val="000000"/>
        </w:rPr>
        <w:t xml:space="preserve">, </w:t>
      </w:r>
      <w:r>
        <w:rPr>
          <w:color w:val="000000"/>
        </w:rPr>
        <w:t xml:space="preserve">the </w:t>
      </w:r>
      <w:r w:rsidR="00D72785" w:rsidRPr="002D1C0D">
        <w:rPr>
          <w:color w:val="000000"/>
        </w:rPr>
        <w:t>data mapping tool</w:t>
      </w:r>
      <w:r>
        <w:rPr>
          <w:color w:val="000000"/>
        </w:rPr>
        <w:t>,</w:t>
      </w:r>
      <w:r w:rsidR="00D72785" w:rsidRPr="002D1C0D">
        <w:rPr>
          <w:color w:val="000000"/>
        </w:rPr>
        <w:t xml:space="preserve"> and </w:t>
      </w:r>
      <w:r>
        <w:rPr>
          <w:color w:val="000000"/>
        </w:rPr>
        <w:t>the meter data management</w:t>
      </w:r>
      <w:r w:rsidR="002F0991">
        <w:rPr>
          <w:color w:val="000000"/>
        </w:rPr>
        <w:t xml:space="preserve"> application</w:t>
      </w:r>
      <w:r>
        <w:rPr>
          <w:color w:val="000000"/>
        </w:rPr>
        <w:t>.</w:t>
      </w:r>
    </w:p>
    <w:p w:rsidR="00D72785" w:rsidRPr="002D1C0D" w:rsidRDefault="00D72785" w:rsidP="00B26833">
      <w:pPr>
        <w:jc w:val="both"/>
        <w:rPr>
          <w:color w:val="000000"/>
        </w:rPr>
      </w:pPr>
    </w:p>
    <w:p w:rsidR="00D72785" w:rsidRPr="00B55EE7" w:rsidRDefault="002F1C0E" w:rsidP="00B26833">
      <w:pPr>
        <w:autoSpaceDE w:val="0"/>
        <w:autoSpaceDN w:val="0"/>
        <w:adjustRightInd w:val="0"/>
        <w:jc w:val="both"/>
        <w:rPr>
          <w:b/>
          <w:color w:val="000000"/>
        </w:rPr>
      </w:pPr>
      <w:r>
        <w:rPr>
          <w:b/>
          <w:color w:val="000000"/>
        </w:rPr>
        <w:t xml:space="preserve">H. </w:t>
      </w:r>
      <w:r w:rsidR="00B55EE7">
        <w:rPr>
          <w:b/>
          <w:color w:val="000000"/>
        </w:rPr>
        <w:t xml:space="preserve">Head End </w:t>
      </w:r>
      <w:r w:rsidR="004A04F0">
        <w:rPr>
          <w:b/>
          <w:color w:val="000000"/>
        </w:rPr>
        <w:t xml:space="preserve">Labor </w:t>
      </w:r>
      <w:r w:rsidR="00B55EE7">
        <w:rPr>
          <w:b/>
          <w:color w:val="000000"/>
        </w:rPr>
        <w:t xml:space="preserve">– Contract and Internal </w:t>
      </w:r>
      <w:r w:rsidR="00715808">
        <w:rPr>
          <w:b/>
          <w:color w:val="000000"/>
        </w:rPr>
        <w:t>Cost</w:t>
      </w:r>
    </w:p>
    <w:p w:rsidR="00D72785" w:rsidRPr="002D1C0D" w:rsidRDefault="002F0991" w:rsidP="00B26833">
      <w:pPr>
        <w:jc w:val="both"/>
        <w:rPr>
          <w:color w:val="000000"/>
        </w:rPr>
      </w:pPr>
      <w:r>
        <w:rPr>
          <w:color w:val="000000"/>
        </w:rPr>
        <w:t>Internal labor and</w:t>
      </w:r>
      <w:r w:rsidR="00D72785" w:rsidRPr="002D1C0D">
        <w:rPr>
          <w:color w:val="000000"/>
        </w:rPr>
        <w:t xml:space="preserve"> </w:t>
      </w:r>
      <w:r w:rsidR="00715808">
        <w:rPr>
          <w:color w:val="000000"/>
        </w:rPr>
        <w:t xml:space="preserve">vendor services for </w:t>
      </w:r>
      <w:r>
        <w:rPr>
          <w:color w:val="000000"/>
        </w:rPr>
        <w:t xml:space="preserve">the </w:t>
      </w:r>
      <w:r w:rsidR="00715808">
        <w:rPr>
          <w:color w:val="000000"/>
        </w:rPr>
        <w:t xml:space="preserve">installation of </w:t>
      </w:r>
      <w:r w:rsidR="00D72785" w:rsidRPr="002D1C0D">
        <w:rPr>
          <w:color w:val="000000"/>
        </w:rPr>
        <w:t xml:space="preserve">metering software, </w:t>
      </w:r>
      <w:r w:rsidR="00715808">
        <w:rPr>
          <w:color w:val="000000"/>
        </w:rPr>
        <w:t>information technology</w:t>
      </w:r>
      <w:r w:rsidR="00D72785" w:rsidRPr="002D1C0D">
        <w:rPr>
          <w:color w:val="000000"/>
        </w:rPr>
        <w:t xml:space="preserve"> system</w:t>
      </w:r>
      <w:r w:rsidR="00715808">
        <w:rPr>
          <w:color w:val="000000"/>
        </w:rPr>
        <w:t>s</w:t>
      </w:r>
      <w:r w:rsidR="00D72785" w:rsidRPr="002D1C0D">
        <w:rPr>
          <w:color w:val="000000"/>
        </w:rPr>
        <w:t xml:space="preserve"> design, </w:t>
      </w:r>
      <w:r w:rsidR="00715808">
        <w:rPr>
          <w:color w:val="000000"/>
        </w:rPr>
        <w:t xml:space="preserve">customer </w:t>
      </w:r>
      <w:r w:rsidR="00D72785" w:rsidRPr="002D1C0D">
        <w:rPr>
          <w:color w:val="000000"/>
        </w:rPr>
        <w:t xml:space="preserve">web integration, security </w:t>
      </w:r>
      <w:r w:rsidR="00715808">
        <w:rPr>
          <w:color w:val="000000"/>
        </w:rPr>
        <w:t xml:space="preserve">systems </w:t>
      </w:r>
      <w:r w:rsidR="00D72785" w:rsidRPr="002D1C0D">
        <w:rPr>
          <w:color w:val="000000"/>
        </w:rPr>
        <w:t>design, integration</w:t>
      </w:r>
      <w:r w:rsidR="00715808">
        <w:rPr>
          <w:color w:val="000000"/>
        </w:rPr>
        <w:t xml:space="preserve"> of enterprise business applications</w:t>
      </w:r>
      <w:r w:rsidR="00D72785" w:rsidRPr="002D1C0D">
        <w:rPr>
          <w:color w:val="000000"/>
        </w:rPr>
        <w:t xml:space="preserve">, database </w:t>
      </w:r>
      <w:r w:rsidR="00715808">
        <w:rPr>
          <w:color w:val="000000"/>
        </w:rPr>
        <w:t>development, project m</w:t>
      </w:r>
      <w:r w:rsidR="00D72785" w:rsidRPr="002D1C0D">
        <w:rPr>
          <w:color w:val="000000"/>
        </w:rPr>
        <w:t xml:space="preserve">anagement, </w:t>
      </w:r>
      <w:r w:rsidR="005852C2">
        <w:rPr>
          <w:color w:val="000000"/>
        </w:rPr>
        <w:t xml:space="preserve">and </w:t>
      </w:r>
      <w:r w:rsidR="00D72785" w:rsidRPr="002D1C0D">
        <w:rPr>
          <w:color w:val="000000"/>
        </w:rPr>
        <w:t>software pa</w:t>
      </w:r>
      <w:r w:rsidR="00715808">
        <w:rPr>
          <w:color w:val="000000"/>
        </w:rPr>
        <w:t>ckaging/testing.</w:t>
      </w:r>
    </w:p>
    <w:p w:rsidR="00D72785" w:rsidRPr="002D1C0D" w:rsidRDefault="00D72785" w:rsidP="00B26833">
      <w:pPr>
        <w:jc w:val="both"/>
        <w:rPr>
          <w:color w:val="000000"/>
        </w:rPr>
      </w:pPr>
    </w:p>
    <w:p w:rsidR="00D72785" w:rsidRPr="00190BF6" w:rsidRDefault="002F1C0E" w:rsidP="00B26833">
      <w:pPr>
        <w:autoSpaceDE w:val="0"/>
        <w:autoSpaceDN w:val="0"/>
        <w:adjustRightInd w:val="0"/>
        <w:jc w:val="both"/>
        <w:rPr>
          <w:b/>
          <w:color w:val="000000"/>
        </w:rPr>
      </w:pPr>
      <w:r>
        <w:rPr>
          <w:b/>
          <w:color w:val="000000"/>
        </w:rPr>
        <w:t xml:space="preserve">I. </w:t>
      </w:r>
      <w:r w:rsidR="00D72785" w:rsidRPr="00190BF6">
        <w:rPr>
          <w:b/>
          <w:color w:val="000000"/>
        </w:rPr>
        <w:t>Network Communications – Hardware</w:t>
      </w:r>
    </w:p>
    <w:p w:rsidR="00D72785" w:rsidRPr="002D1C0D" w:rsidRDefault="00D72785" w:rsidP="00B26833">
      <w:pPr>
        <w:jc w:val="both"/>
        <w:rPr>
          <w:color w:val="000000"/>
        </w:rPr>
      </w:pPr>
      <w:r w:rsidRPr="002D1C0D">
        <w:rPr>
          <w:color w:val="000000"/>
        </w:rPr>
        <w:t xml:space="preserve">Includes </w:t>
      </w:r>
      <w:r w:rsidR="00190BF6">
        <w:rPr>
          <w:color w:val="000000"/>
        </w:rPr>
        <w:t>meter data collectors for the field area network</w:t>
      </w:r>
      <w:r w:rsidRPr="002D1C0D">
        <w:rPr>
          <w:color w:val="000000"/>
        </w:rPr>
        <w:t xml:space="preserve">, </w:t>
      </w:r>
      <w:r w:rsidR="00190BF6">
        <w:rPr>
          <w:color w:val="000000"/>
        </w:rPr>
        <w:t xml:space="preserve">network </w:t>
      </w:r>
      <w:r w:rsidRPr="002D1C0D">
        <w:rPr>
          <w:color w:val="000000"/>
        </w:rPr>
        <w:t xml:space="preserve">range extenders, </w:t>
      </w:r>
      <w:r w:rsidR="00190BF6">
        <w:rPr>
          <w:color w:val="000000"/>
        </w:rPr>
        <w:t>communications repeaters, direct-</w:t>
      </w:r>
      <w:r w:rsidRPr="002D1C0D">
        <w:rPr>
          <w:color w:val="000000"/>
        </w:rPr>
        <w:t>connect cellular mod</w:t>
      </w:r>
      <w:r w:rsidR="00190BF6">
        <w:rPr>
          <w:color w:val="000000"/>
        </w:rPr>
        <w:t>ules, and wireless mitigation. The w</w:t>
      </w:r>
      <w:r w:rsidRPr="002D1C0D">
        <w:rPr>
          <w:color w:val="000000"/>
        </w:rPr>
        <w:t xml:space="preserve">ireless mitigation </w:t>
      </w:r>
      <w:r w:rsidR="00190BF6">
        <w:rPr>
          <w:color w:val="000000"/>
        </w:rPr>
        <w:t xml:space="preserve">work </w:t>
      </w:r>
      <w:r w:rsidRPr="002D1C0D">
        <w:rPr>
          <w:color w:val="000000"/>
        </w:rPr>
        <w:t xml:space="preserve">includes </w:t>
      </w:r>
      <w:r w:rsidR="00190BF6">
        <w:rPr>
          <w:color w:val="000000"/>
        </w:rPr>
        <w:t>structure placement to support the net</w:t>
      </w:r>
      <w:r w:rsidRPr="002D1C0D">
        <w:rPr>
          <w:color w:val="000000"/>
        </w:rPr>
        <w:t xml:space="preserve">work </w:t>
      </w:r>
      <w:r w:rsidR="00190BF6">
        <w:rPr>
          <w:color w:val="000000"/>
        </w:rPr>
        <w:t xml:space="preserve">repeaters, </w:t>
      </w:r>
      <w:proofErr w:type="gramStart"/>
      <w:r w:rsidRPr="002D1C0D">
        <w:rPr>
          <w:color w:val="000000"/>
        </w:rPr>
        <w:t>power line</w:t>
      </w:r>
      <w:r w:rsidR="00190BF6">
        <w:rPr>
          <w:color w:val="000000"/>
        </w:rPr>
        <w:t xml:space="preserve"> carrier substation equipment</w:t>
      </w:r>
      <w:proofErr w:type="gramEnd"/>
      <w:r w:rsidR="00190BF6">
        <w:rPr>
          <w:color w:val="000000"/>
        </w:rPr>
        <w:t>, the mobile collector system, s</w:t>
      </w:r>
      <w:r w:rsidRPr="002D1C0D">
        <w:rPr>
          <w:color w:val="000000"/>
        </w:rPr>
        <w:t xml:space="preserve">atellite system, and </w:t>
      </w:r>
      <w:r w:rsidR="00190BF6">
        <w:rPr>
          <w:color w:val="000000"/>
        </w:rPr>
        <w:t xml:space="preserve">the </w:t>
      </w:r>
      <w:r w:rsidRPr="002D1C0D">
        <w:rPr>
          <w:color w:val="000000"/>
        </w:rPr>
        <w:t>netwo</w:t>
      </w:r>
      <w:r w:rsidR="007A2622">
        <w:rPr>
          <w:color w:val="000000"/>
        </w:rPr>
        <w:t>rk management system hardware. T</w:t>
      </w:r>
      <w:r w:rsidR="001D5566">
        <w:rPr>
          <w:color w:val="000000"/>
        </w:rPr>
        <w:t>he</w:t>
      </w:r>
      <w:r w:rsidRPr="002D1C0D">
        <w:rPr>
          <w:color w:val="000000"/>
        </w:rPr>
        <w:t xml:space="preserve"> actual cost of </w:t>
      </w:r>
      <w:r w:rsidR="001D5566">
        <w:rPr>
          <w:color w:val="000000"/>
        </w:rPr>
        <w:t>these systems</w:t>
      </w:r>
      <w:r w:rsidRPr="002D1C0D">
        <w:rPr>
          <w:color w:val="000000"/>
        </w:rPr>
        <w:t xml:space="preserve"> </w:t>
      </w:r>
      <w:r w:rsidR="001D5566">
        <w:rPr>
          <w:color w:val="000000"/>
        </w:rPr>
        <w:t>can vary substantially based</w:t>
      </w:r>
      <w:r w:rsidRPr="002D1C0D">
        <w:rPr>
          <w:color w:val="000000"/>
        </w:rPr>
        <w:t xml:space="preserve"> </w:t>
      </w:r>
      <w:r w:rsidR="001D5566">
        <w:rPr>
          <w:color w:val="000000"/>
        </w:rPr>
        <w:t>on</w:t>
      </w:r>
      <w:r w:rsidRPr="002D1C0D">
        <w:rPr>
          <w:color w:val="000000"/>
        </w:rPr>
        <w:t xml:space="preserve"> the </w:t>
      </w:r>
      <w:r w:rsidR="001D5566">
        <w:rPr>
          <w:color w:val="000000"/>
        </w:rPr>
        <w:t xml:space="preserve">ultimate </w:t>
      </w:r>
      <w:r w:rsidRPr="002D1C0D">
        <w:rPr>
          <w:color w:val="000000"/>
        </w:rPr>
        <w:t>technol</w:t>
      </w:r>
      <w:r w:rsidR="001D5566">
        <w:rPr>
          <w:color w:val="000000"/>
        </w:rPr>
        <w:t>ogy selected</w:t>
      </w:r>
      <w:r w:rsidRPr="002D1C0D">
        <w:rPr>
          <w:color w:val="000000"/>
        </w:rPr>
        <w:t xml:space="preserve">. </w:t>
      </w:r>
    </w:p>
    <w:p w:rsidR="00D72785" w:rsidRPr="002D1C0D" w:rsidRDefault="00D72785" w:rsidP="00B26833">
      <w:pPr>
        <w:jc w:val="both"/>
        <w:rPr>
          <w:color w:val="000000"/>
        </w:rPr>
      </w:pPr>
    </w:p>
    <w:p w:rsidR="00D72785" w:rsidRPr="001D5566" w:rsidRDefault="002F1C0E" w:rsidP="00B26833">
      <w:pPr>
        <w:autoSpaceDE w:val="0"/>
        <w:autoSpaceDN w:val="0"/>
        <w:adjustRightInd w:val="0"/>
        <w:jc w:val="both"/>
        <w:rPr>
          <w:b/>
          <w:color w:val="000000"/>
        </w:rPr>
      </w:pPr>
      <w:r>
        <w:rPr>
          <w:b/>
          <w:color w:val="000000"/>
        </w:rPr>
        <w:t xml:space="preserve">J. </w:t>
      </w:r>
      <w:r w:rsidR="00D72785" w:rsidRPr="001D5566">
        <w:rPr>
          <w:b/>
          <w:color w:val="000000"/>
        </w:rPr>
        <w:t>Network Communications – Software</w:t>
      </w:r>
    </w:p>
    <w:p w:rsidR="00D72785" w:rsidRPr="002D1C0D" w:rsidRDefault="00A9342C" w:rsidP="00B26833">
      <w:pPr>
        <w:jc w:val="both"/>
        <w:rPr>
          <w:color w:val="000000"/>
        </w:rPr>
      </w:pPr>
      <w:r>
        <w:rPr>
          <w:color w:val="000000"/>
        </w:rPr>
        <w:t>Estimate of the</w:t>
      </w:r>
      <w:r w:rsidR="00D72785" w:rsidRPr="002D1C0D">
        <w:rPr>
          <w:color w:val="000000"/>
        </w:rPr>
        <w:t xml:space="preserve"> software </w:t>
      </w:r>
      <w:r>
        <w:rPr>
          <w:color w:val="000000"/>
        </w:rPr>
        <w:t xml:space="preserve">license cost </w:t>
      </w:r>
      <w:r w:rsidR="00D72785" w:rsidRPr="002D1C0D">
        <w:rPr>
          <w:color w:val="000000"/>
        </w:rPr>
        <w:t xml:space="preserve">for the network management system </w:t>
      </w:r>
      <w:r w:rsidR="001D5566">
        <w:rPr>
          <w:color w:val="000000"/>
        </w:rPr>
        <w:t>for the field area network</w:t>
      </w:r>
      <w:r w:rsidR="00D72785" w:rsidRPr="002D1C0D">
        <w:rPr>
          <w:color w:val="000000"/>
        </w:rPr>
        <w:t xml:space="preserve">. </w:t>
      </w:r>
    </w:p>
    <w:p w:rsidR="00D72785" w:rsidRPr="002D1C0D" w:rsidRDefault="00D72785" w:rsidP="00B26833">
      <w:pPr>
        <w:jc w:val="both"/>
        <w:rPr>
          <w:color w:val="000000"/>
        </w:rPr>
      </w:pPr>
    </w:p>
    <w:p w:rsidR="00D72785" w:rsidRPr="001D5566" w:rsidRDefault="002F1C0E" w:rsidP="00B26833">
      <w:pPr>
        <w:autoSpaceDE w:val="0"/>
        <w:autoSpaceDN w:val="0"/>
        <w:adjustRightInd w:val="0"/>
        <w:jc w:val="both"/>
        <w:rPr>
          <w:b/>
          <w:color w:val="000000"/>
        </w:rPr>
      </w:pPr>
      <w:r>
        <w:rPr>
          <w:b/>
          <w:color w:val="000000"/>
        </w:rPr>
        <w:t xml:space="preserve">K. </w:t>
      </w:r>
      <w:r w:rsidR="00D72785" w:rsidRPr="001D5566">
        <w:rPr>
          <w:b/>
          <w:color w:val="000000"/>
        </w:rPr>
        <w:t xml:space="preserve">Network Communications </w:t>
      </w:r>
      <w:r>
        <w:rPr>
          <w:b/>
          <w:color w:val="000000"/>
        </w:rPr>
        <w:t>–</w:t>
      </w:r>
      <w:r w:rsidR="00D72785" w:rsidRPr="001D5566">
        <w:rPr>
          <w:b/>
          <w:color w:val="000000"/>
        </w:rPr>
        <w:t xml:space="preserve"> Labor</w:t>
      </w:r>
    </w:p>
    <w:p w:rsidR="00D72785" w:rsidRDefault="00D72785" w:rsidP="00B26833">
      <w:pPr>
        <w:jc w:val="both"/>
        <w:rPr>
          <w:color w:val="000000"/>
        </w:rPr>
      </w:pPr>
      <w:proofErr w:type="gramStart"/>
      <w:r w:rsidRPr="002D1C0D">
        <w:rPr>
          <w:color w:val="000000"/>
        </w:rPr>
        <w:t xml:space="preserve">Includes </w:t>
      </w:r>
      <w:r w:rsidR="001D5566">
        <w:rPr>
          <w:color w:val="000000"/>
        </w:rPr>
        <w:t xml:space="preserve">the cost of installation of </w:t>
      </w:r>
      <w:r w:rsidR="002F0991">
        <w:rPr>
          <w:color w:val="000000"/>
        </w:rPr>
        <w:t xml:space="preserve">the </w:t>
      </w:r>
      <w:r w:rsidRPr="002D1C0D">
        <w:rPr>
          <w:color w:val="000000"/>
        </w:rPr>
        <w:t xml:space="preserve">meter data collector </w:t>
      </w:r>
      <w:r w:rsidR="001D5566">
        <w:rPr>
          <w:color w:val="000000"/>
        </w:rPr>
        <w:t>for the field area network and</w:t>
      </w:r>
      <w:r w:rsidRPr="002D1C0D">
        <w:rPr>
          <w:color w:val="000000"/>
        </w:rPr>
        <w:t xml:space="preserve"> the labor portion of </w:t>
      </w:r>
      <w:r w:rsidR="001D5566">
        <w:rPr>
          <w:color w:val="000000"/>
        </w:rPr>
        <w:t xml:space="preserve">the </w:t>
      </w:r>
      <w:r w:rsidRPr="002D1C0D">
        <w:rPr>
          <w:color w:val="000000"/>
        </w:rPr>
        <w:t>wireless mitigation</w:t>
      </w:r>
      <w:r w:rsidR="001D5566">
        <w:rPr>
          <w:color w:val="000000"/>
        </w:rPr>
        <w:t xml:space="preserve"> work</w:t>
      </w:r>
      <w:r w:rsidRPr="002D1C0D">
        <w:rPr>
          <w:color w:val="000000"/>
        </w:rPr>
        <w:t>.</w:t>
      </w:r>
      <w:proofErr w:type="gramEnd"/>
    </w:p>
    <w:p w:rsidR="00133949" w:rsidRDefault="00133949" w:rsidP="00B26833">
      <w:pPr>
        <w:autoSpaceDE w:val="0"/>
        <w:autoSpaceDN w:val="0"/>
        <w:adjustRightInd w:val="0"/>
        <w:jc w:val="both"/>
        <w:rPr>
          <w:b/>
          <w:color w:val="000000"/>
        </w:rPr>
      </w:pPr>
    </w:p>
    <w:p w:rsidR="00D72785" w:rsidRPr="001D5566" w:rsidRDefault="002F1C0E" w:rsidP="00B26833">
      <w:pPr>
        <w:autoSpaceDE w:val="0"/>
        <w:autoSpaceDN w:val="0"/>
        <w:adjustRightInd w:val="0"/>
        <w:jc w:val="both"/>
        <w:rPr>
          <w:b/>
          <w:color w:val="000000"/>
        </w:rPr>
      </w:pPr>
      <w:r>
        <w:rPr>
          <w:b/>
          <w:color w:val="000000"/>
        </w:rPr>
        <w:t xml:space="preserve">L. </w:t>
      </w:r>
      <w:r w:rsidR="00D72785" w:rsidRPr="001D5566">
        <w:rPr>
          <w:b/>
          <w:color w:val="000000"/>
        </w:rPr>
        <w:t>Corporate Communications</w:t>
      </w:r>
    </w:p>
    <w:p w:rsidR="00D72785" w:rsidRPr="002D1C0D" w:rsidRDefault="00A9342C" w:rsidP="00B26833">
      <w:pPr>
        <w:jc w:val="both"/>
        <w:rPr>
          <w:color w:val="000000"/>
        </w:rPr>
      </w:pPr>
      <w:r>
        <w:rPr>
          <w:color w:val="000000"/>
        </w:rPr>
        <w:t>Estimate of</w:t>
      </w:r>
      <w:r w:rsidR="00D72785" w:rsidRPr="002D1C0D">
        <w:rPr>
          <w:color w:val="000000"/>
        </w:rPr>
        <w:t xml:space="preserve"> </w:t>
      </w:r>
      <w:r w:rsidR="001D5566">
        <w:rPr>
          <w:color w:val="000000"/>
        </w:rPr>
        <w:t xml:space="preserve">the </w:t>
      </w:r>
      <w:r w:rsidR="00D72785" w:rsidRPr="002D1C0D">
        <w:rPr>
          <w:color w:val="000000"/>
        </w:rPr>
        <w:t xml:space="preserve">cost to </w:t>
      </w:r>
      <w:r w:rsidR="001D5566">
        <w:rPr>
          <w:color w:val="000000"/>
        </w:rPr>
        <w:t xml:space="preserve">develop </w:t>
      </w:r>
      <w:r w:rsidR="002F0991">
        <w:rPr>
          <w:color w:val="000000"/>
        </w:rPr>
        <w:t xml:space="preserve">and distribute a range of </w:t>
      </w:r>
      <w:r w:rsidR="001D5566">
        <w:rPr>
          <w:color w:val="000000"/>
        </w:rPr>
        <w:t>communication materials for</w:t>
      </w:r>
      <w:r w:rsidR="00D72785" w:rsidRPr="002D1C0D">
        <w:rPr>
          <w:color w:val="000000"/>
        </w:rPr>
        <w:t xml:space="preserve"> at least </w:t>
      </w:r>
      <w:r w:rsidR="001D5566">
        <w:rPr>
          <w:color w:val="000000"/>
        </w:rPr>
        <w:t>three</w:t>
      </w:r>
      <w:r w:rsidR="00D72785" w:rsidRPr="002D1C0D">
        <w:rPr>
          <w:color w:val="000000"/>
        </w:rPr>
        <w:t xml:space="preserve"> educational packages </w:t>
      </w:r>
      <w:r w:rsidR="001D5566">
        <w:rPr>
          <w:color w:val="000000"/>
        </w:rPr>
        <w:t xml:space="preserve">that </w:t>
      </w:r>
      <w:proofErr w:type="gramStart"/>
      <w:r w:rsidR="001D5566">
        <w:rPr>
          <w:color w:val="000000"/>
        </w:rPr>
        <w:t>will be provided</w:t>
      </w:r>
      <w:proofErr w:type="gramEnd"/>
      <w:r w:rsidR="001D5566">
        <w:rPr>
          <w:color w:val="000000"/>
        </w:rPr>
        <w:t xml:space="preserve"> </w:t>
      </w:r>
      <w:r w:rsidR="00D72785" w:rsidRPr="002D1C0D">
        <w:rPr>
          <w:color w:val="000000"/>
        </w:rPr>
        <w:t xml:space="preserve">to customers </w:t>
      </w:r>
      <w:r w:rsidR="001D5566">
        <w:rPr>
          <w:color w:val="000000"/>
        </w:rPr>
        <w:t>during the course of the project.</w:t>
      </w:r>
    </w:p>
    <w:p w:rsidR="00D203A3" w:rsidRDefault="00D203A3" w:rsidP="00B26833">
      <w:pPr>
        <w:jc w:val="both"/>
        <w:rPr>
          <w:rFonts w:ascii="Calibri" w:hAnsi="Calibri" w:cs="Calibri"/>
          <w:color w:val="000000"/>
          <w:sz w:val="20"/>
          <w:szCs w:val="20"/>
        </w:rPr>
      </w:pPr>
    </w:p>
    <w:p w:rsidR="00D203A3" w:rsidRDefault="00D203A3"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p w:rsidR="0081399C" w:rsidRDefault="0081399C" w:rsidP="00B26833">
      <w:pPr>
        <w:jc w:val="both"/>
        <w:rPr>
          <w:rFonts w:ascii="Calibri" w:hAnsi="Calibri" w:cs="Calibri"/>
          <w:color w:val="000000"/>
          <w:sz w:val="20"/>
          <w:szCs w:val="20"/>
        </w:rPr>
      </w:pPr>
    </w:p>
    <w:tbl>
      <w:tblPr>
        <w:tblW w:w="5000" w:type="pct"/>
        <w:tblLayout w:type="fixed"/>
        <w:tblLook w:val="04A0"/>
      </w:tblPr>
      <w:tblGrid>
        <w:gridCol w:w="3077"/>
        <w:gridCol w:w="236"/>
        <w:gridCol w:w="14"/>
        <w:gridCol w:w="231"/>
        <w:gridCol w:w="6"/>
        <w:gridCol w:w="454"/>
        <w:gridCol w:w="6"/>
        <w:gridCol w:w="1567"/>
        <w:gridCol w:w="6"/>
        <w:gridCol w:w="708"/>
        <w:gridCol w:w="9"/>
        <w:gridCol w:w="228"/>
        <w:gridCol w:w="315"/>
        <w:gridCol w:w="1233"/>
        <w:gridCol w:w="16"/>
        <w:gridCol w:w="222"/>
        <w:gridCol w:w="14"/>
        <w:gridCol w:w="514"/>
      </w:tblGrid>
      <w:tr w:rsidR="00D4758F" w:rsidRPr="002F1C0E" w:rsidTr="00D547DE">
        <w:trPr>
          <w:trHeight w:val="378"/>
        </w:trPr>
        <w:tc>
          <w:tcPr>
            <w:tcW w:w="4702" w:type="pct"/>
            <w:gridSpan w:val="16"/>
            <w:tcBorders>
              <w:top w:val="nil"/>
              <w:left w:val="nil"/>
              <w:bottom w:val="nil"/>
              <w:right w:val="nil"/>
            </w:tcBorders>
            <w:shd w:val="clear" w:color="auto" w:fill="auto"/>
            <w:noWrap/>
            <w:vAlign w:val="bottom"/>
            <w:hideMark/>
          </w:tcPr>
          <w:p w:rsidR="00D4758F" w:rsidRPr="002F1C0E" w:rsidRDefault="002F1C0E" w:rsidP="00B26833">
            <w:pPr>
              <w:jc w:val="both"/>
              <w:rPr>
                <w:b/>
                <w:bCs/>
                <w:color w:val="000000"/>
                <w:szCs w:val="22"/>
              </w:rPr>
            </w:pPr>
            <w:r w:rsidRPr="002F1C0E">
              <w:rPr>
                <w:b/>
                <w:bCs/>
                <w:color w:val="000000"/>
                <w:szCs w:val="22"/>
              </w:rPr>
              <w:lastRenderedPageBreak/>
              <w:t xml:space="preserve">M. </w:t>
            </w:r>
            <w:r w:rsidR="00B359E2">
              <w:rPr>
                <w:b/>
                <w:bCs/>
                <w:color w:val="000000"/>
                <w:szCs w:val="22"/>
              </w:rPr>
              <w:t xml:space="preserve"> </w:t>
            </w:r>
            <w:r w:rsidR="00D4758F" w:rsidRPr="002F1C0E">
              <w:rPr>
                <w:b/>
                <w:bCs/>
                <w:color w:val="000000"/>
                <w:szCs w:val="22"/>
              </w:rPr>
              <w:t>Washington Advanced Metering - Project Cost Summary</w:t>
            </w:r>
          </w:p>
        </w:tc>
        <w:tc>
          <w:tcPr>
            <w:tcW w:w="298" w:type="pct"/>
            <w:gridSpan w:val="2"/>
            <w:tcBorders>
              <w:top w:val="nil"/>
              <w:left w:val="nil"/>
              <w:bottom w:val="nil"/>
              <w:right w:val="nil"/>
            </w:tcBorders>
            <w:shd w:val="clear" w:color="auto" w:fill="auto"/>
            <w:noWrap/>
            <w:vAlign w:val="bottom"/>
            <w:hideMark/>
          </w:tcPr>
          <w:p w:rsidR="00D4758F" w:rsidRPr="002F1C0E" w:rsidRDefault="00D4758F" w:rsidP="00B26833">
            <w:pPr>
              <w:jc w:val="both"/>
              <w:rPr>
                <w:b/>
                <w:bCs/>
                <w:color w:val="000000"/>
                <w:szCs w:val="22"/>
              </w:rPr>
            </w:pPr>
          </w:p>
        </w:tc>
      </w:tr>
      <w:tr w:rsidR="00651038" w:rsidRPr="002F0991" w:rsidTr="00D547DE">
        <w:trPr>
          <w:trHeight w:val="303"/>
        </w:trPr>
        <w:tc>
          <w:tcPr>
            <w:tcW w:w="1737" w:type="pct"/>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403"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7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4" w:type="pct"/>
            <w:gridSpan w:val="2"/>
            <w:tcBorders>
              <w:top w:val="nil"/>
              <w:left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D4758F" w:rsidRPr="001A4CB6" w:rsidTr="00D547DE">
        <w:trPr>
          <w:trHeight w:val="318"/>
        </w:trPr>
        <w:tc>
          <w:tcPr>
            <w:tcW w:w="2008" w:type="pct"/>
            <w:gridSpan w:val="4"/>
            <w:tcBorders>
              <w:left w:val="nil"/>
              <w:bottom w:val="single" w:sz="4" w:space="0" w:color="auto"/>
              <w:right w:val="nil"/>
            </w:tcBorders>
            <w:shd w:val="clear" w:color="auto" w:fill="auto"/>
            <w:noWrap/>
            <w:vAlign w:val="bottom"/>
            <w:hideMark/>
          </w:tcPr>
          <w:p w:rsidR="00D4758F" w:rsidRPr="001A4CB6" w:rsidRDefault="00D4758F" w:rsidP="00B26833">
            <w:pPr>
              <w:jc w:val="both"/>
              <w:rPr>
                <w:b/>
                <w:bCs/>
                <w:color w:val="000000"/>
                <w:sz w:val="22"/>
                <w:szCs w:val="22"/>
              </w:rPr>
            </w:pPr>
            <w:r w:rsidRPr="001A4CB6">
              <w:rPr>
                <w:b/>
                <w:bCs/>
                <w:color w:val="000000"/>
                <w:sz w:val="22"/>
                <w:szCs w:val="22"/>
              </w:rPr>
              <w:t>Project Components</w:t>
            </w:r>
          </w:p>
        </w:tc>
        <w:tc>
          <w:tcPr>
            <w:tcW w:w="260" w:type="pct"/>
            <w:gridSpan w:val="2"/>
            <w:tcBorders>
              <w:left w:val="nil"/>
              <w:bottom w:val="single" w:sz="4" w:space="0" w:color="auto"/>
              <w:right w:val="nil"/>
            </w:tcBorders>
            <w:shd w:val="clear" w:color="auto" w:fill="auto"/>
            <w:noWrap/>
            <w:vAlign w:val="bottom"/>
            <w:hideMark/>
          </w:tcPr>
          <w:p w:rsidR="00D4758F" w:rsidRPr="001A4CB6" w:rsidRDefault="00D4758F" w:rsidP="00B26833">
            <w:pPr>
              <w:jc w:val="both"/>
              <w:rPr>
                <w:b/>
                <w:color w:val="000000"/>
                <w:sz w:val="22"/>
                <w:szCs w:val="22"/>
              </w:rPr>
            </w:pPr>
          </w:p>
        </w:tc>
        <w:tc>
          <w:tcPr>
            <w:tcW w:w="1291" w:type="pct"/>
            <w:gridSpan w:val="4"/>
            <w:tcBorders>
              <w:left w:val="nil"/>
              <w:bottom w:val="single" w:sz="4" w:space="0" w:color="auto"/>
              <w:right w:val="nil"/>
            </w:tcBorders>
            <w:shd w:val="clear" w:color="auto" w:fill="auto"/>
            <w:noWrap/>
            <w:vAlign w:val="bottom"/>
            <w:hideMark/>
          </w:tcPr>
          <w:p w:rsidR="00D4758F" w:rsidRPr="001A4CB6" w:rsidRDefault="00651038" w:rsidP="00B26833">
            <w:pPr>
              <w:jc w:val="both"/>
              <w:rPr>
                <w:b/>
                <w:bCs/>
                <w:color w:val="000000"/>
                <w:sz w:val="22"/>
                <w:szCs w:val="22"/>
              </w:rPr>
            </w:pPr>
            <w:r>
              <w:rPr>
                <w:b/>
                <w:bCs/>
                <w:color w:val="000000"/>
                <w:sz w:val="22"/>
                <w:szCs w:val="22"/>
              </w:rPr>
              <w:t>Investment</w:t>
            </w:r>
          </w:p>
        </w:tc>
        <w:tc>
          <w:tcPr>
            <w:tcW w:w="134" w:type="pct"/>
            <w:gridSpan w:val="2"/>
            <w:tcBorders>
              <w:left w:val="nil"/>
              <w:bottom w:val="single" w:sz="4" w:space="0" w:color="auto"/>
              <w:right w:val="nil"/>
            </w:tcBorders>
            <w:shd w:val="clear" w:color="auto" w:fill="auto"/>
            <w:noWrap/>
            <w:vAlign w:val="bottom"/>
            <w:hideMark/>
          </w:tcPr>
          <w:p w:rsidR="00D4758F" w:rsidRPr="001A4CB6" w:rsidRDefault="00D4758F" w:rsidP="00B26833">
            <w:pPr>
              <w:jc w:val="both"/>
              <w:rPr>
                <w:b/>
                <w:color w:val="000000"/>
                <w:sz w:val="22"/>
                <w:szCs w:val="22"/>
              </w:rPr>
            </w:pPr>
          </w:p>
        </w:tc>
        <w:tc>
          <w:tcPr>
            <w:tcW w:w="1306" w:type="pct"/>
            <w:gridSpan w:val="6"/>
            <w:tcBorders>
              <w:left w:val="nil"/>
              <w:bottom w:val="single" w:sz="4" w:space="0" w:color="auto"/>
              <w:right w:val="nil"/>
            </w:tcBorders>
            <w:shd w:val="clear" w:color="auto" w:fill="auto"/>
            <w:noWrap/>
            <w:vAlign w:val="bottom"/>
            <w:hideMark/>
          </w:tcPr>
          <w:p w:rsidR="00D4758F" w:rsidRPr="001A4CB6" w:rsidRDefault="00651038" w:rsidP="00B26833">
            <w:pPr>
              <w:jc w:val="both"/>
              <w:rPr>
                <w:b/>
                <w:bCs/>
                <w:color w:val="000000"/>
                <w:sz w:val="22"/>
                <w:szCs w:val="22"/>
              </w:rPr>
            </w:pPr>
            <w:r>
              <w:rPr>
                <w:b/>
                <w:bCs/>
                <w:color w:val="000000"/>
                <w:sz w:val="22"/>
                <w:szCs w:val="22"/>
              </w:rPr>
              <w:t xml:space="preserve">Annual </w:t>
            </w:r>
            <w:r w:rsidR="00D4758F" w:rsidRPr="001A4CB6">
              <w:rPr>
                <w:b/>
                <w:bCs/>
                <w:color w:val="000000"/>
                <w:sz w:val="22"/>
                <w:szCs w:val="22"/>
              </w:rPr>
              <w:t>Maintenance</w:t>
            </w:r>
          </w:p>
        </w:tc>
      </w:tr>
      <w:tr w:rsidR="00D4758F" w:rsidRPr="002F0991" w:rsidTr="00D547DE">
        <w:trPr>
          <w:trHeight w:val="303"/>
        </w:trPr>
        <w:tc>
          <w:tcPr>
            <w:tcW w:w="1737" w:type="pct"/>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403" w:type="pct"/>
            <w:gridSpan w:val="2"/>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142" w:type="pct"/>
            <w:gridSpan w:val="6"/>
            <w:tcBorders>
              <w:top w:val="single" w:sz="4" w:space="0" w:color="auto"/>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98" w:type="pct"/>
            <w:gridSpan w:val="2"/>
            <w:tcBorders>
              <w:top w:val="single" w:sz="4" w:space="0" w:color="auto"/>
            </w:tcBorders>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Meters</w:t>
            </w: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$33,830,016</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 Labor - Internal</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$3,389,939</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Electric Meter Labor - Contract</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$6,815,950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Natural Gas Modules</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$8,443,323</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Gas Module Labor - Contract</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$4,261,978</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Hardware</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$4,922,650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Software</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$859,650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Head End Labor - Contract &amp; Internal</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$9,075,926</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141"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1A4CB6" w:rsidRPr="002F0991" w:rsidRDefault="001A4CB6" w:rsidP="00B26833">
            <w:pPr>
              <w:jc w:val="both"/>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1A4CB6" w:rsidRPr="002F0991" w:rsidRDefault="001A4CB6" w:rsidP="00B26833">
            <w:pPr>
              <w:jc w:val="both"/>
              <w:rPr>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B26833">
            <w:pPr>
              <w:jc w:val="both"/>
              <w:rPr>
                <w:color w:val="000000"/>
                <w:sz w:val="22"/>
                <w:szCs w:val="22"/>
              </w:rPr>
            </w:pPr>
          </w:p>
        </w:tc>
        <w:tc>
          <w:tcPr>
            <w:tcW w:w="290" w:type="pct"/>
            <w:vAlign w:val="center"/>
            <w:hideMark/>
          </w:tcPr>
          <w:p w:rsidR="001A4CB6" w:rsidRPr="002F0991" w:rsidRDefault="001A4CB6" w:rsidP="00B26833">
            <w:pPr>
              <w:jc w:val="both"/>
              <w:rPr>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r>
              <w:rPr>
                <w:bCs/>
                <w:color w:val="000000"/>
                <w:sz w:val="22"/>
                <w:szCs w:val="22"/>
              </w:rPr>
              <w:t>Head End Maintenance Service</w:t>
            </w:r>
          </w:p>
        </w:tc>
        <w:tc>
          <w:tcPr>
            <w:tcW w:w="141" w:type="pct"/>
            <w:gridSpan w:val="2"/>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1A4CB6" w:rsidRPr="002F0991" w:rsidRDefault="001A4CB6" w:rsidP="0069421F">
            <w:pPr>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1A4CB6" w:rsidRPr="002F0991" w:rsidRDefault="001A4CB6" w:rsidP="0069421F">
            <w:pPr>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1A4CB6" w:rsidRPr="002F0991" w:rsidRDefault="001A4CB6" w:rsidP="0069421F">
            <w:pPr>
              <w:rPr>
                <w:color w:val="000000"/>
                <w:sz w:val="22"/>
                <w:szCs w:val="22"/>
              </w:rPr>
            </w:pPr>
            <w:r>
              <w:rPr>
                <w:color w:val="000000"/>
                <w:sz w:val="22"/>
                <w:szCs w:val="22"/>
              </w:rPr>
              <w:t>$2,096,258</w:t>
            </w:r>
          </w:p>
        </w:tc>
        <w:tc>
          <w:tcPr>
            <w:tcW w:w="133" w:type="pct"/>
            <w:gridSpan w:val="2"/>
            <w:tcBorders>
              <w:top w:val="nil"/>
              <w:left w:val="nil"/>
              <w:bottom w:val="nil"/>
              <w:right w:val="nil"/>
            </w:tcBorders>
            <w:shd w:val="clear" w:color="auto" w:fill="auto"/>
            <w:noWrap/>
            <w:vAlign w:val="bottom"/>
            <w:hideMark/>
          </w:tcPr>
          <w:p w:rsidR="001A4CB6" w:rsidRPr="002F0991" w:rsidRDefault="001A4CB6" w:rsidP="0069421F">
            <w:pPr>
              <w:rPr>
                <w:color w:val="000000"/>
                <w:sz w:val="22"/>
                <w:szCs w:val="22"/>
              </w:rPr>
            </w:pPr>
          </w:p>
        </w:tc>
        <w:tc>
          <w:tcPr>
            <w:tcW w:w="290" w:type="pct"/>
            <w:vAlign w:val="center"/>
            <w:hideMark/>
          </w:tcPr>
          <w:p w:rsidR="001A4CB6" w:rsidRPr="002F0991" w:rsidRDefault="001A4CB6" w:rsidP="0069421F">
            <w:pPr>
              <w:rPr>
                <w:sz w:val="22"/>
                <w:szCs w:val="22"/>
              </w:rPr>
            </w:pPr>
          </w:p>
        </w:tc>
      </w:tr>
      <w:tr w:rsidR="00651038" w:rsidRPr="002F0991" w:rsidTr="0069421F">
        <w:trPr>
          <w:trHeight w:val="303"/>
        </w:trPr>
        <w:tc>
          <w:tcPr>
            <w:tcW w:w="1738"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41"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5"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07"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705"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0" w:type="pct"/>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Hardware</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$26,152,770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Software</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$3,015,100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r>
              <w:rPr>
                <w:bCs/>
                <w:color w:val="000000"/>
                <w:sz w:val="22"/>
                <w:szCs w:val="22"/>
              </w:rPr>
              <w:t>Software Maintenance Support</w:t>
            </w: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r>
              <w:rPr>
                <w:color w:val="000000"/>
                <w:sz w:val="22"/>
                <w:szCs w:val="22"/>
              </w:rPr>
              <w:t>$484,990</w:t>
            </w: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269" w:type="pct"/>
            <w:gridSpan w:val="6"/>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Network Communications - Labor</w:t>
            </w: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$29,268,732</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r>
              <w:rPr>
                <w:bCs/>
                <w:color w:val="000000"/>
                <w:sz w:val="22"/>
                <w:szCs w:val="22"/>
              </w:rPr>
              <w:t>Avista Operating Costs</w:t>
            </w:r>
          </w:p>
        </w:tc>
        <w:tc>
          <w:tcPr>
            <w:tcW w:w="133" w:type="pct"/>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203A3" w:rsidRPr="002F0991" w:rsidRDefault="00D203A3" w:rsidP="00B26833">
            <w:pPr>
              <w:jc w:val="both"/>
              <w:rPr>
                <w:color w:val="000000"/>
                <w:sz w:val="22"/>
                <w:szCs w:val="22"/>
              </w:rPr>
            </w:pPr>
            <w:r>
              <w:rPr>
                <w:color w:val="000000"/>
                <w:sz w:val="22"/>
                <w:szCs w:val="22"/>
              </w:rPr>
              <w:t>$2,609,815</w:t>
            </w:r>
          </w:p>
        </w:tc>
        <w:tc>
          <w:tcPr>
            <w:tcW w:w="134" w:type="pct"/>
            <w:gridSpan w:val="2"/>
            <w:tcBorders>
              <w:top w:val="nil"/>
              <w:left w:val="nil"/>
              <w:bottom w:val="nil"/>
              <w:right w:val="nil"/>
            </w:tcBorders>
            <w:shd w:val="clear" w:color="auto" w:fill="auto"/>
            <w:noWrap/>
            <w:vAlign w:val="bottom"/>
            <w:hideMark/>
          </w:tcPr>
          <w:p w:rsidR="00D203A3" w:rsidRPr="002F0991" w:rsidRDefault="00D203A3" w:rsidP="00B26833">
            <w:pPr>
              <w:jc w:val="both"/>
              <w:rPr>
                <w:color w:val="000000"/>
                <w:sz w:val="22"/>
                <w:szCs w:val="22"/>
              </w:rPr>
            </w:pPr>
          </w:p>
        </w:tc>
        <w:tc>
          <w:tcPr>
            <w:tcW w:w="298" w:type="pct"/>
            <w:gridSpan w:val="2"/>
            <w:vAlign w:val="center"/>
            <w:hideMark/>
          </w:tcPr>
          <w:p w:rsidR="00D203A3" w:rsidRPr="002F0991" w:rsidRDefault="00D203A3"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2008" w:type="pct"/>
            <w:gridSpan w:val="4"/>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r w:rsidRPr="002F0991">
              <w:rPr>
                <w:bCs/>
                <w:color w:val="000000"/>
                <w:sz w:val="22"/>
                <w:szCs w:val="22"/>
              </w:rPr>
              <w:t>Corporate Communications</w:t>
            </w: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r w:rsidRPr="002F0991">
              <w:rPr>
                <w:color w:val="000000"/>
                <w:sz w:val="22"/>
                <w:szCs w:val="22"/>
              </w:rPr>
              <w:t>$5,500,000</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roofErr w:type="spellStart"/>
            <w:r w:rsidRPr="002F0991">
              <w:rPr>
                <w:bCs/>
                <w:color w:val="000000"/>
                <w:sz w:val="22"/>
                <w:szCs w:val="22"/>
              </w:rPr>
              <w:t>AFUDC</w:t>
            </w:r>
            <w:proofErr w:type="spellEnd"/>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3E0EA6">
            <w:pPr>
              <w:jc w:val="both"/>
              <w:rPr>
                <w:color w:val="000000"/>
                <w:sz w:val="22"/>
                <w:szCs w:val="22"/>
              </w:rPr>
            </w:pPr>
            <w:r w:rsidRPr="002F0991">
              <w:rPr>
                <w:color w:val="000000"/>
                <w:sz w:val="22"/>
                <w:szCs w:val="22"/>
              </w:rPr>
              <w:t>$</w:t>
            </w:r>
            <w:r w:rsidR="003E0EA6">
              <w:rPr>
                <w:color w:val="000000"/>
                <w:sz w:val="22"/>
                <w:szCs w:val="22"/>
              </w:rPr>
              <w:t>6,591,695</w:t>
            </w: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2F0991" w:rsidTr="00D547DE">
        <w:trPr>
          <w:trHeight w:val="303"/>
        </w:trPr>
        <w:tc>
          <w:tcPr>
            <w:tcW w:w="1737" w:type="pct"/>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3" w:type="pct"/>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403"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696" w:type="pct"/>
            <w:tcBorders>
              <w:top w:val="nil"/>
              <w:left w:val="nil"/>
              <w:bottom w:val="nil"/>
              <w:right w:val="nil"/>
            </w:tcBorders>
            <w:shd w:val="clear" w:color="auto" w:fill="auto"/>
            <w:noWrap/>
            <w:vAlign w:val="center"/>
            <w:hideMark/>
          </w:tcPr>
          <w:p w:rsidR="00D4758F" w:rsidRPr="002F0991" w:rsidRDefault="00D4758F" w:rsidP="00B26833">
            <w:pPr>
              <w:jc w:val="both"/>
              <w:rPr>
                <w:color w:val="000000"/>
                <w:sz w:val="22"/>
                <w:szCs w:val="22"/>
              </w:rPr>
            </w:pPr>
          </w:p>
        </w:tc>
        <w:tc>
          <w:tcPr>
            <w:tcW w:w="134" w:type="pct"/>
            <w:gridSpan w:val="2"/>
            <w:tcBorders>
              <w:top w:val="nil"/>
              <w:left w:val="nil"/>
              <w:bottom w:val="nil"/>
              <w:right w:val="nil"/>
            </w:tcBorders>
            <w:shd w:val="clear" w:color="auto" w:fill="auto"/>
            <w:noWrap/>
            <w:vAlign w:val="bottom"/>
            <w:hideMark/>
          </w:tcPr>
          <w:p w:rsidR="00D4758F" w:rsidRPr="002F0991" w:rsidRDefault="00D4758F" w:rsidP="00B26833">
            <w:pPr>
              <w:jc w:val="both"/>
              <w:rPr>
                <w:color w:val="000000"/>
                <w:sz w:val="22"/>
                <w:szCs w:val="22"/>
              </w:rPr>
            </w:pPr>
          </w:p>
        </w:tc>
        <w:tc>
          <w:tcPr>
            <w:tcW w:w="298" w:type="pct"/>
            <w:gridSpan w:val="2"/>
            <w:vAlign w:val="center"/>
            <w:hideMark/>
          </w:tcPr>
          <w:p w:rsidR="00D4758F" w:rsidRPr="002F0991" w:rsidRDefault="00D4758F" w:rsidP="00B26833">
            <w:pPr>
              <w:jc w:val="both"/>
              <w:rPr>
                <w:sz w:val="22"/>
                <w:szCs w:val="22"/>
              </w:rPr>
            </w:pPr>
          </w:p>
        </w:tc>
      </w:tr>
      <w:tr w:rsidR="00651038" w:rsidRPr="001A4CB6" w:rsidTr="00D547DE">
        <w:trPr>
          <w:trHeight w:val="318"/>
        </w:trPr>
        <w:tc>
          <w:tcPr>
            <w:tcW w:w="1737" w:type="pct"/>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r w:rsidRPr="001A4CB6">
              <w:rPr>
                <w:b/>
                <w:bCs/>
                <w:color w:val="000000"/>
                <w:sz w:val="22"/>
                <w:szCs w:val="22"/>
              </w:rPr>
              <w:t>Total</w:t>
            </w:r>
          </w:p>
        </w:tc>
        <w:tc>
          <w:tcPr>
            <w:tcW w:w="133" w:type="pct"/>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138"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260"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888" w:type="pct"/>
            <w:gridSpan w:val="2"/>
            <w:tcBorders>
              <w:top w:val="nil"/>
              <w:left w:val="nil"/>
              <w:bottom w:val="nil"/>
              <w:right w:val="nil"/>
            </w:tcBorders>
            <w:shd w:val="clear" w:color="auto" w:fill="auto"/>
            <w:noWrap/>
            <w:vAlign w:val="center"/>
            <w:hideMark/>
          </w:tcPr>
          <w:p w:rsidR="00D4758F" w:rsidRPr="001A4CB6" w:rsidRDefault="00D4758F" w:rsidP="003E0EA6">
            <w:pPr>
              <w:jc w:val="both"/>
              <w:rPr>
                <w:b/>
                <w:bCs/>
                <w:color w:val="000000"/>
                <w:sz w:val="22"/>
                <w:szCs w:val="22"/>
              </w:rPr>
            </w:pPr>
            <w:r w:rsidRPr="001A4CB6">
              <w:rPr>
                <w:b/>
                <w:bCs/>
                <w:color w:val="000000"/>
                <w:sz w:val="22"/>
                <w:szCs w:val="22"/>
              </w:rPr>
              <w:t>$</w:t>
            </w:r>
            <w:r w:rsidR="003E0EA6">
              <w:rPr>
                <w:b/>
                <w:bCs/>
                <w:color w:val="000000"/>
                <w:sz w:val="22"/>
                <w:szCs w:val="22"/>
              </w:rPr>
              <w:t>142,127,727</w:t>
            </w:r>
          </w:p>
        </w:tc>
        <w:tc>
          <w:tcPr>
            <w:tcW w:w="403"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312" w:type="pct"/>
            <w:gridSpan w:val="3"/>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696" w:type="pct"/>
            <w:tcBorders>
              <w:top w:val="nil"/>
              <w:left w:val="nil"/>
              <w:bottom w:val="nil"/>
              <w:right w:val="nil"/>
            </w:tcBorders>
            <w:shd w:val="clear" w:color="auto" w:fill="auto"/>
            <w:noWrap/>
            <w:vAlign w:val="center"/>
            <w:hideMark/>
          </w:tcPr>
          <w:p w:rsidR="00D4758F" w:rsidRPr="001A4CB6" w:rsidRDefault="00D4758F" w:rsidP="00B26833">
            <w:pPr>
              <w:jc w:val="both"/>
              <w:rPr>
                <w:b/>
                <w:bCs/>
                <w:color w:val="000000"/>
                <w:sz w:val="22"/>
                <w:szCs w:val="22"/>
              </w:rPr>
            </w:pPr>
            <w:r w:rsidRPr="001A4CB6">
              <w:rPr>
                <w:b/>
                <w:bCs/>
                <w:color w:val="000000"/>
                <w:sz w:val="22"/>
                <w:szCs w:val="22"/>
              </w:rPr>
              <w:t>$</w:t>
            </w:r>
            <w:r w:rsidR="00D203A3">
              <w:rPr>
                <w:b/>
                <w:bCs/>
                <w:color w:val="000000"/>
                <w:sz w:val="22"/>
                <w:szCs w:val="22"/>
              </w:rPr>
              <w:t>5,191,063</w:t>
            </w:r>
          </w:p>
        </w:tc>
        <w:tc>
          <w:tcPr>
            <w:tcW w:w="134" w:type="pct"/>
            <w:gridSpan w:val="2"/>
            <w:tcBorders>
              <w:top w:val="nil"/>
              <w:left w:val="nil"/>
              <w:bottom w:val="nil"/>
              <w:right w:val="nil"/>
            </w:tcBorders>
            <w:shd w:val="clear" w:color="auto" w:fill="auto"/>
            <w:noWrap/>
            <w:vAlign w:val="bottom"/>
            <w:hideMark/>
          </w:tcPr>
          <w:p w:rsidR="00D4758F" w:rsidRPr="001A4CB6" w:rsidRDefault="00D4758F" w:rsidP="00B26833">
            <w:pPr>
              <w:jc w:val="both"/>
              <w:rPr>
                <w:b/>
                <w:bCs/>
                <w:color w:val="000000"/>
                <w:sz w:val="22"/>
                <w:szCs w:val="22"/>
              </w:rPr>
            </w:pPr>
          </w:p>
        </w:tc>
        <w:tc>
          <w:tcPr>
            <w:tcW w:w="298" w:type="pct"/>
            <w:gridSpan w:val="2"/>
            <w:vAlign w:val="center"/>
            <w:hideMark/>
          </w:tcPr>
          <w:p w:rsidR="00D4758F" w:rsidRPr="001A4CB6" w:rsidRDefault="00D4758F" w:rsidP="00B26833">
            <w:pPr>
              <w:jc w:val="both"/>
              <w:rPr>
                <w:b/>
                <w:sz w:val="22"/>
                <w:szCs w:val="22"/>
              </w:rPr>
            </w:pPr>
          </w:p>
        </w:tc>
      </w:tr>
    </w:tbl>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81399C" w:rsidRDefault="0081399C" w:rsidP="00651038">
      <w:pPr>
        <w:jc w:val="center"/>
        <w:rPr>
          <w:b/>
          <w:sz w:val="28"/>
        </w:rPr>
      </w:pPr>
    </w:p>
    <w:p w:rsidR="009E0CA6" w:rsidRPr="004B6556" w:rsidRDefault="00651038" w:rsidP="00651038">
      <w:pPr>
        <w:jc w:val="center"/>
        <w:rPr>
          <w:b/>
          <w:sz w:val="28"/>
        </w:rPr>
      </w:pPr>
      <w:r>
        <w:rPr>
          <w:b/>
          <w:sz w:val="28"/>
        </w:rPr>
        <w:lastRenderedPageBreak/>
        <w:t xml:space="preserve">V. </w:t>
      </w:r>
      <w:r w:rsidR="009E0CA6" w:rsidRPr="004B6556">
        <w:rPr>
          <w:b/>
          <w:sz w:val="28"/>
        </w:rPr>
        <w:t>Preliminary Deployment Schedule</w:t>
      </w:r>
    </w:p>
    <w:p w:rsidR="009E0CA6" w:rsidRDefault="009E0CA6" w:rsidP="00B26833">
      <w:pPr>
        <w:jc w:val="both"/>
      </w:pPr>
    </w:p>
    <w:p w:rsidR="00D45F4B" w:rsidRDefault="009E0CA6" w:rsidP="00B26833">
      <w:pPr>
        <w:jc w:val="both"/>
      </w:pPr>
      <w:r>
        <w:t xml:space="preserve">Avista will continue </w:t>
      </w:r>
      <w:r w:rsidR="00B119C2">
        <w:t>having</w:t>
      </w:r>
      <w:r>
        <w:t xml:space="preserve"> discussions with meter and other product vendors and will complete the development of technical requirements </w:t>
      </w:r>
      <w:r w:rsidR="00B119C2">
        <w:t>for</w:t>
      </w:r>
      <w:r>
        <w:t xml:space="preserve"> the advanced metering system. The Company will develop requests for proposal</w:t>
      </w:r>
      <w:r w:rsidR="00F96026">
        <w:t>s</w:t>
      </w:r>
      <w:r>
        <w:t xml:space="preserve"> </w:t>
      </w:r>
      <w:r w:rsidR="00B119C2">
        <w:t xml:space="preserve">for metering system vendors </w:t>
      </w:r>
      <w:r>
        <w:t>and move forward with the evaluation</w:t>
      </w:r>
      <w:r w:rsidR="00B119C2">
        <w:t>s</w:t>
      </w:r>
      <w:r>
        <w:t xml:space="preserve"> and selection of </w:t>
      </w:r>
      <w:r w:rsidR="00B119C2">
        <w:t>a</w:t>
      </w:r>
      <w:r>
        <w:t xml:space="preserve"> system to </w:t>
      </w:r>
      <w:proofErr w:type="gramStart"/>
      <w:r>
        <w:t>be implemented</w:t>
      </w:r>
      <w:proofErr w:type="gramEnd"/>
      <w:r>
        <w:t xml:space="preserve">. In addition to making the meter system selection, Avista will begin the acquisition of needed computer servers, software </w:t>
      </w:r>
      <w:proofErr w:type="gramStart"/>
      <w:r>
        <w:t>applications</w:t>
      </w:r>
      <w:proofErr w:type="gramEnd"/>
      <w:r w:rsidR="00D547DE">
        <w:t xml:space="preserve"> and security systems in 2015. </w:t>
      </w:r>
      <w:r>
        <w:t xml:space="preserve">The installation of new digital meters </w:t>
      </w:r>
      <w:proofErr w:type="gramStart"/>
      <w:r>
        <w:t>is slated</w:t>
      </w:r>
      <w:proofErr w:type="gramEnd"/>
      <w:r>
        <w:t xml:space="preserve"> to begin in 2016. At the same time, Avista will be installing the needed communications infrastructure and </w:t>
      </w:r>
      <w:r w:rsidR="00B119C2">
        <w:t>performing</w:t>
      </w:r>
      <w:r>
        <w:t xml:space="preserve"> the work of systems integration. Meter installs will continue in 2017 </w:t>
      </w:r>
      <w:r w:rsidR="00F96026">
        <w:t>with plans to complete</w:t>
      </w:r>
      <w:r>
        <w:t xml:space="preserve"> residential meters in 2018. Final installations of communications infrastructure </w:t>
      </w:r>
      <w:proofErr w:type="gramStart"/>
      <w:r>
        <w:t>will also be completed</w:t>
      </w:r>
      <w:proofErr w:type="gramEnd"/>
      <w:r>
        <w:t xml:space="preserve"> in 2018. The installation of commercial meters will continue into 2019</w:t>
      </w:r>
      <w:r w:rsidR="00F96026">
        <w:t>, with plans to complet</w:t>
      </w:r>
      <w:r w:rsidR="00D203A3">
        <w:t>e the advanced metering project</w:t>
      </w:r>
      <w:r>
        <w:t xml:space="preserve"> in 2020.</w:t>
      </w:r>
    </w:p>
    <w:p w:rsidR="00F94BEC" w:rsidRDefault="00F94BEC" w:rsidP="00B26833">
      <w:pPr>
        <w:jc w:val="both"/>
      </w:pPr>
    </w:p>
    <w:p w:rsidR="00F94BEC" w:rsidRDefault="00F94BEC" w:rsidP="00B26833">
      <w:pPr>
        <w:jc w:val="both"/>
      </w:pPr>
    </w:p>
    <w:sectPr w:rsidR="00F94BEC" w:rsidSect="00907214">
      <w:footerReference w:type="default" r:id="rId11"/>
      <w:pgSz w:w="12240" w:h="15840"/>
      <w:pgMar w:top="1440" w:right="1800" w:bottom="1440" w:left="1800" w:header="720" w:footer="432"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14" w:rsidRDefault="00907214" w:rsidP="004267F6">
      <w:r>
        <w:separator/>
      </w:r>
    </w:p>
  </w:endnote>
  <w:endnote w:type="continuationSeparator" w:id="0">
    <w:p w:rsidR="00907214" w:rsidRDefault="00907214" w:rsidP="004267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14" w:rsidRPr="00A371DE" w:rsidRDefault="00907214" w:rsidP="00B26833">
    <w:pPr>
      <w:pStyle w:val="Footer"/>
      <w:rPr>
        <w:rFonts w:asciiTheme="majorHAnsi" w:hAnsiTheme="majorHAnsi"/>
        <w:sz w:val="22"/>
      </w:rPr>
    </w:pPr>
    <w:r w:rsidRPr="00A371DE">
      <w:rPr>
        <w:rFonts w:asciiTheme="majorHAnsi" w:hAnsiTheme="majorHAnsi"/>
        <w:sz w:val="22"/>
      </w:rPr>
      <w:t xml:space="preserve">Avista </w:t>
    </w:r>
    <w:r>
      <w:rPr>
        <w:rFonts w:asciiTheme="majorHAnsi" w:hAnsiTheme="majorHAnsi"/>
        <w:sz w:val="22"/>
      </w:rPr>
      <w:t>Corporation</w:t>
    </w:r>
    <w:r w:rsidRPr="00A371DE">
      <w:rPr>
        <w:rFonts w:asciiTheme="majorHAnsi" w:hAnsiTheme="majorHAnsi"/>
        <w:sz w:val="22"/>
      </w:rPr>
      <w:t xml:space="preserve"> | Washington </w:t>
    </w:r>
    <w:r>
      <w:rPr>
        <w:rFonts w:asciiTheme="majorHAnsi" w:hAnsiTheme="majorHAnsi"/>
        <w:sz w:val="22"/>
      </w:rPr>
      <w:t>Advanced Metering Project</w:t>
    </w:r>
    <w:r w:rsidRPr="00A371DE">
      <w:rPr>
        <w:rFonts w:asciiTheme="majorHAnsi" w:hAnsiTheme="majorHAnsi"/>
        <w:sz w:val="22"/>
      </w:rPr>
      <w:t xml:space="preserve"> – Business Case</w:t>
    </w:r>
    <w:r w:rsidRPr="00A371DE">
      <w:rPr>
        <w:sz w:val="22"/>
      </w:rPr>
      <w:t xml:space="preserve">       </w:t>
    </w:r>
    <w:r>
      <w:rPr>
        <w:sz w:val="22"/>
      </w:rPr>
      <w:t xml:space="preserve">          p.</w:t>
    </w:r>
    <w:r w:rsidRPr="00A371DE">
      <w:rPr>
        <w:sz w:val="22"/>
      </w:rPr>
      <w:t xml:space="preserve"> </w:t>
    </w:r>
    <w:sdt>
      <w:sdtPr>
        <w:rPr>
          <w:sz w:val="22"/>
        </w:rPr>
        <w:id w:val="530564"/>
        <w:docPartObj>
          <w:docPartGallery w:val="Page Numbers (Bottom of Page)"/>
          <w:docPartUnique/>
        </w:docPartObj>
      </w:sdtPr>
      <w:sdtContent>
        <w:r w:rsidRPr="00A371DE">
          <w:rPr>
            <w:sz w:val="22"/>
          </w:rPr>
          <w:fldChar w:fldCharType="begin"/>
        </w:r>
        <w:r w:rsidRPr="00A371DE">
          <w:rPr>
            <w:sz w:val="22"/>
          </w:rPr>
          <w:instrText xml:space="preserve"> PAGE   \* MERGEFORMAT </w:instrText>
        </w:r>
        <w:r w:rsidRPr="00A371DE">
          <w:rPr>
            <w:sz w:val="22"/>
          </w:rPr>
          <w:fldChar w:fldCharType="separate"/>
        </w:r>
        <w:r w:rsidR="00AB065E">
          <w:rPr>
            <w:noProof/>
            <w:sz w:val="22"/>
          </w:rPr>
          <w:t>22</w:t>
        </w:r>
        <w:r w:rsidRPr="00A371DE">
          <w:rPr>
            <w:sz w:val="22"/>
          </w:rPr>
          <w:fldChar w:fldCharType="end"/>
        </w:r>
      </w:sdtContent>
    </w:sdt>
  </w:p>
  <w:p w:rsidR="00907214" w:rsidRDefault="00907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14" w:rsidRDefault="00907214" w:rsidP="004267F6">
      <w:r>
        <w:separator/>
      </w:r>
    </w:p>
  </w:footnote>
  <w:footnote w:type="continuationSeparator" w:id="0">
    <w:p w:rsidR="00907214" w:rsidRDefault="00907214" w:rsidP="004267F6">
      <w:r>
        <w:continuationSeparator/>
      </w:r>
    </w:p>
  </w:footnote>
  <w:footnote w:id="1">
    <w:p w:rsidR="00907214" w:rsidRDefault="00907214" w:rsidP="00A0760D">
      <w:pPr>
        <w:pStyle w:val="FootnoteText"/>
        <w:jc w:val="both"/>
      </w:pPr>
      <w:r>
        <w:rPr>
          <w:rStyle w:val="FootnoteReference"/>
        </w:rPr>
        <w:footnoteRef/>
      </w:r>
      <w:r>
        <w:t xml:space="preserve"> </w:t>
      </w:r>
      <w:proofErr w:type="gramStart"/>
      <w:r>
        <w:t>Assessment of Demand Response and Advanced Metering.</w:t>
      </w:r>
      <w:proofErr w:type="gramEnd"/>
      <w:r>
        <w:t xml:space="preserve"> Federal Energy Regulatory Commission Staff Report, October 2013.</w:t>
      </w:r>
    </w:p>
    <w:p w:rsidR="00907214" w:rsidRDefault="00907214" w:rsidP="00A0760D">
      <w:pPr>
        <w:pStyle w:val="FootnoteText"/>
        <w:jc w:val="both"/>
      </w:pPr>
    </w:p>
  </w:footnote>
  <w:footnote w:id="2">
    <w:p w:rsidR="00907214" w:rsidRDefault="00907214" w:rsidP="00A0760D">
      <w:pPr>
        <w:pStyle w:val="FootnoteText"/>
        <w:jc w:val="both"/>
      </w:pPr>
      <w:r>
        <w:rPr>
          <w:rStyle w:val="FootnoteReference"/>
        </w:rPr>
        <w:footnoteRef/>
      </w:r>
      <w:r>
        <w:t xml:space="preserve"> </w:t>
      </w:r>
      <w:proofErr w:type="gramStart"/>
      <w:r>
        <w:t>Leveraging Business Intelligence and Analytics to Improve Performance.</w:t>
      </w:r>
      <w:proofErr w:type="gramEnd"/>
      <w:r>
        <w:t xml:space="preserve"> Presentation by Gartner Research made to Avista, September 2014.</w:t>
      </w:r>
    </w:p>
  </w:footnote>
  <w:footnote w:id="3">
    <w:p w:rsidR="00907214" w:rsidRDefault="00907214" w:rsidP="00C932AD">
      <w:pPr>
        <w:pStyle w:val="FootnoteText"/>
      </w:pPr>
      <w:r>
        <w:rPr>
          <w:rStyle w:val="FootnoteReference"/>
        </w:rPr>
        <w:footnoteRef/>
      </w:r>
      <w:r>
        <w:t xml:space="preserve"> </w:t>
      </w:r>
      <w:proofErr w:type="gramStart"/>
      <w:r>
        <w:t xml:space="preserve">From Pike Research in 2012, as cited from </w:t>
      </w:r>
      <w:proofErr w:type="spellStart"/>
      <w:r>
        <w:t>Elster</w:t>
      </w:r>
      <w:proofErr w:type="spellEnd"/>
      <w:r>
        <w:t xml:space="preserve"> presentation made to Avista, 2015.</w:t>
      </w:r>
      <w:proofErr w:type="gramEnd"/>
    </w:p>
    <w:p w:rsidR="00907214" w:rsidRDefault="00907214">
      <w:pPr>
        <w:pStyle w:val="FootnoteText"/>
      </w:pPr>
    </w:p>
  </w:footnote>
  <w:footnote w:id="4">
    <w:p w:rsidR="00907214" w:rsidRDefault="00907214" w:rsidP="00A0760D">
      <w:pPr>
        <w:pStyle w:val="FootnoteText"/>
        <w:jc w:val="both"/>
      </w:pPr>
      <w:r>
        <w:rPr>
          <w:rStyle w:val="FootnoteReference"/>
        </w:rPr>
        <w:footnoteRef/>
      </w:r>
      <w:r>
        <w:t xml:space="preserve"> Number of customers expected to receive meters over the six-year course of project implementation.</w:t>
      </w:r>
    </w:p>
  </w:footnote>
  <w:footnote w:id="5">
    <w:p w:rsidR="00907214" w:rsidRDefault="00907214" w:rsidP="00A0760D">
      <w:pPr>
        <w:pStyle w:val="FootnoteText"/>
        <w:jc w:val="both"/>
      </w:pPr>
      <w:r>
        <w:rPr>
          <w:rStyle w:val="FootnoteReference"/>
        </w:rPr>
        <w:footnoteRef/>
      </w:r>
      <w:r>
        <w:t xml:space="preserve"> Smart grid technology includes everything from interactive appliances in homes to substation automation and sensors on transmission lines. </w:t>
      </w:r>
      <w:proofErr w:type="gramStart"/>
      <w:r>
        <w:t>It is a system that</w:t>
      </w:r>
      <w:proofErr w:type="gramEnd"/>
      <w:r>
        <w:t xml:space="preserve"> uses various technologies to enhance power delivery and use through intelligent two-way communication. Generators of electricity, </w:t>
      </w:r>
      <w:proofErr w:type="gramStart"/>
      <w:r>
        <w:t>suppliers</w:t>
      </w:r>
      <w:proofErr w:type="gramEnd"/>
      <w:r>
        <w:t xml:space="preserve"> and end-users are all part of the equation. With increased communication and information, smart grid implementation can monitor activities in real time, exchange data about supply and demand, and adjust power use to changing load requirements.</w:t>
      </w:r>
    </w:p>
  </w:footnote>
  <w:footnote w:id="6">
    <w:p w:rsidR="00907214" w:rsidRDefault="00907214" w:rsidP="00A0760D">
      <w:pPr>
        <w:pStyle w:val="FootnoteText"/>
        <w:jc w:val="both"/>
      </w:pPr>
      <w:r>
        <w:rPr>
          <w:rStyle w:val="FootnoteReference"/>
        </w:rPr>
        <w:footnoteRef/>
      </w:r>
      <w:r>
        <w:t xml:space="preserve"> Automatic meter reading meters (or AMR) provide only one-way communication from the meter to the utility, and typically provide only one monthly reading of the customer’s energy use.</w:t>
      </w:r>
    </w:p>
  </w:footnote>
  <w:footnote w:id="7">
    <w:p w:rsidR="00907214" w:rsidRDefault="00907214" w:rsidP="00A0760D">
      <w:pPr>
        <w:pStyle w:val="FootnoteText"/>
        <w:jc w:val="both"/>
      </w:pPr>
      <w:r>
        <w:rPr>
          <w:rStyle w:val="FootnoteReference"/>
        </w:rPr>
        <w:footnoteRef/>
      </w:r>
      <w:r>
        <w:t xml:space="preserve"> </w:t>
      </w:r>
      <w:r w:rsidR="00A0760D">
        <w:t>The advanced electric meter project will involve</w:t>
      </w:r>
      <w:r>
        <w:t xml:space="preserve"> a complete replacement of the conventional electro-mechanical meter. Advanced metering for natural gas </w:t>
      </w:r>
      <w:proofErr w:type="gramStart"/>
      <w:r>
        <w:t>is accomplished</w:t>
      </w:r>
      <w:proofErr w:type="gramEnd"/>
      <w:r>
        <w:t xml:space="preserve"> by replacing the mechanical register on the existing natural gas meter with a new digital, communicating module. The gas meter </w:t>
      </w:r>
      <w:proofErr w:type="gramStart"/>
      <w:r>
        <w:t>itself</w:t>
      </w:r>
      <w:proofErr w:type="gramEnd"/>
      <w:r>
        <w:t xml:space="preserve"> is not replaced.</w:t>
      </w:r>
    </w:p>
  </w:footnote>
  <w:footnote w:id="8">
    <w:p w:rsidR="00907214" w:rsidRDefault="00907214" w:rsidP="00A0760D">
      <w:pPr>
        <w:pStyle w:val="FootnoteText"/>
        <w:jc w:val="both"/>
      </w:pPr>
      <w:r>
        <w:rPr>
          <w:rStyle w:val="FootnoteReference"/>
        </w:rPr>
        <w:footnoteRef/>
      </w:r>
      <w:r>
        <w:t xml:space="preserve"> </w:t>
      </w:r>
      <w:proofErr w:type="gramStart"/>
      <w:r>
        <w:t>Energy Information Administration.</w:t>
      </w:r>
      <w:proofErr w:type="gramEnd"/>
      <w:r>
        <w:t xml:space="preserve"> Frequently Asked Questions: How many smart meters </w:t>
      </w:r>
      <w:proofErr w:type="gramStart"/>
      <w:r>
        <w:t>are installed</w:t>
      </w:r>
      <w:proofErr w:type="gramEnd"/>
      <w:r>
        <w:t xml:space="preserve"> in the U.S. and who has them?</w:t>
      </w:r>
    </w:p>
  </w:footnote>
  <w:footnote w:id="9">
    <w:p w:rsidR="00907214" w:rsidRDefault="00907214" w:rsidP="00A0760D">
      <w:pPr>
        <w:pStyle w:val="FootnoteText"/>
        <w:jc w:val="both"/>
      </w:pPr>
      <w:r>
        <w:rPr>
          <w:rStyle w:val="FootnoteReference"/>
        </w:rPr>
        <w:footnoteRef/>
      </w:r>
      <w:r>
        <w:t xml:space="preserve"> </w:t>
      </w:r>
      <w:proofErr w:type="gramStart"/>
      <w:r>
        <w:t>Assessment of Demand Response and Advanced Metering.</w:t>
      </w:r>
      <w:proofErr w:type="gramEnd"/>
      <w:r>
        <w:t xml:space="preserve"> Federal Energy Regulatory Commission Staff Report, October 2013.</w:t>
      </w:r>
    </w:p>
  </w:footnote>
  <w:footnote w:id="10">
    <w:p w:rsidR="00907214" w:rsidRDefault="00907214" w:rsidP="00A0760D">
      <w:pPr>
        <w:pStyle w:val="FootnoteText"/>
        <w:jc w:val="both"/>
      </w:pPr>
      <w:r>
        <w:rPr>
          <w:rStyle w:val="FootnoteReference"/>
        </w:rPr>
        <w:footnoteRef/>
      </w:r>
      <w:r>
        <w:t xml:space="preserve"> </w:t>
      </w:r>
      <w:proofErr w:type="gramStart"/>
      <w:r>
        <w:t>Utility-Scale Smart Meter Deployments: Building Block of the Evolving Power Grid.</w:t>
      </w:r>
      <w:proofErr w:type="gramEnd"/>
      <w:r>
        <w:t xml:space="preserve"> The Edison Foundation, Institute for Electric Innovation. September 2014.</w:t>
      </w:r>
    </w:p>
  </w:footnote>
  <w:footnote w:id="11">
    <w:p w:rsidR="00907214" w:rsidRDefault="00907214" w:rsidP="00A0760D">
      <w:pPr>
        <w:pStyle w:val="FootnoteText"/>
        <w:jc w:val="both"/>
      </w:pPr>
      <w:r>
        <w:rPr>
          <w:rStyle w:val="FootnoteReference"/>
        </w:rPr>
        <w:footnoteRef/>
      </w:r>
      <w:r>
        <w:t xml:space="preserve"> </w:t>
      </w:r>
      <w:proofErr w:type="gramStart"/>
      <w:r>
        <w:t>Leveraging Business Intelligence and Analytics to Improve Performance.</w:t>
      </w:r>
      <w:proofErr w:type="gramEnd"/>
      <w:r>
        <w:t xml:space="preserve"> Presentation by Gartner Research made to Avista, September 2014.</w:t>
      </w:r>
    </w:p>
  </w:footnote>
  <w:footnote w:id="12">
    <w:p w:rsidR="00907214" w:rsidRDefault="00907214" w:rsidP="000208AB">
      <w:pPr>
        <w:pStyle w:val="FootnoteText"/>
      </w:pPr>
      <w:r>
        <w:rPr>
          <w:rStyle w:val="FootnoteReference"/>
        </w:rPr>
        <w:footnoteRef/>
      </w:r>
      <w:r>
        <w:t xml:space="preserve"> </w:t>
      </w:r>
      <w:proofErr w:type="gramStart"/>
      <w:r>
        <w:t xml:space="preserve">From Pike Research in 2012, as cited from </w:t>
      </w:r>
      <w:proofErr w:type="spellStart"/>
      <w:r>
        <w:t>Elster</w:t>
      </w:r>
      <w:proofErr w:type="spellEnd"/>
      <w:r>
        <w:t xml:space="preserve"> presentation made to Avista, 2015.</w:t>
      </w:r>
      <w:proofErr w:type="gramEnd"/>
    </w:p>
    <w:p w:rsidR="00907214" w:rsidRDefault="00907214">
      <w:pPr>
        <w:pStyle w:val="FootnoteText"/>
      </w:pPr>
    </w:p>
  </w:footnote>
  <w:footnote w:id="13">
    <w:p w:rsidR="00907214" w:rsidRDefault="00907214" w:rsidP="00133949">
      <w:pPr>
        <w:pStyle w:val="FootnoteText"/>
        <w:jc w:val="both"/>
      </w:pPr>
      <w:r>
        <w:rPr>
          <w:rStyle w:val="FootnoteReference"/>
        </w:rPr>
        <w:footnoteRef/>
      </w:r>
      <w:r>
        <w:t xml:space="preserve"> </w:t>
      </w:r>
      <w:r w:rsidRPr="00555892">
        <w:t>http://www.onpower.com/pdf/EPRICostOfPowerProblems.pdf</w:t>
      </w:r>
    </w:p>
  </w:footnote>
  <w:footnote w:id="14">
    <w:p w:rsidR="00907214" w:rsidRDefault="00907214" w:rsidP="00133949">
      <w:pPr>
        <w:pStyle w:val="FootnoteText"/>
        <w:jc w:val="both"/>
      </w:pPr>
      <w:r>
        <w:rPr>
          <w:rStyle w:val="FootnoteReference"/>
        </w:rPr>
        <w:footnoteRef/>
      </w:r>
      <w:r>
        <w:t xml:space="preserve"> </w:t>
      </w:r>
      <w:r w:rsidRPr="00402C92">
        <w:t>http://www.icecalculator.com/ice/</w:t>
      </w:r>
    </w:p>
  </w:footnote>
  <w:footnote w:id="15">
    <w:p w:rsidR="00907214" w:rsidRPr="00EA6677" w:rsidRDefault="00907214" w:rsidP="00133949">
      <w:pPr>
        <w:pStyle w:val="FootnoteText"/>
        <w:jc w:val="both"/>
      </w:pPr>
      <w:r w:rsidRPr="00EA6677">
        <w:rPr>
          <w:rStyle w:val="FootnoteReference"/>
        </w:rPr>
        <w:footnoteRef/>
      </w:r>
      <w:r w:rsidRPr="00EA6677">
        <w:t xml:space="preserve"> </w:t>
      </w:r>
      <w:hyperlink r:id="rId1" w:history="1">
        <w:r w:rsidRPr="00EA6677">
          <w:rPr>
            <w:rStyle w:val="Hyperlink"/>
            <w:color w:val="auto"/>
          </w:rPr>
          <w:t>http://www.onpower.com/pdf/EPRICostOfPowerProblems.pdf</w:t>
        </w:r>
      </w:hyperlink>
    </w:p>
    <w:p w:rsidR="00907214" w:rsidRPr="00EA6677" w:rsidRDefault="00907214" w:rsidP="00133949">
      <w:pPr>
        <w:pStyle w:val="FootnoteText"/>
        <w:jc w:val="both"/>
      </w:pPr>
      <w:hyperlink r:id="rId2" w:history="1">
        <w:r w:rsidRPr="00EA6677">
          <w:rPr>
            <w:rStyle w:val="Hyperlink"/>
            <w:color w:val="auto"/>
          </w:rPr>
          <w:t>http://tdworld.com/distribution-management-systems/amr-improves-outage-management</w:t>
        </w:r>
      </w:hyperlink>
    </w:p>
    <w:p w:rsidR="00907214" w:rsidRPr="00EA6677" w:rsidRDefault="00907214" w:rsidP="00133949">
      <w:pPr>
        <w:pStyle w:val="FootnoteText"/>
        <w:jc w:val="both"/>
      </w:pPr>
      <w:hyperlink r:id="rId3" w:history="1">
        <w:r w:rsidRPr="00EA6677">
          <w:rPr>
            <w:rStyle w:val="Hyperlink"/>
            <w:color w:val="auto"/>
          </w:rPr>
          <w:t>http://www.sdge.com/newsroom/press-releases/2012-11-14/sdge-launches-advanced-outage-management-system-benefit-region</w:t>
        </w:r>
      </w:hyperlink>
    </w:p>
    <w:p w:rsidR="00907214" w:rsidRPr="00EA6677" w:rsidRDefault="00907214" w:rsidP="00133949">
      <w:pPr>
        <w:pStyle w:val="FootnoteText"/>
        <w:jc w:val="both"/>
      </w:pPr>
      <w:hyperlink r:id="rId4" w:history="1">
        <w:r w:rsidRPr="00EA6677">
          <w:rPr>
            <w:rStyle w:val="Hyperlink"/>
            <w:color w:val="auto"/>
          </w:rPr>
          <w:t>http://www.silverspringnet.com/outage/pdfs/SilverSpring-Whitepaper-Outage.pdf</w:t>
        </w:r>
      </w:hyperlink>
    </w:p>
    <w:p w:rsidR="00907214" w:rsidRPr="00EA6677" w:rsidRDefault="00907214" w:rsidP="00133949">
      <w:pPr>
        <w:pStyle w:val="FootnoteText"/>
        <w:jc w:val="both"/>
      </w:pPr>
      <w:hyperlink r:id="rId5" w:history="1">
        <w:r w:rsidRPr="00EA6677">
          <w:rPr>
            <w:rStyle w:val="Hyperlink"/>
            <w:color w:val="auto"/>
          </w:rPr>
          <w:t>http://www.seattle.gov/light/ami/benefits.asp</w:t>
        </w:r>
      </w:hyperlink>
    </w:p>
    <w:p w:rsidR="00907214" w:rsidRPr="00EA6677" w:rsidRDefault="00907214" w:rsidP="00133949">
      <w:pPr>
        <w:pStyle w:val="FootnoteText"/>
        <w:jc w:val="both"/>
      </w:pPr>
      <w:hyperlink r:id="rId6" w:history="1">
        <w:r w:rsidRPr="00EA6677">
          <w:rPr>
            <w:rStyle w:val="Hyperlink"/>
            <w:color w:val="auto"/>
          </w:rPr>
          <w:t>http://www.fpl.com/energysmart/pdf/esf3.pdf</w:t>
        </w:r>
      </w:hyperlink>
    </w:p>
    <w:p w:rsidR="00907214" w:rsidRPr="00EA6677" w:rsidRDefault="00907214" w:rsidP="00133949">
      <w:pPr>
        <w:pStyle w:val="FootnoteText"/>
        <w:jc w:val="both"/>
      </w:pPr>
      <w:hyperlink r:id="rId7" w:history="1">
        <w:r w:rsidRPr="00EA6677">
          <w:rPr>
            <w:rStyle w:val="Hyperlink"/>
            <w:color w:val="auto"/>
          </w:rPr>
          <w:t>http://www.greentechmedia.com/articles/read/pges-smart-grid-plans-for-shorter-power-outages</w:t>
        </w:r>
      </w:hyperlink>
    </w:p>
    <w:p w:rsidR="00907214" w:rsidRPr="00EA6677" w:rsidRDefault="00907214" w:rsidP="00133949">
      <w:pPr>
        <w:pStyle w:val="FootnoteText"/>
        <w:jc w:val="both"/>
      </w:pPr>
      <w:hyperlink r:id="rId8" w:history="1">
        <w:r w:rsidRPr="00EA6677">
          <w:rPr>
            <w:rStyle w:val="Hyperlink"/>
            <w:color w:val="auto"/>
          </w:rPr>
          <w:t>http://www.silverspringnet.com/article/accelerating-outage-restoration-with-smart-grid-technology/</w:t>
        </w:r>
      </w:hyperlink>
    </w:p>
    <w:p w:rsidR="00907214" w:rsidRDefault="00907214" w:rsidP="00133949">
      <w:pPr>
        <w:pStyle w:val="FootnoteText"/>
        <w:jc w:val="both"/>
      </w:pPr>
      <w:r w:rsidRPr="00690DBB">
        <w:t>http://energy.gov/articles/modernizing-grid-getting-more-out-america-s-energy-0</w:t>
      </w:r>
    </w:p>
  </w:footnote>
  <w:footnote w:id="16">
    <w:p w:rsidR="00907214" w:rsidRPr="00D5272F" w:rsidRDefault="00907214" w:rsidP="00133949">
      <w:pPr>
        <w:pStyle w:val="FootnoteText"/>
        <w:jc w:val="both"/>
      </w:pPr>
      <w:r w:rsidRPr="00D5272F">
        <w:rPr>
          <w:rStyle w:val="FootnoteReference"/>
        </w:rPr>
        <w:footnoteRef/>
      </w:r>
      <w:r w:rsidRPr="00D5272F">
        <w:t xml:space="preserve"> </w:t>
      </w:r>
      <w:hyperlink r:id="rId9" w:history="1">
        <w:r w:rsidRPr="00D5272F">
          <w:rPr>
            <w:rStyle w:val="Hyperlink"/>
            <w:color w:val="auto"/>
          </w:rPr>
          <w:t>http://www.slideshare.net/breakingnews/unlocking-energy-efficiency-in-the-us-economy-1789726</w:t>
        </w:r>
      </w:hyperlink>
    </w:p>
    <w:p w:rsidR="00907214" w:rsidRPr="00D5272F" w:rsidRDefault="00907214" w:rsidP="00133949">
      <w:pPr>
        <w:pStyle w:val="FootnoteText"/>
        <w:jc w:val="both"/>
      </w:pPr>
      <w:hyperlink r:id="rId10" w:history="1">
        <w:r w:rsidRPr="00D5272F">
          <w:rPr>
            <w:rStyle w:val="Hyperlink"/>
            <w:color w:val="auto"/>
          </w:rPr>
          <w:t>http://www.bchydro.com/content/dam/BCHydro/customer-portal/documents/projects/smart-metering/smi-program-business-case.pdf</w:t>
        </w:r>
      </w:hyperlink>
    </w:p>
    <w:p w:rsidR="00907214" w:rsidRDefault="00907214" w:rsidP="00133949">
      <w:pPr>
        <w:pStyle w:val="FootnoteText"/>
        <w:jc w:val="both"/>
      </w:pPr>
      <w:r w:rsidRPr="00690DBB">
        <w:t>http://www.bchydro.com/content/dam/BCHydro/customer-portal/documents/projects/smart-metering/smi-program-business-case.pdf</w:t>
      </w:r>
    </w:p>
  </w:footnote>
  <w:footnote w:id="17">
    <w:p w:rsidR="00907214" w:rsidRPr="00F57438" w:rsidRDefault="00907214" w:rsidP="00133949">
      <w:pPr>
        <w:pStyle w:val="FootnoteText"/>
        <w:jc w:val="both"/>
      </w:pPr>
      <w:r w:rsidRPr="00F57438">
        <w:rPr>
          <w:rStyle w:val="FootnoteReference"/>
        </w:rPr>
        <w:footnoteRef/>
      </w:r>
      <w:r w:rsidRPr="00F57438">
        <w:t xml:space="preserve"> </w:t>
      </w:r>
      <w:hyperlink r:id="rId11" w:history="1">
        <w:r w:rsidRPr="00F57438">
          <w:rPr>
            <w:rStyle w:val="Hyperlink"/>
            <w:color w:val="auto"/>
          </w:rPr>
          <w:t>http://www.slideshare.net/breakingnews/unlocking-energy-efficiency-in-the-us-economy-1789726</w:t>
        </w:r>
      </w:hyperlink>
    </w:p>
    <w:p w:rsidR="00907214" w:rsidRPr="00F57438" w:rsidRDefault="00907214" w:rsidP="00133949">
      <w:pPr>
        <w:pStyle w:val="FootnoteText"/>
        <w:jc w:val="both"/>
      </w:pPr>
      <w:hyperlink r:id="rId12" w:history="1">
        <w:r w:rsidRPr="00F57438">
          <w:rPr>
            <w:rStyle w:val="Hyperlink"/>
            <w:color w:val="auto"/>
          </w:rPr>
          <w:t>http://finance-commerce.com/2014/09/sustainable-reducing-energy-use-through-behavioral-science/</w:t>
        </w:r>
      </w:hyperlink>
    </w:p>
    <w:p w:rsidR="00907214" w:rsidRPr="00F57438" w:rsidRDefault="00907214" w:rsidP="00133949">
      <w:pPr>
        <w:pStyle w:val="FootnoteText"/>
        <w:jc w:val="both"/>
      </w:pPr>
      <w:hyperlink r:id="rId13" w:history="1">
        <w:r w:rsidRPr="00F57438">
          <w:rPr>
            <w:rStyle w:val="Hyperlink"/>
            <w:color w:val="auto"/>
          </w:rPr>
          <w:t>http://www.bchydro.com/content/dam/BCHydro/customer-portal/documents/projects/smart-metering/smi-program-business-case.pdf</w:t>
        </w:r>
      </w:hyperlink>
    </w:p>
    <w:p w:rsidR="00907214" w:rsidRPr="00F57438" w:rsidRDefault="00907214" w:rsidP="00133949">
      <w:pPr>
        <w:pStyle w:val="FootnoteText"/>
        <w:jc w:val="both"/>
      </w:pPr>
      <w:hyperlink r:id="rId14" w:history="1">
        <w:r w:rsidRPr="00F57438">
          <w:rPr>
            <w:rStyle w:val="Hyperlink"/>
            <w:color w:val="auto"/>
          </w:rPr>
          <w:t>http://www.intelligentutility.com/article/12/02/behavioral-approaches-energy-conservation-pay&amp;utm_medium=eNL&amp;utm_campaign=IU_DAILY2&amp;utm_term=Original-Member</w:t>
        </w:r>
      </w:hyperlink>
    </w:p>
    <w:p w:rsidR="00907214" w:rsidRDefault="00907214" w:rsidP="00133949">
      <w:pPr>
        <w:pStyle w:val="FootnoteText"/>
        <w:jc w:val="both"/>
      </w:pPr>
      <w:r w:rsidRPr="00F57438">
        <w:t>http://www.utilitydive.com/news/could-reducing-peak-demand-5-be-as-simple-as-asking/329102/</w:t>
      </w:r>
    </w:p>
  </w:footnote>
  <w:footnote w:id="18">
    <w:p w:rsidR="00907214" w:rsidRDefault="00907214">
      <w:pPr>
        <w:pStyle w:val="FootnoteText"/>
      </w:pPr>
      <w:r>
        <w:rPr>
          <w:rStyle w:val="FootnoteReference"/>
        </w:rPr>
        <w:footnoteRef/>
      </w:r>
      <w:r>
        <w:t xml:space="preserve"> </w:t>
      </w:r>
      <w:proofErr w:type="gramStart"/>
      <w:r>
        <w:t>Smart Metering &amp; Infrastructure Program Business Case.</w:t>
      </w:r>
      <w:proofErr w:type="gramEnd"/>
      <w:r>
        <w:t xml:space="preserve"> </w:t>
      </w:r>
      <w:proofErr w:type="gramStart"/>
      <w:r>
        <w:t>BC Hydro, 2010.</w:t>
      </w:r>
      <w:proofErr w:type="gramEnd"/>
    </w:p>
  </w:footnote>
  <w:footnote w:id="19">
    <w:p w:rsidR="00907214" w:rsidRPr="00F57438" w:rsidRDefault="00907214">
      <w:pPr>
        <w:pStyle w:val="FootnoteText"/>
      </w:pPr>
      <w:r w:rsidRPr="00F57438">
        <w:rPr>
          <w:rStyle w:val="FootnoteReference"/>
        </w:rPr>
        <w:footnoteRef/>
      </w:r>
      <w:r w:rsidRPr="00F57438">
        <w:t xml:space="preserve"> </w:t>
      </w:r>
      <w:hyperlink r:id="rId15" w:history="1">
        <w:r w:rsidRPr="00F57438">
          <w:rPr>
            <w:rStyle w:val="Hyperlink"/>
            <w:color w:val="auto"/>
          </w:rPr>
          <w:t>http://www.accenture.com/SiteCollectionDocuments/PDF/Accenture-Achieving-High-Performance-with-Theft-Analytics.pdf</w:t>
        </w:r>
      </w:hyperlink>
    </w:p>
    <w:p w:rsidR="00907214" w:rsidRPr="00F57438" w:rsidRDefault="00907214">
      <w:pPr>
        <w:pStyle w:val="FootnoteText"/>
      </w:pPr>
      <w:hyperlink r:id="rId16" w:history="1">
        <w:r w:rsidRPr="00F57438">
          <w:rPr>
            <w:rStyle w:val="Hyperlink"/>
            <w:color w:val="auto"/>
          </w:rPr>
          <w:t>http://www.electricenergyonline.com/show_article.php?mag=&amp;article=456</w:t>
        </w:r>
      </w:hyperlink>
    </w:p>
    <w:p w:rsidR="00907214" w:rsidRPr="00F57438" w:rsidRDefault="00907214">
      <w:pPr>
        <w:pStyle w:val="FootnoteText"/>
      </w:pPr>
      <w:hyperlink r:id="rId17" w:history="1">
        <w:r w:rsidRPr="00F57438">
          <w:rPr>
            <w:rStyle w:val="Hyperlink"/>
            <w:color w:val="auto"/>
          </w:rPr>
          <w:t>http://sites.energetics.com/madri/toolbox/pdfs/business_cases/sdge_supplemental.pdf</w:t>
        </w:r>
      </w:hyperlink>
      <w:r w:rsidRPr="00F57438">
        <w:t xml:space="preserve"> </w:t>
      </w:r>
    </w:p>
    <w:p w:rsidR="00907214" w:rsidRPr="00F57438" w:rsidRDefault="00907214">
      <w:pPr>
        <w:pStyle w:val="FootnoteText"/>
      </w:pPr>
      <w:hyperlink r:id="rId18" w:history="1">
        <w:r w:rsidRPr="00F57438">
          <w:rPr>
            <w:rStyle w:val="Hyperlink"/>
            <w:color w:val="auto"/>
          </w:rPr>
          <w:t>http://nuwnotes1.nu.com/apps/clp/clpwebcontent.nsf/AR/appendices/$File/appendices.pdf</w:t>
        </w:r>
      </w:hyperlink>
    </w:p>
    <w:p w:rsidR="00907214" w:rsidRPr="00351841" w:rsidRDefault="0090721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52D68"/>
    <w:multiLevelType w:val="hybridMultilevel"/>
    <w:tmpl w:val="4D60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0B53BD"/>
    <w:multiLevelType w:val="hybridMultilevel"/>
    <w:tmpl w:val="678E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B516E5"/>
    <w:rsid w:val="0000096C"/>
    <w:rsid w:val="00000DD9"/>
    <w:rsid w:val="000017DF"/>
    <w:rsid w:val="00004CFB"/>
    <w:rsid w:val="000109C5"/>
    <w:rsid w:val="00015A43"/>
    <w:rsid w:val="000208A1"/>
    <w:rsid w:val="000208AB"/>
    <w:rsid w:val="000210D0"/>
    <w:rsid w:val="00021AF7"/>
    <w:rsid w:val="00023287"/>
    <w:rsid w:val="00031EFE"/>
    <w:rsid w:val="00032C80"/>
    <w:rsid w:val="00034680"/>
    <w:rsid w:val="0003786B"/>
    <w:rsid w:val="00037C48"/>
    <w:rsid w:val="00041482"/>
    <w:rsid w:val="00041FDB"/>
    <w:rsid w:val="00045CF1"/>
    <w:rsid w:val="00046B07"/>
    <w:rsid w:val="00053641"/>
    <w:rsid w:val="00063F4D"/>
    <w:rsid w:val="000643BB"/>
    <w:rsid w:val="000711F1"/>
    <w:rsid w:val="000728B5"/>
    <w:rsid w:val="00073DF5"/>
    <w:rsid w:val="000836D5"/>
    <w:rsid w:val="00095B1C"/>
    <w:rsid w:val="00097518"/>
    <w:rsid w:val="000A139F"/>
    <w:rsid w:val="000A1D05"/>
    <w:rsid w:val="000A3FB5"/>
    <w:rsid w:val="000A5DFF"/>
    <w:rsid w:val="000A6452"/>
    <w:rsid w:val="000B0649"/>
    <w:rsid w:val="000C346C"/>
    <w:rsid w:val="000C54BC"/>
    <w:rsid w:val="000D076F"/>
    <w:rsid w:val="000D3311"/>
    <w:rsid w:val="000D5BA7"/>
    <w:rsid w:val="000D7B25"/>
    <w:rsid w:val="000E0CCE"/>
    <w:rsid w:val="000E1131"/>
    <w:rsid w:val="000E57B7"/>
    <w:rsid w:val="000F3804"/>
    <w:rsid w:val="000F753F"/>
    <w:rsid w:val="00112142"/>
    <w:rsid w:val="0011314F"/>
    <w:rsid w:val="00115A93"/>
    <w:rsid w:val="00133197"/>
    <w:rsid w:val="00133949"/>
    <w:rsid w:val="00136702"/>
    <w:rsid w:val="00140797"/>
    <w:rsid w:val="001432E6"/>
    <w:rsid w:val="00146942"/>
    <w:rsid w:val="00152E69"/>
    <w:rsid w:val="0015548D"/>
    <w:rsid w:val="00155E2B"/>
    <w:rsid w:val="001571DD"/>
    <w:rsid w:val="001632DF"/>
    <w:rsid w:val="00163F4D"/>
    <w:rsid w:val="00167F11"/>
    <w:rsid w:val="0017015C"/>
    <w:rsid w:val="00176791"/>
    <w:rsid w:val="00176D01"/>
    <w:rsid w:val="00190BF6"/>
    <w:rsid w:val="0019238E"/>
    <w:rsid w:val="001953BC"/>
    <w:rsid w:val="001A36CB"/>
    <w:rsid w:val="001A4485"/>
    <w:rsid w:val="001A4CB6"/>
    <w:rsid w:val="001A640B"/>
    <w:rsid w:val="001B573E"/>
    <w:rsid w:val="001B5FE9"/>
    <w:rsid w:val="001C0A33"/>
    <w:rsid w:val="001C167C"/>
    <w:rsid w:val="001C2843"/>
    <w:rsid w:val="001C289C"/>
    <w:rsid w:val="001C3486"/>
    <w:rsid w:val="001C73F6"/>
    <w:rsid w:val="001D1655"/>
    <w:rsid w:val="001D4597"/>
    <w:rsid w:val="001D5566"/>
    <w:rsid w:val="001D74EB"/>
    <w:rsid w:val="001D7A1A"/>
    <w:rsid w:val="001E3BC5"/>
    <w:rsid w:val="001F229B"/>
    <w:rsid w:val="001F4C54"/>
    <w:rsid w:val="001F4E0B"/>
    <w:rsid w:val="002002C7"/>
    <w:rsid w:val="00204508"/>
    <w:rsid w:val="002045F9"/>
    <w:rsid w:val="00235581"/>
    <w:rsid w:val="002363A6"/>
    <w:rsid w:val="00241B68"/>
    <w:rsid w:val="00241F19"/>
    <w:rsid w:val="00242F7E"/>
    <w:rsid w:val="002713AC"/>
    <w:rsid w:val="00272512"/>
    <w:rsid w:val="002750D2"/>
    <w:rsid w:val="002813DB"/>
    <w:rsid w:val="00282DC7"/>
    <w:rsid w:val="00285858"/>
    <w:rsid w:val="00290F0D"/>
    <w:rsid w:val="002A071B"/>
    <w:rsid w:val="002B0476"/>
    <w:rsid w:val="002B6081"/>
    <w:rsid w:val="002B6C0D"/>
    <w:rsid w:val="002C4E6C"/>
    <w:rsid w:val="002D0B26"/>
    <w:rsid w:val="002D1C0D"/>
    <w:rsid w:val="002D7EDB"/>
    <w:rsid w:val="002E7E44"/>
    <w:rsid w:val="002F0991"/>
    <w:rsid w:val="002F1C0E"/>
    <w:rsid w:val="00311D28"/>
    <w:rsid w:val="003166C0"/>
    <w:rsid w:val="00321A43"/>
    <w:rsid w:val="0032485B"/>
    <w:rsid w:val="0033145C"/>
    <w:rsid w:val="00331C10"/>
    <w:rsid w:val="00333E63"/>
    <w:rsid w:val="0034574F"/>
    <w:rsid w:val="00351841"/>
    <w:rsid w:val="003541FC"/>
    <w:rsid w:val="00354FD2"/>
    <w:rsid w:val="00355913"/>
    <w:rsid w:val="0035766F"/>
    <w:rsid w:val="00360F73"/>
    <w:rsid w:val="00361947"/>
    <w:rsid w:val="00361D24"/>
    <w:rsid w:val="00362A5D"/>
    <w:rsid w:val="0036560E"/>
    <w:rsid w:val="00371147"/>
    <w:rsid w:val="00373F00"/>
    <w:rsid w:val="00373FCC"/>
    <w:rsid w:val="00380530"/>
    <w:rsid w:val="00384301"/>
    <w:rsid w:val="00394F9D"/>
    <w:rsid w:val="00397D54"/>
    <w:rsid w:val="003A177C"/>
    <w:rsid w:val="003A28C2"/>
    <w:rsid w:val="003B2E20"/>
    <w:rsid w:val="003B3A81"/>
    <w:rsid w:val="003B50D7"/>
    <w:rsid w:val="003C3BFA"/>
    <w:rsid w:val="003D19B4"/>
    <w:rsid w:val="003E0EA6"/>
    <w:rsid w:val="003E324E"/>
    <w:rsid w:val="003E6247"/>
    <w:rsid w:val="003F01DA"/>
    <w:rsid w:val="003F1F17"/>
    <w:rsid w:val="003F6D6C"/>
    <w:rsid w:val="003F79A7"/>
    <w:rsid w:val="00402C92"/>
    <w:rsid w:val="00405AA4"/>
    <w:rsid w:val="00406096"/>
    <w:rsid w:val="0041243E"/>
    <w:rsid w:val="00420ABC"/>
    <w:rsid w:val="00421A55"/>
    <w:rsid w:val="004221F0"/>
    <w:rsid w:val="00422C87"/>
    <w:rsid w:val="004267F6"/>
    <w:rsid w:val="0043286A"/>
    <w:rsid w:val="00447421"/>
    <w:rsid w:val="00447DC6"/>
    <w:rsid w:val="004539B0"/>
    <w:rsid w:val="00453EF6"/>
    <w:rsid w:val="00454C0B"/>
    <w:rsid w:val="004570FF"/>
    <w:rsid w:val="00462766"/>
    <w:rsid w:val="00462BD3"/>
    <w:rsid w:val="004670B3"/>
    <w:rsid w:val="004676F4"/>
    <w:rsid w:val="00470524"/>
    <w:rsid w:val="00472378"/>
    <w:rsid w:val="00472BB7"/>
    <w:rsid w:val="00472E73"/>
    <w:rsid w:val="004738E8"/>
    <w:rsid w:val="00475042"/>
    <w:rsid w:val="00480720"/>
    <w:rsid w:val="004917DE"/>
    <w:rsid w:val="00497A85"/>
    <w:rsid w:val="00497ED9"/>
    <w:rsid w:val="004A04F0"/>
    <w:rsid w:val="004A2159"/>
    <w:rsid w:val="004A38BB"/>
    <w:rsid w:val="004A6B3C"/>
    <w:rsid w:val="004A764A"/>
    <w:rsid w:val="004B0719"/>
    <w:rsid w:val="004B6556"/>
    <w:rsid w:val="004C2CC8"/>
    <w:rsid w:val="004C3A89"/>
    <w:rsid w:val="004D3414"/>
    <w:rsid w:val="004D3FB1"/>
    <w:rsid w:val="004D472A"/>
    <w:rsid w:val="004D6521"/>
    <w:rsid w:val="004E4B5A"/>
    <w:rsid w:val="004F524F"/>
    <w:rsid w:val="004F582E"/>
    <w:rsid w:val="00500B88"/>
    <w:rsid w:val="00501984"/>
    <w:rsid w:val="00501A03"/>
    <w:rsid w:val="0050468C"/>
    <w:rsid w:val="005113FD"/>
    <w:rsid w:val="005148A4"/>
    <w:rsid w:val="005205D2"/>
    <w:rsid w:val="00520C18"/>
    <w:rsid w:val="00523428"/>
    <w:rsid w:val="005236C6"/>
    <w:rsid w:val="00527E1F"/>
    <w:rsid w:val="005437B7"/>
    <w:rsid w:val="00543A9A"/>
    <w:rsid w:val="00546A0F"/>
    <w:rsid w:val="00547048"/>
    <w:rsid w:val="00550497"/>
    <w:rsid w:val="00553E3B"/>
    <w:rsid w:val="00553ECF"/>
    <w:rsid w:val="00554353"/>
    <w:rsid w:val="00555892"/>
    <w:rsid w:val="0055773A"/>
    <w:rsid w:val="00565C23"/>
    <w:rsid w:val="0056750B"/>
    <w:rsid w:val="005714C1"/>
    <w:rsid w:val="00577E26"/>
    <w:rsid w:val="005852C2"/>
    <w:rsid w:val="005920E3"/>
    <w:rsid w:val="005A06B3"/>
    <w:rsid w:val="005A0B55"/>
    <w:rsid w:val="005A13C2"/>
    <w:rsid w:val="005A3365"/>
    <w:rsid w:val="005A465C"/>
    <w:rsid w:val="005A472E"/>
    <w:rsid w:val="005A7F49"/>
    <w:rsid w:val="005B190F"/>
    <w:rsid w:val="005B1B66"/>
    <w:rsid w:val="005B3509"/>
    <w:rsid w:val="005C17FA"/>
    <w:rsid w:val="005C4ADD"/>
    <w:rsid w:val="005C5790"/>
    <w:rsid w:val="005D09A9"/>
    <w:rsid w:val="005D2939"/>
    <w:rsid w:val="005D6E05"/>
    <w:rsid w:val="005E04D8"/>
    <w:rsid w:val="005E0EE4"/>
    <w:rsid w:val="005E16A2"/>
    <w:rsid w:val="005E18A8"/>
    <w:rsid w:val="005E382C"/>
    <w:rsid w:val="005E4E2B"/>
    <w:rsid w:val="005E76A5"/>
    <w:rsid w:val="005F0734"/>
    <w:rsid w:val="005F1D59"/>
    <w:rsid w:val="005F2561"/>
    <w:rsid w:val="005F2650"/>
    <w:rsid w:val="005F2CF6"/>
    <w:rsid w:val="005F6CF2"/>
    <w:rsid w:val="00612DB1"/>
    <w:rsid w:val="00614E56"/>
    <w:rsid w:val="0063168C"/>
    <w:rsid w:val="00631B11"/>
    <w:rsid w:val="006325E5"/>
    <w:rsid w:val="00632FE3"/>
    <w:rsid w:val="00637882"/>
    <w:rsid w:val="006400EB"/>
    <w:rsid w:val="00642A80"/>
    <w:rsid w:val="006444AA"/>
    <w:rsid w:val="00646C83"/>
    <w:rsid w:val="00651038"/>
    <w:rsid w:val="00652F27"/>
    <w:rsid w:val="00654DDD"/>
    <w:rsid w:val="0065650E"/>
    <w:rsid w:val="00662B30"/>
    <w:rsid w:val="006653BF"/>
    <w:rsid w:val="00672A6C"/>
    <w:rsid w:val="006843E5"/>
    <w:rsid w:val="00690237"/>
    <w:rsid w:val="00690DBB"/>
    <w:rsid w:val="00691A5E"/>
    <w:rsid w:val="00691B54"/>
    <w:rsid w:val="006923B0"/>
    <w:rsid w:val="006934D3"/>
    <w:rsid w:val="0069421F"/>
    <w:rsid w:val="006A1415"/>
    <w:rsid w:val="006A1C20"/>
    <w:rsid w:val="006A79BF"/>
    <w:rsid w:val="006B5778"/>
    <w:rsid w:val="006D3C00"/>
    <w:rsid w:val="006E00F3"/>
    <w:rsid w:val="006E015E"/>
    <w:rsid w:val="006E2581"/>
    <w:rsid w:val="006E38D3"/>
    <w:rsid w:val="006F6025"/>
    <w:rsid w:val="00713B34"/>
    <w:rsid w:val="0071405B"/>
    <w:rsid w:val="007148BE"/>
    <w:rsid w:val="0071557C"/>
    <w:rsid w:val="00715808"/>
    <w:rsid w:val="00716530"/>
    <w:rsid w:val="0072450D"/>
    <w:rsid w:val="00727BA5"/>
    <w:rsid w:val="00731147"/>
    <w:rsid w:val="00734508"/>
    <w:rsid w:val="00737060"/>
    <w:rsid w:val="00737E05"/>
    <w:rsid w:val="00740E11"/>
    <w:rsid w:val="00743777"/>
    <w:rsid w:val="00751293"/>
    <w:rsid w:val="00752BBE"/>
    <w:rsid w:val="00766644"/>
    <w:rsid w:val="00770030"/>
    <w:rsid w:val="00770080"/>
    <w:rsid w:val="00770C58"/>
    <w:rsid w:val="00774480"/>
    <w:rsid w:val="007758CA"/>
    <w:rsid w:val="00775BF8"/>
    <w:rsid w:val="00776239"/>
    <w:rsid w:val="00776C5C"/>
    <w:rsid w:val="00781236"/>
    <w:rsid w:val="00782E41"/>
    <w:rsid w:val="00785370"/>
    <w:rsid w:val="00787F9E"/>
    <w:rsid w:val="00792015"/>
    <w:rsid w:val="0079358E"/>
    <w:rsid w:val="007A2553"/>
    <w:rsid w:val="007A2622"/>
    <w:rsid w:val="007B063F"/>
    <w:rsid w:val="007B44E6"/>
    <w:rsid w:val="007C2508"/>
    <w:rsid w:val="007C26A2"/>
    <w:rsid w:val="007C2C54"/>
    <w:rsid w:val="007C3E58"/>
    <w:rsid w:val="007D0EA2"/>
    <w:rsid w:val="007D5CCB"/>
    <w:rsid w:val="007D6904"/>
    <w:rsid w:val="007E1F68"/>
    <w:rsid w:val="007E1FB4"/>
    <w:rsid w:val="007E24E7"/>
    <w:rsid w:val="007E51C2"/>
    <w:rsid w:val="007E66E2"/>
    <w:rsid w:val="007E7A04"/>
    <w:rsid w:val="007F5376"/>
    <w:rsid w:val="007F6FE5"/>
    <w:rsid w:val="007F72F2"/>
    <w:rsid w:val="00801E25"/>
    <w:rsid w:val="00802013"/>
    <w:rsid w:val="00803F0E"/>
    <w:rsid w:val="008047B9"/>
    <w:rsid w:val="0080676B"/>
    <w:rsid w:val="008077F8"/>
    <w:rsid w:val="00811973"/>
    <w:rsid w:val="0081399C"/>
    <w:rsid w:val="008145E4"/>
    <w:rsid w:val="00814CD5"/>
    <w:rsid w:val="00814ED1"/>
    <w:rsid w:val="00817ABB"/>
    <w:rsid w:val="0082662A"/>
    <w:rsid w:val="00831598"/>
    <w:rsid w:val="00844C80"/>
    <w:rsid w:val="008469CA"/>
    <w:rsid w:val="00857BA7"/>
    <w:rsid w:val="00863CBE"/>
    <w:rsid w:val="008647A2"/>
    <w:rsid w:val="008654AE"/>
    <w:rsid w:val="00865EF3"/>
    <w:rsid w:val="00870486"/>
    <w:rsid w:val="00870D42"/>
    <w:rsid w:val="008725A3"/>
    <w:rsid w:val="00873931"/>
    <w:rsid w:val="00884933"/>
    <w:rsid w:val="00890D75"/>
    <w:rsid w:val="00896DEB"/>
    <w:rsid w:val="008B103D"/>
    <w:rsid w:val="008B59A4"/>
    <w:rsid w:val="008C7EDF"/>
    <w:rsid w:val="008D3DF5"/>
    <w:rsid w:val="008E54D4"/>
    <w:rsid w:val="008F2BD8"/>
    <w:rsid w:val="008F327C"/>
    <w:rsid w:val="008F6063"/>
    <w:rsid w:val="009022DF"/>
    <w:rsid w:val="00903559"/>
    <w:rsid w:val="00904958"/>
    <w:rsid w:val="00907214"/>
    <w:rsid w:val="0091020B"/>
    <w:rsid w:val="00920A5F"/>
    <w:rsid w:val="00920DFC"/>
    <w:rsid w:val="00925CD0"/>
    <w:rsid w:val="00934E78"/>
    <w:rsid w:val="00936DA2"/>
    <w:rsid w:val="00937C6B"/>
    <w:rsid w:val="00940AC7"/>
    <w:rsid w:val="0094116A"/>
    <w:rsid w:val="00945AE8"/>
    <w:rsid w:val="00946D51"/>
    <w:rsid w:val="009471A6"/>
    <w:rsid w:val="00950F18"/>
    <w:rsid w:val="00955D1C"/>
    <w:rsid w:val="009573DF"/>
    <w:rsid w:val="009645E8"/>
    <w:rsid w:val="0096472D"/>
    <w:rsid w:val="00964BB9"/>
    <w:rsid w:val="00965533"/>
    <w:rsid w:val="00972272"/>
    <w:rsid w:val="009744B2"/>
    <w:rsid w:val="00974873"/>
    <w:rsid w:val="009760A8"/>
    <w:rsid w:val="00977A39"/>
    <w:rsid w:val="009868EC"/>
    <w:rsid w:val="00992BFB"/>
    <w:rsid w:val="009A2F77"/>
    <w:rsid w:val="009A393C"/>
    <w:rsid w:val="009A504F"/>
    <w:rsid w:val="009A5138"/>
    <w:rsid w:val="009B0AC7"/>
    <w:rsid w:val="009B24DF"/>
    <w:rsid w:val="009B3B0B"/>
    <w:rsid w:val="009B4D56"/>
    <w:rsid w:val="009C2926"/>
    <w:rsid w:val="009C52F7"/>
    <w:rsid w:val="009C717F"/>
    <w:rsid w:val="009D21C6"/>
    <w:rsid w:val="009D4859"/>
    <w:rsid w:val="009E0CA6"/>
    <w:rsid w:val="009E0E07"/>
    <w:rsid w:val="009E377A"/>
    <w:rsid w:val="009E4F29"/>
    <w:rsid w:val="009E58BE"/>
    <w:rsid w:val="009F09A7"/>
    <w:rsid w:val="009F3C72"/>
    <w:rsid w:val="00A03510"/>
    <w:rsid w:val="00A04B02"/>
    <w:rsid w:val="00A04F5C"/>
    <w:rsid w:val="00A05743"/>
    <w:rsid w:val="00A0760D"/>
    <w:rsid w:val="00A14593"/>
    <w:rsid w:val="00A167E5"/>
    <w:rsid w:val="00A219A3"/>
    <w:rsid w:val="00A31097"/>
    <w:rsid w:val="00A35C21"/>
    <w:rsid w:val="00A371DE"/>
    <w:rsid w:val="00A423E5"/>
    <w:rsid w:val="00A42C8A"/>
    <w:rsid w:val="00A46F99"/>
    <w:rsid w:val="00A509BF"/>
    <w:rsid w:val="00A571CF"/>
    <w:rsid w:val="00A5792C"/>
    <w:rsid w:val="00A6077C"/>
    <w:rsid w:val="00A71132"/>
    <w:rsid w:val="00A71D4F"/>
    <w:rsid w:val="00A73B6E"/>
    <w:rsid w:val="00A73EC9"/>
    <w:rsid w:val="00A7506D"/>
    <w:rsid w:val="00A80C0D"/>
    <w:rsid w:val="00A814F6"/>
    <w:rsid w:val="00A8160E"/>
    <w:rsid w:val="00A83055"/>
    <w:rsid w:val="00A86375"/>
    <w:rsid w:val="00A90527"/>
    <w:rsid w:val="00A9342C"/>
    <w:rsid w:val="00AA1BF2"/>
    <w:rsid w:val="00AA245F"/>
    <w:rsid w:val="00AA47CA"/>
    <w:rsid w:val="00AA7203"/>
    <w:rsid w:val="00AA7B0E"/>
    <w:rsid w:val="00AB065E"/>
    <w:rsid w:val="00AB1CA9"/>
    <w:rsid w:val="00AB4AD4"/>
    <w:rsid w:val="00AB5949"/>
    <w:rsid w:val="00AB5F16"/>
    <w:rsid w:val="00AC3F59"/>
    <w:rsid w:val="00AC6EF0"/>
    <w:rsid w:val="00AD3865"/>
    <w:rsid w:val="00AD5303"/>
    <w:rsid w:val="00AD5733"/>
    <w:rsid w:val="00AE0D18"/>
    <w:rsid w:val="00AE2B8D"/>
    <w:rsid w:val="00AE79F1"/>
    <w:rsid w:val="00AF0A6C"/>
    <w:rsid w:val="00AF70F9"/>
    <w:rsid w:val="00B029A2"/>
    <w:rsid w:val="00B05EE0"/>
    <w:rsid w:val="00B07519"/>
    <w:rsid w:val="00B1008F"/>
    <w:rsid w:val="00B119C2"/>
    <w:rsid w:val="00B162E3"/>
    <w:rsid w:val="00B17EB3"/>
    <w:rsid w:val="00B243FE"/>
    <w:rsid w:val="00B25B28"/>
    <w:rsid w:val="00B2605E"/>
    <w:rsid w:val="00B26833"/>
    <w:rsid w:val="00B324F0"/>
    <w:rsid w:val="00B359E2"/>
    <w:rsid w:val="00B3613E"/>
    <w:rsid w:val="00B36470"/>
    <w:rsid w:val="00B4312C"/>
    <w:rsid w:val="00B44E43"/>
    <w:rsid w:val="00B516E5"/>
    <w:rsid w:val="00B5426A"/>
    <w:rsid w:val="00B55EE7"/>
    <w:rsid w:val="00B62527"/>
    <w:rsid w:val="00B65999"/>
    <w:rsid w:val="00B70CDB"/>
    <w:rsid w:val="00B71E31"/>
    <w:rsid w:val="00B73FB1"/>
    <w:rsid w:val="00B76D60"/>
    <w:rsid w:val="00B832B3"/>
    <w:rsid w:val="00B855AB"/>
    <w:rsid w:val="00B869C4"/>
    <w:rsid w:val="00B872AB"/>
    <w:rsid w:val="00B936FE"/>
    <w:rsid w:val="00B943D6"/>
    <w:rsid w:val="00BC32A5"/>
    <w:rsid w:val="00BC72CD"/>
    <w:rsid w:val="00BD5889"/>
    <w:rsid w:val="00BE131A"/>
    <w:rsid w:val="00BF5424"/>
    <w:rsid w:val="00C01595"/>
    <w:rsid w:val="00C03EC9"/>
    <w:rsid w:val="00C06B5D"/>
    <w:rsid w:val="00C0787D"/>
    <w:rsid w:val="00C10A8C"/>
    <w:rsid w:val="00C1641B"/>
    <w:rsid w:val="00C16611"/>
    <w:rsid w:val="00C21D68"/>
    <w:rsid w:val="00C25CD1"/>
    <w:rsid w:val="00C2621F"/>
    <w:rsid w:val="00C26873"/>
    <w:rsid w:val="00C26B21"/>
    <w:rsid w:val="00C31378"/>
    <w:rsid w:val="00C31B8D"/>
    <w:rsid w:val="00C370C1"/>
    <w:rsid w:val="00C42EB9"/>
    <w:rsid w:val="00C53D16"/>
    <w:rsid w:val="00C56C99"/>
    <w:rsid w:val="00C603F3"/>
    <w:rsid w:val="00C655E6"/>
    <w:rsid w:val="00C66046"/>
    <w:rsid w:val="00C72E47"/>
    <w:rsid w:val="00C82840"/>
    <w:rsid w:val="00C83904"/>
    <w:rsid w:val="00C84C89"/>
    <w:rsid w:val="00C84ED9"/>
    <w:rsid w:val="00C86074"/>
    <w:rsid w:val="00C9015D"/>
    <w:rsid w:val="00C90FC9"/>
    <w:rsid w:val="00C932AD"/>
    <w:rsid w:val="00C93A57"/>
    <w:rsid w:val="00C9689D"/>
    <w:rsid w:val="00C96946"/>
    <w:rsid w:val="00C97281"/>
    <w:rsid w:val="00C975F6"/>
    <w:rsid w:val="00CA1592"/>
    <w:rsid w:val="00CA3DB9"/>
    <w:rsid w:val="00CA5E2B"/>
    <w:rsid w:val="00CB0A5E"/>
    <w:rsid w:val="00CB1A8A"/>
    <w:rsid w:val="00CB2F5F"/>
    <w:rsid w:val="00CB64EC"/>
    <w:rsid w:val="00CB684F"/>
    <w:rsid w:val="00CB7867"/>
    <w:rsid w:val="00CC175D"/>
    <w:rsid w:val="00CC2E8B"/>
    <w:rsid w:val="00CC5D7F"/>
    <w:rsid w:val="00CD1DDC"/>
    <w:rsid w:val="00CD3FB1"/>
    <w:rsid w:val="00CD4BF3"/>
    <w:rsid w:val="00CD6AC9"/>
    <w:rsid w:val="00CE2873"/>
    <w:rsid w:val="00CE2FEA"/>
    <w:rsid w:val="00CE34AE"/>
    <w:rsid w:val="00CE4E09"/>
    <w:rsid w:val="00CE5BB8"/>
    <w:rsid w:val="00CE65B4"/>
    <w:rsid w:val="00CE6F21"/>
    <w:rsid w:val="00CF0956"/>
    <w:rsid w:val="00CF3B7A"/>
    <w:rsid w:val="00CF5E14"/>
    <w:rsid w:val="00CF731C"/>
    <w:rsid w:val="00CF7503"/>
    <w:rsid w:val="00D01892"/>
    <w:rsid w:val="00D07B63"/>
    <w:rsid w:val="00D203A3"/>
    <w:rsid w:val="00D212FF"/>
    <w:rsid w:val="00D23BED"/>
    <w:rsid w:val="00D255EC"/>
    <w:rsid w:val="00D320E4"/>
    <w:rsid w:val="00D37460"/>
    <w:rsid w:val="00D444F6"/>
    <w:rsid w:val="00D45F4B"/>
    <w:rsid w:val="00D4758F"/>
    <w:rsid w:val="00D47B36"/>
    <w:rsid w:val="00D47D62"/>
    <w:rsid w:val="00D5272F"/>
    <w:rsid w:val="00D53FC0"/>
    <w:rsid w:val="00D547DE"/>
    <w:rsid w:val="00D55166"/>
    <w:rsid w:val="00D60D5B"/>
    <w:rsid w:val="00D6381B"/>
    <w:rsid w:val="00D63F6F"/>
    <w:rsid w:val="00D64049"/>
    <w:rsid w:val="00D67431"/>
    <w:rsid w:val="00D71AE7"/>
    <w:rsid w:val="00D71EA9"/>
    <w:rsid w:val="00D72785"/>
    <w:rsid w:val="00D752BE"/>
    <w:rsid w:val="00D76A08"/>
    <w:rsid w:val="00D77D3D"/>
    <w:rsid w:val="00D84991"/>
    <w:rsid w:val="00D94C71"/>
    <w:rsid w:val="00D9722D"/>
    <w:rsid w:val="00DB27C1"/>
    <w:rsid w:val="00DB3B28"/>
    <w:rsid w:val="00DC1E09"/>
    <w:rsid w:val="00DC5EF6"/>
    <w:rsid w:val="00DD4F1D"/>
    <w:rsid w:val="00DD6F9B"/>
    <w:rsid w:val="00DE713F"/>
    <w:rsid w:val="00DF366A"/>
    <w:rsid w:val="00DF630C"/>
    <w:rsid w:val="00E00143"/>
    <w:rsid w:val="00E01DB0"/>
    <w:rsid w:val="00E044EB"/>
    <w:rsid w:val="00E107B7"/>
    <w:rsid w:val="00E17639"/>
    <w:rsid w:val="00E223EB"/>
    <w:rsid w:val="00E24283"/>
    <w:rsid w:val="00E34979"/>
    <w:rsid w:val="00E51999"/>
    <w:rsid w:val="00E553C8"/>
    <w:rsid w:val="00E579B7"/>
    <w:rsid w:val="00E72A14"/>
    <w:rsid w:val="00E72A8D"/>
    <w:rsid w:val="00E737E4"/>
    <w:rsid w:val="00E749CB"/>
    <w:rsid w:val="00E74F1D"/>
    <w:rsid w:val="00E76F24"/>
    <w:rsid w:val="00E77444"/>
    <w:rsid w:val="00E7771B"/>
    <w:rsid w:val="00E820CF"/>
    <w:rsid w:val="00E8646F"/>
    <w:rsid w:val="00E91DAC"/>
    <w:rsid w:val="00E9361F"/>
    <w:rsid w:val="00E9538D"/>
    <w:rsid w:val="00E97211"/>
    <w:rsid w:val="00EA4110"/>
    <w:rsid w:val="00EA5257"/>
    <w:rsid w:val="00EA6677"/>
    <w:rsid w:val="00EA76D0"/>
    <w:rsid w:val="00EB0E88"/>
    <w:rsid w:val="00EB37DC"/>
    <w:rsid w:val="00EC05AB"/>
    <w:rsid w:val="00EC12AD"/>
    <w:rsid w:val="00EC7BFA"/>
    <w:rsid w:val="00ED095E"/>
    <w:rsid w:val="00ED415A"/>
    <w:rsid w:val="00ED4A8D"/>
    <w:rsid w:val="00EE1E24"/>
    <w:rsid w:val="00EE3243"/>
    <w:rsid w:val="00EF1CC4"/>
    <w:rsid w:val="00F02944"/>
    <w:rsid w:val="00F03CE6"/>
    <w:rsid w:val="00F0576E"/>
    <w:rsid w:val="00F207C9"/>
    <w:rsid w:val="00F2178C"/>
    <w:rsid w:val="00F256BB"/>
    <w:rsid w:val="00F3050A"/>
    <w:rsid w:val="00F4179E"/>
    <w:rsid w:val="00F431FF"/>
    <w:rsid w:val="00F43DA5"/>
    <w:rsid w:val="00F5060F"/>
    <w:rsid w:val="00F53D01"/>
    <w:rsid w:val="00F57438"/>
    <w:rsid w:val="00F5773F"/>
    <w:rsid w:val="00F6653C"/>
    <w:rsid w:val="00F75FC0"/>
    <w:rsid w:val="00F7762C"/>
    <w:rsid w:val="00F77A2E"/>
    <w:rsid w:val="00F82A32"/>
    <w:rsid w:val="00F847D3"/>
    <w:rsid w:val="00F85915"/>
    <w:rsid w:val="00F86EAB"/>
    <w:rsid w:val="00F92516"/>
    <w:rsid w:val="00F92719"/>
    <w:rsid w:val="00F93581"/>
    <w:rsid w:val="00F94474"/>
    <w:rsid w:val="00F94BEC"/>
    <w:rsid w:val="00F96026"/>
    <w:rsid w:val="00F97153"/>
    <w:rsid w:val="00F97F91"/>
    <w:rsid w:val="00FA243C"/>
    <w:rsid w:val="00FA2DAD"/>
    <w:rsid w:val="00FA3A13"/>
    <w:rsid w:val="00FA54D8"/>
    <w:rsid w:val="00FA6CDF"/>
    <w:rsid w:val="00FB1449"/>
    <w:rsid w:val="00FB328E"/>
    <w:rsid w:val="00FB530A"/>
    <w:rsid w:val="00FB56D6"/>
    <w:rsid w:val="00FB7097"/>
    <w:rsid w:val="00FC0EDA"/>
    <w:rsid w:val="00FC1E58"/>
    <w:rsid w:val="00FC379B"/>
    <w:rsid w:val="00FC4570"/>
    <w:rsid w:val="00FD2036"/>
    <w:rsid w:val="00FD39BE"/>
    <w:rsid w:val="00FD6EC7"/>
    <w:rsid w:val="00FD7AB3"/>
    <w:rsid w:val="00FE3A72"/>
    <w:rsid w:val="00FF1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03"/>
    <w:rPr>
      <w:sz w:val="24"/>
      <w:szCs w:val="24"/>
    </w:rPr>
  </w:style>
  <w:style w:type="paragraph" w:styleId="Heading3">
    <w:name w:val="heading 3"/>
    <w:basedOn w:val="Normal"/>
    <w:next w:val="Normal"/>
    <w:link w:val="Heading3Char"/>
    <w:uiPriority w:val="9"/>
    <w:unhideWhenUsed/>
    <w:qFormat/>
    <w:rsid w:val="00776C5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67F6"/>
    <w:pPr>
      <w:tabs>
        <w:tab w:val="center" w:pos="4680"/>
        <w:tab w:val="right" w:pos="9360"/>
      </w:tabs>
    </w:pPr>
  </w:style>
  <w:style w:type="character" w:customStyle="1" w:styleId="HeaderChar">
    <w:name w:val="Header Char"/>
    <w:basedOn w:val="DefaultParagraphFont"/>
    <w:link w:val="Header"/>
    <w:uiPriority w:val="99"/>
    <w:rsid w:val="004267F6"/>
    <w:rPr>
      <w:sz w:val="24"/>
      <w:szCs w:val="24"/>
    </w:rPr>
  </w:style>
  <w:style w:type="paragraph" w:styleId="Footer">
    <w:name w:val="footer"/>
    <w:basedOn w:val="Normal"/>
    <w:link w:val="FooterChar"/>
    <w:uiPriority w:val="99"/>
    <w:rsid w:val="004267F6"/>
    <w:pPr>
      <w:tabs>
        <w:tab w:val="center" w:pos="4680"/>
        <w:tab w:val="right" w:pos="9360"/>
      </w:tabs>
    </w:pPr>
  </w:style>
  <w:style w:type="character" w:customStyle="1" w:styleId="FooterChar">
    <w:name w:val="Footer Char"/>
    <w:basedOn w:val="DefaultParagraphFont"/>
    <w:link w:val="Footer"/>
    <w:uiPriority w:val="99"/>
    <w:rsid w:val="004267F6"/>
    <w:rPr>
      <w:sz w:val="24"/>
      <w:szCs w:val="24"/>
    </w:rPr>
  </w:style>
  <w:style w:type="paragraph" w:styleId="NoSpacing">
    <w:name w:val="No Spacing"/>
    <w:link w:val="NoSpacingChar"/>
    <w:uiPriority w:val="1"/>
    <w:qFormat/>
    <w:rsid w:val="00977A39"/>
    <w:rPr>
      <w:rFonts w:asciiTheme="minorHAnsi" w:eastAsiaTheme="minorHAnsi" w:hAnsiTheme="minorHAnsi" w:cstheme="minorBidi"/>
      <w:sz w:val="22"/>
      <w:szCs w:val="22"/>
    </w:rPr>
  </w:style>
  <w:style w:type="character" w:styleId="SubtleReference">
    <w:name w:val="Subtle Reference"/>
    <w:basedOn w:val="DefaultParagraphFont"/>
    <w:uiPriority w:val="31"/>
    <w:qFormat/>
    <w:rsid w:val="00977A39"/>
    <w:rPr>
      <w:smallCaps/>
      <w:color w:val="C0504D" w:themeColor="accent2"/>
      <w:u w:val="single"/>
    </w:rPr>
  </w:style>
  <w:style w:type="paragraph" w:styleId="ListParagraph">
    <w:name w:val="List Paragraph"/>
    <w:basedOn w:val="Normal"/>
    <w:uiPriority w:val="34"/>
    <w:qFormat/>
    <w:rsid w:val="00045CF1"/>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rsid w:val="0043286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43286A"/>
  </w:style>
  <w:style w:type="character" w:styleId="FootnoteReference">
    <w:name w:val="footnote reference"/>
    <w:aliases w:val="Style 24,o,fr,Style 17,Style 11,Style 28,Style 8,Style 13,Style 12,Style 15,Style 9,o1,fr1,o2,fr2,o3,fr3,Style 18,(NECG) Footnote Reference,Style 20,Style 7,Style 19"/>
    <w:basedOn w:val="DefaultParagraphFont"/>
    <w:qFormat/>
    <w:rsid w:val="0043286A"/>
    <w:rPr>
      <w:vertAlign w:val="superscript"/>
    </w:rPr>
  </w:style>
  <w:style w:type="paragraph" w:customStyle="1" w:styleId="SurveyText">
    <w:name w:val="SurveyText"/>
    <w:basedOn w:val="Normal"/>
    <w:link w:val="SurveyTextChar"/>
    <w:qFormat/>
    <w:rsid w:val="00163F4D"/>
    <w:pPr>
      <w:widowControl w:val="0"/>
      <w:suppressAutoHyphens/>
      <w:autoSpaceDE w:val="0"/>
      <w:autoSpaceDN w:val="0"/>
      <w:adjustRightInd w:val="0"/>
      <w:spacing w:before="120" w:line="288" w:lineRule="auto"/>
      <w:jc w:val="center"/>
      <w:textAlignment w:val="center"/>
    </w:pPr>
    <w:rPr>
      <w:rFonts w:ascii="Arial" w:hAnsi="Arial"/>
      <w:color w:val="215352"/>
      <w:szCs w:val="20"/>
    </w:rPr>
  </w:style>
  <w:style w:type="character" w:customStyle="1" w:styleId="SurveyTextChar">
    <w:name w:val="SurveyText Char"/>
    <w:basedOn w:val="DefaultParagraphFont"/>
    <w:link w:val="SurveyText"/>
    <w:rsid w:val="00163F4D"/>
    <w:rPr>
      <w:rFonts w:ascii="Arial" w:hAnsi="Arial"/>
      <w:color w:val="215352"/>
      <w:sz w:val="24"/>
    </w:rPr>
  </w:style>
  <w:style w:type="character" w:customStyle="1" w:styleId="Heading3Char">
    <w:name w:val="Heading 3 Char"/>
    <w:basedOn w:val="DefaultParagraphFont"/>
    <w:link w:val="Heading3"/>
    <w:uiPriority w:val="9"/>
    <w:rsid w:val="00776C5C"/>
    <w:rPr>
      <w:rFonts w:asciiTheme="majorHAnsi" w:eastAsiaTheme="majorEastAsia" w:hAnsiTheme="majorHAnsi" w:cstheme="majorBidi"/>
      <w:b/>
      <w:bCs/>
      <w:color w:val="4F81BD" w:themeColor="accent1"/>
      <w:sz w:val="22"/>
      <w:szCs w:val="22"/>
    </w:rPr>
  </w:style>
  <w:style w:type="character" w:customStyle="1" w:styleId="NoSpacingChar">
    <w:name w:val="No Spacing Char"/>
    <w:basedOn w:val="DefaultParagraphFont"/>
    <w:link w:val="NoSpacing"/>
    <w:uiPriority w:val="1"/>
    <w:rsid w:val="00C96946"/>
    <w:rPr>
      <w:rFonts w:asciiTheme="minorHAnsi" w:eastAsiaTheme="minorHAnsi" w:hAnsiTheme="minorHAnsi" w:cstheme="minorBidi"/>
      <w:sz w:val="22"/>
      <w:szCs w:val="22"/>
    </w:rPr>
  </w:style>
  <w:style w:type="character" w:styleId="Hyperlink">
    <w:name w:val="Hyperlink"/>
    <w:basedOn w:val="DefaultParagraphFont"/>
    <w:rsid w:val="007345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96692">
      <w:bodyDiv w:val="1"/>
      <w:marLeft w:val="0"/>
      <w:marRight w:val="0"/>
      <w:marTop w:val="0"/>
      <w:marBottom w:val="0"/>
      <w:divBdr>
        <w:top w:val="none" w:sz="0" w:space="0" w:color="auto"/>
        <w:left w:val="none" w:sz="0" w:space="0" w:color="auto"/>
        <w:bottom w:val="none" w:sz="0" w:space="0" w:color="auto"/>
        <w:right w:val="none" w:sz="0" w:space="0" w:color="auto"/>
      </w:divBdr>
    </w:div>
    <w:div w:id="71777471">
      <w:bodyDiv w:val="1"/>
      <w:marLeft w:val="0"/>
      <w:marRight w:val="0"/>
      <w:marTop w:val="0"/>
      <w:marBottom w:val="0"/>
      <w:divBdr>
        <w:top w:val="none" w:sz="0" w:space="0" w:color="auto"/>
        <w:left w:val="none" w:sz="0" w:space="0" w:color="auto"/>
        <w:bottom w:val="none" w:sz="0" w:space="0" w:color="auto"/>
        <w:right w:val="none" w:sz="0" w:space="0" w:color="auto"/>
      </w:divBdr>
    </w:div>
    <w:div w:id="215700815">
      <w:bodyDiv w:val="1"/>
      <w:marLeft w:val="0"/>
      <w:marRight w:val="0"/>
      <w:marTop w:val="0"/>
      <w:marBottom w:val="0"/>
      <w:divBdr>
        <w:top w:val="none" w:sz="0" w:space="0" w:color="auto"/>
        <w:left w:val="none" w:sz="0" w:space="0" w:color="auto"/>
        <w:bottom w:val="none" w:sz="0" w:space="0" w:color="auto"/>
        <w:right w:val="none" w:sz="0" w:space="0" w:color="auto"/>
      </w:divBdr>
    </w:div>
    <w:div w:id="293147415">
      <w:bodyDiv w:val="1"/>
      <w:marLeft w:val="0"/>
      <w:marRight w:val="0"/>
      <w:marTop w:val="0"/>
      <w:marBottom w:val="0"/>
      <w:divBdr>
        <w:top w:val="none" w:sz="0" w:space="0" w:color="auto"/>
        <w:left w:val="none" w:sz="0" w:space="0" w:color="auto"/>
        <w:bottom w:val="none" w:sz="0" w:space="0" w:color="auto"/>
        <w:right w:val="none" w:sz="0" w:space="0" w:color="auto"/>
      </w:divBdr>
    </w:div>
    <w:div w:id="379520490">
      <w:bodyDiv w:val="1"/>
      <w:marLeft w:val="0"/>
      <w:marRight w:val="0"/>
      <w:marTop w:val="0"/>
      <w:marBottom w:val="0"/>
      <w:divBdr>
        <w:top w:val="none" w:sz="0" w:space="0" w:color="auto"/>
        <w:left w:val="none" w:sz="0" w:space="0" w:color="auto"/>
        <w:bottom w:val="none" w:sz="0" w:space="0" w:color="auto"/>
        <w:right w:val="none" w:sz="0" w:space="0" w:color="auto"/>
      </w:divBdr>
    </w:div>
    <w:div w:id="483204922">
      <w:bodyDiv w:val="1"/>
      <w:marLeft w:val="0"/>
      <w:marRight w:val="0"/>
      <w:marTop w:val="0"/>
      <w:marBottom w:val="0"/>
      <w:divBdr>
        <w:top w:val="none" w:sz="0" w:space="0" w:color="auto"/>
        <w:left w:val="none" w:sz="0" w:space="0" w:color="auto"/>
        <w:bottom w:val="none" w:sz="0" w:space="0" w:color="auto"/>
        <w:right w:val="none" w:sz="0" w:space="0" w:color="auto"/>
      </w:divBdr>
    </w:div>
    <w:div w:id="588731440">
      <w:bodyDiv w:val="1"/>
      <w:marLeft w:val="0"/>
      <w:marRight w:val="0"/>
      <w:marTop w:val="0"/>
      <w:marBottom w:val="0"/>
      <w:divBdr>
        <w:top w:val="none" w:sz="0" w:space="0" w:color="auto"/>
        <w:left w:val="none" w:sz="0" w:space="0" w:color="auto"/>
        <w:bottom w:val="none" w:sz="0" w:space="0" w:color="auto"/>
        <w:right w:val="none" w:sz="0" w:space="0" w:color="auto"/>
      </w:divBdr>
    </w:div>
    <w:div w:id="941256424">
      <w:bodyDiv w:val="1"/>
      <w:marLeft w:val="0"/>
      <w:marRight w:val="0"/>
      <w:marTop w:val="0"/>
      <w:marBottom w:val="0"/>
      <w:divBdr>
        <w:top w:val="none" w:sz="0" w:space="0" w:color="auto"/>
        <w:left w:val="none" w:sz="0" w:space="0" w:color="auto"/>
        <w:bottom w:val="none" w:sz="0" w:space="0" w:color="auto"/>
        <w:right w:val="none" w:sz="0" w:space="0" w:color="auto"/>
      </w:divBdr>
    </w:div>
    <w:div w:id="1118767092">
      <w:bodyDiv w:val="1"/>
      <w:marLeft w:val="0"/>
      <w:marRight w:val="0"/>
      <w:marTop w:val="0"/>
      <w:marBottom w:val="0"/>
      <w:divBdr>
        <w:top w:val="none" w:sz="0" w:space="0" w:color="auto"/>
        <w:left w:val="none" w:sz="0" w:space="0" w:color="auto"/>
        <w:bottom w:val="none" w:sz="0" w:space="0" w:color="auto"/>
        <w:right w:val="none" w:sz="0" w:space="0" w:color="auto"/>
      </w:divBdr>
    </w:div>
    <w:div w:id="1162043157">
      <w:bodyDiv w:val="1"/>
      <w:marLeft w:val="0"/>
      <w:marRight w:val="0"/>
      <w:marTop w:val="0"/>
      <w:marBottom w:val="0"/>
      <w:divBdr>
        <w:top w:val="none" w:sz="0" w:space="0" w:color="auto"/>
        <w:left w:val="none" w:sz="0" w:space="0" w:color="auto"/>
        <w:bottom w:val="none" w:sz="0" w:space="0" w:color="auto"/>
        <w:right w:val="none" w:sz="0" w:space="0" w:color="auto"/>
      </w:divBdr>
    </w:div>
    <w:div w:id="1251084475">
      <w:bodyDiv w:val="1"/>
      <w:marLeft w:val="0"/>
      <w:marRight w:val="0"/>
      <w:marTop w:val="0"/>
      <w:marBottom w:val="0"/>
      <w:divBdr>
        <w:top w:val="none" w:sz="0" w:space="0" w:color="auto"/>
        <w:left w:val="none" w:sz="0" w:space="0" w:color="auto"/>
        <w:bottom w:val="none" w:sz="0" w:space="0" w:color="auto"/>
        <w:right w:val="none" w:sz="0" w:space="0" w:color="auto"/>
      </w:divBdr>
    </w:div>
    <w:div w:id="1365131761">
      <w:bodyDiv w:val="1"/>
      <w:marLeft w:val="0"/>
      <w:marRight w:val="0"/>
      <w:marTop w:val="0"/>
      <w:marBottom w:val="0"/>
      <w:divBdr>
        <w:top w:val="none" w:sz="0" w:space="0" w:color="auto"/>
        <w:left w:val="none" w:sz="0" w:space="0" w:color="auto"/>
        <w:bottom w:val="none" w:sz="0" w:space="0" w:color="auto"/>
        <w:right w:val="none" w:sz="0" w:space="0" w:color="auto"/>
      </w:divBdr>
    </w:div>
    <w:div w:id="1541892317">
      <w:bodyDiv w:val="1"/>
      <w:marLeft w:val="0"/>
      <w:marRight w:val="0"/>
      <w:marTop w:val="0"/>
      <w:marBottom w:val="0"/>
      <w:divBdr>
        <w:top w:val="none" w:sz="0" w:space="0" w:color="auto"/>
        <w:left w:val="none" w:sz="0" w:space="0" w:color="auto"/>
        <w:bottom w:val="none" w:sz="0" w:space="0" w:color="auto"/>
        <w:right w:val="none" w:sz="0" w:space="0" w:color="auto"/>
      </w:divBdr>
    </w:div>
    <w:div w:id="1621178805">
      <w:bodyDiv w:val="1"/>
      <w:marLeft w:val="0"/>
      <w:marRight w:val="0"/>
      <w:marTop w:val="0"/>
      <w:marBottom w:val="0"/>
      <w:divBdr>
        <w:top w:val="none" w:sz="0" w:space="0" w:color="auto"/>
        <w:left w:val="none" w:sz="0" w:space="0" w:color="auto"/>
        <w:bottom w:val="none" w:sz="0" w:space="0" w:color="auto"/>
        <w:right w:val="none" w:sz="0" w:space="0" w:color="auto"/>
      </w:divBdr>
    </w:div>
    <w:div w:id="1660842438">
      <w:bodyDiv w:val="1"/>
      <w:marLeft w:val="0"/>
      <w:marRight w:val="0"/>
      <w:marTop w:val="0"/>
      <w:marBottom w:val="0"/>
      <w:divBdr>
        <w:top w:val="none" w:sz="0" w:space="0" w:color="auto"/>
        <w:left w:val="none" w:sz="0" w:space="0" w:color="auto"/>
        <w:bottom w:val="none" w:sz="0" w:space="0" w:color="auto"/>
        <w:right w:val="none" w:sz="0" w:space="0" w:color="auto"/>
      </w:divBdr>
    </w:div>
    <w:div w:id="1789621386">
      <w:bodyDiv w:val="1"/>
      <w:marLeft w:val="0"/>
      <w:marRight w:val="0"/>
      <w:marTop w:val="0"/>
      <w:marBottom w:val="0"/>
      <w:divBdr>
        <w:top w:val="none" w:sz="0" w:space="0" w:color="auto"/>
        <w:left w:val="none" w:sz="0" w:space="0" w:color="auto"/>
        <w:bottom w:val="none" w:sz="0" w:space="0" w:color="auto"/>
        <w:right w:val="none" w:sz="0" w:space="0" w:color="auto"/>
      </w:divBdr>
    </w:div>
    <w:div w:id="1801651938">
      <w:bodyDiv w:val="1"/>
      <w:marLeft w:val="0"/>
      <w:marRight w:val="0"/>
      <w:marTop w:val="0"/>
      <w:marBottom w:val="0"/>
      <w:divBdr>
        <w:top w:val="none" w:sz="0" w:space="0" w:color="auto"/>
        <w:left w:val="none" w:sz="0" w:space="0" w:color="auto"/>
        <w:bottom w:val="none" w:sz="0" w:space="0" w:color="auto"/>
        <w:right w:val="none" w:sz="0" w:space="0" w:color="auto"/>
      </w:divBdr>
    </w:div>
    <w:div w:id="1807313522">
      <w:bodyDiv w:val="1"/>
      <w:marLeft w:val="0"/>
      <w:marRight w:val="0"/>
      <w:marTop w:val="0"/>
      <w:marBottom w:val="0"/>
      <w:divBdr>
        <w:top w:val="none" w:sz="0" w:space="0" w:color="auto"/>
        <w:left w:val="none" w:sz="0" w:space="0" w:color="auto"/>
        <w:bottom w:val="none" w:sz="0" w:space="0" w:color="auto"/>
        <w:right w:val="none" w:sz="0" w:space="0" w:color="auto"/>
      </w:divBdr>
    </w:div>
    <w:div w:id="1821535368">
      <w:bodyDiv w:val="1"/>
      <w:marLeft w:val="0"/>
      <w:marRight w:val="0"/>
      <w:marTop w:val="0"/>
      <w:marBottom w:val="0"/>
      <w:divBdr>
        <w:top w:val="none" w:sz="0" w:space="0" w:color="auto"/>
        <w:left w:val="none" w:sz="0" w:space="0" w:color="auto"/>
        <w:bottom w:val="none" w:sz="0" w:space="0" w:color="auto"/>
        <w:right w:val="none" w:sz="0" w:space="0" w:color="auto"/>
      </w:divBdr>
    </w:div>
    <w:div w:id="1968506592">
      <w:bodyDiv w:val="1"/>
      <w:marLeft w:val="0"/>
      <w:marRight w:val="0"/>
      <w:marTop w:val="0"/>
      <w:marBottom w:val="0"/>
      <w:divBdr>
        <w:top w:val="none" w:sz="0" w:space="0" w:color="auto"/>
        <w:left w:val="none" w:sz="0" w:space="0" w:color="auto"/>
        <w:bottom w:val="none" w:sz="0" w:space="0" w:color="auto"/>
        <w:right w:val="none" w:sz="0" w:space="0" w:color="auto"/>
      </w:divBdr>
    </w:div>
    <w:div w:id="20226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silverspringnet.com/article/accelerating-outage-restoration-with-smart-grid-technology/" TargetMode="External"/><Relationship Id="rId13" Type="http://schemas.openxmlformats.org/officeDocument/2006/relationships/hyperlink" Target="http://www.bchydro.com/content/dam/BCHydro/customer-portal/documents/projects/smart-metering/smi-program-business-case.pdf" TargetMode="External"/><Relationship Id="rId18" Type="http://schemas.openxmlformats.org/officeDocument/2006/relationships/hyperlink" Target="http://nuwnotes1.nu.com/apps/clp/clpwebcontent.nsf/AR/appendices/$File/appendices.pdf" TargetMode="External"/><Relationship Id="rId3" Type="http://schemas.openxmlformats.org/officeDocument/2006/relationships/hyperlink" Target="http://www.sdge.com/newsroom/press-releases/2012-11-14/sdge-launches-advanced-outage-management-system-benefit-region" TargetMode="External"/><Relationship Id="rId7" Type="http://schemas.openxmlformats.org/officeDocument/2006/relationships/hyperlink" Target="http://www.greentechmedia.com/articles/read/pges-smart-grid-plans-for-shorter-power-outages" TargetMode="External"/><Relationship Id="rId12" Type="http://schemas.openxmlformats.org/officeDocument/2006/relationships/hyperlink" Target="http://finance-commerce.com/2014/09/sustainable-reducing-energy-use-through-behavioral-science/" TargetMode="External"/><Relationship Id="rId17" Type="http://schemas.openxmlformats.org/officeDocument/2006/relationships/hyperlink" Target="http://sites.energetics.com/madri/toolbox/pdfs/business_cases/sdge_supplemental.pdf" TargetMode="External"/><Relationship Id="rId2" Type="http://schemas.openxmlformats.org/officeDocument/2006/relationships/hyperlink" Target="http://tdworld.com/distribution-management-systems/amr-improves-outage-management" TargetMode="External"/><Relationship Id="rId16" Type="http://schemas.openxmlformats.org/officeDocument/2006/relationships/hyperlink" Target="http://www.electricenergyonline.com/show_article.php?mag=&amp;article=456" TargetMode="External"/><Relationship Id="rId1" Type="http://schemas.openxmlformats.org/officeDocument/2006/relationships/hyperlink" Target="http://www.onpower.com/pdf/EPRICostOfPowerProblems.pdf" TargetMode="External"/><Relationship Id="rId6" Type="http://schemas.openxmlformats.org/officeDocument/2006/relationships/hyperlink" Target="http://www.fpl.com/energysmart/pdf/esf3.pdf" TargetMode="External"/><Relationship Id="rId11" Type="http://schemas.openxmlformats.org/officeDocument/2006/relationships/hyperlink" Target="http://www.slideshare.net/breakingnews/unlocking-energy-efficiency-in-the-us-economy-1789726" TargetMode="External"/><Relationship Id="rId5" Type="http://schemas.openxmlformats.org/officeDocument/2006/relationships/hyperlink" Target="http://www.seattle.gov/light/ami/benefits.asp" TargetMode="External"/><Relationship Id="rId15" Type="http://schemas.openxmlformats.org/officeDocument/2006/relationships/hyperlink" Target="http://www.accenture.com/SiteCollectionDocuments/PDF/Accenture-Achieving-High-Performance-with-Theft-Analytics.pdf" TargetMode="External"/><Relationship Id="rId10" Type="http://schemas.openxmlformats.org/officeDocument/2006/relationships/hyperlink" Target="http://www.bchydro.com/content/dam/BCHydro/customer-portal/documents/projects/smart-metering/smi-program-business-case.pdf" TargetMode="External"/><Relationship Id="rId4" Type="http://schemas.openxmlformats.org/officeDocument/2006/relationships/hyperlink" Target="http://www.silverspringnet.com/outage/pdfs/SilverSpring-Whitepaper-Outage.pdf" TargetMode="External"/><Relationship Id="rId9" Type="http://schemas.openxmlformats.org/officeDocument/2006/relationships/hyperlink" Target="http://www.slideshare.net/breakingnews/unlocking-energy-efficiency-in-the-us-economy-1789726" TargetMode="External"/><Relationship Id="rId14" Type="http://schemas.openxmlformats.org/officeDocument/2006/relationships/hyperlink" Target="http://www.intelligentutility.com/article/12/02/behavioral-approaches-energy-conservation-pay&amp;utm_medium=eNL&amp;utm_campaign=IU_DAILY2&amp;utm_term=Original-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overPageProperties xmlns="http://schemas.microsoft.com/office/2006/coverPageProps">
  <PublishDate>2015-02-06T00:00:00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A6A0037-8FEE-403F-A39C-42B823EB9D89}"/>
</file>

<file path=customXml/itemProps2.xml><?xml version="1.0" encoding="utf-8"?>
<ds:datastoreItem xmlns:ds="http://schemas.openxmlformats.org/officeDocument/2006/customXml" ds:itemID="{D1C4F25D-DAC3-46B2-AC6D-809CE80E88B1}"/>
</file>

<file path=customXml/itemProps3.xml><?xml version="1.0" encoding="utf-8"?>
<ds:datastoreItem xmlns:ds="http://schemas.openxmlformats.org/officeDocument/2006/customXml" ds:itemID="{018F27E3-875B-4DDA-9769-5B9C68831ED1}"/>
</file>

<file path=customXml/itemProps4.xml><?xml version="1.0" encoding="utf-8"?>
<ds:datastoreItem xmlns:ds="http://schemas.openxmlformats.org/officeDocument/2006/customXml" ds:itemID="{C4CA2D24-4B07-48E7-8920-BE072D79F86A}"/>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E3C417D5-EB3C-40B7-9BB1-1FBBEA3319D3}"/>
</file>

<file path=docProps/app.xml><?xml version="1.0" encoding="utf-8"?>
<Properties xmlns="http://schemas.openxmlformats.org/officeDocument/2006/extended-properties" xmlns:vt="http://schemas.openxmlformats.org/officeDocument/2006/docPropsVTypes">
  <Template>Normal</Template>
  <TotalTime>0</TotalTime>
  <Pages>23</Pages>
  <Words>9290</Words>
  <Characters>46908</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Washington Advanced Metering Project – Business Case</vt:lpstr>
    </vt:vector>
  </TitlesOfParts>
  <Company>Avista Corporation</Company>
  <LinksUpToDate>false</LinksUpToDate>
  <CharactersWithSpaces>56086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Advanced Metering Project – Business Case</dc:title>
  <dc:creator>ll4710</dc:creator>
  <cp:lastModifiedBy>ll4710</cp:lastModifiedBy>
  <cp:revision>2</cp:revision>
  <cp:lastPrinted>2015-02-06T16:56:00Z</cp:lastPrinted>
  <dcterms:created xsi:type="dcterms:W3CDTF">2015-02-06T17:02:00Z</dcterms:created>
  <dcterms:modified xsi:type="dcterms:W3CDTF">2015-02-06T17:02:00Z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