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884795">
        <w:rPr>
          <w:rFonts w:ascii="Times New Roman" w:hAnsi="Times New Roman"/>
          <w:b/>
          <w:sz w:val="24"/>
        </w:rPr>
        <w:t xml:space="preserve"> Market Purchases-</w:t>
      </w:r>
      <w:r>
        <w:rPr>
          <w:rFonts w:ascii="Times New Roman" w:hAnsi="Times New Roman"/>
          <w:b/>
          <w:sz w:val="24"/>
        </w:rPr>
        <w:t xml:space="preserve">Physical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 as of </w:t>
      </w:r>
      <w:r w:rsidR="004520A7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 for the pro forma period as of </w:t>
      </w:r>
      <w:r w:rsidR="004520A7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sz w:val="24"/>
        </w:rPr>
        <w:t>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Rocky Reach</w:t>
      </w:r>
      <w:r>
        <w:rPr>
          <w:rFonts w:ascii="Times New Roman" w:hAnsi="Times New Roman"/>
          <w:sz w:val="24"/>
        </w:rPr>
        <w:t xml:space="preserve">  - 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cost for Rocky Rea</w:t>
      </w:r>
      <w:r w:rsidR="004A6FA4">
        <w:rPr>
          <w:rFonts w:ascii="Times New Roman" w:hAnsi="Times New Roman"/>
          <w:sz w:val="24"/>
        </w:rPr>
        <w:t xml:space="preserve">ch is </w:t>
      </w:r>
      <w:r w:rsidR="0098074F">
        <w:rPr>
          <w:rFonts w:ascii="Times New Roman" w:hAnsi="Times New Roman"/>
          <w:sz w:val="24"/>
        </w:rPr>
        <w:t>$0 because t</w:t>
      </w:r>
      <w:r w:rsidR="00987C04">
        <w:rPr>
          <w:rFonts w:ascii="Times New Roman" w:hAnsi="Times New Roman"/>
          <w:sz w:val="24"/>
        </w:rPr>
        <w:t xml:space="preserve">he contract </w:t>
      </w:r>
      <w:r w:rsidR="0098074F">
        <w:rPr>
          <w:rFonts w:ascii="Times New Roman" w:hAnsi="Times New Roman"/>
          <w:sz w:val="24"/>
        </w:rPr>
        <w:t>end</w:t>
      </w:r>
      <w:r w:rsidR="00987C04">
        <w:rPr>
          <w:rFonts w:ascii="Times New Roman" w:hAnsi="Times New Roman"/>
          <w:sz w:val="24"/>
        </w:rPr>
        <w:t>s 10-31-11.</w:t>
      </w:r>
    </w:p>
    <w:p w:rsidR="0098074F" w:rsidRDefault="0098074F" w:rsidP="0098074F">
      <w:pPr>
        <w:pStyle w:val="ListParagrap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 </w:t>
      </w:r>
      <w:r w:rsidR="00C0102A">
        <w:rPr>
          <w:rFonts w:ascii="Times New Roman" w:hAnsi="Times New Roman"/>
          <w:sz w:val="24"/>
        </w:rPr>
        <w:t>purchase of a portion of Rocky Reach and Rock Island generation beginning July 1, 2011.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The 20</w:t>
      </w:r>
      <w:r w:rsidR="00FC770C">
        <w:rPr>
          <w:rFonts w:ascii="Times New Roman" w:hAnsi="Times New Roman"/>
          <w:sz w:val="24"/>
        </w:rPr>
        <w:t>1</w:t>
      </w:r>
      <w:r w:rsidR="004520A7">
        <w:rPr>
          <w:rFonts w:ascii="Times New Roman" w:hAnsi="Times New Roman"/>
          <w:sz w:val="24"/>
        </w:rPr>
        <w:t>1</w:t>
      </w:r>
      <w:r w:rsidR="00FC770C">
        <w:rPr>
          <w:rFonts w:ascii="Times New Roman" w:hAnsi="Times New Roman"/>
          <w:sz w:val="24"/>
        </w:rPr>
        <w:t xml:space="preserve"> test-</w:t>
      </w:r>
      <w:r>
        <w:rPr>
          <w:rFonts w:ascii="Times New Roman" w:hAnsi="Times New Roman"/>
          <w:sz w:val="24"/>
        </w:rPr>
        <w:t>year included 4.5% of Well’s output purchased from the Colvi</w:t>
      </w:r>
      <w:r w:rsidR="00FC770C">
        <w:rPr>
          <w:rFonts w:ascii="Times New Roman" w:hAnsi="Times New Roman"/>
          <w:sz w:val="24"/>
        </w:rPr>
        <w:t>lle Indian Tribe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Grant Displacement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>The 201</w:t>
      </w:r>
      <w:r w:rsidR="004520A7">
        <w:rPr>
          <w:rFonts w:ascii="Times New Roman" w:hAnsi="Times New Roman"/>
          <w:sz w:val="24"/>
        </w:rPr>
        <w:t>1</w:t>
      </w:r>
      <w:r w:rsidR="00FC770C">
        <w:rPr>
          <w:rFonts w:ascii="Times New Roman" w:hAnsi="Times New Roman"/>
          <w:sz w:val="24"/>
        </w:rPr>
        <w:t xml:space="preserve"> test-year expense </w:t>
      </w:r>
      <w:r w:rsidR="003B4CD0">
        <w:rPr>
          <w:rFonts w:ascii="Times New Roman" w:hAnsi="Times New Roman"/>
          <w:sz w:val="24"/>
        </w:rPr>
        <w:t xml:space="preserve">included a purchase from </w:t>
      </w:r>
      <w:r>
        <w:rPr>
          <w:rFonts w:ascii="Times New Roman" w:hAnsi="Times New Roman"/>
          <w:sz w:val="24"/>
        </w:rPr>
        <w:t>Grant PUD t</w:t>
      </w:r>
      <w:r w:rsidR="00DD358A">
        <w:rPr>
          <w:rFonts w:ascii="Times New Roman" w:hAnsi="Times New Roman"/>
          <w:sz w:val="24"/>
        </w:rPr>
        <w:t xml:space="preserve">hat </w:t>
      </w:r>
      <w:r w:rsidR="004520A7">
        <w:rPr>
          <w:rFonts w:ascii="Times New Roman" w:hAnsi="Times New Roman"/>
          <w:sz w:val="24"/>
        </w:rPr>
        <w:t>ended</w:t>
      </w:r>
      <w:r w:rsidR="00987C04">
        <w:rPr>
          <w:rFonts w:ascii="Times New Roman" w:hAnsi="Times New Roman"/>
          <w:sz w:val="24"/>
        </w:rPr>
        <w:t xml:space="preserve"> 9-30-11.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Douglas</w:t>
        </w:r>
      </w:smartTag>
      <w:r>
        <w:rPr>
          <w:rFonts w:ascii="Times New Roman" w:hAnsi="Times New Roman"/>
          <w:b/>
          <w:sz w:val="24"/>
        </w:rPr>
        <w:t xml:space="preserve">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Lancaster BPA Reserves </w:t>
      </w:r>
      <w:r>
        <w:rPr>
          <w:rFonts w:ascii="Times New Roman" w:hAnsi="Times New Roman"/>
          <w:sz w:val="24"/>
        </w:rPr>
        <w:t>–</w:t>
      </w:r>
      <w:r w:rsidR="00E620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E620F8">
        <w:rPr>
          <w:rFonts w:ascii="Times New Roman" w:hAnsi="Times New Roman"/>
          <w:sz w:val="24"/>
        </w:rPr>
        <w:t xml:space="preserve">pro forma </w:t>
      </w:r>
      <w:r>
        <w:rPr>
          <w:rFonts w:ascii="Times New Roman" w:hAnsi="Times New Roman"/>
          <w:sz w:val="24"/>
        </w:rPr>
        <w:t xml:space="preserve">expense is </w:t>
      </w:r>
      <w:r w:rsidR="00E620F8">
        <w:rPr>
          <w:rFonts w:ascii="Times New Roman" w:hAnsi="Times New Roman"/>
          <w:sz w:val="24"/>
        </w:rPr>
        <w:t>$0 because Lancaster was moved (electronically) into Avista’s balancing authority on March 29, 2011 so purc</w:t>
      </w:r>
      <w:r w:rsidR="004B25DF">
        <w:rPr>
          <w:rFonts w:ascii="Times New Roman" w:hAnsi="Times New Roman"/>
          <w:sz w:val="24"/>
        </w:rPr>
        <w:t>hases of generation reserves fro</w:t>
      </w:r>
      <w:r w:rsidR="00E620F8">
        <w:rPr>
          <w:rFonts w:ascii="Times New Roman" w:hAnsi="Times New Roman"/>
          <w:sz w:val="24"/>
        </w:rPr>
        <w:t xml:space="preserve">m BPA are </w:t>
      </w:r>
      <w:r w:rsidR="009F69CB">
        <w:rPr>
          <w:rFonts w:ascii="Times New Roman" w:hAnsi="Times New Roman"/>
          <w:sz w:val="24"/>
        </w:rPr>
        <w:t xml:space="preserve">no </w:t>
      </w:r>
      <w:r w:rsidR="00E620F8">
        <w:rPr>
          <w:rFonts w:ascii="Times New Roman" w:hAnsi="Times New Roman"/>
          <w:sz w:val="24"/>
        </w:rPr>
        <w:t>longer required</w:t>
      </w:r>
      <w:r>
        <w:rPr>
          <w:rFonts w:ascii="Times New Roman" w:hAnsi="Times New Roman"/>
          <w:sz w:val="24"/>
        </w:rPr>
        <w:t>.</w:t>
      </w:r>
    </w:p>
    <w:p w:rsidR="009F69CB" w:rsidRDefault="009F69CB" w:rsidP="009F69CB">
      <w:pPr>
        <w:pStyle w:val="ListParagraph"/>
        <w:rPr>
          <w:rFonts w:ascii="Times New Roman" w:hAnsi="Times New Roman"/>
          <w:sz w:val="24"/>
        </w:rPr>
      </w:pPr>
    </w:p>
    <w:p w:rsidR="009F69CB" w:rsidRDefault="009F69CB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F69CB">
        <w:rPr>
          <w:rFonts w:ascii="Times New Roman" w:hAnsi="Times New Roman"/>
          <w:b/>
          <w:sz w:val="24"/>
        </w:rPr>
        <w:t>Palouse Wind</w:t>
      </w:r>
      <w:r>
        <w:rPr>
          <w:rFonts w:ascii="Times New Roman" w:hAnsi="Times New Roman"/>
          <w:sz w:val="24"/>
        </w:rPr>
        <w:t xml:space="preserve"> – Pro forma expense is based on expected generation and the pro forma period contract rate including the adder for apprenticeship credit.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</w:t>
      </w:r>
      <w:r w:rsidR="009F69C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through 20</w:t>
      </w:r>
      <w:r w:rsidR="00112399">
        <w:rPr>
          <w:rFonts w:ascii="Times New Roman" w:hAnsi="Times New Roman"/>
          <w:sz w:val="24"/>
        </w:rPr>
        <w:t>1</w:t>
      </w:r>
      <w:r w:rsidR="009F69C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escalated at the 5-year average escalation rate to the pro forma period.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 xml:space="preserve">ng (at the plant) generation at </w:t>
      </w:r>
      <w:r w:rsidR="009F69CB">
        <w:rPr>
          <w:rFonts w:ascii="Times New Roman" w:hAnsi="Times New Roman"/>
          <w:sz w:val="24"/>
        </w:rPr>
        <w:t>the pro forma</w:t>
      </w:r>
      <w:r w:rsidR="00E620F8">
        <w:rPr>
          <w:rFonts w:ascii="Times New Roman" w:hAnsi="Times New Roman"/>
          <w:sz w:val="24"/>
        </w:rPr>
        <w:t xml:space="preserve"> contract</w:t>
      </w:r>
      <w:r w:rsidR="00972846">
        <w:rPr>
          <w:rFonts w:ascii="Times New Roman" w:hAnsi="Times New Roman"/>
          <w:sz w:val="24"/>
        </w:rPr>
        <w:t xml:space="preserve"> rate</w:t>
      </w:r>
      <w:r>
        <w:rPr>
          <w:rFonts w:ascii="Times New Roman" w:hAnsi="Times New Roman"/>
          <w:sz w:val="24"/>
        </w:rPr>
        <w:t>.</w:t>
      </w:r>
    </w:p>
    <w:p w:rsidR="00972846" w:rsidRDefault="00972846" w:rsidP="00972846">
      <w:pPr>
        <w:pStyle w:val="ListParagraph"/>
        <w:rPr>
          <w:rFonts w:ascii="Times New Roman" w:hAnsi="Times New Roman"/>
          <w:sz w:val="24"/>
        </w:rPr>
      </w:pPr>
    </w:p>
    <w:p w:rsidR="00972846" w:rsidRDefault="00972846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72846">
        <w:rPr>
          <w:rFonts w:ascii="Times New Roman" w:hAnsi="Times New Roman"/>
          <w:b/>
          <w:sz w:val="24"/>
        </w:rPr>
        <w:t>Spokane Waste-to-Energy</w:t>
      </w:r>
      <w:r>
        <w:rPr>
          <w:rFonts w:ascii="Times New Roman" w:hAnsi="Times New Roman"/>
          <w:sz w:val="24"/>
        </w:rPr>
        <w:t xml:space="preserve"> - Pro forma expense is based on a purchase of the plant generation at the pro forma contract rate.  This purchase began 1-1-12.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625A8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Black Creek Index Purchase</w:t>
      </w:r>
      <w:r>
        <w:rPr>
          <w:rFonts w:ascii="Times New Roman" w:hAnsi="Times New Roman"/>
          <w:sz w:val="24"/>
        </w:rPr>
        <w:t xml:space="preserve">  - </w:t>
      </w:r>
      <w:r w:rsidR="00E620F8">
        <w:rPr>
          <w:rFonts w:ascii="Times New Roman" w:hAnsi="Times New Roman"/>
          <w:sz w:val="24"/>
        </w:rPr>
        <w:t>Pro forma expense is $0 because the contract ended March 25, 2011</w:t>
      </w:r>
      <w:r w:rsidR="00F625A8">
        <w:rPr>
          <w:rFonts w:ascii="Times New Roman" w:hAnsi="Times New Roman"/>
          <w:sz w:val="24"/>
        </w:rPr>
        <w:t>.</w:t>
      </w:r>
    </w:p>
    <w:p w:rsidR="00F625A8" w:rsidRDefault="00F625A8" w:rsidP="00F625A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</w:t>
      </w:r>
      <w:r w:rsidR="00DF4E69">
        <w:rPr>
          <w:rFonts w:ascii="Times New Roman" w:hAnsi="Times New Roman"/>
          <w:b/>
          <w:sz w:val="24"/>
        </w:rPr>
        <w:t>Monetary</w:t>
      </w:r>
      <w:r w:rsidR="00DF4E69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32E5D" w:rsidRDefault="007804E3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Clearwater </w:t>
      </w:r>
      <w:r w:rsidR="00BE7675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aper</w:t>
      </w:r>
      <w:r w:rsidR="00CA37FA">
        <w:rPr>
          <w:rFonts w:ascii="Times New Roman" w:hAnsi="Times New Roman"/>
          <w:b/>
          <w:sz w:val="24"/>
        </w:rPr>
        <w:t xml:space="preserve"> Co</w:t>
      </w:r>
      <w:r w:rsidR="00CA37FA" w:rsidRPr="00B32E5D">
        <w:rPr>
          <w:rFonts w:ascii="Times New Roman" w:hAnsi="Times New Roman"/>
          <w:sz w:val="24"/>
        </w:rPr>
        <w:t>-</w:t>
      </w:r>
      <w:r w:rsidR="00CA37FA" w:rsidRPr="00B32E5D">
        <w:rPr>
          <w:rFonts w:ascii="Times New Roman" w:hAnsi="Times New Roman"/>
          <w:b/>
          <w:sz w:val="24"/>
        </w:rPr>
        <w:t xml:space="preserve">Gen Purchase </w:t>
      </w:r>
      <w:r w:rsidR="00CA37FA">
        <w:rPr>
          <w:rFonts w:ascii="Times New Roman" w:hAnsi="Times New Roman"/>
          <w:b/>
          <w:sz w:val="24"/>
        </w:rPr>
        <w:t xml:space="preserve">- </w:t>
      </w:r>
      <w:r w:rsidR="00CA37FA">
        <w:rPr>
          <w:rFonts w:ascii="Times New Roman" w:hAnsi="Times New Roman"/>
          <w:sz w:val="24"/>
        </w:rPr>
        <w:t>Pro forma expense is $0 because Potlatch purchase expense is directly assigned to the Idaho jurisdiction and is not included in system power supply expense.</w:t>
      </w:r>
    </w:p>
    <w:p w:rsidR="00B32E5D" w:rsidRDefault="00B32E5D" w:rsidP="00B32E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B9073E" w:rsidP="00E620F8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Stateline Wind Purchase</w:t>
      </w:r>
      <w:r w:rsidRPr="00E620F8"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 w:rsidRPr="00E620F8">
        <w:rPr>
          <w:rFonts w:ascii="Times New Roman" w:hAnsi="Times New Roman"/>
          <w:sz w:val="24"/>
        </w:rPr>
        <w:t xml:space="preserve"> </w:t>
      </w:r>
      <w:bookmarkStart w:id="0" w:name="OLE_LINK1"/>
      <w:r w:rsidRPr="00E620F8"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 w:rsidRPr="00E620F8">
        <w:rPr>
          <w:rFonts w:ascii="Times New Roman" w:hAnsi="Times New Roman"/>
          <w:sz w:val="24"/>
        </w:rPr>
        <w:t xml:space="preserve">forma expense </w:t>
      </w:r>
      <w:r w:rsidR="00972846">
        <w:rPr>
          <w:rFonts w:ascii="Times New Roman" w:hAnsi="Times New Roman"/>
          <w:sz w:val="24"/>
        </w:rPr>
        <w:t>based on 5-year average generation and the pro forma period contract rate less $1/MWh for the Renewable Energy Credit, which is assigned to the Buck-a-Block</w:t>
      </w:r>
      <w:r w:rsidR="00E620F8" w:rsidRPr="00E620F8">
        <w:rPr>
          <w:rFonts w:ascii="Times New Roman" w:hAnsi="Times New Roman"/>
          <w:sz w:val="24"/>
        </w:rPr>
        <w:t>.</w:t>
      </w:r>
      <w:bookmarkEnd w:id="0"/>
    </w:p>
    <w:p w:rsidR="00D35C34" w:rsidRDefault="00E620F8" w:rsidP="003516D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lastRenderedPageBreak/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 WA EIA </w:t>
      </w:r>
      <w:r w:rsidR="00F91AC4"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 </w:t>
      </w:r>
      <w:r w:rsidR="005D7BFC" w:rsidRPr="00063AA9">
        <w:rPr>
          <w:rFonts w:ascii="Times New Roman" w:hAnsi="Times New Roman"/>
          <w:sz w:val="24"/>
          <w:szCs w:val="24"/>
        </w:rPr>
        <w:t>E</w:t>
      </w:r>
      <w:r w:rsidR="00A7270B" w:rsidRPr="00063AA9">
        <w:rPr>
          <w:rFonts w:ascii="Times New Roman" w:hAnsi="Times New Roman"/>
          <w:sz w:val="24"/>
          <w:szCs w:val="24"/>
        </w:rPr>
        <w:t>xpen</w:t>
      </w:r>
      <w:r w:rsidR="005D7BFC" w:rsidRPr="00063AA9">
        <w:rPr>
          <w:rFonts w:ascii="Times New Roman" w:hAnsi="Times New Roman"/>
          <w:sz w:val="24"/>
          <w:szCs w:val="24"/>
        </w:rPr>
        <w:t xml:space="preserve">se </w:t>
      </w:r>
      <w:r w:rsidR="00F91AC4" w:rsidRPr="00063AA9">
        <w:rPr>
          <w:rFonts w:ascii="Times New Roman" w:hAnsi="Times New Roman"/>
          <w:sz w:val="24"/>
          <w:szCs w:val="24"/>
        </w:rPr>
        <w:t>is for the purchase of California certifiable renewable Energy Credits to support the SMUD Sale.</w:t>
      </w:r>
    </w:p>
    <w:p w:rsidR="00C5146E" w:rsidRDefault="00C5146E" w:rsidP="00C5146E">
      <w:pPr>
        <w:pStyle w:val="ListParagraph"/>
        <w:rPr>
          <w:rFonts w:ascii="Times New Roman" w:hAnsi="Times New Roman"/>
          <w:sz w:val="24"/>
          <w:szCs w:val="24"/>
        </w:rPr>
      </w:pPr>
    </w:p>
    <w:p w:rsidR="00C5146E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 </w:t>
      </w:r>
      <w:r w:rsidR="00C5146E" w:rsidRPr="00C5146E">
        <w:rPr>
          <w:rFonts w:ascii="Times New Roman" w:hAnsi="Times New Roman"/>
          <w:b/>
          <w:sz w:val="24"/>
          <w:szCs w:val="24"/>
        </w:rPr>
        <w:t>EIA REC Purchase –</w:t>
      </w:r>
      <w:r w:rsidR="00C5146E">
        <w:rPr>
          <w:rFonts w:ascii="Times New Roman" w:hAnsi="Times New Roman"/>
          <w:sz w:val="24"/>
          <w:szCs w:val="24"/>
        </w:rPr>
        <w:t xml:space="preserve"> This expense is for the purchase of Renewable Energy Credits to meet the requirements of Washington’s Energy Independence Act (EIA).</w:t>
      </w:r>
    </w:p>
    <w:p w:rsidR="008E4818" w:rsidRDefault="008E4818" w:rsidP="008E4818">
      <w:pPr>
        <w:pStyle w:val="ListParagraph"/>
        <w:rPr>
          <w:rFonts w:ascii="Times New Roman" w:hAnsi="Times New Roman"/>
          <w:sz w:val="24"/>
          <w:szCs w:val="24"/>
        </w:rPr>
      </w:pPr>
    </w:p>
    <w:p w:rsidR="008E4818" w:rsidRPr="00063AA9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8E4818">
        <w:rPr>
          <w:rFonts w:ascii="Times New Roman" w:hAnsi="Times New Roman"/>
          <w:b/>
          <w:sz w:val="24"/>
          <w:szCs w:val="24"/>
        </w:rPr>
        <w:t>Optional Renewable Power Expense Offset</w:t>
      </w:r>
      <w:r>
        <w:rPr>
          <w:rFonts w:ascii="Times New Roman" w:hAnsi="Times New Roman"/>
          <w:sz w:val="24"/>
          <w:szCs w:val="24"/>
        </w:rPr>
        <w:t xml:space="preserve"> – This test year credit was to remove the REC cost of the Stateline Wind purchase that was assigned to the Buck-a-Block program.  The pro forma credit is $0 because the Stateline Wind purchase expense already removes the REC expense.</w:t>
      </w:r>
    </w:p>
    <w:p w:rsidR="00F91AC4" w:rsidRPr="00F91AC4" w:rsidRDefault="00F91AC4" w:rsidP="00F91AC4"/>
    <w:p w:rsidR="00D35C34" w:rsidRDefault="0006187B" w:rsidP="008E4818">
      <w:pPr>
        <w:pStyle w:val="Heading2"/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8E4818">
        <w:rPr>
          <w:b w:val="0"/>
        </w:rPr>
        <w:t>This is the expense for natural gas purchased for but not consumed for generation.  Pro</w:t>
      </w:r>
      <w:r w:rsidR="00F8606A" w:rsidRPr="008E4818">
        <w:rPr>
          <w:b w:val="0"/>
        </w:rPr>
        <w:t xml:space="preserve"> </w:t>
      </w:r>
      <w:r w:rsidR="00D35C34" w:rsidRPr="008E4818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pStyle w:val="Heading2"/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91AC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</w:t>
      </w:r>
      <w:r w:rsidR="008E4818">
        <w:rPr>
          <w:rFonts w:ascii="Times New Roman" w:hAnsi="Times New Roman"/>
          <w:sz w:val="24"/>
        </w:rPr>
        <w:t xml:space="preserve">natural gas </w:t>
      </w:r>
      <w:r w:rsidR="00D35C34">
        <w:rPr>
          <w:rFonts w:ascii="Times New Roman" w:hAnsi="Times New Roman"/>
          <w:sz w:val="24"/>
        </w:rPr>
        <w:t xml:space="preserve">transportation </w:t>
      </w:r>
      <w:r w:rsidR="008E4818">
        <w:rPr>
          <w:rFonts w:ascii="Times New Roman" w:hAnsi="Times New Roman"/>
          <w:sz w:val="24"/>
        </w:rPr>
        <w:t>for</w:t>
      </w:r>
      <w:r w:rsidR="00D35C34">
        <w:rPr>
          <w:rFonts w:ascii="Times New Roman" w:hAnsi="Times New Roman"/>
          <w:sz w:val="24"/>
        </w:rPr>
        <w:t xml:space="preserve">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8E4818">
        <w:rPr>
          <w:rFonts w:ascii="Times New Roman" w:hAnsi="Times New Roman"/>
          <w:sz w:val="24"/>
        </w:rPr>
        <w:t xml:space="preserve"> – </w:t>
      </w:r>
      <w:r w:rsidR="00554C5D">
        <w:rPr>
          <w:rFonts w:ascii="Times New Roman" w:hAnsi="Times New Roman"/>
          <w:sz w:val="24"/>
        </w:rPr>
        <w:t xml:space="preserve">This expense is for natural gas transportation </w:t>
      </w:r>
      <w:r w:rsidR="008E4818">
        <w:rPr>
          <w:rFonts w:ascii="Times New Roman" w:hAnsi="Times New Roman"/>
          <w:sz w:val="24"/>
        </w:rPr>
        <w:t>for</w:t>
      </w:r>
      <w:r w:rsidR="00554C5D">
        <w:rPr>
          <w:rFonts w:ascii="Times New Roman" w:hAnsi="Times New Roman"/>
          <w:sz w:val="24"/>
        </w:rPr>
        <w:t xml:space="preserve"> the Lancaster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Gas Transportation Optimization </w:t>
      </w:r>
      <w:r w:rsidRPr="00EC7869">
        <w:rPr>
          <w:rFonts w:ascii="Times New Roman" w:hAnsi="Times New Roman"/>
          <w:sz w:val="24"/>
        </w:rPr>
        <w:t>-</w:t>
      </w:r>
      <w:r w:rsidR="008E48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This credit to expense is based on optimizing the gas transportation</w:t>
      </w:r>
      <w:r w:rsidR="00C65F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contracts for Coyote Springs 2 and Lancaster.</w:t>
      </w:r>
      <w:r w:rsidR="00C65F3C">
        <w:rPr>
          <w:rFonts w:ascii="Times New Roman" w:hAnsi="Times New Roman"/>
          <w:sz w:val="24"/>
        </w:rPr>
        <w:t xml:space="preserve">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 w:rsidR="00C65F3C">
            <w:rPr>
              <w:rFonts w:ascii="Times New Roman" w:hAnsi="Times New Roman"/>
              <w:sz w:val="24"/>
            </w:rPr>
            <w:t>Canada</w:t>
          </w:r>
        </w:smartTag>
      </w:smartTag>
      <w:r w:rsidR="00C65F3C">
        <w:rPr>
          <w:rFonts w:ascii="Times New Roman" w:hAnsi="Times New Roman"/>
          <w:sz w:val="24"/>
        </w:rPr>
        <w:t>) and Malin.</w:t>
      </w:r>
    </w:p>
    <w:p w:rsidR="00D73357" w:rsidRDefault="00D73357" w:rsidP="00D7335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73357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Physical Gas Transaction </w:t>
      </w:r>
      <w:r w:rsidR="00D73357">
        <w:rPr>
          <w:rFonts w:ascii="Times New Roman" w:hAnsi="Times New Roman"/>
          <w:b/>
          <w:sz w:val="24"/>
        </w:rPr>
        <w:t xml:space="preserve">M-to-M – </w:t>
      </w:r>
      <w:r w:rsidR="00D73357">
        <w:rPr>
          <w:rFonts w:ascii="Times New Roman" w:hAnsi="Times New Roman"/>
          <w:sz w:val="24"/>
        </w:rPr>
        <w:t>Mark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>to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 xml:space="preserve">model price expense of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entered into for the pro forma period as of </w:t>
      </w:r>
      <w:r w:rsidR="00FA3BD9">
        <w:rPr>
          <w:rFonts w:ascii="Times New Roman" w:hAnsi="Times New Roman"/>
          <w:sz w:val="24"/>
        </w:rPr>
        <w:t>01-20-12</w:t>
      </w:r>
      <w:r w:rsidR="00D73357">
        <w:rPr>
          <w:rFonts w:ascii="Times New Roman" w:hAnsi="Times New Roman"/>
          <w:sz w:val="24"/>
        </w:rPr>
        <w:t xml:space="preserve">.  The number is </w:t>
      </w:r>
      <w:r>
        <w:rPr>
          <w:rFonts w:ascii="Times New Roman" w:hAnsi="Times New Roman"/>
          <w:sz w:val="24"/>
        </w:rPr>
        <w:t>positive</w:t>
      </w:r>
      <w:r w:rsidR="00D73357">
        <w:rPr>
          <w:rFonts w:ascii="Times New Roman" w:hAnsi="Times New Roman"/>
          <w:sz w:val="24"/>
        </w:rPr>
        <w:t xml:space="preserve"> because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are at a </w:t>
      </w:r>
      <w:r>
        <w:rPr>
          <w:rFonts w:ascii="Times New Roman" w:hAnsi="Times New Roman"/>
          <w:sz w:val="24"/>
        </w:rPr>
        <w:t>higher</w:t>
      </w:r>
      <w:r w:rsidR="00D73357">
        <w:rPr>
          <w:rFonts w:ascii="Times New Roman" w:hAnsi="Times New Roman"/>
          <w:sz w:val="24"/>
        </w:rPr>
        <w:t xml:space="preserve"> price</w:t>
      </w:r>
      <w:r>
        <w:rPr>
          <w:rFonts w:ascii="Times New Roman" w:hAnsi="Times New Roman"/>
          <w:sz w:val="24"/>
        </w:rPr>
        <w:t xml:space="preserve"> or sales are at a lower price</w:t>
      </w:r>
      <w:r w:rsidR="00D73357">
        <w:rPr>
          <w:rFonts w:ascii="Times New Roman" w:hAnsi="Times New Roman"/>
          <w:sz w:val="24"/>
        </w:rPr>
        <w:t xml:space="preserve">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 xml:space="preserve">Mark-to-model price expense of actual financial gas purchases entered into for the pro forma period as of </w:t>
      </w:r>
      <w:r w:rsidR="00FA3BD9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sz w:val="24"/>
        </w:rPr>
        <w:t>.  The number is negative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cial gas purchases are at a lower price or sales are at a higher price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(including test firing)</w:t>
      </w:r>
      <w:r w:rsidR="00D35C34">
        <w:rPr>
          <w:rFonts w:ascii="Times New Roman" w:hAnsi="Times New Roman"/>
          <w:sz w:val="24"/>
        </w:rPr>
        <w:t>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D7285B">
        <w:rPr>
          <w:rFonts w:ascii="Times New Roman" w:hAnsi="Times New Roman"/>
          <w:sz w:val="24"/>
        </w:rPr>
        <w:t>n 32.22 MW at a rate of $2.0</w:t>
      </w:r>
      <w:r w:rsidR="00D21703">
        <w:rPr>
          <w:rFonts w:ascii="Times New Roman" w:hAnsi="Times New Roman"/>
          <w:sz w:val="24"/>
        </w:rPr>
        <w:t>4</w:t>
      </w:r>
      <w:r w:rsidR="009210E2">
        <w:rPr>
          <w:rFonts w:ascii="Times New Roman" w:hAnsi="Times New Roman"/>
          <w:sz w:val="24"/>
        </w:rPr>
        <w:t>/</w:t>
      </w:r>
      <w:r w:rsidR="00FA3BD9">
        <w:rPr>
          <w:rFonts w:ascii="Times New Roman" w:hAnsi="Times New Roman"/>
          <w:sz w:val="24"/>
        </w:rPr>
        <w:t>kW/mo through 9-30-13 and $2.20/kW/mo 10-1-13 through 12-31-13 based on BPA’s proposed rate increase.</w:t>
      </w:r>
    </w:p>
    <w:p w:rsidR="009210E2" w:rsidRDefault="009210E2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Black Creek Wheeling – </w:t>
      </w:r>
      <w:r w:rsidR="00174D9E">
        <w:rPr>
          <w:rFonts w:ascii="Times New Roman" w:hAnsi="Times New Roman"/>
          <w:sz w:val="24"/>
        </w:rPr>
        <w:t>Pro forma expense is $0 because the contract ended March 25, 2011.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>
      <w:pPr>
        <w:pStyle w:val="Heading2"/>
        <w:tabs>
          <w:tab w:val="clear" w:pos="450"/>
          <w:tab w:val="center" w:pos="360"/>
        </w:tabs>
        <w:ind w:hanging="540"/>
        <w:rPr>
          <w:b w:val="0"/>
        </w:rPr>
      </w:pPr>
      <w:r>
        <w:t>PTP for Colstrip and Coyotes Springs 2</w:t>
      </w:r>
      <w:r w:rsidR="00F6198E">
        <w:t xml:space="preserve"> and Lancaster</w:t>
      </w:r>
      <w:r>
        <w:t xml:space="preserve">– </w:t>
      </w:r>
      <w:r>
        <w:rPr>
          <w:b w:val="0"/>
        </w:rPr>
        <w:t>This wheeling is for the transmission of 196 MW from Colstrip</w:t>
      </w:r>
      <w:r w:rsidR="00F6198E">
        <w:rPr>
          <w:b w:val="0"/>
        </w:rPr>
        <w:t>,</w:t>
      </w:r>
      <w:r>
        <w:rPr>
          <w:b w:val="0"/>
        </w:rPr>
        <w:t xml:space="preserve"> </w:t>
      </w:r>
      <w:r w:rsidR="00D27A5F">
        <w:rPr>
          <w:b w:val="0"/>
        </w:rPr>
        <w:t>2</w:t>
      </w:r>
      <w:r w:rsidR="00996516">
        <w:rPr>
          <w:b w:val="0"/>
        </w:rPr>
        <w:t>72</w:t>
      </w:r>
      <w:r>
        <w:rPr>
          <w:b w:val="0"/>
        </w:rPr>
        <w:t xml:space="preserve"> MW from Coyote Springs 2 </w:t>
      </w:r>
      <w:r w:rsidR="00F6198E">
        <w:rPr>
          <w:b w:val="0"/>
        </w:rPr>
        <w:t>and 250 MW from Lancaster</w:t>
      </w:r>
      <w:r>
        <w:rPr>
          <w:b w:val="0"/>
        </w:rPr>
        <w:t>.</w:t>
      </w:r>
      <w:r>
        <w:t xml:space="preserve"> 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</w:t>
      </w:r>
      <w:r w:rsidR="00F6198E">
        <w:rPr>
          <w:b w:val="0"/>
        </w:rPr>
        <w:t>718</w:t>
      </w:r>
      <w:r>
        <w:rPr>
          <w:b w:val="0"/>
        </w:rPr>
        <w:t xml:space="preserve"> MW of capacity at a rate of $1.</w:t>
      </w:r>
      <w:r w:rsidR="00D27A5F">
        <w:rPr>
          <w:b w:val="0"/>
        </w:rPr>
        <w:t>50</w:t>
      </w:r>
      <w:r w:rsidR="00D21703">
        <w:rPr>
          <w:b w:val="0"/>
        </w:rPr>
        <w:t>1</w:t>
      </w:r>
      <w:r>
        <w:rPr>
          <w:b w:val="0"/>
        </w:rPr>
        <w:t>/kW/mo</w:t>
      </w:r>
      <w:r w:rsidR="00996516">
        <w:rPr>
          <w:b w:val="0"/>
        </w:rPr>
        <w:t>.</w:t>
      </w:r>
      <w:r w:rsidR="00F6198E" w:rsidRPr="00F6198E">
        <w:t xml:space="preserve"> </w:t>
      </w:r>
      <w:r w:rsidR="00F6198E" w:rsidRPr="00F6198E">
        <w:rPr>
          <w:b w:val="0"/>
        </w:rPr>
        <w:t>through 9-30-13 and $</w:t>
      </w:r>
      <w:r w:rsidR="00F6198E">
        <w:rPr>
          <w:b w:val="0"/>
        </w:rPr>
        <w:t>1.622</w:t>
      </w:r>
      <w:r w:rsidR="00F6198E" w:rsidRPr="00F6198E">
        <w:rPr>
          <w:b w:val="0"/>
        </w:rPr>
        <w:t>/kW/mo 10-1-13 through 12-31-13 based on BPA’s proposed rate increase</w:t>
      </w:r>
      <w:r w:rsidR="00F6198E">
        <w:rPr>
          <w:b w:val="0"/>
        </w:rPr>
        <w:t>.</w:t>
      </w:r>
    </w:p>
    <w:p w:rsidR="008F60AC" w:rsidRPr="008F60AC" w:rsidRDefault="008F60AC" w:rsidP="008F60AC"/>
    <w:p w:rsidR="00D35C34" w:rsidRDefault="008A4E06" w:rsidP="008A4E0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  <w:r w:rsidR="00F6198E">
        <w:rPr>
          <w:rFonts w:ascii="Times New Roman" w:hAnsi="Times New Roman"/>
          <w:sz w:val="24"/>
        </w:rPr>
        <w:t xml:space="preserve">  Pro from expense is based on test-year expense through 9-30-13 and is increased by 2.89% for </w:t>
      </w:r>
      <w:r w:rsidR="00F6198E" w:rsidRPr="00F6198E">
        <w:rPr>
          <w:rFonts w:ascii="Times New Roman" w:hAnsi="Times New Roman"/>
          <w:sz w:val="24"/>
        </w:rPr>
        <w:t>10-1-13 through 12-31-13 based on BPA’s proposed rate increase</w:t>
      </w:r>
      <w:r w:rsidR="00F6198E" w:rsidRPr="00F6198E"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381797">
      <w:pPr>
        <w:pStyle w:val="Heading2"/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Garrison Burke</w:t>
      </w:r>
      <w:r w:rsidR="00D35C34">
        <w:t xml:space="preserve"> – </w:t>
      </w:r>
      <w:r>
        <w:rPr>
          <w:b w:val="0"/>
        </w:rPr>
        <w:t>Garrison Burke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Wheeling – </w:t>
      </w:r>
      <w:r>
        <w:rPr>
          <w:rFonts w:ascii="Times New Roman" w:hAnsi="Times New Roman"/>
          <w:sz w:val="24"/>
        </w:rPr>
        <w:t>PGE Firm wheeling reflects the cost of transmission from the John Day substation to COB (Intertie South) purchased f</w:t>
      </w:r>
      <w:r w:rsidR="00BC5C64">
        <w:rPr>
          <w:rFonts w:ascii="Times New Roman" w:hAnsi="Times New Roman"/>
          <w:sz w:val="24"/>
        </w:rPr>
        <w:t>rom Portland General Electric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70189C"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</w:t>
      </w:r>
      <w:r w:rsidR="00BC5C6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BC5C64">
        <w:rPr>
          <w:rFonts w:ascii="Times New Roman" w:hAnsi="Times New Roman"/>
          <w:sz w:val="24"/>
        </w:rPr>
        <w:t>2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6A1F7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Municipal Payment</w:t>
      </w:r>
      <w:r w:rsidR="00D93841">
        <w:rPr>
          <w:rFonts w:ascii="Times New Roman" w:hAnsi="Times New Roman"/>
          <w:sz w:val="24"/>
        </w:rPr>
        <w:t xml:space="preserve"> – This includes a </w:t>
      </w:r>
      <w:r>
        <w:rPr>
          <w:rFonts w:ascii="Times New Roman" w:hAnsi="Times New Roman"/>
          <w:sz w:val="24"/>
        </w:rPr>
        <w:t xml:space="preserve">payment </w:t>
      </w:r>
      <w:r w:rsidR="00D93841">
        <w:rPr>
          <w:rFonts w:ascii="Times New Roman" w:hAnsi="Times New Roman"/>
          <w:sz w:val="24"/>
        </w:rPr>
        <w:t>in Jan. 20</w:t>
      </w:r>
      <w:r w:rsidR="00AD7FFA">
        <w:rPr>
          <w:rFonts w:ascii="Times New Roman" w:hAnsi="Times New Roman"/>
          <w:sz w:val="24"/>
        </w:rPr>
        <w:t>1</w:t>
      </w:r>
      <w:r w:rsidR="002D7F87">
        <w:rPr>
          <w:rFonts w:ascii="Times New Roman" w:hAnsi="Times New Roman"/>
          <w:sz w:val="24"/>
        </w:rPr>
        <w:t>1</w:t>
      </w:r>
      <w:r w:rsidR="00D93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 $</w:t>
      </w:r>
      <w:r w:rsidR="00D93841">
        <w:rPr>
          <w:rFonts w:ascii="Times New Roman" w:hAnsi="Times New Roman"/>
          <w:sz w:val="24"/>
        </w:rPr>
        <w:t>1</w:t>
      </w:r>
      <w:r w:rsidR="00EB6EC9">
        <w:rPr>
          <w:rFonts w:ascii="Times New Roman" w:hAnsi="Times New Roman"/>
          <w:sz w:val="24"/>
        </w:rPr>
        <w:t>60</w:t>
      </w:r>
      <w:r w:rsidR="006A1F71">
        <w:rPr>
          <w:rFonts w:ascii="Times New Roman" w:hAnsi="Times New Roman"/>
          <w:sz w:val="24"/>
        </w:rPr>
        <w:t xml:space="preserve">,000 </w:t>
      </w:r>
      <w:r>
        <w:rPr>
          <w:rFonts w:ascii="Times New Roman" w:hAnsi="Times New Roman"/>
          <w:sz w:val="24"/>
        </w:rPr>
        <w:t xml:space="preserve">to the 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Rathdrum</w:t>
          </w:r>
        </w:smartTag>
      </w:smartTag>
      <w:r>
        <w:rPr>
          <w:rFonts w:ascii="Times New Roman" w:hAnsi="Times New Roman"/>
          <w:sz w:val="24"/>
        </w:rPr>
        <w:t xml:space="preserve"> for mitigation related to the Rathdrum generating facility.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>
        <w:rPr>
          <w:rFonts w:ascii="Times New Roman" w:hAnsi="Times New Roman"/>
          <w:sz w:val="24"/>
        </w:rPr>
        <w:t xml:space="preserve">, 536, </w:t>
      </w:r>
      <w:r w:rsidR="006A1F71">
        <w:rPr>
          <w:rFonts w:ascii="Times New Roman" w:hAnsi="Times New Roman"/>
          <w:sz w:val="24"/>
        </w:rPr>
        <w:t>and 549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AD7FFA" w:rsidRPr="00DD358A">
        <w:rPr>
          <w:rFonts w:ascii="Times New Roman" w:hAnsi="Times New Roman"/>
          <w:sz w:val="24"/>
        </w:rPr>
        <w:t xml:space="preserve"> forma period as of </w:t>
      </w:r>
      <w:r w:rsidR="00BC5C64">
        <w:rPr>
          <w:rFonts w:ascii="Times New Roman" w:hAnsi="Times New Roman"/>
          <w:sz w:val="24"/>
        </w:rPr>
        <w:t>01-20-12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 xml:space="preserve">Mark to model price of actual financial power sales entered into for the pro forma period as of </w:t>
      </w:r>
      <w:r w:rsidR="00BC5C64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150 MW of capacity at a price of $1/kW/mo</w:t>
      </w:r>
      <w:r w:rsidR="002D7F87">
        <w:rPr>
          <w:rFonts w:ascii="Times New Roman" w:hAnsi="Times New Roman"/>
          <w:sz w:val="24"/>
        </w:rPr>
        <w:t xml:space="preserve"> less a contract servicing fee</w:t>
      </w:r>
      <w:r>
        <w:rPr>
          <w:rFonts w:ascii="Times New Roman" w:hAnsi="Times New Roman"/>
          <w:sz w:val="24"/>
        </w:rPr>
        <w:t xml:space="preserve">.  </w:t>
      </w:r>
      <w:r w:rsidR="0016639B">
        <w:rPr>
          <w:rFonts w:ascii="Times New Roman" w:hAnsi="Times New Roman"/>
          <w:sz w:val="24"/>
        </w:rPr>
        <w:t>This contract is related to the sales of capacity to Portland General Electric, which was monetized in 1998.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2D7F87">
        <w:rPr>
          <w:rFonts w:ascii="Times New Roman" w:hAnsi="Times New Roman"/>
          <w:sz w:val="24"/>
        </w:rPr>
        <w:t xml:space="preserve"> less $2.05/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>approximately 8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</w:t>
      </w:r>
      <w:r w:rsidR="00BC5C64">
        <w:rPr>
          <w:rFonts w:ascii="Times New Roman" w:hAnsi="Times New Roman"/>
          <w:sz w:val="24"/>
        </w:rPr>
        <w:t xml:space="preserve">through 10-31-13 </w:t>
      </w:r>
      <w:r>
        <w:rPr>
          <w:rFonts w:ascii="Times New Roman" w:hAnsi="Times New Roman"/>
          <w:sz w:val="24"/>
        </w:rPr>
        <w:t xml:space="preserve">at the market price </w:t>
      </w:r>
      <w:r w:rsidR="008F60AC">
        <w:rPr>
          <w:rFonts w:ascii="Times New Roman" w:hAnsi="Times New Roman"/>
          <w:sz w:val="24"/>
        </w:rPr>
        <w:t xml:space="preserve">(less $2.05/MWh) </w:t>
      </w:r>
      <w:r>
        <w:rPr>
          <w:rFonts w:ascii="Times New Roman" w:hAnsi="Times New Roman"/>
          <w:sz w:val="24"/>
        </w:rPr>
        <w:t>as determined by the AURORA model.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(Contract details are provided in a CONFIDENTIAL workpaper).</w:t>
      </w:r>
      <w:r w:rsidR="00D35C34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Pend Oreille</w:t>
        </w:r>
      </w:smartTag>
      <w:r>
        <w:rPr>
          <w:rFonts w:ascii="Times New Roman" w:hAnsi="Times New Roman"/>
          <w:b/>
          <w:sz w:val="24"/>
        </w:rPr>
        <w:t xml:space="preserve"> DES &amp; Spinning Reserves</w:t>
      </w:r>
      <w:r>
        <w:rPr>
          <w:rFonts w:ascii="Times New Roman" w:hAnsi="Times New Roman"/>
          <w:sz w:val="24"/>
        </w:rPr>
        <w:t xml:space="preserve"> – This contract provides load control and spinning reserves for Pend Oreille PUD.  </w:t>
      </w:r>
      <w:r>
        <w:rPr>
          <w:rFonts w:ascii="Times New Roman" w:hAnsi="Times New Roman"/>
          <w:bCs/>
        </w:rPr>
        <w:t>(Contract details are provided in a CONFIDENTIAL workpaper).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E43D78" w:rsidRPr="00D620AE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Northwestern Load Following</w:t>
      </w:r>
      <w:r w:rsidR="00D35C34">
        <w:rPr>
          <w:rFonts w:ascii="Times New Roman" w:hAnsi="Times New Roman"/>
          <w:sz w:val="24"/>
        </w:rPr>
        <w:t xml:space="preserve"> – </w:t>
      </w:r>
      <w:r w:rsidR="00174D9E">
        <w:rPr>
          <w:rFonts w:ascii="Times New Roman" w:hAnsi="Times New Roman"/>
          <w:sz w:val="24"/>
        </w:rPr>
        <w:t xml:space="preserve">Pro </w:t>
      </w:r>
      <w:r w:rsidR="00BC5C64">
        <w:rPr>
          <w:rFonts w:ascii="Times New Roman" w:hAnsi="Times New Roman"/>
          <w:sz w:val="24"/>
        </w:rPr>
        <w:t>forma revenue is $0 because there is no contract for the pro forma period</w:t>
      </w:r>
      <w:r w:rsidR="00D620AE">
        <w:rPr>
          <w:rFonts w:ascii="Times New Roman" w:hAnsi="Times New Roman"/>
          <w:bCs/>
          <w:sz w:val="24"/>
          <w:szCs w:val="24"/>
        </w:rPr>
        <w:t>.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620AE" w:rsidRDefault="00D620AE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NaturEner </w:t>
      </w:r>
      <w:r>
        <w:rPr>
          <w:rFonts w:ascii="Times New Roman" w:hAnsi="Times New Roman"/>
          <w:sz w:val="24"/>
        </w:rPr>
        <w:t xml:space="preserve">– This contract provides </w:t>
      </w:r>
      <w:r>
        <w:rPr>
          <w:rFonts w:ascii="Times New Roman" w:hAnsi="Times New Roman"/>
          <w:sz w:val="24"/>
          <w:szCs w:val="24"/>
        </w:rPr>
        <w:t>load following capacity</w:t>
      </w:r>
      <w:r w:rsidRPr="003C6FD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Montana wind facility</w:t>
      </w:r>
      <w:r w:rsidRPr="003C6FD3">
        <w:rPr>
          <w:rFonts w:ascii="Times New Roman" w:hAnsi="Times New Roman"/>
          <w:sz w:val="24"/>
          <w:szCs w:val="24"/>
        </w:rPr>
        <w:t>.</w:t>
      </w:r>
      <w:r w:rsidRPr="003C6F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C5C64">
        <w:rPr>
          <w:rFonts w:ascii="Times New Roman" w:hAnsi="Times New Roman"/>
          <w:sz w:val="24"/>
        </w:rPr>
        <w:t>Pro forma revenue is $0 because there is no contract for the pro forma period</w:t>
      </w:r>
      <w:r w:rsidR="00BC5C64">
        <w:rPr>
          <w:rFonts w:ascii="Times New Roman" w:hAnsi="Times New Roman"/>
          <w:bCs/>
          <w:sz w:val="24"/>
          <w:szCs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>SMUD Sale 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the sale of energy and associated renewable energy credits.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>
        <w:rPr>
          <w:rFonts w:ascii="Times New Roman" w:hAnsi="Times New Roman"/>
          <w:sz w:val="24"/>
        </w:rPr>
        <w:t xml:space="preserve"> revenue (matching expense in Account 555)</w:t>
      </w:r>
      <w:r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Pr="008939A5" w:rsidRDefault="00BC5C6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Non WA EIA REC </w:t>
      </w:r>
      <w:r w:rsidR="007B5C40">
        <w:rPr>
          <w:rFonts w:ascii="Times New Roman" w:hAnsi="Times New Roman"/>
          <w:b/>
          <w:sz w:val="24"/>
        </w:rPr>
        <w:t xml:space="preserve">Sales – </w:t>
      </w:r>
      <w:r w:rsidR="007B5C40" w:rsidRPr="007B5C40"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 w:rsidR="007B5C40" w:rsidRPr="007B5C40">
        <w:rPr>
          <w:rFonts w:ascii="Times New Roman" w:hAnsi="Times New Roman"/>
          <w:sz w:val="24"/>
        </w:rPr>
        <w:t xml:space="preserve">forma revenue is </w:t>
      </w:r>
      <w:r w:rsidR="00343C36">
        <w:rPr>
          <w:rFonts w:ascii="Times New Roman" w:hAnsi="Times New Roman"/>
          <w:sz w:val="24"/>
        </w:rPr>
        <w:t>based on</w:t>
      </w:r>
      <w:r w:rsidR="008939A5">
        <w:rPr>
          <w:rFonts w:ascii="Times New Roman" w:hAnsi="Times New Roman"/>
          <w:sz w:val="24"/>
        </w:rPr>
        <w:t xml:space="preserve"> contracted REC sales during the pro forma period</w:t>
      </w:r>
      <w:r w:rsidR="007B5C40" w:rsidRPr="007B5C40">
        <w:rPr>
          <w:rFonts w:ascii="Times New Roman" w:hAnsi="Times New Roman"/>
          <w:sz w:val="24"/>
        </w:rPr>
        <w:t>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8939A5" w:rsidRDefault="008939A5" w:rsidP="008939A5">
      <w:pPr>
        <w:pStyle w:val="ListParagraph"/>
        <w:rPr>
          <w:rFonts w:ascii="Times New Roman" w:hAnsi="Times New Roman"/>
          <w:sz w:val="24"/>
        </w:rPr>
      </w:pPr>
    </w:p>
    <w:p w:rsidR="008939A5" w:rsidRDefault="008939A5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8939A5">
        <w:rPr>
          <w:rFonts w:ascii="Times New Roman" w:hAnsi="Times New Roman"/>
          <w:b/>
          <w:sz w:val="24"/>
        </w:rPr>
        <w:lastRenderedPageBreak/>
        <w:t>WA EIA REC Sales</w:t>
      </w:r>
      <w:r>
        <w:rPr>
          <w:rFonts w:ascii="Times New Roman" w:hAnsi="Times New Roman"/>
          <w:sz w:val="24"/>
        </w:rPr>
        <w:t xml:space="preserve"> – Pro forma expense is based on contracted sales (less broker fee) of Washington qualified Renewable Energy Credits.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343C3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</w:t>
      </w:r>
      <w:r w:rsidR="008939A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</w:t>
      </w:r>
      <w:r w:rsidR="008939A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743E67">
      <w:headerReference w:type="default" r:id="rId8"/>
      <w:footerReference w:type="default" r:id="rId9"/>
      <w:footerReference w:type="first" r:id="rId10"/>
      <w:pgSz w:w="12240" w:h="15840" w:code="1"/>
      <w:pgMar w:top="1440" w:right="1008" w:bottom="1440" w:left="2736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64" w:rsidRDefault="00BC5C64">
      <w:r>
        <w:separator/>
      </w:r>
    </w:p>
  </w:endnote>
  <w:endnote w:type="continuationSeparator" w:id="0">
    <w:p w:rsidR="00BC5C64" w:rsidRDefault="00BC5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64" w:rsidRPr="00DF4E69" w:rsidRDefault="00BC5C64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b/>
        <w:bCs/>
        <w:sz w:val="20"/>
      </w:rPr>
    </w:pPr>
    <w:r w:rsidRPr="00DF4E69">
      <w:rPr>
        <w:bCs/>
        <w:sz w:val="20"/>
      </w:rPr>
      <w:t xml:space="preserve">Page </w:t>
    </w:r>
    <w:r w:rsidR="00417B96" w:rsidRPr="00DF4E69">
      <w:rPr>
        <w:rStyle w:val="PageNumber"/>
        <w:sz w:val="20"/>
      </w:rPr>
      <w:fldChar w:fldCharType="begin"/>
    </w:r>
    <w:r w:rsidRPr="00DF4E69">
      <w:rPr>
        <w:rStyle w:val="PageNumber"/>
        <w:sz w:val="20"/>
      </w:rPr>
      <w:instrText xml:space="preserve"> PAGE </w:instrText>
    </w:r>
    <w:r w:rsidR="00417B96" w:rsidRPr="00DF4E69">
      <w:rPr>
        <w:rStyle w:val="PageNumber"/>
        <w:sz w:val="20"/>
      </w:rPr>
      <w:fldChar w:fldCharType="separate"/>
    </w:r>
    <w:r w:rsidR="00C040EC">
      <w:rPr>
        <w:rStyle w:val="PageNumber"/>
        <w:noProof/>
        <w:sz w:val="20"/>
      </w:rPr>
      <w:t>1</w:t>
    </w:r>
    <w:r w:rsidR="00417B96" w:rsidRPr="00DF4E69">
      <w:rPr>
        <w:rStyle w:val="PageNumber"/>
        <w:sz w:val="20"/>
      </w:rPr>
      <w:fldChar w:fldCharType="end"/>
    </w:r>
    <w:r w:rsidRPr="00DF4E69">
      <w:rPr>
        <w:rStyle w:val="PageNumber"/>
        <w:sz w:val="20"/>
      </w:rPr>
      <w:t xml:space="preserve"> of </w:t>
    </w:r>
    <w:r w:rsidR="00417B96" w:rsidRPr="00DF4E69">
      <w:rPr>
        <w:rStyle w:val="PageNumber"/>
        <w:sz w:val="20"/>
      </w:rPr>
      <w:fldChar w:fldCharType="begin"/>
    </w:r>
    <w:r w:rsidRPr="00DF4E69">
      <w:rPr>
        <w:rStyle w:val="PageNumber"/>
        <w:sz w:val="20"/>
      </w:rPr>
      <w:instrText xml:space="preserve"> NUMPAGES </w:instrText>
    </w:r>
    <w:r w:rsidR="00417B96" w:rsidRPr="00DF4E69">
      <w:rPr>
        <w:rStyle w:val="PageNumber"/>
        <w:sz w:val="20"/>
      </w:rPr>
      <w:fldChar w:fldCharType="separate"/>
    </w:r>
    <w:r w:rsidR="00C040EC">
      <w:rPr>
        <w:rStyle w:val="PageNumber"/>
        <w:noProof/>
        <w:sz w:val="20"/>
      </w:rPr>
      <w:t>7</w:t>
    </w:r>
    <w:r w:rsidR="00417B96" w:rsidRPr="00DF4E69">
      <w:rPr>
        <w:rStyle w:val="PageNumbe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 w:rsidR="00417B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7B96">
      <w:rPr>
        <w:rStyle w:val="PageNumber"/>
      </w:rPr>
      <w:fldChar w:fldCharType="separate"/>
    </w:r>
    <w:r>
      <w:rPr>
        <w:rStyle w:val="PageNumber"/>
        <w:noProof/>
      </w:rPr>
      <w:t>1</w:t>
    </w:r>
    <w:r w:rsidR="00417B96"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64" w:rsidRDefault="00BC5C64">
      <w:r>
        <w:separator/>
      </w:r>
    </w:p>
  </w:footnote>
  <w:footnote w:type="continuationSeparator" w:id="0">
    <w:p w:rsidR="00BC5C64" w:rsidRDefault="00BC5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64" w:rsidRDefault="00C040EC" w:rsidP="00F01DFC">
    <w:pPr>
      <w:pStyle w:val="Header"/>
      <w:jc w:val="right"/>
    </w:pPr>
    <w:r>
      <w:t>Exhibit No.___ (WGJ-3)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3E580194"/>
    <w:lvl w:ilvl="0">
      <w:start w:val="31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46EF7"/>
    <w:rsid w:val="0006187B"/>
    <w:rsid w:val="00063AA9"/>
    <w:rsid w:val="0009735E"/>
    <w:rsid w:val="000A0229"/>
    <w:rsid w:val="000A739C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C338B"/>
    <w:rsid w:val="001C3BC7"/>
    <w:rsid w:val="001E1974"/>
    <w:rsid w:val="001E5C36"/>
    <w:rsid w:val="00222BDC"/>
    <w:rsid w:val="00257DC0"/>
    <w:rsid w:val="002902CF"/>
    <w:rsid w:val="002B626D"/>
    <w:rsid w:val="002D618C"/>
    <w:rsid w:val="002D7F87"/>
    <w:rsid w:val="002F305B"/>
    <w:rsid w:val="002F60AA"/>
    <w:rsid w:val="002F62F5"/>
    <w:rsid w:val="003114DE"/>
    <w:rsid w:val="00343C36"/>
    <w:rsid w:val="003516DB"/>
    <w:rsid w:val="00354AF0"/>
    <w:rsid w:val="00361378"/>
    <w:rsid w:val="00381797"/>
    <w:rsid w:val="003A6528"/>
    <w:rsid w:val="003B4CD0"/>
    <w:rsid w:val="003B7858"/>
    <w:rsid w:val="003C3756"/>
    <w:rsid w:val="003C6FD3"/>
    <w:rsid w:val="00414CF3"/>
    <w:rsid w:val="00417B96"/>
    <w:rsid w:val="00423871"/>
    <w:rsid w:val="00443A35"/>
    <w:rsid w:val="0044560B"/>
    <w:rsid w:val="004520A7"/>
    <w:rsid w:val="0047573B"/>
    <w:rsid w:val="004908DA"/>
    <w:rsid w:val="004963EF"/>
    <w:rsid w:val="004A6FA4"/>
    <w:rsid w:val="004B25DF"/>
    <w:rsid w:val="004D3F20"/>
    <w:rsid w:val="004D7899"/>
    <w:rsid w:val="00547659"/>
    <w:rsid w:val="00554C5D"/>
    <w:rsid w:val="00590F4E"/>
    <w:rsid w:val="005B2E60"/>
    <w:rsid w:val="005C575E"/>
    <w:rsid w:val="005D7BFC"/>
    <w:rsid w:val="005E213D"/>
    <w:rsid w:val="006A1F71"/>
    <w:rsid w:val="0070189C"/>
    <w:rsid w:val="00731A6B"/>
    <w:rsid w:val="00743E67"/>
    <w:rsid w:val="00747213"/>
    <w:rsid w:val="007804E3"/>
    <w:rsid w:val="0078139D"/>
    <w:rsid w:val="00792526"/>
    <w:rsid w:val="007934F7"/>
    <w:rsid w:val="007B5C40"/>
    <w:rsid w:val="007D0764"/>
    <w:rsid w:val="008611F5"/>
    <w:rsid w:val="00884795"/>
    <w:rsid w:val="008939A5"/>
    <w:rsid w:val="008A4E06"/>
    <w:rsid w:val="008B4A77"/>
    <w:rsid w:val="008C319F"/>
    <w:rsid w:val="008E4818"/>
    <w:rsid w:val="008F5B55"/>
    <w:rsid w:val="008F60AC"/>
    <w:rsid w:val="009210E2"/>
    <w:rsid w:val="00946BFC"/>
    <w:rsid w:val="009723F0"/>
    <w:rsid w:val="00972846"/>
    <w:rsid w:val="0098074F"/>
    <w:rsid w:val="00987C04"/>
    <w:rsid w:val="00996516"/>
    <w:rsid w:val="009A572E"/>
    <w:rsid w:val="009E09EF"/>
    <w:rsid w:val="009F69CB"/>
    <w:rsid w:val="00A067CD"/>
    <w:rsid w:val="00A149EF"/>
    <w:rsid w:val="00A23EAE"/>
    <w:rsid w:val="00A7270B"/>
    <w:rsid w:val="00A91622"/>
    <w:rsid w:val="00A95B02"/>
    <w:rsid w:val="00AA2C26"/>
    <w:rsid w:val="00AD7FFA"/>
    <w:rsid w:val="00B32E5D"/>
    <w:rsid w:val="00B83882"/>
    <w:rsid w:val="00B9073E"/>
    <w:rsid w:val="00BC5C64"/>
    <w:rsid w:val="00BD6858"/>
    <w:rsid w:val="00BD6FD1"/>
    <w:rsid w:val="00BE35D4"/>
    <w:rsid w:val="00BE7675"/>
    <w:rsid w:val="00C0102A"/>
    <w:rsid w:val="00C040EC"/>
    <w:rsid w:val="00C12005"/>
    <w:rsid w:val="00C15112"/>
    <w:rsid w:val="00C17C6D"/>
    <w:rsid w:val="00C20E5C"/>
    <w:rsid w:val="00C3375D"/>
    <w:rsid w:val="00C5146E"/>
    <w:rsid w:val="00C63D91"/>
    <w:rsid w:val="00C65F3C"/>
    <w:rsid w:val="00C66CCB"/>
    <w:rsid w:val="00CA023C"/>
    <w:rsid w:val="00CA37FA"/>
    <w:rsid w:val="00CC43F6"/>
    <w:rsid w:val="00CE6590"/>
    <w:rsid w:val="00D21703"/>
    <w:rsid w:val="00D27A5F"/>
    <w:rsid w:val="00D35C34"/>
    <w:rsid w:val="00D620AE"/>
    <w:rsid w:val="00D7285B"/>
    <w:rsid w:val="00D73357"/>
    <w:rsid w:val="00D93841"/>
    <w:rsid w:val="00DD358A"/>
    <w:rsid w:val="00DE0960"/>
    <w:rsid w:val="00DF35AF"/>
    <w:rsid w:val="00DF4E69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7869"/>
    <w:rsid w:val="00F01DFC"/>
    <w:rsid w:val="00F01E01"/>
    <w:rsid w:val="00F50771"/>
    <w:rsid w:val="00F6198E"/>
    <w:rsid w:val="00F625A8"/>
    <w:rsid w:val="00F8606A"/>
    <w:rsid w:val="00F91AC4"/>
    <w:rsid w:val="00FA3BD9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46324F-AFE9-4BF2-B276-86ADE37A9240}"/>
</file>

<file path=customXml/itemProps2.xml><?xml version="1.0" encoding="utf-8"?>
<ds:datastoreItem xmlns:ds="http://schemas.openxmlformats.org/officeDocument/2006/customXml" ds:itemID="{3302942D-C6CB-4C1C-A95E-3E325BADE007}"/>
</file>

<file path=customXml/itemProps3.xml><?xml version="1.0" encoding="utf-8"?>
<ds:datastoreItem xmlns:ds="http://schemas.openxmlformats.org/officeDocument/2006/customXml" ds:itemID="{2E5297BB-5C3D-46AF-8193-3AC34E42138D}"/>
</file>

<file path=customXml/itemProps4.xml><?xml version="1.0" encoding="utf-8"?>
<ds:datastoreItem xmlns:ds="http://schemas.openxmlformats.org/officeDocument/2006/customXml" ds:itemID="{DBAD0D47-3A9A-490C-98A0-97876ECEE8CD}"/>
</file>

<file path=customXml/itemProps5.xml><?xml version="1.0" encoding="utf-8"?>
<ds:datastoreItem xmlns:ds="http://schemas.openxmlformats.org/officeDocument/2006/customXml" ds:itemID="{8E7791D3-571C-487E-A21D-0677C893A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2072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Paul W. Kimball</cp:lastModifiedBy>
  <cp:revision>11</cp:revision>
  <cp:lastPrinted>2010-03-16T18:05:00Z</cp:lastPrinted>
  <dcterms:created xsi:type="dcterms:W3CDTF">2011-05-10T17:47:00Z</dcterms:created>
  <dcterms:modified xsi:type="dcterms:W3CDTF">2012-03-15T22:33:00Z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