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01" w:rsidRDefault="004B7F01" w:rsidP="008521A0">
      <w:pPr>
        <w:pStyle w:val="CaptionTitle"/>
        <w:rPr>
          <w:b/>
        </w:rPr>
      </w:pPr>
    </w:p>
    <w:p w:rsidR="004B7F01" w:rsidRDefault="004B7F01" w:rsidP="008521A0">
      <w:pPr>
        <w:pStyle w:val="CaptionTitle"/>
        <w:rPr>
          <w:b/>
        </w:rPr>
      </w:pPr>
    </w:p>
    <w:p w:rsidR="008521A0" w:rsidRPr="008521A0" w:rsidRDefault="008521A0" w:rsidP="008521A0">
      <w:pPr>
        <w:pStyle w:val="CaptionTitle"/>
        <w:rPr>
          <w:b/>
        </w:rPr>
      </w:pPr>
      <w:r w:rsidRPr="008521A0">
        <w:rPr>
          <w:b/>
        </w:rPr>
        <w:t>BEFORE THE</w:t>
      </w:r>
      <w:r w:rsidRPr="008521A0">
        <w:rPr>
          <w:b/>
        </w:rPr>
        <w:br/>
        <w:t>WASHINGTON UTILITIES AND TRANSPORTATION COMMISSION</w:t>
      </w:r>
    </w:p>
    <w:tbl>
      <w:tblPr>
        <w:tblW w:w="0" w:type="auto"/>
        <w:tblLayout w:type="fixed"/>
        <w:tblCellMar>
          <w:left w:w="0" w:type="dxa"/>
          <w:right w:w="0" w:type="dxa"/>
        </w:tblCellMar>
        <w:tblLook w:val="0000"/>
      </w:tblPr>
      <w:tblGrid>
        <w:gridCol w:w="4320"/>
        <w:gridCol w:w="4680"/>
      </w:tblGrid>
      <w:tr w:rsidR="008521A0" w:rsidTr="00445B12">
        <w:trPr>
          <w:cantSplit/>
        </w:trPr>
        <w:tc>
          <w:tcPr>
            <w:tcW w:w="4320" w:type="dxa"/>
            <w:tcBorders>
              <w:bottom w:val="single" w:sz="6" w:space="0" w:color="auto"/>
              <w:right w:val="single" w:sz="6" w:space="0" w:color="auto"/>
            </w:tcBorders>
          </w:tcPr>
          <w:p w:rsidR="008521A0" w:rsidRDefault="008521A0" w:rsidP="00544262">
            <w:pPr>
              <w:pStyle w:val="plain"/>
              <w:tabs>
                <w:tab w:val="left" w:pos="720"/>
                <w:tab w:val="left" w:pos="2160"/>
              </w:tabs>
              <w:spacing w:before="240" w:after="240"/>
            </w:pPr>
            <w:r>
              <w:t>In the Matter of the Petition of</w:t>
            </w:r>
            <w:r>
              <w:br/>
            </w:r>
            <w:r>
              <w:br/>
              <w:t>PUGET SOUND ENERGY, INC.</w:t>
            </w:r>
            <w:r>
              <w:br/>
            </w:r>
            <w:r>
              <w:br/>
              <w:t>For a Declaratory Order Regarding the Transfer of Assets to Jefferson County Public Utility District.</w:t>
            </w:r>
          </w:p>
        </w:tc>
        <w:tc>
          <w:tcPr>
            <w:tcW w:w="4680" w:type="dxa"/>
          </w:tcPr>
          <w:p w:rsidR="008521A0" w:rsidRDefault="008521A0" w:rsidP="00544262">
            <w:pPr>
              <w:pStyle w:val="plain"/>
              <w:spacing w:before="240"/>
              <w:ind w:left="360"/>
            </w:pPr>
            <w:r>
              <w:t>DOCKET U-101217</w:t>
            </w:r>
          </w:p>
          <w:p w:rsidR="008521A0" w:rsidRDefault="0010621A" w:rsidP="00544262">
            <w:pPr>
              <w:pStyle w:val="plain"/>
              <w:spacing w:before="240"/>
              <w:ind w:left="360"/>
            </w:pPr>
            <w:r>
              <w:t>COM</w:t>
            </w:r>
            <w:r w:rsidR="00F82256">
              <w:t xml:space="preserve">MISSION STAFF MEMORANDUM </w:t>
            </w:r>
            <w:r w:rsidR="008521A0">
              <w:t>IN</w:t>
            </w:r>
            <w:r w:rsidR="00F82256">
              <w:t xml:space="preserve"> SUPPORT OF SETTLEMENT STIPULATION</w:t>
            </w:r>
          </w:p>
          <w:p w:rsidR="008521A0" w:rsidRDefault="008521A0" w:rsidP="00544262">
            <w:pPr>
              <w:pStyle w:val="plain"/>
              <w:spacing w:before="240"/>
              <w:ind w:left="360"/>
            </w:pPr>
          </w:p>
        </w:tc>
      </w:tr>
    </w:tbl>
    <w:p w:rsidR="004B7F01" w:rsidRDefault="004B7F01" w:rsidP="008F5E0C">
      <w:pPr>
        <w:spacing w:line="240" w:lineRule="auto"/>
        <w:ind w:firstLine="0"/>
        <w:jc w:val="center"/>
        <w:rPr>
          <w:b/>
        </w:rPr>
      </w:pPr>
    </w:p>
    <w:p w:rsidR="004B7F01" w:rsidRDefault="004B7F01" w:rsidP="008F5E0C">
      <w:pPr>
        <w:spacing w:line="240" w:lineRule="auto"/>
        <w:ind w:firstLine="0"/>
        <w:jc w:val="center"/>
        <w:rPr>
          <w:b/>
        </w:rPr>
      </w:pPr>
    </w:p>
    <w:p w:rsidR="008F5E0C" w:rsidRPr="00CB22D9" w:rsidRDefault="00C842D2" w:rsidP="008F5E0C">
      <w:pPr>
        <w:spacing w:line="240" w:lineRule="auto"/>
        <w:ind w:firstLine="0"/>
        <w:jc w:val="center"/>
        <w:rPr>
          <w:b/>
          <w:szCs w:val="24"/>
        </w:rPr>
      </w:pPr>
      <w:r w:rsidRPr="00CB22D9">
        <w:rPr>
          <w:b/>
          <w:szCs w:val="24"/>
        </w:rPr>
        <w:t>I.</w:t>
      </w:r>
      <w:r w:rsidRPr="00CB22D9">
        <w:rPr>
          <w:b/>
          <w:szCs w:val="24"/>
        </w:rPr>
        <w:tab/>
        <w:t>INTRODUCTION</w:t>
      </w:r>
    </w:p>
    <w:p w:rsidR="008F5E0C" w:rsidRPr="00CB22D9" w:rsidRDefault="008F5E0C" w:rsidP="008F5E0C">
      <w:pPr>
        <w:spacing w:line="240" w:lineRule="auto"/>
        <w:ind w:firstLine="0"/>
        <w:jc w:val="center"/>
        <w:rPr>
          <w:b/>
          <w:szCs w:val="24"/>
        </w:rPr>
      </w:pPr>
    </w:p>
    <w:p w:rsidR="00C842D2" w:rsidRPr="00445B12" w:rsidRDefault="00445B12" w:rsidP="00445B12">
      <w:pPr>
        <w:pStyle w:val="ListParagraph"/>
        <w:numPr>
          <w:ilvl w:val="0"/>
          <w:numId w:val="2"/>
        </w:numPr>
        <w:spacing w:line="480" w:lineRule="auto"/>
        <w:rPr>
          <w:szCs w:val="24"/>
        </w:rPr>
      </w:pPr>
      <w:r>
        <w:rPr>
          <w:szCs w:val="24"/>
        </w:rPr>
        <w:tab/>
      </w:r>
      <w:r w:rsidR="00C842D2" w:rsidRPr="00445B12">
        <w:rPr>
          <w:szCs w:val="24"/>
        </w:rPr>
        <w:t xml:space="preserve">On July 15, 2010, Puget Sound </w:t>
      </w:r>
      <w:r w:rsidR="008F5E0C" w:rsidRPr="00445B12">
        <w:rPr>
          <w:szCs w:val="24"/>
        </w:rPr>
        <w:t>Energy, Inc. (</w:t>
      </w:r>
      <w:r w:rsidR="0002011C" w:rsidRPr="00445B12">
        <w:rPr>
          <w:szCs w:val="24"/>
        </w:rPr>
        <w:t>“</w:t>
      </w:r>
      <w:r w:rsidR="008F5E0C" w:rsidRPr="00445B12">
        <w:rPr>
          <w:szCs w:val="24"/>
        </w:rPr>
        <w:t>PSE</w:t>
      </w:r>
      <w:r w:rsidR="0002011C" w:rsidRPr="00445B12">
        <w:rPr>
          <w:szCs w:val="24"/>
        </w:rPr>
        <w:t>”</w:t>
      </w:r>
      <w:r w:rsidR="00C842D2" w:rsidRPr="00445B12">
        <w:rPr>
          <w:szCs w:val="24"/>
        </w:rPr>
        <w:t>) filed with the Washington Utilities and Transpo</w:t>
      </w:r>
      <w:r w:rsidR="0002011C" w:rsidRPr="00445B12">
        <w:rPr>
          <w:szCs w:val="24"/>
        </w:rPr>
        <w:t xml:space="preserve">rtation Commission (“Commission”) </w:t>
      </w:r>
      <w:r w:rsidR="00C842D2" w:rsidRPr="00445B12">
        <w:rPr>
          <w:szCs w:val="24"/>
        </w:rPr>
        <w:t>a petition for a declaratory order concerning the</w:t>
      </w:r>
      <w:r w:rsidR="00C61357">
        <w:rPr>
          <w:szCs w:val="24"/>
        </w:rPr>
        <w:t xml:space="preserve"> transfer of </w:t>
      </w:r>
      <w:r w:rsidR="00C842D2" w:rsidRPr="00445B12">
        <w:rPr>
          <w:szCs w:val="24"/>
        </w:rPr>
        <w:t>assets from PSE to Public Utility District #1 of Jefferson County (</w:t>
      </w:r>
      <w:r w:rsidR="0002011C" w:rsidRPr="00445B12">
        <w:rPr>
          <w:szCs w:val="24"/>
        </w:rPr>
        <w:t>“</w:t>
      </w:r>
      <w:r w:rsidR="00C842D2" w:rsidRPr="00445B12">
        <w:rPr>
          <w:szCs w:val="24"/>
        </w:rPr>
        <w:t>JPUD</w:t>
      </w:r>
      <w:r w:rsidR="0002011C" w:rsidRPr="00445B12">
        <w:rPr>
          <w:szCs w:val="24"/>
        </w:rPr>
        <w:t>”</w:t>
      </w:r>
      <w:r w:rsidR="00C842D2" w:rsidRPr="00445B12">
        <w:rPr>
          <w:szCs w:val="24"/>
        </w:rPr>
        <w:t xml:space="preserve">).  </w:t>
      </w:r>
      <w:r w:rsidR="008F5E0C" w:rsidRPr="00445B12">
        <w:rPr>
          <w:szCs w:val="24"/>
        </w:rPr>
        <w:t xml:space="preserve">On December </w:t>
      </w:r>
      <w:r w:rsidR="000E5C85">
        <w:rPr>
          <w:szCs w:val="24"/>
        </w:rPr>
        <w:t>15</w:t>
      </w:r>
      <w:r w:rsidR="00DC4B13" w:rsidRPr="00445B12">
        <w:rPr>
          <w:szCs w:val="24"/>
        </w:rPr>
        <w:t>, 2010, a Settlement Stipulation</w:t>
      </w:r>
      <w:r w:rsidR="008F5E0C" w:rsidRPr="00445B12">
        <w:rPr>
          <w:szCs w:val="24"/>
        </w:rPr>
        <w:t xml:space="preserve"> </w:t>
      </w:r>
      <w:r w:rsidR="00F84F6B" w:rsidRPr="00445B12">
        <w:rPr>
          <w:szCs w:val="24"/>
        </w:rPr>
        <w:t xml:space="preserve">regarding the petition </w:t>
      </w:r>
      <w:r w:rsidR="008F5E0C" w:rsidRPr="00445B12">
        <w:rPr>
          <w:szCs w:val="24"/>
        </w:rPr>
        <w:t>was filed with the Commission by PSE, Commission Staff and JPUD</w:t>
      </w:r>
      <w:r w:rsidR="00C61357">
        <w:rPr>
          <w:szCs w:val="24"/>
        </w:rPr>
        <w:t xml:space="preserve"> (collectively, the “Parties”)</w:t>
      </w:r>
      <w:r w:rsidR="008F5E0C" w:rsidRPr="00445B12">
        <w:rPr>
          <w:szCs w:val="24"/>
        </w:rPr>
        <w:t>.</w:t>
      </w:r>
      <w:r w:rsidR="003C3773" w:rsidRPr="00CB22D9">
        <w:rPr>
          <w:rStyle w:val="FootnoteReference"/>
          <w:szCs w:val="24"/>
        </w:rPr>
        <w:footnoteReference w:id="1"/>
      </w:r>
      <w:r w:rsidR="008F5E0C" w:rsidRPr="00445B12">
        <w:rPr>
          <w:szCs w:val="24"/>
        </w:rPr>
        <w:t xml:space="preserve"> </w:t>
      </w:r>
      <w:r w:rsidR="00A115D6">
        <w:rPr>
          <w:szCs w:val="24"/>
        </w:rPr>
        <w:t xml:space="preserve"> The Settlement </w:t>
      </w:r>
      <w:r w:rsidR="005B2CDD">
        <w:rPr>
          <w:szCs w:val="24"/>
        </w:rPr>
        <w:t xml:space="preserve">Stipulation </w:t>
      </w:r>
      <w:r w:rsidR="008F5E0C" w:rsidRPr="00445B12">
        <w:rPr>
          <w:szCs w:val="24"/>
        </w:rPr>
        <w:t>ask</w:t>
      </w:r>
      <w:r w:rsidR="005B2CDD">
        <w:rPr>
          <w:szCs w:val="24"/>
        </w:rPr>
        <w:t>s</w:t>
      </w:r>
      <w:r w:rsidR="00C842D2" w:rsidRPr="00445B12">
        <w:rPr>
          <w:szCs w:val="24"/>
        </w:rPr>
        <w:t xml:space="preserve"> the Commission to enter an order declaring that:</w:t>
      </w:r>
    </w:p>
    <w:p w:rsidR="00C842D2" w:rsidRPr="00CB22D9" w:rsidRDefault="003C3773" w:rsidP="00C842D2">
      <w:pPr>
        <w:spacing w:line="240" w:lineRule="auto"/>
        <w:ind w:left="1440" w:right="720" w:hanging="720"/>
        <w:rPr>
          <w:szCs w:val="24"/>
        </w:rPr>
      </w:pPr>
      <w:r w:rsidRPr="00CB22D9">
        <w:rPr>
          <w:szCs w:val="24"/>
        </w:rPr>
        <w:t>1.</w:t>
      </w:r>
      <w:r w:rsidRPr="00CB22D9">
        <w:rPr>
          <w:szCs w:val="24"/>
        </w:rPr>
        <w:tab/>
      </w:r>
      <w:r w:rsidR="00E2168C">
        <w:rPr>
          <w:szCs w:val="24"/>
        </w:rPr>
        <w:t>The transfer of A</w:t>
      </w:r>
      <w:r w:rsidR="00C842D2" w:rsidRPr="00CB22D9">
        <w:rPr>
          <w:szCs w:val="24"/>
        </w:rPr>
        <w:t xml:space="preserve">ssets </w:t>
      </w:r>
      <w:r w:rsidR="008F5E0C" w:rsidRPr="00CB22D9">
        <w:rPr>
          <w:szCs w:val="24"/>
        </w:rPr>
        <w:t>from P</w:t>
      </w:r>
      <w:r w:rsidR="00E2168C">
        <w:rPr>
          <w:szCs w:val="24"/>
        </w:rPr>
        <w:t>uget Sound Energy, Inc</w:t>
      </w:r>
      <w:r w:rsidR="000E5C85">
        <w:rPr>
          <w:szCs w:val="24"/>
        </w:rPr>
        <w:t>.</w:t>
      </w:r>
      <w:r w:rsidR="008F5E0C" w:rsidRPr="00CB22D9">
        <w:rPr>
          <w:szCs w:val="24"/>
        </w:rPr>
        <w:t xml:space="preserve"> to </w:t>
      </w:r>
      <w:r w:rsidR="00E2168C" w:rsidRPr="00445B12">
        <w:rPr>
          <w:szCs w:val="24"/>
        </w:rPr>
        <w:t>Public Utility District #1 of Jefferson County</w:t>
      </w:r>
      <w:r w:rsidR="00E2168C" w:rsidRPr="00CB22D9">
        <w:rPr>
          <w:szCs w:val="24"/>
        </w:rPr>
        <w:t xml:space="preserve"> </w:t>
      </w:r>
      <w:r w:rsidR="00C842D2" w:rsidRPr="00CB22D9">
        <w:rPr>
          <w:szCs w:val="24"/>
        </w:rPr>
        <w:t>is authorized by RCW 80.12.020</w:t>
      </w:r>
      <w:r w:rsidR="008F5E0C" w:rsidRPr="00CB22D9">
        <w:rPr>
          <w:szCs w:val="24"/>
        </w:rPr>
        <w:t>(2)</w:t>
      </w:r>
      <w:r w:rsidR="00AB50C5" w:rsidRPr="00AB50C5">
        <w:t xml:space="preserve"> </w:t>
      </w:r>
      <w:r w:rsidR="00AB50C5">
        <w:t xml:space="preserve">and no further action is required by the Commission </w:t>
      </w:r>
      <w:r w:rsidR="00E2168C">
        <w:t>to approve the transfer of the A</w:t>
      </w:r>
      <w:r w:rsidR="00AB50C5">
        <w:t>ssets for purposes of RCW 80.12.020</w:t>
      </w:r>
      <w:r w:rsidR="008F5E0C" w:rsidRPr="00CB22D9">
        <w:rPr>
          <w:szCs w:val="24"/>
        </w:rPr>
        <w:t>;</w:t>
      </w:r>
      <w:r w:rsidR="008F5E0C" w:rsidRPr="00CB22D9">
        <w:rPr>
          <w:rStyle w:val="FootnoteReference"/>
          <w:szCs w:val="24"/>
        </w:rPr>
        <w:footnoteReference w:id="2"/>
      </w:r>
      <w:r w:rsidR="00C842D2" w:rsidRPr="00CB22D9">
        <w:rPr>
          <w:szCs w:val="24"/>
        </w:rPr>
        <w:t xml:space="preserve"> </w:t>
      </w:r>
    </w:p>
    <w:p w:rsidR="00C842D2" w:rsidRPr="00CB22D9" w:rsidRDefault="00C842D2" w:rsidP="00C842D2">
      <w:pPr>
        <w:spacing w:line="240" w:lineRule="auto"/>
        <w:ind w:left="1440" w:right="720" w:hanging="720"/>
        <w:rPr>
          <w:szCs w:val="24"/>
        </w:rPr>
      </w:pPr>
    </w:p>
    <w:p w:rsidR="00C842D2" w:rsidRPr="00CB22D9" w:rsidRDefault="003C3773" w:rsidP="000302BB">
      <w:pPr>
        <w:spacing w:line="240" w:lineRule="auto"/>
        <w:ind w:left="1440" w:right="720" w:hanging="720"/>
        <w:rPr>
          <w:szCs w:val="24"/>
        </w:rPr>
      </w:pPr>
      <w:r w:rsidRPr="00CB22D9">
        <w:rPr>
          <w:szCs w:val="24"/>
        </w:rPr>
        <w:t>2.</w:t>
      </w:r>
      <w:r w:rsidRPr="00CB22D9">
        <w:rPr>
          <w:szCs w:val="24"/>
        </w:rPr>
        <w:tab/>
      </w:r>
      <w:r w:rsidR="008F5E0C" w:rsidRPr="00CB22D9">
        <w:rPr>
          <w:szCs w:val="24"/>
        </w:rPr>
        <w:t xml:space="preserve">The </w:t>
      </w:r>
      <w:r w:rsidR="00C842D2" w:rsidRPr="00CB22D9">
        <w:rPr>
          <w:szCs w:val="24"/>
        </w:rPr>
        <w:t xml:space="preserve">purchase price </w:t>
      </w:r>
      <w:r w:rsidR="00CB22D9">
        <w:rPr>
          <w:szCs w:val="24"/>
        </w:rPr>
        <w:t xml:space="preserve">of $103 million </w:t>
      </w:r>
      <w:r w:rsidR="00C842D2" w:rsidRPr="00CB22D9">
        <w:rPr>
          <w:szCs w:val="24"/>
        </w:rPr>
        <w:t xml:space="preserve">is </w:t>
      </w:r>
      <w:r w:rsidR="008F5E0C" w:rsidRPr="00CB22D9">
        <w:rPr>
          <w:szCs w:val="24"/>
        </w:rPr>
        <w:t>fair, reasonable and sufficient; and</w:t>
      </w:r>
      <w:r w:rsidR="00C842D2" w:rsidRPr="00CB22D9">
        <w:rPr>
          <w:szCs w:val="24"/>
        </w:rPr>
        <w:t xml:space="preserve"> </w:t>
      </w:r>
    </w:p>
    <w:p w:rsidR="00C842D2" w:rsidRPr="00CB22D9" w:rsidRDefault="00C842D2" w:rsidP="004B483E">
      <w:pPr>
        <w:spacing w:line="288" w:lineRule="auto"/>
        <w:ind w:right="720" w:firstLine="0"/>
        <w:rPr>
          <w:szCs w:val="24"/>
        </w:rPr>
      </w:pPr>
    </w:p>
    <w:p w:rsidR="00C842D2" w:rsidRDefault="003C3773" w:rsidP="000302BB">
      <w:pPr>
        <w:spacing w:line="288" w:lineRule="auto"/>
        <w:ind w:left="1440" w:right="720" w:hanging="720"/>
        <w:rPr>
          <w:szCs w:val="24"/>
        </w:rPr>
      </w:pPr>
      <w:r w:rsidRPr="00CB22D9">
        <w:rPr>
          <w:szCs w:val="24"/>
        </w:rPr>
        <w:lastRenderedPageBreak/>
        <w:t>3.</w:t>
      </w:r>
      <w:r w:rsidRPr="00CB22D9">
        <w:rPr>
          <w:szCs w:val="24"/>
        </w:rPr>
        <w:tab/>
      </w:r>
      <w:r w:rsidR="00C842D2" w:rsidRPr="00CB22D9">
        <w:rPr>
          <w:szCs w:val="24"/>
        </w:rPr>
        <w:t xml:space="preserve">The provisions of the Asset Purchase Agreement </w:t>
      </w:r>
      <w:r w:rsidR="008F5E0C" w:rsidRPr="00CB22D9">
        <w:rPr>
          <w:szCs w:val="24"/>
        </w:rPr>
        <w:t>regarding transition of PSE’s</w:t>
      </w:r>
      <w:r w:rsidR="00C842D2" w:rsidRPr="00CB22D9">
        <w:rPr>
          <w:szCs w:val="24"/>
        </w:rPr>
        <w:t xml:space="preserve"> responsibilities to provide electrical service t</w:t>
      </w:r>
      <w:r w:rsidR="00E2168C">
        <w:rPr>
          <w:szCs w:val="24"/>
        </w:rPr>
        <w:t>o its customers in the S</w:t>
      </w:r>
      <w:r w:rsidR="00C842D2" w:rsidRPr="00CB22D9">
        <w:rPr>
          <w:szCs w:val="24"/>
        </w:rPr>
        <w:t xml:space="preserve">ervice </w:t>
      </w:r>
      <w:r w:rsidR="00E2168C">
        <w:rPr>
          <w:szCs w:val="24"/>
        </w:rPr>
        <w:t>T</w:t>
      </w:r>
      <w:r w:rsidR="00C842D2" w:rsidRPr="00CB22D9">
        <w:rPr>
          <w:szCs w:val="24"/>
        </w:rPr>
        <w:t>erritory are sufficient and consistent with PSE's public service obligations.</w:t>
      </w:r>
    </w:p>
    <w:p w:rsidR="004B7F01" w:rsidRPr="00CB22D9" w:rsidRDefault="004B7F01" w:rsidP="004B7F01">
      <w:pPr>
        <w:spacing w:line="288" w:lineRule="auto"/>
        <w:ind w:right="720" w:firstLine="0"/>
        <w:rPr>
          <w:szCs w:val="24"/>
        </w:rPr>
      </w:pPr>
    </w:p>
    <w:p w:rsidR="00DA0566" w:rsidRPr="00445B12" w:rsidRDefault="00445B12" w:rsidP="00445B12">
      <w:pPr>
        <w:pStyle w:val="ListParagraph"/>
        <w:numPr>
          <w:ilvl w:val="0"/>
          <w:numId w:val="2"/>
        </w:numPr>
        <w:spacing w:line="480" w:lineRule="auto"/>
        <w:ind w:right="720"/>
        <w:rPr>
          <w:szCs w:val="24"/>
        </w:rPr>
      </w:pPr>
      <w:r>
        <w:rPr>
          <w:szCs w:val="24"/>
        </w:rPr>
        <w:tab/>
      </w:r>
      <w:r w:rsidR="000302BB" w:rsidRPr="00445B12">
        <w:rPr>
          <w:szCs w:val="24"/>
        </w:rPr>
        <w:t>Ther</w:t>
      </w:r>
      <w:r w:rsidR="00A47796" w:rsidRPr="00445B12">
        <w:rPr>
          <w:szCs w:val="24"/>
        </w:rPr>
        <w:t xml:space="preserve">e are several legal issues </w:t>
      </w:r>
      <w:r w:rsidR="003F21E3" w:rsidRPr="00445B12">
        <w:rPr>
          <w:szCs w:val="24"/>
        </w:rPr>
        <w:t>bear</w:t>
      </w:r>
      <w:r w:rsidR="00A47796" w:rsidRPr="00445B12">
        <w:rPr>
          <w:szCs w:val="24"/>
        </w:rPr>
        <w:t>ing</w:t>
      </w:r>
      <w:r w:rsidR="003F21E3" w:rsidRPr="00445B12">
        <w:rPr>
          <w:szCs w:val="24"/>
        </w:rPr>
        <w:t xml:space="preserve"> on the Settlement Stipulation</w:t>
      </w:r>
      <w:r w:rsidR="00A47796" w:rsidRPr="00445B12">
        <w:rPr>
          <w:szCs w:val="24"/>
        </w:rPr>
        <w:t xml:space="preserve"> that</w:t>
      </w:r>
      <w:r w:rsidR="000302BB" w:rsidRPr="00445B12">
        <w:rPr>
          <w:szCs w:val="24"/>
        </w:rPr>
        <w:t xml:space="preserve"> are addressed by this memorandum</w:t>
      </w:r>
      <w:r w:rsidR="0002011C" w:rsidRPr="00445B12">
        <w:rPr>
          <w:szCs w:val="24"/>
        </w:rPr>
        <w:t xml:space="preserve">.  Further support </w:t>
      </w:r>
      <w:r w:rsidR="003F21E3" w:rsidRPr="00445B12">
        <w:rPr>
          <w:szCs w:val="24"/>
        </w:rPr>
        <w:t>for the Settlement Stipulation</w:t>
      </w:r>
      <w:r w:rsidR="000302BB" w:rsidRPr="00445B12">
        <w:rPr>
          <w:szCs w:val="24"/>
        </w:rPr>
        <w:t xml:space="preserve"> is presented in the testimony of Staff witness Edward J. Keating.</w:t>
      </w:r>
    </w:p>
    <w:p w:rsidR="00DA0566" w:rsidRPr="00CB22D9" w:rsidRDefault="00DA0566" w:rsidP="001C07F2">
      <w:pPr>
        <w:spacing w:line="480" w:lineRule="auto"/>
        <w:ind w:right="720" w:firstLine="0"/>
        <w:jc w:val="center"/>
        <w:rPr>
          <w:b/>
          <w:szCs w:val="24"/>
        </w:rPr>
      </w:pPr>
      <w:r w:rsidRPr="00CB22D9">
        <w:rPr>
          <w:b/>
          <w:szCs w:val="24"/>
        </w:rPr>
        <w:t>II.</w:t>
      </w:r>
      <w:r w:rsidRPr="00CB22D9">
        <w:rPr>
          <w:b/>
          <w:szCs w:val="24"/>
        </w:rPr>
        <w:tab/>
        <w:t>FACTUAL BACKGROUND</w:t>
      </w:r>
    </w:p>
    <w:p w:rsidR="001C07F2" w:rsidRPr="00CB22D9" w:rsidRDefault="00445B12" w:rsidP="00445B12">
      <w:pPr>
        <w:pStyle w:val="BodyText"/>
        <w:numPr>
          <w:ilvl w:val="0"/>
          <w:numId w:val="2"/>
        </w:numPr>
        <w:spacing w:line="480" w:lineRule="auto"/>
        <w:rPr>
          <w:szCs w:val="24"/>
        </w:rPr>
      </w:pPr>
      <w:r>
        <w:rPr>
          <w:szCs w:val="24"/>
        </w:rPr>
        <w:tab/>
      </w:r>
      <w:r w:rsidR="001C07F2" w:rsidRPr="00CB22D9">
        <w:rPr>
          <w:szCs w:val="24"/>
        </w:rPr>
        <w:t xml:space="preserve">PSE currently provides </w:t>
      </w:r>
      <w:r w:rsidR="0002011C">
        <w:rPr>
          <w:szCs w:val="24"/>
        </w:rPr>
        <w:t xml:space="preserve">retail </w:t>
      </w:r>
      <w:r w:rsidR="001C07F2" w:rsidRPr="00CB22D9">
        <w:rPr>
          <w:szCs w:val="24"/>
        </w:rPr>
        <w:t>electric</w:t>
      </w:r>
      <w:r w:rsidR="00617476">
        <w:rPr>
          <w:szCs w:val="24"/>
        </w:rPr>
        <w:t>al</w:t>
      </w:r>
      <w:r w:rsidR="0002011C">
        <w:rPr>
          <w:szCs w:val="24"/>
        </w:rPr>
        <w:t xml:space="preserve"> service </w:t>
      </w:r>
      <w:r w:rsidR="001C07F2" w:rsidRPr="00CB22D9">
        <w:rPr>
          <w:szCs w:val="24"/>
        </w:rPr>
        <w:t>in Jefferson County, Washington subject to the jurisdiction of the Commission.  JPUD is a public utility district organized under the laws of Washington State.</w:t>
      </w:r>
      <w:r w:rsidR="001C07F2" w:rsidRPr="00CB22D9">
        <w:rPr>
          <w:rStyle w:val="FootnoteReference"/>
          <w:szCs w:val="24"/>
        </w:rPr>
        <w:footnoteReference w:id="3"/>
      </w:r>
      <w:r w:rsidR="0002593D">
        <w:rPr>
          <w:szCs w:val="24"/>
        </w:rPr>
        <w:t xml:space="preserve">  The Commission does not regulate JPUD.</w:t>
      </w:r>
      <w:r w:rsidR="0002593D">
        <w:rPr>
          <w:rStyle w:val="FootnoteReference"/>
          <w:szCs w:val="24"/>
        </w:rPr>
        <w:footnoteReference w:id="4"/>
      </w:r>
    </w:p>
    <w:p w:rsidR="00414980" w:rsidRDefault="00445B12" w:rsidP="00445B12">
      <w:pPr>
        <w:pStyle w:val="BodyText"/>
        <w:numPr>
          <w:ilvl w:val="0"/>
          <w:numId w:val="2"/>
        </w:numPr>
        <w:spacing w:line="480" w:lineRule="auto"/>
      </w:pPr>
      <w:r>
        <w:rPr>
          <w:szCs w:val="24"/>
        </w:rPr>
        <w:tab/>
      </w:r>
      <w:r w:rsidR="00DA0566" w:rsidRPr="00CB22D9">
        <w:rPr>
          <w:szCs w:val="24"/>
        </w:rPr>
        <w:t>In November 2008, the citizens of</w:t>
      </w:r>
      <w:r w:rsidR="001C07F2" w:rsidRPr="00CB22D9">
        <w:rPr>
          <w:szCs w:val="24"/>
        </w:rPr>
        <w:t xml:space="preserve"> Jefferson County </w:t>
      </w:r>
      <w:r w:rsidR="00F84F6B">
        <w:rPr>
          <w:szCs w:val="24"/>
        </w:rPr>
        <w:t xml:space="preserve">voted to </w:t>
      </w:r>
      <w:r w:rsidR="00DA0566" w:rsidRPr="00CB22D9">
        <w:rPr>
          <w:szCs w:val="24"/>
        </w:rPr>
        <w:t xml:space="preserve">approve Proposition 1, authorizing JPUD to </w:t>
      </w:r>
      <w:r w:rsidR="00A47796">
        <w:rPr>
          <w:szCs w:val="24"/>
        </w:rPr>
        <w:t xml:space="preserve">construct or acquire </w:t>
      </w:r>
      <w:r w:rsidR="00DA0566" w:rsidRPr="00CB22D9">
        <w:rPr>
          <w:szCs w:val="24"/>
        </w:rPr>
        <w:t>facilities for the generation, transmission or distribution of electric power</w:t>
      </w:r>
      <w:r w:rsidR="00DA0566" w:rsidRPr="00CB22D9" w:rsidDel="00BA03D9">
        <w:rPr>
          <w:szCs w:val="24"/>
        </w:rPr>
        <w:t xml:space="preserve"> </w:t>
      </w:r>
      <w:r w:rsidR="00DA0566" w:rsidRPr="00CB22D9">
        <w:rPr>
          <w:szCs w:val="24"/>
        </w:rPr>
        <w:t>in Jefferson County.</w:t>
      </w:r>
      <w:r w:rsidR="001C07F2" w:rsidRPr="00CB22D9">
        <w:rPr>
          <w:rStyle w:val="FootnoteReference"/>
          <w:szCs w:val="24"/>
        </w:rPr>
        <w:footnoteReference w:id="5"/>
      </w:r>
      <w:r w:rsidR="00DA0566" w:rsidRPr="00CB22D9">
        <w:rPr>
          <w:szCs w:val="24"/>
        </w:rPr>
        <w:t xml:space="preserve"> </w:t>
      </w:r>
      <w:r w:rsidR="00414980">
        <w:rPr>
          <w:szCs w:val="24"/>
        </w:rPr>
        <w:t xml:space="preserve"> </w:t>
      </w:r>
      <w:r w:rsidR="00414980">
        <w:t>JPUD initiated settlement negotiations with PSE in July 2009 to acquire PSE's transmission and distribution assets within Jefferson County</w:t>
      </w:r>
      <w:r w:rsidR="00DC4B13">
        <w:t>.</w:t>
      </w:r>
      <w:r w:rsidR="00414980">
        <w:rPr>
          <w:rStyle w:val="FootnoteReference"/>
        </w:rPr>
        <w:footnoteReference w:id="6"/>
      </w:r>
      <w:r w:rsidR="00414980">
        <w:t xml:space="preserve">  </w:t>
      </w:r>
      <w:r w:rsidR="00DC4B13" w:rsidRPr="00CB22D9">
        <w:rPr>
          <w:rFonts w:eastAsia="Batang"/>
          <w:color w:val="000000"/>
          <w:szCs w:val="24"/>
        </w:rPr>
        <w:t>PSE entered these negot</w:t>
      </w:r>
      <w:r w:rsidR="00DC4B13">
        <w:rPr>
          <w:rFonts w:eastAsia="Batang"/>
          <w:color w:val="000000"/>
          <w:szCs w:val="24"/>
        </w:rPr>
        <w:t>iations as an “unwilling seller</w:t>
      </w:r>
      <w:r w:rsidR="00DC4B13" w:rsidRPr="00CB22D9">
        <w:rPr>
          <w:rFonts w:eastAsia="Batang"/>
          <w:color w:val="000000"/>
          <w:szCs w:val="24"/>
        </w:rPr>
        <w:t>”</w:t>
      </w:r>
      <w:r w:rsidR="00DC4B13">
        <w:rPr>
          <w:rFonts w:eastAsia="Batang"/>
          <w:color w:val="000000"/>
          <w:szCs w:val="24"/>
        </w:rPr>
        <w:t xml:space="preserve"> under threat of condemnation by JPUD.</w:t>
      </w:r>
      <w:r w:rsidR="00DC4B13" w:rsidRPr="00CB22D9">
        <w:rPr>
          <w:rStyle w:val="FootnoteReference"/>
          <w:rFonts w:eastAsia="Batang"/>
          <w:color w:val="000000"/>
          <w:szCs w:val="24"/>
        </w:rPr>
        <w:footnoteReference w:id="7"/>
      </w:r>
      <w:r w:rsidR="00DC4B13" w:rsidRPr="00CB22D9">
        <w:rPr>
          <w:rFonts w:eastAsia="Batang"/>
          <w:color w:val="000000"/>
          <w:szCs w:val="24"/>
        </w:rPr>
        <w:t xml:space="preserve">  </w:t>
      </w:r>
      <w:r w:rsidR="00414980">
        <w:t>These negotiations led to a tentative settlement agreement that was memoriali</w:t>
      </w:r>
      <w:r w:rsidR="003F21E3">
        <w:t>zed in a Letter of Intent (</w:t>
      </w:r>
      <w:r w:rsidR="0002011C">
        <w:t>“</w:t>
      </w:r>
      <w:r w:rsidR="003F21E3">
        <w:t>LOI</w:t>
      </w:r>
      <w:r w:rsidR="0002011C">
        <w:t>”</w:t>
      </w:r>
      <w:r w:rsidR="00414980">
        <w:t>)</w:t>
      </w:r>
      <w:r w:rsidR="00CB7B80">
        <w:t>,</w:t>
      </w:r>
      <w:r w:rsidR="00414980">
        <w:t xml:space="preserve"> dated April 30, 2010.</w:t>
      </w:r>
      <w:r w:rsidR="00F84F6B">
        <w:rPr>
          <w:rStyle w:val="FootnoteReference"/>
        </w:rPr>
        <w:footnoteReference w:id="8"/>
      </w:r>
    </w:p>
    <w:p w:rsidR="004B7F01" w:rsidRPr="00465E58" w:rsidRDefault="004B7F01" w:rsidP="004B7F01">
      <w:pPr>
        <w:pStyle w:val="BodyText"/>
        <w:spacing w:line="480" w:lineRule="auto"/>
        <w:ind w:firstLine="0"/>
      </w:pPr>
    </w:p>
    <w:p w:rsidR="00170E4A" w:rsidRPr="00170E4A" w:rsidRDefault="00445B12" w:rsidP="00170E4A">
      <w:pPr>
        <w:pStyle w:val="BodyText"/>
        <w:numPr>
          <w:ilvl w:val="0"/>
          <w:numId w:val="2"/>
        </w:numPr>
        <w:spacing w:line="480" w:lineRule="auto"/>
        <w:rPr>
          <w:szCs w:val="24"/>
        </w:rPr>
      </w:pPr>
      <w:r>
        <w:lastRenderedPageBreak/>
        <w:tab/>
      </w:r>
      <w:r w:rsidR="00414980">
        <w:t>On June 11</w:t>
      </w:r>
      <w:r w:rsidR="00A47796">
        <w:t xml:space="preserve">, 2010, PSE and JPUD entered </w:t>
      </w:r>
      <w:r w:rsidR="00DC4B13">
        <w:t>an Asset Purchase Agreement (</w:t>
      </w:r>
      <w:r w:rsidR="0002011C">
        <w:t>“</w:t>
      </w:r>
      <w:r w:rsidR="00DC4B13">
        <w:t>APA</w:t>
      </w:r>
      <w:r w:rsidR="0002011C">
        <w:t>”</w:t>
      </w:r>
      <w:r w:rsidR="00414980">
        <w:t xml:space="preserve">) </w:t>
      </w:r>
      <w:r w:rsidR="00170E4A">
        <w:t>as the final</w:t>
      </w:r>
      <w:r w:rsidR="00F84F6B">
        <w:t xml:space="preserve"> agreement contemplated by </w:t>
      </w:r>
      <w:r w:rsidR="00414980" w:rsidRPr="00465E58">
        <w:t xml:space="preserve">the </w:t>
      </w:r>
      <w:r w:rsidR="00414980">
        <w:t>LOI.</w:t>
      </w:r>
      <w:r w:rsidR="00F84F6B">
        <w:rPr>
          <w:rStyle w:val="FootnoteReference"/>
        </w:rPr>
        <w:footnoteReference w:id="9"/>
      </w:r>
      <w:r w:rsidR="00414980">
        <w:t xml:space="preserve">  </w:t>
      </w:r>
      <w:r w:rsidR="00170E4A">
        <w:t xml:space="preserve">The assets (“Jefferson County Assets”) to be sold to JPUD are described in Exhibit A of the APA.  None of </w:t>
      </w:r>
      <w:r w:rsidR="00440182">
        <w:t xml:space="preserve">the Jefferson County Assets </w:t>
      </w:r>
      <w:r w:rsidR="00170E4A">
        <w:t>are used to provide electrical service to PSE customers located outside of Jefferson County.</w:t>
      </w:r>
      <w:r w:rsidR="00170E4A">
        <w:rPr>
          <w:rStyle w:val="FootnoteReference"/>
        </w:rPr>
        <w:footnoteReference w:id="10"/>
      </w:r>
      <w:r w:rsidR="00170E4A">
        <w:rPr>
          <w:szCs w:val="24"/>
        </w:rPr>
        <w:t xml:space="preserve">  </w:t>
      </w:r>
      <w:r w:rsidR="00950440">
        <w:t>T</w:t>
      </w:r>
      <w:r w:rsidR="00950440" w:rsidRPr="00465E58">
        <w:t xml:space="preserve">he </w:t>
      </w:r>
      <w:r w:rsidR="00950440">
        <w:t>geographical area</w:t>
      </w:r>
      <w:r w:rsidR="00950440" w:rsidRPr="00465E58">
        <w:t xml:space="preserve"> </w:t>
      </w:r>
      <w:r w:rsidR="00950440">
        <w:t>(“Service Territory”) to be ser</w:t>
      </w:r>
      <w:r w:rsidR="00E2168C">
        <w:t xml:space="preserve">ved by JPUD </w:t>
      </w:r>
      <w:r w:rsidR="00950440">
        <w:t xml:space="preserve">is depicted in Exhibit G to the APA. </w:t>
      </w:r>
      <w:r w:rsidR="00950440" w:rsidRPr="00170E4A">
        <w:rPr>
          <w:szCs w:val="24"/>
        </w:rPr>
        <w:t xml:space="preserve"> </w:t>
      </w:r>
    </w:p>
    <w:p w:rsidR="00DC4B13" w:rsidRPr="00170E4A" w:rsidRDefault="004B7F01" w:rsidP="004B7F01">
      <w:pPr>
        <w:pStyle w:val="BodyText"/>
        <w:numPr>
          <w:ilvl w:val="0"/>
          <w:numId w:val="2"/>
        </w:numPr>
        <w:spacing w:line="480" w:lineRule="auto"/>
        <w:rPr>
          <w:szCs w:val="24"/>
        </w:rPr>
      </w:pPr>
      <w:r>
        <w:rPr>
          <w:rFonts w:eastAsia="Batang"/>
          <w:color w:val="000000"/>
          <w:szCs w:val="24"/>
        </w:rPr>
        <w:tab/>
      </w:r>
      <w:r w:rsidR="00DC4B13" w:rsidRPr="00170E4A">
        <w:rPr>
          <w:rFonts w:eastAsia="Batang"/>
          <w:color w:val="000000"/>
          <w:szCs w:val="24"/>
        </w:rPr>
        <w:t xml:space="preserve">The purchase price for the </w:t>
      </w:r>
      <w:r w:rsidR="00DC4B13" w:rsidRPr="00170E4A">
        <w:rPr>
          <w:szCs w:val="24"/>
        </w:rPr>
        <w:t>Jefferson County Assets</w:t>
      </w:r>
      <w:r w:rsidR="00DC4B13" w:rsidRPr="00170E4A" w:rsidDel="00804EE1">
        <w:rPr>
          <w:rFonts w:eastAsia="Batang"/>
          <w:color w:val="000000"/>
          <w:szCs w:val="24"/>
        </w:rPr>
        <w:t xml:space="preserve"> </w:t>
      </w:r>
      <w:r w:rsidR="00DC4B13" w:rsidRPr="00170E4A">
        <w:rPr>
          <w:rFonts w:eastAsia="Batang"/>
          <w:color w:val="000000"/>
          <w:szCs w:val="24"/>
        </w:rPr>
        <w:t>is $103 million.  PSE states that this purchase price constituted JPUD’s “best and final” offer.</w:t>
      </w:r>
      <w:r w:rsidR="00DC4B13" w:rsidRPr="00CB22D9">
        <w:rPr>
          <w:rStyle w:val="FootnoteReference"/>
          <w:rFonts w:eastAsia="Batang"/>
          <w:color w:val="000000"/>
          <w:szCs w:val="24"/>
        </w:rPr>
        <w:footnoteReference w:id="11"/>
      </w:r>
      <w:r w:rsidR="00DC4B13" w:rsidRPr="00170E4A">
        <w:rPr>
          <w:rFonts w:eastAsia="Batang"/>
          <w:color w:val="000000"/>
          <w:szCs w:val="24"/>
        </w:rPr>
        <w:t xml:space="preserve">  </w:t>
      </w:r>
    </w:p>
    <w:p w:rsidR="00DC4B13" w:rsidRPr="00CB22D9" w:rsidRDefault="00445B12" w:rsidP="00445B12">
      <w:pPr>
        <w:pStyle w:val="BodyText"/>
        <w:numPr>
          <w:ilvl w:val="0"/>
          <w:numId w:val="2"/>
        </w:numPr>
        <w:spacing w:line="480" w:lineRule="auto"/>
        <w:rPr>
          <w:szCs w:val="24"/>
        </w:rPr>
      </w:pPr>
      <w:r>
        <w:tab/>
      </w:r>
      <w:r w:rsidR="00E2168C">
        <w:t xml:space="preserve">The APA identifies </w:t>
      </w:r>
      <w:r w:rsidR="00DC4B13">
        <w:t>regulatory approv</w:t>
      </w:r>
      <w:r w:rsidR="00E2168C">
        <w:t xml:space="preserve">als </w:t>
      </w:r>
      <w:r w:rsidR="0002593D">
        <w:t>PSE and JPUD have agreed</w:t>
      </w:r>
      <w:r w:rsidR="00E2168C">
        <w:t xml:space="preserve"> must be met </w:t>
      </w:r>
      <w:r w:rsidR="00F84F6B">
        <w:t xml:space="preserve">as </w:t>
      </w:r>
      <w:r w:rsidR="00DC4B13">
        <w:t>condition</w:t>
      </w:r>
      <w:r w:rsidR="00F84F6B">
        <w:t>s</w:t>
      </w:r>
      <w:r w:rsidR="00DC4B13">
        <w:t xml:space="preserve"> precedent to closing the transaction.  These approvals include an o</w:t>
      </w:r>
      <w:r w:rsidR="003F21E3">
        <w:t>rder from the Commission declar</w:t>
      </w:r>
      <w:r w:rsidR="00DC4B13">
        <w:t xml:space="preserve">ing </w:t>
      </w:r>
      <w:r w:rsidR="003F21E3">
        <w:t xml:space="preserve">that:  </w:t>
      </w:r>
      <w:r w:rsidR="0002593D">
        <w:t>(1</w:t>
      </w:r>
      <w:r w:rsidR="00DC4B13">
        <w:t>) </w:t>
      </w:r>
      <w:r w:rsidR="00440182">
        <w:t xml:space="preserve">by operation of RCW 80.12.020(1), Commission approval is not required prior to the transfer of the </w:t>
      </w:r>
      <w:r w:rsidR="00440182" w:rsidRPr="00170E4A">
        <w:rPr>
          <w:szCs w:val="24"/>
        </w:rPr>
        <w:t>Jefferson County Assets</w:t>
      </w:r>
      <w:r w:rsidR="00440182" w:rsidRPr="00170E4A" w:rsidDel="00804EE1">
        <w:rPr>
          <w:rFonts w:eastAsia="Batang"/>
          <w:color w:val="000000"/>
          <w:szCs w:val="24"/>
        </w:rPr>
        <w:t xml:space="preserve"> </w:t>
      </w:r>
      <w:r w:rsidR="00440182">
        <w:rPr>
          <w:rFonts w:eastAsia="Batang"/>
          <w:color w:val="000000"/>
          <w:szCs w:val="24"/>
        </w:rPr>
        <w:t xml:space="preserve">to JPUD; (2) </w:t>
      </w:r>
      <w:r w:rsidR="00DC4B13" w:rsidRPr="00477D02">
        <w:t xml:space="preserve">the </w:t>
      </w:r>
      <w:r w:rsidR="00440182">
        <w:t xml:space="preserve">amount of the purchase price </w:t>
      </w:r>
      <w:r w:rsidR="00DC4B13" w:rsidRPr="00477D02">
        <w:t>is sufficient to f</w:t>
      </w:r>
      <w:r w:rsidR="003F21E3">
        <w:t xml:space="preserve">ully compensate PSE </w:t>
      </w:r>
      <w:r w:rsidR="00440182">
        <w:t xml:space="preserve">customers </w:t>
      </w:r>
      <w:r w:rsidR="00DC4B13" w:rsidRPr="00477D02">
        <w:t xml:space="preserve">for the sale of the </w:t>
      </w:r>
      <w:r w:rsidR="003F21E3">
        <w:t xml:space="preserve">Jefferson County </w:t>
      </w:r>
      <w:r w:rsidR="0002011C">
        <w:t>Assets;</w:t>
      </w:r>
      <w:r w:rsidR="0002593D">
        <w:t xml:space="preserve"> </w:t>
      </w:r>
      <w:r w:rsidR="00440182">
        <w:t xml:space="preserve">and (3) </w:t>
      </w:r>
      <w:r w:rsidR="00DC4B13" w:rsidRPr="00477D02">
        <w:t>the provi</w:t>
      </w:r>
      <w:r w:rsidR="003F21E3">
        <w:t>sions of the</w:t>
      </w:r>
      <w:r w:rsidR="00DC4B13" w:rsidRPr="00477D02">
        <w:t xml:space="preserve"> APA pertaining to PSE’s transition of its responsibilities to provide electrical service to its customers in the Service Territory are</w:t>
      </w:r>
      <w:r w:rsidR="00DC4B13" w:rsidRPr="00465E58">
        <w:t xml:space="preserve"> </w:t>
      </w:r>
      <w:r w:rsidR="00DC4B13">
        <w:t xml:space="preserve">sufficient and </w:t>
      </w:r>
      <w:r w:rsidR="00DC4B13" w:rsidRPr="00465E58">
        <w:t>consistent with PSE’s public service obligations</w:t>
      </w:r>
      <w:r w:rsidR="00DC4B13" w:rsidRPr="00465E58">
        <w:rPr>
          <w:color w:val="000000"/>
        </w:rPr>
        <w:t>.</w:t>
      </w:r>
      <w:r w:rsidR="00E2168C">
        <w:rPr>
          <w:rStyle w:val="FootnoteReference"/>
          <w:color w:val="000000"/>
        </w:rPr>
        <w:footnoteReference w:id="12"/>
      </w:r>
      <w:r w:rsidR="00170E4A">
        <w:rPr>
          <w:color w:val="000000"/>
        </w:rPr>
        <w:t xml:space="preserve">  </w:t>
      </w:r>
      <w:r w:rsidR="00440182">
        <w:rPr>
          <w:color w:val="000000"/>
        </w:rPr>
        <w:t>Desp</w:t>
      </w:r>
      <w:r w:rsidR="00A115D6">
        <w:rPr>
          <w:color w:val="000000"/>
        </w:rPr>
        <w:t xml:space="preserve">ite some differences </w:t>
      </w:r>
      <w:r w:rsidR="00745742">
        <w:rPr>
          <w:color w:val="000000"/>
        </w:rPr>
        <w:t xml:space="preserve">between the </w:t>
      </w:r>
      <w:proofErr w:type="spellStart"/>
      <w:r w:rsidR="00745742">
        <w:rPr>
          <w:color w:val="000000"/>
        </w:rPr>
        <w:t>APA</w:t>
      </w:r>
      <w:proofErr w:type="spellEnd"/>
      <w:r w:rsidR="00745742">
        <w:rPr>
          <w:color w:val="000000"/>
        </w:rPr>
        <w:t xml:space="preserve"> and the Settlement Stipulation</w:t>
      </w:r>
      <w:r w:rsidR="00440182">
        <w:rPr>
          <w:color w:val="000000"/>
        </w:rPr>
        <w:t xml:space="preserve">, </w:t>
      </w:r>
      <w:r w:rsidR="00170E4A">
        <w:rPr>
          <w:color w:val="000000"/>
        </w:rPr>
        <w:t>PSE confirmed that the</w:t>
      </w:r>
      <w:r w:rsidR="0002593D">
        <w:rPr>
          <w:color w:val="000000"/>
        </w:rPr>
        <w:t xml:space="preserve"> </w:t>
      </w:r>
      <w:r w:rsidR="00CB7B80">
        <w:rPr>
          <w:color w:val="000000"/>
        </w:rPr>
        <w:t xml:space="preserve">Settlement Stipulation requests </w:t>
      </w:r>
      <w:r w:rsidR="0002593D">
        <w:rPr>
          <w:color w:val="000000"/>
        </w:rPr>
        <w:t>Commission</w:t>
      </w:r>
      <w:r w:rsidR="00CB7B80">
        <w:rPr>
          <w:color w:val="000000"/>
        </w:rPr>
        <w:t xml:space="preserve"> declarations that will allow PSE </w:t>
      </w:r>
      <w:r w:rsidR="00170E4A">
        <w:rPr>
          <w:color w:val="000000"/>
        </w:rPr>
        <w:t xml:space="preserve">to advise JPUD that the </w:t>
      </w:r>
      <w:r w:rsidR="0002593D">
        <w:rPr>
          <w:color w:val="000000"/>
        </w:rPr>
        <w:t>required regulatory approvals</w:t>
      </w:r>
      <w:r w:rsidR="00170E4A">
        <w:rPr>
          <w:color w:val="000000"/>
        </w:rPr>
        <w:t xml:space="preserve"> have been obtained.</w:t>
      </w:r>
      <w:r w:rsidR="00170E4A">
        <w:rPr>
          <w:rStyle w:val="FootnoteReference"/>
          <w:color w:val="000000"/>
        </w:rPr>
        <w:footnoteReference w:id="13"/>
      </w:r>
    </w:p>
    <w:p w:rsidR="00544262" w:rsidRPr="00CB22D9" w:rsidRDefault="00445B12" w:rsidP="00445B12">
      <w:pPr>
        <w:pStyle w:val="BodyText"/>
        <w:numPr>
          <w:ilvl w:val="0"/>
          <w:numId w:val="2"/>
        </w:numPr>
        <w:spacing w:line="480" w:lineRule="auto"/>
        <w:rPr>
          <w:szCs w:val="24"/>
        </w:rPr>
      </w:pPr>
      <w:r>
        <w:rPr>
          <w:rFonts w:eastAsia="Batang"/>
          <w:color w:val="000000"/>
          <w:szCs w:val="24"/>
        </w:rPr>
        <w:lastRenderedPageBreak/>
        <w:tab/>
      </w:r>
      <w:r w:rsidR="009E7CCB">
        <w:rPr>
          <w:rFonts w:eastAsia="Batang"/>
          <w:color w:val="000000"/>
          <w:szCs w:val="24"/>
        </w:rPr>
        <w:t xml:space="preserve">Unless </w:t>
      </w:r>
      <w:r w:rsidR="00971F97">
        <w:rPr>
          <w:rFonts w:eastAsia="Batang"/>
          <w:color w:val="000000"/>
          <w:szCs w:val="24"/>
        </w:rPr>
        <w:t xml:space="preserve">the APA is terminated, </w:t>
      </w:r>
      <w:r w:rsidR="0002593D">
        <w:rPr>
          <w:rFonts w:eastAsia="Batang"/>
          <w:color w:val="000000"/>
          <w:szCs w:val="24"/>
        </w:rPr>
        <w:t xml:space="preserve">the </w:t>
      </w:r>
      <w:r w:rsidR="000302BB" w:rsidRPr="00CB22D9">
        <w:rPr>
          <w:rFonts w:eastAsia="Batang"/>
          <w:color w:val="000000"/>
          <w:szCs w:val="24"/>
        </w:rPr>
        <w:t>sale of the Jeffer</w:t>
      </w:r>
      <w:r w:rsidR="009E7CCB">
        <w:rPr>
          <w:rFonts w:eastAsia="Batang"/>
          <w:color w:val="000000"/>
          <w:szCs w:val="24"/>
        </w:rPr>
        <w:t>son County Assets will</w:t>
      </w:r>
      <w:r w:rsidR="000302BB" w:rsidRPr="00CB22D9">
        <w:rPr>
          <w:rFonts w:eastAsia="Batang"/>
          <w:color w:val="000000"/>
          <w:szCs w:val="24"/>
        </w:rPr>
        <w:t xml:space="preserve"> close </w:t>
      </w:r>
      <w:r w:rsidR="009E7CCB">
        <w:rPr>
          <w:rFonts w:eastAsia="Batang"/>
          <w:color w:val="000000"/>
          <w:szCs w:val="24"/>
        </w:rPr>
        <w:t xml:space="preserve">between 18 months and </w:t>
      </w:r>
      <w:r w:rsidR="000302BB" w:rsidRPr="00CB22D9">
        <w:rPr>
          <w:rFonts w:eastAsia="Batang"/>
          <w:color w:val="000000"/>
          <w:szCs w:val="24"/>
        </w:rPr>
        <w:t>36 months</w:t>
      </w:r>
      <w:r w:rsidR="009E7CCB">
        <w:rPr>
          <w:rFonts w:eastAsia="Batang"/>
          <w:color w:val="000000"/>
          <w:szCs w:val="24"/>
        </w:rPr>
        <w:t xml:space="preserve"> from </w:t>
      </w:r>
      <w:r w:rsidR="0002593D">
        <w:rPr>
          <w:rFonts w:eastAsia="Batang"/>
          <w:color w:val="000000"/>
          <w:szCs w:val="24"/>
        </w:rPr>
        <w:t xml:space="preserve">June 11, 2010, </w:t>
      </w:r>
      <w:r w:rsidR="009E7CCB">
        <w:rPr>
          <w:rFonts w:eastAsia="Batang"/>
          <w:color w:val="000000"/>
          <w:szCs w:val="24"/>
        </w:rPr>
        <w:t>the date the APA was entered</w:t>
      </w:r>
      <w:r w:rsidR="000302BB" w:rsidRPr="00CB22D9">
        <w:rPr>
          <w:rFonts w:eastAsia="Batang"/>
          <w:color w:val="000000"/>
          <w:szCs w:val="24"/>
        </w:rPr>
        <w:t>.</w:t>
      </w:r>
      <w:r w:rsidR="009E7CCB">
        <w:rPr>
          <w:rStyle w:val="FootnoteReference"/>
          <w:rFonts w:eastAsia="Batang"/>
          <w:color w:val="000000"/>
          <w:szCs w:val="24"/>
        </w:rPr>
        <w:footnoteReference w:id="14"/>
      </w:r>
      <w:r w:rsidR="000302BB" w:rsidRPr="00CB22D9">
        <w:rPr>
          <w:rFonts w:eastAsia="Batang"/>
          <w:color w:val="000000"/>
          <w:szCs w:val="24"/>
        </w:rPr>
        <w:t xml:space="preserve">  </w:t>
      </w:r>
      <w:r w:rsidR="007157AD">
        <w:rPr>
          <w:szCs w:val="24"/>
        </w:rPr>
        <w:t xml:space="preserve">Prior to closing, </w:t>
      </w:r>
      <w:r w:rsidR="00A47796">
        <w:rPr>
          <w:szCs w:val="24"/>
        </w:rPr>
        <w:t xml:space="preserve">the APA confirms that </w:t>
      </w:r>
      <w:r w:rsidR="002E753D">
        <w:rPr>
          <w:szCs w:val="24"/>
        </w:rPr>
        <w:t>PSE will</w:t>
      </w:r>
      <w:r w:rsidR="00F84F6B">
        <w:rPr>
          <w:rFonts w:eastAsia="Batang"/>
          <w:color w:val="000000"/>
          <w:szCs w:val="24"/>
        </w:rPr>
        <w:t xml:space="preserve"> </w:t>
      </w:r>
      <w:r w:rsidR="00A47796">
        <w:rPr>
          <w:rFonts w:eastAsia="Batang"/>
          <w:color w:val="000000"/>
          <w:szCs w:val="24"/>
        </w:rPr>
        <w:t xml:space="preserve">continue to </w:t>
      </w:r>
      <w:r w:rsidR="00F84F6B">
        <w:rPr>
          <w:rFonts w:eastAsia="Batang"/>
          <w:color w:val="000000"/>
          <w:szCs w:val="24"/>
        </w:rPr>
        <w:t>provide electric</w:t>
      </w:r>
      <w:r w:rsidR="00440182">
        <w:rPr>
          <w:rFonts w:eastAsia="Batang"/>
          <w:color w:val="000000"/>
          <w:szCs w:val="24"/>
        </w:rPr>
        <w:t>al</w:t>
      </w:r>
      <w:r w:rsidR="00F84F6B">
        <w:rPr>
          <w:rFonts w:eastAsia="Batang"/>
          <w:color w:val="000000"/>
          <w:szCs w:val="24"/>
        </w:rPr>
        <w:t xml:space="preserve"> service </w:t>
      </w:r>
      <w:r w:rsidR="00071226">
        <w:rPr>
          <w:rFonts w:eastAsia="Batang"/>
          <w:color w:val="000000"/>
          <w:szCs w:val="24"/>
        </w:rPr>
        <w:t xml:space="preserve">in the Service Territory </w:t>
      </w:r>
      <w:r w:rsidR="00A7122E">
        <w:rPr>
          <w:rFonts w:eastAsia="Batang"/>
          <w:color w:val="000000"/>
          <w:szCs w:val="24"/>
        </w:rPr>
        <w:t>subject to</w:t>
      </w:r>
      <w:r w:rsidR="00F84F6B">
        <w:rPr>
          <w:rFonts w:eastAsia="Batang"/>
          <w:color w:val="000000"/>
          <w:szCs w:val="24"/>
        </w:rPr>
        <w:t xml:space="preserve"> all applicable Commission </w:t>
      </w:r>
      <w:r w:rsidR="0002593D">
        <w:rPr>
          <w:rFonts w:eastAsia="Batang"/>
          <w:color w:val="000000"/>
          <w:szCs w:val="24"/>
        </w:rPr>
        <w:t xml:space="preserve">laws and </w:t>
      </w:r>
      <w:r w:rsidR="00F84F6B">
        <w:rPr>
          <w:rFonts w:eastAsia="Batang"/>
          <w:color w:val="000000"/>
          <w:szCs w:val="24"/>
        </w:rPr>
        <w:t>rules</w:t>
      </w:r>
      <w:r w:rsidR="00971F97">
        <w:rPr>
          <w:rFonts w:eastAsia="Batang"/>
          <w:color w:val="000000"/>
          <w:szCs w:val="24"/>
        </w:rPr>
        <w:t>.</w:t>
      </w:r>
      <w:r w:rsidR="00971F97">
        <w:rPr>
          <w:rStyle w:val="FootnoteReference"/>
          <w:rFonts w:eastAsia="Batang"/>
          <w:color w:val="000000"/>
          <w:szCs w:val="24"/>
        </w:rPr>
        <w:footnoteReference w:id="15"/>
      </w:r>
      <w:r w:rsidR="00971F97">
        <w:rPr>
          <w:rFonts w:eastAsia="Batang"/>
          <w:color w:val="000000"/>
          <w:szCs w:val="24"/>
        </w:rPr>
        <w:t xml:space="preserve">  The APA also </w:t>
      </w:r>
      <w:r w:rsidR="00170E4A">
        <w:rPr>
          <w:rFonts w:eastAsia="Batang"/>
          <w:color w:val="000000"/>
          <w:szCs w:val="24"/>
        </w:rPr>
        <w:t xml:space="preserve">allows the </w:t>
      </w:r>
      <w:r w:rsidR="00971F97">
        <w:rPr>
          <w:rFonts w:eastAsia="Batang"/>
          <w:color w:val="000000"/>
          <w:szCs w:val="24"/>
        </w:rPr>
        <w:t xml:space="preserve">purchase price </w:t>
      </w:r>
      <w:r w:rsidR="00170E4A">
        <w:rPr>
          <w:rFonts w:eastAsia="Batang"/>
          <w:color w:val="000000"/>
          <w:szCs w:val="24"/>
        </w:rPr>
        <w:t xml:space="preserve">to be adjusted </w:t>
      </w:r>
      <w:r w:rsidR="00971F97">
        <w:rPr>
          <w:rFonts w:eastAsia="Batang"/>
          <w:color w:val="000000"/>
          <w:szCs w:val="24"/>
        </w:rPr>
        <w:t xml:space="preserve">by any </w:t>
      </w:r>
      <w:r w:rsidR="00071226">
        <w:rPr>
          <w:rFonts w:eastAsia="Batang"/>
          <w:color w:val="000000"/>
          <w:szCs w:val="24"/>
        </w:rPr>
        <w:t xml:space="preserve">necessary </w:t>
      </w:r>
      <w:r w:rsidR="00971F97">
        <w:rPr>
          <w:rFonts w:eastAsia="Batang"/>
          <w:color w:val="000000"/>
          <w:szCs w:val="24"/>
        </w:rPr>
        <w:t xml:space="preserve">plant additions or deletions </w:t>
      </w:r>
      <w:r w:rsidR="0002593D">
        <w:rPr>
          <w:rFonts w:eastAsia="Batang"/>
          <w:color w:val="000000"/>
          <w:szCs w:val="24"/>
        </w:rPr>
        <w:t>made before closing</w:t>
      </w:r>
      <w:r w:rsidR="0002593D" w:rsidRPr="00CB22D9">
        <w:rPr>
          <w:szCs w:val="24"/>
        </w:rPr>
        <w:t xml:space="preserve"> </w:t>
      </w:r>
      <w:r w:rsidR="00971F97" w:rsidRPr="00CB22D9">
        <w:rPr>
          <w:szCs w:val="24"/>
        </w:rPr>
        <w:t>in the Service Territory</w:t>
      </w:r>
      <w:r w:rsidR="00971F97">
        <w:rPr>
          <w:rFonts w:eastAsia="Batang"/>
          <w:color w:val="000000"/>
          <w:szCs w:val="24"/>
        </w:rPr>
        <w:t>.</w:t>
      </w:r>
      <w:r w:rsidR="00971F97">
        <w:rPr>
          <w:rStyle w:val="FootnoteReference"/>
          <w:rFonts w:eastAsia="Batang"/>
          <w:color w:val="000000"/>
          <w:szCs w:val="24"/>
        </w:rPr>
        <w:footnoteReference w:id="16"/>
      </w:r>
      <w:r w:rsidR="00DA0566" w:rsidRPr="00CB22D9">
        <w:rPr>
          <w:rFonts w:eastAsia="Batang"/>
          <w:color w:val="000000"/>
          <w:szCs w:val="24"/>
        </w:rPr>
        <w:t xml:space="preserve">  </w:t>
      </w:r>
      <w:r w:rsidR="002E753D">
        <w:rPr>
          <w:szCs w:val="24"/>
        </w:rPr>
        <w:t xml:space="preserve">At closing, </w:t>
      </w:r>
      <w:r w:rsidR="00F82256">
        <w:rPr>
          <w:szCs w:val="24"/>
        </w:rPr>
        <w:t xml:space="preserve">the APA confirms that </w:t>
      </w:r>
      <w:r w:rsidR="0002011C" w:rsidRPr="00CB22D9">
        <w:rPr>
          <w:szCs w:val="24"/>
        </w:rPr>
        <w:t xml:space="preserve">full and complete responsibility </w:t>
      </w:r>
      <w:r w:rsidR="002E753D">
        <w:rPr>
          <w:szCs w:val="24"/>
        </w:rPr>
        <w:t xml:space="preserve">shifts </w:t>
      </w:r>
      <w:r w:rsidR="0002011C">
        <w:rPr>
          <w:szCs w:val="24"/>
        </w:rPr>
        <w:t>from PSE to</w:t>
      </w:r>
      <w:r w:rsidR="00A7122E">
        <w:rPr>
          <w:szCs w:val="24"/>
        </w:rPr>
        <w:t xml:space="preserve"> JPUD</w:t>
      </w:r>
      <w:r w:rsidR="00914A20">
        <w:rPr>
          <w:szCs w:val="24"/>
        </w:rPr>
        <w:t xml:space="preserve"> to </w:t>
      </w:r>
      <w:r w:rsidR="00A7122E">
        <w:rPr>
          <w:szCs w:val="24"/>
        </w:rPr>
        <w:t>provide</w:t>
      </w:r>
      <w:r w:rsidR="0002011C" w:rsidRPr="00CB22D9">
        <w:rPr>
          <w:szCs w:val="24"/>
        </w:rPr>
        <w:t xml:space="preserve"> el</w:t>
      </w:r>
      <w:r w:rsidR="0002593D">
        <w:rPr>
          <w:szCs w:val="24"/>
        </w:rPr>
        <w:t>ectric</w:t>
      </w:r>
      <w:r w:rsidR="00914A20">
        <w:rPr>
          <w:szCs w:val="24"/>
        </w:rPr>
        <w:t>al</w:t>
      </w:r>
      <w:r w:rsidR="0002593D">
        <w:rPr>
          <w:szCs w:val="24"/>
        </w:rPr>
        <w:t xml:space="preserve"> service to PSE’s former</w:t>
      </w:r>
      <w:r w:rsidR="0002011C" w:rsidRPr="00CB22D9">
        <w:rPr>
          <w:szCs w:val="24"/>
        </w:rPr>
        <w:t xml:space="preserve"> customers in the Service Territory.</w:t>
      </w:r>
      <w:r w:rsidR="0002011C" w:rsidRPr="00CB22D9">
        <w:rPr>
          <w:rStyle w:val="FootnoteReference"/>
          <w:szCs w:val="24"/>
        </w:rPr>
        <w:footnoteReference w:id="17"/>
      </w:r>
    </w:p>
    <w:p w:rsidR="008521A0" w:rsidRPr="00CB22D9" w:rsidRDefault="008521A0" w:rsidP="00445B12">
      <w:pPr>
        <w:keepNext/>
        <w:spacing w:line="480" w:lineRule="auto"/>
        <w:ind w:firstLine="0"/>
        <w:jc w:val="center"/>
        <w:rPr>
          <w:b/>
          <w:szCs w:val="24"/>
        </w:rPr>
      </w:pPr>
      <w:r w:rsidRPr="00CB22D9">
        <w:rPr>
          <w:b/>
          <w:szCs w:val="24"/>
        </w:rPr>
        <w:t>II</w:t>
      </w:r>
      <w:r w:rsidR="003C3773" w:rsidRPr="00CB22D9">
        <w:rPr>
          <w:b/>
          <w:szCs w:val="24"/>
        </w:rPr>
        <w:t>I</w:t>
      </w:r>
      <w:r w:rsidRPr="00CB22D9">
        <w:rPr>
          <w:b/>
          <w:szCs w:val="24"/>
        </w:rPr>
        <w:t>.</w:t>
      </w:r>
      <w:r w:rsidRPr="00CB22D9">
        <w:rPr>
          <w:b/>
          <w:szCs w:val="24"/>
        </w:rPr>
        <w:tab/>
        <w:t>DISCUSSION IN SUPPORT OF SETTLEMENT AGREEMENT</w:t>
      </w:r>
    </w:p>
    <w:p w:rsidR="008521A0" w:rsidRPr="00CB22D9" w:rsidRDefault="00A7122E" w:rsidP="008521A0">
      <w:pPr>
        <w:spacing w:line="480" w:lineRule="auto"/>
        <w:ind w:firstLine="0"/>
        <w:rPr>
          <w:b/>
          <w:szCs w:val="24"/>
        </w:rPr>
      </w:pPr>
      <w:r>
        <w:rPr>
          <w:b/>
          <w:szCs w:val="24"/>
        </w:rPr>
        <w:t>A</w:t>
      </w:r>
      <w:r w:rsidR="008521A0" w:rsidRPr="00CB22D9">
        <w:rPr>
          <w:b/>
          <w:szCs w:val="24"/>
        </w:rPr>
        <w:t>.</w:t>
      </w:r>
      <w:r w:rsidR="008521A0" w:rsidRPr="00CB22D9">
        <w:rPr>
          <w:b/>
          <w:szCs w:val="24"/>
        </w:rPr>
        <w:tab/>
        <w:t>Sale of the Jefferson County Assets Does Not Require Commission Approval</w:t>
      </w:r>
    </w:p>
    <w:p w:rsidR="008521A0" w:rsidRPr="00445B12" w:rsidRDefault="00445B12" w:rsidP="00445B12">
      <w:pPr>
        <w:pStyle w:val="ListParagraph"/>
        <w:numPr>
          <w:ilvl w:val="0"/>
          <w:numId w:val="2"/>
        </w:numPr>
        <w:spacing w:line="480" w:lineRule="auto"/>
        <w:rPr>
          <w:szCs w:val="24"/>
        </w:rPr>
      </w:pPr>
      <w:r>
        <w:rPr>
          <w:szCs w:val="24"/>
        </w:rPr>
        <w:tab/>
      </w:r>
      <w:r w:rsidR="0002593D">
        <w:rPr>
          <w:szCs w:val="24"/>
        </w:rPr>
        <w:t>In general, n</w:t>
      </w:r>
      <w:r w:rsidR="008521A0" w:rsidRPr="00445B12">
        <w:rPr>
          <w:szCs w:val="24"/>
        </w:rPr>
        <w:t xml:space="preserve">o public service company may sell, lease, assign or otherwise dispose of any part of its properties or facilities that are necessary or useful in the performance of its duties to the public without first having secured from the Commission an order </w:t>
      </w:r>
      <w:r w:rsidR="00DB08E9" w:rsidRPr="00445B12">
        <w:rPr>
          <w:szCs w:val="24"/>
        </w:rPr>
        <w:t>authorizing the transfer</w:t>
      </w:r>
      <w:r w:rsidR="008521A0" w:rsidRPr="00445B12">
        <w:rPr>
          <w:szCs w:val="24"/>
        </w:rPr>
        <w:t>.</w:t>
      </w:r>
      <w:r w:rsidR="008521A0" w:rsidRPr="00CB22D9">
        <w:rPr>
          <w:rStyle w:val="FootnoteReference"/>
          <w:szCs w:val="24"/>
        </w:rPr>
        <w:footnoteReference w:id="18"/>
      </w:r>
      <w:r w:rsidR="008521A0" w:rsidRPr="00445B12">
        <w:rPr>
          <w:szCs w:val="24"/>
        </w:rPr>
        <w:t xml:space="preserve">  </w:t>
      </w:r>
    </w:p>
    <w:p w:rsidR="008521A0" w:rsidRDefault="00445B12" w:rsidP="00445B12">
      <w:pPr>
        <w:pStyle w:val="ListParagraph"/>
        <w:numPr>
          <w:ilvl w:val="0"/>
          <w:numId w:val="2"/>
        </w:numPr>
        <w:spacing w:line="480" w:lineRule="auto"/>
        <w:rPr>
          <w:szCs w:val="24"/>
        </w:rPr>
      </w:pPr>
      <w:r>
        <w:rPr>
          <w:szCs w:val="24"/>
        </w:rPr>
        <w:tab/>
      </w:r>
      <w:r w:rsidR="008521A0" w:rsidRPr="00445B12">
        <w:rPr>
          <w:szCs w:val="24"/>
        </w:rPr>
        <w:t xml:space="preserve">However, </w:t>
      </w:r>
      <w:r w:rsidR="0002593D">
        <w:rPr>
          <w:szCs w:val="24"/>
        </w:rPr>
        <w:t xml:space="preserve">there is an exception </w:t>
      </w:r>
      <w:r w:rsidR="008521A0" w:rsidRPr="00445B12">
        <w:rPr>
          <w:szCs w:val="24"/>
        </w:rPr>
        <w:t xml:space="preserve">when the </w:t>
      </w:r>
      <w:r w:rsidR="0002593D">
        <w:rPr>
          <w:szCs w:val="24"/>
        </w:rPr>
        <w:t xml:space="preserve">public service company </w:t>
      </w:r>
      <w:r w:rsidR="008521A0" w:rsidRPr="00445B12">
        <w:rPr>
          <w:szCs w:val="24"/>
        </w:rPr>
        <w:t>transfer</w:t>
      </w:r>
      <w:r w:rsidR="0002593D">
        <w:rPr>
          <w:szCs w:val="24"/>
        </w:rPr>
        <w:t xml:space="preserve">s property or facilities </w:t>
      </w:r>
      <w:r w:rsidR="008521A0" w:rsidRPr="00445B12">
        <w:rPr>
          <w:szCs w:val="24"/>
        </w:rPr>
        <w:t>to a “special purpose district” as defined by RCW 36.96.010.</w:t>
      </w:r>
      <w:r w:rsidR="0010621A" w:rsidRPr="00CB22D9">
        <w:rPr>
          <w:rStyle w:val="FootnoteReference"/>
          <w:szCs w:val="24"/>
        </w:rPr>
        <w:footnoteReference w:id="19"/>
      </w:r>
      <w:r w:rsidR="00350E5F" w:rsidRPr="00445B12">
        <w:rPr>
          <w:szCs w:val="24"/>
        </w:rPr>
        <w:t xml:space="preserve">  </w:t>
      </w:r>
      <w:r w:rsidR="008521A0" w:rsidRPr="00445B12">
        <w:rPr>
          <w:szCs w:val="24"/>
        </w:rPr>
        <w:t>RCW 36.96.010</w:t>
      </w:r>
      <w:r w:rsidR="00544262" w:rsidRPr="00445B12">
        <w:rPr>
          <w:szCs w:val="24"/>
        </w:rPr>
        <w:t>(1)</w:t>
      </w:r>
      <w:r w:rsidR="008521A0" w:rsidRPr="00445B12">
        <w:rPr>
          <w:szCs w:val="24"/>
        </w:rPr>
        <w:t xml:space="preserve"> defines </w:t>
      </w:r>
      <w:r w:rsidR="004E6AD3" w:rsidRPr="00445B12">
        <w:rPr>
          <w:szCs w:val="24"/>
        </w:rPr>
        <w:t xml:space="preserve">a </w:t>
      </w:r>
      <w:r w:rsidR="008521A0" w:rsidRPr="00445B12">
        <w:rPr>
          <w:szCs w:val="24"/>
        </w:rPr>
        <w:t>special purpose district to include a public utilit</w:t>
      </w:r>
      <w:r w:rsidR="0010621A" w:rsidRPr="00445B12">
        <w:rPr>
          <w:szCs w:val="24"/>
        </w:rPr>
        <w:t>y dis</w:t>
      </w:r>
      <w:r w:rsidR="008521A0" w:rsidRPr="00445B12">
        <w:rPr>
          <w:szCs w:val="24"/>
        </w:rPr>
        <w:t>trict</w:t>
      </w:r>
      <w:r w:rsidR="0010621A" w:rsidRPr="00445B12">
        <w:rPr>
          <w:szCs w:val="24"/>
        </w:rPr>
        <w:t xml:space="preserve">.  Therefore, Commission approval </w:t>
      </w:r>
      <w:r w:rsidR="00851196" w:rsidRPr="00445B12">
        <w:rPr>
          <w:szCs w:val="24"/>
        </w:rPr>
        <w:t>of PSE’s sale of the Jefferson County Assets to JPUD is not required</w:t>
      </w:r>
      <w:r w:rsidR="0010621A" w:rsidRPr="00445B12">
        <w:rPr>
          <w:szCs w:val="24"/>
        </w:rPr>
        <w:t>.</w:t>
      </w:r>
      <w:r w:rsidR="00F82256">
        <w:rPr>
          <w:szCs w:val="24"/>
        </w:rPr>
        <w:t xml:space="preserve">  </w:t>
      </w:r>
      <w:r w:rsidR="00B5685F">
        <w:rPr>
          <w:szCs w:val="24"/>
        </w:rPr>
        <w:t>Declaration 1, as set forth in the Settlement Stipulation</w:t>
      </w:r>
      <w:r w:rsidR="003B14B5">
        <w:rPr>
          <w:szCs w:val="24"/>
        </w:rPr>
        <w:t>, is fully supported by the law.</w:t>
      </w:r>
    </w:p>
    <w:p w:rsidR="00C61357" w:rsidRDefault="00C61357" w:rsidP="004B7F01">
      <w:pPr>
        <w:pStyle w:val="ListParagraph"/>
        <w:keepNext/>
        <w:spacing w:line="240" w:lineRule="auto"/>
        <w:ind w:hanging="720"/>
        <w:rPr>
          <w:b/>
          <w:szCs w:val="24"/>
        </w:rPr>
      </w:pPr>
      <w:r w:rsidRPr="00C61357">
        <w:rPr>
          <w:b/>
          <w:szCs w:val="24"/>
        </w:rPr>
        <w:lastRenderedPageBreak/>
        <w:t>B.</w:t>
      </w:r>
      <w:r w:rsidRPr="00C61357">
        <w:rPr>
          <w:b/>
          <w:szCs w:val="24"/>
        </w:rPr>
        <w:tab/>
        <w:t xml:space="preserve">The Commission Has Authority to Issue the Requested Declarations and </w:t>
      </w:r>
      <w:r w:rsidR="007C0408">
        <w:rPr>
          <w:b/>
          <w:szCs w:val="24"/>
        </w:rPr>
        <w:t>May</w:t>
      </w:r>
      <w:r w:rsidRPr="00C61357">
        <w:rPr>
          <w:b/>
          <w:szCs w:val="24"/>
        </w:rPr>
        <w:t xml:space="preserve"> Exercise that Discretion</w:t>
      </w:r>
      <w:r>
        <w:rPr>
          <w:b/>
          <w:szCs w:val="24"/>
        </w:rPr>
        <w:t xml:space="preserve"> Under RCW 34.05.240</w:t>
      </w:r>
    </w:p>
    <w:p w:rsidR="00C61357" w:rsidRDefault="00C61357" w:rsidP="00C61357">
      <w:pPr>
        <w:spacing w:line="240" w:lineRule="auto"/>
        <w:ind w:firstLine="0"/>
        <w:rPr>
          <w:b/>
          <w:szCs w:val="24"/>
        </w:rPr>
      </w:pPr>
    </w:p>
    <w:p w:rsidR="0002593D" w:rsidRPr="004B7F01" w:rsidRDefault="004B7F01" w:rsidP="004B7F01">
      <w:pPr>
        <w:pStyle w:val="ListParagraph"/>
        <w:numPr>
          <w:ilvl w:val="0"/>
          <w:numId w:val="2"/>
        </w:numPr>
        <w:spacing w:line="480" w:lineRule="auto"/>
        <w:rPr>
          <w:szCs w:val="24"/>
        </w:rPr>
      </w:pPr>
      <w:r>
        <w:rPr>
          <w:szCs w:val="24"/>
        </w:rPr>
        <w:tab/>
      </w:r>
      <w:r w:rsidR="009C0463">
        <w:rPr>
          <w:szCs w:val="24"/>
        </w:rPr>
        <w:t>Entry of declaration 1 means merely that t</w:t>
      </w:r>
      <w:r w:rsidR="0002593D" w:rsidRPr="004B7F01">
        <w:rPr>
          <w:szCs w:val="24"/>
        </w:rPr>
        <w:t xml:space="preserve">he </w:t>
      </w:r>
      <w:r w:rsidR="009C0463">
        <w:rPr>
          <w:szCs w:val="24"/>
        </w:rPr>
        <w:t xml:space="preserve">transfer </w:t>
      </w:r>
      <w:r w:rsidR="009C0463" w:rsidRPr="004B7F01">
        <w:rPr>
          <w:szCs w:val="24"/>
        </w:rPr>
        <w:t xml:space="preserve">of the Jefferson County Assets </w:t>
      </w:r>
      <w:r w:rsidR="009C0463">
        <w:rPr>
          <w:szCs w:val="24"/>
        </w:rPr>
        <w:t xml:space="preserve">to </w:t>
      </w:r>
      <w:proofErr w:type="spellStart"/>
      <w:r w:rsidR="009C0463">
        <w:rPr>
          <w:szCs w:val="24"/>
        </w:rPr>
        <w:t>JPUD</w:t>
      </w:r>
      <w:proofErr w:type="spellEnd"/>
      <w:r w:rsidR="009C0463">
        <w:rPr>
          <w:szCs w:val="24"/>
        </w:rPr>
        <w:t xml:space="preserve"> does not require prior </w:t>
      </w:r>
      <w:r w:rsidR="0002593D" w:rsidRPr="004B7F01">
        <w:rPr>
          <w:szCs w:val="24"/>
        </w:rPr>
        <w:t>Commission</w:t>
      </w:r>
      <w:r w:rsidR="009C0463">
        <w:rPr>
          <w:szCs w:val="24"/>
        </w:rPr>
        <w:t xml:space="preserve"> approval.  It does not </w:t>
      </w:r>
      <w:r w:rsidR="00914A20" w:rsidRPr="004B7F01">
        <w:rPr>
          <w:szCs w:val="24"/>
        </w:rPr>
        <w:t xml:space="preserve">negate </w:t>
      </w:r>
      <w:r w:rsidR="009C0463">
        <w:rPr>
          <w:szCs w:val="24"/>
        </w:rPr>
        <w:t xml:space="preserve">the Commission’s </w:t>
      </w:r>
      <w:r w:rsidR="0002593D" w:rsidRPr="004B7F01">
        <w:rPr>
          <w:szCs w:val="24"/>
        </w:rPr>
        <w:t xml:space="preserve">authority to issue </w:t>
      </w:r>
      <w:r w:rsidR="009C0463">
        <w:rPr>
          <w:szCs w:val="24"/>
        </w:rPr>
        <w:t xml:space="preserve">the remaining declarations </w:t>
      </w:r>
      <w:r w:rsidR="00B5685F" w:rsidRPr="004B7F01">
        <w:rPr>
          <w:szCs w:val="24"/>
        </w:rPr>
        <w:t>requested in the Settlement Stipulation</w:t>
      </w:r>
      <w:r w:rsidR="0002593D" w:rsidRPr="004B7F01">
        <w:rPr>
          <w:szCs w:val="24"/>
        </w:rPr>
        <w:t>.</w:t>
      </w:r>
      <w:r w:rsidR="009C0463">
        <w:rPr>
          <w:szCs w:val="24"/>
        </w:rPr>
        <w:t xml:space="preserve">  </w:t>
      </w:r>
    </w:p>
    <w:p w:rsidR="004E26EA" w:rsidRPr="004B7F01" w:rsidRDefault="004B7F01" w:rsidP="004B7F01">
      <w:pPr>
        <w:pStyle w:val="ListParagraph"/>
        <w:numPr>
          <w:ilvl w:val="0"/>
          <w:numId w:val="2"/>
        </w:numPr>
        <w:spacing w:line="480" w:lineRule="auto"/>
        <w:rPr>
          <w:szCs w:val="24"/>
        </w:rPr>
      </w:pPr>
      <w:r>
        <w:rPr>
          <w:szCs w:val="24"/>
        </w:rPr>
        <w:tab/>
      </w:r>
      <w:r w:rsidR="000F5190" w:rsidRPr="004B7F01">
        <w:rPr>
          <w:szCs w:val="24"/>
        </w:rPr>
        <w:t>T</w:t>
      </w:r>
      <w:r w:rsidR="00914A20" w:rsidRPr="004B7F01">
        <w:rPr>
          <w:szCs w:val="24"/>
        </w:rPr>
        <w:t xml:space="preserve">he Commission is empowered </w:t>
      </w:r>
      <w:r w:rsidR="00271576" w:rsidRPr="004B7F01">
        <w:rPr>
          <w:szCs w:val="24"/>
        </w:rPr>
        <w:t xml:space="preserve">to </w:t>
      </w:r>
      <w:r w:rsidR="005406C5" w:rsidRPr="004B7F01">
        <w:rPr>
          <w:szCs w:val="24"/>
        </w:rPr>
        <w:t>“regulate in the public interest, as provided by the public service laws, the rates, services, facilities, and practices of all persons engaging in the business of supplying any utility service or commodity to the public for compensation.”</w:t>
      </w:r>
      <w:r w:rsidR="005406C5">
        <w:rPr>
          <w:rStyle w:val="FootnoteReference"/>
          <w:szCs w:val="24"/>
        </w:rPr>
        <w:footnoteReference w:id="20"/>
      </w:r>
      <w:r w:rsidR="004E26EA" w:rsidRPr="004B7F01">
        <w:rPr>
          <w:szCs w:val="24"/>
        </w:rPr>
        <w:t xml:space="preserve">  </w:t>
      </w:r>
      <w:r w:rsidR="0002593D" w:rsidRPr="004B7F01">
        <w:rPr>
          <w:szCs w:val="24"/>
        </w:rPr>
        <w:t>Th</w:t>
      </w:r>
      <w:r w:rsidR="001D7BF0" w:rsidRPr="004B7F01">
        <w:rPr>
          <w:szCs w:val="24"/>
        </w:rPr>
        <w:t xml:space="preserve">e public service laws </w:t>
      </w:r>
      <w:r w:rsidR="0002593D" w:rsidRPr="004B7F01">
        <w:rPr>
          <w:szCs w:val="24"/>
        </w:rPr>
        <w:t>a</w:t>
      </w:r>
      <w:r w:rsidR="00914A20" w:rsidRPr="004B7F01">
        <w:rPr>
          <w:szCs w:val="24"/>
        </w:rPr>
        <w:t xml:space="preserve">ddress PSE’s public service </w:t>
      </w:r>
      <w:r w:rsidR="00E272BE" w:rsidRPr="004B7F01">
        <w:rPr>
          <w:szCs w:val="24"/>
        </w:rPr>
        <w:t>obligations</w:t>
      </w:r>
      <w:r w:rsidR="00B5685F" w:rsidRPr="004B7F01">
        <w:rPr>
          <w:szCs w:val="24"/>
        </w:rPr>
        <w:t>, which are discussed below,</w:t>
      </w:r>
      <w:r w:rsidR="00E272BE" w:rsidRPr="004B7F01">
        <w:rPr>
          <w:szCs w:val="24"/>
        </w:rPr>
        <w:t xml:space="preserve"> </w:t>
      </w:r>
      <w:r w:rsidR="0002593D" w:rsidRPr="004B7F01">
        <w:rPr>
          <w:szCs w:val="24"/>
        </w:rPr>
        <w:t>and the Commission’s authority</w:t>
      </w:r>
      <w:r w:rsidR="001D7BF0" w:rsidRPr="004B7F01">
        <w:rPr>
          <w:szCs w:val="24"/>
        </w:rPr>
        <w:t xml:space="preserve"> </w:t>
      </w:r>
      <w:r w:rsidR="004E26EA" w:rsidRPr="004B7F01">
        <w:rPr>
          <w:szCs w:val="24"/>
        </w:rPr>
        <w:t>to ascertain and determine the fair value for ratemaking p</w:t>
      </w:r>
      <w:r w:rsidR="00E272BE" w:rsidRPr="004B7F01">
        <w:rPr>
          <w:szCs w:val="24"/>
        </w:rPr>
        <w:t xml:space="preserve">urposes of utility </w:t>
      </w:r>
      <w:r w:rsidR="00A53D68" w:rsidRPr="004B7F01">
        <w:rPr>
          <w:szCs w:val="24"/>
        </w:rPr>
        <w:t>pro</w:t>
      </w:r>
      <w:r w:rsidR="00E272BE" w:rsidRPr="004B7F01">
        <w:rPr>
          <w:szCs w:val="24"/>
        </w:rPr>
        <w:t xml:space="preserve">perty </w:t>
      </w:r>
      <w:r w:rsidR="00A53D68" w:rsidRPr="004B7F01">
        <w:rPr>
          <w:szCs w:val="24"/>
        </w:rPr>
        <w:t>used and useful for service in this state.</w:t>
      </w:r>
      <w:r w:rsidR="00A53D68">
        <w:rPr>
          <w:rStyle w:val="FootnoteReference"/>
          <w:szCs w:val="24"/>
        </w:rPr>
        <w:footnoteReference w:id="21"/>
      </w:r>
      <w:r w:rsidR="00E272BE" w:rsidRPr="004B7F01">
        <w:rPr>
          <w:szCs w:val="24"/>
        </w:rPr>
        <w:t xml:space="preserve">  The </w:t>
      </w:r>
      <w:r w:rsidR="009C0463">
        <w:rPr>
          <w:szCs w:val="24"/>
        </w:rPr>
        <w:t xml:space="preserve">remaining </w:t>
      </w:r>
      <w:r w:rsidR="00E272BE" w:rsidRPr="004B7F01">
        <w:rPr>
          <w:szCs w:val="24"/>
        </w:rPr>
        <w:t>declarations requested by the Parties implicate these laws.</w:t>
      </w:r>
    </w:p>
    <w:p w:rsidR="00672B51" w:rsidRPr="004B7F01" w:rsidRDefault="004B7F01" w:rsidP="004B7F01">
      <w:pPr>
        <w:pStyle w:val="ListParagraph"/>
        <w:numPr>
          <w:ilvl w:val="0"/>
          <w:numId w:val="2"/>
        </w:numPr>
        <w:spacing w:line="480" w:lineRule="auto"/>
        <w:rPr>
          <w:szCs w:val="24"/>
        </w:rPr>
      </w:pPr>
      <w:r>
        <w:rPr>
          <w:szCs w:val="24"/>
        </w:rPr>
        <w:tab/>
      </w:r>
      <w:r w:rsidR="0002593D" w:rsidRPr="004B7F01">
        <w:rPr>
          <w:szCs w:val="24"/>
        </w:rPr>
        <w:t xml:space="preserve">As a preliminary matter, the Commission must </w:t>
      </w:r>
      <w:r w:rsidR="000F5190" w:rsidRPr="004B7F01">
        <w:rPr>
          <w:szCs w:val="24"/>
        </w:rPr>
        <w:t>ensure that the standards</w:t>
      </w:r>
      <w:r w:rsidR="00006CDB" w:rsidRPr="004B7F01">
        <w:rPr>
          <w:szCs w:val="24"/>
        </w:rPr>
        <w:t xml:space="preserve"> set forth in RCW 34.05.240</w:t>
      </w:r>
      <w:r w:rsidR="004E00B7" w:rsidRPr="004B7F01">
        <w:rPr>
          <w:szCs w:val="24"/>
        </w:rPr>
        <w:t>(1)</w:t>
      </w:r>
      <w:r w:rsidR="000F5190" w:rsidRPr="004B7F01">
        <w:rPr>
          <w:szCs w:val="24"/>
        </w:rPr>
        <w:t xml:space="preserve"> are satisfied</w:t>
      </w:r>
      <w:r w:rsidR="004E00B7" w:rsidRPr="004B7F01">
        <w:rPr>
          <w:szCs w:val="24"/>
        </w:rPr>
        <w:t>:</w:t>
      </w:r>
    </w:p>
    <w:p w:rsidR="00432B70" w:rsidRDefault="004E00B7" w:rsidP="004B7F01">
      <w:pPr>
        <w:spacing w:line="240" w:lineRule="auto"/>
        <w:ind w:left="720" w:right="828" w:firstLine="0"/>
        <w:rPr>
          <w:szCs w:val="24"/>
        </w:rPr>
      </w:pPr>
      <w:r>
        <w:rPr>
          <w:szCs w:val="24"/>
        </w:rPr>
        <w:t>Any person may petition an agency for a declaratory order with</w:t>
      </w:r>
      <w:r w:rsidR="00271576">
        <w:rPr>
          <w:szCs w:val="24"/>
        </w:rPr>
        <w:t xml:space="preserve"> respect to the applicability to specified circumstances</w:t>
      </w:r>
      <w:r w:rsidR="00C61357">
        <w:rPr>
          <w:szCs w:val="24"/>
        </w:rPr>
        <w:t xml:space="preserve"> </w:t>
      </w:r>
      <w:r w:rsidR="00271576">
        <w:rPr>
          <w:szCs w:val="24"/>
        </w:rPr>
        <w:t>of a rule, order, or statute enforceable by the agency.</w:t>
      </w:r>
      <w:r>
        <w:rPr>
          <w:szCs w:val="24"/>
        </w:rPr>
        <w:t xml:space="preserve">  The petition shall set forth facts and reasons on which the petitioner relies to show:</w:t>
      </w:r>
    </w:p>
    <w:p w:rsidR="004E00B7" w:rsidRDefault="004E00B7" w:rsidP="004E00B7">
      <w:pPr>
        <w:spacing w:line="240" w:lineRule="auto"/>
        <w:ind w:left="720" w:firstLine="0"/>
        <w:rPr>
          <w:szCs w:val="24"/>
        </w:rPr>
      </w:pPr>
    </w:p>
    <w:p w:rsidR="00432B70" w:rsidRDefault="00432B70" w:rsidP="004B7F01">
      <w:pPr>
        <w:spacing w:line="480" w:lineRule="auto"/>
        <w:ind w:left="720" w:right="828"/>
        <w:rPr>
          <w:szCs w:val="24"/>
        </w:rPr>
      </w:pPr>
      <w:r>
        <w:rPr>
          <w:szCs w:val="24"/>
        </w:rPr>
        <w:t>(a)</w:t>
      </w:r>
      <w:r>
        <w:rPr>
          <w:szCs w:val="24"/>
        </w:rPr>
        <w:tab/>
      </w:r>
      <w:r w:rsidRPr="00432B70">
        <w:rPr>
          <w:szCs w:val="24"/>
        </w:rPr>
        <w:t>That uncertainty necessitating resolution exists;</w:t>
      </w:r>
    </w:p>
    <w:p w:rsidR="00432B70" w:rsidRDefault="00432B70" w:rsidP="004B7F01">
      <w:pPr>
        <w:spacing w:line="240" w:lineRule="auto"/>
        <w:ind w:left="2160" w:right="828" w:hanging="720"/>
        <w:rPr>
          <w:szCs w:val="24"/>
        </w:rPr>
      </w:pPr>
      <w:r>
        <w:rPr>
          <w:szCs w:val="24"/>
        </w:rPr>
        <w:t>(b)</w:t>
      </w:r>
      <w:r>
        <w:rPr>
          <w:szCs w:val="24"/>
        </w:rPr>
        <w:tab/>
      </w:r>
      <w:r w:rsidRPr="00432B70">
        <w:rPr>
          <w:szCs w:val="24"/>
        </w:rPr>
        <w:t xml:space="preserve">That there is actual controversy arising from the uncertainty such that a declaratory order will not </w:t>
      </w:r>
      <w:r>
        <w:rPr>
          <w:szCs w:val="24"/>
        </w:rPr>
        <w:t>be merely an advisory opinion;</w:t>
      </w:r>
    </w:p>
    <w:p w:rsidR="00432B70" w:rsidRDefault="00432B70" w:rsidP="004B7F01">
      <w:pPr>
        <w:spacing w:line="240" w:lineRule="auto"/>
        <w:ind w:left="1440" w:right="828" w:hanging="720"/>
        <w:rPr>
          <w:szCs w:val="24"/>
        </w:rPr>
      </w:pPr>
    </w:p>
    <w:p w:rsidR="00432B70" w:rsidRDefault="00432B70" w:rsidP="004B7F01">
      <w:pPr>
        <w:spacing w:line="240" w:lineRule="auto"/>
        <w:ind w:left="1440" w:right="828" w:firstLine="0"/>
        <w:rPr>
          <w:szCs w:val="24"/>
        </w:rPr>
      </w:pPr>
      <w:r w:rsidRPr="00432B70">
        <w:rPr>
          <w:szCs w:val="24"/>
        </w:rPr>
        <w:t xml:space="preserve">(c) </w:t>
      </w:r>
      <w:r>
        <w:rPr>
          <w:szCs w:val="24"/>
        </w:rPr>
        <w:tab/>
      </w:r>
      <w:r w:rsidRPr="00432B70">
        <w:rPr>
          <w:szCs w:val="24"/>
        </w:rPr>
        <w:t>That the uncertainty adversel</w:t>
      </w:r>
      <w:r>
        <w:rPr>
          <w:szCs w:val="24"/>
        </w:rPr>
        <w:t>y affects the petitioner;</w:t>
      </w:r>
    </w:p>
    <w:p w:rsidR="00432B70" w:rsidRDefault="00432B70" w:rsidP="004B7F01">
      <w:pPr>
        <w:spacing w:line="240" w:lineRule="auto"/>
        <w:ind w:left="1440" w:right="828" w:hanging="720"/>
        <w:rPr>
          <w:szCs w:val="24"/>
        </w:rPr>
      </w:pPr>
    </w:p>
    <w:p w:rsidR="00432B70" w:rsidRDefault="00432B70" w:rsidP="004B7F01">
      <w:pPr>
        <w:spacing w:line="240" w:lineRule="auto"/>
        <w:ind w:left="2160" w:right="828" w:hanging="720"/>
        <w:rPr>
          <w:szCs w:val="24"/>
        </w:rPr>
      </w:pPr>
      <w:r w:rsidRPr="00432B70">
        <w:rPr>
          <w:szCs w:val="24"/>
        </w:rPr>
        <w:lastRenderedPageBreak/>
        <w:t xml:space="preserve">(d) </w:t>
      </w:r>
      <w:r>
        <w:rPr>
          <w:szCs w:val="24"/>
        </w:rPr>
        <w:tab/>
      </w:r>
      <w:r w:rsidRPr="00432B70">
        <w:rPr>
          <w:szCs w:val="24"/>
        </w:rPr>
        <w:t>That the adverse effect of uncertainty on the petitioner outweighs any adverse effects on others or on the general public that may likely arise from</w:t>
      </w:r>
      <w:r>
        <w:rPr>
          <w:szCs w:val="24"/>
        </w:rPr>
        <w:t xml:space="preserve"> the order requested</w:t>
      </w:r>
      <w:r w:rsidR="00C441F3">
        <w:rPr>
          <w:szCs w:val="24"/>
        </w:rPr>
        <w:t>.</w:t>
      </w:r>
      <w:r w:rsidR="004E00B7">
        <w:rPr>
          <w:rStyle w:val="FootnoteReference"/>
          <w:szCs w:val="24"/>
        </w:rPr>
        <w:footnoteReference w:id="22"/>
      </w:r>
    </w:p>
    <w:p w:rsidR="00C441F3" w:rsidRDefault="00C441F3" w:rsidP="00C441F3">
      <w:pPr>
        <w:spacing w:line="240" w:lineRule="auto"/>
        <w:ind w:firstLine="0"/>
        <w:rPr>
          <w:szCs w:val="24"/>
        </w:rPr>
      </w:pPr>
    </w:p>
    <w:p w:rsidR="00C441F3" w:rsidRPr="004B7F01" w:rsidRDefault="004B7F01" w:rsidP="004B7F01">
      <w:pPr>
        <w:pStyle w:val="ListParagraph"/>
        <w:numPr>
          <w:ilvl w:val="0"/>
          <w:numId w:val="2"/>
        </w:numPr>
        <w:spacing w:line="480" w:lineRule="auto"/>
        <w:rPr>
          <w:szCs w:val="24"/>
        </w:rPr>
      </w:pPr>
      <w:r>
        <w:rPr>
          <w:szCs w:val="24"/>
        </w:rPr>
        <w:tab/>
      </w:r>
      <w:r w:rsidR="00C441F3" w:rsidRPr="004B7F01">
        <w:rPr>
          <w:szCs w:val="24"/>
        </w:rPr>
        <w:t xml:space="preserve">Each of these requirements is fulfilled under the circumstances </w:t>
      </w:r>
      <w:r w:rsidR="00157002" w:rsidRPr="004B7F01">
        <w:rPr>
          <w:szCs w:val="24"/>
        </w:rPr>
        <w:t>of</w:t>
      </w:r>
      <w:r w:rsidR="00C441F3" w:rsidRPr="004B7F01">
        <w:rPr>
          <w:szCs w:val="24"/>
        </w:rPr>
        <w:t xml:space="preserve"> this proceeding.  </w:t>
      </w:r>
      <w:r w:rsidR="00E45300" w:rsidRPr="004B7F01">
        <w:rPr>
          <w:szCs w:val="24"/>
        </w:rPr>
        <w:t>First, w</w:t>
      </w:r>
      <w:r w:rsidR="00FB1756" w:rsidRPr="004B7F01">
        <w:rPr>
          <w:szCs w:val="24"/>
        </w:rPr>
        <w:t xml:space="preserve">hether the </w:t>
      </w:r>
      <w:r w:rsidR="005E4D47" w:rsidRPr="004B7F01">
        <w:rPr>
          <w:szCs w:val="24"/>
        </w:rPr>
        <w:t xml:space="preserve">requested declarations </w:t>
      </w:r>
      <w:r w:rsidR="00FB1756" w:rsidRPr="004B7F01">
        <w:rPr>
          <w:szCs w:val="24"/>
        </w:rPr>
        <w:t xml:space="preserve">are satisfied </w:t>
      </w:r>
      <w:r w:rsidR="00C441F3" w:rsidRPr="004B7F01">
        <w:rPr>
          <w:szCs w:val="24"/>
        </w:rPr>
        <w:t xml:space="preserve">is </w:t>
      </w:r>
      <w:r w:rsidR="00FB1756" w:rsidRPr="004B7F01">
        <w:rPr>
          <w:szCs w:val="24"/>
        </w:rPr>
        <w:t xml:space="preserve">an </w:t>
      </w:r>
      <w:r w:rsidR="00C441F3" w:rsidRPr="004B7F01">
        <w:rPr>
          <w:szCs w:val="24"/>
        </w:rPr>
        <w:t xml:space="preserve">uncertainty </w:t>
      </w:r>
      <w:r w:rsidR="007064B0" w:rsidRPr="004B7F01">
        <w:rPr>
          <w:szCs w:val="24"/>
        </w:rPr>
        <w:t xml:space="preserve">that </w:t>
      </w:r>
      <w:r w:rsidR="0002593D" w:rsidRPr="004B7F01">
        <w:rPr>
          <w:szCs w:val="24"/>
        </w:rPr>
        <w:t>needs to</w:t>
      </w:r>
      <w:r w:rsidR="00BF49BB" w:rsidRPr="004B7F01">
        <w:rPr>
          <w:szCs w:val="24"/>
        </w:rPr>
        <w:t xml:space="preserve"> be resolved under the APA</w:t>
      </w:r>
      <w:r w:rsidR="00FB1756" w:rsidRPr="004B7F01">
        <w:rPr>
          <w:szCs w:val="24"/>
        </w:rPr>
        <w:t>.</w:t>
      </w:r>
      <w:r w:rsidR="00157002" w:rsidRPr="004B7F01">
        <w:rPr>
          <w:szCs w:val="24"/>
        </w:rPr>
        <w:t xml:space="preserve">  Resolving that uncertainty</w:t>
      </w:r>
      <w:r w:rsidR="007064B0" w:rsidRPr="004B7F01">
        <w:rPr>
          <w:szCs w:val="24"/>
        </w:rPr>
        <w:t xml:space="preserve"> requires </w:t>
      </w:r>
      <w:r w:rsidR="00170E4A" w:rsidRPr="004B7F01">
        <w:rPr>
          <w:szCs w:val="24"/>
        </w:rPr>
        <w:t xml:space="preserve">the Commission to </w:t>
      </w:r>
      <w:r w:rsidR="007064B0" w:rsidRPr="004B7F01">
        <w:rPr>
          <w:szCs w:val="24"/>
        </w:rPr>
        <w:t>apply the public servi</w:t>
      </w:r>
      <w:r w:rsidR="00E272BE" w:rsidRPr="004B7F01">
        <w:rPr>
          <w:szCs w:val="24"/>
        </w:rPr>
        <w:t xml:space="preserve">ce laws </w:t>
      </w:r>
      <w:r w:rsidR="00E45300" w:rsidRPr="004B7F01">
        <w:rPr>
          <w:szCs w:val="24"/>
        </w:rPr>
        <w:t>to the particular circumstances at hand</w:t>
      </w:r>
      <w:r w:rsidR="007064B0" w:rsidRPr="004B7F01">
        <w:rPr>
          <w:szCs w:val="24"/>
        </w:rPr>
        <w:t xml:space="preserve">.  </w:t>
      </w:r>
    </w:p>
    <w:p w:rsidR="0019785D" w:rsidRPr="004B7F01" w:rsidRDefault="004B7F01" w:rsidP="004B7F01">
      <w:pPr>
        <w:pStyle w:val="ListParagraph"/>
        <w:numPr>
          <w:ilvl w:val="0"/>
          <w:numId w:val="2"/>
        </w:numPr>
        <w:spacing w:line="480" w:lineRule="auto"/>
        <w:rPr>
          <w:szCs w:val="24"/>
        </w:rPr>
      </w:pPr>
      <w:r>
        <w:rPr>
          <w:szCs w:val="24"/>
        </w:rPr>
        <w:tab/>
      </w:r>
      <w:r w:rsidR="00E45300" w:rsidRPr="004B7F01">
        <w:rPr>
          <w:szCs w:val="24"/>
        </w:rPr>
        <w:t>Second, t</w:t>
      </w:r>
      <w:r w:rsidR="005E1877" w:rsidRPr="004B7F01">
        <w:rPr>
          <w:szCs w:val="24"/>
        </w:rPr>
        <w:t xml:space="preserve">here is </w:t>
      </w:r>
      <w:r w:rsidR="007064B0" w:rsidRPr="004B7F01">
        <w:rPr>
          <w:szCs w:val="24"/>
        </w:rPr>
        <w:t xml:space="preserve">an actual controversy arising from the uncertainty because </w:t>
      </w:r>
      <w:r w:rsidR="00B73878" w:rsidRPr="004B7F01">
        <w:rPr>
          <w:szCs w:val="24"/>
        </w:rPr>
        <w:t xml:space="preserve">failure </w:t>
      </w:r>
      <w:r w:rsidR="00E272BE" w:rsidRPr="004B7F01">
        <w:rPr>
          <w:szCs w:val="24"/>
        </w:rPr>
        <w:t>to obtain the declarations</w:t>
      </w:r>
      <w:r w:rsidR="00B73878" w:rsidRPr="004B7F01">
        <w:rPr>
          <w:szCs w:val="24"/>
        </w:rPr>
        <w:t xml:space="preserve"> </w:t>
      </w:r>
      <w:r w:rsidR="00FB1756" w:rsidRPr="004B7F01">
        <w:rPr>
          <w:szCs w:val="24"/>
        </w:rPr>
        <w:t xml:space="preserve">means that </w:t>
      </w:r>
      <w:r w:rsidR="00157002" w:rsidRPr="004B7F01">
        <w:rPr>
          <w:szCs w:val="24"/>
        </w:rPr>
        <w:t>a condition precedent of</w:t>
      </w:r>
      <w:r w:rsidR="00B73878" w:rsidRPr="004B7F01">
        <w:rPr>
          <w:szCs w:val="24"/>
        </w:rPr>
        <w:t xml:space="preserve"> t</w:t>
      </w:r>
      <w:r w:rsidR="00157002" w:rsidRPr="004B7F01">
        <w:rPr>
          <w:szCs w:val="24"/>
        </w:rPr>
        <w:t xml:space="preserve">he APA </w:t>
      </w:r>
      <w:r w:rsidR="00FB1756" w:rsidRPr="004B7F01">
        <w:rPr>
          <w:szCs w:val="24"/>
        </w:rPr>
        <w:t>will not be met, which</w:t>
      </w:r>
      <w:r w:rsidR="005E1877" w:rsidRPr="004B7F01">
        <w:rPr>
          <w:szCs w:val="24"/>
        </w:rPr>
        <w:t xml:space="preserve"> </w:t>
      </w:r>
      <w:r w:rsidR="00157002" w:rsidRPr="004B7F01">
        <w:rPr>
          <w:szCs w:val="24"/>
        </w:rPr>
        <w:t xml:space="preserve">may </w:t>
      </w:r>
      <w:r w:rsidR="00B73878" w:rsidRPr="004B7F01">
        <w:rPr>
          <w:szCs w:val="24"/>
        </w:rPr>
        <w:t>place PSE under threat of condemnation by JPU</w:t>
      </w:r>
      <w:r w:rsidR="00157002" w:rsidRPr="004B7F01">
        <w:rPr>
          <w:szCs w:val="24"/>
        </w:rPr>
        <w:t xml:space="preserve">D.  It is true that this </w:t>
      </w:r>
      <w:r w:rsidR="00170E4A" w:rsidRPr="004B7F01">
        <w:rPr>
          <w:szCs w:val="24"/>
        </w:rPr>
        <w:t>controversy i</w:t>
      </w:r>
      <w:r w:rsidR="00157002" w:rsidRPr="004B7F01">
        <w:rPr>
          <w:szCs w:val="24"/>
        </w:rPr>
        <w:t xml:space="preserve">s </w:t>
      </w:r>
      <w:r w:rsidR="00170E4A" w:rsidRPr="004B7F01">
        <w:rPr>
          <w:szCs w:val="24"/>
        </w:rPr>
        <w:t>the making of</w:t>
      </w:r>
      <w:r w:rsidR="0002593D" w:rsidRPr="004B7F01">
        <w:rPr>
          <w:szCs w:val="24"/>
        </w:rPr>
        <w:t xml:space="preserve"> PSE and JPUD</w:t>
      </w:r>
      <w:r w:rsidR="00B0702D" w:rsidRPr="004B7F01">
        <w:rPr>
          <w:szCs w:val="24"/>
        </w:rPr>
        <w:t xml:space="preserve">.  However, </w:t>
      </w:r>
      <w:r w:rsidR="00157002" w:rsidRPr="004B7F01">
        <w:rPr>
          <w:szCs w:val="24"/>
        </w:rPr>
        <w:t xml:space="preserve">the </w:t>
      </w:r>
      <w:r w:rsidR="0002593D" w:rsidRPr="004B7F01">
        <w:rPr>
          <w:szCs w:val="24"/>
        </w:rPr>
        <w:t xml:space="preserve">important point is that a declaratory order in this case would not simply be an </w:t>
      </w:r>
      <w:r w:rsidR="00B73878" w:rsidRPr="004B7F01">
        <w:rPr>
          <w:szCs w:val="24"/>
        </w:rPr>
        <w:t>advisory opinion</w:t>
      </w:r>
      <w:r w:rsidR="0002593D" w:rsidRPr="004B7F01">
        <w:rPr>
          <w:szCs w:val="24"/>
        </w:rPr>
        <w:t xml:space="preserve">; a declaratory order </w:t>
      </w:r>
      <w:r w:rsidR="005E1877" w:rsidRPr="004B7F01">
        <w:rPr>
          <w:szCs w:val="24"/>
        </w:rPr>
        <w:t>would satisfy a condition precedent of the APA</w:t>
      </w:r>
      <w:r w:rsidR="00157002" w:rsidRPr="004B7F01">
        <w:rPr>
          <w:szCs w:val="24"/>
        </w:rPr>
        <w:t xml:space="preserve"> and allow </w:t>
      </w:r>
      <w:r w:rsidR="00BF49BB" w:rsidRPr="004B7F01">
        <w:rPr>
          <w:szCs w:val="24"/>
        </w:rPr>
        <w:t xml:space="preserve">the sale to proceed without further </w:t>
      </w:r>
      <w:r w:rsidR="00FB1756" w:rsidRPr="004B7F01">
        <w:rPr>
          <w:szCs w:val="24"/>
        </w:rPr>
        <w:t>litigation</w:t>
      </w:r>
      <w:r w:rsidR="0019785D" w:rsidRPr="004B7F01">
        <w:rPr>
          <w:szCs w:val="24"/>
        </w:rPr>
        <w:t>.</w:t>
      </w:r>
    </w:p>
    <w:p w:rsidR="00E171C5" w:rsidRPr="004B7F01" w:rsidRDefault="004B7F01" w:rsidP="004B7F01">
      <w:pPr>
        <w:pStyle w:val="ListParagraph"/>
        <w:numPr>
          <w:ilvl w:val="0"/>
          <w:numId w:val="2"/>
        </w:numPr>
        <w:spacing w:line="480" w:lineRule="auto"/>
        <w:rPr>
          <w:szCs w:val="24"/>
        </w:rPr>
      </w:pPr>
      <w:r>
        <w:rPr>
          <w:szCs w:val="24"/>
        </w:rPr>
        <w:tab/>
      </w:r>
      <w:r w:rsidR="00BF49BB" w:rsidRPr="004B7F01">
        <w:rPr>
          <w:szCs w:val="24"/>
        </w:rPr>
        <w:t xml:space="preserve">Indeed, further </w:t>
      </w:r>
      <w:r w:rsidR="0019785D" w:rsidRPr="004B7F01">
        <w:rPr>
          <w:szCs w:val="24"/>
        </w:rPr>
        <w:t xml:space="preserve">litigation would </w:t>
      </w:r>
      <w:r w:rsidR="00E272BE" w:rsidRPr="004B7F01">
        <w:rPr>
          <w:szCs w:val="24"/>
        </w:rPr>
        <w:t xml:space="preserve">likely </w:t>
      </w:r>
      <w:r w:rsidR="0019785D" w:rsidRPr="004B7F01">
        <w:rPr>
          <w:szCs w:val="24"/>
        </w:rPr>
        <w:t xml:space="preserve">be protracted and </w:t>
      </w:r>
      <w:r w:rsidR="00FB1756" w:rsidRPr="004B7F01">
        <w:rPr>
          <w:szCs w:val="24"/>
        </w:rPr>
        <w:t>expensive</w:t>
      </w:r>
      <w:r w:rsidR="0019785D" w:rsidRPr="004B7F01">
        <w:rPr>
          <w:szCs w:val="24"/>
        </w:rPr>
        <w:t>,</w:t>
      </w:r>
      <w:r w:rsidR="00FB1756" w:rsidRPr="004B7F01">
        <w:rPr>
          <w:szCs w:val="24"/>
        </w:rPr>
        <w:t xml:space="preserve"> and </w:t>
      </w:r>
      <w:r w:rsidR="0019785D" w:rsidRPr="004B7F01">
        <w:rPr>
          <w:szCs w:val="24"/>
        </w:rPr>
        <w:t xml:space="preserve">would </w:t>
      </w:r>
      <w:r w:rsidR="00FB1756" w:rsidRPr="004B7F01">
        <w:rPr>
          <w:szCs w:val="24"/>
        </w:rPr>
        <w:t>expose PSE to the risk of obtaining less</w:t>
      </w:r>
      <w:r w:rsidR="00A66D26" w:rsidRPr="004B7F01">
        <w:rPr>
          <w:szCs w:val="24"/>
        </w:rPr>
        <w:t xml:space="preserve"> than </w:t>
      </w:r>
      <w:r w:rsidR="00434809" w:rsidRPr="004B7F01">
        <w:rPr>
          <w:szCs w:val="24"/>
        </w:rPr>
        <w:t xml:space="preserve">the $103 million </w:t>
      </w:r>
      <w:r w:rsidR="0002593D" w:rsidRPr="004B7F01">
        <w:rPr>
          <w:szCs w:val="24"/>
        </w:rPr>
        <w:t xml:space="preserve">it </w:t>
      </w:r>
      <w:r w:rsidR="0019785D" w:rsidRPr="004B7F01">
        <w:rPr>
          <w:szCs w:val="24"/>
        </w:rPr>
        <w:t>obtain</w:t>
      </w:r>
      <w:r w:rsidR="0002593D" w:rsidRPr="004B7F01">
        <w:rPr>
          <w:szCs w:val="24"/>
        </w:rPr>
        <w:t>ed</w:t>
      </w:r>
      <w:r w:rsidR="0019785D" w:rsidRPr="004B7F01">
        <w:rPr>
          <w:szCs w:val="24"/>
        </w:rPr>
        <w:t xml:space="preserve"> through negotiations with JPUD</w:t>
      </w:r>
      <w:r w:rsidR="005E1877" w:rsidRPr="004B7F01">
        <w:rPr>
          <w:szCs w:val="24"/>
        </w:rPr>
        <w:t>.</w:t>
      </w:r>
      <w:r w:rsidR="0019785D" w:rsidRPr="004B7F01">
        <w:rPr>
          <w:szCs w:val="24"/>
        </w:rPr>
        <w:t xml:space="preserve">  Thus, the uncertainty advers</w:t>
      </w:r>
      <w:r w:rsidR="00E171C5" w:rsidRPr="004B7F01">
        <w:rPr>
          <w:szCs w:val="24"/>
        </w:rPr>
        <w:t xml:space="preserve">ely affects PSE </w:t>
      </w:r>
      <w:r w:rsidR="0019785D" w:rsidRPr="004B7F01">
        <w:rPr>
          <w:szCs w:val="24"/>
        </w:rPr>
        <w:t>and, ultimately, PS</w:t>
      </w:r>
      <w:r w:rsidR="00434809" w:rsidRPr="004B7F01">
        <w:rPr>
          <w:szCs w:val="24"/>
        </w:rPr>
        <w:t xml:space="preserve">E’s ratepayers </w:t>
      </w:r>
      <w:r w:rsidR="0019785D" w:rsidRPr="004B7F01">
        <w:rPr>
          <w:szCs w:val="24"/>
        </w:rPr>
        <w:t xml:space="preserve">outside of Jefferson County if </w:t>
      </w:r>
      <w:r w:rsidR="00B0702D" w:rsidRPr="004B7F01">
        <w:rPr>
          <w:szCs w:val="24"/>
        </w:rPr>
        <w:t>they are required to bear</w:t>
      </w:r>
      <w:r w:rsidR="0019785D" w:rsidRPr="004B7F01">
        <w:rPr>
          <w:szCs w:val="24"/>
        </w:rPr>
        <w:t xml:space="preserve"> the cost of that litigation</w:t>
      </w:r>
      <w:r w:rsidR="00B0702D" w:rsidRPr="004B7F01">
        <w:rPr>
          <w:szCs w:val="24"/>
        </w:rPr>
        <w:t xml:space="preserve"> and/or </w:t>
      </w:r>
      <w:r w:rsidR="00A66D26" w:rsidRPr="004B7F01">
        <w:rPr>
          <w:szCs w:val="24"/>
        </w:rPr>
        <w:t>receive</w:t>
      </w:r>
      <w:r w:rsidR="00434809" w:rsidRPr="004B7F01">
        <w:rPr>
          <w:szCs w:val="24"/>
        </w:rPr>
        <w:t xml:space="preserve"> less gain on the transfer</w:t>
      </w:r>
      <w:r w:rsidR="0019785D" w:rsidRPr="004B7F01">
        <w:rPr>
          <w:szCs w:val="24"/>
        </w:rPr>
        <w:t>.</w:t>
      </w:r>
      <w:r w:rsidR="00434809" w:rsidRPr="004B7F01">
        <w:rPr>
          <w:szCs w:val="24"/>
        </w:rPr>
        <w:t xml:space="preserve">  </w:t>
      </w:r>
      <w:r w:rsidR="0004104B" w:rsidRPr="004B7F01">
        <w:rPr>
          <w:szCs w:val="24"/>
        </w:rPr>
        <w:t>Likew</w:t>
      </w:r>
      <w:r w:rsidR="00BF49BB" w:rsidRPr="004B7F01">
        <w:rPr>
          <w:szCs w:val="24"/>
        </w:rPr>
        <w:t>ise, the uncertainty e</w:t>
      </w:r>
      <w:r w:rsidR="0004104B" w:rsidRPr="004B7F01">
        <w:rPr>
          <w:szCs w:val="24"/>
        </w:rPr>
        <w:t xml:space="preserve">ffects </w:t>
      </w:r>
      <w:r w:rsidR="00BF49BB" w:rsidRPr="004B7F01">
        <w:rPr>
          <w:szCs w:val="24"/>
        </w:rPr>
        <w:t xml:space="preserve">adversely </w:t>
      </w:r>
      <w:r w:rsidR="0004104B" w:rsidRPr="004B7F01">
        <w:rPr>
          <w:szCs w:val="24"/>
        </w:rPr>
        <w:t xml:space="preserve">PSE’s existing ratepayers within the Service Territory, who also may bear the cost of that litigation and see </w:t>
      </w:r>
      <w:r w:rsidR="00BF49BB" w:rsidRPr="004B7F01">
        <w:rPr>
          <w:szCs w:val="24"/>
        </w:rPr>
        <w:t>delayed the implementation of their approval of Proposition 1.</w:t>
      </w:r>
      <w:r w:rsidR="0004104B" w:rsidRPr="004B7F01">
        <w:rPr>
          <w:szCs w:val="24"/>
        </w:rPr>
        <w:t xml:space="preserve"> </w:t>
      </w:r>
    </w:p>
    <w:p w:rsidR="00432B70" w:rsidRPr="004B7F01" w:rsidRDefault="004B7F01" w:rsidP="004B7F01">
      <w:pPr>
        <w:pStyle w:val="ListParagraph"/>
        <w:numPr>
          <w:ilvl w:val="0"/>
          <w:numId w:val="2"/>
        </w:numPr>
        <w:spacing w:line="480" w:lineRule="auto"/>
        <w:rPr>
          <w:szCs w:val="24"/>
        </w:rPr>
      </w:pPr>
      <w:r>
        <w:rPr>
          <w:szCs w:val="24"/>
        </w:rPr>
        <w:tab/>
      </w:r>
      <w:r w:rsidR="00AF3DF5" w:rsidRPr="004B7F01">
        <w:rPr>
          <w:szCs w:val="24"/>
        </w:rPr>
        <w:t>In sum</w:t>
      </w:r>
      <w:r w:rsidR="00EB1141" w:rsidRPr="004B7F01">
        <w:rPr>
          <w:szCs w:val="24"/>
        </w:rPr>
        <w:t>, t</w:t>
      </w:r>
      <w:r w:rsidR="00E171C5" w:rsidRPr="004B7F01">
        <w:rPr>
          <w:szCs w:val="24"/>
        </w:rPr>
        <w:t xml:space="preserve">he </w:t>
      </w:r>
      <w:r w:rsidR="00EB1141" w:rsidRPr="004B7F01">
        <w:rPr>
          <w:szCs w:val="24"/>
        </w:rPr>
        <w:t xml:space="preserve">general public </w:t>
      </w:r>
      <w:r w:rsidR="00E171C5" w:rsidRPr="004B7F01">
        <w:rPr>
          <w:szCs w:val="24"/>
        </w:rPr>
        <w:t xml:space="preserve">is served by issuing the requested declarations.  </w:t>
      </w:r>
      <w:r w:rsidR="00A66D26" w:rsidRPr="004B7F01">
        <w:rPr>
          <w:szCs w:val="24"/>
        </w:rPr>
        <w:t xml:space="preserve">Not resolving the uncertainty </w:t>
      </w:r>
      <w:r w:rsidR="00A115D6">
        <w:rPr>
          <w:szCs w:val="24"/>
        </w:rPr>
        <w:t xml:space="preserve">by not issuing the requested declaratory order </w:t>
      </w:r>
      <w:r w:rsidR="00A66D26" w:rsidRPr="004B7F01">
        <w:rPr>
          <w:szCs w:val="24"/>
        </w:rPr>
        <w:t>effects adversely all relevant interests.</w:t>
      </w:r>
    </w:p>
    <w:p w:rsidR="00097AEC" w:rsidRPr="004B7F01" w:rsidRDefault="00F843A2" w:rsidP="00A47796">
      <w:pPr>
        <w:autoSpaceDE w:val="0"/>
        <w:autoSpaceDN w:val="0"/>
        <w:adjustRightInd w:val="0"/>
        <w:spacing w:line="240" w:lineRule="auto"/>
        <w:ind w:left="720" w:hanging="720"/>
        <w:rPr>
          <w:rFonts w:eastAsia="Calibri"/>
          <w:b/>
        </w:rPr>
      </w:pPr>
      <w:r w:rsidRPr="004B7F01">
        <w:rPr>
          <w:b/>
        </w:rPr>
        <w:lastRenderedPageBreak/>
        <w:t>C</w:t>
      </w:r>
      <w:r w:rsidR="00097AEC" w:rsidRPr="004B7F01">
        <w:rPr>
          <w:b/>
        </w:rPr>
        <w:t>.</w:t>
      </w:r>
      <w:r w:rsidR="00097AEC" w:rsidRPr="004B7F01">
        <w:rPr>
          <w:b/>
        </w:rPr>
        <w:tab/>
        <w:t xml:space="preserve">The Provisions of the APA Related to </w:t>
      </w:r>
      <w:r w:rsidR="00097AEC" w:rsidRPr="004B7F01">
        <w:rPr>
          <w:rFonts w:eastAsia="Calibri"/>
          <w:b/>
        </w:rPr>
        <w:t>PSE's Transition of Electrical Service to JPUD Are Sufficient and Consistent with PSE's Public Service Obligations</w:t>
      </w:r>
    </w:p>
    <w:p w:rsidR="00A47796" w:rsidRPr="008509C2" w:rsidRDefault="00A47796" w:rsidP="00A47796">
      <w:pPr>
        <w:autoSpaceDE w:val="0"/>
        <w:autoSpaceDN w:val="0"/>
        <w:adjustRightInd w:val="0"/>
        <w:spacing w:line="240" w:lineRule="auto"/>
        <w:ind w:left="720" w:hanging="720"/>
        <w:rPr>
          <w:b/>
        </w:rPr>
      </w:pPr>
    </w:p>
    <w:p w:rsidR="00C913CE" w:rsidRDefault="00445B12" w:rsidP="00445B12">
      <w:pPr>
        <w:pStyle w:val="ListParagraph"/>
        <w:numPr>
          <w:ilvl w:val="0"/>
          <w:numId w:val="2"/>
        </w:numPr>
        <w:autoSpaceDE w:val="0"/>
        <w:autoSpaceDN w:val="0"/>
        <w:adjustRightInd w:val="0"/>
        <w:spacing w:line="480" w:lineRule="auto"/>
      </w:pPr>
      <w:r>
        <w:tab/>
      </w:r>
      <w:r w:rsidR="00E2168C">
        <w:t xml:space="preserve">At the time the sale </w:t>
      </w:r>
      <w:r w:rsidR="002657CE">
        <w:t>closes, PSE</w:t>
      </w:r>
      <w:r w:rsidR="008544C3">
        <w:t xml:space="preserve"> will no longer be an “electrical company” in the Service Territory since it will no longer “own, operate or manage any electric plant for hire” in the Service Territory.</w:t>
      </w:r>
      <w:r w:rsidR="00FD459D">
        <w:rPr>
          <w:rStyle w:val="FootnoteReference"/>
        </w:rPr>
        <w:footnoteReference w:id="23"/>
      </w:r>
      <w:r w:rsidR="008544C3">
        <w:t xml:space="preserve">  </w:t>
      </w:r>
      <w:r w:rsidR="00FD459D">
        <w:t>It</w:t>
      </w:r>
      <w:r w:rsidR="002657CE">
        <w:t xml:space="preserve">s </w:t>
      </w:r>
      <w:r w:rsidR="00FD459D">
        <w:t>public service obligations</w:t>
      </w:r>
      <w:r w:rsidR="00E2168C">
        <w:t xml:space="preserve"> to </w:t>
      </w:r>
      <w:r w:rsidR="002657CE">
        <w:t>existing customers in the Service Territory will end and JPUD will assume full and complete responsibility for providing electrical service to those customers</w:t>
      </w:r>
      <w:r w:rsidR="00A47796">
        <w:t xml:space="preserve">.  </w:t>
      </w:r>
      <w:r w:rsidR="000457E9">
        <w:t>PSE and JPUD</w:t>
      </w:r>
      <w:r w:rsidR="00A47796">
        <w:t xml:space="preserve"> acknowledge this result in the APA</w:t>
      </w:r>
      <w:r w:rsidR="000457E9">
        <w:t>.</w:t>
      </w:r>
      <w:r w:rsidR="000457E9">
        <w:rPr>
          <w:rStyle w:val="FootnoteReference"/>
        </w:rPr>
        <w:footnoteReference w:id="24"/>
      </w:r>
    </w:p>
    <w:p w:rsidR="004E6AD3" w:rsidRDefault="00445B12" w:rsidP="00445B12">
      <w:pPr>
        <w:pStyle w:val="ListParagraph"/>
        <w:numPr>
          <w:ilvl w:val="0"/>
          <w:numId w:val="2"/>
        </w:numPr>
        <w:autoSpaceDE w:val="0"/>
        <w:autoSpaceDN w:val="0"/>
        <w:adjustRightInd w:val="0"/>
        <w:spacing w:line="480" w:lineRule="auto"/>
      </w:pPr>
      <w:r>
        <w:tab/>
      </w:r>
      <w:r w:rsidR="00E2168C">
        <w:t>Prior to closing, h</w:t>
      </w:r>
      <w:r w:rsidR="00062A15">
        <w:t xml:space="preserve">owever, PSE </w:t>
      </w:r>
      <w:r w:rsidR="00E2168C">
        <w:t>will continue to serve cu</w:t>
      </w:r>
      <w:r w:rsidR="00C23A34">
        <w:t>stomers in Jefferson County.  The Parties agree to</w:t>
      </w:r>
      <w:r w:rsidR="00062A15">
        <w:t xml:space="preserve"> a declaration </w:t>
      </w:r>
      <w:r w:rsidR="000457E9">
        <w:t xml:space="preserve">from the Commission that the APA </w:t>
      </w:r>
      <w:r w:rsidR="00A66D26">
        <w:t xml:space="preserve">will allow PSE </w:t>
      </w:r>
      <w:r w:rsidR="00A47796">
        <w:t>to satisfy its</w:t>
      </w:r>
      <w:r w:rsidR="000457E9">
        <w:t xml:space="preserve"> public ser</w:t>
      </w:r>
      <w:r w:rsidR="00E2168C">
        <w:t>vic</w:t>
      </w:r>
      <w:r w:rsidR="00A66D26">
        <w:t>e obligations</w:t>
      </w:r>
      <w:r w:rsidR="00C23A34">
        <w:t xml:space="preserve"> during that interim period</w:t>
      </w:r>
      <w:r w:rsidR="00A66D26">
        <w:t>.</w:t>
      </w:r>
      <w:r w:rsidR="000457E9">
        <w:t xml:space="preserve">  Those </w:t>
      </w:r>
      <w:r w:rsidR="002E753D">
        <w:t>public service obligations are establi</w:t>
      </w:r>
      <w:r w:rsidR="00433604">
        <w:t xml:space="preserve">shed by statute.  </w:t>
      </w:r>
      <w:r w:rsidR="000457E9">
        <w:t xml:space="preserve">They include the </w:t>
      </w:r>
      <w:r w:rsidR="00433604">
        <w:t>obligati</w:t>
      </w:r>
      <w:r w:rsidR="000457E9">
        <w:t xml:space="preserve">on to </w:t>
      </w:r>
      <w:r w:rsidR="002E753D">
        <w:t>charge only the just, fair, reasonable and suffic</w:t>
      </w:r>
      <w:r w:rsidR="000457E9">
        <w:t>ient rates contained in the</w:t>
      </w:r>
      <w:r w:rsidR="002E753D">
        <w:t xml:space="preserve"> published and effective tariffs on file with the Commission.</w:t>
      </w:r>
      <w:r w:rsidR="002E753D">
        <w:rPr>
          <w:rStyle w:val="FootnoteReference"/>
        </w:rPr>
        <w:footnoteReference w:id="25"/>
      </w:r>
      <w:r w:rsidR="002E753D">
        <w:t xml:space="preserve">  </w:t>
      </w:r>
      <w:r w:rsidR="00C23A34">
        <w:t>They also prohibit</w:t>
      </w:r>
      <w:r w:rsidR="00062A15">
        <w:t xml:space="preserve"> </w:t>
      </w:r>
      <w:r w:rsidR="00C23A34">
        <w:t>PSE from</w:t>
      </w:r>
      <w:r w:rsidR="00062A15">
        <w:t xml:space="preserve"> </w:t>
      </w:r>
      <w:r w:rsidR="00433604">
        <w:t>granting any undue or unreasonable preference or advantage to any person, corporation, locality or service.</w:t>
      </w:r>
      <w:r w:rsidR="00433604">
        <w:rPr>
          <w:rStyle w:val="FootnoteReference"/>
        </w:rPr>
        <w:footnoteReference w:id="26"/>
      </w:r>
      <w:r w:rsidR="00433604">
        <w:t xml:space="preserve">  Nor </w:t>
      </w:r>
      <w:r w:rsidR="000457E9">
        <w:t xml:space="preserve">may PSE </w:t>
      </w:r>
      <w:r w:rsidR="00E2168C">
        <w:t xml:space="preserve">engage in </w:t>
      </w:r>
      <w:r w:rsidR="00433604">
        <w:t xml:space="preserve">rate discrimination </w:t>
      </w:r>
      <w:r w:rsidR="00062A15">
        <w:t xml:space="preserve">between customers </w:t>
      </w:r>
      <w:r w:rsidR="00433604">
        <w:t>for like or contemporaneous service under the same or substantially similar circumstances or conditions.</w:t>
      </w:r>
      <w:r w:rsidR="00433604">
        <w:rPr>
          <w:rStyle w:val="FootnoteReference"/>
        </w:rPr>
        <w:footnoteReference w:id="27"/>
      </w:r>
      <w:r w:rsidR="00433604">
        <w:t xml:space="preserve">  </w:t>
      </w:r>
    </w:p>
    <w:p w:rsidR="00433604" w:rsidRPr="00445B12" w:rsidRDefault="00445B12" w:rsidP="00445B12">
      <w:pPr>
        <w:pStyle w:val="ListParagraph"/>
        <w:numPr>
          <w:ilvl w:val="0"/>
          <w:numId w:val="2"/>
        </w:numPr>
        <w:autoSpaceDE w:val="0"/>
        <w:autoSpaceDN w:val="0"/>
        <w:adjustRightInd w:val="0"/>
        <w:spacing w:line="480" w:lineRule="auto"/>
        <w:rPr>
          <w:rFonts w:ascii="TimesNewRomanPSMT" w:eastAsia="Calibri" w:hAnsi="TimesNewRomanPSMT" w:cs="TimesNewRomanPSMT"/>
        </w:rPr>
      </w:pPr>
      <w:r>
        <w:tab/>
      </w:r>
      <w:r w:rsidR="00433604">
        <w:t xml:space="preserve">PSE must provide safe, adequate and efficient service and the facilities </w:t>
      </w:r>
      <w:r w:rsidR="00062A15">
        <w:t xml:space="preserve">necessary </w:t>
      </w:r>
      <w:r w:rsidR="00433604">
        <w:t>to do so.</w:t>
      </w:r>
      <w:r w:rsidR="00433604">
        <w:rPr>
          <w:rStyle w:val="FootnoteReference"/>
        </w:rPr>
        <w:footnoteReference w:id="28"/>
      </w:r>
      <w:r w:rsidR="00DE555B">
        <w:t xml:space="preserve">  Any person or corporation </w:t>
      </w:r>
      <w:r w:rsidR="000457E9">
        <w:t xml:space="preserve">reasonably entitled to electrical service from PSE </w:t>
      </w:r>
      <w:r w:rsidR="00DE555B">
        <w:t xml:space="preserve">that applies for </w:t>
      </w:r>
      <w:r w:rsidR="000457E9">
        <w:t>such</w:t>
      </w:r>
      <w:r w:rsidR="008E4DB9">
        <w:t xml:space="preserve"> service </w:t>
      </w:r>
      <w:r w:rsidR="00DE555B">
        <w:t>must be pro</w:t>
      </w:r>
      <w:r w:rsidR="000172BC">
        <w:t>vided service and all necessary facilities.</w:t>
      </w:r>
      <w:r w:rsidR="000172BC">
        <w:rPr>
          <w:rStyle w:val="FootnoteReference"/>
        </w:rPr>
        <w:footnoteReference w:id="29"/>
      </w:r>
    </w:p>
    <w:p w:rsidR="000172BC" w:rsidRDefault="00445B12" w:rsidP="00445B12">
      <w:pPr>
        <w:pStyle w:val="ListParagraph"/>
        <w:numPr>
          <w:ilvl w:val="0"/>
          <w:numId w:val="2"/>
        </w:numPr>
        <w:autoSpaceDE w:val="0"/>
        <w:autoSpaceDN w:val="0"/>
        <w:adjustRightInd w:val="0"/>
        <w:spacing w:line="480" w:lineRule="auto"/>
      </w:pPr>
      <w:r>
        <w:tab/>
      </w:r>
      <w:r w:rsidR="009027B7">
        <w:t xml:space="preserve">Nothing in the APA relieves PSE from any of these obligations prior to closing.  </w:t>
      </w:r>
      <w:r w:rsidR="000172BC">
        <w:t xml:space="preserve">PSE </w:t>
      </w:r>
      <w:r w:rsidR="00771C41">
        <w:t xml:space="preserve">commits during the transition period </w:t>
      </w:r>
      <w:r w:rsidR="000172BC">
        <w:t>to:</w:t>
      </w:r>
    </w:p>
    <w:p w:rsidR="000172BC" w:rsidRDefault="000172BC" w:rsidP="000172BC">
      <w:pPr>
        <w:pStyle w:val="BodyTextIndent"/>
        <w:spacing w:after="0" w:line="240" w:lineRule="auto"/>
        <w:ind w:left="720" w:firstLine="0"/>
      </w:pPr>
      <w:r>
        <w:lastRenderedPageBreak/>
        <w:t>[C]</w:t>
      </w:r>
      <w:r w:rsidR="00097AEC" w:rsidRPr="008509C2">
        <w:t>onstruct, operate and maintain the Assets</w:t>
      </w:r>
      <w:r>
        <w:t>,</w:t>
      </w:r>
      <w:r w:rsidR="00097AEC" w:rsidRPr="008509C2">
        <w:t xml:space="preserve"> and provide electric service to its </w:t>
      </w:r>
    </w:p>
    <w:p w:rsidR="000172BC" w:rsidRDefault="00097AEC" w:rsidP="000172BC">
      <w:pPr>
        <w:pStyle w:val="BodyTextIndent"/>
        <w:spacing w:after="0" w:line="240" w:lineRule="auto"/>
        <w:ind w:left="720" w:firstLine="0"/>
      </w:pPr>
      <w:r w:rsidRPr="008509C2">
        <w:t xml:space="preserve">customers in </w:t>
      </w:r>
      <w:r>
        <w:t>the Service Territory</w:t>
      </w:r>
      <w:r w:rsidRPr="008509C2">
        <w:t xml:space="preserve">, at substantially the same quality and level of </w:t>
      </w:r>
    </w:p>
    <w:p w:rsidR="000172BC" w:rsidRDefault="00097AEC" w:rsidP="000172BC">
      <w:pPr>
        <w:pStyle w:val="BodyTextIndent"/>
        <w:spacing w:after="0" w:line="240" w:lineRule="auto"/>
        <w:ind w:left="720" w:firstLine="0"/>
      </w:pPr>
      <w:r w:rsidRPr="008509C2">
        <w:t xml:space="preserve">service that PSE provides to its other customers, and to so construct, operate, maintain and serve in accordance with the rules and regulations of the </w:t>
      </w:r>
      <w:r w:rsidRPr="00864142">
        <w:t>WUTC</w:t>
      </w:r>
      <w:r>
        <w:t xml:space="preserve"> (including, but not limited to, PSE rates and tariffs on file therewith).</w:t>
      </w:r>
      <w:r w:rsidRPr="001F2934">
        <w:rPr>
          <w:rStyle w:val="FootnoteReference"/>
        </w:rPr>
        <w:footnoteReference w:id="30"/>
      </w:r>
      <w:r w:rsidRPr="008509C2">
        <w:t xml:space="preserve"> </w:t>
      </w:r>
    </w:p>
    <w:p w:rsidR="000172BC" w:rsidRDefault="000172BC" w:rsidP="000172BC">
      <w:pPr>
        <w:pStyle w:val="BodyTextIndent"/>
        <w:spacing w:after="0" w:line="240" w:lineRule="auto"/>
        <w:ind w:left="0" w:firstLine="0"/>
      </w:pPr>
    </w:p>
    <w:p w:rsidR="000172BC" w:rsidRDefault="009027B7" w:rsidP="009477E8">
      <w:pPr>
        <w:pStyle w:val="BodyTextIndent"/>
        <w:spacing w:after="0" w:line="480" w:lineRule="auto"/>
        <w:ind w:left="0" w:firstLine="0"/>
      </w:pPr>
      <w:r>
        <w:t xml:space="preserve">Thus, </w:t>
      </w:r>
      <w:r w:rsidR="00742387">
        <w:t>PSE</w:t>
      </w:r>
      <w:r w:rsidR="00771C41">
        <w:t xml:space="preserve"> </w:t>
      </w:r>
      <w:r w:rsidR="007900A1">
        <w:t xml:space="preserve">will remain subject </w:t>
      </w:r>
      <w:r w:rsidR="00771C41">
        <w:t xml:space="preserve">to </w:t>
      </w:r>
      <w:r w:rsidR="009477E8">
        <w:t>f</w:t>
      </w:r>
      <w:r w:rsidR="00F86051">
        <w:t xml:space="preserve">ull supervision </w:t>
      </w:r>
      <w:r w:rsidR="009477E8">
        <w:t>by the Commission</w:t>
      </w:r>
      <w:r w:rsidR="00B0702D">
        <w:t xml:space="preserve"> until closing</w:t>
      </w:r>
      <w:r w:rsidR="009477E8">
        <w:t xml:space="preserve">.  </w:t>
      </w:r>
      <w:r w:rsidR="00742387">
        <w:t>Closing of the transaction will</w:t>
      </w:r>
      <w:r w:rsidR="009477E8">
        <w:t xml:space="preserve"> not foreclose Commission enforcement </w:t>
      </w:r>
      <w:r w:rsidR="00B0702D">
        <w:t xml:space="preserve">action </w:t>
      </w:r>
      <w:r w:rsidR="009477E8">
        <w:t xml:space="preserve">against </w:t>
      </w:r>
      <w:r w:rsidR="00F86051">
        <w:t xml:space="preserve">any failure </w:t>
      </w:r>
      <w:r w:rsidR="006731DB">
        <w:t xml:space="preserve">by PSE </w:t>
      </w:r>
      <w:r w:rsidR="00F86051">
        <w:t>to comply with all regulatory requirements, even if the failure occur</w:t>
      </w:r>
      <w:r w:rsidR="00B0702D">
        <w:t>r</w:t>
      </w:r>
      <w:r w:rsidR="00F86051">
        <w:t>ed</w:t>
      </w:r>
      <w:r w:rsidR="009477E8">
        <w:t xml:space="preserve"> before closing.</w:t>
      </w:r>
    </w:p>
    <w:p w:rsidR="00097AEC" w:rsidRPr="009477E8" w:rsidRDefault="00445B12" w:rsidP="00445B12">
      <w:pPr>
        <w:pStyle w:val="BodyTextIndent"/>
        <w:numPr>
          <w:ilvl w:val="0"/>
          <w:numId w:val="2"/>
        </w:numPr>
        <w:spacing w:after="0" w:line="480" w:lineRule="auto"/>
      </w:pPr>
      <w:r>
        <w:tab/>
      </w:r>
      <w:r w:rsidR="006731DB">
        <w:t xml:space="preserve">The APA also creates </w:t>
      </w:r>
      <w:r w:rsidR="00097AEC">
        <w:t>a Transition Advisory Committee (</w:t>
      </w:r>
      <w:r w:rsidR="009477E8">
        <w:t>“</w:t>
      </w:r>
      <w:r w:rsidR="00097AEC">
        <w:t>TAC</w:t>
      </w:r>
      <w:r w:rsidR="009477E8">
        <w:t>”</w:t>
      </w:r>
      <w:r w:rsidR="00097AEC">
        <w:t xml:space="preserve">) to </w:t>
      </w:r>
      <w:r w:rsidR="006731DB">
        <w:t xml:space="preserve">facilitate the </w:t>
      </w:r>
      <w:r w:rsidR="00062A15">
        <w:t>transfer</w:t>
      </w:r>
      <w:r w:rsidR="00097AEC">
        <w:t xml:space="preserve"> of service responsibility from PSE to JPUD.</w:t>
      </w:r>
      <w:r w:rsidR="00097AEC">
        <w:rPr>
          <w:rStyle w:val="FootnoteReference"/>
        </w:rPr>
        <w:footnoteReference w:id="31"/>
      </w:r>
      <w:r w:rsidR="00097AEC">
        <w:t xml:space="preserve">  The TAC is comprised of three members appointed by PSE and </w:t>
      </w:r>
      <w:r w:rsidR="00E7453D">
        <w:t>two members appointed by JPUD.  T</w:t>
      </w:r>
      <w:r w:rsidR="002657CE">
        <w:t>he TAC is authorized</w:t>
      </w:r>
      <w:r w:rsidR="00097AEC">
        <w:t xml:space="preserve"> to adjust the purchase price by any </w:t>
      </w:r>
      <w:r w:rsidR="002657CE">
        <w:t xml:space="preserve">plant </w:t>
      </w:r>
      <w:r w:rsidR="00097AEC">
        <w:t xml:space="preserve">additions or deletions </w:t>
      </w:r>
      <w:r w:rsidR="00C23A34">
        <w:t>PSE needs</w:t>
      </w:r>
      <w:r w:rsidR="00097AEC">
        <w:t xml:space="preserve"> </w:t>
      </w:r>
      <w:r w:rsidR="002657CE">
        <w:t xml:space="preserve">during the transition </w:t>
      </w:r>
      <w:r w:rsidR="00097AEC">
        <w:t xml:space="preserve">to </w:t>
      </w:r>
      <w:r w:rsidR="00E7453D">
        <w:t xml:space="preserve">provide </w:t>
      </w:r>
      <w:r w:rsidR="006731DB">
        <w:t xml:space="preserve">safe, adequate and reliable </w:t>
      </w:r>
      <w:r w:rsidR="00E7453D">
        <w:t xml:space="preserve">electrical </w:t>
      </w:r>
      <w:r w:rsidR="00C23A34">
        <w:t>service to its</w:t>
      </w:r>
      <w:r w:rsidR="00097AEC">
        <w:t xml:space="preserve"> exi</w:t>
      </w:r>
      <w:r w:rsidR="006731DB">
        <w:t>sting Jefferson County customer</w:t>
      </w:r>
      <w:r w:rsidR="00C23A34">
        <w:t>s</w:t>
      </w:r>
      <w:r w:rsidR="00097AEC">
        <w:t>.</w:t>
      </w:r>
      <w:r w:rsidR="00097AEC">
        <w:rPr>
          <w:rStyle w:val="FootnoteReference"/>
        </w:rPr>
        <w:footnoteReference w:id="32"/>
      </w:r>
      <w:r w:rsidR="00E7453D">
        <w:t xml:space="preserve">  This </w:t>
      </w:r>
      <w:r w:rsidR="00F86051">
        <w:t xml:space="preserve">insures that PSE will have no financial disincentive to make all </w:t>
      </w:r>
      <w:r w:rsidR="006731DB">
        <w:t xml:space="preserve">necessary </w:t>
      </w:r>
      <w:r w:rsidR="00F86051">
        <w:t xml:space="preserve">investments </w:t>
      </w:r>
      <w:r w:rsidR="006731DB">
        <w:t>for</w:t>
      </w:r>
      <w:r w:rsidR="00097AEC">
        <w:t xml:space="preserve"> its Jefferson County cust</w:t>
      </w:r>
      <w:r w:rsidR="00062A15">
        <w:t>omers during the transition</w:t>
      </w:r>
      <w:r w:rsidR="00097AEC">
        <w:t>.  It also protects PSE’s customers outside Jefferson County by placing resp</w:t>
      </w:r>
      <w:r w:rsidR="002657CE">
        <w:t xml:space="preserve">onsibility </w:t>
      </w:r>
      <w:r w:rsidR="00062A15">
        <w:t xml:space="preserve">on JPUD </w:t>
      </w:r>
      <w:r w:rsidR="002657CE">
        <w:t>for the cost of any plant</w:t>
      </w:r>
      <w:r w:rsidR="00097AEC">
        <w:t xml:space="preserve"> additions.  </w:t>
      </w:r>
    </w:p>
    <w:p w:rsidR="004B7F01" w:rsidRDefault="004B7F01" w:rsidP="004B7F01">
      <w:pPr>
        <w:pStyle w:val="BodyTextIndent"/>
        <w:numPr>
          <w:ilvl w:val="0"/>
          <w:numId w:val="2"/>
        </w:numPr>
        <w:spacing w:after="0" w:line="480" w:lineRule="auto"/>
        <w:rPr>
          <w:b/>
        </w:rPr>
      </w:pPr>
      <w:r>
        <w:tab/>
      </w:r>
      <w:r w:rsidR="00062A15" w:rsidRPr="00062A15">
        <w:t xml:space="preserve">Finally, Staff confirmed </w:t>
      </w:r>
      <w:r w:rsidR="00553637">
        <w:t xml:space="preserve">that the sale of the Jefferson County Assets provides for </w:t>
      </w:r>
      <w:r w:rsidR="006731DB">
        <w:t>a “clean break” with PSE</w:t>
      </w:r>
      <w:r w:rsidR="00553637">
        <w:t>’s other assets that are used to provide service outside of Jefferson County.</w:t>
      </w:r>
      <w:r w:rsidR="00553637">
        <w:rPr>
          <w:rStyle w:val="FootnoteReference"/>
        </w:rPr>
        <w:footnoteReference w:id="33"/>
      </w:r>
      <w:r w:rsidR="00553637">
        <w:t xml:space="preserve">  Transferring ownership of the Jefferson Co</w:t>
      </w:r>
      <w:r w:rsidR="00C23A34">
        <w:t xml:space="preserve">unty Assets to </w:t>
      </w:r>
      <w:proofErr w:type="spellStart"/>
      <w:r w:rsidR="00C23A34">
        <w:t>JPUD</w:t>
      </w:r>
      <w:proofErr w:type="spellEnd"/>
      <w:r w:rsidR="00C23A34">
        <w:t xml:space="preserve"> </w:t>
      </w:r>
      <w:r w:rsidR="00553637">
        <w:t>will have no detrimental effect on PSE’s ability to satisfy its public service obligations to customers located outside Jefferson County.</w:t>
      </w:r>
      <w:r w:rsidRPr="004B7F01">
        <w:rPr>
          <w:b/>
        </w:rPr>
        <w:t xml:space="preserve"> </w:t>
      </w:r>
    </w:p>
    <w:p w:rsidR="004B7F01" w:rsidRDefault="004B7F01" w:rsidP="004B7F01">
      <w:pPr>
        <w:pStyle w:val="BodyTextIndent"/>
        <w:keepNext/>
        <w:spacing w:after="0" w:line="480" w:lineRule="auto"/>
        <w:ind w:left="0" w:firstLine="0"/>
        <w:jc w:val="center"/>
        <w:rPr>
          <w:b/>
        </w:rPr>
      </w:pPr>
      <w:r w:rsidRPr="00332F5A">
        <w:rPr>
          <w:b/>
        </w:rPr>
        <w:lastRenderedPageBreak/>
        <w:t>IV.</w:t>
      </w:r>
      <w:r w:rsidRPr="00332F5A">
        <w:rPr>
          <w:b/>
        </w:rPr>
        <w:tab/>
        <w:t>CONCLUSION</w:t>
      </w:r>
    </w:p>
    <w:p w:rsidR="00332F5A" w:rsidRPr="005A4D06" w:rsidRDefault="004B7F01" w:rsidP="005A4D06">
      <w:pPr>
        <w:pStyle w:val="BodyTextIndent"/>
        <w:numPr>
          <w:ilvl w:val="0"/>
          <w:numId w:val="2"/>
        </w:numPr>
        <w:spacing w:after="0" w:line="480" w:lineRule="auto"/>
      </w:pPr>
      <w:r>
        <w:tab/>
        <w:t>For the reasons set forth above, Staff recommends that the Commission adopt and approve the Settlement Stipulation in its entirety by issuing an order containing the three</w:t>
      </w:r>
      <w:r w:rsidR="005A4D06">
        <w:t xml:space="preserve"> </w:t>
      </w:r>
      <w:r w:rsidR="00DA17B4">
        <w:t xml:space="preserve">requested </w:t>
      </w:r>
      <w:r w:rsidR="009027B7">
        <w:t>declarations</w:t>
      </w:r>
      <w:r w:rsidR="00C23A34">
        <w:t xml:space="preserve">.  </w:t>
      </w:r>
      <w:r w:rsidR="00332F5A">
        <w:t>There are no legal im</w:t>
      </w:r>
      <w:r w:rsidR="006A12B0">
        <w:t xml:space="preserve">pediments </w:t>
      </w:r>
      <w:r w:rsidR="00304C04">
        <w:t xml:space="preserve">to </w:t>
      </w:r>
      <w:r w:rsidR="006A12B0">
        <w:t xml:space="preserve">that </w:t>
      </w:r>
      <w:r w:rsidR="00ED73F3">
        <w:t>declaratory order</w:t>
      </w:r>
      <w:r w:rsidR="00332F5A">
        <w:t>.  All applicable legal standards have been satisfied.</w:t>
      </w:r>
    </w:p>
    <w:p w:rsidR="001E1F24" w:rsidRDefault="001E1F24" w:rsidP="001E1F24">
      <w:pPr>
        <w:spacing w:line="240" w:lineRule="auto"/>
      </w:pPr>
      <w:proofErr w:type="gramStart"/>
      <w:r w:rsidRPr="004A2910">
        <w:t>DAT</w:t>
      </w:r>
      <w:r w:rsidR="00B0702D">
        <w:t>ED this 21st day of December</w:t>
      </w:r>
      <w:r w:rsidRPr="004A2910">
        <w:t xml:space="preserve"> 20</w:t>
      </w:r>
      <w:r>
        <w:t>10</w:t>
      </w:r>
      <w:r w:rsidRPr="004A2910">
        <w:t>.</w:t>
      </w:r>
      <w:proofErr w:type="gramEnd"/>
    </w:p>
    <w:p w:rsidR="001E1F24" w:rsidRDefault="001E1F24" w:rsidP="001E1F24">
      <w:pPr>
        <w:spacing w:line="240" w:lineRule="auto"/>
        <w:ind w:firstLine="0"/>
      </w:pPr>
    </w:p>
    <w:p w:rsidR="001E1F24" w:rsidRPr="004A2910" w:rsidRDefault="001E1F24" w:rsidP="001E1F24">
      <w:pPr>
        <w:spacing w:line="240" w:lineRule="auto"/>
        <w:ind w:firstLine="0"/>
      </w:pPr>
      <w:r>
        <w:tab/>
      </w:r>
      <w:r>
        <w:tab/>
      </w:r>
      <w:r>
        <w:tab/>
      </w:r>
      <w:r>
        <w:tab/>
      </w:r>
      <w:r>
        <w:tab/>
      </w:r>
      <w:r>
        <w:tab/>
        <w:t xml:space="preserve">Respectfully submitted, </w:t>
      </w:r>
    </w:p>
    <w:p w:rsidR="001E1F24" w:rsidRPr="004A2910" w:rsidRDefault="001E1F24" w:rsidP="001E1F24">
      <w:pPr>
        <w:pStyle w:val="BodyTextIndent2"/>
        <w:spacing w:line="240" w:lineRule="auto"/>
        <w:ind w:left="0" w:firstLine="0"/>
      </w:pPr>
    </w:p>
    <w:p w:rsidR="001E1F24" w:rsidRPr="004A2910" w:rsidRDefault="001E1F24" w:rsidP="001E1F24">
      <w:pPr>
        <w:spacing w:line="240" w:lineRule="auto"/>
        <w:ind w:left="4320" w:firstLine="0"/>
        <w:jc w:val="both"/>
      </w:pPr>
      <w:r w:rsidRPr="004A2910">
        <w:t>ROB</w:t>
      </w:r>
      <w:r>
        <w:t>ERT M.</w:t>
      </w:r>
      <w:r w:rsidRPr="004A2910">
        <w:t xml:space="preserve"> MCKENNA </w:t>
      </w:r>
    </w:p>
    <w:p w:rsidR="001E1F24" w:rsidRPr="004A2910" w:rsidRDefault="001E1F24" w:rsidP="001E1F24">
      <w:pPr>
        <w:spacing w:line="240" w:lineRule="auto"/>
        <w:ind w:left="4320" w:firstLine="0"/>
        <w:jc w:val="both"/>
      </w:pPr>
      <w:r w:rsidRPr="004A2910">
        <w:t>Attorney General</w:t>
      </w:r>
    </w:p>
    <w:p w:rsidR="001E1F24" w:rsidRPr="004A2910" w:rsidRDefault="001E1F24" w:rsidP="001E1F24">
      <w:pPr>
        <w:spacing w:line="240" w:lineRule="auto"/>
        <w:ind w:left="4320" w:firstLine="0"/>
        <w:jc w:val="both"/>
      </w:pPr>
    </w:p>
    <w:p w:rsidR="001E1F24" w:rsidRDefault="001E1F24" w:rsidP="001E1F24">
      <w:pPr>
        <w:spacing w:line="240" w:lineRule="auto"/>
        <w:ind w:left="4320" w:firstLine="0"/>
        <w:jc w:val="both"/>
      </w:pPr>
    </w:p>
    <w:p w:rsidR="001E1F24" w:rsidRPr="004A2910" w:rsidRDefault="001E1F24" w:rsidP="001E1F24">
      <w:pPr>
        <w:spacing w:line="240" w:lineRule="auto"/>
        <w:ind w:left="4320" w:firstLine="0"/>
        <w:jc w:val="both"/>
      </w:pPr>
    </w:p>
    <w:p w:rsidR="001E1F24" w:rsidRPr="004A2910" w:rsidRDefault="001E1F24" w:rsidP="001E1F24">
      <w:pPr>
        <w:spacing w:line="240" w:lineRule="auto"/>
        <w:ind w:left="4320" w:firstLine="0"/>
        <w:jc w:val="both"/>
      </w:pPr>
      <w:r w:rsidRPr="004A2910">
        <w:t>______________________________</w:t>
      </w:r>
    </w:p>
    <w:p w:rsidR="001E1F24" w:rsidRPr="004A2910" w:rsidRDefault="001E1F24" w:rsidP="001E1F24">
      <w:pPr>
        <w:spacing w:line="240" w:lineRule="auto"/>
        <w:ind w:left="4320" w:firstLine="0"/>
        <w:jc w:val="both"/>
      </w:pPr>
      <w:r>
        <w:t xml:space="preserve">ROBERT D. CEDARBAUM </w:t>
      </w:r>
    </w:p>
    <w:p w:rsidR="001E1F24" w:rsidRPr="004A2910" w:rsidRDefault="001E1F24" w:rsidP="001E1F24">
      <w:pPr>
        <w:spacing w:line="240" w:lineRule="auto"/>
        <w:ind w:left="4320" w:firstLine="0"/>
        <w:jc w:val="both"/>
      </w:pPr>
      <w:r w:rsidRPr="004A2910">
        <w:t>Assistant Attorney General</w:t>
      </w:r>
    </w:p>
    <w:p w:rsidR="001E1F24" w:rsidRPr="004A2910" w:rsidRDefault="001E1F24" w:rsidP="001E1F24">
      <w:pPr>
        <w:spacing w:line="240" w:lineRule="auto"/>
        <w:ind w:left="4320" w:firstLine="0"/>
        <w:jc w:val="both"/>
      </w:pPr>
      <w:r w:rsidRPr="004A2910">
        <w:t>Counsel for Washington Utilities and</w:t>
      </w:r>
    </w:p>
    <w:p w:rsidR="00445B12" w:rsidRPr="00062A15" w:rsidRDefault="001E1F24" w:rsidP="001E1F24">
      <w:pPr>
        <w:spacing w:line="240" w:lineRule="auto"/>
        <w:ind w:left="4320" w:firstLine="0"/>
        <w:jc w:val="both"/>
      </w:pPr>
      <w:r>
        <w:t>Transportation Commission Staff</w:t>
      </w:r>
    </w:p>
    <w:sectPr w:rsidR="00445B12" w:rsidRPr="00062A15" w:rsidSect="00445B12">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D26" w:rsidRDefault="00A66D26" w:rsidP="008521A0">
      <w:pPr>
        <w:spacing w:line="240" w:lineRule="auto"/>
      </w:pPr>
      <w:r>
        <w:separator/>
      </w:r>
    </w:p>
  </w:endnote>
  <w:endnote w:type="continuationSeparator" w:id="0">
    <w:p w:rsidR="00A66D26" w:rsidRDefault="00A66D26" w:rsidP="008521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F01" w:rsidRPr="004B7F01" w:rsidRDefault="004B7F01" w:rsidP="004B7F01">
    <w:pPr>
      <w:pStyle w:val="Footer"/>
      <w:ind w:firstLine="0"/>
      <w:rPr>
        <w:sz w:val="20"/>
      </w:rPr>
    </w:pPr>
  </w:p>
  <w:p w:rsidR="004B7F01" w:rsidRPr="004B7F01" w:rsidRDefault="004B7F01" w:rsidP="004B7F01">
    <w:pPr>
      <w:pStyle w:val="Footer"/>
      <w:ind w:firstLine="0"/>
      <w:rPr>
        <w:sz w:val="20"/>
      </w:rPr>
    </w:pPr>
    <w:r w:rsidRPr="004B7F01">
      <w:rPr>
        <w:sz w:val="20"/>
      </w:rPr>
      <w:t xml:space="preserve">COMMISSION STAFF MEMORANDUM IN </w:t>
    </w:r>
  </w:p>
  <w:p w:rsidR="004B7F01" w:rsidRPr="004B7F01" w:rsidRDefault="004B7F01" w:rsidP="004B7F01">
    <w:pPr>
      <w:pStyle w:val="Footer"/>
      <w:ind w:firstLine="0"/>
      <w:rPr>
        <w:sz w:val="20"/>
      </w:rPr>
    </w:pPr>
    <w:r w:rsidRPr="004B7F01">
      <w:rPr>
        <w:sz w:val="20"/>
      </w:rPr>
      <w:t xml:space="preserve">SUPPORT OF SETTLEMENT STIPULATION - </w:t>
    </w:r>
    <w:r w:rsidR="00F33FEC" w:rsidRPr="004B7F01">
      <w:rPr>
        <w:sz w:val="20"/>
      </w:rPr>
      <w:fldChar w:fldCharType="begin"/>
    </w:r>
    <w:r w:rsidRPr="004B7F01">
      <w:rPr>
        <w:sz w:val="20"/>
      </w:rPr>
      <w:instrText xml:space="preserve"> PAGE   \* MERGEFORMAT </w:instrText>
    </w:r>
    <w:r w:rsidR="00F33FEC" w:rsidRPr="004B7F01">
      <w:rPr>
        <w:sz w:val="20"/>
      </w:rPr>
      <w:fldChar w:fldCharType="separate"/>
    </w:r>
    <w:r w:rsidR="00BB2637">
      <w:rPr>
        <w:noProof/>
        <w:sz w:val="20"/>
      </w:rPr>
      <w:t>3</w:t>
    </w:r>
    <w:r w:rsidR="00F33FEC" w:rsidRPr="004B7F01">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D26" w:rsidRDefault="00A66D26" w:rsidP="006F34AD">
      <w:pPr>
        <w:spacing w:line="240" w:lineRule="auto"/>
        <w:ind w:firstLine="0"/>
      </w:pPr>
      <w:bookmarkStart w:id="0" w:name="_GoBack"/>
      <w:bookmarkEnd w:id="0"/>
      <w:r>
        <w:separator/>
      </w:r>
    </w:p>
  </w:footnote>
  <w:footnote w:type="continuationSeparator" w:id="0">
    <w:p w:rsidR="00A66D26" w:rsidRDefault="00A66D26" w:rsidP="008521A0">
      <w:pPr>
        <w:spacing w:line="240" w:lineRule="auto"/>
      </w:pPr>
      <w:r>
        <w:continuationSeparator/>
      </w:r>
    </w:p>
  </w:footnote>
  <w:footnote w:id="1">
    <w:p w:rsidR="00A66D26" w:rsidRDefault="00A66D26" w:rsidP="003C3773">
      <w:pPr>
        <w:pStyle w:val="FootnoteText"/>
        <w:ind w:firstLine="0"/>
      </w:pPr>
      <w:r>
        <w:rPr>
          <w:rStyle w:val="FootnoteReference"/>
        </w:rPr>
        <w:footnoteRef/>
      </w:r>
      <w:r>
        <w:t xml:space="preserve"> Public Counsel has not joined the Settlement Stipulation, but has authorized the remaining parties to state that it does not oppose the Settlement Stipulation.</w:t>
      </w:r>
    </w:p>
  </w:footnote>
  <w:footnote w:id="2">
    <w:p w:rsidR="00A66D26" w:rsidRDefault="00A66D26" w:rsidP="008F5E0C">
      <w:pPr>
        <w:pStyle w:val="FootnoteText"/>
        <w:ind w:firstLine="0"/>
      </w:pPr>
      <w:r>
        <w:rPr>
          <w:rStyle w:val="FootnoteReference"/>
        </w:rPr>
        <w:footnoteRef/>
      </w:r>
      <w:r>
        <w:t xml:space="preserve"> PSE clarified at hearing that this declaration means simply that the transfer of assets from PSE to JPUD does not require Commission approval.  Tr. 8:23-25.</w:t>
      </w:r>
    </w:p>
  </w:footnote>
  <w:footnote w:id="3">
    <w:p w:rsidR="00A66D26" w:rsidRDefault="00A66D26" w:rsidP="001C07F2">
      <w:pPr>
        <w:pStyle w:val="FootnoteText"/>
        <w:ind w:firstLine="0"/>
      </w:pPr>
      <w:r>
        <w:rPr>
          <w:rStyle w:val="FootnoteReference"/>
        </w:rPr>
        <w:footnoteRef/>
      </w:r>
      <w:r>
        <w:t xml:space="preserve"> RCW Title 54.</w:t>
      </w:r>
    </w:p>
  </w:footnote>
  <w:footnote w:id="4">
    <w:p w:rsidR="00A66D26" w:rsidRDefault="00A66D26" w:rsidP="0002593D">
      <w:pPr>
        <w:pStyle w:val="FootnoteText"/>
        <w:ind w:firstLine="0"/>
      </w:pPr>
      <w:r>
        <w:rPr>
          <w:rStyle w:val="FootnoteReference"/>
        </w:rPr>
        <w:footnoteRef/>
      </w:r>
      <w:r>
        <w:t xml:space="preserve"> RCW 54.16.040.</w:t>
      </w:r>
    </w:p>
  </w:footnote>
  <w:footnote w:id="5">
    <w:p w:rsidR="00A66D26" w:rsidRDefault="00A66D26" w:rsidP="001C07F2">
      <w:pPr>
        <w:pStyle w:val="FootnoteText"/>
        <w:ind w:firstLine="0"/>
      </w:pPr>
      <w:r>
        <w:rPr>
          <w:rStyle w:val="FootnoteReference"/>
        </w:rPr>
        <w:footnoteRef/>
      </w:r>
      <w:r>
        <w:t xml:space="preserve"> JPUD is authorized to take such actions under RCW 54.16.040.</w:t>
      </w:r>
    </w:p>
  </w:footnote>
  <w:footnote w:id="6">
    <w:p w:rsidR="00A66D26" w:rsidRPr="00884BE7" w:rsidRDefault="00A66D26" w:rsidP="00414980">
      <w:pPr>
        <w:pStyle w:val="FootnoteText"/>
        <w:ind w:firstLine="0"/>
        <w:rPr>
          <w:szCs w:val="22"/>
        </w:rPr>
      </w:pPr>
      <w:r w:rsidRPr="00884BE7">
        <w:rPr>
          <w:rStyle w:val="FootnoteReference"/>
          <w:sz w:val="22"/>
          <w:szCs w:val="22"/>
        </w:rPr>
        <w:footnoteRef/>
      </w:r>
      <w:r w:rsidRPr="00884BE7">
        <w:rPr>
          <w:szCs w:val="22"/>
        </w:rPr>
        <w:t xml:space="preserve"> </w:t>
      </w:r>
      <w:r>
        <w:t>Exh. No. KRK-1CT at 3:16-19.</w:t>
      </w:r>
    </w:p>
  </w:footnote>
  <w:footnote w:id="7">
    <w:p w:rsidR="00A66D26" w:rsidRDefault="00A66D26" w:rsidP="00DC4B13">
      <w:pPr>
        <w:pStyle w:val="FootnoteText"/>
        <w:ind w:firstLine="0"/>
      </w:pPr>
      <w:r>
        <w:rPr>
          <w:rStyle w:val="FootnoteReference"/>
        </w:rPr>
        <w:footnoteRef/>
      </w:r>
      <w:r>
        <w:t xml:space="preserve"> Exh. No. KRK-1CT at 3:19-20 and 4:8-11.  RCW 54.16.020 authorizes JPUD to acquire PSE’s assets in Jefferson County by eminent domain.</w:t>
      </w:r>
    </w:p>
  </w:footnote>
  <w:footnote w:id="8">
    <w:p w:rsidR="00A66D26" w:rsidRDefault="00A66D26" w:rsidP="00F84F6B">
      <w:pPr>
        <w:pStyle w:val="FootnoteText"/>
        <w:ind w:firstLine="0"/>
      </w:pPr>
      <w:r>
        <w:rPr>
          <w:rStyle w:val="FootnoteReference"/>
        </w:rPr>
        <w:footnoteRef/>
      </w:r>
      <w:r>
        <w:t xml:space="preserve"> Exh. No. KRK-10.</w:t>
      </w:r>
    </w:p>
  </w:footnote>
  <w:footnote w:id="9">
    <w:p w:rsidR="00A66D26" w:rsidRDefault="00A66D26" w:rsidP="00F84F6B">
      <w:pPr>
        <w:pStyle w:val="FootnoteText"/>
        <w:ind w:firstLine="0"/>
      </w:pPr>
      <w:r>
        <w:rPr>
          <w:rStyle w:val="FootnoteReference"/>
        </w:rPr>
        <w:footnoteRef/>
      </w:r>
      <w:r>
        <w:t xml:space="preserve"> Exh. No. KRK-3.</w:t>
      </w:r>
    </w:p>
  </w:footnote>
  <w:footnote w:id="10">
    <w:p w:rsidR="00A66D26" w:rsidRDefault="00A66D26" w:rsidP="00170E4A">
      <w:pPr>
        <w:pStyle w:val="FootnoteText"/>
        <w:ind w:firstLine="0"/>
      </w:pPr>
      <w:r>
        <w:rPr>
          <w:rStyle w:val="FootnoteReference"/>
        </w:rPr>
        <w:footnoteRef/>
      </w:r>
      <w:r>
        <w:t xml:space="preserve"> Exh. No. KRK-1CT at 6:9-14.</w:t>
      </w:r>
    </w:p>
  </w:footnote>
  <w:footnote w:id="11">
    <w:p w:rsidR="00A66D26" w:rsidRDefault="00A66D26" w:rsidP="00DC4B13">
      <w:pPr>
        <w:pStyle w:val="FootnoteText"/>
        <w:ind w:firstLine="0"/>
      </w:pPr>
      <w:r>
        <w:rPr>
          <w:rStyle w:val="FootnoteReference"/>
        </w:rPr>
        <w:footnoteRef/>
      </w:r>
      <w:r>
        <w:t xml:space="preserve"> Exh. No. KRK-1CT at 5:10-11.</w:t>
      </w:r>
    </w:p>
  </w:footnote>
  <w:footnote w:id="12">
    <w:p w:rsidR="00A66D26" w:rsidRDefault="00A66D26" w:rsidP="00E2168C">
      <w:pPr>
        <w:pStyle w:val="FootnoteText"/>
        <w:ind w:firstLine="0"/>
      </w:pPr>
      <w:r>
        <w:rPr>
          <w:rStyle w:val="FootnoteReference"/>
        </w:rPr>
        <w:footnoteRef/>
      </w:r>
      <w:r>
        <w:t xml:space="preserve"> Exh. No. KRK-3 at 10, ¶ 1 (“WUTC Confirmations”) and 23, ¶ 7.2.  All page references </w:t>
      </w:r>
      <w:r w:rsidR="00745742">
        <w:t xml:space="preserve">in </w:t>
      </w:r>
      <w:proofErr w:type="spellStart"/>
      <w:r w:rsidR="00745742">
        <w:t>Exh</w:t>
      </w:r>
      <w:proofErr w:type="spellEnd"/>
      <w:r w:rsidR="00745742">
        <w:t xml:space="preserve">. No. </w:t>
      </w:r>
      <w:proofErr w:type="spellStart"/>
      <w:r w:rsidR="00745742">
        <w:t>KRK</w:t>
      </w:r>
      <w:proofErr w:type="spellEnd"/>
      <w:r w:rsidR="00745742">
        <w:t xml:space="preserve">-3 </w:t>
      </w:r>
      <w:r>
        <w:t xml:space="preserve">are to the exhibit pages in the lower right-hand corner of each page.  </w:t>
      </w:r>
    </w:p>
  </w:footnote>
  <w:footnote w:id="13">
    <w:p w:rsidR="00A66D26" w:rsidRDefault="00A66D26" w:rsidP="00170E4A">
      <w:pPr>
        <w:pStyle w:val="FootnoteText"/>
        <w:ind w:firstLine="0"/>
      </w:pPr>
      <w:r>
        <w:rPr>
          <w:rStyle w:val="FootnoteReference"/>
        </w:rPr>
        <w:footnoteRef/>
      </w:r>
      <w:r w:rsidR="007251E7">
        <w:t xml:space="preserve"> Exh. No. </w:t>
      </w:r>
      <w:proofErr w:type="spellStart"/>
      <w:r w:rsidR="007251E7">
        <w:t>KRK-14T</w:t>
      </w:r>
      <w:proofErr w:type="spellEnd"/>
      <w:r w:rsidR="007251E7">
        <w:t xml:space="preserve"> at 3:11-14</w:t>
      </w:r>
      <w:r>
        <w:t>.</w:t>
      </w:r>
    </w:p>
  </w:footnote>
  <w:footnote w:id="14">
    <w:p w:rsidR="00A66D26" w:rsidRDefault="00A66D26" w:rsidP="009E7CCB">
      <w:pPr>
        <w:pStyle w:val="FootnoteText"/>
        <w:ind w:firstLine="0"/>
      </w:pPr>
      <w:r>
        <w:rPr>
          <w:rStyle w:val="FootnoteReference"/>
        </w:rPr>
        <w:footnoteRef/>
      </w:r>
      <w:r>
        <w:t xml:space="preserve"> Exh. No. KRK-3 at 25, ¶ 9.1.  </w:t>
      </w:r>
    </w:p>
  </w:footnote>
  <w:footnote w:id="15">
    <w:p w:rsidR="00A66D26" w:rsidRDefault="00A66D26" w:rsidP="00971F97">
      <w:pPr>
        <w:pStyle w:val="FootnoteText"/>
        <w:ind w:firstLine="0"/>
      </w:pPr>
      <w:r>
        <w:rPr>
          <w:rStyle w:val="FootnoteReference"/>
        </w:rPr>
        <w:footnoteRef/>
      </w:r>
      <w:r>
        <w:t xml:space="preserve"> Exh. No. KRK-3 at 19, ¶ 5.1.</w:t>
      </w:r>
    </w:p>
  </w:footnote>
  <w:footnote w:id="16">
    <w:p w:rsidR="00A66D26" w:rsidRDefault="00A66D26" w:rsidP="00971F97">
      <w:pPr>
        <w:pStyle w:val="FootnoteText"/>
        <w:ind w:firstLine="0"/>
      </w:pPr>
      <w:r>
        <w:rPr>
          <w:rStyle w:val="FootnoteReference"/>
        </w:rPr>
        <w:footnoteRef/>
      </w:r>
      <w:r>
        <w:t xml:space="preserve"> Exh. No. KRK-3 at 15, ¶ 2.11.</w:t>
      </w:r>
    </w:p>
  </w:footnote>
  <w:footnote w:id="17">
    <w:p w:rsidR="00A66D26" w:rsidRDefault="00A66D26" w:rsidP="0002011C">
      <w:pPr>
        <w:pStyle w:val="FootnoteText"/>
        <w:ind w:firstLine="0"/>
      </w:pPr>
      <w:r>
        <w:rPr>
          <w:rStyle w:val="FootnoteReference"/>
        </w:rPr>
        <w:footnoteRef/>
      </w:r>
      <w:r>
        <w:t xml:space="preserve"> Exh. No. KRK-3 at 25, ¶ 9.3.</w:t>
      </w:r>
    </w:p>
  </w:footnote>
  <w:footnote w:id="18">
    <w:p w:rsidR="00A66D26" w:rsidRPr="008521A0" w:rsidRDefault="00A66D26" w:rsidP="00CB22D9">
      <w:pPr>
        <w:pStyle w:val="FootnoteText"/>
        <w:ind w:firstLine="0"/>
      </w:pPr>
      <w:r>
        <w:rPr>
          <w:rStyle w:val="FootnoteReference"/>
        </w:rPr>
        <w:footnoteRef/>
      </w:r>
      <w:r>
        <w:t xml:space="preserve"> RCW 80.12.020(1).  </w:t>
      </w:r>
    </w:p>
  </w:footnote>
  <w:footnote w:id="19">
    <w:p w:rsidR="00A66D26" w:rsidRDefault="00A66D26" w:rsidP="00CB22D9">
      <w:pPr>
        <w:pStyle w:val="FootnoteText"/>
        <w:ind w:firstLine="0"/>
      </w:pPr>
      <w:r>
        <w:rPr>
          <w:rStyle w:val="FootnoteReference"/>
        </w:rPr>
        <w:footnoteRef/>
      </w:r>
      <w:r>
        <w:t xml:space="preserve"> RCW 80.12.020(2).</w:t>
      </w:r>
    </w:p>
  </w:footnote>
  <w:footnote w:id="20">
    <w:p w:rsidR="00A66D26" w:rsidRDefault="00A66D26" w:rsidP="005406C5">
      <w:pPr>
        <w:pStyle w:val="FootnoteText"/>
        <w:ind w:firstLine="0"/>
      </w:pPr>
      <w:r>
        <w:rPr>
          <w:rStyle w:val="FootnoteReference"/>
        </w:rPr>
        <w:footnoteRef/>
      </w:r>
      <w:r>
        <w:t xml:space="preserve"> RCW 80.01.040(3).  </w:t>
      </w:r>
    </w:p>
  </w:footnote>
  <w:footnote w:id="21">
    <w:p w:rsidR="00A66D26" w:rsidRDefault="00A66D26" w:rsidP="00A53D68">
      <w:pPr>
        <w:pStyle w:val="FootnoteText"/>
        <w:ind w:firstLine="0"/>
      </w:pPr>
      <w:r>
        <w:rPr>
          <w:rStyle w:val="FootnoteReference"/>
        </w:rPr>
        <w:footnoteRef/>
      </w:r>
      <w:r>
        <w:t xml:space="preserve"> RCW 80.04.250.  The Parties </w:t>
      </w:r>
      <w:r w:rsidR="005B44FC">
        <w:t>ask the Commission to declare that</w:t>
      </w:r>
      <w:r>
        <w:t xml:space="preserve"> the $103 million purchase price sets the ceiling for ratemaking purposes even though the ultimate allocation of that amount between </w:t>
      </w:r>
      <w:r w:rsidR="005B44FC">
        <w:t>ratepayers and shareholders should</w:t>
      </w:r>
      <w:r>
        <w:t xml:space="preserve"> not be determ</w:t>
      </w:r>
      <w:r w:rsidR="005B44FC">
        <w:t>ined at this time</w:t>
      </w:r>
      <w:r>
        <w:t>.  Settlement Stipulation at 5, ¶ 15.</w:t>
      </w:r>
    </w:p>
  </w:footnote>
  <w:footnote w:id="22">
    <w:p w:rsidR="00A66D26" w:rsidRDefault="00A66D26" w:rsidP="004E00B7">
      <w:pPr>
        <w:pStyle w:val="FootnoteText"/>
        <w:ind w:firstLine="0"/>
      </w:pPr>
      <w:r>
        <w:rPr>
          <w:rStyle w:val="FootnoteReference"/>
        </w:rPr>
        <w:footnoteRef/>
      </w:r>
      <w:r>
        <w:t xml:space="preserve"> RCW 34.05.240(1)(e) also requires declaratory order </w:t>
      </w:r>
      <w:r w:rsidRPr="00432B70">
        <w:rPr>
          <w:szCs w:val="24"/>
        </w:rPr>
        <w:t>petition</w:t>
      </w:r>
      <w:r>
        <w:rPr>
          <w:szCs w:val="24"/>
        </w:rPr>
        <w:t>s</w:t>
      </w:r>
      <w:r w:rsidRPr="00432B70">
        <w:rPr>
          <w:szCs w:val="24"/>
        </w:rPr>
        <w:t xml:space="preserve"> </w:t>
      </w:r>
      <w:r>
        <w:rPr>
          <w:szCs w:val="24"/>
        </w:rPr>
        <w:t>to comply</w:t>
      </w:r>
      <w:r w:rsidRPr="00432B70">
        <w:rPr>
          <w:szCs w:val="24"/>
        </w:rPr>
        <w:t xml:space="preserve"> with any additional requirements established by the agency under subsection </w:t>
      </w:r>
      <w:r>
        <w:rPr>
          <w:szCs w:val="24"/>
        </w:rPr>
        <w:t>RCW 34.05.240(2).</w:t>
      </w:r>
      <w:r>
        <w:t xml:space="preserve">  The Commission has adopted WAC 480-07-930 to implement RCW 34.05.240.  However, the rule does not set additional requirements for petitions.</w:t>
      </w:r>
    </w:p>
  </w:footnote>
  <w:footnote w:id="23">
    <w:p w:rsidR="00A66D26" w:rsidRDefault="00A66D26" w:rsidP="00FD459D">
      <w:pPr>
        <w:pStyle w:val="FootnoteText"/>
        <w:ind w:firstLine="0"/>
      </w:pPr>
      <w:r>
        <w:rPr>
          <w:rStyle w:val="FootnoteReference"/>
        </w:rPr>
        <w:footnoteRef/>
      </w:r>
      <w:r>
        <w:t xml:space="preserve"> RCW 80.01.010 (definitions of “electric plant” and “electrical company”).</w:t>
      </w:r>
    </w:p>
  </w:footnote>
  <w:footnote w:id="24">
    <w:p w:rsidR="00A66D26" w:rsidRDefault="00A66D26" w:rsidP="000457E9">
      <w:pPr>
        <w:pStyle w:val="FootnoteText"/>
        <w:ind w:firstLine="0"/>
      </w:pPr>
      <w:r>
        <w:rPr>
          <w:rStyle w:val="FootnoteReference"/>
        </w:rPr>
        <w:footnoteRef/>
      </w:r>
      <w:r>
        <w:t xml:space="preserve"> Exh. No. KRK-3 at 25, ¶ 9.3.</w:t>
      </w:r>
    </w:p>
  </w:footnote>
  <w:footnote w:id="25">
    <w:p w:rsidR="00A66D26" w:rsidRDefault="00A66D26" w:rsidP="002E753D">
      <w:pPr>
        <w:pStyle w:val="FootnoteText"/>
        <w:ind w:firstLine="0"/>
      </w:pPr>
      <w:r>
        <w:rPr>
          <w:rStyle w:val="FootnoteReference"/>
        </w:rPr>
        <w:footnoteRef/>
      </w:r>
      <w:r>
        <w:t xml:space="preserve"> RCW 80.28.010(1) and RCW 80.28.080.</w:t>
      </w:r>
    </w:p>
  </w:footnote>
  <w:footnote w:id="26">
    <w:p w:rsidR="00A66D26" w:rsidRDefault="00A66D26" w:rsidP="00433604">
      <w:pPr>
        <w:pStyle w:val="FootnoteText"/>
        <w:ind w:firstLine="0"/>
      </w:pPr>
      <w:r>
        <w:rPr>
          <w:rStyle w:val="FootnoteReference"/>
        </w:rPr>
        <w:footnoteRef/>
      </w:r>
      <w:r>
        <w:t xml:space="preserve"> RCW 80.28.090.</w:t>
      </w:r>
    </w:p>
  </w:footnote>
  <w:footnote w:id="27">
    <w:p w:rsidR="00A66D26" w:rsidRDefault="00A66D26" w:rsidP="00433604">
      <w:pPr>
        <w:pStyle w:val="FootnoteText"/>
        <w:ind w:firstLine="0"/>
      </w:pPr>
      <w:r>
        <w:rPr>
          <w:rStyle w:val="FootnoteReference"/>
        </w:rPr>
        <w:footnoteRef/>
      </w:r>
      <w:r>
        <w:t xml:space="preserve"> RCW 80.28.100.</w:t>
      </w:r>
    </w:p>
  </w:footnote>
  <w:footnote w:id="28">
    <w:p w:rsidR="00A66D26" w:rsidRDefault="00A66D26" w:rsidP="00433604">
      <w:pPr>
        <w:pStyle w:val="FootnoteText"/>
        <w:ind w:firstLine="0"/>
      </w:pPr>
      <w:r>
        <w:rPr>
          <w:rStyle w:val="FootnoteReference"/>
        </w:rPr>
        <w:footnoteRef/>
      </w:r>
      <w:r>
        <w:t xml:space="preserve"> RCW 80.28.010(2).</w:t>
      </w:r>
    </w:p>
  </w:footnote>
  <w:footnote w:id="29">
    <w:p w:rsidR="00A66D26" w:rsidRDefault="00A66D26" w:rsidP="000172BC">
      <w:pPr>
        <w:pStyle w:val="FootnoteText"/>
        <w:ind w:firstLine="0"/>
      </w:pPr>
      <w:r>
        <w:rPr>
          <w:rStyle w:val="FootnoteReference"/>
        </w:rPr>
        <w:footnoteRef/>
      </w:r>
      <w:r>
        <w:t xml:space="preserve"> RCW 80.28.110.</w:t>
      </w:r>
    </w:p>
  </w:footnote>
  <w:footnote w:id="30">
    <w:p w:rsidR="00A66D26" w:rsidRDefault="00A66D26" w:rsidP="004E6AD3">
      <w:pPr>
        <w:pStyle w:val="FootnoteText"/>
        <w:ind w:firstLine="0"/>
      </w:pPr>
      <w:r>
        <w:rPr>
          <w:rStyle w:val="FootnoteReference"/>
        </w:rPr>
        <w:footnoteRef/>
      </w:r>
      <w:r>
        <w:t xml:space="preserve"> Exh. No. KRK-3 at 19, ¶ 5.1(a).</w:t>
      </w:r>
    </w:p>
  </w:footnote>
  <w:footnote w:id="31">
    <w:p w:rsidR="00A66D26" w:rsidRDefault="00A66D26" w:rsidP="00864142">
      <w:pPr>
        <w:pStyle w:val="FootnoteText"/>
        <w:ind w:firstLine="0"/>
      </w:pPr>
      <w:r>
        <w:rPr>
          <w:rStyle w:val="FootnoteReference"/>
        </w:rPr>
        <w:footnoteRef/>
      </w:r>
      <w:r>
        <w:t xml:space="preserve"> Exh. No. KRK-3 at 15, ¶ 2.11.</w:t>
      </w:r>
    </w:p>
  </w:footnote>
  <w:footnote w:id="32">
    <w:p w:rsidR="00A66D26" w:rsidRDefault="00A66D26" w:rsidP="000172BC">
      <w:pPr>
        <w:pStyle w:val="FootnoteText"/>
        <w:ind w:firstLine="0"/>
      </w:pPr>
      <w:r>
        <w:rPr>
          <w:rStyle w:val="FootnoteReference"/>
        </w:rPr>
        <w:footnoteRef/>
      </w:r>
      <w:r>
        <w:t xml:space="preserve"> Exh. No. KRK-3 at 12, ¶ 2.4 and 15, ¶ 2.11(d).</w:t>
      </w:r>
    </w:p>
  </w:footnote>
  <w:footnote w:id="33">
    <w:p w:rsidR="00A66D26" w:rsidRDefault="00A66D26" w:rsidP="00553637">
      <w:pPr>
        <w:pStyle w:val="FootnoteText"/>
        <w:ind w:firstLine="0"/>
      </w:pPr>
      <w:r>
        <w:rPr>
          <w:rStyle w:val="FootnoteReference"/>
        </w:rPr>
        <w:footnoteRef/>
      </w:r>
      <w:r>
        <w:t xml:space="preserve"> Exh. No. EJK-1T at 8:4-23.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5A1A"/>
    <w:multiLevelType w:val="hybridMultilevel"/>
    <w:tmpl w:val="B1DCE084"/>
    <w:lvl w:ilvl="0" w:tplc="35DCC6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A2172E"/>
    <w:multiLevelType w:val="hybridMultilevel"/>
    <w:tmpl w:val="D1C0563A"/>
    <w:lvl w:ilvl="0" w:tplc="EA1E1E46">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171526"/>
    <w:multiLevelType w:val="hybridMultilevel"/>
    <w:tmpl w:val="1AB637C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A024C5"/>
    <w:multiLevelType w:val="hybridMultilevel"/>
    <w:tmpl w:val="B85AE73E"/>
    <w:lvl w:ilvl="0" w:tplc="EA1E1E46">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A704D8"/>
    <w:multiLevelType w:val="hybridMultilevel"/>
    <w:tmpl w:val="11CAF3C2"/>
    <w:lvl w:ilvl="0" w:tplc="35DCC6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C81AB0"/>
    <w:multiLevelType w:val="hybridMultilevel"/>
    <w:tmpl w:val="022CC836"/>
    <w:lvl w:ilvl="0" w:tplc="35DCC6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58B5D7B"/>
    <w:multiLevelType w:val="hybridMultilevel"/>
    <w:tmpl w:val="E9366E96"/>
    <w:lvl w:ilvl="0" w:tplc="35DCC60C">
      <w:start w:val="1"/>
      <w:numFmt w:val="decimal"/>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21A0"/>
    <w:rsid w:val="00001E99"/>
    <w:rsid w:val="00003EE3"/>
    <w:rsid w:val="0000594E"/>
    <w:rsid w:val="00006B24"/>
    <w:rsid w:val="00006CDB"/>
    <w:rsid w:val="0000791F"/>
    <w:rsid w:val="00007CFA"/>
    <w:rsid w:val="000105E6"/>
    <w:rsid w:val="000113AD"/>
    <w:rsid w:val="00012F2B"/>
    <w:rsid w:val="000131C1"/>
    <w:rsid w:val="00013B4C"/>
    <w:rsid w:val="0001604F"/>
    <w:rsid w:val="000172BC"/>
    <w:rsid w:val="0001789A"/>
    <w:rsid w:val="00017A76"/>
    <w:rsid w:val="0002011C"/>
    <w:rsid w:val="000207CF"/>
    <w:rsid w:val="00020C3A"/>
    <w:rsid w:val="00022116"/>
    <w:rsid w:val="00023616"/>
    <w:rsid w:val="000240C6"/>
    <w:rsid w:val="0002593D"/>
    <w:rsid w:val="00026E78"/>
    <w:rsid w:val="000302BB"/>
    <w:rsid w:val="00031A16"/>
    <w:rsid w:val="00031BB8"/>
    <w:rsid w:val="00031DF2"/>
    <w:rsid w:val="00032200"/>
    <w:rsid w:val="0003278A"/>
    <w:rsid w:val="00035D1A"/>
    <w:rsid w:val="0003684C"/>
    <w:rsid w:val="000407CC"/>
    <w:rsid w:val="0004104B"/>
    <w:rsid w:val="000434F6"/>
    <w:rsid w:val="00043F9B"/>
    <w:rsid w:val="000457E9"/>
    <w:rsid w:val="00046253"/>
    <w:rsid w:val="000547ED"/>
    <w:rsid w:val="0005529D"/>
    <w:rsid w:val="00055BAB"/>
    <w:rsid w:val="000569F0"/>
    <w:rsid w:val="0005727A"/>
    <w:rsid w:val="00061D11"/>
    <w:rsid w:val="00062A15"/>
    <w:rsid w:val="00062E8C"/>
    <w:rsid w:val="0006323E"/>
    <w:rsid w:val="00063370"/>
    <w:rsid w:val="000645B8"/>
    <w:rsid w:val="0006681B"/>
    <w:rsid w:val="00066B0F"/>
    <w:rsid w:val="00066CCE"/>
    <w:rsid w:val="00070550"/>
    <w:rsid w:val="00071226"/>
    <w:rsid w:val="0007145F"/>
    <w:rsid w:val="00071628"/>
    <w:rsid w:val="00072B1F"/>
    <w:rsid w:val="00073859"/>
    <w:rsid w:val="00073A58"/>
    <w:rsid w:val="00075904"/>
    <w:rsid w:val="00081668"/>
    <w:rsid w:val="00082920"/>
    <w:rsid w:val="000842D1"/>
    <w:rsid w:val="00091C51"/>
    <w:rsid w:val="00093535"/>
    <w:rsid w:val="00094A72"/>
    <w:rsid w:val="00095278"/>
    <w:rsid w:val="0009556D"/>
    <w:rsid w:val="000958AB"/>
    <w:rsid w:val="000969A5"/>
    <w:rsid w:val="00097AEC"/>
    <w:rsid w:val="000A139E"/>
    <w:rsid w:val="000A145C"/>
    <w:rsid w:val="000A287A"/>
    <w:rsid w:val="000A28AB"/>
    <w:rsid w:val="000A3A6A"/>
    <w:rsid w:val="000A4A69"/>
    <w:rsid w:val="000A62DE"/>
    <w:rsid w:val="000B00B1"/>
    <w:rsid w:val="000B12A8"/>
    <w:rsid w:val="000B6A77"/>
    <w:rsid w:val="000B6CF1"/>
    <w:rsid w:val="000B7E4D"/>
    <w:rsid w:val="000C258F"/>
    <w:rsid w:val="000C33AB"/>
    <w:rsid w:val="000C702C"/>
    <w:rsid w:val="000D0D2E"/>
    <w:rsid w:val="000D155F"/>
    <w:rsid w:val="000D188B"/>
    <w:rsid w:val="000D2031"/>
    <w:rsid w:val="000D41D5"/>
    <w:rsid w:val="000D4E0F"/>
    <w:rsid w:val="000D78F2"/>
    <w:rsid w:val="000E0645"/>
    <w:rsid w:val="000E0717"/>
    <w:rsid w:val="000E0AE0"/>
    <w:rsid w:val="000E1B23"/>
    <w:rsid w:val="000E1FCF"/>
    <w:rsid w:val="000E2A88"/>
    <w:rsid w:val="000E59D6"/>
    <w:rsid w:val="000E5C85"/>
    <w:rsid w:val="000F249D"/>
    <w:rsid w:val="000F3017"/>
    <w:rsid w:val="000F3EA6"/>
    <w:rsid w:val="000F4BA0"/>
    <w:rsid w:val="000F5190"/>
    <w:rsid w:val="000F70D3"/>
    <w:rsid w:val="00100D96"/>
    <w:rsid w:val="00101245"/>
    <w:rsid w:val="00101324"/>
    <w:rsid w:val="00103758"/>
    <w:rsid w:val="00105113"/>
    <w:rsid w:val="00105D3A"/>
    <w:rsid w:val="0010621A"/>
    <w:rsid w:val="00106B55"/>
    <w:rsid w:val="00107EFE"/>
    <w:rsid w:val="00110AE3"/>
    <w:rsid w:val="00117FDE"/>
    <w:rsid w:val="001239B5"/>
    <w:rsid w:val="001279B2"/>
    <w:rsid w:val="00127E12"/>
    <w:rsid w:val="00131404"/>
    <w:rsid w:val="001317EA"/>
    <w:rsid w:val="00131A65"/>
    <w:rsid w:val="00132B58"/>
    <w:rsid w:val="00133585"/>
    <w:rsid w:val="00136BF8"/>
    <w:rsid w:val="00141666"/>
    <w:rsid w:val="00142E61"/>
    <w:rsid w:val="0014356E"/>
    <w:rsid w:val="001459C8"/>
    <w:rsid w:val="0014751F"/>
    <w:rsid w:val="00147D13"/>
    <w:rsid w:val="0015221C"/>
    <w:rsid w:val="001547A3"/>
    <w:rsid w:val="00157002"/>
    <w:rsid w:val="00157201"/>
    <w:rsid w:val="00161374"/>
    <w:rsid w:val="001626E9"/>
    <w:rsid w:val="00166FFF"/>
    <w:rsid w:val="0016781B"/>
    <w:rsid w:val="0017067E"/>
    <w:rsid w:val="00170E4A"/>
    <w:rsid w:val="00171434"/>
    <w:rsid w:val="001730EC"/>
    <w:rsid w:val="00174DE0"/>
    <w:rsid w:val="0017558E"/>
    <w:rsid w:val="0017688A"/>
    <w:rsid w:val="0017689A"/>
    <w:rsid w:val="00176C0A"/>
    <w:rsid w:val="001803D8"/>
    <w:rsid w:val="00180A9E"/>
    <w:rsid w:val="00182430"/>
    <w:rsid w:val="001829F6"/>
    <w:rsid w:val="00186264"/>
    <w:rsid w:val="00191E03"/>
    <w:rsid w:val="00193A5F"/>
    <w:rsid w:val="00194C5C"/>
    <w:rsid w:val="0019549B"/>
    <w:rsid w:val="00196284"/>
    <w:rsid w:val="0019785D"/>
    <w:rsid w:val="001A46CD"/>
    <w:rsid w:val="001A598E"/>
    <w:rsid w:val="001A5A66"/>
    <w:rsid w:val="001B01EC"/>
    <w:rsid w:val="001B11A1"/>
    <w:rsid w:val="001B56E2"/>
    <w:rsid w:val="001B5C7B"/>
    <w:rsid w:val="001B75BB"/>
    <w:rsid w:val="001C07F2"/>
    <w:rsid w:val="001C1CB4"/>
    <w:rsid w:val="001C2075"/>
    <w:rsid w:val="001C22C5"/>
    <w:rsid w:val="001C4470"/>
    <w:rsid w:val="001C5638"/>
    <w:rsid w:val="001C6D61"/>
    <w:rsid w:val="001D02C6"/>
    <w:rsid w:val="001D11B6"/>
    <w:rsid w:val="001D3D4C"/>
    <w:rsid w:val="001D4AD1"/>
    <w:rsid w:val="001D7BF0"/>
    <w:rsid w:val="001E0D72"/>
    <w:rsid w:val="001E1C27"/>
    <w:rsid w:val="001E1F24"/>
    <w:rsid w:val="001E600D"/>
    <w:rsid w:val="001E61FE"/>
    <w:rsid w:val="001F7272"/>
    <w:rsid w:val="002078BA"/>
    <w:rsid w:val="00212AF2"/>
    <w:rsid w:val="00214F2B"/>
    <w:rsid w:val="00215B71"/>
    <w:rsid w:val="002244F3"/>
    <w:rsid w:val="00226E9D"/>
    <w:rsid w:val="0022723C"/>
    <w:rsid w:val="00227660"/>
    <w:rsid w:val="002315CE"/>
    <w:rsid w:val="0023181A"/>
    <w:rsid w:val="0023271F"/>
    <w:rsid w:val="00233DBE"/>
    <w:rsid w:val="0023411B"/>
    <w:rsid w:val="00236BB9"/>
    <w:rsid w:val="00240235"/>
    <w:rsid w:val="002431E1"/>
    <w:rsid w:val="00243B1E"/>
    <w:rsid w:val="0024689B"/>
    <w:rsid w:val="00250ABB"/>
    <w:rsid w:val="00253122"/>
    <w:rsid w:val="00253DFC"/>
    <w:rsid w:val="00254B70"/>
    <w:rsid w:val="00254F5F"/>
    <w:rsid w:val="00255EAD"/>
    <w:rsid w:val="00260495"/>
    <w:rsid w:val="00260C86"/>
    <w:rsid w:val="00262C5D"/>
    <w:rsid w:val="0026415C"/>
    <w:rsid w:val="0026478F"/>
    <w:rsid w:val="002657CE"/>
    <w:rsid w:val="002677F9"/>
    <w:rsid w:val="002709B1"/>
    <w:rsid w:val="00271576"/>
    <w:rsid w:val="00271B47"/>
    <w:rsid w:val="0027393B"/>
    <w:rsid w:val="00274A1C"/>
    <w:rsid w:val="002752F3"/>
    <w:rsid w:val="00275E6C"/>
    <w:rsid w:val="002761F7"/>
    <w:rsid w:val="0027663A"/>
    <w:rsid w:val="00280E34"/>
    <w:rsid w:val="00281468"/>
    <w:rsid w:val="00282F25"/>
    <w:rsid w:val="00285500"/>
    <w:rsid w:val="0028719A"/>
    <w:rsid w:val="00291349"/>
    <w:rsid w:val="00292B44"/>
    <w:rsid w:val="002930E5"/>
    <w:rsid w:val="002948D1"/>
    <w:rsid w:val="002972EC"/>
    <w:rsid w:val="002A0347"/>
    <w:rsid w:val="002A0955"/>
    <w:rsid w:val="002A30A2"/>
    <w:rsid w:val="002A57C8"/>
    <w:rsid w:val="002A666A"/>
    <w:rsid w:val="002B07CD"/>
    <w:rsid w:val="002B1C24"/>
    <w:rsid w:val="002B2174"/>
    <w:rsid w:val="002B4E0A"/>
    <w:rsid w:val="002C1A1C"/>
    <w:rsid w:val="002C249E"/>
    <w:rsid w:val="002C3B41"/>
    <w:rsid w:val="002C4691"/>
    <w:rsid w:val="002C76F2"/>
    <w:rsid w:val="002D034E"/>
    <w:rsid w:val="002D0997"/>
    <w:rsid w:val="002D118A"/>
    <w:rsid w:val="002D478B"/>
    <w:rsid w:val="002D7511"/>
    <w:rsid w:val="002D7D25"/>
    <w:rsid w:val="002E0EDB"/>
    <w:rsid w:val="002E6692"/>
    <w:rsid w:val="002E753D"/>
    <w:rsid w:val="002F0DA2"/>
    <w:rsid w:val="002F24AD"/>
    <w:rsid w:val="002F284D"/>
    <w:rsid w:val="002F29B7"/>
    <w:rsid w:val="002F478A"/>
    <w:rsid w:val="002F499A"/>
    <w:rsid w:val="002F50F2"/>
    <w:rsid w:val="002F77A9"/>
    <w:rsid w:val="00300A5D"/>
    <w:rsid w:val="003026EA"/>
    <w:rsid w:val="00304C04"/>
    <w:rsid w:val="0030752F"/>
    <w:rsid w:val="003121FF"/>
    <w:rsid w:val="00312302"/>
    <w:rsid w:val="00313811"/>
    <w:rsid w:val="00313FE0"/>
    <w:rsid w:val="00314CE8"/>
    <w:rsid w:val="003168F9"/>
    <w:rsid w:val="00322464"/>
    <w:rsid w:val="0032312E"/>
    <w:rsid w:val="00323657"/>
    <w:rsid w:val="00323C75"/>
    <w:rsid w:val="0032764B"/>
    <w:rsid w:val="00331FD6"/>
    <w:rsid w:val="00332F5A"/>
    <w:rsid w:val="003344A9"/>
    <w:rsid w:val="0033467B"/>
    <w:rsid w:val="003362A4"/>
    <w:rsid w:val="003443C4"/>
    <w:rsid w:val="00345403"/>
    <w:rsid w:val="00345741"/>
    <w:rsid w:val="00345ECF"/>
    <w:rsid w:val="0034665F"/>
    <w:rsid w:val="00347BB8"/>
    <w:rsid w:val="00350483"/>
    <w:rsid w:val="00350519"/>
    <w:rsid w:val="00350E5F"/>
    <w:rsid w:val="003512D3"/>
    <w:rsid w:val="00353391"/>
    <w:rsid w:val="003562BE"/>
    <w:rsid w:val="00356583"/>
    <w:rsid w:val="0036004A"/>
    <w:rsid w:val="00360223"/>
    <w:rsid w:val="0036089C"/>
    <w:rsid w:val="00360B0F"/>
    <w:rsid w:val="00362082"/>
    <w:rsid w:val="003671FC"/>
    <w:rsid w:val="0036753B"/>
    <w:rsid w:val="00367DF8"/>
    <w:rsid w:val="00370535"/>
    <w:rsid w:val="00370A4A"/>
    <w:rsid w:val="00371C06"/>
    <w:rsid w:val="003740FD"/>
    <w:rsid w:val="00376248"/>
    <w:rsid w:val="00376E1E"/>
    <w:rsid w:val="00380F0D"/>
    <w:rsid w:val="00381255"/>
    <w:rsid w:val="0038196C"/>
    <w:rsid w:val="00381EA2"/>
    <w:rsid w:val="0038201D"/>
    <w:rsid w:val="0038238A"/>
    <w:rsid w:val="003835AB"/>
    <w:rsid w:val="003872B6"/>
    <w:rsid w:val="003879CF"/>
    <w:rsid w:val="00396BE0"/>
    <w:rsid w:val="0039702B"/>
    <w:rsid w:val="00397099"/>
    <w:rsid w:val="00397232"/>
    <w:rsid w:val="003A24B4"/>
    <w:rsid w:val="003A2F47"/>
    <w:rsid w:val="003A3E11"/>
    <w:rsid w:val="003A44F4"/>
    <w:rsid w:val="003B08AC"/>
    <w:rsid w:val="003B14B5"/>
    <w:rsid w:val="003B1E19"/>
    <w:rsid w:val="003B2475"/>
    <w:rsid w:val="003B304D"/>
    <w:rsid w:val="003B4DE4"/>
    <w:rsid w:val="003B5384"/>
    <w:rsid w:val="003B5E59"/>
    <w:rsid w:val="003B7479"/>
    <w:rsid w:val="003B7A84"/>
    <w:rsid w:val="003B7CF2"/>
    <w:rsid w:val="003C15D9"/>
    <w:rsid w:val="003C24AF"/>
    <w:rsid w:val="003C3773"/>
    <w:rsid w:val="003C3C2F"/>
    <w:rsid w:val="003C3E9F"/>
    <w:rsid w:val="003C5858"/>
    <w:rsid w:val="003C5C20"/>
    <w:rsid w:val="003C60A7"/>
    <w:rsid w:val="003C6BEB"/>
    <w:rsid w:val="003C7724"/>
    <w:rsid w:val="003D07A0"/>
    <w:rsid w:val="003E0A5D"/>
    <w:rsid w:val="003E3B75"/>
    <w:rsid w:val="003E53DD"/>
    <w:rsid w:val="003E73EB"/>
    <w:rsid w:val="003F0710"/>
    <w:rsid w:val="003F1CC3"/>
    <w:rsid w:val="003F21E3"/>
    <w:rsid w:val="003F222A"/>
    <w:rsid w:val="003F2AE2"/>
    <w:rsid w:val="003F3422"/>
    <w:rsid w:val="003F7E45"/>
    <w:rsid w:val="00405975"/>
    <w:rsid w:val="00407B6E"/>
    <w:rsid w:val="00410A8D"/>
    <w:rsid w:val="00411994"/>
    <w:rsid w:val="00412692"/>
    <w:rsid w:val="0041391D"/>
    <w:rsid w:val="00413D6D"/>
    <w:rsid w:val="00413D9F"/>
    <w:rsid w:val="00413E6F"/>
    <w:rsid w:val="00414980"/>
    <w:rsid w:val="004208E9"/>
    <w:rsid w:val="004227A4"/>
    <w:rsid w:val="00422C69"/>
    <w:rsid w:val="00426B31"/>
    <w:rsid w:val="00430342"/>
    <w:rsid w:val="004313D5"/>
    <w:rsid w:val="00432B70"/>
    <w:rsid w:val="00433604"/>
    <w:rsid w:val="004339A6"/>
    <w:rsid w:val="0043431D"/>
    <w:rsid w:val="00434809"/>
    <w:rsid w:val="00434FD1"/>
    <w:rsid w:val="004360A4"/>
    <w:rsid w:val="00440182"/>
    <w:rsid w:val="00440671"/>
    <w:rsid w:val="00443BC1"/>
    <w:rsid w:val="00444CC5"/>
    <w:rsid w:val="00444EE6"/>
    <w:rsid w:val="00445B12"/>
    <w:rsid w:val="004465C3"/>
    <w:rsid w:val="00446C06"/>
    <w:rsid w:val="00455F4F"/>
    <w:rsid w:val="00456790"/>
    <w:rsid w:val="00456C29"/>
    <w:rsid w:val="00456D6E"/>
    <w:rsid w:val="0045715F"/>
    <w:rsid w:val="00457BB0"/>
    <w:rsid w:val="00461360"/>
    <w:rsid w:val="0046538F"/>
    <w:rsid w:val="004656BC"/>
    <w:rsid w:val="00465DB2"/>
    <w:rsid w:val="00465EA1"/>
    <w:rsid w:val="0048029F"/>
    <w:rsid w:val="00481478"/>
    <w:rsid w:val="004820DC"/>
    <w:rsid w:val="004836F9"/>
    <w:rsid w:val="00485292"/>
    <w:rsid w:val="00486AFC"/>
    <w:rsid w:val="004874B0"/>
    <w:rsid w:val="00491F7B"/>
    <w:rsid w:val="004931FC"/>
    <w:rsid w:val="0049417F"/>
    <w:rsid w:val="00497914"/>
    <w:rsid w:val="004A1335"/>
    <w:rsid w:val="004A3598"/>
    <w:rsid w:val="004A48C1"/>
    <w:rsid w:val="004A6CF7"/>
    <w:rsid w:val="004A791D"/>
    <w:rsid w:val="004B1437"/>
    <w:rsid w:val="004B1552"/>
    <w:rsid w:val="004B329C"/>
    <w:rsid w:val="004B483E"/>
    <w:rsid w:val="004B4AFD"/>
    <w:rsid w:val="004B667A"/>
    <w:rsid w:val="004B6FD6"/>
    <w:rsid w:val="004B7252"/>
    <w:rsid w:val="004B7F01"/>
    <w:rsid w:val="004C2BE7"/>
    <w:rsid w:val="004C3AA7"/>
    <w:rsid w:val="004C48D9"/>
    <w:rsid w:val="004C48FD"/>
    <w:rsid w:val="004C5515"/>
    <w:rsid w:val="004C5F70"/>
    <w:rsid w:val="004C66C0"/>
    <w:rsid w:val="004C732A"/>
    <w:rsid w:val="004D08C7"/>
    <w:rsid w:val="004D19DB"/>
    <w:rsid w:val="004D1CBC"/>
    <w:rsid w:val="004D2FA1"/>
    <w:rsid w:val="004D4D60"/>
    <w:rsid w:val="004D5B7B"/>
    <w:rsid w:val="004D7D46"/>
    <w:rsid w:val="004E00B7"/>
    <w:rsid w:val="004E26EA"/>
    <w:rsid w:val="004E2D4C"/>
    <w:rsid w:val="004E3B29"/>
    <w:rsid w:val="004E4DEA"/>
    <w:rsid w:val="004E6AD3"/>
    <w:rsid w:val="004F0333"/>
    <w:rsid w:val="004F19ED"/>
    <w:rsid w:val="004F3CDF"/>
    <w:rsid w:val="004F5F77"/>
    <w:rsid w:val="0050002C"/>
    <w:rsid w:val="0050153F"/>
    <w:rsid w:val="00502E7C"/>
    <w:rsid w:val="0050566C"/>
    <w:rsid w:val="005059BD"/>
    <w:rsid w:val="00505FA7"/>
    <w:rsid w:val="005065DA"/>
    <w:rsid w:val="00507261"/>
    <w:rsid w:val="00507415"/>
    <w:rsid w:val="005104D9"/>
    <w:rsid w:val="00511DB0"/>
    <w:rsid w:val="00512919"/>
    <w:rsid w:val="00514A5C"/>
    <w:rsid w:val="0052152C"/>
    <w:rsid w:val="00521CB0"/>
    <w:rsid w:val="005248D8"/>
    <w:rsid w:val="005264E7"/>
    <w:rsid w:val="00527FBD"/>
    <w:rsid w:val="00531553"/>
    <w:rsid w:val="005322BF"/>
    <w:rsid w:val="00534433"/>
    <w:rsid w:val="00534DEB"/>
    <w:rsid w:val="0053637D"/>
    <w:rsid w:val="005404B1"/>
    <w:rsid w:val="005406C5"/>
    <w:rsid w:val="00544262"/>
    <w:rsid w:val="0054506D"/>
    <w:rsid w:val="00546979"/>
    <w:rsid w:val="00551BD4"/>
    <w:rsid w:val="00553637"/>
    <w:rsid w:val="00554780"/>
    <w:rsid w:val="005565DE"/>
    <w:rsid w:val="00556A89"/>
    <w:rsid w:val="005576DD"/>
    <w:rsid w:val="005612D0"/>
    <w:rsid w:val="00565D9A"/>
    <w:rsid w:val="00567B78"/>
    <w:rsid w:val="00567D14"/>
    <w:rsid w:val="005719A9"/>
    <w:rsid w:val="00574A93"/>
    <w:rsid w:val="00577927"/>
    <w:rsid w:val="005815F8"/>
    <w:rsid w:val="005846B1"/>
    <w:rsid w:val="00585137"/>
    <w:rsid w:val="00585685"/>
    <w:rsid w:val="00586A2D"/>
    <w:rsid w:val="00586A41"/>
    <w:rsid w:val="005876A2"/>
    <w:rsid w:val="00587903"/>
    <w:rsid w:val="00592D54"/>
    <w:rsid w:val="005949C1"/>
    <w:rsid w:val="005958DE"/>
    <w:rsid w:val="00597630"/>
    <w:rsid w:val="005A01A5"/>
    <w:rsid w:val="005A27DF"/>
    <w:rsid w:val="005A4D06"/>
    <w:rsid w:val="005A4D12"/>
    <w:rsid w:val="005A5004"/>
    <w:rsid w:val="005A6039"/>
    <w:rsid w:val="005A6A22"/>
    <w:rsid w:val="005A739A"/>
    <w:rsid w:val="005A7D83"/>
    <w:rsid w:val="005B2CDD"/>
    <w:rsid w:val="005B4240"/>
    <w:rsid w:val="005B44FC"/>
    <w:rsid w:val="005B5691"/>
    <w:rsid w:val="005B7573"/>
    <w:rsid w:val="005B7FC9"/>
    <w:rsid w:val="005C0017"/>
    <w:rsid w:val="005C010B"/>
    <w:rsid w:val="005C3D3B"/>
    <w:rsid w:val="005C3FDF"/>
    <w:rsid w:val="005C6A49"/>
    <w:rsid w:val="005C71A4"/>
    <w:rsid w:val="005D37E5"/>
    <w:rsid w:val="005D4904"/>
    <w:rsid w:val="005D69AE"/>
    <w:rsid w:val="005E0DE6"/>
    <w:rsid w:val="005E1877"/>
    <w:rsid w:val="005E3B02"/>
    <w:rsid w:val="005E4D47"/>
    <w:rsid w:val="005E6207"/>
    <w:rsid w:val="005F0CC3"/>
    <w:rsid w:val="005F0F11"/>
    <w:rsid w:val="005F4503"/>
    <w:rsid w:val="005F51EA"/>
    <w:rsid w:val="005F65FF"/>
    <w:rsid w:val="005F6839"/>
    <w:rsid w:val="005F6E31"/>
    <w:rsid w:val="005F778A"/>
    <w:rsid w:val="00600666"/>
    <w:rsid w:val="006028C1"/>
    <w:rsid w:val="00603D46"/>
    <w:rsid w:val="00604A10"/>
    <w:rsid w:val="00604CA3"/>
    <w:rsid w:val="00604F5D"/>
    <w:rsid w:val="00611AA5"/>
    <w:rsid w:val="00613F8D"/>
    <w:rsid w:val="00615872"/>
    <w:rsid w:val="006158D2"/>
    <w:rsid w:val="00616EC9"/>
    <w:rsid w:val="00617476"/>
    <w:rsid w:val="00623C10"/>
    <w:rsid w:val="00626703"/>
    <w:rsid w:val="00630387"/>
    <w:rsid w:val="006321B5"/>
    <w:rsid w:val="00633157"/>
    <w:rsid w:val="00633DFC"/>
    <w:rsid w:val="00634324"/>
    <w:rsid w:val="00640726"/>
    <w:rsid w:val="0064074F"/>
    <w:rsid w:val="00640FBB"/>
    <w:rsid w:val="006446F3"/>
    <w:rsid w:val="00644D68"/>
    <w:rsid w:val="00644ECE"/>
    <w:rsid w:val="0064516C"/>
    <w:rsid w:val="0065176C"/>
    <w:rsid w:val="006551E1"/>
    <w:rsid w:val="00656144"/>
    <w:rsid w:val="0065687A"/>
    <w:rsid w:val="00656A26"/>
    <w:rsid w:val="00662853"/>
    <w:rsid w:val="00663736"/>
    <w:rsid w:val="00664D3A"/>
    <w:rsid w:val="00664F68"/>
    <w:rsid w:val="006651C0"/>
    <w:rsid w:val="00665E2D"/>
    <w:rsid w:val="00666F52"/>
    <w:rsid w:val="00667232"/>
    <w:rsid w:val="00667800"/>
    <w:rsid w:val="006710DA"/>
    <w:rsid w:val="00672B51"/>
    <w:rsid w:val="006731DB"/>
    <w:rsid w:val="006751D4"/>
    <w:rsid w:val="00675888"/>
    <w:rsid w:val="00675906"/>
    <w:rsid w:val="006766D7"/>
    <w:rsid w:val="0067707F"/>
    <w:rsid w:val="00677138"/>
    <w:rsid w:val="00677AFB"/>
    <w:rsid w:val="00677BB3"/>
    <w:rsid w:val="00680878"/>
    <w:rsid w:val="00682B20"/>
    <w:rsid w:val="00682D8B"/>
    <w:rsid w:val="0068514D"/>
    <w:rsid w:val="0069061B"/>
    <w:rsid w:val="00692774"/>
    <w:rsid w:val="00693C47"/>
    <w:rsid w:val="00696779"/>
    <w:rsid w:val="006A06F5"/>
    <w:rsid w:val="006A12B0"/>
    <w:rsid w:val="006A2B97"/>
    <w:rsid w:val="006A3017"/>
    <w:rsid w:val="006A5288"/>
    <w:rsid w:val="006A7B4D"/>
    <w:rsid w:val="006B0B6A"/>
    <w:rsid w:val="006B1AEA"/>
    <w:rsid w:val="006B222F"/>
    <w:rsid w:val="006B4032"/>
    <w:rsid w:val="006B5DBE"/>
    <w:rsid w:val="006B72FE"/>
    <w:rsid w:val="006B7BEA"/>
    <w:rsid w:val="006B7E6B"/>
    <w:rsid w:val="006C01FB"/>
    <w:rsid w:val="006C100B"/>
    <w:rsid w:val="006C1ED6"/>
    <w:rsid w:val="006C451A"/>
    <w:rsid w:val="006C5031"/>
    <w:rsid w:val="006D2E39"/>
    <w:rsid w:val="006D3004"/>
    <w:rsid w:val="006D3573"/>
    <w:rsid w:val="006D466D"/>
    <w:rsid w:val="006D5F64"/>
    <w:rsid w:val="006E23E4"/>
    <w:rsid w:val="006E506E"/>
    <w:rsid w:val="006E5357"/>
    <w:rsid w:val="006E5EF7"/>
    <w:rsid w:val="006E6BBB"/>
    <w:rsid w:val="006F2B31"/>
    <w:rsid w:val="006F34AD"/>
    <w:rsid w:val="006F5810"/>
    <w:rsid w:val="006F697F"/>
    <w:rsid w:val="006F7C12"/>
    <w:rsid w:val="0070047D"/>
    <w:rsid w:val="00702D56"/>
    <w:rsid w:val="00705939"/>
    <w:rsid w:val="007064B0"/>
    <w:rsid w:val="0070787A"/>
    <w:rsid w:val="0071069B"/>
    <w:rsid w:val="007120F4"/>
    <w:rsid w:val="007126C9"/>
    <w:rsid w:val="007157AD"/>
    <w:rsid w:val="00717DBC"/>
    <w:rsid w:val="0072094E"/>
    <w:rsid w:val="007223AC"/>
    <w:rsid w:val="00725073"/>
    <w:rsid w:val="007251E7"/>
    <w:rsid w:val="007274D6"/>
    <w:rsid w:val="00727B82"/>
    <w:rsid w:val="0073016B"/>
    <w:rsid w:val="007312A4"/>
    <w:rsid w:val="00731606"/>
    <w:rsid w:val="00733038"/>
    <w:rsid w:val="00734792"/>
    <w:rsid w:val="00734B29"/>
    <w:rsid w:val="00736614"/>
    <w:rsid w:val="00736E52"/>
    <w:rsid w:val="0073750C"/>
    <w:rsid w:val="00742149"/>
    <w:rsid w:val="00742387"/>
    <w:rsid w:val="00742D72"/>
    <w:rsid w:val="007438FC"/>
    <w:rsid w:val="00744BCC"/>
    <w:rsid w:val="00745742"/>
    <w:rsid w:val="00746111"/>
    <w:rsid w:val="00750840"/>
    <w:rsid w:val="007512FE"/>
    <w:rsid w:val="00751570"/>
    <w:rsid w:val="007520A7"/>
    <w:rsid w:val="00752626"/>
    <w:rsid w:val="007529AC"/>
    <w:rsid w:val="00752AC3"/>
    <w:rsid w:val="007555BB"/>
    <w:rsid w:val="00756065"/>
    <w:rsid w:val="007562CF"/>
    <w:rsid w:val="00762262"/>
    <w:rsid w:val="00762B83"/>
    <w:rsid w:val="00762CFB"/>
    <w:rsid w:val="00763068"/>
    <w:rsid w:val="007657BC"/>
    <w:rsid w:val="00767C85"/>
    <w:rsid w:val="00767FE4"/>
    <w:rsid w:val="00770889"/>
    <w:rsid w:val="007708EE"/>
    <w:rsid w:val="00770DB1"/>
    <w:rsid w:val="00771516"/>
    <w:rsid w:val="00771C41"/>
    <w:rsid w:val="00774B2C"/>
    <w:rsid w:val="0077530F"/>
    <w:rsid w:val="00777C49"/>
    <w:rsid w:val="00781D03"/>
    <w:rsid w:val="00782565"/>
    <w:rsid w:val="007826DA"/>
    <w:rsid w:val="0078416D"/>
    <w:rsid w:val="00787D1E"/>
    <w:rsid w:val="00787E2A"/>
    <w:rsid w:val="007900A1"/>
    <w:rsid w:val="0079177A"/>
    <w:rsid w:val="0079334D"/>
    <w:rsid w:val="007A098E"/>
    <w:rsid w:val="007A0ED6"/>
    <w:rsid w:val="007A3522"/>
    <w:rsid w:val="007A510A"/>
    <w:rsid w:val="007B2166"/>
    <w:rsid w:val="007B39E2"/>
    <w:rsid w:val="007B3E0D"/>
    <w:rsid w:val="007B5449"/>
    <w:rsid w:val="007B577F"/>
    <w:rsid w:val="007C0408"/>
    <w:rsid w:val="007C0882"/>
    <w:rsid w:val="007C1560"/>
    <w:rsid w:val="007C3B3D"/>
    <w:rsid w:val="007C3C6C"/>
    <w:rsid w:val="007C5EF7"/>
    <w:rsid w:val="007C609C"/>
    <w:rsid w:val="007C626C"/>
    <w:rsid w:val="007C76B2"/>
    <w:rsid w:val="007C7FFC"/>
    <w:rsid w:val="007D02D8"/>
    <w:rsid w:val="007D3FCA"/>
    <w:rsid w:val="007D4389"/>
    <w:rsid w:val="007D6EF6"/>
    <w:rsid w:val="007E014B"/>
    <w:rsid w:val="007E019E"/>
    <w:rsid w:val="007E08EF"/>
    <w:rsid w:val="007E12A5"/>
    <w:rsid w:val="007E1621"/>
    <w:rsid w:val="007E2002"/>
    <w:rsid w:val="007E2F6E"/>
    <w:rsid w:val="007E3356"/>
    <w:rsid w:val="007E5866"/>
    <w:rsid w:val="007E5EFA"/>
    <w:rsid w:val="007F11B0"/>
    <w:rsid w:val="007F5369"/>
    <w:rsid w:val="007F53BC"/>
    <w:rsid w:val="007F6236"/>
    <w:rsid w:val="007F6A6D"/>
    <w:rsid w:val="007F76F3"/>
    <w:rsid w:val="00800407"/>
    <w:rsid w:val="008004AF"/>
    <w:rsid w:val="00800531"/>
    <w:rsid w:val="00800DBB"/>
    <w:rsid w:val="0080363F"/>
    <w:rsid w:val="00805FC3"/>
    <w:rsid w:val="00806B06"/>
    <w:rsid w:val="00811F6D"/>
    <w:rsid w:val="00812451"/>
    <w:rsid w:val="00812CCB"/>
    <w:rsid w:val="0081593B"/>
    <w:rsid w:val="00817338"/>
    <w:rsid w:val="008173DD"/>
    <w:rsid w:val="00817FA2"/>
    <w:rsid w:val="00824357"/>
    <w:rsid w:val="00824530"/>
    <w:rsid w:val="00824874"/>
    <w:rsid w:val="00837215"/>
    <w:rsid w:val="0084026D"/>
    <w:rsid w:val="00841670"/>
    <w:rsid w:val="00847086"/>
    <w:rsid w:val="00847D40"/>
    <w:rsid w:val="00847E80"/>
    <w:rsid w:val="00851196"/>
    <w:rsid w:val="008521A0"/>
    <w:rsid w:val="00854121"/>
    <w:rsid w:val="008544C3"/>
    <w:rsid w:val="008553C4"/>
    <w:rsid w:val="00855925"/>
    <w:rsid w:val="00855A25"/>
    <w:rsid w:val="00855C20"/>
    <w:rsid w:val="008623DE"/>
    <w:rsid w:val="00862C2C"/>
    <w:rsid w:val="00864142"/>
    <w:rsid w:val="00864D82"/>
    <w:rsid w:val="008678DF"/>
    <w:rsid w:val="0087220D"/>
    <w:rsid w:val="00872968"/>
    <w:rsid w:val="00875426"/>
    <w:rsid w:val="00877D26"/>
    <w:rsid w:val="00880ECC"/>
    <w:rsid w:val="00881786"/>
    <w:rsid w:val="00882B44"/>
    <w:rsid w:val="00886454"/>
    <w:rsid w:val="0088724E"/>
    <w:rsid w:val="008915D8"/>
    <w:rsid w:val="00891812"/>
    <w:rsid w:val="00894A00"/>
    <w:rsid w:val="008969EE"/>
    <w:rsid w:val="00897EBC"/>
    <w:rsid w:val="00897ED4"/>
    <w:rsid w:val="008A0A54"/>
    <w:rsid w:val="008A0DE5"/>
    <w:rsid w:val="008A11A5"/>
    <w:rsid w:val="008A2448"/>
    <w:rsid w:val="008A34D8"/>
    <w:rsid w:val="008A43B0"/>
    <w:rsid w:val="008A5CF1"/>
    <w:rsid w:val="008A7FE7"/>
    <w:rsid w:val="008B0173"/>
    <w:rsid w:val="008B051C"/>
    <w:rsid w:val="008B3C09"/>
    <w:rsid w:val="008B4793"/>
    <w:rsid w:val="008B5A9B"/>
    <w:rsid w:val="008B5CE3"/>
    <w:rsid w:val="008B5E9F"/>
    <w:rsid w:val="008B7CA3"/>
    <w:rsid w:val="008C3618"/>
    <w:rsid w:val="008C6552"/>
    <w:rsid w:val="008C7BC4"/>
    <w:rsid w:val="008C7C98"/>
    <w:rsid w:val="008D2BDB"/>
    <w:rsid w:val="008D2C12"/>
    <w:rsid w:val="008D3A8E"/>
    <w:rsid w:val="008D4EB2"/>
    <w:rsid w:val="008D5C7E"/>
    <w:rsid w:val="008D7FF6"/>
    <w:rsid w:val="008E2DE6"/>
    <w:rsid w:val="008E4DB9"/>
    <w:rsid w:val="008E6366"/>
    <w:rsid w:val="008E6F96"/>
    <w:rsid w:val="008F3263"/>
    <w:rsid w:val="008F538D"/>
    <w:rsid w:val="008F5DC7"/>
    <w:rsid w:val="008F5E0C"/>
    <w:rsid w:val="008F6E67"/>
    <w:rsid w:val="00901496"/>
    <w:rsid w:val="009027B7"/>
    <w:rsid w:val="009037C3"/>
    <w:rsid w:val="0090742B"/>
    <w:rsid w:val="00907C9C"/>
    <w:rsid w:val="009120BD"/>
    <w:rsid w:val="009134A5"/>
    <w:rsid w:val="00914A20"/>
    <w:rsid w:val="00915AB3"/>
    <w:rsid w:val="009169A6"/>
    <w:rsid w:val="00921C59"/>
    <w:rsid w:val="00923E70"/>
    <w:rsid w:val="00930D2F"/>
    <w:rsid w:val="00931D96"/>
    <w:rsid w:val="0093273D"/>
    <w:rsid w:val="00937ABC"/>
    <w:rsid w:val="0094125F"/>
    <w:rsid w:val="009416F1"/>
    <w:rsid w:val="00945432"/>
    <w:rsid w:val="009455C0"/>
    <w:rsid w:val="009477E8"/>
    <w:rsid w:val="00950440"/>
    <w:rsid w:val="00950EAE"/>
    <w:rsid w:val="00951012"/>
    <w:rsid w:val="00951F87"/>
    <w:rsid w:val="009524DF"/>
    <w:rsid w:val="00952C71"/>
    <w:rsid w:val="00954CCF"/>
    <w:rsid w:val="0095798A"/>
    <w:rsid w:val="00957AE7"/>
    <w:rsid w:val="009608E9"/>
    <w:rsid w:val="00960FC8"/>
    <w:rsid w:val="00961F22"/>
    <w:rsid w:val="00962306"/>
    <w:rsid w:val="00962ECA"/>
    <w:rsid w:val="00965155"/>
    <w:rsid w:val="00965D68"/>
    <w:rsid w:val="009662EF"/>
    <w:rsid w:val="00967EC9"/>
    <w:rsid w:val="00970E2B"/>
    <w:rsid w:val="00971527"/>
    <w:rsid w:val="0097165F"/>
    <w:rsid w:val="00971D17"/>
    <w:rsid w:val="00971F97"/>
    <w:rsid w:val="00973562"/>
    <w:rsid w:val="0097540D"/>
    <w:rsid w:val="00975ADB"/>
    <w:rsid w:val="00976231"/>
    <w:rsid w:val="00977350"/>
    <w:rsid w:val="00977993"/>
    <w:rsid w:val="00980541"/>
    <w:rsid w:val="00981678"/>
    <w:rsid w:val="009842A3"/>
    <w:rsid w:val="00985106"/>
    <w:rsid w:val="00985D35"/>
    <w:rsid w:val="009877B7"/>
    <w:rsid w:val="0098794B"/>
    <w:rsid w:val="00990A31"/>
    <w:rsid w:val="009911B4"/>
    <w:rsid w:val="00991EEA"/>
    <w:rsid w:val="00994697"/>
    <w:rsid w:val="00994E16"/>
    <w:rsid w:val="009974EF"/>
    <w:rsid w:val="009A1D95"/>
    <w:rsid w:val="009B102A"/>
    <w:rsid w:val="009B4B9A"/>
    <w:rsid w:val="009B59C3"/>
    <w:rsid w:val="009B6C25"/>
    <w:rsid w:val="009C0463"/>
    <w:rsid w:val="009C297E"/>
    <w:rsid w:val="009C2AAF"/>
    <w:rsid w:val="009C2C92"/>
    <w:rsid w:val="009D2F6F"/>
    <w:rsid w:val="009D3F14"/>
    <w:rsid w:val="009D50BD"/>
    <w:rsid w:val="009D5F66"/>
    <w:rsid w:val="009D63A0"/>
    <w:rsid w:val="009E01A4"/>
    <w:rsid w:val="009E1A06"/>
    <w:rsid w:val="009E447F"/>
    <w:rsid w:val="009E6D75"/>
    <w:rsid w:val="009E7CCB"/>
    <w:rsid w:val="009F1A8C"/>
    <w:rsid w:val="009F25C5"/>
    <w:rsid w:val="009F50EB"/>
    <w:rsid w:val="009F6ACA"/>
    <w:rsid w:val="00A00231"/>
    <w:rsid w:val="00A010B4"/>
    <w:rsid w:val="00A01488"/>
    <w:rsid w:val="00A02883"/>
    <w:rsid w:val="00A02CB3"/>
    <w:rsid w:val="00A02F7A"/>
    <w:rsid w:val="00A04630"/>
    <w:rsid w:val="00A0467E"/>
    <w:rsid w:val="00A04710"/>
    <w:rsid w:val="00A04878"/>
    <w:rsid w:val="00A04BC7"/>
    <w:rsid w:val="00A05C6C"/>
    <w:rsid w:val="00A07ABF"/>
    <w:rsid w:val="00A108F9"/>
    <w:rsid w:val="00A115D6"/>
    <w:rsid w:val="00A143C3"/>
    <w:rsid w:val="00A1679B"/>
    <w:rsid w:val="00A20226"/>
    <w:rsid w:val="00A23274"/>
    <w:rsid w:val="00A2327B"/>
    <w:rsid w:val="00A24729"/>
    <w:rsid w:val="00A26521"/>
    <w:rsid w:val="00A27686"/>
    <w:rsid w:val="00A31721"/>
    <w:rsid w:val="00A33B77"/>
    <w:rsid w:val="00A34F36"/>
    <w:rsid w:val="00A36850"/>
    <w:rsid w:val="00A37208"/>
    <w:rsid w:val="00A373A6"/>
    <w:rsid w:val="00A414B5"/>
    <w:rsid w:val="00A41AF4"/>
    <w:rsid w:val="00A44E6F"/>
    <w:rsid w:val="00A4625D"/>
    <w:rsid w:val="00A47796"/>
    <w:rsid w:val="00A50D53"/>
    <w:rsid w:val="00A512A9"/>
    <w:rsid w:val="00A529EC"/>
    <w:rsid w:val="00A53D68"/>
    <w:rsid w:val="00A543F4"/>
    <w:rsid w:val="00A56676"/>
    <w:rsid w:val="00A61186"/>
    <w:rsid w:val="00A64576"/>
    <w:rsid w:val="00A64FF3"/>
    <w:rsid w:val="00A66D26"/>
    <w:rsid w:val="00A7122E"/>
    <w:rsid w:val="00A72086"/>
    <w:rsid w:val="00A76F5F"/>
    <w:rsid w:val="00A80102"/>
    <w:rsid w:val="00A809CD"/>
    <w:rsid w:val="00A82609"/>
    <w:rsid w:val="00A82620"/>
    <w:rsid w:val="00A82A7F"/>
    <w:rsid w:val="00A83477"/>
    <w:rsid w:val="00A842E5"/>
    <w:rsid w:val="00A90277"/>
    <w:rsid w:val="00A9066B"/>
    <w:rsid w:val="00A9129A"/>
    <w:rsid w:val="00AA0B62"/>
    <w:rsid w:val="00AA22EA"/>
    <w:rsid w:val="00AA3C53"/>
    <w:rsid w:val="00AA4904"/>
    <w:rsid w:val="00AA5C8C"/>
    <w:rsid w:val="00AA782E"/>
    <w:rsid w:val="00AA7A98"/>
    <w:rsid w:val="00AB1C69"/>
    <w:rsid w:val="00AB372C"/>
    <w:rsid w:val="00AB3B7A"/>
    <w:rsid w:val="00AB4EEC"/>
    <w:rsid w:val="00AB50C5"/>
    <w:rsid w:val="00AB548A"/>
    <w:rsid w:val="00AB570A"/>
    <w:rsid w:val="00AC1663"/>
    <w:rsid w:val="00AC1BB0"/>
    <w:rsid w:val="00AC26C3"/>
    <w:rsid w:val="00AC4B05"/>
    <w:rsid w:val="00AC59F5"/>
    <w:rsid w:val="00AC6838"/>
    <w:rsid w:val="00AC7057"/>
    <w:rsid w:val="00AE035A"/>
    <w:rsid w:val="00AE5150"/>
    <w:rsid w:val="00AE7FA3"/>
    <w:rsid w:val="00AF262B"/>
    <w:rsid w:val="00AF3DF5"/>
    <w:rsid w:val="00AF7778"/>
    <w:rsid w:val="00AF783D"/>
    <w:rsid w:val="00B001D2"/>
    <w:rsid w:val="00B0150E"/>
    <w:rsid w:val="00B0287C"/>
    <w:rsid w:val="00B04ADA"/>
    <w:rsid w:val="00B0702D"/>
    <w:rsid w:val="00B07810"/>
    <w:rsid w:val="00B1095E"/>
    <w:rsid w:val="00B112EC"/>
    <w:rsid w:val="00B12FAD"/>
    <w:rsid w:val="00B13594"/>
    <w:rsid w:val="00B1610F"/>
    <w:rsid w:val="00B16515"/>
    <w:rsid w:val="00B1671E"/>
    <w:rsid w:val="00B16F56"/>
    <w:rsid w:val="00B17BA4"/>
    <w:rsid w:val="00B26182"/>
    <w:rsid w:val="00B26AD5"/>
    <w:rsid w:val="00B27CED"/>
    <w:rsid w:val="00B30BD2"/>
    <w:rsid w:val="00B30E43"/>
    <w:rsid w:val="00B33DF7"/>
    <w:rsid w:val="00B34C84"/>
    <w:rsid w:val="00B3508C"/>
    <w:rsid w:val="00B4035C"/>
    <w:rsid w:val="00B43ADE"/>
    <w:rsid w:val="00B44759"/>
    <w:rsid w:val="00B459FE"/>
    <w:rsid w:val="00B46580"/>
    <w:rsid w:val="00B46919"/>
    <w:rsid w:val="00B473BB"/>
    <w:rsid w:val="00B52A36"/>
    <w:rsid w:val="00B52FB1"/>
    <w:rsid w:val="00B5496E"/>
    <w:rsid w:val="00B5685F"/>
    <w:rsid w:val="00B57993"/>
    <w:rsid w:val="00B60B04"/>
    <w:rsid w:val="00B60E28"/>
    <w:rsid w:val="00B612B5"/>
    <w:rsid w:val="00B62E97"/>
    <w:rsid w:val="00B676B8"/>
    <w:rsid w:val="00B716BD"/>
    <w:rsid w:val="00B72BCF"/>
    <w:rsid w:val="00B72BF4"/>
    <w:rsid w:val="00B73878"/>
    <w:rsid w:val="00B739D4"/>
    <w:rsid w:val="00B74171"/>
    <w:rsid w:val="00B7512C"/>
    <w:rsid w:val="00B76873"/>
    <w:rsid w:val="00B80806"/>
    <w:rsid w:val="00B80987"/>
    <w:rsid w:val="00B80FBD"/>
    <w:rsid w:val="00B825AC"/>
    <w:rsid w:val="00B8325A"/>
    <w:rsid w:val="00B83EFA"/>
    <w:rsid w:val="00B8671F"/>
    <w:rsid w:val="00B937BE"/>
    <w:rsid w:val="00B93B1D"/>
    <w:rsid w:val="00B94355"/>
    <w:rsid w:val="00B94B42"/>
    <w:rsid w:val="00B95844"/>
    <w:rsid w:val="00BA55B4"/>
    <w:rsid w:val="00BA5C77"/>
    <w:rsid w:val="00BA61F3"/>
    <w:rsid w:val="00BB17A6"/>
    <w:rsid w:val="00BB2637"/>
    <w:rsid w:val="00BB3145"/>
    <w:rsid w:val="00BB7A1E"/>
    <w:rsid w:val="00BB7B4F"/>
    <w:rsid w:val="00BC0922"/>
    <w:rsid w:val="00BC33D3"/>
    <w:rsid w:val="00BC3C2A"/>
    <w:rsid w:val="00BC5217"/>
    <w:rsid w:val="00BC53AC"/>
    <w:rsid w:val="00BD08AF"/>
    <w:rsid w:val="00BD6939"/>
    <w:rsid w:val="00BD6D95"/>
    <w:rsid w:val="00BD767B"/>
    <w:rsid w:val="00BE0A8B"/>
    <w:rsid w:val="00BE331E"/>
    <w:rsid w:val="00BE3A87"/>
    <w:rsid w:val="00BE40E9"/>
    <w:rsid w:val="00BE457D"/>
    <w:rsid w:val="00BE4BE4"/>
    <w:rsid w:val="00BE4F9C"/>
    <w:rsid w:val="00BE5F83"/>
    <w:rsid w:val="00BE627B"/>
    <w:rsid w:val="00BE6BB8"/>
    <w:rsid w:val="00BE6C82"/>
    <w:rsid w:val="00BE6F57"/>
    <w:rsid w:val="00BE71A5"/>
    <w:rsid w:val="00BE7CB1"/>
    <w:rsid w:val="00BF181D"/>
    <w:rsid w:val="00BF1DF0"/>
    <w:rsid w:val="00BF21A6"/>
    <w:rsid w:val="00BF3CF3"/>
    <w:rsid w:val="00BF49BB"/>
    <w:rsid w:val="00BF5669"/>
    <w:rsid w:val="00C005BF"/>
    <w:rsid w:val="00C02AA6"/>
    <w:rsid w:val="00C0343C"/>
    <w:rsid w:val="00C035FF"/>
    <w:rsid w:val="00C0711E"/>
    <w:rsid w:val="00C073C4"/>
    <w:rsid w:val="00C13DDB"/>
    <w:rsid w:val="00C15C15"/>
    <w:rsid w:val="00C15FA2"/>
    <w:rsid w:val="00C20DD6"/>
    <w:rsid w:val="00C223F8"/>
    <w:rsid w:val="00C23A34"/>
    <w:rsid w:val="00C246DF"/>
    <w:rsid w:val="00C2474C"/>
    <w:rsid w:val="00C24A53"/>
    <w:rsid w:val="00C2606C"/>
    <w:rsid w:val="00C261C1"/>
    <w:rsid w:val="00C271A0"/>
    <w:rsid w:val="00C3002F"/>
    <w:rsid w:val="00C31365"/>
    <w:rsid w:val="00C31AA5"/>
    <w:rsid w:val="00C32B0F"/>
    <w:rsid w:val="00C3473A"/>
    <w:rsid w:val="00C40D04"/>
    <w:rsid w:val="00C42AD1"/>
    <w:rsid w:val="00C441F3"/>
    <w:rsid w:val="00C45AB8"/>
    <w:rsid w:val="00C504C9"/>
    <w:rsid w:val="00C5127A"/>
    <w:rsid w:val="00C55BD3"/>
    <w:rsid w:val="00C6092B"/>
    <w:rsid w:val="00C61357"/>
    <w:rsid w:val="00C615C7"/>
    <w:rsid w:val="00C64C8B"/>
    <w:rsid w:val="00C666D5"/>
    <w:rsid w:val="00C678FF"/>
    <w:rsid w:val="00C74503"/>
    <w:rsid w:val="00C750F6"/>
    <w:rsid w:val="00C7698B"/>
    <w:rsid w:val="00C76BF4"/>
    <w:rsid w:val="00C8187F"/>
    <w:rsid w:val="00C81A4D"/>
    <w:rsid w:val="00C842D2"/>
    <w:rsid w:val="00C84DF2"/>
    <w:rsid w:val="00C86F70"/>
    <w:rsid w:val="00C873A6"/>
    <w:rsid w:val="00C8743A"/>
    <w:rsid w:val="00C90A7F"/>
    <w:rsid w:val="00C913CE"/>
    <w:rsid w:val="00C91FCA"/>
    <w:rsid w:val="00C92611"/>
    <w:rsid w:val="00C961ED"/>
    <w:rsid w:val="00C9668E"/>
    <w:rsid w:val="00CA03F5"/>
    <w:rsid w:val="00CA1320"/>
    <w:rsid w:val="00CA1AE5"/>
    <w:rsid w:val="00CA35CB"/>
    <w:rsid w:val="00CA3E8F"/>
    <w:rsid w:val="00CA5261"/>
    <w:rsid w:val="00CA6D52"/>
    <w:rsid w:val="00CA7BE2"/>
    <w:rsid w:val="00CB22D9"/>
    <w:rsid w:val="00CB4A68"/>
    <w:rsid w:val="00CB7B80"/>
    <w:rsid w:val="00CC2240"/>
    <w:rsid w:val="00CC2798"/>
    <w:rsid w:val="00CC48AC"/>
    <w:rsid w:val="00CC49D1"/>
    <w:rsid w:val="00CC563E"/>
    <w:rsid w:val="00CC738B"/>
    <w:rsid w:val="00CD0CB4"/>
    <w:rsid w:val="00CD1393"/>
    <w:rsid w:val="00CD54EE"/>
    <w:rsid w:val="00CD71A9"/>
    <w:rsid w:val="00CD7588"/>
    <w:rsid w:val="00CD79E5"/>
    <w:rsid w:val="00CE072E"/>
    <w:rsid w:val="00CE20AC"/>
    <w:rsid w:val="00CE2766"/>
    <w:rsid w:val="00CE39BF"/>
    <w:rsid w:val="00CE5FAD"/>
    <w:rsid w:val="00CE663B"/>
    <w:rsid w:val="00CF7D51"/>
    <w:rsid w:val="00D00312"/>
    <w:rsid w:val="00D02CCA"/>
    <w:rsid w:val="00D03774"/>
    <w:rsid w:val="00D0454A"/>
    <w:rsid w:val="00D10214"/>
    <w:rsid w:val="00D127C8"/>
    <w:rsid w:val="00D13F8C"/>
    <w:rsid w:val="00D15E0C"/>
    <w:rsid w:val="00D16327"/>
    <w:rsid w:val="00D17E1B"/>
    <w:rsid w:val="00D2031C"/>
    <w:rsid w:val="00D22B84"/>
    <w:rsid w:val="00D22D40"/>
    <w:rsid w:val="00D2338E"/>
    <w:rsid w:val="00D2342C"/>
    <w:rsid w:val="00D239E8"/>
    <w:rsid w:val="00D26FFB"/>
    <w:rsid w:val="00D30881"/>
    <w:rsid w:val="00D32C0D"/>
    <w:rsid w:val="00D344C3"/>
    <w:rsid w:val="00D3547C"/>
    <w:rsid w:val="00D355C8"/>
    <w:rsid w:val="00D42E5C"/>
    <w:rsid w:val="00D46001"/>
    <w:rsid w:val="00D50B27"/>
    <w:rsid w:val="00D544FC"/>
    <w:rsid w:val="00D57EAA"/>
    <w:rsid w:val="00D61D96"/>
    <w:rsid w:val="00D6285F"/>
    <w:rsid w:val="00D62FE3"/>
    <w:rsid w:val="00D724C4"/>
    <w:rsid w:val="00D73105"/>
    <w:rsid w:val="00D8276B"/>
    <w:rsid w:val="00D82E6B"/>
    <w:rsid w:val="00D84BBD"/>
    <w:rsid w:val="00D86ECB"/>
    <w:rsid w:val="00D9011D"/>
    <w:rsid w:val="00D914A1"/>
    <w:rsid w:val="00D91771"/>
    <w:rsid w:val="00D95240"/>
    <w:rsid w:val="00DA0418"/>
    <w:rsid w:val="00DA0566"/>
    <w:rsid w:val="00DA17B4"/>
    <w:rsid w:val="00DA56F8"/>
    <w:rsid w:val="00DA7F7B"/>
    <w:rsid w:val="00DB08E9"/>
    <w:rsid w:val="00DB2877"/>
    <w:rsid w:val="00DB2C23"/>
    <w:rsid w:val="00DB3024"/>
    <w:rsid w:val="00DB5D93"/>
    <w:rsid w:val="00DB7CF1"/>
    <w:rsid w:val="00DC1BAE"/>
    <w:rsid w:val="00DC3342"/>
    <w:rsid w:val="00DC3B46"/>
    <w:rsid w:val="00DC4B13"/>
    <w:rsid w:val="00DC4E4F"/>
    <w:rsid w:val="00DD1215"/>
    <w:rsid w:val="00DD2689"/>
    <w:rsid w:val="00DD26CD"/>
    <w:rsid w:val="00DD27DD"/>
    <w:rsid w:val="00DD28D3"/>
    <w:rsid w:val="00DD2B05"/>
    <w:rsid w:val="00DD2C3C"/>
    <w:rsid w:val="00DD3FB9"/>
    <w:rsid w:val="00DD5964"/>
    <w:rsid w:val="00DE1C63"/>
    <w:rsid w:val="00DE3CFE"/>
    <w:rsid w:val="00DE43E3"/>
    <w:rsid w:val="00DE555B"/>
    <w:rsid w:val="00DE677F"/>
    <w:rsid w:val="00DE6B5E"/>
    <w:rsid w:val="00DE6DCA"/>
    <w:rsid w:val="00DF00F4"/>
    <w:rsid w:val="00DF022D"/>
    <w:rsid w:val="00DF27A8"/>
    <w:rsid w:val="00DF294C"/>
    <w:rsid w:val="00DF36E5"/>
    <w:rsid w:val="00DF41D7"/>
    <w:rsid w:val="00DF4200"/>
    <w:rsid w:val="00DF4281"/>
    <w:rsid w:val="00DF51B7"/>
    <w:rsid w:val="00DF66B2"/>
    <w:rsid w:val="00E00A34"/>
    <w:rsid w:val="00E02541"/>
    <w:rsid w:val="00E02607"/>
    <w:rsid w:val="00E027DE"/>
    <w:rsid w:val="00E039A4"/>
    <w:rsid w:val="00E0535D"/>
    <w:rsid w:val="00E05BAD"/>
    <w:rsid w:val="00E071AA"/>
    <w:rsid w:val="00E111B8"/>
    <w:rsid w:val="00E1166F"/>
    <w:rsid w:val="00E1229E"/>
    <w:rsid w:val="00E1326F"/>
    <w:rsid w:val="00E13D7B"/>
    <w:rsid w:val="00E171C5"/>
    <w:rsid w:val="00E17C01"/>
    <w:rsid w:val="00E20CC8"/>
    <w:rsid w:val="00E2168C"/>
    <w:rsid w:val="00E25B26"/>
    <w:rsid w:val="00E25EBA"/>
    <w:rsid w:val="00E272BE"/>
    <w:rsid w:val="00E347F6"/>
    <w:rsid w:val="00E35F1D"/>
    <w:rsid w:val="00E36194"/>
    <w:rsid w:val="00E37F9F"/>
    <w:rsid w:val="00E41BE6"/>
    <w:rsid w:val="00E430FD"/>
    <w:rsid w:val="00E45300"/>
    <w:rsid w:val="00E45376"/>
    <w:rsid w:val="00E4613A"/>
    <w:rsid w:val="00E51E1D"/>
    <w:rsid w:val="00E531D8"/>
    <w:rsid w:val="00E5384F"/>
    <w:rsid w:val="00E54B51"/>
    <w:rsid w:val="00E600A0"/>
    <w:rsid w:val="00E60481"/>
    <w:rsid w:val="00E640E9"/>
    <w:rsid w:val="00E651E2"/>
    <w:rsid w:val="00E6522F"/>
    <w:rsid w:val="00E713A1"/>
    <w:rsid w:val="00E718FF"/>
    <w:rsid w:val="00E720A6"/>
    <w:rsid w:val="00E723CC"/>
    <w:rsid w:val="00E73BA5"/>
    <w:rsid w:val="00E73C03"/>
    <w:rsid w:val="00E740E4"/>
    <w:rsid w:val="00E7453D"/>
    <w:rsid w:val="00E7721C"/>
    <w:rsid w:val="00E81BDC"/>
    <w:rsid w:val="00E82AA5"/>
    <w:rsid w:val="00E83DA3"/>
    <w:rsid w:val="00E84BBE"/>
    <w:rsid w:val="00E84E86"/>
    <w:rsid w:val="00E85177"/>
    <w:rsid w:val="00E92B22"/>
    <w:rsid w:val="00E95866"/>
    <w:rsid w:val="00E972D3"/>
    <w:rsid w:val="00EA466C"/>
    <w:rsid w:val="00EA47CA"/>
    <w:rsid w:val="00EA6470"/>
    <w:rsid w:val="00EB1141"/>
    <w:rsid w:val="00EB114D"/>
    <w:rsid w:val="00EB291F"/>
    <w:rsid w:val="00EB29EC"/>
    <w:rsid w:val="00EB33AD"/>
    <w:rsid w:val="00EC0723"/>
    <w:rsid w:val="00EC2684"/>
    <w:rsid w:val="00EC5658"/>
    <w:rsid w:val="00EC76CC"/>
    <w:rsid w:val="00ED1259"/>
    <w:rsid w:val="00ED38AF"/>
    <w:rsid w:val="00ED6503"/>
    <w:rsid w:val="00ED73F3"/>
    <w:rsid w:val="00EE11FD"/>
    <w:rsid w:val="00EE1BD4"/>
    <w:rsid w:val="00EE2357"/>
    <w:rsid w:val="00EE36D7"/>
    <w:rsid w:val="00EE4E56"/>
    <w:rsid w:val="00EE528D"/>
    <w:rsid w:val="00EE73DC"/>
    <w:rsid w:val="00EF08E5"/>
    <w:rsid w:val="00EF1C64"/>
    <w:rsid w:val="00EF2908"/>
    <w:rsid w:val="00EF4AC1"/>
    <w:rsid w:val="00EF5436"/>
    <w:rsid w:val="00F1012B"/>
    <w:rsid w:val="00F1110D"/>
    <w:rsid w:val="00F12ABD"/>
    <w:rsid w:val="00F12C3B"/>
    <w:rsid w:val="00F148D0"/>
    <w:rsid w:val="00F15D01"/>
    <w:rsid w:val="00F15F75"/>
    <w:rsid w:val="00F25C49"/>
    <w:rsid w:val="00F25DAB"/>
    <w:rsid w:val="00F26E67"/>
    <w:rsid w:val="00F27550"/>
    <w:rsid w:val="00F27D74"/>
    <w:rsid w:val="00F3314A"/>
    <w:rsid w:val="00F33FEC"/>
    <w:rsid w:val="00F3423A"/>
    <w:rsid w:val="00F345A5"/>
    <w:rsid w:val="00F34FAB"/>
    <w:rsid w:val="00F403A5"/>
    <w:rsid w:val="00F406A1"/>
    <w:rsid w:val="00F409FA"/>
    <w:rsid w:val="00F40A88"/>
    <w:rsid w:val="00F43F85"/>
    <w:rsid w:val="00F462EF"/>
    <w:rsid w:val="00F46F7D"/>
    <w:rsid w:val="00F5039C"/>
    <w:rsid w:val="00F50F9C"/>
    <w:rsid w:val="00F516DF"/>
    <w:rsid w:val="00F518B2"/>
    <w:rsid w:val="00F521AA"/>
    <w:rsid w:val="00F52D24"/>
    <w:rsid w:val="00F549CF"/>
    <w:rsid w:val="00F54A08"/>
    <w:rsid w:val="00F613B1"/>
    <w:rsid w:val="00F62A8A"/>
    <w:rsid w:val="00F67206"/>
    <w:rsid w:val="00F6790F"/>
    <w:rsid w:val="00F720A7"/>
    <w:rsid w:val="00F72C25"/>
    <w:rsid w:val="00F73B3B"/>
    <w:rsid w:val="00F761B4"/>
    <w:rsid w:val="00F76705"/>
    <w:rsid w:val="00F80F72"/>
    <w:rsid w:val="00F82256"/>
    <w:rsid w:val="00F82CEB"/>
    <w:rsid w:val="00F843A2"/>
    <w:rsid w:val="00F84F6B"/>
    <w:rsid w:val="00F85C6D"/>
    <w:rsid w:val="00F86051"/>
    <w:rsid w:val="00F919B4"/>
    <w:rsid w:val="00F91A0D"/>
    <w:rsid w:val="00F91D4F"/>
    <w:rsid w:val="00F92C65"/>
    <w:rsid w:val="00F945FE"/>
    <w:rsid w:val="00F94877"/>
    <w:rsid w:val="00F96DBB"/>
    <w:rsid w:val="00FA0854"/>
    <w:rsid w:val="00FA1738"/>
    <w:rsid w:val="00FA2DFA"/>
    <w:rsid w:val="00FA32B6"/>
    <w:rsid w:val="00FA32C5"/>
    <w:rsid w:val="00FA413C"/>
    <w:rsid w:val="00FA5BE9"/>
    <w:rsid w:val="00FB08AA"/>
    <w:rsid w:val="00FB093D"/>
    <w:rsid w:val="00FB1756"/>
    <w:rsid w:val="00FB2490"/>
    <w:rsid w:val="00FB5C3A"/>
    <w:rsid w:val="00FC2154"/>
    <w:rsid w:val="00FC3B10"/>
    <w:rsid w:val="00FC499B"/>
    <w:rsid w:val="00FD07A2"/>
    <w:rsid w:val="00FD14EC"/>
    <w:rsid w:val="00FD459D"/>
    <w:rsid w:val="00FD63E1"/>
    <w:rsid w:val="00FD6D02"/>
    <w:rsid w:val="00FD726B"/>
    <w:rsid w:val="00FE0516"/>
    <w:rsid w:val="00FE1568"/>
    <w:rsid w:val="00FE28E3"/>
    <w:rsid w:val="00FE3905"/>
    <w:rsid w:val="00FF0522"/>
    <w:rsid w:val="00FF37EA"/>
    <w:rsid w:val="00FF4737"/>
    <w:rsid w:val="00FF5047"/>
    <w:rsid w:val="00FF52B4"/>
    <w:rsid w:val="00FF6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1A0"/>
    <w:pPr>
      <w:spacing w:after="0" w:line="480" w:lineRule="atLeast"/>
      <w:ind w:firstLine="720"/>
    </w:pPr>
    <w:rPr>
      <w:rFonts w:ascii="Times New Roman" w:eastAsia="Times New Roman" w:hAnsi="Times New Roman"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8521A0"/>
    <w:pPr>
      <w:spacing w:line="240" w:lineRule="atLeast"/>
      <w:ind w:firstLine="0"/>
    </w:pPr>
  </w:style>
  <w:style w:type="paragraph" w:customStyle="1" w:styleId="CaptionTitle">
    <w:name w:val="CaptionTitle"/>
    <w:basedOn w:val="Normal"/>
    <w:rsid w:val="008521A0"/>
    <w:pPr>
      <w:keepNext/>
      <w:keepLines/>
      <w:spacing w:before="240" w:after="240" w:line="240" w:lineRule="atLeast"/>
      <w:ind w:left="720" w:right="720" w:firstLine="0"/>
      <w:jc w:val="center"/>
    </w:pPr>
  </w:style>
  <w:style w:type="paragraph" w:styleId="FootnoteText">
    <w:name w:val="footnote text"/>
    <w:basedOn w:val="Normal"/>
    <w:link w:val="FootnoteTextChar"/>
    <w:uiPriority w:val="99"/>
    <w:unhideWhenUsed/>
    <w:rsid w:val="008521A0"/>
    <w:pPr>
      <w:spacing w:line="240" w:lineRule="auto"/>
    </w:pPr>
    <w:rPr>
      <w:sz w:val="20"/>
    </w:rPr>
  </w:style>
  <w:style w:type="character" w:customStyle="1" w:styleId="FootnoteTextChar">
    <w:name w:val="Footnote Text Char"/>
    <w:basedOn w:val="DefaultParagraphFont"/>
    <w:link w:val="FootnoteText"/>
    <w:uiPriority w:val="99"/>
    <w:rsid w:val="008521A0"/>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8521A0"/>
    <w:rPr>
      <w:vertAlign w:val="superscript"/>
    </w:rPr>
  </w:style>
  <w:style w:type="paragraph" w:styleId="BodyText">
    <w:name w:val="Body Text"/>
    <w:basedOn w:val="Normal"/>
    <w:link w:val="BodyTextChar"/>
    <w:rsid w:val="008521A0"/>
  </w:style>
  <w:style w:type="character" w:customStyle="1" w:styleId="BodyTextChar">
    <w:name w:val="Body Text Char"/>
    <w:basedOn w:val="DefaultParagraphFont"/>
    <w:link w:val="BodyText"/>
    <w:rsid w:val="008521A0"/>
    <w:rPr>
      <w:rFonts w:ascii="Times New Roman" w:eastAsia="Times New Roman" w:hAnsi="Times New Roman" w:cs="Times New Roman"/>
      <w:sz w:val="24"/>
      <w:szCs w:val="20"/>
      <w:lang w:eastAsia="zh-CN"/>
    </w:rPr>
  </w:style>
  <w:style w:type="paragraph" w:styleId="Header">
    <w:name w:val="header"/>
    <w:basedOn w:val="Normal"/>
    <w:link w:val="HeaderChar"/>
    <w:uiPriority w:val="99"/>
    <w:unhideWhenUsed/>
    <w:rsid w:val="000302BB"/>
    <w:pPr>
      <w:tabs>
        <w:tab w:val="center" w:pos="4680"/>
        <w:tab w:val="right" w:pos="9360"/>
      </w:tabs>
      <w:spacing w:line="240" w:lineRule="auto"/>
    </w:pPr>
  </w:style>
  <w:style w:type="character" w:customStyle="1" w:styleId="HeaderChar">
    <w:name w:val="Header Char"/>
    <w:basedOn w:val="DefaultParagraphFont"/>
    <w:link w:val="Header"/>
    <w:uiPriority w:val="99"/>
    <w:rsid w:val="000302BB"/>
    <w:rPr>
      <w:rFonts w:ascii="Times New Roman" w:eastAsia="Times New Roman" w:hAnsi="Times New Roman" w:cs="Times New Roman"/>
      <w:sz w:val="24"/>
      <w:szCs w:val="20"/>
      <w:lang w:eastAsia="zh-CN"/>
    </w:rPr>
  </w:style>
  <w:style w:type="paragraph" w:styleId="Footer">
    <w:name w:val="footer"/>
    <w:basedOn w:val="Normal"/>
    <w:link w:val="FooterChar"/>
    <w:uiPriority w:val="99"/>
    <w:unhideWhenUsed/>
    <w:rsid w:val="000302BB"/>
    <w:pPr>
      <w:tabs>
        <w:tab w:val="center" w:pos="4680"/>
        <w:tab w:val="right" w:pos="9360"/>
      </w:tabs>
      <w:spacing w:line="240" w:lineRule="auto"/>
    </w:pPr>
  </w:style>
  <w:style w:type="character" w:customStyle="1" w:styleId="FooterChar">
    <w:name w:val="Footer Char"/>
    <w:basedOn w:val="DefaultParagraphFont"/>
    <w:link w:val="Footer"/>
    <w:uiPriority w:val="99"/>
    <w:rsid w:val="000302BB"/>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0302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2BB"/>
    <w:rPr>
      <w:rFonts w:ascii="Tahoma" w:eastAsia="Times New Roman" w:hAnsi="Tahoma" w:cs="Tahoma"/>
      <w:sz w:val="16"/>
      <w:szCs w:val="16"/>
      <w:lang w:eastAsia="zh-CN"/>
    </w:rPr>
  </w:style>
  <w:style w:type="paragraph" w:customStyle="1" w:styleId="Answer">
    <w:name w:val="Answer"/>
    <w:basedOn w:val="Normal"/>
    <w:rsid w:val="00097AEC"/>
    <w:pPr>
      <w:spacing w:before="120" w:after="120" w:line="480" w:lineRule="auto"/>
      <w:ind w:left="720" w:hanging="720"/>
    </w:pPr>
  </w:style>
  <w:style w:type="paragraph" w:styleId="BodyTextIndent">
    <w:name w:val="Body Text Indent"/>
    <w:basedOn w:val="Normal"/>
    <w:link w:val="BodyTextIndentChar"/>
    <w:uiPriority w:val="99"/>
    <w:semiHidden/>
    <w:unhideWhenUsed/>
    <w:rsid w:val="00097AEC"/>
    <w:pPr>
      <w:spacing w:after="120"/>
      <w:ind w:left="360"/>
    </w:pPr>
  </w:style>
  <w:style w:type="character" w:customStyle="1" w:styleId="BodyTextIndentChar">
    <w:name w:val="Body Text Indent Char"/>
    <w:basedOn w:val="DefaultParagraphFont"/>
    <w:link w:val="BodyTextIndent"/>
    <w:uiPriority w:val="99"/>
    <w:semiHidden/>
    <w:rsid w:val="00097AEC"/>
    <w:rPr>
      <w:rFonts w:ascii="Times New Roman" w:eastAsia="Times New Roman" w:hAnsi="Times New Roman" w:cs="Times New Roman"/>
      <w:sz w:val="24"/>
      <w:szCs w:val="20"/>
      <w:lang w:eastAsia="zh-CN"/>
    </w:rPr>
  </w:style>
  <w:style w:type="paragraph" w:styleId="ListParagraph">
    <w:name w:val="List Paragraph"/>
    <w:basedOn w:val="Normal"/>
    <w:uiPriority w:val="34"/>
    <w:qFormat/>
    <w:rsid w:val="00445B12"/>
    <w:pPr>
      <w:ind w:left="720"/>
      <w:contextualSpacing/>
    </w:pPr>
  </w:style>
  <w:style w:type="paragraph" w:styleId="BodyTextIndent2">
    <w:name w:val="Body Text Indent 2"/>
    <w:basedOn w:val="Normal"/>
    <w:link w:val="BodyTextIndent2Char"/>
    <w:uiPriority w:val="99"/>
    <w:semiHidden/>
    <w:unhideWhenUsed/>
    <w:rsid w:val="001E1F24"/>
    <w:pPr>
      <w:spacing w:after="120" w:line="480" w:lineRule="auto"/>
      <w:ind w:left="360"/>
    </w:pPr>
  </w:style>
  <w:style w:type="character" w:customStyle="1" w:styleId="BodyTextIndent2Char">
    <w:name w:val="Body Text Indent 2 Char"/>
    <w:basedOn w:val="DefaultParagraphFont"/>
    <w:link w:val="BodyTextIndent2"/>
    <w:uiPriority w:val="99"/>
    <w:semiHidden/>
    <w:rsid w:val="001E1F24"/>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Memorandum</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2010-07-15T07:00:00+00:00</OpenedDate>
    <Date1 xmlns="dc463f71-b30c-4ab2-9473-d307f9d35888">2010-12-21T08:00:00+00:00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101217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7EB4EA5E0CE4F94EA24C14D9EDF6A" ma:contentTypeVersion="131" ma:contentTypeDescription="" ma:contentTypeScope="" ma:versionID="643b62e2615c2cb37e235d43d0ffc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C7B30-38CD-40B6-8FEA-8BC78DDC14C5}"/>
</file>

<file path=customXml/itemProps2.xml><?xml version="1.0" encoding="utf-8"?>
<ds:datastoreItem xmlns:ds="http://schemas.openxmlformats.org/officeDocument/2006/customXml" ds:itemID="{9CB190D8-B267-4F46-9483-FEFA46A71B8B}"/>
</file>

<file path=customXml/itemProps3.xml><?xml version="1.0" encoding="utf-8"?>
<ds:datastoreItem xmlns:ds="http://schemas.openxmlformats.org/officeDocument/2006/customXml" ds:itemID="{C718BDBC-7B71-447F-B37A-E50E874501C2}"/>
</file>

<file path=customXml/itemProps4.xml><?xml version="1.0" encoding="utf-8"?>
<ds:datastoreItem xmlns:ds="http://schemas.openxmlformats.org/officeDocument/2006/customXml" ds:itemID="{16FDBE60-5EF7-4C7D-8E59-53C11DBC531E}"/>
</file>

<file path=customXml/itemProps5.xml><?xml version="1.0" encoding="utf-8"?>
<ds:datastoreItem xmlns:ds="http://schemas.openxmlformats.org/officeDocument/2006/customXml" ds:itemID="{67A79061-57CF-4F01-AAE1-E53EC565C59F}"/>
</file>

<file path=docProps/app.xml><?xml version="1.0" encoding="utf-8"?>
<Properties xmlns="http://schemas.openxmlformats.org/officeDocument/2006/extended-properties" xmlns:vt="http://schemas.openxmlformats.org/officeDocument/2006/docPropsVTypes">
  <Template>Normal.dotm</Template>
  <TotalTime>8</TotalTime>
  <Pages>9</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bobcedarbaum</dc:creator>
  <cp:lastModifiedBy>bobcedarbaum</cp:lastModifiedBy>
  <cp:revision>4</cp:revision>
  <cp:lastPrinted>2010-12-17T16:55:00Z</cp:lastPrinted>
  <dcterms:created xsi:type="dcterms:W3CDTF">2010-12-21T18:20:00Z</dcterms:created>
  <dcterms:modified xsi:type="dcterms:W3CDTF">2010-12-21T18:27:00Z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0x0101006E56B4D1795A2E4DB2F0B01679ED314A001EF7EB4EA5E0CE4F94EA24C14D9EDF6A</vt:lpwstr>
  </property>
  <property fmtid="{D5CDD505-2E9C-101B-9397-08002B2CF9AE}" pid="3" name="_docset_NoMedatataSyncRequired">
    <vt:lpwstr>False</vt:lpwstr>
  </property>
</Properties>
</file>