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3C" w:rsidRDefault="004E673C" w:rsidP="004E673C">
      <w:pPr>
        <w:spacing w:after="0"/>
        <w:rPr>
          <w:rFonts w:eastAsia="Times New Roman"/>
          <w:b/>
          <w:szCs w:val="24"/>
        </w:rPr>
      </w:pPr>
    </w:p>
    <w:p w:rsidR="004E673C" w:rsidRDefault="004E673C" w:rsidP="004E673C">
      <w:pPr>
        <w:spacing w:after="0"/>
        <w:jc w:val="center"/>
        <w:rPr>
          <w:rFonts w:eastAsia="Times New Roman"/>
          <w:b/>
          <w:szCs w:val="24"/>
        </w:rPr>
      </w:pPr>
      <w:r w:rsidRPr="00272C05">
        <w:rPr>
          <w:rFonts w:eastAsia="Times New Roman"/>
          <w:b/>
          <w:szCs w:val="24"/>
        </w:rPr>
        <w:t xml:space="preserve">BEFORE THE </w:t>
      </w:r>
    </w:p>
    <w:p w:rsidR="004E673C" w:rsidRDefault="004E673C" w:rsidP="004E673C">
      <w:pPr>
        <w:spacing w:after="0"/>
        <w:jc w:val="center"/>
        <w:rPr>
          <w:rFonts w:eastAsia="Times New Roman"/>
          <w:b/>
          <w:szCs w:val="24"/>
        </w:rPr>
      </w:pPr>
    </w:p>
    <w:p w:rsidR="004E673C" w:rsidRPr="00272C05" w:rsidRDefault="004E673C" w:rsidP="004E673C">
      <w:pPr>
        <w:spacing w:after="0"/>
        <w:jc w:val="center"/>
        <w:rPr>
          <w:rFonts w:eastAsia="Times New Roman"/>
          <w:b/>
          <w:szCs w:val="24"/>
        </w:rPr>
      </w:pPr>
      <w:r w:rsidRPr="00272C05">
        <w:rPr>
          <w:rFonts w:eastAsia="Times New Roman"/>
          <w:b/>
          <w:szCs w:val="24"/>
        </w:rPr>
        <w:t>WASHINGTON UTILITIES AND TRANSPORTATION COMMISSION</w:t>
      </w:r>
    </w:p>
    <w:p w:rsidR="004E673C" w:rsidRPr="00272C05" w:rsidRDefault="004E673C" w:rsidP="004E673C">
      <w:pPr>
        <w:spacing w:after="0"/>
        <w:jc w:val="center"/>
        <w:rPr>
          <w:rFonts w:eastAsia="Times New Roman"/>
          <w:szCs w:val="24"/>
        </w:rPr>
      </w:pPr>
      <w:r w:rsidRPr="00272C05">
        <w:rPr>
          <w:rFonts w:eastAsia="Times New Roman"/>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4E673C" w:rsidRPr="0080362A" w:rsidTr="00905EE0">
        <w:tc>
          <w:tcPr>
            <w:tcW w:w="4608" w:type="dxa"/>
            <w:tcBorders>
              <w:top w:val="nil"/>
              <w:left w:val="nil"/>
              <w:bottom w:val="single" w:sz="4" w:space="0" w:color="auto"/>
              <w:right w:val="nil"/>
            </w:tcBorders>
          </w:tcPr>
          <w:p w:rsidR="004E673C" w:rsidRPr="0036383E" w:rsidRDefault="004E673C" w:rsidP="00905EE0">
            <w:pPr>
              <w:spacing w:after="0"/>
              <w:rPr>
                <w:rFonts w:eastAsia="Times New Roman"/>
                <w:szCs w:val="24"/>
              </w:rPr>
            </w:pPr>
          </w:p>
          <w:p w:rsidR="004E673C" w:rsidRPr="0036383E" w:rsidRDefault="004E673C" w:rsidP="00905EE0">
            <w:pPr>
              <w:tabs>
                <w:tab w:val="left" w:pos="1440"/>
              </w:tabs>
              <w:spacing w:after="0"/>
              <w:rPr>
                <w:rFonts w:eastAsia="Times New Roman"/>
                <w:szCs w:val="24"/>
                <w:lang w:eastAsia="zh-CN"/>
              </w:rPr>
            </w:pPr>
            <w:r w:rsidRPr="0036383E">
              <w:rPr>
                <w:rFonts w:eastAsia="Times New Roman"/>
                <w:szCs w:val="24"/>
                <w:lang w:eastAsia="zh-CN"/>
              </w:rPr>
              <w:t>WASHINGTON UTILITIES AND TRANSPORTATION COMMISSION,</w:t>
            </w:r>
          </w:p>
          <w:p w:rsidR="004E673C" w:rsidRPr="0036383E" w:rsidRDefault="004E673C" w:rsidP="00905EE0">
            <w:pPr>
              <w:tabs>
                <w:tab w:val="left" w:pos="1440"/>
              </w:tabs>
              <w:spacing w:after="0"/>
              <w:rPr>
                <w:rFonts w:eastAsia="Times New Roman"/>
                <w:szCs w:val="24"/>
                <w:lang w:eastAsia="zh-CN"/>
              </w:rPr>
            </w:pPr>
          </w:p>
          <w:p w:rsidR="004E673C" w:rsidRPr="0036383E" w:rsidRDefault="004E673C" w:rsidP="00905EE0">
            <w:pPr>
              <w:tabs>
                <w:tab w:val="left" w:pos="1440"/>
              </w:tabs>
              <w:spacing w:after="0"/>
              <w:rPr>
                <w:rFonts w:eastAsia="Times New Roman"/>
                <w:szCs w:val="24"/>
                <w:lang w:eastAsia="zh-CN"/>
              </w:rPr>
            </w:pPr>
            <w:r w:rsidRPr="0036383E">
              <w:rPr>
                <w:rFonts w:eastAsia="Times New Roman"/>
                <w:szCs w:val="24"/>
                <w:lang w:eastAsia="zh-CN"/>
              </w:rPr>
              <w:tab/>
              <w:t>Complainant,</w:t>
            </w:r>
          </w:p>
          <w:p w:rsidR="004E673C" w:rsidRPr="0036383E" w:rsidRDefault="004E673C" w:rsidP="00905EE0">
            <w:pPr>
              <w:tabs>
                <w:tab w:val="left" w:pos="1440"/>
              </w:tabs>
              <w:spacing w:after="0"/>
              <w:rPr>
                <w:rFonts w:eastAsia="Times New Roman"/>
                <w:szCs w:val="24"/>
                <w:lang w:eastAsia="zh-CN"/>
              </w:rPr>
            </w:pPr>
          </w:p>
          <w:p w:rsidR="004E673C" w:rsidRPr="0036383E" w:rsidRDefault="004E673C" w:rsidP="00905EE0">
            <w:pPr>
              <w:spacing w:after="0"/>
              <w:rPr>
                <w:rFonts w:eastAsia="Times New Roman"/>
                <w:szCs w:val="24"/>
                <w:lang w:eastAsia="zh-CN"/>
              </w:rPr>
            </w:pPr>
            <w:r w:rsidRPr="0036383E">
              <w:rPr>
                <w:rFonts w:eastAsia="Times New Roman"/>
                <w:szCs w:val="24"/>
                <w:lang w:eastAsia="zh-CN"/>
              </w:rPr>
              <w:t>v.</w:t>
            </w:r>
          </w:p>
          <w:p w:rsidR="004E673C" w:rsidRPr="0036383E" w:rsidRDefault="004E673C" w:rsidP="00905EE0">
            <w:pPr>
              <w:spacing w:after="0"/>
              <w:rPr>
                <w:rFonts w:eastAsia="Times New Roman"/>
                <w:szCs w:val="24"/>
                <w:lang w:eastAsia="zh-CN"/>
              </w:rPr>
            </w:pPr>
          </w:p>
          <w:p w:rsidR="004E673C" w:rsidRPr="0036383E" w:rsidRDefault="004E673C" w:rsidP="00905EE0">
            <w:pPr>
              <w:spacing w:after="0"/>
              <w:rPr>
                <w:rFonts w:eastAsia="Times New Roman"/>
                <w:szCs w:val="24"/>
                <w:lang w:eastAsia="zh-CN"/>
              </w:rPr>
            </w:pPr>
            <w:r>
              <w:rPr>
                <w:rFonts w:eastAsia="Times New Roman"/>
                <w:szCs w:val="24"/>
                <w:lang w:eastAsia="zh-CN"/>
              </w:rPr>
              <w:t>AVISTA CORPORATION, DB</w:t>
            </w:r>
            <w:r w:rsidRPr="0036383E">
              <w:rPr>
                <w:rFonts w:eastAsia="Times New Roman"/>
                <w:szCs w:val="24"/>
                <w:lang w:eastAsia="zh-CN"/>
              </w:rPr>
              <w:t>A</w:t>
            </w:r>
          </w:p>
          <w:p w:rsidR="004E673C" w:rsidRPr="0036383E" w:rsidRDefault="004E673C" w:rsidP="00905EE0">
            <w:pPr>
              <w:spacing w:after="0"/>
              <w:rPr>
                <w:rFonts w:eastAsia="Times New Roman"/>
                <w:szCs w:val="24"/>
                <w:lang w:eastAsia="zh-CN"/>
              </w:rPr>
            </w:pPr>
            <w:r w:rsidRPr="0036383E">
              <w:rPr>
                <w:rFonts w:eastAsia="Times New Roman"/>
                <w:szCs w:val="24"/>
                <w:lang w:eastAsia="zh-CN"/>
              </w:rPr>
              <w:t>AVISTA UTILITIES,</w:t>
            </w:r>
          </w:p>
          <w:p w:rsidR="004E673C" w:rsidRPr="0036383E" w:rsidRDefault="004E673C" w:rsidP="00905EE0">
            <w:pPr>
              <w:spacing w:after="0"/>
              <w:rPr>
                <w:rFonts w:eastAsia="Times New Roman"/>
                <w:szCs w:val="24"/>
                <w:lang w:eastAsia="zh-CN"/>
              </w:rPr>
            </w:pPr>
          </w:p>
          <w:p w:rsidR="004E673C" w:rsidRPr="0036383E" w:rsidRDefault="004E673C" w:rsidP="00905EE0">
            <w:pPr>
              <w:spacing w:after="0"/>
              <w:jc w:val="center"/>
              <w:rPr>
                <w:rFonts w:eastAsia="Times New Roman"/>
                <w:szCs w:val="24"/>
                <w:lang w:eastAsia="zh-CN"/>
              </w:rPr>
            </w:pPr>
            <w:r w:rsidRPr="0036383E">
              <w:rPr>
                <w:rFonts w:eastAsia="Times New Roman"/>
                <w:szCs w:val="24"/>
                <w:lang w:eastAsia="zh-CN"/>
              </w:rPr>
              <w:t>Respondent.</w:t>
            </w:r>
          </w:p>
          <w:p w:rsidR="004E673C" w:rsidRPr="0036383E" w:rsidRDefault="004E673C" w:rsidP="00905EE0">
            <w:pPr>
              <w:spacing w:after="0"/>
              <w:rPr>
                <w:rFonts w:eastAsia="Times New Roman"/>
                <w:szCs w:val="24"/>
              </w:rPr>
            </w:pPr>
          </w:p>
        </w:tc>
        <w:tc>
          <w:tcPr>
            <w:tcW w:w="360" w:type="dxa"/>
            <w:tcBorders>
              <w:top w:val="nil"/>
              <w:left w:val="nil"/>
              <w:bottom w:val="nil"/>
              <w:right w:val="nil"/>
            </w:tcBorders>
          </w:tcPr>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p w:rsidR="004E673C" w:rsidRPr="0036383E" w:rsidRDefault="004E673C" w:rsidP="00905EE0">
            <w:pPr>
              <w:spacing w:after="0"/>
              <w:rPr>
                <w:rFonts w:eastAsia="Times New Roman"/>
                <w:szCs w:val="24"/>
              </w:rPr>
            </w:pPr>
            <w:r w:rsidRPr="0036383E">
              <w:rPr>
                <w:rFonts w:eastAsia="Times New Roman"/>
                <w:szCs w:val="24"/>
              </w:rPr>
              <w:t>)</w:t>
            </w:r>
          </w:p>
        </w:tc>
        <w:tc>
          <w:tcPr>
            <w:tcW w:w="4608" w:type="dxa"/>
            <w:tcBorders>
              <w:top w:val="nil"/>
              <w:left w:val="nil"/>
              <w:bottom w:val="nil"/>
              <w:right w:val="nil"/>
            </w:tcBorders>
          </w:tcPr>
          <w:p w:rsidR="004E673C" w:rsidRDefault="004E673C" w:rsidP="00905EE0">
            <w:pPr>
              <w:pStyle w:val="SingleSpacing"/>
              <w:spacing w:line="240" w:lineRule="auto"/>
              <w:rPr>
                <w:rFonts w:eastAsia="Calibri"/>
                <w:szCs w:val="22"/>
              </w:rPr>
            </w:pPr>
            <w:bookmarkStart w:id="0" w:name="_Toc354586559"/>
          </w:p>
          <w:p w:rsidR="004E673C" w:rsidRDefault="004E673C" w:rsidP="00905EE0">
            <w:pPr>
              <w:pStyle w:val="SingleSpacing"/>
              <w:spacing w:line="240" w:lineRule="auto"/>
              <w:rPr>
                <w:rFonts w:eastAsia="Calibri"/>
                <w:szCs w:val="22"/>
              </w:rPr>
            </w:pPr>
          </w:p>
          <w:p w:rsidR="004E673C" w:rsidRDefault="004E673C" w:rsidP="00905EE0">
            <w:pPr>
              <w:pStyle w:val="SingleSpacing"/>
              <w:spacing w:line="240" w:lineRule="auto"/>
              <w:rPr>
                <w:rFonts w:eastAsia="Calibri"/>
                <w:szCs w:val="22"/>
              </w:rPr>
            </w:pPr>
          </w:p>
          <w:p w:rsidR="004E673C" w:rsidRPr="00E80CA0" w:rsidRDefault="004E673C" w:rsidP="00905EE0">
            <w:pPr>
              <w:pStyle w:val="SingleSpacing"/>
              <w:spacing w:line="240" w:lineRule="auto"/>
            </w:pPr>
            <w:r w:rsidRPr="00E80CA0">
              <w:t>DOCKET</w:t>
            </w:r>
            <w:r>
              <w:t>S</w:t>
            </w:r>
            <w:r w:rsidRPr="00E80CA0">
              <w:t xml:space="preserve"> </w:t>
            </w:r>
            <w:r w:rsidRPr="00E80CA0">
              <w:rPr>
                <w:bCs/>
              </w:rPr>
              <w:t>UE-</w:t>
            </w:r>
            <w:r>
              <w:t>160228 and</w:t>
            </w:r>
          </w:p>
          <w:p w:rsidR="004E673C" w:rsidRPr="00E80CA0" w:rsidRDefault="004E673C" w:rsidP="00905EE0">
            <w:pPr>
              <w:pStyle w:val="SingleSpacing"/>
              <w:spacing w:line="240" w:lineRule="auto"/>
            </w:pPr>
            <w:r w:rsidRPr="00E80CA0">
              <w:rPr>
                <w:bCs/>
              </w:rPr>
              <w:t>UG-</w:t>
            </w:r>
            <w:r>
              <w:t>160229 (</w:t>
            </w:r>
            <w:r>
              <w:rPr>
                <w:i/>
              </w:rPr>
              <w:t>C</w:t>
            </w:r>
            <w:r w:rsidRPr="005F33B9">
              <w:rPr>
                <w:i/>
              </w:rPr>
              <w:t>onsolidated</w:t>
            </w:r>
            <w:r>
              <w:t>)</w:t>
            </w:r>
          </w:p>
          <w:p w:rsidR="004E673C" w:rsidRPr="0080362A" w:rsidRDefault="004E673C" w:rsidP="00905EE0">
            <w:pPr>
              <w:spacing w:after="0"/>
              <w:jc w:val="center"/>
            </w:pPr>
          </w:p>
          <w:p w:rsidR="004E673C" w:rsidRPr="0080362A" w:rsidRDefault="004E673C" w:rsidP="00905EE0">
            <w:pPr>
              <w:spacing w:after="0"/>
              <w:jc w:val="center"/>
            </w:pPr>
          </w:p>
          <w:p w:rsidR="004E673C" w:rsidRPr="0080362A" w:rsidRDefault="004E673C" w:rsidP="00905EE0">
            <w:pPr>
              <w:spacing w:after="0"/>
              <w:jc w:val="center"/>
            </w:pPr>
          </w:p>
          <w:p w:rsidR="004E673C" w:rsidRPr="0080362A" w:rsidRDefault="004E673C" w:rsidP="00905EE0">
            <w:pPr>
              <w:spacing w:after="0"/>
              <w:jc w:val="center"/>
            </w:pPr>
          </w:p>
          <w:bookmarkEnd w:id="0"/>
          <w:p w:rsidR="004E673C" w:rsidRPr="0036383E" w:rsidRDefault="004E673C" w:rsidP="00905EE0">
            <w:pPr>
              <w:spacing w:after="0"/>
              <w:rPr>
                <w:rFonts w:eastAsia="Times New Roman"/>
                <w:szCs w:val="24"/>
              </w:rPr>
            </w:pPr>
          </w:p>
          <w:p w:rsidR="004E673C" w:rsidRPr="0080362A" w:rsidRDefault="004E673C" w:rsidP="00905EE0">
            <w:pPr>
              <w:jc w:val="right"/>
            </w:pPr>
            <w:r w:rsidRPr="0080362A">
              <w:t xml:space="preserve">   </w:t>
            </w:r>
          </w:p>
        </w:tc>
      </w:tr>
    </w:tbl>
    <w:p w:rsidR="004E673C" w:rsidRPr="00272C05" w:rsidRDefault="004E673C" w:rsidP="004E673C">
      <w:pPr>
        <w:spacing w:after="0"/>
        <w:jc w:val="both"/>
        <w:rPr>
          <w:rFonts w:eastAsia="Times New Roman"/>
          <w:szCs w:val="24"/>
        </w:rPr>
      </w:pPr>
    </w:p>
    <w:p w:rsidR="004E673C" w:rsidRPr="00272C05" w:rsidRDefault="004E673C" w:rsidP="004E673C">
      <w:pPr>
        <w:tabs>
          <w:tab w:val="left" w:pos="6450"/>
        </w:tabs>
        <w:spacing w:after="0"/>
        <w:jc w:val="both"/>
        <w:rPr>
          <w:rFonts w:eastAsia="Times New Roman"/>
          <w:szCs w:val="24"/>
        </w:rPr>
      </w:pPr>
    </w:p>
    <w:p w:rsidR="004E673C" w:rsidRDefault="004E673C" w:rsidP="004E673C">
      <w:pPr>
        <w:spacing w:after="0"/>
        <w:jc w:val="both"/>
        <w:rPr>
          <w:rFonts w:eastAsia="Times New Roman"/>
          <w:szCs w:val="24"/>
        </w:rPr>
      </w:pPr>
    </w:p>
    <w:p w:rsidR="004E673C" w:rsidRDefault="004E673C" w:rsidP="004E673C">
      <w:pPr>
        <w:spacing w:after="0"/>
        <w:jc w:val="both"/>
        <w:rPr>
          <w:rFonts w:eastAsia="Times New Roman"/>
          <w:szCs w:val="24"/>
        </w:rPr>
      </w:pPr>
    </w:p>
    <w:p w:rsidR="004E673C" w:rsidRPr="00272C05" w:rsidRDefault="004E673C" w:rsidP="004E673C">
      <w:pPr>
        <w:spacing w:after="0"/>
        <w:jc w:val="both"/>
        <w:rPr>
          <w:rFonts w:eastAsia="Times New Roman"/>
          <w:szCs w:val="24"/>
        </w:rPr>
      </w:pPr>
    </w:p>
    <w:p w:rsidR="004E673C" w:rsidRPr="00272C05" w:rsidRDefault="004E673C" w:rsidP="004E673C">
      <w:pPr>
        <w:spacing w:after="0"/>
        <w:jc w:val="both"/>
        <w:rPr>
          <w:rFonts w:eastAsia="Times New Roman"/>
          <w:szCs w:val="24"/>
        </w:rPr>
      </w:pPr>
    </w:p>
    <w:p w:rsidR="004E673C" w:rsidRPr="00272C05" w:rsidRDefault="004E673C" w:rsidP="004E673C">
      <w:pPr>
        <w:spacing w:after="0"/>
        <w:jc w:val="center"/>
        <w:rPr>
          <w:rFonts w:eastAsia="Times New Roman"/>
          <w:b/>
          <w:bCs/>
          <w:szCs w:val="24"/>
        </w:rPr>
      </w:pPr>
      <w:r>
        <w:rPr>
          <w:rFonts w:eastAsia="Times New Roman"/>
          <w:b/>
          <w:bCs/>
          <w:szCs w:val="20"/>
        </w:rPr>
        <w:t>CROSS-ANSWERING</w:t>
      </w:r>
      <w:r w:rsidRPr="00272C05">
        <w:rPr>
          <w:rFonts w:eastAsia="Times New Roman"/>
          <w:b/>
          <w:bCs/>
          <w:szCs w:val="20"/>
        </w:rPr>
        <w:t xml:space="preserve"> TESTIMONY </w:t>
      </w:r>
      <w:r w:rsidRPr="00272C05">
        <w:rPr>
          <w:rFonts w:eastAsia="Times New Roman"/>
          <w:b/>
          <w:bCs/>
          <w:szCs w:val="24"/>
        </w:rPr>
        <w:t xml:space="preserve">OF </w:t>
      </w:r>
      <w:r>
        <w:rPr>
          <w:rFonts w:eastAsia="Times New Roman"/>
          <w:b/>
          <w:szCs w:val="24"/>
        </w:rPr>
        <w:t>ROBERT R. STEPHENS</w:t>
      </w:r>
    </w:p>
    <w:p w:rsidR="004E673C" w:rsidRPr="00272C05" w:rsidRDefault="004E673C" w:rsidP="004E673C">
      <w:pPr>
        <w:spacing w:after="0"/>
        <w:rPr>
          <w:rFonts w:eastAsia="Times New Roman"/>
          <w:szCs w:val="20"/>
        </w:rPr>
      </w:pPr>
    </w:p>
    <w:p w:rsidR="004E673C" w:rsidRPr="00272C05" w:rsidRDefault="004E673C" w:rsidP="004E673C">
      <w:pPr>
        <w:spacing w:after="0"/>
        <w:jc w:val="center"/>
        <w:rPr>
          <w:rFonts w:eastAsia="Times New Roman"/>
          <w:b/>
          <w:bCs/>
          <w:szCs w:val="20"/>
        </w:rPr>
      </w:pPr>
      <w:r w:rsidRPr="00272C05">
        <w:rPr>
          <w:rFonts w:eastAsia="Times New Roman"/>
          <w:b/>
          <w:bCs/>
          <w:szCs w:val="20"/>
        </w:rPr>
        <w:t>ON BEHALF OF</w:t>
      </w:r>
    </w:p>
    <w:p w:rsidR="004E673C" w:rsidRPr="00272C05" w:rsidRDefault="004E673C" w:rsidP="004E673C">
      <w:pPr>
        <w:tabs>
          <w:tab w:val="left" w:pos="6393"/>
        </w:tabs>
        <w:spacing w:after="0"/>
        <w:rPr>
          <w:rFonts w:eastAsia="Times New Roman"/>
          <w:szCs w:val="20"/>
        </w:rPr>
      </w:pPr>
      <w:r>
        <w:rPr>
          <w:rFonts w:eastAsia="Times New Roman"/>
          <w:szCs w:val="20"/>
        </w:rPr>
        <w:tab/>
      </w:r>
    </w:p>
    <w:p w:rsidR="004E673C" w:rsidRPr="00272C05" w:rsidRDefault="004E673C" w:rsidP="004E673C">
      <w:pPr>
        <w:spacing w:after="0"/>
        <w:jc w:val="center"/>
        <w:rPr>
          <w:rFonts w:eastAsia="Times New Roman"/>
          <w:szCs w:val="24"/>
        </w:rPr>
      </w:pPr>
      <w:r w:rsidRPr="00272C05">
        <w:rPr>
          <w:rFonts w:eastAsia="Times New Roman"/>
          <w:b/>
          <w:bCs/>
          <w:szCs w:val="20"/>
        </w:rPr>
        <w:t>THE INDUSTRIAL CUSTOMERS OF NORTHWEST UTILITIES</w:t>
      </w:r>
    </w:p>
    <w:p w:rsidR="004E673C" w:rsidRPr="00272C05" w:rsidRDefault="004E673C" w:rsidP="004E673C">
      <w:pPr>
        <w:spacing w:after="0"/>
        <w:jc w:val="center"/>
        <w:rPr>
          <w:rFonts w:eastAsia="Times New Roman"/>
          <w:szCs w:val="24"/>
        </w:rPr>
      </w:pPr>
    </w:p>
    <w:p w:rsidR="004E673C" w:rsidRPr="00272C05" w:rsidRDefault="004E673C" w:rsidP="004E673C">
      <w:pPr>
        <w:spacing w:after="0"/>
        <w:jc w:val="center"/>
        <w:rPr>
          <w:rFonts w:eastAsia="Times New Roman"/>
          <w:szCs w:val="24"/>
        </w:rPr>
      </w:pPr>
    </w:p>
    <w:p w:rsidR="004E673C" w:rsidRPr="00272C05" w:rsidRDefault="004E673C" w:rsidP="00315D60">
      <w:pPr>
        <w:spacing w:after="0"/>
        <w:rPr>
          <w:rFonts w:eastAsia="Times New Roman"/>
          <w:szCs w:val="24"/>
        </w:rPr>
      </w:pPr>
    </w:p>
    <w:p w:rsidR="004E673C" w:rsidRPr="00272C05" w:rsidRDefault="004E673C" w:rsidP="004E673C">
      <w:pPr>
        <w:spacing w:after="0"/>
        <w:jc w:val="center"/>
        <w:rPr>
          <w:rFonts w:eastAsia="Times New Roman"/>
          <w:szCs w:val="24"/>
        </w:rPr>
      </w:pPr>
    </w:p>
    <w:p w:rsidR="004E673C" w:rsidRPr="00272C05" w:rsidRDefault="00571D79" w:rsidP="004E673C">
      <w:pPr>
        <w:spacing w:after="0"/>
        <w:jc w:val="center"/>
        <w:rPr>
          <w:rFonts w:eastAsia="Times New Roman"/>
          <w:b/>
          <w:szCs w:val="24"/>
        </w:rPr>
      </w:pPr>
      <w:r>
        <w:rPr>
          <w:rFonts w:eastAsia="Times New Roman"/>
          <w:b/>
          <w:szCs w:val="24"/>
        </w:rPr>
        <w:t>September 19</w:t>
      </w:r>
      <w:r w:rsidR="004E673C">
        <w:rPr>
          <w:rFonts w:eastAsia="Times New Roman"/>
          <w:b/>
          <w:szCs w:val="24"/>
        </w:rPr>
        <w:t>, 2016</w:t>
      </w:r>
    </w:p>
    <w:p w:rsidR="004E673C" w:rsidRPr="00272C05" w:rsidRDefault="004E673C" w:rsidP="004E673C">
      <w:pPr>
        <w:spacing w:after="0"/>
        <w:jc w:val="center"/>
        <w:rPr>
          <w:rFonts w:eastAsia="Times New Roman"/>
          <w:szCs w:val="24"/>
        </w:rPr>
      </w:pPr>
    </w:p>
    <w:p w:rsidR="004E673C" w:rsidRPr="00272C05" w:rsidRDefault="004E673C" w:rsidP="004E673C">
      <w:pPr>
        <w:spacing w:after="0" w:line="480" w:lineRule="auto"/>
        <w:jc w:val="both"/>
        <w:rPr>
          <w:rFonts w:eastAsia="Times New Roman"/>
          <w:b/>
          <w:szCs w:val="24"/>
        </w:rPr>
        <w:sectPr w:rsidR="004E673C" w:rsidRPr="00272C05" w:rsidSect="00272C05">
          <w:headerReference w:type="default" r:id="rId8"/>
          <w:pgSz w:w="12240" w:h="15840" w:code="1"/>
          <w:pgMar w:top="1440" w:right="1440" w:bottom="1440" w:left="1728" w:header="576" w:footer="576" w:gutter="0"/>
          <w:pgNumType w:start="1"/>
          <w:cols w:space="720"/>
          <w:docGrid w:linePitch="299"/>
        </w:sectPr>
      </w:pPr>
    </w:p>
    <w:p w:rsidR="004E673C" w:rsidRPr="00272C05" w:rsidRDefault="004E673C" w:rsidP="004E673C">
      <w:pPr>
        <w:spacing w:after="0" w:line="480" w:lineRule="auto"/>
        <w:ind w:left="720" w:hanging="720"/>
        <w:jc w:val="both"/>
        <w:rPr>
          <w:rFonts w:eastAsia="Times New Roman"/>
          <w:b/>
          <w:szCs w:val="24"/>
        </w:rPr>
      </w:pPr>
      <w:r w:rsidRPr="00272C05">
        <w:rPr>
          <w:rFonts w:eastAsia="Times New Roman"/>
          <w:b/>
          <w:szCs w:val="24"/>
        </w:rPr>
        <w:lastRenderedPageBreak/>
        <w:t>Q.</w:t>
      </w:r>
      <w:r w:rsidRPr="00272C05">
        <w:rPr>
          <w:rFonts w:eastAsia="Times New Roman"/>
          <w:b/>
          <w:szCs w:val="24"/>
        </w:rPr>
        <w:tab/>
        <w:t>PLEASE STATE YOUR NAME AND BUSINESS ADDRESS.</w:t>
      </w:r>
    </w:p>
    <w:p w:rsidR="004E673C" w:rsidRPr="00272C05" w:rsidRDefault="004E673C" w:rsidP="004E673C">
      <w:pPr>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r>
      <w:r>
        <w:rPr>
          <w:rFonts w:eastAsia="Times New Roman"/>
          <w:szCs w:val="24"/>
        </w:rPr>
        <w:t>Robert R. Stephens</w:t>
      </w:r>
      <w:r w:rsidRPr="00272C05">
        <w:rPr>
          <w:rFonts w:eastAsia="Times New Roman"/>
          <w:szCs w:val="24"/>
        </w:rPr>
        <w:t xml:space="preserve">.  My business address is 16690 </w:t>
      </w:r>
      <w:proofErr w:type="spellStart"/>
      <w:r w:rsidRPr="00272C05">
        <w:rPr>
          <w:rFonts w:eastAsia="Times New Roman"/>
          <w:szCs w:val="24"/>
        </w:rPr>
        <w:t>Swingley</w:t>
      </w:r>
      <w:proofErr w:type="spellEnd"/>
      <w:r w:rsidRPr="00272C05">
        <w:rPr>
          <w:rFonts w:eastAsia="Times New Roman"/>
          <w:szCs w:val="24"/>
        </w:rPr>
        <w:t xml:space="preserve"> Ridge Road, Suite 140, Chesterfield, MO 63017.</w:t>
      </w:r>
    </w:p>
    <w:p w:rsidR="004E673C" w:rsidRPr="00272C05" w:rsidRDefault="004E673C" w:rsidP="004E673C">
      <w:pPr>
        <w:spacing w:after="0" w:line="480" w:lineRule="auto"/>
        <w:ind w:left="720" w:hanging="720"/>
        <w:jc w:val="both"/>
        <w:rPr>
          <w:rFonts w:eastAsia="Times New Roman"/>
          <w:b/>
          <w:szCs w:val="24"/>
        </w:rPr>
      </w:pPr>
      <w:r w:rsidRPr="00272C05">
        <w:rPr>
          <w:rFonts w:eastAsia="Times New Roman"/>
          <w:b/>
          <w:szCs w:val="24"/>
        </w:rPr>
        <w:t>Q.</w:t>
      </w:r>
      <w:r w:rsidRPr="00272C05">
        <w:rPr>
          <w:rFonts w:eastAsia="Times New Roman"/>
          <w:b/>
          <w:szCs w:val="24"/>
        </w:rPr>
        <w:tab/>
        <w:t xml:space="preserve">WHAT IS YOUR OCCUPATION?  </w:t>
      </w:r>
    </w:p>
    <w:p w:rsidR="004E673C" w:rsidRPr="00272C05" w:rsidRDefault="004E673C" w:rsidP="004E673C">
      <w:pPr>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t xml:space="preserve">I am a consultant in the field of public utility regulation and a </w:t>
      </w:r>
      <w:r>
        <w:rPr>
          <w:rFonts w:eastAsia="Times New Roman"/>
          <w:szCs w:val="24"/>
        </w:rPr>
        <w:t>P</w:t>
      </w:r>
      <w:r w:rsidRPr="00272C05">
        <w:rPr>
          <w:rFonts w:eastAsia="Times New Roman"/>
          <w:szCs w:val="24"/>
        </w:rPr>
        <w:t>rincipal of Brubaker &amp; Associates, Inc., energy, economic and regulatory consultants.</w:t>
      </w:r>
    </w:p>
    <w:p w:rsidR="004E673C" w:rsidRPr="00272C05" w:rsidRDefault="004E673C" w:rsidP="004E673C">
      <w:pPr>
        <w:ind w:left="720" w:hanging="720"/>
        <w:jc w:val="both"/>
        <w:rPr>
          <w:rFonts w:eastAsia="Times New Roman"/>
          <w:b/>
          <w:szCs w:val="24"/>
        </w:rPr>
      </w:pPr>
      <w:r w:rsidRPr="00272C05">
        <w:rPr>
          <w:rFonts w:eastAsia="Times New Roman"/>
          <w:b/>
          <w:szCs w:val="24"/>
        </w:rPr>
        <w:t>Q.</w:t>
      </w:r>
      <w:r w:rsidRPr="00272C05">
        <w:rPr>
          <w:rFonts w:eastAsia="Times New Roman"/>
          <w:b/>
          <w:szCs w:val="24"/>
        </w:rPr>
        <w:tab/>
      </w:r>
      <w:r>
        <w:rPr>
          <w:rFonts w:eastAsia="Times New Roman"/>
          <w:b/>
          <w:szCs w:val="24"/>
        </w:rPr>
        <w:t>ARE YOU THE SAME ROBERT R. STEPHENS WHO PREVIOUSLY FILED TESTIMONY IN THIS PROCEEDING?</w:t>
      </w:r>
    </w:p>
    <w:p w:rsidR="004E673C" w:rsidRDefault="004E673C" w:rsidP="004E673C">
      <w:pPr>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r>
      <w:r>
        <w:rPr>
          <w:rFonts w:eastAsia="Times New Roman"/>
          <w:szCs w:val="24"/>
        </w:rPr>
        <w:t>Yes</w:t>
      </w:r>
      <w:r w:rsidRPr="00272C05">
        <w:rPr>
          <w:rFonts w:eastAsia="Times New Roman"/>
          <w:szCs w:val="24"/>
        </w:rPr>
        <w:t>.</w:t>
      </w:r>
      <w:r>
        <w:rPr>
          <w:rFonts w:eastAsia="Times New Roman"/>
          <w:szCs w:val="24"/>
        </w:rPr>
        <w:t xml:space="preserve">  On August 17, 2016, I filed Response Testimony on behalf of </w:t>
      </w:r>
      <w:r w:rsidRPr="00272C05">
        <w:rPr>
          <w:rFonts w:eastAsia="Times New Roman"/>
        </w:rPr>
        <w:t>the Industrial Customers of Northwest Utilities (“ICNU”)</w:t>
      </w:r>
      <w:r>
        <w:rPr>
          <w:rFonts w:eastAsia="Times New Roman"/>
        </w:rPr>
        <w:t>.  In that Response Testimony, I addressed issues related to cost of service, revenue allocation (or “rate spread”), and rate design.</w:t>
      </w:r>
      <w:r>
        <w:rPr>
          <w:rFonts w:eastAsia="Times New Roman"/>
          <w:szCs w:val="24"/>
        </w:rPr>
        <w:t xml:space="preserve">  </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HAVE YOU REVIEWED THE TESTIMONIES OF STAFF AND INTERVENOR WITNESSES AS THEY RELATE TO THE ISSUES THAT YOU ADDRESSED IN YOUR RESPONSE TESTIMONY?</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Yes, I have.  </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DOES THE RESPONSE TESTIMONY OF STAFF OR INTERVENOR WITNESSES CAUSE YOU TO CHANGE ANY OF THE POSITIONS THAT YOU TOOK IN YOUR RESPONSE TESTIMONY?</w:t>
      </w:r>
    </w:p>
    <w:p w:rsidR="004E673C" w:rsidRPr="00ED2679"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No, it does not.  </w:t>
      </w:r>
    </w:p>
    <w:p w:rsidR="004E673C" w:rsidRPr="00272C05" w:rsidRDefault="004E673C" w:rsidP="004E673C">
      <w:pPr>
        <w:autoSpaceDE w:val="0"/>
        <w:autoSpaceDN w:val="0"/>
        <w:adjustRightInd w:val="0"/>
        <w:ind w:left="720" w:hanging="720"/>
        <w:jc w:val="both"/>
        <w:rPr>
          <w:rFonts w:eastAsia="Times New Roman"/>
          <w:b/>
          <w:szCs w:val="24"/>
        </w:rPr>
      </w:pPr>
      <w:r w:rsidRPr="00272C05">
        <w:rPr>
          <w:rFonts w:eastAsia="Times New Roman"/>
          <w:b/>
          <w:szCs w:val="24"/>
        </w:rPr>
        <w:t>Q.</w:t>
      </w:r>
      <w:r w:rsidRPr="00272C05">
        <w:rPr>
          <w:rFonts w:eastAsia="Times New Roman"/>
          <w:b/>
          <w:szCs w:val="24"/>
        </w:rPr>
        <w:tab/>
        <w:t xml:space="preserve">WHAT IS THE </w:t>
      </w:r>
      <w:r>
        <w:rPr>
          <w:rFonts w:eastAsia="Times New Roman"/>
          <w:b/>
          <w:szCs w:val="24"/>
        </w:rPr>
        <w:t>PURPOSE</w:t>
      </w:r>
      <w:r w:rsidRPr="00272C05">
        <w:rPr>
          <w:rFonts w:eastAsia="Times New Roman"/>
          <w:b/>
          <w:szCs w:val="24"/>
        </w:rPr>
        <w:t xml:space="preserve"> OF YOUR </w:t>
      </w:r>
      <w:r>
        <w:rPr>
          <w:rFonts w:eastAsia="Times New Roman"/>
          <w:b/>
          <w:szCs w:val="24"/>
        </w:rPr>
        <w:t xml:space="preserve">CROSS-ANSWERING </w:t>
      </w:r>
      <w:r w:rsidRPr="00272C05">
        <w:rPr>
          <w:rFonts w:eastAsia="Times New Roman"/>
          <w:b/>
          <w:szCs w:val="24"/>
        </w:rPr>
        <w:t>TESTIMONY?</w:t>
      </w:r>
    </w:p>
    <w:p w:rsidR="004E673C" w:rsidRDefault="004E673C" w:rsidP="004E673C">
      <w:pPr>
        <w:spacing w:after="0" w:line="480" w:lineRule="auto"/>
        <w:ind w:left="720" w:hanging="720"/>
        <w:jc w:val="both"/>
        <w:outlineLvl w:val="1"/>
        <w:rPr>
          <w:rFonts w:cs="Arial"/>
          <w:bCs/>
          <w:color w:val="000000"/>
        </w:rPr>
      </w:pPr>
      <w:bookmarkStart w:id="1" w:name="_Toc392680466"/>
      <w:r w:rsidRPr="00272C05">
        <w:rPr>
          <w:rFonts w:eastAsia="Times New Roman"/>
          <w:b/>
          <w:szCs w:val="24"/>
        </w:rPr>
        <w:t>A.</w:t>
      </w:r>
      <w:r w:rsidRPr="00272C05">
        <w:rPr>
          <w:rFonts w:eastAsia="Times New Roman"/>
          <w:szCs w:val="24"/>
        </w:rPr>
        <w:tab/>
      </w:r>
      <w:bookmarkEnd w:id="1"/>
      <w:r>
        <w:rPr>
          <w:rFonts w:eastAsia="Times New Roman"/>
          <w:szCs w:val="24"/>
        </w:rPr>
        <w:t>I will address the testimony of Washington Utilities and Transportation Commission (“WUTC”)</w:t>
      </w:r>
      <w:r w:rsidR="00132146">
        <w:rPr>
          <w:rFonts w:eastAsia="Times New Roman"/>
          <w:szCs w:val="24"/>
        </w:rPr>
        <w:t xml:space="preserve"> </w:t>
      </w:r>
      <w:r>
        <w:rPr>
          <w:rFonts w:eastAsia="Times New Roman"/>
          <w:szCs w:val="24"/>
        </w:rPr>
        <w:t>Staff witness Jason L. Ball as relates to cost of service and rate spread.</w:t>
      </w:r>
    </w:p>
    <w:p w:rsidR="004E673C" w:rsidRDefault="004E673C" w:rsidP="004E673C">
      <w:pPr>
        <w:spacing w:line="480" w:lineRule="auto"/>
        <w:ind w:left="720" w:firstLine="720"/>
        <w:jc w:val="both"/>
        <w:outlineLvl w:val="1"/>
        <w:rPr>
          <w:rFonts w:cs="Arial"/>
          <w:bCs/>
          <w:color w:val="000000"/>
        </w:rPr>
      </w:pPr>
      <w:bookmarkStart w:id="2" w:name="_Toc392680467"/>
      <w:r>
        <w:rPr>
          <w:rFonts w:cs="Arial"/>
          <w:bCs/>
          <w:color w:val="000000"/>
        </w:rPr>
        <w:t>The fact that I do not address any particular issue should not be interpreted as tacit approval of any position taken by Avista Corporation (“Avista” or the “Company”) or any other party.</w:t>
      </w:r>
      <w:bookmarkEnd w:id="2"/>
    </w:p>
    <w:p w:rsidR="004E673C" w:rsidRPr="00272C05" w:rsidRDefault="004E673C" w:rsidP="004E673C">
      <w:pPr>
        <w:keepNext/>
        <w:autoSpaceDE w:val="0"/>
        <w:autoSpaceDN w:val="0"/>
        <w:adjustRightInd w:val="0"/>
        <w:ind w:left="720" w:hanging="720"/>
        <w:jc w:val="both"/>
        <w:rPr>
          <w:rFonts w:eastAsia="Times New Roman"/>
          <w:b/>
          <w:szCs w:val="24"/>
        </w:rPr>
      </w:pPr>
      <w:r w:rsidRPr="00272C05">
        <w:rPr>
          <w:rFonts w:eastAsia="Times New Roman"/>
          <w:b/>
          <w:szCs w:val="24"/>
        </w:rPr>
        <w:lastRenderedPageBreak/>
        <w:t>Q.</w:t>
      </w:r>
      <w:r w:rsidRPr="00272C05">
        <w:rPr>
          <w:rFonts w:eastAsia="Times New Roman"/>
          <w:b/>
          <w:szCs w:val="24"/>
        </w:rPr>
        <w:tab/>
      </w:r>
      <w:r>
        <w:rPr>
          <w:rFonts w:eastAsia="Times New Roman"/>
          <w:b/>
          <w:szCs w:val="24"/>
        </w:rPr>
        <w:t>PLEASE SUMMARIZE YOUR CROSS-ANSWERING TESTIMONY.</w:t>
      </w:r>
    </w:p>
    <w:p w:rsidR="004E673C" w:rsidRDefault="004E673C" w:rsidP="004E673C">
      <w:pPr>
        <w:keepNext/>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r>
      <w:r w:rsidR="00B97C2D">
        <w:rPr>
          <w:rFonts w:eastAsia="Times New Roman"/>
          <w:szCs w:val="24"/>
        </w:rPr>
        <w:t>My Cross-Answering T</w:t>
      </w:r>
      <w:r>
        <w:rPr>
          <w:rFonts w:eastAsia="Times New Roman"/>
          <w:szCs w:val="24"/>
        </w:rPr>
        <w:t>estimony can be summarized as follows:</w:t>
      </w:r>
    </w:p>
    <w:p w:rsidR="004E673C" w:rsidRDefault="004E673C" w:rsidP="004E673C">
      <w:pPr>
        <w:pStyle w:val="ListParagraph"/>
        <w:numPr>
          <w:ilvl w:val="0"/>
          <w:numId w:val="10"/>
        </w:numPr>
        <w:spacing w:after="0"/>
        <w:ind w:left="1080"/>
        <w:jc w:val="both"/>
        <w:rPr>
          <w:rFonts w:eastAsia="Times New Roman"/>
          <w:szCs w:val="24"/>
        </w:rPr>
      </w:pPr>
      <w:r w:rsidRPr="009D1043">
        <w:rPr>
          <w:rFonts w:eastAsia="Times New Roman"/>
          <w:szCs w:val="24"/>
        </w:rPr>
        <w:t xml:space="preserve">I agree with Staff’s recommendation that the Commission institute a generic proceeding to review cost of service methodologies for all investor-owned utilities in Washington. </w:t>
      </w:r>
    </w:p>
    <w:p w:rsidR="004E673C" w:rsidRPr="009D1043" w:rsidRDefault="004E673C" w:rsidP="004E673C">
      <w:pPr>
        <w:pStyle w:val="ListParagraph"/>
        <w:suppressLineNumbers/>
        <w:spacing w:after="0"/>
        <w:ind w:left="1080"/>
        <w:jc w:val="both"/>
        <w:rPr>
          <w:rFonts w:eastAsia="Times New Roman"/>
          <w:szCs w:val="24"/>
        </w:rPr>
      </w:pPr>
    </w:p>
    <w:p w:rsidR="004E673C" w:rsidRDefault="004E673C" w:rsidP="004E673C">
      <w:pPr>
        <w:pStyle w:val="ListParagraph"/>
        <w:numPr>
          <w:ilvl w:val="0"/>
          <w:numId w:val="10"/>
        </w:numPr>
        <w:spacing w:after="0"/>
        <w:ind w:left="1080"/>
        <w:jc w:val="both"/>
        <w:rPr>
          <w:rFonts w:eastAsia="Times New Roman"/>
          <w:szCs w:val="24"/>
        </w:rPr>
      </w:pPr>
      <w:r w:rsidRPr="009D1043">
        <w:rPr>
          <w:rFonts w:eastAsia="Times New Roman"/>
          <w:szCs w:val="24"/>
        </w:rPr>
        <w:t xml:space="preserve">I </w:t>
      </w:r>
      <w:r>
        <w:rPr>
          <w:rFonts w:eastAsia="Times New Roman"/>
          <w:szCs w:val="24"/>
        </w:rPr>
        <w:t>conditionally</w:t>
      </w:r>
      <w:r w:rsidRPr="009D1043">
        <w:rPr>
          <w:rFonts w:eastAsia="Times New Roman"/>
          <w:szCs w:val="24"/>
        </w:rPr>
        <w:t xml:space="preserve"> agree with Staff’s recommendation that the Commission defer all major decisions regarding any specific cost of service methodology in the pr</w:t>
      </w:r>
      <w:r>
        <w:rPr>
          <w:rFonts w:eastAsia="Times New Roman"/>
          <w:szCs w:val="24"/>
        </w:rPr>
        <w:t>esent case, if the Commission</w:t>
      </w:r>
      <w:r w:rsidRPr="009D1043">
        <w:rPr>
          <w:rFonts w:eastAsia="Times New Roman"/>
          <w:szCs w:val="24"/>
        </w:rPr>
        <w:t xml:space="preserve"> chooses to initiate the generic proceeding recommended by Staff.</w:t>
      </w:r>
    </w:p>
    <w:p w:rsidR="004E673C" w:rsidRPr="009D1043" w:rsidRDefault="004E673C" w:rsidP="004E673C">
      <w:pPr>
        <w:pStyle w:val="ListParagraph"/>
        <w:suppressLineNumbers/>
        <w:spacing w:after="0"/>
        <w:ind w:left="1080"/>
        <w:jc w:val="both"/>
        <w:rPr>
          <w:rFonts w:eastAsia="Times New Roman"/>
          <w:szCs w:val="24"/>
        </w:rPr>
      </w:pPr>
    </w:p>
    <w:p w:rsidR="004E673C" w:rsidRDefault="004E673C" w:rsidP="004E673C">
      <w:pPr>
        <w:pStyle w:val="ListParagraph"/>
        <w:numPr>
          <w:ilvl w:val="0"/>
          <w:numId w:val="10"/>
        </w:numPr>
        <w:spacing w:after="0"/>
        <w:ind w:left="1080"/>
        <w:jc w:val="both"/>
        <w:rPr>
          <w:rFonts w:eastAsia="Times New Roman"/>
          <w:szCs w:val="24"/>
        </w:rPr>
      </w:pPr>
      <w:r w:rsidRPr="009D1043">
        <w:rPr>
          <w:rFonts w:eastAsia="Times New Roman"/>
          <w:szCs w:val="24"/>
        </w:rPr>
        <w:t xml:space="preserve">I disagree with Staff’s recommendation to maintain the status quo with respect to rate spread, i.e., to spread the proposed rate increase across all customer classes on an equal percentage basis.  Such an approach would needlessly continue the large cost disparity between Schedule 1 revenues and cost of service.  Schedule 1 has been subsidized for a number of years and, as I explained in my </w:t>
      </w:r>
      <w:r>
        <w:rPr>
          <w:rFonts w:eastAsia="Times New Roman"/>
          <w:szCs w:val="24"/>
        </w:rPr>
        <w:t>R</w:t>
      </w:r>
      <w:r w:rsidRPr="009D1043">
        <w:rPr>
          <w:rFonts w:eastAsia="Times New Roman"/>
          <w:szCs w:val="24"/>
        </w:rPr>
        <w:t xml:space="preserve">esponse </w:t>
      </w:r>
      <w:r>
        <w:rPr>
          <w:rFonts w:eastAsia="Times New Roman"/>
          <w:szCs w:val="24"/>
        </w:rPr>
        <w:t>T</w:t>
      </w:r>
      <w:r w:rsidRPr="009D1043">
        <w:rPr>
          <w:rFonts w:eastAsia="Times New Roman"/>
          <w:szCs w:val="24"/>
        </w:rPr>
        <w:t>estimony, movement toward cost of service should be made.  This is true even if the precise cost of service result from a generic cost of service proceeding is not yet knowable, because under any reasonably anticipated outcome, Schedule 1 is likely to be shown to be well below cost of service.</w:t>
      </w:r>
    </w:p>
    <w:p w:rsidR="004E673C" w:rsidRDefault="004E673C" w:rsidP="004E673C">
      <w:pPr>
        <w:pStyle w:val="ListParagraph"/>
        <w:suppressLineNumbers/>
        <w:spacing w:after="0"/>
        <w:ind w:left="1080"/>
        <w:jc w:val="both"/>
        <w:rPr>
          <w:rFonts w:eastAsia="Times New Roman"/>
          <w:szCs w:val="24"/>
        </w:rPr>
      </w:pP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 xml:space="preserve">AT PAGE 4, MR. BALL STATES STAFF’S POSITION REGARDING THE INITIATION OF GENERIC COST OF SERVICE PROCEEDINGS, ONE FOR ELECTRIC AND ONE FOR GAS.  HE GOES ON TO OPINE THAT SUCH A PROCEEDING WOULD </w:t>
      </w:r>
    </w:p>
    <w:p w:rsidR="004E673C" w:rsidRDefault="004E673C" w:rsidP="004E673C">
      <w:pPr>
        <w:autoSpaceDE w:val="0"/>
        <w:autoSpaceDN w:val="0"/>
        <w:adjustRightInd w:val="0"/>
        <w:ind w:left="1440" w:right="720"/>
        <w:jc w:val="both"/>
        <w:rPr>
          <w:rFonts w:eastAsia="Times New Roman"/>
          <w:b/>
          <w:szCs w:val="24"/>
        </w:rPr>
      </w:pPr>
      <w:r>
        <w:rPr>
          <w:rFonts w:eastAsia="Times New Roman"/>
          <w:b/>
          <w:szCs w:val="24"/>
        </w:rPr>
        <w:t xml:space="preserve">“OFFER THE COMMISSION THE OPPORTUNITY TO ARTICULATE A COHERENT AND CONSISTENT COSS APPROACH FOR ALL IOUS IN WASHINGTON THROUGH A SINGLE POLICY STATEMENT OR ORDER.” </w:t>
      </w:r>
    </w:p>
    <w:p w:rsidR="004E673C" w:rsidRDefault="004E673C" w:rsidP="004E673C">
      <w:pPr>
        <w:autoSpaceDE w:val="0"/>
        <w:autoSpaceDN w:val="0"/>
        <w:adjustRightInd w:val="0"/>
        <w:ind w:left="720"/>
        <w:jc w:val="both"/>
        <w:rPr>
          <w:rFonts w:eastAsia="Times New Roman"/>
          <w:b/>
          <w:szCs w:val="24"/>
        </w:rPr>
      </w:pPr>
      <w:r>
        <w:rPr>
          <w:rFonts w:eastAsia="Times New Roman"/>
          <w:b/>
          <w:szCs w:val="24"/>
        </w:rPr>
        <w:t xml:space="preserve"> HOW DO YOU RESPOND?</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I generally agree.  Presently, the Commission has approved significantly different cost of service approaches for the different Washington utilities.  Further, due to a series of case settlements, cost of service has not been critically litigated before the Commission in every case.  Thus, both the Commission and the utilities could be aided by a proceeding that establishes guidance to the utilities on determining the cost of serving each customer class.</w:t>
      </w:r>
    </w:p>
    <w:p w:rsidR="004E673C" w:rsidRDefault="004E673C" w:rsidP="004E673C">
      <w:pPr>
        <w:spacing w:after="0" w:line="480" w:lineRule="auto"/>
        <w:ind w:left="720" w:hanging="720"/>
        <w:jc w:val="both"/>
        <w:rPr>
          <w:rFonts w:eastAsia="Times New Roman"/>
          <w:szCs w:val="24"/>
        </w:rPr>
      </w:pPr>
      <w:r>
        <w:rPr>
          <w:rFonts w:eastAsia="Times New Roman"/>
          <w:b/>
          <w:szCs w:val="24"/>
        </w:rPr>
        <w:lastRenderedPageBreak/>
        <w:tab/>
      </w:r>
      <w:r>
        <w:rPr>
          <w:rFonts w:eastAsia="Times New Roman"/>
          <w:b/>
          <w:szCs w:val="24"/>
        </w:rPr>
        <w:tab/>
      </w:r>
      <w:r>
        <w:rPr>
          <w:rFonts w:eastAsia="Times New Roman"/>
          <w:szCs w:val="24"/>
        </w:rPr>
        <w:t>This is not to say that the cost of service approach must be identical for each Washington utility.  Differential circumstances, data availability, etc.</w:t>
      </w:r>
      <w:r w:rsidR="008A1CC6">
        <w:rPr>
          <w:rFonts w:eastAsia="Times New Roman"/>
          <w:szCs w:val="24"/>
        </w:rPr>
        <w:t>,</w:t>
      </w:r>
      <w:r>
        <w:rPr>
          <w:rFonts w:eastAsia="Times New Roman"/>
          <w:szCs w:val="24"/>
        </w:rPr>
        <w:t xml:space="preserve"> may warrant the use of somewhat different approaches.  However, the generic proceeding should afford the Commission the opportunity to give overarching guidance to the study methods.  </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WHAT IS TYPICALLY THE LARGEST COST ITEM IN AN ELECTRIC COST OF SERVICE STUDY THAT THE COMMISSION COULD PROVIDE OVERARCHING GUIDANCE ON?</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Classification and allocation of production fixed costs.  Presently, different utilities use different classification methods to establish how much production plant investment should be allocated on energy or demand bases.  Greater uniformity in the classification approach, and consistency with industry norms, would be a desirable potential outcome of the generic cost of service proceeding. </w:t>
      </w:r>
    </w:p>
    <w:p w:rsidR="004E673C" w:rsidRDefault="004E673C" w:rsidP="004E673C">
      <w:pPr>
        <w:spacing w:after="0" w:line="480" w:lineRule="auto"/>
        <w:ind w:left="720" w:hanging="720"/>
        <w:jc w:val="both"/>
        <w:rPr>
          <w:rFonts w:eastAsia="Times New Roman"/>
          <w:szCs w:val="24"/>
        </w:rPr>
      </w:pPr>
      <w:r>
        <w:rPr>
          <w:rFonts w:eastAsia="Times New Roman"/>
          <w:b/>
          <w:szCs w:val="24"/>
        </w:rPr>
        <w:tab/>
      </w:r>
      <w:r>
        <w:rPr>
          <w:rFonts w:eastAsia="Times New Roman"/>
          <w:b/>
          <w:szCs w:val="24"/>
        </w:rPr>
        <w:tab/>
      </w:r>
      <w:r>
        <w:rPr>
          <w:rFonts w:eastAsia="Times New Roman"/>
          <w:szCs w:val="24"/>
        </w:rPr>
        <w:t>Allocation methods for fixed production costs are also important factors in determining the cost of service.  For example, what measure of classes’ demands should be used to develop the demand allocators?  Similarly, what is the best approach for developing allocators of energy costs?  These questions could be addressed in the generic proceeding.</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AT PAGE 5, MR. BALL EXPLAINS WHY STAFF DID NOT PRESENT A COST OF SERVICE METHODOLOGY IN THE CURRENT CASE, INSTEAD FAVORING ESTABLISHMENT OF THE GENERIC PROCEEDING.  HOW DO YOU RESPOND?</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Absent a cost of service result by Staff, in the event the Commission declines to initiate a generic cost of service proceeding, or if such proceeding is delayed for a significant amount of time, the Commission will have to rely on Avista’s and ICNU’s studies to gauge the level of subsidies present in current rates.  It will not have the benefit of Staff’s input on specific classification or allocation recommendations.  Similarly, the </w:t>
      </w:r>
      <w:r>
        <w:rPr>
          <w:rFonts w:eastAsia="Times New Roman"/>
          <w:szCs w:val="24"/>
        </w:rPr>
        <w:lastRenderedPageBreak/>
        <w:t xml:space="preserve">Commission will not have the benefit of Staff’s calculated parity ratios, which Mr. Ball claims is the </w:t>
      </w:r>
      <w:r w:rsidR="00D92391">
        <w:rPr>
          <w:rFonts w:eastAsia="Times New Roman"/>
          <w:szCs w:val="24"/>
        </w:rPr>
        <w:t xml:space="preserve">principal </w:t>
      </w:r>
      <w:r>
        <w:rPr>
          <w:rFonts w:eastAsia="Times New Roman"/>
          <w:szCs w:val="24"/>
        </w:rPr>
        <w:t>output of the COSS.</w:t>
      </w:r>
      <w:r w:rsidRPr="009D1043">
        <w:rPr>
          <w:rStyle w:val="FootnoteReference"/>
          <w:rFonts w:eastAsia="Times New Roman"/>
          <w:szCs w:val="24"/>
          <w:u w:val="single"/>
        </w:rPr>
        <w:footnoteReference w:id="1"/>
      </w:r>
      <w:r w:rsidRPr="009D1043">
        <w:rPr>
          <w:rFonts w:eastAsia="Times New Roman"/>
          <w:szCs w:val="24"/>
          <w:vertAlign w:val="superscript"/>
        </w:rPr>
        <w:t>/</w:t>
      </w:r>
      <w:r>
        <w:rPr>
          <w:rFonts w:eastAsia="Times New Roman"/>
          <w:szCs w:val="24"/>
        </w:rPr>
        <w:t xml:space="preserve">  As Mr. Ball explains at page 7, a rate schedule with a parity ratio well below 1.00 means that the schedule is essentially being subsidized by other schedules.</w:t>
      </w:r>
      <w:r w:rsidRPr="005A3C64">
        <w:rPr>
          <w:rStyle w:val="FootnoteReference"/>
          <w:rFonts w:eastAsia="Times New Roman"/>
          <w:szCs w:val="24"/>
          <w:u w:val="single"/>
        </w:rPr>
        <w:footnoteReference w:id="2"/>
      </w:r>
      <w:r w:rsidRPr="005A3C64">
        <w:rPr>
          <w:rFonts w:eastAsia="Times New Roman"/>
          <w:szCs w:val="24"/>
          <w:vertAlign w:val="superscript"/>
        </w:rPr>
        <w:t>/</w:t>
      </w:r>
      <w:r>
        <w:rPr>
          <w:rFonts w:eastAsia="Times New Roman"/>
          <w:szCs w:val="24"/>
        </w:rPr>
        <w:t xml:space="preserve">  For example, the rate schedule the furthest below unity (1.00) is Schedule 1, with a parity ratio of 0.55 under Avista’s measure of class cost and 0.46 under my measure of class cost.</w:t>
      </w:r>
      <w:r w:rsidRPr="002604A0">
        <w:rPr>
          <w:rStyle w:val="FootnoteReference"/>
          <w:rFonts w:eastAsia="Times New Roman"/>
          <w:szCs w:val="24"/>
          <w:u w:val="single"/>
        </w:rPr>
        <w:footnoteReference w:id="3"/>
      </w:r>
      <w:r w:rsidRPr="002604A0">
        <w:rPr>
          <w:rFonts w:eastAsia="Times New Roman"/>
          <w:szCs w:val="24"/>
          <w:vertAlign w:val="superscript"/>
        </w:rPr>
        <w:t>/</w:t>
      </w:r>
      <w:r>
        <w:rPr>
          <w:rFonts w:eastAsia="Times New Roman"/>
          <w:szCs w:val="24"/>
        </w:rPr>
        <w:t xml:space="preserve">  Parity ratios in this range indicate that Schedule 1 is providing only about half the return that Avista receives on average from all the classes.  Thus, it is heavily subsidized and has been for some time.</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WHY DO YOU BELIEVE THAT SCHEDULE 1 HAS BEEN HEAVILY SUBSIDIZED FOR SOME TIME PERIOD?</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I have reviewed the parity ratios of the Schedule 1 class going back to 2009, according to the Company’s prior cost of service determinations.</w:t>
      </w:r>
      <w:r w:rsidRPr="00BC3CEA">
        <w:rPr>
          <w:rFonts w:eastAsia="Times New Roman"/>
          <w:szCs w:val="24"/>
          <w:u w:val="single"/>
          <w:vertAlign w:val="superscript"/>
        </w:rPr>
        <w:footnoteReference w:id="4"/>
      </w:r>
      <w:proofErr w:type="gramStart"/>
      <w:r w:rsidRPr="00BC3CEA">
        <w:rPr>
          <w:rFonts w:eastAsia="Times New Roman"/>
          <w:szCs w:val="24"/>
          <w:vertAlign w:val="superscript"/>
        </w:rPr>
        <w:t>/</w:t>
      </w:r>
      <w:r>
        <w:rPr>
          <w:rFonts w:eastAsia="Times New Roman"/>
          <w:szCs w:val="24"/>
        </w:rPr>
        <w:t xml:space="preserve">  These</w:t>
      </w:r>
      <w:proofErr w:type="gramEnd"/>
      <w:r>
        <w:rPr>
          <w:rFonts w:eastAsia="Times New Roman"/>
          <w:szCs w:val="24"/>
        </w:rPr>
        <w:t xml:space="preserve"> are shown in Table 1, below.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793"/>
        <w:gridCol w:w="2764"/>
      </w:tblGrid>
      <w:tr w:rsidR="004E673C" w:rsidTr="00905EE0">
        <w:trPr>
          <w:jc w:val="center"/>
        </w:trPr>
        <w:tc>
          <w:tcPr>
            <w:tcW w:w="4557" w:type="dxa"/>
            <w:gridSpan w:val="2"/>
          </w:tcPr>
          <w:p w:rsidR="004E673C" w:rsidRDefault="004E673C" w:rsidP="004E673C">
            <w:pPr>
              <w:keepNext/>
              <w:spacing w:after="0"/>
              <w:jc w:val="center"/>
              <w:rPr>
                <w:rFonts w:eastAsia="Times New Roman"/>
                <w:szCs w:val="24"/>
              </w:rPr>
            </w:pPr>
            <w:r>
              <w:rPr>
                <w:rFonts w:eastAsia="Times New Roman"/>
                <w:b/>
                <w:szCs w:val="24"/>
              </w:rPr>
              <w:lastRenderedPageBreak/>
              <w:tab/>
            </w:r>
          </w:p>
          <w:p w:rsidR="004E673C" w:rsidRDefault="004E673C" w:rsidP="004E673C">
            <w:pPr>
              <w:keepNext/>
              <w:spacing w:after="0"/>
              <w:ind w:left="720" w:hanging="720"/>
              <w:jc w:val="center"/>
              <w:rPr>
                <w:rFonts w:eastAsia="Times New Roman"/>
                <w:b/>
                <w:szCs w:val="24"/>
              </w:rPr>
            </w:pPr>
            <w:r>
              <w:rPr>
                <w:rFonts w:eastAsia="Times New Roman"/>
                <w:b/>
                <w:szCs w:val="24"/>
              </w:rPr>
              <w:t>TABLE 1</w:t>
            </w:r>
          </w:p>
          <w:p w:rsidR="004E673C" w:rsidRDefault="004E673C" w:rsidP="004E673C">
            <w:pPr>
              <w:keepNext/>
              <w:spacing w:after="0"/>
              <w:ind w:left="720" w:hanging="720"/>
              <w:jc w:val="center"/>
              <w:rPr>
                <w:rFonts w:eastAsia="Times New Roman"/>
                <w:b/>
                <w:szCs w:val="24"/>
              </w:rPr>
            </w:pPr>
          </w:p>
          <w:p w:rsidR="004E673C" w:rsidRDefault="004E673C" w:rsidP="004E673C">
            <w:pPr>
              <w:keepNext/>
              <w:spacing w:after="0"/>
              <w:ind w:left="720" w:hanging="720"/>
              <w:jc w:val="center"/>
              <w:rPr>
                <w:rFonts w:eastAsia="Times New Roman"/>
                <w:b/>
                <w:szCs w:val="24"/>
              </w:rPr>
            </w:pPr>
            <w:r>
              <w:rPr>
                <w:rFonts w:eastAsia="Times New Roman"/>
                <w:b/>
                <w:szCs w:val="24"/>
              </w:rPr>
              <w:t xml:space="preserve">History of Schedule 1 Parity Ratios </w:t>
            </w:r>
          </w:p>
          <w:p w:rsidR="004E673C" w:rsidRPr="00970D4A" w:rsidRDefault="004E673C" w:rsidP="004E673C">
            <w:pPr>
              <w:keepNext/>
              <w:spacing w:after="0"/>
              <w:ind w:left="720" w:hanging="720"/>
              <w:jc w:val="center"/>
              <w:rPr>
                <w:rFonts w:eastAsia="Times New Roman"/>
                <w:b/>
                <w:szCs w:val="24"/>
                <w:u w:val="single"/>
              </w:rPr>
            </w:pPr>
            <w:r w:rsidRPr="00970D4A">
              <w:rPr>
                <w:rFonts w:eastAsia="Times New Roman"/>
                <w:b/>
                <w:szCs w:val="24"/>
                <w:u w:val="single"/>
              </w:rPr>
              <w:t>Under Avista Cost of Service Determinations</w:t>
            </w:r>
          </w:p>
          <w:p w:rsidR="004E673C" w:rsidRPr="00970D4A" w:rsidRDefault="004E673C" w:rsidP="004E673C">
            <w:pPr>
              <w:keepNext/>
              <w:spacing w:after="0"/>
              <w:ind w:left="720" w:hanging="720"/>
              <w:jc w:val="center"/>
              <w:rPr>
                <w:rFonts w:eastAsia="Times New Roman"/>
                <w:b/>
                <w:szCs w:val="24"/>
              </w:rPr>
            </w:pPr>
          </w:p>
        </w:tc>
      </w:tr>
      <w:tr w:rsidR="004E673C" w:rsidTr="00905EE0">
        <w:trPr>
          <w:jc w:val="center"/>
        </w:trPr>
        <w:tc>
          <w:tcPr>
            <w:tcW w:w="1793" w:type="dxa"/>
          </w:tcPr>
          <w:p w:rsidR="004E673C" w:rsidRPr="00970D4A" w:rsidRDefault="004E673C" w:rsidP="004E673C">
            <w:pPr>
              <w:keepNext/>
              <w:spacing w:after="0"/>
              <w:jc w:val="center"/>
              <w:rPr>
                <w:rFonts w:eastAsia="Times New Roman"/>
                <w:szCs w:val="24"/>
                <w:u w:val="single"/>
              </w:rPr>
            </w:pPr>
            <w:r w:rsidRPr="00970D4A">
              <w:rPr>
                <w:rFonts w:eastAsia="Times New Roman"/>
                <w:b/>
                <w:szCs w:val="24"/>
                <w:u w:val="single"/>
              </w:rPr>
              <w:t>Rate Case Year</w:t>
            </w:r>
          </w:p>
        </w:tc>
        <w:tc>
          <w:tcPr>
            <w:tcW w:w="2764" w:type="dxa"/>
          </w:tcPr>
          <w:p w:rsidR="004E673C" w:rsidRPr="00970D4A" w:rsidRDefault="004E673C" w:rsidP="004E673C">
            <w:pPr>
              <w:keepNext/>
              <w:spacing w:after="0"/>
              <w:ind w:left="720" w:hanging="720"/>
              <w:jc w:val="center"/>
              <w:rPr>
                <w:rFonts w:eastAsia="Times New Roman"/>
                <w:b/>
                <w:szCs w:val="24"/>
                <w:u w:val="single"/>
              </w:rPr>
            </w:pPr>
            <w:r w:rsidRPr="00970D4A">
              <w:rPr>
                <w:rFonts w:eastAsia="Times New Roman"/>
                <w:b/>
                <w:szCs w:val="24"/>
                <w:u w:val="single"/>
              </w:rPr>
              <w:t>Schedule 1 Parity Ratio</w:t>
            </w:r>
          </w:p>
          <w:p w:rsidR="004E673C" w:rsidRDefault="004E673C" w:rsidP="004E673C">
            <w:pPr>
              <w:keepNext/>
              <w:spacing w:after="0"/>
              <w:rPr>
                <w:rFonts w:eastAsia="Times New Roman"/>
                <w:szCs w:val="24"/>
              </w:rPr>
            </w:pPr>
          </w:p>
        </w:tc>
      </w:tr>
      <w:tr w:rsidR="004E673C" w:rsidTr="00905EE0">
        <w:trPr>
          <w:jc w:val="center"/>
        </w:trPr>
        <w:tc>
          <w:tcPr>
            <w:tcW w:w="1793" w:type="dxa"/>
          </w:tcPr>
          <w:p w:rsidR="004E673C" w:rsidRDefault="004E673C" w:rsidP="004E673C">
            <w:pPr>
              <w:keepNext/>
              <w:spacing w:after="0"/>
              <w:jc w:val="center"/>
              <w:rPr>
                <w:rFonts w:eastAsia="Times New Roman"/>
                <w:szCs w:val="24"/>
              </w:rPr>
            </w:pPr>
            <w:r>
              <w:rPr>
                <w:rFonts w:eastAsia="Times New Roman"/>
                <w:szCs w:val="24"/>
              </w:rPr>
              <w:t>2016</w:t>
            </w:r>
          </w:p>
        </w:tc>
        <w:tc>
          <w:tcPr>
            <w:tcW w:w="2764" w:type="dxa"/>
          </w:tcPr>
          <w:p w:rsidR="004E673C" w:rsidRDefault="004E673C" w:rsidP="004E673C">
            <w:pPr>
              <w:keepNext/>
              <w:spacing w:after="0"/>
              <w:jc w:val="center"/>
              <w:rPr>
                <w:rFonts w:eastAsia="Times New Roman"/>
                <w:szCs w:val="24"/>
              </w:rPr>
            </w:pPr>
            <w:r>
              <w:rPr>
                <w:rFonts w:eastAsia="Times New Roman"/>
                <w:szCs w:val="24"/>
              </w:rPr>
              <w:t>0.55</w:t>
            </w:r>
          </w:p>
        </w:tc>
      </w:tr>
      <w:tr w:rsidR="004E673C" w:rsidTr="00905EE0">
        <w:trPr>
          <w:jc w:val="center"/>
        </w:trPr>
        <w:tc>
          <w:tcPr>
            <w:tcW w:w="1793" w:type="dxa"/>
          </w:tcPr>
          <w:p w:rsidR="004E673C" w:rsidRDefault="004E673C" w:rsidP="004E673C">
            <w:pPr>
              <w:keepNext/>
              <w:spacing w:after="0"/>
              <w:jc w:val="center"/>
              <w:rPr>
                <w:rFonts w:eastAsia="Times New Roman"/>
                <w:szCs w:val="24"/>
              </w:rPr>
            </w:pPr>
            <w:r>
              <w:rPr>
                <w:rFonts w:eastAsia="Times New Roman"/>
                <w:szCs w:val="24"/>
              </w:rPr>
              <w:t>2015</w:t>
            </w:r>
          </w:p>
        </w:tc>
        <w:tc>
          <w:tcPr>
            <w:tcW w:w="2764" w:type="dxa"/>
          </w:tcPr>
          <w:p w:rsidR="004E673C" w:rsidRDefault="004E673C" w:rsidP="004E673C">
            <w:pPr>
              <w:keepNext/>
              <w:spacing w:after="0"/>
              <w:jc w:val="center"/>
              <w:rPr>
                <w:rFonts w:eastAsia="Times New Roman"/>
                <w:szCs w:val="24"/>
              </w:rPr>
            </w:pPr>
            <w:r>
              <w:rPr>
                <w:rFonts w:eastAsia="Times New Roman"/>
                <w:szCs w:val="24"/>
              </w:rPr>
              <w:t>0.58</w:t>
            </w:r>
          </w:p>
        </w:tc>
      </w:tr>
      <w:tr w:rsidR="004E673C" w:rsidTr="00905EE0">
        <w:trPr>
          <w:jc w:val="center"/>
        </w:trPr>
        <w:tc>
          <w:tcPr>
            <w:tcW w:w="1793" w:type="dxa"/>
          </w:tcPr>
          <w:p w:rsidR="004E673C" w:rsidRDefault="004E673C" w:rsidP="004E673C">
            <w:pPr>
              <w:keepNext/>
              <w:spacing w:after="0"/>
              <w:jc w:val="center"/>
              <w:rPr>
                <w:rFonts w:eastAsia="Times New Roman"/>
                <w:szCs w:val="24"/>
              </w:rPr>
            </w:pPr>
            <w:r>
              <w:rPr>
                <w:rFonts w:eastAsia="Times New Roman"/>
                <w:szCs w:val="24"/>
              </w:rPr>
              <w:t>2014</w:t>
            </w:r>
          </w:p>
        </w:tc>
        <w:tc>
          <w:tcPr>
            <w:tcW w:w="2764" w:type="dxa"/>
          </w:tcPr>
          <w:p w:rsidR="004E673C" w:rsidRDefault="004E673C" w:rsidP="004E673C">
            <w:pPr>
              <w:keepNext/>
              <w:spacing w:after="0"/>
              <w:jc w:val="center"/>
              <w:rPr>
                <w:rFonts w:eastAsia="Times New Roman"/>
                <w:szCs w:val="24"/>
              </w:rPr>
            </w:pPr>
            <w:r>
              <w:rPr>
                <w:rFonts w:eastAsia="Times New Roman"/>
                <w:szCs w:val="24"/>
              </w:rPr>
              <w:t>0.65</w:t>
            </w:r>
          </w:p>
        </w:tc>
      </w:tr>
      <w:tr w:rsidR="004E673C" w:rsidTr="00905EE0">
        <w:trPr>
          <w:jc w:val="center"/>
        </w:trPr>
        <w:tc>
          <w:tcPr>
            <w:tcW w:w="1793" w:type="dxa"/>
          </w:tcPr>
          <w:p w:rsidR="004E673C" w:rsidRDefault="004E673C" w:rsidP="004E673C">
            <w:pPr>
              <w:keepNext/>
              <w:spacing w:after="0"/>
              <w:jc w:val="center"/>
              <w:rPr>
                <w:rFonts w:eastAsia="Times New Roman"/>
                <w:szCs w:val="24"/>
              </w:rPr>
            </w:pPr>
            <w:r>
              <w:rPr>
                <w:rFonts w:eastAsia="Times New Roman"/>
                <w:szCs w:val="24"/>
              </w:rPr>
              <w:t>2012</w:t>
            </w:r>
          </w:p>
        </w:tc>
        <w:tc>
          <w:tcPr>
            <w:tcW w:w="2764" w:type="dxa"/>
          </w:tcPr>
          <w:p w:rsidR="004E673C" w:rsidRDefault="004E673C" w:rsidP="004E673C">
            <w:pPr>
              <w:keepNext/>
              <w:spacing w:after="0"/>
              <w:jc w:val="center"/>
              <w:rPr>
                <w:rFonts w:eastAsia="Times New Roman"/>
                <w:szCs w:val="24"/>
              </w:rPr>
            </w:pPr>
            <w:r>
              <w:rPr>
                <w:rFonts w:eastAsia="Times New Roman"/>
                <w:szCs w:val="24"/>
              </w:rPr>
              <w:t>0.58</w:t>
            </w:r>
          </w:p>
        </w:tc>
      </w:tr>
      <w:tr w:rsidR="004E673C" w:rsidTr="00905EE0">
        <w:trPr>
          <w:jc w:val="center"/>
        </w:trPr>
        <w:tc>
          <w:tcPr>
            <w:tcW w:w="1793" w:type="dxa"/>
          </w:tcPr>
          <w:p w:rsidR="004E673C" w:rsidRDefault="004E673C" w:rsidP="004E673C">
            <w:pPr>
              <w:keepNext/>
              <w:spacing w:after="0"/>
              <w:jc w:val="center"/>
              <w:rPr>
                <w:rFonts w:eastAsia="Times New Roman"/>
                <w:szCs w:val="24"/>
              </w:rPr>
            </w:pPr>
            <w:r>
              <w:rPr>
                <w:rFonts w:eastAsia="Times New Roman"/>
                <w:szCs w:val="24"/>
              </w:rPr>
              <w:t>2011</w:t>
            </w:r>
          </w:p>
        </w:tc>
        <w:tc>
          <w:tcPr>
            <w:tcW w:w="2764" w:type="dxa"/>
          </w:tcPr>
          <w:p w:rsidR="004E673C" w:rsidRDefault="004E673C" w:rsidP="004E673C">
            <w:pPr>
              <w:keepNext/>
              <w:spacing w:after="0"/>
              <w:jc w:val="center"/>
              <w:rPr>
                <w:rFonts w:eastAsia="Times New Roman"/>
                <w:szCs w:val="24"/>
              </w:rPr>
            </w:pPr>
            <w:r>
              <w:rPr>
                <w:rFonts w:eastAsia="Times New Roman"/>
                <w:szCs w:val="24"/>
              </w:rPr>
              <w:t>0.63</w:t>
            </w:r>
          </w:p>
        </w:tc>
      </w:tr>
      <w:tr w:rsidR="004E673C" w:rsidTr="00905EE0">
        <w:trPr>
          <w:jc w:val="center"/>
        </w:trPr>
        <w:tc>
          <w:tcPr>
            <w:tcW w:w="1793" w:type="dxa"/>
          </w:tcPr>
          <w:p w:rsidR="004E673C" w:rsidRDefault="004E673C" w:rsidP="004E673C">
            <w:pPr>
              <w:keepNext/>
              <w:spacing w:after="0"/>
              <w:jc w:val="center"/>
              <w:rPr>
                <w:rFonts w:eastAsia="Times New Roman"/>
                <w:szCs w:val="24"/>
              </w:rPr>
            </w:pPr>
            <w:r>
              <w:rPr>
                <w:rFonts w:eastAsia="Times New Roman"/>
                <w:szCs w:val="24"/>
              </w:rPr>
              <w:t>2010</w:t>
            </w:r>
          </w:p>
        </w:tc>
        <w:tc>
          <w:tcPr>
            <w:tcW w:w="2764" w:type="dxa"/>
          </w:tcPr>
          <w:p w:rsidR="004E673C" w:rsidRDefault="004E673C" w:rsidP="004E673C">
            <w:pPr>
              <w:keepNext/>
              <w:spacing w:after="0"/>
              <w:jc w:val="center"/>
              <w:rPr>
                <w:rFonts w:eastAsia="Times New Roman"/>
                <w:szCs w:val="24"/>
              </w:rPr>
            </w:pPr>
            <w:r>
              <w:rPr>
                <w:rFonts w:eastAsia="Times New Roman"/>
                <w:szCs w:val="24"/>
              </w:rPr>
              <w:t>0.55</w:t>
            </w:r>
          </w:p>
        </w:tc>
      </w:tr>
      <w:tr w:rsidR="004E673C" w:rsidTr="00905EE0">
        <w:trPr>
          <w:jc w:val="center"/>
        </w:trPr>
        <w:tc>
          <w:tcPr>
            <w:tcW w:w="1793" w:type="dxa"/>
          </w:tcPr>
          <w:p w:rsidR="004E673C" w:rsidRDefault="004E673C" w:rsidP="004E673C">
            <w:pPr>
              <w:keepNext/>
              <w:spacing w:after="0"/>
              <w:jc w:val="center"/>
              <w:rPr>
                <w:rFonts w:eastAsia="Times New Roman"/>
                <w:szCs w:val="24"/>
              </w:rPr>
            </w:pPr>
            <w:r>
              <w:rPr>
                <w:rFonts w:eastAsia="Times New Roman"/>
                <w:szCs w:val="24"/>
              </w:rPr>
              <w:t>2009</w:t>
            </w:r>
          </w:p>
        </w:tc>
        <w:tc>
          <w:tcPr>
            <w:tcW w:w="2764" w:type="dxa"/>
          </w:tcPr>
          <w:p w:rsidR="004E673C" w:rsidRDefault="004E673C" w:rsidP="004E673C">
            <w:pPr>
              <w:keepNext/>
              <w:spacing w:after="0"/>
              <w:jc w:val="center"/>
              <w:rPr>
                <w:rFonts w:eastAsia="Times New Roman"/>
                <w:szCs w:val="24"/>
              </w:rPr>
            </w:pPr>
            <w:r>
              <w:rPr>
                <w:rFonts w:eastAsia="Times New Roman"/>
                <w:szCs w:val="24"/>
              </w:rPr>
              <w:t>0.66</w:t>
            </w:r>
          </w:p>
        </w:tc>
      </w:tr>
    </w:tbl>
    <w:p w:rsidR="004E673C" w:rsidRDefault="004E673C" w:rsidP="004E673C">
      <w:pPr>
        <w:suppressLineNumbers/>
        <w:spacing w:after="0" w:line="480" w:lineRule="auto"/>
        <w:ind w:left="720" w:hanging="720"/>
        <w:rPr>
          <w:rFonts w:eastAsia="Times New Roman"/>
          <w:szCs w:val="24"/>
        </w:rPr>
      </w:pPr>
    </w:p>
    <w:p w:rsidR="004E673C" w:rsidRDefault="004E673C" w:rsidP="004E673C">
      <w:pPr>
        <w:spacing w:after="0" w:line="480" w:lineRule="auto"/>
        <w:ind w:left="720" w:hanging="720"/>
        <w:jc w:val="both"/>
        <w:rPr>
          <w:rFonts w:eastAsia="Times New Roman"/>
          <w:szCs w:val="24"/>
        </w:rPr>
      </w:pPr>
      <w:r>
        <w:rPr>
          <w:rFonts w:eastAsia="Times New Roman"/>
          <w:szCs w:val="24"/>
        </w:rPr>
        <w:tab/>
        <w:t>Thus, as shown in Table 1, Schedule 1 has enjoyed a large and sustained subsidy for several years.</w:t>
      </w:r>
      <w:r w:rsidRPr="002C00E6">
        <w:rPr>
          <w:rStyle w:val="FootnoteReference"/>
          <w:rFonts w:eastAsia="Times New Roman"/>
          <w:szCs w:val="24"/>
          <w:u w:val="single"/>
        </w:rPr>
        <w:footnoteReference w:id="5"/>
      </w:r>
      <w:r w:rsidRPr="002C00E6">
        <w:rPr>
          <w:rFonts w:eastAsia="Times New Roman"/>
          <w:szCs w:val="24"/>
          <w:vertAlign w:val="superscript"/>
        </w:rPr>
        <w:t>/</w:t>
      </w:r>
      <w:r>
        <w:rPr>
          <w:rFonts w:eastAsia="Times New Roman"/>
          <w:szCs w:val="24"/>
        </w:rPr>
        <w:t xml:space="preserve">  </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AT PAGES 8 THROUGH 9 OF HIS TESTIMONY, MR. BALL IDENTIFIES SEVERAL TOPICS THAT POTENTIALLY WOULD BE EXPLORED IN THE CONTEXT OF A GENERIC PROCEEDING.  DO YOU AGREE WITH MR. BALL’S LIST?</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Although I would not necessarily have worded each of the points the way that Mr. Ball does, I think he has captured the major points of impact in a cost of service study.  I would also note that some of these points are the same as the ones I addressed in my Response Testimony.  For example, I addressed the classification and allocation of production costs (his first bullet)</w:t>
      </w:r>
      <w:r w:rsidR="00B97C2D">
        <w:rPr>
          <w:rFonts w:eastAsia="Times New Roman"/>
          <w:szCs w:val="24"/>
        </w:rPr>
        <w:t>,</w:t>
      </w:r>
      <w:r>
        <w:rPr>
          <w:rFonts w:eastAsia="Times New Roman"/>
          <w:szCs w:val="24"/>
        </w:rPr>
        <w:t xml:space="preserve"> the treatment of transmission-related costs (his third </w:t>
      </w:r>
      <w:r>
        <w:rPr>
          <w:rFonts w:eastAsia="Times New Roman"/>
          <w:szCs w:val="24"/>
        </w:rPr>
        <w:lastRenderedPageBreak/>
        <w:t>bullet)</w:t>
      </w:r>
      <w:r w:rsidR="00B97C2D">
        <w:rPr>
          <w:rFonts w:eastAsia="Times New Roman"/>
          <w:szCs w:val="24"/>
        </w:rPr>
        <w:t>,</w:t>
      </w:r>
      <w:r>
        <w:rPr>
          <w:rFonts w:eastAsia="Times New Roman"/>
          <w:szCs w:val="24"/>
        </w:rPr>
        <w:t xml:space="preserve"> and the need for potential changes in measuring cost of service due to items such as smart grid (his fifth bullet).  </w:t>
      </w:r>
    </w:p>
    <w:p w:rsidR="004E673C" w:rsidRDefault="004E673C" w:rsidP="004E673C">
      <w:pPr>
        <w:autoSpaceDE w:val="0"/>
        <w:autoSpaceDN w:val="0"/>
        <w:adjustRightInd w:val="0"/>
        <w:ind w:left="720" w:hanging="720"/>
        <w:jc w:val="both"/>
        <w:rPr>
          <w:rFonts w:eastAsia="Times New Roman"/>
          <w:b/>
          <w:szCs w:val="24"/>
        </w:rPr>
      </w:pPr>
      <w:r w:rsidRPr="00810740">
        <w:rPr>
          <w:rFonts w:eastAsia="Times New Roman"/>
          <w:b/>
          <w:szCs w:val="24"/>
        </w:rPr>
        <w:t>Q.</w:t>
      </w:r>
      <w:r w:rsidRPr="00810740">
        <w:rPr>
          <w:rFonts w:eastAsia="Times New Roman"/>
          <w:b/>
          <w:szCs w:val="24"/>
        </w:rPr>
        <w:tab/>
        <w:t xml:space="preserve">DOES </w:t>
      </w:r>
      <w:r>
        <w:rPr>
          <w:rFonts w:eastAsia="Times New Roman"/>
          <w:b/>
          <w:szCs w:val="24"/>
        </w:rPr>
        <w:t>MR. BALL LEVY SPECIFIC CRITICISMS AT AVISTA’S COST OF SERVICE RESULT?</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No.  In fact, Mr. Ball believes that Avista’s cost of service study “should be considered </w:t>
      </w:r>
      <w:r w:rsidRPr="002A6A1A">
        <w:rPr>
          <w:rFonts w:eastAsia="Times New Roman"/>
          <w:i/>
          <w:szCs w:val="24"/>
        </w:rPr>
        <w:t>directionally</w:t>
      </w:r>
      <w:r>
        <w:rPr>
          <w:rFonts w:eastAsia="Times New Roman"/>
          <w:szCs w:val="24"/>
        </w:rPr>
        <w:t xml:space="preserve"> accurate for the purpose of setting rates.”</w:t>
      </w:r>
      <w:r w:rsidRPr="00BC3CEA">
        <w:rPr>
          <w:rFonts w:eastAsia="Times New Roman"/>
          <w:szCs w:val="24"/>
          <w:u w:val="single"/>
          <w:vertAlign w:val="superscript"/>
        </w:rPr>
        <w:footnoteReference w:id="6"/>
      </w:r>
      <w:proofErr w:type="gramStart"/>
      <w:r w:rsidRPr="00BC3CEA">
        <w:rPr>
          <w:rFonts w:eastAsia="Times New Roman"/>
          <w:szCs w:val="24"/>
          <w:vertAlign w:val="superscript"/>
        </w:rPr>
        <w:t>/</w:t>
      </w:r>
      <w:r>
        <w:rPr>
          <w:rFonts w:eastAsia="Times New Roman"/>
          <w:szCs w:val="24"/>
        </w:rPr>
        <w:t xml:space="preserve">  As</w:t>
      </w:r>
      <w:proofErr w:type="gramEnd"/>
      <w:r>
        <w:rPr>
          <w:rFonts w:eastAsia="Times New Roman"/>
          <w:szCs w:val="24"/>
        </w:rPr>
        <w:t xml:space="preserve"> indicated in Table 4 of my Response Testimony, Avista’s and my recommended ECOS studies are directionally identical in the results.  That is to say, my results and Avista’s results show the parity ratios of each rate schedule to be above or below unity, on a consistent basis.  Our differences are in how far above or below unity the results are for any particular rate schedule.   </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IS IT POSSIBLE THAT THE COMMISSION’S DETERMINATION IN A GENERIC COST OF SERVICE PROCEEDING ULTIMATELY WOULD SHOW THAT SCHEDULE 1 IS NOT BEING SUBSIDIZED, I.E., THAT ITS PARITY RATIO IS ACTUALLY GREATER THAN 1.00?</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This is an unrealistic outcome.  The reason is because the classification and allocation methods used by Avista on the major cost drivers, namely production fixed costs and transmission costs, are already skewed heavily in favor of low load factor classes, such as Schedule 1.  I explain this in depth in my Response Testimony.  In my experience in reviewing cost of service methodologies in many jurisdictions in the United States, I can think of few, if any</w:t>
      </w:r>
      <w:r w:rsidR="004A7C3E">
        <w:rPr>
          <w:rFonts w:eastAsia="Times New Roman"/>
          <w:szCs w:val="24"/>
        </w:rPr>
        <w:t>,</w:t>
      </w:r>
      <w:r>
        <w:rPr>
          <w:rFonts w:eastAsia="Times New Roman"/>
          <w:szCs w:val="24"/>
        </w:rPr>
        <w:t xml:space="preserve"> approaches that would be more favorable to low load factor classes such as Schedule 1</w:t>
      </w:r>
      <w:r w:rsidRPr="00D7464D">
        <w:rPr>
          <w:rFonts w:eastAsia="Times New Roman"/>
          <w:szCs w:val="24"/>
        </w:rPr>
        <w:t xml:space="preserve"> </w:t>
      </w:r>
      <w:r>
        <w:rPr>
          <w:rFonts w:eastAsia="Times New Roman"/>
          <w:szCs w:val="24"/>
        </w:rPr>
        <w:t xml:space="preserve">than Avista’s.  If such methods exist, they would be outside of industry norms and would be highly questionable.  Thus, it is fair to say that under any reasonably anticipated outcome of the generic cost of service proceeding, should </w:t>
      </w:r>
      <w:r>
        <w:rPr>
          <w:rFonts w:eastAsia="Times New Roman"/>
          <w:szCs w:val="24"/>
        </w:rPr>
        <w:lastRenderedPageBreak/>
        <w:t xml:space="preserve">the Commission initiate one, the likelihood of Schedule 1 being found to have a parity ratio above 1.00 is virtually nil.  In fact, even in </w:t>
      </w:r>
      <w:r w:rsidRPr="00230ED3">
        <w:rPr>
          <w:rFonts w:eastAsia="Times New Roman"/>
          <w:szCs w:val="24"/>
        </w:rPr>
        <w:t>the extreme, but unrealistic, “best case” scenario for Schedule 1, where all production and transmission costs are classified as 100% energy</w:t>
      </w:r>
      <w:r w:rsidR="00DF5C2E">
        <w:rPr>
          <w:rFonts w:eastAsia="Times New Roman"/>
          <w:szCs w:val="24"/>
        </w:rPr>
        <w:t>-</w:t>
      </w:r>
      <w:r w:rsidRPr="00230ED3">
        <w:rPr>
          <w:rFonts w:eastAsia="Times New Roman"/>
          <w:szCs w:val="24"/>
        </w:rPr>
        <w:t>related (rather than the 62% used in the Avista study)</w:t>
      </w:r>
      <w:r w:rsidR="00DF5C2E">
        <w:rPr>
          <w:rFonts w:eastAsia="Times New Roman"/>
          <w:szCs w:val="24"/>
        </w:rPr>
        <w:t>,</w:t>
      </w:r>
      <w:r w:rsidRPr="00230ED3">
        <w:rPr>
          <w:rFonts w:eastAsia="Times New Roman"/>
          <w:szCs w:val="24"/>
        </w:rPr>
        <w:t xml:space="preserve"> the parity ratio for Schedule 1 would only be .68, still well below 1.00.</w:t>
      </w:r>
      <w:r w:rsidRPr="00230ED3" w:rsidDel="00230ED3">
        <w:rPr>
          <w:rStyle w:val="FootnoteReference"/>
          <w:rFonts w:eastAsia="Times New Roman"/>
          <w:szCs w:val="24"/>
          <w:u w:val="single"/>
        </w:rPr>
        <w:t xml:space="preserve"> </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HAVE YOU REVIEWED STAFF’S PROPOSED RATE SPREAD FOR ELECTRIC SERVICE?</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Yes, I have.  Mr. Ball addresses this at pages 14 through 16 of his testimony.  </w:t>
      </w:r>
    </w:p>
    <w:p w:rsidR="004E673C" w:rsidRDefault="004E673C" w:rsidP="004E673C">
      <w:pPr>
        <w:spacing w:after="0" w:line="480" w:lineRule="auto"/>
        <w:ind w:left="720" w:hanging="720"/>
        <w:jc w:val="both"/>
        <w:rPr>
          <w:rFonts w:eastAsia="Times New Roman"/>
          <w:b/>
          <w:szCs w:val="24"/>
        </w:rPr>
      </w:pPr>
      <w:r>
        <w:rPr>
          <w:rFonts w:eastAsia="Times New Roman"/>
          <w:b/>
          <w:szCs w:val="24"/>
        </w:rPr>
        <w:t>Q.</w:t>
      </w:r>
      <w:r>
        <w:rPr>
          <w:rFonts w:eastAsia="Times New Roman"/>
          <w:b/>
          <w:szCs w:val="24"/>
        </w:rPr>
        <w:tab/>
        <w:t>WHAT IS STAFF’S POSITION ON RATE SPREAD?</w:t>
      </w:r>
    </w:p>
    <w:p w:rsidR="004E673C" w:rsidRPr="000D6B17" w:rsidRDefault="004E673C" w:rsidP="000D6B17">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As explained at page 16 of his testimony, Mr. Ball indicates that the Company’s proposed rate spread is consistent with the Company’s cost of service study, but that the precision of the Company’s cost of service study is concerning.  Mr. Ball goes on to state that:</w:t>
      </w:r>
      <w:r w:rsidR="00F41851">
        <w:rPr>
          <w:rFonts w:eastAsia="Times New Roman"/>
          <w:szCs w:val="24"/>
        </w:rPr>
        <w:t xml:space="preserve"> “Without a completely accurate COSS, however, it is impossible to tell if cross-class subsidization exists or, accordingly, whether a specific customer class should be assigned a higher</w:t>
      </w:r>
      <w:r w:rsidR="006944B1">
        <w:rPr>
          <w:rFonts w:eastAsia="Times New Roman"/>
          <w:szCs w:val="24"/>
        </w:rPr>
        <w:t>-</w:t>
      </w:r>
      <w:r w:rsidR="00F41851">
        <w:rPr>
          <w:rFonts w:eastAsia="Times New Roman"/>
          <w:szCs w:val="24"/>
        </w:rPr>
        <w:t xml:space="preserve"> or lower</w:t>
      </w:r>
      <w:r w:rsidR="006944B1">
        <w:rPr>
          <w:rFonts w:eastAsia="Times New Roman"/>
          <w:szCs w:val="24"/>
        </w:rPr>
        <w:t>-</w:t>
      </w:r>
      <w:r w:rsidR="00F41851">
        <w:rPr>
          <w:rFonts w:eastAsia="Times New Roman"/>
          <w:szCs w:val="24"/>
        </w:rPr>
        <w:t>than</w:t>
      </w:r>
      <w:r w:rsidR="006944B1">
        <w:rPr>
          <w:rFonts w:eastAsia="Times New Roman"/>
          <w:szCs w:val="24"/>
        </w:rPr>
        <w:t>-</w:t>
      </w:r>
      <w:r w:rsidR="00F41851">
        <w:rPr>
          <w:rFonts w:eastAsia="Times New Roman"/>
          <w:szCs w:val="24"/>
        </w:rPr>
        <w:t>average increase.”</w:t>
      </w:r>
      <w:r w:rsidR="00F41851" w:rsidRPr="00F41851">
        <w:rPr>
          <w:rStyle w:val="FootnoteReference"/>
          <w:rFonts w:eastAsia="Times New Roman"/>
          <w:szCs w:val="24"/>
          <w:u w:val="single"/>
        </w:rPr>
        <w:footnoteReference w:id="7"/>
      </w:r>
      <w:proofErr w:type="gramStart"/>
      <w:r w:rsidR="00F41851" w:rsidRPr="00874EC1">
        <w:rPr>
          <w:rFonts w:eastAsia="Times New Roman"/>
          <w:szCs w:val="24"/>
          <w:vertAlign w:val="superscript"/>
        </w:rPr>
        <w:t>/</w:t>
      </w:r>
      <w:r w:rsidR="00F41851">
        <w:rPr>
          <w:rFonts w:eastAsia="Times New Roman"/>
          <w:szCs w:val="24"/>
        </w:rPr>
        <w:t xml:space="preserve">  Accordingly</w:t>
      </w:r>
      <w:proofErr w:type="gramEnd"/>
      <w:r w:rsidR="00F41851">
        <w:rPr>
          <w:rFonts w:eastAsia="Times New Roman"/>
          <w:szCs w:val="24"/>
        </w:rPr>
        <w:t>, “Staff proposes spreading any increases to rates amongst the customer classes uniformly.”</w:t>
      </w:r>
      <w:r w:rsidR="00F41851" w:rsidRPr="00F41851">
        <w:rPr>
          <w:rStyle w:val="FootnoteReference"/>
          <w:rFonts w:eastAsia="Times New Roman"/>
          <w:szCs w:val="24"/>
          <w:u w:val="single"/>
        </w:rPr>
        <w:footnoteReference w:id="8"/>
      </w:r>
      <w:r w:rsidR="00F41851" w:rsidRPr="00F41851">
        <w:rPr>
          <w:rFonts w:eastAsia="Times New Roman"/>
          <w:szCs w:val="24"/>
          <w:vertAlign w:val="superscript"/>
        </w:rPr>
        <w:t>/</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 xml:space="preserve">Q. </w:t>
      </w:r>
      <w:r>
        <w:rPr>
          <w:rFonts w:eastAsia="Times New Roman"/>
          <w:b/>
          <w:szCs w:val="24"/>
        </w:rPr>
        <w:tab/>
        <w:t>DO YOU AGREE THAT THE PRECISION OF THE COMPANY’S COST OF SERVICE STUDIES IS CONCERNING?</w:t>
      </w:r>
    </w:p>
    <w:p w:rsidR="00911C0B" w:rsidRDefault="004E673C" w:rsidP="00B7072F">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Yes, but only to a limited degree.  My concerns are that the Company’s study does not show the full extent of the inequity present in current rates.  Said another way, I believe that proper cost of service study techniques would reveal that Schedule 1 is being even more heavily subsidized than Avista’s cost of service study suggests.  </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lastRenderedPageBreak/>
        <w:t>Q.</w:t>
      </w:r>
      <w:r>
        <w:rPr>
          <w:rFonts w:eastAsia="Times New Roman"/>
          <w:b/>
          <w:szCs w:val="24"/>
        </w:rPr>
        <w:tab/>
        <w:t>DO YOU AGREE THAT “WITHOUT A COMPLETELY ACCURATE COSS, IT IS IMPOSSIBLE TO TELL IF CROSS-CLASS SUBSIDIZATION EXISTS”</w:t>
      </w:r>
      <w:r w:rsidR="0011546A">
        <w:rPr>
          <w:rFonts w:eastAsia="Times New Roman"/>
          <w:b/>
          <w:szCs w:val="24"/>
        </w:rPr>
        <w:t>?</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No.  If there is a clear indication of cross-class subsidization in reasonably accurate cost of service studies, such as </w:t>
      </w:r>
      <w:r w:rsidR="008A1CC6">
        <w:rPr>
          <w:rFonts w:eastAsia="Times New Roman"/>
          <w:szCs w:val="24"/>
        </w:rPr>
        <w:t xml:space="preserve">those </w:t>
      </w:r>
      <w:r>
        <w:rPr>
          <w:rFonts w:eastAsia="Times New Roman"/>
          <w:szCs w:val="24"/>
        </w:rPr>
        <w:t>present in this case, it is most reasonable to conclude that a significant cross-class subsidy exists.  Again, for the Schedule 1 class, refinement to the cost of service study may determine that the class parity ratio is something different from 0.55 or 0.46, but it is unrealistic to think that a refinement would cause the ratio to be found anywhere near parity, never mind to be found greater than one.  This is especially true when the likely refinements, if any, would tend to lower, rather than increase</w:t>
      </w:r>
      <w:r w:rsidR="0011546A">
        <w:rPr>
          <w:rFonts w:eastAsia="Times New Roman"/>
          <w:szCs w:val="24"/>
        </w:rPr>
        <w:t>,</w:t>
      </w:r>
      <w:r>
        <w:rPr>
          <w:rFonts w:eastAsia="Times New Roman"/>
          <w:szCs w:val="24"/>
        </w:rPr>
        <w:t xml:space="preserve"> the parity ratio from Avista’s calculated 0.55, as previously discussed.  Thus, the cost of service information in this record makes it quite clear that very significant cross-class subsidization continues to exist, at least as relates to Schedule 1.  </w:t>
      </w:r>
    </w:p>
    <w:p w:rsidR="004E673C" w:rsidRDefault="004E673C" w:rsidP="004E673C">
      <w:pPr>
        <w:spacing w:after="0" w:line="480" w:lineRule="auto"/>
        <w:ind w:left="720" w:hanging="720"/>
        <w:jc w:val="both"/>
        <w:rPr>
          <w:rFonts w:eastAsia="Times New Roman"/>
          <w:szCs w:val="24"/>
        </w:rPr>
      </w:pPr>
      <w:r>
        <w:rPr>
          <w:rFonts w:eastAsia="Times New Roman"/>
          <w:b/>
          <w:szCs w:val="24"/>
        </w:rPr>
        <w:tab/>
      </w:r>
      <w:r>
        <w:rPr>
          <w:rFonts w:eastAsia="Times New Roman"/>
          <w:b/>
          <w:szCs w:val="24"/>
        </w:rPr>
        <w:tab/>
      </w:r>
      <w:r>
        <w:rPr>
          <w:rFonts w:eastAsia="Times New Roman"/>
          <w:szCs w:val="24"/>
        </w:rPr>
        <w:t>Further, I must take some issue with Mr. Ball’s quest for a “completely accurate COSS.”  While the “holy grail” of a perfect cost of service study is certainly desirable, it is unlikely to be achieved.  And, if it was achieved, we would have no way to know for sure that it has been.  Rather, rate setting routinely and properly relies on reasonable estimations of class cost of service, based on sound and supportable measurement techniques.</w:t>
      </w:r>
    </w:p>
    <w:p w:rsidR="004E673C" w:rsidRDefault="004E673C" w:rsidP="004E673C">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AT PAGE 14, MR. BALL CLAIMS THAT INCREASING RATES AMONG THE CUSTOMER CLASSES UNIFORMLY PROVIDES AN “APPEARANCE OF FAIRNESS.”  HOW DO YOU RESPOND?</w:t>
      </w:r>
    </w:p>
    <w:p w:rsidR="004E673C" w:rsidRDefault="004E673C" w:rsidP="004E673C">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As I indicated in my Response Testimony, Schedule 1 would need a 25% to 30% rate increase to provide the average return.  It does not appear fair for this class to receive the approved system average increase, which likely will be something below the 7.8% </w:t>
      </w:r>
      <w:r>
        <w:rPr>
          <w:rFonts w:eastAsia="Times New Roman"/>
          <w:szCs w:val="24"/>
        </w:rPr>
        <w:lastRenderedPageBreak/>
        <w:t xml:space="preserve">increase requested by Avista.  Rather than exhibiting fairness, an across-the-board increase would only prolong unnecessarily the existing unfairness in current rates.  </w:t>
      </w:r>
    </w:p>
    <w:p w:rsidR="004E673C" w:rsidRPr="003A2767" w:rsidRDefault="004E673C" w:rsidP="004E673C">
      <w:pPr>
        <w:spacing w:after="0" w:line="480" w:lineRule="auto"/>
        <w:ind w:left="720" w:hanging="720"/>
        <w:jc w:val="both"/>
        <w:rPr>
          <w:rFonts w:eastAsia="Times New Roman"/>
          <w:szCs w:val="24"/>
        </w:rPr>
      </w:pPr>
      <w:r>
        <w:rPr>
          <w:rFonts w:eastAsia="Times New Roman"/>
          <w:b/>
          <w:szCs w:val="24"/>
        </w:rPr>
        <w:tab/>
      </w:r>
      <w:r>
        <w:rPr>
          <w:rFonts w:eastAsia="Times New Roman"/>
          <w:b/>
          <w:szCs w:val="24"/>
        </w:rPr>
        <w:tab/>
      </w:r>
      <w:r>
        <w:rPr>
          <w:rFonts w:eastAsia="Times New Roman"/>
          <w:szCs w:val="24"/>
        </w:rPr>
        <w:t>All</w:t>
      </w:r>
      <w:r w:rsidR="00AC7B7E">
        <w:rPr>
          <w:rFonts w:eastAsia="Times New Roman"/>
          <w:szCs w:val="24"/>
        </w:rPr>
        <w:t xml:space="preserve"> </w:t>
      </w:r>
      <w:r>
        <w:rPr>
          <w:rFonts w:eastAsia="Times New Roman"/>
          <w:szCs w:val="24"/>
        </w:rPr>
        <w:t>in</w:t>
      </w:r>
      <w:r w:rsidR="00AC7B7E">
        <w:rPr>
          <w:rFonts w:eastAsia="Times New Roman"/>
          <w:szCs w:val="24"/>
        </w:rPr>
        <w:t xml:space="preserve"> </w:t>
      </w:r>
      <w:r>
        <w:rPr>
          <w:rFonts w:eastAsia="Times New Roman"/>
          <w:szCs w:val="24"/>
        </w:rPr>
        <w:t xml:space="preserve">all, the rate spread proposed by Avista in its </w:t>
      </w:r>
      <w:r w:rsidRPr="0007748F">
        <w:rPr>
          <w:rFonts w:eastAsia="Times New Roman"/>
          <w:szCs w:val="24"/>
        </w:rPr>
        <w:t>direct</w:t>
      </w:r>
      <w:r>
        <w:rPr>
          <w:rFonts w:eastAsia="Times New Roman"/>
          <w:szCs w:val="24"/>
        </w:rPr>
        <w:t xml:space="preserve"> testimony is reasonable, at the Company’s full requested increase.  It is based on Avista’s cost of service results and employs a level of moderation, as relates to rate Schedule 1 particularly, and allows for some movement toward cost of service.  I recommend it be adopted, with the caveats contained in my Response Testimony.</w:t>
      </w:r>
      <w:r w:rsidR="002F6331" w:rsidRPr="002F6331">
        <w:rPr>
          <w:rStyle w:val="FootnoteReference"/>
          <w:rFonts w:eastAsia="Times New Roman"/>
          <w:szCs w:val="24"/>
          <w:u w:val="single"/>
        </w:rPr>
        <w:footnoteReference w:id="9"/>
      </w:r>
      <w:r w:rsidR="002F6331" w:rsidRPr="002F6331">
        <w:rPr>
          <w:rFonts w:eastAsia="Times New Roman"/>
          <w:szCs w:val="24"/>
          <w:vertAlign w:val="superscript"/>
        </w:rPr>
        <w:t>/</w:t>
      </w:r>
      <w:r>
        <w:rPr>
          <w:rFonts w:eastAsia="Times New Roman"/>
          <w:szCs w:val="24"/>
        </w:rPr>
        <w:t xml:space="preserve">  </w:t>
      </w:r>
    </w:p>
    <w:p w:rsidR="004E673C" w:rsidRPr="00272C05" w:rsidRDefault="004E673C" w:rsidP="004E673C">
      <w:pPr>
        <w:autoSpaceDE w:val="0"/>
        <w:autoSpaceDN w:val="0"/>
        <w:adjustRightInd w:val="0"/>
        <w:ind w:left="720" w:hanging="720"/>
        <w:jc w:val="both"/>
        <w:rPr>
          <w:rFonts w:eastAsia="Times New Roman"/>
          <w:b/>
          <w:szCs w:val="24"/>
        </w:rPr>
      </w:pPr>
      <w:r w:rsidRPr="00272C05">
        <w:rPr>
          <w:rFonts w:eastAsia="Times New Roman"/>
          <w:b/>
          <w:szCs w:val="24"/>
        </w:rPr>
        <w:t>Q.</w:t>
      </w:r>
      <w:r w:rsidRPr="00272C05">
        <w:rPr>
          <w:rFonts w:eastAsia="Times New Roman"/>
          <w:b/>
          <w:szCs w:val="24"/>
        </w:rPr>
        <w:tab/>
        <w:t xml:space="preserve">DOES THIS CONCLUDE YOUR </w:t>
      </w:r>
      <w:r>
        <w:rPr>
          <w:rFonts w:eastAsia="Times New Roman"/>
          <w:b/>
          <w:szCs w:val="24"/>
        </w:rPr>
        <w:t>CROSS-ANSWERING</w:t>
      </w:r>
      <w:r w:rsidRPr="00272C05">
        <w:rPr>
          <w:rFonts w:eastAsia="Times New Roman"/>
          <w:b/>
          <w:szCs w:val="24"/>
        </w:rPr>
        <w:t xml:space="preserve"> TESTIMONY?</w:t>
      </w:r>
    </w:p>
    <w:p w:rsidR="004E673C" w:rsidRDefault="004E673C" w:rsidP="004E673C">
      <w:pPr>
        <w:tabs>
          <w:tab w:val="left" w:pos="1440"/>
          <w:tab w:val="left" w:pos="5472"/>
        </w:tabs>
        <w:spacing w:after="0" w:line="480" w:lineRule="auto"/>
        <w:ind w:left="720" w:hanging="720"/>
        <w:jc w:val="both"/>
        <w:rPr>
          <w:rFonts w:eastAsia="Times New Roman"/>
          <w:szCs w:val="24"/>
        </w:rPr>
      </w:pPr>
      <w:r w:rsidRPr="00272C05">
        <w:rPr>
          <w:rFonts w:eastAsia="Times New Roman"/>
          <w:b/>
          <w:szCs w:val="24"/>
        </w:rPr>
        <w:t>A.</w:t>
      </w:r>
      <w:r>
        <w:rPr>
          <w:rFonts w:eastAsia="Times New Roman"/>
          <w:szCs w:val="24"/>
        </w:rPr>
        <w:tab/>
        <w:t>Yes, it does.</w:t>
      </w:r>
    </w:p>
    <w:p w:rsidR="00E05B9F" w:rsidRPr="004E673C" w:rsidRDefault="00E05B9F" w:rsidP="004E673C">
      <w:pPr>
        <w:suppressLineNumbers/>
        <w:tabs>
          <w:tab w:val="left" w:pos="1440"/>
          <w:tab w:val="left" w:pos="5472"/>
        </w:tabs>
        <w:spacing w:after="0" w:line="480" w:lineRule="auto"/>
        <w:ind w:left="720" w:hanging="720"/>
        <w:jc w:val="both"/>
        <w:rPr>
          <w:rFonts w:eastAsia="Times New Roman"/>
          <w:sz w:val="12"/>
          <w:szCs w:val="12"/>
        </w:rPr>
      </w:pPr>
    </w:p>
    <w:sectPr w:rsidR="00E05B9F" w:rsidRPr="004E673C" w:rsidSect="00615DEE">
      <w:headerReference w:type="default" r:id="rId9"/>
      <w:footerReference w:type="default" r:id="rId10"/>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88" w:rsidRPr="001D1134" w:rsidRDefault="00594088" w:rsidP="00272C05">
      <w:pPr>
        <w:spacing w:after="0"/>
      </w:pPr>
      <w:r>
        <w:separator/>
      </w:r>
    </w:p>
  </w:endnote>
  <w:endnote w:type="continuationSeparator" w:id="0">
    <w:p w:rsidR="00594088" w:rsidRPr="001D1134" w:rsidRDefault="00594088" w:rsidP="00272C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AE" w:rsidRDefault="00A971AE" w:rsidP="00BC4CF7">
    <w:pPr>
      <w:pStyle w:val="Footer"/>
      <w:tabs>
        <w:tab w:val="clear" w:pos="9360"/>
        <w:tab w:val="right" w:pos="9090"/>
      </w:tabs>
    </w:pPr>
    <w:r>
      <w:t>Cross-Answering Testimony of Robert R. Stephens</w:t>
    </w:r>
    <w:r>
      <w:tab/>
    </w:r>
    <w:r w:rsidRPr="00F56E3F">
      <w:t>Exhibit No.</w:t>
    </w:r>
    <w:r>
      <w:t xml:space="preserve"> RRS</w:t>
    </w:r>
    <w:r w:rsidRPr="00F56E3F">
      <w:t>-</w:t>
    </w:r>
    <w:r w:rsidRPr="003F1E5E">
      <w:t>12T</w:t>
    </w:r>
  </w:p>
  <w:p w:rsidR="00A971AE" w:rsidRDefault="00A971AE" w:rsidP="00BC4CF7">
    <w:pPr>
      <w:pStyle w:val="Footer"/>
      <w:tabs>
        <w:tab w:val="clear" w:pos="4680"/>
        <w:tab w:val="clear" w:pos="9360"/>
        <w:tab w:val="right" w:pos="9090"/>
      </w:tabs>
    </w:pPr>
    <w:r w:rsidRPr="002277D2">
      <w:t>Docket</w:t>
    </w:r>
    <w:r>
      <w:t>s</w:t>
    </w:r>
    <w:r>
      <w:rPr>
        <w:smallCaps/>
      </w:rPr>
      <w:t xml:space="preserve"> </w:t>
    </w:r>
    <w:r w:rsidRPr="00B50343">
      <w:rPr>
        <w:rFonts w:eastAsia="Times New Roman" w:cs="Times New Roman"/>
        <w:smallCaps/>
        <w:szCs w:val="20"/>
      </w:rPr>
      <w:t>UE-</w:t>
    </w:r>
    <w:r>
      <w:rPr>
        <w:rFonts w:eastAsia="Times New Roman" w:cs="Times New Roman"/>
        <w:smallCaps/>
        <w:szCs w:val="20"/>
      </w:rPr>
      <w:t xml:space="preserve">160228 </w:t>
    </w:r>
    <w:r w:rsidRPr="00960816">
      <w:rPr>
        <w:rFonts w:eastAsia="Times New Roman" w:cs="Times New Roman"/>
        <w:szCs w:val="20"/>
      </w:rPr>
      <w:t>and</w:t>
    </w:r>
    <w:r>
      <w:rPr>
        <w:rFonts w:eastAsia="Times New Roman" w:cs="Times New Roman"/>
        <w:smallCaps/>
        <w:szCs w:val="20"/>
      </w:rPr>
      <w:t xml:space="preserve"> UG-160229 (</w:t>
    </w:r>
    <w:r>
      <w:rPr>
        <w:rFonts w:eastAsia="Times New Roman" w:cs="Times New Roman"/>
        <w:szCs w:val="20"/>
      </w:rPr>
      <w:t>Consolidated)</w:t>
    </w:r>
    <w:r>
      <w:tab/>
      <w:t xml:space="preserve">Page </w:t>
    </w:r>
    <w:r w:rsidR="00911C0B">
      <w:fldChar w:fldCharType="begin"/>
    </w:r>
    <w:r w:rsidR="00911C0B">
      <w:instrText xml:space="preserve"> PAGE   \* MERGEFORMAT </w:instrText>
    </w:r>
    <w:r w:rsidR="00911C0B">
      <w:fldChar w:fldCharType="separate"/>
    </w:r>
    <w:r w:rsidR="00B56681">
      <w:rPr>
        <w:noProof/>
      </w:rPr>
      <w:t>9</w:t>
    </w:r>
    <w:r w:rsidR="00911C0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88" w:rsidRPr="001D1134" w:rsidRDefault="00594088" w:rsidP="00272C05">
      <w:pPr>
        <w:spacing w:after="0"/>
      </w:pPr>
      <w:r>
        <w:separator/>
      </w:r>
    </w:p>
  </w:footnote>
  <w:footnote w:type="continuationSeparator" w:id="0">
    <w:p w:rsidR="00594088" w:rsidRPr="001D1134" w:rsidRDefault="00594088" w:rsidP="00272C05">
      <w:pPr>
        <w:spacing w:after="0"/>
      </w:pPr>
      <w:r>
        <w:continuationSeparator/>
      </w:r>
    </w:p>
  </w:footnote>
  <w:footnote w:id="1">
    <w:p w:rsidR="004E673C" w:rsidRDefault="004E673C" w:rsidP="004E673C">
      <w:pPr>
        <w:pStyle w:val="FootnoteText"/>
      </w:pPr>
      <w:r w:rsidRPr="009D1043">
        <w:rPr>
          <w:rStyle w:val="FootnoteReference"/>
          <w:u w:val="single"/>
        </w:rPr>
        <w:footnoteRef/>
      </w:r>
      <w:r w:rsidRPr="009D1043">
        <w:rPr>
          <w:vertAlign w:val="superscript"/>
        </w:rPr>
        <w:t>/</w:t>
      </w:r>
      <w:r w:rsidR="00B97C2D">
        <w:tab/>
      </w:r>
      <w:proofErr w:type="spellStart"/>
      <w:r w:rsidR="00B97C2D">
        <w:t>Exh</w:t>
      </w:r>
      <w:proofErr w:type="spellEnd"/>
      <w:r w:rsidR="00B97C2D">
        <w:t>.</w:t>
      </w:r>
      <w:r>
        <w:t xml:space="preserve"> No. JLB-1T at 6. </w:t>
      </w:r>
    </w:p>
  </w:footnote>
  <w:footnote w:id="2">
    <w:p w:rsidR="004E673C" w:rsidRPr="005A3C64" w:rsidRDefault="004E673C" w:rsidP="004E673C">
      <w:pPr>
        <w:pStyle w:val="FootnoteText"/>
      </w:pPr>
      <w:r w:rsidRPr="005A3C64">
        <w:rPr>
          <w:rStyle w:val="FootnoteReference"/>
          <w:u w:val="single"/>
        </w:rPr>
        <w:footnoteRef/>
      </w:r>
      <w:r w:rsidRPr="005A3C64">
        <w:rPr>
          <w:vertAlign w:val="superscript"/>
        </w:rPr>
        <w:t>/</w:t>
      </w:r>
      <w:r>
        <w:t xml:space="preserve"> </w:t>
      </w:r>
      <w:r>
        <w:tab/>
      </w:r>
      <w:r w:rsidRPr="002C221B">
        <w:rPr>
          <w:u w:val="single"/>
        </w:rPr>
        <w:t>Id.</w:t>
      </w:r>
      <w:r>
        <w:t xml:space="preserve"> at 7.</w:t>
      </w:r>
    </w:p>
  </w:footnote>
  <w:footnote w:id="3">
    <w:p w:rsidR="004E673C" w:rsidRDefault="004E673C" w:rsidP="004E673C">
      <w:pPr>
        <w:pStyle w:val="FootnoteText"/>
      </w:pPr>
      <w:r w:rsidRPr="002604A0">
        <w:rPr>
          <w:rStyle w:val="FootnoteReference"/>
          <w:u w:val="single"/>
        </w:rPr>
        <w:footnoteRef/>
      </w:r>
      <w:r w:rsidRPr="005A3C64">
        <w:rPr>
          <w:vertAlign w:val="superscript"/>
        </w:rPr>
        <w:t>/</w:t>
      </w:r>
      <w:r>
        <w:t xml:space="preserve"> </w:t>
      </w:r>
      <w:r>
        <w:tab/>
      </w:r>
      <w:r w:rsidRPr="002604A0">
        <w:t xml:space="preserve">I show </w:t>
      </w:r>
      <w:r>
        <w:t xml:space="preserve">this </w:t>
      </w:r>
      <w:r w:rsidRPr="002604A0">
        <w:t xml:space="preserve">in Table 4 of my </w:t>
      </w:r>
      <w:r>
        <w:t>R</w:t>
      </w:r>
      <w:r w:rsidRPr="002604A0">
        <w:t xml:space="preserve">esponse </w:t>
      </w:r>
      <w:r>
        <w:t>T</w:t>
      </w:r>
      <w:r w:rsidRPr="002604A0">
        <w:t>estimony</w:t>
      </w:r>
      <w:r>
        <w:t>.</w:t>
      </w:r>
    </w:p>
  </w:footnote>
  <w:footnote w:id="4">
    <w:p w:rsidR="004E673C" w:rsidRDefault="004E673C" w:rsidP="004E673C">
      <w:pPr>
        <w:pStyle w:val="FootnoteText"/>
        <w:ind w:left="720" w:hanging="720"/>
      </w:pPr>
      <w:r w:rsidRPr="00455E24">
        <w:rPr>
          <w:rStyle w:val="FootnoteReference"/>
          <w:u w:val="single"/>
        </w:rPr>
        <w:footnoteRef/>
      </w:r>
      <w:r w:rsidR="00455E24">
        <w:rPr>
          <w:vertAlign w:val="superscript"/>
        </w:rPr>
        <w:t>/</w:t>
      </w:r>
      <w:r>
        <w:t xml:space="preserve"> </w:t>
      </w:r>
      <w:r>
        <w:tab/>
      </w:r>
      <w:r w:rsidRPr="002A6A1A">
        <w:rPr>
          <w:u w:val="single"/>
        </w:rPr>
        <w:t>WUTC v. Avista</w:t>
      </w:r>
      <w:r>
        <w:t xml:space="preserve">, Dockets UE-160228 </w:t>
      </w:r>
      <w:r>
        <w:rPr>
          <w:i/>
        </w:rPr>
        <w:t>et al.</w:t>
      </w:r>
      <w:r>
        <w:t xml:space="preserve">, TLK-1T at 13 (Feb. 19, 2016); </w:t>
      </w:r>
      <w:r w:rsidRPr="0041270E">
        <w:rPr>
          <w:u w:val="single"/>
        </w:rPr>
        <w:t>WUTC v. Avista</w:t>
      </w:r>
      <w:r>
        <w:t xml:space="preserve">, Dockets UE-150204 </w:t>
      </w:r>
      <w:r>
        <w:rPr>
          <w:i/>
        </w:rPr>
        <w:t>et al.</w:t>
      </w:r>
      <w:r>
        <w:t xml:space="preserve">, TLK-1T at 14 (Feb. 9, 2015); </w:t>
      </w:r>
      <w:r w:rsidRPr="0041270E">
        <w:rPr>
          <w:u w:val="single"/>
        </w:rPr>
        <w:t>WUTC v. Avista</w:t>
      </w:r>
      <w:r>
        <w:t xml:space="preserve">, Dockets UE-140188 </w:t>
      </w:r>
      <w:r>
        <w:rPr>
          <w:i/>
        </w:rPr>
        <w:t>et al.</w:t>
      </w:r>
      <w:r>
        <w:t>, TLK-1T at 16 (Feb. 5, 2014);</w:t>
      </w:r>
      <w:r w:rsidDel="00030D87">
        <w:t xml:space="preserve"> </w:t>
      </w:r>
      <w:r>
        <w:rPr>
          <w:u w:val="single"/>
        </w:rPr>
        <w:t>WUTC v. Avista</w:t>
      </w:r>
      <w:r>
        <w:t xml:space="preserve">, Dockets UE-120436 </w:t>
      </w:r>
      <w:r>
        <w:rPr>
          <w:i/>
        </w:rPr>
        <w:t>et al.</w:t>
      </w:r>
      <w:r>
        <w:t xml:space="preserve">, TLK-1T at 18 (Apr. 2, 2012); </w:t>
      </w:r>
      <w:r>
        <w:rPr>
          <w:u w:val="single"/>
        </w:rPr>
        <w:t>WUTC v. Avista</w:t>
      </w:r>
      <w:r>
        <w:t xml:space="preserve">, Dockets UE-110876 </w:t>
      </w:r>
      <w:r>
        <w:rPr>
          <w:i/>
        </w:rPr>
        <w:t>et al</w:t>
      </w:r>
      <w:r>
        <w:t xml:space="preserve">, TLK-1T at 16 (May 16, 2011); </w:t>
      </w:r>
      <w:r>
        <w:rPr>
          <w:u w:val="single"/>
        </w:rPr>
        <w:t>WUTC v. Avista</w:t>
      </w:r>
      <w:r>
        <w:t xml:space="preserve">, Dockets UE-100467 </w:t>
      </w:r>
      <w:r>
        <w:rPr>
          <w:i/>
        </w:rPr>
        <w:t>et al.</w:t>
      </w:r>
      <w:r>
        <w:t xml:space="preserve">, TLK-1T at 15 (Mar. 23, 2010); </w:t>
      </w:r>
      <w:r w:rsidRPr="0041270E">
        <w:rPr>
          <w:u w:val="single"/>
        </w:rPr>
        <w:t>WUTC v. Avista</w:t>
      </w:r>
      <w:r>
        <w:t xml:space="preserve">, Dockets UE-090134 </w:t>
      </w:r>
      <w:r>
        <w:rPr>
          <w:i/>
        </w:rPr>
        <w:t>et al.</w:t>
      </w:r>
      <w:r>
        <w:t>, TLK-1T at 13 (Jan. 23, 2009).</w:t>
      </w:r>
    </w:p>
  </w:footnote>
  <w:footnote w:id="5">
    <w:p w:rsidR="004E673C" w:rsidRDefault="004E673C" w:rsidP="004E673C">
      <w:pPr>
        <w:pStyle w:val="FootnoteText"/>
        <w:ind w:left="720" w:hanging="720"/>
      </w:pPr>
      <w:r w:rsidRPr="002C00E6">
        <w:rPr>
          <w:rStyle w:val="FootnoteReference"/>
          <w:u w:val="single"/>
        </w:rPr>
        <w:footnoteRef/>
      </w:r>
      <w:r w:rsidRPr="002C00E6">
        <w:rPr>
          <w:vertAlign w:val="superscript"/>
        </w:rPr>
        <w:t>/</w:t>
      </w:r>
      <w:r>
        <w:t xml:space="preserve"> </w:t>
      </w:r>
      <w:r>
        <w:tab/>
        <w:t>Although I acknowledge that the Commission has not necessarily approved Avista’s measure of cost results in all of the years shown in Table 1, Avista is the only party to have computed these numbers in each of the years shown.  Furthermore, given that Avista’s production cost classification and allocation methods are highly favorable to low load factor classes, the true cost of serving Schedule 1 would likely result in even lower parity ratios than calculated by Avista.</w:t>
      </w:r>
    </w:p>
  </w:footnote>
  <w:footnote w:id="6">
    <w:p w:rsidR="004E673C" w:rsidRDefault="004E673C" w:rsidP="004E673C">
      <w:pPr>
        <w:pStyle w:val="FootnoteText"/>
      </w:pPr>
      <w:r w:rsidRPr="00EB40A4">
        <w:rPr>
          <w:rStyle w:val="FootnoteReference"/>
          <w:u w:val="single"/>
        </w:rPr>
        <w:footnoteRef/>
      </w:r>
      <w:r w:rsidRPr="002C00E6">
        <w:rPr>
          <w:vertAlign w:val="superscript"/>
        </w:rPr>
        <w:t>/</w:t>
      </w:r>
      <w:r>
        <w:t xml:space="preserve"> </w:t>
      </w:r>
      <w:r>
        <w:tab/>
      </w:r>
      <w:proofErr w:type="spellStart"/>
      <w:r>
        <w:t>Exh</w:t>
      </w:r>
      <w:proofErr w:type="spellEnd"/>
      <w:r>
        <w:t>. No. JLB-1T at 9 (emphasis in original).</w:t>
      </w:r>
    </w:p>
  </w:footnote>
  <w:footnote w:id="7">
    <w:p w:rsidR="00F41851" w:rsidRPr="00874EC1" w:rsidRDefault="00F41851" w:rsidP="00F41851">
      <w:pPr>
        <w:pStyle w:val="FootnoteText"/>
      </w:pPr>
      <w:r w:rsidRPr="00874EC1">
        <w:rPr>
          <w:rStyle w:val="FootnoteReference"/>
          <w:u w:val="single"/>
        </w:rPr>
        <w:footnoteRef/>
      </w:r>
      <w:r w:rsidRPr="00874EC1">
        <w:rPr>
          <w:vertAlign w:val="superscript"/>
        </w:rPr>
        <w:t>/</w:t>
      </w:r>
      <w:r>
        <w:t xml:space="preserve"> </w:t>
      </w:r>
      <w:r>
        <w:tab/>
      </w:r>
      <w:r w:rsidRPr="002C221B">
        <w:rPr>
          <w:u w:val="single"/>
        </w:rPr>
        <w:t>Id.</w:t>
      </w:r>
      <w:r>
        <w:t xml:space="preserve"> at 16.</w:t>
      </w:r>
    </w:p>
  </w:footnote>
  <w:footnote w:id="8">
    <w:p w:rsidR="00F41851" w:rsidRDefault="00F41851">
      <w:pPr>
        <w:pStyle w:val="FootnoteText"/>
      </w:pPr>
      <w:r w:rsidRPr="00455E24">
        <w:rPr>
          <w:rStyle w:val="FootnoteReference"/>
          <w:u w:val="single"/>
        </w:rPr>
        <w:footnoteRef/>
      </w:r>
      <w:r w:rsidR="00055EB0" w:rsidRPr="00455E24">
        <w:rPr>
          <w:vertAlign w:val="superscript"/>
        </w:rPr>
        <w:t>/</w:t>
      </w:r>
      <w:r>
        <w:t xml:space="preserve"> </w:t>
      </w:r>
      <w:r>
        <w:tab/>
      </w:r>
      <w:r w:rsidRPr="002C221B">
        <w:rPr>
          <w:u w:val="single"/>
        </w:rPr>
        <w:t>Id.</w:t>
      </w:r>
      <w:r>
        <w:t xml:space="preserve"> at</w:t>
      </w:r>
      <w:r w:rsidR="006944B1">
        <w:t xml:space="preserve"> 1</w:t>
      </w:r>
      <w:r w:rsidR="00655151">
        <w:t>4</w:t>
      </w:r>
      <w:r w:rsidR="006944B1">
        <w:t>.</w:t>
      </w:r>
    </w:p>
  </w:footnote>
  <w:footnote w:id="9">
    <w:p w:rsidR="002F6331" w:rsidRPr="002F6331" w:rsidRDefault="002F6331">
      <w:pPr>
        <w:pStyle w:val="FootnoteText"/>
        <w:rPr>
          <w:u w:val="single"/>
        </w:rPr>
      </w:pPr>
      <w:r w:rsidRPr="002F6331">
        <w:rPr>
          <w:rStyle w:val="FootnoteReference"/>
          <w:u w:val="single"/>
        </w:rPr>
        <w:footnoteRef/>
      </w:r>
      <w:r w:rsidRPr="002F6331">
        <w:rPr>
          <w:vertAlign w:val="superscript"/>
        </w:rPr>
        <w:t xml:space="preserve">/ </w:t>
      </w:r>
      <w:r w:rsidR="00B56681">
        <w:tab/>
      </w:r>
      <w:r w:rsidR="00B56681">
        <w:t>Exh.</w:t>
      </w:r>
      <w:bookmarkStart w:id="3" w:name="_GoBack"/>
      <w:bookmarkEnd w:id="3"/>
      <w:r>
        <w:t xml:space="preserve"> No. RRS-1TC at </w:t>
      </w:r>
      <w:r w:rsidR="0000614F">
        <w:t>36-38.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73C" w:rsidRPr="009C6185" w:rsidRDefault="004E673C" w:rsidP="009C6185">
    <w:pPr>
      <w:autoSpaceDE w:val="0"/>
      <w:autoSpaceDN w:val="0"/>
      <w:adjustRightInd w:val="0"/>
      <w:spacing w:after="0"/>
      <w:jc w:val="right"/>
      <w:rPr>
        <w:rFonts w:eastAsia="Times New Roman"/>
        <w:bCs/>
        <w:szCs w:val="24"/>
      </w:rPr>
    </w:pPr>
    <w:r w:rsidRPr="009C6185">
      <w:rPr>
        <w:rFonts w:eastAsia="Times New Roman"/>
        <w:bCs/>
        <w:szCs w:val="24"/>
      </w:rPr>
      <w:t>Exhibit No.</w:t>
    </w:r>
    <w:r>
      <w:rPr>
        <w:rFonts w:eastAsia="Times New Roman"/>
        <w:bCs/>
        <w:szCs w:val="24"/>
      </w:rPr>
      <w:t xml:space="preserve"> RRS</w:t>
    </w:r>
    <w:r w:rsidRPr="009C6185">
      <w:rPr>
        <w:rFonts w:eastAsia="Times New Roman"/>
        <w:bCs/>
        <w:szCs w:val="24"/>
      </w:rPr>
      <w:t>-</w:t>
    </w:r>
    <w:r w:rsidRPr="003F1E5E">
      <w:rPr>
        <w:rFonts w:eastAsia="Times New Roman"/>
        <w:bCs/>
        <w:szCs w:val="24"/>
      </w:rPr>
      <w:t>12T</w:t>
    </w:r>
  </w:p>
  <w:p w:rsidR="004E673C" w:rsidRPr="006A1A36" w:rsidRDefault="004E673C" w:rsidP="007937EC">
    <w:pPr>
      <w:autoSpaceDE w:val="0"/>
      <w:autoSpaceDN w:val="0"/>
      <w:adjustRightInd w:val="0"/>
      <w:spacing w:after="0"/>
      <w:jc w:val="right"/>
      <w:rPr>
        <w:bCs/>
        <w:szCs w:val="24"/>
      </w:rPr>
    </w:pPr>
    <w:r w:rsidRPr="006A1A36">
      <w:rPr>
        <w:bCs/>
        <w:szCs w:val="24"/>
      </w:rPr>
      <w:t>Dockets UE-1</w:t>
    </w:r>
    <w:r>
      <w:rPr>
        <w:bCs/>
        <w:szCs w:val="24"/>
      </w:rPr>
      <w:t>60228</w:t>
    </w:r>
    <w:r w:rsidRPr="006A1A36">
      <w:rPr>
        <w:bCs/>
        <w:szCs w:val="24"/>
      </w:rPr>
      <w:t>/UG-1</w:t>
    </w:r>
    <w:r>
      <w:rPr>
        <w:bCs/>
        <w:szCs w:val="24"/>
      </w:rPr>
      <w:t>60229</w:t>
    </w:r>
  </w:p>
  <w:p w:rsidR="004E673C" w:rsidRDefault="004E673C" w:rsidP="008D152E">
    <w:pPr>
      <w:tabs>
        <w:tab w:val="center" w:pos="4320"/>
        <w:tab w:val="right" w:pos="8640"/>
      </w:tabs>
      <w:spacing w:after="0"/>
      <w:jc w:val="right"/>
      <w:rPr>
        <w:rFonts w:eastAsia="Times New Roman"/>
        <w:bCs/>
        <w:szCs w:val="24"/>
      </w:rPr>
    </w:pPr>
    <w:r w:rsidRPr="009C6185">
      <w:rPr>
        <w:rFonts w:eastAsia="Times New Roman"/>
        <w:bCs/>
        <w:szCs w:val="24"/>
      </w:rPr>
      <w:t xml:space="preserve">Witness:  </w:t>
    </w:r>
    <w:r>
      <w:rPr>
        <w:rFonts w:eastAsia="Times New Roman"/>
        <w:bCs/>
        <w:szCs w:val="24"/>
      </w:rPr>
      <w:t>Robert R. Stephens</w:t>
    </w:r>
  </w:p>
  <w:p w:rsidR="004E673C" w:rsidRPr="00D618BA" w:rsidRDefault="004E673C" w:rsidP="008D152E">
    <w:pPr>
      <w:tabs>
        <w:tab w:val="center" w:pos="4320"/>
        <w:tab w:val="right" w:pos="8640"/>
      </w:tabs>
      <w:spacing w:after="0"/>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AE" w:rsidRPr="00615DEE" w:rsidRDefault="00A971AE" w:rsidP="00615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F14984"/>
    <w:multiLevelType w:val="hybridMultilevel"/>
    <w:tmpl w:val="2A264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7024F8"/>
    <w:multiLevelType w:val="hybridMultilevel"/>
    <w:tmpl w:val="E12A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1C691C"/>
    <w:multiLevelType w:val="hybridMultilevel"/>
    <w:tmpl w:val="4EF4554E"/>
    <w:lvl w:ilvl="0" w:tplc="F85CABAC">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2"/>
  </w:num>
  <w:num w:numId="5">
    <w:abstractNumId w:val="9"/>
  </w:num>
  <w:num w:numId="6">
    <w:abstractNumId w:val="0"/>
  </w:num>
  <w:num w:numId="7">
    <w:abstractNumId w:val="7"/>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05"/>
    <w:rsid w:val="000008ED"/>
    <w:rsid w:val="00000D42"/>
    <w:rsid w:val="00002F60"/>
    <w:rsid w:val="00003D3D"/>
    <w:rsid w:val="0000614F"/>
    <w:rsid w:val="0000645E"/>
    <w:rsid w:val="00007C1B"/>
    <w:rsid w:val="00010DAE"/>
    <w:rsid w:val="000138E1"/>
    <w:rsid w:val="00014873"/>
    <w:rsid w:val="00017C69"/>
    <w:rsid w:val="00017C71"/>
    <w:rsid w:val="00023825"/>
    <w:rsid w:val="0003177C"/>
    <w:rsid w:val="00031BA2"/>
    <w:rsid w:val="00035CFC"/>
    <w:rsid w:val="0003668C"/>
    <w:rsid w:val="00040AD7"/>
    <w:rsid w:val="00040B3F"/>
    <w:rsid w:val="0004169A"/>
    <w:rsid w:val="00041D3E"/>
    <w:rsid w:val="000452B7"/>
    <w:rsid w:val="00045638"/>
    <w:rsid w:val="00046C00"/>
    <w:rsid w:val="00053519"/>
    <w:rsid w:val="00055EB0"/>
    <w:rsid w:val="00057C01"/>
    <w:rsid w:val="000612A1"/>
    <w:rsid w:val="00061D07"/>
    <w:rsid w:val="000629B8"/>
    <w:rsid w:val="0007175F"/>
    <w:rsid w:val="00072B28"/>
    <w:rsid w:val="000745DA"/>
    <w:rsid w:val="0007748F"/>
    <w:rsid w:val="00081D4E"/>
    <w:rsid w:val="00082C74"/>
    <w:rsid w:val="00083886"/>
    <w:rsid w:val="0008400F"/>
    <w:rsid w:val="00084DC9"/>
    <w:rsid w:val="0008510F"/>
    <w:rsid w:val="00085346"/>
    <w:rsid w:val="00086972"/>
    <w:rsid w:val="000908C2"/>
    <w:rsid w:val="00091291"/>
    <w:rsid w:val="000913CD"/>
    <w:rsid w:val="00094B41"/>
    <w:rsid w:val="00097170"/>
    <w:rsid w:val="000A1645"/>
    <w:rsid w:val="000A193B"/>
    <w:rsid w:val="000A1CCF"/>
    <w:rsid w:val="000A3E60"/>
    <w:rsid w:val="000A4439"/>
    <w:rsid w:val="000A60C7"/>
    <w:rsid w:val="000B2E1A"/>
    <w:rsid w:val="000B406A"/>
    <w:rsid w:val="000B40E6"/>
    <w:rsid w:val="000B4204"/>
    <w:rsid w:val="000B721C"/>
    <w:rsid w:val="000C209B"/>
    <w:rsid w:val="000C2E64"/>
    <w:rsid w:val="000C4072"/>
    <w:rsid w:val="000C5097"/>
    <w:rsid w:val="000D4D1C"/>
    <w:rsid w:val="000D58B3"/>
    <w:rsid w:val="000D6B17"/>
    <w:rsid w:val="000E383E"/>
    <w:rsid w:val="000E43D2"/>
    <w:rsid w:val="000E44FE"/>
    <w:rsid w:val="000E53A7"/>
    <w:rsid w:val="000E638E"/>
    <w:rsid w:val="000F2043"/>
    <w:rsid w:val="000F36D1"/>
    <w:rsid w:val="000F3A0E"/>
    <w:rsid w:val="000F4B6A"/>
    <w:rsid w:val="000F4EEA"/>
    <w:rsid w:val="000F5C25"/>
    <w:rsid w:val="000F66A6"/>
    <w:rsid w:val="000F719A"/>
    <w:rsid w:val="0010034F"/>
    <w:rsid w:val="00107E84"/>
    <w:rsid w:val="00112600"/>
    <w:rsid w:val="0011546A"/>
    <w:rsid w:val="00115924"/>
    <w:rsid w:val="00116688"/>
    <w:rsid w:val="001243C8"/>
    <w:rsid w:val="00124C08"/>
    <w:rsid w:val="00125048"/>
    <w:rsid w:val="00131E80"/>
    <w:rsid w:val="00132146"/>
    <w:rsid w:val="00137049"/>
    <w:rsid w:val="001379CF"/>
    <w:rsid w:val="00137E4B"/>
    <w:rsid w:val="001412D4"/>
    <w:rsid w:val="00141E73"/>
    <w:rsid w:val="00146A09"/>
    <w:rsid w:val="0014729E"/>
    <w:rsid w:val="00150CB5"/>
    <w:rsid w:val="00153365"/>
    <w:rsid w:val="001560E2"/>
    <w:rsid w:val="00160231"/>
    <w:rsid w:val="001625CA"/>
    <w:rsid w:val="001625E2"/>
    <w:rsid w:val="001630AD"/>
    <w:rsid w:val="00163D5A"/>
    <w:rsid w:val="001647FD"/>
    <w:rsid w:val="0017095A"/>
    <w:rsid w:val="00171612"/>
    <w:rsid w:val="00173B0D"/>
    <w:rsid w:val="00173F72"/>
    <w:rsid w:val="00180C67"/>
    <w:rsid w:val="001841D2"/>
    <w:rsid w:val="001851BB"/>
    <w:rsid w:val="001853B2"/>
    <w:rsid w:val="001859A3"/>
    <w:rsid w:val="00186C1C"/>
    <w:rsid w:val="00187A85"/>
    <w:rsid w:val="001919BD"/>
    <w:rsid w:val="00192424"/>
    <w:rsid w:val="00194865"/>
    <w:rsid w:val="00196AAE"/>
    <w:rsid w:val="001A3320"/>
    <w:rsid w:val="001A4F35"/>
    <w:rsid w:val="001A69BD"/>
    <w:rsid w:val="001A6D58"/>
    <w:rsid w:val="001A76FD"/>
    <w:rsid w:val="001B2EEC"/>
    <w:rsid w:val="001C14AC"/>
    <w:rsid w:val="001C29E9"/>
    <w:rsid w:val="001C2B82"/>
    <w:rsid w:val="001C30D4"/>
    <w:rsid w:val="001C41B5"/>
    <w:rsid w:val="001C44E7"/>
    <w:rsid w:val="001C5F22"/>
    <w:rsid w:val="001D1D93"/>
    <w:rsid w:val="001D3D22"/>
    <w:rsid w:val="001E21A3"/>
    <w:rsid w:val="001E4578"/>
    <w:rsid w:val="001E71F7"/>
    <w:rsid w:val="001E78BE"/>
    <w:rsid w:val="001F37D5"/>
    <w:rsid w:val="001F3FC9"/>
    <w:rsid w:val="001F41A8"/>
    <w:rsid w:val="00200A5C"/>
    <w:rsid w:val="0020345C"/>
    <w:rsid w:val="002036F3"/>
    <w:rsid w:val="00204F29"/>
    <w:rsid w:val="00206239"/>
    <w:rsid w:val="00210485"/>
    <w:rsid w:val="00211389"/>
    <w:rsid w:val="00213505"/>
    <w:rsid w:val="00214511"/>
    <w:rsid w:val="00216881"/>
    <w:rsid w:val="002218B4"/>
    <w:rsid w:val="002218CD"/>
    <w:rsid w:val="00222835"/>
    <w:rsid w:val="00222D1A"/>
    <w:rsid w:val="002257AA"/>
    <w:rsid w:val="00231B06"/>
    <w:rsid w:val="0023376A"/>
    <w:rsid w:val="00233ABC"/>
    <w:rsid w:val="0023431C"/>
    <w:rsid w:val="00235348"/>
    <w:rsid w:val="0024057C"/>
    <w:rsid w:val="0024121A"/>
    <w:rsid w:val="00245518"/>
    <w:rsid w:val="00245F05"/>
    <w:rsid w:val="0025292D"/>
    <w:rsid w:val="002555EA"/>
    <w:rsid w:val="002604A0"/>
    <w:rsid w:val="002607EC"/>
    <w:rsid w:val="00263052"/>
    <w:rsid w:val="00265E33"/>
    <w:rsid w:val="002703F4"/>
    <w:rsid w:val="0027181D"/>
    <w:rsid w:val="00272285"/>
    <w:rsid w:val="00272845"/>
    <w:rsid w:val="00272A48"/>
    <w:rsid w:val="00272C05"/>
    <w:rsid w:val="00272DF9"/>
    <w:rsid w:val="00273BBA"/>
    <w:rsid w:val="0028052F"/>
    <w:rsid w:val="00280AE3"/>
    <w:rsid w:val="00282E66"/>
    <w:rsid w:val="00284C7F"/>
    <w:rsid w:val="00284D61"/>
    <w:rsid w:val="00291F88"/>
    <w:rsid w:val="002A2A3C"/>
    <w:rsid w:val="002B1D33"/>
    <w:rsid w:val="002B2399"/>
    <w:rsid w:val="002B4D94"/>
    <w:rsid w:val="002B6826"/>
    <w:rsid w:val="002C00E6"/>
    <w:rsid w:val="002C221B"/>
    <w:rsid w:val="002C313D"/>
    <w:rsid w:val="002C54ED"/>
    <w:rsid w:val="002C79EA"/>
    <w:rsid w:val="002C7D18"/>
    <w:rsid w:val="002D4528"/>
    <w:rsid w:val="002E0809"/>
    <w:rsid w:val="002E1505"/>
    <w:rsid w:val="002E2633"/>
    <w:rsid w:val="002E3331"/>
    <w:rsid w:val="002E368A"/>
    <w:rsid w:val="002E5457"/>
    <w:rsid w:val="002F21AF"/>
    <w:rsid w:val="002F2239"/>
    <w:rsid w:val="002F6331"/>
    <w:rsid w:val="002F65A3"/>
    <w:rsid w:val="003011B6"/>
    <w:rsid w:val="003056CB"/>
    <w:rsid w:val="003058CD"/>
    <w:rsid w:val="003114DC"/>
    <w:rsid w:val="003158B9"/>
    <w:rsid w:val="00315D60"/>
    <w:rsid w:val="00316787"/>
    <w:rsid w:val="0032124F"/>
    <w:rsid w:val="0032273A"/>
    <w:rsid w:val="00323B7C"/>
    <w:rsid w:val="00326D51"/>
    <w:rsid w:val="0032768C"/>
    <w:rsid w:val="0034036C"/>
    <w:rsid w:val="00344BAE"/>
    <w:rsid w:val="00346B72"/>
    <w:rsid w:val="00347A7C"/>
    <w:rsid w:val="00347DE9"/>
    <w:rsid w:val="003506AE"/>
    <w:rsid w:val="003529A1"/>
    <w:rsid w:val="00360C58"/>
    <w:rsid w:val="0036115D"/>
    <w:rsid w:val="003625D4"/>
    <w:rsid w:val="003628F0"/>
    <w:rsid w:val="00363D47"/>
    <w:rsid w:val="00365CC6"/>
    <w:rsid w:val="00367489"/>
    <w:rsid w:val="00367D52"/>
    <w:rsid w:val="00376A1B"/>
    <w:rsid w:val="00380410"/>
    <w:rsid w:val="00385FB0"/>
    <w:rsid w:val="00391BA8"/>
    <w:rsid w:val="00392233"/>
    <w:rsid w:val="003A2767"/>
    <w:rsid w:val="003A52EA"/>
    <w:rsid w:val="003A7275"/>
    <w:rsid w:val="003B0B33"/>
    <w:rsid w:val="003B1B2B"/>
    <w:rsid w:val="003B29D0"/>
    <w:rsid w:val="003B4DB3"/>
    <w:rsid w:val="003B5D32"/>
    <w:rsid w:val="003C03AD"/>
    <w:rsid w:val="003C238D"/>
    <w:rsid w:val="003C702C"/>
    <w:rsid w:val="003C7470"/>
    <w:rsid w:val="003C7F8F"/>
    <w:rsid w:val="003D6221"/>
    <w:rsid w:val="003D669C"/>
    <w:rsid w:val="003D7F3F"/>
    <w:rsid w:val="003E0626"/>
    <w:rsid w:val="003E3785"/>
    <w:rsid w:val="003F1D4F"/>
    <w:rsid w:val="003F1E5E"/>
    <w:rsid w:val="003F2B17"/>
    <w:rsid w:val="003F448F"/>
    <w:rsid w:val="003F55D1"/>
    <w:rsid w:val="003F63BC"/>
    <w:rsid w:val="00402042"/>
    <w:rsid w:val="0040261C"/>
    <w:rsid w:val="00410E9D"/>
    <w:rsid w:val="00412452"/>
    <w:rsid w:val="00414849"/>
    <w:rsid w:val="00420503"/>
    <w:rsid w:val="00422EA6"/>
    <w:rsid w:val="00426877"/>
    <w:rsid w:val="004273EC"/>
    <w:rsid w:val="004305CD"/>
    <w:rsid w:val="00433A84"/>
    <w:rsid w:val="00442A98"/>
    <w:rsid w:val="00445A7D"/>
    <w:rsid w:val="00446FC3"/>
    <w:rsid w:val="004475DC"/>
    <w:rsid w:val="004505D8"/>
    <w:rsid w:val="00455E24"/>
    <w:rsid w:val="00463AC0"/>
    <w:rsid w:val="0046413F"/>
    <w:rsid w:val="00464607"/>
    <w:rsid w:val="00464AF8"/>
    <w:rsid w:val="00467A22"/>
    <w:rsid w:val="00471A42"/>
    <w:rsid w:val="004732D5"/>
    <w:rsid w:val="0048091F"/>
    <w:rsid w:val="00480D2C"/>
    <w:rsid w:val="00481027"/>
    <w:rsid w:val="00482CA7"/>
    <w:rsid w:val="004844D1"/>
    <w:rsid w:val="00484A53"/>
    <w:rsid w:val="004860F1"/>
    <w:rsid w:val="00490DFE"/>
    <w:rsid w:val="00491182"/>
    <w:rsid w:val="0049130D"/>
    <w:rsid w:val="00493A56"/>
    <w:rsid w:val="00495303"/>
    <w:rsid w:val="00496F4D"/>
    <w:rsid w:val="004A06F1"/>
    <w:rsid w:val="004A184B"/>
    <w:rsid w:val="004A21B5"/>
    <w:rsid w:val="004A40D4"/>
    <w:rsid w:val="004A67F9"/>
    <w:rsid w:val="004A7C3E"/>
    <w:rsid w:val="004B04E8"/>
    <w:rsid w:val="004B1D9B"/>
    <w:rsid w:val="004B285F"/>
    <w:rsid w:val="004B4007"/>
    <w:rsid w:val="004C0A42"/>
    <w:rsid w:val="004C16B8"/>
    <w:rsid w:val="004C3048"/>
    <w:rsid w:val="004C78E0"/>
    <w:rsid w:val="004D0013"/>
    <w:rsid w:val="004D2521"/>
    <w:rsid w:val="004E09AF"/>
    <w:rsid w:val="004E1A69"/>
    <w:rsid w:val="004E3B2D"/>
    <w:rsid w:val="004E3B90"/>
    <w:rsid w:val="004E41FA"/>
    <w:rsid w:val="004E673C"/>
    <w:rsid w:val="004F0D18"/>
    <w:rsid w:val="004F30B8"/>
    <w:rsid w:val="004F6E2E"/>
    <w:rsid w:val="0050133F"/>
    <w:rsid w:val="005017A6"/>
    <w:rsid w:val="005027BA"/>
    <w:rsid w:val="005112DE"/>
    <w:rsid w:val="0051608D"/>
    <w:rsid w:val="00517169"/>
    <w:rsid w:val="00517C8A"/>
    <w:rsid w:val="00521A15"/>
    <w:rsid w:val="00521D67"/>
    <w:rsid w:val="005220A0"/>
    <w:rsid w:val="0052361B"/>
    <w:rsid w:val="00525D6B"/>
    <w:rsid w:val="0053044F"/>
    <w:rsid w:val="00533E01"/>
    <w:rsid w:val="00535B63"/>
    <w:rsid w:val="00536C35"/>
    <w:rsid w:val="00551E6C"/>
    <w:rsid w:val="00554856"/>
    <w:rsid w:val="005550A0"/>
    <w:rsid w:val="005570AE"/>
    <w:rsid w:val="00557F5D"/>
    <w:rsid w:val="0056115E"/>
    <w:rsid w:val="005643AA"/>
    <w:rsid w:val="00565275"/>
    <w:rsid w:val="005713AC"/>
    <w:rsid w:val="00571D79"/>
    <w:rsid w:val="00575A28"/>
    <w:rsid w:val="00577D28"/>
    <w:rsid w:val="00584F6B"/>
    <w:rsid w:val="005856F8"/>
    <w:rsid w:val="00594088"/>
    <w:rsid w:val="005972D6"/>
    <w:rsid w:val="005A1FC6"/>
    <w:rsid w:val="005A3C64"/>
    <w:rsid w:val="005A5970"/>
    <w:rsid w:val="005A7385"/>
    <w:rsid w:val="005A74ED"/>
    <w:rsid w:val="005A7782"/>
    <w:rsid w:val="005B1717"/>
    <w:rsid w:val="005B2601"/>
    <w:rsid w:val="005B27F5"/>
    <w:rsid w:val="005B2A8A"/>
    <w:rsid w:val="005B4493"/>
    <w:rsid w:val="005C0262"/>
    <w:rsid w:val="005C03F9"/>
    <w:rsid w:val="005C1739"/>
    <w:rsid w:val="005C4773"/>
    <w:rsid w:val="005C5BE8"/>
    <w:rsid w:val="005C789D"/>
    <w:rsid w:val="005D14CE"/>
    <w:rsid w:val="005D26D2"/>
    <w:rsid w:val="005D3115"/>
    <w:rsid w:val="005D4966"/>
    <w:rsid w:val="005E6CDA"/>
    <w:rsid w:val="005E7537"/>
    <w:rsid w:val="005F3FB6"/>
    <w:rsid w:val="005F4C7A"/>
    <w:rsid w:val="005F5958"/>
    <w:rsid w:val="006015D4"/>
    <w:rsid w:val="006041E7"/>
    <w:rsid w:val="0061258A"/>
    <w:rsid w:val="006132BF"/>
    <w:rsid w:val="00615DEE"/>
    <w:rsid w:val="00616B0E"/>
    <w:rsid w:val="0062152F"/>
    <w:rsid w:val="006251B7"/>
    <w:rsid w:val="00625439"/>
    <w:rsid w:val="006300D0"/>
    <w:rsid w:val="00630C42"/>
    <w:rsid w:val="00634393"/>
    <w:rsid w:val="00634A91"/>
    <w:rsid w:val="00640D68"/>
    <w:rsid w:val="00643E71"/>
    <w:rsid w:val="00650936"/>
    <w:rsid w:val="00653FD2"/>
    <w:rsid w:val="00655151"/>
    <w:rsid w:val="006551AD"/>
    <w:rsid w:val="0065577C"/>
    <w:rsid w:val="0065614D"/>
    <w:rsid w:val="00661251"/>
    <w:rsid w:val="0066208F"/>
    <w:rsid w:val="00662179"/>
    <w:rsid w:val="00666B64"/>
    <w:rsid w:val="00670F2F"/>
    <w:rsid w:val="00671EAA"/>
    <w:rsid w:val="00677A98"/>
    <w:rsid w:val="00681696"/>
    <w:rsid w:val="00683A88"/>
    <w:rsid w:val="00685BAC"/>
    <w:rsid w:val="0068757C"/>
    <w:rsid w:val="006944B1"/>
    <w:rsid w:val="006948B4"/>
    <w:rsid w:val="006969CB"/>
    <w:rsid w:val="006969CE"/>
    <w:rsid w:val="006A49DE"/>
    <w:rsid w:val="006A4DFB"/>
    <w:rsid w:val="006A71B3"/>
    <w:rsid w:val="006B2733"/>
    <w:rsid w:val="006B3925"/>
    <w:rsid w:val="006B5C4B"/>
    <w:rsid w:val="006C1B11"/>
    <w:rsid w:val="006C2EE9"/>
    <w:rsid w:val="006C3D4A"/>
    <w:rsid w:val="006C4136"/>
    <w:rsid w:val="006C42C2"/>
    <w:rsid w:val="006C4937"/>
    <w:rsid w:val="006C59A4"/>
    <w:rsid w:val="006D0409"/>
    <w:rsid w:val="006D070B"/>
    <w:rsid w:val="006D3286"/>
    <w:rsid w:val="006D3B52"/>
    <w:rsid w:val="006D3E9F"/>
    <w:rsid w:val="006D6581"/>
    <w:rsid w:val="006D7316"/>
    <w:rsid w:val="006E24DA"/>
    <w:rsid w:val="006E2933"/>
    <w:rsid w:val="006E31E8"/>
    <w:rsid w:val="006E5AD3"/>
    <w:rsid w:val="006F0926"/>
    <w:rsid w:val="006F1A06"/>
    <w:rsid w:val="006F31D5"/>
    <w:rsid w:val="006F5C3A"/>
    <w:rsid w:val="0070296A"/>
    <w:rsid w:val="007031CA"/>
    <w:rsid w:val="00704B7B"/>
    <w:rsid w:val="00705936"/>
    <w:rsid w:val="0070629E"/>
    <w:rsid w:val="007067FC"/>
    <w:rsid w:val="00707118"/>
    <w:rsid w:val="00707A2E"/>
    <w:rsid w:val="0071228E"/>
    <w:rsid w:val="00715F0C"/>
    <w:rsid w:val="00716EBA"/>
    <w:rsid w:val="00717432"/>
    <w:rsid w:val="00721F86"/>
    <w:rsid w:val="00722AC6"/>
    <w:rsid w:val="00725D23"/>
    <w:rsid w:val="00726FEE"/>
    <w:rsid w:val="007304F0"/>
    <w:rsid w:val="00732BEE"/>
    <w:rsid w:val="00733C26"/>
    <w:rsid w:val="00734CBD"/>
    <w:rsid w:val="007353AB"/>
    <w:rsid w:val="0073549B"/>
    <w:rsid w:val="00746728"/>
    <w:rsid w:val="00747142"/>
    <w:rsid w:val="00753D65"/>
    <w:rsid w:val="007540B2"/>
    <w:rsid w:val="007544D5"/>
    <w:rsid w:val="00757DE2"/>
    <w:rsid w:val="00761A9C"/>
    <w:rsid w:val="00762FA4"/>
    <w:rsid w:val="00763B1D"/>
    <w:rsid w:val="00764F94"/>
    <w:rsid w:val="00774778"/>
    <w:rsid w:val="00776DE9"/>
    <w:rsid w:val="0078006D"/>
    <w:rsid w:val="007832AA"/>
    <w:rsid w:val="00792992"/>
    <w:rsid w:val="007937EC"/>
    <w:rsid w:val="00793C62"/>
    <w:rsid w:val="00794782"/>
    <w:rsid w:val="00795A4C"/>
    <w:rsid w:val="0079643C"/>
    <w:rsid w:val="007A0693"/>
    <w:rsid w:val="007A1BE6"/>
    <w:rsid w:val="007A1E4A"/>
    <w:rsid w:val="007A2498"/>
    <w:rsid w:val="007A24BD"/>
    <w:rsid w:val="007A2B97"/>
    <w:rsid w:val="007A64CD"/>
    <w:rsid w:val="007A6692"/>
    <w:rsid w:val="007B2B18"/>
    <w:rsid w:val="007C0736"/>
    <w:rsid w:val="007C16B5"/>
    <w:rsid w:val="007C43CA"/>
    <w:rsid w:val="007D075A"/>
    <w:rsid w:val="007E0DCB"/>
    <w:rsid w:val="007E1A2C"/>
    <w:rsid w:val="007E222F"/>
    <w:rsid w:val="007E265D"/>
    <w:rsid w:val="007F0996"/>
    <w:rsid w:val="007F2A2A"/>
    <w:rsid w:val="007F6527"/>
    <w:rsid w:val="007F68CC"/>
    <w:rsid w:val="007F742F"/>
    <w:rsid w:val="007F790B"/>
    <w:rsid w:val="007F7CE8"/>
    <w:rsid w:val="008000CF"/>
    <w:rsid w:val="00800CFD"/>
    <w:rsid w:val="00803431"/>
    <w:rsid w:val="00810740"/>
    <w:rsid w:val="008109F9"/>
    <w:rsid w:val="00811D27"/>
    <w:rsid w:val="00812C85"/>
    <w:rsid w:val="00816885"/>
    <w:rsid w:val="00820110"/>
    <w:rsid w:val="00822010"/>
    <w:rsid w:val="008266C6"/>
    <w:rsid w:val="008309A7"/>
    <w:rsid w:val="00830C7D"/>
    <w:rsid w:val="00832739"/>
    <w:rsid w:val="00833DFC"/>
    <w:rsid w:val="00834F28"/>
    <w:rsid w:val="00836C6C"/>
    <w:rsid w:val="008402D6"/>
    <w:rsid w:val="0084275E"/>
    <w:rsid w:val="00844389"/>
    <w:rsid w:val="00845119"/>
    <w:rsid w:val="00845B1F"/>
    <w:rsid w:val="00845EF2"/>
    <w:rsid w:val="008506E8"/>
    <w:rsid w:val="00851E0D"/>
    <w:rsid w:val="00856732"/>
    <w:rsid w:val="00856BF8"/>
    <w:rsid w:val="00860369"/>
    <w:rsid w:val="008639E3"/>
    <w:rsid w:val="008666C4"/>
    <w:rsid w:val="00873455"/>
    <w:rsid w:val="00874EC1"/>
    <w:rsid w:val="00875E91"/>
    <w:rsid w:val="008779CF"/>
    <w:rsid w:val="00880C3D"/>
    <w:rsid w:val="00883C70"/>
    <w:rsid w:val="0088482B"/>
    <w:rsid w:val="00884D98"/>
    <w:rsid w:val="0088526F"/>
    <w:rsid w:val="00886710"/>
    <w:rsid w:val="00895719"/>
    <w:rsid w:val="008974B6"/>
    <w:rsid w:val="00897558"/>
    <w:rsid w:val="008A1CC6"/>
    <w:rsid w:val="008A4756"/>
    <w:rsid w:val="008C3048"/>
    <w:rsid w:val="008C41B3"/>
    <w:rsid w:val="008C4262"/>
    <w:rsid w:val="008C4480"/>
    <w:rsid w:val="008D152E"/>
    <w:rsid w:val="008D4F16"/>
    <w:rsid w:val="008D6D0C"/>
    <w:rsid w:val="008E703F"/>
    <w:rsid w:val="008E75A2"/>
    <w:rsid w:val="008E7AA8"/>
    <w:rsid w:val="008E7C33"/>
    <w:rsid w:val="008F1302"/>
    <w:rsid w:val="008F28AE"/>
    <w:rsid w:val="008F3720"/>
    <w:rsid w:val="008F4C94"/>
    <w:rsid w:val="008F5056"/>
    <w:rsid w:val="008F5954"/>
    <w:rsid w:val="0090573E"/>
    <w:rsid w:val="00906373"/>
    <w:rsid w:val="00907237"/>
    <w:rsid w:val="00907887"/>
    <w:rsid w:val="00911C0B"/>
    <w:rsid w:val="00913E29"/>
    <w:rsid w:val="00913F0A"/>
    <w:rsid w:val="009141DE"/>
    <w:rsid w:val="0091733A"/>
    <w:rsid w:val="009202CF"/>
    <w:rsid w:val="00922A55"/>
    <w:rsid w:val="009279AF"/>
    <w:rsid w:val="00930618"/>
    <w:rsid w:val="0093141A"/>
    <w:rsid w:val="00936A9D"/>
    <w:rsid w:val="009377B5"/>
    <w:rsid w:val="00943AB7"/>
    <w:rsid w:val="0094600C"/>
    <w:rsid w:val="00947E03"/>
    <w:rsid w:val="0095219B"/>
    <w:rsid w:val="00952525"/>
    <w:rsid w:val="009529FF"/>
    <w:rsid w:val="00953296"/>
    <w:rsid w:val="009533B9"/>
    <w:rsid w:val="009558CC"/>
    <w:rsid w:val="00957527"/>
    <w:rsid w:val="009578A3"/>
    <w:rsid w:val="00960816"/>
    <w:rsid w:val="00962367"/>
    <w:rsid w:val="0096313C"/>
    <w:rsid w:val="0096452B"/>
    <w:rsid w:val="009647B0"/>
    <w:rsid w:val="00966432"/>
    <w:rsid w:val="00970C27"/>
    <w:rsid w:val="00970D4A"/>
    <w:rsid w:val="00970FF3"/>
    <w:rsid w:val="00971769"/>
    <w:rsid w:val="0097208D"/>
    <w:rsid w:val="00973349"/>
    <w:rsid w:val="00974579"/>
    <w:rsid w:val="00974A02"/>
    <w:rsid w:val="00980A35"/>
    <w:rsid w:val="00980E41"/>
    <w:rsid w:val="00983315"/>
    <w:rsid w:val="00986094"/>
    <w:rsid w:val="009868F6"/>
    <w:rsid w:val="00987BB5"/>
    <w:rsid w:val="009903A3"/>
    <w:rsid w:val="009931AF"/>
    <w:rsid w:val="00995E8F"/>
    <w:rsid w:val="009A00EA"/>
    <w:rsid w:val="009A3C24"/>
    <w:rsid w:val="009A47CC"/>
    <w:rsid w:val="009A4C96"/>
    <w:rsid w:val="009A53E3"/>
    <w:rsid w:val="009A65EA"/>
    <w:rsid w:val="009B1724"/>
    <w:rsid w:val="009B4BCB"/>
    <w:rsid w:val="009C173E"/>
    <w:rsid w:val="009C2A59"/>
    <w:rsid w:val="009C6185"/>
    <w:rsid w:val="009D0CC8"/>
    <w:rsid w:val="009D1043"/>
    <w:rsid w:val="009D1DB7"/>
    <w:rsid w:val="009D411F"/>
    <w:rsid w:val="009D48FE"/>
    <w:rsid w:val="009E2148"/>
    <w:rsid w:val="009F0236"/>
    <w:rsid w:val="009F18A3"/>
    <w:rsid w:val="009F4033"/>
    <w:rsid w:val="009F7C14"/>
    <w:rsid w:val="00A0132C"/>
    <w:rsid w:val="00A018A1"/>
    <w:rsid w:val="00A0478E"/>
    <w:rsid w:val="00A052FA"/>
    <w:rsid w:val="00A07B83"/>
    <w:rsid w:val="00A114D5"/>
    <w:rsid w:val="00A14178"/>
    <w:rsid w:val="00A20C0D"/>
    <w:rsid w:val="00A2705E"/>
    <w:rsid w:val="00A3672A"/>
    <w:rsid w:val="00A36F15"/>
    <w:rsid w:val="00A41A48"/>
    <w:rsid w:val="00A44E06"/>
    <w:rsid w:val="00A44F97"/>
    <w:rsid w:val="00A4726D"/>
    <w:rsid w:val="00A47372"/>
    <w:rsid w:val="00A5049F"/>
    <w:rsid w:val="00A51D1F"/>
    <w:rsid w:val="00A535C9"/>
    <w:rsid w:val="00A5614B"/>
    <w:rsid w:val="00A61A87"/>
    <w:rsid w:val="00A61E32"/>
    <w:rsid w:val="00A63A7B"/>
    <w:rsid w:val="00A665F9"/>
    <w:rsid w:val="00A67BDA"/>
    <w:rsid w:val="00A705DC"/>
    <w:rsid w:val="00A72AF9"/>
    <w:rsid w:val="00A76F47"/>
    <w:rsid w:val="00A80B9D"/>
    <w:rsid w:val="00A82053"/>
    <w:rsid w:val="00A82215"/>
    <w:rsid w:val="00A82F93"/>
    <w:rsid w:val="00A835E6"/>
    <w:rsid w:val="00A838C0"/>
    <w:rsid w:val="00A84C38"/>
    <w:rsid w:val="00A86B2A"/>
    <w:rsid w:val="00A90854"/>
    <w:rsid w:val="00A9125C"/>
    <w:rsid w:val="00A92450"/>
    <w:rsid w:val="00A94448"/>
    <w:rsid w:val="00A9526D"/>
    <w:rsid w:val="00A95805"/>
    <w:rsid w:val="00A96B3C"/>
    <w:rsid w:val="00A971AE"/>
    <w:rsid w:val="00AA0BA7"/>
    <w:rsid w:val="00AA2036"/>
    <w:rsid w:val="00AA225E"/>
    <w:rsid w:val="00AA5291"/>
    <w:rsid w:val="00AB1BC9"/>
    <w:rsid w:val="00AB1C72"/>
    <w:rsid w:val="00AB558F"/>
    <w:rsid w:val="00AB600A"/>
    <w:rsid w:val="00AC082B"/>
    <w:rsid w:val="00AC265F"/>
    <w:rsid w:val="00AC2AFD"/>
    <w:rsid w:val="00AC2CE3"/>
    <w:rsid w:val="00AC4D87"/>
    <w:rsid w:val="00AC5939"/>
    <w:rsid w:val="00AC7B7E"/>
    <w:rsid w:val="00AD252E"/>
    <w:rsid w:val="00AD2F89"/>
    <w:rsid w:val="00AD4461"/>
    <w:rsid w:val="00AE58F1"/>
    <w:rsid w:val="00AE608C"/>
    <w:rsid w:val="00AE6818"/>
    <w:rsid w:val="00AE6970"/>
    <w:rsid w:val="00AE6CF0"/>
    <w:rsid w:val="00AF10B4"/>
    <w:rsid w:val="00B00D47"/>
    <w:rsid w:val="00B015B6"/>
    <w:rsid w:val="00B06733"/>
    <w:rsid w:val="00B0723A"/>
    <w:rsid w:val="00B11855"/>
    <w:rsid w:val="00B173A7"/>
    <w:rsid w:val="00B20D45"/>
    <w:rsid w:val="00B24F2E"/>
    <w:rsid w:val="00B26A48"/>
    <w:rsid w:val="00B271B5"/>
    <w:rsid w:val="00B30786"/>
    <w:rsid w:val="00B3703D"/>
    <w:rsid w:val="00B37C46"/>
    <w:rsid w:val="00B420E3"/>
    <w:rsid w:val="00B4456D"/>
    <w:rsid w:val="00B44CCF"/>
    <w:rsid w:val="00B47F24"/>
    <w:rsid w:val="00B50343"/>
    <w:rsid w:val="00B50FC3"/>
    <w:rsid w:val="00B5123A"/>
    <w:rsid w:val="00B5142B"/>
    <w:rsid w:val="00B56681"/>
    <w:rsid w:val="00B56DC5"/>
    <w:rsid w:val="00B61B4F"/>
    <w:rsid w:val="00B6273A"/>
    <w:rsid w:val="00B63435"/>
    <w:rsid w:val="00B64DB3"/>
    <w:rsid w:val="00B64DD1"/>
    <w:rsid w:val="00B66DEB"/>
    <w:rsid w:val="00B7072F"/>
    <w:rsid w:val="00B741EA"/>
    <w:rsid w:val="00B76E20"/>
    <w:rsid w:val="00B8119E"/>
    <w:rsid w:val="00B81D29"/>
    <w:rsid w:val="00B83AF1"/>
    <w:rsid w:val="00B909E0"/>
    <w:rsid w:val="00B91609"/>
    <w:rsid w:val="00B928CC"/>
    <w:rsid w:val="00B96BBC"/>
    <w:rsid w:val="00B97C2D"/>
    <w:rsid w:val="00BA3BCD"/>
    <w:rsid w:val="00BA4321"/>
    <w:rsid w:val="00BA5BB9"/>
    <w:rsid w:val="00BA78BD"/>
    <w:rsid w:val="00BB13B6"/>
    <w:rsid w:val="00BB1FC8"/>
    <w:rsid w:val="00BB25AF"/>
    <w:rsid w:val="00BB5A69"/>
    <w:rsid w:val="00BB6057"/>
    <w:rsid w:val="00BB7084"/>
    <w:rsid w:val="00BC1793"/>
    <w:rsid w:val="00BC383B"/>
    <w:rsid w:val="00BC4C2C"/>
    <w:rsid w:val="00BC4CF7"/>
    <w:rsid w:val="00BC4E03"/>
    <w:rsid w:val="00BC685D"/>
    <w:rsid w:val="00BD171A"/>
    <w:rsid w:val="00BE20B4"/>
    <w:rsid w:val="00BF162F"/>
    <w:rsid w:val="00BF58FD"/>
    <w:rsid w:val="00BF6083"/>
    <w:rsid w:val="00C0149C"/>
    <w:rsid w:val="00C10281"/>
    <w:rsid w:val="00C109FB"/>
    <w:rsid w:val="00C11BF3"/>
    <w:rsid w:val="00C17110"/>
    <w:rsid w:val="00C20A91"/>
    <w:rsid w:val="00C25D3F"/>
    <w:rsid w:val="00C31647"/>
    <w:rsid w:val="00C35744"/>
    <w:rsid w:val="00C445D7"/>
    <w:rsid w:val="00C5412D"/>
    <w:rsid w:val="00C57CBC"/>
    <w:rsid w:val="00C60423"/>
    <w:rsid w:val="00C6075B"/>
    <w:rsid w:val="00C6271A"/>
    <w:rsid w:val="00C6630C"/>
    <w:rsid w:val="00C7453D"/>
    <w:rsid w:val="00C80822"/>
    <w:rsid w:val="00C80C18"/>
    <w:rsid w:val="00C813F6"/>
    <w:rsid w:val="00C8303C"/>
    <w:rsid w:val="00C839AC"/>
    <w:rsid w:val="00C83AD5"/>
    <w:rsid w:val="00C94A4A"/>
    <w:rsid w:val="00C95257"/>
    <w:rsid w:val="00C95FD6"/>
    <w:rsid w:val="00C96E1C"/>
    <w:rsid w:val="00C971ED"/>
    <w:rsid w:val="00CA06BE"/>
    <w:rsid w:val="00CA1211"/>
    <w:rsid w:val="00CA191A"/>
    <w:rsid w:val="00CA2A88"/>
    <w:rsid w:val="00CA40B5"/>
    <w:rsid w:val="00CA4C1C"/>
    <w:rsid w:val="00CA6507"/>
    <w:rsid w:val="00CA7506"/>
    <w:rsid w:val="00CB11D8"/>
    <w:rsid w:val="00CB18F7"/>
    <w:rsid w:val="00CB3D0A"/>
    <w:rsid w:val="00CB5F95"/>
    <w:rsid w:val="00CB7AC7"/>
    <w:rsid w:val="00CC6FFF"/>
    <w:rsid w:val="00CD09DB"/>
    <w:rsid w:val="00CD185C"/>
    <w:rsid w:val="00CD1A9B"/>
    <w:rsid w:val="00CD3B55"/>
    <w:rsid w:val="00CD3CB5"/>
    <w:rsid w:val="00CD727B"/>
    <w:rsid w:val="00CE2F88"/>
    <w:rsid w:val="00CE3FAF"/>
    <w:rsid w:val="00CE7AD8"/>
    <w:rsid w:val="00CF0EF2"/>
    <w:rsid w:val="00CF2202"/>
    <w:rsid w:val="00CF383B"/>
    <w:rsid w:val="00CF427C"/>
    <w:rsid w:val="00D001CC"/>
    <w:rsid w:val="00D0070C"/>
    <w:rsid w:val="00D06416"/>
    <w:rsid w:val="00D07531"/>
    <w:rsid w:val="00D07B66"/>
    <w:rsid w:val="00D13ACA"/>
    <w:rsid w:val="00D22D7D"/>
    <w:rsid w:val="00D26BEC"/>
    <w:rsid w:val="00D3145A"/>
    <w:rsid w:val="00D3188C"/>
    <w:rsid w:val="00D31A7A"/>
    <w:rsid w:val="00D31B9D"/>
    <w:rsid w:val="00D31CEA"/>
    <w:rsid w:val="00D32045"/>
    <w:rsid w:val="00D36C66"/>
    <w:rsid w:val="00D415F9"/>
    <w:rsid w:val="00D420FD"/>
    <w:rsid w:val="00D42959"/>
    <w:rsid w:val="00D43AC3"/>
    <w:rsid w:val="00D44594"/>
    <w:rsid w:val="00D4638B"/>
    <w:rsid w:val="00D511CD"/>
    <w:rsid w:val="00D52A76"/>
    <w:rsid w:val="00D54E3C"/>
    <w:rsid w:val="00D56AFE"/>
    <w:rsid w:val="00D6053D"/>
    <w:rsid w:val="00D618BA"/>
    <w:rsid w:val="00D619B0"/>
    <w:rsid w:val="00D63844"/>
    <w:rsid w:val="00D7446B"/>
    <w:rsid w:val="00D7464D"/>
    <w:rsid w:val="00D758BA"/>
    <w:rsid w:val="00D75A12"/>
    <w:rsid w:val="00D82214"/>
    <w:rsid w:val="00D82856"/>
    <w:rsid w:val="00D828DA"/>
    <w:rsid w:val="00D843DB"/>
    <w:rsid w:val="00D8469D"/>
    <w:rsid w:val="00D8571E"/>
    <w:rsid w:val="00D86149"/>
    <w:rsid w:val="00D92372"/>
    <w:rsid w:val="00D92391"/>
    <w:rsid w:val="00D92926"/>
    <w:rsid w:val="00D941BA"/>
    <w:rsid w:val="00DA11C5"/>
    <w:rsid w:val="00DA3E89"/>
    <w:rsid w:val="00DA4C35"/>
    <w:rsid w:val="00DA51D5"/>
    <w:rsid w:val="00DA55BE"/>
    <w:rsid w:val="00DA6D35"/>
    <w:rsid w:val="00DB43EA"/>
    <w:rsid w:val="00DB48CF"/>
    <w:rsid w:val="00DC09C2"/>
    <w:rsid w:val="00DC193F"/>
    <w:rsid w:val="00DC2C59"/>
    <w:rsid w:val="00DC3267"/>
    <w:rsid w:val="00DC7217"/>
    <w:rsid w:val="00DC7586"/>
    <w:rsid w:val="00DD4815"/>
    <w:rsid w:val="00DD534F"/>
    <w:rsid w:val="00DD59A3"/>
    <w:rsid w:val="00DD735E"/>
    <w:rsid w:val="00DE379F"/>
    <w:rsid w:val="00DE3FCF"/>
    <w:rsid w:val="00DF3366"/>
    <w:rsid w:val="00DF5C2E"/>
    <w:rsid w:val="00DF62D8"/>
    <w:rsid w:val="00E004AE"/>
    <w:rsid w:val="00E05B9F"/>
    <w:rsid w:val="00E0738C"/>
    <w:rsid w:val="00E07707"/>
    <w:rsid w:val="00E10732"/>
    <w:rsid w:val="00E16877"/>
    <w:rsid w:val="00E17009"/>
    <w:rsid w:val="00E20BF2"/>
    <w:rsid w:val="00E2584E"/>
    <w:rsid w:val="00E36397"/>
    <w:rsid w:val="00E40003"/>
    <w:rsid w:val="00E40428"/>
    <w:rsid w:val="00E5026E"/>
    <w:rsid w:val="00E50C36"/>
    <w:rsid w:val="00E51C72"/>
    <w:rsid w:val="00E54AD6"/>
    <w:rsid w:val="00E560DA"/>
    <w:rsid w:val="00E56305"/>
    <w:rsid w:val="00E56AAF"/>
    <w:rsid w:val="00E60094"/>
    <w:rsid w:val="00E616DD"/>
    <w:rsid w:val="00E6263C"/>
    <w:rsid w:val="00E63C40"/>
    <w:rsid w:val="00E72D1C"/>
    <w:rsid w:val="00E82DDC"/>
    <w:rsid w:val="00E841CD"/>
    <w:rsid w:val="00E85A31"/>
    <w:rsid w:val="00E866A1"/>
    <w:rsid w:val="00E946BE"/>
    <w:rsid w:val="00E947CD"/>
    <w:rsid w:val="00E95081"/>
    <w:rsid w:val="00E95537"/>
    <w:rsid w:val="00E96DB7"/>
    <w:rsid w:val="00EA4D30"/>
    <w:rsid w:val="00EA5632"/>
    <w:rsid w:val="00EA5ABA"/>
    <w:rsid w:val="00EB02CC"/>
    <w:rsid w:val="00EB40A4"/>
    <w:rsid w:val="00EB5624"/>
    <w:rsid w:val="00EB56CD"/>
    <w:rsid w:val="00EB7AC3"/>
    <w:rsid w:val="00EB7DED"/>
    <w:rsid w:val="00EC08B0"/>
    <w:rsid w:val="00EC44EC"/>
    <w:rsid w:val="00ED0C14"/>
    <w:rsid w:val="00ED2679"/>
    <w:rsid w:val="00ED507C"/>
    <w:rsid w:val="00ED6FF9"/>
    <w:rsid w:val="00ED7B35"/>
    <w:rsid w:val="00EE2682"/>
    <w:rsid w:val="00EE6CFF"/>
    <w:rsid w:val="00EF11F0"/>
    <w:rsid w:val="00EF1719"/>
    <w:rsid w:val="00EF587E"/>
    <w:rsid w:val="00EF5F1B"/>
    <w:rsid w:val="00EF7EAB"/>
    <w:rsid w:val="00F00530"/>
    <w:rsid w:val="00F07DA3"/>
    <w:rsid w:val="00F14737"/>
    <w:rsid w:val="00F17B5B"/>
    <w:rsid w:val="00F226B5"/>
    <w:rsid w:val="00F23D6E"/>
    <w:rsid w:val="00F24C99"/>
    <w:rsid w:val="00F25B40"/>
    <w:rsid w:val="00F268B7"/>
    <w:rsid w:val="00F309A9"/>
    <w:rsid w:val="00F3596F"/>
    <w:rsid w:val="00F363CB"/>
    <w:rsid w:val="00F41851"/>
    <w:rsid w:val="00F43AE3"/>
    <w:rsid w:val="00F442AA"/>
    <w:rsid w:val="00F44F6C"/>
    <w:rsid w:val="00F50AC4"/>
    <w:rsid w:val="00F510F2"/>
    <w:rsid w:val="00F5139E"/>
    <w:rsid w:val="00F56335"/>
    <w:rsid w:val="00F602ED"/>
    <w:rsid w:val="00F65743"/>
    <w:rsid w:val="00F65AF3"/>
    <w:rsid w:val="00F70407"/>
    <w:rsid w:val="00F70A9F"/>
    <w:rsid w:val="00F70BDE"/>
    <w:rsid w:val="00F71129"/>
    <w:rsid w:val="00F7452D"/>
    <w:rsid w:val="00F75B8F"/>
    <w:rsid w:val="00F761FC"/>
    <w:rsid w:val="00F767B8"/>
    <w:rsid w:val="00F777C9"/>
    <w:rsid w:val="00F77974"/>
    <w:rsid w:val="00F77CB3"/>
    <w:rsid w:val="00F816B8"/>
    <w:rsid w:val="00F836B0"/>
    <w:rsid w:val="00F8479B"/>
    <w:rsid w:val="00F85573"/>
    <w:rsid w:val="00F86BE7"/>
    <w:rsid w:val="00F878AB"/>
    <w:rsid w:val="00F90EBB"/>
    <w:rsid w:val="00F92000"/>
    <w:rsid w:val="00F9648E"/>
    <w:rsid w:val="00F96823"/>
    <w:rsid w:val="00F969C2"/>
    <w:rsid w:val="00FA195B"/>
    <w:rsid w:val="00FA5347"/>
    <w:rsid w:val="00FA6AF6"/>
    <w:rsid w:val="00FA6BAC"/>
    <w:rsid w:val="00FA6D03"/>
    <w:rsid w:val="00FA7D8C"/>
    <w:rsid w:val="00FB0C16"/>
    <w:rsid w:val="00FB42BD"/>
    <w:rsid w:val="00FC2625"/>
    <w:rsid w:val="00FC4649"/>
    <w:rsid w:val="00FC49B1"/>
    <w:rsid w:val="00FD09D0"/>
    <w:rsid w:val="00FD0A68"/>
    <w:rsid w:val="00FD5D3E"/>
    <w:rsid w:val="00FD5F67"/>
    <w:rsid w:val="00FD61B7"/>
    <w:rsid w:val="00FD7766"/>
    <w:rsid w:val="00FE35D1"/>
    <w:rsid w:val="00FE3B07"/>
    <w:rsid w:val="00FF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DFA3"/>
  <w15:docId w15:val="{B6BC4B0B-E635-4B44-BAE7-B9570B5C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uiPriority w:val="9"/>
    <w:unhideWhenUsed/>
    <w:qFormat/>
    <w:rsid w:val="00010DAE"/>
    <w:pPr>
      <w:spacing w:before="200" w:after="0" w:line="480" w:lineRule="auto"/>
      <w:outlineLvl w:val="1"/>
    </w:pPr>
    <w:rPr>
      <w:rFonts w:ascii="Times New Roman Bold" w:eastAsiaTheme="majorEastAsia" w:hAnsi="Times New Roman Bold" w:cstheme="majorBidi"/>
      <w:b/>
      <w:bCs/>
      <w:szCs w:val="26"/>
      <w:u w:val="single"/>
    </w:rPr>
  </w:style>
  <w:style w:type="paragraph" w:styleId="Heading5">
    <w:name w:val="heading 5"/>
    <w:basedOn w:val="Normal"/>
    <w:next w:val="Normal"/>
    <w:link w:val="Heading5Char"/>
    <w:uiPriority w:val="9"/>
    <w:semiHidden/>
    <w:unhideWhenUsed/>
    <w:qFormat/>
    <w:rsid w:val="00B64D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C05"/>
    <w:pPr>
      <w:tabs>
        <w:tab w:val="center" w:pos="4680"/>
        <w:tab w:val="right" w:pos="9360"/>
      </w:tabs>
      <w:spacing w:after="0"/>
    </w:pPr>
  </w:style>
  <w:style w:type="character" w:customStyle="1" w:styleId="HeaderChar">
    <w:name w:val="Header Char"/>
    <w:basedOn w:val="DefaultParagraphFont"/>
    <w:link w:val="Header"/>
    <w:rsid w:val="00272C05"/>
    <w:rPr>
      <w:rFonts w:ascii="Times New Roman" w:hAnsi="Times New Roman"/>
      <w:sz w:val="24"/>
    </w:rPr>
  </w:style>
  <w:style w:type="paragraph" w:styleId="Footer">
    <w:name w:val="footer"/>
    <w:basedOn w:val="Normal"/>
    <w:link w:val="FooterChar"/>
    <w:unhideWhenUsed/>
    <w:rsid w:val="00272C05"/>
    <w:pPr>
      <w:tabs>
        <w:tab w:val="center" w:pos="4680"/>
        <w:tab w:val="right" w:pos="9360"/>
      </w:tabs>
      <w:spacing w:after="0"/>
    </w:pPr>
  </w:style>
  <w:style w:type="character" w:customStyle="1" w:styleId="FooterChar">
    <w:name w:val="Footer Char"/>
    <w:basedOn w:val="DefaultParagraphFont"/>
    <w:link w:val="Footer"/>
    <w:rsid w:val="00272C05"/>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qFormat/>
    <w:rsid w:val="00C95FD6"/>
    <w:pPr>
      <w:spacing w:after="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95FD6"/>
    <w:rPr>
      <w:rFonts w:ascii="Times New Roman" w:hAnsi="Times New Roman"/>
      <w:szCs w:val="20"/>
    </w:rPr>
  </w:style>
  <w:style w:type="character" w:styleId="PageNumber">
    <w:name w:val="page number"/>
    <w:basedOn w:val="DefaultParagraphFont"/>
    <w:semiHidden/>
    <w:rsid w:val="00272C05"/>
  </w:style>
  <w:style w:type="character" w:styleId="FootnoteReference">
    <w:name w:val="footnote reference"/>
    <w:aliases w:val="o,fr,Style 3,Style 21,Style 12"/>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0DAE"/>
    <w:rPr>
      <w:rFonts w:ascii="Times New Roman Bold" w:eastAsiaTheme="majorEastAsia" w:hAnsi="Times New Roman Bold" w:cstheme="majorBidi"/>
      <w:b/>
      <w:bCs/>
      <w:sz w:val="24"/>
      <w:szCs w:val="26"/>
      <w:u w:val="single"/>
    </w:rPr>
  </w:style>
  <w:style w:type="paragraph" w:styleId="BodyTextIndent2">
    <w:name w:val="Body Text Indent 2"/>
    <w:basedOn w:val="Normal"/>
    <w:link w:val="BodyTextIndent2Char"/>
    <w:semiHidden/>
    <w:rsid w:val="008D4F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semiHidden/>
    <w:rsid w:val="008D4F16"/>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B64DB3"/>
    <w:rPr>
      <w:rFonts w:asciiTheme="majorHAnsi" w:eastAsiaTheme="majorEastAsia" w:hAnsiTheme="majorHAnsi" w:cstheme="majorBidi"/>
      <w:color w:val="243F60" w:themeColor="accent1" w:themeShade="7F"/>
      <w:sz w:val="24"/>
    </w:rPr>
  </w:style>
  <w:style w:type="paragraph" w:styleId="BlockText">
    <w:name w:val="Block Text"/>
    <w:basedOn w:val="Normal"/>
    <w:semiHidden/>
    <w:rsid w:val="00B64DB3"/>
    <w:pPr>
      <w:spacing w:after="0"/>
      <w:ind w:left="1440" w:right="720"/>
      <w:jc w:val="both"/>
    </w:pPr>
    <w:rPr>
      <w:rFonts w:ascii="Arial" w:eastAsia="Times New Roman" w:hAnsi="Arial" w:cs="Times New Roman"/>
      <w:sz w:val="22"/>
      <w:szCs w:val="20"/>
    </w:rPr>
  </w:style>
  <w:style w:type="paragraph" w:styleId="TOC2">
    <w:name w:val="toc 2"/>
    <w:basedOn w:val="Normal"/>
    <w:next w:val="Normal"/>
    <w:autoRedefine/>
    <w:uiPriority w:val="39"/>
    <w:unhideWhenUsed/>
    <w:rsid w:val="009F7C14"/>
    <w:pPr>
      <w:tabs>
        <w:tab w:val="right" w:leader="dot" w:pos="9062"/>
      </w:tabs>
      <w:spacing w:after="0"/>
      <w:ind w:left="245"/>
    </w:pPr>
  </w:style>
  <w:style w:type="paragraph" w:styleId="BodyTextIndent">
    <w:name w:val="Body Text Indent"/>
    <w:basedOn w:val="Normal"/>
    <w:link w:val="BodyTextIndentChar"/>
    <w:semiHidden/>
    <w:rsid w:val="00615DEE"/>
    <w:pPr>
      <w:spacing w:after="0" w:line="480" w:lineRule="auto"/>
      <w:ind w:left="720" w:firstLine="720"/>
      <w:jc w:val="both"/>
    </w:pPr>
    <w:rPr>
      <w:rFonts w:ascii="Arial" w:eastAsia="Times New Roman" w:hAnsi="Arial" w:cs="Times New Roman"/>
      <w:sz w:val="22"/>
      <w:szCs w:val="20"/>
    </w:rPr>
  </w:style>
  <w:style w:type="character" w:customStyle="1" w:styleId="BodyTextIndentChar">
    <w:name w:val="Body Text Indent Char"/>
    <w:basedOn w:val="DefaultParagraphFont"/>
    <w:link w:val="BodyTextIndent"/>
    <w:semiHidden/>
    <w:rsid w:val="00615DEE"/>
    <w:rPr>
      <w:rFonts w:ascii="Arial" w:eastAsia="Times New Roman" w:hAnsi="Arial" w:cs="Times New Roman"/>
      <w:szCs w:val="20"/>
    </w:rPr>
  </w:style>
  <w:style w:type="paragraph" w:customStyle="1" w:styleId="SingleSpacing">
    <w:name w:val="Single Spacing"/>
    <w:basedOn w:val="Normal"/>
    <w:rsid w:val="00DA3E89"/>
    <w:pPr>
      <w:spacing w:after="0" w:line="254" w:lineRule="exact"/>
    </w:pPr>
    <w:rPr>
      <w:rFonts w:eastAsia="Times New Roman" w:cs="Times New Roman"/>
      <w:szCs w:val="20"/>
    </w:rPr>
  </w:style>
  <w:style w:type="paragraph" w:customStyle="1" w:styleId="center">
    <w:name w:val="center"/>
    <w:basedOn w:val="Normal"/>
    <w:rsid w:val="00116688"/>
    <w:pPr>
      <w:keepLines/>
      <w:spacing w:before="240" w:after="0" w:line="240" w:lineRule="atLeast"/>
      <w:jc w:val="center"/>
    </w:pPr>
    <w:rPr>
      <w:rFonts w:eastAsia="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6963">
      <w:bodyDiv w:val="1"/>
      <w:marLeft w:val="0"/>
      <w:marRight w:val="0"/>
      <w:marTop w:val="0"/>
      <w:marBottom w:val="0"/>
      <w:divBdr>
        <w:top w:val="none" w:sz="0" w:space="0" w:color="auto"/>
        <w:left w:val="none" w:sz="0" w:space="0" w:color="auto"/>
        <w:bottom w:val="none" w:sz="0" w:space="0" w:color="auto"/>
        <w:right w:val="none" w:sz="0" w:space="0" w:color="auto"/>
      </w:divBdr>
    </w:div>
    <w:div w:id="17895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208D20-6B56-476A-B7B3-0D37C9FE81F3}">
  <ds:schemaRefs>
    <ds:schemaRef ds:uri="http://schemas.openxmlformats.org/officeDocument/2006/bibliography"/>
  </ds:schemaRefs>
</ds:datastoreItem>
</file>

<file path=customXml/itemProps2.xml><?xml version="1.0" encoding="utf-8"?>
<ds:datastoreItem xmlns:ds="http://schemas.openxmlformats.org/officeDocument/2006/customXml" ds:itemID="{3EF88727-F78F-481C-85C3-B98A89B6B0AB}"/>
</file>

<file path=customXml/itemProps3.xml><?xml version="1.0" encoding="utf-8"?>
<ds:datastoreItem xmlns:ds="http://schemas.openxmlformats.org/officeDocument/2006/customXml" ds:itemID="{678E1FDC-AD04-4764-A14A-2B4DE97B0AEC}"/>
</file>

<file path=customXml/itemProps4.xml><?xml version="1.0" encoding="utf-8"?>
<ds:datastoreItem xmlns:ds="http://schemas.openxmlformats.org/officeDocument/2006/customXml" ds:itemID="{34EB1E73-EC4D-4FC4-A296-56DD02387EA1}"/>
</file>

<file path=customXml/itemProps5.xml><?xml version="1.0" encoding="utf-8"?>
<ds:datastoreItem xmlns:ds="http://schemas.openxmlformats.org/officeDocument/2006/customXml" ds:itemID="{2D9C5087-B474-483B-BA25-59BD508B2C0D}"/>
</file>

<file path=docProps/app.xml><?xml version="1.0" encoding="utf-8"?>
<Properties xmlns="http://schemas.openxmlformats.org/officeDocument/2006/extended-properties" xmlns:vt="http://schemas.openxmlformats.org/officeDocument/2006/docPropsVTypes">
  <Template>Normal</Template>
  <TotalTime>5</TotalTime>
  <Pages>10</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Jesse E. Cowell</cp:lastModifiedBy>
  <cp:revision>4</cp:revision>
  <cp:lastPrinted>2016-09-15T16:02:00Z</cp:lastPrinted>
  <dcterms:created xsi:type="dcterms:W3CDTF">2016-09-15T21:28:00Z</dcterms:created>
  <dcterms:modified xsi:type="dcterms:W3CDTF">2016-09-15T22:03:00Z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