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FD033C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A94723">
            <w:rPr>
              <w:rStyle w:val="DocketStyle"/>
            </w:rPr>
            <w:t>Dockets UE-121697 &amp; UG-121705; Dockets UE-130137 &amp; UG-130138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552C35">
            <w:rPr>
              <w:i/>
              <w:spacing w:val="-3"/>
            </w:rPr>
            <w:t xml:space="preserve">Public Counsel’s Cross Exhibits for witnesses:  </w:t>
          </w:r>
          <w:r w:rsidR="006427FA">
            <w:rPr>
              <w:i/>
              <w:spacing w:val="-3"/>
            </w:rPr>
            <w:t xml:space="preserve">Daniel Doyle, Jeffrey </w:t>
          </w:r>
          <w:proofErr w:type="spellStart"/>
          <w:r w:rsidR="006427FA">
            <w:rPr>
              <w:i/>
              <w:spacing w:val="-3"/>
            </w:rPr>
            <w:t>Dubin</w:t>
          </w:r>
          <w:proofErr w:type="spellEnd"/>
          <w:r w:rsidR="006427FA">
            <w:rPr>
              <w:i/>
              <w:spacing w:val="-3"/>
            </w:rPr>
            <w:t xml:space="preserve">, Roger Morin, David </w:t>
          </w:r>
          <w:proofErr w:type="spellStart"/>
          <w:r w:rsidR="006427FA">
            <w:rPr>
              <w:i/>
              <w:spacing w:val="-3"/>
            </w:rPr>
            <w:t>Parcell</w:t>
          </w:r>
          <w:proofErr w:type="spellEnd"/>
          <w:r w:rsidR="006427FA">
            <w:rPr>
              <w:i/>
              <w:spacing w:val="-3"/>
            </w:rPr>
            <w:t xml:space="preserve">, Thomas Schooley and Michael </w:t>
          </w:r>
          <w:proofErr w:type="spellStart"/>
          <w:r w:rsidR="006427FA">
            <w:rPr>
              <w:i/>
              <w:spacing w:val="-3"/>
            </w:rPr>
            <w:t>Vilbert</w:t>
          </w:r>
          <w:proofErr w:type="spellEnd"/>
          <w:r w:rsidR="00552C35">
            <w:rPr>
              <w:i/>
              <w:spacing w:val="-3"/>
            </w:rPr>
            <w:t xml:space="preserve">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  <w:bookmarkStart w:id="0" w:name="_GoBack"/>
                <w:bookmarkEnd w:id="0"/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552C35">
            <w:rPr>
              <w:rStyle w:val="Style1"/>
            </w:rPr>
            <w:t>February 9,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FD033C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FD033C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52C35"/>
    <w:rsid w:val="00570B04"/>
    <w:rsid w:val="00575C23"/>
    <w:rsid w:val="0059411D"/>
    <w:rsid w:val="005C41EB"/>
    <w:rsid w:val="006053F2"/>
    <w:rsid w:val="00611DB0"/>
    <w:rsid w:val="006427FA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128D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342D"/>
    <w:rsid w:val="00EE0415"/>
    <w:rsid w:val="00EE3427"/>
    <w:rsid w:val="00EE3E2D"/>
    <w:rsid w:val="00F06D68"/>
    <w:rsid w:val="00F22CA1"/>
    <w:rsid w:val="00F2709C"/>
    <w:rsid w:val="00F30A13"/>
    <w:rsid w:val="00F430C3"/>
    <w:rsid w:val="00F43D16"/>
    <w:rsid w:val="00F50495"/>
    <w:rsid w:val="00F725B7"/>
    <w:rsid w:val="00FB1A3B"/>
    <w:rsid w:val="00FC2F64"/>
    <w:rsid w:val="00FD033C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B1717-8291-42B6-BCD4-FA0AE9267AB1}"/>
</file>

<file path=customXml/itemProps2.xml><?xml version="1.0" encoding="utf-8"?>
<ds:datastoreItem xmlns:ds="http://schemas.openxmlformats.org/officeDocument/2006/customXml" ds:itemID="{DC9CC2C1-CE92-44A2-A574-A68860ACDD1A}"/>
</file>

<file path=customXml/itemProps3.xml><?xml version="1.0" encoding="utf-8"?>
<ds:datastoreItem xmlns:ds="http://schemas.openxmlformats.org/officeDocument/2006/customXml" ds:itemID="{4741F129-A7B6-4C5D-929B-42093D4BF0DF}"/>
</file>

<file path=customXml/itemProps4.xml><?xml version="1.0" encoding="utf-8"?>
<ds:datastoreItem xmlns:ds="http://schemas.openxmlformats.org/officeDocument/2006/customXml" ds:itemID="{CDAA62D9-9675-43CC-B75D-35CCEC47D335}"/>
</file>

<file path=customXml/itemProps5.xml><?xml version="1.0" encoding="utf-8"?>
<ds:datastoreItem xmlns:ds="http://schemas.openxmlformats.org/officeDocument/2006/customXml" ds:itemID="{C2719246-1C25-4D95-AEAB-4D185723C534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9</TotalTime>
  <Pages>3</Pages>
  <Words>625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4</cp:revision>
  <cp:lastPrinted>2015-02-09T15:19:00Z</cp:lastPrinted>
  <dcterms:created xsi:type="dcterms:W3CDTF">2015-02-03T19:22:00Z</dcterms:created>
  <dcterms:modified xsi:type="dcterms:W3CDTF">2015-02-09T16:00:00Z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