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91C6A" w:rsidTr="00691C6A">
        <w:trPr>
          <w:trHeight w:val="2951"/>
        </w:trPr>
        <w:tc>
          <w:tcPr>
            <w:tcW w:w="4396" w:type="dxa"/>
            <w:tcBorders>
              <w:bottom w:val="single" w:sz="4" w:space="0" w:color="auto"/>
            </w:tcBorders>
          </w:tcPr>
          <w:p w:rsidR="00691C6A" w:rsidRDefault="001E1FC9" w:rsidP="0081140C">
            <w:pPr>
              <w:pStyle w:val="Footer"/>
              <w:widowControl/>
              <w:tabs>
                <w:tab w:val="clear" w:pos="4320"/>
                <w:tab w:val="clear" w:pos="8640"/>
                <w:tab w:val="left" w:pos="2160"/>
              </w:tabs>
              <w:rPr>
                <w:snapToGrid/>
              </w:rPr>
            </w:pPr>
            <w:r>
              <w:rPr>
                <w:snapToGrid/>
              </w:rPr>
              <w:t>WASHINGTON UTILITIES AND TRANSPORTATION COMMISSION,</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pPr>
            <w:r>
              <w:t xml:space="preserve">                                          Complainant,</w:t>
            </w:r>
          </w:p>
          <w:p w:rsidR="00691C6A" w:rsidRDefault="00691C6A"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v.</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PUGET SOUND ENERGY,</w:t>
            </w:r>
          </w:p>
          <w:p w:rsidR="001E1FC9" w:rsidRDefault="001E1FC9" w:rsidP="0081140C">
            <w:pPr>
              <w:pStyle w:val="Footer"/>
              <w:widowControl/>
              <w:tabs>
                <w:tab w:val="clear" w:pos="4320"/>
                <w:tab w:val="clear" w:pos="8640"/>
                <w:tab w:val="left" w:pos="2160"/>
              </w:tabs>
              <w:rPr>
                <w:snapToGrid/>
              </w:rPr>
            </w:pPr>
          </w:p>
          <w:p w:rsidR="001E1FC9" w:rsidRPr="00F90CD2" w:rsidRDefault="001E1FC9" w:rsidP="0081140C">
            <w:pPr>
              <w:pStyle w:val="Footer"/>
              <w:widowControl/>
              <w:tabs>
                <w:tab w:val="clear" w:pos="4320"/>
                <w:tab w:val="clear" w:pos="8640"/>
                <w:tab w:val="left" w:pos="2160"/>
              </w:tabs>
              <w:rPr>
                <w:snapToGrid/>
              </w:rPr>
            </w:pPr>
            <w:r>
              <w:rPr>
                <w:snapToGrid/>
              </w:rPr>
              <w:t xml:space="preserve">                                            Respondent.</w:t>
            </w:r>
          </w:p>
        </w:tc>
        <w:tc>
          <w:tcPr>
            <w:tcW w:w="274" w:type="dxa"/>
          </w:tcPr>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Default="00691C6A" w:rsidP="0081140C">
            <w:pPr>
              <w:pStyle w:val="SingleSpacing"/>
              <w:spacing w:line="240" w:lineRule="auto"/>
            </w:pPr>
            <w:r w:rsidRPr="005A2AFA">
              <w:t>)</w:t>
            </w:r>
          </w:p>
          <w:p w:rsidR="00691C6A" w:rsidRPr="001E1FC9" w:rsidRDefault="00691C6A" w:rsidP="0081140C">
            <w:pPr>
              <w:pStyle w:val="SingleSpacing"/>
              <w:spacing w:line="240" w:lineRule="auto"/>
            </w:pPr>
            <w:r>
              <w:t>)</w:t>
            </w:r>
          </w:p>
        </w:tc>
        <w:tc>
          <w:tcPr>
            <w:tcW w:w="4113" w:type="dxa"/>
          </w:tcPr>
          <w:p w:rsidR="00691C6A" w:rsidRDefault="00691C6A" w:rsidP="0081140C">
            <w:pPr>
              <w:pStyle w:val="SingleSpacing"/>
              <w:spacing w:line="240" w:lineRule="auto"/>
            </w:pPr>
          </w:p>
          <w:p w:rsidR="00691C6A" w:rsidRDefault="00691C6A" w:rsidP="0081140C">
            <w:pPr>
              <w:pStyle w:val="SingleSpacing"/>
              <w:spacing w:line="240" w:lineRule="auto"/>
            </w:pPr>
            <w:r w:rsidRPr="007A1546">
              <w:t xml:space="preserve">DOCKET NO. </w:t>
            </w:r>
            <w:r w:rsidR="001E1FC9">
              <w:t>UE-16</w:t>
            </w:r>
            <w:r w:rsidR="00421AD7">
              <w:t>1123</w:t>
            </w:r>
          </w:p>
          <w:p w:rsidR="00BF71D7" w:rsidRDefault="00BF71D7" w:rsidP="0081140C">
            <w:pPr>
              <w:pStyle w:val="SingleSpacing"/>
              <w:spacing w:line="240" w:lineRule="auto"/>
            </w:pPr>
          </w:p>
          <w:p w:rsidR="00BF71D7" w:rsidRDefault="00BF71D7" w:rsidP="0081140C">
            <w:pPr>
              <w:pStyle w:val="SingleSpacing"/>
              <w:spacing w:line="240" w:lineRule="auto"/>
            </w:pPr>
          </w:p>
          <w:p w:rsidR="00BF71D7" w:rsidRPr="005A2AFA" w:rsidRDefault="00BF71D7" w:rsidP="0081140C">
            <w:pPr>
              <w:pStyle w:val="SingleSpacing"/>
              <w:spacing w:line="240" w:lineRule="auto"/>
            </w:pPr>
            <w:r>
              <w:t>PETITION TO INTERVENE OF THE INDUSTRIAL CUSTOMERS OF NORTHWEST UTILITIES</w:t>
            </w:r>
          </w:p>
        </w:tc>
      </w:tr>
    </w:tbl>
    <w:p w:rsidR="00C879A0" w:rsidRDefault="00C879A0" w:rsidP="002924ED">
      <w:pPr>
        <w:pStyle w:val="WUTCParagraph"/>
        <w:tabs>
          <w:tab w:val="clear" w:pos="0"/>
        </w:tabs>
        <w:spacing w:before="240"/>
      </w:pPr>
      <w:bookmarkStart w:id="0" w:name="Parties"/>
      <w:bookmarkEnd w:id="0"/>
      <w:r>
        <w:t xml:space="preserve">                        Pursuant to WAC § 480-07-355, </w:t>
      </w:r>
      <w:r w:rsidR="000957A5">
        <w:t>the Industrial Customers of Northwest Utilities (“ICNU”)</w:t>
      </w:r>
      <w:r>
        <w:t xml:space="preserve"> hereby petitions the Washington Utilities and Transportation Commission (“WUTC” or “Commission”) for leave to intervene in the above-referenced </w:t>
      </w:r>
      <w:r w:rsidR="00301FA0">
        <w:t>d</w:t>
      </w:r>
      <w:r w:rsidRPr="00756179">
        <w:t>ock</w:t>
      </w:r>
      <w:r w:rsidR="00966E57" w:rsidRPr="00756179">
        <w:t>et</w:t>
      </w:r>
      <w:r w:rsidR="00756179">
        <w:t xml:space="preserve"> </w:t>
      </w:r>
      <w:r>
        <w:t>as an intervenor with full party status</w:t>
      </w:r>
      <w:r w:rsidR="00966E57">
        <w:t>,</w:t>
      </w:r>
      <w:r>
        <w:t xml:space="preserve"> as described in WAC § 480-07-340.  The business address of </w:t>
      </w:r>
      <w:r w:rsidR="000957A5">
        <w:t>ICNU</w:t>
      </w:r>
      <w:r>
        <w:t xml:space="preserve"> is:</w:t>
      </w:r>
    </w:p>
    <w:p w:rsidR="00C879A0" w:rsidRDefault="00B02F68" w:rsidP="00F65B00">
      <w:pPr>
        <w:ind w:left="1440"/>
      </w:pPr>
      <w:r>
        <w:t>Industrial Customers of Northwest Utilities</w:t>
      </w:r>
    </w:p>
    <w:p w:rsidR="00B02F68" w:rsidRDefault="00B02F68" w:rsidP="00F65B00">
      <w:pPr>
        <w:ind w:left="1440"/>
      </w:pPr>
      <w:r>
        <w:t>818 SW 3</w:t>
      </w:r>
      <w:r w:rsidRPr="00B02F68">
        <w:rPr>
          <w:vertAlign w:val="superscript"/>
        </w:rPr>
        <w:t>rd</w:t>
      </w:r>
      <w:r>
        <w:t xml:space="preserve"> Avenue #266</w:t>
      </w:r>
    </w:p>
    <w:p w:rsidR="00B02F68" w:rsidRPr="00F65B00" w:rsidRDefault="00B02F68" w:rsidP="00F65B00">
      <w:pPr>
        <w:ind w:left="1440"/>
      </w:pPr>
      <w:r>
        <w:t xml:space="preserve">Portland, OR </w:t>
      </w:r>
      <w:r w:rsidR="00265D5D">
        <w:t>97204</w:t>
      </w:r>
    </w:p>
    <w:p w:rsidR="00684B27" w:rsidRDefault="002924ED" w:rsidP="00013D40">
      <w:pPr>
        <w:pStyle w:val="WUTCParagraph"/>
        <w:tabs>
          <w:tab w:val="clear" w:pos="0"/>
        </w:tabs>
        <w:spacing w:before="240"/>
      </w:pPr>
      <w:r>
        <w:t xml:space="preserve">                        </w:t>
      </w:r>
      <w:r w:rsidR="00B02F68">
        <w:t>ICNU</w:t>
      </w:r>
      <w:r>
        <w:t xml:space="preserve"> will be represented in this proceeding by Davison Van Cleve, P.C.  All documents relating to th</w:t>
      </w:r>
      <w:r w:rsidR="00D0573D">
        <w:t>is proceeding should</w:t>
      </w:r>
      <w:r>
        <w:t xml:space="preserve"> be served on </w:t>
      </w:r>
      <w:r w:rsidR="00B02F68">
        <w:t>ICNU</w:t>
      </w:r>
      <w:r>
        <w:t>’s</w:t>
      </w:r>
      <w:r w:rsidR="00F65B00">
        <w:t xml:space="preserve"> attorney</w:t>
      </w:r>
      <w:r>
        <w:t xml:space="preserve"> at the following address:</w:t>
      </w:r>
    </w:p>
    <w:tbl>
      <w:tblPr>
        <w:tblW w:w="7110" w:type="dxa"/>
        <w:jc w:val="center"/>
        <w:tblLayout w:type="fixed"/>
        <w:tblCellMar>
          <w:left w:w="0" w:type="dxa"/>
          <w:right w:w="0" w:type="dxa"/>
        </w:tblCellMar>
        <w:tblLook w:val="0000" w:firstRow="0" w:lastRow="0" w:firstColumn="0" w:lastColumn="0" w:noHBand="0" w:noVBand="0"/>
      </w:tblPr>
      <w:tblGrid>
        <w:gridCol w:w="3150"/>
        <w:gridCol w:w="3960"/>
      </w:tblGrid>
      <w:tr w:rsidR="00A44487" w:rsidTr="00E06518">
        <w:trPr>
          <w:cantSplit/>
          <w:jc w:val="center"/>
        </w:trPr>
        <w:tc>
          <w:tcPr>
            <w:tcW w:w="3150" w:type="dxa"/>
          </w:tcPr>
          <w:p w:rsidR="00A44487" w:rsidRDefault="00A44487" w:rsidP="00013D40">
            <w:pPr>
              <w:ind w:left="32"/>
            </w:pPr>
            <w:r>
              <w:br w:type="page"/>
            </w:r>
            <w:r w:rsidR="00013D40">
              <w:t>Tyler C. Pepple</w:t>
            </w:r>
          </w:p>
          <w:p w:rsidR="00A44487" w:rsidRDefault="00A44487" w:rsidP="00E06518">
            <w:pPr>
              <w:ind w:left="32"/>
            </w:pPr>
            <w:r>
              <w:t>Davison Van Cleve, P.C.</w:t>
            </w:r>
          </w:p>
          <w:p w:rsidR="00A44487" w:rsidRDefault="00A44487" w:rsidP="00E06518">
            <w:pPr>
              <w:ind w:left="32"/>
            </w:pPr>
            <w:r>
              <w:t xml:space="preserve">333 S.W. Taylor, </w:t>
            </w:r>
            <w:smartTag w:uri="urn:schemas-microsoft-com:office:smarttags" w:element="address">
              <w:smartTag w:uri="urn:schemas-microsoft-com:office:smarttags" w:element="Street">
                <w:r>
                  <w:t>Suite</w:t>
                </w:r>
              </w:smartTag>
              <w:r>
                <w:t xml:space="preserve"> 400</w:t>
              </w:r>
            </w:smartTag>
          </w:p>
          <w:p w:rsidR="00A44487" w:rsidRDefault="00A44487" w:rsidP="00E06518">
            <w:pPr>
              <w:ind w:left="32"/>
            </w:pPr>
            <w:r>
              <w:t>Portland, OR  97204</w:t>
            </w:r>
          </w:p>
          <w:p w:rsidR="00A44487" w:rsidRDefault="00013D40" w:rsidP="00E06518">
            <w:pPr>
              <w:ind w:left="32"/>
            </w:pPr>
            <w:r>
              <w:t>tcp</w:t>
            </w:r>
            <w:r w:rsidR="00A44487" w:rsidRPr="002E1995">
              <w:t>@dvclaw.com</w:t>
            </w:r>
          </w:p>
          <w:p w:rsidR="00A44487" w:rsidRDefault="00013D40" w:rsidP="00E06518">
            <w:pPr>
              <w:ind w:left="32"/>
            </w:pPr>
            <w:r>
              <w:t xml:space="preserve">Telephone: </w:t>
            </w:r>
            <w:r w:rsidR="00A44487">
              <w:t>(503) 241-7242</w:t>
            </w:r>
          </w:p>
          <w:p w:rsidR="00A44487" w:rsidRDefault="00013D40" w:rsidP="00E06518">
            <w:pPr>
              <w:ind w:left="32"/>
            </w:pPr>
            <w:r>
              <w:t xml:space="preserve">Facsimile: </w:t>
            </w:r>
            <w:r w:rsidR="00A44487">
              <w:t>(503) 241-8160</w:t>
            </w:r>
          </w:p>
        </w:tc>
        <w:tc>
          <w:tcPr>
            <w:tcW w:w="3960" w:type="dxa"/>
          </w:tcPr>
          <w:p w:rsidR="00013D40" w:rsidRDefault="00013D40" w:rsidP="00013D40">
            <w:pPr>
              <w:pStyle w:val="SingleSpacing"/>
              <w:spacing w:line="240" w:lineRule="auto"/>
            </w:pPr>
          </w:p>
          <w:p w:rsidR="00013D40" w:rsidRDefault="00013D40" w:rsidP="00013D40">
            <w:pPr>
              <w:pStyle w:val="SingleSpacing"/>
              <w:spacing w:line="240" w:lineRule="auto"/>
            </w:pPr>
          </w:p>
        </w:tc>
      </w:tr>
    </w:tbl>
    <w:p w:rsidR="00C879A0" w:rsidRDefault="00C879A0" w:rsidP="00C879A0">
      <w:pPr>
        <w:pStyle w:val="WUTCParagraph"/>
        <w:tabs>
          <w:tab w:val="clear" w:pos="0"/>
        </w:tabs>
        <w:spacing w:before="240"/>
      </w:pPr>
      <w:r>
        <w:t xml:space="preserve">                        The administrative rules at issue are </w:t>
      </w:r>
      <w:r w:rsidRPr="002E1995">
        <w:t>WAC § 480-07-340, -355.</w:t>
      </w:r>
    </w:p>
    <w:p w:rsidR="00C879A0" w:rsidRDefault="00C879A0" w:rsidP="002924ED">
      <w:pPr>
        <w:pStyle w:val="WUTCParagraph"/>
        <w:tabs>
          <w:tab w:val="clear" w:pos="0"/>
        </w:tabs>
      </w:pPr>
      <w:r>
        <w:lastRenderedPageBreak/>
        <w:t xml:space="preserve">                        </w:t>
      </w:r>
      <w:r w:rsidR="00B02F68">
        <w:t xml:space="preserve">ICNU is an incorporated, non-profit association of large industrial electric customers in the Pacific Northwest.  A list of ICNU members is included as Attachment A.  </w:t>
      </w:r>
      <w:r w:rsidR="00013D40">
        <w:t>Many members of ICNU purchase power from Puget Sound Energy (“PSE or the “Company”), as indicated on Attachment A.</w:t>
      </w:r>
    </w:p>
    <w:p w:rsidR="00C879A0" w:rsidRDefault="00DE2AC9" w:rsidP="00AD6290">
      <w:pPr>
        <w:pStyle w:val="WUTCParagraph"/>
        <w:tabs>
          <w:tab w:val="clear" w:pos="0"/>
        </w:tabs>
      </w:pPr>
      <w:r>
        <w:t xml:space="preserve">                        </w:t>
      </w:r>
      <w:r w:rsidR="00AD6290">
        <w:t xml:space="preserve">ICNU’s member companies have a substantial interest in PSE’s proposed </w:t>
      </w:r>
      <w:r w:rsidR="00D30795">
        <w:t xml:space="preserve">electric Schedule No. </w:t>
      </w:r>
      <w:r w:rsidR="00497A5A">
        <w:t>451</w:t>
      </w:r>
      <w:r w:rsidR="00722D78">
        <w:t>:</w:t>
      </w:r>
      <w:r w:rsidR="00AD6290">
        <w:t xml:space="preserve"> </w:t>
      </w:r>
      <w:r w:rsidR="00497A5A">
        <w:t>Large Customer Retail Wheeling</w:t>
      </w:r>
      <w:r w:rsidR="00D30795">
        <w:t>,</w:t>
      </w:r>
      <w:r w:rsidR="00AD6290">
        <w:t xml:space="preserve"> which PSE filed on </w:t>
      </w:r>
      <w:r w:rsidR="00497A5A">
        <w:t>October 7</w:t>
      </w:r>
      <w:r w:rsidR="00AD6290">
        <w:t xml:space="preserve">, 2016.  The Company’s proposed </w:t>
      </w:r>
      <w:r w:rsidR="00D30795">
        <w:t>tariff revision</w:t>
      </w:r>
      <w:r w:rsidR="002635D4">
        <w:t>s</w:t>
      </w:r>
      <w:r w:rsidR="00AD6290">
        <w:t xml:space="preserve"> </w:t>
      </w:r>
      <w:r w:rsidR="00F90B01">
        <w:t>c</w:t>
      </w:r>
      <w:r w:rsidR="00AD6290">
        <w:t>ould substantially and directly affect ICNU members who purchase power from PSE.  Accordingly, ICNU requests leave to intervene in this proceeding to represent its members who would be affected by any change to PSE’s rates.</w:t>
      </w:r>
    </w:p>
    <w:p w:rsidR="00AD6290" w:rsidRDefault="00DE2AC9" w:rsidP="00AD6290">
      <w:pPr>
        <w:pStyle w:val="WUTCParagraph"/>
        <w:tabs>
          <w:tab w:val="clear" w:pos="0"/>
        </w:tabs>
      </w:pPr>
      <w:r>
        <w:t xml:space="preserve">                        </w:t>
      </w:r>
      <w:r w:rsidR="00C879A0">
        <w:t xml:space="preserve">As described above, </w:t>
      </w:r>
      <w:r w:rsidR="008360F3">
        <w:t>ICNU</w:t>
      </w:r>
      <w:r w:rsidR="00C879A0">
        <w:t xml:space="preserve"> has a direct and substantial interest in this proceeding that will not be adequately represented by any other party, and may be affected by any Commission determination made in con</w:t>
      </w:r>
      <w:r w:rsidR="00C368B3">
        <w:t>nection with this proceeding.</w:t>
      </w:r>
      <w:r w:rsidR="003B2F58">
        <w:t xml:space="preserve">  ICNU’s participation will not unnecessarily broaden the issues or burden the record in this proceeding.</w:t>
      </w:r>
      <w:r w:rsidR="00A40A12">
        <w:t xml:space="preserve">  </w:t>
      </w:r>
      <w:r w:rsidR="00C368B3">
        <w:t>Thus, i</w:t>
      </w:r>
      <w:r w:rsidR="00C879A0">
        <w:t xml:space="preserve">t is in the public interest to allow </w:t>
      </w:r>
      <w:r w:rsidR="008360F3">
        <w:t>ICNU</w:t>
      </w:r>
      <w:r w:rsidR="00C879A0">
        <w:t xml:space="preserve"> to intervene in this proceeding.</w:t>
      </w:r>
    </w:p>
    <w:p w:rsidR="00C879A0" w:rsidRDefault="00AD6290" w:rsidP="00AD6290">
      <w:pPr>
        <w:pStyle w:val="WUTCParagraph"/>
      </w:pPr>
      <w:r>
        <w:tab/>
      </w:r>
      <w:r w:rsidR="00C879A0">
        <w:t xml:space="preserve">WHEREFORE, </w:t>
      </w:r>
      <w:r w:rsidR="008360F3">
        <w:t>ICNU</w:t>
      </w:r>
      <w:r w:rsidR="00C879A0">
        <w:t xml:space="preserve"> respectfully petitions the Commission for leave to intervene in this proceeding.</w:t>
      </w:r>
    </w:p>
    <w:p w:rsidR="00AD6290" w:rsidRDefault="00AD6290" w:rsidP="00AD6290">
      <w:pPr>
        <w:pStyle w:val="WUTCParagraph"/>
        <w:numPr>
          <w:ilvl w:val="0"/>
          <w:numId w:val="0"/>
        </w:numPr>
      </w:pPr>
    </w:p>
    <w:p w:rsidR="00AD6290" w:rsidRDefault="00AD6290" w:rsidP="00AD6290">
      <w:pPr>
        <w:keepNext/>
        <w:spacing w:line="480" w:lineRule="auto"/>
        <w:ind w:firstLine="1440"/>
      </w:pPr>
      <w:r>
        <w:lastRenderedPageBreak/>
        <w:t xml:space="preserve">Dated this </w:t>
      </w:r>
      <w:r w:rsidR="00427C8D">
        <w:t>18</w:t>
      </w:r>
      <w:bookmarkStart w:id="1" w:name="_GoBack"/>
      <w:bookmarkEnd w:id="1"/>
      <w:r w:rsidR="00D30795">
        <w:t>th</w:t>
      </w:r>
      <w:r>
        <w:t xml:space="preserve"> day of </w:t>
      </w:r>
      <w:r w:rsidR="00497A5A">
        <w:t>October</w:t>
      </w:r>
      <w:r>
        <w:t>, 2016.</w:t>
      </w:r>
    </w:p>
    <w:p w:rsidR="00AD6290" w:rsidRDefault="00AD6290" w:rsidP="00AD6290">
      <w:pPr>
        <w:keepNext/>
        <w:spacing w:line="480" w:lineRule="auto"/>
        <w:ind w:left="2880" w:firstLine="720"/>
      </w:pPr>
      <w:r>
        <w:t>Respectfully submitted,</w:t>
      </w:r>
    </w:p>
    <w:p w:rsidR="00AD6290" w:rsidRDefault="00AD6290" w:rsidP="00AD6290">
      <w:pPr>
        <w:keepNext/>
        <w:spacing w:line="480" w:lineRule="auto"/>
        <w:ind w:firstLine="3600"/>
      </w:pPr>
      <w:r>
        <w:t>DAVISON VAN CLEVE, P.C.</w:t>
      </w:r>
    </w:p>
    <w:p w:rsidR="00AD6290" w:rsidRPr="00200EE5" w:rsidRDefault="00AD6290" w:rsidP="00AD6290">
      <w:pPr>
        <w:keepNext/>
        <w:ind w:firstLine="3600"/>
        <w:rPr>
          <w:u w:val="single"/>
        </w:rPr>
      </w:pPr>
      <w:r>
        <w:rPr>
          <w:i/>
          <w:u w:val="single"/>
        </w:rPr>
        <w:t>/s/ Tyler C. Pepple</w:t>
      </w:r>
    </w:p>
    <w:p w:rsidR="00AD6290" w:rsidRDefault="00AD6290" w:rsidP="00AD6290">
      <w:pPr>
        <w:keepNext/>
        <w:ind w:firstLine="3600"/>
      </w:pPr>
      <w:r>
        <w:t>Tyler C. Pepple</w:t>
      </w:r>
    </w:p>
    <w:p w:rsidR="00AD6290" w:rsidRDefault="00AD6290" w:rsidP="00AD629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AD6290" w:rsidRDefault="00AD6290" w:rsidP="00AD629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AD6290" w:rsidRDefault="000F6106" w:rsidP="00AD6290">
      <w:pPr>
        <w:keepNext/>
        <w:ind w:firstLine="3600"/>
      </w:pPr>
      <w:r>
        <w:t xml:space="preserve">Telephone: </w:t>
      </w:r>
      <w:r w:rsidR="00AD6290">
        <w:t xml:space="preserve">(503) 241-7242 </w:t>
      </w:r>
    </w:p>
    <w:p w:rsidR="00AD6290" w:rsidRDefault="000F6106" w:rsidP="00AD6290">
      <w:pPr>
        <w:keepNext/>
        <w:ind w:firstLine="3600"/>
      </w:pPr>
      <w:r>
        <w:t xml:space="preserve">Facsimile: </w:t>
      </w:r>
      <w:r w:rsidR="00AD6290">
        <w:t xml:space="preserve">(503) 241-8160 </w:t>
      </w:r>
    </w:p>
    <w:p w:rsidR="00AD6290" w:rsidRDefault="000F6106" w:rsidP="00AD6290">
      <w:pPr>
        <w:ind w:left="2912" w:firstLine="688"/>
      </w:pPr>
      <w:r>
        <w:t xml:space="preserve">E-mail: </w:t>
      </w:r>
      <w:r w:rsidR="00AD6290">
        <w:t>tcp</w:t>
      </w:r>
      <w:r w:rsidR="00AD6290" w:rsidRPr="002E1995">
        <w:t>@dvclaw.com</w:t>
      </w:r>
    </w:p>
    <w:p w:rsidR="00AD6290" w:rsidRDefault="00AD6290" w:rsidP="00AD6290">
      <w:pPr>
        <w:ind w:left="3600"/>
      </w:pPr>
      <w:r>
        <w:t>Of Attorneys for the Industrial Customers</w:t>
      </w:r>
    </w:p>
    <w:p w:rsidR="00AD6290" w:rsidRDefault="00AD6290" w:rsidP="00AD6290">
      <w:pPr>
        <w:ind w:left="3600"/>
        <w:sectPr w:rsidR="00AD6290" w:rsidSect="00AD62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144" w:gutter="0"/>
          <w:cols w:space="720"/>
          <w:docGrid w:linePitch="360"/>
        </w:sectPr>
      </w:pPr>
      <w:r>
        <w:t>of Northwest Utilities</w:t>
      </w:r>
    </w:p>
    <w:p w:rsidR="00F81487" w:rsidRDefault="00F81487" w:rsidP="00433C16"/>
    <w:p w:rsidR="00433C16" w:rsidRPr="00E533BF" w:rsidRDefault="00433C16" w:rsidP="00433C16">
      <w:pPr>
        <w:pStyle w:val="Heading1"/>
        <w:ind w:left="-180"/>
        <w:jc w:val="center"/>
        <w:rPr>
          <w:color w:val="000000" w:themeColor="text1"/>
          <w:sz w:val="24"/>
          <w:szCs w:val="24"/>
        </w:rPr>
      </w:pPr>
      <w:r w:rsidRPr="00E533BF">
        <w:rPr>
          <w:color w:val="000000" w:themeColor="text1"/>
          <w:sz w:val="24"/>
          <w:szCs w:val="24"/>
        </w:rPr>
        <w:t>ATTACHMENT A</w:t>
      </w:r>
    </w:p>
    <w:p w:rsidR="00433C16" w:rsidRDefault="00433C16" w:rsidP="00433C16">
      <w:pPr>
        <w:pStyle w:val="Heading2"/>
        <w:jc w:val="center"/>
        <w:rPr>
          <w:rFonts w:ascii="Times New Roman" w:hAnsi="Times New Roman" w:cs="Times New Roman"/>
          <w:color w:val="000000" w:themeColor="text1"/>
          <w:sz w:val="24"/>
          <w:szCs w:val="24"/>
        </w:rPr>
      </w:pPr>
      <w:r w:rsidRPr="00191FA8">
        <w:rPr>
          <w:rFonts w:ascii="Times New Roman" w:hAnsi="Times New Roman" w:cs="Times New Roman"/>
          <w:color w:val="000000" w:themeColor="text1"/>
          <w:sz w:val="24"/>
          <w:szCs w:val="24"/>
        </w:rPr>
        <w:t>MEMBERS OF INDUSTRIAL CUSTOMERS OF NORTHWEST UTILITIES</w:t>
      </w:r>
    </w:p>
    <w:p w:rsidR="00B07C87" w:rsidRPr="00B07C87" w:rsidRDefault="00B07C87" w:rsidP="00B07C87"/>
    <w:p w:rsidR="004F0201" w:rsidRPr="009F0F49" w:rsidRDefault="004F0201" w:rsidP="004F0201">
      <w:pPr>
        <w:ind w:left="3600"/>
        <w:rPr>
          <w:szCs w:val="24"/>
        </w:rPr>
      </w:pPr>
      <w:r>
        <w:rPr>
          <w:szCs w:val="24"/>
        </w:rPr>
        <w:t>*</w:t>
      </w:r>
      <w:r w:rsidRPr="009F0F49">
        <w:rPr>
          <w:szCs w:val="24"/>
        </w:rPr>
        <w:t>Air Liquide</w:t>
      </w:r>
    </w:p>
    <w:p w:rsidR="004F0201" w:rsidRDefault="004F0201" w:rsidP="004F0201">
      <w:pPr>
        <w:ind w:left="3600"/>
        <w:rPr>
          <w:szCs w:val="24"/>
        </w:rPr>
      </w:pPr>
      <w:r>
        <w:rPr>
          <w:szCs w:val="24"/>
        </w:rPr>
        <w:t>*</w:t>
      </w:r>
      <w:r w:rsidRPr="009F0F49">
        <w:rPr>
          <w:szCs w:val="24"/>
        </w:rPr>
        <w:t>Air Products</w:t>
      </w:r>
    </w:p>
    <w:p w:rsidR="004F0201" w:rsidRDefault="004F0201" w:rsidP="004F0201">
      <w:pPr>
        <w:ind w:left="3600"/>
        <w:rPr>
          <w:szCs w:val="24"/>
        </w:rPr>
      </w:pPr>
      <w:proofErr w:type="spellStart"/>
      <w:r>
        <w:rPr>
          <w:szCs w:val="24"/>
        </w:rPr>
        <w:t>AkzoNobel</w:t>
      </w:r>
      <w:proofErr w:type="spellEnd"/>
    </w:p>
    <w:p w:rsidR="004F0201" w:rsidRPr="009F0F49" w:rsidRDefault="004F0201" w:rsidP="004F0201">
      <w:pPr>
        <w:ind w:left="3600"/>
        <w:rPr>
          <w:szCs w:val="24"/>
        </w:rPr>
      </w:pPr>
      <w:r>
        <w:rPr>
          <w:szCs w:val="24"/>
        </w:rPr>
        <w:t>Alcoa</w:t>
      </w:r>
    </w:p>
    <w:p w:rsidR="004F0201" w:rsidRDefault="004F0201" w:rsidP="004F0201">
      <w:pPr>
        <w:ind w:left="3600"/>
        <w:rPr>
          <w:szCs w:val="24"/>
        </w:rPr>
      </w:pPr>
      <w:r>
        <w:rPr>
          <w:szCs w:val="24"/>
        </w:rPr>
        <w:t>*</w:t>
      </w:r>
      <w:r w:rsidRPr="009F0F49">
        <w:rPr>
          <w:szCs w:val="24"/>
        </w:rPr>
        <w:t>Amcor Rigid Plastics</w:t>
      </w:r>
    </w:p>
    <w:p w:rsidR="004F0201" w:rsidRPr="009F0F49" w:rsidRDefault="004F0201" w:rsidP="004F0201">
      <w:pPr>
        <w:ind w:left="3600"/>
        <w:rPr>
          <w:szCs w:val="24"/>
        </w:rPr>
      </w:pPr>
      <w:proofErr w:type="spellStart"/>
      <w:r>
        <w:rPr>
          <w:szCs w:val="24"/>
        </w:rPr>
        <w:t>Axiall</w:t>
      </w:r>
      <w:proofErr w:type="spellEnd"/>
      <w:r>
        <w:rPr>
          <w:szCs w:val="24"/>
        </w:rPr>
        <w:t>, Inc.</w:t>
      </w:r>
    </w:p>
    <w:p w:rsidR="004F0201" w:rsidRPr="009F0F49" w:rsidRDefault="004F0201" w:rsidP="004F0201">
      <w:pPr>
        <w:ind w:left="3600"/>
        <w:rPr>
          <w:szCs w:val="24"/>
        </w:rPr>
      </w:pPr>
      <w:r>
        <w:rPr>
          <w:szCs w:val="24"/>
        </w:rPr>
        <w:t>*</w:t>
      </w:r>
      <w:r w:rsidRPr="009F0F49">
        <w:rPr>
          <w:szCs w:val="24"/>
        </w:rPr>
        <w:t>Boeing</w:t>
      </w:r>
    </w:p>
    <w:p w:rsidR="004F0201" w:rsidRPr="009F0F49" w:rsidRDefault="004F0201" w:rsidP="004F0201">
      <w:pPr>
        <w:ind w:left="3600"/>
        <w:rPr>
          <w:szCs w:val="24"/>
        </w:rPr>
      </w:pPr>
      <w:r w:rsidRPr="009F0F49">
        <w:rPr>
          <w:szCs w:val="24"/>
        </w:rPr>
        <w:t>Boise Cascade, LLC</w:t>
      </w:r>
    </w:p>
    <w:p w:rsidR="004F0201" w:rsidRPr="008B732F" w:rsidRDefault="004F0201" w:rsidP="004F0201">
      <w:pPr>
        <w:ind w:left="3600"/>
        <w:rPr>
          <w:szCs w:val="24"/>
        </w:rPr>
      </w:pPr>
      <w:r>
        <w:t>Columbia Steel</w:t>
      </w:r>
    </w:p>
    <w:p w:rsidR="004F0201" w:rsidRDefault="004F0201" w:rsidP="004F0201">
      <w:pPr>
        <w:ind w:left="3600"/>
        <w:rPr>
          <w:szCs w:val="24"/>
        </w:rPr>
      </w:pPr>
      <w:r w:rsidRPr="009F0F49">
        <w:rPr>
          <w:szCs w:val="24"/>
        </w:rPr>
        <w:t>ConAgra Foods</w:t>
      </w:r>
    </w:p>
    <w:p w:rsidR="004F0201" w:rsidRPr="009F0F49" w:rsidRDefault="004F0201" w:rsidP="004F0201">
      <w:pPr>
        <w:ind w:left="3600"/>
        <w:rPr>
          <w:szCs w:val="24"/>
        </w:rPr>
      </w:pPr>
      <w:r w:rsidRPr="00E533BF">
        <w:rPr>
          <w:szCs w:val="24"/>
        </w:rPr>
        <w:t>*</w:t>
      </w:r>
      <w:proofErr w:type="spellStart"/>
      <w:r w:rsidRPr="00E533BF">
        <w:rPr>
          <w:szCs w:val="24"/>
        </w:rPr>
        <w:t>Darigold</w:t>
      </w:r>
      <w:proofErr w:type="spellEnd"/>
    </w:p>
    <w:p w:rsidR="004F0201" w:rsidRPr="009F0F49" w:rsidRDefault="004F0201" w:rsidP="004F0201">
      <w:pPr>
        <w:ind w:left="3600"/>
        <w:rPr>
          <w:szCs w:val="24"/>
        </w:rPr>
      </w:pPr>
      <w:r w:rsidRPr="009F0F49">
        <w:rPr>
          <w:szCs w:val="24"/>
        </w:rPr>
        <w:t>Dyno Nobel, Inc.</w:t>
      </w:r>
    </w:p>
    <w:p w:rsidR="004F0201" w:rsidRPr="009F0F49" w:rsidRDefault="004F0201" w:rsidP="004F0201">
      <w:pPr>
        <w:ind w:left="3600"/>
        <w:rPr>
          <w:szCs w:val="24"/>
        </w:rPr>
      </w:pPr>
      <w:r w:rsidRPr="009F0F49">
        <w:rPr>
          <w:szCs w:val="24"/>
        </w:rPr>
        <w:t>Emerald Performance Materials, LLC</w:t>
      </w:r>
    </w:p>
    <w:p w:rsidR="004F0201" w:rsidRPr="009F0F49" w:rsidRDefault="004F0201" w:rsidP="004F0201">
      <w:pPr>
        <w:ind w:left="3600"/>
        <w:rPr>
          <w:szCs w:val="24"/>
        </w:rPr>
      </w:pPr>
      <w:proofErr w:type="spellStart"/>
      <w:r w:rsidRPr="009F0F49">
        <w:rPr>
          <w:szCs w:val="24"/>
        </w:rPr>
        <w:t>Evraz</w:t>
      </w:r>
      <w:proofErr w:type="spellEnd"/>
      <w:r w:rsidRPr="009F0F49">
        <w:rPr>
          <w:szCs w:val="24"/>
        </w:rPr>
        <w:t>, Inc.</w:t>
      </w:r>
    </w:p>
    <w:p w:rsidR="004F0201" w:rsidRPr="009F0F49" w:rsidRDefault="004F0201" w:rsidP="004F0201">
      <w:pPr>
        <w:ind w:left="3600"/>
        <w:rPr>
          <w:szCs w:val="24"/>
        </w:rPr>
      </w:pPr>
      <w:r w:rsidRPr="009F0F49">
        <w:rPr>
          <w:szCs w:val="24"/>
        </w:rPr>
        <w:t>Freres Lumber Co.</w:t>
      </w:r>
    </w:p>
    <w:p w:rsidR="004F0201" w:rsidRDefault="004F0201" w:rsidP="004F0201">
      <w:pPr>
        <w:ind w:left="3600"/>
        <w:rPr>
          <w:szCs w:val="24"/>
        </w:rPr>
      </w:pPr>
      <w:r>
        <w:rPr>
          <w:szCs w:val="24"/>
        </w:rPr>
        <w:t>*</w:t>
      </w:r>
      <w:r w:rsidRPr="009F0F49">
        <w:rPr>
          <w:szCs w:val="24"/>
        </w:rPr>
        <w:t>Georgia-Pacific</w:t>
      </w:r>
    </w:p>
    <w:p w:rsidR="004F0201" w:rsidRPr="009F0F49" w:rsidRDefault="004F0201" w:rsidP="004F0201">
      <w:pPr>
        <w:ind w:left="3600"/>
        <w:rPr>
          <w:szCs w:val="24"/>
        </w:rPr>
      </w:pPr>
      <w:r>
        <w:rPr>
          <w:szCs w:val="24"/>
        </w:rPr>
        <w:t>Grant PUD Industries</w:t>
      </w:r>
    </w:p>
    <w:p w:rsidR="004F0201" w:rsidRPr="009F0F49" w:rsidRDefault="004F0201" w:rsidP="004F0201">
      <w:pPr>
        <w:ind w:left="3600"/>
        <w:rPr>
          <w:szCs w:val="24"/>
        </w:rPr>
      </w:pPr>
      <w:r w:rsidRPr="009F0F49">
        <w:rPr>
          <w:szCs w:val="24"/>
        </w:rPr>
        <w:t>Inland Empire Paper Co.</w:t>
      </w:r>
    </w:p>
    <w:p w:rsidR="004F0201" w:rsidRPr="009F0F49" w:rsidRDefault="004F0201" w:rsidP="004F0201">
      <w:pPr>
        <w:ind w:left="3600"/>
        <w:rPr>
          <w:szCs w:val="24"/>
        </w:rPr>
      </w:pPr>
      <w:r>
        <w:rPr>
          <w:szCs w:val="24"/>
        </w:rPr>
        <w:t>*</w:t>
      </w:r>
      <w:r w:rsidRPr="009F0F49">
        <w:rPr>
          <w:szCs w:val="24"/>
        </w:rPr>
        <w:t>Intel Corp</w:t>
      </w:r>
    </w:p>
    <w:p w:rsidR="004F0201" w:rsidRPr="009F0F49" w:rsidRDefault="004F0201" w:rsidP="004F0201">
      <w:pPr>
        <w:ind w:left="3600"/>
        <w:rPr>
          <w:szCs w:val="24"/>
        </w:rPr>
      </w:pPr>
      <w:r>
        <w:rPr>
          <w:szCs w:val="24"/>
        </w:rPr>
        <w:t>*</w:t>
      </w:r>
      <w:r w:rsidRPr="009F0F49">
        <w:rPr>
          <w:szCs w:val="24"/>
        </w:rPr>
        <w:t>International Paper</w:t>
      </w:r>
    </w:p>
    <w:p w:rsidR="004F0201" w:rsidRDefault="004F0201" w:rsidP="004F0201">
      <w:pPr>
        <w:ind w:left="3600"/>
        <w:rPr>
          <w:szCs w:val="24"/>
        </w:rPr>
      </w:pPr>
      <w:r w:rsidRPr="009F0F49">
        <w:rPr>
          <w:szCs w:val="24"/>
        </w:rPr>
        <w:t>J.R. Simplot</w:t>
      </w:r>
    </w:p>
    <w:p w:rsidR="004F0201" w:rsidRDefault="004F0201" w:rsidP="004F0201">
      <w:pPr>
        <w:ind w:left="3600"/>
        <w:rPr>
          <w:szCs w:val="24"/>
        </w:rPr>
      </w:pPr>
      <w:proofErr w:type="spellStart"/>
      <w:r>
        <w:rPr>
          <w:szCs w:val="24"/>
        </w:rPr>
        <w:t>Kapstone</w:t>
      </w:r>
      <w:proofErr w:type="spellEnd"/>
      <w:r>
        <w:rPr>
          <w:szCs w:val="24"/>
        </w:rPr>
        <w:t xml:space="preserve"> Kraft Paper</w:t>
      </w:r>
    </w:p>
    <w:p w:rsidR="004F0201" w:rsidRPr="009F0F49" w:rsidRDefault="004F0201" w:rsidP="004F0201">
      <w:pPr>
        <w:ind w:left="3600"/>
        <w:rPr>
          <w:szCs w:val="24"/>
        </w:rPr>
      </w:pPr>
      <w:r>
        <w:rPr>
          <w:szCs w:val="24"/>
        </w:rPr>
        <w:t>Legacy Health</w:t>
      </w:r>
    </w:p>
    <w:p w:rsidR="004F0201" w:rsidRPr="009F0F49" w:rsidRDefault="004F0201" w:rsidP="004F0201">
      <w:pPr>
        <w:ind w:left="3600"/>
        <w:rPr>
          <w:szCs w:val="24"/>
        </w:rPr>
      </w:pPr>
      <w:r w:rsidRPr="009F0F49">
        <w:rPr>
          <w:szCs w:val="24"/>
        </w:rPr>
        <w:t>Linde, Inc.</w:t>
      </w:r>
    </w:p>
    <w:p w:rsidR="004F0201" w:rsidRPr="009F0F49" w:rsidRDefault="004F0201" w:rsidP="004F0201">
      <w:pPr>
        <w:ind w:left="3600"/>
        <w:rPr>
          <w:szCs w:val="24"/>
        </w:rPr>
      </w:pPr>
      <w:r>
        <w:rPr>
          <w:szCs w:val="24"/>
        </w:rPr>
        <w:t>*</w:t>
      </w:r>
      <w:r w:rsidRPr="009F0F49">
        <w:rPr>
          <w:szCs w:val="24"/>
        </w:rPr>
        <w:t>Microsoft Corporation</w:t>
      </w:r>
    </w:p>
    <w:p w:rsidR="004F0201" w:rsidRDefault="004F0201" w:rsidP="004F0201">
      <w:pPr>
        <w:ind w:left="3600"/>
        <w:rPr>
          <w:szCs w:val="24"/>
        </w:rPr>
      </w:pPr>
      <w:proofErr w:type="spellStart"/>
      <w:r w:rsidRPr="009F0F49">
        <w:rPr>
          <w:szCs w:val="24"/>
        </w:rPr>
        <w:t>Norpac</w:t>
      </w:r>
      <w:proofErr w:type="spellEnd"/>
      <w:r w:rsidRPr="009F0F49">
        <w:rPr>
          <w:szCs w:val="24"/>
        </w:rPr>
        <w:t xml:space="preserve"> Foods</w:t>
      </w:r>
    </w:p>
    <w:p w:rsidR="004F0201" w:rsidRDefault="004F0201" w:rsidP="004F0201">
      <w:pPr>
        <w:ind w:left="3600"/>
        <w:rPr>
          <w:szCs w:val="24"/>
        </w:rPr>
      </w:pPr>
      <w:r>
        <w:rPr>
          <w:szCs w:val="24"/>
        </w:rPr>
        <w:t>*Northwest Hardwoods</w:t>
      </w:r>
    </w:p>
    <w:p w:rsidR="004F0201" w:rsidRPr="009F0F49" w:rsidRDefault="004F0201" w:rsidP="004F0201">
      <w:pPr>
        <w:ind w:left="3600"/>
        <w:rPr>
          <w:szCs w:val="24"/>
        </w:rPr>
      </w:pPr>
      <w:r>
        <w:rPr>
          <w:szCs w:val="24"/>
        </w:rPr>
        <w:t>Packaging Corporation of America</w:t>
      </w:r>
    </w:p>
    <w:p w:rsidR="004F0201" w:rsidRPr="009F0F49" w:rsidRDefault="004F0201" w:rsidP="004F0201">
      <w:pPr>
        <w:ind w:left="3600"/>
        <w:rPr>
          <w:szCs w:val="24"/>
        </w:rPr>
      </w:pPr>
      <w:r w:rsidRPr="009F0F49">
        <w:rPr>
          <w:szCs w:val="24"/>
        </w:rPr>
        <w:t xml:space="preserve">PCC </w:t>
      </w:r>
      <w:proofErr w:type="spellStart"/>
      <w:r w:rsidRPr="009F0F49">
        <w:rPr>
          <w:szCs w:val="24"/>
        </w:rPr>
        <w:t>Structurals</w:t>
      </w:r>
      <w:proofErr w:type="spellEnd"/>
      <w:r w:rsidRPr="009F0F49">
        <w:rPr>
          <w:szCs w:val="24"/>
        </w:rPr>
        <w:t>, Inc.</w:t>
      </w:r>
    </w:p>
    <w:p w:rsidR="004F0201" w:rsidRDefault="004F0201" w:rsidP="004F0201">
      <w:pPr>
        <w:ind w:left="3600"/>
        <w:rPr>
          <w:szCs w:val="24"/>
        </w:rPr>
      </w:pPr>
      <w:proofErr w:type="spellStart"/>
      <w:r w:rsidRPr="009F0F49">
        <w:rPr>
          <w:szCs w:val="24"/>
        </w:rPr>
        <w:t>Ponderay</w:t>
      </w:r>
      <w:proofErr w:type="spellEnd"/>
      <w:r w:rsidRPr="009F0F49">
        <w:rPr>
          <w:szCs w:val="24"/>
        </w:rPr>
        <w:t xml:space="preserve"> Newsprint</w:t>
      </w:r>
    </w:p>
    <w:p w:rsidR="004F0201" w:rsidRDefault="004F0201" w:rsidP="004F0201">
      <w:pPr>
        <w:ind w:left="3600"/>
        <w:rPr>
          <w:szCs w:val="24"/>
        </w:rPr>
      </w:pPr>
      <w:r w:rsidRPr="009F0F49">
        <w:rPr>
          <w:szCs w:val="24"/>
        </w:rPr>
        <w:t>REC Solar Grade Silicon LLC</w:t>
      </w:r>
    </w:p>
    <w:p w:rsidR="004F0201" w:rsidRPr="009F0F49" w:rsidRDefault="004F0201" w:rsidP="004F0201">
      <w:pPr>
        <w:ind w:left="3600"/>
        <w:rPr>
          <w:szCs w:val="24"/>
        </w:rPr>
      </w:pPr>
      <w:proofErr w:type="spellStart"/>
      <w:r>
        <w:rPr>
          <w:szCs w:val="24"/>
        </w:rPr>
        <w:t>Schnitzer</w:t>
      </w:r>
      <w:proofErr w:type="spellEnd"/>
      <w:r>
        <w:rPr>
          <w:szCs w:val="24"/>
        </w:rPr>
        <w:t xml:space="preserve"> Steel</w:t>
      </w:r>
    </w:p>
    <w:p w:rsidR="004F0201" w:rsidRPr="009F0F49" w:rsidRDefault="004F0201" w:rsidP="004F0201">
      <w:pPr>
        <w:ind w:left="3600"/>
        <w:rPr>
          <w:szCs w:val="24"/>
        </w:rPr>
      </w:pPr>
      <w:r>
        <w:rPr>
          <w:szCs w:val="24"/>
        </w:rPr>
        <w:t>*</w:t>
      </w:r>
      <w:r w:rsidRPr="009F0F49">
        <w:rPr>
          <w:szCs w:val="24"/>
        </w:rPr>
        <w:t>Shell Oil Products US</w:t>
      </w:r>
    </w:p>
    <w:p w:rsidR="004F0201" w:rsidRPr="009F0F49" w:rsidRDefault="004F0201" w:rsidP="004F0201">
      <w:pPr>
        <w:ind w:left="3600"/>
        <w:rPr>
          <w:szCs w:val="24"/>
        </w:rPr>
      </w:pPr>
      <w:r>
        <w:rPr>
          <w:szCs w:val="24"/>
        </w:rPr>
        <w:t>*</w:t>
      </w:r>
      <w:r w:rsidRPr="009F0F49">
        <w:rPr>
          <w:szCs w:val="24"/>
        </w:rPr>
        <w:t>Tesoro Refining and Marketing Co.</w:t>
      </w:r>
      <w:r w:rsidRPr="009F0F49">
        <w:rPr>
          <w:szCs w:val="24"/>
        </w:rPr>
        <w:br/>
        <w:t>Timber Products, Inc.</w:t>
      </w:r>
    </w:p>
    <w:p w:rsidR="004F0201" w:rsidRDefault="004F0201" w:rsidP="004F0201">
      <w:pPr>
        <w:ind w:left="3600"/>
        <w:rPr>
          <w:szCs w:val="24"/>
        </w:rPr>
      </w:pPr>
      <w:proofErr w:type="spellStart"/>
      <w:r w:rsidRPr="009F0F49">
        <w:rPr>
          <w:szCs w:val="24"/>
        </w:rPr>
        <w:t>Wah</w:t>
      </w:r>
      <w:proofErr w:type="spellEnd"/>
      <w:r w:rsidRPr="009F0F49">
        <w:rPr>
          <w:szCs w:val="24"/>
        </w:rPr>
        <w:t xml:space="preserve"> Chang</w:t>
      </w:r>
    </w:p>
    <w:p w:rsidR="004F0201" w:rsidRPr="009F0F49" w:rsidRDefault="004F0201" w:rsidP="004F0201">
      <w:pPr>
        <w:ind w:left="3600"/>
        <w:rPr>
          <w:szCs w:val="24"/>
        </w:rPr>
      </w:pPr>
      <w:proofErr w:type="spellStart"/>
      <w:r>
        <w:rPr>
          <w:szCs w:val="24"/>
        </w:rPr>
        <w:t>WestRock</w:t>
      </w:r>
      <w:proofErr w:type="spellEnd"/>
    </w:p>
    <w:p w:rsidR="004F0201" w:rsidRPr="009F0F49" w:rsidRDefault="004F0201" w:rsidP="004F0201">
      <w:pPr>
        <w:ind w:left="3600"/>
        <w:rPr>
          <w:szCs w:val="24"/>
        </w:rPr>
      </w:pPr>
      <w:r w:rsidRPr="009F0F49">
        <w:rPr>
          <w:szCs w:val="24"/>
        </w:rPr>
        <w:t>West Linn Paper Company</w:t>
      </w:r>
    </w:p>
    <w:p w:rsidR="004F0201" w:rsidRPr="00BB4F5A" w:rsidRDefault="004F0201" w:rsidP="004F0201">
      <w:pPr>
        <w:ind w:left="3600"/>
        <w:rPr>
          <w:szCs w:val="24"/>
        </w:rPr>
      </w:pPr>
      <w:r>
        <w:rPr>
          <w:szCs w:val="24"/>
        </w:rPr>
        <w:t>*</w:t>
      </w:r>
      <w:r w:rsidRPr="009F0F49">
        <w:rPr>
          <w:szCs w:val="24"/>
        </w:rPr>
        <w:t>Weyerhaeuser</w:t>
      </w:r>
    </w:p>
    <w:p w:rsidR="00B07C87" w:rsidRPr="00BB4F5A" w:rsidRDefault="00B07C87" w:rsidP="00B07C87">
      <w:pPr>
        <w:ind w:left="3600"/>
        <w:rPr>
          <w:szCs w:val="24"/>
        </w:rPr>
      </w:pPr>
    </w:p>
    <w:p w:rsidR="00B07C87" w:rsidRPr="00191FA8" w:rsidRDefault="00B07C87" w:rsidP="00B07C87">
      <w:pPr>
        <w:rPr>
          <w:i/>
          <w:iCs/>
          <w:sz w:val="20"/>
          <w:highlight w:val="yellow"/>
        </w:rPr>
      </w:pPr>
    </w:p>
    <w:p w:rsidR="00191FA8" w:rsidRPr="001D2D9C" w:rsidRDefault="00B07C87" w:rsidP="00B07C87">
      <w:pPr>
        <w:rPr>
          <w:i/>
          <w:iCs/>
          <w:sz w:val="20"/>
        </w:rPr>
      </w:pPr>
      <w:r w:rsidRPr="003B710E">
        <w:rPr>
          <w:i/>
          <w:iCs/>
          <w:sz w:val="20"/>
        </w:rPr>
        <w:t xml:space="preserve">*Denotes </w:t>
      </w:r>
      <w:r>
        <w:rPr>
          <w:i/>
          <w:iCs/>
          <w:sz w:val="20"/>
        </w:rPr>
        <w:t>PSE Customers</w:t>
      </w:r>
    </w:p>
    <w:sectPr w:rsidR="00191FA8" w:rsidRPr="001D2D9C" w:rsidSect="00F81487">
      <w:footerReference w:type="default" r:id="rId13"/>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0F" w:rsidRDefault="0090370F" w:rsidP="00C879A0">
      <w:r>
        <w:separator/>
      </w:r>
    </w:p>
  </w:endnote>
  <w:endnote w:type="continuationSeparator" w:id="0">
    <w:p w:rsidR="0090370F" w:rsidRDefault="0090370F"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rsidP="00F81487">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7C8D">
      <w:rPr>
        <w:rStyle w:val="PageNumber"/>
        <w:noProof/>
      </w:rPr>
      <w:t>1</w:t>
    </w:r>
    <w:r>
      <w:rPr>
        <w:rStyle w:val="PageNumber"/>
      </w:rPr>
      <w:fldChar w:fldCharType="end"/>
    </w:r>
    <w:r>
      <w:rPr>
        <w:rStyle w:val="PageNumber"/>
      </w:rPr>
      <w:t xml:space="preserve"> – PETITION</w:t>
    </w:r>
    <w:r w:rsidRPr="00123A23">
      <w:t xml:space="preserve"> </w:t>
    </w:r>
    <w:r>
      <w:t>TO INTERVENE OF ICNU</w:t>
    </w:r>
  </w:p>
  <w:p w:rsidR="00AD6290" w:rsidRDefault="00AD6290" w:rsidP="00F81487">
    <w:pPr>
      <w:jc w:val="center"/>
      <w:rPr>
        <w:rFonts w:ascii="EngraversGothic BT" w:hAnsi="EngraversGothic BT"/>
        <w:sz w:val="16"/>
      </w:rPr>
    </w:pPr>
  </w:p>
  <w:p w:rsidR="00AD6290" w:rsidRPr="003A410C" w:rsidRDefault="00AD6290" w:rsidP="00F81487">
    <w:pPr>
      <w:jc w:val="center"/>
      <w:rPr>
        <w:sz w:val="16"/>
      </w:rPr>
    </w:pPr>
    <w:r w:rsidRPr="003A410C">
      <w:rPr>
        <w:sz w:val="16"/>
      </w:rPr>
      <w:t>DAVISON VAN CLEVE, P.C.</w:t>
    </w:r>
  </w:p>
  <w:p w:rsidR="00AD6290" w:rsidRPr="003A410C" w:rsidRDefault="00AD6290" w:rsidP="00F81487">
    <w:pPr>
      <w:tabs>
        <w:tab w:val="center" w:pos="4680"/>
      </w:tabs>
      <w:jc w:val="center"/>
      <w:rPr>
        <w:sz w:val="16"/>
      </w:rPr>
    </w:pPr>
    <w:r w:rsidRPr="003A410C">
      <w:rPr>
        <w:sz w:val="16"/>
      </w:rPr>
      <w:t>333 SW Taylor, Suite 400</w:t>
    </w:r>
  </w:p>
  <w:p w:rsidR="00AD6290" w:rsidRPr="003A410C" w:rsidRDefault="00AD6290" w:rsidP="00F81487">
    <w:pPr>
      <w:tabs>
        <w:tab w:val="center" w:pos="4680"/>
      </w:tabs>
      <w:jc w:val="center"/>
      <w:rPr>
        <w:sz w:val="16"/>
      </w:rPr>
    </w:pPr>
    <w:r w:rsidRPr="003A410C">
      <w:rPr>
        <w:sz w:val="16"/>
      </w:rPr>
      <w:t>Portland, OR 97204</w:t>
    </w:r>
  </w:p>
  <w:p w:rsidR="00AD6290" w:rsidRPr="003A410C" w:rsidRDefault="00AD6290" w:rsidP="00F81487">
    <w:pPr>
      <w:pStyle w:val="Footer"/>
      <w:jc w:val="center"/>
    </w:pPr>
    <w:r w:rsidRPr="003A410C">
      <w:rPr>
        <w:sz w:val="16"/>
      </w:rPr>
      <w:t>Telephone (503) 241-7242</w:t>
    </w:r>
  </w:p>
  <w:p w:rsidR="00AD6290" w:rsidRDefault="00AD6290">
    <w:pPr>
      <w:pStyle w:val="Footer"/>
    </w:pPr>
  </w:p>
  <w:p w:rsidR="00AD6290" w:rsidRPr="00966E57" w:rsidRDefault="00AD6290" w:rsidP="00966E57">
    <w:pPr>
      <w:tabs>
        <w:tab w:val="center" w:pos="4680"/>
      </w:tabs>
      <w:jc w:val="center"/>
      <w:rPr>
        <w:rFonts w:ascii="EngraversGothic BT" w:hAnsi="EngraversGothic BT"/>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87" w:rsidRDefault="00F81487">
    <w:pPr>
      <w:pStyle w:val="Footer"/>
    </w:pPr>
  </w:p>
  <w:p w:rsidR="00F81487" w:rsidRPr="00966E57" w:rsidRDefault="00F81487" w:rsidP="00966E57">
    <w:pPr>
      <w:tabs>
        <w:tab w:val="center" w:pos="4680"/>
      </w:tabs>
      <w:jc w:val="center"/>
      <w:rPr>
        <w:rFonts w:ascii="EngraversGothic BT" w:hAnsi="EngraversGothic BT"/>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0F" w:rsidRDefault="0090370F" w:rsidP="00C879A0">
      <w:r>
        <w:separator/>
      </w:r>
    </w:p>
  </w:footnote>
  <w:footnote w:type="continuationSeparator" w:id="0">
    <w:p w:rsidR="0090370F" w:rsidRDefault="0090370F" w:rsidP="00C8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A0"/>
    <w:rsid w:val="0001074A"/>
    <w:rsid w:val="00013D40"/>
    <w:rsid w:val="00026797"/>
    <w:rsid w:val="0006279D"/>
    <w:rsid w:val="00070A8E"/>
    <w:rsid w:val="00090CDD"/>
    <w:rsid w:val="000957A5"/>
    <w:rsid w:val="000F5FA9"/>
    <w:rsid w:val="000F6106"/>
    <w:rsid w:val="00136ABE"/>
    <w:rsid w:val="00142332"/>
    <w:rsid w:val="0018640C"/>
    <w:rsid w:val="00191FA8"/>
    <w:rsid w:val="001C6437"/>
    <w:rsid w:val="001E1FC9"/>
    <w:rsid w:val="002459CA"/>
    <w:rsid w:val="002635D4"/>
    <w:rsid w:val="00265D5D"/>
    <w:rsid w:val="002924ED"/>
    <w:rsid w:val="002A0834"/>
    <w:rsid w:val="002D0334"/>
    <w:rsid w:val="002E226F"/>
    <w:rsid w:val="002E3058"/>
    <w:rsid w:val="002F1F3E"/>
    <w:rsid w:val="00301FA0"/>
    <w:rsid w:val="00335093"/>
    <w:rsid w:val="00353636"/>
    <w:rsid w:val="003929D3"/>
    <w:rsid w:val="003B2F58"/>
    <w:rsid w:val="003B710E"/>
    <w:rsid w:val="003D0E2F"/>
    <w:rsid w:val="00421AD7"/>
    <w:rsid w:val="00425EEA"/>
    <w:rsid w:val="00427C8D"/>
    <w:rsid w:val="004339DC"/>
    <w:rsid w:val="00433C16"/>
    <w:rsid w:val="004502A3"/>
    <w:rsid w:val="00497A5A"/>
    <w:rsid w:val="004D6C8F"/>
    <w:rsid w:val="004E4891"/>
    <w:rsid w:val="004F0201"/>
    <w:rsid w:val="005A06FA"/>
    <w:rsid w:val="005A7608"/>
    <w:rsid w:val="0063704C"/>
    <w:rsid w:val="00637C6D"/>
    <w:rsid w:val="0068063C"/>
    <w:rsid w:val="00684B27"/>
    <w:rsid w:val="00691C6A"/>
    <w:rsid w:val="00695016"/>
    <w:rsid w:val="006C1DBD"/>
    <w:rsid w:val="00701E45"/>
    <w:rsid w:val="007049B2"/>
    <w:rsid w:val="007205B1"/>
    <w:rsid w:val="00722D78"/>
    <w:rsid w:val="007359C8"/>
    <w:rsid w:val="00735E4B"/>
    <w:rsid w:val="00756179"/>
    <w:rsid w:val="008360F3"/>
    <w:rsid w:val="008466C9"/>
    <w:rsid w:val="008768C7"/>
    <w:rsid w:val="008B732F"/>
    <w:rsid w:val="0090370F"/>
    <w:rsid w:val="0091226A"/>
    <w:rsid w:val="00960FD2"/>
    <w:rsid w:val="00966E57"/>
    <w:rsid w:val="00A10A62"/>
    <w:rsid w:val="00A13BE0"/>
    <w:rsid w:val="00A14362"/>
    <w:rsid w:val="00A3083E"/>
    <w:rsid w:val="00A40A12"/>
    <w:rsid w:val="00A44487"/>
    <w:rsid w:val="00A73E45"/>
    <w:rsid w:val="00AA36AD"/>
    <w:rsid w:val="00AD6290"/>
    <w:rsid w:val="00B02F68"/>
    <w:rsid w:val="00B07C87"/>
    <w:rsid w:val="00BA126E"/>
    <w:rsid w:val="00BB09EA"/>
    <w:rsid w:val="00BC5D37"/>
    <w:rsid w:val="00BF71D7"/>
    <w:rsid w:val="00C368B3"/>
    <w:rsid w:val="00C55BBC"/>
    <w:rsid w:val="00C64BB9"/>
    <w:rsid w:val="00C70E2E"/>
    <w:rsid w:val="00C879A0"/>
    <w:rsid w:val="00D0573D"/>
    <w:rsid w:val="00D30795"/>
    <w:rsid w:val="00D72736"/>
    <w:rsid w:val="00DB1AE8"/>
    <w:rsid w:val="00DE2AC9"/>
    <w:rsid w:val="00DF707A"/>
    <w:rsid w:val="00E533BF"/>
    <w:rsid w:val="00ED5CB8"/>
    <w:rsid w:val="00F550D8"/>
    <w:rsid w:val="00F65B00"/>
    <w:rsid w:val="00F81487"/>
    <w:rsid w:val="00F90B01"/>
    <w:rsid w:val="00FC2A5F"/>
    <w:rsid w:val="00FD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072888"/>
  <w15:docId w15:val="{A3867F4C-74AD-4B51-802B-B3A7A8A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uiPriority w:val="99"/>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26FF99-279D-4FA8-8255-98B21BCC2883}"/>
</file>

<file path=customXml/itemProps2.xml><?xml version="1.0" encoding="utf-8"?>
<ds:datastoreItem xmlns:ds="http://schemas.openxmlformats.org/officeDocument/2006/customXml" ds:itemID="{C1AA59FA-2F30-41D2-9E0E-39A10AEA32E7}"/>
</file>

<file path=customXml/itemProps3.xml><?xml version="1.0" encoding="utf-8"?>
<ds:datastoreItem xmlns:ds="http://schemas.openxmlformats.org/officeDocument/2006/customXml" ds:itemID="{2D5910EB-24E6-4FB0-9B10-A94EC12F8DE0}"/>
</file>

<file path=customXml/itemProps4.xml><?xml version="1.0" encoding="utf-8"?>
<ds:datastoreItem xmlns:ds="http://schemas.openxmlformats.org/officeDocument/2006/customXml" ds:itemID="{8772F59C-8785-43A4-892F-0520EB875123}"/>
</file>

<file path=docProps/app.xml><?xml version="1.0" encoding="utf-8"?>
<Properties xmlns="http://schemas.openxmlformats.org/officeDocument/2006/extended-properties" xmlns:vt="http://schemas.openxmlformats.org/officeDocument/2006/docPropsVTypes">
  <Template>Normal</Template>
  <TotalTime>99</TotalTime>
  <Pages>4</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22</cp:revision>
  <cp:lastPrinted>2014-02-05T21:16:00Z</cp:lastPrinted>
  <dcterms:created xsi:type="dcterms:W3CDTF">2016-05-27T16:38:00Z</dcterms:created>
  <dcterms:modified xsi:type="dcterms:W3CDTF">2016-10-18T16:32:00Z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