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F1" w:rsidRPr="00C402F4" w:rsidRDefault="008F2DF1" w:rsidP="008F2DF1">
      <w:pPr>
        <w:pStyle w:val="Header"/>
        <w:suppressLineNumbers/>
        <w:tabs>
          <w:tab w:val="center" w:pos="5130"/>
        </w:tabs>
        <w:jc w:val="right"/>
        <w:rPr>
          <w:b/>
          <w:szCs w:val="24"/>
        </w:rPr>
      </w:pPr>
      <w:r w:rsidRPr="00C402F4">
        <w:rPr>
          <w:b/>
          <w:szCs w:val="24"/>
        </w:rPr>
        <w:t>Exhibit No. __ (</w:t>
      </w:r>
      <w:r w:rsidR="00327B7A">
        <w:rPr>
          <w:b/>
          <w:szCs w:val="24"/>
        </w:rPr>
        <w:t>JSG</w:t>
      </w:r>
      <w:r w:rsidRPr="00C402F4">
        <w:rPr>
          <w:b/>
          <w:szCs w:val="24"/>
        </w:rPr>
        <w:t>-1T)</w:t>
      </w:r>
    </w:p>
    <w:p w:rsidR="008F2DF1" w:rsidRPr="00C402F4" w:rsidRDefault="008F2DF1" w:rsidP="008F2DF1">
      <w:pPr>
        <w:pStyle w:val="Header"/>
        <w:suppressLineNumbers/>
        <w:tabs>
          <w:tab w:val="center" w:pos="4950"/>
        </w:tabs>
        <w:ind w:firstLine="6480"/>
        <w:jc w:val="right"/>
        <w:rPr>
          <w:b/>
          <w:szCs w:val="24"/>
        </w:rPr>
      </w:pPr>
      <w:r w:rsidRPr="00C402F4">
        <w:rPr>
          <w:b/>
          <w:szCs w:val="24"/>
        </w:rPr>
        <w:t>Docket No. UG-15____</w:t>
      </w:r>
    </w:p>
    <w:p w:rsidR="008F2DF1" w:rsidRPr="00C402F4" w:rsidRDefault="008F2DF1" w:rsidP="008F2DF1">
      <w:pPr>
        <w:pStyle w:val="Header"/>
        <w:suppressLineNumbers/>
        <w:tabs>
          <w:tab w:val="center" w:pos="5040"/>
        </w:tabs>
        <w:jc w:val="right"/>
        <w:rPr>
          <w:b/>
          <w:szCs w:val="24"/>
        </w:rPr>
      </w:pPr>
      <w:r w:rsidRPr="00C402F4">
        <w:rPr>
          <w:b/>
          <w:szCs w:val="24"/>
        </w:rPr>
        <w:t xml:space="preserve">Witness: </w:t>
      </w:r>
      <w:r w:rsidR="00327B7A">
        <w:rPr>
          <w:b/>
          <w:szCs w:val="24"/>
        </w:rPr>
        <w:t>J. Stephen Gaske</w:t>
      </w:r>
    </w:p>
    <w:p w:rsidR="008F2DF1" w:rsidRPr="00C402F4" w:rsidRDefault="008F2DF1" w:rsidP="008F2DF1">
      <w:pPr>
        <w:pStyle w:val="Header"/>
        <w:suppressLineNumbers/>
        <w:tabs>
          <w:tab w:val="center" w:pos="5040"/>
        </w:tabs>
        <w:jc w:val="center"/>
        <w:rPr>
          <w:b/>
          <w:szCs w:val="24"/>
        </w:rPr>
      </w:pPr>
    </w:p>
    <w:p w:rsidR="00643F4F" w:rsidRPr="00C402F4" w:rsidRDefault="00643F4F" w:rsidP="008F2DF1">
      <w:pPr>
        <w:pStyle w:val="Header"/>
        <w:suppressLineNumbers/>
        <w:tabs>
          <w:tab w:val="center" w:pos="5040"/>
        </w:tabs>
        <w:jc w:val="center"/>
        <w:rPr>
          <w:b/>
          <w:szCs w:val="24"/>
        </w:rPr>
      </w:pPr>
    </w:p>
    <w:p w:rsidR="00643F4F" w:rsidRPr="00C402F4" w:rsidRDefault="00643F4F" w:rsidP="008F2DF1">
      <w:pPr>
        <w:pStyle w:val="Header"/>
        <w:suppressLineNumbers/>
        <w:tabs>
          <w:tab w:val="center" w:pos="5040"/>
        </w:tabs>
        <w:jc w:val="center"/>
        <w:rPr>
          <w:b/>
          <w:szCs w:val="24"/>
        </w:rPr>
      </w:pPr>
    </w:p>
    <w:p w:rsidR="008F2DF1" w:rsidRPr="00C402F4" w:rsidRDefault="008F2DF1" w:rsidP="008F2DF1">
      <w:pPr>
        <w:pStyle w:val="Header"/>
        <w:suppressLineNumbers/>
        <w:tabs>
          <w:tab w:val="center" w:pos="5040"/>
        </w:tabs>
        <w:jc w:val="center"/>
        <w:rPr>
          <w:b/>
          <w:szCs w:val="24"/>
        </w:rPr>
      </w:pPr>
      <w:r w:rsidRPr="00C402F4">
        <w:rPr>
          <w:b/>
          <w:szCs w:val="24"/>
        </w:rPr>
        <w:t>BEFORE THE</w:t>
      </w:r>
    </w:p>
    <w:p w:rsidR="008F2DF1" w:rsidRPr="00C402F4" w:rsidRDefault="008F2DF1" w:rsidP="008F2DF1">
      <w:pPr>
        <w:pStyle w:val="Header"/>
        <w:suppressLineNumbers/>
        <w:tabs>
          <w:tab w:val="center" w:pos="5040"/>
        </w:tabs>
        <w:jc w:val="center"/>
        <w:rPr>
          <w:b/>
          <w:szCs w:val="24"/>
        </w:rPr>
      </w:pPr>
      <w:r w:rsidRPr="00C402F4">
        <w:rPr>
          <w:b/>
          <w:szCs w:val="24"/>
        </w:rPr>
        <w:t>WASHINGTON UTILITIES AND TRANSPORTATION COMMISSION</w:t>
      </w:r>
    </w:p>
    <w:p w:rsidR="008F2DF1" w:rsidRPr="00C402F4" w:rsidRDefault="008F2DF1" w:rsidP="008F2DF1">
      <w:pPr>
        <w:pStyle w:val="Header"/>
        <w:suppressLineNumbers/>
        <w:tabs>
          <w:tab w:val="center" w:pos="5040"/>
        </w:tabs>
        <w:jc w:val="right"/>
        <w:rPr>
          <w:szCs w:val="24"/>
        </w:rPr>
      </w:pPr>
    </w:p>
    <w:p w:rsidR="008F2DF1" w:rsidRPr="00C402F4" w:rsidRDefault="008F2DF1" w:rsidP="008F2DF1">
      <w:pPr>
        <w:pStyle w:val="Header"/>
        <w:suppressLineNumbers/>
        <w:tabs>
          <w:tab w:val="center" w:pos="5040"/>
        </w:tabs>
        <w:jc w:val="right"/>
        <w:rPr>
          <w:szCs w:val="24"/>
        </w:rPr>
      </w:pPr>
    </w:p>
    <w:p w:rsidR="008F2DF1" w:rsidRPr="00C402F4" w:rsidRDefault="008F2DF1" w:rsidP="008F2DF1">
      <w:pPr>
        <w:pStyle w:val="Header"/>
        <w:suppressLineNumbers/>
        <w:tabs>
          <w:tab w:val="center" w:pos="5040"/>
        </w:tabs>
        <w:jc w:val="right"/>
        <w:rPr>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8F2DF1" w:rsidRPr="00C978B7" w:rsidTr="008F2DF1">
        <w:tc>
          <w:tcPr>
            <w:tcW w:w="4590" w:type="dxa"/>
            <w:tcBorders>
              <w:top w:val="single" w:sz="6" w:space="0" w:color="FFFFFF"/>
              <w:left w:val="single" w:sz="6" w:space="0" w:color="FFFFFF"/>
              <w:bottom w:val="single" w:sz="7" w:space="0" w:color="000000"/>
              <w:right w:val="single" w:sz="6" w:space="0" w:color="FFFFFF"/>
            </w:tcBorders>
          </w:tcPr>
          <w:p w:rsidR="008F2DF1" w:rsidRPr="00C402F4" w:rsidRDefault="008F2DF1" w:rsidP="008F2DF1">
            <w:pPr>
              <w:spacing w:line="240" w:lineRule="auto"/>
              <w:rPr>
                <w:szCs w:val="24"/>
              </w:rPr>
            </w:pPr>
            <w:r w:rsidRPr="00C402F4">
              <w:rPr>
                <w:szCs w:val="24"/>
              </w:rPr>
              <w:t>WASHINGTON UTILITIES AND TRANSPORTATION COMMISSION,</w:t>
            </w:r>
          </w:p>
          <w:p w:rsidR="008F2DF1" w:rsidRPr="00C402F4" w:rsidRDefault="008F2DF1" w:rsidP="008F2DF1">
            <w:pPr>
              <w:spacing w:line="240" w:lineRule="auto"/>
              <w:rPr>
                <w:szCs w:val="24"/>
              </w:rPr>
            </w:pPr>
            <w:r w:rsidRPr="00C402F4">
              <w:rPr>
                <w:szCs w:val="24"/>
              </w:rPr>
              <w:t xml:space="preserve">                           Complainant,</w:t>
            </w:r>
          </w:p>
          <w:p w:rsidR="008F2DF1" w:rsidRPr="00C402F4" w:rsidRDefault="008F2DF1" w:rsidP="008F2DF1">
            <w:pPr>
              <w:spacing w:line="240" w:lineRule="auto"/>
              <w:rPr>
                <w:szCs w:val="24"/>
              </w:rPr>
            </w:pPr>
          </w:p>
          <w:p w:rsidR="008F2DF1" w:rsidRPr="00C402F4" w:rsidRDefault="008F2DF1" w:rsidP="008F2DF1">
            <w:pPr>
              <w:spacing w:line="240" w:lineRule="auto"/>
              <w:rPr>
                <w:szCs w:val="24"/>
              </w:rPr>
            </w:pPr>
            <w:r w:rsidRPr="00C402F4">
              <w:rPr>
                <w:szCs w:val="24"/>
              </w:rPr>
              <w:t>v.</w:t>
            </w:r>
          </w:p>
          <w:p w:rsidR="008F2DF1" w:rsidRPr="00C402F4" w:rsidRDefault="008F2DF1" w:rsidP="008F2DF1">
            <w:pPr>
              <w:spacing w:line="240" w:lineRule="auto"/>
              <w:rPr>
                <w:szCs w:val="24"/>
              </w:rPr>
            </w:pPr>
          </w:p>
          <w:p w:rsidR="008F2DF1" w:rsidRPr="00C402F4" w:rsidRDefault="008F2DF1" w:rsidP="008F2DF1">
            <w:pPr>
              <w:spacing w:line="240" w:lineRule="auto"/>
              <w:rPr>
                <w:szCs w:val="24"/>
              </w:rPr>
            </w:pPr>
            <w:r w:rsidRPr="00C402F4">
              <w:rPr>
                <w:szCs w:val="24"/>
              </w:rPr>
              <w:t>CASCADE NATURAL GAS CORPORATION,</w:t>
            </w:r>
          </w:p>
          <w:p w:rsidR="008F2DF1" w:rsidRPr="00C402F4" w:rsidRDefault="008F2DF1" w:rsidP="008F2DF1">
            <w:pPr>
              <w:spacing w:line="240" w:lineRule="auto"/>
              <w:rPr>
                <w:szCs w:val="24"/>
              </w:rPr>
            </w:pPr>
          </w:p>
          <w:p w:rsidR="008F2DF1" w:rsidRPr="00C402F4" w:rsidRDefault="008F2DF1" w:rsidP="008F2DF1">
            <w:pPr>
              <w:spacing w:line="240" w:lineRule="auto"/>
              <w:rPr>
                <w:szCs w:val="24"/>
              </w:rPr>
            </w:pPr>
            <w:r w:rsidRPr="00C402F4">
              <w:rPr>
                <w:szCs w:val="24"/>
              </w:rPr>
              <w:t xml:space="preserve">                           Respondent.</w:t>
            </w:r>
          </w:p>
          <w:p w:rsidR="008F2DF1" w:rsidRPr="00C402F4" w:rsidRDefault="008F2DF1" w:rsidP="008F2DF1">
            <w:pPr>
              <w:rPr>
                <w:szCs w:val="24"/>
              </w:rPr>
            </w:pPr>
          </w:p>
        </w:tc>
        <w:tc>
          <w:tcPr>
            <w:tcW w:w="4590" w:type="dxa"/>
            <w:tcBorders>
              <w:top w:val="single" w:sz="6" w:space="0" w:color="FFFFFF"/>
              <w:left w:val="single" w:sz="7" w:space="0" w:color="000000"/>
              <w:bottom w:val="single" w:sz="6" w:space="0" w:color="FFFFFF"/>
              <w:right w:val="single" w:sz="6" w:space="0" w:color="FFFFFF"/>
            </w:tcBorders>
          </w:tcPr>
          <w:p w:rsidR="008F2DF1" w:rsidRPr="00C402F4" w:rsidRDefault="008F2DF1" w:rsidP="008F2DF1">
            <w:pPr>
              <w:rPr>
                <w:szCs w:val="24"/>
              </w:rPr>
            </w:pPr>
          </w:p>
          <w:p w:rsidR="008F2DF1" w:rsidRPr="00C402F4" w:rsidRDefault="008F2DF1" w:rsidP="008F2DF1">
            <w:pPr>
              <w:rPr>
                <w:szCs w:val="24"/>
              </w:rPr>
            </w:pPr>
          </w:p>
          <w:p w:rsidR="008F2DF1" w:rsidRPr="00C402F4" w:rsidRDefault="008F2DF1" w:rsidP="008F2DF1">
            <w:pPr>
              <w:spacing w:line="240" w:lineRule="auto"/>
              <w:rPr>
                <w:szCs w:val="24"/>
              </w:rPr>
            </w:pPr>
            <w:r w:rsidRPr="00C402F4">
              <w:rPr>
                <w:szCs w:val="24"/>
              </w:rPr>
              <w:t>DOCKET UG-15______</w:t>
            </w:r>
          </w:p>
          <w:p w:rsidR="008F2DF1" w:rsidRPr="00C402F4" w:rsidRDefault="008F2DF1" w:rsidP="008F2DF1">
            <w:pPr>
              <w:spacing w:line="240" w:lineRule="auto"/>
              <w:rPr>
                <w:szCs w:val="24"/>
              </w:rPr>
            </w:pPr>
          </w:p>
          <w:p w:rsidR="008F2DF1" w:rsidRPr="00C402F4" w:rsidRDefault="008F2DF1" w:rsidP="008F2DF1">
            <w:pPr>
              <w:spacing w:line="240" w:lineRule="auto"/>
              <w:jc w:val="both"/>
              <w:rPr>
                <w:b/>
                <w:szCs w:val="24"/>
              </w:rPr>
            </w:pPr>
          </w:p>
        </w:tc>
      </w:tr>
    </w:tbl>
    <w:p w:rsidR="008F2DF1" w:rsidRPr="00C402F4" w:rsidRDefault="008F2DF1" w:rsidP="008F2DF1">
      <w:pPr>
        <w:pStyle w:val="Header"/>
        <w:suppressLineNumbers/>
        <w:tabs>
          <w:tab w:val="center" w:pos="5040"/>
        </w:tabs>
        <w:jc w:val="right"/>
        <w:rPr>
          <w:szCs w:val="24"/>
        </w:rPr>
      </w:pPr>
    </w:p>
    <w:p w:rsidR="008F2DF1" w:rsidRPr="00C402F4" w:rsidRDefault="008F2DF1" w:rsidP="008F2DF1">
      <w:pPr>
        <w:pStyle w:val="Header"/>
        <w:suppressLineNumbers/>
        <w:tabs>
          <w:tab w:val="center" w:pos="5040"/>
        </w:tabs>
        <w:jc w:val="right"/>
        <w:rPr>
          <w:szCs w:val="24"/>
        </w:rPr>
      </w:pPr>
    </w:p>
    <w:p w:rsidR="008F2DF1" w:rsidRPr="00C402F4" w:rsidRDefault="008F2DF1" w:rsidP="008F2DF1">
      <w:pPr>
        <w:pStyle w:val="Header"/>
        <w:suppressLineNumbers/>
        <w:tabs>
          <w:tab w:val="center" w:pos="5040"/>
        </w:tabs>
        <w:jc w:val="right"/>
        <w:rPr>
          <w:szCs w:val="24"/>
        </w:rPr>
      </w:pPr>
    </w:p>
    <w:p w:rsidR="008F2DF1" w:rsidRPr="00C402F4" w:rsidRDefault="008F2DF1" w:rsidP="008F2DF1">
      <w:pPr>
        <w:pStyle w:val="Header"/>
        <w:suppressLineNumbers/>
        <w:tabs>
          <w:tab w:val="center" w:pos="5040"/>
        </w:tabs>
        <w:jc w:val="center"/>
        <w:rPr>
          <w:b/>
          <w:szCs w:val="24"/>
        </w:rPr>
      </w:pPr>
      <w:r w:rsidRPr="00C402F4">
        <w:rPr>
          <w:b/>
          <w:szCs w:val="24"/>
        </w:rPr>
        <w:t>CASCADE NATURAL GAS CORPORATION</w:t>
      </w:r>
    </w:p>
    <w:p w:rsidR="008F2DF1" w:rsidRPr="00C402F4" w:rsidRDefault="008F2DF1" w:rsidP="008F2DF1">
      <w:pPr>
        <w:pStyle w:val="Header"/>
        <w:suppressLineNumbers/>
        <w:tabs>
          <w:tab w:val="center" w:pos="5040"/>
        </w:tabs>
        <w:jc w:val="center"/>
        <w:rPr>
          <w:b/>
          <w:szCs w:val="24"/>
        </w:rPr>
      </w:pPr>
    </w:p>
    <w:p w:rsidR="008F2DF1" w:rsidRPr="00C402F4" w:rsidRDefault="008F2DF1" w:rsidP="008F2DF1">
      <w:pPr>
        <w:pStyle w:val="Header"/>
        <w:suppressLineNumbers/>
        <w:tabs>
          <w:tab w:val="center" w:pos="5040"/>
        </w:tabs>
        <w:jc w:val="center"/>
        <w:rPr>
          <w:b/>
          <w:szCs w:val="24"/>
        </w:rPr>
      </w:pPr>
      <w:r w:rsidRPr="00C402F4">
        <w:rPr>
          <w:b/>
          <w:szCs w:val="24"/>
        </w:rPr>
        <w:t xml:space="preserve">DIRECT TESTIMONY OF </w:t>
      </w:r>
      <w:r w:rsidR="00327B7A">
        <w:rPr>
          <w:b/>
          <w:szCs w:val="24"/>
        </w:rPr>
        <w:t>J. STEPHEN GASKE</w:t>
      </w:r>
    </w:p>
    <w:p w:rsidR="008F2DF1" w:rsidRPr="00C402F4" w:rsidRDefault="008F2DF1" w:rsidP="008F2DF1">
      <w:pPr>
        <w:pStyle w:val="Header"/>
        <w:suppressLineNumbers/>
        <w:tabs>
          <w:tab w:val="center" w:pos="5040"/>
        </w:tabs>
        <w:jc w:val="center"/>
        <w:rPr>
          <w:b/>
          <w:szCs w:val="24"/>
        </w:rPr>
      </w:pPr>
    </w:p>
    <w:p w:rsidR="008F2DF1" w:rsidRPr="00C402F4" w:rsidRDefault="008F2DF1" w:rsidP="008F2DF1">
      <w:pPr>
        <w:pStyle w:val="Header"/>
        <w:suppressLineNumbers/>
        <w:tabs>
          <w:tab w:val="center" w:pos="5040"/>
        </w:tabs>
        <w:jc w:val="center"/>
        <w:rPr>
          <w:b/>
          <w:szCs w:val="24"/>
        </w:rPr>
      </w:pPr>
    </w:p>
    <w:p w:rsidR="008F2DF1" w:rsidRPr="00C402F4" w:rsidRDefault="008F2DF1" w:rsidP="008F2DF1">
      <w:pPr>
        <w:pStyle w:val="Header"/>
        <w:suppressLineNumbers/>
        <w:tabs>
          <w:tab w:val="center" w:pos="5040"/>
        </w:tabs>
        <w:jc w:val="center"/>
        <w:rPr>
          <w:b/>
          <w:szCs w:val="24"/>
        </w:rPr>
      </w:pPr>
    </w:p>
    <w:p w:rsidR="008F2DF1" w:rsidRPr="00C402F4" w:rsidRDefault="008F2DF1" w:rsidP="008F2DF1">
      <w:pPr>
        <w:pStyle w:val="Header"/>
        <w:suppressLineNumbers/>
        <w:tabs>
          <w:tab w:val="center" w:pos="5040"/>
        </w:tabs>
        <w:jc w:val="center"/>
        <w:rPr>
          <w:b/>
          <w:szCs w:val="24"/>
        </w:rPr>
      </w:pPr>
    </w:p>
    <w:p w:rsidR="008F2DF1" w:rsidRPr="00C402F4" w:rsidRDefault="008F2DF1" w:rsidP="008F2DF1">
      <w:pPr>
        <w:pStyle w:val="Header"/>
        <w:suppressLineNumbers/>
        <w:tabs>
          <w:tab w:val="center" w:pos="5040"/>
        </w:tabs>
        <w:jc w:val="center"/>
        <w:rPr>
          <w:b/>
          <w:szCs w:val="24"/>
        </w:rPr>
      </w:pPr>
    </w:p>
    <w:p w:rsidR="008F2DF1" w:rsidRPr="00C402F4" w:rsidRDefault="00327B7A" w:rsidP="008F2DF1">
      <w:pPr>
        <w:pStyle w:val="Header"/>
        <w:suppressLineNumbers/>
        <w:tabs>
          <w:tab w:val="center" w:pos="5040"/>
          <w:tab w:val="left" w:pos="7338"/>
          <w:tab w:val="right" w:pos="9000"/>
        </w:tabs>
        <w:jc w:val="center"/>
        <w:rPr>
          <w:b/>
          <w:szCs w:val="24"/>
        </w:rPr>
      </w:pPr>
      <w:r w:rsidRPr="00B27570">
        <w:rPr>
          <w:b/>
          <w:szCs w:val="24"/>
        </w:rPr>
        <w:t>December 1,</w:t>
      </w:r>
      <w:r w:rsidR="002C6C87" w:rsidRPr="00B27570">
        <w:rPr>
          <w:b/>
          <w:szCs w:val="24"/>
        </w:rPr>
        <w:t xml:space="preserve"> </w:t>
      </w:r>
      <w:r w:rsidR="008F2DF1" w:rsidRPr="00B27570">
        <w:rPr>
          <w:b/>
          <w:szCs w:val="24"/>
        </w:rPr>
        <w:t>2015</w:t>
      </w:r>
    </w:p>
    <w:p w:rsidR="008F2DF1" w:rsidRPr="00C978B7" w:rsidRDefault="008F2DF1" w:rsidP="008F2DF1">
      <w:pPr>
        <w:pStyle w:val="Header"/>
        <w:rPr>
          <w:szCs w:val="24"/>
        </w:rPr>
      </w:pPr>
    </w:p>
    <w:p w:rsidR="00FB60B2" w:rsidRPr="00C978B7" w:rsidRDefault="00FB60B2" w:rsidP="00B05D6F">
      <w:pPr>
        <w:pStyle w:val="NoSpacing"/>
        <w:suppressLineNumbers/>
        <w:spacing w:line="480" w:lineRule="exact"/>
        <w:jc w:val="center"/>
        <w:rPr>
          <w:rFonts w:ascii="Times New Roman" w:hAnsi="Times New Roman"/>
          <w:b/>
          <w:sz w:val="24"/>
          <w:szCs w:val="24"/>
        </w:rPr>
        <w:sectPr w:rsidR="00FB60B2" w:rsidRPr="00C978B7" w:rsidSect="00D23243">
          <w:footerReference w:type="default" r:id="rId9"/>
          <w:pgSz w:w="12240" w:h="15840" w:code="1"/>
          <w:pgMar w:top="1440" w:right="1440" w:bottom="1440" w:left="1440" w:header="720" w:footer="720" w:gutter="0"/>
          <w:pgNumType w:start="1"/>
          <w:cols w:space="720"/>
          <w:formProt w:val="0"/>
          <w:titlePg/>
          <w:docGrid w:linePitch="360"/>
        </w:sectPr>
      </w:pPr>
    </w:p>
    <w:p w:rsidR="003E302A" w:rsidRPr="00CE0C16" w:rsidRDefault="003E302A" w:rsidP="003E302A">
      <w:pPr>
        <w:pStyle w:val="TOC1"/>
        <w:rPr>
          <w:rFonts w:ascii="Times New Roman" w:hAnsi="Times New Roman"/>
          <w:szCs w:val="24"/>
        </w:rPr>
      </w:pPr>
      <w:r w:rsidRPr="00CE0C16">
        <w:rPr>
          <w:rFonts w:ascii="Times New Roman" w:hAnsi="Times New Roman"/>
          <w:szCs w:val="24"/>
        </w:rPr>
        <w:lastRenderedPageBreak/>
        <w:t>TABLE OF CONTENTS</w:t>
      </w:r>
    </w:p>
    <w:p w:rsidR="003E302A" w:rsidRPr="00CE0C16" w:rsidRDefault="003E302A" w:rsidP="003E302A">
      <w:pPr>
        <w:pStyle w:val="TOC1"/>
        <w:rPr>
          <w:rFonts w:ascii="Times New Roman" w:hAnsi="Times New Roman"/>
          <w:szCs w:val="24"/>
        </w:rPr>
      </w:pPr>
    </w:p>
    <w:p w:rsidR="00CC6891" w:rsidRDefault="003E302A">
      <w:pPr>
        <w:pStyle w:val="TOC1"/>
        <w:rPr>
          <w:rFonts w:asciiTheme="minorHAnsi" w:eastAsiaTheme="minorEastAsia" w:hAnsiTheme="minorHAnsi" w:cstheme="minorBidi"/>
          <w:noProof/>
          <w:sz w:val="22"/>
          <w:szCs w:val="22"/>
        </w:rPr>
      </w:pPr>
      <w:r w:rsidRPr="00CE0C16">
        <w:rPr>
          <w:rFonts w:ascii="Times New Roman" w:hAnsi="Times New Roman"/>
          <w:szCs w:val="24"/>
          <w:highlight w:val="yellow"/>
        </w:rPr>
        <w:fldChar w:fldCharType="begin"/>
      </w:r>
      <w:r w:rsidRPr="00CE0C16">
        <w:rPr>
          <w:rFonts w:ascii="Times New Roman" w:hAnsi="Times New Roman"/>
          <w:szCs w:val="24"/>
          <w:highlight w:val="yellow"/>
        </w:rPr>
        <w:instrText xml:space="preserve"> TOC \o "1-3" \h \z \u </w:instrText>
      </w:r>
      <w:r w:rsidRPr="00CE0C16">
        <w:rPr>
          <w:rFonts w:ascii="Times New Roman" w:hAnsi="Times New Roman"/>
          <w:szCs w:val="24"/>
          <w:highlight w:val="yellow"/>
        </w:rPr>
        <w:fldChar w:fldCharType="separate"/>
      </w:r>
      <w:hyperlink w:anchor="_Toc436731607" w:history="1">
        <w:r w:rsidR="00CC6891" w:rsidRPr="00D40964">
          <w:rPr>
            <w:rStyle w:val="Hyperlink"/>
            <w:rFonts w:ascii="Times New Roman" w:hAnsi="Times New Roman"/>
            <w:noProof/>
          </w:rPr>
          <w:t>I.</w:t>
        </w:r>
        <w:r w:rsidR="00CC6891">
          <w:rPr>
            <w:rFonts w:asciiTheme="minorHAnsi" w:eastAsiaTheme="minorEastAsia" w:hAnsiTheme="minorHAnsi" w:cstheme="minorBidi"/>
            <w:noProof/>
            <w:sz w:val="22"/>
            <w:szCs w:val="22"/>
          </w:rPr>
          <w:tab/>
        </w:r>
        <w:r w:rsidR="00CC6891" w:rsidRPr="00D40964">
          <w:rPr>
            <w:rStyle w:val="Hyperlink"/>
            <w:rFonts w:ascii="Times New Roman" w:hAnsi="Times New Roman"/>
            <w:noProof/>
          </w:rPr>
          <w:t>INTRODUCTION</w:t>
        </w:r>
        <w:r w:rsidR="00CC6891">
          <w:rPr>
            <w:noProof/>
            <w:webHidden/>
          </w:rPr>
          <w:tab/>
        </w:r>
        <w:r w:rsidR="00CC6891">
          <w:rPr>
            <w:noProof/>
            <w:webHidden/>
          </w:rPr>
          <w:fldChar w:fldCharType="begin"/>
        </w:r>
        <w:r w:rsidR="00CC6891">
          <w:rPr>
            <w:noProof/>
            <w:webHidden/>
          </w:rPr>
          <w:instrText xml:space="preserve"> PAGEREF _Toc436731607 \h </w:instrText>
        </w:r>
        <w:r w:rsidR="00CC6891">
          <w:rPr>
            <w:noProof/>
            <w:webHidden/>
          </w:rPr>
        </w:r>
        <w:r w:rsidR="00CC6891">
          <w:rPr>
            <w:noProof/>
            <w:webHidden/>
          </w:rPr>
          <w:fldChar w:fldCharType="separate"/>
        </w:r>
        <w:r w:rsidR="00CC6891">
          <w:rPr>
            <w:noProof/>
            <w:webHidden/>
          </w:rPr>
          <w:t>1</w:t>
        </w:r>
        <w:r w:rsidR="00CC6891">
          <w:rPr>
            <w:noProof/>
            <w:webHidden/>
          </w:rPr>
          <w:fldChar w:fldCharType="end"/>
        </w:r>
      </w:hyperlink>
    </w:p>
    <w:p w:rsidR="00CC6891" w:rsidRDefault="00F54D98">
      <w:pPr>
        <w:pStyle w:val="TOC1"/>
        <w:rPr>
          <w:rFonts w:asciiTheme="minorHAnsi" w:eastAsiaTheme="minorEastAsia" w:hAnsiTheme="minorHAnsi" w:cstheme="minorBidi"/>
          <w:noProof/>
          <w:sz w:val="22"/>
          <w:szCs w:val="22"/>
        </w:rPr>
      </w:pPr>
      <w:hyperlink w:anchor="_Toc436731608" w:history="1">
        <w:r w:rsidR="00CC6891" w:rsidRPr="00D40964">
          <w:rPr>
            <w:rStyle w:val="Hyperlink"/>
            <w:rFonts w:ascii="Times New Roman" w:hAnsi="Times New Roman"/>
            <w:noProof/>
          </w:rPr>
          <w:t>II.</w:t>
        </w:r>
        <w:r w:rsidR="00CC6891">
          <w:rPr>
            <w:rFonts w:asciiTheme="minorHAnsi" w:eastAsiaTheme="minorEastAsia" w:hAnsiTheme="minorHAnsi" w:cstheme="minorBidi"/>
            <w:noProof/>
            <w:sz w:val="22"/>
            <w:szCs w:val="22"/>
          </w:rPr>
          <w:tab/>
        </w:r>
        <w:r w:rsidR="00CC6891" w:rsidRPr="00D40964">
          <w:rPr>
            <w:rStyle w:val="Hyperlink"/>
            <w:rFonts w:ascii="Times New Roman" w:hAnsi="Times New Roman"/>
            <w:noProof/>
          </w:rPr>
          <w:t>SCOPE AND OVERVIEW</w:t>
        </w:r>
        <w:r w:rsidR="00CC6891">
          <w:rPr>
            <w:noProof/>
            <w:webHidden/>
          </w:rPr>
          <w:tab/>
        </w:r>
        <w:r w:rsidR="00CC6891">
          <w:rPr>
            <w:noProof/>
            <w:webHidden/>
          </w:rPr>
          <w:fldChar w:fldCharType="begin"/>
        </w:r>
        <w:r w:rsidR="00CC6891">
          <w:rPr>
            <w:noProof/>
            <w:webHidden/>
          </w:rPr>
          <w:instrText xml:space="preserve"> PAGEREF _Toc436731608 \h </w:instrText>
        </w:r>
        <w:r w:rsidR="00CC6891">
          <w:rPr>
            <w:noProof/>
            <w:webHidden/>
          </w:rPr>
        </w:r>
        <w:r w:rsidR="00CC6891">
          <w:rPr>
            <w:noProof/>
            <w:webHidden/>
          </w:rPr>
          <w:fldChar w:fldCharType="separate"/>
        </w:r>
        <w:r w:rsidR="00CC6891">
          <w:rPr>
            <w:noProof/>
            <w:webHidden/>
          </w:rPr>
          <w:t>2</w:t>
        </w:r>
        <w:r w:rsidR="00CC6891">
          <w:rPr>
            <w:noProof/>
            <w:webHidden/>
          </w:rPr>
          <w:fldChar w:fldCharType="end"/>
        </w:r>
      </w:hyperlink>
    </w:p>
    <w:p w:rsidR="00CC6891" w:rsidRDefault="00F54D98">
      <w:pPr>
        <w:pStyle w:val="TOC1"/>
        <w:rPr>
          <w:rFonts w:asciiTheme="minorHAnsi" w:eastAsiaTheme="minorEastAsia" w:hAnsiTheme="minorHAnsi" w:cstheme="minorBidi"/>
          <w:noProof/>
          <w:sz w:val="22"/>
          <w:szCs w:val="22"/>
        </w:rPr>
      </w:pPr>
      <w:hyperlink w:anchor="_Toc436731609" w:history="1">
        <w:r w:rsidR="00CC6891" w:rsidRPr="00D40964">
          <w:rPr>
            <w:rStyle w:val="Hyperlink"/>
            <w:rFonts w:ascii="Times New Roman" w:hAnsi="Times New Roman"/>
            <w:noProof/>
          </w:rPr>
          <w:t>III.</w:t>
        </w:r>
        <w:r w:rsidR="00CC6891">
          <w:rPr>
            <w:rFonts w:asciiTheme="minorHAnsi" w:eastAsiaTheme="minorEastAsia" w:hAnsiTheme="minorHAnsi" w:cstheme="minorBidi"/>
            <w:noProof/>
            <w:sz w:val="22"/>
            <w:szCs w:val="22"/>
          </w:rPr>
          <w:tab/>
        </w:r>
        <w:r w:rsidR="00CC6891" w:rsidRPr="00D40964">
          <w:rPr>
            <w:rStyle w:val="Hyperlink"/>
            <w:rFonts w:ascii="Times New Roman" w:hAnsi="Times New Roman"/>
            <w:noProof/>
          </w:rPr>
          <w:t>COMPANY BACKGROUND</w:t>
        </w:r>
        <w:r w:rsidR="00CC6891">
          <w:rPr>
            <w:noProof/>
            <w:webHidden/>
          </w:rPr>
          <w:tab/>
        </w:r>
        <w:r w:rsidR="00CC6891">
          <w:rPr>
            <w:noProof/>
            <w:webHidden/>
          </w:rPr>
          <w:fldChar w:fldCharType="begin"/>
        </w:r>
        <w:r w:rsidR="00CC6891">
          <w:rPr>
            <w:noProof/>
            <w:webHidden/>
          </w:rPr>
          <w:instrText xml:space="preserve"> PAGEREF _Toc436731609 \h </w:instrText>
        </w:r>
        <w:r w:rsidR="00CC6891">
          <w:rPr>
            <w:noProof/>
            <w:webHidden/>
          </w:rPr>
        </w:r>
        <w:r w:rsidR="00CC6891">
          <w:rPr>
            <w:noProof/>
            <w:webHidden/>
          </w:rPr>
          <w:fldChar w:fldCharType="separate"/>
        </w:r>
        <w:r w:rsidR="00CC6891">
          <w:rPr>
            <w:noProof/>
            <w:webHidden/>
          </w:rPr>
          <w:t>3</w:t>
        </w:r>
        <w:r w:rsidR="00CC6891">
          <w:rPr>
            <w:noProof/>
            <w:webHidden/>
          </w:rPr>
          <w:fldChar w:fldCharType="end"/>
        </w:r>
      </w:hyperlink>
    </w:p>
    <w:p w:rsidR="00CC6891" w:rsidRDefault="00F54D98">
      <w:pPr>
        <w:pStyle w:val="TOC1"/>
        <w:rPr>
          <w:rFonts w:asciiTheme="minorHAnsi" w:eastAsiaTheme="minorEastAsia" w:hAnsiTheme="minorHAnsi" w:cstheme="minorBidi"/>
          <w:noProof/>
          <w:sz w:val="22"/>
          <w:szCs w:val="22"/>
        </w:rPr>
      </w:pPr>
      <w:hyperlink w:anchor="_Toc436731610" w:history="1">
        <w:r w:rsidR="00CC6891" w:rsidRPr="00D40964">
          <w:rPr>
            <w:rStyle w:val="Hyperlink"/>
            <w:rFonts w:ascii="Times New Roman" w:hAnsi="Times New Roman"/>
            <w:noProof/>
          </w:rPr>
          <w:t>IV.</w:t>
        </w:r>
        <w:r w:rsidR="00CC6891">
          <w:rPr>
            <w:rFonts w:asciiTheme="minorHAnsi" w:eastAsiaTheme="minorEastAsia" w:hAnsiTheme="minorHAnsi" w:cstheme="minorBidi"/>
            <w:noProof/>
            <w:sz w:val="22"/>
            <w:szCs w:val="22"/>
          </w:rPr>
          <w:tab/>
        </w:r>
        <w:r w:rsidR="00CC6891" w:rsidRPr="00D40964">
          <w:rPr>
            <w:rStyle w:val="Hyperlink"/>
            <w:rFonts w:ascii="Times New Roman" w:hAnsi="Times New Roman"/>
            <w:noProof/>
          </w:rPr>
          <w:t>FINANCIAL MARKET STUDIES</w:t>
        </w:r>
        <w:r w:rsidR="00CC6891">
          <w:rPr>
            <w:noProof/>
            <w:webHidden/>
          </w:rPr>
          <w:tab/>
        </w:r>
        <w:r w:rsidR="00CC6891">
          <w:rPr>
            <w:noProof/>
            <w:webHidden/>
          </w:rPr>
          <w:fldChar w:fldCharType="begin"/>
        </w:r>
        <w:r w:rsidR="00CC6891">
          <w:rPr>
            <w:noProof/>
            <w:webHidden/>
          </w:rPr>
          <w:instrText xml:space="preserve"> PAGEREF _Toc436731610 \h </w:instrText>
        </w:r>
        <w:r w:rsidR="00CC6891">
          <w:rPr>
            <w:noProof/>
            <w:webHidden/>
          </w:rPr>
        </w:r>
        <w:r w:rsidR="00CC6891">
          <w:rPr>
            <w:noProof/>
            <w:webHidden/>
          </w:rPr>
          <w:fldChar w:fldCharType="separate"/>
        </w:r>
        <w:r w:rsidR="00CC6891">
          <w:rPr>
            <w:noProof/>
            <w:webHidden/>
          </w:rPr>
          <w:t>6</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11" w:history="1">
        <w:r w:rsidR="00CC6891" w:rsidRPr="00D40964">
          <w:rPr>
            <w:rStyle w:val="Hyperlink"/>
            <w:i/>
            <w:noProof/>
          </w:rPr>
          <w:t>A.</w:t>
        </w:r>
        <w:r w:rsidR="00CC6891">
          <w:rPr>
            <w:rFonts w:asciiTheme="minorHAnsi" w:eastAsiaTheme="minorEastAsia" w:hAnsiTheme="minorHAnsi" w:cstheme="minorBidi"/>
            <w:noProof/>
            <w:sz w:val="22"/>
            <w:szCs w:val="22"/>
          </w:rPr>
          <w:tab/>
        </w:r>
        <w:r w:rsidR="00CC6891" w:rsidRPr="00D40964">
          <w:rPr>
            <w:rStyle w:val="Hyperlink"/>
            <w:i/>
            <w:noProof/>
          </w:rPr>
          <w:t>Criteria for a Fair Rate of Return</w:t>
        </w:r>
        <w:r w:rsidR="00CC6891">
          <w:rPr>
            <w:noProof/>
            <w:webHidden/>
          </w:rPr>
          <w:tab/>
        </w:r>
        <w:r w:rsidR="00CC6891">
          <w:rPr>
            <w:noProof/>
            <w:webHidden/>
          </w:rPr>
          <w:fldChar w:fldCharType="begin"/>
        </w:r>
        <w:r w:rsidR="00CC6891">
          <w:rPr>
            <w:noProof/>
            <w:webHidden/>
          </w:rPr>
          <w:instrText xml:space="preserve"> PAGEREF _Toc436731611 \h </w:instrText>
        </w:r>
        <w:r w:rsidR="00CC6891">
          <w:rPr>
            <w:noProof/>
            <w:webHidden/>
          </w:rPr>
        </w:r>
        <w:r w:rsidR="00CC6891">
          <w:rPr>
            <w:noProof/>
            <w:webHidden/>
          </w:rPr>
          <w:fldChar w:fldCharType="separate"/>
        </w:r>
        <w:r w:rsidR="00CC6891">
          <w:rPr>
            <w:noProof/>
            <w:webHidden/>
          </w:rPr>
          <w:t>6</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12" w:history="1">
        <w:r w:rsidR="00CC6891" w:rsidRPr="00D40964">
          <w:rPr>
            <w:rStyle w:val="Hyperlink"/>
            <w:i/>
            <w:noProof/>
          </w:rPr>
          <w:t>B.</w:t>
        </w:r>
        <w:r w:rsidR="00CC6891">
          <w:rPr>
            <w:rFonts w:asciiTheme="minorHAnsi" w:eastAsiaTheme="minorEastAsia" w:hAnsiTheme="minorHAnsi" w:cstheme="minorBidi"/>
            <w:noProof/>
            <w:sz w:val="22"/>
            <w:szCs w:val="22"/>
          </w:rPr>
          <w:tab/>
        </w:r>
        <w:r w:rsidR="00CC6891" w:rsidRPr="00D40964">
          <w:rPr>
            <w:rStyle w:val="Hyperlink"/>
            <w:i/>
            <w:noProof/>
          </w:rPr>
          <w:t>Interest Rates and the Economy</w:t>
        </w:r>
        <w:r w:rsidR="00CC6891">
          <w:rPr>
            <w:noProof/>
            <w:webHidden/>
          </w:rPr>
          <w:tab/>
        </w:r>
        <w:r w:rsidR="00CC6891">
          <w:rPr>
            <w:noProof/>
            <w:webHidden/>
          </w:rPr>
          <w:fldChar w:fldCharType="begin"/>
        </w:r>
        <w:r w:rsidR="00CC6891">
          <w:rPr>
            <w:noProof/>
            <w:webHidden/>
          </w:rPr>
          <w:instrText xml:space="preserve"> PAGEREF _Toc436731612 \h </w:instrText>
        </w:r>
        <w:r w:rsidR="00CC6891">
          <w:rPr>
            <w:noProof/>
            <w:webHidden/>
          </w:rPr>
        </w:r>
        <w:r w:rsidR="00CC6891">
          <w:rPr>
            <w:noProof/>
            <w:webHidden/>
          </w:rPr>
          <w:fldChar w:fldCharType="separate"/>
        </w:r>
        <w:r w:rsidR="00CC6891">
          <w:rPr>
            <w:noProof/>
            <w:webHidden/>
          </w:rPr>
          <w:t>9</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13" w:history="1">
        <w:r w:rsidR="00CC6891" w:rsidRPr="00D40964">
          <w:rPr>
            <w:rStyle w:val="Hyperlink"/>
            <w:i/>
            <w:noProof/>
          </w:rPr>
          <w:t>C.</w:t>
        </w:r>
        <w:r w:rsidR="00CC6891">
          <w:rPr>
            <w:rFonts w:asciiTheme="minorHAnsi" w:eastAsiaTheme="minorEastAsia" w:hAnsiTheme="minorHAnsi" w:cstheme="minorBidi"/>
            <w:noProof/>
            <w:sz w:val="22"/>
            <w:szCs w:val="22"/>
          </w:rPr>
          <w:tab/>
        </w:r>
        <w:r w:rsidR="00CC6891" w:rsidRPr="00D40964">
          <w:rPr>
            <w:rStyle w:val="Hyperlink"/>
            <w:i/>
            <w:noProof/>
          </w:rPr>
          <w:t>Discounted Cash Flow (DCF) Method</w:t>
        </w:r>
        <w:r w:rsidR="00CC6891">
          <w:rPr>
            <w:noProof/>
            <w:webHidden/>
          </w:rPr>
          <w:tab/>
        </w:r>
        <w:r w:rsidR="00CC6891">
          <w:rPr>
            <w:noProof/>
            <w:webHidden/>
          </w:rPr>
          <w:fldChar w:fldCharType="begin"/>
        </w:r>
        <w:r w:rsidR="00CC6891">
          <w:rPr>
            <w:noProof/>
            <w:webHidden/>
          </w:rPr>
          <w:instrText xml:space="preserve"> PAGEREF _Toc436731613 \h </w:instrText>
        </w:r>
        <w:r w:rsidR="00CC6891">
          <w:rPr>
            <w:noProof/>
            <w:webHidden/>
          </w:rPr>
        </w:r>
        <w:r w:rsidR="00CC6891">
          <w:rPr>
            <w:noProof/>
            <w:webHidden/>
          </w:rPr>
          <w:fldChar w:fldCharType="separate"/>
        </w:r>
        <w:r w:rsidR="00CC6891">
          <w:rPr>
            <w:noProof/>
            <w:webHidden/>
          </w:rPr>
          <w:t>13</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14" w:history="1">
        <w:r w:rsidR="00CC6891" w:rsidRPr="00D40964">
          <w:rPr>
            <w:rStyle w:val="Hyperlink"/>
            <w:i/>
            <w:noProof/>
          </w:rPr>
          <w:t>D.</w:t>
        </w:r>
        <w:r w:rsidR="00CC6891">
          <w:rPr>
            <w:rFonts w:asciiTheme="minorHAnsi" w:eastAsiaTheme="minorEastAsia" w:hAnsiTheme="minorHAnsi" w:cstheme="minorBidi"/>
            <w:noProof/>
            <w:sz w:val="22"/>
            <w:szCs w:val="22"/>
          </w:rPr>
          <w:tab/>
        </w:r>
        <w:r w:rsidR="00CC6891" w:rsidRPr="00D40964">
          <w:rPr>
            <w:rStyle w:val="Hyperlink"/>
            <w:i/>
            <w:noProof/>
          </w:rPr>
          <w:t>Flotation Cost Adjustment</w:t>
        </w:r>
        <w:r w:rsidR="00CC6891">
          <w:rPr>
            <w:noProof/>
            <w:webHidden/>
          </w:rPr>
          <w:tab/>
        </w:r>
        <w:r w:rsidR="00CC6891">
          <w:rPr>
            <w:noProof/>
            <w:webHidden/>
          </w:rPr>
          <w:fldChar w:fldCharType="begin"/>
        </w:r>
        <w:r w:rsidR="00CC6891">
          <w:rPr>
            <w:noProof/>
            <w:webHidden/>
          </w:rPr>
          <w:instrText xml:space="preserve"> PAGEREF _Toc436731614 \h </w:instrText>
        </w:r>
        <w:r w:rsidR="00CC6891">
          <w:rPr>
            <w:noProof/>
            <w:webHidden/>
          </w:rPr>
        </w:r>
        <w:r w:rsidR="00CC6891">
          <w:rPr>
            <w:noProof/>
            <w:webHidden/>
          </w:rPr>
          <w:fldChar w:fldCharType="separate"/>
        </w:r>
        <w:r w:rsidR="00CC6891">
          <w:rPr>
            <w:noProof/>
            <w:webHidden/>
          </w:rPr>
          <w:t>15</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15" w:history="1">
        <w:r w:rsidR="00CC6891" w:rsidRPr="00D40964">
          <w:rPr>
            <w:rStyle w:val="Hyperlink"/>
            <w:i/>
            <w:noProof/>
          </w:rPr>
          <w:t>E.</w:t>
        </w:r>
        <w:r w:rsidR="00CC6891">
          <w:rPr>
            <w:rFonts w:asciiTheme="minorHAnsi" w:eastAsiaTheme="minorEastAsia" w:hAnsiTheme="minorHAnsi" w:cstheme="minorBidi"/>
            <w:noProof/>
            <w:sz w:val="22"/>
            <w:szCs w:val="22"/>
          </w:rPr>
          <w:tab/>
        </w:r>
        <w:r w:rsidR="00CC6891" w:rsidRPr="00D40964">
          <w:rPr>
            <w:rStyle w:val="Hyperlink"/>
            <w:i/>
            <w:noProof/>
          </w:rPr>
          <w:t>DCF Study of Natural Gas Distribution Companies</w:t>
        </w:r>
        <w:r w:rsidR="00CC6891">
          <w:rPr>
            <w:noProof/>
            <w:webHidden/>
          </w:rPr>
          <w:tab/>
        </w:r>
        <w:r w:rsidR="00CC6891">
          <w:rPr>
            <w:noProof/>
            <w:webHidden/>
          </w:rPr>
          <w:fldChar w:fldCharType="begin"/>
        </w:r>
        <w:r w:rsidR="00CC6891">
          <w:rPr>
            <w:noProof/>
            <w:webHidden/>
          </w:rPr>
          <w:instrText xml:space="preserve"> PAGEREF _Toc436731615 \h </w:instrText>
        </w:r>
        <w:r w:rsidR="00CC6891">
          <w:rPr>
            <w:noProof/>
            <w:webHidden/>
          </w:rPr>
        </w:r>
        <w:r w:rsidR="00CC6891">
          <w:rPr>
            <w:noProof/>
            <w:webHidden/>
          </w:rPr>
          <w:fldChar w:fldCharType="separate"/>
        </w:r>
        <w:r w:rsidR="00CC6891">
          <w:rPr>
            <w:noProof/>
            <w:webHidden/>
          </w:rPr>
          <w:t>16</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16" w:history="1">
        <w:r w:rsidR="00CC6891" w:rsidRPr="00D40964">
          <w:rPr>
            <w:rStyle w:val="Hyperlink"/>
            <w:i/>
            <w:noProof/>
          </w:rPr>
          <w:t>F.</w:t>
        </w:r>
        <w:r w:rsidR="00CC6891">
          <w:rPr>
            <w:rFonts w:asciiTheme="minorHAnsi" w:eastAsiaTheme="minorEastAsia" w:hAnsiTheme="minorHAnsi" w:cstheme="minorBidi"/>
            <w:noProof/>
            <w:sz w:val="22"/>
            <w:szCs w:val="22"/>
          </w:rPr>
          <w:tab/>
        </w:r>
        <w:r w:rsidR="00CC6891" w:rsidRPr="00D40964">
          <w:rPr>
            <w:rStyle w:val="Hyperlink"/>
            <w:i/>
            <w:noProof/>
          </w:rPr>
          <w:t>Retention Growth Analysis</w:t>
        </w:r>
        <w:r w:rsidR="00CC6891">
          <w:rPr>
            <w:noProof/>
            <w:webHidden/>
          </w:rPr>
          <w:tab/>
        </w:r>
        <w:r w:rsidR="00CC6891">
          <w:rPr>
            <w:noProof/>
            <w:webHidden/>
          </w:rPr>
          <w:fldChar w:fldCharType="begin"/>
        </w:r>
        <w:r w:rsidR="00CC6891">
          <w:rPr>
            <w:noProof/>
            <w:webHidden/>
          </w:rPr>
          <w:instrText xml:space="preserve"> PAGEREF _Toc436731616 \h </w:instrText>
        </w:r>
        <w:r w:rsidR="00CC6891">
          <w:rPr>
            <w:noProof/>
            <w:webHidden/>
          </w:rPr>
        </w:r>
        <w:r w:rsidR="00CC6891">
          <w:rPr>
            <w:noProof/>
            <w:webHidden/>
          </w:rPr>
          <w:fldChar w:fldCharType="separate"/>
        </w:r>
        <w:r w:rsidR="00CC6891">
          <w:rPr>
            <w:noProof/>
            <w:webHidden/>
          </w:rPr>
          <w:t>18</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17" w:history="1">
        <w:r w:rsidR="00CC6891" w:rsidRPr="00D40964">
          <w:rPr>
            <w:rStyle w:val="Hyperlink"/>
            <w:noProof/>
          </w:rPr>
          <w:t>G.</w:t>
        </w:r>
        <w:r w:rsidR="00CC6891">
          <w:rPr>
            <w:rFonts w:asciiTheme="minorHAnsi" w:eastAsiaTheme="minorEastAsia" w:hAnsiTheme="minorHAnsi" w:cstheme="minorBidi"/>
            <w:noProof/>
            <w:sz w:val="22"/>
            <w:szCs w:val="22"/>
          </w:rPr>
          <w:tab/>
        </w:r>
        <w:r w:rsidR="00CC6891" w:rsidRPr="00D40964">
          <w:rPr>
            <w:rStyle w:val="Hyperlink"/>
            <w:i/>
            <w:noProof/>
          </w:rPr>
          <w:t>Basic DCF Analysis</w:t>
        </w:r>
        <w:r w:rsidR="00CC6891">
          <w:rPr>
            <w:noProof/>
            <w:webHidden/>
          </w:rPr>
          <w:tab/>
        </w:r>
        <w:r w:rsidR="00CC6891">
          <w:rPr>
            <w:noProof/>
            <w:webHidden/>
          </w:rPr>
          <w:fldChar w:fldCharType="begin"/>
        </w:r>
        <w:r w:rsidR="00CC6891">
          <w:rPr>
            <w:noProof/>
            <w:webHidden/>
          </w:rPr>
          <w:instrText xml:space="preserve"> PAGEREF _Toc436731617 \h </w:instrText>
        </w:r>
        <w:r w:rsidR="00CC6891">
          <w:rPr>
            <w:noProof/>
            <w:webHidden/>
          </w:rPr>
        </w:r>
        <w:r w:rsidR="00CC6891">
          <w:rPr>
            <w:noProof/>
            <w:webHidden/>
          </w:rPr>
          <w:fldChar w:fldCharType="separate"/>
        </w:r>
        <w:r w:rsidR="00CC6891">
          <w:rPr>
            <w:noProof/>
            <w:webHidden/>
          </w:rPr>
          <w:t>21</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18" w:history="1">
        <w:r w:rsidR="00CC6891" w:rsidRPr="00D40964">
          <w:rPr>
            <w:rStyle w:val="Hyperlink"/>
            <w:i/>
            <w:noProof/>
          </w:rPr>
          <w:t>H.</w:t>
        </w:r>
        <w:r w:rsidR="00CC6891">
          <w:rPr>
            <w:rFonts w:asciiTheme="minorHAnsi" w:eastAsiaTheme="minorEastAsia" w:hAnsiTheme="minorHAnsi" w:cstheme="minorBidi"/>
            <w:noProof/>
            <w:sz w:val="22"/>
            <w:szCs w:val="22"/>
          </w:rPr>
          <w:tab/>
        </w:r>
        <w:r w:rsidR="00CC6891" w:rsidRPr="00D40964">
          <w:rPr>
            <w:rStyle w:val="Hyperlink"/>
            <w:i/>
            <w:noProof/>
          </w:rPr>
          <w:t>Blended Growth Rate Analysis</w:t>
        </w:r>
        <w:r w:rsidR="00CC6891">
          <w:rPr>
            <w:noProof/>
            <w:webHidden/>
          </w:rPr>
          <w:tab/>
        </w:r>
        <w:r w:rsidR="00CC6891">
          <w:rPr>
            <w:noProof/>
            <w:webHidden/>
          </w:rPr>
          <w:fldChar w:fldCharType="begin"/>
        </w:r>
        <w:r w:rsidR="00CC6891">
          <w:rPr>
            <w:noProof/>
            <w:webHidden/>
          </w:rPr>
          <w:instrText xml:space="preserve"> PAGEREF _Toc436731618 \h </w:instrText>
        </w:r>
        <w:r w:rsidR="00CC6891">
          <w:rPr>
            <w:noProof/>
            <w:webHidden/>
          </w:rPr>
        </w:r>
        <w:r w:rsidR="00CC6891">
          <w:rPr>
            <w:noProof/>
            <w:webHidden/>
          </w:rPr>
          <w:fldChar w:fldCharType="separate"/>
        </w:r>
        <w:r w:rsidR="00CC6891">
          <w:rPr>
            <w:noProof/>
            <w:webHidden/>
          </w:rPr>
          <w:t>22</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19" w:history="1">
        <w:r w:rsidR="00CC6891" w:rsidRPr="00D40964">
          <w:rPr>
            <w:rStyle w:val="Hyperlink"/>
            <w:i/>
            <w:noProof/>
          </w:rPr>
          <w:t>I.</w:t>
        </w:r>
        <w:r w:rsidR="00CC6891">
          <w:rPr>
            <w:rFonts w:asciiTheme="minorHAnsi" w:eastAsiaTheme="minorEastAsia" w:hAnsiTheme="minorHAnsi" w:cstheme="minorBidi"/>
            <w:noProof/>
            <w:sz w:val="22"/>
            <w:szCs w:val="22"/>
          </w:rPr>
          <w:tab/>
        </w:r>
        <w:r w:rsidR="00CC6891" w:rsidRPr="00D40964">
          <w:rPr>
            <w:rStyle w:val="Hyperlink"/>
            <w:i/>
            <w:noProof/>
          </w:rPr>
          <w:t>Risk Premium Analysis</w:t>
        </w:r>
        <w:r w:rsidR="00CC6891">
          <w:rPr>
            <w:noProof/>
            <w:webHidden/>
          </w:rPr>
          <w:tab/>
        </w:r>
        <w:r w:rsidR="00CC6891">
          <w:rPr>
            <w:noProof/>
            <w:webHidden/>
          </w:rPr>
          <w:fldChar w:fldCharType="begin"/>
        </w:r>
        <w:r w:rsidR="00CC6891">
          <w:rPr>
            <w:noProof/>
            <w:webHidden/>
          </w:rPr>
          <w:instrText xml:space="preserve"> PAGEREF _Toc436731619 \h </w:instrText>
        </w:r>
        <w:r w:rsidR="00CC6891">
          <w:rPr>
            <w:noProof/>
            <w:webHidden/>
          </w:rPr>
        </w:r>
        <w:r w:rsidR="00CC6891">
          <w:rPr>
            <w:noProof/>
            <w:webHidden/>
          </w:rPr>
          <w:fldChar w:fldCharType="separate"/>
        </w:r>
        <w:r w:rsidR="00CC6891">
          <w:rPr>
            <w:noProof/>
            <w:webHidden/>
          </w:rPr>
          <w:t>24</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20" w:history="1">
        <w:r w:rsidR="00CC6891" w:rsidRPr="00D40964">
          <w:rPr>
            <w:rStyle w:val="Hyperlink"/>
            <w:i/>
            <w:noProof/>
          </w:rPr>
          <w:t>J.</w:t>
        </w:r>
        <w:r w:rsidR="00CC6891">
          <w:rPr>
            <w:rFonts w:asciiTheme="minorHAnsi" w:eastAsiaTheme="minorEastAsia" w:hAnsiTheme="minorHAnsi" w:cstheme="minorBidi"/>
            <w:noProof/>
            <w:sz w:val="22"/>
            <w:szCs w:val="22"/>
          </w:rPr>
          <w:tab/>
        </w:r>
        <w:r w:rsidR="00CC6891" w:rsidRPr="00D40964">
          <w:rPr>
            <w:rStyle w:val="Hyperlink"/>
            <w:i/>
            <w:noProof/>
          </w:rPr>
          <w:t>Market DCF Analysis</w:t>
        </w:r>
        <w:r w:rsidR="00CC6891">
          <w:rPr>
            <w:noProof/>
            <w:webHidden/>
          </w:rPr>
          <w:tab/>
        </w:r>
        <w:r w:rsidR="00CC6891">
          <w:rPr>
            <w:noProof/>
            <w:webHidden/>
          </w:rPr>
          <w:fldChar w:fldCharType="begin"/>
        </w:r>
        <w:r w:rsidR="00CC6891">
          <w:rPr>
            <w:noProof/>
            <w:webHidden/>
          </w:rPr>
          <w:instrText xml:space="preserve"> PAGEREF _Toc436731620 \h </w:instrText>
        </w:r>
        <w:r w:rsidR="00CC6891">
          <w:rPr>
            <w:noProof/>
            <w:webHidden/>
          </w:rPr>
        </w:r>
        <w:r w:rsidR="00CC6891">
          <w:rPr>
            <w:noProof/>
            <w:webHidden/>
          </w:rPr>
          <w:fldChar w:fldCharType="separate"/>
        </w:r>
        <w:r w:rsidR="00CC6891">
          <w:rPr>
            <w:noProof/>
            <w:webHidden/>
          </w:rPr>
          <w:t>26</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21" w:history="1">
        <w:r w:rsidR="00CC6891" w:rsidRPr="00D40964">
          <w:rPr>
            <w:rStyle w:val="Hyperlink"/>
            <w:i/>
            <w:noProof/>
          </w:rPr>
          <w:t>K.</w:t>
        </w:r>
        <w:r w:rsidR="00CC6891">
          <w:rPr>
            <w:rFonts w:asciiTheme="minorHAnsi" w:eastAsiaTheme="minorEastAsia" w:hAnsiTheme="minorHAnsi" w:cstheme="minorBidi"/>
            <w:noProof/>
            <w:sz w:val="22"/>
            <w:szCs w:val="22"/>
          </w:rPr>
          <w:tab/>
        </w:r>
        <w:r w:rsidR="00CC6891" w:rsidRPr="00D40964">
          <w:rPr>
            <w:rStyle w:val="Hyperlink"/>
            <w:i/>
            <w:noProof/>
          </w:rPr>
          <w:t>Forward-Looking CAPM</w:t>
        </w:r>
        <w:r w:rsidR="00CC6891">
          <w:rPr>
            <w:noProof/>
            <w:webHidden/>
          </w:rPr>
          <w:tab/>
        </w:r>
        <w:r w:rsidR="00CC6891">
          <w:rPr>
            <w:noProof/>
            <w:webHidden/>
          </w:rPr>
          <w:fldChar w:fldCharType="begin"/>
        </w:r>
        <w:r w:rsidR="00CC6891">
          <w:rPr>
            <w:noProof/>
            <w:webHidden/>
          </w:rPr>
          <w:instrText xml:space="preserve"> PAGEREF _Toc436731621 \h </w:instrText>
        </w:r>
        <w:r w:rsidR="00CC6891">
          <w:rPr>
            <w:noProof/>
            <w:webHidden/>
          </w:rPr>
        </w:r>
        <w:r w:rsidR="00CC6891">
          <w:rPr>
            <w:noProof/>
            <w:webHidden/>
          </w:rPr>
          <w:fldChar w:fldCharType="separate"/>
        </w:r>
        <w:r w:rsidR="00CC6891">
          <w:rPr>
            <w:noProof/>
            <w:webHidden/>
          </w:rPr>
          <w:t>27</w:t>
        </w:r>
        <w:r w:rsidR="00CC6891">
          <w:rPr>
            <w:noProof/>
            <w:webHidden/>
          </w:rPr>
          <w:fldChar w:fldCharType="end"/>
        </w:r>
      </w:hyperlink>
    </w:p>
    <w:p w:rsidR="00CC6891" w:rsidRDefault="00F54D98">
      <w:pPr>
        <w:pStyle w:val="TOC2"/>
        <w:tabs>
          <w:tab w:val="left" w:pos="1440"/>
        </w:tabs>
        <w:rPr>
          <w:rFonts w:asciiTheme="minorHAnsi" w:eastAsiaTheme="minorEastAsia" w:hAnsiTheme="minorHAnsi" w:cstheme="minorBidi"/>
          <w:noProof/>
          <w:sz w:val="22"/>
          <w:szCs w:val="22"/>
        </w:rPr>
      </w:pPr>
      <w:hyperlink w:anchor="_Toc436731622" w:history="1">
        <w:r w:rsidR="00CC6891" w:rsidRPr="00D40964">
          <w:rPr>
            <w:rStyle w:val="Hyperlink"/>
            <w:i/>
            <w:noProof/>
          </w:rPr>
          <w:t>L.</w:t>
        </w:r>
        <w:r w:rsidR="00CC6891">
          <w:rPr>
            <w:rFonts w:asciiTheme="minorHAnsi" w:eastAsiaTheme="minorEastAsia" w:hAnsiTheme="minorHAnsi" w:cstheme="minorBidi"/>
            <w:noProof/>
            <w:sz w:val="22"/>
            <w:szCs w:val="22"/>
          </w:rPr>
          <w:tab/>
        </w:r>
        <w:r w:rsidR="00CC6891" w:rsidRPr="00D40964">
          <w:rPr>
            <w:rStyle w:val="Hyperlink"/>
            <w:i/>
            <w:noProof/>
          </w:rPr>
          <w:t>Relative Risk Analysis</w:t>
        </w:r>
        <w:r w:rsidR="00CC6891">
          <w:rPr>
            <w:noProof/>
            <w:webHidden/>
          </w:rPr>
          <w:tab/>
        </w:r>
        <w:r w:rsidR="00CC6891">
          <w:rPr>
            <w:noProof/>
            <w:webHidden/>
          </w:rPr>
          <w:fldChar w:fldCharType="begin"/>
        </w:r>
        <w:r w:rsidR="00CC6891">
          <w:rPr>
            <w:noProof/>
            <w:webHidden/>
          </w:rPr>
          <w:instrText xml:space="preserve"> PAGEREF _Toc436731622 \h </w:instrText>
        </w:r>
        <w:r w:rsidR="00CC6891">
          <w:rPr>
            <w:noProof/>
            <w:webHidden/>
          </w:rPr>
        </w:r>
        <w:r w:rsidR="00CC6891">
          <w:rPr>
            <w:noProof/>
            <w:webHidden/>
          </w:rPr>
          <w:fldChar w:fldCharType="separate"/>
        </w:r>
        <w:r w:rsidR="00CC6891">
          <w:rPr>
            <w:noProof/>
            <w:webHidden/>
          </w:rPr>
          <w:t>28</w:t>
        </w:r>
        <w:r w:rsidR="00CC6891">
          <w:rPr>
            <w:noProof/>
            <w:webHidden/>
          </w:rPr>
          <w:fldChar w:fldCharType="end"/>
        </w:r>
      </w:hyperlink>
    </w:p>
    <w:p w:rsidR="00CC6891" w:rsidRDefault="00F54D98">
      <w:pPr>
        <w:pStyle w:val="TOC1"/>
        <w:rPr>
          <w:rFonts w:asciiTheme="minorHAnsi" w:eastAsiaTheme="minorEastAsia" w:hAnsiTheme="minorHAnsi" w:cstheme="minorBidi"/>
          <w:noProof/>
          <w:sz w:val="22"/>
          <w:szCs w:val="22"/>
        </w:rPr>
      </w:pPr>
      <w:hyperlink w:anchor="_Toc436731623" w:history="1">
        <w:r w:rsidR="00CC6891" w:rsidRPr="00D40964">
          <w:rPr>
            <w:rStyle w:val="Hyperlink"/>
            <w:rFonts w:ascii="Times New Roman" w:hAnsi="Times New Roman"/>
            <w:noProof/>
          </w:rPr>
          <w:t>V.</w:t>
        </w:r>
        <w:r w:rsidR="00CC6891">
          <w:rPr>
            <w:rFonts w:asciiTheme="minorHAnsi" w:eastAsiaTheme="minorEastAsia" w:hAnsiTheme="minorHAnsi" w:cstheme="minorBidi"/>
            <w:noProof/>
            <w:sz w:val="22"/>
            <w:szCs w:val="22"/>
          </w:rPr>
          <w:tab/>
        </w:r>
        <w:r w:rsidR="00CC6891" w:rsidRPr="00D40964">
          <w:rPr>
            <w:rStyle w:val="Hyperlink"/>
            <w:rFonts w:ascii="Times New Roman" w:hAnsi="Times New Roman"/>
            <w:noProof/>
          </w:rPr>
          <w:t>SUMMARY AND CONCLUSIONS</w:t>
        </w:r>
        <w:r w:rsidR="00CC6891">
          <w:rPr>
            <w:noProof/>
            <w:webHidden/>
          </w:rPr>
          <w:tab/>
        </w:r>
        <w:r w:rsidR="00CC6891">
          <w:rPr>
            <w:noProof/>
            <w:webHidden/>
          </w:rPr>
          <w:fldChar w:fldCharType="begin"/>
        </w:r>
        <w:r w:rsidR="00CC6891">
          <w:rPr>
            <w:noProof/>
            <w:webHidden/>
          </w:rPr>
          <w:instrText xml:space="preserve"> PAGEREF _Toc436731623 \h </w:instrText>
        </w:r>
        <w:r w:rsidR="00CC6891">
          <w:rPr>
            <w:noProof/>
            <w:webHidden/>
          </w:rPr>
        </w:r>
        <w:r w:rsidR="00CC6891">
          <w:rPr>
            <w:noProof/>
            <w:webHidden/>
          </w:rPr>
          <w:fldChar w:fldCharType="separate"/>
        </w:r>
        <w:r w:rsidR="00CC6891">
          <w:rPr>
            <w:noProof/>
            <w:webHidden/>
          </w:rPr>
          <w:t>36</w:t>
        </w:r>
        <w:r w:rsidR="00CC6891">
          <w:rPr>
            <w:noProof/>
            <w:webHidden/>
          </w:rPr>
          <w:fldChar w:fldCharType="end"/>
        </w:r>
      </w:hyperlink>
    </w:p>
    <w:p w:rsidR="003E302A" w:rsidRPr="00C978B7" w:rsidRDefault="003E302A" w:rsidP="003E302A">
      <w:pPr>
        <w:rPr>
          <w:b/>
          <w:szCs w:val="24"/>
        </w:rPr>
      </w:pPr>
      <w:r w:rsidRPr="00CE0C16">
        <w:rPr>
          <w:szCs w:val="24"/>
          <w:highlight w:val="yellow"/>
        </w:rPr>
        <w:fldChar w:fldCharType="end"/>
      </w:r>
    </w:p>
    <w:p w:rsidR="0070783A" w:rsidRDefault="0070783A" w:rsidP="00B64E89">
      <w:pPr>
        <w:pStyle w:val="NoSpacing"/>
        <w:suppressLineNumbers/>
        <w:spacing w:line="480" w:lineRule="exact"/>
        <w:jc w:val="center"/>
        <w:outlineLvl w:val="2"/>
        <w:rPr>
          <w:rFonts w:ascii="Times New Roman" w:hAnsi="Times New Roman"/>
          <w:b/>
          <w:sz w:val="24"/>
          <w:szCs w:val="24"/>
        </w:rPr>
      </w:pPr>
    </w:p>
    <w:p w:rsidR="0070783A" w:rsidRPr="0070783A" w:rsidRDefault="0070783A" w:rsidP="0070783A"/>
    <w:p w:rsidR="0070783A" w:rsidRPr="0070783A" w:rsidRDefault="0070783A" w:rsidP="0070783A"/>
    <w:p w:rsidR="0070783A" w:rsidRPr="0070783A" w:rsidRDefault="0070783A" w:rsidP="0070783A"/>
    <w:p w:rsidR="0070783A" w:rsidRPr="0070783A" w:rsidRDefault="0070783A" w:rsidP="0070783A"/>
    <w:p w:rsidR="0070783A" w:rsidRPr="0070783A" w:rsidRDefault="0070783A" w:rsidP="0070783A"/>
    <w:p w:rsidR="0070783A" w:rsidRPr="0070783A" w:rsidRDefault="0070783A" w:rsidP="0070783A"/>
    <w:p w:rsidR="0070783A" w:rsidRPr="0070783A" w:rsidRDefault="0070783A" w:rsidP="0070783A"/>
    <w:p w:rsidR="0070783A" w:rsidRPr="0070783A" w:rsidRDefault="0070783A" w:rsidP="0070783A"/>
    <w:p w:rsidR="0070783A" w:rsidRPr="0070783A" w:rsidRDefault="0070783A" w:rsidP="0070783A"/>
    <w:p w:rsidR="0070783A" w:rsidRPr="0070783A" w:rsidRDefault="0070783A" w:rsidP="0070783A">
      <w:pPr>
        <w:tabs>
          <w:tab w:val="left" w:pos="2175"/>
        </w:tabs>
      </w:pPr>
      <w:r>
        <w:tab/>
      </w:r>
    </w:p>
    <w:p w:rsidR="0070783A" w:rsidRDefault="0070783A" w:rsidP="0070783A"/>
    <w:p w:rsidR="008F2DF1" w:rsidRPr="0070783A" w:rsidRDefault="008F2DF1" w:rsidP="0070783A">
      <w:pPr>
        <w:sectPr w:rsidR="008F2DF1" w:rsidRPr="0070783A" w:rsidSect="001D2C4D">
          <w:footerReference w:type="first" r:id="rId10"/>
          <w:pgSz w:w="12240" w:h="15840" w:code="1"/>
          <w:pgMar w:top="-1757" w:right="1080" w:bottom="-1728" w:left="1800" w:header="720" w:footer="720" w:gutter="0"/>
          <w:pgNumType w:fmt="lowerRoman" w:start="1"/>
          <w:cols w:space="720"/>
          <w:formProt w:val="0"/>
          <w:titlePg/>
          <w:docGrid w:linePitch="360"/>
        </w:sectPr>
      </w:pPr>
    </w:p>
    <w:p w:rsidR="006D5771" w:rsidRPr="00C978B7" w:rsidRDefault="006D5771" w:rsidP="00763C46">
      <w:pPr>
        <w:pStyle w:val="Heading1"/>
        <w:spacing w:line="480" w:lineRule="auto"/>
        <w:rPr>
          <w:rFonts w:ascii="Times New Roman" w:hAnsi="Times New Roman" w:cs="Times New Roman"/>
          <w:sz w:val="24"/>
          <w:szCs w:val="24"/>
        </w:rPr>
      </w:pPr>
      <w:bookmarkStart w:id="0" w:name="_Toc434929537"/>
      <w:bookmarkStart w:id="1" w:name="_Toc434929697"/>
      <w:bookmarkStart w:id="2" w:name="_Toc436731607"/>
      <w:r w:rsidRPr="00C978B7">
        <w:rPr>
          <w:rFonts w:ascii="Times New Roman" w:hAnsi="Times New Roman" w:cs="Times New Roman"/>
          <w:sz w:val="24"/>
          <w:szCs w:val="24"/>
        </w:rPr>
        <w:lastRenderedPageBreak/>
        <w:t>INTRODUCTION</w:t>
      </w:r>
      <w:bookmarkEnd w:id="0"/>
      <w:bookmarkEnd w:id="1"/>
      <w:bookmarkEnd w:id="2"/>
    </w:p>
    <w:p w:rsidR="00327B7A" w:rsidRDefault="00327B7A" w:rsidP="00763C46">
      <w:pPr>
        <w:pStyle w:val="NoSpacing"/>
        <w:keepNext/>
        <w:spacing w:line="480" w:lineRule="auto"/>
      </w:pPr>
      <w:bookmarkStart w:id="3" w:name="_Toc434929538"/>
      <w:bookmarkStart w:id="4" w:name="_Toc434929698"/>
      <w:r w:rsidRPr="00C978B7">
        <w:rPr>
          <w:rFonts w:ascii="Times New Roman" w:hAnsi="Times New Roman"/>
          <w:b/>
          <w:sz w:val="24"/>
          <w:szCs w:val="24"/>
        </w:rPr>
        <w:t>Q.</w:t>
      </w:r>
      <w:r w:rsidRPr="00C978B7">
        <w:rPr>
          <w:rFonts w:ascii="Times New Roman" w:hAnsi="Times New Roman"/>
          <w:b/>
          <w:sz w:val="24"/>
          <w:szCs w:val="24"/>
        </w:rPr>
        <w:tab/>
      </w:r>
      <w:r w:rsidRPr="00327B7A">
        <w:rPr>
          <w:rFonts w:ascii="Times New Roman" w:hAnsi="Times New Roman"/>
          <w:b/>
          <w:sz w:val="24"/>
          <w:szCs w:val="24"/>
        </w:rPr>
        <w:t>Please state your name, position and business address</w:t>
      </w:r>
      <w:r>
        <w:rPr>
          <w:rFonts w:ascii="Times New Roman" w:hAnsi="Times New Roman"/>
          <w:b/>
          <w:sz w:val="24"/>
          <w:szCs w:val="24"/>
        </w:rPr>
        <w:t xml:space="preserve">. </w:t>
      </w:r>
    </w:p>
    <w:p w:rsidR="00327B7A" w:rsidRDefault="00327B7A" w:rsidP="00763C46">
      <w:pPr>
        <w:pStyle w:val="NoSpacing"/>
        <w:spacing w:line="480" w:lineRule="auto"/>
        <w:ind w:left="720" w:hanging="720"/>
        <w:rPr>
          <w:rFonts w:ascii="Times New Roman" w:hAnsi="Times New Roman"/>
          <w:sz w:val="24"/>
          <w:szCs w:val="24"/>
        </w:rPr>
      </w:pPr>
      <w:r w:rsidRPr="004C547C">
        <w:rPr>
          <w:rFonts w:ascii="Times New Roman" w:hAnsi="Times New Roman"/>
          <w:sz w:val="24"/>
          <w:szCs w:val="24"/>
        </w:rPr>
        <w:t>A.</w:t>
      </w:r>
      <w:r w:rsidRPr="004C547C">
        <w:rPr>
          <w:rFonts w:ascii="Times New Roman" w:hAnsi="Times New Roman"/>
          <w:sz w:val="24"/>
          <w:szCs w:val="24"/>
        </w:rPr>
        <w:tab/>
        <w:t>My name is J. Stephen Gaske and I am a Senior Vice President of Concentric Energy Advisors, Inc., 1300 19</w:t>
      </w:r>
      <w:r w:rsidRPr="004C547C">
        <w:rPr>
          <w:rFonts w:ascii="Times New Roman" w:hAnsi="Times New Roman"/>
          <w:sz w:val="24"/>
          <w:szCs w:val="24"/>
          <w:vertAlign w:val="superscript"/>
        </w:rPr>
        <w:t>th</w:t>
      </w:r>
      <w:r w:rsidRPr="004C547C">
        <w:rPr>
          <w:rFonts w:ascii="Times New Roman" w:hAnsi="Times New Roman"/>
          <w:sz w:val="24"/>
          <w:szCs w:val="24"/>
        </w:rPr>
        <w:t xml:space="preserve"> Street, NW, Suite 820, Washington, DC  20036. </w:t>
      </w:r>
    </w:p>
    <w:p w:rsidR="0006703A" w:rsidRPr="0006703A" w:rsidRDefault="0006703A" w:rsidP="00763C46">
      <w:pPr>
        <w:pStyle w:val="NoSpacing"/>
        <w:keepNext/>
        <w:spacing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Pr="0006703A">
        <w:rPr>
          <w:rFonts w:ascii="Times New Roman" w:hAnsi="Times New Roman"/>
          <w:b/>
          <w:sz w:val="24"/>
          <w:szCs w:val="24"/>
        </w:rPr>
        <w:t>Would you please describe your educational and professional background?</w:t>
      </w:r>
    </w:p>
    <w:p w:rsidR="0006703A" w:rsidRPr="0006703A" w:rsidRDefault="0006703A" w:rsidP="00763C46">
      <w:pPr>
        <w:pStyle w:val="NoSpacing"/>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6703A">
        <w:rPr>
          <w:rFonts w:ascii="Times New Roman" w:hAnsi="Times New Roman"/>
          <w:sz w:val="24"/>
          <w:szCs w:val="24"/>
        </w:rPr>
        <w:t>I hold a B.A. degree from the University of Virginia and an M.B.A. degree with a major in finance and investments from George Washington University.  I also earned a Ph.D. degree from Indiana University where my major field of study was public utilities and my supp</w:t>
      </w:r>
      <w:r w:rsidRPr="00E83343">
        <w:rPr>
          <w:rFonts w:ascii="Times New Roman" w:hAnsi="Times New Roman"/>
          <w:sz w:val="24"/>
          <w:szCs w:val="24"/>
        </w:rPr>
        <w:t xml:space="preserve">orting fields were finance and economics.  A copy of my résumé is included as </w:t>
      </w:r>
      <w:r w:rsidR="007A689D">
        <w:rPr>
          <w:rFonts w:ascii="Times New Roman" w:hAnsi="Times New Roman"/>
          <w:sz w:val="24"/>
          <w:szCs w:val="24"/>
        </w:rPr>
        <w:t>Exhibit No. __ (JSG-3)</w:t>
      </w:r>
      <w:r w:rsidR="00E83343" w:rsidRPr="00E83343">
        <w:rPr>
          <w:rFonts w:ascii="Times New Roman" w:hAnsi="Times New Roman"/>
          <w:sz w:val="24"/>
          <w:szCs w:val="24"/>
        </w:rPr>
        <w:t xml:space="preserve"> to this testimony.</w:t>
      </w:r>
    </w:p>
    <w:p w:rsidR="0006703A" w:rsidRPr="0006703A" w:rsidRDefault="0006703A" w:rsidP="00763C46">
      <w:pPr>
        <w:pStyle w:val="NoSpacing"/>
        <w:keepNext/>
        <w:spacing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Pr="0006703A">
        <w:rPr>
          <w:rFonts w:ascii="Times New Roman" w:hAnsi="Times New Roman"/>
          <w:b/>
          <w:sz w:val="24"/>
          <w:szCs w:val="24"/>
        </w:rPr>
        <w:t>Have you presented expert testimony in other proceedings?</w:t>
      </w:r>
    </w:p>
    <w:p w:rsidR="0006703A" w:rsidRDefault="0006703A" w:rsidP="00763C46">
      <w:pPr>
        <w:pStyle w:val="NoSpacing"/>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6703A">
        <w:rPr>
          <w:rFonts w:ascii="Times New Roman" w:hAnsi="Times New Roman"/>
          <w:sz w:val="24"/>
          <w:szCs w:val="24"/>
        </w:rPr>
        <w:t xml:space="preserve">Yes.  I have filed testimony or testified in more than 100 regulatory proceedings in North America. These submissions have included testimony on the cost of capital and capital structure issues for electric and natural gas distribution and oil and natural gas pipeline operations before 11 state and provincial regulatory bodies.  In addition, I have testified or submitted testimony on issues such as cost allocation, rate design, pricing, regulatory principles and generating plant economics before regulators in four Canadian provinces, and seven U.S. state public utility commissions.  I also have testified or filed testimony or affidavits before various federal regulators, including the Federal Energy Regulatory Commission on more than thirty occasions, the National Energy Board of Canada, the U.S. Postal Rate Commission, and the Comisión Reguladora de Energía of México.  Topics covered in these submissions have included rate of return, capital structure, cost </w:t>
      </w:r>
      <w:r w:rsidRPr="0006703A">
        <w:rPr>
          <w:rFonts w:ascii="Times New Roman" w:hAnsi="Times New Roman"/>
          <w:sz w:val="24"/>
          <w:szCs w:val="24"/>
        </w:rPr>
        <w:lastRenderedPageBreak/>
        <w:t>allocation, rate design, revenue requirements, regulatory principles and market power.  During the course of my consulting career, I have conducted many studies on issues related to regulated industries and have served as an advisor to numerous clients on economic, competitive, and financial matters.  I also have spoken and lectured before many professional groups including the American Gas Assoc</w:t>
      </w:r>
      <w:bookmarkStart w:id="5" w:name="_GoBack"/>
      <w:bookmarkEnd w:id="5"/>
      <w:r w:rsidRPr="0006703A">
        <w:rPr>
          <w:rFonts w:ascii="Times New Roman" w:hAnsi="Times New Roman"/>
          <w:sz w:val="24"/>
          <w:szCs w:val="24"/>
        </w:rPr>
        <w:t>iation and the Edison Electric Instit</w:t>
      </w:r>
      <w:r>
        <w:rPr>
          <w:rFonts w:ascii="Times New Roman" w:hAnsi="Times New Roman"/>
          <w:sz w:val="24"/>
          <w:szCs w:val="24"/>
        </w:rPr>
        <w:t>ute Rate Fundamentals courses.</w:t>
      </w:r>
    </w:p>
    <w:p w:rsidR="0006703A" w:rsidRPr="00C978B7" w:rsidRDefault="0006703A" w:rsidP="00763C46">
      <w:pPr>
        <w:pStyle w:val="Heading1"/>
        <w:spacing w:before="0" w:line="480" w:lineRule="auto"/>
        <w:rPr>
          <w:rFonts w:ascii="Times New Roman" w:hAnsi="Times New Roman" w:cs="Times New Roman"/>
          <w:sz w:val="24"/>
          <w:szCs w:val="24"/>
        </w:rPr>
      </w:pPr>
      <w:bookmarkStart w:id="6" w:name="_Toc436731608"/>
      <w:r>
        <w:rPr>
          <w:rFonts w:ascii="Times New Roman" w:hAnsi="Times New Roman" w:cs="Times New Roman"/>
          <w:sz w:val="24"/>
          <w:szCs w:val="24"/>
        </w:rPr>
        <w:t>SCOPE AND OVERVIEW</w:t>
      </w:r>
      <w:bookmarkEnd w:id="6"/>
    </w:p>
    <w:p w:rsidR="0006703A" w:rsidRPr="0006703A" w:rsidRDefault="0006703A" w:rsidP="00763C46">
      <w:pPr>
        <w:pStyle w:val="NoSpacing"/>
        <w:keepNext/>
        <w:spacing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Pr="0006703A">
        <w:rPr>
          <w:rFonts w:ascii="Times New Roman" w:hAnsi="Times New Roman"/>
          <w:b/>
          <w:sz w:val="24"/>
          <w:szCs w:val="24"/>
        </w:rPr>
        <w:t>What is the scope of your testimony in this proceeding?</w:t>
      </w:r>
    </w:p>
    <w:p w:rsidR="0006703A" w:rsidRPr="0006703A" w:rsidRDefault="0006703A" w:rsidP="00763C46">
      <w:pPr>
        <w:pStyle w:val="NoSpacing"/>
        <w:spacing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Pr="0006703A">
        <w:rPr>
          <w:rFonts w:ascii="Times New Roman" w:hAnsi="Times New Roman"/>
          <w:sz w:val="24"/>
          <w:szCs w:val="24"/>
        </w:rPr>
        <w:t>I have been asked by Cascade Natural Gas Corporation (Cascade</w:t>
      </w:r>
      <w:r>
        <w:rPr>
          <w:rFonts w:ascii="Times New Roman" w:hAnsi="Times New Roman"/>
          <w:sz w:val="24"/>
          <w:szCs w:val="24"/>
        </w:rPr>
        <w:t xml:space="preserve"> or the Company</w:t>
      </w:r>
      <w:r w:rsidRPr="0006703A">
        <w:rPr>
          <w:rFonts w:ascii="Times New Roman" w:hAnsi="Times New Roman"/>
          <w:sz w:val="24"/>
          <w:szCs w:val="24"/>
        </w:rPr>
        <w:t xml:space="preserve">) to estimate the cost of common equity capital for the Company’s natural gas distribution operations in the state of Washington.  In this testimony, I calculate a range for the cost of common equity capital for Cascade’s Washington natural gas distribution operations based on a Discounted Cash Flow (DCF) analysis of a group of proxy companies that have risks similar to those of Cascade’s Washington gas distribution operations.  I then place Cascade within the range established by the DCF analyses by comparing the risks of Cascade to those of the proxy gas distribution companies and by considering several alternative benchmark analyses.  </w:t>
      </w:r>
    </w:p>
    <w:p w:rsidR="0006703A" w:rsidRPr="0006703A" w:rsidRDefault="0006703A" w:rsidP="00763C46">
      <w:pPr>
        <w:pStyle w:val="NoSpacing"/>
        <w:keepNext/>
        <w:spacing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Pr="0006703A">
        <w:rPr>
          <w:rFonts w:ascii="Times New Roman" w:hAnsi="Times New Roman"/>
          <w:b/>
          <w:sz w:val="24"/>
          <w:szCs w:val="24"/>
        </w:rPr>
        <w:t>What rate of return is Cascade requesting in this proceeding?</w:t>
      </w:r>
    </w:p>
    <w:p w:rsidR="0006703A" w:rsidRDefault="0006703A" w:rsidP="00763C46">
      <w:pPr>
        <w:pStyle w:val="NoSpacing"/>
        <w:spacing w:after="20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6703A">
        <w:rPr>
          <w:rFonts w:ascii="Times New Roman" w:hAnsi="Times New Roman"/>
          <w:sz w:val="24"/>
          <w:szCs w:val="24"/>
        </w:rPr>
        <w:t>Based on its test period capital structure, Cascade is requesting the following rate of return:</w:t>
      </w:r>
    </w:p>
    <w:p w:rsidR="0006703A" w:rsidRPr="0006703A" w:rsidRDefault="0006703A" w:rsidP="00763C46">
      <w:pPr>
        <w:spacing w:line="480" w:lineRule="auto"/>
        <w:ind w:firstLine="720"/>
      </w:pPr>
      <w:r w:rsidRPr="0006703A">
        <w:lastRenderedPageBreak/>
        <w:t xml:space="preserve">Table </w:t>
      </w:r>
      <w:r w:rsidRPr="0006703A">
        <w:rPr>
          <w:noProof/>
        </w:rPr>
        <w:t>1</w:t>
      </w:r>
      <w:r w:rsidRPr="0006703A">
        <w:t>:  Requested Rate of Return – Washington Gas Distribution Operations</w:t>
      </w:r>
      <w:r w:rsidRPr="0006703A">
        <w:rPr>
          <w:rStyle w:val="FootnoteReference"/>
        </w:rPr>
        <w:footnoteReference w:id="2"/>
      </w:r>
      <w:r w:rsidRPr="0006703A">
        <w:t xml:space="preserve"> </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72"/>
        <w:gridCol w:w="1936"/>
        <w:gridCol w:w="1584"/>
        <w:gridCol w:w="2063"/>
      </w:tblGrid>
      <w:tr w:rsidR="0006703A" w:rsidRPr="0006703A" w:rsidTr="0006703A">
        <w:trPr>
          <w:trHeight w:val="519"/>
          <w:jc w:val="center"/>
        </w:trPr>
        <w:tc>
          <w:tcPr>
            <w:tcW w:w="1872" w:type="dxa"/>
            <w:vAlign w:val="bottom"/>
          </w:tcPr>
          <w:p w:rsidR="0006703A" w:rsidRPr="0006703A" w:rsidRDefault="0006703A" w:rsidP="00763C46">
            <w:pPr>
              <w:spacing w:line="480" w:lineRule="auto"/>
              <w:rPr>
                <w:rFonts w:ascii="Times New Roman" w:hAnsi="Times New Roman" w:cs="Times New Roman"/>
                <w:b/>
              </w:rPr>
            </w:pPr>
            <w:r w:rsidRPr="0006703A">
              <w:rPr>
                <w:rFonts w:ascii="Times New Roman" w:hAnsi="Times New Roman" w:cs="Times New Roman"/>
                <w:b/>
              </w:rPr>
              <w:t>Source</w:t>
            </w:r>
          </w:p>
        </w:tc>
        <w:tc>
          <w:tcPr>
            <w:tcW w:w="1936" w:type="dxa"/>
            <w:vAlign w:val="bottom"/>
          </w:tcPr>
          <w:p w:rsidR="0006703A" w:rsidRPr="0006703A" w:rsidRDefault="0006703A" w:rsidP="00763C46">
            <w:pPr>
              <w:spacing w:line="480" w:lineRule="auto"/>
              <w:rPr>
                <w:rFonts w:ascii="Times New Roman" w:hAnsi="Times New Roman" w:cs="Times New Roman"/>
                <w:b/>
              </w:rPr>
            </w:pPr>
            <w:r w:rsidRPr="0006703A">
              <w:rPr>
                <w:rFonts w:ascii="Times New Roman" w:hAnsi="Times New Roman" w:cs="Times New Roman"/>
                <w:b/>
              </w:rPr>
              <w:t>Percent</w:t>
            </w:r>
          </w:p>
        </w:tc>
        <w:tc>
          <w:tcPr>
            <w:tcW w:w="1584" w:type="dxa"/>
            <w:vAlign w:val="bottom"/>
          </w:tcPr>
          <w:p w:rsidR="0006703A" w:rsidRPr="0006703A" w:rsidRDefault="0006703A" w:rsidP="00763C46">
            <w:pPr>
              <w:spacing w:line="480" w:lineRule="auto"/>
              <w:rPr>
                <w:rFonts w:ascii="Times New Roman" w:hAnsi="Times New Roman" w:cs="Times New Roman"/>
                <w:b/>
              </w:rPr>
            </w:pPr>
            <w:r w:rsidRPr="0006703A">
              <w:rPr>
                <w:rFonts w:ascii="Times New Roman" w:hAnsi="Times New Roman" w:cs="Times New Roman"/>
                <w:b/>
              </w:rPr>
              <w:t>Cost</w:t>
            </w:r>
          </w:p>
        </w:tc>
        <w:tc>
          <w:tcPr>
            <w:tcW w:w="2063" w:type="dxa"/>
            <w:vAlign w:val="bottom"/>
          </w:tcPr>
          <w:p w:rsidR="0006703A" w:rsidRPr="0006703A" w:rsidRDefault="0006703A" w:rsidP="00763C46">
            <w:pPr>
              <w:spacing w:line="480" w:lineRule="auto"/>
              <w:rPr>
                <w:rFonts w:ascii="Times New Roman" w:hAnsi="Times New Roman" w:cs="Times New Roman"/>
                <w:b/>
              </w:rPr>
            </w:pPr>
            <w:r w:rsidRPr="0006703A">
              <w:rPr>
                <w:rFonts w:ascii="Times New Roman" w:hAnsi="Times New Roman" w:cs="Times New Roman"/>
                <w:b/>
              </w:rPr>
              <w:t>Overall Rate of Return</w:t>
            </w:r>
          </w:p>
        </w:tc>
      </w:tr>
      <w:tr w:rsidR="0006703A" w:rsidRPr="0006703A" w:rsidTr="0006703A">
        <w:trPr>
          <w:jc w:val="center"/>
        </w:trPr>
        <w:tc>
          <w:tcPr>
            <w:tcW w:w="1872" w:type="dxa"/>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Long-Term Debt</w:t>
            </w:r>
          </w:p>
        </w:tc>
        <w:tc>
          <w:tcPr>
            <w:tcW w:w="1936" w:type="dxa"/>
            <w:vAlign w:val="center"/>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50.000%</w:t>
            </w:r>
          </w:p>
        </w:tc>
        <w:tc>
          <w:tcPr>
            <w:tcW w:w="1584" w:type="dxa"/>
            <w:vAlign w:val="center"/>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5.295%</w:t>
            </w:r>
          </w:p>
        </w:tc>
        <w:tc>
          <w:tcPr>
            <w:tcW w:w="2063" w:type="dxa"/>
            <w:vAlign w:val="center"/>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2.648%</w:t>
            </w:r>
          </w:p>
        </w:tc>
      </w:tr>
      <w:tr w:rsidR="0006703A" w:rsidRPr="0006703A" w:rsidTr="0006703A">
        <w:trPr>
          <w:jc w:val="center"/>
        </w:trPr>
        <w:tc>
          <w:tcPr>
            <w:tcW w:w="1872" w:type="dxa"/>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Common Equity</w:t>
            </w:r>
          </w:p>
        </w:tc>
        <w:tc>
          <w:tcPr>
            <w:tcW w:w="1936" w:type="dxa"/>
            <w:vAlign w:val="center"/>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50.000%</w:t>
            </w:r>
          </w:p>
        </w:tc>
        <w:tc>
          <w:tcPr>
            <w:tcW w:w="1584" w:type="dxa"/>
            <w:vAlign w:val="center"/>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10.000%</w:t>
            </w:r>
          </w:p>
        </w:tc>
        <w:tc>
          <w:tcPr>
            <w:tcW w:w="2063" w:type="dxa"/>
            <w:vAlign w:val="center"/>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5.000%</w:t>
            </w:r>
          </w:p>
        </w:tc>
      </w:tr>
      <w:tr w:rsidR="0006703A" w:rsidRPr="0006703A" w:rsidTr="0006703A">
        <w:trPr>
          <w:jc w:val="center"/>
        </w:trPr>
        <w:tc>
          <w:tcPr>
            <w:tcW w:w="1872" w:type="dxa"/>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TOTAL</w:t>
            </w:r>
          </w:p>
        </w:tc>
        <w:tc>
          <w:tcPr>
            <w:tcW w:w="1936" w:type="dxa"/>
            <w:vAlign w:val="center"/>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100.000%</w:t>
            </w:r>
          </w:p>
        </w:tc>
        <w:tc>
          <w:tcPr>
            <w:tcW w:w="1584" w:type="dxa"/>
            <w:vAlign w:val="center"/>
          </w:tcPr>
          <w:p w:rsidR="0006703A" w:rsidRPr="0006703A" w:rsidRDefault="0006703A" w:rsidP="00763C46">
            <w:pPr>
              <w:spacing w:line="480" w:lineRule="auto"/>
              <w:rPr>
                <w:rFonts w:ascii="Times New Roman" w:hAnsi="Times New Roman" w:cs="Times New Roman"/>
              </w:rPr>
            </w:pPr>
          </w:p>
        </w:tc>
        <w:tc>
          <w:tcPr>
            <w:tcW w:w="2063" w:type="dxa"/>
            <w:vAlign w:val="center"/>
          </w:tcPr>
          <w:p w:rsidR="0006703A" w:rsidRPr="0006703A" w:rsidRDefault="0006703A" w:rsidP="00763C46">
            <w:pPr>
              <w:spacing w:line="480" w:lineRule="auto"/>
              <w:rPr>
                <w:rFonts w:ascii="Times New Roman" w:hAnsi="Times New Roman" w:cs="Times New Roman"/>
              </w:rPr>
            </w:pPr>
            <w:r w:rsidRPr="0006703A">
              <w:rPr>
                <w:rFonts w:ascii="Times New Roman" w:hAnsi="Times New Roman" w:cs="Times New Roman"/>
              </w:rPr>
              <w:t>7.648%</w:t>
            </w:r>
          </w:p>
        </w:tc>
      </w:tr>
    </w:tbl>
    <w:p w:rsidR="0006703A" w:rsidRPr="0006703A" w:rsidRDefault="0006703A" w:rsidP="00763C46">
      <w:pPr>
        <w:pStyle w:val="NoSpacing"/>
        <w:spacing w:line="480" w:lineRule="auto"/>
        <w:ind w:left="720"/>
        <w:rPr>
          <w:rFonts w:ascii="Times New Roman" w:hAnsi="Times New Roman"/>
          <w:sz w:val="24"/>
          <w:szCs w:val="24"/>
        </w:rPr>
      </w:pPr>
      <w:r w:rsidRPr="0006703A">
        <w:rPr>
          <w:rFonts w:ascii="Times New Roman" w:hAnsi="Times New Roman"/>
          <w:sz w:val="24"/>
          <w:szCs w:val="24"/>
        </w:rPr>
        <w:t>As my testimony discusses, an overall allowed rate of return of 7.648 percent, with a 10.0 percent return on common equity, represents the cost of capital for Cascade at this time.</w:t>
      </w:r>
    </w:p>
    <w:p w:rsidR="0006703A" w:rsidRPr="0006703A" w:rsidRDefault="0006703A" w:rsidP="00763C46">
      <w:pPr>
        <w:pStyle w:val="Heading1"/>
        <w:spacing w:line="480" w:lineRule="auto"/>
        <w:rPr>
          <w:rFonts w:ascii="Times New Roman" w:hAnsi="Times New Roman" w:cs="Times New Roman"/>
          <w:sz w:val="24"/>
          <w:szCs w:val="24"/>
        </w:rPr>
      </w:pPr>
      <w:bookmarkStart w:id="7" w:name="_Toc436731609"/>
      <w:r>
        <w:rPr>
          <w:rFonts w:ascii="Times New Roman" w:hAnsi="Times New Roman" w:cs="Times New Roman"/>
          <w:sz w:val="24"/>
          <w:szCs w:val="24"/>
        </w:rPr>
        <w:t>COMPANY BACKGROUND</w:t>
      </w:r>
      <w:bookmarkEnd w:id="7"/>
    </w:p>
    <w:p w:rsidR="0006703A" w:rsidRPr="0006703A" w:rsidRDefault="0006703A" w:rsidP="00763C46">
      <w:pPr>
        <w:pStyle w:val="NoSpacing"/>
        <w:spacing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r>
      <w:r w:rsidRPr="0006703A">
        <w:rPr>
          <w:rFonts w:ascii="Times New Roman" w:hAnsi="Times New Roman"/>
          <w:b/>
          <w:sz w:val="24"/>
          <w:szCs w:val="24"/>
        </w:rPr>
        <w:t>Please describe Cascade’s operations and those of its parent company, MDU Resources Group, Inc.</w:t>
      </w:r>
    </w:p>
    <w:p w:rsidR="0006703A" w:rsidRPr="0006703A" w:rsidRDefault="0006703A" w:rsidP="00763C46">
      <w:pPr>
        <w:pStyle w:val="NoSpacing"/>
        <w:spacing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06703A">
        <w:rPr>
          <w:rFonts w:ascii="Times New Roman" w:hAnsi="Times New Roman"/>
          <w:sz w:val="24"/>
          <w:szCs w:val="24"/>
        </w:rPr>
        <w:t xml:space="preserve">Cascade is a wholly-owned division of MDU Resources Group, Inc. (MDU Resources) that is engaged in natural gas distribution in the states of Washington and Oregon.  Within Washington, Cascade provides services to 203,865 residential, commercial and industrial customers in several non-contiguous service territories in western and central Washington.  Cascade does not serve any large cities.  Instead it serves approximately 50 communities in Washington, the largest of which are Bellingham, Mt. Vernon, Bremerton, Tri-Cities, and Yakima.   </w:t>
      </w:r>
    </w:p>
    <w:p w:rsidR="0006703A" w:rsidRPr="0006703A" w:rsidRDefault="0006703A" w:rsidP="00763C46">
      <w:pPr>
        <w:pStyle w:val="NoSpacing"/>
        <w:spacing w:line="480" w:lineRule="auto"/>
        <w:ind w:left="720" w:firstLine="720"/>
        <w:rPr>
          <w:rFonts w:ascii="Times New Roman" w:hAnsi="Times New Roman"/>
          <w:sz w:val="24"/>
          <w:szCs w:val="24"/>
        </w:rPr>
      </w:pPr>
      <w:r w:rsidRPr="0006703A">
        <w:rPr>
          <w:rFonts w:ascii="Times New Roman" w:hAnsi="Times New Roman"/>
          <w:sz w:val="24"/>
          <w:szCs w:val="24"/>
        </w:rPr>
        <w:t xml:space="preserve">Through its division, Montana-Dakota Utilities Co. (Montana-Dakota), MDU Resources is engaged in the generation, transmission, and distribution of electricity, and </w:t>
      </w:r>
      <w:r w:rsidRPr="0006703A">
        <w:rPr>
          <w:rFonts w:ascii="Times New Roman" w:hAnsi="Times New Roman"/>
          <w:sz w:val="24"/>
          <w:szCs w:val="24"/>
        </w:rPr>
        <w:lastRenderedPageBreak/>
        <w:t>the distribution of natural gas in the states of Montana, North Dakota, South Dakota, and Wyoming.  MDU Resources also owns Great Plains Natural Gas Company, which distributes natural gas in the states of Minnesota and North Dakota, and Intermountain Gas Company, which distributes natural gas in the state of Idaho.  MDU Resources is also engaged in utility infrastructure construction, natural gas and oil exploration and production</w:t>
      </w:r>
      <w:r w:rsidR="000F0F45">
        <w:rPr>
          <w:rFonts w:ascii="Times New Roman" w:hAnsi="Times New Roman"/>
          <w:sz w:val="24"/>
          <w:szCs w:val="24"/>
        </w:rPr>
        <w:t>,</w:t>
      </w:r>
      <w:r w:rsidRPr="000F0F45">
        <w:rPr>
          <w:rStyle w:val="FootnoteReference"/>
          <w:rFonts w:ascii="Times New Roman" w:eastAsia="Times New Roman" w:hAnsi="Times New Roman"/>
          <w:sz w:val="24"/>
          <w:szCs w:val="24"/>
        </w:rPr>
        <w:footnoteReference w:id="3"/>
      </w:r>
      <w:r w:rsidRPr="0006703A">
        <w:rPr>
          <w:rFonts w:ascii="Times New Roman" w:hAnsi="Times New Roman"/>
          <w:sz w:val="24"/>
          <w:szCs w:val="24"/>
        </w:rPr>
        <w:t xml:space="preserve"> natural gas gathering and transmission, and produces and markets aggregates and other construction materials.</w:t>
      </w:r>
    </w:p>
    <w:p w:rsidR="0006703A" w:rsidRPr="0006703A" w:rsidRDefault="0006703A" w:rsidP="00763C46">
      <w:pPr>
        <w:pStyle w:val="NoSpacing"/>
        <w:spacing w:line="480" w:lineRule="auto"/>
        <w:ind w:left="720" w:firstLine="720"/>
        <w:rPr>
          <w:rFonts w:ascii="Times New Roman" w:hAnsi="Times New Roman"/>
          <w:sz w:val="24"/>
          <w:szCs w:val="24"/>
        </w:rPr>
      </w:pPr>
      <w:r w:rsidRPr="0006703A">
        <w:rPr>
          <w:rFonts w:ascii="Times New Roman" w:hAnsi="Times New Roman"/>
          <w:sz w:val="24"/>
          <w:szCs w:val="24"/>
        </w:rPr>
        <w:t>Natural gas distribution assets comprised 24.7 percent</w:t>
      </w:r>
      <w:r w:rsidRPr="000F0F45">
        <w:rPr>
          <w:rStyle w:val="FootnoteReference"/>
          <w:rFonts w:ascii="Times New Roman" w:eastAsia="Times New Roman" w:hAnsi="Times New Roman"/>
          <w:sz w:val="24"/>
          <w:szCs w:val="24"/>
        </w:rPr>
        <w:footnoteReference w:id="4"/>
      </w:r>
      <w:r w:rsidRPr="000F0F45">
        <w:rPr>
          <w:rStyle w:val="FootnoteReference"/>
          <w:rFonts w:ascii="Times New Roman" w:eastAsia="Times New Roman" w:hAnsi="Times New Roman"/>
          <w:sz w:val="24"/>
          <w:szCs w:val="24"/>
        </w:rPr>
        <w:t xml:space="preserve"> </w:t>
      </w:r>
      <w:r w:rsidRPr="0006703A">
        <w:rPr>
          <w:rFonts w:ascii="Times New Roman" w:hAnsi="Times New Roman"/>
          <w:sz w:val="24"/>
          <w:szCs w:val="24"/>
        </w:rPr>
        <w:t>of MDU Resources’ total assets in 2014, and natural gas distribution revenues comprised 19.7 percent</w:t>
      </w:r>
      <w:r w:rsidRPr="000F0F45">
        <w:rPr>
          <w:rStyle w:val="FootnoteReference"/>
          <w:rFonts w:ascii="Times New Roman" w:eastAsia="Times New Roman" w:hAnsi="Times New Roman"/>
          <w:sz w:val="24"/>
          <w:szCs w:val="24"/>
        </w:rPr>
        <w:footnoteReference w:id="5"/>
      </w:r>
      <w:r w:rsidRPr="000F0F45">
        <w:rPr>
          <w:rStyle w:val="FootnoteReference"/>
          <w:rFonts w:ascii="Times New Roman" w:eastAsia="Times New Roman" w:hAnsi="Times New Roman"/>
          <w:sz w:val="24"/>
          <w:szCs w:val="24"/>
        </w:rPr>
        <w:t xml:space="preserve"> </w:t>
      </w:r>
      <w:r w:rsidRPr="0006703A">
        <w:rPr>
          <w:rFonts w:ascii="Times New Roman" w:hAnsi="Times New Roman"/>
          <w:sz w:val="24"/>
          <w:szCs w:val="24"/>
        </w:rPr>
        <w:t>of total operating revenues.  Washington accounted for 25.0 percent of the natural gas distribution operating sales revenues, while Idaho (29.0 percent), North Dakota (16.0 percent), Montana (9.0 percent), Oregon (8.0 percent), South Dakota (7.0 percent), Minnesota (4.0 percent) and Wyoming (2.0 percent) accounted for the other 75.0 percent of retail gas distribution operating sales revenues.</w:t>
      </w:r>
      <w:r w:rsidRPr="000F0F45">
        <w:rPr>
          <w:rStyle w:val="FootnoteReference"/>
          <w:rFonts w:eastAsia="Times New Roman"/>
          <w:szCs w:val="20"/>
        </w:rPr>
        <w:footnoteReference w:id="6"/>
      </w:r>
    </w:p>
    <w:p w:rsidR="0006703A" w:rsidRPr="000F0F45" w:rsidRDefault="000F0F45" w:rsidP="00763C46">
      <w:pPr>
        <w:pStyle w:val="NoSpacing"/>
        <w:spacing w:line="480" w:lineRule="auto"/>
        <w:ind w:left="720" w:hanging="720"/>
        <w:rPr>
          <w:rFonts w:ascii="Times New Roman" w:hAnsi="Times New Roman"/>
          <w:b/>
          <w:sz w:val="24"/>
          <w:szCs w:val="24"/>
        </w:rPr>
      </w:pPr>
      <w:r w:rsidRPr="000F0F45">
        <w:rPr>
          <w:rFonts w:ascii="Times New Roman" w:hAnsi="Times New Roman"/>
          <w:b/>
          <w:sz w:val="24"/>
          <w:szCs w:val="24"/>
        </w:rPr>
        <w:t>Q.</w:t>
      </w:r>
      <w:r w:rsidRPr="000F0F45">
        <w:rPr>
          <w:rFonts w:ascii="Times New Roman" w:hAnsi="Times New Roman"/>
          <w:b/>
          <w:sz w:val="24"/>
          <w:szCs w:val="24"/>
        </w:rPr>
        <w:tab/>
      </w:r>
      <w:r w:rsidR="0006703A" w:rsidRPr="000F0F45">
        <w:rPr>
          <w:rFonts w:ascii="Times New Roman" w:hAnsi="Times New Roman"/>
          <w:b/>
          <w:sz w:val="24"/>
          <w:szCs w:val="24"/>
        </w:rPr>
        <w:t>Would you please describe Cascade’s Washington natural gas distribution service territory?</w:t>
      </w:r>
    </w:p>
    <w:p w:rsidR="00763C46" w:rsidRDefault="00763C46" w:rsidP="00763C46">
      <w:pPr>
        <w:spacing w:line="480" w:lineRule="auto"/>
        <w:ind w:left="720" w:hanging="720"/>
      </w:pPr>
      <w:r>
        <w:t>A.</w:t>
      </w:r>
      <w:r>
        <w:tab/>
        <w:t xml:space="preserve">As discussed in the testimony of Company witness Nicole A. Kivisto, Cascade </w:t>
      </w:r>
      <w:r w:rsidRPr="00053B73">
        <w:t xml:space="preserve">provides natural gas distribution service </w:t>
      </w:r>
      <w:r>
        <w:t xml:space="preserve">in Washington </w:t>
      </w:r>
      <w:r w:rsidRPr="00053B73">
        <w:t xml:space="preserve">to </w:t>
      </w:r>
      <w:r>
        <w:t xml:space="preserve">203,865 customers in approximately 50 communities, </w:t>
      </w:r>
      <w:r w:rsidRPr="00E12B89">
        <w:t xml:space="preserve">operating over </w:t>
      </w:r>
      <w:r w:rsidRPr="00782866">
        <w:t>160</w:t>
      </w:r>
      <w:r w:rsidRPr="00E12B89">
        <w:t xml:space="preserve"> </w:t>
      </w:r>
      <w:r w:rsidRPr="00E12B89">
        <w:rPr>
          <w:szCs w:val="24"/>
        </w:rPr>
        <w:t xml:space="preserve">miles of </w:t>
      </w:r>
      <w:r>
        <w:rPr>
          <w:szCs w:val="24"/>
        </w:rPr>
        <w:t xml:space="preserve">transmission lines and 4,500 miles of </w:t>
      </w:r>
      <w:r w:rsidRPr="00E12B89">
        <w:rPr>
          <w:szCs w:val="24"/>
        </w:rPr>
        <w:lastRenderedPageBreak/>
        <w:t>distribution mains</w:t>
      </w:r>
      <w:r w:rsidRPr="00444949">
        <w:rPr>
          <w:szCs w:val="24"/>
        </w:rPr>
        <w:t>.</w:t>
      </w:r>
      <w:r>
        <w:rPr>
          <w:szCs w:val="24"/>
        </w:rPr>
        <w:t xml:space="preserve">  The customer base in Washington is 87 percent residential customers and 13 percent commercial and industrial customers.</w:t>
      </w:r>
      <w:r>
        <w:rPr>
          <w:rStyle w:val="FootnoteReference"/>
          <w:szCs w:val="24"/>
        </w:rPr>
        <w:footnoteReference w:id="7"/>
      </w:r>
      <w:r w:rsidRPr="00E91854">
        <w:rPr>
          <w:szCs w:val="24"/>
        </w:rPr>
        <w:t xml:space="preserve">  </w:t>
      </w:r>
      <w:r w:rsidRPr="00004302">
        <w:t xml:space="preserve"> </w:t>
      </w:r>
      <w:r w:rsidRPr="00782866">
        <w:t xml:space="preserve">Cascade’s service territory consists of towns and small cities dotted throughout relatively sparsely populated areas.  As such, the economy is heavily dependent on providing retail and </w:t>
      </w:r>
      <w:r>
        <w:t xml:space="preserve">other </w:t>
      </w:r>
      <w:r w:rsidRPr="00782866">
        <w:t xml:space="preserve">services for surrounding agricultural areas, and several cities are heavily dependent on military bases or government facilities. </w:t>
      </w:r>
    </w:p>
    <w:p w:rsidR="00763C46" w:rsidRPr="00763C46" w:rsidRDefault="00763C46" w:rsidP="00763C46">
      <w:pPr>
        <w:spacing w:line="480" w:lineRule="auto"/>
        <w:ind w:left="720" w:hanging="720"/>
        <w:rPr>
          <w:b/>
        </w:rPr>
      </w:pPr>
      <w:r w:rsidRPr="00763C46">
        <w:rPr>
          <w:b/>
        </w:rPr>
        <w:t>Q.</w:t>
      </w:r>
      <w:r w:rsidRPr="00763C46">
        <w:rPr>
          <w:b/>
        </w:rPr>
        <w:tab/>
        <w:t>What is your understanding of the factors that are driving the rate case filing by Cascade?</w:t>
      </w:r>
    </w:p>
    <w:p w:rsidR="00763C46" w:rsidRDefault="00763C46" w:rsidP="00763C46">
      <w:pPr>
        <w:spacing w:line="480" w:lineRule="auto"/>
        <w:ind w:left="720" w:hanging="720"/>
      </w:pPr>
      <w:r>
        <w:t>A.</w:t>
      </w:r>
      <w:r>
        <w:tab/>
      </w:r>
      <w:r w:rsidRPr="006946DD">
        <w:t xml:space="preserve">Company witness </w:t>
      </w:r>
      <w:r w:rsidR="00D558A4">
        <w:t xml:space="preserve">Ms. </w:t>
      </w:r>
      <w:r>
        <w:t>Kivisto</w:t>
      </w:r>
      <w:r w:rsidRPr="006946DD">
        <w:t xml:space="preserve"> explains </w:t>
      </w:r>
      <w:r>
        <w:t xml:space="preserve">in her testimony </w:t>
      </w:r>
      <w:r w:rsidRPr="006946DD">
        <w:t>that the primary reason</w:t>
      </w:r>
      <w:r>
        <w:t>s</w:t>
      </w:r>
      <w:r w:rsidRPr="006946DD">
        <w:t xml:space="preserve"> for the filing </w:t>
      </w:r>
      <w:r>
        <w:t>are</w:t>
      </w:r>
      <w:r w:rsidRPr="006946DD">
        <w:t xml:space="preserve"> increased investment in facilities necessary to </w:t>
      </w:r>
      <w:r>
        <w:t>enhance reliability and meet new federal safety standards, and increased pressures on operating and maintenance costs primarily related to increased safety requirements such as additional leak surveys.  Ms. Kivisto</w:t>
      </w:r>
      <w:r w:rsidRPr="006946DD">
        <w:t xml:space="preserve"> </w:t>
      </w:r>
      <w:r>
        <w:t>testifies</w:t>
      </w:r>
      <w:r w:rsidRPr="006946DD">
        <w:t xml:space="preserve"> that </w:t>
      </w:r>
      <w:r>
        <w:t xml:space="preserve">Cascade’s </w:t>
      </w:r>
      <w:r w:rsidRPr="006946DD">
        <w:t xml:space="preserve">gross investment in </w:t>
      </w:r>
      <w:r>
        <w:t>Washington g</w:t>
      </w:r>
      <w:r w:rsidRPr="006946DD">
        <w:t>as distribution operations has increased by $</w:t>
      </w:r>
      <w:r>
        <w:t>58</w:t>
      </w:r>
      <w:r w:rsidRPr="006946DD">
        <w:t xml:space="preserve"> million, or approximately </w:t>
      </w:r>
      <w:r>
        <w:t>25</w:t>
      </w:r>
      <w:r w:rsidRPr="006946DD">
        <w:t xml:space="preserve"> percent</w:t>
      </w:r>
      <w:r>
        <w:t>, since the last rate case was filed in 2006</w:t>
      </w:r>
      <w:r w:rsidRPr="006946DD">
        <w:t>.</w:t>
      </w:r>
    </w:p>
    <w:p w:rsidR="00763C46" w:rsidRPr="00763C46" w:rsidRDefault="00763C46" w:rsidP="008837A4">
      <w:pPr>
        <w:pStyle w:val="Heading1"/>
        <w:rPr>
          <w:rFonts w:ascii="Times New Roman" w:hAnsi="Times New Roman" w:cs="Times New Roman"/>
          <w:sz w:val="24"/>
          <w:szCs w:val="24"/>
        </w:rPr>
      </w:pPr>
      <w:bookmarkStart w:id="8" w:name="_Toc436731610"/>
      <w:r w:rsidRPr="00763C46">
        <w:rPr>
          <w:rFonts w:ascii="Times New Roman" w:hAnsi="Times New Roman" w:cs="Times New Roman"/>
          <w:sz w:val="24"/>
          <w:szCs w:val="24"/>
        </w:rPr>
        <w:t>FINANCIAL MARKET STUDIES</w:t>
      </w:r>
      <w:bookmarkEnd w:id="8"/>
    </w:p>
    <w:p w:rsidR="00763C46" w:rsidRPr="0017121A" w:rsidRDefault="00763C46" w:rsidP="008837A4">
      <w:pPr>
        <w:pStyle w:val="Heading2"/>
        <w:spacing w:line="480" w:lineRule="auto"/>
        <w:rPr>
          <w:rFonts w:ascii="Times New Roman" w:hAnsi="Times New Roman" w:cs="Times New Roman"/>
          <w:i/>
        </w:rPr>
      </w:pPr>
      <w:bookmarkStart w:id="9" w:name="_Toc436731611"/>
      <w:r w:rsidRPr="0017121A">
        <w:rPr>
          <w:rFonts w:ascii="Times New Roman" w:hAnsi="Times New Roman" w:cs="Times New Roman"/>
          <w:i/>
        </w:rPr>
        <w:t>Criteria for a Fair Rate of Return</w:t>
      </w:r>
      <w:bookmarkEnd w:id="9"/>
    </w:p>
    <w:bookmarkEnd w:id="3"/>
    <w:bookmarkEnd w:id="4"/>
    <w:p w:rsidR="00763C46" w:rsidRDefault="00763C46" w:rsidP="008837A4">
      <w:pPr>
        <w:keepNext/>
        <w:spacing w:line="480" w:lineRule="auto"/>
        <w:ind w:left="720" w:hanging="720"/>
      </w:pPr>
      <w:r>
        <w:rPr>
          <w:b/>
          <w:szCs w:val="24"/>
        </w:rPr>
        <w:t>Q.</w:t>
      </w:r>
      <w:r>
        <w:rPr>
          <w:b/>
          <w:szCs w:val="24"/>
        </w:rPr>
        <w:tab/>
      </w:r>
      <w:r w:rsidRPr="00763C46">
        <w:rPr>
          <w:b/>
        </w:rPr>
        <w:t>Please describe the criteria which should be applied in determining a fair rate of return for a regulated company.</w:t>
      </w:r>
    </w:p>
    <w:p w:rsidR="00763C46" w:rsidRDefault="00763C46" w:rsidP="008837A4">
      <w:pPr>
        <w:keepNext/>
        <w:spacing w:line="480" w:lineRule="auto"/>
        <w:ind w:left="720" w:hanging="720"/>
      </w:pPr>
      <w:r>
        <w:t>A.</w:t>
      </w:r>
      <w:r>
        <w:tab/>
        <w:t xml:space="preserve">The United States Supreme Court has provided general guidance regarding the level of allowed rate of return that will meet constitutional requirements.  In </w:t>
      </w:r>
      <w:r w:rsidRPr="00ED6537">
        <w:rPr>
          <w:i/>
        </w:rPr>
        <w:t xml:space="preserve">Bluefield Water </w:t>
      </w:r>
      <w:r w:rsidRPr="00ED6537">
        <w:rPr>
          <w:i/>
        </w:rPr>
        <w:lastRenderedPageBreak/>
        <w:t>Works &amp; Improvement Company v. Public Service Commission of West Virginia</w:t>
      </w:r>
      <w:r w:rsidR="008837A4">
        <w:t>,</w:t>
      </w:r>
      <w:r w:rsidRPr="00ED6537">
        <w:rPr>
          <w:i/>
        </w:rPr>
        <w:t xml:space="preserve"> </w:t>
      </w:r>
      <w:r w:rsidRPr="008837A4">
        <w:t>262 U.S. 679, 693 (1923)</w:t>
      </w:r>
      <w:r>
        <w:t>, the Court indicated that:</w:t>
      </w:r>
    </w:p>
    <w:p w:rsidR="00763C46" w:rsidRPr="00763C46" w:rsidRDefault="00763C46" w:rsidP="00763C46">
      <w:pPr>
        <w:pStyle w:val="Quote"/>
        <w:spacing w:after="200"/>
        <w:jc w:val="both"/>
        <w:rPr>
          <w:rStyle w:val="IntenseEmphasis"/>
          <w:rFonts w:ascii="Times New Roman" w:hAnsi="Times New Roman"/>
          <w:i w:val="0"/>
          <w:color w:val="auto"/>
          <w:sz w:val="24"/>
          <w:szCs w:val="24"/>
        </w:rPr>
      </w:pPr>
      <w:r w:rsidRPr="00763C46">
        <w:rPr>
          <w:rStyle w:val="IntenseEmphasis"/>
          <w:rFonts w:ascii="Times New Roman" w:hAnsi="Times New Roman"/>
          <w:i w:val="0"/>
          <w:color w:val="auto"/>
          <w:sz w:val="24"/>
          <w:szCs w:val="24"/>
        </w:rPr>
        <w:t>The return should be reasonably sufficient to assure confidence in the financial soundness of the utility, and should be adequate, under efficient and economical management, to maintain and support its credit and enable it to raise the money necessary for the proper discharge of its public duties.  A rate of return may be reasonable at one time and become too high or too low by changes affecting opportunities for investment, the money market, and business conditions generally.</w:t>
      </w:r>
    </w:p>
    <w:p w:rsidR="00763C46" w:rsidRDefault="00763C46" w:rsidP="00763C46">
      <w:pPr>
        <w:spacing w:line="480" w:lineRule="auto"/>
        <w:ind w:left="720"/>
      </w:pPr>
      <w:r w:rsidRPr="00763C46">
        <w:rPr>
          <w:szCs w:val="24"/>
        </w:rPr>
        <w:t xml:space="preserve">The Court has further elaborated on this requirement in its decision in </w:t>
      </w:r>
      <w:r w:rsidRPr="00763C46">
        <w:rPr>
          <w:i/>
          <w:szCs w:val="24"/>
        </w:rPr>
        <w:t>Federal</w:t>
      </w:r>
      <w:r w:rsidRPr="000F0F43">
        <w:rPr>
          <w:i/>
        </w:rPr>
        <w:t xml:space="preserve"> Power Commiss</w:t>
      </w:r>
      <w:r w:rsidR="008837A4">
        <w:rPr>
          <w:i/>
        </w:rPr>
        <w:t>ion v. Hope Natural Gas Company</w:t>
      </w:r>
      <w:r w:rsidR="008837A4">
        <w:t xml:space="preserve">, </w:t>
      </w:r>
      <w:r w:rsidRPr="008837A4">
        <w:t>320 U.S. 591, 603 (1944)</w:t>
      </w:r>
      <w:r>
        <w:t>.  There the Court described the relevant criteria as follows:</w:t>
      </w:r>
    </w:p>
    <w:p w:rsidR="00763C46" w:rsidRPr="00763C46" w:rsidRDefault="00763C46" w:rsidP="00763C46">
      <w:pPr>
        <w:pStyle w:val="Quote"/>
        <w:spacing w:after="200"/>
        <w:jc w:val="both"/>
        <w:rPr>
          <w:rStyle w:val="IntenseEmphasis"/>
          <w:rFonts w:ascii="Times New Roman" w:hAnsi="Times New Roman"/>
          <w:i w:val="0"/>
          <w:color w:val="auto"/>
          <w:sz w:val="24"/>
          <w:szCs w:val="24"/>
        </w:rPr>
      </w:pPr>
      <w:r w:rsidRPr="00763C46">
        <w:rPr>
          <w:rStyle w:val="IntenseEmphasis"/>
          <w:rFonts w:ascii="Times New Roman" w:hAnsi="Times New Roman"/>
          <w:i w:val="0"/>
          <w:color w:val="auto"/>
          <w:sz w:val="24"/>
          <w:szCs w:val="24"/>
        </w:rPr>
        <w:t>From the investor or company point of view, it is important that there be enough revenue not only for operating expenses, but also for the capital costs of the business.  These include service on the debt and dividends on the stock....  By that standard, the return to the equity owner should be commensurate with returns on investments in other enterprises having corresponding risks.  That return, moreover, should be sufficient to assure confidence in the financial integrity of the enterprise, so as to maintain its credit and to attract capital.</w:t>
      </w:r>
    </w:p>
    <w:p w:rsidR="00763C46" w:rsidRDefault="00763C46" w:rsidP="00763C46">
      <w:pPr>
        <w:spacing w:line="480" w:lineRule="auto"/>
        <w:ind w:left="720"/>
      </w:pPr>
      <w:r>
        <w:t xml:space="preserve">Thus, the standards established by the Court in </w:t>
      </w:r>
      <w:r w:rsidRPr="00AE0D07">
        <w:rPr>
          <w:i/>
        </w:rPr>
        <w:t>Hope</w:t>
      </w:r>
      <w:r>
        <w:t xml:space="preserve"> and </w:t>
      </w:r>
      <w:r w:rsidRPr="00AE0D07">
        <w:rPr>
          <w:i/>
        </w:rPr>
        <w:t>Bluefield</w:t>
      </w:r>
      <w:r>
        <w:t xml:space="preserve"> consist of three requirements.  These are that the allowed rate of return should be:</w:t>
      </w:r>
    </w:p>
    <w:p w:rsidR="00763C46" w:rsidRDefault="00763C46" w:rsidP="00763C46">
      <w:pPr>
        <w:spacing w:line="480" w:lineRule="auto"/>
        <w:ind w:left="1440"/>
      </w:pPr>
      <w:r>
        <w:t>1.</w:t>
      </w:r>
      <w:r>
        <w:tab/>
        <w:t>commensurate with returns on enterprises with corresponding risks;</w:t>
      </w:r>
    </w:p>
    <w:p w:rsidR="00763C46" w:rsidRDefault="00763C46" w:rsidP="00763C46">
      <w:pPr>
        <w:spacing w:line="480" w:lineRule="auto"/>
        <w:ind w:left="1440"/>
      </w:pPr>
      <w:r>
        <w:t>2.</w:t>
      </w:r>
      <w:r>
        <w:tab/>
        <w:t>sufficient to maintain the financial integrity of the regulated company; and</w:t>
      </w:r>
    </w:p>
    <w:p w:rsidR="00763C46" w:rsidRDefault="00763C46" w:rsidP="00763C46">
      <w:pPr>
        <w:spacing w:line="480" w:lineRule="auto"/>
        <w:ind w:left="1440"/>
      </w:pPr>
      <w:r>
        <w:t>3.</w:t>
      </w:r>
      <w:r>
        <w:tab/>
        <w:t>adequate to allow the company to attract capital on reasonable terms.</w:t>
      </w:r>
    </w:p>
    <w:p w:rsidR="00763C46" w:rsidRDefault="00763C46" w:rsidP="00763C46">
      <w:pPr>
        <w:spacing w:line="480" w:lineRule="auto"/>
        <w:ind w:left="720"/>
      </w:pPr>
      <w:r>
        <w:t xml:space="preserve">These legal criteria will be satisfied best by employing the economic concept of the “cost of capital” or “opportunity cost” in establishing the allowed rate of return on common equity.  For every investment alternative, investors consider the risks attached to the </w:t>
      </w:r>
      <w:r>
        <w:lastRenderedPageBreak/>
        <w:t>investment and attempt to evaluate whether the return they expect to earn is adequate for the risks undertaken.  Investors also consider whether there might be other investment opportunities that would provide a better return relative to the risk involved.  This weighing of alternatives and the highly competitive nature of capital markets causes the prices of stocks and bonds to adjust in such a way that investors can expect to earn a return that is just adequate for the risks involved.  Thus, for any given level of risk, there is a return that investors expect in order to induce them to voluntarily undertake that risk and not invest their money elsewhere.  That return is referred to as the “opportunity cost” of capital or “investor required” return.</w:t>
      </w:r>
    </w:p>
    <w:p w:rsidR="00763C46" w:rsidRPr="00763C46" w:rsidRDefault="00763C46" w:rsidP="00763C46">
      <w:pPr>
        <w:spacing w:line="480" w:lineRule="auto"/>
        <w:ind w:left="720" w:hanging="720"/>
        <w:rPr>
          <w:b/>
        </w:rPr>
      </w:pPr>
      <w:r>
        <w:rPr>
          <w:b/>
        </w:rPr>
        <w:t>Q.</w:t>
      </w:r>
      <w:r>
        <w:rPr>
          <w:b/>
        </w:rPr>
        <w:tab/>
      </w:r>
      <w:r w:rsidRPr="00763C46">
        <w:rPr>
          <w:b/>
        </w:rPr>
        <w:t>How should a fair rate of return be evaluated from the standpoint of consumers and the public?</w:t>
      </w:r>
    </w:p>
    <w:p w:rsidR="00763C46" w:rsidRDefault="00763C46" w:rsidP="00763C46">
      <w:pPr>
        <w:spacing w:line="480" w:lineRule="auto"/>
        <w:ind w:left="720" w:hanging="720"/>
      </w:pPr>
      <w:r>
        <w:t>A.</w:t>
      </w:r>
      <w:r>
        <w:tab/>
        <w:t>The same standards should apply.  When an unregulated entity faces competition, the pressure of that competition and consumer choices will combine to determine the fair rate of return.  However, when regulation is appropriate, consumers and the public have a long-term interest in seeing that the regulated company has an opportunity to earn returns that are not so high as to be excessive, but that also are sufficient to encourage continued replacement and maintenance, as well as needed expansions, extensions, and new services.  Thus, both the consumer and the public interest depend on establishing a return that will readily attract capital without being excessive.</w:t>
      </w:r>
    </w:p>
    <w:p w:rsidR="00763C46" w:rsidRPr="00D558A4" w:rsidRDefault="00D558A4" w:rsidP="00D558A4">
      <w:pPr>
        <w:spacing w:line="480" w:lineRule="auto"/>
        <w:ind w:left="720" w:hanging="720"/>
        <w:rPr>
          <w:b/>
        </w:rPr>
      </w:pPr>
      <w:r>
        <w:rPr>
          <w:b/>
        </w:rPr>
        <w:t>Q.</w:t>
      </w:r>
      <w:r>
        <w:rPr>
          <w:b/>
        </w:rPr>
        <w:tab/>
      </w:r>
      <w:r w:rsidR="00763C46" w:rsidRPr="00D558A4">
        <w:rPr>
          <w:b/>
        </w:rPr>
        <w:t>How are the costs of preferred stock and long-term debt determined?</w:t>
      </w:r>
    </w:p>
    <w:p w:rsidR="00763C46" w:rsidRDefault="00D558A4" w:rsidP="00D558A4">
      <w:pPr>
        <w:spacing w:line="480" w:lineRule="auto"/>
        <w:ind w:left="720" w:hanging="720"/>
      </w:pPr>
      <w:r>
        <w:t>A.</w:t>
      </w:r>
      <w:r>
        <w:tab/>
      </w:r>
      <w:r w:rsidR="00763C46">
        <w:t xml:space="preserve">For purposes of setting regulated rates, the current embedded costs of preferred stock and long-term debt are used in order to ensure that the company receives a return that is </w:t>
      </w:r>
      <w:r w:rsidR="00763C46">
        <w:lastRenderedPageBreak/>
        <w:t>sufficient to pay the fixed dividend and interest obligations that are attached to these sources of capital.</w:t>
      </w:r>
    </w:p>
    <w:p w:rsidR="00763C46" w:rsidRPr="00D558A4" w:rsidRDefault="00D558A4" w:rsidP="00763C46">
      <w:pPr>
        <w:spacing w:line="480" w:lineRule="auto"/>
        <w:rPr>
          <w:b/>
        </w:rPr>
      </w:pPr>
      <w:r w:rsidRPr="00D558A4">
        <w:rPr>
          <w:b/>
        </w:rPr>
        <w:t>Q.</w:t>
      </w:r>
      <w:r w:rsidRPr="00D558A4">
        <w:rPr>
          <w:b/>
        </w:rPr>
        <w:tab/>
      </w:r>
      <w:r w:rsidR="00763C46" w:rsidRPr="00D558A4">
        <w:rPr>
          <w:b/>
        </w:rPr>
        <w:t>How is the cost of common equity determined?</w:t>
      </w:r>
    </w:p>
    <w:p w:rsidR="00763C46" w:rsidRDefault="00D558A4" w:rsidP="00D558A4">
      <w:pPr>
        <w:spacing w:line="480" w:lineRule="auto"/>
        <w:ind w:left="720" w:hanging="720"/>
      </w:pPr>
      <w:r>
        <w:t>A.</w:t>
      </w:r>
      <w:r>
        <w:tab/>
      </w:r>
      <w:r w:rsidR="00763C46">
        <w:t xml:space="preserve">The practice in setting a fair rate of return on common equity is to use the current market cost of common equity in order to ensure that the return is adequate to attract capital and is commensurate with returns available on other investments with similar levels of risk.  However, determining the market cost of common equity is a relatively complicated task that requires analysis of many factors and some degree of judgment by an analyst.  The current market cost of capital for securities that pay a fixed level of interest or dividends is relatively easy to determine.  For example, the current market cost of debt for publicly-traded bonds can be calculated as the yield-to-maturity, adjusted for flotation costs, based on the current market price at which the bonds are selling.  In contrast, because common stockholders receive only the residual earnings of the company, there are no fixed contractual payments which can be observed.  This uncertainty associated with the dividends that eventually will be paid greatly complicates the task of estimating the cost of common equity capital.  For purposes of this testimony, I have relied on several analytical approaches for estimating the cost of common equity.  My primary approach relies on </w:t>
      </w:r>
      <w:r w:rsidR="00763C46" w:rsidRPr="001E044F">
        <w:t>three</w:t>
      </w:r>
      <w:r w:rsidR="00763C46" w:rsidRPr="008F301E">
        <w:t xml:space="preserve"> DCF analyses</w:t>
      </w:r>
      <w:r w:rsidR="00763C46">
        <w:t>.  In addition, I have conducted a risk premium analysis,</w:t>
      </w:r>
      <w:r w:rsidR="00763C46" w:rsidRPr="00DB5194">
        <w:t xml:space="preserve"> a market DCF analysis of the S&amp;P 500</w:t>
      </w:r>
      <w:r w:rsidR="00763C46">
        <w:t xml:space="preserve">, and </w:t>
      </w:r>
      <w:r w:rsidR="00B94A13">
        <w:t>a Capital Asset Pricing Model (</w:t>
      </w:r>
      <w:r w:rsidR="00763C46">
        <w:t>CAPM) analysis as benchmarks to assess the reasonableness of the DCF results.  Each of these approaches is described later in this testimony.</w:t>
      </w:r>
    </w:p>
    <w:p w:rsidR="00D558A4" w:rsidRPr="0017121A" w:rsidRDefault="00D558A4" w:rsidP="00D558A4">
      <w:pPr>
        <w:pStyle w:val="Heading2"/>
        <w:spacing w:line="480" w:lineRule="auto"/>
        <w:rPr>
          <w:rFonts w:ascii="Times New Roman" w:hAnsi="Times New Roman" w:cs="Times New Roman"/>
          <w:i/>
        </w:rPr>
      </w:pPr>
      <w:bookmarkStart w:id="10" w:name="_Toc436731612"/>
      <w:r w:rsidRPr="0017121A">
        <w:rPr>
          <w:rFonts w:ascii="Times New Roman" w:hAnsi="Times New Roman" w:cs="Times New Roman"/>
          <w:i/>
        </w:rPr>
        <w:lastRenderedPageBreak/>
        <w:t>Interest Rates and the Economy</w:t>
      </w:r>
      <w:bookmarkEnd w:id="10"/>
    </w:p>
    <w:p w:rsidR="00D558A4" w:rsidRPr="00D558A4" w:rsidRDefault="00D558A4" w:rsidP="00D558A4">
      <w:pPr>
        <w:spacing w:line="480" w:lineRule="auto"/>
        <w:rPr>
          <w:b/>
        </w:rPr>
      </w:pPr>
      <w:r w:rsidRPr="00D558A4">
        <w:rPr>
          <w:b/>
        </w:rPr>
        <w:t>Q.</w:t>
      </w:r>
      <w:r w:rsidRPr="00D558A4">
        <w:rPr>
          <w:b/>
        </w:rPr>
        <w:tab/>
        <w:t>What are the general economic factors that affect the cost of capital?</w:t>
      </w:r>
    </w:p>
    <w:p w:rsidR="00D558A4" w:rsidRDefault="00D558A4" w:rsidP="00D558A4">
      <w:pPr>
        <w:spacing w:line="480" w:lineRule="auto"/>
        <w:ind w:left="720" w:hanging="720"/>
      </w:pPr>
      <w:r>
        <w:t>A.</w:t>
      </w:r>
      <w:r>
        <w:tab/>
      </w:r>
      <w:r w:rsidRPr="007B60F2">
        <w:t>Companies attempting to attract common equity must compete with a variety of alternative investments.  Prevailing interest rates and other measures of economic trends influence investors’ perceptions of the economic outlook and its implications on both short- and long-term capital markets.  Page 1 of Schedule 1 of Exhibit No.__</w:t>
      </w:r>
      <w:r w:rsidR="00350B0F">
        <w:t xml:space="preserve"> </w:t>
      </w:r>
      <w:r w:rsidRPr="007B60F2">
        <w:t>(JSG-2) shows various general economic statistics.  Real gro</w:t>
      </w:r>
      <w:r w:rsidR="00B94A13">
        <w:t>wth in Gross Domestic Product (</w:t>
      </w:r>
      <w:r w:rsidRPr="007B60F2">
        <w:t>GDP) has averaged 2.7 percent annually during the past 30 years, 2.</w:t>
      </w:r>
      <w:r>
        <w:t>4</w:t>
      </w:r>
      <w:r w:rsidRPr="007B60F2">
        <w:t xml:space="preserve"> percent for the past 20 years, and 1.</w:t>
      </w:r>
      <w:r>
        <w:t>5</w:t>
      </w:r>
      <w:r w:rsidRPr="007B60F2">
        <w:t xml:space="preserve"> percent for the past 10 years.  </w:t>
      </w:r>
      <w:r w:rsidRPr="00E12B89">
        <w:t xml:space="preserve">After increasing at an annual rate of </w:t>
      </w:r>
      <w:r>
        <w:t>3.9</w:t>
      </w:r>
      <w:r w:rsidRPr="00E12B89">
        <w:t xml:space="preserve"> percent in the </w:t>
      </w:r>
      <w:r>
        <w:t>second</w:t>
      </w:r>
      <w:r w:rsidRPr="00E12B89">
        <w:t xml:space="preserve"> quarter of 201</w:t>
      </w:r>
      <w:r>
        <w:t>5</w:t>
      </w:r>
      <w:r w:rsidRPr="00E12B89">
        <w:t xml:space="preserve">, the Bureau of Economic Analysis reported that </w:t>
      </w:r>
      <w:r>
        <w:t xml:space="preserve">the “advance” estimate </w:t>
      </w:r>
      <w:r w:rsidRPr="00E12B89">
        <w:t xml:space="preserve">for the </w:t>
      </w:r>
      <w:r>
        <w:t>third</w:t>
      </w:r>
      <w:r w:rsidRPr="00E12B89">
        <w:t xml:space="preserve"> quarter of 2015 </w:t>
      </w:r>
      <w:r>
        <w:t xml:space="preserve">was a </w:t>
      </w:r>
      <w:r w:rsidRPr="00E12B89">
        <w:t xml:space="preserve">real annual </w:t>
      </w:r>
      <w:r>
        <w:t xml:space="preserve">economic growth </w:t>
      </w:r>
      <w:r w:rsidRPr="00E12B89">
        <w:t xml:space="preserve">rate of </w:t>
      </w:r>
      <w:r>
        <w:t>1.5</w:t>
      </w:r>
      <w:r w:rsidRPr="00E12B89">
        <w:t xml:space="preserve"> percent.</w:t>
      </w:r>
      <w:r w:rsidRPr="00E12B89">
        <w:rPr>
          <w:rStyle w:val="FootnoteReference"/>
        </w:rPr>
        <w:footnoteReference w:id="8"/>
      </w:r>
      <w:r w:rsidRPr="00E12B89">
        <w:t xml:space="preserve">  According to Blue Chip Economic</w:t>
      </w:r>
      <w:r w:rsidRPr="007B60F2">
        <w:t xml:space="preserve"> Indicators, the consensus forecast for expected growth in real GDP is </w:t>
      </w:r>
      <w:r w:rsidRPr="007C48B8">
        <w:t>2.</w:t>
      </w:r>
      <w:r>
        <w:t>4</w:t>
      </w:r>
      <w:r w:rsidRPr="007C48B8">
        <w:t xml:space="preserve"> percent in 2015</w:t>
      </w:r>
      <w:r w:rsidRPr="007C48B8">
        <w:rPr>
          <w:rStyle w:val="FootnoteReference"/>
        </w:rPr>
        <w:footnoteReference w:id="9"/>
      </w:r>
      <w:r w:rsidRPr="007C48B8">
        <w:t xml:space="preserve"> and 2.</w:t>
      </w:r>
      <w:r>
        <w:t>6</w:t>
      </w:r>
      <w:r w:rsidRPr="007C48B8">
        <w:t xml:space="preserve"> percent in 2016.</w:t>
      </w:r>
      <w:r w:rsidRPr="007C48B8">
        <w:rPr>
          <w:rStyle w:val="FootnoteReference"/>
        </w:rPr>
        <w:footnoteReference w:id="10"/>
      </w:r>
      <w:r>
        <w:t xml:space="preserve">  </w:t>
      </w:r>
      <w:r w:rsidRPr="007C48B8">
        <w:t>Likewise, the U.S. unemployment r</w:t>
      </w:r>
      <w:r w:rsidRPr="007B60F2">
        <w:t xml:space="preserve">ate has improved in recent months to </w:t>
      </w:r>
      <w:r w:rsidRPr="00DF6981">
        <w:t>5.0</w:t>
      </w:r>
      <w:r w:rsidRPr="00562AEC">
        <w:t xml:space="preserve"> percent </w:t>
      </w:r>
      <w:r>
        <w:t>for October</w:t>
      </w:r>
      <w:r w:rsidRPr="00562AEC">
        <w:t xml:space="preserve"> 2015,</w:t>
      </w:r>
      <w:r w:rsidRPr="00167294">
        <w:rPr>
          <w:rStyle w:val="FootnoteReference"/>
        </w:rPr>
        <w:footnoteReference w:id="11"/>
      </w:r>
      <w:r w:rsidRPr="007B60F2">
        <w:t xml:space="preserve"> but the labor force participation rate for civilians 16 years and over remained at </w:t>
      </w:r>
      <w:r w:rsidRPr="0045590F">
        <w:t>62.4</w:t>
      </w:r>
      <w:r w:rsidRPr="00562AEC">
        <w:t xml:space="preserve"> percent</w:t>
      </w:r>
      <w:r w:rsidRPr="007B60F2">
        <w:t xml:space="preserve"> </w:t>
      </w:r>
      <w:r>
        <w:t xml:space="preserve">for October </w:t>
      </w:r>
      <w:r w:rsidRPr="00E12B89">
        <w:t>2015</w:t>
      </w:r>
      <w:r w:rsidRPr="007B60F2">
        <w:t>, the lowest rate since the late 1970s.</w:t>
      </w:r>
      <w:r w:rsidRPr="007B60F2">
        <w:rPr>
          <w:rStyle w:val="FootnoteReference"/>
        </w:rPr>
        <w:footnoteReference w:id="12"/>
      </w:r>
      <w:r w:rsidRPr="007B60F2">
        <w:t xml:space="preserve">  Improvements in the U.S. unemployment rate are partly attributed to the reduced U.S. labor force and are not fully explained by job growth.  In light of these weak economic conditions, the </w:t>
      </w:r>
      <w:r w:rsidRPr="007B60F2">
        <w:lastRenderedPageBreak/>
        <w:t xml:space="preserve">Federal Reserve has maintained its federal funds rate of </w:t>
      </w:r>
      <w:r w:rsidRPr="00E12B89">
        <w:t>0.00 percent to 0.25</w:t>
      </w:r>
      <w:r w:rsidRPr="007B60F2">
        <w:t xml:space="preserve"> percent for overnight loans to banks in order to provide continued liquidity to the U.S. financial markets.</w:t>
      </w:r>
      <w:r w:rsidRPr="007B60F2">
        <w:rPr>
          <w:rStyle w:val="FootnoteReference"/>
        </w:rPr>
        <w:footnoteReference w:id="13"/>
      </w:r>
      <w:r>
        <w:t xml:space="preserve">  </w:t>
      </w:r>
    </w:p>
    <w:p w:rsidR="00D558A4" w:rsidRDefault="00D558A4" w:rsidP="00D558A4">
      <w:pPr>
        <w:spacing w:line="480" w:lineRule="auto"/>
        <w:ind w:left="720" w:firstLine="720"/>
      </w:pPr>
      <w:r>
        <w:t xml:space="preserve">In October 2014, the </w:t>
      </w:r>
      <w:r w:rsidR="00B94A13">
        <w:t>Federal Open Market Committee (</w:t>
      </w:r>
      <w:r>
        <w:t>FOMC) ended its Quantitative Easing program, which provided extraordinary monetary stimulus for the U.S. economy over the last few years through asset purchases of mortgage-backed securities and Treasury bonds.  However, the Federal Reserve’s accommodative policy continues today.  Specifically, the FOMC recently noted, “[the FOMC’s] policy, by keeping the Committee’s holdings of longer-term securities at sizable levels, should help maintain accommodative financial conditions.”</w:t>
      </w:r>
      <w:r>
        <w:rPr>
          <w:rStyle w:val="FootnoteReference"/>
        </w:rPr>
        <w:footnoteReference w:id="14"/>
      </w:r>
      <w:r>
        <w:t xml:space="preserve">  </w:t>
      </w:r>
    </w:p>
    <w:p w:rsidR="00D558A4" w:rsidRDefault="00D558A4" w:rsidP="00E83343">
      <w:pPr>
        <w:spacing w:line="480" w:lineRule="auto"/>
        <w:ind w:left="720" w:firstLine="720"/>
      </w:pPr>
      <w:r>
        <w:t>In October 2015, the FOMC noted that, “with appropriate policy accommodation, economic activity will expand at a moderate pace, with labor market indicators continuing to move toward levels the Committee judges consistent with its dual mandate [of fostering maximum employment and price stability].”</w:t>
      </w:r>
      <w:r>
        <w:rPr>
          <w:rStyle w:val="FootnoteReference"/>
        </w:rPr>
        <w:footnoteReference w:id="15"/>
      </w:r>
      <w:r>
        <w:t xml:space="preserve">   The FOMC further noted that it expects inflation to increase over the medium term.   </w:t>
      </w:r>
    </w:p>
    <w:p w:rsidR="00D558A4" w:rsidRPr="007B60F2" w:rsidRDefault="00D558A4" w:rsidP="00E83343">
      <w:pPr>
        <w:spacing w:line="480" w:lineRule="auto"/>
        <w:ind w:left="720" w:firstLine="720"/>
      </w:pPr>
      <w:r>
        <w:t xml:space="preserve">In addition to the stated expectations of the FOMC, market analysts are expecting increases in interest rates in the short and medium term.  The November 2015 issue of Blue Chip Financial Forecasts surveyed market participants concerning their views regarding the timing of possible future increases in short-term rates by the Federal Reserve.  Blue Chip reports that approximately 96 percent of those surveyed expect that </w:t>
      </w:r>
      <w:r>
        <w:lastRenderedPageBreak/>
        <w:t>the FOMC will begin to gradually increase its overnight policy rate by no later than March 2016, with 60 percent of survey participants expecting the first rate increase to come at the FOMC meeting in December 2015.</w:t>
      </w:r>
      <w:r>
        <w:rPr>
          <w:rStyle w:val="FootnoteReference"/>
        </w:rPr>
        <w:footnoteReference w:id="16"/>
      </w:r>
      <w:r>
        <w:t xml:space="preserve">   The average yield on the 30-year U.S. Treasury bond in October was </w:t>
      </w:r>
      <w:r w:rsidRPr="00BE2D2F">
        <w:t>2.89</w:t>
      </w:r>
      <w:r>
        <w:t xml:space="preserve"> percent.  By contrast, the Blue Chip consensus estimate projects that the average yield on the 30-year U.S. Treasury bond will increase to 4.80 percent for the period from 2017 through 2021.</w:t>
      </w:r>
      <w:r>
        <w:rPr>
          <w:rStyle w:val="FootnoteReference"/>
        </w:rPr>
        <w:footnoteReference w:id="17"/>
      </w:r>
      <w:r>
        <w:t xml:space="preserve">  Thus, the consensus estimate from leading economists is for an increase of </w:t>
      </w:r>
      <w:r w:rsidRPr="00BE2D2F">
        <w:t>191</w:t>
      </w:r>
      <w:r>
        <w:t xml:space="preserve"> basis points in U.S. Treasury bond yields over the next several years.</w:t>
      </w:r>
    </w:p>
    <w:p w:rsidR="00D558A4" w:rsidRPr="00703DEC" w:rsidRDefault="00D558A4" w:rsidP="00E83343">
      <w:pPr>
        <w:spacing w:line="480" w:lineRule="auto"/>
        <w:ind w:left="720" w:firstLine="720"/>
      </w:pPr>
      <w:r w:rsidRPr="007F30F2">
        <w:t>As pages 2 and 3 of Schedule 1 of Exhibit No.__</w:t>
      </w:r>
      <w:r w:rsidR="00350B0F">
        <w:t xml:space="preserve"> </w:t>
      </w:r>
      <w:r w:rsidRPr="007F30F2">
        <w:t xml:space="preserve">(JSG-2) show, interest rates on longer-term </w:t>
      </w:r>
      <w:r>
        <w:t xml:space="preserve">A-rated and Baa-rated </w:t>
      </w:r>
      <w:r w:rsidRPr="007F30F2">
        <w:t xml:space="preserve">public utility bonds have </w:t>
      </w:r>
      <w:r>
        <w:t>increased substantially since the beginning of the year</w:t>
      </w:r>
      <w:r w:rsidRPr="007F30F2">
        <w:t xml:space="preserve">.  </w:t>
      </w:r>
      <w:r>
        <w:t>Between January 2015</w:t>
      </w:r>
      <w:r w:rsidRPr="001969C2">
        <w:t xml:space="preserve"> </w:t>
      </w:r>
      <w:r>
        <w:t>and</w:t>
      </w:r>
      <w:r w:rsidRPr="001969C2">
        <w:t xml:space="preserve"> </w:t>
      </w:r>
      <w:r>
        <w:t>October</w:t>
      </w:r>
      <w:r w:rsidRPr="001969C2">
        <w:t xml:space="preserve"> 2015, the average yield on A-rated public utility bonds </w:t>
      </w:r>
      <w:r>
        <w:t>increased from 3.58</w:t>
      </w:r>
      <w:r w:rsidRPr="001969C2">
        <w:t xml:space="preserve"> percent </w:t>
      </w:r>
      <w:r>
        <w:t xml:space="preserve">to </w:t>
      </w:r>
      <w:r w:rsidRPr="00BE2D2F">
        <w:t>4.29 percent, and the average yield on Baa-rated public utility bonds increased from 4.39 percent to 5.47 percent.  Credit spreads, which measure the incremental co</w:t>
      </w:r>
      <w:r w:rsidRPr="00703DEC">
        <w:t xml:space="preserve">st of corporate debt relative to U.S. Treasury bonds, have increased </w:t>
      </w:r>
      <w:r>
        <w:t xml:space="preserve">dramatically in the past year, </w:t>
      </w:r>
      <w:r w:rsidRPr="00703DEC">
        <w:t xml:space="preserve">with the average spread of </w:t>
      </w:r>
      <w:r>
        <w:t>Baa</w:t>
      </w:r>
      <w:r w:rsidRPr="00703DEC">
        <w:t xml:space="preserve">-rated utility bonds over 30-year U.S. Treasury bonds </w:t>
      </w:r>
      <w:r>
        <w:t xml:space="preserve">increasing from </w:t>
      </w:r>
      <w:r w:rsidRPr="00BE2D2F">
        <w:t>1.71 percent in November 2014 to 2.58 p</w:t>
      </w:r>
      <w:r>
        <w:t>ercent in October</w:t>
      </w:r>
      <w:r w:rsidRPr="001969C2">
        <w:t xml:space="preserve"> 2015.  </w:t>
      </w:r>
    </w:p>
    <w:p w:rsidR="00D558A4" w:rsidRDefault="00D558A4" w:rsidP="00E83343">
      <w:pPr>
        <w:spacing w:line="480" w:lineRule="auto"/>
        <w:ind w:left="720" w:firstLine="720"/>
      </w:pPr>
      <w:r w:rsidRPr="007F30F2">
        <w:t>Investors also are influenced by both the historical and projected level of inflation.  As also shown on Page 1 of Schedule 1 of Exhibit No.__</w:t>
      </w:r>
      <w:r w:rsidR="00350B0F">
        <w:t xml:space="preserve"> </w:t>
      </w:r>
      <w:r w:rsidRPr="007F30F2">
        <w:t xml:space="preserve">(JSG-2), during the past decade, the Consumer Price Index has increased at an average annual rate of 2.3 </w:t>
      </w:r>
      <w:r w:rsidRPr="007F30F2">
        <w:lastRenderedPageBreak/>
        <w:t>percent and the GDP Implicit Price Deflator, a measure of price changes for all goods produced in the United States, has increased at an average rate of 2.0 perce</w:t>
      </w:r>
      <w:r w:rsidRPr="00D46FE9">
        <w:t>nt.  According to Blue Chip E</w:t>
      </w:r>
      <w:r w:rsidRPr="007C48B8">
        <w:t xml:space="preserve">conomic Indicators, the Consumer Price Index is forecasted to increase by </w:t>
      </w:r>
      <w:r w:rsidRPr="00961CBA">
        <w:t>0.2</w:t>
      </w:r>
      <w:r w:rsidRPr="007C48B8">
        <w:t xml:space="preserve"> percent</w:t>
      </w:r>
      <w:r w:rsidRPr="007C48B8">
        <w:rPr>
          <w:rStyle w:val="FootnoteReference"/>
        </w:rPr>
        <w:footnoteReference w:id="18"/>
      </w:r>
      <w:r w:rsidRPr="007C48B8">
        <w:t xml:space="preserve"> and </w:t>
      </w:r>
      <w:r>
        <w:t>1.8</w:t>
      </w:r>
      <w:r w:rsidRPr="007C48B8">
        <w:t xml:space="preserve"> percent</w:t>
      </w:r>
      <w:r w:rsidRPr="007C48B8">
        <w:rPr>
          <w:rStyle w:val="FootnoteReference"/>
        </w:rPr>
        <w:footnoteReference w:id="19"/>
      </w:r>
      <w:r w:rsidRPr="007C48B8">
        <w:t xml:space="preserve"> for 2015 and 2016,</w:t>
      </w:r>
      <w:r w:rsidRPr="007F30F2">
        <w:t xml:space="preserve"> respectively.  Over the intermediate and longer-term, however, investors can expect higher inflation rates as the Federal Reserve’s accommodative monetary policy, which began in 2008, places upward pressure on consumer and producer prices once economic growth returns to historical levels.  </w:t>
      </w:r>
    </w:p>
    <w:p w:rsidR="00D558A4" w:rsidRPr="00E83343" w:rsidRDefault="00E83343" w:rsidP="00D558A4">
      <w:pPr>
        <w:spacing w:line="480" w:lineRule="auto"/>
        <w:rPr>
          <w:b/>
        </w:rPr>
      </w:pPr>
      <w:r w:rsidRPr="00E83343">
        <w:rPr>
          <w:b/>
        </w:rPr>
        <w:t>Q.</w:t>
      </w:r>
      <w:r w:rsidRPr="00E83343">
        <w:rPr>
          <w:b/>
        </w:rPr>
        <w:tab/>
      </w:r>
      <w:r w:rsidR="00D558A4" w:rsidRPr="00E83343">
        <w:rPr>
          <w:b/>
        </w:rPr>
        <w:t>How are current economic conditions reflected in the equity markets?</w:t>
      </w:r>
    </w:p>
    <w:p w:rsidR="00D558A4" w:rsidRPr="006358B4" w:rsidRDefault="00E83343" w:rsidP="00E83343">
      <w:pPr>
        <w:spacing w:line="480" w:lineRule="auto"/>
        <w:ind w:left="720" w:hanging="720"/>
      </w:pPr>
      <w:r>
        <w:t>A.</w:t>
      </w:r>
      <w:r>
        <w:tab/>
      </w:r>
      <w:r w:rsidR="00D558A4" w:rsidRPr="006358B4">
        <w:t xml:space="preserve">Although </w:t>
      </w:r>
      <w:r w:rsidR="00D558A4">
        <w:t>government</w:t>
      </w:r>
      <w:r w:rsidR="00D558A4" w:rsidRPr="006358B4">
        <w:t xml:space="preserve"> bond yields are lower than pre-crisis levels</w:t>
      </w:r>
      <w:r w:rsidR="00D558A4">
        <w:t>,</w:t>
      </w:r>
      <w:r w:rsidR="00D558A4" w:rsidRPr="006358B4">
        <w:t xml:space="preserve"> credit spreads for public utility bonds </w:t>
      </w:r>
      <w:r w:rsidR="00D558A4">
        <w:t>are at their highest level since the 2008-09 recession</w:t>
      </w:r>
      <w:r w:rsidR="00D558A4" w:rsidRPr="006358B4">
        <w:t xml:space="preserve">, </w:t>
      </w:r>
      <w:r w:rsidR="00D558A4">
        <w:t xml:space="preserve">suggesting that </w:t>
      </w:r>
      <w:r w:rsidR="00D558A4" w:rsidRPr="006358B4">
        <w:t xml:space="preserve">investors </w:t>
      </w:r>
      <w:r w:rsidR="00D558A4">
        <w:t>are becoming more</w:t>
      </w:r>
      <w:r w:rsidR="00D558A4" w:rsidRPr="006358B4">
        <w:t xml:space="preserve"> risk averse and inflation fears persist.  The equity markets have recovered from the large stock market decline in 2008 and 2009, but the Federal Reserve’s massive purchases of federal debt and mortgage-backed securities have created artificially low interest rates </w:t>
      </w:r>
      <w:r w:rsidR="00D558A4">
        <w:t xml:space="preserve">on government bonds </w:t>
      </w:r>
      <w:r w:rsidR="00D558A4" w:rsidRPr="006358B4">
        <w:t>and a potential stock market valuation bubble that increases the risks in the equity market.</w:t>
      </w:r>
      <w:r w:rsidR="00D558A4">
        <w:t xml:space="preserve">  In the past few months, perceived problems in the Chinese economy, as well as the looming threat of tighter Federal Reserve monetary policy, have caused a great deal of volatility in the financial markets and a general increase in required returns.</w:t>
      </w:r>
    </w:p>
    <w:p w:rsidR="00E83343" w:rsidRPr="0017121A" w:rsidRDefault="00B94A13" w:rsidP="00E83343">
      <w:pPr>
        <w:pStyle w:val="Heading2"/>
        <w:spacing w:line="480" w:lineRule="auto"/>
        <w:rPr>
          <w:rFonts w:ascii="Times New Roman" w:hAnsi="Times New Roman" w:cs="Times New Roman"/>
          <w:i/>
        </w:rPr>
      </w:pPr>
      <w:bookmarkStart w:id="11" w:name="_Toc436731613"/>
      <w:r>
        <w:rPr>
          <w:rFonts w:ascii="Times New Roman" w:hAnsi="Times New Roman" w:cs="Times New Roman"/>
          <w:i/>
        </w:rPr>
        <w:t>Discounted Cash Flow (</w:t>
      </w:r>
      <w:r w:rsidR="00E83343" w:rsidRPr="0017121A">
        <w:rPr>
          <w:rFonts w:ascii="Times New Roman" w:hAnsi="Times New Roman" w:cs="Times New Roman"/>
          <w:i/>
        </w:rPr>
        <w:t>DCF) Method</w:t>
      </w:r>
      <w:bookmarkEnd w:id="11"/>
    </w:p>
    <w:p w:rsidR="00E83343" w:rsidRPr="0017121A" w:rsidRDefault="0017121A" w:rsidP="0017121A">
      <w:pPr>
        <w:spacing w:line="480" w:lineRule="auto"/>
        <w:rPr>
          <w:b/>
        </w:rPr>
      </w:pPr>
      <w:r>
        <w:rPr>
          <w:b/>
        </w:rPr>
        <w:t>Q.</w:t>
      </w:r>
      <w:r>
        <w:rPr>
          <w:b/>
        </w:rPr>
        <w:tab/>
      </w:r>
      <w:r w:rsidR="00E83343" w:rsidRPr="0017121A">
        <w:rPr>
          <w:b/>
        </w:rPr>
        <w:t>Please describe the DCF method of estimating the cost of common equity capital.</w:t>
      </w:r>
    </w:p>
    <w:p w:rsidR="00E83343" w:rsidRDefault="0017121A" w:rsidP="0017121A">
      <w:pPr>
        <w:spacing w:line="480" w:lineRule="auto"/>
        <w:ind w:left="720" w:hanging="720"/>
      </w:pPr>
      <w:r>
        <w:lastRenderedPageBreak/>
        <w:t>A.</w:t>
      </w:r>
      <w:r>
        <w:tab/>
      </w:r>
      <w:r w:rsidR="00E83343">
        <w:t>The DCF method reflects the assumption that the market price of a share of common stock represents the discounted present value of the stream of all future dividends that investors expect the firm to pay.  The DCF method suggests that investors in common stocks expect to realize returns from two sources:  a current dividend yield plus expected growth in the value of their shares as a result of future dividend increases.  Estimating the cost of capital with the DCF method, therefore, is a matter of calculating the current dividend yield and estimating the long-term future growth rate in dividends that investors reasonably expect from a company.</w:t>
      </w:r>
    </w:p>
    <w:p w:rsidR="00E83343" w:rsidRDefault="00E83343" w:rsidP="0017121A">
      <w:pPr>
        <w:spacing w:line="480" w:lineRule="auto"/>
        <w:ind w:left="720" w:firstLine="720"/>
      </w:pPr>
      <w:r>
        <w:t>The dividend yield portion of the DCF method utilizes readily-available information regarding stock prices and dividends.  The market price of a firm’s stock reflects investors’ assessments of risks and potential earnings as well as their assessments of alternative opportunities in the competitive financial markets.  By using the market price to calculate the dividend yield, the DCF method implicitly recognizes investors’ market assessments and alternatives.  However, the other component of the DCF formula, investors’ expectations regarding the future long-run growth rate of dividends, is not readily apparent from stock market data and must be estimated using informed judgment.</w:t>
      </w:r>
    </w:p>
    <w:p w:rsidR="00E83343" w:rsidRPr="0017121A" w:rsidRDefault="0017121A" w:rsidP="00EE62E6">
      <w:pPr>
        <w:keepNext/>
        <w:spacing w:line="480" w:lineRule="auto"/>
        <w:rPr>
          <w:b/>
        </w:rPr>
      </w:pPr>
      <w:r w:rsidRPr="0017121A">
        <w:rPr>
          <w:b/>
        </w:rPr>
        <w:t>Q.</w:t>
      </w:r>
      <w:r w:rsidRPr="0017121A">
        <w:rPr>
          <w:b/>
        </w:rPr>
        <w:tab/>
      </w:r>
      <w:r w:rsidR="00E83343" w:rsidRPr="0017121A">
        <w:rPr>
          <w:b/>
        </w:rPr>
        <w:t>What is the appropriate DCF formula to use in this proceeding?</w:t>
      </w:r>
    </w:p>
    <w:p w:rsidR="0017121A" w:rsidRDefault="0017121A" w:rsidP="00EE62E6">
      <w:pPr>
        <w:pStyle w:val="Answer1"/>
        <w:keepNext/>
        <w:numPr>
          <w:ilvl w:val="0"/>
          <w:numId w:val="0"/>
        </w:numPr>
        <w:ind w:left="720" w:hanging="720"/>
      </w:pPr>
      <w:r>
        <w:t>A.</w:t>
      </w:r>
      <w:r>
        <w:tab/>
      </w:r>
      <w:r w:rsidR="00E83343">
        <w:t xml:space="preserve">There can be many different versions of the basic DCF formula, depending on the assumptions that are most reasonable regarding the timing of future dividend payments.  In my opinion, it is most appropriate to use a model that is based on the assumptions that dividends are paid quarterly and that the next annual dividend increase is a half year away.  One version of this quarterly model assumes that the next dividend payment will </w:t>
      </w:r>
      <w:r w:rsidR="00E83343">
        <w:lastRenderedPageBreak/>
        <w:t>be received in three months, or one quarter.  This model multiplies the dividend yield by (</w:t>
      </w:r>
      <w:r w:rsidR="00E83343" w:rsidRPr="00B12801">
        <w:rPr>
          <w:i/>
        </w:rPr>
        <w:t>1 + 0.75g</w:t>
      </w:r>
      <w:r w:rsidR="00E83343">
        <w:t>).  Another version assumes that the next dividend payment will be received today.  This model multiplies the dividend yield by (</w:t>
      </w:r>
      <w:r w:rsidR="00E83343" w:rsidRPr="00B12801">
        <w:rPr>
          <w:i/>
        </w:rPr>
        <w:t>1 + 0.5g</w:t>
      </w:r>
      <w:r w:rsidR="00E83343">
        <w:t>).  Since, on average, the next dividend payment is a half quarter away, the average of the results of these two models is a reasonable approximation of the average timing of dividends and dividend increases that investors can expect from companies that pay dividends quarterly.  The average of these two quarterly dividend models is:</w:t>
      </w:r>
      <w:r w:rsidRPr="0017121A">
        <w:t xml:space="preserve"> </w:t>
      </w:r>
    </w:p>
    <w:p w:rsidR="0017121A" w:rsidRPr="0017121A" w:rsidRDefault="0017121A" w:rsidP="0017121A">
      <w:pPr>
        <w:keepNext/>
        <w:spacing w:line="480" w:lineRule="auto"/>
        <w:jc w:val="center"/>
        <w:rPr>
          <w:rFonts w:eastAsia="Calibri"/>
          <w:szCs w:val="22"/>
        </w:rPr>
      </w:pPr>
      <m:oMathPara>
        <m:oMath>
          <m:r>
            <w:rPr>
              <w:rFonts w:ascii="Cambria Math" w:eastAsia="Calibri" w:hAnsi="Cambria Math"/>
              <w:szCs w:val="22"/>
            </w:rPr>
            <m:t>K=</m:t>
          </m:r>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D</m:t>
                  </m:r>
                </m:e>
                <m:sub>
                  <m:r>
                    <w:rPr>
                      <w:rFonts w:ascii="Cambria Math" w:eastAsia="Calibri" w:hAnsi="Cambria Math"/>
                      <w:szCs w:val="22"/>
                    </w:rPr>
                    <m:t>0</m:t>
                  </m:r>
                </m:sub>
              </m:sSub>
              <m:d>
                <m:dPr>
                  <m:ctrlPr>
                    <w:rPr>
                      <w:rFonts w:ascii="Cambria Math" w:eastAsia="Calibri" w:hAnsi="Cambria Math"/>
                      <w:i/>
                      <w:szCs w:val="22"/>
                    </w:rPr>
                  </m:ctrlPr>
                </m:dPr>
                <m:e>
                  <m:r>
                    <w:rPr>
                      <w:rFonts w:ascii="Cambria Math" w:eastAsia="Calibri" w:hAnsi="Cambria Math"/>
                      <w:szCs w:val="22"/>
                    </w:rPr>
                    <m:t>1+0.625g</m:t>
                  </m:r>
                </m:e>
              </m:d>
            </m:num>
            <m:den>
              <m:r>
                <w:rPr>
                  <w:rFonts w:ascii="Cambria Math" w:eastAsia="Calibri" w:hAnsi="Cambria Math"/>
                  <w:szCs w:val="22"/>
                </w:rPr>
                <m:t>P</m:t>
              </m:r>
            </m:den>
          </m:f>
          <m:r>
            <w:rPr>
              <w:rFonts w:ascii="Cambria Math" w:eastAsia="Calibri" w:hAnsi="Cambria Math"/>
              <w:szCs w:val="22"/>
            </w:rPr>
            <m:t>+g</m:t>
          </m:r>
        </m:oMath>
      </m:oMathPara>
    </w:p>
    <w:p w:rsidR="0017121A" w:rsidRPr="0017121A" w:rsidRDefault="0017121A" w:rsidP="0017121A">
      <w:pPr>
        <w:tabs>
          <w:tab w:val="left" w:pos="2160"/>
        </w:tabs>
        <w:spacing w:after="240" w:line="240" w:lineRule="auto"/>
        <w:ind w:left="2880" w:hanging="2160"/>
        <w:rPr>
          <w:rFonts w:eastAsia="Calibri"/>
          <w:szCs w:val="22"/>
        </w:rPr>
      </w:pPr>
      <w:r w:rsidRPr="0017121A">
        <w:rPr>
          <w:rFonts w:eastAsia="Calibri"/>
          <w:szCs w:val="22"/>
        </w:rPr>
        <w:t xml:space="preserve">Where: </w:t>
      </w:r>
      <w:r w:rsidRPr="0017121A">
        <w:rPr>
          <w:rFonts w:eastAsia="Calibri"/>
          <w:szCs w:val="22"/>
        </w:rPr>
        <w:tab/>
      </w:r>
      <w:r w:rsidRPr="0017121A">
        <w:rPr>
          <w:rFonts w:eastAsia="Calibri"/>
          <w:i/>
          <w:szCs w:val="22"/>
        </w:rPr>
        <w:t>K</w:t>
      </w:r>
      <w:r w:rsidRPr="0017121A">
        <w:rPr>
          <w:rFonts w:eastAsia="Calibri"/>
          <w:szCs w:val="22"/>
        </w:rPr>
        <w:t xml:space="preserve"> = </w:t>
      </w:r>
      <w:r w:rsidRPr="0017121A">
        <w:rPr>
          <w:rFonts w:eastAsia="Calibri"/>
          <w:szCs w:val="22"/>
        </w:rPr>
        <w:tab/>
        <w:t>the cost of capital, or total return that investors expect to receive;</w:t>
      </w:r>
    </w:p>
    <w:p w:rsidR="0017121A" w:rsidRPr="0017121A" w:rsidRDefault="0017121A" w:rsidP="0017121A">
      <w:pPr>
        <w:spacing w:after="240" w:line="240" w:lineRule="auto"/>
        <w:ind w:left="1440" w:firstLine="720"/>
        <w:rPr>
          <w:rFonts w:eastAsia="Calibri"/>
          <w:szCs w:val="22"/>
        </w:rPr>
      </w:pPr>
      <w:r w:rsidRPr="0017121A">
        <w:rPr>
          <w:rFonts w:eastAsia="Calibri"/>
          <w:i/>
          <w:szCs w:val="22"/>
        </w:rPr>
        <w:t>P</w:t>
      </w:r>
      <w:r w:rsidRPr="0017121A">
        <w:rPr>
          <w:rFonts w:eastAsia="Calibri"/>
          <w:szCs w:val="22"/>
        </w:rPr>
        <w:t xml:space="preserve"> =</w:t>
      </w:r>
      <w:r w:rsidRPr="0017121A">
        <w:rPr>
          <w:rFonts w:eastAsia="Calibri"/>
          <w:szCs w:val="22"/>
        </w:rPr>
        <w:tab/>
        <w:t>the current market price of the stock;</w:t>
      </w:r>
    </w:p>
    <w:p w:rsidR="0017121A" w:rsidRPr="0017121A" w:rsidRDefault="0017121A" w:rsidP="0017121A">
      <w:pPr>
        <w:spacing w:after="240" w:line="240" w:lineRule="auto"/>
        <w:ind w:left="1440" w:firstLine="720"/>
        <w:rPr>
          <w:rFonts w:eastAsia="Calibri"/>
          <w:szCs w:val="22"/>
        </w:rPr>
      </w:pPr>
      <w:r w:rsidRPr="0017121A">
        <w:rPr>
          <w:rFonts w:eastAsia="Calibri"/>
          <w:i/>
          <w:szCs w:val="22"/>
        </w:rPr>
        <w:t>D</w:t>
      </w:r>
      <w:r w:rsidRPr="0017121A">
        <w:rPr>
          <w:rFonts w:eastAsia="Calibri"/>
          <w:i/>
          <w:szCs w:val="22"/>
          <w:vertAlign w:val="subscript"/>
        </w:rPr>
        <w:t>0</w:t>
      </w:r>
      <w:r w:rsidRPr="0017121A">
        <w:rPr>
          <w:rFonts w:eastAsia="Calibri"/>
          <w:szCs w:val="22"/>
        </w:rPr>
        <w:t xml:space="preserve"> =</w:t>
      </w:r>
      <w:r w:rsidRPr="0017121A">
        <w:rPr>
          <w:rFonts w:eastAsia="Calibri"/>
          <w:szCs w:val="22"/>
        </w:rPr>
        <w:tab/>
        <w:t>the current annual dividend rate; and</w:t>
      </w:r>
    </w:p>
    <w:p w:rsidR="0017121A" w:rsidRPr="0017121A" w:rsidRDefault="0017121A" w:rsidP="0017121A">
      <w:pPr>
        <w:spacing w:after="240" w:line="240" w:lineRule="auto"/>
        <w:ind w:left="1440" w:firstLine="720"/>
        <w:rPr>
          <w:rFonts w:eastAsia="Calibri"/>
          <w:szCs w:val="22"/>
        </w:rPr>
      </w:pPr>
      <w:r w:rsidRPr="0017121A">
        <w:rPr>
          <w:rFonts w:eastAsia="Calibri"/>
          <w:i/>
          <w:szCs w:val="22"/>
        </w:rPr>
        <w:t>g</w:t>
      </w:r>
      <w:r w:rsidRPr="0017121A">
        <w:rPr>
          <w:rFonts w:eastAsia="Calibri"/>
          <w:szCs w:val="22"/>
        </w:rPr>
        <w:t xml:space="preserve"> =</w:t>
      </w:r>
      <w:r w:rsidRPr="0017121A">
        <w:rPr>
          <w:rFonts w:eastAsia="Calibri"/>
          <w:szCs w:val="22"/>
        </w:rPr>
        <w:tab/>
        <w:t>the future annual growth rate that investors expect.</w:t>
      </w:r>
    </w:p>
    <w:p w:rsidR="00E83343" w:rsidRDefault="00E83343" w:rsidP="0017121A">
      <w:pPr>
        <w:spacing w:line="480" w:lineRule="auto"/>
        <w:ind w:left="720"/>
      </w:pPr>
      <w:r>
        <w:t>In my opinion, this is the DCF model that is most appropriate for estimating the cost of common equity capital for companies that pay dividends quarterly, such as those used in my analysis.</w:t>
      </w:r>
    </w:p>
    <w:p w:rsidR="00E83343" w:rsidRPr="0017121A" w:rsidRDefault="00E83343" w:rsidP="0017121A">
      <w:pPr>
        <w:pStyle w:val="Heading2"/>
        <w:spacing w:line="480" w:lineRule="auto"/>
        <w:rPr>
          <w:rFonts w:ascii="Times New Roman" w:hAnsi="Times New Roman" w:cs="Times New Roman"/>
          <w:i/>
        </w:rPr>
      </w:pPr>
      <w:bookmarkStart w:id="12" w:name="_Toc436731614"/>
      <w:r w:rsidRPr="0017121A">
        <w:rPr>
          <w:rFonts w:ascii="Times New Roman" w:hAnsi="Times New Roman" w:cs="Times New Roman"/>
          <w:i/>
        </w:rPr>
        <w:t>Flotation Cost Adjustment</w:t>
      </w:r>
      <w:bookmarkEnd w:id="12"/>
    </w:p>
    <w:p w:rsidR="00E83343" w:rsidRPr="0017121A" w:rsidRDefault="0017121A" w:rsidP="0017121A">
      <w:pPr>
        <w:spacing w:line="480" w:lineRule="auto"/>
        <w:ind w:left="720" w:hanging="720"/>
        <w:rPr>
          <w:b/>
        </w:rPr>
      </w:pPr>
      <w:r w:rsidRPr="0017121A">
        <w:rPr>
          <w:b/>
        </w:rPr>
        <w:t>Q.</w:t>
      </w:r>
      <w:r w:rsidRPr="0017121A">
        <w:rPr>
          <w:b/>
        </w:rPr>
        <w:tab/>
      </w:r>
      <w:r w:rsidR="00E83343" w:rsidRPr="0017121A">
        <w:rPr>
          <w:b/>
        </w:rPr>
        <w:t>Does the investor return requirement that is estimated by a DCF analysis need to be adjusted for flotation costs in order to estimate the cost of capital?</w:t>
      </w:r>
    </w:p>
    <w:p w:rsidR="00E83343" w:rsidRPr="0025734C" w:rsidRDefault="0017121A" w:rsidP="0017121A">
      <w:pPr>
        <w:spacing w:line="480" w:lineRule="auto"/>
        <w:ind w:left="720" w:hanging="720"/>
      </w:pPr>
      <w:r>
        <w:t>A.</w:t>
      </w:r>
      <w:r>
        <w:tab/>
      </w:r>
      <w:r w:rsidR="00E83343">
        <w:t xml:space="preserve">Yes.  There are significant costs associated with issuing new common equity capital, and these costs must be considered in determining the cost of capital.  </w:t>
      </w:r>
      <w:r w:rsidR="00E83343" w:rsidRPr="0025734C">
        <w:t>Schedule 2 of Exhibit No.__</w:t>
      </w:r>
      <w:r w:rsidR="00350B0F">
        <w:t xml:space="preserve"> </w:t>
      </w:r>
      <w:r w:rsidR="00E83343" w:rsidRPr="0025734C">
        <w:t xml:space="preserve">(JSG-2) shows a representative sample of flotation costs incurred with </w:t>
      </w:r>
      <w:r w:rsidR="00E83343">
        <w:t>30</w:t>
      </w:r>
      <w:r w:rsidR="00E83343" w:rsidRPr="00FF3353">
        <w:t xml:space="preserve"> new </w:t>
      </w:r>
      <w:r w:rsidR="00E83343" w:rsidRPr="00FF3353">
        <w:lastRenderedPageBreak/>
        <w:t>common stock issues by natural gas distribution companies since January 200</w:t>
      </w:r>
      <w:r w:rsidR="00E83343">
        <w:t>4</w:t>
      </w:r>
      <w:r w:rsidR="00E83343" w:rsidRPr="00FF3353">
        <w:t xml:space="preserve">.  Flotation costs associated with these new issues averaged </w:t>
      </w:r>
      <w:r w:rsidR="00E83343">
        <w:t>4.14</w:t>
      </w:r>
      <w:r w:rsidR="00E83343" w:rsidRPr="00FF3353">
        <w:t xml:space="preserve"> percen</w:t>
      </w:r>
      <w:r w:rsidR="00E83343" w:rsidRPr="0025734C">
        <w:t>t.</w:t>
      </w:r>
      <w:r w:rsidR="00E83343">
        <w:t xml:space="preserve">  </w:t>
      </w:r>
    </w:p>
    <w:p w:rsidR="00E83343" w:rsidRPr="00FF3353" w:rsidRDefault="00E83343" w:rsidP="0017121A">
      <w:pPr>
        <w:spacing w:line="480" w:lineRule="auto"/>
        <w:ind w:left="720" w:firstLine="720"/>
      </w:pPr>
      <w:r>
        <w:t xml:space="preserve">This indicates that in order to be able to issue new common stock on reasonable terms, without diluting the value of the existing stockholders’ investment, Cascade must have an expected return that places a value on its equity that is </w:t>
      </w:r>
      <w:r w:rsidRPr="005948FE">
        <w:t xml:space="preserve">approximately </w:t>
      </w:r>
      <w:r w:rsidRPr="00FF3353">
        <w:t>4.0 percent above book value.  The cost of common equity capital is therefore the investor return requirement multiplied by 1.04.</w:t>
      </w:r>
    </w:p>
    <w:p w:rsidR="00E83343" w:rsidRDefault="00E83343" w:rsidP="0017121A">
      <w:pPr>
        <w:spacing w:line="480" w:lineRule="auto"/>
        <w:ind w:left="720" w:firstLine="720"/>
      </w:pPr>
      <w:r w:rsidRPr="00FF3353">
        <w:t>One purpose of</w:t>
      </w:r>
      <w:r>
        <w:t xml:space="preserve"> a flotation cost adjustment is to compensate common equity investors for past flotation costs by recognizing that their real investment in the company exceeds the equity portion of the rate base by the amount of past flotation costs.  For example, the proxy companies generally have incurred flotation costs in the past and, thus, the cost of capital invested in these companies is the investor return requirement plus an adjustment for flotation costs.  A more important purpose of a flotation cost adjustment is to establish a return that is sufficient to enable a company to attract capital on reasonable terms.  This fundamental requirement of a fair rate of return is analogous to the well-understood basic principle that a firm, or an individual, should maintain a good credit rating even when they do not expect to be borrowing money in the near future.  Regardless of whether a company can confidently predict its need to issue new common stock several years in advance, it should be in a position to do so on reasonable terms at all times without dilution of the book value of the existing investors’ common equity.  This requires that the flotation cost adjustment be applied to the entire common equity investment and not just a portion of it.</w:t>
      </w:r>
    </w:p>
    <w:p w:rsidR="00E83343" w:rsidRPr="0017121A" w:rsidRDefault="00E83343" w:rsidP="0017121A">
      <w:pPr>
        <w:pStyle w:val="Heading2"/>
        <w:spacing w:line="480" w:lineRule="auto"/>
        <w:rPr>
          <w:rFonts w:ascii="Times New Roman" w:hAnsi="Times New Roman" w:cs="Times New Roman"/>
          <w:i/>
        </w:rPr>
      </w:pPr>
      <w:bookmarkStart w:id="13" w:name="_Toc436731615"/>
      <w:r w:rsidRPr="0017121A">
        <w:rPr>
          <w:rFonts w:ascii="Times New Roman" w:hAnsi="Times New Roman" w:cs="Times New Roman"/>
          <w:i/>
        </w:rPr>
        <w:lastRenderedPageBreak/>
        <w:t>DCF Study of Natural Gas Distribution Companies</w:t>
      </w:r>
      <w:bookmarkEnd w:id="13"/>
    </w:p>
    <w:p w:rsidR="00E83343" w:rsidRPr="0017121A" w:rsidRDefault="0017121A" w:rsidP="0017121A">
      <w:pPr>
        <w:spacing w:line="480" w:lineRule="auto"/>
        <w:ind w:left="720" w:hanging="720"/>
        <w:rPr>
          <w:b/>
        </w:rPr>
      </w:pPr>
      <w:r w:rsidRPr="0017121A">
        <w:rPr>
          <w:b/>
        </w:rPr>
        <w:t>Q.</w:t>
      </w:r>
      <w:r w:rsidRPr="0017121A">
        <w:rPr>
          <w:b/>
        </w:rPr>
        <w:tab/>
      </w:r>
      <w:r w:rsidR="00E83343" w:rsidRPr="0017121A">
        <w:rPr>
          <w:b/>
        </w:rPr>
        <w:t>Would you please describe the overall approach used in your DCF analysis of Cascade’s cost of common equity for its Washington natural gas distribution operations?</w:t>
      </w:r>
    </w:p>
    <w:p w:rsidR="00E83343" w:rsidRDefault="0017121A" w:rsidP="0017121A">
      <w:pPr>
        <w:spacing w:line="480" w:lineRule="auto"/>
        <w:ind w:left="720" w:hanging="720"/>
      </w:pPr>
      <w:r>
        <w:t>A.</w:t>
      </w:r>
      <w:r>
        <w:tab/>
      </w:r>
      <w:r w:rsidR="00E83343">
        <w:t>Because Cascade’s Washington natural gas distribution operations must compete for capital with many other potential projects and investments, it is essential that the Company have an allowed return that matches returns potentially available from other similarly risky investments.  The DCF method provides a good measure of the returns required by investors in the financial markets.  However, the DCF method requires a market price of common stock to compute the dividend yield component.  Since Cascade is a subsidiary of MDU Resources and does not have publicly-traded common stock, a direct, market-based DCF analysis of Cascade’s Washington natural gas distribution operations as a stand-alone company is not possible.  As an alternative, I have used a group of natural gas distribution companies that have publicly-traded common stock as a proxy group for purposes of estimating the cost of common equity for Cascade’s Washington natural gas distribution operations.</w:t>
      </w:r>
    </w:p>
    <w:p w:rsidR="00E83343" w:rsidRPr="0017121A" w:rsidRDefault="0017121A" w:rsidP="0017121A">
      <w:pPr>
        <w:spacing w:line="480" w:lineRule="auto"/>
        <w:rPr>
          <w:b/>
        </w:rPr>
      </w:pPr>
      <w:r w:rsidRPr="0017121A">
        <w:rPr>
          <w:b/>
        </w:rPr>
        <w:t>Q.</w:t>
      </w:r>
      <w:r w:rsidRPr="0017121A">
        <w:rPr>
          <w:b/>
        </w:rPr>
        <w:tab/>
      </w:r>
      <w:r w:rsidR="00E83343" w:rsidRPr="0017121A">
        <w:rPr>
          <w:b/>
        </w:rPr>
        <w:t>How did you select a group of natural gas distribution proxy companies?</w:t>
      </w:r>
    </w:p>
    <w:p w:rsidR="00E83343" w:rsidRPr="0025734C" w:rsidRDefault="0017121A" w:rsidP="0017121A">
      <w:pPr>
        <w:spacing w:line="480" w:lineRule="auto"/>
        <w:ind w:left="720" w:hanging="720"/>
      </w:pPr>
      <w:r>
        <w:t>A.</w:t>
      </w:r>
      <w:r>
        <w:tab/>
      </w:r>
      <w:r w:rsidR="00E83343">
        <w:t>I started with the eleven companies that The</w:t>
      </w:r>
      <w:r w:rsidR="00B94A13">
        <w:t xml:space="preserve"> Value Line Investment Survey (Value Line</w:t>
      </w:r>
      <w:r w:rsidR="00E83343">
        <w:t xml:space="preserve">) classifies as Natural Gas Utilities to ensure that the company is considered to be primarily engaged in the natural gas distribution business and that retention growth rate projections are available.  From that group, I eliminated any companies that did not have </w:t>
      </w:r>
      <w:r w:rsidR="00E83343" w:rsidRPr="0025734C">
        <w:t xml:space="preserve">investment-grade credit ratings </w:t>
      </w:r>
      <w:r w:rsidR="00B94A13">
        <w:t>from either Standard &amp; Poor’s (</w:t>
      </w:r>
      <w:r w:rsidR="00E83343" w:rsidRPr="0025734C">
        <w:t>S&amp;P)</w:t>
      </w:r>
      <w:r w:rsidR="00B94A13">
        <w:t xml:space="preserve"> or Moody’s Investors Service </w:t>
      </w:r>
      <w:r w:rsidR="00B94A13">
        <w:lastRenderedPageBreak/>
        <w:t>(</w:t>
      </w:r>
      <w:r w:rsidR="00E83343" w:rsidRPr="0025734C">
        <w:t xml:space="preserve">Moody’s) because such companies are not sufficiently comparable in terms of business and financial risk to </w:t>
      </w:r>
      <w:r w:rsidR="00E83343">
        <w:t>Cascade</w:t>
      </w:r>
      <w:r w:rsidR="00E83343" w:rsidRPr="0025734C">
        <w:t>.  In addition, I excluded any compan</w:t>
      </w:r>
      <w:r w:rsidR="00E83343">
        <w:t>ies</w:t>
      </w:r>
      <w:r w:rsidR="00E83343" w:rsidRPr="0025734C">
        <w:t xml:space="preserve"> that did not pay dividends</w:t>
      </w:r>
      <w:r w:rsidR="00E83343">
        <w:t>,</w:t>
      </w:r>
      <w:r w:rsidR="00E83343" w:rsidRPr="0025734C">
        <w:t xml:space="preserve"> or that did not have future growth rate estimates provided by </w:t>
      </w:r>
      <w:r w:rsidR="00E83343">
        <w:t>either</w:t>
      </w:r>
      <w:r w:rsidR="00E83343" w:rsidRPr="0025734C">
        <w:t xml:space="preserve"> Zacks</w:t>
      </w:r>
      <w:r w:rsidR="00E83343">
        <w:t xml:space="preserve"> or Thomson First Call, or that were currently engaged in significant mergers or acquisitions</w:t>
      </w:r>
      <w:r w:rsidR="00E83343" w:rsidRPr="0025734C">
        <w:t>.  In order to ensure that the compan</w:t>
      </w:r>
      <w:r w:rsidR="00E83343">
        <w:t>ies are</w:t>
      </w:r>
      <w:r w:rsidR="00E83343" w:rsidRPr="0025734C">
        <w:t xml:space="preserve"> primarily engaged in the </w:t>
      </w:r>
      <w:r w:rsidR="00E83343">
        <w:t>natural gas distribution business</w:t>
      </w:r>
      <w:r w:rsidR="00E83343" w:rsidRPr="0025734C">
        <w:t>, I eliminated any compan</w:t>
      </w:r>
      <w:r w:rsidR="00E83343">
        <w:t>ies</w:t>
      </w:r>
      <w:r w:rsidR="00E83343" w:rsidRPr="0025734C">
        <w:t xml:space="preserve"> that did not derive at least </w:t>
      </w:r>
      <w:r w:rsidR="00E83343" w:rsidRPr="00782866">
        <w:t>7</w:t>
      </w:r>
      <w:r w:rsidR="00E83343" w:rsidRPr="00963B88">
        <w:t>0</w:t>
      </w:r>
      <w:r w:rsidR="00E83343" w:rsidRPr="001E044F">
        <w:t xml:space="preserve"> percent of their operating income from regulated natural gas distribution operations in 2014, or that did not have at least </w:t>
      </w:r>
      <w:r w:rsidR="00E83343">
        <w:t>7</w:t>
      </w:r>
      <w:r w:rsidR="00E83343" w:rsidRPr="001E044F">
        <w:t>0 percent of their total assets devoted to the provision of natural gas distribution service in 2014.  As shown on page 1</w:t>
      </w:r>
      <w:r w:rsidR="00E83343" w:rsidRPr="0025734C">
        <w:t xml:space="preserve"> of Schedule 3 of Exhibit No.__</w:t>
      </w:r>
      <w:r w:rsidR="00350B0F">
        <w:t xml:space="preserve"> </w:t>
      </w:r>
      <w:r w:rsidR="00E83343" w:rsidRPr="0025734C">
        <w:t xml:space="preserve">(JSG-2), </w:t>
      </w:r>
      <w:r w:rsidR="00E83343">
        <w:t>seven</w:t>
      </w:r>
      <w:r w:rsidR="00E83343" w:rsidRPr="0025734C">
        <w:t xml:space="preserve"> companies met these criteria for inclusion in the proxy group.</w:t>
      </w:r>
    </w:p>
    <w:p w:rsidR="00E83343" w:rsidRPr="0017121A" w:rsidRDefault="0017121A" w:rsidP="0017121A">
      <w:pPr>
        <w:spacing w:line="480" w:lineRule="auto"/>
        <w:rPr>
          <w:b/>
        </w:rPr>
      </w:pPr>
      <w:r w:rsidRPr="0017121A">
        <w:rPr>
          <w:b/>
        </w:rPr>
        <w:t>Q.</w:t>
      </w:r>
      <w:r w:rsidRPr="0017121A">
        <w:rPr>
          <w:b/>
        </w:rPr>
        <w:tab/>
      </w:r>
      <w:r w:rsidR="00E83343" w:rsidRPr="0017121A">
        <w:rPr>
          <w:b/>
        </w:rPr>
        <w:t>How did you calculate the dividend yields for the companies in your proxy group?</w:t>
      </w:r>
    </w:p>
    <w:p w:rsidR="00E83343" w:rsidRDefault="0017121A" w:rsidP="0017121A">
      <w:pPr>
        <w:spacing w:line="480" w:lineRule="auto"/>
        <w:ind w:left="720" w:hanging="720"/>
      </w:pPr>
      <w:r>
        <w:t>A.</w:t>
      </w:r>
      <w:r>
        <w:tab/>
      </w:r>
      <w:r w:rsidR="00E83343" w:rsidRPr="0025734C">
        <w:t>These calculations are shown on page</w:t>
      </w:r>
      <w:r w:rsidR="00E83343">
        <w:t>s</w:t>
      </w:r>
      <w:r w:rsidR="00E83343" w:rsidRPr="0025734C">
        <w:t xml:space="preserve"> 1</w:t>
      </w:r>
      <w:r w:rsidR="00E83343">
        <w:t>-2</w:t>
      </w:r>
      <w:r w:rsidR="00E83343" w:rsidRPr="0025734C">
        <w:t xml:space="preserve"> of Schedule 4 of Exhibit No.__</w:t>
      </w:r>
      <w:r w:rsidR="00350B0F">
        <w:t xml:space="preserve"> </w:t>
      </w:r>
      <w:r w:rsidR="00E83343" w:rsidRPr="0025734C">
        <w:t xml:space="preserve">(JSG-2).  For the price component of the calculation, I used the average of the high and low stock prices for each month during the six-month period from </w:t>
      </w:r>
      <w:r w:rsidR="00E83343">
        <w:t>May</w:t>
      </w:r>
      <w:r w:rsidR="00E83343" w:rsidRPr="0025734C">
        <w:t xml:space="preserve"> 201</w:t>
      </w:r>
      <w:r w:rsidR="00E83343">
        <w:t>5</w:t>
      </w:r>
      <w:r w:rsidR="00E83343" w:rsidRPr="0025734C">
        <w:t xml:space="preserve"> through </w:t>
      </w:r>
      <w:r w:rsidR="00E83343">
        <w:t>October</w:t>
      </w:r>
      <w:r w:rsidR="00E83343" w:rsidRPr="0025734C">
        <w:t xml:space="preserve"> 2015.  The average monthly dividend yields were calculated for each</w:t>
      </w:r>
      <w:r w:rsidR="00E83343">
        <w:t xml:space="preserve"> proxy group company by dividing the prevailing annualized dividend for the period by the average of the stock prices for each month.  These dividend yields were then multiplied by the quarterly DCF model factor (</w:t>
      </w:r>
      <w:r w:rsidR="00E83343" w:rsidRPr="00B12801">
        <w:rPr>
          <w:i/>
        </w:rPr>
        <w:t>1 + 0.625g</w:t>
      </w:r>
      <w:r w:rsidR="00E83343">
        <w:t>) to arrive at the projected dividend yield component of the DCF model.</w:t>
      </w:r>
    </w:p>
    <w:p w:rsidR="00E83343" w:rsidRPr="0017121A" w:rsidRDefault="0017121A" w:rsidP="0017121A">
      <w:pPr>
        <w:spacing w:line="480" w:lineRule="auto"/>
        <w:ind w:left="720" w:hanging="720"/>
        <w:rPr>
          <w:b/>
        </w:rPr>
      </w:pPr>
      <w:r>
        <w:rPr>
          <w:b/>
        </w:rPr>
        <w:t>Q.</w:t>
      </w:r>
      <w:r>
        <w:rPr>
          <w:b/>
        </w:rPr>
        <w:tab/>
      </w:r>
      <w:r w:rsidR="00E83343" w:rsidRPr="0017121A">
        <w:rPr>
          <w:b/>
        </w:rPr>
        <w:t>Please describe the method you used to estimate the future growth rate that investors expect from this group of companies.</w:t>
      </w:r>
    </w:p>
    <w:p w:rsidR="00E83343" w:rsidRDefault="0017121A" w:rsidP="0017121A">
      <w:pPr>
        <w:spacing w:line="480" w:lineRule="auto"/>
        <w:ind w:left="720" w:hanging="720"/>
      </w:pPr>
      <w:r>
        <w:lastRenderedPageBreak/>
        <w:t>A.</w:t>
      </w:r>
      <w:r>
        <w:tab/>
      </w:r>
      <w:r w:rsidR="00E83343">
        <w:t xml:space="preserve">I developed </w:t>
      </w:r>
      <w:r w:rsidR="00E83343" w:rsidRPr="00D7267D">
        <w:t>three</w:t>
      </w:r>
      <w:r w:rsidR="00E83343">
        <w:t xml:space="preserve"> different DCF analyses of the proxy companies based on </w:t>
      </w:r>
      <w:r w:rsidR="00E83343" w:rsidRPr="001E044F">
        <w:t>three</w:t>
      </w:r>
      <w:r w:rsidR="00E83343">
        <w:t xml:space="preserve"> different growth rate estimation methods.  There are many methods that reasonably can be employed in formulating a growth rate estimate, but an analyst must attempt to ensure that the end result is an estimate that fairly reflects the forward-looking growth rate that investors expect.</w:t>
      </w:r>
    </w:p>
    <w:p w:rsidR="00E83343" w:rsidRDefault="00E83343" w:rsidP="0017121A">
      <w:pPr>
        <w:spacing w:line="480" w:lineRule="auto"/>
        <w:ind w:left="720" w:firstLine="720"/>
      </w:pPr>
      <w:r w:rsidRPr="006D2A27">
        <w:t>In the first approach, I calculated retention growth (also known as “sustainable growth”) forecasts from Value Line forecasts of dividends, earnings, and returns on equity.  As a second approach, I conducted a Basic DCF analysis that relied on analysts’ earnings forecasts for the growth rate component of the model.  My third approach used a combination of the Value Line retention growth forecasts and analysts’ earnings growth projections to produce a Blended Growth Rate Analysis.</w:t>
      </w:r>
    </w:p>
    <w:p w:rsidR="00E83343" w:rsidRPr="0017121A" w:rsidRDefault="00E83343" w:rsidP="0017121A">
      <w:pPr>
        <w:pStyle w:val="Heading2"/>
        <w:spacing w:line="480" w:lineRule="auto"/>
        <w:rPr>
          <w:rFonts w:ascii="Times New Roman" w:hAnsi="Times New Roman" w:cs="Times New Roman"/>
          <w:i/>
        </w:rPr>
      </w:pPr>
      <w:bookmarkStart w:id="14" w:name="_Toc436731616"/>
      <w:r w:rsidRPr="0017121A">
        <w:rPr>
          <w:rFonts w:ascii="Times New Roman" w:hAnsi="Times New Roman" w:cs="Times New Roman"/>
          <w:i/>
        </w:rPr>
        <w:t>Retention Growth Analysis</w:t>
      </w:r>
      <w:bookmarkEnd w:id="14"/>
    </w:p>
    <w:p w:rsidR="00E83343" w:rsidRPr="0017121A" w:rsidRDefault="0017121A" w:rsidP="0017121A">
      <w:pPr>
        <w:spacing w:line="480" w:lineRule="auto"/>
        <w:ind w:left="720" w:hanging="720"/>
        <w:rPr>
          <w:b/>
        </w:rPr>
      </w:pPr>
      <w:r w:rsidRPr="0017121A">
        <w:rPr>
          <w:b/>
        </w:rPr>
        <w:t>Q.</w:t>
      </w:r>
      <w:r w:rsidRPr="0017121A">
        <w:rPr>
          <w:b/>
        </w:rPr>
        <w:tab/>
      </w:r>
      <w:r w:rsidR="00E83343" w:rsidRPr="0017121A">
        <w:rPr>
          <w:b/>
        </w:rPr>
        <w:t>What approach did you use in calculating the long-term growth rate in your Retention Growth DCF analysis?</w:t>
      </w:r>
    </w:p>
    <w:p w:rsidR="00E83343" w:rsidRPr="00D7267D" w:rsidRDefault="0017121A" w:rsidP="0017121A">
      <w:pPr>
        <w:spacing w:line="480" w:lineRule="auto"/>
        <w:ind w:left="720" w:hanging="720"/>
      </w:pPr>
      <w:r>
        <w:t>A.</w:t>
      </w:r>
      <w:r>
        <w:tab/>
      </w:r>
      <w:r w:rsidR="00E83343">
        <w:t>In the Retention Growth DCF analysis, the long-term growth rate component is based on the calculation of retention growth rates using Value Line forecasts for each company.  This Retention Growth DCF analysis better reflects investors’ inflation expectations and the real requirements for long-term investments in plant under current market conditions.</w:t>
      </w:r>
    </w:p>
    <w:p w:rsidR="00E83343" w:rsidRPr="0017121A" w:rsidRDefault="0017121A" w:rsidP="0017121A">
      <w:pPr>
        <w:spacing w:line="480" w:lineRule="auto"/>
        <w:rPr>
          <w:b/>
        </w:rPr>
      </w:pPr>
      <w:r w:rsidRPr="0017121A">
        <w:rPr>
          <w:b/>
        </w:rPr>
        <w:t>Q.</w:t>
      </w:r>
      <w:r w:rsidRPr="0017121A">
        <w:rPr>
          <w:b/>
        </w:rPr>
        <w:tab/>
      </w:r>
      <w:r w:rsidR="00E83343" w:rsidRPr="0017121A">
        <w:rPr>
          <w:b/>
        </w:rPr>
        <w:t>Please describe the retention growth rate component of your analysis.</w:t>
      </w:r>
    </w:p>
    <w:p w:rsidR="00E83343" w:rsidRDefault="0017121A" w:rsidP="0017121A">
      <w:pPr>
        <w:spacing w:line="480" w:lineRule="auto"/>
        <w:ind w:left="720" w:hanging="720"/>
      </w:pPr>
      <w:r>
        <w:t>A.</w:t>
      </w:r>
      <w:r>
        <w:tab/>
      </w:r>
      <w:r w:rsidR="00E83343">
        <w:t xml:space="preserve">I have relied upon Value Line projections of the retention growth rates that the proxy companies are expected to begin maintaining three to five years in the future.  Although companies may experience extended periods of growth for other reasons, in the long-run, </w:t>
      </w:r>
      <w:r w:rsidR="00E83343">
        <w:lastRenderedPageBreak/>
        <w:t>growth in earnings and dividends per share depends in part on the amount of earnings that is being retained and reinvested in a company.  Thus, the primary determinants of growth for the proxy companies will be (i) their ability to find and develop profitable opportunities; (ii) their ability to generate profits that can be reinvested in order to sustain growth; and, (iii) their willingness and inclination to reinvest available profits.  Expected future retention rates provide a general measure of these determinants of expected growth, particularly items (ii) and (iii).</w:t>
      </w:r>
    </w:p>
    <w:p w:rsidR="00E83343" w:rsidRPr="0017121A" w:rsidRDefault="0017121A" w:rsidP="0017121A">
      <w:pPr>
        <w:spacing w:line="480" w:lineRule="auto"/>
        <w:rPr>
          <w:b/>
        </w:rPr>
      </w:pPr>
      <w:r w:rsidRPr="0017121A">
        <w:rPr>
          <w:b/>
        </w:rPr>
        <w:t>Q.</w:t>
      </w:r>
      <w:r w:rsidRPr="0017121A">
        <w:rPr>
          <w:b/>
        </w:rPr>
        <w:tab/>
      </w:r>
      <w:r w:rsidR="00E83343" w:rsidRPr="0017121A">
        <w:rPr>
          <w:b/>
        </w:rPr>
        <w:t>How can a company’s earnings retention rate affect its future growth?</w:t>
      </w:r>
    </w:p>
    <w:p w:rsidR="00E83343" w:rsidRDefault="0017121A" w:rsidP="0017121A">
      <w:pPr>
        <w:spacing w:line="480" w:lineRule="auto"/>
        <w:ind w:left="720" w:hanging="720"/>
      </w:pPr>
      <w:r>
        <w:t>A.</w:t>
      </w:r>
      <w:r>
        <w:tab/>
      </w:r>
      <w:r w:rsidR="00E83343">
        <w:t>Retention of earnings causes an increase in the book value per share and, other factors being equal, increases the amount of earnings that is generated per share of common stock.  The retention growth rate can be estimated by multiplying the expected retention rate (</w:t>
      </w:r>
      <w:r w:rsidR="00E83343" w:rsidRPr="00B12801">
        <w:rPr>
          <w:i/>
        </w:rPr>
        <w:t>b</w:t>
      </w:r>
      <w:r w:rsidR="00E83343">
        <w:t>) by the rate of return on common equity (</w:t>
      </w:r>
      <w:r w:rsidR="00E83343" w:rsidRPr="00B12801">
        <w:rPr>
          <w:i/>
        </w:rPr>
        <w:t>r</w:t>
      </w:r>
      <w:r w:rsidR="00E83343">
        <w:t>) that a company is expected to earn in the future.  For example, a company that is expected to earn a return of 12 percent and retain 75 percent of its earnings might be expected to have a growth rate of 9 percent, computed as follows:</w:t>
      </w:r>
    </w:p>
    <w:p w:rsidR="00E83343" w:rsidRPr="00F77FFC" w:rsidRDefault="00E83343" w:rsidP="0017121A">
      <w:pPr>
        <w:jc w:val="center"/>
        <w:rPr>
          <w:i/>
        </w:rPr>
      </w:pPr>
      <w:r w:rsidRPr="00F77FFC">
        <w:rPr>
          <w:i/>
        </w:rPr>
        <w:t>0.</w:t>
      </w:r>
      <w:r>
        <w:rPr>
          <w:i/>
        </w:rPr>
        <w:t>75</w:t>
      </w:r>
      <w:r w:rsidRPr="00F77FFC">
        <w:rPr>
          <w:i/>
        </w:rPr>
        <w:t xml:space="preserve"> x 1</w:t>
      </w:r>
      <w:r>
        <w:rPr>
          <w:i/>
        </w:rPr>
        <w:t>2</w:t>
      </w:r>
      <w:r w:rsidRPr="00F77FFC">
        <w:rPr>
          <w:i/>
        </w:rPr>
        <w:t xml:space="preserve">% = </w:t>
      </w:r>
      <w:r>
        <w:rPr>
          <w:i/>
        </w:rPr>
        <w:t>9</w:t>
      </w:r>
      <w:r w:rsidRPr="00F77FFC">
        <w:rPr>
          <w:i/>
        </w:rPr>
        <w:t>%</w:t>
      </w:r>
    </w:p>
    <w:p w:rsidR="00E83343" w:rsidRDefault="00E83343" w:rsidP="0017121A">
      <w:pPr>
        <w:spacing w:line="480" w:lineRule="auto"/>
        <w:ind w:left="720"/>
      </w:pPr>
      <w:r>
        <w:t>On the other hand, another company that is also expected to earn 12 percent but only retains 25 percent of its earnings might be expected to have a growth rate of 3 percent, computed as follows:</w:t>
      </w:r>
    </w:p>
    <w:p w:rsidR="00E83343" w:rsidRPr="00F77FFC" w:rsidRDefault="00E83343" w:rsidP="0017121A">
      <w:pPr>
        <w:spacing w:line="480" w:lineRule="auto"/>
        <w:jc w:val="center"/>
        <w:rPr>
          <w:i/>
        </w:rPr>
      </w:pPr>
      <w:r>
        <w:rPr>
          <w:i/>
        </w:rPr>
        <w:t>0</w:t>
      </w:r>
      <w:r w:rsidRPr="00F77FFC">
        <w:rPr>
          <w:i/>
        </w:rPr>
        <w:t>.2</w:t>
      </w:r>
      <w:r>
        <w:rPr>
          <w:i/>
        </w:rPr>
        <w:t>5</w:t>
      </w:r>
      <w:r w:rsidRPr="00F77FFC">
        <w:rPr>
          <w:i/>
        </w:rPr>
        <w:t xml:space="preserve"> x 1</w:t>
      </w:r>
      <w:r>
        <w:rPr>
          <w:i/>
        </w:rPr>
        <w:t>2</w:t>
      </w:r>
      <w:r w:rsidRPr="00F77FFC">
        <w:rPr>
          <w:i/>
        </w:rPr>
        <w:t>% = 3%</w:t>
      </w:r>
    </w:p>
    <w:p w:rsidR="00E83343" w:rsidRDefault="00E83343" w:rsidP="0017121A">
      <w:pPr>
        <w:spacing w:line="480" w:lineRule="auto"/>
        <w:ind w:left="720"/>
      </w:pPr>
      <w:r>
        <w:t>Thus, the rate of growth in a firm’s book value per share is primarily determined by the level of earnings and the proportion of earnings retained in the company.</w:t>
      </w:r>
    </w:p>
    <w:p w:rsidR="00E83343" w:rsidRPr="0017121A" w:rsidRDefault="0017121A" w:rsidP="0017121A">
      <w:pPr>
        <w:spacing w:line="480" w:lineRule="auto"/>
        <w:rPr>
          <w:b/>
        </w:rPr>
      </w:pPr>
      <w:r w:rsidRPr="0017121A">
        <w:rPr>
          <w:b/>
        </w:rPr>
        <w:t>Q.</w:t>
      </w:r>
      <w:r w:rsidRPr="0017121A">
        <w:rPr>
          <w:b/>
        </w:rPr>
        <w:tab/>
      </w:r>
      <w:r w:rsidR="00E83343" w:rsidRPr="0017121A">
        <w:rPr>
          <w:b/>
        </w:rPr>
        <w:t>How did you calculate the expected future retention rates of the proxy companies?</w:t>
      </w:r>
    </w:p>
    <w:p w:rsidR="00E83343" w:rsidRPr="002F1589" w:rsidRDefault="0017121A" w:rsidP="0017121A">
      <w:pPr>
        <w:spacing w:line="480" w:lineRule="auto"/>
        <w:ind w:left="720" w:hanging="720"/>
      </w:pPr>
      <w:r>
        <w:lastRenderedPageBreak/>
        <w:t>A.</w:t>
      </w:r>
      <w:r>
        <w:tab/>
      </w:r>
      <w:r w:rsidR="00E83343">
        <w:t xml:space="preserve">For most companies, Value Line publishes forecasts of data that can be used to estimate the retention rates that its analysts expect individual companies to have three to five years in the future.  Since these retention rates are projected to occur several years in the future, they should be indicative of a normal expectation for a primary underlying determinant of growth that would be sustainable indefinitely beyond the period covered by analysts’ forecasts.  While companies may have either accelerating or decelerating growth rates for extended periods of time, the retention growth rates expected to be in effect three to five years in the future generally represent a minimum “cruising speed” that companies can be expected to maintain indefinitely.  </w:t>
      </w:r>
      <w:r w:rsidR="00E83343" w:rsidRPr="0025734C">
        <w:t xml:space="preserve">The derivation of Value Line’s retention growth rate forecasts for each of the proxy companies is shown on page </w:t>
      </w:r>
      <w:r w:rsidR="00E83343">
        <w:t>3</w:t>
      </w:r>
      <w:r w:rsidR="00E83343" w:rsidRPr="0025734C">
        <w:t xml:space="preserve"> of Schedule 4 of Exhibit No.__</w:t>
      </w:r>
      <w:r w:rsidR="00350B0F">
        <w:t xml:space="preserve"> </w:t>
      </w:r>
      <w:r w:rsidR="00E83343" w:rsidRPr="0025734C">
        <w:t>(JSG-2).</w:t>
      </w:r>
      <w:r w:rsidR="00E83343">
        <w:t xml:space="preserve">  The projected earnings per share and projected dividends per share can be used to calculate the percentage of earnings per share that is being retained and reinvested in the company.  This earnings retention rate is </w:t>
      </w:r>
      <w:r w:rsidR="00E83343" w:rsidRPr="00A516A7">
        <w:t xml:space="preserve">multiplied by the projected return on common equity to arrive at the projected retention growth rate.  </w:t>
      </w:r>
      <w:r w:rsidR="00E83343" w:rsidRPr="0025734C">
        <w:t xml:space="preserve">The average retention growth rate for the proxy companies is </w:t>
      </w:r>
      <w:r w:rsidR="00E83343">
        <w:t>5.18</w:t>
      </w:r>
      <w:r w:rsidR="00E83343" w:rsidRPr="002F1589">
        <w:t xml:space="preserve"> percent</w:t>
      </w:r>
      <w:r w:rsidR="00E83343">
        <w:t>, and the median is 5.27 percent</w:t>
      </w:r>
      <w:r w:rsidR="00E83343" w:rsidRPr="002F1589">
        <w:t>.</w:t>
      </w:r>
    </w:p>
    <w:p w:rsidR="00E83343" w:rsidRPr="0017121A" w:rsidRDefault="0017121A" w:rsidP="0017121A">
      <w:pPr>
        <w:spacing w:line="480" w:lineRule="auto"/>
        <w:rPr>
          <w:b/>
        </w:rPr>
      </w:pPr>
      <w:r w:rsidRPr="0017121A">
        <w:rPr>
          <w:b/>
        </w:rPr>
        <w:t>Q.</w:t>
      </w:r>
      <w:r w:rsidRPr="0017121A">
        <w:rPr>
          <w:b/>
        </w:rPr>
        <w:tab/>
      </w:r>
      <w:r w:rsidR="00E83343" w:rsidRPr="0017121A">
        <w:rPr>
          <w:b/>
        </w:rPr>
        <w:t>How did you calculate the cost of capital using the Retention Growth DCF analysis?</w:t>
      </w:r>
    </w:p>
    <w:p w:rsidR="00E83343" w:rsidRPr="00D7267D" w:rsidRDefault="0017121A" w:rsidP="0017121A">
      <w:pPr>
        <w:spacing w:line="480" w:lineRule="auto"/>
        <w:ind w:left="720" w:hanging="720"/>
      </w:pPr>
      <w:r>
        <w:t>A.</w:t>
      </w:r>
      <w:r>
        <w:tab/>
      </w:r>
      <w:r w:rsidR="00E83343">
        <w:t>These calculations are shown on page 6 of Schedule 4 of Exhibit No.__</w:t>
      </w:r>
      <w:r w:rsidR="00350B0F">
        <w:t xml:space="preserve"> </w:t>
      </w:r>
      <w:r w:rsidR="00E83343">
        <w:t xml:space="preserve">(JSG-2).  The annual dividend yield is multiplied by the quarterly dividend adjustment factor (1 + 0.625g), and the product is added to the growth rate estimate to arrive at the investor-required return.  Then, the investor return requirement is multiplied by the flotation cost adjustment factor, </w:t>
      </w:r>
      <w:r w:rsidR="00E83343" w:rsidRPr="00E12B89">
        <w:t>1.04</w:t>
      </w:r>
      <w:r w:rsidR="00E83343">
        <w:t xml:space="preserve">, to arrive at the Retention Growth DCF estimate of the cost of </w:t>
      </w:r>
      <w:r w:rsidR="00E83343">
        <w:lastRenderedPageBreak/>
        <w:t>common equity capital for the proxy group companies.  The Retention Growth DCF analysis indicates a cost of common equity for the proxy companies in a range from 7.89</w:t>
      </w:r>
      <w:r w:rsidR="00E83343" w:rsidRPr="000C42DB">
        <w:t xml:space="preserve"> percent to 10.</w:t>
      </w:r>
      <w:r w:rsidR="00E83343">
        <w:t>04 percent.  In this analysis, the median for the group is 9.02 percent, and the third quartile is 9.79 percent.</w:t>
      </w:r>
    </w:p>
    <w:p w:rsidR="00E83343" w:rsidRDefault="00E83343" w:rsidP="0017121A">
      <w:pPr>
        <w:pStyle w:val="Heading2"/>
        <w:spacing w:line="480" w:lineRule="auto"/>
      </w:pPr>
      <w:bookmarkStart w:id="15" w:name="_Toc436731617"/>
      <w:r w:rsidRPr="0017121A">
        <w:rPr>
          <w:rFonts w:ascii="Times New Roman" w:hAnsi="Times New Roman" w:cs="Times New Roman"/>
          <w:i/>
        </w:rPr>
        <w:t>Basic DCF Analysis</w:t>
      </w:r>
      <w:bookmarkEnd w:id="15"/>
    </w:p>
    <w:p w:rsidR="00E83343" w:rsidRPr="0017121A" w:rsidRDefault="0017121A" w:rsidP="0017121A">
      <w:pPr>
        <w:spacing w:line="480" w:lineRule="auto"/>
        <w:rPr>
          <w:b/>
        </w:rPr>
      </w:pPr>
      <w:r w:rsidRPr="0017121A">
        <w:rPr>
          <w:b/>
        </w:rPr>
        <w:t>Q.</w:t>
      </w:r>
      <w:r w:rsidRPr="0017121A">
        <w:rPr>
          <w:b/>
        </w:rPr>
        <w:tab/>
      </w:r>
      <w:r w:rsidR="00E83343" w:rsidRPr="0017121A">
        <w:rPr>
          <w:b/>
        </w:rPr>
        <w:t>How did you estimate the expected future growth rate in your Basic DCF analysis?</w:t>
      </w:r>
    </w:p>
    <w:p w:rsidR="00E83343" w:rsidRPr="002F1589" w:rsidRDefault="0017121A" w:rsidP="007D1976">
      <w:pPr>
        <w:spacing w:line="480" w:lineRule="auto"/>
        <w:ind w:left="720" w:hanging="720"/>
      </w:pPr>
      <w:r>
        <w:t>A.</w:t>
      </w:r>
      <w:r>
        <w:tab/>
      </w:r>
      <w:r w:rsidR="00E83343">
        <w:t xml:space="preserve">In my Basic DCF analysis, I have estimated expected future growth based on long-term earnings per share growth rate forecasts of investment analysts, which are an important source of information regarding investors’ growth rate expectations.  This Basic DCF analysis assumes that the analysts’ earnings growth forecasts incorporate all information required to estimate a long-term expected growth rate for a company.  I have used the consensus estimates of earnings growth forecasts published by Zacks Investment Research and Thomson First Call (as reported on Yahoo! Finance) as the primary sources for analysts’ forecasts in my calculations.  </w:t>
      </w:r>
      <w:r w:rsidR="00E83343" w:rsidRPr="0025734C">
        <w:t xml:space="preserve">As shown on page </w:t>
      </w:r>
      <w:r w:rsidR="00E83343">
        <w:t>4</w:t>
      </w:r>
      <w:r w:rsidR="00E83343" w:rsidRPr="0025734C">
        <w:t xml:space="preserve"> of Schedule 4 of Exhibit No.__</w:t>
      </w:r>
      <w:r w:rsidR="00350B0F">
        <w:t xml:space="preserve"> </w:t>
      </w:r>
      <w:r w:rsidR="00E83343" w:rsidRPr="0025734C">
        <w:t xml:space="preserve">(JSG-2), the average of the analysts’ long-term earnings growth rate estimates for the </w:t>
      </w:r>
      <w:r w:rsidR="00E83343">
        <w:t>natural gas distribution</w:t>
      </w:r>
      <w:r w:rsidR="00E83343" w:rsidRPr="0025734C">
        <w:t xml:space="preserve"> proxy companies is </w:t>
      </w:r>
      <w:r w:rsidR="00E83343" w:rsidRPr="00E12B89">
        <w:t>5.</w:t>
      </w:r>
      <w:r w:rsidR="00E83343">
        <w:t>52</w:t>
      </w:r>
      <w:r w:rsidR="00E83343" w:rsidRPr="002F1589">
        <w:t xml:space="preserve"> percent</w:t>
      </w:r>
      <w:r w:rsidR="00E83343">
        <w:t>, and the median is 6.00 percent</w:t>
      </w:r>
      <w:r w:rsidR="00E83343" w:rsidRPr="002F1589">
        <w:t>.</w:t>
      </w:r>
    </w:p>
    <w:p w:rsidR="00E83343" w:rsidRPr="0017121A" w:rsidRDefault="0017121A" w:rsidP="0017121A">
      <w:pPr>
        <w:spacing w:line="480" w:lineRule="auto"/>
        <w:rPr>
          <w:b/>
        </w:rPr>
      </w:pPr>
      <w:r w:rsidRPr="0017121A">
        <w:rPr>
          <w:b/>
        </w:rPr>
        <w:t xml:space="preserve">Q. </w:t>
      </w:r>
      <w:r w:rsidRPr="0017121A">
        <w:rPr>
          <w:b/>
        </w:rPr>
        <w:tab/>
      </w:r>
      <w:r w:rsidR="00E83343" w:rsidRPr="0017121A">
        <w:rPr>
          <w:b/>
        </w:rPr>
        <w:t>How did you calculate the cost of capital using the Basic DCF analysis?</w:t>
      </w:r>
    </w:p>
    <w:p w:rsidR="00E83343" w:rsidRPr="000C42DB" w:rsidRDefault="0017121A" w:rsidP="0017121A">
      <w:pPr>
        <w:spacing w:line="480" w:lineRule="auto"/>
        <w:ind w:left="720" w:hanging="720"/>
      </w:pPr>
      <w:r>
        <w:t>A.</w:t>
      </w:r>
      <w:r>
        <w:tab/>
      </w:r>
      <w:r w:rsidR="00E83343">
        <w:t>These calculations are shown on page 7 of Schedule 4 of Exhibit No.__</w:t>
      </w:r>
      <w:r w:rsidR="00350B0F">
        <w:t xml:space="preserve"> </w:t>
      </w:r>
      <w:r w:rsidR="00E83343">
        <w:t>(JSG-2).  Again, the annual dividend yield is multiplied by the quarterly dividend adjustment factor (</w:t>
      </w:r>
      <w:r w:rsidR="00E83343" w:rsidRPr="00B12801">
        <w:rPr>
          <w:i/>
        </w:rPr>
        <w:t>1 + 0.625g</w:t>
      </w:r>
      <w:r w:rsidR="00E83343">
        <w:t xml:space="preserve">), and this product is added to the growth rate estimate to arrive at the investor-required return.  </w:t>
      </w:r>
      <w:r w:rsidR="00E83343" w:rsidRPr="00CD5D90">
        <w:t xml:space="preserve">Then, the investor return requirement is multiplied by the flotation cost </w:t>
      </w:r>
      <w:r w:rsidR="00E83343" w:rsidRPr="00CD5D90">
        <w:lastRenderedPageBreak/>
        <w:t xml:space="preserve">adjustment factor, </w:t>
      </w:r>
      <w:r w:rsidR="00E83343" w:rsidRPr="00FF3353">
        <w:t>1.04</w:t>
      </w:r>
      <w:r w:rsidR="00E83343" w:rsidRPr="00CD5D90">
        <w:t xml:space="preserve">, to arrive at the Basic DCF estimate of the cost of common equity capital for the proxy companies.  </w:t>
      </w:r>
      <w:r w:rsidR="00E83343" w:rsidRPr="00A95491">
        <w:t xml:space="preserve">The Basic DCF analysis indicates a cost of common equity for the proxy companies in a range from </w:t>
      </w:r>
      <w:r w:rsidR="00E83343" w:rsidRPr="000C42DB">
        <w:t>7.</w:t>
      </w:r>
      <w:r w:rsidR="00E83343">
        <w:t>81</w:t>
      </w:r>
      <w:r w:rsidR="00E83343" w:rsidRPr="000C42DB">
        <w:t xml:space="preserve"> percent to 10.</w:t>
      </w:r>
      <w:r w:rsidR="00E83343">
        <w:t>54</w:t>
      </w:r>
      <w:r w:rsidR="00E83343" w:rsidRPr="000C42DB">
        <w:t xml:space="preserve"> percent.  In this analysis, the median for the group is 9.</w:t>
      </w:r>
      <w:r w:rsidR="00E83343">
        <w:t>64</w:t>
      </w:r>
      <w:r w:rsidR="00E83343" w:rsidRPr="000C42DB">
        <w:t xml:space="preserve"> percent and the third quartile is 10.</w:t>
      </w:r>
      <w:r w:rsidR="00E83343">
        <w:t>34</w:t>
      </w:r>
      <w:r w:rsidR="00E83343" w:rsidRPr="000C42DB">
        <w:t xml:space="preserve"> percent.</w:t>
      </w:r>
    </w:p>
    <w:p w:rsidR="00E83343" w:rsidRPr="007D1976" w:rsidRDefault="00E83343" w:rsidP="007D1976">
      <w:pPr>
        <w:pStyle w:val="Heading2"/>
        <w:spacing w:line="480" w:lineRule="auto"/>
        <w:rPr>
          <w:rFonts w:ascii="Times New Roman" w:hAnsi="Times New Roman" w:cs="Times New Roman"/>
          <w:i/>
        </w:rPr>
      </w:pPr>
      <w:bookmarkStart w:id="16" w:name="_Toc436731618"/>
      <w:r w:rsidRPr="007D1976">
        <w:rPr>
          <w:rFonts w:ascii="Times New Roman" w:hAnsi="Times New Roman" w:cs="Times New Roman"/>
          <w:i/>
        </w:rPr>
        <w:t>Blended Growth Rate Analysis</w:t>
      </w:r>
      <w:bookmarkEnd w:id="16"/>
    </w:p>
    <w:p w:rsidR="00E83343" w:rsidRPr="007D1976" w:rsidRDefault="007D1976" w:rsidP="006F70E0">
      <w:pPr>
        <w:spacing w:line="480" w:lineRule="auto"/>
        <w:ind w:left="720" w:hanging="720"/>
        <w:rPr>
          <w:b/>
        </w:rPr>
      </w:pPr>
      <w:r w:rsidRPr="007D1976">
        <w:rPr>
          <w:b/>
        </w:rPr>
        <w:t>Q.</w:t>
      </w:r>
      <w:r w:rsidRPr="007D1976">
        <w:rPr>
          <w:b/>
        </w:rPr>
        <w:tab/>
      </w:r>
      <w:r w:rsidR="00E83343" w:rsidRPr="007D1976">
        <w:rPr>
          <w:b/>
        </w:rPr>
        <w:t>How did you use your Blended Growth Rate Analysis to estimate investors’ long-term growth rate expectations for the proxy companies?</w:t>
      </w:r>
    </w:p>
    <w:p w:rsidR="00E83343" w:rsidRDefault="007D1976" w:rsidP="006F70E0">
      <w:pPr>
        <w:spacing w:line="480" w:lineRule="auto"/>
        <w:ind w:left="720" w:hanging="720"/>
      </w:pPr>
      <w:r>
        <w:t>A.</w:t>
      </w:r>
      <w:r>
        <w:tab/>
      </w:r>
      <w:r w:rsidR="00E83343">
        <w:t>The Blended Growth Rate approach combines:  (i) Value Line retention growth forecasts; and (ii) consensus estimates of long-term earnings growth for each company from various investment analysts, as published by Zacks and Thomson First Call.</w:t>
      </w:r>
    </w:p>
    <w:p w:rsidR="00E83343" w:rsidRPr="006F70E0" w:rsidRDefault="006F70E0" w:rsidP="00EE62E6">
      <w:pPr>
        <w:keepNext/>
        <w:spacing w:line="480" w:lineRule="auto"/>
        <w:ind w:left="720" w:hanging="720"/>
        <w:rPr>
          <w:b/>
        </w:rPr>
      </w:pPr>
      <w:r w:rsidRPr="006F70E0">
        <w:rPr>
          <w:b/>
        </w:rPr>
        <w:t>Q.</w:t>
      </w:r>
      <w:r w:rsidRPr="006F70E0">
        <w:rPr>
          <w:b/>
        </w:rPr>
        <w:tab/>
      </w:r>
      <w:r w:rsidR="00E83343" w:rsidRPr="006F70E0">
        <w:rPr>
          <w:b/>
        </w:rPr>
        <w:t>How did you utilize the analysts’ projected earnings growth rates and the projected earnings retention growth rates in estimating expected growth for the proxy companies in the Blended Growth Rate Analysis?</w:t>
      </w:r>
    </w:p>
    <w:p w:rsidR="00E83343" w:rsidRPr="000C42DB" w:rsidRDefault="006F70E0" w:rsidP="00EE62E6">
      <w:pPr>
        <w:keepNext/>
        <w:spacing w:line="480" w:lineRule="auto"/>
        <w:ind w:left="720" w:hanging="720"/>
      </w:pPr>
      <w:r>
        <w:t>A.</w:t>
      </w:r>
      <w:r>
        <w:tab/>
      </w:r>
      <w:r w:rsidR="00E83343" w:rsidRPr="00CD5D90">
        <w:t xml:space="preserve">As shown on page </w:t>
      </w:r>
      <w:r w:rsidR="00E83343">
        <w:t>5</w:t>
      </w:r>
      <w:r w:rsidR="00350B0F">
        <w:t xml:space="preserve"> of Schedule 4 of Exhibit No.__ </w:t>
      </w:r>
      <w:r w:rsidR="00E83343" w:rsidRPr="00CD5D90">
        <w:t>(JSG-2), I calculated a</w:t>
      </w:r>
      <w:r w:rsidR="00E83343">
        <w:t xml:space="preserve"> weighted average of the analysts’ projected earnings growth rates and the projected retention growth rates to derive long-term growth rate estimates for each of the proxy companies.  </w:t>
      </w:r>
      <w:r w:rsidR="00E83343" w:rsidRPr="00206C9D">
        <w:t xml:space="preserve">In these calculations, I gave one-half weighting to the analysts’ earnings growth rate projections and one-half weighting to the projected retention growth rates.  </w:t>
      </w:r>
      <w:r w:rsidR="00E83343" w:rsidRPr="00A95491">
        <w:t xml:space="preserve">The average of the blended growth rates for the proxy companies is </w:t>
      </w:r>
      <w:r w:rsidR="00E83343" w:rsidRPr="000C42DB">
        <w:t>5.</w:t>
      </w:r>
      <w:r w:rsidR="00E83343">
        <w:t>35</w:t>
      </w:r>
      <w:r w:rsidR="00E83343" w:rsidRPr="000C42DB">
        <w:t xml:space="preserve"> percent</w:t>
      </w:r>
      <w:r w:rsidR="00E83343">
        <w:t>,</w:t>
      </w:r>
      <w:r w:rsidR="00E83343" w:rsidRPr="000C42DB">
        <w:t xml:space="preserve"> and the median is 5.</w:t>
      </w:r>
      <w:r w:rsidR="00E83343">
        <w:t>77</w:t>
      </w:r>
      <w:r w:rsidR="00E83343" w:rsidRPr="000C42DB">
        <w:t xml:space="preserve"> percent.</w:t>
      </w:r>
    </w:p>
    <w:p w:rsidR="00E83343" w:rsidRPr="006F70E0" w:rsidRDefault="006F70E0" w:rsidP="006F70E0">
      <w:pPr>
        <w:spacing w:line="480" w:lineRule="auto"/>
        <w:ind w:left="720" w:hanging="720"/>
        <w:rPr>
          <w:b/>
        </w:rPr>
      </w:pPr>
      <w:r w:rsidRPr="006F70E0">
        <w:rPr>
          <w:b/>
        </w:rPr>
        <w:t>Q.</w:t>
      </w:r>
      <w:r w:rsidRPr="006F70E0">
        <w:rPr>
          <w:b/>
        </w:rPr>
        <w:tab/>
      </w:r>
      <w:r w:rsidR="00E83343" w:rsidRPr="006F70E0">
        <w:rPr>
          <w:b/>
        </w:rPr>
        <w:t>How did you utilize these Blended Growth Rate estimates in estimating the return on common equity capital that investors require from the proxy companies?</w:t>
      </w:r>
    </w:p>
    <w:p w:rsidR="00E83343" w:rsidRDefault="006F70E0" w:rsidP="006F70E0">
      <w:pPr>
        <w:spacing w:line="480" w:lineRule="auto"/>
        <w:ind w:left="720" w:hanging="720"/>
      </w:pPr>
      <w:r>
        <w:lastRenderedPageBreak/>
        <w:t>A.</w:t>
      </w:r>
      <w:r>
        <w:tab/>
      </w:r>
      <w:r w:rsidR="00E83343">
        <w:t xml:space="preserve">These calculations are shown on </w:t>
      </w:r>
      <w:r w:rsidR="00E83343" w:rsidRPr="00772B7E">
        <w:t xml:space="preserve">page </w:t>
      </w:r>
      <w:r w:rsidR="00E83343">
        <w:t>8</w:t>
      </w:r>
      <w:r w:rsidR="00E83343" w:rsidRPr="00772B7E">
        <w:t xml:space="preserve"> of Schedule 4 of Exhibit No.__</w:t>
      </w:r>
      <w:r w:rsidR="00350B0F">
        <w:t xml:space="preserve"> </w:t>
      </w:r>
      <w:r w:rsidR="00E83343" w:rsidRPr="00772B7E">
        <w:t>(JSG-2).</w:t>
      </w:r>
      <w:r w:rsidR="00E83343">
        <w:t xml:space="preserve">  Again, the annual dividend yield for each company is multiplied by the quarterly dividend adjustment factor (</w:t>
      </w:r>
      <w:r w:rsidR="00E83343" w:rsidRPr="00B12801">
        <w:rPr>
          <w:i/>
        </w:rPr>
        <w:t>1 + 0.625g</w:t>
      </w:r>
      <w:r w:rsidR="00E83343">
        <w:t xml:space="preserve">), and this product is added to the growth rate estimate to arrive at the investor-required return.  Finally, the investor return requirement is multiplied by the flotation cost </w:t>
      </w:r>
      <w:r w:rsidR="00E83343" w:rsidRPr="00A516A7">
        <w:t xml:space="preserve">adjustment factor, </w:t>
      </w:r>
      <w:r w:rsidR="00E83343" w:rsidRPr="00FF3353">
        <w:t>1.04</w:t>
      </w:r>
      <w:r w:rsidR="00E83343" w:rsidRPr="00A516A7">
        <w:t>, to arrive at the cost of common equity capital for the proxy companies.  This Blended</w:t>
      </w:r>
      <w:r w:rsidR="00E83343">
        <w:t xml:space="preserve"> Growth Rate Analysis indicates that the cost of common equity capital for the natural gas distribution </w:t>
      </w:r>
      <w:r w:rsidR="00E83343" w:rsidRPr="00772B7E">
        <w:t>proxy companies is in a range betw</w:t>
      </w:r>
      <w:r w:rsidR="00E83343" w:rsidRPr="000C42DB">
        <w:t>een 8.</w:t>
      </w:r>
      <w:r w:rsidR="00E83343">
        <w:t>19</w:t>
      </w:r>
      <w:r w:rsidR="00E83343" w:rsidRPr="000C42DB">
        <w:t xml:space="preserve"> percent and 10.</w:t>
      </w:r>
      <w:r w:rsidR="00E83343">
        <w:t>29</w:t>
      </w:r>
      <w:r w:rsidR="00E83343" w:rsidRPr="000C42DB">
        <w:t xml:space="preserve"> percent.  In this analysis, the median for the group is </w:t>
      </w:r>
      <w:r w:rsidR="00E83343">
        <w:t>9.43</w:t>
      </w:r>
      <w:r w:rsidR="00E83343" w:rsidRPr="000C42DB">
        <w:t xml:space="preserve"> percent and the third quartile is 9.</w:t>
      </w:r>
      <w:r w:rsidR="00E83343">
        <w:t>76</w:t>
      </w:r>
      <w:r w:rsidR="00E83343" w:rsidRPr="000C42DB">
        <w:t xml:space="preserve"> percent.</w:t>
      </w:r>
    </w:p>
    <w:p w:rsidR="00E83343" w:rsidRPr="006F70E0" w:rsidRDefault="006F70E0" w:rsidP="006F70E0">
      <w:pPr>
        <w:spacing w:line="480" w:lineRule="auto"/>
        <w:ind w:left="720" w:hanging="720"/>
        <w:rPr>
          <w:b/>
        </w:rPr>
      </w:pPr>
      <w:r w:rsidRPr="006F70E0">
        <w:rPr>
          <w:b/>
        </w:rPr>
        <w:t>Q.</w:t>
      </w:r>
      <w:r w:rsidRPr="006F70E0">
        <w:rPr>
          <w:b/>
        </w:rPr>
        <w:tab/>
      </w:r>
      <w:r w:rsidR="00E83343" w:rsidRPr="006F70E0">
        <w:rPr>
          <w:b/>
        </w:rPr>
        <w:t xml:space="preserve">Earlier you discussed the fact that the Federal Reserve Board has been setting interest rates and monetary policy in a way that artificially depresses yields on U.S. Treasury debt.  What does this mean for the cost of common equity for gas distribution companies? </w:t>
      </w:r>
    </w:p>
    <w:p w:rsidR="00E83343" w:rsidRDefault="006F70E0" w:rsidP="006F70E0">
      <w:pPr>
        <w:spacing w:line="480" w:lineRule="auto"/>
        <w:ind w:left="720" w:hanging="720"/>
      </w:pPr>
      <w:r>
        <w:t>A.</w:t>
      </w:r>
      <w:r>
        <w:tab/>
      </w:r>
      <w:r w:rsidR="00E83343">
        <w:t xml:space="preserve">The DCF cost of equity results for regulated gas distribution companies are being affected by artificial factors in the current and projected capital markets, including the following two key factors:  (1) the Federal Reserve’s </w:t>
      </w:r>
      <w:r w:rsidR="00E83343" w:rsidRPr="00752743">
        <w:t>continuing accommodative monetary</w:t>
      </w:r>
      <w:r w:rsidR="00E83343">
        <w:t xml:space="preserve"> policy; (2) and the market’s expectation for substantially higher interest rates.</w:t>
      </w:r>
    </w:p>
    <w:p w:rsidR="00E83343" w:rsidRPr="00D502FC" w:rsidRDefault="00E83343" w:rsidP="006F70E0">
      <w:pPr>
        <w:spacing w:line="480" w:lineRule="auto"/>
        <w:ind w:left="720" w:firstLine="720"/>
      </w:pPr>
      <w:r w:rsidRPr="00594DBE">
        <w:t>Rising</w:t>
      </w:r>
      <w:r w:rsidRPr="00D502FC">
        <w:t xml:space="preserve"> interest rates historically have had a negative effect on stock prices</w:t>
      </w:r>
      <w:r>
        <w:t>, especially for dividend paying stocks such as utilities</w:t>
      </w:r>
      <w:r w:rsidRPr="00D502FC">
        <w:t xml:space="preserve">.  When interest rates begin to rise, the return on gas utility equities may be less attractive to investors as compared with other investments of comparable risk.  The market’s expectation for rising interest rates suggests that the calculated cost of equity for the proxy companies using current market </w:t>
      </w:r>
      <w:r w:rsidRPr="00D502FC">
        <w:lastRenderedPageBreak/>
        <w:t xml:space="preserve">data is likely to be an artificially depressed estimate of investors’ required return at this time.  </w:t>
      </w:r>
    </w:p>
    <w:p w:rsidR="00E83343" w:rsidRPr="006F70E0" w:rsidRDefault="00E83343" w:rsidP="006F70E0">
      <w:pPr>
        <w:pStyle w:val="Heading2"/>
        <w:spacing w:line="480" w:lineRule="auto"/>
        <w:rPr>
          <w:rFonts w:ascii="Times New Roman" w:hAnsi="Times New Roman" w:cs="Times New Roman"/>
          <w:i/>
        </w:rPr>
      </w:pPr>
      <w:bookmarkStart w:id="17" w:name="_Toc436731619"/>
      <w:r w:rsidRPr="006F70E0">
        <w:rPr>
          <w:rFonts w:ascii="Times New Roman" w:hAnsi="Times New Roman" w:cs="Times New Roman"/>
          <w:i/>
        </w:rPr>
        <w:t>Risk Premium Analysis</w:t>
      </w:r>
      <w:bookmarkEnd w:id="17"/>
    </w:p>
    <w:p w:rsidR="00E83343" w:rsidRPr="006F70E0" w:rsidRDefault="006F70E0" w:rsidP="006F70E0">
      <w:pPr>
        <w:spacing w:line="480" w:lineRule="auto"/>
        <w:ind w:left="720" w:hanging="720"/>
        <w:rPr>
          <w:b/>
        </w:rPr>
      </w:pPr>
      <w:r w:rsidRPr="006F70E0">
        <w:rPr>
          <w:b/>
        </w:rPr>
        <w:t>Q.</w:t>
      </w:r>
      <w:r w:rsidRPr="006F70E0">
        <w:rPr>
          <w:b/>
        </w:rPr>
        <w:tab/>
      </w:r>
      <w:r w:rsidR="00E83343" w:rsidRPr="006F70E0">
        <w:rPr>
          <w:b/>
        </w:rPr>
        <w:t>Have you conducted additional analyses in determining the cost of equity capital for Cascade?</w:t>
      </w:r>
    </w:p>
    <w:p w:rsidR="00E83343" w:rsidRDefault="006F70E0" w:rsidP="006F70E0">
      <w:pPr>
        <w:spacing w:line="480" w:lineRule="auto"/>
        <w:ind w:left="720" w:hanging="720"/>
      </w:pPr>
      <w:r>
        <w:t xml:space="preserve">A. </w:t>
      </w:r>
      <w:r>
        <w:tab/>
      </w:r>
      <w:r w:rsidR="00E83343">
        <w:t>Yes.  The risk premium approach provides a general guideline for determining the level of returns that investors expect from an investment in common stocks.  Investments in the common stocks of companies carry considerably greater risk than investments in bonds of those companies since common stockholders receive only the residual income that is left after the bondholders have been paid.  In addition, in the event of bankruptcy or liquidation of the company, the stockholders’ claims on the assets of a company are subordinate to the claims of bondholders.  This priority standing provides bondholders with greater assurances that they will receive the return on investment that they expect and that they will receive a return of their investment when the bonds mature.  Accompanying the greater risk associated with common stocks is a requirement by investors that they can expect to earn, on average, a return that is greater than the return they could earn by investing in less risky bonds.  Thus, the risk premium approach estimates the return investors require from common stocks by utilizing current market information that is readily available in bond yields and adding to those yields a premium for the added risk of investing in common stocks.</w:t>
      </w:r>
    </w:p>
    <w:p w:rsidR="00E83343" w:rsidRDefault="00E83343" w:rsidP="006F70E0">
      <w:pPr>
        <w:spacing w:line="480" w:lineRule="auto"/>
        <w:ind w:left="720" w:firstLine="720"/>
      </w:pPr>
      <w:r>
        <w:t xml:space="preserve">Investors’ expectations for the future are influenced to a large extent by their knowledge of past experience.  Ibbotson Associates annually publishes extensive data </w:t>
      </w:r>
      <w:r>
        <w:lastRenderedPageBreak/>
        <w:t xml:space="preserve">regarding the returns that have been earned on stocks, bonds and U.S. Treasury bills since 1926.  </w:t>
      </w:r>
      <w:r w:rsidRPr="00772B7E">
        <w:t xml:space="preserve">Historically, the annual return on large company common stocks has exceeded the return on long-term corporate bonds by a premium of </w:t>
      </w:r>
      <w:r w:rsidRPr="00954A3C">
        <w:t>570 basis points (5.7 percent) per year from 1926-2014.</w:t>
      </w:r>
      <w:r w:rsidRPr="00954A3C">
        <w:rPr>
          <w:rStyle w:val="FootnoteReference"/>
        </w:rPr>
        <w:footnoteReference w:id="20"/>
      </w:r>
      <w:r w:rsidRPr="00954A3C">
        <w:t xml:space="preserve">  When this premium is added to the average yield on Moody’s corporate bonds </w:t>
      </w:r>
      <w:r>
        <w:t>in recent months</w:t>
      </w:r>
      <w:r w:rsidRPr="00954A3C">
        <w:t xml:space="preserve"> of </w:t>
      </w:r>
      <w:r>
        <w:t xml:space="preserve">approximately </w:t>
      </w:r>
      <w:r w:rsidRPr="000C42DB">
        <w:t>4.</w:t>
      </w:r>
      <w:r>
        <w:t>5</w:t>
      </w:r>
      <w:r w:rsidRPr="000C42DB">
        <w:t xml:space="preserve"> percent</w:t>
      </w:r>
      <w:r w:rsidRPr="000C42DB">
        <w:rPr>
          <w:rStyle w:val="FootnoteReference"/>
        </w:rPr>
        <w:footnoteReference w:id="21"/>
      </w:r>
      <w:r w:rsidRPr="000C42DB">
        <w:t xml:space="preserve">, the result is an investor return requirement for large company stocks of approximately </w:t>
      </w:r>
      <w:r>
        <w:t>10.2</w:t>
      </w:r>
      <w:r w:rsidRPr="00954A3C">
        <w:t xml:space="preserve"> percent.  </w:t>
      </w:r>
      <w:r w:rsidRPr="008418D4">
        <w:t>However, investors in smaller companies expect higher returns over the long</w:t>
      </w:r>
      <w:r>
        <w:t xml:space="preserve"> </w:t>
      </w:r>
      <w:r w:rsidRPr="008418D4">
        <w:t xml:space="preserve">term, due to the additional business and financial risks that smaller companies face.  According to Ibbotson Associates, companies in the same size range as Cascade’s Washington natural gas distribution operations have had a </w:t>
      </w:r>
      <w:r w:rsidRPr="00782866">
        <w:t xml:space="preserve">premium of </w:t>
      </w:r>
      <w:r w:rsidRPr="002D4360">
        <w:t xml:space="preserve">1,420 basis points (14.2 percent) </w:t>
      </w:r>
      <w:r w:rsidRPr="00782866">
        <w:t>over the average return on long-term corporate bonds.</w:t>
      </w:r>
      <w:r w:rsidRPr="00782866">
        <w:rPr>
          <w:rStyle w:val="FootnoteReference"/>
        </w:rPr>
        <w:footnoteReference w:id="22"/>
      </w:r>
      <w:r w:rsidRPr="00782866">
        <w:t xml:space="preserve">  When added to the recent average corporate bond yield, this size-related premium suggests an expected return of </w:t>
      </w:r>
      <w:r w:rsidRPr="002D4360">
        <w:t>18.7 percent.</w:t>
      </w:r>
      <w:r w:rsidRPr="00954A3C">
        <w:t xml:space="preserve">  This analysis indicates that the rate of return that I am proposing in this proceeding would be low relative to the historic</w:t>
      </w:r>
      <w:r w:rsidRPr="00772B7E">
        <w:t xml:space="preserve"> risk premiums earned by similarly-sized unregulated companies.</w:t>
      </w:r>
    </w:p>
    <w:p w:rsidR="00E83343" w:rsidRPr="006F70E0" w:rsidRDefault="00E83343" w:rsidP="006F70E0">
      <w:pPr>
        <w:pStyle w:val="Heading2"/>
        <w:spacing w:line="480" w:lineRule="auto"/>
        <w:rPr>
          <w:rFonts w:ascii="Times New Roman" w:hAnsi="Times New Roman" w:cs="Times New Roman"/>
          <w:i/>
        </w:rPr>
      </w:pPr>
      <w:bookmarkStart w:id="18" w:name="_Toc436731620"/>
      <w:r w:rsidRPr="006F70E0">
        <w:rPr>
          <w:rFonts w:ascii="Times New Roman" w:hAnsi="Times New Roman" w:cs="Times New Roman"/>
          <w:i/>
        </w:rPr>
        <w:lastRenderedPageBreak/>
        <w:t>Market DCF Analysis</w:t>
      </w:r>
      <w:bookmarkEnd w:id="18"/>
    </w:p>
    <w:p w:rsidR="00E83343" w:rsidRPr="006F70E0" w:rsidRDefault="006F70E0" w:rsidP="006F70E0">
      <w:pPr>
        <w:spacing w:line="480" w:lineRule="auto"/>
        <w:ind w:left="720" w:hanging="720"/>
        <w:rPr>
          <w:b/>
        </w:rPr>
      </w:pPr>
      <w:r w:rsidRPr="006F70E0">
        <w:rPr>
          <w:b/>
        </w:rPr>
        <w:t>Q.</w:t>
      </w:r>
      <w:r w:rsidRPr="006F70E0">
        <w:rPr>
          <w:b/>
        </w:rPr>
        <w:tab/>
      </w:r>
      <w:r w:rsidR="00E83343" w:rsidRPr="006F70E0">
        <w:rPr>
          <w:b/>
        </w:rPr>
        <w:t>What other analysis did you conduct in determining the cost of equity capital for Cascade?</w:t>
      </w:r>
    </w:p>
    <w:p w:rsidR="006D5771" w:rsidRDefault="006F70E0" w:rsidP="006F70E0">
      <w:pPr>
        <w:spacing w:line="480" w:lineRule="auto"/>
        <w:ind w:left="720" w:hanging="720"/>
      </w:pPr>
      <w:r>
        <w:t>A.</w:t>
      </w:r>
      <w:r>
        <w:tab/>
      </w:r>
      <w:r w:rsidR="00E83343">
        <w:t xml:space="preserve">For an additional benchmark of the reasonableness of my DCF results, I calculated the current required return for the companies contained in the S&amp;P 500 Index.  Using data provided by the Bloomberg Professional service, </w:t>
      </w:r>
      <w:r w:rsidR="00E83343" w:rsidRPr="00A56E19">
        <w:t xml:space="preserve">I performed a market capitalization-weighted DCF calculation on the S&amp;P 500 companies based on the current dividend yields and long-term growth rate estimates as of </w:t>
      </w:r>
      <w:r w:rsidR="00E83343">
        <w:t>October 30</w:t>
      </w:r>
      <w:r w:rsidR="00E83343" w:rsidRPr="00A56E19">
        <w:t>, 2015.  These calculations are shown</w:t>
      </w:r>
      <w:r w:rsidR="00350B0F">
        <w:t xml:space="preserve"> in Schedule 5 of Exhibit No.__ </w:t>
      </w:r>
      <w:r w:rsidR="00E83343" w:rsidRPr="00A56E19">
        <w:t xml:space="preserve">(JSG-2).  The current secondary market required ROE for the S&amp;P 500 is </w:t>
      </w:r>
      <w:r w:rsidR="00E83343" w:rsidRPr="005A0372">
        <w:t>12.7</w:t>
      </w:r>
      <w:r w:rsidR="00E83343">
        <w:t>3</w:t>
      </w:r>
      <w:r w:rsidR="00E83343" w:rsidRPr="005A0372">
        <w:t xml:space="preserve"> p</w:t>
      </w:r>
      <w:r w:rsidR="00E83343" w:rsidRPr="00A378B1">
        <w:t>ercent.</w:t>
      </w:r>
      <w:r w:rsidR="00E83343">
        <w:t xml:space="preserve">  This analysis indicates that the rate of return that I am proposing in this proceeding is low relative to the return required by investors who invest in the S&amp;P 500.</w:t>
      </w:r>
    </w:p>
    <w:p w:rsidR="008E761B" w:rsidRPr="008E761B" w:rsidRDefault="008E761B" w:rsidP="008E761B">
      <w:pPr>
        <w:pStyle w:val="Heading2"/>
        <w:spacing w:line="480" w:lineRule="auto"/>
        <w:rPr>
          <w:rFonts w:ascii="Times New Roman" w:hAnsi="Times New Roman" w:cs="Times New Roman"/>
          <w:i/>
        </w:rPr>
      </w:pPr>
      <w:bookmarkStart w:id="19" w:name="_Toc436731621"/>
      <w:r w:rsidRPr="008E761B">
        <w:rPr>
          <w:rFonts w:ascii="Times New Roman" w:hAnsi="Times New Roman" w:cs="Times New Roman"/>
          <w:i/>
        </w:rPr>
        <w:t>Forward-Looking CAPM</w:t>
      </w:r>
      <w:bookmarkEnd w:id="19"/>
    </w:p>
    <w:p w:rsidR="008E761B" w:rsidRDefault="008E761B" w:rsidP="008E761B">
      <w:pPr>
        <w:spacing w:line="480" w:lineRule="auto"/>
        <w:ind w:left="720" w:hanging="720"/>
      </w:pPr>
      <w:r>
        <w:t>Q.</w:t>
      </w:r>
      <w:r>
        <w:tab/>
      </w:r>
      <w:r w:rsidRPr="008E761B">
        <w:rPr>
          <w:b/>
        </w:rPr>
        <w:t>Many analysts would argue that gas distribution companies are less risky than the S&amp;P 500 companies.  Does this make the S&amp;P 500 a poor benchmark for evaluating the DCF results?</w:t>
      </w:r>
    </w:p>
    <w:p w:rsidR="008E761B" w:rsidRDefault="008E761B" w:rsidP="008E761B">
      <w:pPr>
        <w:spacing w:line="480" w:lineRule="auto"/>
        <w:ind w:left="720" w:hanging="720"/>
        <w:rPr>
          <w:spacing w:val="-3"/>
        </w:rPr>
      </w:pPr>
      <w:r>
        <w:t>A.</w:t>
      </w:r>
      <w:r>
        <w:tab/>
        <w:t xml:space="preserve">No.  The DCF required return for the S&amp;P 500 is significantly greater than the return required for the natural gas distribution company proxy group, and the large magnitude of this difference is an indicator that the proxy company DCF results may be on the low side.  Some analysts use the CAPM to adjust for differences in risk between the market average and a particular group of proxy companies.  While I do not consider the CAPM to be a reliable measure of the cost of capital, one could use it to adjust the S&amp;P 500 </w:t>
      </w:r>
      <w:r>
        <w:lastRenderedPageBreak/>
        <w:t xml:space="preserve">results to achieve a risk-adjusted benchmark for the natural gas distribution company proxy group.  For example, </w:t>
      </w:r>
      <w:r w:rsidRPr="004866EC">
        <w:rPr>
          <w:spacing w:val="-3"/>
        </w:rPr>
        <w:t xml:space="preserve">Beta is frequently used as the measure of relative risk in the </w:t>
      </w:r>
      <w:r>
        <w:rPr>
          <w:spacing w:val="-3"/>
        </w:rPr>
        <w:t>CAPM.  As shown on Schedule 6 of Exhibit No.__</w:t>
      </w:r>
      <w:r w:rsidR="00350B0F">
        <w:rPr>
          <w:spacing w:val="-3"/>
        </w:rPr>
        <w:t xml:space="preserve"> </w:t>
      </w:r>
      <w:r>
        <w:rPr>
          <w:spacing w:val="-3"/>
        </w:rPr>
        <w:t xml:space="preserve">(JSG-2), the average beta estimated by Value Line for the proxy companies is </w:t>
      </w:r>
      <w:r w:rsidRPr="001A4F49">
        <w:rPr>
          <w:spacing w:val="-3"/>
        </w:rPr>
        <w:t>0.80</w:t>
      </w:r>
      <w:r>
        <w:rPr>
          <w:spacing w:val="-3"/>
        </w:rPr>
        <w:t>.  Using this beta estimate would produce the</w:t>
      </w:r>
      <w:r w:rsidRPr="004866EC">
        <w:rPr>
          <w:spacing w:val="-3"/>
        </w:rPr>
        <w:t xml:space="preserve"> following </w:t>
      </w:r>
      <w:r>
        <w:rPr>
          <w:spacing w:val="-3"/>
        </w:rPr>
        <w:t xml:space="preserve">CAPM </w:t>
      </w:r>
      <w:r w:rsidRPr="004866EC">
        <w:rPr>
          <w:spacing w:val="-3"/>
        </w:rPr>
        <w:t>results:</w:t>
      </w:r>
      <w:r>
        <w:rPr>
          <w:spacing w:val="-3"/>
        </w:rPr>
        <w:t xml:space="preserve">  </w:t>
      </w:r>
    </w:p>
    <w:tbl>
      <w:tblPr>
        <w:tblW w:w="4068" w:type="dxa"/>
        <w:jc w:val="center"/>
        <w:tblLook w:val="04A0" w:firstRow="1" w:lastRow="0" w:firstColumn="1" w:lastColumn="0" w:noHBand="0" w:noVBand="1"/>
      </w:tblPr>
      <w:tblGrid>
        <w:gridCol w:w="2988"/>
        <w:gridCol w:w="1080"/>
      </w:tblGrid>
      <w:tr w:rsidR="008E761B" w:rsidRPr="004866EC" w:rsidTr="008E761B">
        <w:trPr>
          <w:trHeight w:val="285"/>
          <w:jc w:val="center"/>
        </w:trPr>
        <w:tc>
          <w:tcPr>
            <w:tcW w:w="2988" w:type="dxa"/>
            <w:tcBorders>
              <w:top w:val="nil"/>
              <w:left w:val="nil"/>
              <w:bottom w:val="nil"/>
              <w:right w:val="nil"/>
            </w:tcBorders>
            <w:shd w:val="clear" w:color="auto" w:fill="auto"/>
            <w:noWrap/>
            <w:vAlign w:val="bottom"/>
            <w:hideMark/>
          </w:tcPr>
          <w:p w:rsidR="008E761B" w:rsidRPr="00871CE5" w:rsidRDefault="008E761B" w:rsidP="008E761B">
            <w:pPr>
              <w:rPr>
                <w:color w:val="000000"/>
                <w:sz w:val="22"/>
              </w:rPr>
            </w:pPr>
            <w:r w:rsidRPr="00871CE5">
              <w:rPr>
                <w:color w:val="000000"/>
                <w:sz w:val="22"/>
              </w:rPr>
              <w:t>S&amp;P Current Required Return</w:t>
            </w:r>
          </w:p>
        </w:tc>
        <w:tc>
          <w:tcPr>
            <w:tcW w:w="1080" w:type="dxa"/>
            <w:tcBorders>
              <w:top w:val="nil"/>
              <w:left w:val="nil"/>
              <w:bottom w:val="nil"/>
              <w:right w:val="nil"/>
            </w:tcBorders>
            <w:shd w:val="clear" w:color="auto" w:fill="auto"/>
            <w:noWrap/>
            <w:vAlign w:val="bottom"/>
            <w:hideMark/>
          </w:tcPr>
          <w:p w:rsidR="008E761B" w:rsidRPr="00871CE5" w:rsidRDefault="008E761B" w:rsidP="008E761B">
            <w:pPr>
              <w:rPr>
                <w:color w:val="000000"/>
                <w:sz w:val="22"/>
              </w:rPr>
            </w:pPr>
            <w:r w:rsidRPr="00871CE5">
              <w:rPr>
                <w:color w:val="000000"/>
                <w:sz w:val="22"/>
              </w:rPr>
              <w:t>12.</w:t>
            </w:r>
            <w:r>
              <w:rPr>
                <w:color w:val="000000"/>
                <w:sz w:val="22"/>
              </w:rPr>
              <w:t>73</w:t>
            </w:r>
          </w:p>
        </w:tc>
      </w:tr>
      <w:tr w:rsidR="008E761B" w:rsidRPr="004866EC" w:rsidTr="008E761B">
        <w:trPr>
          <w:trHeight w:val="285"/>
          <w:jc w:val="center"/>
        </w:trPr>
        <w:tc>
          <w:tcPr>
            <w:tcW w:w="2988" w:type="dxa"/>
            <w:tcBorders>
              <w:top w:val="nil"/>
              <w:left w:val="nil"/>
              <w:bottom w:val="nil"/>
              <w:right w:val="nil"/>
            </w:tcBorders>
            <w:shd w:val="clear" w:color="auto" w:fill="auto"/>
            <w:noWrap/>
            <w:vAlign w:val="bottom"/>
            <w:hideMark/>
          </w:tcPr>
          <w:p w:rsidR="008E761B" w:rsidRPr="00871CE5" w:rsidRDefault="008E761B" w:rsidP="008E761B">
            <w:pPr>
              <w:rPr>
                <w:color w:val="000000"/>
                <w:sz w:val="22"/>
              </w:rPr>
            </w:pPr>
            <w:r w:rsidRPr="00871CE5">
              <w:rPr>
                <w:color w:val="000000"/>
                <w:sz w:val="22"/>
              </w:rPr>
              <w:t xml:space="preserve">Less: </w:t>
            </w:r>
            <w:r>
              <w:rPr>
                <w:color w:val="000000"/>
                <w:sz w:val="22"/>
              </w:rPr>
              <w:t>Oct</w:t>
            </w:r>
            <w:r w:rsidRPr="00871CE5">
              <w:rPr>
                <w:color w:val="000000"/>
                <w:sz w:val="22"/>
              </w:rPr>
              <w:t xml:space="preserve"> '15 T-Bond</w:t>
            </w:r>
          </w:p>
        </w:tc>
        <w:tc>
          <w:tcPr>
            <w:tcW w:w="1080" w:type="dxa"/>
            <w:tcBorders>
              <w:top w:val="nil"/>
              <w:left w:val="nil"/>
              <w:bottom w:val="single" w:sz="4" w:space="0" w:color="auto"/>
              <w:right w:val="nil"/>
            </w:tcBorders>
            <w:shd w:val="clear" w:color="auto" w:fill="auto"/>
            <w:noWrap/>
            <w:vAlign w:val="bottom"/>
            <w:hideMark/>
          </w:tcPr>
          <w:p w:rsidR="008E761B" w:rsidRPr="00871CE5" w:rsidRDefault="008E761B" w:rsidP="008E761B">
            <w:pPr>
              <w:rPr>
                <w:color w:val="000000"/>
                <w:sz w:val="22"/>
              </w:rPr>
            </w:pPr>
            <w:r>
              <w:rPr>
                <w:color w:val="000000"/>
                <w:sz w:val="22"/>
              </w:rPr>
              <w:t>2.89</w:t>
            </w:r>
          </w:p>
        </w:tc>
      </w:tr>
      <w:tr w:rsidR="008E761B" w:rsidRPr="004866EC" w:rsidTr="008E761B">
        <w:trPr>
          <w:trHeight w:val="285"/>
          <w:jc w:val="center"/>
        </w:trPr>
        <w:tc>
          <w:tcPr>
            <w:tcW w:w="2988" w:type="dxa"/>
            <w:tcBorders>
              <w:top w:val="nil"/>
              <w:left w:val="nil"/>
              <w:bottom w:val="nil"/>
              <w:right w:val="nil"/>
            </w:tcBorders>
            <w:shd w:val="clear" w:color="auto" w:fill="auto"/>
            <w:noWrap/>
            <w:vAlign w:val="bottom"/>
            <w:hideMark/>
          </w:tcPr>
          <w:p w:rsidR="008E761B" w:rsidRPr="00871CE5" w:rsidRDefault="008E761B" w:rsidP="008E761B">
            <w:pPr>
              <w:rPr>
                <w:color w:val="000000"/>
                <w:sz w:val="22"/>
              </w:rPr>
            </w:pPr>
            <w:r w:rsidRPr="00871CE5">
              <w:rPr>
                <w:color w:val="000000"/>
                <w:sz w:val="22"/>
              </w:rPr>
              <w:t>Market Risk Premium</w:t>
            </w:r>
          </w:p>
        </w:tc>
        <w:tc>
          <w:tcPr>
            <w:tcW w:w="1080" w:type="dxa"/>
            <w:tcBorders>
              <w:top w:val="nil"/>
              <w:left w:val="nil"/>
              <w:bottom w:val="nil"/>
              <w:right w:val="nil"/>
            </w:tcBorders>
            <w:shd w:val="clear" w:color="auto" w:fill="auto"/>
            <w:noWrap/>
            <w:vAlign w:val="bottom"/>
            <w:hideMark/>
          </w:tcPr>
          <w:p w:rsidR="008E761B" w:rsidRPr="00871CE5" w:rsidRDefault="008E761B" w:rsidP="008E761B">
            <w:pPr>
              <w:rPr>
                <w:color w:val="000000"/>
                <w:sz w:val="22"/>
              </w:rPr>
            </w:pPr>
            <w:r w:rsidRPr="00871CE5">
              <w:rPr>
                <w:color w:val="000000"/>
                <w:sz w:val="22"/>
              </w:rPr>
              <w:t>9.</w:t>
            </w:r>
            <w:r>
              <w:rPr>
                <w:color w:val="000000"/>
                <w:sz w:val="22"/>
              </w:rPr>
              <w:t>84</w:t>
            </w:r>
          </w:p>
        </w:tc>
      </w:tr>
      <w:tr w:rsidR="008E761B" w:rsidRPr="004866EC" w:rsidTr="008E761B">
        <w:trPr>
          <w:trHeight w:val="285"/>
          <w:jc w:val="center"/>
        </w:trPr>
        <w:tc>
          <w:tcPr>
            <w:tcW w:w="2988" w:type="dxa"/>
            <w:tcBorders>
              <w:top w:val="nil"/>
              <w:left w:val="nil"/>
              <w:bottom w:val="nil"/>
              <w:right w:val="nil"/>
            </w:tcBorders>
            <w:shd w:val="clear" w:color="auto" w:fill="auto"/>
            <w:noWrap/>
            <w:vAlign w:val="bottom"/>
            <w:hideMark/>
          </w:tcPr>
          <w:p w:rsidR="008E761B" w:rsidRPr="00871CE5" w:rsidRDefault="008E761B" w:rsidP="008E761B">
            <w:pPr>
              <w:rPr>
                <w:color w:val="000000"/>
                <w:sz w:val="22"/>
              </w:rPr>
            </w:pPr>
            <w:r w:rsidRPr="00871CE5">
              <w:rPr>
                <w:color w:val="000000"/>
                <w:sz w:val="22"/>
              </w:rPr>
              <w:t>x Proxy Company VL Beta</w:t>
            </w:r>
          </w:p>
        </w:tc>
        <w:tc>
          <w:tcPr>
            <w:tcW w:w="1080" w:type="dxa"/>
            <w:tcBorders>
              <w:top w:val="nil"/>
              <w:left w:val="nil"/>
              <w:bottom w:val="single" w:sz="4" w:space="0" w:color="auto"/>
              <w:right w:val="nil"/>
            </w:tcBorders>
            <w:shd w:val="clear" w:color="auto" w:fill="auto"/>
            <w:noWrap/>
            <w:vAlign w:val="bottom"/>
            <w:hideMark/>
          </w:tcPr>
          <w:p w:rsidR="008E761B" w:rsidRPr="00871CE5" w:rsidRDefault="008E761B" w:rsidP="008E761B">
            <w:pPr>
              <w:rPr>
                <w:color w:val="000000"/>
                <w:sz w:val="22"/>
              </w:rPr>
            </w:pPr>
            <w:r w:rsidRPr="00871CE5">
              <w:rPr>
                <w:color w:val="000000"/>
                <w:sz w:val="22"/>
              </w:rPr>
              <w:t>0.</w:t>
            </w:r>
            <w:r>
              <w:rPr>
                <w:color w:val="000000"/>
                <w:sz w:val="22"/>
              </w:rPr>
              <w:t>80</w:t>
            </w:r>
          </w:p>
        </w:tc>
      </w:tr>
      <w:tr w:rsidR="008E761B" w:rsidRPr="004866EC" w:rsidTr="008E761B">
        <w:trPr>
          <w:trHeight w:val="285"/>
          <w:jc w:val="center"/>
        </w:trPr>
        <w:tc>
          <w:tcPr>
            <w:tcW w:w="2988" w:type="dxa"/>
            <w:tcBorders>
              <w:top w:val="nil"/>
              <w:left w:val="nil"/>
              <w:bottom w:val="nil"/>
              <w:right w:val="nil"/>
            </w:tcBorders>
            <w:shd w:val="clear" w:color="auto" w:fill="auto"/>
            <w:noWrap/>
            <w:vAlign w:val="bottom"/>
            <w:hideMark/>
          </w:tcPr>
          <w:p w:rsidR="008E761B" w:rsidRPr="00871CE5" w:rsidRDefault="008E761B" w:rsidP="008E761B">
            <w:pPr>
              <w:rPr>
                <w:color w:val="000000"/>
                <w:sz w:val="22"/>
              </w:rPr>
            </w:pPr>
            <w:r w:rsidRPr="00871CE5">
              <w:rPr>
                <w:color w:val="000000"/>
                <w:sz w:val="22"/>
              </w:rPr>
              <w:t>LDC Risk Premium</w:t>
            </w:r>
          </w:p>
        </w:tc>
        <w:tc>
          <w:tcPr>
            <w:tcW w:w="1080" w:type="dxa"/>
            <w:tcBorders>
              <w:top w:val="nil"/>
              <w:left w:val="nil"/>
              <w:bottom w:val="nil"/>
              <w:right w:val="nil"/>
            </w:tcBorders>
            <w:shd w:val="clear" w:color="auto" w:fill="auto"/>
            <w:noWrap/>
            <w:vAlign w:val="bottom"/>
            <w:hideMark/>
          </w:tcPr>
          <w:p w:rsidR="008E761B" w:rsidRPr="00871CE5" w:rsidRDefault="008E761B" w:rsidP="008E761B">
            <w:pPr>
              <w:rPr>
                <w:color w:val="000000"/>
                <w:sz w:val="22"/>
              </w:rPr>
            </w:pPr>
            <w:r w:rsidRPr="00871CE5">
              <w:rPr>
                <w:color w:val="000000"/>
                <w:sz w:val="22"/>
              </w:rPr>
              <w:t>7.</w:t>
            </w:r>
            <w:r>
              <w:rPr>
                <w:color w:val="000000"/>
                <w:sz w:val="22"/>
              </w:rPr>
              <w:t>87</w:t>
            </w:r>
          </w:p>
        </w:tc>
      </w:tr>
      <w:tr w:rsidR="008E761B" w:rsidRPr="004866EC" w:rsidTr="008E761B">
        <w:trPr>
          <w:trHeight w:val="285"/>
          <w:jc w:val="center"/>
        </w:trPr>
        <w:tc>
          <w:tcPr>
            <w:tcW w:w="2988" w:type="dxa"/>
            <w:tcBorders>
              <w:top w:val="nil"/>
              <w:left w:val="nil"/>
              <w:bottom w:val="nil"/>
              <w:right w:val="nil"/>
            </w:tcBorders>
            <w:shd w:val="clear" w:color="auto" w:fill="auto"/>
            <w:noWrap/>
            <w:vAlign w:val="bottom"/>
            <w:hideMark/>
          </w:tcPr>
          <w:p w:rsidR="008E761B" w:rsidRPr="00871CE5" w:rsidRDefault="008E761B" w:rsidP="008E761B">
            <w:pPr>
              <w:rPr>
                <w:color w:val="000000"/>
                <w:sz w:val="22"/>
              </w:rPr>
            </w:pPr>
            <w:r w:rsidRPr="00871CE5">
              <w:rPr>
                <w:color w:val="000000"/>
                <w:sz w:val="22"/>
              </w:rPr>
              <w:t xml:space="preserve">Plus: </w:t>
            </w:r>
            <w:r>
              <w:rPr>
                <w:color w:val="000000"/>
                <w:sz w:val="22"/>
              </w:rPr>
              <w:t xml:space="preserve">Oct </w:t>
            </w:r>
            <w:r w:rsidRPr="00871CE5">
              <w:rPr>
                <w:color w:val="000000"/>
                <w:sz w:val="22"/>
              </w:rPr>
              <w:t>'15 T-Bond</w:t>
            </w:r>
          </w:p>
        </w:tc>
        <w:tc>
          <w:tcPr>
            <w:tcW w:w="1080" w:type="dxa"/>
            <w:tcBorders>
              <w:top w:val="nil"/>
              <w:left w:val="nil"/>
              <w:bottom w:val="single" w:sz="4" w:space="0" w:color="auto"/>
              <w:right w:val="nil"/>
            </w:tcBorders>
            <w:shd w:val="clear" w:color="auto" w:fill="auto"/>
            <w:noWrap/>
            <w:vAlign w:val="bottom"/>
            <w:hideMark/>
          </w:tcPr>
          <w:p w:rsidR="008E761B" w:rsidRPr="00871CE5" w:rsidRDefault="008E761B" w:rsidP="008E761B">
            <w:pPr>
              <w:rPr>
                <w:color w:val="000000"/>
                <w:sz w:val="22"/>
              </w:rPr>
            </w:pPr>
            <w:r>
              <w:rPr>
                <w:color w:val="000000"/>
                <w:sz w:val="22"/>
              </w:rPr>
              <w:t>2.89</w:t>
            </w:r>
          </w:p>
        </w:tc>
      </w:tr>
      <w:tr w:rsidR="008E761B" w:rsidRPr="004866EC" w:rsidTr="008E761B">
        <w:trPr>
          <w:trHeight w:val="293"/>
          <w:jc w:val="center"/>
        </w:trPr>
        <w:tc>
          <w:tcPr>
            <w:tcW w:w="2988" w:type="dxa"/>
            <w:tcBorders>
              <w:top w:val="nil"/>
              <w:left w:val="nil"/>
              <w:bottom w:val="nil"/>
              <w:right w:val="nil"/>
            </w:tcBorders>
            <w:shd w:val="clear" w:color="auto" w:fill="auto"/>
            <w:noWrap/>
            <w:vAlign w:val="bottom"/>
            <w:hideMark/>
          </w:tcPr>
          <w:p w:rsidR="008E761B" w:rsidRPr="00871CE5" w:rsidRDefault="008E761B" w:rsidP="008E761B">
            <w:pPr>
              <w:rPr>
                <w:b/>
                <w:bCs/>
                <w:color w:val="000000"/>
                <w:sz w:val="22"/>
              </w:rPr>
            </w:pPr>
            <w:r w:rsidRPr="00871CE5">
              <w:rPr>
                <w:b/>
                <w:bCs/>
                <w:color w:val="000000"/>
                <w:sz w:val="22"/>
              </w:rPr>
              <w:t>LDC CAPM Cost of Eq.</w:t>
            </w:r>
          </w:p>
        </w:tc>
        <w:tc>
          <w:tcPr>
            <w:tcW w:w="1080" w:type="dxa"/>
            <w:tcBorders>
              <w:top w:val="nil"/>
              <w:left w:val="nil"/>
              <w:bottom w:val="double" w:sz="6" w:space="0" w:color="auto"/>
              <w:right w:val="nil"/>
            </w:tcBorders>
            <w:shd w:val="clear" w:color="auto" w:fill="auto"/>
            <w:noWrap/>
            <w:vAlign w:val="bottom"/>
            <w:hideMark/>
          </w:tcPr>
          <w:p w:rsidR="008E761B" w:rsidRPr="00871CE5" w:rsidRDefault="008E761B" w:rsidP="008E761B">
            <w:pPr>
              <w:rPr>
                <w:b/>
                <w:bCs/>
                <w:color w:val="000000"/>
                <w:sz w:val="22"/>
              </w:rPr>
            </w:pPr>
            <w:r w:rsidRPr="00871CE5">
              <w:rPr>
                <w:b/>
                <w:bCs/>
                <w:color w:val="000000"/>
                <w:sz w:val="22"/>
              </w:rPr>
              <w:t>10.</w:t>
            </w:r>
            <w:r>
              <w:rPr>
                <w:b/>
                <w:bCs/>
                <w:color w:val="000000"/>
                <w:sz w:val="22"/>
              </w:rPr>
              <w:t>76</w:t>
            </w:r>
          </w:p>
        </w:tc>
      </w:tr>
    </w:tbl>
    <w:p w:rsidR="008E761B" w:rsidRPr="004866EC" w:rsidRDefault="008E761B" w:rsidP="008E761B">
      <w:pPr>
        <w:suppressLineNumbers/>
        <w:rPr>
          <w:spacing w:val="-3"/>
        </w:rPr>
      </w:pPr>
    </w:p>
    <w:p w:rsidR="008E761B" w:rsidRPr="004866EC" w:rsidRDefault="008E761B" w:rsidP="008E761B">
      <w:pPr>
        <w:spacing w:line="480" w:lineRule="auto"/>
        <w:ind w:left="720"/>
        <w:rPr>
          <w:spacing w:val="-3"/>
        </w:rPr>
      </w:pPr>
      <w:r w:rsidRPr="004866EC">
        <w:rPr>
          <w:spacing w:val="-3"/>
        </w:rPr>
        <w:t xml:space="preserve">Thus, if one were to use the CAPM as a benchmark of a reasonable return, this benchmark </w:t>
      </w:r>
      <w:r>
        <w:rPr>
          <w:spacing w:val="-3"/>
        </w:rPr>
        <w:t xml:space="preserve">fully </w:t>
      </w:r>
      <w:r w:rsidRPr="004866EC">
        <w:rPr>
          <w:spacing w:val="-3"/>
        </w:rPr>
        <w:t xml:space="preserve">supports the recommended </w:t>
      </w:r>
      <w:r>
        <w:rPr>
          <w:spacing w:val="-3"/>
        </w:rPr>
        <w:t>ROE</w:t>
      </w:r>
      <w:r w:rsidRPr="004866EC">
        <w:rPr>
          <w:spacing w:val="-3"/>
        </w:rPr>
        <w:t xml:space="preserve"> of 10.0 percent in this proceeding.</w:t>
      </w:r>
      <w:r w:rsidRPr="004866EC">
        <w:rPr>
          <w:spacing w:val="-3"/>
          <w:vertAlign w:val="superscript"/>
        </w:rPr>
        <w:footnoteReference w:id="23"/>
      </w:r>
    </w:p>
    <w:p w:rsidR="008E761B" w:rsidRPr="008E761B" w:rsidRDefault="008E761B" w:rsidP="008E761B">
      <w:pPr>
        <w:pStyle w:val="Heading2"/>
        <w:spacing w:line="480" w:lineRule="auto"/>
        <w:rPr>
          <w:rFonts w:ascii="Times New Roman" w:hAnsi="Times New Roman" w:cs="Times New Roman"/>
          <w:i/>
        </w:rPr>
      </w:pPr>
      <w:bookmarkStart w:id="20" w:name="_Toc436731622"/>
      <w:r w:rsidRPr="008E761B">
        <w:rPr>
          <w:rFonts w:ascii="Times New Roman" w:hAnsi="Times New Roman" w:cs="Times New Roman"/>
          <w:i/>
        </w:rPr>
        <w:t>Relative Risk Analysis</w:t>
      </w:r>
      <w:bookmarkEnd w:id="20"/>
    </w:p>
    <w:p w:rsidR="008E761B" w:rsidRPr="008E761B" w:rsidRDefault="008E761B" w:rsidP="008E761B">
      <w:pPr>
        <w:spacing w:line="480" w:lineRule="auto"/>
        <w:ind w:left="720" w:hanging="720"/>
        <w:rPr>
          <w:b/>
        </w:rPr>
      </w:pPr>
      <w:r w:rsidRPr="008E761B">
        <w:rPr>
          <w:b/>
        </w:rPr>
        <w:t>Q.</w:t>
      </w:r>
      <w:r w:rsidRPr="008E761B">
        <w:rPr>
          <w:b/>
        </w:rPr>
        <w:tab/>
        <w:t>Have you compared the risks faced by Cascade’s Washington natural gas distribution operations with the risks faced by the proxy group of companies?</w:t>
      </w:r>
    </w:p>
    <w:p w:rsidR="008E761B" w:rsidRDefault="008E761B" w:rsidP="008E761B">
      <w:pPr>
        <w:spacing w:line="480" w:lineRule="auto"/>
      </w:pPr>
      <w:r>
        <w:t>A.</w:t>
      </w:r>
      <w:r>
        <w:tab/>
        <w:t>Yes.  There are four broad categories of risk that concern investors.  These include:</w:t>
      </w:r>
    </w:p>
    <w:p w:rsidR="008E761B" w:rsidRDefault="008E761B" w:rsidP="008E761B">
      <w:pPr>
        <w:spacing w:line="480" w:lineRule="auto"/>
        <w:ind w:left="1440"/>
      </w:pPr>
      <w:r>
        <w:t>1.</w:t>
      </w:r>
      <w:r>
        <w:tab/>
      </w:r>
      <w:r w:rsidRPr="00A55E85">
        <w:t>Business Risk;</w:t>
      </w:r>
    </w:p>
    <w:p w:rsidR="008E761B" w:rsidRDefault="008E761B" w:rsidP="008E761B">
      <w:pPr>
        <w:spacing w:line="480" w:lineRule="auto"/>
        <w:ind w:left="1440"/>
      </w:pPr>
      <w:r>
        <w:t>2.</w:t>
      </w:r>
      <w:r>
        <w:tab/>
      </w:r>
      <w:r w:rsidRPr="00A55E85">
        <w:t>Regulatory Risk;</w:t>
      </w:r>
    </w:p>
    <w:p w:rsidR="008E761B" w:rsidRPr="00A55E85" w:rsidRDefault="008E761B" w:rsidP="008E761B">
      <w:pPr>
        <w:spacing w:line="480" w:lineRule="auto"/>
        <w:ind w:left="1440"/>
      </w:pPr>
      <w:r>
        <w:t>3.</w:t>
      </w:r>
      <w:r>
        <w:tab/>
      </w:r>
      <w:r w:rsidRPr="00A55E85">
        <w:t xml:space="preserve">Financial Risk; and, </w:t>
      </w:r>
    </w:p>
    <w:p w:rsidR="008E761B" w:rsidRPr="00A55E85" w:rsidRDefault="008E761B" w:rsidP="008E761B">
      <w:pPr>
        <w:spacing w:line="480" w:lineRule="auto"/>
        <w:ind w:left="1440"/>
      </w:pPr>
      <w:r>
        <w:lastRenderedPageBreak/>
        <w:t>4.</w:t>
      </w:r>
      <w:r>
        <w:tab/>
      </w:r>
      <w:r w:rsidRPr="00A55E85">
        <w:t>Market Risk.</w:t>
      </w:r>
    </w:p>
    <w:p w:rsidR="008E761B" w:rsidRPr="008E761B" w:rsidRDefault="008E761B" w:rsidP="008E761B">
      <w:pPr>
        <w:spacing w:line="480" w:lineRule="auto"/>
        <w:rPr>
          <w:b/>
        </w:rPr>
      </w:pPr>
      <w:r w:rsidRPr="008E761B">
        <w:rPr>
          <w:b/>
        </w:rPr>
        <w:t>Q.</w:t>
      </w:r>
      <w:r w:rsidRPr="008E761B">
        <w:rPr>
          <w:b/>
        </w:rPr>
        <w:tab/>
        <w:t>Please describe the business risks inherent in the natural gas distribution industry.</w:t>
      </w:r>
    </w:p>
    <w:p w:rsidR="008E761B" w:rsidRPr="005A1A8C" w:rsidRDefault="008E761B" w:rsidP="008E761B">
      <w:pPr>
        <w:spacing w:line="480" w:lineRule="auto"/>
        <w:ind w:left="720" w:hanging="720"/>
      </w:pPr>
      <w:r>
        <w:t>A.</w:t>
      </w:r>
      <w:r>
        <w:tab/>
      </w:r>
      <w:r w:rsidRPr="005A1A8C">
        <w:t>Business risk refers to the ability of the firm to generate revenues that exceed its cost of operations.  Business risk exists because forecasts of both demand and costs are inherently uncertain.  Markets change and the level of demand for the firm’s output may be sufficient to cover its costs at one time and later become insufficient.  Sunk investments in long-lived natural gas distribution assets, for which cost recovery occurs over a period of thirty years or more, are subject to enormous uncertainties and risks that demand, costs, supply, and competition may change in ways that adversely affect the value of the investment.</w:t>
      </w:r>
    </w:p>
    <w:p w:rsidR="008E761B" w:rsidRPr="008E761B" w:rsidRDefault="008E761B" w:rsidP="008E761B">
      <w:pPr>
        <w:spacing w:line="480" w:lineRule="auto"/>
        <w:ind w:left="720" w:hanging="720"/>
        <w:rPr>
          <w:b/>
        </w:rPr>
      </w:pPr>
      <w:r w:rsidRPr="008E761B">
        <w:rPr>
          <w:b/>
        </w:rPr>
        <w:t>Q.</w:t>
      </w:r>
      <w:r w:rsidRPr="008E761B">
        <w:rPr>
          <w:b/>
        </w:rPr>
        <w:tab/>
        <w:t>What are some of the business risks faced by Cascade’s Washington natural gas distribution operations?</w:t>
      </w:r>
    </w:p>
    <w:p w:rsidR="008E761B" w:rsidRPr="005A1A8C" w:rsidRDefault="008E761B" w:rsidP="008E761B">
      <w:pPr>
        <w:spacing w:line="480" w:lineRule="auto"/>
        <w:ind w:left="720" w:hanging="720"/>
      </w:pPr>
      <w:r>
        <w:t>A.</w:t>
      </w:r>
      <w:r>
        <w:tab/>
      </w:r>
      <w:r w:rsidRPr="005A1A8C">
        <w:t xml:space="preserve">The Company’s natural gas distribution operations in </w:t>
      </w:r>
      <w:r>
        <w:t>Washington</w:t>
      </w:r>
      <w:r w:rsidRPr="005A1A8C">
        <w:t xml:space="preserve"> face many of the same business risks that are associated with other natural gas distribution companies.  However, </w:t>
      </w:r>
      <w:r>
        <w:t>Cascade’s</w:t>
      </w:r>
      <w:r w:rsidRPr="005A1A8C">
        <w:t xml:space="preserve"> </w:t>
      </w:r>
      <w:r>
        <w:t>Washington</w:t>
      </w:r>
      <w:r w:rsidRPr="005A1A8C">
        <w:t xml:space="preserve"> natural gas distribution operations face some particular risks that distinguish the Company from the proxy group of distribution companies, including </w:t>
      </w:r>
      <w:r>
        <w:t>its smaller size, generally lower incomes in the cities and towns that it serves, and competition from alternative fuels</w:t>
      </w:r>
      <w:r w:rsidRPr="004337A9">
        <w:t>.</w:t>
      </w:r>
    </w:p>
    <w:p w:rsidR="008E761B" w:rsidRPr="005A1A8C" w:rsidRDefault="008E761B" w:rsidP="008E761B">
      <w:pPr>
        <w:spacing w:line="480" w:lineRule="auto"/>
        <w:ind w:left="720" w:firstLine="720"/>
      </w:pPr>
      <w:r w:rsidRPr="00607622">
        <w:t>As shown on page 1 of Schedule 3 of Exhibit No.__</w:t>
      </w:r>
      <w:r w:rsidR="00350B0F">
        <w:t xml:space="preserve"> </w:t>
      </w:r>
      <w:r w:rsidRPr="00607622">
        <w:t xml:space="preserve">(JSG-2), Cascade’s Washington natural gas distribution operations are </w:t>
      </w:r>
      <w:r>
        <w:t>significantly</w:t>
      </w:r>
      <w:r w:rsidRPr="002B663B">
        <w:t xml:space="preserve"> smaller</w:t>
      </w:r>
      <w:r w:rsidRPr="00607622">
        <w:t xml:space="preserve"> than the operations of any of the proxy companies and a fraction of the size of the typical proxy company.  For example, the </w:t>
      </w:r>
      <w:r>
        <w:t>June 2015 adjusted rate base</w:t>
      </w:r>
      <w:r w:rsidRPr="00607622">
        <w:t xml:space="preserve"> of Cascade’s Washington </w:t>
      </w:r>
      <w:r w:rsidRPr="00607622">
        <w:lastRenderedPageBreak/>
        <w:t xml:space="preserve">natural gas distribution operations is equal to only </w:t>
      </w:r>
      <w:r>
        <w:t>6.0</w:t>
      </w:r>
      <w:r w:rsidRPr="00607622">
        <w:t xml:space="preserve"> percent of the year-end 2014 total assets of the median proxy company.  Similarly, </w:t>
      </w:r>
      <w:r>
        <w:t>Cascade’s</w:t>
      </w:r>
      <w:r w:rsidRPr="00607622">
        <w:t xml:space="preserve"> </w:t>
      </w:r>
      <w:r>
        <w:t>Washington</w:t>
      </w:r>
      <w:r w:rsidRPr="00607622">
        <w:t xml:space="preserve"> natural gas distribution 201</w:t>
      </w:r>
      <w:r>
        <w:t>5 test year</w:t>
      </w:r>
      <w:r w:rsidRPr="00607622">
        <w:t xml:space="preserve"> </w:t>
      </w:r>
      <w:r>
        <w:t xml:space="preserve">requested </w:t>
      </w:r>
      <w:r w:rsidRPr="00607622">
        <w:t xml:space="preserve">operating revenues and operating income are only </w:t>
      </w:r>
      <w:r w:rsidRPr="002D4360">
        <w:t>12.4 percent and</w:t>
      </w:r>
      <w:r>
        <w:t xml:space="preserve"> 11.2</w:t>
      </w:r>
      <w:r w:rsidRPr="00607622">
        <w:t xml:space="preserve"> percent of the year-end 2014 level for the median proxy company, respectively.  Thus, depending upon the measure of size, the typical proxy company is somewhere between </w:t>
      </w:r>
      <w:r w:rsidRPr="002D4360">
        <w:t xml:space="preserve">8 and 17 </w:t>
      </w:r>
      <w:r w:rsidRPr="00607622">
        <w:t xml:space="preserve">times the size of </w:t>
      </w:r>
      <w:r>
        <w:t>Cascade’s</w:t>
      </w:r>
      <w:r w:rsidRPr="00607622">
        <w:t xml:space="preserve"> </w:t>
      </w:r>
      <w:r>
        <w:t>Washington</w:t>
      </w:r>
      <w:r w:rsidRPr="00607622">
        <w:t xml:space="preserve"> natural gas distribution operations.  The Company’s smaller size has significant implications for business risks.  Ibbotson Associates has documented the significantly higher returns that generally have been associated with small companies.</w:t>
      </w:r>
    </w:p>
    <w:p w:rsidR="008E761B" w:rsidRDefault="008E761B" w:rsidP="008E761B">
      <w:pPr>
        <w:spacing w:line="480" w:lineRule="auto"/>
        <w:ind w:left="720" w:firstLine="720"/>
      </w:pPr>
      <w:r w:rsidRPr="005A1A8C">
        <w:t xml:space="preserve">With its </w:t>
      </w:r>
      <w:r>
        <w:t xml:space="preserve">relatively </w:t>
      </w:r>
      <w:r w:rsidRPr="005A1A8C">
        <w:t xml:space="preserve">small revenue base, </w:t>
      </w:r>
      <w:r>
        <w:t>Cascade’s</w:t>
      </w:r>
      <w:r w:rsidRPr="005A1A8C">
        <w:t xml:space="preserve"> </w:t>
      </w:r>
      <w:r>
        <w:t>Washington</w:t>
      </w:r>
      <w:r w:rsidRPr="005A1A8C">
        <w:t xml:space="preserve"> natural gas distribution operations are subject to </w:t>
      </w:r>
      <w:r w:rsidRPr="002D4360">
        <w:t xml:space="preserve">greater risk that a major employer or industry, such as a government facility or refinery, might </w:t>
      </w:r>
      <w:r>
        <w:t xml:space="preserve">downsize or close.  Events such as these could </w:t>
      </w:r>
      <w:r w:rsidRPr="004337A9">
        <w:t xml:space="preserve">significantly </w:t>
      </w:r>
      <w:r>
        <w:t>affect overall employment and income in the towns served</w:t>
      </w:r>
      <w:r w:rsidRPr="004337A9">
        <w:t>.</w:t>
      </w:r>
      <w:r>
        <w:t xml:space="preserve">  Factors that negatively influence the local economy can reduce demand for Cascade’s Washington natural gas distribution service and adversely impact investments in facilities used to provide those services.</w:t>
      </w:r>
    </w:p>
    <w:p w:rsidR="008E761B" w:rsidRDefault="008E761B" w:rsidP="008E761B">
      <w:pPr>
        <w:spacing w:line="480" w:lineRule="auto"/>
        <w:ind w:left="720" w:firstLine="720"/>
      </w:pPr>
      <w:r w:rsidRPr="00782866">
        <w:t>Cascade also faces direct competition from electricity</w:t>
      </w:r>
      <w:r>
        <w:t xml:space="preserve"> and</w:t>
      </w:r>
      <w:r w:rsidRPr="00782866">
        <w:t xml:space="preserve"> </w:t>
      </w:r>
      <w:r w:rsidRPr="00EF62DF">
        <w:t>propane</w:t>
      </w:r>
      <w:r w:rsidRPr="00782866">
        <w:t xml:space="preserve"> for new and existing load in its Washington service territory.</w:t>
      </w:r>
      <w:r>
        <w:t xml:space="preserve">  Because of the abundance of hydro and nuclear power in the region, Washington has the lowest electric prices in the nation.  Another risk faced by Cascade is the fact that it currently recovers a substantial portion of its fixed costs in the volumetric component of its rates and has </w:t>
      </w:r>
      <w:r w:rsidRPr="002D4360">
        <w:t>experienced declining average use per customer</w:t>
      </w:r>
      <w:r>
        <w:t>.  A</w:t>
      </w:r>
      <w:r w:rsidRPr="00EC17BD">
        <w:t xml:space="preserve">s discussed in the testimony of Company witness </w:t>
      </w:r>
      <w:r>
        <w:t xml:space="preserve">Jennifer </w:t>
      </w:r>
      <w:r>
        <w:lastRenderedPageBreak/>
        <w:t>Gross</w:t>
      </w:r>
      <w:r w:rsidRPr="00EC17BD">
        <w:t xml:space="preserve">, </w:t>
      </w:r>
      <w:r>
        <w:t>Cascade</w:t>
      </w:r>
      <w:r w:rsidRPr="00EC17BD">
        <w:t xml:space="preserve"> is proposing to implement a </w:t>
      </w:r>
      <w:r>
        <w:t>revenue decoupling mechanism</w:t>
      </w:r>
      <w:r w:rsidRPr="00EC17BD">
        <w:t xml:space="preserve"> for its </w:t>
      </w:r>
      <w:r>
        <w:t>Washington</w:t>
      </w:r>
      <w:r w:rsidRPr="00EC17BD">
        <w:t xml:space="preserve"> natural gas distribution operations.</w:t>
      </w:r>
      <w:r w:rsidRPr="00CA7E8C">
        <w:rPr>
          <w:lang w:val="en"/>
        </w:rPr>
        <w:t xml:space="preserve"> </w:t>
      </w:r>
      <w:r>
        <w:rPr>
          <w:lang w:val="en"/>
        </w:rPr>
        <w:t xml:space="preserve"> </w:t>
      </w:r>
      <w:r w:rsidRPr="00C17812">
        <w:rPr>
          <w:lang w:val="en"/>
        </w:rPr>
        <w:t>Cascade’s proposed Decoupling Mechanism is a full decoupling mechanism based upon a “revenue-per-customer” approach.  Under the Decoupling Mechanism, the Company will annually establish a rate applied to bills for bundled gas service that will either credit or charge the incremental difference between Actual Revenues and the Authorized Revenue per customer.</w:t>
      </w:r>
    </w:p>
    <w:p w:rsidR="008E761B" w:rsidRPr="008E761B" w:rsidRDefault="008E761B" w:rsidP="008E761B">
      <w:pPr>
        <w:spacing w:line="480" w:lineRule="auto"/>
        <w:ind w:left="720" w:hanging="720"/>
        <w:rPr>
          <w:b/>
        </w:rPr>
      </w:pPr>
      <w:r>
        <w:rPr>
          <w:b/>
        </w:rPr>
        <w:t>Q.</w:t>
      </w:r>
      <w:r>
        <w:rPr>
          <w:b/>
        </w:rPr>
        <w:tab/>
      </w:r>
      <w:r w:rsidRPr="008E761B">
        <w:rPr>
          <w:b/>
        </w:rPr>
        <w:t>Would the implementation of Cascade’s proposed decoupling mechanism reduce the Company’s risk profile relative to the proxy group?</w:t>
      </w:r>
    </w:p>
    <w:p w:rsidR="008E761B" w:rsidRDefault="008E761B" w:rsidP="008E761B">
      <w:pPr>
        <w:spacing w:line="480" w:lineRule="auto"/>
        <w:ind w:left="720" w:hanging="720"/>
      </w:pPr>
      <w:r>
        <w:t>A.</w:t>
      </w:r>
      <w:r>
        <w:tab/>
        <w:t>No.</w:t>
      </w:r>
      <w:r w:rsidRPr="00EC17BD">
        <w:t xml:space="preserve"> </w:t>
      </w:r>
      <w:r>
        <w:t xml:space="preserve"> Because</w:t>
      </w:r>
      <w:r w:rsidRPr="00D97487">
        <w:t xml:space="preserve"> the ROE recommendation is established for a company based on its risk </w:t>
      </w:r>
      <w:r>
        <w:t xml:space="preserve">profile </w:t>
      </w:r>
      <w:r w:rsidRPr="00D97487">
        <w:t xml:space="preserve">relative to the proxy group, it is necessary to consider how the implementation of a </w:t>
      </w:r>
      <w:r>
        <w:t xml:space="preserve">revenue decoupling mechanism </w:t>
      </w:r>
      <w:r w:rsidRPr="00D97487">
        <w:t>would affect the Company’s risk profile relative to the proxy companies.</w:t>
      </w:r>
      <w:r>
        <w:t xml:space="preserve">  </w:t>
      </w:r>
      <w:r w:rsidRPr="00EC17BD">
        <w:t xml:space="preserve">Schedule </w:t>
      </w:r>
      <w:r>
        <w:t>7</w:t>
      </w:r>
      <w:r w:rsidRPr="00EC17BD">
        <w:t xml:space="preserve"> of Exhibit No.__</w:t>
      </w:r>
      <w:r w:rsidR="00350B0F">
        <w:t xml:space="preserve"> </w:t>
      </w:r>
      <w:r w:rsidRPr="00EC17BD">
        <w:t xml:space="preserve">(JSG-2) shows that </w:t>
      </w:r>
      <w:r>
        <w:t>59.3</w:t>
      </w:r>
      <w:r w:rsidRPr="00EC17BD">
        <w:t xml:space="preserve"> percent of the customers served by the proxy companies are located in jurisdictions that have </w:t>
      </w:r>
      <w:r>
        <w:t xml:space="preserve">revenue decoupling </w:t>
      </w:r>
      <w:r w:rsidRPr="00EC17BD">
        <w:t xml:space="preserve">mechanisms similar to </w:t>
      </w:r>
      <w:r>
        <w:t>Cascade’s</w:t>
      </w:r>
      <w:r w:rsidRPr="00EC17BD">
        <w:t xml:space="preserve"> proposed </w:t>
      </w:r>
      <w:r>
        <w:t>revenue decoupling mechanism</w:t>
      </w:r>
      <w:r w:rsidRPr="00EC17BD">
        <w:t xml:space="preserve">.  If </w:t>
      </w:r>
      <w:r>
        <w:t>Cascade’s</w:t>
      </w:r>
      <w:r w:rsidRPr="00EC17BD">
        <w:t xml:space="preserve"> request to implement a</w:t>
      </w:r>
      <w:r>
        <w:t xml:space="preserve"> revenue decoupling mechanism</w:t>
      </w:r>
      <w:r w:rsidRPr="00EC17BD">
        <w:t xml:space="preserve"> in </w:t>
      </w:r>
      <w:r>
        <w:t>Washington</w:t>
      </w:r>
      <w:r w:rsidRPr="00EC17BD">
        <w:t xml:space="preserve"> is approved, all else being equal, the Company will not be </w:t>
      </w:r>
      <w:r>
        <w:t>more or less risky</w:t>
      </w:r>
      <w:r w:rsidRPr="00EC17BD">
        <w:t xml:space="preserve"> than the proxy group companies </w:t>
      </w:r>
      <w:r>
        <w:t xml:space="preserve">in that risk characteristic, </w:t>
      </w:r>
      <w:r w:rsidRPr="00EC17BD">
        <w:t xml:space="preserve">and no upward adjustment to the required rate of return on common equity </w:t>
      </w:r>
      <w:r>
        <w:t>would be</w:t>
      </w:r>
      <w:r w:rsidRPr="00EC17BD">
        <w:t xml:space="preserve"> necessary. </w:t>
      </w:r>
      <w:r>
        <w:t xml:space="preserve"> However, if the WUTC were to reject Cascade’s proposed revenue decoupling mechanism, Cascade’s Washington natural gas distribution operations would have generally higher risk than the proxy companies in that characteristic.</w:t>
      </w:r>
    </w:p>
    <w:p w:rsidR="008E761B" w:rsidRPr="005A1A8C" w:rsidRDefault="008E761B" w:rsidP="008E761B">
      <w:pPr>
        <w:spacing w:line="480" w:lineRule="auto"/>
        <w:ind w:left="720" w:firstLine="720"/>
      </w:pPr>
      <w:r w:rsidRPr="00607622">
        <w:lastRenderedPageBreak/>
        <w:t xml:space="preserve">Considering only its smaller size, Cascade’s Washington natural gas distribution operations might require a return that is approximately 100 basis points higher than the return required for the typical proxy company.  </w:t>
      </w:r>
      <w:r w:rsidRPr="00782866">
        <w:t>In addition, the Company’s operations are concentrated in smaller towns and cities with local economies that are generally less diversified than those of the proxy companies.  Cascade also faces greater competitive risks from alternative fuel sources due to the low cost of electricity in Washington.</w:t>
      </w:r>
      <w:r>
        <w:t xml:space="preserve">  In summary, Cascade’s Washington natural gas distribution operations are riskier than the operations of the proxy companies.</w:t>
      </w:r>
    </w:p>
    <w:p w:rsidR="008E761B" w:rsidRPr="008E761B" w:rsidRDefault="008E761B" w:rsidP="008E761B">
      <w:pPr>
        <w:spacing w:line="480" w:lineRule="auto"/>
        <w:ind w:left="720" w:hanging="720"/>
        <w:rPr>
          <w:b/>
        </w:rPr>
      </w:pPr>
      <w:r>
        <w:rPr>
          <w:b/>
        </w:rPr>
        <w:t>Q.</w:t>
      </w:r>
      <w:r>
        <w:rPr>
          <w:b/>
        </w:rPr>
        <w:tab/>
      </w:r>
      <w:r w:rsidRPr="008E761B">
        <w:rPr>
          <w:b/>
        </w:rPr>
        <w:t>What are the regulatory risks faced by Cascade’s Washington natural gas utility operations?</w:t>
      </w:r>
    </w:p>
    <w:p w:rsidR="008E761B" w:rsidRPr="005A1A8C" w:rsidRDefault="008E761B" w:rsidP="008E761B">
      <w:pPr>
        <w:spacing w:line="480" w:lineRule="auto"/>
        <w:ind w:left="720" w:hanging="720"/>
      </w:pPr>
      <w:r>
        <w:t>A.</w:t>
      </w:r>
      <w:r>
        <w:tab/>
      </w:r>
      <w:r w:rsidRPr="005A1A8C">
        <w:t>Regulatory risk is closely related to business risk and might be considered just another aspect of business risk.  To the extent that the market demand for a natural gas distribution company’s services is sufficiently strong that the company could conceivably recover all of its costs, regulators may nevertheless set the rates at a level that will not allow for full cost recovery.  In effect, the binding constraint on natural gas distribution companies is often posed by regulation rather than by the working of market forces.  One purpose of regulation is to provide a substitute for competition where markets are not workably competitive.  As such, regulation often attempts to replicate the type of cost discipline and risks that might typically be found in highly competitive industries.</w:t>
      </w:r>
    </w:p>
    <w:p w:rsidR="008E761B" w:rsidRPr="005A1A8C" w:rsidRDefault="008E761B" w:rsidP="008E761B">
      <w:pPr>
        <w:spacing w:line="480" w:lineRule="auto"/>
        <w:ind w:left="720" w:firstLine="720"/>
      </w:pPr>
      <w:r w:rsidRPr="005A1A8C">
        <w:t xml:space="preserve">Moreover, there is the perceived risk that regulators may set allowed returns so low as to effectively undermine investor confidence and jeopardize the ability of natural gas distribution companies to finance their operations.  Thus, in some instances, </w:t>
      </w:r>
      <w:r w:rsidRPr="005A1A8C">
        <w:lastRenderedPageBreak/>
        <w:t>regulation may substitute for competition and in other instances it may limit the potential returns available to successful competitors.  In either case, regulatory risk is an important consideration for investors and has a significant effect on the cost of capital for all firms in the natural gas distribution industry.</w:t>
      </w:r>
    </w:p>
    <w:p w:rsidR="008E761B" w:rsidRPr="005A1A8C" w:rsidRDefault="008E761B" w:rsidP="008E761B">
      <w:pPr>
        <w:spacing w:line="480" w:lineRule="auto"/>
        <w:ind w:left="720" w:firstLine="720"/>
      </w:pPr>
      <w:r w:rsidRPr="005A1A8C">
        <w:t>The regulatory environment can significantly affect both the access to, and cost of capital in several ways.  As noted by Moody’s, “[f]or rate-regulated utilities, which typically operate as a monopoly, the regulatory environment and how the utility adapts to that environment are the most important credit considerations.”</w:t>
      </w:r>
      <w:r w:rsidRPr="005A1A8C">
        <w:rPr>
          <w:vertAlign w:val="superscript"/>
        </w:rPr>
        <w:footnoteReference w:id="24"/>
      </w:r>
      <w:r w:rsidRPr="005A1A8C">
        <w:t xml:space="preserve">  Moody’s further noted that:</w:t>
      </w:r>
    </w:p>
    <w:p w:rsidR="008E761B" w:rsidRPr="008E761B" w:rsidRDefault="008E761B" w:rsidP="008E761B">
      <w:pPr>
        <w:pStyle w:val="Quote"/>
        <w:spacing w:after="200"/>
        <w:jc w:val="both"/>
        <w:rPr>
          <w:rFonts w:ascii="Times New Roman" w:hAnsi="Times New Roman"/>
          <w:sz w:val="24"/>
          <w:szCs w:val="24"/>
        </w:rPr>
      </w:pPr>
      <w:r w:rsidRPr="008E761B">
        <w:rPr>
          <w:rFonts w:ascii="Times New Roman" w:hAnsi="Times New Roman"/>
          <w:sz w:val="24"/>
          <w:szCs w:val="24"/>
        </w:rPr>
        <w:t>Utility rates are set in a political/regulatory process rather than a competitive or free-market process; thus, the Regulatory Framework is a key determinant of the success of utility.  The Regulatory Framework has many components:  the governing body and the utility legislation or decrees it enacts, the manner in which regulators are appointed or elected, the rules and procedures promulgated by those regulators, the judiciary that interprets the laws and rules and that arbitrates disagreements, and the manner in which the utility manages the political and regulatory process.  In many cases, utilities have experienced credit stress or default primarily or at least secondarily because of a break-down or obstacle in the Regulatory Framework – for instance, laws that prohibited regulators from including investments in uncompleted power plants or plants not deemed “used and useful” in rates, or a disagreement about rate-making that could not be resolved until after the utility had defaulted on its debts.</w:t>
      </w:r>
      <w:r w:rsidRPr="008E761B">
        <w:rPr>
          <w:rFonts w:ascii="Times New Roman" w:hAnsi="Times New Roman"/>
          <w:sz w:val="24"/>
          <w:szCs w:val="24"/>
          <w:vertAlign w:val="superscript"/>
        </w:rPr>
        <w:footnoteReference w:id="25"/>
      </w:r>
    </w:p>
    <w:p w:rsidR="008E761B" w:rsidRPr="005A1A8C" w:rsidRDefault="008E761B" w:rsidP="008E761B">
      <w:pPr>
        <w:spacing w:line="480" w:lineRule="auto"/>
        <w:ind w:left="720"/>
      </w:pPr>
      <w:r w:rsidRPr="005A1A8C">
        <w:t xml:space="preserve">Regulatory Research Associates </w:t>
      </w:r>
      <w:r w:rsidR="00B94A13">
        <w:t>(</w:t>
      </w:r>
      <w:r>
        <w:t xml:space="preserve">RRA) recently lowered its </w:t>
      </w:r>
      <w:r w:rsidRPr="005A1A8C">
        <w:t xml:space="preserve">rating </w:t>
      </w:r>
      <w:r>
        <w:t>for the WUTC to</w:t>
      </w:r>
      <w:r w:rsidRPr="005A1A8C">
        <w:t xml:space="preserve"> Average / </w:t>
      </w:r>
      <w:r>
        <w:t>3</w:t>
      </w:r>
      <w:r w:rsidRPr="005A1A8C">
        <w:t xml:space="preserve">, </w:t>
      </w:r>
      <w:r>
        <w:t>which is one notch below average on the nine-point scale</w:t>
      </w:r>
      <w:r w:rsidRPr="005A1A8C">
        <w:t>.</w:t>
      </w:r>
      <w:r w:rsidRPr="005A1A8C">
        <w:rPr>
          <w:vertAlign w:val="superscript"/>
        </w:rPr>
        <w:footnoteReference w:id="26"/>
      </w:r>
      <w:r w:rsidRPr="005A1A8C">
        <w:t xml:space="preserve">  </w:t>
      </w:r>
      <w:r>
        <w:t xml:space="preserve">In announcing the reduction on October 28, 2015, RRA noted that the “regulatory environment in </w:t>
      </w:r>
      <w:r>
        <w:lastRenderedPageBreak/>
        <w:t>Washington is relatively restrictive from an investor viewpoint.”</w:t>
      </w:r>
      <w:r>
        <w:rPr>
          <w:rStyle w:val="FootnoteReference"/>
        </w:rPr>
        <w:footnoteReference w:id="27"/>
      </w:r>
      <w:r>
        <w:t xml:space="preserve">  In particular, RRA noted that “authorized equity returns, some of which were approved following settlements, have been below prevailing industry averages when established.”</w:t>
      </w:r>
      <w:r>
        <w:rPr>
          <w:rStyle w:val="FootnoteReference"/>
        </w:rPr>
        <w:footnoteReference w:id="28"/>
      </w:r>
      <w:r>
        <w:t xml:space="preserve">  </w:t>
      </w:r>
      <w:r w:rsidRPr="005A1A8C">
        <w:t xml:space="preserve">This </w:t>
      </w:r>
      <w:r>
        <w:t xml:space="preserve">RRA </w:t>
      </w:r>
      <w:r w:rsidRPr="005A1A8C">
        <w:t xml:space="preserve">rating suggests </w:t>
      </w:r>
      <w:r>
        <w:t>that Cascade’s Washington natural gas distribution operations should be considered to have slightly above average regulatory risk.</w:t>
      </w:r>
    </w:p>
    <w:p w:rsidR="008E761B" w:rsidRPr="0036305D" w:rsidRDefault="0036305D" w:rsidP="0036305D">
      <w:pPr>
        <w:spacing w:line="480" w:lineRule="auto"/>
        <w:rPr>
          <w:b/>
        </w:rPr>
      </w:pPr>
      <w:r>
        <w:rPr>
          <w:b/>
        </w:rPr>
        <w:t>Q.</w:t>
      </w:r>
      <w:r>
        <w:rPr>
          <w:b/>
        </w:rPr>
        <w:tab/>
      </w:r>
      <w:r w:rsidR="008E761B" w:rsidRPr="0036305D">
        <w:rPr>
          <w:b/>
        </w:rPr>
        <w:t>Would you please describe Cascade’s relative financial risks?</w:t>
      </w:r>
    </w:p>
    <w:p w:rsidR="008E761B" w:rsidRDefault="0036305D" w:rsidP="0036305D">
      <w:pPr>
        <w:spacing w:line="480" w:lineRule="auto"/>
        <w:ind w:left="720" w:hanging="720"/>
      </w:pPr>
      <w:r>
        <w:t>A.</w:t>
      </w:r>
      <w:r>
        <w:tab/>
      </w:r>
      <w:r w:rsidR="008E761B" w:rsidRPr="005A1A8C">
        <w:t>Financial risk exists to the extent that a company incurs fixed obligations in financing its operations.  These fixed obligations increase the level of income which must be generated before common stockholders receive any return and serve to magnify the effects of business and regulatory risks.  Fixed financial obligations also increase the probability of bankruptcy by reducing the company’s financial flexibility and ability to respond to adverse circumstances.  One possible indicator of investors’ perceptions of relative financial risk in this case might be obtained from credit ratings.</w:t>
      </w:r>
    </w:p>
    <w:p w:rsidR="008E761B" w:rsidRPr="005A1A8C" w:rsidRDefault="008E761B" w:rsidP="0036305D">
      <w:pPr>
        <w:spacing w:line="480" w:lineRule="auto"/>
        <w:ind w:left="720" w:firstLine="720"/>
      </w:pPr>
      <w:r>
        <w:t>P</w:t>
      </w:r>
      <w:r w:rsidRPr="005A1A8C">
        <w:t>age 2 of Schedule 3 of Exhibit No.__</w:t>
      </w:r>
      <w:r w:rsidR="00350B0F">
        <w:t xml:space="preserve"> </w:t>
      </w:r>
      <w:r w:rsidRPr="005A1A8C">
        <w:t xml:space="preserve">(JSG-2) shows the credit ratings assigned by S&amp;P and Moody’s to each of the companies in the comparison group and </w:t>
      </w:r>
      <w:r>
        <w:t>Cascade</w:t>
      </w:r>
      <w:r w:rsidRPr="005A1A8C">
        <w:t>.</w:t>
      </w:r>
      <w:r>
        <w:t xml:space="preserve">  </w:t>
      </w:r>
      <w:r w:rsidRPr="005A1A8C">
        <w:t xml:space="preserve">The median S&amp;P credit rating for companies in the proxy group is </w:t>
      </w:r>
      <w:r w:rsidRPr="000C42DB">
        <w:t>A-</w:t>
      </w:r>
      <w:r w:rsidRPr="007A4102">
        <w:t>.</w:t>
      </w:r>
      <w:r w:rsidRPr="005A1A8C">
        <w:t xml:space="preserve">  By comparison, </w:t>
      </w:r>
      <w:r w:rsidRPr="003E689A">
        <w:t>Cascade’s long-term rating from S&amp;P is BBB+.</w:t>
      </w:r>
      <w:r w:rsidRPr="005A1A8C">
        <w:t xml:space="preserve">  This suggests that the perceived business and financial risk of </w:t>
      </w:r>
      <w:r>
        <w:t>Cascade’s</w:t>
      </w:r>
      <w:r w:rsidRPr="005A1A8C">
        <w:t xml:space="preserve"> bonds is slightly higher than that of the typical company in the comparison group.</w:t>
      </w:r>
    </w:p>
    <w:p w:rsidR="008E761B" w:rsidRPr="005A1A8C" w:rsidRDefault="008E761B" w:rsidP="0036305D">
      <w:pPr>
        <w:spacing w:line="480" w:lineRule="auto"/>
        <w:ind w:left="720" w:firstLine="720"/>
      </w:pPr>
      <w:r w:rsidRPr="005A1A8C">
        <w:lastRenderedPageBreak/>
        <w:t xml:space="preserve">The capital structure data on Schedule </w:t>
      </w:r>
      <w:r>
        <w:t>8</w:t>
      </w:r>
      <w:r w:rsidRPr="005A1A8C">
        <w:t xml:space="preserve"> of Exhibit No.__</w:t>
      </w:r>
      <w:r w:rsidR="00350B0F">
        <w:t xml:space="preserve"> </w:t>
      </w:r>
      <w:r w:rsidRPr="005A1A8C">
        <w:t xml:space="preserve">(JSG-2) show that </w:t>
      </w:r>
      <w:r>
        <w:t>Cascade’s</w:t>
      </w:r>
      <w:r w:rsidRPr="005A1A8C">
        <w:t xml:space="preserve"> filed common equity ratio of </w:t>
      </w:r>
      <w:r w:rsidRPr="00E226B8">
        <w:t>50.00</w:t>
      </w:r>
      <w:r w:rsidRPr="007A4102">
        <w:t xml:space="preserve"> percent is </w:t>
      </w:r>
      <w:r>
        <w:t>very close to</w:t>
      </w:r>
      <w:r w:rsidRPr="007A4102">
        <w:t xml:space="preserve"> the </w:t>
      </w:r>
      <w:r>
        <w:t>50.16</w:t>
      </w:r>
      <w:r w:rsidRPr="00F17E73">
        <w:t xml:space="preserve"> percent median for the proxy companies as of June 30, 2015</w:t>
      </w:r>
      <w:r>
        <w:t>, suggesting average financial risk</w:t>
      </w:r>
      <w:r w:rsidRPr="00F17E73">
        <w:t xml:space="preserve">.  </w:t>
      </w:r>
      <w:r>
        <w:t xml:space="preserve">However, </w:t>
      </w:r>
      <w:r w:rsidRPr="00B809EF">
        <w:t>t</w:t>
      </w:r>
      <w:r w:rsidRPr="00782866">
        <w:t>he Company’s below-average credit rating</w:t>
      </w:r>
      <w:r w:rsidRPr="00F17E73">
        <w:t xml:space="preserve"> </w:t>
      </w:r>
      <w:r>
        <w:t xml:space="preserve">suggests that a </w:t>
      </w:r>
      <w:r w:rsidRPr="00F17E73">
        <w:t>h</w:t>
      </w:r>
      <w:r>
        <w:t>igher</w:t>
      </w:r>
      <w:r w:rsidRPr="005A1A8C">
        <w:t xml:space="preserve"> common equity ratio</w:t>
      </w:r>
      <w:r>
        <w:t xml:space="preserve"> would be required to </w:t>
      </w:r>
      <w:r w:rsidRPr="00C356D5">
        <w:t xml:space="preserve">offset </w:t>
      </w:r>
      <w:r>
        <w:t xml:space="preserve">Cascade’s above-average business risks.  </w:t>
      </w:r>
    </w:p>
    <w:p w:rsidR="008E761B" w:rsidRPr="0036305D" w:rsidRDefault="0036305D" w:rsidP="0036305D">
      <w:pPr>
        <w:spacing w:line="480" w:lineRule="auto"/>
        <w:rPr>
          <w:b/>
        </w:rPr>
      </w:pPr>
      <w:r>
        <w:rPr>
          <w:b/>
        </w:rPr>
        <w:t>Q.</w:t>
      </w:r>
      <w:r>
        <w:rPr>
          <w:b/>
        </w:rPr>
        <w:tab/>
      </w:r>
      <w:r w:rsidR="008E761B" w:rsidRPr="0036305D">
        <w:rPr>
          <w:b/>
        </w:rPr>
        <w:t>Would you please describe Cascade’s market risks?</w:t>
      </w:r>
    </w:p>
    <w:p w:rsidR="008E761B" w:rsidRPr="005A1A8C" w:rsidRDefault="0036305D" w:rsidP="0036305D">
      <w:pPr>
        <w:spacing w:line="480" w:lineRule="auto"/>
        <w:ind w:left="720" w:hanging="720"/>
      </w:pPr>
      <w:r>
        <w:t>A.</w:t>
      </w:r>
      <w:r>
        <w:tab/>
      </w:r>
      <w:r w:rsidR="008E761B" w:rsidRPr="005A1A8C">
        <w:t xml:space="preserve">Market risk is associated with the changing value of all investments because of business cycles, inflation, and fluctuations in the general cost of capital throughout the economy.  Different companies are subject to different degrees of market risk largely as a result of differences in their business and financial risks.  Overall, the market risk of </w:t>
      </w:r>
      <w:r w:rsidR="008E761B">
        <w:t>Cascade’s</w:t>
      </w:r>
      <w:r w:rsidR="008E761B" w:rsidRPr="005A1A8C">
        <w:t xml:space="preserve"> </w:t>
      </w:r>
      <w:r w:rsidR="008E761B">
        <w:t>Washington</w:t>
      </w:r>
      <w:r w:rsidR="008E761B" w:rsidRPr="005A1A8C">
        <w:t xml:space="preserve"> natural gas distribution business is comparable to that of the companies in the natural gas distribution comparison group.</w:t>
      </w:r>
    </w:p>
    <w:p w:rsidR="008E761B" w:rsidRPr="0036305D" w:rsidRDefault="0036305D" w:rsidP="0036305D">
      <w:pPr>
        <w:spacing w:line="480" w:lineRule="auto"/>
        <w:ind w:left="720" w:hanging="720"/>
        <w:rPr>
          <w:b/>
        </w:rPr>
      </w:pPr>
      <w:r>
        <w:rPr>
          <w:b/>
        </w:rPr>
        <w:t>Q.</w:t>
      </w:r>
      <w:r>
        <w:rPr>
          <w:b/>
        </w:rPr>
        <w:tab/>
      </w:r>
      <w:r w:rsidR="008E761B" w:rsidRPr="0036305D">
        <w:rPr>
          <w:b/>
        </w:rPr>
        <w:t>How do the overall risks of the proxy companies compare with the risks faced by Cascade’s Washington natural gas distribution operations?</w:t>
      </w:r>
    </w:p>
    <w:p w:rsidR="008E761B" w:rsidRDefault="0036305D" w:rsidP="0036305D">
      <w:pPr>
        <w:spacing w:line="480" w:lineRule="auto"/>
        <w:ind w:left="720" w:hanging="720"/>
      </w:pPr>
      <w:r>
        <w:t>A.</w:t>
      </w:r>
      <w:r>
        <w:tab/>
      </w:r>
      <w:r w:rsidR="008E761B">
        <w:t>Cascade’s</w:t>
      </w:r>
      <w:r w:rsidR="008E761B" w:rsidRPr="005A1A8C">
        <w:t xml:space="preserve"> </w:t>
      </w:r>
      <w:r w:rsidR="008E761B">
        <w:t>Washington</w:t>
      </w:r>
      <w:r w:rsidR="008E761B" w:rsidRPr="005A1A8C">
        <w:t xml:space="preserve"> natural gas distribution operations face overall risks that are </w:t>
      </w:r>
      <w:r w:rsidR="008E761B">
        <w:t>above the median</w:t>
      </w:r>
      <w:r w:rsidR="008E761B" w:rsidRPr="005A1A8C">
        <w:t xml:space="preserve"> relative to those of the proxy companies.  Although it has </w:t>
      </w:r>
      <w:r w:rsidR="008E761B">
        <w:t xml:space="preserve">average </w:t>
      </w:r>
      <w:r w:rsidR="008E761B" w:rsidRPr="005A1A8C">
        <w:t xml:space="preserve">financial risks, </w:t>
      </w:r>
      <w:r w:rsidR="008E761B">
        <w:t>Cascade</w:t>
      </w:r>
      <w:r w:rsidR="008E761B" w:rsidRPr="005A1A8C">
        <w:t xml:space="preserve"> </w:t>
      </w:r>
      <w:r w:rsidR="008E761B">
        <w:t xml:space="preserve">has above-average business risks due primarily to </w:t>
      </w:r>
      <w:r w:rsidR="008E761B" w:rsidRPr="005A1A8C">
        <w:t xml:space="preserve">its </w:t>
      </w:r>
      <w:r w:rsidR="008E761B" w:rsidRPr="00782866">
        <w:t>small size relative to the proxy companies and its exposure to competition from alternative fuels and to a relatively undiversified local economy</w:t>
      </w:r>
      <w:r w:rsidR="008E761B">
        <w:t xml:space="preserve"> and above-average regulatory risks</w:t>
      </w:r>
      <w:r w:rsidR="008E761B" w:rsidRPr="00782866">
        <w:t>.</w:t>
      </w:r>
      <w:r w:rsidR="008E761B" w:rsidRPr="00F24FEE">
        <w:t xml:space="preserve"> </w:t>
      </w:r>
      <w:r w:rsidR="008E761B">
        <w:t xml:space="preserve"> This conclusion is consistent with that of Standard &amp; Poor’s which found that Cascade has above-average risk for a gas distribution company:</w:t>
      </w:r>
    </w:p>
    <w:p w:rsidR="008E761B" w:rsidRPr="0036305D" w:rsidRDefault="008E761B" w:rsidP="0036305D">
      <w:pPr>
        <w:pStyle w:val="Quote"/>
        <w:spacing w:after="200"/>
        <w:jc w:val="both"/>
        <w:rPr>
          <w:rFonts w:ascii="Times New Roman" w:hAnsi="Times New Roman"/>
          <w:sz w:val="24"/>
          <w:szCs w:val="24"/>
        </w:rPr>
      </w:pPr>
      <w:r w:rsidRPr="0036305D">
        <w:rPr>
          <w:rFonts w:ascii="Times New Roman" w:hAnsi="Times New Roman"/>
          <w:sz w:val="24"/>
          <w:szCs w:val="24"/>
        </w:rPr>
        <w:t xml:space="preserve">Based on our "strong" business risk and "intermediate" financial risk profile assessments, there are two potential anchor outcomes </w:t>
      </w:r>
      <w:r w:rsidRPr="0036305D">
        <w:rPr>
          <w:rFonts w:ascii="Times New Roman" w:hAnsi="Times New Roman"/>
          <w:sz w:val="24"/>
          <w:szCs w:val="24"/>
        </w:rPr>
        <w:lastRenderedPageBreak/>
        <w:t xml:space="preserve">('a-' or 'bbb+') for Cascade. Our choice of a 'bbb+' anchor reflects our view that the "strong" </w:t>
      </w:r>
      <w:r w:rsidRPr="0036305D">
        <w:rPr>
          <w:rFonts w:ascii="Times New Roman" w:hAnsi="Times New Roman"/>
          <w:b/>
          <w:sz w:val="24"/>
          <w:szCs w:val="24"/>
          <w:u w:val="single"/>
        </w:rPr>
        <w:t>business risk profile is in the lower half of this category compared with peers</w:t>
      </w:r>
      <w:r w:rsidRPr="0036305D">
        <w:rPr>
          <w:rFonts w:ascii="Times New Roman" w:hAnsi="Times New Roman"/>
          <w:sz w:val="24"/>
          <w:szCs w:val="24"/>
        </w:rPr>
        <w:t>. This reflects a small customer base of roughly 260,000 spread over mostly Washington and some areas of Oregon, resulting in limited geographic and customer diversity. Also captured in this determination is regulatory support in Washington that may not always be robust enough to provide operating cash flow to maintain the existing strong cash flow measures.</w:t>
      </w:r>
      <w:r w:rsidRPr="0036305D">
        <w:rPr>
          <w:rStyle w:val="FootnoteReference"/>
          <w:rFonts w:ascii="Times New Roman" w:hAnsi="Times New Roman"/>
          <w:sz w:val="24"/>
          <w:szCs w:val="24"/>
        </w:rPr>
        <w:footnoteReference w:id="29"/>
      </w:r>
    </w:p>
    <w:p w:rsidR="008E761B" w:rsidRPr="005A1A8C" w:rsidRDefault="008E761B" w:rsidP="0036305D">
      <w:pPr>
        <w:spacing w:line="480" w:lineRule="auto"/>
        <w:ind w:left="720" w:firstLine="720"/>
      </w:pPr>
      <w:r>
        <w:t>Although my analysis assumes approval of Cascade’s proposed decoupling mechanism, absent WUTC approval of that mechanism,</w:t>
      </w:r>
      <w:r w:rsidRPr="00F24FEE">
        <w:t xml:space="preserve"> </w:t>
      </w:r>
      <w:r>
        <w:t>Cascade</w:t>
      </w:r>
      <w:r w:rsidRPr="00F24FEE">
        <w:t xml:space="preserve"> </w:t>
      </w:r>
      <w:r>
        <w:t xml:space="preserve">would continue to face </w:t>
      </w:r>
      <w:r w:rsidRPr="00F24FEE">
        <w:t xml:space="preserve">greater rate design risk than the typical company in the proxy group, the majority of which have </w:t>
      </w:r>
      <w:r>
        <w:t>revenue decoupling mechanisms</w:t>
      </w:r>
      <w:r w:rsidRPr="00F24FEE">
        <w:t xml:space="preserve"> to protect against fluctuations in volume.</w:t>
      </w:r>
      <w:r w:rsidRPr="004337A9">
        <w:t xml:space="preserve">  The</w:t>
      </w:r>
      <w:r>
        <w:t xml:space="preserve"> greater business and regulatory risk </w:t>
      </w:r>
      <w:r w:rsidRPr="005A1A8C">
        <w:t xml:space="preserve">lead me to conclude that investors appraise the overall risks of </w:t>
      </w:r>
      <w:r>
        <w:t>Cascade’s</w:t>
      </w:r>
      <w:r w:rsidRPr="005A1A8C">
        <w:t xml:space="preserve"> </w:t>
      </w:r>
      <w:r>
        <w:t>Washington</w:t>
      </w:r>
      <w:r w:rsidRPr="005A1A8C">
        <w:t xml:space="preserve"> natural gas distribution operations to be above average relative to th</w:t>
      </w:r>
      <w:r>
        <w:t>e risks</w:t>
      </w:r>
      <w:r w:rsidRPr="005A1A8C">
        <w:t xml:space="preserve"> of the proxy companies.  Consequently, </w:t>
      </w:r>
      <w:r>
        <w:t>Cascade’s</w:t>
      </w:r>
      <w:r w:rsidRPr="005A1A8C">
        <w:t xml:space="preserve"> </w:t>
      </w:r>
      <w:r>
        <w:t xml:space="preserve">Washington </w:t>
      </w:r>
      <w:r w:rsidRPr="005A1A8C">
        <w:t xml:space="preserve">natural gas distribution business requires an allowed rate of return that is </w:t>
      </w:r>
      <w:r>
        <w:t>significantly above the median</w:t>
      </w:r>
      <w:r w:rsidRPr="005A1A8C">
        <w:t xml:space="preserve"> of the range for the companies in the proxy group indicated by my DCF analyses.</w:t>
      </w:r>
    </w:p>
    <w:p w:rsidR="0036305D" w:rsidRPr="0036305D" w:rsidRDefault="0036305D" w:rsidP="0036305D">
      <w:pPr>
        <w:pStyle w:val="Heading1"/>
        <w:spacing w:line="480" w:lineRule="auto"/>
        <w:rPr>
          <w:rFonts w:ascii="Times New Roman" w:hAnsi="Times New Roman" w:cs="Times New Roman"/>
          <w:sz w:val="24"/>
          <w:szCs w:val="24"/>
        </w:rPr>
      </w:pPr>
      <w:bookmarkStart w:id="21" w:name="_Toc436731623"/>
      <w:r w:rsidRPr="0036305D">
        <w:rPr>
          <w:rFonts w:ascii="Times New Roman" w:hAnsi="Times New Roman" w:cs="Times New Roman"/>
          <w:sz w:val="24"/>
          <w:szCs w:val="24"/>
        </w:rPr>
        <w:t>SUMMARY AND CONCLUSIONS</w:t>
      </w:r>
      <w:bookmarkEnd w:id="21"/>
    </w:p>
    <w:p w:rsidR="0036305D" w:rsidRPr="0036305D" w:rsidRDefault="0036305D" w:rsidP="0036305D">
      <w:pPr>
        <w:spacing w:line="480" w:lineRule="auto"/>
        <w:rPr>
          <w:b/>
        </w:rPr>
      </w:pPr>
      <w:r w:rsidRPr="0036305D">
        <w:rPr>
          <w:b/>
        </w:rPr>
        <w:t>Q.</w:t>
      </w:r>
      <w:r w:rsidRPr="0036305D">
        <w:rPr>
          <w:b/>
        </w:rPr>
        <w:tab/>
        <w:t>Please summarize the results of your cost of capital study.</w:t>
      </w:r>
    </w:p>
    <w:p w:rsidR="0036305D" w:rsidRPr="005A1A8C" w:rsidRDefault="0036305D" w:rsidP="0036305D">
      <w:pPr>
        <w:spacing w:line="480" w:lineRule="auto"/>
        <w:ind w:left="720" w:hanging="720"/>
      </w:pPr>
      <w:r>
        <w:t>A.</w:t>
      </w:r>
      <w:r>
        <w:tab/>
      </w:r>
      <w:r w:rsidRPr="005A1A8C">
        <w:t xml:space="preserve">I conducted three DCF analyses on a group of natural gas distribution companies that have a range of risks that is roughly comparable to those of </w:t>
      </w:r>
      <w:r>
        <w:t>Cascade’s</w:t>
      </w:r>
      <w:r w:rsidRPr="005A1A8C">
        <w:t xml:space="preserve"> </w:t>
      </w:r>
      <w:r>
        <w:t>Washington</w:t>
      </w:r>
      <w:r w:rsidRPr="005A1A8C">
        <w:t xml:space="preserve"> natural gas distribution operations.  These results are summarized as follows:</w:t>
      </w:r>
    </w:p>
    <w:p w:rsidR="0036305D" w:rsidRPr="0036305D" w:rsidRDefault="0036305D" w:rsidP="0036305D">
      <w:pPr>
        <w:keepNext/>
        <w:spacing w:line="240" w:lineRule="auto"/>
        <w:ind w:left="720"/>
      </w:pPr>
      <w:r w:rsidRPr="0036305D">
        <w:lastRenderedPageBreak/>
        <w:t xml:space="preserve">Table </w:t>
      </w:r>
      <w:r w:rsidRPr="0036305D">
        <w:rPr>
          <w:noProof/>
        </w:rPr>
        <w:t>2</w:t>
      </w:r>
      <w:r w:rsidRPr="0036305D">
        <w:t>:  Summary of DCF Results</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84"/>
        <w:gridCol w:w="1440"/>
        <w:gridCol w:w="1440"/>
        <w:gridCol w:w="1440"/>
      </w:tblGrid>
      <w:tr w:rsidR="0036305D" w:rsidRPr="0036305D" w:rsidTr="00CE0C16">
        <w:trPr>
          <w:jc w:val="center"/>
        </w:trPr>
        <w:tc>
          <w:tcPr>
            <w:tcW w:w="1584" w:type="dxa"/>
            <w:vAlign w:val="bottom"/>
          </w:tcPr>
          <w:p w:rsidR="0036305D" w:rsidRPr="0036305D" w:rsidRDefault="0036305D" w:rsidP="0036305D">
            <w:pPr>
              <w:keepNext/>
              <w:rPr>
                <w:rFonts w:ascii="Times New Roman" w:hAnsi="Times New Roman" w:cs="Times New Roman"/>
              </w:rPr>
            </w:pPr>
          </w:p>
        </w:tc>
        <w:tc>
          <w:tcPr>
            <w:tcW w:w="1440" w:type="dxa"/>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Retention Growth DCF Analysis</w:t>
            </w:r>
          </w:p>
        </w:tc>
        <w:tc>
          <w:tcPr>
            <w:tcW w:w="1440" w:type="dxa"/>
            <w:vAlign w:val="bottom"/>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Basic DCF Analysis</w:t>
            </w:r>
          </w:p>
        </w:tc>
        <w:tc>
          <w:tcPr>
            <w:tcW w:w="1440" w:type="dxa"/>
            <w:vAlign w:val="bottom"/>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Blended Growth Rate DCF Analysis</w:t>
            </w:r>
          </w:p>
        </w:tc>
      </w:tr>
      <w:tr w:rsidR="0036305D" w:rsidRPr="0036305D" w:rsidTr="00CE0C16">
        <w:trPr>
          <w:jc w:val="center"/>
        </w:trPr>
        <w:tc>
          <w:tcPr>
            <w:tcW w:w="1584"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High</w:t>
            </w:r>
          </w:p>
        </w:tc>
        <w:tc>
          <w:tcPr>
            <w:tcW w:w="1440" w:type="dxa"/>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10.04%</w:t>
            </w:r>
          </w:p>
        </w:tc>
        <w:tc>
          <w:tcPr>
            <w:tcW w:w="1440"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10.54%</w:t>
            </w:r>
          </w:p>
        </w:tc>
        <w:tc>
          <w:tcPr>
            <w:tcW w:w="1440"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10.29%</w:t>
            </w:r>
          </w:p>
        </w:tc>
      </w:tr>
      <w:tr w:rsidR="0036305D" w:rsidRPr="0036305D" w:rsidTr="00CE0C16">
        <w:trPr>
          <w:jc w:val="center"/>
        </w:trPr>
        <w:tc>
          <w:tcPr>
            <w:tcW w:w="1584"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3</w:t>
            </w:r>
            <w:r w:rsidRPr="0036305D">
              <w:rPr>
                <w:rFonts w:ascii="Times New Roman" w:hAnsi="Times New Roman" w:cs="Times New Roman"/>
                <w:vertAlign w:val="superscript"/>
              </w:rPr>
              <w:t>rd</w:t>
            </w:r>
            <w:r w:rsidRPr="0036305D">
              <w:rPr>
                <w:rFonts w:ascii="Times New Roman" w:hAnsi="Times New Roman" w:cs="Times New Roman"/>
              </w:rPr>
              <w:t xml:space="preserve"> Quartile</w:t>
            </w:r>
          </w:p>
        </w:tc>
        <w:tc>
          <w:tcPr>
            <w:tcW w:w="1440" w:type="dxa"/>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9.79%</w:t>
            </w:r>
          </w:p>
        </w:tc>
        <w:tc>
          <w:tcPr>
            <w:tcW w:w="1440"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10.34%</w:t>
            </w:r>
          </w:p>
        </w:tc>
        <w:tc>
          <w:tcPr>
            <w:tcW w:w="1440"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9.76%</w:t>
            </w:r>
          </w:p>
        </w:tc>
      </w:tr>
      <w:tr w:rsidR="0036305D" w:rsidRPr="0036305D" w:rsidTr="00CE0C16">
        <w:trPr>
          <w:jc w:val="center"/>
        </w:trPr>
        <w:tc>
          <w:tcPr>
            <w:tcW w:w="1584"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Median</w:t>
            </w:r>
          </w:p>
        </w:tc>
        <w:tc>
          <w:tcPr>
            <w:tcW w:w="1440" w:type="dxa"/>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9.02%</w:t>
            </w:r>
          </w:p>
        </w:tc>
        <w:tc>
          <w:tcPr>
            <w:tcW w:w="1440"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9.64%</w:t>
            </w:r>
          </w:p>
        </w:tc>
        <w:tc>
          <w:tcPr>
            <w:tcW w:w="1440"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9.43%</w:t>
            </w:r>
          </w:p>
        </w:tc>
      </w:tr>
      <w:tr w:rsidR="0036305D" w:rsidRPr="0036305D" w:rsidTr="00CE0C16">
        <w:trPr>
          <w:jc w:val="center"/>
        </w:trPr>
        <w:tc>
          <w:tcPr>
            <w:tcW w:w="1584"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1</w:t>
            </w:r>
            <w:r w:rsidRPr="0036305D">
              <w:rPr>
                <w:rFonts w:ascii="Times New Roman" w:hAnsi="Times New Roman" w:cs="Times New Roman"/>
                <w:vertAlign w:val="superscript"/>
              </w:rPr>
              <w:t>st</w:t>
            </w:r>
            <w:r w:rsidRPr="0036305D">
              <w:rPr>
                <w:rFonts w:ascii="Times New Roman" w:hAnsi="Times New Roman" w:cs="Times New Roman"/>
              </w:rPr>
              <w:t xml:space="preserve"> Quartile</w:t>
            </w:r>
          </w:p>
        </w:tc>
        <w:tc>
          <w:tcPr>
            <w:tcW w:w="1440" w:type="dxa"/>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8.37%</w:t>
            </w:r>
          </w:p>
        </w:tc>
        <w:tc>
          <w:tcPr>
            <w:tcW w:w="1440"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8.55%</w:t>
            </w:r>
          </w:p>
        </w:tc>
        <w:tc>
          <w:tcPr>
            <w:tcW w:w="1440" w:type="dxa"/>
            <w:vAlign w:val="center"/>
          </w:tcPr>
          <w:p w:rsidR="0036305D" w:rsidRPr="0036305D" w:rsidRDefault="0036305D" w:rsidP="0036305D">
            <w:pPr>
              <w:keepNext/>
              <w:rPr>
                <w:rFonts w:ascii="Times New Roman" w:hAnsi="Times New Roman" w:cs="Times New Roman"/>
              </w:rPr>
            </w:pPr>
            <w:r w:rsidRPr="0036305D">
              <w:rPr>
                <w:rFonts w:ascii="Times New Roman" w:hAnsi="Times New Roman" w:cs="Times New Roman"/>
              </w:rPr>
              <w:t>8.55%</w:t>
            </w:r>
          </w:p>
        </w:tc>
      </w:tr>
      <w:tr w:rsidR="0036305D" w:rsidTr="00CE0C16">
        <w:trPr>
          <w:jc w:val="center"/>
        </w:trPr>
        <w:tc>
          <w:tcPr>
            <w:tcW w:w="1584" w:type="dxa"/>
            <w:vAlign w:val="center"/>
          </w:tcPr>
          <w:p w:rsidR="0036305D" w:rsidRDefault="0036305D" w:rsidP="0036305D">
            <w:pPr>
              <w:keepNext/>
            </w:pPr>
            <w:r>
              <w:t>Low</w:t>
            </w:r>
          </w:p>
        </w:tc>
        <w:tc>
          <w:tcPr>
            <w:tcW w:w="1440" w:type="dxa"/>
          </w:tcPr>
          <w:p w:rsidR="0036305D" w:rsidRDefault="0036305D" w:rsidP="0036305D">
            <w:pPr>
              <w:keepNext/>
            </w:pPr>
            <w:r>
              <w:t>7.89%</w:t>
            </w:r>
          </w:p>
        </w:tc>
        <w:tc>
          <w:tcPr>
            <w:tcW w:w="1440" w:type="dxa"/>
            <w:vAlign w:val="center"/>
          </w:tcPr>
          <w:p w:rsidR="0036305D" w:rsidRPr="00E54878" w:rsidRDefault="0036305D" w:rsidP="0036305D">
            <w:pPr>
              <w:keepNext/>
            </w:pPr>
            <w:r>
              <w:t>7.81%</w:t>
            </w:r>
          </w:p>
        </w:tc>
        <w:tc>
          <w:tcPr>
            <w:tcW w:w="1440" w:type="dxa"/>
            <w:vAlign w:val="center"/>
          </w:tcPr>
          <w:p w:rsidR="0036305D" w:rsidRPr="00E54878" w:rsidRDefault="0036305D" w:rsidP="0036305D">
            <w:pPr>
              <w:keepNext/>
            </w:pPr>
            <w:r>
              <w:t>8.19%</w:t>
            </w:r>
          </w:p>
        </w:tc>
      </w:tr>
    </w:tbl>
    <w:p w:rsidR="0036305D" w:rsidRDefault="0036305D" w:rsidP="0036305D"/>
    <w:p w:rsidR="0036305D" w:rsidRPr="0036305D" w:rsidRDefault="0036305D" w:rsidP="0036305D">
      <w:pPr>
        <w:spacing w:line="480" w:lineRule="auto"/>
        <w:ind w:left="720"/>
      </w:pPr>
      <w:r>
        <w:t>In addition, I conducted two risk premium analyses,</w:t>
      </w:r>
      <w:r w:rsidRPr="006973C9">
        <w:t xml:space="preserve"> a market DCF analysis of the S&amp;P 500</w:t>
      </w:r>
      <w:r>
        <w:t xml:space="preserve">, and a CAPM analysis to test the reasonableness of my DCF analyses.  Those results </w:t>
      </w:r>
      <w:r w:rsidRPr="0036305D">
        <w:t>are summarized as follows:</w:t>
      </w:r>
    </w:p>
    <w:p w:rsidR="0036305D" w:rsidRPr="0036305D" w:rsidRDefault="0036305D" w:rsidP="00EE62E6">
      <w:pPr>
        <w:keepNext/>
        <w:spacing w:line="240" w:lineRule="auto"/>
        <w:ind w:firstLine="720"/>
      </w:pPr>
      <w:r w:rsidRPr="0036305D">
        <w:t xml:space="preserve">Table </w:t>
      </w:r>
      <w:r w:rsidRPr="0036305D">
        <w:rPr>
          <w:noProof/>
        </w:rPr>
        <w:t>3</w:t>
      </w:r>
      <w:r w:rsidRPr="0036305D">
        <w:t>:  Benchmark Risk Premium and Market DCF Analyses</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320"/>
        <w:gridCol w:w="1440"/>
      </w:tblGrid>
      <w:tr w:rsidR="0036305D" w:rsidRPr="0036305D" w:rsidTr="00CE0C16">
        <w:trPr>
          <w:jc w:val="center"/>
        </w:trPr>
        <w:tc>
          <w:tcPr>
            <w:tcW w:w="4320" w:type="dxa"/>
            <w:vAlign w:val="bottom"/>
          </w:tcPr>
          <w:p w:rsidR="0036305D" w:rsidRPr="0036305D" w:rsidRDefault="0036305D" w:rsidP="00EE62E6">
            <w:pPr>
              <w:keepNext/>
              <w:rPr>
                <w:rFonts w:ascii="Times New Roman" w:hAnsi="Times New Roman" w:cs="Times New Roman"/>
              </w:rPr>
            </w:pPr>
          </w:p>
        </w:tc>
        <w:tc>
          <w:tcPr>
            <w:tcW w:w="1440" w:type="dxa"/>
            <w:vAlign w:val="bottom"/>
          </w:tcPr>
          <w:p w:rsidR="0036305D" w:rsidRPr="0036305D" w:rsidRDefault="0036305D" w:rsidP="00EE62E6">
            <w:pPr>
              <w:keepNext/>
              <w:rPr>
                <w:rFonts w:ascii="Times New Roman" w:hAnsi="Times New Roman" w:cs="Times New Roman"/>
              </w:rPr>
            </w:pPr>
            <w:r w:rsidRPr="0036305D">
              <w:rPr>
                <w:rFonts w:ascii="Times New Roman" w:hAnsi="Times New Roman" w:cs="Times New Roman"/>
              </w:rPr>
              <w:t>Return</w:t>
            </w:r>
          </w:p>
        </w:tc>
      </w:tr>
      <w:tr w:rsidR="0036305D" w:rsidRPr="0036305D" w:rsidTr="00CE0C16">
        <w:trPr>
          <w:jc w:val="center"/>
        </w:trPr>
        <w:tc>
          <w:tcPr>
            <w:tcW w:w="4320" w:type="dxa"/>
            <w:vAlign w:val="bottom"/>
          </w:tcPr>
          <w:p w:rsidR="0036305D" w:rsidRPr="0036305D" w:rsidRDefault="0036305D" w:rsidP="00CE0C16">
            <w:pPr>
              <w:rPr>
                <w:rFonts w:ascii="Times New Roman" w:hAnsi="Times New Roman" w:cs="Times New Roman"/>
              </w:rPr>
            </w:pPr>
            <w:r w:rsidRPr="0036305D">
              <w:rPr>
                <w:rFonts w:ascii="Times New Roman" w:hAnsi="Times New Roman" w:cs="Times New Roman"/>
              </w:rPr>
              <w:t>Risk Premium (Long-Term Corporate Bonds)</w:t>
            </w:r>
          </w:p>
        </w:tc>
        <w:tc>
          <w:tcPr>
            <w:tcW w:w="1440" w:type="dxa"/>
            <w:vAlign w:val="bottom"/>
          </w:tcPr>
          <w:p w:rsidR="0036305D" w:rsidRPr="0036305D" w:rsidRDefault="0036305D" w:rsidP="00CE0C16">
            <w:pPr>
              <w:rPr>
                <w:rFonts w:ascii="Times New Roman" w:hAnsi="Times New Roman" w:cs="Times New Roman"/>
              </w:rPr>
            </w:pPr>
          </w:p>
        </w:tc>
      </w:tr>
      <w:tr w:rsidR="0036305D" w:rsidRPr="0036305D" w:rsidTr="00CE0C16">
        <w:trPr>
          <w:jc w:val="center"/>
        </w:trPr>
        <w:tc>
          <w:tcPr>
            <w:tcW w:w="4320" w:type="dxa"/>
          </w:tcPr>
          <w:p w:rsidR="0036305D" w:rsidRPr="0036305D" w:rsidRDefault="0036305D" w:rsidP="00CE0C16">
            <w:pPr>
              <w:rPr>
                <w:rFonts w:ascii="Times New Roman" w:hAnsi="Times New Roman" w:cs="Times New Roman"/>
              </w:rPr>
            </w:pPr>
            <w:r w:rsidRPr="0036305D">
              <w:rPr>
                <w:rFonts w:ascii="Times New Roman" w:hAnsi="Times New Roman" w:cs="Times New Roman"/>
              </w:rPr>
              <w:tab/>
              <w:t>vs. Large Company Stocks</w:t>
            </w:r>
          </w:p>
        </w:tc>
        <w:tc>
          <w:tcPr>
            <w:tcW w:w="1440" w:type="dxa"/>
            <w:shd w:val="clear" w:color="auto" w:fill="auto"/>
            <w:vAlign w:val="center"/>
          </w:tcPr>
          <w:p w:rsidR="0036305D" w:rsidRPr="0036305D" w:rsidRDefault="0036305D" w:rsidP="00CE0C16">
            <w:pPr>
              <w:rPr>
                <w:rFonts w:ascii="Times New Roman" w:hAnsi="Times New Roman" w:cs="Times New Roman"/>
              </w:rPr>
            </w:pPr>
            <w:r w:rsidRPr="0036305D">
              <w:rPr>
                <w:rFonts w:ascii="Times New Roman" w:hAnsi="Times New Roman" w:cs="Times New Roman"/>
              </w:rPr>
              <w:t>10.2%</w:t>
            </w:r>
          </w:p>
        </w:tc>
      </w:tr>
      <w:tr w:rsidR="0036305D" w:rsidRPr="0036305D" w:rsidTr="00CE0C16">
        <w:trPr>
          <w:jc w:val="center"/>
        </w:trPr>
        <w:tc>
          <w:tcPr>
            <w:tcW w:w="4320" w:type="dxa"/>
          </w:tcPr>
          <w:p w:rsidR="0036305D" w:rsidRPr="0036305D" w:rsidRDefault="0036305D" w:rsidP="00CE0C16">
            <w:pPr>
              <w:rPr>
                <w:rFonts w:ascii="Times New Roman" w:hAnsi="Times New Roman" w:cs="Times New Roman"/>
              </w:rPr>
            </w:pPr>
            <w:r w:rsidRPr="0036305D">
              <w:rPr>
                <w:rFonts w:ascii="Times New Roman" w:hAnsi="Times New Roman" w:cs="Times New Roman"/>
              </w:rPr>
              <w:tab/>
              <w:t>vs. Small Company Stocks</w:t>
            </w:r>
          </w:p>
        </w:tc>
        <w:tc>
          <w:tcPr>
            <w:tcW w:w="1440" w:type="dxa"/>
            <w:vAlign w:val="center"/>
          </w:tcPr>
          <w:p w:rsidR="0036305D" w:rsidRPr="0036305D" w:rsidRDefault="0036305D" w:rsidP="00CE0C16">
            <w:pPr>
              <w:rPr>
                <w:rFonts w:ascii="Times New Roman" w:hAnsi="Times New Roman" w:cs="Times New Roman"/>
              </w:rPr>
            </w:pPr>
            <w:r w:rsidRPr="0036305D">
              <w:rPr>
                <w:rFonts w:ascii="Times New Roman" w:hAnsi="Times New Roman" w:cs="Times New Roman"/>
              </w:rPr>
              <w:t>18.7%</w:t>
            </w:r>
          </w:p>
        </w:tc>
      </w:tr>
      <w:tr w:rsidR="0036305D" w:rsidRPr="0036305D" w:rsidTr="00CE0C16">
        <w:trPr>
          <w:jc w:val="center"/>
        </w:trPr>
        <w:tc>
          <w:tcPr>
            <w:tcW w:w="4320" w:type="dxa"/>
          </w:tcPr>
          <w:p w:rsidR="0036305D" w:rsidRPr="0036305D" w:rsidRDefault="0036305D" w:rsidP="00CE0C16">
            <w:pPr>
              <w:rPr>
                <w:rFonts w:ascii="Times New Roman" w:hAnsi="Times New Roman" w:cs="Times New Roman"/>
              </w:rPr>
            </w:pPr>
            <w:r w:rsidRPr="0036305D">
              <w:rPr>
                <w:rFonts w:ascii="Times New Roman" w:hAnsi="Times New Roman" w:cs="Times New Roman"/>
              </w:rPr>
              <w:t>Market DCF (S&amp;P 500)</w:t>
            </w:r>
          </w:p>
        </w:tc>
        <w:tc>
          <w:tcPr>
            <w:tcW w:w="1440" w:type="dxa"/>
            <w:vAlign w:val="center"/>
          </w:tcPr>
          <w:p w:rsidR="0036305D" w:rsidRPr="0036305D" w:rsidRDefault="0036305D" w:rsidP="00CE0C16">
            <w:pPr>
              <w:rPr>
                <w:rFonts w:ascii="Times New Roman" w:hAnsi="Times New Roman" w:cs="Times New Roman"/>
                <w:highlight w:val="yellow"/>
              </w:rPr>
            </w:pPr>
            <w:r w:rsidRPr="0036305D">
              <w:rPr>
                <w:rFonts w:ascii="Times New Roman" w:hAnsi="Times New Roman" w:cs="Times New Roman"/>
              </w:rPr>
              <w:t>12.7%</w:t>
            </w:r>
          </w:p>
        </w:tc>
      </w:tr>
      <w:tr w:rsidR="0036305D" w:rsidRPr="0036305D" w:rsidTr="00CE0C16">
        <w:trPr>
          <w:jc w:val="center"/>
        </w:trPr>
        <w:tc>
          <w:tcPr>
            <w:tcW w:w="4320" w:type="dxa"/>
          </w:tcPr>
          <w:p w:rsidR="0036305D" w:rsidRPr="0036305D" w:rsidRDefault="0036305D" w:rsidP="00CE0C16">
            <w:pPr>
              <w:rPr>
                <w:rFonts w:ascii="Times New Roman" w:hAnsi="Times New Roman" w:cs="Times New Roman"/>
              </w:rPr>
            </w:pPr>
            <w:r w:rsidRPr="0036305D">
              <w:rPr>
                <w:rFonts w:ascii="Times New Roman" w:hAnsi="Times New Roman" w:cs="Times New Roman"/>
              </w:rPr>
              <w:t>Forward-Looking CAPM</w:t>
            </w:r>
          </w:p>
        </w:tc>
        <w:tc>
          <w:tcPr>
            <w:tcW w:w="1440" w:type="dxa"/>
            <w:vAlign w:val="center"/>
          </w:tcPr>
          <w:p w:rsidR="0036305D" w:rsidRPr="0036305D" w:rsidRDefault="0036305D" w:rsidP="00CE0C16">
            <w:pPr>
              <w:rPr>
                <w:rFonts w:ascii="Times New Roman" w:hAnsi="Times New Roman" w:cs="Times New Roman"/>
              </w:rPr>
            </w:pPr>
            <w:r w:rsidRPr="0036305D">
              <w:rPr>
                <w:rFonts w:ascii="Times New Roman" w:hAnsi="Times New Roman" w:cs="Times New Roman"/>
              </w:rPr>
              <w:t>10.8%</w:t>
            </w:r>
          </w:p>
        </w:tc>
      </w:tr>
    </w:tbl>
    <w:p w:rsidR="0036305D" w:rsidRPr="0036305D" w:rsidRDefault="0036305D" w:rsidP="0036305D"/>
    <w:p w:rsidR="0036305D" w:rsidRDefault="0036305D" w:rsidP="0036305D">
      <w:pPr>
        <w:spacing w:line="480" w:lineRule="auto"/>
        <w:ind w:left="720"/>
      </w:pPr>
      <w:r w:rsidRPr="0036305D">
        <w:t>My risk premium, market DCF and CAPM analyses suggest that the DCF results generally are low relative to current market benchmarks.  In particular, all of the DCF return estimates are considerably below the 18.7 percent risk premium</w:t>
      </w:r>
      <w:r w:rsidRPr="000C42DB">
        <w:t xml:space="preserve"> return benchmark for companies in </w:t>
      </w:r>
      <w:r>
        <w:t>Cascade’s</w:t>
      </w:r>
      <w:r w:rsidRPr="000C42DB">
        <w:t xml:space="preserve"> relative size range.  Similarly, the DCF estimates for the natural gas distribution proxy companies are well below the 12.</w:t>
      </w:r>
      <w:r>
        <w:t>7</w:t>
      </w:r>
      <w:r w:rsidRPr="000C42DB">
        <w:t xml:space="preserve"> percent</w:t>
      </w:r>
      <w:r w:rsidRPr="00473E9D">
        <w:t xml:space="preserve"> market DCF estimate for the S&amp;P 500 companies</w:t>
      </w:r>
      <w:r>
        <w:t>, and below the 10.8 percent CAPM estimate for the natural gas distribution proxy companies</w:t>
      </w:r>
      <w:r w:rsidRPr="00473E9D">
        <w:t>.</w:t>
      </w:r>
      <w:r>
        <w:t xml:space="preserve">  However, the high end of the DCF range is consistent with the average return indicated by the CAPM benchmark.</w:t>
      </w:r>
    </w:p>
    <w:p w:rsidR="0036305D" w:rsidRPr="0036305D" w:rsidRDefault="0036305D" w:rsidP="00D33CC8">
      <w:pPr>
        <w:spacing w:line="480" w:lineRule="auto"/>
        <w:ind w:left="720" w:hanging="720"/>
        <w:rPr>
          <w:b/>
        </w:rPr>
      </w:pPr>
      <w:r>
        <w:rPr>
          <w:b/>
        </w:rPr>
        <w:t>Q.</w:t>
      </w:r>
      <w:r>
        <w:rPr>
          <w:b/>
        </w:rPr>
        <w:tab/>
      </w:r>
      <w:r w:rsidRPr="0036305D">
        <w:rPr>
          <w:b/>
        </w:rPr>
        <w:t>What rate of return on common equity do you recommend for Cascade’s Washington natural gas distribution operations in this proceeding?</w:t>
      </w:r>
    </w:p>
    <w:p w:rsidR="0036305D" w:rsidRDefault="0036305D" w:rsidP="0036305D">
      <w:pPr>
        <w:spacing w:line="480" w:lineRule="auto"/>
        <w:ind w:left="720" w:hanging="720"/>
      </w:pPr>
      <w:r>
        <w:lastRenderedPageBreak/>
        <w:t>A.</w:t>
      </w:r>
      <w:r>
        <w:tab/>
      </w:r>
      <w:r w:rsidRPr="00473E9D">
        <w:t xml:space="preserve">My analyses indicate that an appropriate rate of return on common equity for </w:t>
      </w:r>
      <w:r>
        <w:t>Cascade’s</w:t>
      </w:r>
      <w:r w:rsidRPr="00473E9D">
        <w:t xml:space="preserve"> </w:t>
      </w:r>
      <w:r>
        <w:t>Washington</w:t>
      </w:r>
      <w:r w:rsidRPr="00473E9D">
        <w:t xml:space="preserve"> natural gas distribution operations at this time is </w:t>
      </w:r>
      <w:r>
        <w:t>10.0</w:t>
      </w:r>
      <w:r w:rsidRPr="00473E9D">
        <w:t xml:space="preserve"> percent, which is </w:t>
      </w:r>
      <w:r>
        <w:t xml:space="preserve">approximately the midpoint between the median and the </w:t>
      </w:r>
      <w:r w:rsidRPr="00473E9D">
        <w:t xml:space="preserve">third quartile of the range for my </w:t>
      </w:r>
      <w:r>
        <w:t xml:space="preserve">Basic DCF analysis and between the third quartile and the high of the range for my Retention Growth DCF and Blended Growth </w:t>
      </w:r>
      <w:r w:rsidRPr="00473E9D">
        <w:t>DCF analyses.</w:t>
      </w:r>
      <w:r w:rsidRPr="00E05AB6">
        <w:t xml:space="preserve">  This recommended</w:t>
      </w:r>
      <w:r>
        <w:t xml:space="preserve"> return reflects my assessment that the overall risks of Cascade’s Washington natural gas distribution operations are above average relative to those of the proxy companies, and the fact that the DCF results appear to be quite low relative to the other benchmarks at this time.  Although the Company has average financial risk relative to the proxy companies, it has above average regulatory risk and business risks.  </w:t>
      </w:r>
      <w:r w:rsidRPr="00A63322">
        <w:t>In addition to its small size relative to the proxy companies, Cascade</w:t>
      </w:r>
      <w:r>
        <w:t>’s</w:t>
      </w:r>
      <w:r w:rsidRPr="00A63322">
        <w:t xml:space="preserve"> Washington natural gas distribution operations </w:t>
      </w:r>
      <w:r w:rsidRPr="00782866">
        <w:t xml:space="preserve">are faced with significant competition from alternative fuel sources and higher than average rate design risk.  </w:t>
      </w:r>
      <w:r w:rsidRPr="00A63322">
        <w:t>Thus, my recommended return is appropriately positioned to reflect the risks faced by Cascade’s Washington natural gas distribution operations relative to the risks faced by the proxy companies.</w:t>
      </w:r>
    </w:p>
    <w:p w:rsidR="0036305D" w:rsidRPr="0036305D" w:rsidRDefault="0036305D" w:rsidP="0036305D">
      <w:pPr>
        <w:spacing w:line="480" w:lineRule="auto"/>
        <w:rPr>
          <w:b/>
        </w:rPr>
      </w:pPr>
      <w:r w:rsidRPr="0036305D">
        <w:rPr>
          <w:b/>
        </w:rPr>
        <w:t>Q.</w:t>
      </w:r>
      <w:r w:rsidRPr="0036305D">
        <w:rPr>
          <w:b/>
        </w:rPr>
        <w:tab/>
        <w:t>Does this conclude your Prepared Direct Testimony?</w:t>
      </w:r>
    </w:p>
    <w:p w:rsidR="008A02C5" w:rsidRPr="00C978B7" w:rsidRDefault="0036305D" w:rsidP="0036305D">
      <w:pPr>
        <w:spacing w:line="480" w:lineRule="auto"/>
        <w:rPr>
          <w:szCs w:val="24"/>
        </w:rPr>
      </w:pPr>
      <w:r>
        <w:t>A.</w:t>
      </w:r>
      <w:r>
        <w:tab/>
        <w:t>Yes.</w:t>
      </w:r>
    </w:p>
    <w:sectPr w:rsidR="008A02C5" w:rsidRPr="00C978B7" w:rsidSect="001D2C4D">
      <w:footerReference w:type="first" r:id="rId11"/>
      <w:pgSz w:w="12240" w:h="15840" w:code="1"/>
      <w:pgMar w:top="-1757" w:right="1080" w:bottom="-1728" w:left="1800" w:header="720" w:footer="720" w:gutter="0"/>
      <w:lnNumType w:countBy="1"/>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80" w:rsidRDefault="000B2080">
      <w:r>
        <w:separator/>
      </w:r>
    </w:p>
  </w:endnote>
  <w:endnote w:type="continuationSeparator" w:id="0">
    <w:p w:rsidR="000B2080" w:rsidRDefault="000B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16" w:rsidRPr="00C402F4" w:rsidRDefault="00CE0C16" w:rsidP="007237F4">
    <w:pPr>
      <w:pStyle w:val="Footer"/>
      <w:spacing w:line="240" w:lineRule="exact"/>
      <w:rPr>
        <w:szCs w:val="24"/>
      </w:rPr>
    </w:pPr>
    <w:r w:rsidRPr="00C402F4">
      <w:rPr>
        <w:szCs w:val="24"/>
      </w:rPr>
      <w:t xml:space="preserve">Direct Testimony of </w:t>
    </w:r>
    <w:r>
      <w:rPr>
        <w:szCs w:val="24"/>
      </w:rPr>
      <w:t>J. Stephen Gaske</w:t>
    </w:r>
    <w:r w:rsidRPr="00C402F4">
      <w:rPr>
        <w:szCs w:val="24"/>
      </w:rPr>
      <w:tab/>
    </w:r>
    <w:r w:rsidRPr="00C402F4">
      <w:rPr>
        <w:szCs w:val="24"/>
      </w:rPr>
      <w:tab/>
      <w:t>Exhibit No. __ (</w:t>
    </w:r>
    <w:r>
      <w:rPr>
        <w:szCs w:val="24"/>
      </w:rPr>
      <w:t>JSG</w:t>
    </w:r>
    <w:r w:rsidRPr="00C402F4">
      <w:rPr>
        <w:szCs w:val="24"/>
      </w:rPr>
      <w:t>-1T)</w:t>
    </w:r>
  </w:p>
  <w:p w:rsidR="00CE0C16" w:rsidRPr="00C402F4" w:rsidRDefault="00CE0C16" w:rsidP="007237F4">
    <w:pPr>
      <w:pStyle w:val="Footer"/>
      <w:spacing w:line="240" w:lineRule="exact"/>
      <w:rPr>
        <w:szCs w:val="24"/>
      </w:rPr>
    </w:pPr>
    <w:r w:rsidRPr="00C402F4">
      <w:rPr>
        <w:szCs w:val="24"/>
      </w:rPr>
      <w:t xml:space="preserve">Docket No. UG-15____ </w:t>
    </w:r>
    <w:r w:rsidRPr="00C402F4">
      <w:rPr>
        <w:szCs w:val="24"/>
      </w:rPr>
      <w:tab/>
    </w:r>
    <w:r w:rsidRPr="00C402F4">
      <w:rPr>
        <w:szCs w:val="24"/>
      </w:rPr>
      <w:tab/>
      <w:t xml:space="preserve">Page </w:t>
    </w:r>
    <w:r w:rsidRPr="00C402F4">
      <w:rPr>
        <w:szCs w:val="24"/>
      </w:rPr>
      <w:fldChar w:fldCharType="begin"/>
    </w:r>
    <w:r w:rsidRPr="00C402F4">
      <w:rPr>
        <w:szCs w:val="24"/>
      </w:rPr>
      <w:instrText xml:space="preserve"> PAGE   \* MERGEFORMAT </w:instrText>
    </w:r>
    <w:r w:rsidRPr="00C402F4">
      <w:rPr>
        <w:szCs w:val="24"/>
      </w:rPr>
      <w:fldChar w:fldCharType="separate"/>
    </w:r>
    <w:r w:rsidR="00F54D98">
      <w:rPr>
        <w:noProof/>
        <w:szCs w:val="24"/>
      </w:rPr>
      <w:t>2</w:t>
    </w:r>
    <w:r w:rsidRPr="00C402F4">
      <w:rPr>
        <w:szCs w:val="24"/>
      </w:rPr>
      <w:fldChar w:fldCharType="end"/>
    </w:r>
  </w:p>
  <w:p w:rsidR="00CE0C16" w:rsidRPr="00207058" w:rsidRDefault="00CE0C16" w:rsidP="00CC3CB5">
    <w:pPr>
      <w:pStyle w:val="Footer"/>
      <w:spacing w:line="240" w:lineRule="exac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16" w:rsidRPr="00327B7A" w:rsidRDefault="00CE0C16" w:rsidP="00B64E89">
    <w:pPr>
      <w:pStyle w:val="Footer"/>
      <w:spacing w:line="240" w:lineRule="exact"/>
      <w:rPr>
        <w:szCs w:val="24"/>
      </w:rPr>
    </w:pPr>
    <w:r w:rsidRPr="00327B7A">
      <w:rPr>
        <w:szCs w:val="24"/>
      </w:rPr>
      <w:t xml:space="preserve">Direct Testimony of </w:t>
    </w:r>
    <w:r>
      <w:rPr>
        <w:szCs w:val="24"/>
      </w:rPr>
      <w:t>J. Stephen Gaske</w:t>
    </w:r>
    <w:r w:rsidRPr="00327B7A">
      <w:rPr>
        <w:szCs w:val="24"/>
      </w:rPr>
      <w:tab/>
    </w:r>
    <w:r w:rsidRPr="00327B7A">
      <w:rPr>
        <w:szCs w:val="24"/>
      </w:rPr>
      <w:tab/>
      <w:t>Exhibit No. __ (</w:t>
    </w:r>
    <w:r>
      <w:rPr>
        <w:szCs w:val="24"/>
      </w:rPr>
      <w:t>JSG</w:t>
    </w:r>
    <w:r w:rsidRPr="00327B7A">
      <w:rPr>
        <w:szCs w:val="24"/>
      </w:rPr>
      <w:t>-1T)</w:t>
    </w:r>
  </w:p>
  <w:p w:rsidR="00CE0C16" w:rsidRPr="00327B7A" w:rsidRDefault="00CE0C16" w:rsidP="00B64E89">
    <w:pPr>
      <w:pStyle w:val="Footer"/>
      <w:spacing w:line="240" w:lineRule="exact"/>
      <w:rPr>
        <w:szCs w:val="24"/>
      </w:rPr>
    </w:pPr>
    <w:r w:rsidRPr="00327B7A">
      <w:rPr>
        <w:szCs w:val="24"/>
      </w:rPr>
      <w:t xml:space="preserve">Docket No. UG-15____ </w:t>
    </w:r>
    <w:r w:rsidRPr="00327B7A">
      <w:rPr>
        <w:szCs w:val="24"/>
      </w:rPr>
      <w:tab/>
    </w:r>
    <w:r w:rsidRPr="00327B7A">
      <w:rPr>
        <w:szCs w:val="24"/>
      </w:rPr>
      <w:tab/>
      <w:t xml:space="preserve">Page </w:t>
    </w:r>
    <w:r w:rsidRPr="00327B7A">
      <w:rPr>
        <w:szCs w:val="24"/>
      </w:rPr>
      <w:fldChar w:fldCharType="begin"/>
    </w:r>
    <w:r w:rsidRPr="00327B7A">
      <w:rPr>
        <w:szCs w:val="24"/>
      </w:rPr>
      <w:instrText xml:space="preserve"> PAGE   \* MERGEFORMAT </w:instrText>
    </w:r>
    <w:r w:rsidRPr="00327B7A">
      <w:rPr>
        <w:szCs w:val="24"/>
      </w:rPr>
      <w:fldChar w:fldCharType="separate"/>
    </w:r>
    <w:r w:rsidR="00F54D98">
      <w:rPr>
        <w:noProof/>
        <w:szCs w:val="24"/>
      </w:rPr>
      <w:t>i</w:t>
    </w:r>
    <w:r w:rsidRPr="00327B7A">
      <w:rPr>
        <w:szCs w:val="24"/>
      </w:rPr>
      <w:fldChar w:fldCharType="end"/>
    </w:r>
  </w:p>
  <w:p w:rsidR="00CE0C16" w:rsidRDefault="00CE0C16" w:rsidP="00B64E89">
    <w:pPr>
      <w:pStyle w:val="Footer"/>
      <w:spacing w:line="240" w:lineRule="exact"/>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16" w:rsidRPr="00C402F4" w:rsidRDefault="00CE0C16" w:rsidP="00B64E89">
    <w:pPr>
      <w:pStyle w:val="Footer"/>
      <w:spacing w:line="240" w:lineRule="exact"/>
      <w:rPr>
        <w:szCs w:val="24"/>
      </w:rPr>
    </w:pPr>
    <w:r w:rsidRPr="00C402F4">
      <w:rPr>
        <w:szCs w:val="24"/>
      </w:rPr>
      <w:t xml:space="preserve">Direct Testimony of </w:t>
    </w:r>
    <w:r>
      <w:rPr>
        <w:szCs w:val="24"/>
      </w:rPr>
      <w:t xml:space="preserve">J. Stephen Gaske </w:t>
    </w:r>
    <w:r>
      <w:rPr>
        <w:szCs w:val="24"/>
      </w:rPr>
      <w:tab/>
    </w:r>
    <w:r w:rsidRPr="00C402F4">
      <w:rPr>
        <w:szCs w:val="24"/>
      </w:rPr>
      <w:tab/>
      <w:t>Exhibit No. __ (</w:t>
    </w:r>
    <w:r>
      <w:rPr>
        <w:szCs w:val="24"/>
      </w:rPr>
      <w:t>JSG</w:t>
    </w:r>
    <w:r w:rsidRPr="00C402F4">
      <w:rPr>
        <w:szCs w:val="24"/>
      </w:rPr>
      <w:t>-1T)</w:t>
    </w:r>
  </w:p>
  <w:p w:rsidR="00CE0C16" w:rsidRPr="00C402F4" w:rsidRDefault="00CE0C16" w:rsidP="00B64E89">
    <w:pPr>
      <w:pStyle w:val="Footer"/>
      <w:spacing w:line="240" w:lineRule="exact"/>
      <w:rPr>
        <w:szCs w:val="24"/>
      </w:rPr>
    </w:pPr>
    <w:r w:rsidRPr="00C402F4">
      <w:rPr>
        <w:szCs w:val="24"/>
      </w:rPr>
      <w:t xml:space="preserve">Docket No. UG-15____ </w:t>
    </w:r>
    <w:r w:rsidRPr="00C402F4">
      <w:rPr>
        <w:szCs w:val="24"/>
      </w:rPr>
      <w:tab/>
    </w:r>
    <w:r w:rsidRPr="00C402F4">
      <w:rPr>
        <w:szCs w:val="24"/>
      </w:rPr>
      <w:tab/>
      <w:t xml:space="preserve">Page </w:t>
    </w:r>
    <w:r w:rsidRPr="00C402F4">
      <w:rPr>
        <w:szCs w:val="24"/>
      </w:rPr>
      <w:fldChar w:fldCharType="begin"/>
    </w:r>
    <w:r w:rsidRPr="00C402F4">
      <w:rPr>
        <w:szCs w:val="24"/>
      </w:rPr>
      <w:instrText xml:space="preserve"> PAGE   \* MERGEFORMAT </w:instrText>
    </w:r>
    <w:r w:rsidRPr="00C402F4">
      <w:rPr>
        <w:szCs w:val="24"/>
      </w:rPr>
      <w:fldChar w:fldCharType="separate"/>
    </w:r>
    <w:r w:rsidR="00F54D98">
      <w:rPr>
        <w:noProof/>
        <w:szCs w:val="24"/>
      </w:rPr>
      <w:t>1</w:t>
    </w:r>
    <w:r w:rsidRPr="00C402F4">
      <w:rPr>
        <w:szCs w:val="24"/>
      </w:rPr>
      <w:fldChar w:fldCharType="end"/>
    </w:r>
  </w:p>
  <w:p w:rsidR="00CE0C16" w:rsidRDefault="00CE0C16" w:rsidP="00B64E89">
    <w:pPr>
      <w:pStyle w:val="Footer"/>
      <w:spacing w:line="240" w:lineRule="exac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80" w:rsidRDefault="000B2080">
      <w:pPr>
        <w:pStyle w:val="Footer"/>
      </w:pPr>
      <w:r>
        <w:separator/>
      </w:r>
    </w:p>
  </w:footnote>
  <w:footnote w:type="continuationSeparator" w:id="0">
    <w:p w:rsidR="000B2080" w:rsidRDefault="000B2080">
      <w:pPr>
        <w:pStyle w:val="TOAHeading"/>
        <w:jc w:val="left"/>
      </w:pPr>
      <w:r>
        <w:separator/>
      </w:r>
    </w:p>
  </w:footnote>
  <w:footnote w:type="continuationNotice" w:id="1">
    <w:p w:rsidR="000B2080" w:rsidRDefault="000B2080">
      <w:pPr>
        <w:jc w:val="right"/>
      </w:pPr>
      <w:r>
        <w:t>(continued...)</w:t>
      </w:r>
    </w:p>
  </w:footnote>
  <w:footnote w:id="2">
    <w:p w:rsidR="00CE0C16" w:rsidRDefault="00CE0C16" w:rsidP="00CE0C16">
      <w:pPr>
        <w:pStyle w:val="FootnoteText"/>
        <w:tabs>
          <w:tab w:val="left" w:pos="360"/>
        </w:tabs>
        <w:spacing w:after="60"/>
        <w:ind w:firstLine="0"/>
      </w:pPr>
      <w:r>
        <w:rPr>
          <w:rStyle w:val="FootnoteReference"/>
        </w:rPr>
        <w:footnoteRef/>
      </w:r>
      <w:r>
        <w:t xml:space="preserve"> </w:t>
      </w:r>
      <w:r>
        <w:tab/>
      </w:r>
      <w:r w:rsidRPr="00AE42EC">
        <w:t>Projected average capital structure and rate of return for 201</w:t>
      </w:r>
      <w:r>
        <w:t>6</w:t>
      </w:r>
      <w:r w:rsidRPr="00AE42EC">
        <w:t>.</w:t>
      </w:r>
    </w:p>
  </w:footnote>
  <w:footnote w:id="3">
    <w:p w:rsidR="00CE0C16" w:rsidRDefault="00CE0C16" w:rsidP="00CE0C16">
      <w:pPr>
        <w:pStyle w:val="FootnoteText"/>
        <w:tabs>
          <w:tab w:val="left" w:pos="360"/>
        </w:tabs>
        <w:spacing w:after="60"/>
        <w:ind w:firstLine="0"/>
        <w:jc w:val="both"/>
      </w:pPr>
      <w:r>
        <w:rPr>
          <w:rStyle w:val="FootnoteReference"/>
        </w:rPr>
        <w:footnoteRef/>
      </w:r>
      <w:r>
        <w:t xml:space="preserve"> </w:t>
      </w:r>
      <w:r>
        <w:tab/>
        <w:t>MDU Resources recently announced that it was closing its natural gas and oil exploration and production business and selling the assets.</w:t>
      </w:r>
    </w:p>
  </w:footnote>
  <w:footnote w:id="4">
    <w:p w:rsidR="00CE0C16" w:rsidRDefault="00CE0C16" w:rsidP="00CE0C16">
      <w:pPr>
        <w:pStyle w:val="FootnoteText"/>
        <w:tabs>
          <w:tab w:val="left" w:pos="360"/>
        </w:tabs>
        <w:spacing w:after="60"/>
        <w:ind w:firstLine="0"/>
      </w:pPr>
      <w:r>
        <w:rPr>
          <w:rStyle w:val="FootnoteReference"/>
        </w:rPr>
        <w:footnoteRef/>
      </w:r>
      <w:r>
        <w:t xml:space="preserve"> </w:t>
      </w:r>
      <w:r>
        <w:tab/>
      </w:r>
      <w:r w:rsidR="008837A4" w:rsidRPr="008837A4">
        <w:t xml:space="preserve">MDU Resources Group, Inc., Form 10-K for the fiscal year ended December 31, 2014, at </w:t>
      </w:r>
      <w:r>
        <w:t>86.</w:t>
      </w:r>
    </w:p>
  </w:footnote>
  <w:footnote w:id="5">
    <w:p w:rsidR="00CE0C16" w:rsidRDefault="00CE0C16" w:rsidP="00CE0C16">
      <w:pPr>
        <w:pStyle w:val="FootnoteText"/>
        <w:tabs>
          <w:tab w:val="left" w:pos="360"/>
        </w:tabs>
        <w:spacing w:after="60"/>
        <w:ind w:firstLine="0"/>
      </w:pPr>
      <w:r>
        <w:rPr>
          <w:rStyle w:val="FootnoteReference"/>
        </w:rPr>
        <w:footnoteRef/>
      </w:r>
      <w:r>
        <w:t xml:space="preserve"> </w:t>
      </w:r>
      <w:r>
        <w:tab/>
      </w:r>
      <w:r w:rsidR="008837A4">
        <w:rPr>
          <w:i/>
        </w:rPr>
        <w:t>Id</w:t>
      </w:r>
      <w:r w:rsidRPr="0094001D">
        <w:rPr>
          <w:i/>
        </w:rPr>
        <w:t>.</w:t>
      </w:r>
      <w:r>
        <w:t xml:space="preserve"> at 85.</w:t>
      </w:r>
    </w:p>
  </w:footnote>
  <w:footnote w:id="6">
    <w:p w:rsidR="00CE0C16" w:rsidRDefault="00CE0C16" w:rsidP="00CE0C16">
      <w:pPr>
        <w:pStyle w:val="FootnoteText"/>
        <w:tabs>
          <w:tab w:val="left" w:pos="360"/>
        </w:tabs>
        <w:spacing w:after="60"/>
        <w:ind w:firstLine="0"/>
      </w:pPr>
      <w:r>
        <w:rPr>
          <w:rStyle w:val="FootnoteReference"/>
        </w:rPr>
        <w:footnoteRef/>
      </w:r>
      <w:r>
        <w:t xml:space="preserve"> </w:t>
      </w:r>
      <w:r>
        <w:tab/>
      </w:r>
      <w:r w:rsidR="008837A4">
        <w:rPr>
          <w:i/>
        </w:rPr>
        <w:t>Id</w:t>
      </w:r>
      <w:r w:rsidR="008837A4" w:rsidRPr="0094001D">
        <w:rPr>
          <w:i/>
        </w:rPr>
        <w:t>.</w:t>
      </w:r>
      <w:r w:rsidR="008837A4">
        <w:t xml:space="preserve"> </w:t>
      </w:r>
      <w:r>
        <w:t>at 11.</w:t>
      </w:r>
    </w:p>
  </w:footnote>
  <w:footnote w:id="7">
    <w:p w:rsidR="00CE0C16" w:rsidRDefault="00CE0C16" w:rsidP="00CE0C16">
      <w:pPr>
        <w:pStyle w:val="FootnoteText"/>
        <w:tabs>
          <w:tab w:val="left" w:pos="360"/>
        </w:tabs>
        <w:spacing w:after="60"/>
        <w:ind w:firstLine="0"/>
      </w:pPr>
      <w:r>
        <w:rPr>
          <w:rStyle w:val="FootnoteReference"/>
        </w:rPr>
        <w:footnoteRef/>
      </w:r>
      <w:r>
        <w:t xml:space="preserve"> </w:t>
      </w:r>
      <w:r>
        <w:tab/>
        <w:t>Cascade Natural Gas Company, 2014 FERC Form No. 2,</w:t>
      </w:r>
      <w:r w:rsidR="008837A4">
        <w:t xml:space="preserve"> Washington Supplement</w:t>
      </w:r>
      <w:r>
        <w:t xml:space="preserve"> </w:t>
      </w:r>
      <w:r w:rsidR="008837A4">
        <w:t>at</w:t>
      </w:r>
      <w:r>
        <w:t xml:space="preserve"> 522</w:t>
      </w:r>
      <w:r w:rsidR="008837A4">
        <w:t>.</w:t>
      </w:r>
    </w:p>
  </w:footnote>
  <w:footnote w:id="8">
    <w:p w:rsidR="00CE0C16" w:rsidRDefault="00CE0C16" w:rsidP="00CE0C16">
      <w:pPr>
        <w:pStyle w:val="FootnoteText"/>
        <w:tabs>
          <w:tab w:val="left" w:pos="360"/>
        </w:tabs>
        <w:spacing w:after="60"/>
        <w:ind w:firstLine="0"/>
      </w:pPr>
      <w:r>
        <w:rPr>
          <w:rStyle w:val="FootnoteReference"/>
        </w:rPr>
        <w:footnoteRef/>
      </w:r>
      <w:r>
        <w:t xml:space="preserve"> </w:t>
      </w:r>
      <w:r>
        <w:tab/>
      </w:r>
      <w:r w:rsidRPr="00E12B89">
        <w:t xml:space="preserve">U.S. Department of Commerce, Bureau of </w:t>
      </w:r>
      <w:r w:rsidR="00EE62E6">
        <w:t>Economic Analysis, News Release</w:t>
      </w:r>
      <w:r w:rsidRPr="00E12B89">
        <w:t xml:space="preserve"> </w:t>
      </w:r>
      <w:r w:rsidR="00EE62E6">
        <w:t>(</w:t>
      </w:r>
      <w:r>
        <w:t>Oct</w:t>
      </w:r>
      <w:r w:rsidR="00EE62E6">
        <w:t xml:space="preserve">. </w:t>
      </w:r>
      <w:r>
        <w:t>29</w:t>
      </w:r>
      <w:r w:rsidRPr="00E12B89">
        <w:t>, 2015</w:t>
      </w:r>
      <w:r w:rsidR="00EE62E6">
        <w:t>)</w:t>
      </w:r>
      <w:r w:rsidRPr="00E12B89">
        <w:t>.</w:t>
      </w:r>
    </w:p>
  </w:footnote>
  <w:footnote w:id="9">
    <w:p w:rsidR="00CE0C16" w:rsidRDefault="00CE0C16" w:rsidP="00CE0C16">
      <w:pPr>
        <w:pStyle w:val="FootnoteText"/>
        <w:tabs>
          <w:tab w:val="left" w:pos="360"/>
        </w:tabs>
        <w:spacing w:after="60"/>
        <w:ind w:firstLine="0"/>
      </w:pPr>
      <w:r>
        <w:rPr>
          <w:rStyle w:val="FootnoteReference"/>
        </w:rPr>
        <w:footnoteRef/>
      </w:r>
      <w:r>
        <w:t xml:space="preserve"> </w:t>
      </w:r>
      <w:r>
        <w:tab/>
        <w:t>Blue Chip Econom</w:t>
      </w:r>
      <w:r w:rsidR="00EE62E6">
        <w:t>ic Indicators, Vol. 40, No. 11</w:t>
      </w:r>
      <w:r>
        <w:t xml:space="preserve"> at 2</w:t>
      </w:r>
      <w:r w:rsidR="00EE62E6">
        <w:t xml:space="preserve"> (Nov. </w:t>
      </w:r>
      <w:r w:rsidR="00EE62E6" w:rsidRPr="00961CBA">
        <w:t>10</w:t>
      </w:r>
      <w:r w:rsidR="00EE62E6">
        <w:t>, 2015)</w:t>
      </w:r>
      <w:r>
        <w:t>.</w:t>
      </w:r>
    </w:p>
  </w:footnote>
  <w:footnote w:id="10">
    <w:p w:rsidR="00CE0C16" w:rsidRDefault="00CE0C16" w:rsidP="00CE0C16">
      <w:pPr>
        <w:pStyle w:val="FootnoteText"/>
        <w:tabs>
          <w:tab w:val="left" w:pos="360"/>
        </w:tabs>
        <w:spacing w:after="60"/>
        <w:ind w:firstLine="0"/>
      </w:pPr>
      <w:r>
        <w:rPr>
          <w:rStyle w:val="FootnoteReference"/>
        </w:rPr>
        <w:footnoteRef/>
      </w:r>
      <w:r>
        <w:t xml:space="preserve"> </w:t>
      </w:r>
      <w:r>
        <w:tab/>
      </w:r>
      <w:r w:rsidRPr="00F87B20">
        <w:rPr>
          <w:i/>
        </w:rPr>
        <w:t>I</w:t>
      </w:r>
      <w:r w:rsidR="00EE62E6">
        <w:rPr>
          <w:i/>
        </w:rPr>
        <w:t>d</w:t>
      </w:r>
      <w:r w:rsidRPr="00F87B20">
        <w:rPr>
          <w:i/>
        </w:rPr>
        <w:t>.</w:t>
      </w:r>
      <w:r>
        <w:t xml:space="preserve"> at 3.</w:t>
      </w:r>
    </w:p>
  </w:footnote>
  <w:footnote w:id="11">
    <w:p w:rsidR="00CE0C16" w:rsidRPr="0072409D" w:rsidRDefault="00CE0C16" w:rsidP="00CE0C16">
      <w:pPr>
        <w:pStyle w:val="FootnoteText"/>
        <w:tabs>
          <w:tab w:val="left" w:pos="360"/>
        </w:tabs>
        <w:spacing w:after="60"/>
        <w:ind w:firstLine="0"/>
        <w:rPr>
          <w:highlight w:val="yellow"/>
        </w:rPr>
      </w:pPr>
      <w:r>
        <w:rPr>
          <w:rStyle w:val="FootnoteReference"/>
        </w:rPr>
        <w:footnoteRef/>
      </w:r>
      <w:r>
        <w:t xml:space="preserve"> </w:t>
      </w:r>
      <w:r>
        <w:tab/>
      </w:r>
      <w:r w:rsidRPr="00E12B89">
        <w:t xml:space="preserve">U.S. Department of Labor, Bureau of </w:t>
      </w:r>
      <w:r w:rsidR="00EE62E6">
        <w:t xml:space="preserve">Labor Statistics, News Release </w:t>
      </w:r>
      <w:r>
        <w:t>at 1</w:t>
      </w:r>
      <w:r w:rsidR="00EE62E6">
        <w:t xml:space="preserve"> (Nov. 6</w:t>
      </w:r>
      <w:r w:rsidR="00EE62E6" w:rsidRPr="00E12B89">
        <w:t>, 2015</w:t>
      </w:r>
      <w:r w:rsidR="00EE62E6">
        <w:t>)</w:t>
      </w:r>
      <w:r w:rsidRPr="00E12B89">
        <w:t>.</w:t>
      </w:r>
    </w:p>
  </w:footnote>
  <w:footnote w:id="12">
    <w:p w:rsidR="00CE0C16" w:rsidRPr="0072409D" w:rsidRDefault="00CE0C16" w:rsidP="00CE0C16">
      <w:pPr>
        <w:pStyle w:val="FootnoteText"/>
        <w:tabs>
          <w:tab w:val="left" w:pos="360"/>
        </w:tabs>
        <w:spacing w:after="60"/>
        <w:ind w:firstLine="0"/>
        <w:rPr>
          <w:highlight w:val="yellow"/>
        </w:rPr>
      </w:pPr>
      <w:r w:rsidRPr="00E12B89">
        <w:rPr>
          <w:rStyle w:val="FootnoteReference"/>
        </w:rPr>
        <w:footnoteRef/>
      </w:r>
      <w:r w:rsidRPr="00E12B89">
        <w:t xml:space="preserve"> </w:t>
      </w:r>
      <w:r w:rsidRPr="00E12B89">
        <w:tab/>
      </w:r>
      <w:r w:rsidR="00EE62E6">
        <w:rPr>
          <w:i/>
        </w:rPr>
        <w:t>Id.</w:t>
      </w:r>
      <w:r>
        <w:t xml:space="preserve"> at 2</w:t>
      </w:r>
      <w:r w:rsidRPr="00E12B89">
        <w:t>.</w:t>
      </w:r>
    </w:p>
  </w:footnote>
  <w:footnote w:id="13">
    <w:p w:rsidR="00CE0C16" w:rsidRDefault="00CE0C16" w:rsidP="00CE0C16">
      <w:pPr>
        <w:pStyle w:val="FootnoteText"/>
        <w:tabs>
          <w:tab w:val="left" w:pos="360"/>
        </w:tabs>
        <w:spacing w:after="60"/>
        <w:ind w:firstLine="0"/>
      </w:pPr>
      <w:r w:rsidRPr="00E12B89">
        <w:rPr>
          <w:rStyle w:val="FootnoteReference"/>
        </w:rPr>
        <w:footnoteRef/>
      </w:r>
      <w:r w:rsidRPr="00E12B89">
        <w:t xml:space="preserve"> </w:t>
      </w:r>
      <w:r w:rsidRPr="00E12B89">
        <w:tab/>
        <w:t>Statement of the Federal Open Market Committee</w:t>
      </w:r>
      <w:r w:rsidR="00EE62E6">
        <w:t xml:space="preserve"> (</w:t>
      </w:r>
      <w:r>
        <w:t>Oct</w:t>
      </w:r>
      <w:r w:rsidR="00EE62E6">
        <w:t>.</w:t>
      </w:r>
      <w:r>
        <w:t xml:space="preserve"> 28</w:t>
      </w:r>
      <w:r w:rsidRPr="00E12B89">
        <w:t>, 2015</w:t>
      </w:r>
      <w:r w:rsidR="00EE62E6">
        <w:t>)</w:t>
      </w:r>
      <w:r w:rsidRPr="00E12B89">
        <w:t>.</w:t>
      </w:r>
    </w:p>
  </w:footnote>
  <w:footnote w:id="14">
    <w:p w:rsidR="00CE0C16" w:rsidRDefault="00CE0C16" w:rsidP="00CE0C16">
      <w:pPr>
        <w:pStyle w:val="FootnoteText"/>
        <w:tabs>
          <w:tab w:val="left" w:pos="360"/>
        </w:tabs>
        <w:spacing w:after="60"/>
        <w:ind w:firstLine="0"/>
      </w:pPr>
      <w:r>
        <w:rPr>
          <w:rStyle w:val="FootnoteReference"/>
        </w:rPr>
        <w:footnoteRef/>
      </w:r>
      <w:r>
        <w:t xml:space="preserve"> </w:t>
      </w:r>
      <w:r>
        <w:tab/>
      </w:r>
      <w:r w:rsidRPr="00274134">
        <w:rPr>
          <w:i/>
        </w:rPr>
        <w:t>I</w:t>
      </w:r>
      <w:r w:rsidR="00EE62E6">
        <w:rPr>
          <w:i/>
        </w:rPr>
        <w:t>d</w:t>
      </w:r>
      <w:r>
        <w:t>.</w:t>
      </w:r>
    </w:p>
  </w:footnote>
  <w:footnote w:id="15">
    <w:p w:rsidR="00CE0C16" w:rsidRDefault="00CE0C16" w:rsidP="00CE0C16">
      <w:pPr>
        <w:pStyle w:val="FootnoteText"/>
        <w:tabs>
          <w:tab w:val="left" w:pos="360"/>
        </w:tabs>
        <w:spacing w:after="60"/>
        <w:ind w:firstLine="0"/>
      </w:pPr>
      <w:r>
        <w:rPr>
          <w:rStyle w:val="FootnoteReference"/>
        </w:rPr>
        <w:footnoteRef/>
      </w:r>
      <w:r>
        <w:t xml:space="preserve"> </w:t>
      </w:r>
      <w:r>
        <w:tab/>
      </w:r>
      <w:r w:rsidRPr="00274134">
        <w:rPr>
          <w:i/>
        </w:rPr>
        <w:t>I</w:t>
      </w:r>
      <w:r w:rsidR="00EE62E6">
        <w:rPr>
          <w:i/>
        </w:rPr>
        <w:t>d</w:t>
      </w:r>
      <w:r>
        <w:t>.</w:t>
      </w:r>
    </w:p>
  </w:footnote>
  <w:footnote w:id="16">
    <w:p w:rsidR="00CE0C16" w:rsidRDefault="00CE0C16" w:rsidP="00CE0C16">
      <w:pPr>
        <w:pStyle w:val="FootnoteText"/>
        <w:tabs>
          <w:tab w:val="left" w:pos="360"/>
        </w:tabs>
        <w:spacing w:after="60"/>
        <w:ind w:firstLine="0"/>
      </w:pPr>
      <w:r>
        <w:rPr>
          <w:rStyle w:val="FootnoteReference"/>
        </w:rPr>
        <w:footnoteRef/>
      </w:r>
      <w:r>
        <w:t xml:space="preserve"> </w:t>
      </w:r>
      <w:r>
        <w:tab/>
        <w:t>Blue Chip Financ</w:t>
      </w:r>
      <w:r w:rsidR="00EE62E6">
        <w:t>ial Forecasts, Vol. 34, No. 11</w:t>
      </w:r>
      <w:r>
        <w:t xml:space="preserve"> at 14</w:t>
      </w:r>
      <w:r w:rsidR="00EE62E6">
        <w:t xml:space="preserve"> (Nov. 1, 2015)</w:t>
      </w:r>
      <w:r>
        <w:t>.</w:t>
      </w:r>
    </w:p>
  </w:footnote>
  <w:footnote w:id="17">
    <w:p w:rsidR="00CE0C16" w:rsidRDefault="00CE0C16" w:rsidP="00CE0C16">
      <w:pPr>
        <w:pStyle w:val="FootnoteText"/>
        <w:tabs>
          <w:tab w:val="left" w:pos="360"/>
        </w:tabs>
        <w:spacing w:after="60"/>
        <w:ind w:firstLine="0"/>
      </w:pPr>
      <w:r>
        <w:rPr>
          <w:rStyle w:val="FootnoteReference"/>
        </w:rPr>
        <w:footnoteRef/>
      </w:r>
      <w:r>
        <w:t xml:space="preserve"> </w:t>
      </w:r>
      <w:r>
        <w:tab/>
        <w:t>Blue Chip Financial Forecasts, Vol. 34, No. 6 at 14</w:t>
      </w:r>
      <w:r w:rsidR="00EE62E6">
        <w:t xml:space="preserve"> (June 1, 2015)</w:t>
      </w:r>
      <w:r>
        <w:t>.</w:t>
      </w:r>
    </w:p>
  </w:footnote>
  <w:footnote w:id="18">
    <w:p w:rsidR="00CE0C16" w:rsidRDefault="00CE0C16" w:rsidP="00CE0C16">
      <w:pPr>
        <w:pStyle w:val="FootnoteText"/>
        <w:tabs>
          <w:tab w:val="left" w:pos="360"/>
        </w:tabs>
        <w:spacing w:after="60"/>
        <w:ind w:firstLine="0"/>
      </w:pPr>
      <w:r>
        <w:rPr>
          <w:rStyle w:val="FootnoteReference"/>
        </w:rPr>
        <w:footnoteRef/>
      </w:r>
      <w:r>
        <w:t xml:space="preserve"> </w:t>
      </w:r>
      <w:r>
        <w:tab/>
        <w:t>Blue Chip Economic Indicators, Vol. 40, No. 11</w:t>
      </w:r>
      <w:r w:rsidRPr="008E35AD">
        <w:t xml:space="preserve"> </w:t>
      </w:r>
      <w:r>
        <w:t>at 2</w:t>
      </w:r>
      <w:r w:rsidR="00EE62E6">
        <w:t xml:space="preserve"> (Nov. </w:t>
      </w:r>
      <w:r w:rsidR="00EE62E6" w:rsidRPr="00961CBA">
        <w:t>10,</w:t>
      </w:r>
      <w:r w:rsidR="00EE62E6" w:rsidRPr="00D20A6C">
        <w:t xml:space="preserve"> 201</w:t>
      </w:r>
      <w:r w:rsidR="00EE62E6">
        <w:t>5)</w:t>
      </w:r>
      <w:r>
        <w:t>.</w:t>
      </w:r>
    </w:p>
  </w:footnote>
  <w:footnote w:id="19">
    <w:p w:rsidR="00CE0C16" w:rsidRDefault="00CE0C16" w:rsidP="00CE0C16">
      <w:pPr>
        <w:pStyle w:val="FootnoteText"/>
        <w:tabs>
          <w:tab w:val="left" w:pos="360"/>
        </w:tabs>
        <w:spacing w:after="60"/>
        <w:ind w:firstLine="0"/>
      </w:pPr>
      <w:r>
        <w:rPr>
          <w:rStyle w:val="FootnoteReference"/>
        </w:rPr>
        <w:footnoteRef/>
      </w:r>
      <w:r>
        <w:t xml:space="preserve"> </w:t>
      </w:r>
      <w:r>
        <w:tab/>
      </w:r>
      <w:r w:rsidRPr="00BD06D1">
        <w:rPr>
          <w:i/>
        </w:rPr>
        <w:t>I</w:t>
      </w:r>
      <w:r w:rsidR="00EE62E6">
        <w:rPr>
          <w:i/>
        </w:rPr>
        <w:t>d</w:t>
      </w:r>
      <w:r w:rsidRPr="00BD06D1">
        <w:rPr>
          <w:i/>
        </w:rPr>
        <w:t>.</w:t>
      </w:r>
      <w:r>
        <w:t xml:space="preserve"> at 3.</w:t>
      </w:r>
    </w:p>
  </w:footnote>
  <w:footnote w:id="20">
    <w:p w:rsidR="00CE0C16" w:rsidRDefault="00CE0C16" w:rsidP="00CE0C16">
      <w:pPr>
        <w:pStyle w:val="FootnoteText"/>
        <w:tabs>
          <w:tab w:val="left" w:pos="360"/>
        </w:tabs>
        <w:spacing w:after="60"/>
        <w:ind w:firstLine="0"/>
        <w:jc w:val="both"/>
      </w:pPr>
      <w:r>
        <w:rPr>
          <w:rStyle w:val="FootnoteReference"/>
        </w:rPr>
        <w:footnoteRef/>
      </w:r>
      <w:r>
        <w:t xml:space="preserve"> </w:t>
      </w:r>
      <w:r>
        <w:tab/>
      </w:r>
      <w:r w:rsidRPr="00954A3C">
        <w:t>Ibbotson SBBI 2015 Classic Yearbook, at 91.</w:t>
      </w:r>
      <w:r>
        <w:t xml:space="preserve">  Calculation:  (12.1 percent – 6.4 percent = 5.7 percent)</w:t>
      </w:r>
      <w:r w:rsidR="00EE62E6">
        <w:t>.</w:t>
      </w:r>
    </w:p>
  </w:footnote>
  <w:footnote w:id="21">
    <w:p w:rsidR="00CE0C16" w:rsidRDefault="00CE0C16" w:rsidP="00CE0C16">
      <w:pPr>
        <w:pStyle w:val="FootnoteText"/>
        <w:tabs>
          <w:tab w:val="left" w:pos="360"/>
        </w:tabs>
        <w:spacing w:after="60"/>
        <w:ind w:firstLine="0"/>
        <w:jc w:val="both"/>
      </w:pPr>
      <w:r>
        <w:rPr>
          <w:rStyle w:val="FootnoteReference"/>
        </w:rPr>
        <w:footnoteRef/>
      </w:r>
      <w:r w:rsidR="00EE62E6">
        <w:t xml:space="preserve"> </w:t>
      </w:r>
      <w:r w:rsidR="00EE62E6">
        <w:tab/>
        <w:t xml:space="preserve">Exhibit No.__ </w:t>
      </w:r>
      <w:r>
        <w:t>(JSG-2), Schedule 1, at 3.  The average yield on Moody’s corporate bonds from May 2015 through October 2015 has been 4.51 percent.</w:t>
      </w:r>
    </w:p>
  </w:footnote>
  <w:footnote w:id="22">
    <w:p w:rsidR="00CE0C16" w:rsidRDefault="00CE0C16" w:rsidP="00CE0C16">
      <w:pPr>
        <w:pStyle w:val="FootnoteText"/>
        <w:tabs>
          <w:tab w:val="left" w:pos="360"/>
        </w:tabs>
        <w:spacing w:after="60"/>
        <w:ind w:firstLine="0"/>
        <w:jc w:val="both"/>
      </w:pPr>
      <w:r>
        <w:rPr>
          <w:rStyle w:val="FootnoteReference"/>
        </w:rPr>
        <w:footnoteRef/>
      </w:r>
      <w:r>
        <w:t xml:space="preserve"> </w:t>
      </w:r>
      <w:r>
        <w:tab/>
      </w:r>
      <w:r w:rsidRPr="00954A3C">
        <w:t>Ibbotson SBBI 201</w:t>
      </w:r>
      <w:r>
        <w:t>5</w:t>
      </w:r>
      <w:r w:rsidRPr="00954A3C">
        <w:t xml:space="preserve"> Classic Yearbook, at </w:t>
      </w:r>
      <w:r>
        <w:t>108-</w:t>
      </w:r>
      <w:r w:rsidRPr="00954A3C">
        <w:t>109.</w:t>
      </w:r>
      <w:r>
        <w:t xml:space="preserve">  Ibbotson Associates defines size ranges based on market capitalization.  </w:t>
      </w:r>
      <w:r w:rsidRPr="006B008A">
        <w:t xml:space="preserve">I calculated the implied market capitalization for </w:t>
      </w:r>
      <w:r>
        <w:t>Cascade</w:t>
      </w:r>
      <w:r w:rsidRPr="006B008A">
        <w:t>’</w:t>
      </w:r>
      <w:r>
        <w:t>s</w:t>
      </w:r>
      <w:r w:rsidRPr="006B008A">
        <w:t xml:space="preserve"> </w:t>
      </w:r>
      <w:r>
        <w:t>Washington</w:t>
      </w:r>
      <w:r w:rsidRPr="006B008A">
        <w:t xml:space="preserve"> natural gas distribution operations based on the Company’s pro forma rate base </w:t>
      </w:r>
      <w:r w:rsidRPr="002D4360">
        <w:t>($289.684 million</w:t>
      </w:r>
      <w:r w:rsidRPr="002F3667">
        <w:t>) and the projected average equity ratio for 2016 (</w:t>
      </w:r>
      <w:r w:rsidRPr="002D4360">
        <w:t>50.00</w:t>
      </w:r>
      <w:r w:rsidRPr="006B008A">
        <w:t xml:space="preserve"> percent).  This places </w:t>
      </w:r>
      <w:r>
        <w:t>Cascade</w:t>
      </w:r>
      <w:r w:rsidRPr="006B008A">
        <w:t>’</w:t>
      </w:r>
      <w:r>
        <w:t>s</w:t>
      </w:r>
      <w:r w:rsidRPr="006B008A">
        <w:t xml:space="preserve"> </w:t>
      </w:r>
      <w:r>
        <w:t>Washington</w:t>
      </w:r>
      <w:r w:rsidRPr="006B008A">
        <w:t xml:space="preserve"> natural gas distribution operations in Ibbotson Associates’ tenth decile.  Calculation:  </w:t>
      </w:r>
      <w:r w:rsidRPr="002D4360">
        <w:t>20.6 percent – 6.4 percent = 14.2 percent.</w:t>
      </w:r>
    </w:p>
  </w:footnote>
  <w:footnote w:id="23">
    <w:p w:rsidR="00CE0C16" w:rsidRDefault="00CE0C16" w:rsidP="00CE0C16">
      <w:pPr>
        <w:pStyle w:val="FootnoteText"/>
        <w:tabs>
          <w:tab w:val="left" w:pos="360"/>
        </w:tabs>
        <w:spacing w:after="60"/>
        <w:ind w:firstLine="0"/>
        <w:jc w:val="both"/>
      </w:pPr>
      <w:r>
        <w:rPr>
          <w:rStyle w:val="FootnoteReference"/>
        </w:rPr>
        <w:footnoteRef/>
      </w:r>
      <w:r>
        <w:t xml:space="preserve"> </w:t>
      </w:r>
      <w:r>
        <w:tab/>
        <w:t xml:space="preserve">This CAPM calculation is identical to the one adopted by the U.S. Federal Energy Regulatory Commission earlier this year.  </w:t>
      </w:r>
      <w:r>
        <w:rPr>
          <w:i/>
        </w:rPr>
        <w:t>Martha Coakley, et al. v. Bangor Hydro-Electric Company, et al.</w:t>
      </w:r>
      <w:r>
        <w:t xml:space="preserve">, Opinion No. 531, 147 FERC ¶ 61,234 (2014); </w:t>
      </w:r>
      <w:r w:rsidRPr="00EE62E6">
        <w:rPr>
          <w:i/>
        </w:rPr>
        <w:t>aff’d in</w:t>
      </w:r>
      <w:r>
        <w:t xml:space="preserve"> Opinion No. 531-B, 150 FERC ¶ 61,165 (Mar</w:t>
      </w:r>
      <w:r w:rsidR="00EE62E6">
        <w:t xml:space="preserve">. </w:t>
      </w:r>
      <w:r>
        <w:t>3, 2015).  Note that FERC used the CAPM only as a benchmark, but set the allowed rate of return above the median indicated by a DCF analysis of proxy companies because of the current abnormal financial market conditions.</w:t>
      </w:r>
    </w:p>
  </w:footnote>
  <w:footnote w:id="24">
    <w:p w:rsidR="00CE0C16" w:rsidRDefault="00CE0C16" w:rsidP="00CE0C16">
      <w:pPr>
        <w:pStyle w:val="FootnoteText"/>
        <w:tabs>
          <w:tab w:val="left" w:pos="360"/>
        </w:tabs>
        <w:spacing w:after="60"/>
        <w:ind w:firstLine="0"/>
      </w:pPr>
      <w:r>
        <w:rPr>
          <w:rStyle w:val="FootnoteReference"/>
        </w:rPr>
        <w:footnoteRef/>
      </w:r>
      <w:r>
        <w:t xml:space="preserve"> </w:t>
      </w:r>
      <w:r>
        <w:tab/>
        <w:t xml:space="preserve">Moody’s Investors Service, </w:t>
      </w:r>
      <w:r>
        <w:rPr>
          <w:i/>
        </w:rPr>
        <w:t>Regulated Electric and Gas Utilities</w:t>
      </w:r>
      <w:r>
        <w:t xml:space="preserve"> at 9</w:t>
      </w:r>
      <w:r w:rsidR="00EE62E6">
        <w:t xml:space="preserve"> (Dec. 23, 2013)</w:t>
      </w:r>
      <w:r>
        <w:t>.</w:t>
      </w:r>
    </w:p>
  </w:footnote>
  <w:footnote w:id="25">
    <w:p w:rsidR="00CE0C16" w:rsidRPr="00B56968" w:rsidRDefault="00CE0C16" w:rsidP="00CE0C16">
      <w:pPr>
        <w:pStyle w:val="FootnoteText"/>
        <w:tabs>
          <w:tab w:val="left" w:pos="360"/>
        </w:tabs>
        <w:spacing w:after="60"/>
        <w:ind w:firstLine="0"/>
      </w:pPr>
      <w:r>
        <w:rPr>
          <w:rStyle w:val="FootnoteReference"/>
        </w:rPr>
        <w:footnoteRef/>
      </w:r>
      <w:r>
        <w:t xml:space="preserve"> </w:t>
      </w:r>
      <w:r>
        <w:tab/>
      </w:r>
      <w:r w:rsidRPr="00B56968">
        <w:rPr>
          <w:i/>
        </w:rPr>
        <w:t>I</w:t>
      </w:r>
      <w:r w:rsidR="00EE62E6">
        <w:rPr>
          <w:i/>
        </w:rPr>
        <w:t>d.</w:t>
      </w:r>
    </w:p>
  </w:footnote>
  <w:footnote w:id="26">
    <w:p w:rsidR="00CE0C16" w:rsidRDefault="00CE0C16" w:rsidP="00CE0C16">
      <w:pPr>
        <w:pStyle w:val="FootnoteText"/>
        <w:tabs>
          <w:tab w:val="left" w:pos="360"/>
        </w:tabs>
        <w:spacing w:after="60"/>
        <w:ind w:firstLine="0"/>
      </w:pPr>
      <w:r>
        <w:rPr>
          <w:rStyle w:val="FootnoteReference"/>
        </w:rPr>
        <w:footnoteRef/>
      </w:r>
      <w:r>
        <w:t xml:space="preserve"> </w:t>
      </w:r>
      <w:r>
        <w:tab/>
        <w:t>Regulatory Research Associates, Washi</w:t>
      </w:r>
      <w:r w:rsidR="00EE62E6">
        <w:t>ngton Commission Profile (</w:t>
      </w:r>
      <w:r>
        <w:t>Nov</w:t>
      </w:r>
      <w:r w:rsidR="00EE62E6">
        <w:t>.</w:t>
      </w:r>
      <w:r>
        <w:t xml:space="preserve"> 2, 2015</w:t>
      </w:r>
      <w:r w:rsidR="00EE62E6">
        <w:t>)</w:t>
      </w:r>
      <w:r>
        <w:t>.</w:t>
      </w:r>
    </w:p>
  </w:footnote>
  <w:footnote w:id="27">
    <w:p w:rsidR="00CE0C16" w:rsidRDefault="00CE0C16" w:rsidP="00CE0C16">
      <w:pPr>
        <w:pStyle w:val="FootnoteText"/>
        <w:tabs>
          <w:tab w:val="left" w:pos="360"/>
        </w:tabs>
        <w:spacing w:after="60"/>
        <w:ind w:firstLine="0"/>
      </w:pPr>
      <w:r>
        <w:rPr>
          <w:rStyle w:val="FootnoteReference"/>
        </w:rPr>
        <w:footnoteRef/>
      </w:r>
      <w:r>
        <w:t xml:space="preserve"> </w:t>
      </w:r>
      <w:r>
        <w:tab/>
      </w:r>
      <w:r w:rsidRPr="000C2A31">
        <w:rPr>
          <w:i/>
        </w:rPr>
        <w:t>I</w:t>
      </w:r>
      <w:r w:rsidR="00EE62E6">
        <w:rPr>
          <w:i/>
        </w:rPr>
        <w:t>d</w:t>
      </w:r>
      <w:r w:rsidRPr="000C2A31">
        <w:rPr>
          <w:i/>
        </w:rPr>
        <w:t>.</w:t>
      </w:r>
      <w:r>
        <w:t xml:space="preserve">  </w:t>
      </w:r>
    </w:p>
  </w:footnote>
  <w:footnote w:id="28">
    <w:p w:rsidR="00CE0C16" w:rsidRDefault="00CE0C16" w:rsidP="00CE0C16">
      <w:pPr>
        <w:pStyle w:val="FootnoteText"/>
        <w:tabs>
          <w:tab w:val="left" w:pos="360"/>
        </w:tabs>
        <w:spacing w:after="60"/>
        <w:ind w:firstLine="0"/>
      </w:pPr>
      <w:r>
        <w:rPr>
          <w:rStyle w:val="FootnoteReference"/>
        </w:rPr>
        <w:footnoteRef/>
      </w:r>
      <w:r>
        <w:t xml:space="preserve"> </w:t>
      </w:r>
      <w:r>
        <w:tab/>
      </w:r>
      <w:r w:rsidRPr="0046318B">
        <w:rPr>
          <w:i/>
        </w:rPr>
        <w:t>I</w:t>
      </w:r>
      <w:r w:rsidR="00EE62E6">
        <w:rPr>
          <w:i/>
        </w:rPr>
        <w:t>d.</w:t>
      </w:r>
    </w:p>
  </w:footnote>
  <w:footnote w:id="29">
    <w:p w:rsidR="00CE0C16" w:rsidRDefault="00CE0C16" w:rsidP="00CE0C16">
      <w:pPr>
        <w:pStyle w:val="FootnoteText"/>
        <w:tabs>
          <w:tab w:val="left" w:pos="360"/>
        </w:tabs>
        <w:spacing w:after="60"/>
        <w:ind w:firstLine="0"/>
      </w:pPr>
      <w:r>
        <w:rPr>
          <w:rStyle w:val="FootnoteReference"/>
        </w:rPr>
        <w:footnoteRef/>
      </w:r>
      <w:r>
        <w:t xml:space="preserve"> </w:t>
      </w:r>
      <w:r>
        <w:tab/>
        <w:t xml:space="preserve">Standard and Poor’s Rating Service, </w:t>
      </w:r>
      <w:r w:rsidRPr="00782866">
        <w:rPr>
          <w:i/>
        </w:rPr>
        <w:t>Cascade Natural Gas Corp</w:t>
      </w:r>
      <w:r w:rsidR="00EE62E6">
        <w:t>.</w:t>
      </w:r>
      <w:r>
        <w:t xml:space="preserve"> </w:t>
      </w:r>
      <w:r w:rsidR="00EE62E6">
        <w:t>at 2 (Dec. 18, 2014)</w:t>
      </w:r>
      <w:r>
        <w:t xml:space="preserve"> </w:t>
      </w:r>
      <w:r w:rsidR="00EE62E6">
        <w:t>(e</w:t>
      </w:r>
      <w:r>
        <w:t>mphasis added</w:t>
      </w:r>
      <w:r w:rsidR="00EE62E6">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8A67DC4"/>
    <w:lvl w:ilvl="0">
      <w:start w:val="1"/>
      <w:numFmt w:val="lowerLetter"/>
      <w:pStyle w:val="ListNumber2"/>
      <w:lvlText w:val="%1."/>
      <w:lvlJc w:val="left"/>
      <w:pPr>
        <w:tabs>
          <w:tab w:val="num" w:pos="2160"/>
        </w:tabs>
        <w:ind w:left="2160" w:hanging="720"/>
      </w:pPr>
      <w:rPr>
        <w:rFonts w:hint="default"/>
      </w:rPr>
    </w:lvl>
  </w:abstractNum>
  <w:abstractNum w:abstractNumId="1">
    <w:nsid w:val="FFFFFF80"/>
    <w:multiLevelType w:val="singleLevel"/>
    <w:tmpl w:val="906885F6"/>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4AEA861E"/>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04A81628"/>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C7160E3A"/>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06C05312"/>
    <w:lvl w:ilvl="0">
      <w:start w:val="1"/>
      <w:numFmt w:val="decimal"/>
      <w:pStyle w:val="ListNumber"/>
      <w:lvlText w:val="%1."/>
      <w:lvlJc w:val="left"/>
      <w:pPr>
        <w:tabs>
          <w:tab w:val="num" w:pos="1440"/>
        </w:tabs>
        <w:ind w:left="1440" w:hanging="720"/>
      </w:pPr>
      <w:rPr>
        <w:rFonts w:hint="default"/>
      </w:rPr>
    </w:lvl>
  </w:abstractNum>
  <w:abstractNum w:abstractNumId="6">
    <w:nsid w:val="FFFFFF89"/>
    <w:multiLevelType w:val="singleLevel"/>
    <w:tmpl w:val="AFB89EF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16461D"/>
    <w:multiLevelType w:val="hybridMultilevel"/>
    <w:tmpl w:val="4A74CB42"/>
    <w:lvl w:ilvl="0" w:tplc="B2E0ADB4">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1FA772C"/>
    <w:multiLevelType w:val="hybridMultilevel"/>
    <w:tmpl w:val="B7584C4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7493B3D"/>
    <w:multiLevelType w:val="hybridMultilevel"/>
    <w:tmpl w:val="933CF7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07AE40A4"/>
    <w:multiLevelType w:val="hybridMultilevel"/>
    <w:tmpl w:val="52EA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8A14A8"/>
    <w:multiLevelType w:val="hybridMultilevel"/>
    <w:tmpl w:val="38825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E9628E"/>
    <w:multiLevelType w:val="multilevel"/>
    <w:tmpl w:val="2D6AC41A"/>
    <w:name w:val="HeadingStyles||Heading|3|3|0|1|0|33||1|0|33||1|0|33||1|0|33||1|0|33||1|0|33||1|0|32||1|0|32||1|0|32||"/>
    <w:lvl w:ilvl="0">
      <w:start w:val="1"/>
      <w:numFmt w:val="upperRoman"/>
      <w:pStyle w:val="Heading1"/>
      <w:lvlText w:val="%1.  "/>
      <w:lvlJc w:val="center"/>
      <w:pPr>
        <w:tabs>
          <w:tab w:val="num" w:pos="360"/>
        </w:tabs>
        <w:ind w:left="0" w:firstLine="0"/>
      </w:pPr>
      <w:rPr>
        <w:rFonts w:hint="default"/>
      </w:rPr>
    </w:lvl>
    <w:lvl w:ilvl="1">
      <w:start w:val="1"/>
      <w:numFmt w:val="upperLetter"/>
      <w:pStyle w:val="Heading2"/>
      <w:lvlText w:val="%2."/>
      <w:lvlJc w:val="left"/>
      <w:pPr>
        <w:tabs>
          <w:tab w:val="num" w:pos="720"/>
        </w:tabs>
        <w:ind w:left="720" w:hanging="720"/>
      </w:pPr>
      <w:rPr>
        <w:rFonts w:ascii="Times New Roman" w:hAnsi="Times New Roman" w:cs="Times New Roman" w:hint="default"/>
        <w:sz w:val="24"/>
        <w:szCs w:val="24"/>
      </w:rPr>
    </w:lvl>
    <w:lvl w:ilvl="2">
      <w:start w:val="1"/>
      <w:numFmt w:val="decimal"/>
      <w:pStyle w:val="Heading3"/>
      <w:lvlText w:val="%3."/>
      <w:lvlJc w:val="left"/>
      <w:pPr>
        <w:tabs>
          <w:tab w:val="num" w:pos="1440"/>
        </w:tabs>
        <w:ind w:left="1440" w:hanging="720"/>
      </w:pPr>
      <w:rPr>
        <w:rFonts w:ascii="Arial" w:hAnsi="Arial" w:cs="Arial" w:hint="default"/>
        <w:sz w:val="22"/>
        <w:szCs w:val="22"/>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600"/>
        </w:tabs>
        <w:ind w:left="3600" w:hanging="720"/>
      </w:pPr>
      <w:rPr>
        <w:rFonts w:hint="default"/>
      </w:rPr>
    </w:lvl>
    <w:lvl w:ilvl="6">
      <w:start w:val="1"/>
      <w:numFmt w:val="lowerRoman"/>
      <w:pStyle w:val="Heading7"/>
      <w:lvlText w:val="(%7)"/>
      <w:lvlJc w:val="left"/>
      <w:pPr>
        <w:tabs>
          <w:tab w:val="num" w:pos="6120"/>
        </w:tabs>
        <w:ind w:left="5760" w:firstLine="0"/>
      </w:pPr>
      <w:rPr>
        <w:rFonts w:hint="default"/>
      </w:rPr>
    </w:lvl>
    <w:lvl w:ilvl="7">
      <w:start w:val="1"/>
      <w:numFmt w:val="lowerLetter"/>
      <w:pStyle w:val="Heading8"/>
      <w:lvlText w:val="(%8)"/>
      <w:lvlJc w:val="left"/>
      <w:pPr>
        <w:tabs>
          <w:tab w:val="num" w:pos="6840"/>
        </w:tabs>
        <w:ind w:left="6480" w:firstLine="0"/>
      </w:pPr>
      <w:rPr>
        <w:rFonts w:hint="default"/>
      </w:rPr>
    </w:lvl>
    <w:lvl w:ilvl="8">
      <w:start w:val="1"/>
      <w:numFmt w:val="lowerRoman"/>
      <w:pStyle w:val="Heading9"/>
      <w:lvlText w:val="(%9)"/>
      <w:lvlJc w:val="left"/>
      <w:pPr>
        <w:tabs>
          <w:tab w:val="num" w:pos="7560"/>
        </w:tabs>
        <w:ind w:left="7200" w:firstLine="0"/>
      </w:pPr>
      <w:rPr>
        <w:rFonts w:hint="default"/>
      </w:rPr>
    </w:lvl>
  </w:abstractNum>
  <w:abstractNum w:abstractNumId="13">
    <w:nsid w:val="0EDA78CF"/>
    <w:multiLevelType w:val="hybridMultilevel"/>
    <w:tmpl w:val="0580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4E7CA6"/>
    <w:multiLevelType w:val="hybridMultilevel"/>
    <w:tmpl w:val="CEECA7D8"/>
    <w:lvl w:ilvl="0" w:tplc="5854FA5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6AA3325"/>
    <w:multiLevelType w:val="hybridMultilevel"/>
    <w:tmpl w:val="828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1D0504"/>
    <w:multiLevelType w:val="hybridMultilevel"/>
    <w:tmpl w:val="5156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055798"/>
    <w:multiLevelType w:val="hybridMultilevel"/>
    <w:tmpl w:val="2D403680"/>
    <w:name w:val="Answer1"/>
    <w:lvl w:ilvl="0" w:tplc="3CB08C24">
      <w:start w:val="1"/>
      <w:numFmt w:val="decimal"/>
      <w:pStyle w:val="Answer1"/>
      <w:lvlText w:val="A%1."/>
      <w:lvlJc w:val="left"/>
      <w:pPr>
        <w:ind w:left="720" w:hanging="360"/>
      </w:pPr>
      <w:rPr>
        <w:rFonts w:ascii="Times New Roman" w:hAnsi="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A5111"/>
    <w:multiLevelType w:val="hybridMultilevel"/>
    <w:tmpl w:val="18D2702E"/>
    <w:name w:val="Question"/>
    <w:lvl w:ilvl="0" w:tplc="00B6C742">
      <w:start w:val="1"/>
      <w:numFmt w:val="decimal"/>
      <w:pStyle w:val="Question"/>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D566F5"/>
    <w:multiLevelType w:val="hybridMultilevel"/>
    <w:tmpl w:val="26201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755326F"/>
    <w:multiLevelType w:val="hybridMultilevel"/>
    <w:tmpl w:val="15C0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64518B"/>
    <w:multiLevelType w:val="hybridMultilevel"/>
    <w:tmpl w:val="2DA8CE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6B0B4860"/>
    <w:multiLevelType w:val="hybridMultilevel"/>
    <w:tmpl w:val="826E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A06A99"/>
    <w:multiLevelType w:val="multilevel"/>
    <w:tmpl w:val="5E5C5A66"/>
    <w:lvl w:ilvl="0">
      <w:start w:val="1"/>
      <w:numFmt w:val="upperLetter"/>
      <w:pStyle w:val="Level3"/>
      <w:lvlText w:val="%1."/>
      <w:lvlJc w:val="left"/>
      <w:pPr>
        <w:tabs>
          <w:tab w:val="num" w:pos="0"/>
        </w:tabs>
        <w:ind w:left="-720" w:firstLine="720"/>
      </w:pPr>
      <w:rPr>
        <w:rFonts w:ascii="Times New Roman" w:eastAsia="Times New Roman" w:hAnsi="Times New Roman" w:cs="Times New Roman" w:hint="default"/>
        <w:b w:val="0"/>
        <w:i w:val="0"/>
        <w:caps w:val="0"/>
        <w:color w:val="000000"/>
        <w:sz w:val="22"/>
        <w:szCs w:val="22"/>
        <w:u w:val="none"/>
      </w:rPr>
    </w:lvl>
    <w:lvl w:ilvl="1">
      <w:start w:val="1"/>
      <w:numFmt w:val="lowerLetter"/>
      <w:pStyle w:val="Level2"/>
      <w:lvlText w:val="%2."/>
      <w:lvlJc w:val="left"/>
      <w:pPr>
        <w:tabs>
          <w:tab w:val="num" w:pos="0"/>
        </w:tabs>
        <w:ind w:left="1440" w:hanging="720"/>
      </w:pPr>
      <w:rPr>
        <w:rFonts w:ascii="Arial" w:hAnsi="Arial" w:cs="Times New Roman" w:hint="default"/>
        <w:b w:val="0"/>
        <w:i w:val="0"/>
        <w:caps w:val="0"/>
        <w:color w:val="000000"/>
        <w:sz w:val="22"/>
        <w:szCs w:val="22"/>
        <w:u w:val="none"/>
      </w:rPr>
    </w:lvl>
    <w:lvl w:ilvl="2">
      <w:start w:val="1"/>
      <w:numFmt w:val="decimal"/>
      <w:pStyle w:val="Level3"/>
      <w:isLgl/>
      <w:lvlText w:val="%3."/>
      <w:lvlJc w:val="left"/>
      <w:pPr>
        <w:tabs>
          <w:tab w:val="num" w:pos="720"/>
        </w:tabs>
        <w:ind w:left="2160" w:hanging="720"/>
      </w:pPr>
      <w:rPr>
        <w:rFonts w:ascii="Arial" w:hAnsi="Arial" w:cs="Times New Roman" w:hint="default"/>
        <w:b w:val="0"/>
        <w:i w:val="0"/>
        <w:caps w:val="0"/>
        <w:color w:val="000000"/>
        <w:sz w:val="22"/>
        <w:szCs w:val="22"/>
        <w:u w:val="none"/>
      </w:rPr>
    </w:lvl>
    <w:lvl w:ilvl="3">
      <w:start w:val="1"/>
      <w:numFmt w:val="lowerLetter"/>
      <w:pStyle w:val="Level4"/>
      <w:lvlText w:val="%4."/>
      <w:lvlJc w:val="left"/>
      <w:pPr>
        <w:tabs>
          <w:tab w:val="num" w:pos="-720"/>
        </w:tabs>
        <w:ind w:left="2160" w:hanging="720"/>
      </w:pPr>
      <w:rPr>
        <w:rFonts w:ascii="Times New Roman" w:hAnsi="Times New Roman" w:cs="Times New Roman" w:hint="default"/>
        <w:b w:val="0"/>
        <w:i w:val="0"/>
        <w:caps w:val="0"/>
        <w:color w:val="000000"/>
        <w:sz w:val="24"/>
        <w:szCs w:val="22"/>
        <w:u w:val="none"/>
      </w:rPr>
    </w:lvl>
    <w:lvl w:ilvl="4">
      <w:start w:val="1"/>
      <w:numFmt w:val="decimal"/>
      <w:pStyle w:val="Level5"/>
      <w:isLgl/>
      <w:lvlText w:val="(%5)"/>
      <w:lvlJc w:val="left"/>
      <w:pPr>
        <w:tabs>
          <w:tab w:val="num" w:pos="-720"/>
        </w:tabs>
        <w:ind w:left="2880" w:hanging="720"/>
      </w:pPr>
      <w:rPr>
        <w:rFonts w:ascii="Times New Roman" w:hAnsi="Times New Roman" w:cs="Times New Roman" w:hint="default"/>
        <w:b w:val="0"/>
        <w:i w:val="0"/>
        <w:caps w:val="0"/>
        <w:color w:val="000000"/>
        <w:sz w:val="24"/>
        <w:szCs w:val="22"/>
        <w:u w:val="none"/>
      </w:rPr>
    </w:lvl>
    <w:lvl w:ilvl="5">
      <w:start w:val="1"/>
      <w:numFmt w:val="lowerLetter"/>
      <w:pStyle w:val="Level6"/>
      <w:lvlText w:val="(%6)"/>
      <w:lvlJc w:val="left"/>
      <w:pPr>
        <w:tabs>
          <w:tab w:val="num" w:pos="-720"/>
        </w:tabs>
        <w:ind w:left="3600" w:hanging="720"/>
      </w:pPr>
      <w:rPr>
        <w:rFonts w:ascii="Times New Roman" w:hAnsi="Times New Roman" w:cs="Times New Roman" w:hint="default"/>
        <w:b w:val="0"/>
        <w:i w:val="0"/>
        <w:caps w:val="0"/>
        <w:color w:val="000000"/>
        <w:sz w:val="24"/>
        <w:u w:val="none"/>
      </w:rPr>
    </w:lvl>
    <w:lvl w:ilvl="6">
      <w:start w:val="1"/>
      <w:numFmt w:val="lowerRoman"/>
      <w:pStyle w:val="Level7"/>
      <w:lvlText w:val="%7)"/>
      <w:lvlJc w:val="left"/>
      <w:pPr>
        <w:tabs>
          <w:tab w:val="num" w:pos="-720"/>
        </w:tabs>
        <w:ind w:left="4320" w:hanging="720"/>
      </w:pPr>
      <w:rPr>
        <w:rFonts w:ascii="Times New Roman" w:hAnsi="Times New Roman" w:cs="Times New Roman" w:hint="default"/>
        <w:b w:val="0"/>
        <w:i w:val="0"/>
        <w:caps w:val="0"/>
        <w:color w:val="000000"/>
        <w:sz w:val="24"/>
        <w:u w:val="none"/>
      </w:rPr>
    </w:lvl>
    <w:lvl w:ilvl="7">
      <w:start w:val="1"/>
      <w:numFmt w:val="lowerLetter"/>
      <w:pStyle w:val="Level8"/>
      <w:lvlText w:val="%8)"/>
      <w:lvlJc w:val="left"/>
      <w:pPr>
        <w:tabs>
          <w:tab w:val="num" w:pos="-720"/>
        </w:tabs>
        <w:ind w:left="5040" w:hanging="720"/>
      </w:pPr>
      <w:rPr>
        <w:rFonts w:ascii="Times New Roman" w:hAnsi="Times New Roman" w:cs="Times New Roman" w:hint="default"/>
        <w:b w:val="0"/>
        <w:i w:val="0"/>
        <w:caps w:val="0"/>
        <w:color w:val="000000"/>
        <w:sz w:val="24"/>
        <w:u w:val="none"/>
      </w:rPr>
    </w:lvl>
    <w:lvl w:ilvl="8">
      <w:start w:val="1"/>
      <w:numFmt w:val="lowerRoman"/>
      <w:lvlText w:val="%9."/>
      <w:lvlJc w:val="left"/>
      <w:pPr>
        <w:tabs>
          <w:tab w:val="num" w:pos="2520"/>
        </w:tabs>
        <w:ind w:left="2520" w:hanging="360"/>
      </w:pPr>
      <w:rPr>
        <w:rFonts w:hint="default"/>
      </w:rPr>
    </w:lvl>
  </w:abstractNum>
  <w:abstractNum w:abstractNumId="24">
    <w:nsid w:val="7E2E7951"/>
    <w:multiLevelType w:val="hybridMultilevel"/>
    <w:tmpl w:val="37B237D2"/>
    <w:lvl w:ilvl="0" w:tplc="EE7EE4F8">
      <w:start w:val="1"/>
      <w:numFmt w:val="upperRoman"/>
      <w:pStyle w:val="Level1"/>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0"/>
  </w:num>
  <w:num w:numId="5">
    <w:abstractNumId w:val="14"/>
  </w:num>
  <w:num w:numId="6">
    <w:abstractNumId w:val="8"/>
  </w:num>
  <w:num w:numId="7">
    <w:abstractNumId w:val="7"/>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24"/>
  </w:num>
  <w:num w:numId="15">
    <w:abstractNumId w:val="16"/>
  </w:num>
  <w:num w:numId="16">
    <w:abstractNumId w:val="19"/>
  </w:num>
  <w:num w:numId="17">
    <w:abstractNumId w:val="10"/>
  </w:num>
  <w:num w:numId="18">
    <w:abstractNumId w:val="20"/>
  </w:num>
  <w:num w:numId="19">
    <w:abstractNumId w:val="22"/>
  </w:num>
  <w:num w:numId="20">
    <w:abstractNumId w:val="21"/>
  </w:num>
  <w:num w:numId="21">
    <w:abstractNumId w:val="9"/>
  </w:num>
  <w:num w:numId="22">
    <w:abstractNumId w:val="13"/>
  </w:num>
  <w:num w:numId="23">
    <w:abstractNumId w:val="15"/>
  </w:num>
  <w:num w:numId="24">
    <w:abstractNumId w:val="18"/>
  </w:num>
  <w:num w:numId="25">
    <w:abstractNumId w:val="17"/>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1"/>
  </w:num>
  <w:num w:numId="4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cbxMaxLevel" w:val="6"/>
    <w:docVar w:name="cbxMinLevel" w:val="1"/>
    <w:docVar w:name="cbxScheduleStyles" w:val="0"/>
    <w:docVar w:name="cbxTOCScheme" w:val="4"/>
    <w:docVar w:name="chkApplyManualFormatsToTOC" w:val="0"/>
    <w:docVar w:name="chkApplyTOC9" w:val="0"/>
    <w:docVar w:name="chkHyperlinks" w:val="0"/>
    <w:docVar w:name="chkInsertAsField" w:val="0"/>
    <w:docVar w:name="chkStyles" w:val="1"/>
    <w:docVar w:name="chkTCEntries" w:val="0"/>
    <w:docVar w:name="chkTwoColumn" w:val="0"/>
    <w:docVar w:name="HeadingStyles" w:val="||Heading|3|3|0|1|0|33||1|0|33||1|0|33||1|0|33||1|0|33||1|0|33||1|0|32||1|0|32||1|0|32||"/>
    <w:docVar w:name="MPDocID" w:val="4553602.4"/>
    <w:docVar w:name="NewDocStampType" w:val="1"/>
    <w:docVar w:name="optCreateFrom" w:val="0"/>
    <w:docVar w:name="optInclude" w:val="0"/>
    <w:docVar w:name="StyleExclusions" w:val=",Heading 7,Heading 8,Heading 9,Title,"/>
    <w:docVar w:name="StyleInclusions" w:val=",Heading 1,Heading 2,Heading 3,Heading 4,Heading 5,Heading 6,"/>
    <w:docVar w:name="zzmpFixedCurScheme" w:val="ingStyles"/>
    <w:docVar w:name="zzmpFixedCurScheme_9.0" w:val="1HeadingStyles"/>
    <w:docVar w:name="zzmpnSession" w:val="0.4526483"/>
  </w:docVars>
  <w:rsids>
    <w:rsidRoot w:val="00934891"/>
    <w:rsid w:val="00037343"/>
    <w:rsid w:val="00052985"/>
    <w:rsid w:val="0006703A"/>
    <w:rsid w:val="00075E29"/>
    <w:rsid w:val="0008032B"/>
    <w:rsid w:val="00083D4E"/>
    <w:rsid w:val="000B2080"/>
    <w:rsid w:val="000C6812"/>
    <w:rsid w:val="000E0EA8"/>
    <w:rsid w:val="000F0F45"/>
    <w:rsid w:val="000F4921"/>
    <w:rsid w:val="00104A68"/>
    <w:rsid w:val="00111932"/>
    <w:rsid w:val="00136C3D"/>
    <w:rsid w:val="00141AF2"/>
    <w:rsid w:val="00144B2C"/>
    <w:rsid w:val="0014693C"/>
    <w:rsid w:val="001515A1"/>
    <w:rsid w:val="0017121A"/>
    <w:rsid w:val="00173BB5"/>
    <w:rsid w:val="001772DE"/>
    <w:rsid w:val="00185D31"/>
    <w:rsid w:val="001A3F53"/>
    <w:rsid w:val="001A7448"/>
    <w:rsid w:val="001B5AD4"/>
    <w:rsid w:val="001C27C2"/>
    <w:rsid w:val="001D2430"/>
    <w:rsid w:val="001D2C4D"/>
    <w:rsid w:val="001E28CF"/>
    <w:rsid w:val="001F79A4"/>
    <w:rsid w:val="00207058"/>
    <w:rsid w:val="002329BF"/>
    <w:rsid w:val="00242A20"/>
    <w:rsid w:val="00244B75"/>
    <w:rsid w:val="002474D0"/>
    <w:rsid w:val="002831A0"/>
    <w:rsid w:val="00293D73"/>
    <w:rsid w:val="00294135"/>
    <w:rsid w:val="00294A33"/>
    <w:rsid w:val="002A1394"/>
    <w:rsid w:val="002A2429"/>
    <w:rsid w:val="002C4E84"/>
    <w:rsid w:val="002C6C87"/>
    <w:rsid w:val="003057CD"/>
    <w:rsid w:val="0031679F"/>
    <w:rsid w:val="00327365"/>
    <w:rsid w:val="00327B7A"/>
    <w:rsid w:val="00334AF9"/>
    <w:rsid w:val="00346FBF"/>
    <w:rsid w:val="00350B0F"/>
    <w:rsid w:val="0036305D"/>
    <w:rsid w:val="0036648F"/>
    <w:rsid w:val="00391F5A"/>
    <w:rsid w:val="003935EB"/>
    <w:rsid w:val="003E302A"/>
    <w:rsid w:val="003F72A1"/>
    <w:rsid w:val="0040185E"/>
    <w:rsid w:val="00404E51"/>
    <w:rsid w:val="00421680"/>
    <w:rsid w:val="004464A2"/>
    <w:rsid w:val="00453DF7"/>
    <w:rsid w:val="00463B2F"/>
    <w:rsid w:val="00480666"/>
    <w:rsid w:val="004A03AE"/>
    <w:rsid w:val="004C02F5"/>
    <w:rsid w:val="004C547C"/>
    <w:rsid w:val="004D7428"/>
    <w:rsid w:val="004E29C0"/>
    <w:rsid w:val="004F6459"/>
    <w:rsid w:val="005025F1"/>
    <w:rsid w:val="005177FF"/>
    <w:rsid w:val="00522F5E"/>
    <w:rsid w:val="00530C37"/>
    <w:rsid w:val="00536A9C"/>
    <w:rsid w:val="00554ACD"/>
    <w:rsid w:val="00556E17"/>
    <w:rsid w:val="00573E3B"/>
    <w:rsid w:val="005862EA"/>
    <w:rsid w:val="00596D35"/>
    <w:rsid w:val="005A0C54"/>
    <w:rsid w:val="005B573C"/>
    <w:rsid w:val="005E075C"/>
    <w:rsid w:val="00606B31"/>
    <w:rsid w:val="00617DB1"/>
    <w:rsid w:val="00625A64"/>
    <w:rsid w:val="006340D2"/>
    <w:rsid w:val="00643F4F"/>
    <w:rsid w:val="00685113"/>
    <w:rsid w:val="006A5AD8"/>
    <w:rsid w:val="006D5771"/>
    <w:rsid w:val="006E1C83"/>
    <w:rsid w:val="006E258D"/>
    <w:rsid w:val="006E6C79"/>
    <w:rsid w:val="006F087F"/>
    <w:rsid w:val="006F70E0"/>
    <w:rsid w:val="007001D0"/>
    <w:rsid w:val="0070783A"/>
    <w:rsid w:val="007134B5"/>
    <w:rsid w:val="007237F4"/>
    <w:rsid w:val="00752A19"/>
    <w:rsid w:val="007611C1"/>
    <w:rsid w:val="00763C46"/>
    <w:rsid w:val="007641B7"/>
    <w:rsid w:val="00771ABC"/>
    <w:rsid w:val="00773AD9"/>
    <w:rsid w:val="0079387D"/>
    <w:rsid w:val="007A689D"/>
    <w:rsid w:val="007D024D"/>
    <w:rsid w:val="007D1976"/>
    <w:rsid w:val="007D7321"/>
    <w:rsid w:val="00812EF9"/>
    <w:rsid w:val="00824D0C"/>
    <w:rsid w:val="00863F03"/>
    <w:rsid w:val="00880D6F"/>
    <w:rsid w:val="008820AF"/>
    <w:rsid w:val="008837A4"/>
    <w:rsid w:val="00892E8D"/>
    <w:rsid w:val="008A02C5"/>
    <w:rsid w:val="008A4952"/>
    <w:rsid w:val="008C76DA"/>
    <w:rsid w:val="008D6814"/>
    <w:rsid w:val="008E6019"/>
    <w:rsid w:val="008E761B"/>
    <w:rsid w:val="008F2DF1"/>
    <w:rsid w:val="00905AC0"/>
    <w:rsid w:val="009229D2"/>
    <w:rsid w:val="00934891"/>
    <w:rsid w:val="00954418"/>
    <w:rsid w:val="00967E89"/>
    <w:rsid w:val="00973479"/>
    <w:rsid w:val="0099161D"/>
    <w:rsid w:val="00997B0A"/>
    <w:rsid w:val="009C637D"/>
    <w:rsid w:val="009C7BE8"/>
    <w:rsid w:val="009F7673"/>
    <w:rsid w:val="00A1630E"/>
    <w:rsid w:val="00A20FC3"/>
    <w:rsid w:val="00A311B6"/>
    <w:rsid w:val="00A37A4A"/>
    <w:rsid w:val="00A63039"/>
    <w:rsid w:val="00A77F16"/>
    <w:rsid w:val="00A873EB"/>
    <w:rsid w:val="00AB32FE"/>
    <w:rsid w:val="00AD398A"/>
    <w:rsid w:val="00B042E5"/>
    <w:rsid w:val="00B05D6F"/>
    <w:rsid w:val="00B24F84"/>
    <w:rsid w:val="00B27297"/>
    <w:rsid w:val="00B27570"/>
    <w:rsid w:val="00B40870"/>
    <w:rsid w:val="00B60E04"/>
    <w:rsid w:val="00B62360"/>
    <w:rsid w:val="00B64BAC"/>
    <w:rsid w:val="00B64E89"/>
    <w:rsid w:val="00B7526B"/>
    <w:rsid w:val="00B81DE8"/>
    <w:rsid w:val="00B93756"/>
    <w:rsid w:val="00B94A13"/>
    <w:rsid w:val="00BB661D"/>
    <w:rsid w:val="00BC2A60"/>
    <w:rsid w:val="00BD48F4"/>
    <w:rsid w:val="00BD61D3"/>
    <w:rsid w:val="00BE0F19"/>
    <w:rsid w:val="00BF2461"/>
    <w:rsid w:val="00BF6661"/>
    <w:rsid w:val="00C16304"/>
    <w:rsid w:val="00C262A4"/>
    <w:rsid w:val="00C3780F"/>
    <w:rsid w:val="00C402F4"/>
    <w:rsid w:val="00C502FD"/>
    <w:rsid w:val="00C62EF0"/>
    <w:rsid w:val="00C978B7"/>
    <w:rsid w:val="00CA23C5"/>
    <w:rsid w:val="00CC3CB5"/>
    <w:rsid w:val="00CC6891"/>
    <w:rsid w:val="00CD452A"/>
    <w:rsid w:val="00CE0C16"/>
    <w:rsid w:val="00D02567"/>
    <w:rsid w:val="00D05259"/>
    <w:rsid w:val="00D21E4D"/>
    <w:rsid w:val="00D23243"/>
    <w:rsid w:val="00D25EAF"/>
    <w:rsid w:val="00D33CC8"/>
    <w:rsid w:val="00D457EE"/>
    <w:rsid w:val="00D558A4"/>
    <w:rsid w:val="00D5656F"/>
    <w:rsid w:val="00D87E1D"/>
    <w:rsid w:val="00D97FAD"/>
    <w:rsid w:val="00DC067E"/>
    <w:rsid w:val="00DF025C"/>
    <w:rsid w:val="00DF5D76"/>
    <w:rsid w:val="00E014FD"/>
    <w:rsid w:val="00E17175"/>
    <w:rsid w:val="00E73D09"/>
    <w:rsid w:val="00E746A3"/>
    <w:rsid w:val="00E82FF9"/>
    <w:rsid w:val="00E83343"/>
    <w:rsid w:val="00E84434"/>
    <w:rsid w:val="00E91476"/>
    <w:rsid w:val="00EE33A3"/>
    <w:rsid w:val="00EE62E6"/>
    <w:rsid w:val="00EF59B4"/>
    <w:rsid w:val="00F44139"/>
    <w:rsid w:val="00F54D98"/>
    <w:rsid w:val="00FB60B2"/>
    <w:rsid w:val="00FD6227"/>
    <w:rsid w:val="00FE3436"/>
    <w:rsid w:val="00FE5E01"/>
    <w:rsid w:val="00FE62D6"/>
    <w:rsid w:val="00FF5039"/>
    <w:rsid w:val="00FF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7A"/>
    <w:pPr>
      <w:spacing w:line="240" w:lineRule="exact"/>
    </w:pPr>
    <w:rPr>
      <w:sz w:val="24"/>
    </w:rPr>
  </w:style>
  <w:style w:type="paragraph" w:styleId="Heading1">
    <w:name w:val="heading 1"/>
    <w:aliases w:val="h1"/>
    <w:basedOn w:val="Normal"/>
    <w:next w:val="Normal"/>
    <w:qFormat/>
    <w:rsid w:val="003E302A"/>
    <w:pPr>
      <w:keepNext/>
      <w:numPr>
        <w:numId w:val="1"/>
      </w:numPr>
      <w:spacing w:before="240"/>
      <w:jc w:val="center"/>
      <w:outlineLvl w:val="0"/>
    </w:pPr>
    <w:rPr>
      <w:rFonts w:ascii="Arial" w:hAnsi="Arial" w:cs="Arial"/>
      <w:b/>
      <w:bCs/>
      <w:sz w:val="22"/>
      <w:szCs w:val="22"/>
    </w:rPr>
  </w:style>
  <w:style w:type="paragraph" w:styleId="Heading2">
    <w:name w:val="heading 2"/>
    <w:aliases w:val="h2"/>
    <w:basedOn w:val="Normal"/>
    <w:next w:val="BodyDouble"/>
    <w:qFormat/>
    <w:rsid w:val="008A02C5"/>
    <w:pPr>
      <w:keepNext/>
      <w:keepLines/>
      <w:numPr>
        <w:ilvl w:val="1"/>
        <w:numId w:val="1"/>
      </w:numPr>
      <w:spacing w:before="240"/>
      <w:outlineLvl w:val="1"/>
    </w:pPr>
    <w:rPr>
      <w:rFonts w:ascii="Times New Roman Bold" w:hAnsi="Times New Roman Bold" w:cs="Times New Roman Bold"/>
      <w:b/>
      <w:bCs/>
      <w:szCs w:val="24"/>
    </w:rPr>
  </w:style>
  <w:style w:type="paragraph" w:styleId="Heading3">
    <w:name w:val="heading 3"/>
    <w:aliases w:val="h3"/>
    <w:basedOn w:val="Normal"/>
    <w:next w:val="BodyDouble"/>
    <w:qFormat/>
    <w:rsid w:val="008A02C5"/>
    <w:pPr>
      <w:keepNext/>
      <w:keepLines/>
      <w:numPr>
        <w:ilvl w:val="2"/>
        <w:numId w:val="1"/>
      </w:numPr>
      <w:spacing w:before="240"/>
      <w:outlineLvl w:val="2"/>
    </w:pPr>
    <w:rPr>
      <w:rFonts w:ascii="Times New Roman Bold" w:hAnsi="Times New Roman Bold" w:cs="Times New Roman Bold"/>
      <w:b/>
      <w:bCs/>
      <w:szCs w:val="24"/>
    </w:rPr>
  </w:style>
  <w:style w:type="paragraph" w:styleId="Heading4">
    <w:name w:val="heading 4"/>
    <w:aliases w:val="h4"/>
    <w:basedOn w:val="Normal"/>
    <w:next w:val="BodyDouble"/>
    <w:qFormat/>
    <w:pPr>
      <w:keepNext/>
      <w:keepLines/>
      <w:numPr>
        <w:ilvl w:val="3"/>
        <w:numId w:val="1"/>
      </w:numPr>
      <w:spacing w:before="240"/>
      <w:outlineLvl w:val="3"/>
    </w:pPr>
    <w:rPr>
      <w:rFonts w:ascii="Times New Roman Bold" w:hAnsi="Times New Roman Bold" w:cs="Times New Roman Bold"/>
      <w:b/>
      <w:bCs/>
      <w:szCs w:val="24"/>
    </w:rPr>
  </w:style>
  <w:style w:type="paragraph" w:styleId="Heading5">
    <w:name w:val="heading 5"/>
    <w:aliases w:val="h5"/>
    <w:basedOn w:val="Normal"/>
    <w:next w:val="BodyDouble"/>
    <w:qFormat/>
    <w:pPr>
      <w:keepNext/>
      <w:keepLines/>
      <w:numPr>
        <w:ilvl w:val="4"/>
        <w:numId w:val="1"/>
      </w:numPr>
      <w:spacing w:before="240"/>
      <w:outlineLvl w:val="4"/>
    </w:pPr>
    <w:rPr>
      <w:rFonts w:ascii="Times New Roman Bold" w:hAnsi="Times New Roman Bold" w:cs="Times New Roman Bold"/>
      <w:b/>
      <w:bCs/>
      <w:szCs w:val="24"/>
    </w:rPr>
  </w:style>
  <w:style w:type="paragraph" w:styleId="Heading6">
    <w:name w:val="heading 6"/>
    <w:aliases w:val="h6"/>
    <w:basedOn w:val="Normal"/>
    <w:next w:val="BodyDouble"/>
    <w:qFormat/>
    <w:pPr>
      <w:keepNext/>
      <w:keepLines/>
      <w:numPr>
        <w:ilvl w:val="5"/>
        <w:numId w:val="1"/>
      </w:numPr>
      <w:spacing w:before="240"/>
      <w:outlineLvl w:val="5"/>
    </w:pPr>
    <w:rPr>
      <w:rFonts w:ascii="Times New Roman Bold" w:hAnsi="Times New Roman Bold"/>
      <w:b/>
      <w:szCs w:val="24"/>
    </w:rPr>
  </w:style>
  <w:style w:type="paragraph" w:styleId="Heading7">
    <w:name w:val="heading 7"/>
    <w:aliases w:val="h7"/>
    <w:basedOn w:val="Normal"/>
    <w:next w:val="BodyDouble"/>
    <w:qFormat/>
    <w:pPr>
      <w:keepNext/>
      <w:keepLines/>
      <w:numPr>
        <w:ilvl w:val="6"/>
        <w:numId w:val="1"/>
      </w:numPr>
      <w:spacing w:line="480" w:lineRule="exact"/>
      <w:outlineLvl w:val="6"/>
    </w:pPr>
    <w:rPr>
      <w:szCs w:val="24"/>
    </w:rPr>
  </w:style>
  <w:style w:type="paragraph" w:styleId="Heading8">
    <w:name w:val="heading 8"/>
    <w:aliases w:val="h8"/>
    <w:basedOn w:val="Normal"/>
    <w:next w:val="BodyDouble"/>
    <w:qFormat/>
    <w:pPr>
      <w:keepNext/>
      <w:keepLines/>
      <w:numPr>
        <w:ilvl w:val="7"/>
        <w:numId w:val="1"/>
      </w:numPr>
      <w:spacing w:line="480" w:lineRule="exact"/>
      <w:outlineLvl w:val="7"/>
    </w:pPr>
    <w:rPr>
      <w:szCs w:val="24"/>
    </w:rPr>
  </w:style>
  <w:style w:type="paragraph" w:styleId="Heading9">
    <w:name w:val="heading 9"/>
    <w:aliases w:val="h9"/>
    <w:basedOn w:val="Normal"/>
    <w:next w:val="Normal"/>
    <w:qFormat/>
    <w:pPr>
      <w:keepNext/>
      <w:keepLines/>
      <w:numPr>
        <w:ilvl w:val="8"/>
        <w:numId w:val="1"/>
      </w:numPr>
      <w:spacing w:line="480" w:lineRule="exact"/>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ouble">
    <w:name w:val="Body Double"/>
    <w:aliases w:val="bd"/>
    <w:basedOn w:val="Normal"/>
    <w:pPr>
      <w:spacing w:line="480" w:lineRule="exact"/>
      <w:ind w:firstLine="720"/>
    </w:pPr>
    <w:rPr>
      <w:szCs w:val="24"/>
    </w:rPr>
  </w:style>
  <w:style w:type="paragraph" w:styleId="BodyText">
    <w:name w:val="Body Text"/>
    <w:basedOn w:val="Normal"/>
    <w:link w:val="BodyTextChar"/>
    <w:pPr>
      <w:spacing w:line="480" w:lineRule="exact"/>
      <w:ind w:firstLine="720"/>
    </w:pPr>
    <w:rPr>
      <w:rFonts w:ascii="Arial" w:hAnsi="Arial"/>
      <w:sz w:val="22"/>
    </w:rPr>
  </w:style>
  <w:style w:type="paragraph" w:customStyle="1" w:styleId="BodyTextContinued">
    <w:name w:val="Body Text Continued"/>
    <w:basedOn w:val="BodyText"/>
    <w:next w:val="BodyText"/>
    <w:pPr>
      <w:ind w:firstLine="0"/>
    </w:pPr>
  </w:style>
  <w:style w:type="paragraph" w:styleId="Caption">
    <w:name w:val="caption"/>
    <w:basedOn w:val="Normal"/>
    <w:next w:val="Normal"/>
    <w:qFormat/>
    <w:pPr>
      <w:widowControl w:val="0"/>
    </w:pPr>
    <w:rPr>
      <w:bCs/>
    </w:rPr>
  </w:style>
  <w:style w:type="paragraph" w:styleId="Footer">
    <w:name w:val="footer"/>
    <w:basedOn w:val="Normal"/>
    <w:pPr>
      <w:tabs>
        <w:tab w:val="center" w:pos="4680"/>
        <w:tab w:val="right" w:pos="9000"/>
      </w:tabs>
      <w:spacing w:line="240" w:lineRule="atLeast"/>
    </w:pPr>
  </w:style>
  <w:style w:type="paragraph" w:styleId="Header">
    <w:name w:val="header"/>
    <w:basedOn w:val="Normal"/>
    <w:link w:val="HeaderChar"/>
    <w:pPr>
      <w:widowControl w:val="0"/>
      <w:tabs>
        <w:tab w:val="center" w:pos="4320"/>
        <w:tab w:val="right" w:pos="9360"/>
      </w:tabs>
    </w:pPr>
  </w:style>
  <w:style w:type="paragraph" w:customStyle="1" w:styleId="HeaderNumbers">
    <w:name w:val="HeaderNumbers"/>
    <w:basedOn w:val="Normal"/>
    <w:pPr>
      <w:widowControl w:val="0"/>
      <w:spacing w:before="720" w:line="480" w:lineRule="exact"/>
      <w:ind w:right="144"/>
      <w:jc w:val="right"/>
    </w:pPr>
  </w:style>
  <w:style w:type="paragraph" w:styleId="NormalIndent">
    <w:name w:val="Normal Indent"/>
    <w:basedOn w:val="Normal"/>
    <w:pPr>
      <w:widowControl w:val="0"/>
      <w:ind w:left="720" w:right="720"/>
    </w:pPr>
  </w:style>
  <w:style w:type="character" w:styleId="PageNumber">
    <w:name w:val="page number"/>
    <w:rPr>
      <w:sz w:val="24"/>
    </w:rPr>
  </w:style>
  <w:style w:type="paragraph" w:customStyle="1" w:styleId="PleadingSignature">
    <w:name w:val="Pleading Signature"/>
    <w:basedOn w:val="Normal"/>
    <w:pPr>
      <w:keepNext/>
      <w:keepLines/>
    </w:pPr>
  </w:style>
  <w:style w:type="paragraph" w:styleId="Quote">
    <w:name w:val="Quote"/>
    <w:basedOn w:val="Normal"/>
    <w:next w:val="BodyTextContinued"/>
    <w:qFormat/>
    <w:pPr>
      <w:spacing w:before="240"/>
      <w:ind w:left="1440" w:right="1440"/>
    </w:pPr>
    <w:rPr>
      <w:rFonts w:ascii="Arial" w:hAnsi="Arial"/>
      <w:sz w:val="22"/>
    </w:rPr>
  </w:style>
  <w:style w:type="paragraph" w:styleId="TableofAuthorities">
    <w:name w:val="table of authorities"/>
    <w:basedOn w:val="Normal"/>
    <w:next w:val="Normal"/>
    <w:semiHidden/>
    <w:pPr>
      <w:widowControl w:val="0"/>
      <w:tabs>
        <w:tab w:val="right" w:leader="dot" w:pos="8928"/>
      </w:tabs>
      <w:spacing w:after="120"/>
      <w:ind w:left="360" w:right="1440" w:hanging="360"/>
    </w:pPr>
  </w:style>
  <w:style w:type="paragraph" w:styleId="TOAHeading">
    <w:name w:val="toa heading"/>
    <w:basedOn w:val="Normal"/>
    <w:next w:val="TableofAuthorities"/>
    <w:semiHidden/>
    <w:pPr>
      <w:keepNext/>
      <w:widowControl w:val="0"/>
      <w:spacing w:before="120" w:after="120"/>
      <w:jc w:val="center"/>
    </w:pPr>
    <w:rPr>
      <w:b/>
      <w:caps/>
    </w:rPr>
  </w:style>
  <w:style w:type="paragraph" w:styleId="FootnoteText">
    <w:name w:val="footnote text"/>
    <w:basedOn w:val="Normal"/>
    <w:link w:val="FootnoteTextChar"/>
    <w:uiPriority w:val="99"/>
    <w:semiHidden/>
    <w:pPr>
      <w:spacing w:after="120"/>
      <w:ind w:firstLine="720"/>
    </w:pPr>
  </w:style>
  <w:style w:type="paragraph" w:customStyle="1" w:styleId="Court">
    <w:name w:val="Court"/>
    <w:basedOn w:val="Normal"/>
    <w:pPr>
      <w:spacing w:after="240"/>
      <w:jc w:val="center"/>
    </w:pPr>
    <w:rPr>
      <w:caps/>
    </w:rPr>
  </w:style>
  <w:style w:type="paragraph" w:customStyle="1" w:styleId="DocumentTitle">
    <w:name w:val="Document Title"/>
    <w:basedOn w:val="Normal"/>
    <w:pPr>
      <w:widowControl w:val="0"/>
      <w:tabs>
        <w:tab w:val="left" w:pos="1238"/>
      </w:tabs>
      <w:spacing w:after="240"/>
      <w:ind w:left="259" w:right="115"/>
    </w:pPr>
  </w:style>
  <w:style w:type="paragraph" w:customStyle="1" w:styleId="FooterDocumentTitle">
    <w:name w:val="Footer Document Title"/>
    <w:basedOn w:val="Normal"/>
    <w:pPr>
      <w:spacing w:line="240" w:lineRule="auto"/>
    </w:pPr>
  </w:style>
  <w:style w:type="paragraph" w:customStyle="1" w:styleId="FirmInformation">
    <w:name w:val="Firm Information"/>
    <w:basedOn w:val="Normal"/>
    <w:pPr>
      <w:tabs>
        <w:tab w:val="left" w:pos="1296"/>
      </w:tabs>
    </w:pPr>
  </w:style>
  <w:style w:type="paragraph" w:customStyle="1" w:styleId="FirmName">
    <w:name w:val="Firm Name"/>
    <w:basedOn w:val="Normal"/>
    <w:pPr>
      <w:spacing w:line="240" w:lineRule="auto"/>
      <w:jc w:val="center"/>
    </w:pPr>
    <w:rPr>
      <w:rFonts w:hAnsi="Times New Roman Bold"/>
      <w:b/>
      <w:caps/>
      <w:sz w:val="22"/>
    </w:rPr>
  </w:style>
  <w:style w:type="paragraph" w:customStyle="1" w:styleId="FirmAddress">
    <w:name w:val="Firm Address"/>
    <w:basedOn w:val="FirmName"/>
    <w:rPr>
      <w:rFonts w:hAnsi="Times New Roman"/>
      <w:b w:val="0"/>
      <w:caps w:val="0"/>
      <w:sz w:val="18"/>
    </w:r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
    <w:name w:val="Body Text Indent"/>
    <w:basedOn w:val="Normal"/>
    <w:link w:val="BodyTextIndentChar"/>
    <w:pPr>
      <w:ind w:left="1980" w:firstLine="1460"/>
    </w:pPr>
  </w:style>
  <w:style w:type="character" w:styleId="Hyperlink">
    <w:name w:val="Hyperlink"/>
    <w:uiPriority w:val="99"/>
    <w:rPr>
      <w:color w:val="0000FF"/>
      <w:u w:val="single"/>
    </w:rPr>
  </w:style>
  <w:style w:type="paragraph" w:styleId="BodyTextIndent2">
    <w:name w:val="Body Text Indent 2"/>
    <w:basedOn w:val="Normal"/>
    <w:pPr>
      <w:spacing w:line="480" w:lineRule="auto"/>
      <w:ind w:left="720" w:hanging="720"/>
    </w:pPr>
    <w:rPr>
      <w:b/>
    </w:rPr>
  </w:style>
  <w:style w:type="paragraph" w:styleId="BodyTextIndent3">
    <w:name w:val="Body Text Indent 3"/>
    <w:basedOn w:val="Normal"/>
    <w:pPr>
      <w:tabs>
        <w:tab w:val="left" w:pos="720"/>
        <w:tab w:val="left" w:pos="1260"/>
      </w:tabs>
      <w:spacing w:line="240" w:lineRule="auto"/>
      <w:ind w:left="720" w:hanging="1260"/>
    </w:pPr>
  </w:style>
  <w:style w:type="character" w:styleId="FollowedHyperlink">
    <w:name w:val="FollowedHyperlink"/>
    <w:rPr>
      <w:color w:val="800080"/>
      <w:u w:val="single"/>
    </w:rPr>
  </w:style>
  <w:style w:type="character" w:styleId="FootnoteReference">
    <w:name w:val="footnote reference"/>
    <w:aliases w:val="Style 11,Style 28,Style 8,Style 21,Style 4,o,fr,o1,fr1,o2,fr2,o3,fr3"/>
    <w:uiPriority w:val="99"/>
    <w:rPr>
      <w:vertAlign w:val="superscript"/>
    </w:rPr>
  </w:style>
  <w:style w:type="paragraph" w:customStyle="1" w:styleId="SrvBodyContinued">
    <w:name w:val="Srv Body Continued"/>
    <w:basedOn w:val="SrvBody"/>
    <w:pPr>
      <w:ind w:firstLine="0"/>
    </w:pPr>
  </w:style>
  <w:style w:type="paragraph" w:customStyle="1" w:styleId="SrvBody">
    <w:name w:val="Srv Body"/>
    <w:basedOn w:val="Normal"/>
    <w:pPr>
      <w:spacing w:line="480" w:lineRule="exact"/>
      <w:ind w:firstLine="720"/>
    </w:pPr>
    <w:rPr>
      <w:szCs w:val="24"/>
    </w:rPr>
  </w:style>
  <w:style w:type="paragraph" w:customStyle="1" w:styleId="SrvSignature">
    <w:name w:val="Srv Signature"/>
    <w:basedOn w:val="SrvBody"/>
    <w:pPr>
      <w:keepLines/>
      <w:tabs>
        <w:tab w:val="right" w:pos="9000"/>
      </w:tabs>
      <w:spacing w:line="240" w:lineRule="exact"/>
      <w:ind w:left="4320" w:firstLine="0"/>
    </w:pPr>
  </w:style>
  <w:style w:type="paragraph" w:customStyle="1" w:styleId="SrvTitle">
    <w:name w:val="Srv Title"/>
    <w:basedOn w:val="SrvBody"/>
    <w:pPr>
      <w:tabs>
        <w:tab w:val="left" w:pos="0"/>
      </w:tabs>
      <w:ind w:firstLine="0"/>
      <w:jc w:val="center"/>
    </w:pPr>
    <w:rPr>
      <w:b/>
      <w:caps/>
    </w:rPr>
  </w:style>
  <w:style w:type="paragraph" w:customStyle="1" w:styleId="SrvTableText">
    <w:name w:val="Srv Table Text"/>
    <w:basedOn w:val="SrvBody"/>
    <w:pPr>
      <w:spacing w:after="240" w:line="240" w:lineRule="exact"/>
      <w:ind w:firstLine="0"/>
    </w:pPr>
  </w:style>
  <w:style w:type="paragraph" w:customStyle="1" w:styleId="SrvRecipient">
    <w:name w:val="Srv Recipient"/>
    <w:basedOn w:val="SrvBody"/>
    <w:pPr>
      <w:spacing w:line="240" w:lineRule="exact"/>
      <w:ind w:firstLine="0"/>
    </w:pPr>
  </w:style>
  <w:style w:type="paragraph" w:customStyle="1" w:styleId="Quote1">
    <w:name w:val="Quote 1&quot;"/>
    <w:aliases w:val="q1"/>
    <w:basedOn w:val="Normal"/>
    <w:pPr>
      <w:spacing w:before="240"/>
      <w:ind w:left="1440" w:right="1440"/>
    </w:pPr>
    <w:rPr>
      <w:szCs w:val="24"/>
    </w:rPr>
  </w:style>
  <w:style w:type="character" w:customStyle="1" w:styleId="documentbody1">
    <w:name w:val="documentbody1"/>
    <w:rPr>
      <w:rFonts w:ascii="Verdana" w:hAnsi="Verdana" w:hint="default"/>
      <w:sz w:val="19"/>
      <w:szCs w:val="19"/>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ListNumber">
    <w:name w:val="List Number"/>
    <w:basedOn w:val="Normal"/>
    <w:pPr>
      <w:numPr>
        <w:numId w:val="3"/>
      </w:numPr>
      <w:spacing w:before="240"/>
    </w:pPr>
    <w:rPr>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paragraph" w:styleId="ListBullet">
    <w:name w:val="List Bullet"/>
    <w:basedOn w:val="Normal"/>
    <w:autoRedefine/>
    <w:pPr>
      <w:numPr>
        <w:numId w:val="2"/>
      </w:numPr>
      <w:spacing w:before="240"/>
      <w:ind w:left="1080"/>
    </w:pPr>
    <w:rPr>
      <w:szCs w:val="24"/>
    </w:rPr>
  </w:style>
  <w:style w:type="paragraph" w:styleId="ListNumber2">
    <w:name w:val="List Number 2"/>
    <w:basedOn w:val="Normal"/>
    <w:pPr>
      <w:numPr>
        <w:numId w:val="4"/>
      </w:numPr>
      <w:spacing w:before="240"/>
    </w:pPr>
  </w:style>
  <w:style w:type="paragraph" w:customStyle="1" w:styleId="TOCHeader">
    <w:name w:val="TOC Header"/>
    <w:basedOn w:val="Normal"/>
    <w:pPr>
      <w:spacing w:line="240" w:lineRule="auto"/>
      <w:ind w:left="115" w:right="115"/>
      <w:jc w:val="center"/>
    </w:pPr>
    <w:rPr>
      <w:b/>
      <w:caps/>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3E302A"/>
    <w:pPr>
      <w:keepLines/>
      <w:tabs>
        <w:tab w:val="right" w:leader="dot" w:pos="8928"/>
      </w:tabs>
      <w:spacing w:after="120"/>
      <w:ind w:left="720" w:right="720" w:hanging="720"/>
      <w:jc w:val="center"/>
    </w:pPr>
    <w:rPr>
      <w:rFonts w:ascii="Arial" w:hAnsi="Arial"/>
    </w:rPr>
  </w:style>
  <w:style w:type="paragraph" w:styleId="TOC2">
    <w:name w:val="toc 2"/>
    <w:basedOn w:val="Normal"/>
    <w:next w:val="Normal"/>
    <w:autoRedefine/>
    <w:uiPriority w:val="39"/>
    <w:pPr>
      <w:keepLines/>
      <w:tabs>
        <w:tab w:val="right" w:leader="dot" w:pos="8928"/>
      </w:tabs>
      <w:spacing w:after="120"/>
      <w:ind w:left="1440" w:right="720" w:hanging="720"/>
    </w:pPr>
  </w:style>
  <w:style w:type="paragraph" w:styleId="TOC3">
    <w:name w:val="toc 3"/>
    <w:basedOn w:val="Normal"/>
    <w:next w:val="Normal"/>
    <w:autoRedefine/>
    <w:semiHidden/>
    <w:pPr>
      <w:keepLines/>
      <w:tabs>
        <w:tab w:val="right" w:leader="dot" w:pos="8928"/>
      </w:tabs>
      <w:spacing w:after="120"/>
      <w:ind w:left="2160" w:right="720" w:hanging="720"/>
    </w:pPr>
  </w:style>
  <w:style w:type="paragraph" w:styleId="TOC4">
    <w:name w:val="toc 4"/>
    <w:basedOn w:val="Normal"/>
    <w:next w:val="Normal"/>
    <w:autoRedefine/>
    <w:semiHidden/>
    <w:pPr>
      <w:keepLines/>
      <w:tabs>
        <w:tab w:val="right" w:leader="dot" w:pos="8928"/>
      </w:tabs>
      <w:spacing w:after="120"/>
      <w:ind w:left="2880" w:right="720" w:hanging="720"/>
    </w:pPr>
  </w:style>
  <w:style w:type="paragraph" w:styleId="TOC5">
    <w:name w:val="toc 5"/>
    <w:basedOn w:val="Normal"/>
    <w:next w:val="Normal"/>
    <w:autoRedefine/>
    <w:semiHidden/>
    <w:pPr>
      <w:keepLines/>
      <w:tabs>
        <w:tab w:val="right" w:leader="dot" w:pos="8928"/>
      </w:tabs>
      <w:spacing w:after="120"/>
      <w:ind w:left="3600" w:right="720" w:hanging="720"/>
    </w:pPr>
  </w:style>
  <w:style w:type="paragraph" w:styleId="TOC6">
    <w:name w:val="toc 6"/>
    <w:basedOn w:val="Normal"/>
    <w:next w:val="Normal"/>
    <w:autoRedefine/>
    <w:semiHidden/>
    <w:pPr>
      <w:keepLines/>
      <w:tabs>
        <w:tab w:val="right" w:leader="dot" w:pos="8928"/>
      </w:tabs>
      <w:spacing w:after="120"/>
      <w:ind w:left="4320" w:right="720" w:hanging="720"/>
    </w:pPr>
  </w:style>
  <w:style w:type="paragraph" w:styleId="TOC7">
    <w:name w:val="toc 7"/>
    <w:basedOn w:val="Normal"/>
    <w:next w:val="Normal"/>
    <w:autoRedefine/>
    <w:semiHidden/>
    <w:pPr>
      <w:keepLines/>
      <w:tabs>
        <w:tab w:val="right" w:leader="dot" w:pos="8928"/>
      </w:tabs>
      <w:spacing w:after="120"/>
      <w:ind w:left="5040" w:right="720" w:hanging="720"/>
    </w:pPr>
  </w:style>
  <w:style w:type="paragraph" w:styleId="TOC8">
    <w:name w:val="toc 8"/>
    <w:basedOn w:val="Normal"/>
    <w:next w:val="Normal"/>
    <w:autoRedefine/>
    <w:semiHidden/>
    <w:pPr>
      <w:keepLines/>
      <w:tabs>
        <w:tab w:val="right" w:leader="dot" w:pos="8928"/>
      </w:tabs>
      <w:spacing w:after="120"/>
      <w:ind w:left="5760" w:right="720" w:hanging="720"/>
    </w:pPr>
  </w:style>
  <w:style w:type="paragraph" w:styleId="TOC9">
    <w:name w:val="toc 9"/>
    <w:basedOn w:val="Normal"/>
    <w:next w:val="Normal"/>
    <w:autoRedefine/>
    <w:semiHidden/>
    <w:pPr>
      <w:keepLines/>
      <w:tabs>
        <w:tab w:val="right" w:leader="dot" w:pos="8928"/>
      </w:tabs>
      <w:spacing w:after="120"/>
      <w:ind w:left="6480" w:right="720" w:hanging="720"/>
    </w:pPr>
  </w:style>
  <w:style w:type="character" w:styleId="LineNumber">
    <w:name w:val="line number"/>
    <w:rsid w:val="002329BF"/>
    <w:rPr>
      <w:rFonts w:ascii="Times New Roman" w:hAnsi="Times New Roman"/>
      <w:sz w:val="24"/>
    </w:rPr>
  </w:style>
  <w:style w:type="paragraph" w:styleId="CommentSubject">
    <w:name w:val="annotation subject"/>
    <w:basedOn w:val="CommentText"/>
    <w:next w:val="CommentText"/>
    <w:semiHidden/>
    <w:rPr>
      <w:b/>
      <w:bCs/>
    </w:rPr>
  </w:style>
  <w:style w:type="paragraph" w:styleId="Title">
    <w:name w:val="Title"/>
    <w:basedOn w:val="Normal"/>
    <w:qFormat/>
    <w:pPr>
      <w:spacing w:line="240" w:lineRule="auto"/>
      <w:jc w:val="center"/>
    </w:pPr>
    <w:rPr>
      <w:b/>
      <w:sz w:val="28"/>
      <w:szCs w:val="28"/>
    </w:rPr>
  </w:style>
  <w:style w:type="paragraph" w:customStyle="1" w:styleId="Level2">
    <w:name w:val="Level 2"/>
    <w:basedOn w:val="Normal"/>
    <w:pPr>
      <w:numPr>
        <w:ilvl w:val="1"/>
        <w:numId w:val="8"/>
      </w:numPr>
      <w:spacing w:line="480" w:lineRule="exact"/>
    </w:pPr>
    <w:rPr>
      <w:rFonts w:ascii="Arial" w:hAnsi="Arial"/>
      <w:sz w:val="22"/>
    </w:rPr>
  </w:style>
  <w:style w:type="paragraph" w:customStyle="1" w:styleId="Level3">
    <w:name w:val="Level 3"/>
    <w:basedOn w:val="Normal"/>
    <w:pPr>
      <w:numPr>
        <w:ilvl w:val="2"/>
        <w:numId w:val="8"/>
      </w:numPr>
      <w:spacing w:line="480" w:lineRule="exact"/>
    </w:pPr>
    <w:rPr>
      <w:rFonts w:ascii="Arial" w:hAnsi="Arial"/>
      <w:sz w:val="22"/>
    </w:rPr>
  </w:style>
  <w:style w:type="paragraph" w:customStyle="1" w:styleId="Level4">
    <w:name w:val="Level 4"/>
    <w:basedOn w:val="Normal"/>
    <w:pPr>
      <w:numPr>
        <w:ilvl w:val="3"/>
        <w:numId w:val="8"/>
      </w:numPr>
    </w:pPr>
  </w:style>
  <w:style w:type="paragraph" w:customStyle="1" w:styleId="Level5">
    <w:name w:val="Level 5"/>
    <w:basedOn w:val="Normal"/>
    <w:pPr>
      <w:numPr>
        <w:ilvl w:val="4"/>
        <w:numId w:val="8"/>
      </w:numPr>
    </w:pPr>
  </w:style>
  <w:style w:type="paragraph" w:customStyle="1" w:styleId="Level6">
    <w:name w:val="Level 6"/>
    <w:basedOn w:val="Normal"/>
    <w:pPr>
      <w:numPr>
        <w:ilvl w:val="5"/>
        <w:numId w:val="8"/>
      </w:numPr>
    </w:pPr>
  </w:style>
  <w:style w:type="paragraph" w:customStyle="1" w:styleId="Level7">
    <w:name w:val="Level 7"/>
    <w:basedOn w:val="Normal"/>
    <w:pPr>
      <w:numPr>
        <w:ilvl w:val="6"/>
        <w:numId w:val="8"/>
      </w:numPr>
    </w:pPr>
  </w:style>
  <w:style w:type="paragraph" w:customStyle="1" w:styleId="Level8">
    <w:name w:val="Level 8"/>
    <w:basedOn w:val="Normal"/>
    <w:pPr>
      <w:numPr>
        <w:ilvl w:val="7"/>
        <w:numId w:val="8"/>
      </w:numPr>
    </w:pPr>
  </w:style>
  <w:style w:type="paragraph" w:customStyle="1" w:styleId="StyleLevel1Arial11pt">
    <w:name w:val="Style Level 1 + Arial 11 pt"/>
    <w:basedOn w:val="Normal"/>
    <w:link w:val="StyleLevel1Arial11ptCharChar"/>
    <w:pPr>
      <w:spacing w:line="480" w:lineRule="exact"/>
    </w:pPr>
    <w:rPr>
      <w:rFonts w:ascii="Arial" w:hAnsi="Arial"/>
      <w:sz w:val="22"/>
      <w:szCs w:val="22"/>
    </w:rPr>
  </w:style>
  <w:style w:type="character" w:customStyle="1" w:styleId="StyleLevel1Arial11ptCharChar">
    <w:name w:val="Style Level 1 + Arial 11 pt Char Char"/>
    <w:link w:val="StyleLevel1Arial11pt"/>
    <w:rPr>
      <w:rFonts w:ascii="Arial" w:hAnsi="Arial"/>
      <w:sz w:val="22"/>
      <w:szCs w:val="22"/>
      <w:lang w:val="en-US" w:eastAsia="en-US" w:bidi="ar-SA"/>
    </w:rPr>
  </w:style>
  <w:style w:type="paragraph" w:customStyle="1" w:styleId="TxBrp2">
    <w:name w:val="TxBr_p2"/>
    <w:basedOn w:val="Normal"/>
    <w:pPr>
      <w:widowControl w:val="0"/>
      <w:tabs>
        <w:tab w:val="left" w:pos="788"/>
      </w:tabs>
      <w:autoSpaceDE w:val="0"/>
      <w:autoSpaceDN w:val="0"/>
      <w:adjustRightInd w:val="0"/>
      <w:spacing w:line="538" w:lineRule="atLeast"/>
      <w:ind w:left="181" w:hanging="788"/>
    </w:pPr>
    <w:rPr>
      <w:szCs w:val="24"/>
    </w:rPr>
  </w:style>
  <w:style w:type="paragraph" w:styleId="Revision">
    <w:name w:val="Revision"/>
    <w:hidden/>
    <w:uiPriority w:val="99"/>
    <w:semiHidden/>
    <w:rPr>
      <w:sz w:val="24"/>
    </w:rPr>
  </w:style>
  <w:style w:type="character" w:customStyle="1" w:styleId="BodyTextChar">
    <w:name w:val="Body Text Char"/>
    <w:link w:val="BodyText"/>
    <w:rPr>
      <w:rFonts w:ascii="Arial" w:hAnsi="Arial"/>
      <w:sz w:val="22"/>
    </w:rPr>
  </w:style>
  <w:style w:type="character" w:customStyle="1" w:styleId="BodyTextIndentChar">
    <w:name w:val="Body Text Indent Char"/>
    <w:link w:val="BodyTextIndent"/>
    <w:rPr>
      <w:sz w:val="24"/>
    </w:rPr>
  </w:style>
  <w:style w:type="paragraph" w:styleId="NoSpacing">
    <w:name w:val="No Spacing"/>
    <w:link w:val="NoSpacingChar"/>
    <w:uiPriority w:val="1"/>
    <w:qFormat/>
    <w:rsid w:val="006D5771"/>
    <w:rPr>
      <w:rFonts w:ascii="Calibri" w:eastAsia="Calibri" w:hAnsi="Calibri"/>
      <w:sz w:val="22"/>
      <w:szCs w:val="22"/>
    </w:rPr>
  </w:style>
  <w:style w:type="character" w:customStyle="1" w:styleId="CommentTextChar">
    <w:name w:val="Comment Text Char"/>
    <w:link w:val="CommentText"/>
    <w:uiPriority w:val="99"/>
    <w:semiHidden/>
    <w:rsid w:val="006D5771"/>
  </w:style>
  <w:style w:type="character" w:customStyle="1" w:styleId="HeaderChar">
    <w:name w:val="Header Char"/>
    <w:link w:val="Header"/>
    <w:uiPriority w:val="99"/>
    <w:rsid w:val="004D7428"/>
    <w:rPr>
      <w:sz w:val="24"/>
    </w:rPr>
  </w:style>
  <w:style w:type="paragraph" w:customStyle="1" w:styleId="Square11">
    <w:name w:val="Square 11"/>
    <w:rsid w:val="008F2DF1"/>
    <w:pPr>
      <w:spacing w:after="200" w:line="276" w:lineRule="auto"/>
    </w:pPr>
    <w:rPr>
      <w:rFonts w:ascii="Calibri" w:hAnsi="Calibri"/>
      <w:sz w:val="22"/>
      <w:szCs w:val="22"/>
    </w:rPr>
  </w:style>
  <w:style w:type="character" w:customStyle="1" w:styleId="NoSpacingChar">
    <w:name w:val="No Spacing Char"/>
    <w:link w:val="NoSpacing"/>
    <w:uiPriority w:val="1"/>
    <w:rsid w:val="008F2DF1"/>
    <w:rPr>
      <w:rFonts w:ascii="Calibri" w:eastAsia="Calibri" w:hAnsi="Calibri"/>
      <w:sz w:val="22"/>
      <w:szCs w:val="22"/>
    </w:rPr>
  </w:style>
  <w:style w:type="paragraph" w:styleId="ListParagraph">
    <w:name w:val="List Paragraph"/>
    <w:basedOn w:val="Normal"/>
    <w:uiPriority w:val="34"/>
    <w:qFormat/>
    <w:rsid w:val="00643F4F"/>
    <w:pPr>
      <w:widowControl w:val="0"/>
      <w:autoSpaceDE w:val="0"/>
      <w:autoSpaceDN w:val="0"/>
      <w:adjustRightInd w:val="0"/>
      <w:spacing w:line="240" w:lineRule="auto"/>
      <w:ind w:left="720"/>
      <w:contextualSpacing/>
    </w:pPr>
    <w:rPr>
      <w:rFonts w:ascii="Arial" w:eastAsia="Calibri" w:hAnsi="Arial" w:cs="Arial"/>
      <w:sz w:val="22"/>
      <w:szCs w:val="22"/>
    </w:rPr>
  </w:style>
  <w:style w:type="paragraph" w:styleId="TOCHeading">
    <w:name w:val="TOC Heading"/>
    <w:basedOn w:val="Heading1"/>
    <w:next w:val="Normal"/>
    <w:uiPriority w:val="39"/>
    <w:unhideWhenUsed/>
    <w:qFormat/>
    <w:rsid w:val="00B64E89"/>
    <w:pPr>
      <w:keepLines/>
      <w:numPr>
        <w:numId w:val="0"/>
      </w:numPr>
      <w:spacing w:line="259" w:lineRule="auto"/>
      <w:jc w:val="left"/>
      <w:outlineLvl w:val="9"/>
    </w:pPr>
    <w:rPr>
      <w:rFonts w:ascii="Calibri Light" w:hAnsi="Calibri Light" w:cs="Times New Roman"/>
      <w:b w:val="0"/>
      <w:bCs w:val="0"/>
      <w:color w:val="2E74B5"/>
      <w:sz w:val="32"/>
      <w:szCs w:val="32"/>
    </w:rPr>
  </w:style>
  <w:style w:type="paragraph" w:customStyle="1" w:styleId="Level1">
    <w:name w:val="Level 1"/>
    <w:basedOn w:val="NoSpacing"/>
    <w:qFormat/>
    <w:rsid w:val="00B64E89"/>
    <w:pPr>
      <w:numPr>
        <w:numId w:val="14"/>
      </w:numPr>
      <w:suppressLineNumbers/>
      <w:spacing w:line="480" w:lineRule="exact"/>
      <w:ind w:left="1440" w:hanging="720"/>
      <w:jc w:val="center"/>
    </w:pPr>
    <w:rPr>
      <w:rFonts w:ascii="Arial" w:hAnsi="Arial" w:cs="Arial"/>
      <w:b/>
    </w:rPr>
  </w:style>
  <w:style w:type="paragraph" w:customStyle="1" w:styleId="Question">
    <w:name w:val="Question"/>
    <w:basedOn w:val="Normal"/>
    <w:next w:val="Answer1"/>
    <w:qFormat/>
    <w:rsid w:val="00327B7A"/>
    <w:pPr>
      <w:keepNext/>
      <w:numPr>
        <w:numId w:val="24"/>
      </w:numPr>
      <w:spacing w:before="120" w:line="480" w:lineRule="auto"/>
      <w:ind w:hanging="720"/>
      <w:jc w:val="both"/>
    </w:pPr>
    <w:rPr>
      <w:rFonts w:eastAsiaTheme="minorHAnsi" w:cstheme="minorBidi"/>
      <w:b/>
      <w:szCs w:val="22"/>
    </w:rPr>
  </w:style>
  <w:style w:type="paragraph" w:customStyle="1" w:styleId="Answer1">
    <w:name w:val="Answer1"/>
    <w:basedOn w:val="Normal"/>
    <w:qFormat/>
    <w:rsid w:val="00327B7A"/>
    <w:pPr>
      <w:widowControl w:val="0"/>
      <w:numPr>
        <w:numId w:val="25"/>
      </w:numPr>
      <w:spacing w:after="240" w:line="480" w:lineRule="auto"/>
      <w:ind w:hanging="720"/>
      <w:jc w:val="both"/>
    </w:pPr>
    <w:rPr>
      <w:rFonts w:eastAsiaTheme="minorHAnsi" w:cstheme="minorBidi"/>
      <w:szCs w:val="22"/>
    </w:rPr>
  </w:style>
  <w:style w:type="table" w:styleId="TableGrid">
    <w:name w:val="Table Grid"/>
    <w:basedOn w:val="TableNormal"/>
    <w:uiPriority w:val="59"/>
    <w:rsid w:val="000670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06703A"/>
    <w:rPr>
      <w:sz w:val="24"/>
    </w:rPr>
  </w:style>
  <w:style w:type="paragraph" w:styleId="IntenseQuote">
    <w:name w:val="Intense Quote"/>
    <w:basedOn w:val="Normal"/>
    <w:next w:val="Normal"/>
    <w:link w:val="IntenseQuoteChar"/>
    <w:uiPriority w:val="30"/>
    <w:qFormat/>
    <w:rsid w:val="00763C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63C46"/>
    <w:rPr>
      <w:i/>
      <w:iCs/>
      <w:color w:val="4F81BD" w:themeColor="accent1"/>
      <w:sz w:val="24"/>
    </w:rPr>
  </w:style>
  <w:style w:type="character" w:styleId="IntenseEmphasis">
    <w:name w:val="Intense Emphasis"/>
    <w:basedOn w:val="DefaultParagraphFont"/>
    <w:uiPriority w:val="21"/>
    <w:qFormat/>
    <w:rsid w:val="00763C46"/>
    <w:rPr>
      <w:i/>
      <w:iCs/>
      <w:color w:val="4F81BD" w:themeColor="accent1"/>
    </w:rPr>
  </w:style>
  <w:style w:type="character" w:styleId="SubtleReference">
    <w:name w:val="Subtle Reference"/>
    <w:basedOn w:val="DefaultParagraphFont"/>
    <w:uiPriority w:val="31"/>
    <w:qFormat/>
    <w:rsid w:val="00E83343"/>
    <w:rPr>
      <w:smallCaps/>
      <w:color w:val="5A5A5A" w:themeColor="text1" w:themeTint="A5"/>
    </w:rPr>
  </w:style>
  <w:style w:type="paragraph" w:customStyle="1" w:styleId="Answer3">
    <w:name w:val="Answer3"/>
    <w:basedOn w:val="Normal"/>
    <w:qFormat/>
    <w:rsid w:val="0017121A"/>
    <w:pPr>
      <w:spacing w:line="480" w:lineRule="auto"/>
      <w:ind w:left="720"/>
      <w:jc w:val="both"/>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7A"/>
    <w:pPr>
      <w:spacing w:line="240" w:lineRule="exact"/>
    </w:pPr>
    <w:rPr>
      <w:sz w:val="24"/>
    </w:rPr>
  </w:style>
  <w:style w:type="paragraph" w:styleId="Heading1">
    <w:name w:val="heading 1"/>
    <w:aliases w:val="h1"/>
    <w:basedOn w:val="Normal"/>
    <w:next w:val="Normal"/>
    <w:qFormat/>
    <w:rsid w:val="003E302A"/>
    <w:pPr>
      <w:keepNext/>
      <w:numPr>
        <w:numId w:val="1"/>
      </w:numPr>
      <w:spacing w:before="240"/>
      <w:jc w:val="center"/>
      <w:outlineLvl w:val="0"/>
    </w:pPr>
    <w:rPr>
      <w:rFonts w:ascii="Arial" w:hAnsi="Arial" w:cs="Arial"/>
      <w:b/>
      <w:bCs/>
      <w:sz w:val="22"/>
      <w:szCs w:val="22"/>
    </w:rPr>
  </w:style>
  <w:style w:type="paragraph" w:styleId="Heading2">
    <w:name w:val="heading 2"/>
    <w:aliases w:val="h2"/>
    <w:basedOn w:val="Normal"/>
    <w:next w:val="BodyDouble"/>
    <w:qFormat/>
    <w:rsid w:val="008A02C5"/>
    <w:pPr>
      <w:keepNext/>
      <w:keepLines/>
      <w:numPr>
        <w:ilvl w:val="1"/>
        <w:numId w:val="1"/>
      </w:numPr>
      <w:spacing w:before="240"/>
      <w:outlineLvl w:val="1"/>
    </w:pPr>
    <w:rPr>
      <w:rFonts w:ascii="Times New Roman Bold" w:hAnsi="Times New Roman Bold" w:cs="Times New Roman Bold"/>
      <w:b/>
      <w:bCs/>
      <w:szCs w:val="24"/>
    </w:rPr>
  </w:style>
  <w:style w:type="paragraph" w:styleId="Heading3">
    <w:name w:val="heading 3"/>
    <w:aliases w:val="h3"/>
    <w:basedOn w:val="Normal"/>
    <w:next w:val="BodyDouble"/>
    <w:qFormat/>
    <w:rsid w:val="008A02C5"/>
    <w:pPr>
      <w:keepNext/>
      <w:keepLines/>
      <w:numPr>
        <w:ilvl w:val="2"/>
        <w:numId w:val="1"/>
      </w:numPr>
      <w:spacing w:before="240"/>
      <w:outlineLvl w:val="2"/>
    </w:pPr>
    <w:rPr>
      <w:rFonts w:ascii="Times New Roman Bold" w:hAnsi="Times New Roman Bold" w:cs="Times New Roman Bold"/>
      <w:b/>
      <w:bCs/>
      <w:szCs w:val="24"/>
    </w:rPr>
  </w:style>
  <w:style w:type="paragraph" w:styleId="Heading4">
    <w:name w:val="heading 4"/>
    <w:aliases w:val="h4"/>
    <w:basedOn w:val="Normal"/>
    <w:next w:val="BodyDouble"/>
    <w:qFormat/>
    <w:pPr>
      <w:keepNext/>
      <w:keepLines/>
      <w:numPr>
        <w:ilvl w:val="3"/>
        <w:numId w:val="1"/>
      </w:numPr>
      <w:spacing w:before="240"/>
      <w:outlineLvl w:val="3"/>
    </w:pPr>
    <w:rPr>
      <w:rFonts w:ascii="Times New Roman Bold" w:hAnsi="Times New Roman Bold" w:cs="Times New Roman Bold"/>
      <w:b/>
      <w:bCs/>
      <w:szCs w:val="24"/>
    </w:rPr>
  </w:style>
  <w:style w:type="paragraph" w:styleId="Heading5">
    <w:name w:val="heading 5"/>
    <w:aliases w:val="h5"/>
    <w:basedOn w:val="Normal"/>
    <w:next w:val="BodyDouble"/>
    <w:qFormat/>
    <w:pPr>
      <w:keepNext/>
      <w:keepLines/>
      <w:numPr>
        <w:ilvl w:val="4"/>
        <w:numId w:val="1"/>
      </w:numPr>
      <w:spacing w:before="240"/>
      <w:outlineLvl w:val="4"/>
    </w:pPr>
    <w:rPr>
      <w:rFonts w:ascii="Times New Roman Bold" w:hAnsi="Times New Roman Bold" w:cs="Times New Roman Bold"/>
      <w:b/>
      <w:bCs/>
      <w:szCs w:val="24"/>
    </w:rPr>
  </w:style>
  <w:style w:type="paragraph" w:styleId="Heading6">
    <w:name w:val="heading 6"/>
    <w:aliases w:val="h6"/>
    <w:basedOn w:val="Normal"/>
    <w:next w:val="BodyDouble"/>
    <w:qFormat/>
    <w:pPr>
      <w:keepNext/>
      <w:keepLines/>
      <w:numPr>
        <w:ilvl w:val="5"/>
        <w:numId w:val="1"/>
      </w:numPr>
      <w:spacing w:before="240"/>
      <w:outlineLvl w:val="5"/>
    </w:pPr>
    <w:rPr>
      <w:rFonts w:ascii="Times New Roman Bold" w:hAnsi="Times New Roman Bold"/>
      <w:b/>
      <w:szCs w:val="24"/>
    </w:rPr>
  </w:style>
  <w:style w:type="paragraph" w:styleId="Heading7">
    <w:name w:val="heading 7"/>
    <w:aliases w:val="h7"/>
    <w:basedOn w:val="Normal"/>
    <w:next w:val="BodyDouble"/>
    <w:qFormat/>
    <w:pPr>
      <w:keepNext/>
      <w:keepLines/>
      <w:numPr>
        <w:ilvl w:val="6"/>
        <w:numId w:val="1"/>
      </w:numPr>
      <w:spacing w:line="480" w:lineRule="exact"/>
      <w:outlineLvl w:val="6"/>
    </w:pPr>
    <w:rPr>
      <w:szCs w:val="24"/>
    </w:rPr>
  </w:style>
  <w:style w:type="paragraph" w:styleId="Heading8">
    <w:name w:val="heading 8"/>
    <w:aliases w:val="h8"/>
    <w:basedOn w:val="Normal"/>
    <w:next w:val="BodyDouble"/>
    <w:qFormat/>
    <w:pPr>
      <w:keepNext/>
      <w:keepLines/>
      <w:numPr>
        <w:ilvl w:val="7"/>
        <w:numId w:val="1"/>
      </w:numPr>
      <w:spacing w:line="480" w:lineRule="exact"/>
      <w:outlineLvl w:val="7"/>
    </w:pPr>
    <w:rPr>
      <w:szCs w:val="24"/>
    </w:rPr>
  </w:style>
  <w:style w:type="paragraph" w:styleId="Heading9">
    <w:name w:val="heading 9"/>
    <w:aliases w:val="h9"/>
    <w:basedOn w:val="Normal"/>
    <w:next w:val="Normal"/>
    <w:qFormat/>
    <w:pPr>
      <w:keepNext/>
      <w:keepLines/>
      <w:numPr>
        <w:ilvl w:val="8"/>
        <w:numId w:val="1"/>
      </w:numPr>
      <w:spacing w:line="480" w:lineRule="exact"/>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ouble">
    <w:name w:val="Body Double"/>
    <w:aliases w:val="bd"/>
    <w:basedOn w:val="Normal"/>
    <w:pPr>
      <w:spacing w:line="480" w:lineRule="exact"/>
      <w:ind w:firstLine="720"/>
    </w:pPr>
    <w:rPr>
      <w:szCs w:val="24"/>
    </w:rPr>
  </w:style>
  <w:style w:type="paragraph" w:styleId="BodyText">
    <w:name w:val="Body Text"/>
    <w:basedOn w:val="Normal"/>
    <w:link w:val="BodyTextChar"/>
    <w:pPr>
      <w:spacing w:line="480" w:lineRule="exact"/>
      <w:ind w:firstLine="720"/>
    </w:pPr>
    <w:rPr>
      <w:rFonts w:ascii="Arial" w:hAnsi="Arial"/>
      <w:sz w:val="22"/>
    </w:rPr>
  </w:style>
  <w:style w:type="paragraph" w:customStyle="1" w:styleId="BodyTextContinued">
    <w:name w:val="Body Text Continued"/>
    <w:basedOn w:val="BodyText"/>
    <w:next w:val="BodyText"/>
    <w:pPr>
      <w:ind w:firstLine="0"/>
    </w:pPr>
  </w:style>
  <w:style w:type="paragraph" w:styleId="Caption">
    <w:name w:val="caption"/>
    <w:basedOn w:val="Normal"/>
    <w:next w:val="Normal"/>
    <w:qFormat/>
    <w:pPr>
      <w:widowControl w:val="0"/>
    </w:pPr>
    <w:rPr>
      <w:bCs/>
    </w:rPr>
  </w:style>
  <w:style w:type="paragraph" w:styleId="Footer">
    <w:name w:val="footer"/>
    <w:basedOn w:val="Normal"/>
    <w:pPr>
      <w:tabs>
        <w:tab w:val="center" w:pos="4680"/>
        <w:tab w:val="right" w:pos="9000"/>
      </w:tabs>
      <w:spacing w:line="240" w:lineRule="atLeast"/>
    </w:pPr>
  </w:style>
  <w:style w:type="paragraph" w:styleId="Header">
    <w:name w:val="header"/>
    <w:basedOn w:val="Normal"/>
    <w:link w:val="HeaderChar"/>
    <w:pPr>
      <w:widowControl w:val="0"/>
      <w:tabs>
        <w:tab w:val="center" w:pos="4320"/>
        <w:tab w:val="right" w:pos="9360"/>
      </w:tabs>
    </w:pPr>
  </w:style>
  <w:style w:type="paragraph" w:customStyle="1" w:styleId="HeaderNumbers">
    <w:name w:val="HeaderNumbers"/>
    <w:basedOn w:val="Normal"/>
    <w:pPr>
      <w:widowControl w:val="0"/>
      <w:spacing w:before="720" w:line="480" w:lineRule="exact"/>
      <w:ind w:right="144"/>
      <w:jc w:val="right"/>
    </w:pPr>
  </w:style>
  <w:style w:type="paragraph" w:styleId="NormalIndent">
    <w:name w:val="Normal Indent"/>
    <w:basedOn w:val="Normal"/>
    <w:pPr>
      <w:widowControl w:val="0"/>
      <w:ind w:left="720" w:right="720"/>
    </w:pPr>
  </w:style>
  <w:style w:type="character" w:styleId="PageNumber">
    <w:name w:val="page number"/>
    <w:rPr>
      <w:sz w:val="24"/>
    </w:rPr>
  </w:style>
  <w:style w:type="paragraph" w:customStyle="1" w:styleId="PleadingSignature">
    <w:name w:val="Pleading Signature"/>
    <w:basedOn w:val="Normal"/>
    <w:pPr>
      <w:keepNext/>
      <w:keepLines/>
    </w:pPr>
  </w:style>
  <w:style w:type="paragraph" w:styleId="Quote">
    <w:name w:val="Quote"/>
    <w:basedOn w:val="Normal"/>
    <w:next w:val="BodyTextContinued"/>
    <w:qFormat/>
    <w:pPr>
      <w:spacing w:before="240"/>
      <w:ind w:left="1440" w:right="1440"/>
    </w:pPr>
    <w:rPr>
      <w:rFonts w:ascii="Arial" w:hAnsi="Arial"/>
      <w:sz w:val="22"/>
    </w:rPr>
  </w:style>
  <w:style w:type="paragraph" w:styleId="TableofAuthorities">
    <w:name w:val="table of authorities"/>
    <w:basedOn w:val="Normal"/>
    <w:next w:val="Normal"/>
    <w:semiHidden/>
    <w:pPr>
      <w:widowControl w:val="0"/>
      <w:tabs>
        <w:tab w:val="right" w:leader="dot" w:pos="8928"/>
      </w:tabs>
      <w:spacing w:after="120"/>
      <w:ind w:left="360" w:right="1440" w:hanging="360"/>
    </w:pPr>
  </w:style>
  <w:style w:type="paragraph" w:styleId="TOAHeading">
    <w:name w:val="toa heading"/>
    <w:basedOn w:val="Normal"/>
    <w:next w:val="TableofAuthorities"/>
    <w:semiHidden/>
    <w:pPr>
      <w:keepNext/>
      <w:widowControl w:val="0"/>
      <w:spacing w:before="120" w:after="120"/>
      <w:jc w:val="center"/>
    </w:pPr>
    <w:rPr>
      <w:b/>
      <w:caps/>
    </w:rPr>
  </w:style>
  <w:style w:type="paragraph" w:styleId="FootnoteText">
    <w:name w:val="footnote text"/>
    <w:basedOn w:val="Normal"/>
    <w:link w:val="FootnoteTextChar"/>
    <w:uiPriority w:val="99"/>
    <w:semiHidden/>
    <w:pPr>
      <w:spacing w:after="120"/>
      <w:ind w:firstLine="720"/>
    </w:pPr>
  </w:style>
  <w:style w:type="paragraph" w:customStyle="1" w:styleId="Court">
    <w:name w:val="Court"/>
    <w:basedOn w:val="Normal"/>
    <w:pPr>
      <w:spacing w:after="240"/>
      <w:jc w:val="center"/>
    </w:pPr>
    <w:rPr>
      <w:caps/>
    </w:rPr>
  </w:style>
  <w:style w:type="paragraph" w:customStyle="1" w:styleId="DocumentTitle">
    <w:name w:val="Document Title"/>
    <w:basedOn w:val="Normal"/>
    <w:pPr>
      <w:widowControl w:val="0"/>
      <w:tabs>
        <w:tab w:val="left" w:pos="1238"/>
      </w:tabs>
      <w:spacing w:after="240"/>
      <w:ind w:left="259" w:right="115"/>
    </w:pPr>
  </w:style>
  <w:style w:type="paragraph" w:customStyle="1" w:styleId="FooterDocumentTitle">
    <w:name w:val="Footer Document Title"/>
    <w:basedOn w:val="Normal"/>
    <w:pPr>
      <w:spacing w:line="240" w:lineRule="auto"/>
    </w:pPr>
  </w:style>
  <w:style w:type="paragraph" w:customStyle="1" w:styleId="FirmInformation">
    <w:name w:val="Firm Information"/>
    <w:basedOn w:val="Normal"/>
    <w:pPr>
      <w:tabs>
        <w:tab w:val="left" w:pos="1296"/>
      </w:tabs>
    </w:pPr>
  </w:style>
  <w:style w:type="paragraph" w:customStyle="1" w:styleId="FirmName">
    <w:name w:val="Firm Name"/>
    <w:basedOn w:val="Normal"/>
    <w:pPr>
      <w:spacing w:line="240" w:lineRule="auto"/>
      <w:jc w:val="center"/>
    </w:pPr>
    <w:rPr>
      <w:rFonts w:hAnsi="Times New Roman Bold"/>
      <w:b/>
      <w:caps/>
      <w:sz w:val="22"/>
    </w:rPr>
  </w:style>
  <w:style w:type="paragraph" w:customStyle="1" w:styleId="FirmAddress">
    <w:name w:val="Firm Address"/>
    <w:basedOn w:val="FirmName"/>
    <w:rPr>
      <w:rFonts w:hAnsi="Times New Roman"/>
      <w:b w:val="0"/>
      <w:caps w:val="0"/>
      <w:sz w:val="18"/>
    </w:r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
    <w:name w:val="Body Text Indent"/>
    <w:basedOn w:val="Normal"/>
    <w:link w:val="BodyTextIndentChar"/>
    <w:pPr>
      <w:ind w:left="1980" w:firstLine="1460"/>
    </w:pPr>
  </w:style>
  <w:style w:type="character" w:styleId="Hyperlink">
    <w:name w:val="Hyperlink"/>
    <w:uiPriority w:val="99"/>
    <w:rPr>
      <w:color w:val="0000FF"/>
      <w:u w:val="single"/>
    </w:rPr>
  </w:style>
  <w:style w:type="paragraph" w:styleId="BodyTextIndent2">
    <w:name w:val="Body Text Indent 2"/>
    <w:basedOn w:val="Normal"/>
    <w:pPr>
      <w:spacing w:line="480" w:lineRule="auto"/>
      <w:ind w:left="720" w:hanging="720"/>
    </w:pPr>
    <w:rPr>
      <w:b/>
    </w:rPr>
  </w:style>
  <w:style w:type="paragraph" w:styleId="BodyTextIndent3">
    <w:name w:val="Body Text Indent 3"/>
    <w:basedOn w:val="Normal"/>
    <w:pPr>
      <w:tabs>
        <w:tab w:val="left" w:pos="720"/>
        <w:tab w:val="left" w:pos="1260"/>
      </w:tabs>
      <w:spacing w:line="240" w:lineRule="auto"/>
      <w:ind w:left="720" w:hanging="1260"/>
    </w:pPr>
  </w:style>
  <w:style w:type="character" w:styleId="FollowedHyperlink">
    <w:name w:val="FollowedHyperlink"/>
    <w:rPr>
      <w:color w:val="800080"/>
      <w:u w:val="single"/>
    </w:rPr>
  </w:style>
  <w:style w:type="character" w:styleId="FootnoteReference">
    <w:name w:val="footnote reference"/>
    <w:aliases w:val="Style 11,Style 28,Style 8,Style 21,Style 4,o,fr,o1,fr1,o2,fr2,o3,fr3"/>
    <w:uiPriority w:val="99"/>
    <w:rPr>
      <w:vertAlign w:val="superscript"/>
    </w:rPr>
  </w:style>
  <w:style w:type="paragraph" w:customStyle="1" w:styleId="SrvBodyContinued">
    <w:name w:val="Srv Body Continued"/>
    <w:basedOn w:val="SrvBody"/>
    <w:pPr>
      <w:ind w:firstLine="0"/>
    </w:pPr>
  </w:style>
  <w:style w:type="paragraph" w:customStyle="1" w:styleId="SrvBody">
    <w:name w:val="Srv Body"/>
    <w:basedOn w:val="Normal"/>
    <w:pPr>
      <w:spacing w:line="480" w:lineRule="exact"/>
      <w:ind w:firstLine="720"/>
    </w:pPr>
    <w:rPr>
      <w:szCs w:val="24"/>
    </w:rPr>
  </w:style>
  <w:style w:type="paragraph" w:customStyle="1" w:styleId="SrvSignature">
    <w:name w:val="Srv Signature"/>
    <w:basedOn w:val="SrvBody"/>
    <w:pPr>
      <w:keepLines/>
      <w:tabs>
        <w:tab w:val="right" w:pos="9000"/>
      </w:tabs>
      <w:spacing w:line="240" w:lineRule="exact"/>
      <w:ind w:left="4320" w:firstLine="0"/>
    </w:pPr>
  </w:style>
  <w:style w:type="paragraph" w:customStyle="1" w:styleId="SrvTitle">
    <w:name w:val="Srv Title"/>
    <w:basedOn w:val="SrvBody"/>
    <w:pPr>
      <w:tabs>
        <w:tab w:val="left" w:pos="0"/>
      </w:tabs>
      <w:ind w:firstLine="0"/>
      <w:jc w:val="center"/>
    </w:pPr>
    <w:rPr>
      <w:b/>
      <w:caps/>
    </w:rPr>
  </w:style>
  <w:style w:type="paragraph" w:customStyle="1" w:styleId="SrvTableText">
    <w:name w:val="Srv Table Text"/>
    <w:basedOn w:val="SrvBody"/>
    <w:pPr>
      <w:spacing w:after="240" w:line="240" w:lineRule="exact"/>
      <w:ind w:firstLine="0"/>
    </w:pPr>
  </w:style>
  <w:style w:type="paragraph" w:customStyle="1" w:styleId="SrvRecipient">
    <w:name w:val="Srv Recipient"/>
    <w:basedOn w:val="SrvBody"/>
    <w:pPr>
      <w:spacing w:line="240" w:lineRule="exact"/>
      <w:ind w:firstLine="0"/>
    </w:pPr>
  </w:style>
  <w:style w:type="paragraph" w:customStyle="1" w:styleId="Quote1">
    <w:name w:val="Quote 1&quot;"/>
    <w:aliases w:val="q1"/>
    <w:basedOn w:val="Normal"/>
    <w:pPr>
      <w:spacing w:before="240"/>
      <w:ind w:left="1440" w:right="1440"/>
    </w:pPr>
    <w:rPr>
      <w:szCs w:val="24"/>
    </w:rPr>
  </w:style>
  <w:style w:type="character" w:customStyle="1" w:styleId="documentbody1">
    <w:name w:val="documentbody1"/>
    <w:rPr>
      <w:rFonts w:ascii="Verdana" w:hAnsi="Verdana" w:hint="default"/>
      <w:sz w:val="19"/>
      <w:szCs w:val="19"/>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ListNumber">
    <w:name w:val="List Number"/>
    <w:basedOn w:val="Normal"/>
    <w:pPr>
      <w:numPr>
        <w:numId w:val="3"/>
      </w:numPr>
      <w:spacing w:before="240"/>
    </w:pPr>
    <w:rPr>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paragraph" w:styleId="ListBullet">
    <w:name w:val="List Bullet"/>
    <w:basedOn w:val="Normal"/>
    <w:autoRedefine/>
    <w:pPr>
      <w:numPr>
        <w:numId w:val="2"/>
      </w:numPr>
      <w:spacing w:before="240"/>
      <w:ind w:left="1080"/>
    </w:pPr>
    <w:rPr>
      <w:szCs w:val="24"/>
    </w:rPr>
  </w:style>
  <w:style w:type="paragraph" w:styleId="ListNumber2">
    <w:name w:val="List Number 2"/>
    <w:basedOn w:val="Normal"/>
    <w:pPr>
      <w:numPr>
        <w:numId w:val="4"/>
      </w:numPr>
      <w:spacing w:before="240"/>
    </w:pPr>
  </w:style>
  <w:style w:type="paragraph" w:customStyle="1" w:styleId="TOCHeader">
    <w:name w:val="TOC Header"/>
    <w:basedOn w:val="Normal"/>
    <w:pPr>
      <w:spacing w:line="240" w:lineRule="auto"/>
      <w:ind w:left="115" w:right="115"/>
      <w:jc w:val="center"/>
    </w:pPr>
    <w:rPr>
      <w:b/>
      <w:caps/>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3E302A"/>
    <w:pPr>
      <w:keepLines/>
      <w:tabs>
        <w:tab w:val="right" w:leader="dot" w:pos="8928"/>
      </w:tabs>
      <w:spacing w:after="120"/>
      <w:ind w:left="720" w:right="720" w:hanging="720"/>
      <w:jc w:val="center"/>
    </w:pPr>
    <w:rPr>
      <w:rFonts w:ascii="Arial" w:hAnsi="Arial"/>
    </w:rPr>
  </w:style>
  <w:style w:type="paragraph" w:styleId="TOC2">
    <w:name w:val="toc 2"/>
    <w:basedOn w:val="Normal"/>
    <w:next w:val="Normal"/>
    <w:autoRedefine/>
    <w:uiPriority w:val="39"/>
    <w:pPr>
      <w:keepLines/>
      <w:tabs>
        <w:tab w:val="right" w:leader="dot" w:pos="8928"/>
      </w:tabs>
      <w:spacing w:after="120"/>
      <w:ind w:left="1440" w:right="720" w:hanging="720"/>
    </w:pPr>
  </w:style>
  <w:style w:type="paragraph" w:styleId="TOC3">
    <w:name w:val="toc 3"/>
    <w:basedOn w:val="Normal"/>
    <w:next w:val="Normal"/>
    <w:autoRedefine/>
    <w:semiHidden/>
    <w:pPr>
      <w:keepLines/>
      <w:tabs>
        <w:tab w:val="right" w:leader="dot" w:pos="8928"/>
      </w:tabs>
      <w:spacing w:after="120"/>
      <w:ind w:left="2160" w:right="720" w:hanging="720"/>
    </w:pPr>
  </w:style>
  <w:style w:type="paragraph" w:styleId="TOC4">
    <w:name w:val="toc 4"/>
    <w:basedOn w:val="Normal"/>
    <w:next w:val="Normal"/>
    <w:autoRedefine/>
    <w:semiHidden/>
    <w:pPr>
      <w:keepLines/>
      <w:tabs>
        <w:tab w:val="right" w:leader="dot" w:pos="8928"/>
      </w:tabs>
      <w:spacing w:after="120"/>
      <w:ind w:left="2880" w:right="720" w:hanging="720"/>
    </w:pPr>
  </w:style>
  <w:style w:type="paragraph" w:styleId="TOC5">
    <w:name w:val="toc 5"/>
    <w:basedOn w:val="Normal"/>
    <w:next w:val="Normal"/>
    <w:autoRedefine/>
    <w:semiHidden/>
    <w:pPr>
      <w:keepLines/>
      <w:tabs>
        <w:tab w:val="right" w:leader="dot" w:pos="8928"/>
      </w:tabs>
      <w:spacing w:after="120"/>
      <w:ind w:left="3600" w:right="720" w:hanging="720"/>
    </w:pPr>
  </w:style>
  <w:style w:type="paragraph" w:styleId="TOC6">
    <w:name w:val="toc 6"/>
    <w:basedOn w:val="Normal"/>
    <w:next w:val="Normal"/>
    <w:autoRedefine/>
    <w:semiHidden/>
    <w:pPr>
      <w:keepLines/>
      <w:tabs>
        <w:tab w:val="right" w:leader="dot" w:pos="8928"/>
      </w:tabs>
      <w:spacing w:after="120"/>
      <w:ind w:left="4320" w:right="720" w:hanging="720"/>
    </w:pPr>
  </w:style>
  <w:style w:type="paragraph" w:styleId="TOC7">
    <w:name w:val="toc 7"/>
    <w:basedOn w:val="Normal"/>
    <w:next w:val="Normal"/>
    <w:autoRedefine/>
    <w:semiHidden/>
    <w:pPr>
      <w:keepLines/>
      <w:tabs>
        <w:tab w:val="right" w:leader="dot" w:pos="8928"/>
      </w:tabs>
      <w:spacing w:after="120"/>
      <w:ind w:left="5040" w:right="720" w:hanging="720"/>
    </w:pPr>
  </w:style>
  <w:style w:type="paragraph" w:styleId="TOC8">
    <w:name w:val="toc 8"/>
    <w:basedOn w:val="Normal"/>
    <w:next w:val="Normal"/>
    <w:autoRedefine/>
    <w:semiHidden/>
    <w:pPr>
      <w:keepLines/>
      <w:tabs>
        <w:tab w:val="right" w:leader="dot" w:pos="8928"/>
      </w:tabs>
      <w:spacing w:after="120"/>
      <w:ind w:left="5760" w:right="720" w:hanging="720"/>
    </w:pPr>
  </w:style>
  <w:style w:type="paragraph" w:styleId="TOC9">
    <w:name w:val="toc 9"/>
    <w:basedOn w:val="Normal"/>
    <w:next w:val="Normal"/>
    <w:autoRedefine/>
    <w:semiHidden/>
    <w:pPr>
      <w:keepLines/>
      <w:tabs>
        <w:tab w:val="right" w:leader="dot" w:pos="8928"/>
      </w:tabs>
      <w:spacing w:after="120"/>
      <w:ind w:left="6480" w:right="720" w:hanging="720"/>
    </w:pPr>
  </w:style>
  <w:style w:type="character" w:styleId="LineNumber">
    <w:name w:val="line number"/>
    <w:rsid w:val="002329BF"/>
    <w:rPr>
      <w:rFonts w:ascii="Times New Roman" w:hAnsi="Times New Roman"/>
      <w:sz w:val="24"/>
    </w:rPr>
  </w:style>
  <w:style w:type="paragraph" w:styleId="CommentSubject">
    <w:name w:val="annotation subject"/>
    <w:basedOn w:val="CommentText"/>
    <w:next w:val="CommentText"/>
    <w:semiHidden/>
    <w:rPr>
      <w:b/>
      <w:bCs/>
    </w:rPr>
  </w:style>
  <w:style w:type="paragraph" w:styleId="Title">
    <w:name w:val="Title"/>
    <w:basedOn w:val="Normal"/>
    <w:qFormat/>
    <w:pPr>
      <w:spacing w:line="240" w:lineRule="auto"/>
      <w:jc w:val="center"/>
    </w:pPr>
    <w:rPr>
      <w:b/>
      <w:sz w:val="28"/>
      <w:szCs w:val="28"/>
    </w:rPr>
  </w:style>
  <w:style w:type="paragraph" w:customStyle="1" w:styleId="Level2">
    <w:name w:val="Level 2"/>
    <w:basedOn w:val="Normal"/>
    <w:pPr>
      <w:numPr>
        <w:ilvl w:val="1"/>
        <w:numId w:val="8"/>
      </w:numPr>
      <w:spacing w:line="480" w:lineRule="exact"/>
    </w:pPr>
    <w:rPr>
      <w:rFonts w:ascii="Arial" w:hAnsi="Arial"/>
      <w:sz w:val="22"/>
    </w:rPr>
  </w:style>
  <w:style w:type="paragraph" w:customStyle="1" w:styleId="Level3">
    <w:name w:val="Level 3"/>
    <w:basedOn w:val="Normal"/>
    <w:pPr>
      <w:numPr>
        <w:ilvl w:val="2"/>
        <w:numId w:val="8"/>
      </w:numPr>
      <w:spacing w:line="480" w:lineRule="exact"/>
    </w:pPr>
    <w:rPr>
      <w:rFonts w:ascii="Arial" w:hAnsi="Arial"/>
      <w:sz w:val="22"/>
    </w:rPr>
  </w:style>
  <w:style w:type="paragraph" w:customStyle="1" w:styleId="Level4">
    <w:name w:val="Level 4"/>
    <w:basedOn w:val="Normal"/>
    <w:pPr>
      <w:numPr>
        <w:ilvl w:val="3"/>
        <w:numId w:val="8"/>
      </w:numPr>
    </w:pPr>
  </w:style>
  <w:style w:type="paragraph" w:customStyle="1" w:styleId="Level5">
    <w:name w:val="Level 5"/>
    <w:basedOn w:val="Normal"/>
    <w:pPr>
      <w:numPr>
        <w:ilvl w:val="4"/>
        <w:numId w:val="8"/>
      </w:numPr>
    </w:pPr>
  </w:style>
  <w:style w:type="paragraph" w:customStyle="1" w:styleId="Level6">
    <w:name w:val="Level 6"/>
    <w:basedOn w:val="Normal"/>
    <w:pPr>
      <w:numPr>
        <w:ilvl w:val="5"/>
        <w:numId w:val="8"/>
      </w:numPr>
    </w:pPr>
  </w:style>
  <w:style w:type="paragraph" w:customStyle="1" w:styleId="Level7">
    <w:name w:val="Level 7"/>
    <w:basedOn w:val="Normal"/>
    <w:pPr>
      <w:numPr>
        <w:ilvl w:val="6"/>
        <w:numId w:val="8"/>
      </w:numPr>
    </w:pPr>
  </w:style>
  <w:style w:type="paragraph" w:customStyle="1" w:styleId="Level8">
    <w:name w:val="Level 8"/>
    <w:basedOn w:val="Normal"/>
    <w:pPr>
      <w:numPr>
        <w:ilvl w:val="7"/>
        <w:numId w:val="8"/>
      </w:numPr>
    </w:pPr>
  </w:style>
  <w:style w:type="paragraph" w:customStyle="1" w:styleId="StyleLevel1Arial11pt">
    <w:name w:val="Style Level 1 + Arial 11 pt"/>
    <w:basedOn w:val="Normal"/>
    <w:link w:val="StyleLevel1Arial11ptCharChar"/>
    <w:pPr>
      <w:spacing w:line="480" w:lineRule="exact"/>
    </w:pPr>
    <w:rPr>
      <w:rFonts w:ascii="Arial" w:hAnsi="Arial"/>
      <w:sz w:val="22"/>
      <w:szCs w:val="22"/>
    </w:rPr>
  </w:style>
  <w:style w:type="character" w:customStyle="1" w:styleId="StyleLevel1Arial11ptCharChar">
    <w:name w:val="Style Level 1 + Arial 11 pt Char Char"/>
    <w:link w:val="StyleLevel1Arial11pt"/>
    <w:rPr>
      <w:rFonts w:ascii="Arial" w:hAnsi="Arial"/>
      <w:sz w:val="22"/>
      <w:szCs w:val="22"/>
      <w:lang w:val="en-US" w:eastAsia="en-US" w:bidi="ar-SA"/>
    </w:rPr>
  </w:style>
  <w:style w:type="paragraph" w:customStyle="1" w:styleId="TxBrp2">
    <w:name w:val="TxBr_p2"/>
    <w:basedOn w:val="Normal"/>
    <w:pPr>
      <w:widowControl w:val="0"/>
      <w:tabs>
        <w:tab w:val="left" w:pos="788"/>
      </w:tabs>
      <w:autoSpaceDE w:val="0"/>
      <w:autoSpaceDN w:val="0"/>
      <w:adjustRightInd w:val="0"/>
      <w:spacing w:line="538" w:lineRule="atLeast"/>
      <w:ind w:left="181" w:hanging="788"/>
    </w:pPr>
    <w:rPr>
      <w:szCs w:val="24"/>
    </w:rPr>
  </w:style>
  <w:style w:type="paragraph" w:styleId="Revision">
    <w:name w:val="Revision"/>
    <w:hidden/>
    <w:uiPriority w:val="99"/>
    <w:semiHidden/>
    <w:rPr>
      <w:sz w:val="24"/>
    </w:rPr>
  </w:style>
  <w:style w:type="character" w:customStyle="1" w:styleId="BodyTextChar">
    <w:name w:val="Body Text Char"/>
    <w:link w:val="BodyText"/>
    <w:rPr>
      <w:rFonts w:ascii="Arial" w:hAnsi="Arial"/>
      <w:sz w:val="22"/>
    </w:rPr>
  </w:style>
  <w:style w:type="character" w:customStyle="1" w:styleId="BodyTextIndentChar">
    <w:name w:val="Body Text Indent Char"/>
    <w:link w:val="BodyTextIndent"/>
    <w:rPr>
      <w:sz w:val="24"/>
    </w:rPr>
  </w:style>
  <w:style w:type="paragraph" w:styleId="NoSpacing">
    <w:name w:val="No Spacing"/>
    <w:link w:val="NoSpacingChar"/>
    <w:uiPriority w:val="1"/>
    <w:qFormat/>
    <w:rsid w:val="006D5771"/>
    <w:rPr>
      <w:rFonts w:ascii="Calibri" w:eastAsia="Calibri" w:hAnsi="Calibri"/>
      <w:sz w:val="22"/>
      <w:szCs w:val="22"/>
    </w:rPr>
  </w:style>
  <w:style w:type="character" w:customStyle="1" w:styleId="CommentTextChar">
    <w:name w:val="Comment Text Char"/>
    <w:link w:val="CommentText"/>
    <w:uiPriority w:val="99"/>
    <w:semiHidden/>
    <w:rsid w:val="006D5771"/>
  </w:style>
  <w:style w:type="character" w:customStyle="1" w:styleId="HeaderChar">
    <w:name w:val="Header Char"/>
    <w:link w:val="Header"/>
    <w:uiPriority w:val="99"/>
    <w:rsid w:val="004D7428"/>
    <w:rPr>
      <w:sz w:val="24"/>
    </w:rPr>
  </w:style>
  <w:style w:type="paragraph" w:customStyle="1" w:styleId="Square11">
    <w:name w:val="Square 11"/>
    <w:rsid w:val="008F2DF1"/>
    <w:pPr>
      <w:spacing w:after="200" w:line="276" w:lineRule="auto"/>
    </w:pPr>
    <w:rPr>
      <w:rFonts w:ascii="Calibri" w:hAnsi="Calibri"/>
      <w:sz w:val="22"/>
      <w:szCs w:val="22"/>
    </w:rPr>
  </w:style>
  <w:style w:type="character" w:customStyle="1" w:styleId="NoSpacingChar">
    <w:name w:val="No Spacing Char"/>
    <w:link w:val="NoSpacing"/>
    <w:uiPriority w:val="1"/>
    <w:rsid w:val="008F2DF1"/>
    <w:rPr>
      <w:rFonts w:ascii="Calibri" w:eastAsia="Calibri" w:hAnsi="Calibri"/>
      <w:sz w:val="22"/>
      <w:szCs w:val="22"/>
    </w:rPr>
  </w:style>
  <w:style w:type="paragraph" w:styleId="ListParagraph">
    <w:name w:val="List Paragraph"/>
    <w:basedOn w:val="Normal"/>
    <w:uiPriority w:val="34"/>
    <w:qFormat/>
    <w:rsid w:val="00643F4F"/>
    <w:pPr>
      <w:widowControl w:val="0"/>
      <w:autoSpaceDE w:val="0"/>
      <w:autoSpaceDN w:val="0"/>
      <w:adjustRightInd w:val="0"/>
      <w:spacing w:line="240" w:lineRule="auto"/>
      <w:ind w:left="720"/>
      <w:contextualSpacing/>
    </w:pPr>
    <w:rPr>
      <w:rFonts w:ascii="Arial" w:eastAsia="Calibri" w:hAnsi="Arial" w:cs="Arial"/>
      <w:sz w:val="22"/>
      <w:szCs w:val="22"/>
    </w:rPr>
  </w:style>
  <w:style w:type="paragraph" w:styleId="TOCHeading">
    <w:name w:val="TOC Heading"/>
    <w:basedOn w:val="Heading1"/>
    <w:next w:val="Normal"/>
    <w:uiPriority w:val="39"/>
    <w:unhideWhenUsed/>
    <w:qFormat/>
    <w:rsid w:val="00B64E89"/>
    <w:pPr>
      <w:keepLines/>
      <w:numPr>
        <w:numId w:val="0"/>
      </w:numPr>
      <w:spacing w:line="259" w:lineRule="auto"/>
      <w:jc w:val="left"/>
      <w:outlineLvl w:val="9"/>
    </w:pPr>
    <w:rPr>
      <w:rFonts w:ascii="Calibri Light" w:hAnsi="Calibri Light" w:cs="Times New Roman"/>
      <w:b w:val="0"/>
      <w:bCs w:val="0"/>
      <w:color w:val="2E74B5"/>
      <w:sz w:val="32"/>
      <w:szCs w:val="32"/>
    </w:rPr>
  </w:style>
  <w:style w:type="paragraph" w:customStyle="1" w:styleId="Level1">
    <w:name w:val="Level 1"/>
    <w:basedOn w:val="NoSpacing"/>
    <w:qFormat/>
    <w:rsid w:val="00B64E89"/>
    <w:pPr>
      <w:numPr>
        <w:numId w:val="14"/>
      </w:numPr>
      <w:suppressLineNumbers/>
      <w:spacing w:line="480" w:lineRule="exact"/>
      <w:ind w:left="1440" w:hanging="720"/>
      <w:jc w:val="center"/>
    </w:pPr>
    <w:rPr>
      <w:rFonts w:ascii="Arial" w:hAnsi="Arial" w:cs="Arial"/>
      <w:b/>
    </w:rPr>
  </w:style>
  <w:style w:type="paragraph" w:customStyle="1" w:styleId="Question">
    <w:name w:val="Question"/>
    <w:basedOn w:val="Normal"/>
    <w:next w:val="Answer1"/>
    <w:qFormat/>
    <w:rsid w:val="00327B7A"/>
    <w:pPr>
      <w:keepNext/>
      <w:numPr>
        <w:numId w:val="24"/>
      </w:numPr>
      <w:spacing w:before="120" w:line="480" w:lineRule="auto"/>
      <w:ind w:hanging="720"/>
      <w:jc w:val="both"/>
    </w:pPr>
    <w:rPr>
      <w:rFonts w:eastAsiaTheme="minorHAnsi" w:cstheme="minorBidi"/>
      <w:b/>
      <w:szCs w:val="22"/>
    </w:rPr>
  </w:style>
  <w:style w:type="paragraph" w:customStyle="1" w:styleId="Answer1">
    <w:name w:val="Answer1"/>
    <w:basedOn w:val="Normal"/>
    <w:qFormat/>
    <w:rsid w:val="00327B7A"/>
    <w:pPr>
      <w:widowControl w:val="0"/>
      <w:numPr>
        <w:numId w:val="25"/>
      </w:numPr>
      <w:spacing w:after="240" w:line="480" w:lineRule="auto"/>
      <w:ind w:hanging="720"/>
      <w:jc w:val="both"/>
    </w:pPr>
    <w:rPr>
      <w:rFonts w:eastAsiaTheme="minorHAnsi" w:cstheme="minorBidi"/>
      <w:szCs w:val="22"/>
    </w:rPr>
  </w:style>
  <w:style w:type="table" w:styleId="TableGrid">
    <w:name w:val="Table Grid"/>
    <w:basedOn w:val="TableNormal"/>
    <w:uiPriority w:val="59"/>
    <w:rsid w:val="0006703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06703A"/>
    <w:rPr>
      <w:sz w:val="24"/>
    </w:rPr>
  </w:style>
  <w:style w:type="paragraph" w:styleId="IntenseQuote">
    <w:name w:val="Intense Quote"/>
    <w:basedOn w:val="Normal"/>
    <w:next w:val="Normal"/>
    <w:link w:val="IntenseQuoteChar"/>
    <w:uiPriority w:val="30"/>
    <w:qFormat/>
    <w:rsid w:val="00763C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63C46"/>
    <w:rPr>
      <w:i/>
      <w:iCs/>
      <w:color w:val="4F81BD" w:themeColor="accent1"/>
      <w:sz w:val="24"/>
    </w:rPr>
  </w:style>
  <w:style w:type="character" w:styleId="IntenseEmphasis">
    <w:name w:val="Intense Emphasis"/>
    <w:basedOn w:val="DefaultParagraphFont"/>
    <w:uiPriority w:val="21"/>
    <w:qFormat/>
    <w:rsid w:val="00763C46"/>
    <w:rPr>
      <w:i/>
      <w:iCs/>
      <w:color w:val="4F81BD" w:themeColor="accent1"/>
    </w:rPr>
  </w:style>
  <w:style w:type="character" w:styleId="SubtleReference">
    <w:name w:val="Subtle Reference"/>
    <w:basedOn w:val="DefaultParagraphFont"/>
    <w:uiPriority w:val="31"/>
    <w:qFormat/>
    <w:rsid w:val="00E83343"/>
    <w:rPr>
      <w:smallCaps/>
      <w:color w:val="5A5A5A" w:themeColor="text1" w:themeTint="A5"/>
    </w:rPr>
  </w:style>
  <w:style w:type="paragraph" w:customStyle="1" w:styleId="Answer3">
    <w:name w:val="Answer3"/>
    <w:basedOn w:val="Normal"/>
    <w:qFormat/>
    <w:rsid w:val="0017121A"/>
    <w:pPr>
      <w:spacing w:line="480" w:lineRule="auto"/>
      <w:ind w:left="720"/>
      <w:jc w:val="both"/>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32965">
      <w:bodyDiv w:val="1"/>
      <w:marLeft w:val="0"/>
      <w:marRight w:val="0"/>
      <w:marTop w:val="0"/>
      <w:marBottom w:val="0"/>
      <w:divBdr>
        <w:top w:val="none" w:sz="0" w:space="0" w:color="auto"/>
        <w:left w:val="none" w:sz="0" w:space="0" w:color="auto"/>
        <w:bottom w:val="none" w:sz="0" w:space="0" w:color="auto"/>
        <w:right w:val="none" w:sz="0" w:space="0" w:color="auto"/>
      </w:divBdr>
      <w:divsChild>
        <w:div w:id="126487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15092E-01C4-4BEA-BB27-D224FDD5D69C}"/>
</file>

<file path=customXml/itemProps2.xml><?xml version="1.0" encoding="utf-8"?>
<ds:datastoreItem xmlns:ds="http://schemas.openxmlformats.org/officeDocument/2006/customXml" ds:itemID="{2B891FD2-5331-4F44-950E-8CC22644EB98}"/>
</file>

<file path=customXml/itemProps3.xml><?xml version="1.0" encoding="utf-8"?>
<ds:datastoreItem xmlns:ds="http://schemas.openxmlformats.org/officeDocument/2006/customXml" ds:itemID="{105AC1C4-7858-43F5-AF9D-249DF1193E36}"/>
</file>

<file path=customXml/itemProps4.xml><?xml version="1.0" encoding="utf-8"?>
<ds:datastoreItem xmlns:ds="http://schemas.openxmlformats.org/officeDocument/2006/customXml" ds:itemID="{5254E0A1-2C14-4A51-8297-2659E1A4AC76}"/>
</file>

<file path=customXml/itemProps5.xml><?xml version="1.0" encoding="utf-8"?>
<ds:datastoreItem xmlns:ds="http://schemas.openxmlformats.org/officeDocument/2006/customXml" ds:itemID="{F45847BF-18F2-4B31-A17B-051AD29D8970}"/>
</file>

<file path=docProps/app.xml><?xml version="1.0" encoding="utf-8"?>
<Properties xmlns="http://schemas.openxmlformats.org/officeDocument/2006/extended-properties" xmlns:vt="http://schemas.openxmlformats.org/officeDocument/2006/docPropsVTypes">
  <Template>Normal</Template>
  <TotalTime>0</TotalTime>
  <Pages>39</Pages>
  <Words>9555</Words>
  <Characters>52744</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62175</CharactersWithSpaces>
  <SharedDoc>false</SharedDoc>
  <HLinks>
    <vt:vector size="18" baseType="variant">
      <vt:variant>
        <vt:i4>1179701</vt:i4>
      </vt:variant>
      <vt:variant>
        <vt:i4>14</vt:i4>
      </vt:variant>
      <vt:variant>
        <vt:i4>0</vt:i4>
      </vt:variant>
      <vt:variant>
        <vt:i4>5</vt:i4>
      </vt:variant>
      <vt:variant>
        <vt:lpwstr/>
      </vt:variant>
      <vt:variant>
        <vt:lpwstr>_Toc434929763</vt:lpwstr>
      </vt:variant>
      <vt:variant>
        <vt:i4>1179701</vt:i4>
      </vt:variant>
      <vt:variant>
        <vt:i4>8</vt:i4>
      </vt:variant>
      <vt:variant>
        <vt:i4>0</vt:i4>
      </vt:variant>
      <vt:variant>
        <vt:i4>5</vt:i4>
      </vt:variant>
      <vt:variant>
        <vt:lpwstr/>
      </vt:variant>
      <vt:variant>
        <vt:lpwstr>_Toc434929762</vt:lpwstr>
      </vt:variant>
      <vt:variant>
        <vt:i4>1179701</vt:i4>
      </vt:variant>
      <vt:variant>
        <vt:i4>2</vt:i4>
      </vt:variant>
      <vt:variant>
        <vt:i4>0</vt:i4>
      </vt:variant>
      <vt:variant>
        <vt:i4>5</vt:i4>
      </vt:variant>
      <vt:variant>
        <vt:lpwstr/>
      </vt:variant>
      <vt:variant>
        <vt:lpwstr>_Toc434929761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2015-12-01T18:46:00Z</dcterms:created>
  <dcterms:modified xsi:type="dcterms:W3CDTF">2015-12-01T21:51:00Z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