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Pr="00B86298" w:rsidRDefault="00182994" w:rsidP="00B86298">
      <w:pPr>
        <w:tabs>
          <w:tab w:val="left" w:pos="1260"/>
        </w:tabs>
        <w:spacing w:line="480" w:lineRule="auto"/>
        <w:jc w:val="center"/>
        <w:rPr>
          <w:rStyle w:val="LineNumber"/>
        </w:rPr>
      </w:pPr>
    </w:p>
    <w:p w:rsidR="00182994" w:rsidRPr="00B86298" w:rsidRDefault="00182994" w:rsidP="00B86298">
      <w:pPr>
        <w:tabs>
          <w:tab w:val="left" w:pos="1260"/>
        </w:tabs>
        <w:spacing w:line="480" w:lineRule="auto"/>
        <w:jc w:val="center"/>
        <w:rPr>
          <w:rStyle w:val="LineNumber"/>
        </w:rPr>
      </w:pPr>
    </w:p>
    <w:p w:rsidR="00182994" w:rsidRPr="00B86298" w:rsidRDefault="00182994" w:rsidP="00B86298">
      <w:pPr>
        <w:tabs>
          <w:tab w:val="left" w:pos="1260"/>
        </w:tabs>
        <w:spacing w:line="480" w:lineRule="auto"/>
        <w:jc w:val="center"/>
        <w:rPr>
          <w:rStyle w:val="LineNumber"/>
        </w:rPr>
      </w:pPr>
    </w:p>
    <w:p w:rsidR="00182994" w:rsidRPr="00B86298" w:rsidRDefault="00182994" w:rsidP="00B86298">
      <w:pPr>
        <w:tabs>
          <w:tab w:val="left" w:pos="1260"/>
        </w:tabs>
        <w:spacing w:line="480" w:lineRule="auto"/>
        <w:jc w:val="center"/>
        <w:rPr>
          <w:rStyle w:val="LineNumber"/>
        </w:rPr>
      </w:pPr>
    </w:p>
    <w:p w:rsidR="00182994" w:rsidRPr="00B86298" w:rsidRDefault="00182994" w:rsidP="00B86298">
      <w:pPr>
        <w:tabs>
          <w:tab w:val="left" w:pos="1260"/>
        </w:tabs>
        <w:spacing w:line="480" w:lineRule="auto"/>
        <w:jc w:val="center"/>
        <w:rPr>
          <w:rStyle w:val="LineNumber"/>
        </w:rPr>
      </w:pPr>
    </w:p>
    <w:p w:rsidR="00182994" w:rsidRDefault="00182994" w:rsidP="00B86298">
      <w:pPr>
        <w:tabs>
          <w:tab w:val="left" w:pos="1260"/>
        </w:tabs>
        <w:spacing w:line="480" w:lineRule="auto"/>
        <w:jc w:val="center"/>
      </w:pPr>
    </w:p>
    <w:p w:rsidR="00182994" w:rsidRDefault="00182994" w:rsidP="00B86298">
      <w:pPr>
        <w:tabs>
          <w:tab w:val="left" w:pos="1260"/>
        </w:tabs>
        <w:spacing w:line="480" w:lineRule="auto"/>
        <w:jc w:val="center"/>
        <w:rPr>
          <w:rStyle w:val="LineNumber"/>
        </w:rPr>
      </w:pPr>
    </w:p>
    <w:p w:rsidR="00182994" w:rsidRDefault="00182994">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82994" w:rsidRDefault="00182994" w:rsidP="00B86298">
      <w:pPr>
        <w:tabs>
          <w:tab w:val="left" w:pos="1260"/>
        </w:tabs>
        <w:spacing w:line="480" w:lineRule="auto"/>
        <w:jc w:val="center"/>
      </w:pPr>
    </w:p>
    <w:p w:rsidR="00182994" w:rsidRDefault="000773D0" w:rsidP="00182994">
      <w:pPr>
        <w:tabs>
          <w:tab w:val="left" w:pos="1260"/>
        </w:tabs>
        <w:jc w:val="center"/>
      </w:pPr>
      <w:r>
        <w:t>DOCKET NO</w:t>
      </w:r>
      <w:r w:rsidR="00182994">
        <w:t>. UE-</w:t>
      </w:r>
      <w:r w:rsidR="00876525">
        <w:t>1</w:t>
      </w:r>
      <w:r w:rsidR="00BC154E">
        <w:t>2</w:t>
      </w:r>
      <w:r w:rsidR="00182994">
        <w:t>______</w:t>
      </w:r>
    </w:p>
    <w:p w:rsidR="00182994" w:rsidRDefault="00182994" w:rsidP="00B86298">
      <w:pPr>
        <w:tabs>
          <w:tab w:val="left" w:pos="1260"/>
        </w:tabs>
        <w:spacing w:line="480" w:lineRule="auto"/>
        <w:jc w:val="center"/>
      </w:pPr>
    </w:p>
    <w:p w:rsidR="00182994" w:rsidRDefault="00182994">
      <w:pPr>
        <w:tabs>
          <w:tab w:val="left" w:pos="1260"/>
        </w:tabs>
        <w:spacing w:line="480" w:lineRule="auto"/>
        <w:jc w:val="center"/>
      </w:pPr>
      <w:r>
        <w:t xml:space="preserve">DIRECT TESTIMONY OF </w:t>
      </w:r>
    </w:p>
    <w:p w:rsidR="00182994" w:rsidRDefault="002D0C51">
      <w:pPr>
        <w:tabs>
          <w:tab w:val="left" w:pos="1260"/>
        </w:tabs>
        <w:spacing w:line="480" w:lineRule="auto"/>
        <w:jc w:val="center"/>
      </w:pPr>
      <w:r>
        <w:t>WILLIAM G. JOHNSON</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C52BC0">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Please state your name, business address, and present position with Avista Corporation.</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name is William G. Johnson.  My business address is </w:t>
      </w:r>
      <w:smartTag w:uri="urn:schemas-microsoft-com:office:smarttags" w:element="Street">
        <w:r w:rsidRPr="00BE21E7">
          <w:rPr>
            <w:rFonts w:ascii="Times New Roman" w:hAnsi="Times New Roman" w:cs="Times New Roman"/>
          </w:rPr>
          <w:t>1411 East Mission Avenue</w:t>
        </w:r>
      </w:smartTag>
      <w:r w:rsidRPr="00BE21E7">
        <w:rPr>
          <w:rFonts w:ascii="Times New Roman" w:hAnsi="Times New Roman" w:cs="Times New Roman"/>
        </w:rPr>
        <w:t xml:space="preserve">, </w:t>
      </w:r>
      <w:smartTag w:uri="urn:schemas-microsoft-com:office:smarttags" w:element="City">
        <w:r w:rsidRPr="00BE21E7">
          <w:rPr>
            <w:rFonts w:ascii="Times New Roman" w:hAnsi="Times New Roman" w:cs="Times New Roman"/>
          </w:rPr>
          <w:t>Spokane</w:t>
        </w:r>
      </w:smartTag>
      <w:r w:rsidRPr="00BE21E7">
        <w:rPr>
          <w:rFonts w:ascii="Times New Roman" w:hAnsi="Times New Roman" w:cs="Times New Roman"/>
        </w:rPr>
        <w:t xml:space="preserve">, </w:t>
      </w:r>
      <w:smartTag w:uri="urn:schemas-microsoft-com:office:smarttags" w:element="State">
        <w:r w:rsidRPr="00BE21E7">
          <w:rPr>
            <w:rFonts w:ascii="Times New Roman" w:hAnsi="Times New Roman" w:cs="Times New Roman"/>
          </w:rPr>
          <w:t>Washington</w:t>
        </w:r>
      </w:smartTag>
      <w:r w:rsidRPr="00BE21E7">
        <w:rPr>
          <w:rFonts w:ascii="Times New Roman" w:hAnsi="Times New Roman" w:cs="Times New Roman"/>
        </w:rPr>
        <w:t>, and I am employed by the Company as a Wholesale Marketing Manager in the Energy Resources Department.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your educational background?</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I graduated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1981 with a Bachelor of Arts Degree in Political Science/Economics.  I obtained a Master of Arts Degree in Economics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1985.</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How long have you been employed by the Company and what are your duties as a Wholesale Marketing Manager?</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I started working for Avista in April 1990 as a Demand Side Resource Analyst.  I joined the Energy Resources Department as a Power Contracts Analyst in June 1996.  My primary responsibilities involve power contract origination and management</w:t>
      </w:r>
      <w:r w:rsidR="00C162D3">
        <w:rPr>
          <w:rFonts w:ascii="Times New Roman" w:hAnsi="Times New Roman" w:cs="Times New Roman"/>
        </w:rPr>
        <w:t>,</w:t>
      </w:r>
      <w:r w:rsidRPr="00BE21E7">
        <w:rPr>
          <w:rFonts w:ascii="Times New Roman" w:hAnsi="Times New Roman" w:cs="Times New Roman"/>
        </w:rPr>
        <w:t xml:space="preserve"> and power supply regulatory issues.</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scope of your testimony in this proceeding?</w:t>
      </w:r>
    </w:p>
    <w:p w:rsidR="00BE21E7" w:rsidRPr="00BE21E7" w:rsidRDefault="00BE21E7" w:rsidP="00BE21E7">
      <w:pPr>
        <w:pStyle w:val="TestBody"/>
        <w:tabs>
          <w:tab w:val="left"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testimony </w:t>
      </w:r>
      <w:r w:rsidR="005A7619" w:rsidRPr="00BE21E7">
        <w:rPr>
          <w:rFonts w:ascii="Times New Roman" w:hAnsi="Times New Roman" w:cs="Times New Roman"/>
        </w:rPr>
        <w:t xml:space="preserve">will 1) identify and explain the proposed normalizing and pro forma adjustments to the </w:t>
      </w:r>
      <w:r w:rsidR="005A7619">
        <w:rPr>
          <w:rFonts w:ascii="Times New Roman" w:hAnsi="Times New Roman" w:cs="Times New Roman"/>
        </w:rPr>
        <w:t>January 2011</w:t>
      </w:r>
      <w:r w:rsidR="005A7619" w:rsidRPr="00BE21E7">
        <w:rPr>
          <w:rFonts w:ascii="Times New Roman" w:hAnsi="Times New Roman" w:cs="Times New Roman"/>
        </w:rPr>
        <w:t xml:space="preserve"> through </w:t>
      </w:r>
      <w:r w:rsidR="005A7619">
        <w:rPr>
          <w:rFonts w:ascii="Times New Roman" w:hAnsi="Times New Roman" w:cs="Times New Roman"/>
        </w:rPr>
        <w:t>December</w:t>
      </w:r>
      <w:r w:rsidR="005A7619" w:rsidRPr="00BE21E7">
        <w:rPr>
          <w:rFonts w:ascii="Times New Roman" w:hAnsi="Times New Roman" w:cs="Times New Roman"/>
        </w:rPr>
        <w:t xml:space="preserve"> 20</w:t>
      </w:r>
      <w:r w:rsidR="005A7619">
        <w:rPr>
          <w:rFonts w:ascii="Times New Roman" w:hAnsi="Times New Roman" w:cs="Times New Roman"/>
        </w:rPr>
        <w:t>11</w:t>
      </w:r>
      <w:r w:rsidR="005A7619" w:rsidRPr="00BE21E7">
        <w:rPr>
          <w:rFonts w:ascii="Times New Roman" w:hAnsi="Times New Roman" w:cs="Times New Roman"/>
        </w:rPr>
        <w:t xml:space="preserve"> test period power s</w:t>
      </w:r>
      <w:r w:rsidR="005A7619">
        <w:rPr>
          <w:rFonts w:ascii="Times New Roman" w:hAnsi="Times New Roman" w:cs="Times New Roman"/>
        </w:rPr>
        <w:t>upply revenues and expenses, 2) identify and explain proposed modifications to the Energy Recovery Mechanism (ERM) and 3</w:t>
      </w:r>
      <w:r w:rsidR="005A7619" w:rsidRPr="00BE21E7">
        <w:rPr>
          <w:rFonts w:ascii="Times New Roman" w:hAnsi="Times New Roman" w:cs="Times New Roman"/>
        </w:rPr>
        <w:t xml:space="preserve">) describe the proposed level of expense and retail revenue credit for ERM purposes, using the pro forma costs proposed by the </w:t>
      </w:r>
      <w:r w:rsidR="005A7619">
        <w:rPr>
          <w:rFonts w:ascii="Times New Roman" w:hAnsi="Times New Roman" w:cs="Times New Roman"/>
        </w:rPr>
        <w:t>Company in this filing.</w:t>
      </w:r>
    </w:p>
    <w:p w:rsidR="00BE21E7" w:rsidRPr="00A774E3"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lastRenderedPageBreak/>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BE21E7" w:rsidRPr="00A774E3" w:rsidRDefault="00BE21E7"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 am sponsoring Exhibit No</w:t>
      </w:r>
      <w:r w:rsidR="00B10EED" w:rsidRPr="00A774E3">
        <w:rPr>
          <w:rFonts w:ascii="Times New Roman" w:hAnsi="Times New Roman" w:cs="Times New Roman"/>
        </w:rPr>
        <w:t>s</w:t>
      </w:r>
      <w:r w:rsidRPr="00A774E3">
        <w:rPr>
          <w:rFonts w:ascii="Times New Roman" w:hAnsi="Times New Roman" w:cs="Times New Roman"/>
        </w:rPr>
        <w:t>.</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 xml:space="preserve">WGJ-2) through </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WGJ-</w:t>
      </w:r>
      <w:r w:rsidR="00945166">
        <w:rPr>
          <w:rFonts w:ascii="Times New Roman" w:hAnsi="Times New Roman" w:cs="Times New Roman"/>
        </w:rPr>
        <w:t>5</w:t>
      </w:r>
      <w:r w:rsidRPr="00A774E3">
        <w:rPr>
          <w:rFonts w:ascii="Times New Roman" w:hAnsi="Times New Roman" w:cs="Times New Roman"/>
        </w:rPr>
        <w:t>), which were prepared under my supervision and direction.</w:t>
      </w:r>
      <w:r w:rsidR="00DC7D94" w:rsidRPr="00A774E3">
        <w:rPr>
          <w:rFonts w:ascii="Times New Roman" w:hAnsi="Times New Roman" w:cs="Times New Roman"/>
        </w:rPr>
        <w:t xml:space="preserve">  </w:t>
      </w:r>
      <w:r w:rsidR="00751E45" w:rsidRPr="00A774E3">
        <w:rPr>
          <w:rFonts w:ascii="Times New Roman" w:hAnsi="Times New Roman" w:cs="Times New Roman"/>
        </w:rPr>
        <w:t>Exhibit No. __</w:t>
      </w:r>
      <w:r w:rsidR="0012703B" w:rsidRPr="00A774E3">
        <w:rPr>
          <w:rFonts w:ascii="Times New Roman" w:hAnsi="Times New Roman" w:cs="Times New Roman"/>
        </w:rPr>
        <w:t>_ (</w:t>
      </w:r>
      <w:r w:rsidR="00751E45" w:rsidRPr="00A774E3">
        <w:rPr>
          <w:rFonts w:ascii="Times New Roman" w:hAnsi="Times New Roman" w:cs="Times New Roman"/>
        </w:rPr>
        <w:t>WGJ-2) identifies the power supply expense and revenue items that fall within the scope of my testimony. A brief description of each adjustment is provided in Exhibit No.</w:t>
      </w:r>
      <w:r w:rsidR="005F4F7A" w:rsidRPr="00A774E3">
        <w:rPr>
          <w:rFonts w:ascii="Times New Roman" w:hAnsi="Times New Roman" w:cs="Times New Roman"/>
        </w:rPr>
        <w:t xml:space="preserve"> </w:t>
      </w:r>
      <w:proofErr w:type="gramStart"/>
      <w:r w:rsidR="005F4F7A" w:rsidRPr="00A774E3">
        <w:rPr>
          <w:rFonts w:ascii="Times New Roman" w:hAnsi="Times New Roman" w:cs="Times New Roman"/>
        </w:rPr>
        <w:t>__</w:t>
      </w:r>
      <w:r w:rsidR="0012703B" w:rsidRPr="00A774E3">
        <w:rPr>
          <w:rFonts w:ascii="Times New Roman" w:hAnsi="Times New Roman" w:cs="Times New Roman"/>
        </w:rPr>
        <w:t>_ (</w:t>
      </w:r>
      <w:r w:rsidR="00751E45" w:rsidRPr="00A774E3">
        <w:rPr>
          <w:rFonts w:ascii="Times New Roman" w:hAnsi="Times New Roman" w:cs="Times New Roman"/>
        </w:rPr>
        <w:t>WGJ-</w:t>
      </w:r>
      <w:r w:rsidR="00F22C09" w:rsidRPr="00A774E3">
        <w:rPr>
          <w:rFonts w:ascii="Times New Roman" w:hAnsi="Times New Roman" w:cs="Times New Roman"/>
        </w:rPr>
        <w:t>3</w:t>
      </w:r>
      <w:r w:rsidR="00751E45" w:rsidRPr="00A774E3">
        <w:rPr>
          <w:rFonts w:ascii="Times New Roman" w:hAnsi="Times New Roman" w:cs="Times New Roman"/>
        </w:rPr>
        <w:t>).</w:t>
      </w:r>
      <w:proofErr w:type="gramEnd"/>
      <w:r w:rsidR="00751E45" w:rsidRPr="00A774E3">
        <w:rPr>
          <w:rFonts w:ascii="Times New Roman" w:hAnsi="Times New Roman" w:cs="Times New Roman"/>
        </w:rPr>
        <w:t xml:space="preserve">  </w:t>
      </w:r>
      <w:r w:rsidR="00F22C09" w:rsidRPr="00A774E3">
        <w:rPr>
          <w:rFonts w:ascii="Times New Roman" w:hAnsi="Times New Roman" w:cs="Times New Roman"/>
        </w:rPr>
        <w:t>Exhibit No. __</w:t>
      </w:r>
      <w:r w:rsidR="0012703B" w:rsidRPr="00A774E3">
        <w:rPr>
          <w:rFonts w:ascii="Times New Roman" w:hAnsi="Times New Roman" w:cs="Times New Roman"/>
        </w:rPr>
        <w:t>_ (</w:t>
      </w:r>
      <w:r w:rsidR="00F22C09" w:rsidRPr="00A774E3">
        <w:rPr>
          <w:rFonts w:ascii="Times New Roman" w:hAnsi="Times New Roman" w:cs="Times New Roman"/>
        </w:rPr>
        <w:t xml:space="preserve">WGJ-4) shows the pro forma fuel costs </w:t>
      </w:r>
      <w:r w:rsidR="00C162D3">
        <w:rPr>
          <w:rFonts w:ascii="Times New Roman" w:hAnsi="Times New Roman" w:cs="Times New Roman"/>
        </w:rPr>
        <w:t xml:space="preserve">for each thermal plant </w:t>
      </w:r>
      <w:r w:rsidR="005F4F7A" w:rsidRPr="00A774E3">
        <w:rPr>
          <w:rFonts w:ascii="Times New Roman" w:hAnsi="Times New Roman" w:cs="Times New Roman"/>
        </w:rPr>
        <w:t xml:space="preserve">and short-term purchase and sales </w:t>
      </w:r>
      <w:r w:rsidR="00C162D3">
        <w:rPr>
          <w:rFonts w:ascii="Times New Roman" w:hAnsi="Times New Roman" w:cs="Times New Roman"/>
        </w:rPr>
        <w:t>by month</w:t>
      </w:r>
      <w:r w:rsidR="00F22C09" w:rsidRPr="00A774E3">
        <w:rPr>
          <w:rFonts w:ascii="Times New Roman" w:hAnsi="Times New Roman" w:cs="Times New Roman"/>
        </w:rPr>
        <w:t xml:space="preserve">.  </w:t>
      </w:r>
      <w:r w:rsidR="00F22C09" w:rsidRPr="00A774E3">
        <w:rPr>
          <w:rFonts w:ascii="Times New Roman" w:hAnsi="Times New Roman" w:cs="Times New Roman"/>
          <w:bCs/>
        </w:rPr>
        <w:t xml:space="preserve">The proposed authorized ERM power supply expense and revenue, transmission expense and revenue, and </w:t>
      </w:r>
      <w:r w:rsidR="0012703B" w:rsidRPr="00A774E3">
        <w:rPr>
          <w:rFonts w:ascii="Times New Roman" w:hAnsi="Times New Roman" w:cs="Times New Roman"/>
          <w:bCs/>
        </w:rPr>
        <w:t>retail sales are</w:t>
      </w:r>
      <w:r w:rsidR="00F22C09" w:rsidRPr="00A774E3">
        <w:rPr>
          <w:rFonts w:ascii="Times New Roman" w:hAnsi="Times New Roman" w:cs="Times New Roman"/>
          <w:bCs/>
        </w:rPr>
        <w:t xml:space="preserve"> shown in Exhibit No._</w:t>
      </w:r>
      <w:r w:rsidR="0012703B" w:rsidRPr="00A774E3">
        <w:rPr>
          <w:rFonts w:ascii="Times New Roman" w:hAnsi="Times New Roman" w:cs="Times New Roman"/>
          <w:bCs/>
        </w:rPr>
        <w:t>_ (</w:t>
      </w:r>
      <w:r w:rsidR="00F22C09" w:rsidRPr="00A774E3">
        <w:rPr>
          <w:rFonts w:ascii="Times New Roman" w:hAnsi="Times New Roman" w:cs="Times New Roman"/>
          <w:bCs/>
        </w:rPr>
        <w:t>WGJ-5).</w:t>
      </w:r>
    </w:p>
    <w:p w:rsidR="00BE21E7" w:rsidRPr="00BE21E7" w:rsidRDefault="00A55DD3"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Are </w:t>
      </w:r>
      <w:r w:rsidR="00876525">
        <w:rPr>
          <w:rFonts w:ascii="Times New Roman" w:hAnsi="Times New Roman" w:cs="Times New Roman"/>
          <w:b/>
          <w:bCs/>
        </w:rPr>
        <w:t xml:space="preserve">there </w:t>
      </w:r>
      <w:proofErr w:type="gramStart"/>
      <w:r>
        <w:rPr>
          <w:rFonts w:ascii="Times New Roman" w:hAnsi="Times New Roman" w:cs="Times New Roman"/>
          <w:b/>
          <w:bCs/>
        </w:rPr>
        <w:t>other</w:t>
      </w:r>
      <w:proofErr w:type="gramEnd"/>
      <w:r>
        <w:rPr>
          <w:rFonts w:ascii="Times New Roman" w:hAnsi="Times New Roman" w:cs="Times New Roman"/>
          <w:b/>
          <w:bCs/>
        </w:rPr>
        <w:t xml:space="preserve"> C</w:t>
      </w:r>
      <w:r w:rsidR="00BE21E7" w:rsidRPr="00BE21E7">
        <w:rPr>
          <w:rFonts w:ascii="Times New Roman" w:hAnsi="Times New Roman" w:cs="Times New Roman"/>
          <w:b/>
          <w:bCs/>
        </w:rPr>
        <w:t>ompany witnesses providing testimony regarding issues you are addressing?</w:t>
      </w:r>
    </w:p>
    <w:p w:rsidR="00BE21E7" w:rsidRDefault="00BE21E7" w:rsidP="007D09A6">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Yes.  Company witness Mr. Kalich provides detailed testimony on the AURORA model used by the Company to develop short-term power purchase expense, fuel expense and short-term power sales re</w:t>
      </w:r>
      <w:r w:rsidR="00C162D3">
        <w:rPr>
          <w:rFonts w:ascii="Times New Roman" w:hAnsi="Times New Roman" w:cs="Times New Roman"/>
        </w:rPr>
        <w:t>venue included in my exhibits.</w:t>
      </w:r>
    </w:p>
    <w:p w:rsidR="00CC1C97" w:rsidRPr="00BE21E7" w:rsidRDefault="00CC1C97" w:rsidP="007D09A6">
      <w:pPr>
        <w:pStyle w:val="TestBody"/>
        <w:spacing w:line="480" w:lineRule="auto"/>
        <w:ind w:left="0" w:firstLine="720"/>
        <w:rPr>
          <w:rFonts w:ascii="Times New Roman" w:hAnsi="Times New Roman" w:cs="Times New Roman"/>
        </w:r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t>II.</w:t>
      </w:r>
      <w:r w:rsidRPr="00BE21E7">
        <w:rPr>
          <w:rFonts w:ascii="Times New Roman" w:hAnsi="Times New Roman" w:cs="Times New Roman"/>
          <w:b/>
          <w:bCs/>
          <w:u w:val="single"/>
        </w:rPr>
        <w:tab/>
      </w:r>
      <w:r w:rsidRPr="00BE21E7">
        <w:rPr>
          <w:rFonts w:ascii="Times New Roman" w:hAnsi="Times New Roman" w:cs="Times New Roman"/>
          <w:b/>
          <w:bCs/>
          <w:caps/>
          <w:u w:val="single"/>
        </w:rPr>
        <w:t xml:space="preserve">Overview of Pro Forma </w:t>
      </w:r>
      <w:r w:rsidR="00431EB0">
        <w:rPr>
          <w:rFonts w:ascii="Times New Roman" w:hAnsi="Times New Roman" w:cs="Times New Roman"/>
          <w:b/>
          <w:bCs/>
          <w:caps/>
          <w:u w:val="single"/>
        </w:rPr>
        <w:t>POWER SUPPLY</w:t>
      </w:r>
      <w:r w:rsidRPr="00BE21E7">
        <w:rPr>
          <w:rFonts w:ascii="Times New Roman" w:hAnsi="Times New Roman" w:cs="Times New Roman"/>
          <w:b/>
          <w:bCs/>
          <w:caps/>
          <w:u w:val="single"/>
        </w:rPr>
        <w:t xml:space="preserve"> Adjustment</w:t>
      </w:r>
    </w:p>
    <w:p w:rsidR="00BE21E7" w:rsidRPr="00BE21E7" w:rsidRDefault="00BE21E7" w:rsidP="00BE21E7">
      <w:pPr>
        <w:pStyle w:val="TestBody"/>
        <w:numPr>
          <w:ilvl w:val="0"/>
          <w:numId w:val="2"/>
        </w:numPr>
        <w:tabs>
          <w:tab w:val="clear" w:pos="108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Please provide an overview of the pro forma </w:t>
      </w:r>
      <w:r w:rsidR="00431EB0">
        <w:rPr>
          <w:rFonts w:ascii="Times New Roman" w:hAnsi="Times New Roman" w:cs="Times New Roman"/>
          <w:b/>
          <w:bCs/>
        </w:rPr>
        <w:t>power supply</w:t>
      </w:r>
      <w:r w:rsidRPr="00BE21E7">
        <w:rPr>
          <w:rFonts w:ascii="Times New Roman" w:hAnsi="Times New Roman" w:cs="Times New Roman"/>
          <w:b/>
          <w:bCs/>
        </w:rPr>
        <w:t xml:space="preserve"> adjustment.</w:t>
      </w:r>
    </w:p>
    <w:p w:rsidR="00BE21E7" w:rsidRPr="00BE21E7" w:rsidRDefault="00BE21E7" w:rsidP="00BE21E7">
      <w:pPr>
        <w:pStyle w:val="TestBody"/>
        <w:numPr>
          <w:ilvl w:val="0"/>
          <w:numId w:val="3"/>
        </w:numPr>
        <w:tabs>
          <w:tab w:val="clear" w:pos="2160"/>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The pro forma </w:t>
      </w:r>
      <w:r w:rsidR="00431EB0" w:rsidRPr="00BE21E7">
        <w:rPr>
          <w:rFonts w:ascii="Times New Roman" w:hAnsi="Times New Roman" w:cs="Times New Roman"/>
        </w:rPr>
        <w:t xml:space="preserve">power supply </w:t>
      </w:r>
      <w:r w:rsidRPr="00BE21E7">
        <w:rPr>
          <w:rFonts w:ascii="Times New Roman" w:hAnsi="Times New Roman" w:cs="Times New Roman"/>
        </w:rPr>
        <w:t xml:space="preserve">adjustment involves the determination of revenues and expenses based on the generation and dispatch of Company resources and expected wholesale market power prices as determined by the AURORA model simulation for the pro forma period under normal weather and hydro generation conditions.  In addition, adjustments are made to reflect contract changes between </w:t>
      </w:r>
      <w:r w:rsidR="00431EB0">
        <w:rPr>
          <w:rFonts w:ascii="Times New Roman" w:hAnsi="Times New Roman" w:cs="Times New Roman"/>
        </w:rPr>
        <w:t xml:space="preserve">the </w:t>
      </w:r>
      <w:r w:rsidR="00C162D3">
        <w:rPr>
          <w:rFonts w:ascii="Times New Roman" w:hAnsi="Times New Roman" w:cs="Times New Roman"/>
        </w:rPr>
        <w:t xml:space="preserve">historical </w:t>
      </w:r>
      <w:r w:rsidRPr="00BE21E7">
        <w:rPr>
          <w:rFonts w:ascii="Times New Roman" w:hAnsi="Times New Roman" w:cs="Times New Roman"/>
        </w:rPr>
        <w:t xml:space="preserve">test period and the pro forma period.  The table below shows total net power supply expense during the </w:t>
      </w:r>
      <w:r w:rsidRPr="00BE21E7">
        <w:rPr>
          <w:rFonts w:ascii="Times New Roman" w:hAnsi="Times New Roman" w:cs="Times New Roman"/>
        </w:rPr>
        <w:lastRenderedPageBreak/>
        <w:t>test period and the pro forma period.  For information purposes only, the power supply expense</w:t>
      </w:r>
      <w:r w:rsidR="00431EB0">
        <w:rPr>
          <w:rStyle w:val="FootnoteReference"/>
          <w:rFonts w:ascii="Times New Roman" w:hAnsi="Times New Roman"/>
        </w:rPr>
        <w:footnoteReference w:id="1"/>
      </w:r>
      <w:r w:rsidR="004F758B">
        <w:rPr>
          <w:rFonts w:ascii="Times New Roman" w:hAnsi="Times New Roman" w:cs="Times New Roman"/>
        </w:rPr>
        <w:t xml:space="preserve"> </w:t>
      </w:r>
      <w:r w:rsidRPr="00BE21E7">
        <w:rPr>
          <w:rFonts w:ascii="Times New Roman" w:hAnsi="Times New Roman" w:cs="Times New Roman"/>
        </w:rPr>
        <w:t xml:space="preserve">currently in </w:t>
      </w:r>
      <w:r w:rsidR="00C026FD">
        <w:rPr>
          <w:rFonts w:ascii="Times New Roman" w:hAnsi="Times New Roman" w:cs="Times New Roman"/>
        </w:rPr>
        <w:t xml:space="preserve">base retail </w:t>
      </w:r>
      <w:proofErr w:type="gramStart"/>
      <w:r w:rsidR="006D5BF7">
        <w:rPr>
          <w:rFonts w:ascii="Times New Roman" w:hAnsi="Times New Roman" w:cs="Times New Roman"/>
        </w:rPr>
        <w:t>rates, which</w:t>
      </w:r>
      <w:r w:rsidRPr="00BE21E7">
        <w:rPr>
          <w:rFonts w:ascii="Times New Roman" w:hAnsi="Times New Roman" w:cs="Times New Roman"/>
        </w:rPr>
        <w:t xml:space="preserve"> is</w:t>
      </w:r>
      <w:proofErr w:type="gramEnd"/>
      <w:r w:rsidRPr="00BE21E7">
        <w:rPr>
          <w:rFonts w:ascii="Times New Roman" w:hAnsi="Times New Roman" w:cs="Times New Roman"/>
        </w:rPr>
        <w:t xml:space="preserve"> based on a calendar 20</w:t>
      </w:r>
      <w:r w:rsidR="00876525">
        <w:rPr>
          <w:rFonts w:ascii="Times New Roman" w:hAnsi="Times New Roman" w:cs="Times New Roman"/>
        </w:rPr>
        <w:t>1</w:t>
      </w:r>
      <w:r w:rsidR="008A0A47">
        <w:rPr>
          <w:rFonts w:ascii="Times New Roman" w:hAnsi="Times New Roman" w:cs="Times New Roman"/>
        </w:rPr>
        <w:t>2</w:t>
      </w:r>
      <w:r w:rsidRPr="00BE21E7">
        <w:rPr>
          <w:rFonts w:ascii="Times New Roman" w:hAnsi="Times New Roman" w:cs="Times New Roman"/>
        </w:rPr>
        <w:t xml:space="preserve"> pro forma period, is also shown.</w:t>
      </w:r>
    </w:p>
    <w:p w:rsidR="00BE21E7" w:rsidRPr="00C03549" w:rsidRDefault="006A7727" w:rsidP="0072665A">
      <w:pPr>
        <w:pStyle w:val="TestBody"/>
        <w:spacing w:line="480" w:lineRule="auto"/>
        <w:ind w:left="0" w:firstLine="0"/>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8" editas="canvas" style="width:417.75pt;height:173.25pt;mso-position-horizontal-relative:char;mso-position-vertical-relative:line" coordorigin="-15,-15" coordsize="8355,34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top:-15;width:8355;height:3465" o:preferrelative="f">
              <v:fill o:detectmouseclick="t"/>
              <v:path o:extrusionok="t" o:connecttype="none"/>
              <o:lock v:ext="edit" text="t"/>
            </v:shape>
            <v:rect id="_x0000_s1029" style="position:absolute;width:8340;height:330" fillcolor="#d7e4bc" stroked="f"/>
            <v:rect id="_x0000_s1030" style="position:absolute;left:2475;top:30;width:2641;height:276;mso-wrap-style:none;v-text-anchor:top" filled="f" stroked="f">
              <v:textbox style="mso-fit-shape-to-text:t" inset="0,0,0,0">
                <w:txbxContent>
                  <w:p w:rsidR="00B86298" w:rsidRDefault="00B86298">
                    <w:r>
                      <w:rPr>
                        <w:rFonts w:ascii="Arial" w:hAnsi="Arial" w:cs="Arial"/>
                        <w:b/>
                        <w:bCs/>
                        <w:color w:val="000000"/>
                      </w:rPr>
                      <w:t>Power Supply Expense</w:t>
                    </w:r>
                  </w:p>
                </w:txbxContent>
              </v:textbox>
            </v:rect>
            <v:rect id="_x0000_s1031" style="position:absolute;left:7215;top:750;width:667;height:230;mso-wrap-style:none;v-text-anchor:top" filled="f" stroked="f">
              <v:textbox style="mso-fit-shape-to-text:t" inset="0,0,0,0">
                <w:txbxContent>
                  <w:p w:rsidR="00B86298" w:rsidRDefault="00B86298">
                    <w:r>
                      <w:rPr>
                        <w:rFonts w:ascii="Arial" w:hAnsi="Arial" w:cs="Arial"/>
                        <w:color w:val="000000"/>
                        <w:sz w:val="20"/>
                        <w:szCs w:val="20"/>
                      </w:rPr>
                      <w:t>System</w:t>
                    </w:r>
                  </w:p>
                </w:txbxContent>
              </v:textbox>
            </v:rect>
            <v:rect id="_x0000_s1032" style="position:absolute;left:7215;top:960;width:675;height:15" fillcolor="black" stroked="f"/>
            <v:rect id="_x0000_s1033" style="position:absolute;left:45;top:1125;width:5125;height:230;mso-wrap-style:none;v-text-anchor:top" filled="f" stroked="f">
              <v:textbox style="mso-fit-shape-to-text:t" inset="0,0,0,0">
                <w:txbxContent>
                  <w:p w:rsidR="00B86298" w:rsidRDefault="00B86298">
                    <w:r>
                      <w:rPr>
                        <w:rFonts w:ascii="Arial" w:hAnsi="Arial" w:cs="Arial"/>
                        <w:color w:val="000000"/>
                        <w:sz w:val="20"/>
                        <w:szCs w:val="20"/>
                      </w:rPr>
                      <w:t>Power Supply Expense in Current Rates (2012 pro forma)</w:t>
                    </w:r>
                  </w:p>
                </w:txbxContent>
              </v:textbox>
            </v:rect>
            <v:rect id="_x0000_s1034" style="position:absolute;left:6975;top:1125;width:1224;height:230;mso-wrap-style:none;v-text-anchor:top" filled="f" stroked="f">
              <v:textbox style="mso-fit-shape-to-text:t" inset="0,0,0,0">
                <w:txbxContent>
                  <w:p w:rsidR="00B86298" w:rsidRDefault="00B86298">
                    <w:r>
                      <w:rPr>
                        <w:rFonts w:ascii="Arial" w:hAnsi="Arial" w:cs="Arial"/>
                        <w:color w:val="000000"/>
                        <w:sz w:val="20"/>
                        <w:szCs w:val="20"/>
                      </w:rPr>
                      <w:t>$213,676,000</w:t>
                    </w:r>
                  </w:p>
                </w:txbxContent>
              </v:textbox>
            </v:rect>
            <v:rect id="_x0000_s1035" style="position:absolute;left:45;top:1635;width:3180;height:230;mso-wrap-style:none;v-text-anchor:top" filled="f" stroked="f">
              <v:textbox style="mso-fit-shape-to-text:t" inset="0,0,0,0">
                <w:txbxContent>
                  <w:p w:rsidR="00B86298" w:rsidRDefault="00B86298">
                    <w:r>
                      <w:rPr>
                        <w:rFonts w:ascii="Arial" w:hAnsi="Arial" w:cs="Arial"/>
                        <w:color w:val="000000"/>
                        <w:sz w:val="20"/>
                        <w:szCs w:val="20"/>
                      </w:rPr>
                      <w:t>Actual 2011 Power Supply Expense</w:t>
                    </w:r>
                  </w:p>
                </w:txbxContent>
              </v:textbox>
            </v:rect>
            <v:rect id="_x0000_s1036" style="position:absolute;left:6975;top:1635;width:1224;height:230;mso-wrap-style:none;v-text-anchor:top" filled="f" stroked="f">
              <v:textbox style="mso-fit-shape-to-text:t" inset="0,0,0,0">
                <w:txbxContent>
                  <w:p w:rsidR="00B86298" w:rsidRDefault="00B86298">
                    <w:r>
                      <w:rPr>
                        <w:rFonts w:ascii="Arial" w:hAnsi="Arial" w:cs="Arial"/>
                        <w:color w:val="000000"/>
                        <w:sz w:val="20"/>
                        <w:szCs w:val="20"/>
                      </w:rPr>
                      <w:t>$203,655,000</w:t>
                    </w:r>
                  </w:p>
                </w:txbxContent>
              </v:textbox>
            </v:rect>
            <v:rect id="_x0000_s1037" style="position:absolute;left:45;top:2145;width:4414;height:230;mso-wrap-style:none;v-text-anchor:top" filled="f" stroked="f">
              <v:textbox style="mso-fit-shape-to-text:t" inset="0,0,0,0">
                <w:txbxContent>
                  <w:p w:rsidR="00B86298" w:rsidRDefault="00B86298">
                    <w:r>
                      <w:rPr>
                        <w:rFonts w:ascii="Arial" w:hAnsi="Arial" w:cs="Arial"/>
                        <w:color w:val="000000"/>
                        <w:sz w:val="20"/>
                        <w:szCs w:val="20"/>
                      </w:rPr>
                      <w:t>Proposed 2013 Pro forma Power Supply Expense</w:t>
                    </w:r>
                  </w:p>
                </w:txbxContent>
              </v:textbox>
            </v:rect>
            <v:rect id="_x0000_s1038" style="position:absolute;left:6975;top:2145;width:1224;height:230;mso-wrap-style:none;v-text-anchor:top" filled="f" stroked="f">
              <v:textbox style="mso-fit-shape-to-text:t" inset="0,0,0,0">
                <w:txbxContent>
                  <w:p w:rsidR="00B86298" w:rsidRDefault="00B86298">
                    <w:r>
                      <w:rPr>
                        <w:rFonts w:ascii="Arial" w:hAnsi="Arial" w:cs="Arial"/>
                        <w:color w:val="000000"/>
                        <w:sz w:val="20"/>
                        <w:szCs w:val="20"/>
                      </w:rPr>
                      <w:t>$196,610,000</w:t>
                    </w:r>
                  </w:p>
                </w:txbxContent>
              </v:textbox>
            </v:rect>
            <v:rect id="_x0000_s1039" style="position:absolute;left:45;top:2655;width:3414;height:230;mso-wrap-style:none;v-text-anchor:top" filled="f" stroked="f">
              <v:textbox style="mso-fit-shape-to-text:t" inset="0,0,0,0">
                <w:txbxContent>
                  <w:p w:rsidR="00B86298" w:rsidRDefault="00B86298">
                    <w:r>
                      <w:rPr>
                        <w:rFonts w:ascii="Arial" w:hAnsi="Arial" w:cs="Arial"/>
                        <w:color w:val="000000"/>
                        <w:sz w:val="20"/>
                        <w:szCs w:val="20"/>
                      </w:rPr>
                      <w:t xml:space="preserve">    Proposed 2013 </w:t>
                    </w:r>
                    <w:proofErr w:type="spellStart"/>
                    <w:r>
                      <w:rPr>
                        <w:rFonts w:ascii="Arial" w:hAnsi="Arial" w:cs="Arial"/>
                        <w:color w:val="000000"/>
                        <w:sz w:val="20"/>
                        <w:szCs w:val="20"/>
                      </w:rPr>
                      <w:t>vs</w:t>
                    </w:r>
                    <w:proofErr w:type="spellEnd"/>
                    <w:r>
                      <w:rPr>
                        <w:rFonts w:ascii="Arial" w:hAnsi="Arial" w:cs="Arial"/>
                        <w:color w:val="000000"/>
                        <w:sz w:val="20"/>
                        <w:szCs w:val="20"/>
                      </w:rPr>
                      <w:t xml:space="preserve"> 2011 Test Period</w:t>
                    </w:r>
                  </w:p>
                </w:txbxContent>
              </v:textbox>
            </v:rect>
            <v:rect id="_x0000_s1040" style="position:absolute;left:7050;top:2655;width:1068;height:230;mso-wrap-style:none;v-text-anchor:top" filled="f" stroked="f">
              <v:textbox style="mso-fit-shape-to-text:t" inset="0,0,0,0">
                <w:txbxContent>
                  <w:p w:rsidR="00B86298" w:rsidRDefault="00B86298">
                    <w:r>
                      <w:rPr>
                        <w:rFonts w:ascii="Arial" w:hAnsi="Arial" w:cs="Arial"/>
                        <w:color w:val="000000"/>
                        <w:sz w:val="20"/>
                        <w:szCs w:val="20"/>
                      </w:rPr>
                      <w:t>-$7,045,000</w:t>
                    </w:r>
                  </w:p>
                </w:txbxContent>
              </v:textbox>
            </v:rect>
            <v:rect id="_x0000_s1041" style="position:absolute;left:45;top:3165;width:3080;height:230;mso-wrap-style:none;v-text-anchor:top" filled="f" stroked="f">
              <v:textbox style="mso-fit-shape-to-text:t" inset="0,0,0,0">
                <w:txbxContent>
                  <w:p w:rsidR="00B86298" w:rsidRDefault="00B86298">
                    <w:r>
                      <w:rPr>
                        <w:rFonts w:ascii="Arial" w:hAnsi="Arial" w:cs="Arial"/>
                        <w:color w:val="000000"/>
                        <w:sz w:val="20"/>
                        <w:szCs w:val="20"/>
                      </w:rPr>
                      <w:t xml:space="preserve">   Proposed 2013 </w:t>
                    </w:r>
                    <w:proofErr w:type="spellStart"/>
                    <w:r>
                      <w:rPr>
                        <w:rFonts w:ascii="Arial" w:hAnsi="Arial" w:cs="Arial"/>
                        <w:color w:val="000000"/>
                        <w:sz w:val="20"/>
                        <w:szCs w:val="20"/>
                      </w:rPr>
                      <w:t>vs</w:t>
                    </w:r>
                    <w:proofErr w:type="spellEnd"/>
                    <w:r>
                      <w:rPr>
                        <w:rFonts w:ascii="Arial" w:hAnsi="Arial" w:cs="Arial"/>
                        <w:color w:val="000000"/>
                        <w:sz w:val="20"/>
                        <w:szCs w:val="20"/>
                      </w:rPr>
                      <w:t xml:space="preserve"> Current Rates</w:t>
                    </w:r>
                  </w:p>
                </w:txbxContent>
              </v:textbox>
            </v:rect>
            <v:rect id="_x0000_s1042" style="position:absolute;left:6990;top:3165;width:1179;height:230;mso-wrap-style:none;v-text-anchor:top" filled="f" stroked="f">
              <v:textbox style="mso-fit-shape-to-text:t" inset="0,0,0,0">
                <w:txbxContent>
                  <w:p w:rsidR="00B86298" w:rsidRDefault="00B86298">
                    <w:r>
                      <w:rPr>
                        <w:rFonts w:ascii="Arial" w:hAnsi="Arial" w:cs="Arial"/>
                        <w:color w:val="000000"/>
                        <w:sz w:val="20"/>
                        <w:szCs w:val="20"/>
                      </w:rPr>
                      <w:t>-$17,066,000</w:t>
                    </w:r>
                  </w:p>
                </w:txbxContent>
              </v:textbox>
            </v:rect>
            <v:rect id="_x0000_s1043" style="position:absolute;left:-15;top:-15;width:30;height:3450" fillcolor="black" stroked="f"/>
            <v:rect id="_x0000_s1044" style="position:absolute;left:8310;top:15;width:30;height:3420" fillcolor="black" stroked="f"/>
            <v:rect id="_x0000_s1045" style="position:absolute;left:15;top:-15;width:8325;height:30" fillcolor="black" stroked="f"/>
            <v:rect id="_x0000_s1046" style="position:absolute;left:15;top:3405;width:8325;height:30" fillcolor="black" stroked="f"/>
            <w10:wrap type="none"/>
            <w10:anchorlock/>
          </v:group>
        </w:pict>
      </w:r>
    </w:p>
    <w:p w:rsidR="00BE21E7" w:rsidRPr="00BE21E7" w:rsidRDefault="00BE21E7" w:rsidP="008A45E4">
      <w:pPr>
        <w:pStyle w:val="TestBody"/>
        <w:spacing w:line="480" w:lineRule="auto"/>
        <w:ind w:left="0" w:firstLine="720"/>
        <w:rPr>
          <w:rFonts w:ascii="Times New Roman" w:hAnsi="Times New Roman" w:cs="Times New Roman"/>
        </w:rPr>
      </w:pPr>
      <w:r w:rsidRPr="00BE21E7">
        <w:rPr>
          <w:rFonts w:ascii="Times New Roman" w:hAnsi="Times New Roman" w:cs="Times New Roman"/>
        </w:rPr>
        <w:t xml:space="preserve">The net effect of my adjustments to the test year power supply expense is </w:t>
      </w:r>
      <w:r w:rsidR="00DB55EE">
        <w:rPr>
          <w:rFonts w:ascii="Times New Roman" w:hAnsi="Times New Roman" w:cs="Times New Roman"/>
        </w:rPr>
        <w:t>a decrease</w:t>
      </w:r>
      <w:r w:rsidRPr="00BE21E7">
        <w:rPr>
          <w:rFonts w:ascii="Times New Roman" w:hAnsi="Times New Roman" w:cs="Times New Roman"/>
        </w:rPr>
        <w:t xml:space="preserve"> of </w:t>
      </w:r>
      <w:r w:rsidRPr="0072665A">
        <w:rPr>
          <w:rFonts w:ascii="Times New Roman" w:hAnsi="Times New Roman" w:cs="Times New Roman"/>
        </w:rPr>
        <w:t>$</w:t>
      </w:r>
      <w:r w:rsidR="00DB55EE">
        <w:rPr>
          <w:rFonts w:ascii="Times New Roman" w:hAnsi="Times New Roman" w:cs="Times New Roman"/>
        </w:rPr>
        <w:t>7,</w:t>
      </w:r>
      <w:r w:rsidR="005A6D43">
        <w:rPr>
          <w:rFonts w:ascii="Times New Roman" w:hAnsi="Times New Roman" w:cs="Times New Roman"/>
        </w:rPr>
        <w:t>045</w:t>
      </w:r>
      <w:r w:rsidR="0072665A" w:rsidRPr="0072665A">
        <w:rPr>
          <w:rFonts w:ascii="Times New Roman" w:hAnsi="Times New Roman" w:cs="Times New Roman"/>
        </w:rPr>
        <w:t>,00</w:t>
      </w:r>
      <w:r w:rsidRPr="0072665A">
        <w:rPr>
          <w:rFonts w:ascii="Times New Roman" w:hAnsi="Times New Roman" w:cs="Times New Roman"/>
        </w:rPr>
        <w:t>0 ($</w:t>
      </w:r>
      <w:r w:rsidR="00DB55EE">
        <w:rPr>
          <w:rFonts w:ascii="Times New Roman" w:hAnsi="Times New Roman" w:cs="Times New Roman"/>
        </w:rPr>
        <w:t>196,610,000</w:t>
      </w:r>
      <w:r w:rsidRPr="0072665A">
        <w:rPr>
          <w:rFonts w:ascii="Times New Roman" w:hAnsi="Times New Roman" w:cs="Times New Roman"/>
        </w:rPr>
        <w:t xml:space="preserve"> - $</w:t>
      </w:r>
      <w:r w:rsidR="00DB55EE">
        <w:rPr>
          <w:rFonts w:ascii="Times New Roman" w:hAnsi="Times New Roman" w:cs="Times New Roman"/>
        </w:rPr>
        <w:t>203,</w:t>
      </w:r>
      <w:r w:rsidR="005A6D43">
        <w:rPr>
          <w:rFonts w:ascii="Times New Roman" w:hAnsi="Times New Roman" w:cs="Times New Roman"/>
        </w:rPr>
        <w:t>655</w:t>
      </w:r>
      <w:r w:rsidRPr="0072665A">
        <w:rPr>
          <w:rFonts w:ascii="Times New Roman" w:hAnsi="Times New Roman" w:cs="Times New Roman"/>
        </w:rPr>
        <w:t>,000)</w:t>
      </w:r>
      <w:r w:rsidR="00407CC1">
        <w:rPr>
          <w:rFonts w:ascii="Times New Roman" w:hAnsi="Times New Roman" w:cs="Times New Roman"/>
        </w:rPr>
        <w:t xml:space="preserve"> on a system basis</w:t>
      </w:r>
      <w:r w:rsidRPr="00BE21E7">
        <w:rPr>
          <w:rFonts w:ascii="Times New Roman" w:hAnsi="Times New Roman" w:cs="Times New Roman"/>
        </w:rPr>
        <w:t xml:space="preserve">. The </w:t>
      </w:r>
      <w:r w:rsidR="00DB55EE">
        <w:rPr>
          <w:rFonts w:ascii="Times New Roman" w:hAnsi="Times New Roman" w:cs="Times New Roman"/>
        </w:rPr>
        <w:t>decrease</w:t>
      </w:r>
      <w:r w:rsidRPr="00BE21E7">
        <w:rPr>
          <w:rFonts w:ascii="Times New Roman" w:hAnsi="Times New Roman" w:cs="Times New Roman"/>
        </w:rPr>
        <w:t xml:space="preserve"> in power supply expense compared to the </w:t>
      </w:r>
      <w:r w:rsidR="00431EB0">
        <w:rPr>
          <w:rFonts w:ascii="Times New Roman" w:hAnsi="Times New Roman" w:cs="Times New Roman"/>
        </w:rPr>
        <w:t>authorized</w:t>
      </w:r>
      <w:r w:rsidRPr="00BE21E7">
        <w:rPr>
          <w:rFonts w:ascii="Times New Roman" w:hAnsi="Times New Roman" w:cs="Times New Roman"/>
        </w:rPr>
        <w:t xml:space="preserve"> level in current base rates </w:t>
      </w:r>
      <w:r w:rsidR="00200197">
        <w:rPr>
          <w:rFonts w:ascii="Times New Roman" w:hAnsi="Times New Roman" w:cs="Times New Roman"/>
        </w:rPr>
        <w:t>is</w:t>
      </w:r>
      <w:r w:rsidRPr="00BE21E7">
        <w:rPr>
          <w:rFonts w:ascii="Times New Roman" w:hAnsi="Times New Roman" w:cs="Times New Roman"/>
        </w:rPr>
        <w:t xml:space="preserve"> </w:t>
      </w:r>
      <w:r w:rsidRPr="0072665A">
        <w:rPr>
          <w:rFonts w:ascii="Times New Roman" w:hAnsi="Times New Roman" w:cs="Times New Roman"/>
        </w:rPr>
        <w:t>$</w:t>
      </w:r>
      <w:r w:rsidR="00DB55EE">
        <w:rPr>
          <w:rFonts w:ascii="Times New Roman" w:hAnsi="Times New Roman" w:cs="Times New Roman"/>
        </w:rPr>
        <w:t>17</w:t>
      </w:r>
      <w:r w:rsidR="00817F2D">
        <w:rPr>
          <w:rFonts w:ascii="Times New Roman" w:hAnsi="Times New Roman" w:cs="Times New Roman"/>
        </w:rPr>
        <w:t>,</w:t>
      </w:r>
      <w:r w:rsidR="007D09A6">
        <w:rPr>
          <w:rFonts w:ascii="Times New Roman" w:hAnsi="Times New Roman" w:cs="Times New Roman"/>
        </w:rPr>
        <w:t>0</w:t>
      </w:r>
      <w:r w:rsidR="00DB55EE">
        <w:rPr>
          <w:rFonts w:ascii="Times New Roman" w:hAnsi="Times New Roman" w:cs="Times New Roman"/>
        </w:rPr>
        <w:t>66</w:t>
      </w:r>
      <w:r w:rsidRPr="0072665A">
        <w:rPr>
          <w:rFonts w:ascii="Times New Roman" w:hAnsi="Times New Roman" w:cs="Times New Roman"/>
        </w:rPr>
        <w:t>,</w:t>
      </w:r>
      <w:r w:rsidR="00817F2D">
        <w:rPr>
          <w:rFonts w:ascii="Times New Roman" w:hAnsi="Times New Roman" w:cs="Times New Roman"/>
        </w:rPr>
        <w:t>000</w:t>
      </w:r>
      <w:r w:rsidRPr="0072665A">
        <w:rPr>
          <w:rFonts w:ascii="Times New Roman" w:hAnsi="Times New Roman" w:cs="Times New Roman"/>
        </w:rPr>
        <w:t xml:space="preserve"> (system) and </w:t>
      </w:r>
      <w:r w:rsidRPr="008A35A7">
        <w:rPr>
          <w:rFonts w:ascii="Times New Roman" w:hAnsi="Times New Roman" w:cs="Times New Roman"/>
        </w:rPr>
        <w:t>$</w:t>
      </w:r>
      <w:r w:rsidR="008A35A7" w:rsidRPr="008A35A7">
        <w:rPr>
          <w:rFonts w:ascii="Times New Roman" w:hAnsi="Times New Roman" w:cs="Times New Roman"/>
        </w:rPr>
        <w:t>11</w:t>
      </w:r>
      <w:r w:rsidRPr="008A35A7">
        <w:rPr>
          <w:rFonts w:ascii="Times New Roman" w:hAnsi="Times New Roman" w:cs="Times New Roman"/>
        </w:rPr>
        <w:t>,</w:t>
      </w:r>
      <w:r w:rsidR="008A35A7" w:rsidRPr="008A35A7">
        <w:rPr>
          <w:rFonts w:ascii="Times New Roman" w:hAnsi="Times New Roman" w:cs="Times New Roman"/>
        </w:rPr>
        <w:t>133</w:t>
      </w:r>
      <w:r w:rsidR="00E273CB" w:rsidRPr="008A35A7">
        <w:rPr>
          <w:rFonts w:ascii="Times New Roman" w:hAnsi="Times New Roman" w:cs="Times New Roman"/>
        </w:rPr>
        <w:t>,</w:t>
      </w:r>
      <w:r w:rsidR="008A35A7">
        <w:rPr>
          <w:rFonts w:ascii="Times New Roman" w:hAnsi="Times New Roman" w:cs="Times New Roman"/>
        </w:rPr>
        <w:t>858</w:t>
      </w:r>
      <w:r w:rsidR="00200197">
        <w:rPr>
          <w:rFonts w:ascii="Times New Roman" w:hAnsi="Times New Roman" w:cs="Times New Roman"/>
        </w:rPr>
        <w:t xml:space="preserve"> (Washington allocation).  </w:t>
      </w:r>
    </w:p>
    <w:p w:rsidR="00BE21E7" w:rsidRPr="00BE21E7" w:rsidRDefault="000A2769" w:rsidP="00BE21E7">
      <w:pPr>
        <w:pStyle w:val="TestBody"/>
        <w:numPr>
          <w:ilvl w:val="0"/>
          <w:numId w:val="10"/>
        </w:numPr>
        <w:tabs>
          <w:tab w:val="clear" w:pos="720"/>
          <w:tab w:val="num" w:pos="0"/>
        </w:tabs>
        <w:spacing w:line="480" w:lineRule="auto"/>
        <w:ind w:left="0" w:firstLine="720"/>
        <w:rPr>
          <w:rFonts w:ascii="Times New Roman" w:hAnsi="Times New Roman" w:cs="Times New Roman"/>
          <w:b/>
          <w:bCs/>
        </w:rPr>
      </w:pPr>
      <w:r>
        <w:rPr>
          <w:rFonts w:ascii="Times New Roman" w:hAnsi="Times New Roman" w:cs="Times New Roman"/>
          <w:b/>
          <w:bCs/>
        </w:rPr>
        <w:t xml:space="preserve">Why is the </w:t>
      </w:r>
      <w:r w:rsidR="008A45E4">
        <w:rPr>
          <w:rFonts w:ascii="Times New Roman" w:hAnsi="Times New Roman" w:cs="Times New Roman"/>
          <w:b/>
          <w:bCs/>
        </w:rPr>
        <w:t>power supply expense for</w:t>
      </w:r>
      <w:r w:rsidR="00BE21E7" w:rsidRPr="00BE21E7">
        <w:rPr>
          <w:rFonts w:ascii="Times New Roman" w:hAnsi="Times New Roman" w:cs="Times New Roman"/>
          <w:b/>
          <w:bCs/>
        </w:rPr>
        <w:t xml:space="preserve"> the pro forma year </w:t>
      </w:r>
      <w:r w:rsidR="008A45E4">
        <w:rPr>
          <w:rFonts w:ascii="Times New Roman" w:hAnsi="Times New Roman" w:cs="Times New Roman"/>
          <w:b/>
          <w:bCs/>
        </w:rPr>
        <w:t>lower than</w:t>
      </w:r>
      <w:r>
        <w:rPr>
          <w:rFonts w:ascii="Times New Roman" w:hAnsi="Times New Roman" w:cs="Times New Roman"/>
          <w:b/>
          <w:bCs/>
        </w:rPr>
        <w:t xml:space="preserve"> </w:t>
      </w:r>
      <w:r w:rsidR="00BE21E7" w:rsidRPr="00BE21E7">
        <w:rPr>
          <w:rFonts w:ascii="Times New Roman" w:hAnsi="Times New Roman" w:cs="Times New Roman"/>
          <w:b/>
          <w:bCs/>
        </w:rPr>
        <w:t>the level of power supply expense currently in base rates?</w:t>
      </w:r>
    </w:p>
    <w:p w:rsidR="00BE21E7" w:rsidRPr="00BE21E7" w:rsidRDefault="008A35A7" w:rsidP="008A35A7">
      <w:pPr>
        <w:pStyle w:val="TestBody"/>
        <w:tabs>
          <w:tab w:val="num" w:pos="72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de</w:t>
      </w:r>
      <w:r w:rsidR="00BE21E7" w:rsidRPr="00BE21E7">
        <w:rPr>
          <w:rFonts w:ascii="Times New Roman" w:hAnsi="Times New Roman" w:cs="Times New Roman"/>
        </w:rPr>
        <w:t xml:space="preserve">crease in pro forma power supply expense </w:t>
      </w:r>
      <w:r w:rsidR="000A2769">
        <w:rPr>
          <w:rFonts w:ascii="Times New Roman" w:hAnsi="Times New Roman" w:cs="Times New Roman"/>
        </w:rPr>
        <w:t>from</w:t>
      </w:r>
      <w:r w:rsidR="00BE21E7" w:rsidRPr="00BE21E7">
        <w:rPr>
          <w:rFonts w:ascii="Times New Roman" w:hAnsi="Times New Roman" w:cs="Times New Roman"/>
        </w:rPr>
        <w:t xml:space="preserve"> the expense currently in base rates is</w:t>
      </w:r>
      <w:r w:rsidR="001973DE">
        <w:rPr>
          <w:rFonts w:ascii="Times New Roman" w:hAnsi="Times New Roman" w:cs="Times New Roman"/>
        </w:rPr>
        <w:t xml:space="preserve"> primarily </w:t>
      </w:r>
      <w:r w:rsidR="00972518">
        <w:rPr>
          <w:rFonts w:ascii="Times New Roman" w:hAnsi="Times New Roman" w:cs="Times New Roman"/>
        </w:rPr>
        <w:t>a result of lower natural gas and power prices</w:t>
      </w:r>
      <w:r w:rsidR="00BE21E7" w:rsidRPr="00BE21E7">
        <w:rPr>
          <w:rFonts w:ascii="Times New Roman" w:hAnsi="Times New Roman" w:cs="Times New Roman"/>
        </w:rPr>
        <w:t>.</w:t>
      </w:r>
      <w:r w:rsidR="001973DE">
        <w:rPr>
          <w:rFonts w:ascii="Times New Roman" w:hAnsi="Times New Roman" w:cs="Times New Roman"/>
        </w:rPr>
        <w:t xml:space="preserve">  The natural gas price </w:t>
      </w:r>
      <w:r w:rsidR="008A45E4">
        <w:rPr>
          <w:rFonts w:ascii="Times New Roman" w:hAnsi="Times New Roman" w:cs="Times New Roman"/>
        </w:rPr>
        <w:t xml:space="preserve">included in the AURORA model </w:t>
      </w:r>
      <w:r w:rsidR="001973DE">
        <w:rPr>
          <w:rFonts w:ascii="Times New Roman" w:hAnsi="Times New Roman" w:cs="Times New Roman"/>
        </w:rPr>
        <w:t>has decreased from an annual average of $4.34/</w:t>
      </w:r>
      <w:proofErr w:type="spellStart"/>
      <w:r w:rsidR="001973DE">
        <w:rPr>
          <w:rFonts w:ascii="Times New Roman" w:hAnsi="Times New Roman" w:cs="Times New Roman"/>
        </w:rPr>
        <w:t>dth</w:t>
      </w:r>
      <w:proofErr w:type="spellEnd"/>
      <w:r w:rsidR="001973DE">
        <w:rPr>
          <w:rFonts w:ascii="Times New Roman" w:hAnsi="Times New Roman" w:cs="Times New Roman"/>
        </w:rPr>
        <w:t xml:space="preserve"> to 4.10/</w:t>
      </w:r>
      <w:proofErr w:type="spellStart"/>
      <w:r w:rsidR="001973DE">
        <w:rPr>
          <w:rFonts w:ascii="Times New Roman" w:hAnsi="Times New Roman" w:cs="Times New Roman"/>
        </w:rPr>
        <w:t>dth</w:t>
      </w:r>
      <w:proofErr w:type="spellEnd"/>
      <w:r w:rsidR="001973DE">
        <w:rPr>
          <w:rFonts w:ascii="Times New Roman" w:hAnsi="Times New Roman" w:cs="Times New Roman"/>
        </w:rPr>
        <w:t xml:space="preserve">.   The average modeled power purchase price has decreased from $35.87/MWh to </w:t>
      </w:r>
      <w:r w:rsidR="001973DE">
        <w:rPr>
          <w:rFonts w:ascii="Times New Roman" w:hAnsi="Times New Roman" w:cs="Times New Roman"/>
        </w:rPr>
        <w:lastRenderedPageBreak/>
        <w:t>$33.90/MWh</w:t>
      </w:r>
      <w:r w:rsidR="008A45E4">
        <w:rPr>
          <w:rStyle w:val="FootnoteReference"/>
          <w:rFonts w:ascii="Times New Roman" w:hAnsi="Times New Roman"/>
        </w:rPr>
        <w:footnoteReference w:id="2"/>
      </w:r>
      <w:r w:rsidR="001973DE">
        <w:rPr>
          <w:rFonts w:ascii="Times New Roman" w:hAnsi="Times New Roman" w:cs="Times New Roman"/>
        </w:rPr>
        <w:t xml:space="preserve">.  </w:t>
      </w:r>
      <w:r w:rsidR="00B527F3">
        <w:rPr>
          <w:rFonts w:ascii="Times New Roman" w:hAnsi="Times New Roman" w:cs="Times New Roman"/>
        </w:rPr>
        <w:t>Also contributing to lower power prices is less forward power purchases</w:t>
      </w:r>
      <w:r w:rsidR="005A6D43">
        <w:rPr>
          <w:rFonts w:ascii="Times New Roman" w:hAnsi="Times New Roman" w:cs="Times New Roman"/>
        </w:rPr>
        <w:t xml:space="preserve"> for 2013 compared to purchases</w:t>
      </w:r>
      <w:r w:rsidR="00B527F3">
        <w:rPr>
          <w:rFonts w:ascii="Times New Roman" w:hAnsi="Times New Roman" w:cs="Times New Roman"/>
        </w:rPr>
        <w:t xml:space="preserve"> for 2</w:t>
      </w:r>
      <w:r w:rsidR="007105B1">
        <w:rPr>
          <w:rFonts w:ascii="Times New Roman" w:hAnsi="Times New Roman" w:cs="Times New Roman"/>
        </w:rPr>
        <w:t>01</w:t>
      </w:r>
      <w:r w:rsidR="00B527F3">
        <w:rPr>
          <w:rFonts w:ascii="Times New Roman" w:hAnsi="Times New Roman" w:cs="Times New Roman"/>
        </w:rPr>
        <w:t>2 included in current base rat</w:t>
      </w:r>
      <w:r w:rsidR="007105B1">
        <w:rPr>
          <w:rFonts w:ascii="Times New Roman" w:hAnsi="Times New Roman" w:cs="Times New Roman"/>
        </w:rPr>
        <w:t>es.  Because energy</w:t>
      </w:r>
      <w:r w:rsidR="00B527F3">
        <w:rPr>
          <w:rFonts w:ascii="Times New Roman" w:hAnsi="Times New Roman" w:cs="Times New Roman"/>
        </w:rPr>
        <w:t xml:space="preserve"> prices have been </w:t>
      </w:r>
      <w:r w:rsidR="00E86EAC">
        <w:rPr>
          <w:rFonts w:ascii="Times New Roman" w:hAnsi="Times New Roman" w:cs="Times New Roman"/>
        </w:rPr>
        <w:t>on a downward traj</w:t>
      </w:r>
      <w:r w:rsidR="00B527F3">
        <w:rPr>
          <w:rFonts w:ascii="Times New Roman" w:hAnsi="Times New Roman" w:cs="Times New Roman"/>
        </w:rPr>
        <w:t xml:space="preserve">ectory for several years, the Company’s hedging program, which layers in power purchases </w:t>
      </w:r>
      <w:r w:rsidR="007105B1">
        <w:rPr>
          <w:rFonts w:ascii="Times New Roman" w:hAnsi="Times New Roman" w:cs="Times New Roman"/>
        </w:rPr>
        <w:t xml:space="preserve">and fuel purchases </w:t>
      </w:r>
      <w:r w:rsidR="00B527F3">
        <w:rPr>
          <w:rFonts w:ascii="Times New Roman" w:hAnsi="Times New Roman" w:cs="Times New Roman"/>
        </w:rPr>
        <w:t xml:space="preserve">over time, has purchased </w:t>
      </w:r>
      <w:r w:rsidR="007105B1">
        <w:rPr>
          <w:rFonts w:ascii="Times New Roman" w:hAnsi="Times New Roman" w:cs="Times New Roman"/>
        </w:rPr>
        <w:t>energy</w:t>
      </w:r>
      <w:r w:rsidR="00B527F3">
        <w:rPr>
          <w:rFonts w:ascii="Times New Roman" w:hAnsi="Times New Roman" w:cs="Times New Roman"/>
        </w:rPr>
        <w:t xml:space="preserve"> at </w:t>
      </w:r>
      <w:r w:rsidR="007105B1">
        <w:rPr>
          <w:rFonts w:ascii="Times New Roman" w:hAnsi="Times New Roman" w:cs="Times New Roman"/>
        </w:rPr>
        <w:t>prices</w:t>
      </w:r>
      <w:r w:rsidR="00B527F3">
        <w:rPr>
          <w:rFonts w:ascii="Times New Roman" w:hAnsi="Times New Roman" w:cs="Times New Roman"/>
        </w:rPr>
        <w:t xml:space="preserve"> greater than the subsequent spot market prices.  </w:t>
      </w:r>
      <w:r w:rsidR="00E86EAC">
        <w:rPr>
          <w:rFonts w:ascii="Times New Roman" w:hAnsi="Times New Roman" w:cs="Times New Roman"/>
        </w:rPr>
        <w:t>The 2013 pro forma</w:t>
      </w:r>
      <w:r w:rsidR="005A6D43">
        <w:rPr>
          <w:rFonts w:ascii="Times New Roman" w:hAnsi="Times New Roman" w:cs="Times New Roman"/>
        </w:rPr>
        <w:t>,</w:t>
      </w:r>
      <w:r w:rsidR="00E86EAC">
        <w:rPr>
          <w:rFonts w:ascii="Times New Roman" w:hAnsi="Times New Roman" w:cs="Times New Roman"/>
        </w:rPr>
        <w:t xml:space="preserve"> in this case</w:t>
      </w:r>
      <w:r w:rsidR="005A6D43">
        <w:rPr>
          <w:rFonts w:ascii="Times New Roman" w:hAnsi="Times New Roman" w:cs="Times New Roman"/>
        </w:rPr>
        <w:t>,</w:t>
      </w:r>
      <w:r w:rsidR="00E86EAC">
        <w:rPr>
          <w:rFonts w:ascii="Times New Roman" w:hAnsi="Times New Roman" w:cs="Times New Roman"/>
        </w:rPr>
        <w:t xml:space="preserve"> has a lower level </w:t>
      </w:r>
      <w:r w:rsidR="007105B1">
        <w:rPr>
          <w:rFonts w:ascii="Times New Roman" w:hAnsi="Times New Roman" w:cs="Times New Roman"/>
        </w:rPr>
        <w:t>of</w:t>
      </w:r>
      <w:r w:rsidR="00E86EAC">
        <w:rPr>
          <w:rFonts w:ascii="Times New Roman" w:hAnsi="Times New Roman" w:cs="Times New Roman"/>
        </w:rPr>
        <w:t xml:space="preserve"> </w:t>
      </w:r>
      <w:r w:rsidR="007105B1">
        <w:rPr>
          <w:rFonts w:ascii="Times New Roman" w:hAnsi="Times New Roman" w:cs="Times New Roman"/>
        </w:rPr>
        <w:t xml:space="preserve">net </w:t>
      </w:r>
      <w:r w:rsidR="00E86EAC">
        <w:rPr>
          <w:rFonts w:ascii="Times New Roman" w:hAnsi="Times New Roman" w:cs="Times New Roman"/>
        </w:rPr>
        <w:t>forward purchases than the 2012 pro forma and therefore there is a smaller impact from these forward purchase</w:t>
      </w:r>
      <w:r w:rsidR="00BC154E">
        <w:rPr>
          <w:rFonts w:ascii="Times New Roman" w:hAnsi="Times New Roman" w:cs="Times New Roman"/>
        </w:rPr>
        <w:t>s</w:t>
      </w:r>
      <w:r w:rsidR="00E86EAC">
        <w:rPr>
          <w:rFonts w:ascii="Times New Roman" w:hAnsi="Times New Roman" w:cs="Times New Roman"/>
        </w:rPr>
        <w:t xml:space="preserve"> in the 2013 pro forma.</w:t>
      </w:r>
    </w:p>
    <w:p w:rsidR="00AA2ED4" w:rsidRDefault="00FB6544" w:rsidP="00AA2ED4">
      <w:pPr>
        <w:pStyle w:val="BodyText"/>
        <w:spacing w:line="480" w:lineRule="auto"/>
        <w:ind w:firstLine="720"/>
        <w:jc w:val="both"/>
        <w:rPr>
          <w:b w:val="0"/>
        </w:rPr>
      </w:pPr>
      <w:r w:rsidRPr="00FB6544">
        <w:rPr>
          <w:b w:val="0"/>
        </w:rPr>
        <w:t>Pro forma loads</w:t>
      </w:r>
      <w:r w:rsidR="000A2769">
        <w:rPr>
          <w:b w:val="0"/>
        </w:rPr>
        <w:t xml:space="preserve"> (2011 weather adjusted load</w:t>
      </w:r>
      <w:r w:rsidR="007105B1">
        <w:rPr>
          <w:b w:val="0"/>
        </w:rPr>
        <w:t>s</w:t>
      </w:r>
      <w:r w:rsidR="000A2769">
        <w:rPr>
          <w:b w:val="0"/>
        </w:rPr>
        <w:t xml:space="preserve">) </w:t>
      </w:r>
      <w:r w:rsidRPr="00FB6544">
        <w:rPr>
          <w:b w:val="0"/>
        </w:rPr>
        <w:t xml:space="preserve">are </w:t>
      </w:r>
      <w:r w:rsidR="000A2769">
        <w:rPr>
          <w:b w:val="0"/>
        </w:rPr>
        <w:t>3.9</w:t>
      </w:r>
      <w:r w:rsidRPr="00FB6544">
        <w:rPr>
          <w:b w:val="0"/>
        </w:rPr>
        <w:t xml:space="preserve"> </w:t>
      </w:r>
      <w:r w:rsidR="00876319">
        <w:rPr>
          <w:b w:val="0"/>
        </w:rPr>
        <w:t>average megawatts (</w:t>
      </w:r>
      <w:r w:rsidRPr="00FB6544">
        <w:rPr>
          <w:b w:val="0"/>
        </w:rPr>
        <w:t>aMW</w:t>
      </w:r>
      <w:r w:rsidR="00876319">
        <w:rPr>
          <w:b w:val="0"/>
        </w:rPr>
        <w:t>)</w:t>
      </w:r>
      <w:r w:rsidRPr="00FB6544">
        <w:rPr>
          <w:b w:val="0"/>
        </w:rPr>
        <w:t xml:space="preserve"> </w:t>
      </w:r>
      <w:r w:rsidR="000A2769">
        <w:rPr>
          <w:b w:val="0"/>
        </w:rPr>
        <w:t>higher</w:t>
      </w:r>
      <w:r w:rsidRPr="00FB6544">
        <w:rPr>
          <w:b w:val="0"/>
        </w:rPr>
        <w:t xml:space="preserve"> than loads </w:t>
      </w:r>
      <w:proofErr w:type="gramStart"/>
      <w:r w:rsidRPr="00FB6544">
        <w:rPr>
          <w:b w:val="0"/>
        </w:rPr>
        <w:t>that current rates</w:t>
      </w:r>
      <w:proofErr w:type="gramEnd"/>
      <w:r w:rsidRPr="00FB6544">
        <w:rPr>
          <w:b w:val="0"/>
        </w:rPr>
        <w:t xml:space="preserve"> are </w:t>
      </w:r>
      <w:r w:rsidRPr="006D5BF7">
        <w:rPr>
          <w:b w:val="0"/>
        </w:rPr>
        <w:t>based</w:t>
      </w:r>
      <w:r w:rsidRPr="00FB6544">
        <w:rPr>
          <w:b w:val="0"/>
        </w:rPr>
        <w:t xml:space="preserve"> </w:t>
      </w:r>
      <w:r w:rsidR="007105B1">
        <w:rPr>
          <w:b w:val="0"/>
        </w:rPr>
        <w:t xml:space="preserve">on </w:t>
      </w:r>
      <w:r w:rsidR="000A2769">
        <w:rPr>
          <w:b w:val="0"/>
        </w:rPr>
        <w:t>(2010 weather adjusted load</w:t>
      </w:r>
      <w:r w:rsidR="007105B1">
        <w:rPr>
          <w:b w:val="0"/>
        </w:rPr>
        <w:t>s</w:t>
      </w:r>
      <w:r w:rsidR="000A2769">
        <w:rPr>
          <w:b w:val="0"/>
        </w:rPr>
        <w:t>).</w:t>
      </w:r>
    </w:p>
    <w:p w:rsidR="00945166" w:rsidRDefault="00A61E60" w:rsidP="00945166">
      <w:pPr>
        <w:pStyle w:val="BodyText"/>
        <w:spacing w:line="480" w:lineRule="auto"/>
        <w:ind w:firstLine="720"/>
        <w:jc w:val="both"/>
        <w:rPr>
          <w:b w:val="0"/>
        </w:rPr>
      </w:pPr>
      <w:r>
        <w:rPr>
          <w:b w:val="0"/>
        </w:rPr>
        <w:t xml:space="preserve">Other than the addition of the power purchase from the Palouse </w:t>
      </w:r>
      <w:r w:rsidR="007105B1">
        <w:rPr>
          <w:b w:val="0"/>
        </w:rPr>
        <w:t>W</w:t>
      </w:r>
      <w:r>
        <w:rPr>
          <w:b w:val="0"/>
        </w:rPr>
        <w:t xml:space="preserve">ind project and the Spokane Waste to Energy plant the contracts and resources in this </w:t>
      </w:r>
      <w:r w:rsidR="00822FCE">
        <w:rPr>
          <w:b w:val="0"/>
        </w:rPr>
        <w:t>pro forma</w:t>
      </w:r>
      <w:r>
        <w:rPr>
          <w:b w:val="0"/>
        </w:rPr>
        <w:t xml:space="preserve"> are the same as in current base rates.</w:t>
      </w:r>
    </w:p>
    <w:p w:rsidR="00E331D1" w:rsidRDefault="00E331D1" w:rsidP="00945166">
      <w:pPr>
        <w:pStyle w:val="BodyText"/>
        <w:spacing w:line="480" w:lineRule="auto"/>
        <w:ind w:firstLine="720"/>
        <w:jc w:val="both"/>
        <w:rPr>
          <w:b w:val="0"/>
        </w:rPr>
      </w:pPr>
    </w:p>
    <w:p w:rsidR="00BE21E7" w:rsidRPr="00945166" w:rsidRDefault="00BE21E7" w:rsidP="00945166">
      <w:pPr>
        <w:pStyle w:val="BodyText"/>
        <w:spacing w:line="480" w:lineRule="auto"/>
        <w:ind w:firstLine="720"/>
        <w:rPr>
          <w:bCs w:val="0"/>
          <w:u w:val="single"/>
        </w:rPr>
      </w:pPr>
      <w:r w:rsidRPr="00945166">
        <w:rPr>
          <w:bCs w:val="0"/>
          <w:u w:val="single"/>
        </w:rPr>
        <w:t>III.</w:t>
      </w:r>
      <w:r w:rsidRPr="00945166">
        <w:rPr>
          <w:bCs w:val="0"/>
          <w:u w:val="single"/>
        </w:rPr>
        <w:tab/>
        <w:t>PRO FORMA POWER SUPPLY ADJUSTMENTS</w:t>
      </w:r>
    </w:p>
    <w:p w:rsidR="00BE21E7" w:rsidRPr="00BE21E7" w:rsidRDefault="00BE21E7" w:rsidP="00BE21E7">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Overview</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identify the specific power supply cost items that are covered by your testimony and the total adjustment being proposed.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Exhibit No.</w:t>
      </w:r>
      <w:r w:rsidR="00A55DD3">
        <w:rPr>
          <w:rFonts w:ascii="Times New Roman" w:hAnsi="Times New Roman" w:cs="Times New Roman"/>
        </w:rPr>
        <w:t xml:space="preserve"> 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 xml:space="preserve">WGJ-2) identifies the power supply expense and revenue items that fall within the scope of my testimony.  These revenue and expense items are related to power purchases and sales, fuel expenses, transmission expense, and other miscellaneous power supply expenses and revenues.  </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lastRenderedPageBreak/>
        <w:t>Q.</w:t>
      </w:r>
      <w:r w:rsidRPr="00BE21E7">
        <w:rPr>
          <w:rFonts w:ascii="Times New Roman" w:hAnsi="Times New Roman" w:cs="Times New Roman"/>
          <w:b/>
          <w:bCs/>
        </w:rPr>
        <w:tab/>
        <w:t>What is the basis for the adjustments to the test period power supply revenues and expenses?</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purpose of the adjustments to the test period is to normalize power supply expenses for normal weather and </w:t>
      </w:r>
      <w:r w:rsidR="007A6DE3">
        <w:rPr>
          <w:rFonts w:ascii="Times New Roman" w:hAnsi="Times New Roman" w:cs="Times New Roman"/>
        </w:rPr>
        <w:t xml:space="preserve">normal </w:t>
      </w:r>
      <w:r w:rsidRPr="00BE21E7">
        <w:rPr>
          <w:rFonts w:ascii="Times New Roman" w:hAnsi="Times New Roman" w:cs="Times New Roman"/>
        </w:rPr>
        <w:t xml:space="preserve">hydroelectric generation and to reflect </w:t>
      </w:r>
      <w:r w:rsidR="006D5BF7">
        <w:rPr>
          <w:rFonts w:ascii="Times New Roman" w:hAnsi="Times New Roman" w:cs="Times New Roman"/>
        </w:rPr>
        <w:t xml:space="preserve">current forward natural gas prices and other </w:t>
      </w:r>
      <w:r w:rsidRPr="00BE21E7">
        <w:rPr>
          <w:rFonts w:ascii="Times New Roman" w:hAnsi="Times New Roman" w:cs="Times New Roman"/>
        </w:rPr>
        <w:t xml:space="preserve">known and measurable changes for the pro forma period.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The AURORA Model</w:t>
      </w:r>
      <w:r w:rsidR="007A6DE3">
        <w:rPr>
          <w:rFonts w:ascii="Times New Roman" w:hAnsi="Times New Roman" w:cs="Times New Roman"/>
        </w:rPr>
        <w:t>, as explained by Mr. Kalich,</w:t>
      </w:r>
      <w:r w:rsidRPr="00BE21E7">
        <w:rPr>
          <w:rFonts w:ascii="Times New Roman" w:hAnsi="Times New Roman" w:cs="Times New Roman"/>
        </w:rPr>
        <w:t xml:space="preserve"> dispatches Company resources </w:t>
      </w:r>
      <w:r w:rsidR="006D5BF7">
        <w:rPr>
          <w:rFonts w:ascii="Times New Roman" w:hAnsi="Times New Roman" w:cs="Times New Roman"/>
        </w:rPr>
        <w:t xml:space="preserve">using the current forward natural gas prices </w:t>
      </w:r>
      <w:r w:rsidRPr="00BE21E7">
        <w:rPr>
          <w:rFonts w:ascii="Times New Roman" w:hAnsi="Times New Roman" w:cs="Times New Roman"/>
        </w:rPr>
        <w:t xml:space="preserve">and calculates the level of generation from the Company’s thermal resources, fuel costs for thermal resources, and the short-term purchases and sales necessary to </w:t>
      </w:r>
      <w:r w:rsidR="00E00851">
        <w:rPr>
          <w:rFonts w:ascii="Times New Roman" w:hAnsi="Times New Roman" w:cs="Times New Roman"/>
        </w:rPr>
        <w:t>balance system requirements and resources.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00A55DD3">
        <w:rPr>
          <w:rFonts w:ascii="Times New Roman" w:hAnsi="Times New Roman" w:cs="Times New Roman"/>
          <w:b/>
        </w:rPr>
        <w:tab/>
      </w:r>
      <w:r w:rsidRPr="00BE21E7">
        <w:rPr>
          <w:rFonts w:ascii="Times New Roman" w:hAnsi="Times New Roman" w:cs="Times New Roman"/>
          <w:b/>
        </w:rPr>
        <w:t xml:space="preserve"> Are there any changes in how the pro forma in this case was develo</w:t>
      </w:r>
      <w:r w:rsidR="00A040D3">
        <w:rPr>
          <w:rFonts w:ascii="Times New Roman" w:hAnsi="Times New Roman" w:cs="Times New Roman"/>
          <w:b/>
        </w:rPr>
        <w:t>ped versus the authorized power supply expense currently in base rates</w:t>
      </w:r>
      <w:r w:rsidRPr="00BE21E7">
        <w:rPr>
          <w:rFonts w:ascii="Times New Roman" w:hAnsi="Times New Roman" w:cs="Times New Roman"/>
          <w:b/>
        </w:rPr>
        <w:t>?</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No.  </w:t>
      </w:r>
      <w:r w:rsidR="008A35A7">
        <w:rPr>
          <w:rFonts w:ascii="Times New Roman" w:hAnsi="Times New Roman" w:cs="Times New Roman"/>
        </w:rPr>
        <w:t>T</w:t>
      </w:r>
      <w:r w:rsidRPr="00BE21E7">
        <w:rPr>
          <w:rFonts w:ascii="Times New Roman" w:hAnsi="Times New Roman" w:cs="Times New Roman"/>
        </w:rPr>
        <w:t>he process to develop the pro forma net power supply expense in th</w:t>
      </w:r>
      <w:r w:rsidR="00A040D3">
        <w:rPr>
          <w:rFonts w:ascii="Times New Roman" w:hAnsi="Times New Roman" w:cs="Times New Roman"/>
        </w:rPr>
        <w:t>is case is th</w:t>
      </w:r>
      <w:r w:rsidR="00E00851">
        <w:rPr>
          <w:rFonts w:ascii="Times New Roman" w:hAnsi="Times New Roman" w:cs="Times New Roman"/>
        </w:rPr>
        <w:t>e</w:t>
      </w:r>
      <w:r w:rsidR="00A040D3">
        <w:rPr>
          <w:rFonts w:ascii="Times New Roman" w:hAnsi="Times New Roman" w:cs="Times New Roman"/>
        </w:rPr>
        <w:t xml:space="preserve"> same as the process used to develop authorized power supply expense in current base rates</w:t>
      </w:r>
      <w:r w:rsidRPr="00BE21E7">
        <w:rPr>
          <w:rFonts w:ascii="Times New Roman" w:hAnsi="Times New Roman" w:cs="Times New Roman"/>
        </w:rPr>
        <w:t>.</w:t>
      </w:r>
      <w:r w:rsidR="0003296D">
        <w:rPr>
          <w:rFonts w:ascii="Times New Roman" w:hAnsi="Times New Roman" w:cs="Times New Roman"/>
        </w:rPr>
        <w:t xml:space="preserve">  </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 brief description of each adjustment is provided in Exhibit</w:t>
      </w:r>
      <w:r w:rsidR="00A55DD3">
        <w:rPr>
          <w:rFonts w:ascii="Times New Roman" w:hAnsi="Times New Roman" w:cs="Times New Roman"/>
        </w:rPr>
        <w:t xml:space="preserve"> </w:t>
      </w:r>
      <w:r w:rsidRPr="00BE21E7">
        <w:rPr>
          <w:rFonts w:ascii="Times New Roman" w:hAnsi="Times New Roman" w:cs="Times New Roman"/>
        </w:rPr>
        <w:t>No.</w:t>
      </w:r>
      <w:r w:rsidR="00A55DD3">
        <w:rPr>
          <w:rFonts w:ascii="Times New Roman" w:hAnsi="Times New Roman" w:cs="Times New Roman"/>
        </w:rPr>
        <w:t xml:space="preserve"> </w:t>
      </w:r>
      <w:proofErr w:type="gramStart"/>
      <w:r w:rsidR="00A55DD3">
        <w:rPr>
          <w:rFonts w:ascii="Times New Roman" w:hAnsi="Times New Roman" w:cs="Times New Roman"/>
        </w:rPr>
        <w:t>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3</w:t>
      </w:r>
      <w:r w:rsidRPr="00BE21E7">
        <w:rPr>
          <w:rFonts w:ascii="Times New Roman" w:hAnsi="Times New Roman" w:cs="Times New Roman"/>
        </w:rPr>
        <w:t>).</w:t>
      </w:r>
      <w:proofErr w:type="gramEnd"/>
      <w:r w:rsidRPr="00BE21E7">
        <w:rPr>
          <w:rFonts w:ascii="Times New Roman" w:hAnsi="Times New Roman" w:cs="Times New Roman"/>
        </w:rPr>
        <w:t xml:space="preserve">  Detailed workpapers have been provided to the Commission coincident to this filing to support each of the pro forma revenues and expenses.  The detailed workpapers for each adjustment show the actual revenue or expense in the test period, and the pro forma revenue or expense.</w:t>
      </w: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Long-Term Contracts</w:t>
      </w:r>
    </w:p>
    <w:p w:rsidR="00BE21E7" w:rsidRPr="00BE21E7" w:rsidRDefault="00611611" w:rsidP="00611611">
      <w:pPr>
        <w:pStyle w:val="TestBody"/>
        <w:tabs>
          <w:tab w:val="num" w:pos="1530"/>
        </w:tabs>
        <w:spacing w:line="480" w:lineRule="auto"/>
        <w:ind w:firstLine="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00BE21E7" w:rsidRPr="00BE21E7">
        <w:rPr>
          <w:rFonts w:ascii="Times New Roman" w:hAnsi="Times New Roman" w:cs="Times New Roman"/>
          <w:b/>
          <w:bCs/>
        </w:rPr>
        <w:t xml:space="preserve">How </w:t>
      </w:r>
      <w:proofErr w:type="gramStart"/>
      <w:r w:rsidR="00BE21E7" w:rsidRPr="00BE21E7">
        <w:rPr>
          <w:rFonts w:ascii="Times New Roman" w:hAnsi="Times New Roman" w:cs="Times New Roman"/>
          <w:b/>
          <w:bCs/>
        </w:rPr>
        <w:t>are</w:t>
      </w:r>
      <w:proofErr w:type="gramEnd"/>
      <w:r w:rsidR="00BE21E7" w:rsidRPr="00BE21E7">
        <w:rPr>
          <w:rFonts w:ascii="Times New Roman" w:hAnsi="Times New Roman" w:cs="Times New Roman"/>
          <w:b/>
          <w:bCs/>
        </w:rPr>
        <w:t xml:space="preserve"> long-term power contracts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t xml:space="preserve">Long-term power contracts are included in the pro forma by including the energy receipt or obligation associated with the contract in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and including the cost or revenue in the pro forma net power supply expense.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b/>
        </w:rPr>
        <w:t>Q</w:t>
      </w:r>
      <w:r w:rsidRPr="00BE21E7">
        <w:rPr>
          <w:rFonts w:ascii="Times New Roman" w:hAnsi="Times New Roman" w:cs="Times New Roman"/>
        </w:rPr>
        <w:t>.</w:t>
      </w:r>
      <w:r w:rsidRPr="00BE21E7">
        <w:rPr>
          <w:rFonts w:ascii="Times New Roman" w:hAnsi="Times New Roman" w:cs="Times New Roman"/>
        </w:rPr>
        <w:tab/>
      </w:r>
      <w:r w:rsidRPr="00BE21E7">
        <w:rPr>
          <w:rFonts w:ascii="Times New Roman" w:hAnsi="Times New Roman" w:cs="Times New Roman"/>
          <w:b/>
        </w:rPr>
        <w:t xml:space="preserve">Are there any new </w:t>
      </w:r>
      <w:r w:rsidR="00FE2C77">
        <w:rPr>
          <w:rFonts w:ascii="Times New Roman" w:hAnsi="Times New Roman" w:cs="Times New Roman"/>
          <w:b/>
        </w:rPr>
        <w:t xml:space="preserve">long-term </w:t>
      </w:r>
      <w:r w:rsidRPr="00BE21E7">
        <w:rPr>
          <w:rFonts w:ascii="Times New Roman" w:hAnsi="Times New Roman" w:cs="Times New Roman"/>
          <w:b/>
        </w:rPr>
        <w:t>power purchases or sales in the pro forma</w:t>
      </w:r>
      <w:r w:rsidR="00B53214">
        <w:rPr>
          <w:rFonts w:ascii="Times New Roman" w:hAnsi="Times New Roman" w:cs="Times New Roman"/>
          <w:b/>
        </w:rPr>
        <w:t xml:space="preserve"> that are not in the current </w:t>
      </w:r>
      <w:r w:rsidR="00C026FD">
        <w:rPr>
          <w:rFonts w:ascii="Times New Roman" w:hAnsi="Times New Roman" w:cs="Times New Roman"/>
          <w:b/>
        </w:rPr>
        <w:t>base rates</w:t>
      </w:r>
      <w:r w:rsidRPr="00BE21E7">
        <w:rPr>
          <w:rFonts w:ascii="Times New Roman" w:hAnsi="Times New Roman" w:cs="Times New Roman"/>
          <w:b/>
        </w:rPr>
        <w:t>?</w:t>
      </w:r>
    </w:p>
    <w:p w:rsidR="00C86BD0" w:rsidRDefault="00BE21E7" w:rsidP="008A35A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Yes. This pro forma includes the </w:t>
      </w:r>
      <w:r w:rsidR="00B53214">
        <w:rPr>
          <w:rFonts w:ascii="Times New Roman" w:hAnsi="Times New Roman" w:cs="Times New Roman"/>
        </w:rPr>
        <w:t xml:space="preserve">expenses and </w:t>
      </w:r>
      <w:r w:rsidR="008F3931">
        <w:rPr>
          <w:rFonts w:ascii="Times New Roman" w:hAnsi="Times New Roman" w:cs="Times New Roman"/>
        </w:rPr>
        <w:t>generation</w:t>
      </w:r>
      <w:r w:rsidR="00B53214">
        <w:rPr>
          <w:rFonts w:ascii="Times New Roman" w:hAnsi="Times New Roman" w:cs="Times New Roman"/>
        </w:rPr>
        <w:t xml:space="preserve"> related to the</w:t>
      </w:r>
      <w:r w:rsidR="008F3931">
        <w:rPr>
          <w:rFonts w:ascii="Times New Roman" w:hAnsi="Times New Roman" w:cs="Times New Roman"/>
        </w:rPr>
        <w:t xml:space="preserve"> purchase </w:t>
      </w:r>
      <w:r w:rsidR="008A35A7">
        <w:rPr>
          <w:rFonts w:ascii="Times New Roman" w:hAnsi="Times New Roman" w:cs="Times New Roman"/>
        </w:rPr>
        <w:t xml:space="preserve">from the Palouse Wind </w:t>
      </w:r>
      <w:proofErr w:type="gramStart"/>
      <w:r w:rsidR="008A35A7">
        <w:rPr>
          <w:rFonts w:ascii="Times New Roman" w:hAnsi="Times New Roman" w:cs="Times New Roman"/>
        </w:rPr>
        <w:t>project,</w:t>
      </w:r>
      <w:proofErr w:type="gramEnd"/>
      <w:r w:rsidR="008A35A7">
        <w:rPr>
          <w:rFonts w:ascii="Times New Roman" w:hAnsi="Times New Roman" w:cs="Times New Roman"/>
        </w:rPr>
        <w:t xml:space="preserve"> a 105 MW</w:t>
      </w:r>
      <w:r w:rsidR="00A61E60">
        <w:rPr>
          <w:rFonts w:ascii="Times New Roman" w:hAnsi="Times New Roman" w:cs="Times New Roman"/>
        </w:rPr>
        <w:t xml:space="preserve"> </w:t>
      </w:r>
      <w:r w:rsidR="00822FCE">
        <w:rPr>
          <w:rFonts w:ascii="Times New Roman" w:hAnsi="Times New Roman" w:cs="Times New Roman"/>
        </w:rPr>
        <w:t>capacity (</w:t>
      </w:r>
      <w:r w:rsidR="00A61E60">
        <w:rPr>
          <w:rFonts w:ascii="Times New Roman" w:hAnsi="Times New Roman" w:cs="Times New Roman"/>
        </w:rPr>
        <w:t>39 aMW energy)</w:t>
      </w:r>
      <w:r w:rsidR="008A35A7">
        <w:rPr>
          <w:rFonts w:ascii="Times New Roman" w:hAnsi="Times New Roman" w:cs="Times New Roman"/>
        </w:rPr>
        <w:t xml:space="preserve"> win</w:t>
      </w:r>
      <w:r w:rsidR="00A61E60">
        <w:rPr>
          <w:rFonts w:ascii="Times New Roman" w:hAnsi="Times New Roman" w:cs="Times New Roman"/>
        </w:rPr>
        <w:t>d facility located</w:t>
      </w:r>
      <w:r w:rsidR="008A35A7">
        <w:rPr>
          <w:rFonts w:ascii="Times New Roman" w:hAnsi="Times New Roman" w:cs="Times New Roman"/>
        </w:rPr>
        <w:t xml:space="preserve"> 30 miles south of Spokane.  </w:t>
      </w:r>
      <w:r w:rsidR="00127C1C">
        <w:rPr>
          <w:rFonts w:ascii="Times New Roman" w:hAnsi="Times New Roman" w:cs="Times New Roman"/>
        </w:rPr>
        <w:t xml:space="preserve">Additional information regarding this purchase is contained in Mr. Lafferty’s testimony.  </w:t>
      </w:r>
      <w:r w:rsidR="008A35A7">
        <w:rPr>
          <w:rFonts w:ascii="Times New Roman" w:hAnsi="Times New Roman" w:cs="Times New Roman"/>
        </w:rPr>
        <w:t>The pro forma also includes a purch</w:t>
      </w:r>
      <w:r w:rsidR="00A61E60">
        <w:rPr>
          <w:rFonts w:ascii="Times New Roman" w:hAnsi="Times New Roman" w:cs="Times New Roman"/>
        </w:rPr>
        <w:t>a</w:t>
      </w:r>
      <w:r w:rsidR="008A35A7">
        <w:rPr>
          <w:rFonts w:ascii="Times New Roman" w:hAnsi="Times New Roman" w:cs="Times New Roman"/>
        </w:rPr>
        <w:t xml:space="preserve">se from the Spokane Waste-to-Energy plant located on the west side of Spokane.  The plant produces approximately 15 aMW of energy. </w:t>
      </w:r>
    </w:p>
    <w:p w:rsidR="00C86BD0" w:rsidRPr="00BE21E7" w:rsidRDefault="00611611" w:rsidP="00611611">
      <w:pPr>
        <w:pStyle w:val="TestBody"/>
        <w:spacing w:line="480" w:lineRule="auto"/>
        <w:ind w:firstLine="0"/>
        <w:rPr>
          <w:rFonts w:ascii="Times New Roman" w:hAnsi="Times New Roman" w:cs="Times New Roman"/>
          <w:b/>
        </w:rPr>
      </w:pPr>
      <w:r w:rsidRPr="00611611">
        <w:rPr>
          <w:rFonts w:ascii="Times New Roman" w:hAnsi="Times New Roman" w:cs="Times New Roman"/>
          <w:b/>
        </w:rPr>
        <w:t>Q.</w:t>
      </w:r>
      <w:r w:rsidRPr="00611611">
        <w:rPr>
          <w:rFonts w:ascii="Times New Roman" w:hAnsi="Times New Roman" w:cs="Times New Roman"/>
          <w:b/>
        </w:rPr>
        <w:tab/>
      </w:r>
      <w:r w:rsidR="00C86BD0">
        <w:rPr>
          <w:rFonts w:ascii="Times New Roman" w:hAnsi="Times New Roman" w:cs="Times New Roman"/>
          <w:b/>
        </w:rPr>
        <w:t xml:space="preserve">Why did the Company </w:t>
      </w:r>
      <w:proofErr w:type="gramStart"/>
      <w:r w:rsidR="00C86BD0">
        <w:rPr>
          <w:rFonts w:ascii="Times New Roman" w:hAnsi="Times New Roman" w:cs="Times New Roman"/>
          <w:b/>
        </w:rPr>
        <w:t>enter</w:t>
      </w:r>
      <w:proofErr w:type="gramEnd"/>
      <w:r w:rsidR="00C86BD0">
        <w:rPr>
          <w:rFonts w:ascii="Times New Roman" w:hAnsi="Times New Roman" w:cs="Times New Roman"/>
          <w:b/>
        </w:rPr>
        <w:t xml:space="preserve"> into a power purchase agreement with the City of Spokane’s Waste-to-Energy plant</w:t>
      </w:r>
      <w:r w:rsidR="00C86BD0" w:rsidRPr="00BE21E7">
        <w:rPr>
          <w:rFonts w:ascii="Times New Roman" w:hAnsi="Times New Roman" w:cs="Times New Roman"/>
          <w:b/>
        </w:rPr>
        <w:t>?</w:t>
      </w:r>
    </w:p>
    <w:p w:rsidR="0065453C" w:rsidRPr="00BE21E7" w:rsidRDefault="00C86BD0" w:rsidP="00C86BD0">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r>
      <w:r>
        <w:rPr>
          <w:rFonts w:ascii="Times New Roman" w:hAnsi="Times New Roman" w:cs="Times New Roman"/>
        </w:rPr>
        <w:t xml:space="preserve">The output from the Waste-to-Energy plant had been purchased by Puget Sound Energy for the past 20 years.  That contract with Puget expired December 31, 2012.  As a </w:t>
      </w:r>
      <w:proofErr w:type="spellStart"/>
      <w:r>
        <w:rPr>
          <w:rFonts w:ascii="Times New Roman" w:hAnsi="Times New Roman" w:cs="Times New Roman"/>
        </w:rPr>
        <w:t>Purpa</w:t>
      </w:r>
      <w:proofErr w:type="spellEnd"/>
      <w:r>
        <w:rPr>
          <w:rFonts w:ascii="Times New Roman" w:hAnsi="Times New Roman" w:cs="Times New Roman"/>
        </w:rPr>
        <w:t xml:space="preserve"> resource, Avista is required to purchase the output if the generator so requests, which they did.  The purchase price is at the avoided cost rates in Avista’s 2011 Integrated Resource Plan.</w:t>
      </w:r>
    </w:p>
    <w:p w:rsidR="00BE21E7" w:rsidRPr="00BE21E7" w:rsidRDefault="00611611" w:rsidP="00611611">
      <w:pPr>
        <w:pStyle w:val="TestBody"/>
        <w:spacing w:line="480" w:lineRule="auto"/>
        <w:ind w:firstLine="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r>
      <w:r w:rsidR="006A26AD">
        <w:rPr>
          <w:rFonts w:ascii="Times New Roman" w:hAnsi="Times New Roman" w:cs="Times New Roman"/>
          <w:b/>
        </w:rPr>
        <w:t xml:space="preserve">Are there any </w:t>
      </w:r>
      <w:r w:rsidR="006652C4">
        <w:rPr>
          <w:rFonts w:ascii="Times New Roman" w:hAnsi="Times New Roman" w:cs="Times New Roman"/>
          <w:b/>
        </w:rPr>
        <w:t xml:space="preserve">long-term </w:t>
      </w:r>
      <w:r w:rsidR="006A26AD">
        <w:rPr>
          <w:rFonts w:ascii="Times New Roman" w:hAnsi="Times New Roman" w:cs="Times New Roman"/>
          <w:b/>
        </w:rPr>
        <w:t xml:space="preserve">power purchases or sales that are in current </w:t>
      </w:r>
      <w:r w:rsidR="00C026FD">
        <w:rPr>
          <w:rFonts w:ascii="Times New Roman" w:hAnsi="Times New Roman" w:cs="Times New Roman"/>
          <w:b/>
        </w:rPr>
        <w:t>base rate</w:t>
      </w:r>
      <w:r w:rsidR="006A26AD">
        <w:rPr>
          <w:rFonts w:ascii="Times New Roman" w:hAnsi="Times New Roman" w:cs="Times New Roman"/>
          <w:b/>
        </w:rPr>
        <w:t>s but not in this pro forma</w:t>
      </w:r>
      <w:r w:rsidR="00BE21E7" w:rsidRPr="00BE21E7">
        <w:rPr>
          <w:rFonts w:ascii="Times New Roman" w:hAnsi="Times New Roman" w:cs="Times New Roman"/>
          <w:b/>
        </w:rPr>
        <w:t>?</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r>
      <w:r w:rsidR="006652C4">
        <w:rPr>
          <w:rFonts w:ascii="Times New Roman" w:hAnsi="Times New Roman" w:cs="Times New Roman"/>
        </w:rPr>
        <w:t>No</w:t>
      </w:r>
      <w:r w:rsidRPr="00BE21E7">
        <w:rPr>
          <w:rFonts w:ascii="Times New Roman" w:hAnsi="Times New Roman" w:cs="Times New Roman"/>
        </w:rPr>
        <w:t xml:space="preserve">.  </w:t>
      </w: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Short-Term Power Purchases and Sales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How are short-term transactions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t xml:space="preserve">After including the actual </w:t>
      </w:r>
      <w:r w:rsidR="00095636">
        <w:rPr>
          <w:rFonts w:ascii="Times New Roman" w:hAnsi="Times New Roman" w:cs="Times New Roman"/>
        </w:rPr>
        <w:t xml:space="preserve">physical </w:t>
      </w:r>
      <w:r w:rsidR="007A6DE3">
        <w:rPr>
          <w:rFonts w:ascii="Times New Roman" w:hAnsi="Times New Roman" w:cs="Times New Roman"/>
        </w:rPr>
        <w:t xml:space="preserve">forward </w:t>
      </w:r>
      <w:r w:rsidRPr="00BE21E7">
        <w:rPr>
          <w:rFonts w:ascii="Times New Roman" w:hAnsi="Times New Roman" w:cs="Times New Roman"/>
        </w:rPr>
        <w:t xml:space="preserve">short-term transactions as resources and obligations in the AURORA model, the balance of the short-term electric power purchases and sales are an output of the AURORA model.  The model calculates both the volumes and price of short-term purchases and sales that balance the system’s generation and long-term purchases with retail load and </w:t>
      </w:r>
      <w:r w:rsidR="007A6DE3">
        <w:rPr>
          <w:rFonts w:ascii="Times New Roman" w:hAnsi="Times New Roman" w:cs="Times New Roman"/>
        </w:rPr>
        <w:t>other</w:t>
      </w:r>
      <w:r w:rsidRPr="00BE21E7">
        <w:rPr>
          <w:rFonts w:ascii="Times New Roman" w:hAnsi="Times New Roman" w:cs="Times New Roman"/>
        </w:rPr>
        <w:t xml:space="preserve"> obligations.  The price of the short-term transactions represents the price of spot market power as determined by the AURORA model. </w:t>
      </w:r>
      <w:r w:rsidR="00095636">
        <w:rPr>
          <w:rFonts w:ascii="Times New Roman" w:hAnsi="Times New Roman" w:cs="Times New Roman"/>
        </w:rPr>
        <w:t xml:space="preserve"> Short-term financial electric and </w:t>
      </w:r>
      <w:r w:rsidR="0075076D">
        <w:rPr>
          <w:rFonts w:ascii="Times New Roman" w:hAnsi="Times New Roman" w:cs="Times New Roman"/>
        </w:rPr>
        <w:t xml:space="preserve">all </w:t>
      </w:r>
      <w:r w:rsidR="00095636">
        <w:rPr>
          <w:rFonts w:ascii="Times New Roman" w:hAnsi="Times New Roman" w:cs="Times New Roman"/>
        </w:rPr>
        <w:t>natural gas transaction</w:t>
      </w:r>
      <w:r w:rsidR="0075076D">
        <w:rPr>
          <w:rFonts w:ascii="Times New Roman" w:hAnsi="Times New Roman" w:cs="Times New Roman"/>
        </w:rPr>
        <w:t>s</w:t>
      </w:r>
      <w:r w:rsidR="00095636">
        <w:rPr>
          <w:rFonts w:ascii="Times New Roman" w:hAnsi="Times New Roman" w:cs="Times New Roman"/>
        </w:rPr>
        <w:t xml:space="preserve"> are included as a mark-to-model price line item in the pro forma and are not included as inputs in the A</w:t>
      </w:r>
      <w:r w:rsidR="004C0725">
        <w:rPr>
          <w:rFonts w:ascii="Times New Roman" w:hAnsi="Times New Roman" w:cs="Times New Roman"/>
        </w:rPr>
        <w:t>U</w:t>
      </w:r>
      <w:r w:rsidR="00095636">
        <w:rPr>
          <w:rFonts w:ascii="Times New Roman" w:hAnsi="Times New Roman" w:cs="Times New Roman"/>
        </w:rPr>
        <w:t>RORA model.</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 xml:space="preserve">What actual </w:t>
      </w:r>
      <w:r w:rsidR="007A6DE3">
        <w:rPr>
          <w:rFonts w:ascii="Times New Roman" w:hAnsi="Times New Roman" w:cs="Times New Roman"/>
          <w:b/>
        </w:rPr>
        <w:t xml:space="preserve">forward </w:t>
      </w:r>
      <w:r w:rsidRPr="00BE21E7">
        <w:rPr>
          <w:rFonts w:ascii="Times New Roman" w:hAnsi="Times New Roman" w:cs="Times New Roman"/>
          <w:b/>
        </w:rPr>
        <w:t>short-term transactions are included in the pro forma?</w:t>
      </w:r>
    </w:p>
    <w:p w:rsidR="00E263B2" w:rsidRDefault="00BE21E7"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pro forma includes </w:t>
      </w:r>
      <w:r w:rsidR="007C4511">
        <w:rPr>
          <w:rFonts w:ascii="Times New Roman" w:hAnsi="Times New Roman" w:cs="Times New Roman"/>
        </w:rPr>
        <w:t xml:space="preserve">transactions entered into through </w:t>
      </w:r>
      <w:r w:rsidR="005A6D43">
        <w:rPr>
          <w:rFonts w:ascii="Times New Roman" w:hAnsi="Times New Roman" w:cs="Times New Roman"/>
        </w:rPr>
        <w:t>January 20, 2012</w:t>
      </w:r>
      <w:r w:rsidR="007C4511">
        <w:rPr>
          <w:rFonts w:ascii="Times New Roman" w:hAnsi="Times New Roman" w:cs="Times New Roman"/>
        </w:rPr>
        <w:t xml:space="preserve"> for the 201</w:t>
      </w:r>
      <w:r w:rsidR="005A6D43">
        <w:rPr>
          <w:rFonts w:ascii="Times New Roman" w:hAnsi="Times New Roman" w:cs="Times New Roman"/>
        </w:rPr>
        <w:t>3</w:t>
      </w:r>
      <w:r w:rsidR="007C4511">
        <w:rPr>
          <w:rFonts w:ascii="Times New Roman" w:hAnsi="Times New Roman" w:cs="Times New Roman"/>
        </w:rPr>
        <w:t xml:space="preserve"> pro forma period.  These transactions include </w:t>
      </w:r>
      <w:r w:rsidR="005A6D43">
        <w:rPr>
          <w:rFonts w:ascii="Times New Roman" w:hAnsi="Times New Roman" w:cs="Times New Roman"/>
        </w:rPr>
        <w:t>2</w:t>
      </w:r>
      <w:r w:rsidR="007C4511">
        <w:rPr>
          <w:rFonts w:ascii="Times New Roman" w:hAnsi="Times New Roman" w:cs="Times New Roman"/>
        </w:rPr>
        <w:t xml:space="preserve"> physical electric </w:t>
      </w:r>
      <w:r w:rsidR="00095636">
        <w:rPr>
          <w:rFonts w:ascii="Times New Roman" w:hAnsi="Times New Roman" w:cs="Times New Roman"/>
        </w:rPr>
        <w:t>transactions</w:t>
      </w:r>
      <w:r w:rsidR="007C4511">
        <w:rPr>
          <w:rFonts w:ascii="Times New Roman" w:hAnsi="Times New Roman" w:cs="Times New Roman"/>
        </w:rPr>
        <w:t xml:space="preserve">, </w:t>
      </w:r>
      <w:r w:rsidR="005A6D43">
        <w:rPr>
          <w:rFonts w:ascii="Times New Roman" w:hAnsi="Times New Roman" w:cs="Times New Roman"/>
        </w:rPr>
        <w:t>31</w:t>
      </w:r>
      <w:r w:rsidR="007C4511">
        <w:rPr>
          <w:rFonts w:ascii="Times New Roman" w:hAnsi="Times New Roman" w:cs="Times New Roman"/>
        </w:rPr>
        <w:t xml:space="preserve"> financial electric </w:t>
      </w:r>
      <w:r w:rsidR="00095636">
        <w:rPr>
          <w:rFonts w:ascii="Times New Roman" w:hAnsi="Times New Roman" w:cs="Times New Roman"/>
        </w:rPr>
        <w:t>transaction</w:t>
      </w:r>
      <w:r w:rsidR="0075076D">
        <w:rPr>
          <w:rFonts w:ascii="Times New Roman" w:hAnsi="Times New Roman" w:cs="Times New Roman"/>
        </w:rPr>
        <w:t>s</w:t>
      </w:r>
      <w:r w:rsidR="00095636">
        <w:rPr>
          <w:rFonts w:ascii="Times New Roman" w:hAnsi="Times New Roman" w:cs="Times New Roman"/>
        </w:rPr>
        <w:t xml:space="preserve">, </w:t>
      </w:r>
      <w:r w:rsidR="005A6D43">
        <w:rPr>
          <w:rFonts w:ascii="Times New Roman" w:hAnsi="Times New Roman" w:cs="Times New Roman"/>
        </w:rPr>
        <w:t>9</w:t>
      </w:r>
      <w:r w:rsidR="00095636">
        <w:rPr>
          <w:rFonts w:ascii="Times New Roman" w:hAnsi="Times New Roman" w:cs="Times New Roman"/>
        </w:rPr>
        <w:t xml:space="preserve"> physical natural gas transactions</w:t>
      </w:r>
      <w:r w:rsidR="007C4511">
        <w:rPr>
          <w:rFonts w:ascii="Times New Roman" w:hAnsi="Times New Roman" w:cs="Times New Roman"/>
        </w:rPr>
        <w:t xml:space="preserve"> and </w:t>
      </w:r>
      <w:r w:rsidR="005A6D43">
        <w:rPr>
          <w:rFonts w:ascii="Times New Roman" w:hAnsi="Times New Roman" w:cs="Times New Roman"/>
        </w:rPr>
        <w:t>33</w:t>
      </w:r>
      <w:r w:rsidR="007C4511">
        <w:rPr>
          <w:rFonts w:ascii="Times New Roman" w:hAnsi="Times New Roman" w:cs="Times New Roman"/>
        </w:rPr>
        <w:t xml:space="preserve"> </w:t>
      </w:r>
      <w:r w:rsidR="00095636">
        <w:rPr>
          <w:rFonts w:ascii="Times New Roman" w:hAnsi="Times New Roman" w:cs="Times New Roman"/>
        </w:rPr>
        <w:t>financial</w:t>
      </w:r>
      <w:r w:rsidR="007C4511">
        <w:rPr>
          <w:rFonts w:ascii="Times New Roman" w:hAnsi="Times New Roman" w:cs="Times New Roman"/>
        </w:rPr>
        <w:t xml:space="preserve"> natural gas </w:t>
      </w:r>
      <w:r w:rsidR="00095636">
        <w:rPr>
          <w:rFonts w:ascii="Times New Roman" w:hAnsi="Times New Roman" w:cs="Times New Roman"/>
        </w:rPr>
        <w:t>transactions</w:t>
      </w:r>
      <w:r w:rsidR="007C4511">
        <w:rPr>
          <w:rFonts w:ascii="Times New Roman" w:hAnsi="Times New Roman" w:cs="Times New Roman"/>
        </w:rPr>
        <w:t>.</w:t>
      </w:r>
      <w:r w:rsidR="00AA1E96">
        <w:rPr>
          <w:rFonts w:ascii="Times New Roman" w:hAnsi="Times New Roman" w:cs="Times New Roman"/>
        </w:rPr>
        <w:t xml:space="preserve">  The details of these transactions are provided in workpapers.</w:t>
      </w: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Thermal Fuel Expense</w:t>
      </w:r>
    </w:p>
    <w:p w:rsidR="00BE21E7" w:rsidRPr="00BE21E7" w:rsidRDefault="00BE21E7" w:rsidP="00BE21E7">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How are thermal fuel expenses determined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Thermal fuel expenses include Colstrip coal costs, </w:t>
      </w:r>
      <w:proofErr w:type="gramStart"/>
      <w:r w:rsidRPr="00BE21E7">
        <w:rPr>
          <w:rFonts w:ascii="Times New Roman" w:hAnsi="Times New Roman" w:cs="Times New Roman"/>
        </w:rPr>
        <w:t>Kettle Falls</w:t>
      </w:r>
      <w:proofErr w:type="gramEnd"/>
      <w:r w:rsidR="0044617E">
        <w:rPr>
          <w:rFonts w:ascii="Times New Roman" w:hAnsi="Times New Roman" w:cs="Times New Roman"/>
        </w:rPr>
        <w:t xml:space="preserve"> wood-</w:t>
      </w:r>
      <w:r w:rsidRPr="00BE21E7">
        <w:rPr>
          <w:rFonts w:ascii="Times New Roman" w:hAnsi="Times New Roman" w:cs="Times New Roman"/>
        </w:rPr>
        <w:t>waste costs</w:t>
      </w:r>
      <w:r w:rsidR="00904869">
        <w:rPr>
          <w:rFonts w:ascii="Times New Roman" w:hAnsi="Times New Roman" w:cs="Times New Roman"/>
        </w:rPr>
        <w:t>,</w:t>
      </w:r>
      <w:r w:rsidRPr="00BE21E7">
        <w:rPr>
          <w:rFonts w:ascii="Times New Roman" w:hAnsi="Times New Roman" w:cs="Times New Roman"/>
        </w:rPr>
        <w:t xml:space="preserve"> and natural gas expense for the Company’s gas-fired resources including Coyote Springs 2,</w:t>
      </w:r>
      <w:r w:rsidR="009C2006">
        <w:rPr>
          <w:rFonts w:ascii="Times New Roman" w:hAnsi="Times New Roman" w:cs="Times New Roman"/>
        </w:rPr>
        <w:t xml:space="preserve"> Lancaster,</w:t>
      </w:r>
      <w:r w:rsidRPr="00BE21E7">
        <w:rPr>
          <w:rFonts w:ascii="Times New Roman" w:hAnsi="Times New Roman" w:cs="Times New Roman"/>
        </w:rPr>
        <w:t xml:space="preserve"> Rathdrum, Northeast, Boulder Park, and the Kettle Falls combustion turbine.  Unit coal costs at Colstrip are based on the long-term coal supply and transportation agreements.  Unit wood fuel costs at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are based on multiple shorter-term contracts with fuel suppliers and inventory.  Total fuel costs for each plant are </w:t>
      </w:r>
      <w:r w:rsidRPr="00BE21E7">
        <w:rPr>
          <w:rFonts w:ascii="Times New Roman" w:hAnsi="Times New Roman" w:cs="Times New Roman"/>
        </w:rPr>
        <w:lastRenderedPageBreak/>
        <w:t xml:space="preserve">based on the unit fuel cost and the plant’s level of generation as determined by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Exhibit No. </w:t>
      </w:r>
      <w:r w:rsidR="00A55DD3">
        <w:rPr>
          <w:rFonts w:ascii="Times New Roman" w:hAnsi="Times New Roman" w:cs="Times New Roman"/>
        </w:rPr>
        <w:t>__</w:t>
      </w:r>
      <w:r w:rsidR="0012703B">
        <w:rPr>
          <w:rFonts w:ascii="Times New Roman" w:hAnsi="Times New Roman" w:cs="Times New Roman"/>
        </w:rPr>
        <w:t>_</w:t>
      </w:r>
      <w:r w:rsidR="0012703B"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4</w:t>
      </w:r>
      <w:r w:rsidRPr="00BE21E7">
        <w:rPr>
          <w:rFonts w:ascii="Times New Roman" w:hAnsi="Times New Roman" w:cs="Times New Roman"/>
        </w:rPr>
        <w:t xml:space="preserve">) shows the pro forma fuel costs by month for each plant.  Mr. Kalich provides details and supporting workpapers regarding the </w:t>
      </w:r>
      <w:r w:rsidR="007A6DE3">
        <w:rPr>
          <w:rFonts w:ascii="Times New Roman" w:hAnsi="Times New Roman" w:cs="Times New Roman"/>
        </w:rPr>
        <w:t>level of generation</w:t>
      </w:r>
      <w:r w:rsidRPr="00BE21E7">
        <w:rPr>
          <w:rFonts w:ascii="Times New Roman" w:hAnsi="Times New Roman" w:cs="Times New Roman"/>
        </w:rPr>
        <w:t xml:space="preserve"> f</w:t>
      </w:r>
      <w:r w:rsidR="007A6DE3">
        <w:rPr>
          <w:rFonts w:ascii="Times New Roman" w:hAnsi="Times New Roman" w:cs="Times New Roman"/>
        </w:rPr>
        <w:t xml:space="preserve">or the Company’s thermal plants, and the fuel cost for </w:t>
      </w:r>
      <w:r w:rsidR="003D15A9">
        <w:rPr>
          <w:rFonts w:ascii="Times New Roman" w:hAnsi="Times New Roman" w:cs="Times New Roman"/>
        </w:rPr>
        <w:t>thermal and</w:t>
      </w:r>
      <w:r w:rsidR="007A6DE3">
        <w:rPr>
          <w:rFonts w:ascii="Times New Roman" w:hAnsi="Times New Roman" w:cs="Times New Roman"/>
        </w:rPr>
        <w:t xml:space="preserve"> natural gas-fired plants.</w:t>
      </w: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Transmission Expense</w:t>
      </w:r>
    </w:p>
    <w:p w:rsidR="00BE21E7" w:rsidRPr="00BE21E7" w:rsidRDefault="009C2006" w:rsidP="00BE21E7">
      <w:pPr>
        <w:pStyle w:val="TestBody"/>
        <w:numPr>
          <w:ilvl w:val="0"/>
          <w:numId w:val="6"/>
        </w:numPr>
        <w:tabs>
          <w:tab w:val="num" w:pos="1260"/>
        </w:tabs>
        <w:spacing w:line="480" w:lineRule="auto"/>
        <w:ind w:left="0" w:firstLine="720"/>
        <w:rPr>
          <w:rFonts w:ascii="Times New Roman" w:hAnsi="Times New Roman" w:cs="Times New Roman"/>
          <w:b/>
          <w:bCs/>
        </w:rPr>
      </w:pPr>
      <w:r>
        <w:rPr>
          <w:rFonts w:ascii="Times New Roman" w:hAnsi="Times New Roman" w:cs="Times New Roman"/>
          <w:b/>
          <w:bCs/>
        </w:rPr>
        <w:tab/>
      </w:r>
      <w:r w:rsidR="00BE21E7" w:rsidRPr="00BE21E7">
        <w:rPr>
          <w:rFonts w:ascii="Times New Roman" w:hAnsi="Times New Roman" w:cs="Times New Roman"/>
          <w:b/>
          <w:bCs/>
        </w:rPr>
        <w:t>What changes in transmission expense are in the pro forma comp</w:t>
      </w:r>
      <w:r w:rsidR="007C4511">
        <w:rPr>
          <w:rFonts w:ascii="Times New Roman" w:hAnsi="Times New Roman" w:cs="Times New Roman"/>
          <w:b/>
          <w:bCs/>
        </w:rPr>
        <w:t xml:space="preserve">ared to the expense in current </w:t>
      </w:r>
      <w:r w:rsidR="00C026FD">
        <w:rPr>
          <w:rFonts w:ascii="Times New Roman" w:hAnsi="Times New Roman" w:cs="Times New Roman"/>
          <w:b/>
          <w:bCs/>
        </w:rPr>
        <w:t>base rates</w:t>
      </w:r>
      <w:r w:rsidR="00BE21E7" w:rsidRPr="00BE21E7">
        <w:rPr>
          <w:rFonts w:ascii="Times New Roman" w:hAnsi="Times New Roman" w:cs="Times New Roman"/>
          <w:b/>
          <w:bCs/>
        </w:rPr>
        <w:t>?</w:t>
      </w:r>
    </w:p>
    <w:p w:rsidR="00BE21E7" w:rsidRDefault="009C2006" w:rsidP="00BE21E7">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C4511">
        <w:rPr>
          <w:rFonts w:ascii="Times New Roman" w:hAnsi="Times New Roman" w:cs="Times New Roman"/>
        </w:rPr>
        <w:t xml:space="preserve">The </w:t>
      </w:r>
      <w:r w:rsidR="00095636">
        <w:rPr>
          <w:rFonts w:ascii="Times New Roman" w:hAnsi="Times New Roman" w:cs="Times New Roman"/>
        </w:rPr>
        <w:t>only change in transmission expense is the elimination of the Black Cr</w:t>
      </w:r>
      <w:r w:rsidR="005A6D43">
        <w:rPr>
          <w:rFonts w:ascii="Times New Roman" w:hAnsi="Times New Roman" w:cs="Times New Roman"/>
        </w:rPr>
        <w:t>eek wheeling expense since the final deliveries under that contract ended in 2011</w:t>
      </w:r>
      <w:r w:rsidR="00BE21E7" w:rsidRPr="00BE21E7">
        <w:rPr>
          <w:rFonts w:ascii="Times New Roman" w:hAnsi="Times New Roman" w:cs="Times New Roman"/>
        </w:rPr>
        <w:t>.</w:t>
      </w:r>
      <w:r w:rsidR="005A6D43">
        <w:rPr>
          <w:rFonts w:ascii="Times New Roman" w:hAnsi="Times New Roman" w:cs="Times New Roman"/>
        </w:rPr>
        <w:t xml:space="preserve">  There are also some increases in all BPA transmission expenses beginning October, 1, 2013 based on BPA’s proposed rate increases.</w:t>
      </w:r>
    </w:p>
    <w:p w:rsidR="00904869" w:rsidRPr="00BE21E7" w:rsidRDefault="00904869" w:rsidP="00904869">
      <w:pPr>
        <w:pStyle w:val="TestBody"/>
        <w:tabs>
          <w:tab w:val="num" w:pos="0"/>
        </w:tabs>
        <w:spacing w:line="480" w:lineRule="auto"/>
        <w:ind w:left="0" w:firstLine="0"/>
        <w:rPr>
          <w:rFonts w:ascii="Times New Roman" w:hAnsi="Times New Roman" w:cs="Times New Roman"/>
          <w:b/>
          <w:bCs/>
          <w:u w:val="single"/>
        </w:rPr>
      </w:pPr>
      <w:r>
        <w:rPr>
          <w:rFonts w:ascii="Times New Roman" w:hAnsi="Times New Roman" w:cs="Times New Roman"/>
          <w:b/>
          <w:bCs/>
          <w:u w:val="single"/>
        </w:rPr>
        <w:t>Summary</w:t>
      </w:r>
    </w:p>
    <w:p w:rsidR="00904869" w:rsidRPr="00BE21E7" w:rsidRDefault="00904869" w:rsidP="00F54F39">
      <w:pPr>
        <w:pStyle w:val="TestBody"/>
        <w:numPr>
          <w:ilvl w:val="0"/>
          <w:numId w:val="11"/>
        </w:numPr>
        <w:tabs>
          <w:tab w:val="clear" w:pos="1440"/>
          <w:tab w:val="num" w:pos="0"/>
        </w:tabs>
        <w:spacing w:line="480" w:lineRule="auto"/>
        <w:ind w:left="0" w:firstLine="720"/>
        <w:rPr>
          <w:rFonts w:ascii="Times New Roman" w:hAnsi="Times New Roman" w:cs="Times New Roman"/>
          <w:b/>
          <w:bCs/>
        </w:rPr>
      </w:pPr>
      <w:r>
        <w:rPr>
          <w:rFonts w:ascii="Times New Roman" w:hAnsi="Times New Roman" w:cs="Times New Roman"/>
          <w:b/>
          <w:bCs/>
        </w:rPr>
        <w:t xml:space="preserve">Please summarize your proposed pro forma power supply </w:t>
      </w:r>
      <w:proofErr w:type="gramStart"/>
      <w:r>
        <w:rPr>
          <w:rFonts w:ascii="Times New Roman" w:hAnsi="Times New Roman" w:cs="Times New Roman"/>
          <w:b/>
          <w:bCs/>
        </w:rPr>
        <w:t>expense</w:t>
      </w:r>
      <w:r w:rsidR="00F54F39">
        <w:rPr>
          <w:rFonts w:ascii="Times New Roman" w:hAnsi="Times New Roman" w:cs="Times New Roman"/>
          <w:b/>
          <w:bCs/>
        </w:rPr>
        <w:t xml:space="preserve"> that are</w:t>
      </w:r>
      <w:proofErr w:type="gramEnd"/>
      <w:r w:rsidR="00F54F39">
        <w:rPr>
          <w:rFonts w:ascii="Times New Roman" w:hAnsi="Times New Roman" w:cs="Times New Roman"/>
          <w:b/>
          <w:bCs/>
        </w:rPr>
        <w:t xml:space="preserve"> provided to witness Andrews</w:t>
      </w:r>
      <w:r>
        <w:rPr>
          <w:rFonts w:ascii="Times New Roman" w:hAnsi="Times New Roman" w:cs="Times New Roman"/>
          <w:b/>
          <w:bCs/>
        </w:rPr>
        <w:t>.</w:t>
      </w:r>
    </w:p>
    <w:p w:rsidR="00904869" w:rsidRDefault="00904869" w:rsidP="00904869">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proposed pro forma power supply expense as shown in Exhibit No. __</w:t>
      </w:r>
      <w:proofErr w:type="gramStart"/>
      <w:r>
        <w:rPr>
          <w:rFonts w:ascii="Times New Roman" w:hAnsi="Times New Roman" w:cs="Times New Roman"/>
        </w:rPr>
        <w:t>_(</w:t>
      </w:r>
      <w:proofErr w:type="gramEnd"/>
      <w:r>
        <w:rPr>
          <w:rFonts w:ascii="Times New Roman" w:hAnsi="Times New Roman" w:cs="Times New Roman"/>
        </w:rPr>
        <w:t xml:space="preserve">WGJ-2) is a $7,045,000 reduction in expense on a system basis ($4,596,158 Washington allocation) from 2011 actual test-year expense and a $17,066,000 </w:t>
      </w:r>
      <w:r w:rsidR="00F54F39">
        <w:rPr>
          <w:rFonts w:ascii="Times New Roman" w:hAnsi="Times New Roman" w:cs="Times New Roman"/>
        </w:rPr>
        <w:t xml:space="preserve">(system)/$11,133,858 (Washington allocation) </w:t>
      </w:r>
      <w:r>
        <w:rPr>
          <w:rFonts w:ascii="Times New Roman" w:hAnsi="Times New Roman" w:cs="Times New Roman"/>
        </w:rPr>
        <w:t>reduction in expense</w:t>
      </w:r>
      <w:r w:rsidR="00F54F39">
        <w:rPr>
          <w:rFonts w:ascii="Times New Roman" w:hAnsi="Times New Roman" w:cs="Times New Roman"/>
        </w:rPr>
        <w:t xml:space="preserve"> from the power supply expense in current rates.  </w:t>
      </w:r>
    </w:p>
    <w:p w:rsidR="00E331D1" w:rsidRPr="00BE21E7" w:rsidRDefault="00E331D1" w:rsidP="00904869">
      <w:pPr>
        <w:pStyle w:val="TestBody"/>
        <w:spacing w:line="480" w:lineRule="auto"/>
        <w:ind w:left="0" w:firstLine="720"/>
        <w:rPr>
          <w:rFonts w:ascii="Times New Roman" w:hAnsi="Times New Roman" w:cs="Times New Roman"/>
        </w:rPr>
      </w:pPr>
    </w:p>
    <w:p w:rsidR="00212289" w:rsidRPr="00BE21E7" w:rsidRDefault="00212289" w:rsidP="00212289">
      <w:pPr>
        <w:pStyle w:val="TestBody"/>
        <w:tabs>
          <w:tab w:val="num" w:pos="0"/>
          <w:tab w:val="num" w:pos="720"/>
        </w:tabs>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t>IV.</w:t>
      </w:r>
      <w:r w:rsidRPr="00BE21E7">
        <w:rPr>
          <w:rFonts w:ascii="Times New Roman" w:hAnsi="Times New Roman" w:cs="Times New Roman"/>
          <w:b/>
          <w:bCs/>
          <w:u w:val="single"/>
        </w:rPr>
        <w:tab/>
      </w:r>
      <w:r>
        <w:rPr>
          <w:rFonts w:ascii="Times New Roman" w:hAnsi="Times New Roman" w:cs="Times New Roman"/>
          <w:b/>
          <w:bCs/>
          <w:u w:val="single"/>
        </w:rPr>
        <w:t>PROPOSED MODIFICATIONS TO THE ERM</w:t>
      </w:r>
    </w:p>
    <w:p w:rsidR="00212289" w:rsidRPr="00BE21E7" w:rsidRDefault="00212289" w:rsidP="00212289">
      <w:pPr>
        <w:pStyle w:val="BodyText"/>
        <w:numPr>
          <w:ilvl w:val="0"/>
          <w:numId w:val="7"/>
        </w:numPr>
        <w:tabs>
          <w:tab w:val="num" w:pos="0"/>
        </w:tabs>
        <w:spacing w:line="480" w:lineRule="auto"/>
        <w:ind w:left="0" w:firstLine="720"/>
        <w:jc w:val="both"/>
      </w:pPr>
      <w:r>
        <w:lastRenderedPageBreak/>
        <w:t xml:space="preserve">Would you please identify the Order that authorizes the review of the ERM, and allows </w:t>
      </w:r>
      <w:r w:rsidRPr="00BE21E7">
        <w:t xml:space="preserve">the Company </w:t>
      </w:r>
      <w:r>
        <w:t>and other parties to propose modifications to</w:t>
      </w:r>
      <w:r w:rsidRPr="00BE21E7">
        <w:t xml:space="preserve"> the ERM?</w:t>
      </w:r>
    </w:p>
    <w:p w:rsidR="00212289" w:rsidRDefault="00212289" w:rsidP="00212289">
      <w:pPr>
        <w:pStyle w:val="BodyText"/>
        <w:tabs>
          <w:tab w:val="num" w:pos="0"/>
          <w:tab w:val="left" w:pos="810"/>
        </w:tabs>
        <w:spacing w:line="480" w:lineRule="auto"/>
        <w:ind w:firstLine="720"/>
        <w:jc w:val="both"/>
        <w:rPr>
          <w:b w:val="0"/>
          <w:bCs w:val="0"/>
        </w:rPr>
      </w:pPr>
      <w:r w:rsidRPr="00BE21E7">
        <w:rPr>
          <w:b w:val="0"/>
          <w:bCs w:val="0"/>
        </w:rPr>
        <w:t>A.</w:t>
      </w:r>
      <w:r w:rsidRPr="00BE21E7">
        <w:tab/>
      </w:r>
      <w:r>
        <w:rPr>
          <w:b w:val="0"/>
          <w:bCs w:val="0"/>
        </w:rPr>
        <w:t xml:space="preserve">Yes.  </w:t>
      </w:r>
      <w:proofErr w:type="gramStart"/>
      <w:r>
        <w:rPr>
          <w:b w:val="0"/>
          <w:bCs w:val="0"/>
        </w:rPr>
        <w:t>Order 03 in Docket No.</w:t>
      </w:r>
      <w:proofErr w:type="gramEnd"/>
      <w:r>
        <w:rPr>
          <w:b w:val="0"/>
          <w:bCs w:val="0"/>
        </w:rPr>
        <w:t xml:space="preserve"> UE-060181 dated June 16, 2006, approved the Settlement Agreement in that case.  Paragraph (H) of the Settlement Agreement provides that “Avista will initiate a filing not sooner than five (5) years from the date this Settlement is approved, to allow all interested parties the opportunity to review the ERM, and make recommendations to the Commission related to the continuation, modification or elimination of the mechanism.”</w:t>
      </w:r>
    </w:p>
    <w:p w:rsidR="00212289" w:rsidRPr="00243D57" w:rsidRDefault="00212289" w:rsidP="00212289">
      <w:pPr>
        <w:pStyle w:val="BodyText"/>
        <w:tabs>
          <w:tab w:val="num" w:pos="0"/>
          <w:tab w:val="left" w:pos="810"/>
        </w:tabs>
        <w:spacing w:line="480" w:lineRule="auto"/>
        <w:ind w:firstLine="720"/>
        <w:jc w:val="both"/>
        <w:rPr>
          <w:bCs w:val="0"/>
        </w:rPr>
      </w:pPr>
      <w:proofErr w:type="gramStart"/>
      <w:r w:rsidRPr="00243D57">
        <w:rPr>
          <w:bCs w:val="0"/>
        </w:rPr>
        <w:t>Q.</w:t>
      </w:r>
      <w:r w:rsidRPr="00243D57">
        <w:rPr>
          <w:bCs w:val="0"/>
        </w:rPr>
        <w:tab/>
        <w:t>What are the Company’s recommendations regarding the ERM?</w:t>
      </w:r>
      <w:proofErr w:type="gramEnd"/>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Company recommends continuation of the ERM, and proposes modifications to 1) the deadband and sharing bands, 2) the way the retail revenue credit is calculated, and 3) the way rate adjustments are triggered and structured.</w:t>
      </w:r>
    </w:p>
    <w:p w:rsidR="00212289" w:rsidRPr="00FF4C1C" w:rsidRDefault="00212289" w:rsidP="008527AD">
      <w:pPr>
        <w:pStyle w:val="BodyText"/>
        <w:tabs>
          <w:tab w:val="num" w:pos="0"/>
          <w:tab w:val="left" w:pos="810"/>
        </w:tabs>
        <w:spacing w:line="480" w:lineRule="auto"/>
        <w:jc w:val="both"/>
        <w:rPr>
          <w:bCs w:val="0"/>
          <w:u w:val="single"/>
        </w:rPr>
      </w:pPr>
      <w:r w:rsidRPr="00FF4C1C">
        <w:rPr>
          <w:bCs w:val="0"/>
          <w:u w:val="single"/>
        </w:rPr>
        <w:t>Continuation of the ERM</w:t>
      </w:r>
    </w:p>
    <w:p w:rsidR="00212289" w:rsidRPr="00F774EE" w:rsidRDefault="00212289" w:rsidP="00212289">
      <w:pPr>
        <w:pStyle w:val="BodyText"/>
        <w:tabs>
          <w:tab w:val="num" w:pos="0"/>
          <w:tab w:val="left" w:pos="810"/>
        </w:tabs>
        <w:spacing w:line="480" w:lineRule="auto"/>
        <w:ind w:firstLine="720"/>
        <w:jc w:val="both"/>
        <w:rPr>
          <w:bCs w:val="0"/>
        </w:rPr>
      </w:pPr>
      <w:r w:rsidRPr="00F774EE">
        <w:rPr>
          <w:bCs w:val="0"/>
        </w:rPr>
        <w:t>Q.</w:t>
      </w:r>
      <w:r w:rsidRPr="00F774EE">
        <w:rPr>
          <w:bCs w:val="0"/>
        </w:rPr>
        <w:tab/>
      </w:r>
      <w:r>
        <w:rPr>
          <w:bCs w:val="0"/>
        </w:rPr>
        <w:t>What is the ERM designed to do, and why should it be continued?</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Actual net power supply costs will vary from the level of costs reflected in base retail rates.  Avista’s ERM is designed to defer, for future recovery or rebate, variations in revenues and costs associated</w:t>
      </w:r>
      <w:r w:rsidR="005F5256">
        <w:rPr>
          <w:b w:val="0"/>
          <w:bCs w:val="0"/>
        </w:rPr>
        <w:t xml:space="preserve"> primarily</w:t>
      </w:r>
      <w:r>
        <w:rPr>
          <w:b w:val="0"/>
          <w:bCs w:val="0"/>
        </w:rPr>
        <w:t xml:space="preserve"> with hydroelectric generation, wholesale elect</w:t>
      </w:r>
      <w:r w:rsidR="005F5256">
        <w:rPr>
          <w:b w:val="0"/>
          <w:bCs w:val="0"/>
        </w:rPr>
        <w:t xml:space="preserve">ric prices, thermal fuel costs and </w:t>
      </w:r>
      <w:r>
        <w:rPr>
          <w:b w:val="0"/>
          <w:bCs w:val="0"/>
        </w:rPr>
        <w:t>changes in power contract revenues and expenses.  The ERM is designed to both recover increased net power s</w:t>
      </w:r>
      <w:r w:rsidR="00876319">
        <w:rPr>
          <w:b w:val="0"/>
          <w:bCs w:val="0"/>
        </w:rPr>
        <w:t xml:space="preserve">upply costs, as well as to pass </w:t>
      </w:r>
      <w:r>
        <w:rPr>
          <w:b w:val="0"/>
          <w:bCs w:val="0"/>
        </w:rPr>
        <w:t>through reductions in costs from those embedded in base retail rates.  The ERM helps to stabilize the Company’s earnings, as well as cash flows, and provides benefits to customers in the form of lower financin</w:t>
      </w:r>
      <w:r w:rsidR="00876319">
        <w:rPr>
          <w:b w:val="0"/>
          <w:bCs w:val="0"/>
        </w:rPr>
        <w:t xml:space="preserve">g costs that the utility incurs as well as providing the opportunity for </w:t>
      </w:r>
      <w:r w:rsidR="00876319">
        <w:rPr>
          <w:b w:val="0"/>
          <w:bCs w:val="0"/>
        </w:rPr>
        <w:lastRenderedPageBreak/>
        <w:t xml:space="preserve">rebates to </w:t>
      </w:r>
      <w:proofErr w:type="gramStart"/>
      <w:r w:rsidR="00876319">
        <w:rPr>
          <w:b w:val="0"/>
          <w:bCs w:val="0"/>
        </w:rPr>
        <w:t>customers</w:t>
      </w:r>
      <w:r>
        <w:rPr>
          <w:b w:val="0"/>
          <w:bCs w:val="0"/>
        </w:rPr>
        <w:t xml:space="preserve"> </w:t>
      </w:r>
      <w:r w:rsidR="00876319">
        <w:rPr>
          <w:b w:val="0"/>
          <w:bCs w:val="0"/>
        </w:rPr>
        <w:t xml:space="preserve"> when</w:t>
      </w:r>
      <w:proofErr w:type="gramEnd"/>
      <w:r w:rsidR="00876319">
        <w:rPr>
          <w:b w:val="0"/>
          <w:bCs w:val="0"/>
        </w:rPr>
        <w:t xml:space="preserve"> power supply costs are lower than those included in retail rates. </w:t>
      </w:r>
      <w:r>
        <w:rPr>
          <w:b w:val="0"/>
          <w:bCs w:val="0"/>
        </w:rPr>
        <w:t xml:space="preserve"> The ERM also results in retail rates to customers over time that more closely reflect the actual power supply costs to serve customers.  Customers will experience ERM surcharges, but will also experience rebates when actual power supply costs are lower than those embedded in base retail rates.</w:t>
      </w:r>
    </w:p>
    <w:p w:rsidR="00212289" w:rsidRDefault="00212289" w:rsidP="00212289">
      <w:pPr>
        <w:pStyle w:val="BodyText"/>
        <w:tabs>
          <w:tab w:val="num" w:pos="0"/>
          <w:tab w:val="left" w:pos="810"/>
        </w:tabs>
        <w:spacing w:line="480" w:lineRule="auto"/>
        <w:ind w:firstLine="720"/>
        <w:jc w:val="both"/>
        <w:rPr>
          <w:b w:val="0"/>
          <w:bCs w:val="0"/>
        </w:rPr>
      </w:pPr>
      <w:r>
        <w:rPr>
          <w:b w:val="0"/>
          <w:bCs w:val="0"/>
        </w:rPr>
        <w:t>The variability in net power supply costs can be quite substantial and the Company’s increased reliance on natural gas-fired generation has added to the variability.  However, in cases when market prices are above the cost of gas generation, and the Company does not need the gas-fired generation to serve its retail load, the generation can be sold on the secondary market at a profit, with that profit being reflected in the ERM and passed on to customers.  Further, when market prices are above the cost of gas-fired generation, and the Company needs the gas generation or secondary purchases to serve its retail load, there is a savings from serving the load from gas generation that is reflected in the ERM.  In certain circumstances</w:t>
      </w:r>
      <w:r w:rsidR="00876319">
        <w:rPr>
          <w:b w:val="0"/>
          <w:bCs w:val="0"/>
        </w:rPr>
        <w:t>,</w:t>
      </w:r>
      <w:r>
        <w:rPr>
          <w:b w:val="0"/>
          <w:bCs w:val="0"/>
        </w:rPr>
        <w:t xml:space="preserve"> forward purchases of natural gas may later be sold at a loss when 1) power is needed to serve retail load and the wholesale electric prices are such that it is cheaper to purchase the power and sell the gas, rather than to use the gas for generation, or 2) power is not needed to serve retail load, and the loss on the sale of the gas is less than the loss associated with using the gas to fuel generation that is sold in the wholesale market.</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To illustrate the issue of variability, as an example, with wholesale electric prices averaging approximately $40/MWH, only a 10% reduction in Avista’s hydro generation would reduce the Company’s Washington electric pre-tax operating results by approximately $12.3 million (hydroelectric generation of 538 </w:t>
      </w:r>
      <w:r w:rsidR="00876319">
        <w:rPr>
          <w:b w:val="0"/>
          <w:bCs w:val="0"/>
        </w:rPr>
        <w:t>a</w:t>
      </w:r>
      <w:r>
        <w:rPr>
          <w:b w:val="0"/>
          <w:bCs w:val="0"/>
        </w:rPr>
        <w:t>MW x 10% x 8760 hours x $40/MWH x the 65% WA jurisdictional share = $12.3 M).</w:t>
      </w:r>
    </w:p>
    <w:p w:rsidR="00212289" w:rsidRPr="00547BE8" w:rsidRDefault="00212289" w:rsidP="00212289">
      <w:pPr>
        <w:pStyle w:val="BodyText"/>
        <w:tabs>
          <w:tab w:val="num" w:pos="0"/>
          <w:tab w:val="left" w:pos="810"/>
        </w:tabs>
        <w:spacing w:line="480" w:lineRule="auto"/>
        <w:ind w:firstLine="720"/>
        <w:jc w:val="both"/>
        <w:rPr>
          <w:b w:val="0"/>
          <w:bCs w:val="0"/>
        </w:rPr>
      </w:pPr>
      <w:r>
        <w:rPr>
          <w:b w:val="0"/>
          <w:bCs w:val="0"/>
        </w:rPr>
        <w:lastRenderedPageBreak/>
        <w:t>Avista believes the ERM needs to be continued to provide for the recovery or rebate of power supply related costs, and</w:t>
      </w:r>
      <w:r w:rsidR="00876319">
        <w:rPr>
          <w:b w:val="0"/>
          <w:bCs w:val="0"/>
        </w:rPr>
        <w:t xml:space="preserve"> so that it will continue to provide benefits to both customers and shareholders</w:t>
      </w:r>
      <w:r>
        <w:rPr>
          <w:b w:val="0"/>
          <w:bCs w:val="0"/>
        </w:rPr>
        <w:t>.</w:t>
      </w:r>
    </w:p>
    <w:p w:rsidR="00212289" w:rsidRPr="00F774EE" w:rsidRDefault="00212289" w:rsidP="008527AD">
      <w:pPr>
        <w:pStyle w:val="BodyText"/>
        <w:tabs>
          <w:tab w:val="num" w:pos="0"/>
          <w:tab w:val="left" w:pos="810"/>
        </w:tabs>
        <w:spacing w:line="480" w:lineRule="auto"/>
        <w:jc w:val="both"/>
        <w:rPr>
          <w:bCs w:val="0"/>
          <w:u w:val="single"/>
        </w:rPr>
      </w:pPr>
      <w:r w:rsidRPr="00F774EE">
        <w:rPr>
          <w:bCs w:val="0"/>
          <w:u w:val="single"/>
        </w:rPr>
        <w:t>Deadband and Sharing Bands</w:t>
      </w:r>
    </w:p>
    <w:p w:rsidR="00212289" w:rsidRPr="00F774EE" w:rsidRDefault="00212289" w:rsidP="00212289">
      <w:pPr>
        <w:pStyle w:val="BodyText"/>
        <w:tabs>
          <w:tab w:val="num" w:pos="0"/>
          <w:tab w:val="left" w:pos="810"/>
        </w:tabs>
        <w:spacing w:line="480" w:lineRule="auto"/>
        <w:ind w:firstLine="720"/>
        <w:jc w:val="both"/>
        <w:rPr>
          <w:bCs w:val="0"/>
        </w:rPr>
      </w:pPr>
      <w:r w:rsidRPr="00F774EE">
        <w:rPr>
          <w:bCs w:val="0"/>
        </w:rPr>
        <w:t>Q.</w:t>
      </w:r>
      <w:r w:rsidRPr="00F774EE">
        <w:rPr>
          <w:bCs w:val="0"/>
        </w:rPr>
        <w:tab/>
      </w:r>
      <w:r>
        <w:rPr>
          <w:bCs w:val="0"/>
        </w:rPr>
        <w:t>Would you please describe the existing ERM deadband and sharing bands, and when they were approved?</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Yes.  On an annual (calendar-year) basis the Company absorbs the first $4 million of the difference between certain actual and authorized power supply related costs, either in the surcharge or rebate direction.  This is referred to as the “deadband,” since no costs are deferred until this band is exceeded.  When actual costs exceed authorized costs by more than $4 million (surcharge direction), 50% of the next $6 million of difference in costs is absorbed by the Company, and 50% is deferred for future recovery from customers.  When actual costs are less than authorized costs (rebate direction), 25% of the next $6 million of difference above the $4 million deadband is absorbed by the Company, and 75% is deferred for rebate to customers.  If the difference in costs exceeds $10 million, either in the surcharge or rebate direction, 10% of the amount above $10 million is absorbed by the Company, and 90% is deferred.</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In Order 03 in Docket UE-060181, dated June 16, 2006, the Commission approved the $4 million deadband, a 50/50 sharing of the next $6 million in either the rebate or surcharge direction, and a 90/10 sharing beyond the $10 million threshold.  In Order 08 in Docket UE-080416, dated December 29, 2008, the Commission approved a </w:t>
      </w:r>
      <w:r w:rsidR="00743E18">
        <w:rPr>
          <w:b w:val="0"/>
          <w:bCs w:val="0"/>
        </w:rPr>
        <w:t xml:space="preserve">settlement agreement that included a </w:t>
      </w:r>
      <w:r>
        <w:rPr>
          <w:b w:val="0"/>
          <w:bCs w:val="0"/>
        </w:rPr>
        <w:t xml:space="preserve">modification to the sharing level in the second ERM band ($4 </w:t>
      </w:r>
      <w:r>
        <w:rPr>
          <w:b w:val="0"/>
          <w:bCs w:val="0"/>
        </w:rPr>
        <w:lastRenderedPageBreak/>
        <w:t>million to $10 million) to 75% customer/25% Company when the cost difference is in the rebate direction.</w:t>
      </w:r>
    </w:p>
    <w:p w:rsidR="00212289" w:rsidRPr="00E33277" w:rsidRDefault="00212289" w:rsidP="00212289">
      <w:pPr>
        <w:pStyle w:val="BodyText"/>
        <w:tabs>
          <w:tab w:val="num" w:pos="0"/>
          <w:tab w:val="left" w:pos="810"/>
        </w:tabs>
        <w:spacing w:line="480" w:lineRule="auto"/>
        <w:ind w:firstLine="720"/>
        <w:jc w:val="both"/>
        <w:rPr>
          <w:bCs w:val="0"/>
        </w:rPr>
      </w:pPr>
      <w:proofErr w:type="gramStart"/>
      <w:r w:rsidRPr="00E33277">
        <w:rPr>
          <w:bCs w:val="0"/>
        </w:rPr>
        <w:t>Q.</w:t>
      </w:r>
      <w:r w:rsidRPr="00E33277">
        <w:rPr>
          <w:bCs w:val="0"/>
        </w:rPr>
        <w:tab/>
      </w:r>
      <w:r>
        <w:rPr>
          <w:bCs w:val="0"/>
        </w:rPr>
        <w:t>What is the Company’s proposal to modify the deadband and sharing bands?</w:t>
      </w:r>
      <w:proofErr w:type="gramEnd"/>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Company proposes to eliminate the $4 million deadband, eliminate the $4 million to $10 million sharing bands, and go strictly to a 90% customer/10% Company sharing level that would be applied to the entire difference between actual and authorized power supply related costs that are included in the ERM.</w:t>
      </w:r>
    </w:p>
    <w:p w:rsidR="00212289" w:rsidRPr="00C37D0F" w:rsidRDefault="00212289" w:rsidP="00212289">
      <w:pPr>
        <w:pStyle w:val="BodyText"/>
        <w:tabs>
          <w:tab w:val="num" w:pos="0"/>
          <w:tab w:val="left" w:pos="810"/>
        </w:tabs>
        <w:spacing w:line="480" w:lineRule="auto"/>
        <w:ind w:firstLine="720"/>
        <w:jc w:val="both"/>
        <w:rPr>
          <w:bCs w:val="0"/>
        </w:rPr>
      </w:pPr>
      <w:proofErr w:type="gramStart"/>
      <w:r w:rsidRPr="00C37D0F">
        <w:rPr>
          <w:bCs w:val="0"/>
        </w:rPr>
        <w:t>Q.</w:t>
      </w:r>
      <w:r w:rsidRPr="00C37D0F">
        <w:rPr>
          <w:bCs w:val="0"/>
        </w:rPr>
        <w:tab/>
        <w:t>Why is the Company propos</w:t>
      </w:r>
      <w:r>
        <w:rPr>
          <w:bCs w:val="0"/>
        </w:rPr>
        <w:t>ing</w:t>
      </w:r>
      <w:r w:rsidRPr="00C37D0F">
        <w:rPr>
          <w:bCs w:val="0"/>
        </w:rPr>
        <w:t xml:space="preserve"> to eliminate the $4 million deadband, and the $4 million to $10 million sharing band?</w:t>
      </w:r>
      <w:proofErr w:type="gramEnd"/>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In theory, the deadband and the sharing band are intended to motivate the Company to manage its power supply costs by making sure it has some “skin in the game.”  The reality is that the outcome is driven almost entirely by factors beyond the Company’s control.</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The primary drivers of changes in power supply expense are stream flow conditions, natural gas prices, market power prices, forced outages, and retail load variations.  The Company does not </w:t>
      </w:r>
      <w:r w:rsidR="00743E18">
        <w:rPr>
          <w:b w:val="0"/>
          <w:bCs w:val="0"/>
        </w:rPr>
        <w:t xml:space="preserve">have direct </w:t>
      </w:r>
      <w:r>
        <w:rPr>
          <w:b w:val="0"/>
          <w:bCs w:val="0"/>
        </w:rPr>
        <w:t xml:space="preserve">control </w:t>
      </w:r>
      <w:r w:rsidR="00743E18">
        <w:rPr>
          <w:b w:val="0"/>
          <w:bCs w:val="0"/>
        </w:rPr>
        <w:t xml:space="preserve">of </w:t>
      </w:r>
      <w:r>
        <w:rPr>
          <w:b w:val="0"/>
          <w:bCs w:val="0"/>
        </w:rPr>
        <w:t>any of these factors.  So the amount Company absorbs with the dead band and sharing band ultimately results in a random variation that the Company cannot control.  The incurrence of power costs to serve electric customers is similar to the Company’s purchase of natural gas for distribution to its natural gas customers.  The Company’s Purchased Gas Adjustment (PGA) mechanism provides for the recovery of 100% of the variation in purchased gas costs.  The PGA has no deadband or sharing bands.</w:t>
      </w:r>
    </w:p>
    <w:p w:rsidR="00212289" w:rsidRDefault="00212289" w:rsidP="00212289">
      <w:pPr>
        <w:pStyle w:val="BodyText"/>
        <w:tabs>
          <w:tab w:val="num" w:pos="0"/>
          <w:tab w:val="left" w:pos="810"/>
        </w:tabs>
        <w:spacing w:line="480" w:lineRule="auto"/>
        <w:ind w:firstLine="720"/>
        <w:jc w:val="both"/>
        <w:rPr>
          <w:bCs w:val="0"/>
        </w:rPr>
      </w:pPr>
      <w:r>
        <w:rPr>
          <w:bCs w:val="0"/>
        </w:rPr>
        <w:lastRenderedPageBreak/>
        <w:t>Q.</w:t>
      </w:r>
      <w:r>
        <w:rPr>
          <w:bCs w:val="0"/>
        </w:rPr>
        <w:tab/>
        <w:t xml:space="preserve">How do financial rating agencies view the ERM, and the $4 million deadband and </w:t>
      </w:r>
      <w:r w:rsidRPr="00C37D0F">
        <w:rPr>
          <w:bCs w:val="0"/>
        </w:rPr>
        <w:t>$4 million to $10 million sharing band</w:t>
      </w:r>
      <w:r>
        <w:rPr>
          <w:bCs w:val="0"/>
        </w:rPr>
        <w:t xml:space="preserve">s that the Company is proposing </w:t>
      </w:r>
      <w:proofErr w:type="gramStart"/>
      <w:r>
        <w:rPr>
          <w:bCs w:val="0"/>
        </w:rPr>
        <w:t>be</w:t>
      </w:r>
      <w:proofErr w:type="gramEnd"/>
      <w:r>
        <w:rPr>
          <w:bCs w:val="0"/>
        </w:rPr>
        <w:t xml:space="preserve"> eliminated?</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Generally, the ERM is viewed positively by the rating agencies, while the deadband and first sharing bands are not.  Moody’s credit opinion of Avista dated March 17, 2011, states:</w:t>
      </w:r>
    </w:p>
    <w:p w:rsidR="00212289" w:rsidRDefault="00212289" w:rsidP="00212289">
      <w:pPr>
        <w:pStyle w:val="BodyText"/>
        <w:tabs>
          <w:tab w:val="left" w:pos="810"/>
        </w:tabs>
        <w:spacing w:after="240" w:line="240" w:lineRule="auto"/>
        <w:ind w:left="1080" w:right="720"/>
        <w:jc w:val="both"/>
        <w:rPr>
          <w:b w:val="0"/>
          <w:bCs w:val="0"/>
        </w:rPr>
      </w:pPr>
      <w:r>
        <w:rPr>
          <w:b w:val="0"/>
          <w:bCs w:val="0"/>
        </w:rPr>
        <w:t>“In addition to the rate approvals in Washington, Idaho and Oregon, each commission allows for cost recovery mechanisms that factor significantly into Moody’s credit assessment.  As the inherent volatility of commodity costs comprises one of the most significant risk factors to the industry, Moody’s views the existence of commodity cost recovery mechanisms as a significant credit benefit.”</w:t>
      </w:r>
    </w:p>
    <w:p w:rsidR="00212289" w:rsidRDefault="00212289" w:rsidP="00212289">
      <w:pPr>
        <w:pStyle w:val="BodyText"/>
        <w:tabs>
          <w:tab w:val="num" w:pos="0"/>
          <w:tab w:val="left" w:pos="810"/>
        </w:tabs>
        <w:spacing w:line="480" w:lineRule="auto"/>
        <w:ind w:firstLine="720"/>
        <w:jc w:val="both"/>
        <w:rPr>
          <w:b w:val="0"/>
          <w:bCs w:val="0"/>
        </w:rPr>
      </w:pPr>
      <w:r>
        <w:rPr>
          <w:b w:val="0"/>
          <w:bCs w:val="0"/>
        </w:rPr>
        <w:t>Standard &amp; Poor’s rating of Avista dated January 26, 2012, states:</w:t>
      </w:r>
    </w:p>
    <w:p w:rsidR="00212289" w:rsidRDefault="00212289" w:rsidP="00212289">
      <w:pPr>
        <w:pStyle w:val="BodyText"/>
        <w:tabs>
          <w:tab w:val="left" w:pos="810"/>
        </w:tabs>
        <w:spacing w:after="240" w:line="240" w:lineRule="auto"/>
        <w:ind w:left="1080" w:right="720"/>
        <w:jc w:val="both"/>
        <w:rPr>
          <w:b w:val="0"/>
          <w:bCs w:val="0"/>
        </w:rPr>
      </w:pPr>
      <w:r>
        <w:rPr>
          <w:b w:val="0"/>
          <w:bCs w:val="0"/>
        </w:rPr>
        <w:t xml:space="preserve">“The company also has flexibility in implementing rate changes through its energy recovery mechanism in Washington and the power cost adjustment in Idaho, but the recovery of excess power costs in Washington is not complete due to minimum thresholds and progressive and asymmetrical deferral bands.  Each year, uncollected costs are subject to defined sharing bands, which allow the company to potentially defer certain portions for collection from customers.  </w:t>
      </w:r>
      <w:r w:rsidRPr="00F422D1">
        <w:rPr>
          <w:b w:val="0"/>
          <w:bCs w:val="0"/>
          <w:u w:val="single"/>
        </w:rPr>
        <w:t>This mechanism is weaker than for some utilities with high hydrological or significant gas generation exposure</w:t>
      </w:r>
      <w:r>
        <w:rPr>
          <w:b w:val="0"/>
          <w:bCs w:val="0"/>
          <w:u w:val="single"/>
        </w:rPr>
        <w:t xml:space="preserve"> in western states</w:t>
      </w:r>
      <w:r w:rsidRPr="003D3771">
        <w:rPr>
          <w:b w:val="0"/>
          <w:bCs w:val="0"/>
          <w:u w:val="single"/>
        </w:rPr>
        <w:t>.</w:t>
      </w:r>
      <w:r>
        <w:rPr>
          <w:b w:val="0"/>
          <w:bCs w:val="0"/>
        </w:rPr>
        <w:t xml:space="preserve"> [</w:t>
      </w:r>
      <w:r w:rsidRPr="00F422D1">
        <w:rPr>
          <w:b w:val="0"/>
          <w:bCs w:val="0"/>
        </w:rPr>
        <w:t>Emphasis added</w:t>
      </w:r>
      <w:r>
        <w:rPr>
          <w:b w:val="0"/>
          <w:bCs w:val="0"/>
        </w:rPr>
        <w:t>.]  Purchased gas adjustments for gas distribution units in all three jurisdictions, along with hedging, mitigate gas supply risk.  We view these as important in averting large cost adjustment requests and, thus, they continue to support the rating.”</w:t>
      </w:r>
    </w:p>
    <w:p w:rsidR="00212289" w:rsidRDefault="00212289" w:rsidP="00212289">
      <w:pPr>
        <w:pStyle w:val="BodyText"/>
        <w:tabs>
          <w:tab w:val="num" w:pos="0"/>
          <w:tab w:val="left" w:pos="810"/>
        </w:tabs>
        <w:spacing w:line="480" w:lineRule="auto"/>
        <w:ind w:firstLine="720"/>
        <w:jc w:val="both"/>
        <w:rPr>
          <w:b w:val="0"/>
          <w:bCs w:val="0"/>
        </w:rPr>
      </w:pPr>
      <w:r>
        <w:rPr>
          <w:b w:val="0"/>
          <w:bCs w:val="0"/>
        </w:rPr>
        <w:t>Regulatory Research Associates’ rating dated December 22, 2011, in discussing regulation in Washington states:</w:t>
      </w:r>
    </w:p>
    <w:p w:rsidR="00212289" w:rsidRDefault="00212289" w:rsidP="00212289">
      <w:pPr>
        <w:pStyle w:val="BodyText"/>
        <w:spacing w:after="240" w:line="240" w:lineRule="auto"/>
        <w:ind w:left="1080" w:right="720"/>
        <w:jc w:val="both"/>
        <w:rPr>
          <w:b w:val="0"/>
          <w:bCs w:val="0"/>
        </w:rPr>
      </w:pPr>
      <w:r>
        <w:rPr>
          <w:b w:val="0"/>
          <w:bCs w:val="0"/>
        </w:rPr>
        <w:t xml:space="preserve">“The regulatory environment in Washington is somewhat restrictive from an investor viewpoint.  Recent equity return authorizations, some of which were approved following settlements, were below prevailing industry averages.  The state’s electric utilities remain vertically integrated and are regulated under a traditional regulatory paradigm.  Power-cost adjustment mechanisms are in effect for most of the state’s electric utilities.  </w:t>
      </w:r>
      <w:r w:rsidRPr="003D3771">
        <w:rPr>
          <w:b w:val="0"/>
          <w:bCs w:val="0"/>
          <w:u w:val="single"/>
        </w:rPr>
        <w:t xml:space="preserve">However, while significantly reducing the companies’ </w:t>
      </w:r>
      <w:r w:rsidRPr="003D3771">
        <w:rPr>
          <w:b w:val="0"/>
          <w:bCs w:val="0"/>
          <w:u w:val="single"/>
        </w:rPr>
        <w:lastRenderedPageBreak/>
        <w:t xml:space="preserve">exposure to power price volatility, these mechanisms contain </w:t>
      </w:r>
      <w:proofErr w:type="spellStart"/>
      <w:r w:rsidRPr="003D3771">
        <w:rPr>
          <w:b w:val="0"/>
          <w:bCs w:val="0"/>
          <w:u w:val="single"/>
        </w:rPr>
        <w:t>deadbands</w:t>
      </w:r>
      <w:proofErr w:type="spellEnd"/>
      <w:r w:rsidRPr="003D3771">
        <w:rPr>
          <w:b w:val="0"/>
          <w:bCs w:val="0"/>
          <w:u w:val="single"/>
        </w:rPr>
        <w:t xml:space="preserve"> and sharing mechanisms that, while allowing the company to receive a benefit, also limit the costs that may be recovered from ratepayers.</w:t>
      </w:r>
      <w:r>
        <w:rPr>
          <w:b w:val="0"/>
          <w:bCs w:val="0"/>
        </w:rPr>
        <w:t>”[</w:t>
      </w:r>
      <w:r w:rsidRPr="00F422D1">
        <w:rPr>
          <w:b w:val="0"/>
          <w:bCs w:val="0"/>
        </w:rPr>
        <w:t>Emphasis added</w:t>
      </w:r>
      <w:r>
        <w:rPr>
          <w:b w:val="0"/>
          <w:bCs w:val="0"/>
        </w:rPr>
        <w:t>.]</w:t>
      </w:r>
    </w:p>
    <w:p w:rsidR="00212289" w:rsidRDefault="00212289" w:rsidP="00212289">
      <w:pPr>
        <w:pStyle w:val="BodyText"/>
        <w:tabs>
          <w:tab w:val="num" w:pos="0"/>
          <w:tab w:val="left" w:pos="810"/>
        </w:tabs>
        <w:spacing w:line="480" w:lineRule="auto"/>
        <w:ind w:firstLine="720"/>
        <w:jc w:val="both"/>
        <w:rPr>
          <w:b w:val="0"/>
          <w:bCs w:val="0"/>
        </w:rPr>
      </w:pPr>
      <w:r>
        <w:rPr>
          <w:b w:val="0"/>
          <w:bCs w:val="0"/>
        </w:rPr>
        <w:t>Fitch’s rating dated September 6, 2007, in discussing the ERM states:</w:t>
      </w:r>
    </w:p>
    <w:p w:rsidR="00212289" w:rsidRDefault="00212289" w:rsidP="00212289">
      <w:pPr>
        <w:pStyle w:val="BodyText"/>
        <w:spacing w:after="240" w:line="240" w:lineRule="auto"/>
        <w:ind w:left="1080" w:right="720"/>
        <w:jc w:val="both"/>
        <w:rPr>
          <w:b w:val="0"/>
          <w:bCs w:val="0"/>
        </w:rPr>
      </w:pPr>
      <w:r>
        <w:rPr>
          <w:b w:val="0"/>
          <w:bCs w:val="0"/>
        </w:rPr>
        <w:t xml:space="preserve">“Adopted by the WUTC in July 2002, AVA’s energy recovery mechanism (ERM) facilitates the deferral and pass-through of the lion’s share of power supply cost deviations from amounts reflected in base rates to ratepayers.  </w:t>
      </w:r>
      <w:r w:rsidRPr="009A0EDA">
        <w:rPr>
          <w:b w:val="0"/>
          <w:bCs w:val="0"/>
          <w:u w:val="single"/>
        </w:rPr>
        <w:t>Nonetheless, the negative effect of the portion of power supply costs borne by the utility under its power cost adjustment mechanisms can be significant during prolonged periods of below-normal water conditions and high demand.  This factor, combined with timing differences between when power supply costs are incurred and recovered in rates, can cause significant stress on a utility’s creditworthiness</w:t>
      </w:r>
      <w:r>
        <w:rPr>
          <w:b w:val="0"/>
          <w:bCs w:val="0"/>
        </w:rPr>
        <w:t>.”[</w:t>
      </w:r>
      <w:r w:rsidRPr="00F422D1">
        <w:rPr>
          <w:b w:val="0"/>
          <w:bCs w:val="0"/>
        </w:rPr>
        <w:t>Emphasis added</w:t>
      </w:r>
      <w:r>
        <w:rPr>
          <w:b w:val="0"/>
          <w:bCs w:val="0"/>
        </w:rPr>
        <w:t>.]</w:t>
      </w:r>
    </w:p>
    <w:p w:rsidR="00212289" w:rsidRDefault="00212289" w:rsidP="00212289">
      <w:pPr>
        <w:pStyle w:val="BodyText"/>
        <w:tabs>
          <w:tab w:val="num" w:pos="0"/>
          <w:tab w:val="left" w:pos="810"/>
        </w:tabs>
        <w:spacing w:line="480" w:lineRule="auto"/>
        <w:ind w:firstLine="720"/>
        <w:jc w:val="both"/>
        <w:rPr>
          <w:b w:val="0"/>
          <w:bCs w:val="0"/>
        </w:rPr>
      </w:pPr>
    </w:p>
    <w:p w:rsidR="00212289" w:rsidRPr="00C37D0F" w:rsidRDefault="00212289" w:rsidP="00212289">
      <w:pPr>
        <w:pStyle w:val="BodyText"/>
        <w:tabs>
          <w:tab w:val="num" w:pos="0"/>
          <w:tab w:val="left" w:pos="810"/>
        </w:tabs>
        <w:spacing w:line="480" w:lineRule="auto"/>
        <w:ind w:firstLine="720"/>
        <w:jc w:val="both"/>
        <w:rPr>
          <w:bCs w:val="0"/>
        </w:rPr>
      </w:pPr>
      <w:r w:rsidRPr="00C37D0F">
        <w:rPr>
          <w:bCs w:val="0"/>
        </w:rPr>
        <w:t>Q.</w:t>
      </w:r>
      <w:r w:rsidRPr="00C37D0F">
        <w:rPr>
          <w:bCs w:val="0"/>
        </w:rPr>
        <w:tab/>
      </w:r>
      <w:r>
        <w:rPr>
          <w:bCs w:val="0"/>
        </w:rPr>
        <w:t>Would the Company still have some “skin in the game” if the deadband and sharing bands, other than the 90%/10% sharing band, were eliminated</w:t>
      </w:r>
      <w:r w:rsidRPr="00C37D0F">
        <w:rPr>
          <w:bCs w:val="0"/>
        </w:rPr>
        <w:t>?</w:t>
      </w:r>
    </w:p>
    <w:p w:rsidR="00212289" w:rsidRDefault="00212289" w:rsidP="00212289">
      <w:pPr>
        <w:pStyle w:val="BodyText"/>
        <w:tabs>
          <w:tab w:val="num" w:pos="0"/>
          <w:tab w:val="left" w:pos="1440"/>
        </w:tabs>
        <w:spacing w:line="480" w:lineRule="auto"/>
        <w:ind w:firstLine="720"/>
        <w:jc w:val="both"/>
        <w:rPr>
          <w:b w:val="0"/>
          <w:bCs w:val="0"/>
        </w:rPr>
      </w:pPr>
      <w:r w:rsidRPr="007B66EA">
        <w:rPr>
          <w:b w:val="0"/>
          <w:bCs w:val="0"/>
        </w:rPr>
        <w:t>A.</w:t>
      </w:r>
      <w:r w:rsidRPr="007B66EA">
        <w:rPr>
          <w:b w:val="0"/>
          <w:bCs w:val="0"/>
        </w:rPr>
        <w:tab/>
        <w:t>Yes.</w:t>
      </w:r>
      <w:r>
        <w:rPr>
          <w:bCs w:val="0"/>
        </w:rPr>
        <w:t xml:space="preserve">  </w:t>
      </w:r>
      <w:r>
        <w:rPr>
          <w:b w:val="0"/>
          <w:bCs w:val="0"/>
        </w:rPr>
        <w:t xml:space="preserve">Under the current ERM the Company has to absorb $7 million of the first $10 million of actual power supply related costs that exceed the level authorized for recovery in base rates ($4 million deadband plus 50% of the next $6 million = $7 million).  Under the Company’s proposal to do away with the $4 million deadband, and the $4 million to $10 million sharing band, the Company would still absorb $1 million of the first $10 million of additional cost ($10 million times 10% = $1 million).  When actual costs are less than authorized costs (rebate direction), the Company currently keeps $5.5 million of the first $10 million of the difference in costs ($4 million deadband plus 25% of the next $6 million = $5.5 million).  Without the deadband, and the $4 million to $10 million sharing band, the Company would keep $1 million of the first $10 million of cost difference in the rebate direction instead of $5.5 million.  Under the Company’s proposal for the first $10 </w:t>
      </w:r>
      <w:r>
        <w:rPr>
          <w:b w:val="0"/>
          <w:bCs w:val="0"/>
        </w:rPr>
        <w:lastRenderedPageBreak/>
        <w:t>million of cost difference there would be a 90% customer/10% Company sharing level, and there would continue to be a 90% customer/10% Company sharing above $10 million of cost difference.  So, under the Company’s proposal, the Company would still have some “skin in the game.”</w:t>
      </w:r>
    </w:p>
    <w:p w:rsidR="00212289" w:rsidRPr="008C07CC" w:rsidRDefault="00212289" w:rsidP="00212289">
      <w:pPr>
        <w:pStyle w:val="BodyText"/>
        <w:tabs>
          <w:tab w:val="num" w:pos="0"/>
          <w:tab w:val="left" w:pos="1440"/>
        </w:tabs>
        <w:spacing w:line="480" w:lineRule="auto"/>
        <w:ind w:firstLine="720"/>
        <w:jc w:val="both"/>
        <w:rPr>
          <w:bCs w:val="0"/>
        </w:rPr>
      </w:pPr>
      <w:r>
        <w:rPr>
          <w:b w:val="0"/>
          <w:bCs w:val="0"/>
        </w:rPr>
        <w:t xml:space="preserve">Having the Company sharing at 10% of changes in power supply costs, </w:t>
      </w:r>
      <w:r w:rsidR="00743E18">
        <w:rPr>
          <w:b w:val="0"/>
          <w:bCs w:val="0"/>
        </w:rPr>
        <w:t xml:space="preserve">as well as </w:t>
      </w:r>
      <w:r>
        <w:rPr>
          <w:b w:val="0"/>
          <w:bCs w:val="0"/>
        </w:rPr>
        <w:t>having all of the Company’s power supply decisions and costs subject to thorough review in general rate cases and in the annual ERM review filings, is sufficient incentive for Avista to pay particular attention to all power supply decisions.</w:t>
      </w:r>
    </w:p>
    <w:p w:rsidR="00212289" w:rsidRPr="00C37D0F" w:rsidRDefault="00212289" w:rsidP="00212289">
      <w:pPr>
        <w:pStyle w:val="BodyText"/>
        <w:tabs>
          <w:tab w:val="num" w:pos="0"/>
          <w:tab w:val="left" w:pos="810"/>
        </w:tabs>
        <w:spacing w:line="480" w:lineRule="auto"/>
        <w:ind w:firstLine="720"/>
        <w:jc w:val="both"/>
        <w:rPr>
          <w:bCs w:val="0"/>
        </w:rPr>
      </w:pPr>
      <w:r w:rsidRPr="00C37D0F">
        <w:rPr>
          <w:bCs w:val="0"/>
        </w:rPr>
        <w:t>Q.</w:t>
      </w:r>
      <w:r w:rsidRPr="00C37D0F">
        <w:rPr>
          <w:bCs w:val="0"/>
        </w:rPr>
        <w:tab/>
      </w:r>
      <w:r>
        <w:rPr>
          <w:bCs w:val="0"/>
        </w:rPr>
        <w:t>How much does power supply expense vary</w:t>
      </w:r>
      <w:r w:rsidRPr="00C37D0F">
        <w:rPr>
          <w:bCs w:val="0"/>
        </w:rPr>
        <w:t>?</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Company’s Integrated Resource Plan (IRP) provides a useful tool to estimate how much power supply expense can vary.  The IRP evaluates power supply costs using Monte Carlo simulations that vary hydro conditions, natural gas and market power prices, loads and forced outages.  It produces a range of power supply expenses for 500 simulations for the year 2013.  The absolute range of power supply expense is over $200 million on a system basis, roughly equal to the mean level of power supply expense.  In comparison to the ERM dead band and sharing band of $10 million, 60 percent (301 out of 500 simulations) of the variations in power supply expense (Washington allocation) are greater than $10 million.  So this means that 60 percent of the time the Company will either absorb $7 million of additional expense or retain $5.5 million of lower expense, and will be into the 90%/10% portion of the ERM sharing.</w:t>
      </w:r>
    </w:p>
    <w:p w:rsidR="00212289" w:rsidRPr="00C37D0F" w:rsidRDefault="00212289" w:rsidP="00212289">
      <w:pPr>
        <w:pStyle w:val="BodyText"/>
        <w:tabs>
          <w:tab w:val="num" w:pos="0"/>
          <w:tab w:val="left" w:pos="810"/>
        </w:tabs>
        <w:spacing w:line="480" w:lineRule="auto"/>
        <w:ind w:firstLine="720"/>
        <w:jc w:val="both"/>
        <w:rPr>
          <w:bCs w:val="0"/>
        </w:rPr>
      </w:pPr>
      <w:r w:rsidRPr="00C37D0F">
        <w:rPr>
          <w:bCs w:val="0"/>
        </w:rPr>
        <w:t>Q.</w:t>
      </w:r>
      <w:r w:rsidRPr="00C37D0F">
        <w:rPr>
          <w:bCs w:val="0"/>
        </w:rPr>
        <w:tab/>
      </w:r>
      <w:r>
        <w:rPr>
          <w:bCs w:val="0"/>
        </w:rPr>
        <w:t xml:space="preserve">Doesn’t the Company </w:t>
      </w:r>
      <w:proofErr w:type="gramStart"/>
      <w:r>
        <w:rPr>
          <w:bCs w:val="0"/>
        </w:rPr>
        <w:t>employ</w:t>
      </w:r>
      <w:proofErr w:type="gramEnd"/>
      <w:r>
        <w:rPr>
          <w:bCs w:val="0"/>
        </w:rPr>
        <w:t xml:space="preserve"> a hedging strategy to mitigate power supply expense variability</w:t>
      </w:r>
      <w:r w:rsidRPr="00C37D0F">
        <w:rPr>
          <w:bCs w:val="0"/>
        </w:rPr>
        <w:t>?</w:t>
      </w:r>
    </w:p>
    <w:p w:rsidR="00212289" w:rsidRDefault="00212289" w:rsidP="00212289">
      <w:pPr>
        <w:pStyle w:val="BodyText"/>
        <w:tabs>
          <w:tab w:val="num" w:pos="0"/>
          <w:tab w:val="left" w:pos="810"/>
        </w:tabs>
        <w:spacing w:line="480" w:lineRule="auto"/>
        <w:ind w:firstLine="720"/>
        <w:jc w:val="both"/>
        <w:rPr>
          <w:b w:val="0"/>
          <w:bCs w:val="0"/>
        </w:rPr>
      </w:pPr>
      <w:r>
        <w:rPr>
          <w:b w:val="0"/>
          <w:bCs w:val="0"/>
        </w:rPr>
        <w:lastRenderedPageBreak/>
        <w:t>A.</w:t>
      </w:r>
      <w:r>
        <w:rPr>
          <w:b w:val="0"/>
          <w:bCs w:val="0"/>
        </w:rPr>
        <w:tab/>
        <w:t xml:space="preserve">Yes.  The Company does follow a hedging strategy to mitigate the impact of market exposure and timing of natural gas and power purchases.  The primary purpose of the hedging strategy is to prevent a “blowout” of power supply expense in bad hydro conditions and/or high price market conditions by limiting the amount of near-term exposure to large increases in market fuel (natural gas and power) prices.  It does this by imposing a systematic approach to layering in </w:t>
      </w:r>
      <w:r w:rsidR="00743E18">
        <w:rPr>
          <w:b w:val="0"/>
          <w:bCs w:val="0"/>
        </w:rPr>
        <w:t xml:space="preserve">energy purchases or sales to close open </w:t>
      </w:r>
      <w:r>
        <w:rPr>
          <w:b w:val="0"/>
          <w:bCs w:val="0"/>
        </w:rPr>
        <w:t>positions</w:t>
      </w:r>
      <w:r w:rsidRPr="0001182D">
        <w:rPr>
          <w:b w:val="0"/>
          <w:bCs w:val="0"/>
        </w:rPr>
        <w:t xml:space="preserve"> </w:t>
      </w:r>
      <w:r>
        <w:rPr>
          <w:b w:val="0"/>
          <w:bCs w:val="0"/>
        </w:rPr>
        <w:t>before the start of a month, and thus reduce exposure to price swings.  The hedging strategy does not close all open positions for the next year, so the Company is still exposed to some natural gas and power price changes, nor does the strategy eliminate any variability due to hydro conditions, loads, or a forced outage, which create new open positi</w:t>
      </w:r>
      <w:r w:rsidR="00743E18">
        <w:rPr>
          <w:b w:val="0"/>
          <w:bCs w:val="0"/>
        </w:rPr>
        <w:t>ons</w:t>
      </w:r>
      <w:r>
        <w:rPr>
          <w:b w:val="0"/>
          <w:bCs w:val="0"/>
        </w:rPr>
        <w:t>.  As stated before, the primary purpose of the hedging strategy is to reduce the risk of a major increase in power supply expense due to very high natural gas and power prices, possibly coupled with low hydro conditions.</w:t>
      </w:r>
    </w:p>
    <w:p w:rsidR="00212289" w:rsidRPr="00C37D0F" w:rsidRDefault="00212289" w:rsidP="00212289">
      <w:pPr>
        <w:pStyle w:val="BodyText"/>
        <w:tabs>
          <w:tab w:val="num" w:pos="0"/>
          <w:tab w:val="left" w:pos="810"/>
        </w:tabs>
        <w:spacing w:line="480" w:lineRule="auto"/>
        <w:ind w:firstLine="720"/>
        <w:jc w:val="both"/>
        <w:rPr>
          <w:bCs w:val="0"/>
        </w:rPr>
      </w:pPr>
      <w:r w:rsidRPr="00C37D0F">
        <w:rPr>
          <w:bCs w:val="0"/>
        </w:rPr>
        <w:t>Q.</w:t>
      </w:r>
      <w:r w:rsidRPr="00C37D0F">
        <w:rPr>
          <w:bCs w:val="0"/>
        </w:rPr>
        <w:tab/>
      </w:r>
      <w:r>
        <w:rPr>
          <w:bCs w:val="0"/>
        </w:rPr>
        <w:t>But doesn’t the hedging strategy mitigate some of the power supply expense variability</w:t>
      </w:r>
      <w:r w:rsidRPr="00C37D0F">
        <w:rPr>
          <w:bCs w:val="0"/>
        </w:rPr>
        <w:t>?</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it does, but not by that much.  In order to estimate how much the hedging strategy might mitigate variability, the Company again used its IRP power supply simulation model.  This time, the model was modified to close out all open positions for the year by either buying or selling power.  This should reduce volatility because the exposure to swings in market prices is reduced.  The simulation with the hedging strategy does have a lower standard deviation than the un-hedged simulation, which means that the average variation around the mean is less.  However, the percent of simulations that are outside the $10 million dead band and sharing band is roughly the same.  The most notable difference is the </w:t>
      </w:r>
      <w:r>
        <w:rPr>
          <w:b w:val="0"/>
          <w:bCs w:val="0"/>
        </w:rPr>
        <w:lastRenderedPageBreak/>
        <w:t>reduction in the tail-block scenarios.  There is a 33 percent reduction in expense variation in the worst 5 simulations.  That is, in really high cost conditions, hedging significantly lowers power supply expense.  The conclusion from the simulation with the hedging strategy is that the Company’s hedging program does what it is supposed to do, which is to lessen the impact of very high cost years, but it does not appreciably lessen the impact of the $10 million dead band and sharing band.</w:t>
      </w:r>
    </w:p>
    <w:p w:rsidR="00212289" w:rsidRPr="00396CDD" w:rsidRDefault="00212289" w:rsidP="00212289">
      <w:pPr>
        <w:pStyle w:val="BodyText"/>
        <w:tabs>
          <w:tab w:val="num" w:pos="0"/>
          <w:tab w:val="left" w:pos="810"/>
        </w:tabs>
        <w:spacing w:line="480" w:lineRule="auto"/>
        <w:ind w:firstLine="720"/>
        <w:jc w:val="both"/>
        <w:rPr>
          <w:bCs w:val="0"/>
        </w:rPr>
      </w:pPr>
      <w:r>
        <w:rPr>
          <w:bCs w:val="0"/>
        </w:rPr>
        <w:t>Q.</w:t>
      </w:r>
      <w:r>
        <w:rPr>
          <w:bCs w:val="0"/>
        </w:rPr>
        <w:tab/>
        <w:t>How might the elimination of the dead band and sharing band affect the general rate case process</w:t>
      </w:r>
      <w:r w:rsidRPr="00396CDD">
        <w:rPr>
          <w:bCs w:val="0"/>
        </w:rPr>
        <w:t>?</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Since the ERM calculates the difference between actual and authorized power supply related costs, the amount of authorized costs included in base rates impacts the amount of difference between actual and authorized costs.  If the authorized level is set too low, it would increase the likelihood of the Company absorbing increased expense through the deadband in the surcharge direction.  If the authorized level is set too high, it increases the likelihood that the Company would receive a benefit through the deadband in the rebate direction.  The determination of “normal” power supply costs for the future rate year in a general rate case is almost always a contentious issue, with proposals/recommendations by the parties that can be many millions of dollars apart.  Elimination of the deadband, and the $4 million to $10 million sharing bands, would reduce the impact of setting the level of power costs in base rates at the wrong level, thus protecting both the customers and Company from over or under collection of power supply expenses.</w:t>
      </w:r>
    </w:p>
    <w:p w:rsidR="00212289" w:rsidRDefault="00212289" w:rsidP="00212289">
      <w:pPr>
        <w:pStyle w:val="BodyText"/>
        <w:tabs>
          <w:tab w:val="num" w:pos="0"/>
          <w:tab w:val="left" w:pos="810"/>
        </w:tabs>
        <w:spacing w:line="480" w:lineRule="auto"/>
        <w:ind w:firstLine="720"/>
        <w:jc w:val="both"/>
        <w:rPr>
          <w:bCs w:val="0"/>
        </w:rPr>
      </w:pPr>
      <w:r>
        <w:rPr>
          <w:bCs w:val="0"/>
        </w:rPr>
        <w:t>Q.</w:t>
      </w:r>
      <w:r>
        <w:rPr>
          <w:bCs w:val="0"/>
        </w:rPr>
        <w:tab/>
        <w:t xml:space="preserve">Do other states have electric commodity tracking mechanisms that don’t have </w:t>
      </w:r>
      <w:proofErr w:type="spellStart"/>
      <w:r>
        <w:rPr>
          <w:bCs w:val="0"/>
        </w:rPr>
        <w:t>deadbands</w:t>
      </w:r>
      <w:proofErr w:type="spellEnd"/>
      <w:r>
        <w:rPr>
          <w:bCs w:val="0"/>
        </w:rPr>
        <w:t xml:space="preserve"> or sharing bands?</w:t>
      </w:r>
    </w:p>
    <w:p w:rsidR="00212289" w:rsidRDefault="00212289" w:rsidP="00212289">
      <w:pPr>
        <w:pStyle w:val="BodyText"/>
        <w:tabs>
          <w:tab w:val="num" w:pos="0"/>
          <w:tab w:val="left" w:pos="810"/>
        </w:tabs>
        <w:spacing w:line="480" w:lineRule="auto"/>
        <w:ind w:firstLine="720"/>
        <w:jc w:val="both"/>
        <w:rPr>
          <w:b w:val="0"/>
          <w:bCs w:val="0"/>
        </w:rPr>
      </w:pPr>
      <w:r w:rsidRPr="00E00B21">
        <w:rPr>
          <w:b w:val="0"/>
          <w:bCs w:val="0"/>
        </w:rPr>
        <w:lastRenderedPageBreak/>
        <w:t>A.</w:t>
      </w:r>
      <w:r w:rsidRPr="00E00B21">
        <w:rPr>
          <w:b w:val="0"/>
          <w:bCs w:val="0"/>
        </w:rPr>
        <w:tab/>
      </w:r>
      <w:r>
        <w:rPr>
          <w:b w:val="0"/>
          <w:bCs w:val="0"/>
        </w:rPr>
        <w:t xml:space="preserve">Yes.  </w:t>
      </w:r>
      <w:r w:rsidRPr="007F6C78">
        <w:rPr>
          <w:b w:val="0"/>
          <w:bCs w:val="0"/>
        </w:rPr>
        <w:t xml:space="preserve">In February of 2012 </w:t>
      </w:r>
      <w:r>
        <w:rPr>
          <w:b w:val="0"/>
          <w:bCs w:val="0"/>
        </w:rPr>
        <w:t>Avista sent a questionnaire to the EEI Rate Committee that was distributed to its members.  The questionnaire asked if the companies have an electric power/fuel clause adjustment mechanism in any of their electric jurisdictions and, if so, if the mechanism has a deadband and/or sharing bands.  Listed below is a summary of the responses:</w:t>
      </w:r>
    </w:p>
    <w:p w:rsidR="00212289" w:rsidRPr="002E3262" w:rsidRDefault="00212289" w:rsidP="00212289">
      <w:pPr>
        <w:pStyle w:val="BodyText"/>
        <w:tabs>
          <w:tab w:val="num" w:pos="0"/>
          <w:tab w:val="left" w:pos="450"/>
        </w:tabs>
        <w:spacing w:line="480" w:lineRule="auto"/>
        <w:jc w:val="both"/>
        <w:rPr>
          <w:bCs w:val="0"/>
          <w:sz w:val="20"/>
          <w:szCs w:val="20"/>
        </w:rPr>
      </w:pPr>
      <w:r>
        <w:rPr>
          <w:bCs w:val="0"/>
          <w:sz w:val="20"/>
          <w:szCs w:val="20"/>
        </w:rPr>
        <w:tab/>
        <w:t xml:space="preserve"> 1) </w:t>
      </w:r>
      <w:r w:rsidRPr="002E3262">
        <w:rPr>
          <w:bCs w:val="0"/>
          <w:sz w:val="20"/>
          <w:szCs w:val="20"/>
        </w:rPr>
        <w:t>Barbados Light &amp; Power C</w:t>
      </w:r>
      <w:r w:rsidR="00230CF6">
        <w:rPr>
          <w:bCs w:val="0"/>
          <w:sz w:val="20"/>
          <w:szCs w:val="20"/>
        </w:rPr>
        <w:t>ompany, Wisconsin – no deadband or</w:t>
      </w:r>
      <w:r w:rsidRPr="002E3262">
        <w:rPr>
          <w:bCs w:val="0"/>
          <w:sz w:val="20"/>
          <w:szCs w:val="20"/>
        </w:rPr>
        <w:t xml:space="preserve"> sharing bands</w:t>
      </w:r>
    </w:p>
    <w:p w:rsidR="00212289" w:rsidRPr="002E3262" w:rsidRDefault="00212289" w:rsidP="00212289">
      <w:pPr>
        <w:pStyle w:val="BodyText"/>
        <w:tabs>
          <w:tab w:val="num" w:pos="0"/>
          <w:tab w:val="left" w:pos="450"/>
        </w:tabs>
        <w:spacing w:line="480" w:lineRule="auto"/>
        <w:jc w:val="both"/>
        <w:rPr>
          <w:bCs w:val="0"/>
          <w:sz w:val="20"/>
          <w:szCs w:val="20"/>
        </w:rPr>
      </w:pPr>
      <w:r>
        <w:rPr>
          <w:bCs w:val="0"/>
          <w:sz w:val="20"/>
          <w:szCs w:val="20"/>
        </w:rPr>
        <w:tab/>
        <w:t xml:space="preserve"> 2) </w:t>
      </w:r>
      <w:r w:rsidRPr="002E3262">
        <w:rPr>
          <w:bCs w:val="0"/>
          <w:sz w:val="20"/>
          <w:szCs w:val="20"/>
        </w:rPr>
        <w:t xml:space="preserve">Progress Energy Carolinas, North and South Carolina – no </w:t>
      </w:r>
      <w:proofErr w:type="gramStart"/>
      <w:r w:rsidRPr="002E3262">
        <w:rPr>
          <w:bCs w:val="0"/>
          <w:sz w:val="20"/>
          <w:szCs w:val="20"/>
        </w:rPr>
        <w:t>deadband</w:t>
      </w:r>
      <w:r w:rsidR="00230CF6">
        <w:rPr>
          <w:bCs w:val="0"/>
          <w:sz w:val="20"/>
          <w:szCs w:val="20"/>
        </w:rPr>
        <w:t xml:space="preserve">  or</w:t>
      </w:r>
      <w:proofErr w:type="gramEnd"/>
      <w:r w:rsidRPr="002E3262">
        <w:rPr>
          <w:bCs w:val="0"/>
          <w:sz w:val="20"/>
          <w:szCs w:val="20"/>
        </w:rPr>
        <w:t xml:space="preserve"> sharing bands</w:t>
      </w:r>
    </w:p>
    <w:p w:rsidR="00212289" w:rsidRPr="002E3262" w:rsidRDefault="00212289" w:rsidP="00212289">
      <w:pPr>
        <w:pStyle w:val="BodyText"/>
        <w:tabs>
          <w:tab w:val="num" w:pos="0"/>
          <w:tab w:val="left" w:pos="450"/>
        </w:tabs>
        <w:spacing w:line="480" w:lineRule="auto"/>
        <w:jc w:val="both"/>
        <w:rPr>
          <w:bCs w:val="0"/>
          <w:sz w:val="20"/>
          <w:szCs w:val="20"/>
        </w:rPr>
      </w:pPr>
      <w:r>
        <w:rPr>
          <w:bCs w:val="0"/>
          <w:sz w:val="20"/>
          <w:szCs w:val="20"/>
        </w:rPr>
        <w:tab/>
        <w:t xml:space="preserve"> 3) </w:t>
      </w:r>
      <w:r w:rsidRPr="002E3262">
        <w:rPr>
          <w:bCs w:val="0"/>
          <w:sz w:val="20"/>
          <w:szCs w:val="20"/>
        </w:rPr>
        <w:t>Arizona Public Service, Arizona – no deadband, 90/10 sharing (eliminated in pending settlement)</w:t>
      </w:r>
    </w:p>
    <w:p w:rsidR="00212289"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 xml:space="preserve"> 4) </w:t>
      </w:r>
      <w:r w:rsidRPr="002E3262">
        <w:rPr>
          <w:bCs w:val="0"/>
          <w:sz w:val="20"/>
          <w:szCs w:val="20"/>
        </w:rPr>
        <w:t xml:space="preserve">Hawaiian Elec. Co., Hawaii </w:t>
      </w:r>
      <w:r>
        <w:rPr>
          <w:bCs w:val="0"/>
          <w:sz w:val="20"/>
          <w:szCs w:val="20"/>
        </w:rPr>
        <w:t>–</w:t>
      </w:r>
      <w:r w:rsidRPr="002E3262">
        <w:rPr>
          <w:bCs w:val="0"/>
          <w:sz w:val="20"/>
          <w:szCs w:val="20"/>
        </w:rPr>
        <w:t xml:space="preserve"> </w:t>
      </w:r>
      <w:r>
        <w:rPr>
          <w:bCs w:val="0"/>
          <w:sz w:val="20"/>
          <w:szCs w:val="20"/>
        </w:rPr>
        <w:t>no deadband, no sharing bands, heat rate incentive</w:t>
      </w:r>
    </w:p>
    <w:p w:rsidR="00212289"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 xml:space="preserve"> 5) Ameren Missouri, Missouri – no deadband, 95/5 sharing</w:t>
      </w:r>
    </w:p>
    <w:p w:rsidR="00230CF6"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 xml:space="preserve"> 6) LG&amp;E and</w:t>
      </w:r>
      <w:r w:rsidR="00230CF6">
        <w:rPr>
          <w:bCs w:val="0"/>
          <w:sz w:val="20"/>
          <w:szCs w:val="20"/>
        </w:rPr>
        <w:t xml:space="preserve"> KU Services Company, Kentucky - no deadband or</w:t>
      </w:r>
      <w:r w:rsidR="00230CF6" w:rsidRPr="002E3262">
        <w:rPr>
          <w:bCs w:val="0"/>
          <w:sz w:val="20"/>
          <w:szCs w:val="20"/>
        </w:rPr>
        <w:t xml:space="preserve"> sharing bands</w:t>
      </w:r>
    </w:p>
    <w:p w:rsidR="00212289"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7) LG&amp;E and KU Services Company, Virginia</w:t>
      </w:r>
      <w:r w:rsidR="00212289">
        <w:rPr>
          <w:bCs w:val="0"/>
          <w:sz w:val="20"/>
          <w:szCs w:val="20"/>
        </w:rPr>
        <w:t xml:space="preserve"> - </w:t>
      </w:r>
      <w:r>
        <w:rPr>
          <w:bCs w:val="0"/>
          <w:sz w:val="20"/>
          <w:szCs w:val="20"/>
        </w:rPr>
        <w:t>no deadband or</w:t>
      </w:r>
      <w:r w:rsidR="00212289" w:rsidRPr="002E3262">
        <w:rPr>
          <w:bCs w:val="0"/>
          <w:sz w:val="20"/>
          <w:szCs w:val="20"/>
        </w:rPr>
        <w:t xml:space="preserve"> sharing bands</w:t>
      </w:r>
    </w:p>
    <w:p w:rsidR="00212289"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 xml:space="preserve"> </w:t>
      </w:r>
      <w:r w:rsidR="00230CF6">
        <w:rPr>
          <w:bCs w:val="0"/>
          <w:sz w:val="20"/>
          <w:szCs w:val="20"/>
        </w:rPr>
        <w:t>8</w:t>
      </w:r>
      <w:r>
        <w:rPr>
          <w:bCs w:val="0"/>
          <w:sz w:val="20"/>
          <w:szCs w:val="20"/>
        </w:rPr>
        <w:t xml:space="preserve">) Minnesota Power, Minnesota - </w:t>
      </w:r>
      <w:r w:rsidRPr="002E3262">
        <w:rPr>
          <w:bCs w:val="0"/>
          <w:sz w:val="20"/>
          <w:szCs w:val="20"/>
        </w:rPr>
        <w:t>no deadband, no sharing bands</w:t>
      </w:r>
    </w:p>
    <w:p w:rsidR="00230CF6"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r>
      <w:r w:rsidR="00230CF6">
        <w:rPr>
          <w:bCs w:val="0"/>
          <w:sz w:val="20"/>
          <w:szCs w:val="20"/>
        </w:rPr>
        <w:t>9) Alliant Energy, Minnesota - no deadband or sharing bands</w:t>
      </w:r>
    </w:p>
    <w:p w:rsidR="00212289"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 xml:space="preserve">10) Iowa – no deadband or </w:t>
      </w:r>
      <w:r w:rsidR="00212289">
        <w:rPr>
          <w:bCs w:val="0"/>
          <w:sz w:val="20"/>
          <w:szCs w:val="20"/>
        </w:rPr>
        <w:t>sharing bands</w:t>
      </w:r>
    </w:p>
    <w:p w:rsidR="00212289"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 xml:space="preserve"> </w:t>
      </w:r>
      <w:r w:rsidR="00230CF6">
        <w:rPr>
          <w:bCs w:val="0"/>
          <w:sz w:val="20"/>
          <w:szCs w:val="20"/>
        </w:rPr>
        <w:t>11</w:t>
      </w:r>
      <w:r>
        <w:rPr>
          <w:bCs w:val="0"/>
          <w:sz w:val="20"/>
          <w:szCs w:val="20"/>
        </w:rPr>
        <w:t xml:space="preserve">). Mississippi Power, Mississippi - </w:t>
      </w:r>
      <w:r w:rsidRPr="002E3262">
        <w:rPr>
          <w:bCs w:val="0"/>
          <w:sz w:val="20"/>
          <w:szCs w:val="20"/>
        </w:rPr>
        <w:t>no deadband, no sharing bands</w:t>
      </w:r>
    </w:p>
    <w:p w:rsidR="007A40D4"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 xml:space="preserve">12) Energy Corp, </w:t>
      </w:r>
      <w:r w:rsidR="00804CDF">
        <w:rPr>
          <w:bCs w:val="0"/>
          <w:sz w:val="20"/>
          <w:szCs w:val="20"/>
        </w:rPr>
        <w:t>Louisiana</w:t>
      </w:r>
      <w:r>
        <w:rPr>
          <w:bCs w:val="0"/>
          <w:sz w:val="20"/>
          <w:szCs w:val="20"/>
        </w:rPr>
        <w:t xml:space="preserve"> - no deadband or sharing bands</w:t>
      </w:r>
    </w:p>
    <w:p w:rsidR="007A40D4" w:rsidRDefault="007A40D4" w:rsidP="00212289">
      <w:pPr>
        <w:pStyle w:val="BodyText"/>
        <w:tabs>
          <w:tab w:val="num" w:pos="0"/>
          <w:tab w:val="left" w:pos="450"/>
        </w:tabs>
        <w:spacing w:line="480" w:lineRule="auto"/>
        <w:ind w:right="-180"/>
        <w:jc w:val="both"/>
        <w:rPr>
          <w:bCs w:val="0"/>
          <w:sz w:val="20"/>
          <w:szCs w:val="20"/>
        </w:rPr>
      </w:pPr>
      <w:r>
        <w:rPr>
          <w:bCs w:val="0"/>
          <w:sz w:val="20"/>
          <w:szCs w:val="20"/>
        </w:rPr>
        <w:tab/>
        <w:t>1</w:t>
      </w:r>
      <w:r w:rsidR="00230CF6">
        <w:rPr>
          <w:bCs w:val="0"/>
          <w:sz w:val="20"/>
          <w:szCs w:val="20"/>
        </w:rPr>
        <w:t>3</w:t>
      </w:r>
      <w:r>
        <w:rPr>
          <w:bCs w:val="0"/>
          <w:sz w:val="20"/>
          <w:szCs w:val="20"/>
        </w:rPr>
        <w:t>) Energy Corp, Arkansas</w:t>
      </w:r>
      <w:r w:rsidR="00230CF6">
        <w:rPr>
          <w:bCs w:val="0"/>
          <w:sz w:val="20"/>
          <w:szCs w:val="20"/>
        </w:rPr>
        <w:t xml:space="preserve"> - no deadband or sharing bands</w:t>
      </w:r>
    </w:p>
    <w:p w:rsidR="00230CF6" w:rsidRDefault="007A40D4" w:rsidP="00212289">
      <w:pPr>
        <w:pStyle w:val="BodyText"/>
        <w:tabs>
          <w:tab w:val="num" w:pos="0"/>
          <w:tab w:val="left" w:pos="450"/>
        </w:tabs>
        <w:spacing w:line="480" w:lineRule="auto"/>
        <w:ind w:right="-180"/>
        <w:jc w:val="both"/>
        <w:rPr>
          <w:bCs w:val="0"/>
          <w:sz w:val="20"/>
          <w:szCs w:val="20"/>
        </w:rPr>
      </w:pPr>
      <w:r>
        <w:rPr>
          <w:bCs w:val="0"/>
          <w:sz w:val="20"/>
          <w:szCs w:val="20"/>
        </w:rPr>
        <w:tab/>
        <w:t>1</w:t>
      </w:r>
      <w:r w:rsidR="00230CF6">
        <w:rPr>
          <w:bCs w:val="0"/>
          <w:sz w:val="20"/>
          <w:szCs w:val="20"/>
        </w:rPr>
        <w:t>4</w:t>
      </w:r>
      <w:r>
        <w:rPr>
          <w:bCs w:val="0"/>
          <w:sz w:val="20"/>
          <w:szCs w:val="20"/>
        </w:rPr>
        <w:t>) Energy Corp</w:t>
      </w:r>
      <w:r w:rsidR="00230CF6">
        <w:rPr>
          <w:bCs w:val="0"/>
          <w:sz w:val="20"/>
          <w:szCs w:val="20"/>
        </w:rPr>
        <w:t>, Mississippi - no deadband or sharing bands</w:t>
      </w:r>
    </w:p>
    <w:p w:rsidR="00230CF6"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 xml:space="preserve">15) </w:t>
      </w:r>
      <w:proofErr w:type="gramStart"/>
      <w:r>
        <w:rPr>
          <w:bCs w:val="0"/>
          <w:sz w:val="20"/>
          <w:szCs w:val="20"/>
        </w:rPr>
        <w:t xml:space="preserve">Energy </w:t>
      </w:r>
      <w:r w:rsidR="00212289">
        <w:rPr>
          <w:bCs w:val="0"/>
          <w:sz w:val="20"/>
          <w:szCs w:val="20"/>
        </w:rPr>
        <w:t xml:space="preserve"> </w:t>
      </w:r>
      <w:r>
        <w:rPr>
          <w:bCs w:val="0"/>
          <w:sz w:val="20"/>
          <w:szCs w:val="20"/>
        </w:rPr>
        <w:t>Corp</w:t>
      </w:r>
      <w:proofErr w:type="gramEnd"/>
      <w:r>
        <w:rPr>
          <w:bCs w:val="0"/>
          <w:sz w:val="20"/>
          <w:szCs w:val="20"/>
        </w:rPr>
        <w:t>, Texas - no deadband or sharing bands</w:t>
      </w:r>
    </w:p>
    <w:p w:rsidR="00212289"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16) Energy Corp</w:t>
      </w:r>
      <w:proofErr w:type="gramStart"/>
      <w:r>
        <w:rPr>
          <w:bCs w:val="0"/>
          <w:sz w:val="20"/>
          <w:szCs w:val="20"/>
        </w:rPr>
        <w:t>,  New</w:t>
      </w:r>
      <w:proofErr w:type="gramEnd"/>
      <w:r>
        <w:rPr>
          <w:bCs w:val="0"/>
          <w:sz w:val="20"/>
          <w:szCs w:val="20"/>
        </w:rPr>
        <w:t xml:space="preserve"> Orleans – no</w:t>
      </w:r>
      <w:r w:rsidR="00212289">
        <w:rPr>
          <w:bCs w:val="0"/>
          <w:sz w:val="20"/>
          <w:szCs w:val="20"/>
        </w:rPr>
        <w:t xml:space="preserve"> </w:t>
      </w:r>
      <w:r>
        <w:rPr>
          <w:bCs w:val="0"/>
          <w:sz w:val="20"/>
          <w:szCs w:val="20"/>
        </w:rPr>
        <w:t>deadband</w:t>
      </w:r>
      <w:r w:rsidR="00212289">
        <w:rPr>
          <w:bCs w:val="0"/>
          <w:sz w:val="20"/>
          <w:szCs w:val="20"/>
        </w:rPr>
        <w:t xml:space="preserve"> or sharing bands</w:t>
      </w:r>
    </w:p>
    <w:p w:rsidR="00212289" w:rsidRDefault="00212289" w:rsidP="00212289">
      <w:pPr>
        <w:pStyle w:val="BodyText"/>
        <w:tabs>
          <w:tab w:val="num" w:pos="0"/>
          <w:tab w:val="left" w:pos="450"/>
        </w:tabs>
        <w:spacing w:line="480" w:lineRule="auto"/>
        <w:ind w:right="-180"/>
        <w:jc w:val="both"/>
        <w:rPr>
          <w:bCs w:val="0"/>
          <w:sz w:val="20"/>
          <w:szCs w:val="20"/>
        </w:rPr>
      </w:pPr>
      <w:r>
        <w:rPr>
          <w:bCs w:val="0"/>
          <w:sz w:val="20"/>
          <w:szCs w:val="20"/>
        </w:rPr>
        <w:tab/>
        <w:t>1</w:t>
      </w:r>
      <w:r w:rsidR="00230CF6">
        <w:rPr>
          <w:bCs w:val="0"/>
          <w:sz w:val="20"/>
          <w:szCs w:val="20"/>
        </w:rPr>
        <w:t>7</w:t>
      </w:r>
      <w:r>
        <w:rPr>
          <w:bCs w:val="0"/>
          <w:sz w:val="20"/>
          <w:szCs w:val="20"/>
        </w:rPr>
        <w:t xml:space="preserve">) Florida Power &amp; Light, Florida - </w:t>
      </w:r>
      <w:r w:rsidR="00230CF6">
        <w:rPr>
          <w:bCs w:val="0"/>
          <w:sz w:val="20"/>
          <w:szCs w:val="20"/>
        </w:rPr>
        <w:t xml:space="preserve">no deadband or </w:t>
      </w:r>
      <w:r w:rsidRPr="002E3262">
        <w:rPr>
          <w:bCs w:val="0"/>
          <w:sz w:val="20"/>
          <w:szCs w:val="20"/>
        </w:rPr>
        <w:t>sharing bands</w:t>
      </w:r>
    </w:p>
    <w:p w:rsidR="00230CF6"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 xml:space="preserve">18) Avista, Idaho – no deadband, </w:t>
      </w:r>
      <w:r w:rsidRPr="002E3262">
        <w:rPr>
          <w:bCs w:val="0"/>
          <w:sz w:val="20"/>
          <w:szCs w:val="20"/>
        </w:rPr>
        <w:t>90/10 sharing</w:t>
      </w:r>
    </w:p>
    <w:p w:rsidR="00230CF6"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 xml:space="preserve">19) Idaho Power, Idaho – no deadband, </w:t>
      </w:r>
      <w:r w:rsidRPr="002E3262">
        <w:rPr>
          <w:bCs w:val="0"/>
          <w:sz w:val="20"/>
          <w:szCs w:val="20"/>
        </w:rPr>
        <w:t>9</w:t>
      </w:r>
      <w:r>
        <w:rPr>
          <w:bCs w:val="0"/>
          <w:sz w:val="20"/>
          <w:szCs w:val="20"/>
        </w:rPr>
        <w:t>5</w:t>
      </w:r>
      <w:r w:rsidRPr="002E3262">
        <w:rPr>
          <w:bCs w:val="0"/>
          <w:sz w:val="20"/>
          <w:szCs w:val="20"/>
        </w:rPr>
        <w:t>/</w:t>
      </w:r>
      <w:r>
        <w:rPr>
          <w:bCs w:val="0"/>
          <w:sz w:val="20"/>
          <w:szCs w:val="20"/>
        </w:rPr>
        <w:t>5</w:t>
      </w:r>
      <w:r w:rsidRPr="002E3262">
        <w:rPr>
          <w:bCs w:val="0"/>
          <w:sz w:val="20"/>
          <w:szCs w:val="20"/>
        </w:rPr>
        <w:t xml:space="preserve"> sharing</w:t>
      </w:r>
    </w:p>
    <w:p w:rsidR="00230CF6" w:rsidRPr="002E3262" w:rsidRDefault="00230CF6" w:rsidP="00212289">
      <w:pPr>
        <w:pStyle w:val="BodyText"/>
        <w:tabs>
          <w:tab w:val="num" w:pos="0"/>
          <w:tab w:val="left" w:pos="450"/>
        </w:tabs>
        <w:spacing w:line="480" w:lineRule="auto"/>
        <w:ind w:right="-180"/>
        <w:jc w:val="both"/>
        <w:rPr>
          <w:bCs w:val="0"/>
          <w:sz w:val="20"/>
          <w:szCs w:val="20"/>
        </w:rPr>
      </w:pPr>
      <w:r>
        <w:rPr>
          <w:bCs w:val="0"/>
          <w:sz w:val="20"/>
          <w:szCs w:val="20"/>
        </w:rPr>
        <w:tab/>
        <w:t>20) Rocky Mountain Power, Idaho – no deadband, 90/10</w:t>
      </w:r>
      <w:r w:rsidRPr="002E3262">
        <w:rPr>
          <w:bCs w:val="0"/>
          <w:sz w:val="20"/>
          <w:szCs w:val="20"/>
        </w:rPr>
        <w:t xml:space="preserve"> sharing</w:t>
      </w:r>
    </w:p>
    <w:p w:rsidR="00212289" w:rsidRDefault="00212289" w:rsidP="00212289">
      <w:pPr>
        <w:pStyle w:val="BodyText"/>
        <w:tabs>
          <w:tab w:val="num" w:pos="0"/>
          <w:tab w:val="left" w:pos="810"/>
        </w:tabs>
        <w:spacing w:line="480" w:lineRule="auto"/>
        <w:ind w:firstLine="720"/>
        <w:jc w:val="both"/>
        <w:rPr>
          <w:bCs w:val="0"/>
        </w:rPr>
      </w:pPr>
      <w:proofErr w:type="gramStart"/>
      <w:r>
        <w:rPr>
          <w:bCs w:val="0"/>
        </w:rPr>
        <w:lastRenderedPageBreak/>
        <w:t>Q.</w:t>
      </w:r>
      <w:r>
        <w:rPr>
          <w:bCs w:val="0"/>
        </w:rPr>
        <w:tab/>
        <w:t>How is the Company’s ERM proposal comparable to its Purchased Gas Adjustment (PGA) mechanism?</w:t>
      </w:r>
      <w:proofErr w:type="gramEnd"/>
    </w:p>
    <w:p w:rsidR="00212289" w:rsidRPr="002C6C06" w:rsidRDefault="00212289" w:rsidP="00212289">
      <w:pPr>
        <w:pStyle w:val="BodyText"/>
        <w:tabs>
          <w:tab w:val="num" w:pos="0"/>
          <w:tab w:val="left" w:pos="810"/>
        </w:tabs>
        <w:spacing w:line="480" w:lineRule="auto"/>
        <w:ind w:firstLine="720"/>
        <w:jc w:val="both"/>
        <w:rPr>
          <w:b w:val="0"/>
          <w:bCs w:val="0"/>
        </w:rPr>
      </w:pPr>
      <w:r w:rsidRPr="002C6C06">
        <w:rPr>
          <w:b w:val="0"/>
          <w:bCs w:val="0"/>
        </w:rPr>
        <w:t>A.</w:t>
      </w:r>
      <w:r w:rsidRPr="002C6C06">
        <w:rPr>
          <w:b w:val="0"/>
          <w:bCs w:val="0"/>
        </w:rPr>
        <w:tab/>
      </w:r>
      <w:r>
        <w:rPr>
          <w:b w:val="0"/>
          <w:bCs w:val="0"/>
        </w:rPr>
        <w:t>As I mentioned earlier, the Company’s PGA mechanism in both Washington and Idaho allows for the recovery of 100% of the difference between actual and authorized purchased gas costs.  There is no deadband or sharing bands in the PGA mechanism.  The Company is proposing elimination of the deadband and first sharing band in the ERM.  While the Company believes that it should be allowed to recover 100% of the difference between actual and authorized power supply related costs included in the ERM, as it is allowed to do in the PGA, the Company is proposing a 90% customer/10% Company sharing level for the ERM.</w:t>
      </w:r>
    </w:p>
    <w:p w:rsidR="00212289" w:rsidRPr="00FD69F1" w:rsidRDefault="00212289" w:rsidP="00212289">
      <w:pPr>
        <w:pStyle w:val="BodyText"/>
        <w:tabs>
          <w:tab w:val="num" w:pos="0"/>
          <w:tab w:val="left" w:pos="810"/>
        </w:tabs>
        <w:spacing w:line="480" w:lineRule="auto"/>
        <w:ind w:firstLine="720"/>
        <w:jc w:val="both"/>
        <w:rPr>
          <w:bCs w:val="0"/>
        </w:rPr>
      </w:pPr>
      <w:r w:rsidRPr="00FD69F1">
        <w:rPr>
          <w:bCs w:val="0"/>
        </w:rPr>
        <w:t>Q.</w:t>
      </w:r>
      <w:r w:rsidRPr="00FD69F1">
        <w:rPr>
          <w:bCs w:val="0"/>
        </w:rPr>
        <w:tab/>
        <w:t>Would you please</w:t>
      </w:r>
      <w:r>
        <w:rPr>
          <w:bCs w:val="0"/>
        </w:rPr>
        <w:t xml:space="preserve"> summarize the reasons for eliminating the deadband and the </w:t>
      </w:r>
      <w:r w:rsidRPr="00C37D0F">
        <w:rPr>
          <w:bCs w:val="0"/>
        </w:rPr>
        <w:t>$4 million to $10 million sharing band</w:t>
      </w:r>
      <w:r>
        <w:rPr>
          <w:bCs w:val="0"/>
        </w:rPr>
        <w:t xml:space="preserve"> in the ERM?</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The Company has essentially no control over variations in costs due to stream flow conditions, or fuel and purchased power prices reflected in the ERM, and the Company should not have to absorb power supply related costs that the Company has to incur to meet customer loads.  The Company’s PGA mechanism provides for the recovery of 100% of the variation in prudently incurred purchased gas costs.  Elimination of the deadband, and the $4 million to $10 million sharing bands, will reduce the impact of setting the level of power costs in base rates at the wrong level.  Other states have electric commodity recovery mechanisms that don’t have </w:t>
      </w:r>
      <w:proofErr w:type="spellStart"/>
      <w:r>
        <w:rPr>
          <w:b w:val="0"/>
          <w:bCs w:val="0"/>
        </w:rPr>
        <w:t>deadbands</w:t>
      </w:r>
      <w:proofErr w:type="spellEnd"/>
      <w:r>
        <w:rPr>
          <w:b w:val="0"/>
          <w:bCs w:val="0"/>
        </w:rPr>
        <w:t>.  And, the elimination of the deadband and first sharing band will help relieve financial stress on the Company, and will be viewed positively by the financial community.</w:t>
      </w:r>
    </w:p>
    <w:p w:rsidR="00212289" w:rsidRPr="00F774EE" w:rsidRDefault="00212289" w:rsidP="008527AD">
      <w:pPr>
        <w:pStyle w:val="BodyText"/>
        <w:tabs>
          <w:tab w:val="num" w:pos="0"/>
          <w:tab w:val="left" w:pos="810"/>
        </w:tabs>
        <w:spacing w:line="480" w:lineRule="auto"/>
        <w:jc w:val="both"/>
        <w:rPr>
          <w:bCs w:val="0"/>
          <w:u w:val="single"/>
        </w:rPr>
      </w:pPr>
      <w:r w:rsidRPr="00F774EE">
        <w:rPr>
          <w:bCs w:val="0"/>
          <w:u w:val="single"/>
        </w:rPr>
        <w:t>Retail Revenue Credit</w:t>
      </w:r>
    </w:p>
    <w:p w:rsidR="00212289" w:rsidRPr="00F774EE" w:rsidRDefault="00212289" w:rsidP="00212289">
      <w:pPr>
        <w:pStyle w:val="BodyText"/>
        <w:tabs>
          <w:tab w:val="num" w:pos="0"/>
          <w:tab w:val="left" w:pos="810"/>
        </w:tabs>
        <w:spacing w:line="480" w:lineRule="auto"/>
        <w:ind w:firstLine="720"/>
        <w:jc w:val="both"/>
        <w:rPr>
          <w:bCs w:val="0"/>
        </w:rPr>
      </w:pPr>
      <w:r w:rsidRPr="00F774EE">
        <w:rPr>
          <w:bCs w:val="0"/>
        </w:rPr>
        <w:lastRenderedPageBreak/>
        <w:t>Q.</w:t>
      </w:r>
      <w:r w:rsidRPr="00F774EE">
        <w:rPr>
          <w:bCs w:val="0"/>
        </w:rPr>
        <w:tab/>
      </w:r>
      <w:r>
        <w:rPr>
          <w:bCs w:val="0"/>
        </w:rPr>
        <w:t>Would you please describe how the retail revenue credit works within the ERM?</w:t>
      </w:r>
    </w:p>
    <w:p w:rsidR="00212289" w:rsidRPr="006A2054"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w:t>
      </w:r>
      <w:r w:rsidRPr="006A2054">
        <w:rPr>
          <w:b w:val="0"/>
          <w:bCs w:val="0"/>
        </w:rPr>
        <w:t xml:space="preserve">When retail loads are higher than authorized loads, there is a higher power supply expense to serve the increase in load that is included in </w:t>
      </w:r>
      <w:r>
        <w:rPr>
          <w:b w:val="0"/>
          <w:bCs w:val="0"/>
        </w:rPr>
        <w:t>the ERM</w:t>
      </w:r>
      <w:r w:rsidRPr="006A2054">
        <w:rPr>
          <w:b w:val="0"/>
          <w:bCs w:val="0"/>
        </w:rPr>
        <w:t xml:space="preserve">.  </w:t>
      </w:r>
      <w:r>
        <w:rPr>
          <w:b w:val="0"/>
          <w:bCs w:val="0"/>
        </w:rPr>
        <w:t>There is also a</w:t>
      </w:r>
      <w:r w:rsidRPr="006A2054">
        <w:rPr>
          <w:b w:val="0"/>
          <w:bCs w:val="0"/>
        </w:rPr>
        <w:t xml:space="preserve"> retail revenue credit</w:t>
      </w:r>
      <w:r>
        <w:rPr>
          <w:b w:val="0"/>
          <w:bCs w:val="0"/>
        </w:rPr>
        <w:t xml:space="preserve"> adjustment within the ERM that multiplies the retail revenue credit rate times</w:t>
      </w:r>
      <w:r w:rsidRPr="006A2054">
        <w:rPr>
          <w:b w:val="0"/>
          <w:bCs w:val="0"/>
        </w:rPr>
        <w:t xml:space="preserve"> the increase in load to take into account that there is an increase in retail revenue to correspond with the increase in power supply expense.  Absent the </w:t>
      </w:r>
      <w:r>
        <w:rPr>
          <w:b w:val="0"/>
          <w:bCs w:val="0"/>
        </w:rPr>
        <w:t>retail revenue credit</w:t>
      </w:r>
      <w:r w:rsidRPr="006A2054">
        <w:rPr>
          <w:b w:val="0"/>
          <w:bCs w:val="0"/>
        </w:rPr>
        <w:t xml:space="preserve"> adjustment, customers would be overcharged through the </w:t>
      </w:r>
      <w:r>
        <w:rPr>
          <w:b w:val="0"/>
          <w:bCs w:val="0"/>
        </w:rPr>
        <w:t>ERM</w:t>
      </w:r>
      <w:r w:rsidRPr="006A2054">
        <w:rPr>
          <w:b w:val="0"/>
          <w:bCs w:val="0"/>
        </w:rPr>
        <w:t xml:space="preserve"> for the increase in power supply expense.</w:t>
      </w:r>
    </w:p>
    <w:p w:rsidR="00212289" w:rsidRDefault="00212289" w:rsidP="00212289">
      <w:pPr>
        <w:pStyle w:val="BodyText"/>
        <w:tabs>
          <w:tab w:val="num" w:pos="0"/>
          <w:tab w:val="left" w:pos="810"/>
        </w:tabs>
        <w:spacing w:line="480" w:lineRule="auto"/>
        <w:ind w:firstLine="720"/>
        <w:jc w:val="both"/>
        <w:rPr>
          <w:b w:val="0"/>
          <w:bCs w:val="0"/>
        </w:rPr>
      </w:pPr>
      <w:r w:rsidRPr="006A2054">
        <w:rPr>
          <w:b w:val="0"/>
          <w:bCs w:val="0"/>
        </w:rPr>
        <w:t xml:space="preserve">Likewise, when retail loads are lower than authorized loads, there is a lower net power supply expense to serve the decrease in load that is included in the </w:t>
      </w:r>
      <w:r>
        <w:rPr>
          <w:b w:val="0"/>
          <w:bCs w:val="0"/>
        </w:rPr>
        <w:t>ERM</w:t>
      </w:r>
      <w:r w:rsidRPr="006A2054">
        <w:rPr>
          <w:b w:val="0"/>
          <w:bCs w:val="0"/>
        </w:rPr>
        <w:t xml:space="preserve">.  </w:t>
      </w:r>
      <w:r>
        <w:rPr>
          <w:b w:val="0"/>
          <w:bCs w:val="0"/>
        </w:rPr>
        <w:t>The</w:t>
      </w:r>
      <w:r w:rsidRPr="006A2054">
        <w:rPr>
          <w:b w:val="0"/>
          <w:bCs w:val="0"/>
        </w:rPr>
        <w:t xml:space="preserve"> retail revenue credit</w:t>
      </w:r>
      <w:r>
        <w:rPr>
          <w:b w:val="0"/>
          <w:bCs w:val="0"/>
        </w:rPr>
        <w:t xml:space="preserve"> </w:t>
      </w:r>
      <w:r w:rsidRPr="006A2054">
        <w:rPr>
          <w:b w:val="0"/>
          <w:bCs w:val="0"/>
        </w:rPr>
        <w:t xml:space="preserve">is applied to the decrease in load to take into account that there is a decrease in retail revenue that corresponds with the decrease in power supply expense.  Absent the </w:t>
      </w:r>
      <w:r>
        <w:rPr>
          <w:b w:val="0"/>
          <w:bCs w:val="0"/>
        </w:rPr>
        <w:t>retail revenue credit</w:t>
      </w:r>
      <w:r w:rsidRPr="006A2054">
        <w:rPr>
          <w:b w:val="0"/>
          <w:bCs w:val="0"/>
        </w:rPr>
        <w:t xml:space="preserve"> adjustment, customers would receive an und</w:t>
      </w:r>
      <w:r w:rsidR="002F62B6">
        <w:rPr>
          <w:b w:val="0"/>
          <w:bCs w:val="0"/>
        </w:rPr>
        <w:t>ue</w:t>
      </w:r>
      <w:r w:rsidRPr="006A2054">
        <w:rPr>
          <w:b w:val="0"/>
          <w:bCs w:val="0"/>
        </w:rPr>
        <w:t xml:space="preserve"> benefit through the </w:t>
      </w:r>
      <w:r>
        <w:rPr>
          <w:b w:val="0"/>
          <w:bCs w:val="0"/>
        </w:rPr>
        <w:t>ERM</w:t>
      </w:r>
      <w:r w:rsidRPr="006A2054">
        <w:rPr>
          <w:b w:val="0"/>
          <w:bCs w:val="0"/>
        </w:rPr>
        <w:t>, since the net reduction in power supply expense is directly related to a reduction in retail revenue.</w:t>
      </w:r>
    </w:p>
    <w:p w:rsidR="00212289" w:rsidRPr="00D36092" w:rsidRDefault="00212289" w:rsidP="00212289">
      <w:pPr>
        <w:pStyle w:val="BodyText"/>
        <w:tabs>
          <w:tab w:val="num" w:pos="0"/>
          <w:tab w:val="left" w:pos="810"/>
        </w:tabs>
        <w:spacing w:line="480" w:lineRule="auto"/>
        <w:ind w:firstLine="720"/>
        <w:jc w:val="both"/>
        <w:rPr>
          <w:bCs w:val="0"/>
        </w:rPr>
      </w:pPr>
      <w:proofErr w:type="gramStart"/>
      <w:r w:rsidRPr="00D36092">
        <w:rPr>
          <w:bCs w:val="0"/>
        </w:rPr>
        <w:t>Q.</w:t>
      </w:r>
      <w:r w:rsidRPr="00D36092">
        <w:rPr>
          <w:bCs w:val="0"/>
        </w:rPr>
        <w:tab/>
        <w:t xml:space="preserve">How is the retail revenue credit rate </w:t>
      </w:r>
      <w:r>
        <w:rPr>
          <w:bCs w:val="0"/>
        </w:rPr>
        <w:t>currently</w:t>
      </w:r>
      <w:proofErr w:type="gramEnd"/>
      <w:r>
        <w:rPr>
          <w:bCs w:val="0"/>
        </w:rPr>
        <w:t xml:space="preserve"> </w:t>
      </w:r>
      <w:r w:rsidRPr="00D36092">
        <w:rPr>
          <w:bCs w:val="0"/>
        </w:rPr>
        <w:t>determined?</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retail revenue credit rate is currently based on a revenue requirement calculation of the fixed and variable production and transmission costs authorized in the Company’s last rate case.  The net costs include production and transmission related sales for resale and other revenues, operating expenses, maintenance expenses, purchased power expenses, depreciation and amortization expenses, and a return on production and transmission rate base including federal income tax.</w:t>
      </w:r>
    </w:p>
    <w:p w:rsidR="00212289" w:rsidRDefault="00212289" w:rsidP="00212289">
      <w:pPr>
        <w:pStyle w:val="BodyText"/>
        <w:tabs>
          <w:tab w:val="num" w:pos="0"/>
          <w:tab w:val="left" w:pos="810"/>
        </w:tabs>
        <w:spacing w:line="480" w:lineRule="auto"/>
        <w:ind w:firstLine="720"/>
        <w:jc w:val="both"/>
        <w:rPr>
          <w:bCs w:val="0"/>
        </w:rPr>
      </w:pPr>
      <w:r>
        <w:rPr>
          <w:bCs w:val="0"/>
        </w:rPr>
        <w:lastRenderedPageBreak/>
        <w:t>Q.</w:t>
      </w:r>
      <w:r>
        <w:rPr>
          <w:bCs w:val="0"/>
        </w:rPr>
        <w:tab/>
        <w:t>What is the new method of determining the retail revenue credit rate that the Company is proposing?</w:t>
      </w:r>
    </w:p>
    <w:p w:rsidR="00212289" w:rsidRDefault="00212289" w:rsidP="00212289">
      <w:pPr>
        <w:pStyle w:val="BodyText"/>
        <w:tabs>
          <w:tab w:val="num" w:pos="0"/>
          <w:tab w:val="left" w:pos="810"/>
        </w:tabs>
        <w:spacing w:line="480" w:lineRule="auto"/>
        <w:ind w:firstLine="720"/>
        <w:jc w:val="both"/>
        <w:rPr>
          <w:b w:val="0"/>
          <w:bCs w:val="0"/>
        </w:rPr>
      </w:pPr>
      <w:r w:rsidRPr="00D20E5B">
        <w:rPr>
          <w:b w:val="0"/>
          <w:bCs w:val="0"/>
        </w:rPr>
        <w:t>A.</w:t>
      </w:r>
      <w:r w:rsidRPr="00D20E5B">
        <w:rPr>
          <w:b w:val="0"/>
          <w:bCs w:val="0"/>
        </w:rPr>
        <w:tab/>
      </w:r>
      <w:r>
        <w:rPr>
          <w:b w:val="0"/>
          <w:bCs w:val="0"/>
        </w:rPr>
        <w:t xml:space="preserve">The Company is proposing that the retail revenue credit rate be determined based on the </w:t>
      </w:r>
      <w:r w:rsidRPr="00C423D5">
        <w:rPr>
          <w:b w:val="0"/>
          <w:bCs w:val="0"/>
          <w:u w:val="single"/>
        </w:rPr>
        <w:t>energy</w:t>
      </w:r>
      <w:r>
        <w:rPr>
          <w:b w:val="0"/>
          <w:bCs w:val="0"/>
        </w:rPr>
        <w:t xml:space="preserve"> classified portion of the fixed and variable production and transmission revenue requirement identified above, as established in the Company’s cost of service study from the general rate case.</w:t>
      </w:r>
    </w:p>
    <w:p w:rsidR="00212289" w:rsidRPr="00946BF5" w:rsidRDefault="00212289" w:rsidP="00212289">
      <w:pPr>
        <w:pStyle w:val="BodyText"/>
        <w:tabs>
          <w:tab w:val="num" w:pos="0"/>
          <w:tab w:val="left" w:pos="810"/>
        </w:tabs>
        <w:spacing w:line="480" w:lineRule="auto"/>
        <w:ind w:firstLine="720"/>
        <w:jc w:val="both"/>
        <w:rPr>
          <w:bCs w:val="0"/>
        </w:rPr>
      </w:pPr>
      <w:r w:rsidRPr="00946BF5">
        <w:rPr>
          <w:bCs w:val="0"/>
        </w:rPr>
        <w:t>Q.</w:t>
      </w:r>
      <w:r w:rsidRPr="00946BF5">
        <w:rPr>
          <w:bCs w:val="0"/>
        </w:rPr>
        <w:tab/>
        <w:t>What affect does the proposed method have on the retail revenue credit rate?</w:t>
      </w:r>
    </w:p>
    <w:p w:rsidR="00212289" w:rsidRPr="00D20E5B"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Based on the Settlement Agreement approved by the Commission in Docket UE-110876, the retail revenue credit rate that was effective January 1, 2012, and that is currently in place under th</w:t>
      </w:r>
      <w:r w:rsidR="00804CDF">
        <w:rPr>
          <w:b w:val="0"/>
          <w:bCs w:val="0"/>
        </w:rPr>
        <w:t>e existing method is $50.37/</w:t>
      </w:r>
      <w:r>
        <w:rPr>
          <w:b w:val="0"/>
          <w:bCs w:val="0"/>
        </w:rPr>
        <w:t>M</w:t>
      </w:r>
      <w:r w:rsidR="00804CDF">
        <w:rPr>
          <w:b w:val="0"/>
          <w:bCs w:val="0"/>
        </w:rPr>
        <w:t>W</w:t>
      </w:r>
      <w:r>
        <w:rPr>
          <w:b w:val="0"/>
          <w:bCs w:val="0"/>
        </w:rPr>
        <w:t xml:space="preserve">h.  Under the proposed method the energy classified portion </w:t>
      </w:r>
      <w:r w:rsidR="00804CDF">
        <w:rPr>
          <w:b w:val="0"/>
          <w:bCs w:val="0"/>
        </w:rPr>
        <w:t>of the rate would be $32.92/</w:t>
      </w:r>
      <w:r>
        <w:rPr>
          <w:b w:val="0"/>
          <w:bCs w:val="0"/>
        </w:rPr>
        <w:t>M</w:t>
      </w:r>
      <w:r w:rsidR="00804CDF">
        <w:rPr>
          <w:b w:val="0"/>
          <w:bCs w:val="0"/>
        </w:rPr>
        <w:t>W</w:t>
      </w:r>
      <w:r>
        <w:rPr>
          <w:b w:val="0"/>
          <w:bCs w:val="0"/>
        </w:rPr>
        <w:t xml:space="preserve">h.  In the current case, based on the Company’s proposed revenue requirement, the </w:t>
      </w:r>
      <w:r w:rsidR="00717FC0">
        <w:rPr>
          <w:b w:val="0"/>
          <w:bCs w:val="0"/>
        </w:rPr>
        <w:t>retail revenue credit is $50.</w:t>
      </w:r>
      <w:r w:rsidR="00214EEC">
        <w:rPr>
          <w:b w:val="0"/>
          <w:bCs w:val="0"/>
        </w:rPr>
        <w:t>59</w:t>
      </w:r>
      <w:r w:rsidR="00804CDF">
        <w:rPr>
          <w:b w:val="0"/>
          <w:bCs w:val="0"/>
        </w:rPr>
        <w:t xml:space="preserve"> /</w:t>
      </w:r>
      <w:r>
        <w:rPr>
          <w:b w:val="0"/>
          <w:bCs w:val="0"/>
        </w:rPr>
        <w:t>M</w:t>
      </w:r>
      <w:r w:rsidR="00804CDF">
        <w:rPr>
          <w:b w:val="0"/>
          <w:bCs w:val="0"/>
        </w:rPr>
        <w:t>W</w:t>
      </w:r>
      <w:r>
        <w:rPr>
          <w:b w:val="0"/>
          <w:bCs w:val="0"/>
        </w:rPr>
        <w:t xml:space="preserve">h under the </w:t>
      </w:r>
      <w:r w:rsidR="00804CDF">
        <w:rPr>
          <w:b w:val="0"/>
          <w:bCs w:val="0"/>
        </w:rPr>
        <w:t>existing method, and $33.</w:t>
      </w:r>
      <w:r w:rsidR="00214EEC">
        <w:rPr>
          <w:b w:val="0"/>
          <w:bCs w:val="0"/>
        </w:rPr>
        <w:t>29</w:t>
      </w:r>
      <w:r w:rsidR="00804CDF">
        <w:rPr>
          <w:b w:val="0"/>
          <w:bCs w:val="0"/>
        </w:rPr>
        <w:t>/MWh</w:t>
      </w:r>
      <w:r>
        <w:rPr>
          <w:b w:val="0"/>
          <w:bCs w:val="0"/>
        </w:rPr>
        <w:t xml:space="preserve"> under the proposed, energy-classified method.</w:t>
      </w:r>
    </w:p>
    <w:p w:rsidR="00212289" w:rsidRPr="00D20E5B" w:rsidRDefault="00212289" w:rsidP="00212289">
      <w:pPr>
        <w:pStyle w:val="BodyText"/>
        <w:tabs>
          <w:tab w:val="num" w:pos="0"/>
          <w:tab w:val="left" w:pos="810"/>
        </w:tabs>
        <w:spacing w:line="480" w:lineRule="auto"/>
        <w:ind w:firstLine="720"/>
        <w:jc w:val="both"/>
        <w:rPr>
          <w:bCs w:val="0"/>
        </w:rPr>
      </w:pPr>
      <w:r w:rsidRPr="00D20E5B">
        <w:rPr>
          <w:bCs w:val="0"/>
        </w:rPr>
        <w:t>Q.</w:t>
      </w:r>
      <w:r w:rsidRPr="00D20E5B">
        <w:rPr>
          <w:bCs w:val="0"/>
        </w:rPr>
        <w:tab/>
        <w:t>Why is the Company proposing to change the way the retail revenue credit rate is determined?</w:t>
      </w:r>
    </w:p>
    <w:p w:rsidR="002034E5"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 xml:space="preserve">The existing retail revenue credit rate, which is based on the fixed and variable production and transmission costs, is set too high.  When retail loads increase, too much new revenue is credited back to customers through the ERM, rather than being available to offset increased costs.  Because too much revenue is credited back to customers through the ERM, the matching principle is violated following a general rate case.  New revenue from load growth is not available to offset costs associated with capital additions that are necessary to replace aging production, transmission, and back-bone distribution </w:t>
      </w:r>
      <w:r>
        <w:rPr>
          <w:b w:val="0"/>
          <w:bCs w:val="0"/>
        </w:rPr>
        <w:lastRenderedPageBreak/>
        <w:t xml:space="preserve">infrastructure, or increased operation and maintenance expenses.  </w:t>
      </w:r>
      <w:r w:rsidR="002034E5">
        <w:rPr>
          <w:b w:val="0"/>
          <w:bCs w:val="0"/>
        </w:rPr>
        <w:t xml:space="preserve">Inherent in the use of historical test-period ratemaking is the expectation that retail revenue will grow following the test year, and that revenue is available to help cover the increase in costs that occurs following the test year.  If the Retail Revenue Credit is designed to </w:t>
      </w:r>
      <w:r w:rsidR="0044625D">
        <w:rPr>
          <w:b w:val="0"/>
          <w:bCs w:val="0"/>
        </w:rPr>
        <w:t>rebate to customers the growth in revenue following the test year then it violates the matching principle and is in conflict with the use of historical test period ratemaking</w:t>
      </w:r>
    </w:p>
    <w:p w:rsidR="00212289" w:rsidRDefault="00212289" w:rsidP="00212289">
      <w:pPr>
        <w:pStyle w:val="BodyText"/>
        <w:tabs>
          <w:tab w:val="num" w:pos="0"/>
          <w:tab w:val="left" w:pos="810"/>
        </w:tabs>
        <w:spacing w:line="480" w:lineRule="auto"/>
        <w:ind w:firstLine="720"/>
        <w:jc w:val="both"/>
        <w:rPr>
          <w:b w:val="0"/>
          <w:bCs w:val="0"/>
        </w:rPr>
      </w:pPr>
      <w:r>
        <w:rPr>
          <w:b w:val="0"/>
          <w:bCs w:val="0"/>
        </w:rPr>
        <w:t>By setting the retail revenue credit rate at a lower level, there is more revenue available to offset the aforementioned costs that is not credited back to customers through the ERM.  Setting the retail revenue credit at a lower level will also eliminate fixed production and transmission costs from being recovered through the ERM when retail loads decline.</w:t>
      </w:r>
    </w:p>
    <w:p w:rsidR="00212289" w:rsidRDefault="00212289" w:rsidP="00212289">
      <w:pPr>
        <w:pStyle w:val="BodyText"/>
        <w:tabs>
          <w:tab w:val="num" w:pos="0"/>
          <w:tab w:val="left" w:pos="810"/>
        </w:tabs>
        <w:spacing w:line="480" w:lineRule="auto"/>
        <w:ind w:firstLine="720"/>
        <w:jc w:val="both"/>
        <w:rPr>
          <w:b w:val="0"/>
          <w:bCs w:val="0"/>
        </w:rPr>
      </w:pPr>
      <w:r>
        <w:rPr>
          <w:b w:val="0"/>
          <w:bCs w:val="0"/>
        </w:rPr>
        <w:t xml:space="preserve">The cost changes that are tracked through the ERM are primarily due to changes in the price of </w:t>
      </w:r>
      <w:r w:rsidRPr="00591EDC">
        <w:rPr>
          <w:b w:val="0"/>
          <w:bCs w:val="0"/>
          <w:u w:val="single"/>
        </w:rPr>
        <w:t>energy</w:t>
      </w:r>
      <w:r>
        <w:rPr>
          <w:b w:val="0"/>
          <w:bCs w:val="0"/>
        </w:rPr>
        <w:t xml:space="preserve">, or changes to the amount of energy being purchased, sold, or generated.  Since the costs being tracked through the ERM are primarily </w:t>
      </w:r>
      <w:r w:rsidRPr="00591EDC">
        <w:rPr>
          <w:b w:val="0"/>
          <w:bCs w:val="0"/>
          <w:u w:val="single"/>
        </w:rPr>
        <w:t>energy</w:t>
      </w:r>
      <w:r>
        <w:rPr>
          <w:b w:val="0"/>
          <w:bCs w:val="0"/>
        </w:rPr>
        <w:t xml:space="preserve"> related, it </w:t>
      </w:r>
      <w:r w:rsidR="00591EDC">
        <w:rPr>
          <w:b w:val="0"/>
          <w:bCs w:val="0"/>
        </w:rPr>
        <w:t>is appropriate</w:t>
      </w:r>
      <w:r>
        <w:rPr>
          <w:b w:val="0"/>
          <w:bCs w:val="0"/>
        </w:rPr>
        <w:t xml:space="preserve"> for the retail revenue credit to be based on the </w:t>
      </w:r>
      <w:r w:rsidRPr="00591EDC">
        <w:rPr>
          <w:b w:val="0"/>
          <w:bCs w:val="0"/>
          <w:u w:val="single"/>
        </w:rPr>
        <w:t>energy</w:t>
      </w:r>
      <w:r w:rsidR="00591EDC">
        <w:rPr>
          <w:b w:val="0"/>
          <w:bCs w:val="0"/>
        </w:rPr>
        <w:t>-</w:t>
      </w:r>
      <w:r>
        <w:rPr>
          <w:b w:val="0"/>
          <w:bCs w:val="0"/>
        </w:rPr>
        <w:t>related portion of production and transmission costs reflected in retail rates.</w:t>
      </w:r>
    </w:p>
    <w:p w:rsidR="00212289" w:rsidRDefault="00212289" w:rsidP="00212289">
      <w:pPr>
        <w:pStyle w:val="BodyText"/>
        <w:tabs>
          <w:tab w:val="num" w:pos="0"/>
          <w:tab w:val="left" w:pos="810"/>
        </w:tabs>
        <w:spacing w:line="480" w:lineRule="auto"/>
        <w:ind w:firstLine="720"/>
        <w:jc w:val="both"/>
        <w:rPr>
          <w:bCs w:val="0"/>
        </w:rPr>
      </w:pPr>
      <w:r>
        <w:rPr>
          <w:bCs w:val="0"/>
        </w:rPr>
        <w:t>Q.</w:t>
      </w:r>
      <w:r>
        <w:rPr>
          <w:bCs w:val="0"/>
        </w:rPr>
        <w:tab/>
        <w:t>What retail revenue credit method is used in the Idaho PCA?</w:t>
      </w:r>
    </w:p>
    <w:p w:rsidR="00212289" w:rsidRPr="00235D93" w:rsidRDefault="00212289" w:rsidP="00212289">
      <w:pPr>
        <w:pStyle w:val="BodyText"/>
        <w:tabs>
          <w:tab w:val="num" w:pos="0"/>
          <w:tab w:val="left" w:pos="810"/>
        </w:tabs>
        <w:spacing w:line="480" w:lineRule="auto"/>
        <w:ind w:firstLine="720"/>
        <w:jc w:val="both"/>
        <w:rPr>
          <w:b w:val="0"/>
          <w:bCs w:val="0"/>
        </w:rPr>
      </w:pPr>
      <w:r w:rsidRPr="00023534">
        <w:rPr>
          <w:b w:val="0"/>
          <w:bCs w:val="0"/>
        </w:rPr>
        <w:t>A.</w:t>
      </w:r>
      <w:r w:rsidRPr="00023534">
        <w:rPr>
          <w:b w:val="0"/>
          <w:bCs w:val="0"/>
        </w:rPr>
        <w:tab/>
      </w:r>
      <w:r w:rsidRPr="00235D93">
        <w:rPr>
          <w:b w:val="0"/>
          <w:bCs w:val="0"/>
        </w:rPr>
        <w:t>Effective April 1, 2011</w:t>
      </w:r>
      <w:r>
        <w:rPr>
          <w:b w:val="0"/>
          <w:bCs w:val="0"/>
        </w:rPr>
        <w:t xml:space="preserve"> the Idaho Public Utilities Commission authorized a switch to the energy classified portion of embedded production revenue requirement to determine the retail revenue credit, which is referred to as the “Load Change Adjustment Rate” in Idaho.  The method applies to all three investor-owned, electric utilities in Idaho, namely, Avista, Idaho Power, and Rocky Mountain Power.  On April 1, 2011 the retail revenue credit for Avi</w:t>
      </w:r>
      <w:r w:rsidR="00804CDF">
        <w:rPr>
          <w:b w:val="0"/>
          <w:bCs w:val="0"/>
        </w:rPr>
        <w:t>sta was reduced from $48.00/</w:t>
      </w:r>
      <w:r>
        <w:rPr>
          <w:b w:val="0"/>
          <w:bCs w:val="0"/>
        </w:rPr>
        <w:t>M</w:t>
      </w:r>
      <w:r w:rsidR="00804CDF">
        <w:rPr>
          <w:b w:val="0"/>
          <w:bCs w:val="0"/>
        </w:rPr>
        <w:t>Wh to $30.16/</w:t>
      </w:r>
      <w:r>
        <w:rPr>
          <w:b w:val="0"/>
          <w:bCs w:val="0"/>
        </w:rPr>
        <w:t>M</w:t>
      </w:r>
      <w:r w:rsidR="00804CDF">
        <w:rPr>
          <w:b w:val="0"/>
          <w:bCs w:val="0"/>
        </w:rPr>
        <w:t>W</w:t>
      </w:r>
      <w:r>
        <w:rPr>
          <w:b w:val="0"/>
          <w:bCs w:val="0"/>
        </w:rPr>
        <w:t>h.</w:t>
      </w:r>
    </w:p>
    <w:p w:rsidR="00212289" w:rsidRDefault="00212289" w:rsidP="008527AD">
      <w:pPr>
        <w:pStyle w:val="BodyText"/>
        <w:tabs>
          <w:tab w:val="num" w:pos="0"/>
          <w:tab w:val="left" w:pos="810"/>
        </w:tabs>
        <w:spacing w:line="480" w:lineRule="auto"/>
        <w:jc w:val="both"/>
        <w:rPr>
          <w:bCs w:val="0"/>
          <w:u w:val="single"/>
        </w:rPr>
      </w:pPr>
      <w:r>
        <w:rPr>
          <w:bCs w:val="0"/>
          <w:u w:val="single"/>
        </w:rPr>
        <w:lastRenderedPageBreak/>
        <w:t>Rate Adjustment Trigger and Rate Spread</w:t>
      </w:r>
    </w:p>
    <w:p w:rsidR="00212289" w:rsidRDefault="00212289" w:rsidP="00212289">
      <w:pPr>
        <w:pStyle w:val="BodyText"/>
        <w:tabs>
          <w:tab w:val="num" w:pos="0"/>
          <w:tab w:val="left" w:pos="810"/>
        </w:tabs>
        <w:spacing w:line="480" w:lineRule="auto"/>
        <w:ind w:firstLine="720"/>
        <w:jc w:val="both"/>
        <w:rPr>
          <w:bCs w:val="0"/>
        </w:rPr>
      </w:pPr>
      <w:r>
        <w:rPr>
          <w:bCs w:val="0"/>
        </w:rPr>
        <w:t>Q.</w:t>
      </w:r>
      <w:r>
        <w:rPr>
          <w:bCs w:val="0"/>
        </w:rPr>
        <w:tab/>
        <w:t>What is the current rate adjustment trigger for the ERM?</w:t>
      </w:r>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rate adjustment trigger is set at 10% of base revenues per the Settlement Stipulation approved by the Fifth Supplemental Order in Docket UE-011595, dated June 18, 2002.  What this means is that the ERM rate adjustment trigger is currently $45.3 million (10% of the base level of revenue approved in Docket UE-110876 of $453,007,000).  The Company believes that allowing deferrals to grow to 10% of base revenues, or approximately $45 million, needlessly delays the recovery or rebate of variations in power supply related costs.</w:t>
      </w:r>
    </w:p>
    <w:p w:rsidR="00212289" w:rsidRDefault="00212289" w:rsidP="00212289">
      <w:pPr>
        <w:pStyle w:val="BodyText"/>
        <w:tabs>
          <w:tab w:val="num" w:pos="0"/>
          <w:tab w:val="left" w:pos="810"/>
        </w:tabs>
        <w:spacing w:line="480" w:lineRule="auto"/>
        <w:ind w:firstLine="720"/>
        <w:jc w:val="both"/>
        <w:rPr>
          <w:bCs w:val="0"/>
        </w:rPr>
      </w:pPr>
      <w:proofErr w:type="gramStart"/>
      <w:r>
        <w:rPr>
          <w:bCs w:val="0"/>
        </w:rPr>
        <w:t>Q.</w:t>
      </w:r>
      <w:r>
        <w:rPr>
          <w:bCs w:val="0"/>
        </w:rPr>
        <w:tab/>
        <w:t>What is the Company’s proposed modification to the trigger mechanism?</w:t>
      </w:r>
      <w:proofErr w:type="gramEnd"/>
    </w:p>
    <w:p w:rsidR="00212289"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t>The Company is proposing to replace the trigger mechanism with annual ERM rate adjustments.  These annual rate adjustments would occur with rates effective July 1 each year, based on the deferrals from the previous calendar year.  The Company would continue to file its annual deferral report on or before April 1 of each year, accompanied by a proposed rate adjustment to recover or rebate the deferral balance over a twelve-month period.  Commission Staff and other interested parties would still have 90 days to review the filing prior to the July 1 effective date of the tariff.</w:t>
      </w:r>
    </w:p>
    <w:p w:rsidR="00212289" w:rsidRDefault="00212289" w:rsidP="00212289">
      <w:pPr>
        <w:pStyle w:val="BodyText"/>
        <w:tabs>
          <w:tab w:val="num" w:pos="0"/>
          <w:tab w:val="left" w:pos="810"/>
        </w:tabs>
        <w:spacing w:line="480" w:lineRule="auto"/>
        <w:ind w:firstLine="720"/>
        <w:jc w:val="both"/>
        <w:rPr>
          <w:bCs w:val="0"/>
        </w:rPr>
      </w:pPr>
      <w:r>
        <w:rPr>
          <w:bCs w:val="0"/>
        </w:rPr>
        <w:t>Q.</w:t>
      </w:r>
      <w:r>
        <w:rPr>
          <w:bCs w:val="0"/>
        </w:rPr>
        <w:tab/>
        <w:t>Do annual rate adjustments result in smaller rate adjustments as compared to the existing trigger mechanism?</w:t>
      </w:r>
    </w:p>
    <w:p w:rsidR="00212289" w:rsidRDefault="00212289" w:rsidP="00591EDC">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the Company’s proposal would result in smaller surcharge or rebate rate adjustments, than adjusting rates when a 10% trigger is reached.  The rate adjustments would also be more understandable to customers since the costs being recovered or rebated </w:t>
      </w:r>
      <w:r>
        <w:rPr>
          <w:b w:val="0"/>
          <w:bCs w:val="0"/>
        </w:rPr>
        <w:lastRenderedPageBreak/>
        <w:t xml:space="preserve">relate to a recent period.  Annual rate adjustments would result in a more timely recovery of costs when deferrals are in the surcharge </w:t>
      </w:r>
      <w:proofErr w:type="gramStart"/>
      <w:r>
        <w:rPr>
          <w:b w:val="0"/>
          <w:bCs w:val="0"/>
        </w:rPr>
        <w:t>direction,</w:t>
      </w:r>
      <w:proofErr w:type="gramEnd"/>
      <w:r>
        <w:rPr>
          <w:b w:val="0"/>
          <w:bCs w:val="0"/>
        </w:rPr>
        <w:t xml:space="preserve"> and a timelier pass-through of refunds when deferrals are in the rebate direction.  The proposal of annual rate adjustments also fits within the existing 90-day review process.</w:t>
      </w:r>
    </w:p>
    <w:p w:rsidR="00BE21E7" w:rsidRPr="00BE21E7" w:rsidRDefault="000B57DD" w:rsidP="00BE21E7">
      <w:pPr>
        <w:pStyle w:val="BodyText"/>
        <w:tabs>
          <w:tab w:val="num" w:pos="0"/>
        </w:tabs>
        <w:spacing w:line="480" w:lineRule="auto"/>
        <w:jc w:val="both"/>
        <w:rPr>
          <w:bCs w:val="0"/>
          <w:u w:val="single"/>
        </w:rPr>
      </w:pPr>
      <w:r>
        <w:rPr>
          <w:bCs w:val="0"/>
          <w:u w:val="single"/>
        </w:rPr>
        <w:t>ERM Related Revenues and Expenses, Retail Sales and Proposed Retail Revenue Credit</w:t>
      </w:r>
    </w:p>
    <w:p w:rsidR="000B57DD" w:rsidRDefault="000B57DD" w:rsidP="000B57DD">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w:t>
      </w:r>
      <w:r w:rsidR="00591EDC">
        <w:t>Avista’s proposed</w:t>
      </w:r>
      <w:r w:rsidRPr="00BE21E7">
        <w:t xml:space="preserve"> authorized power supply expe</w:t>
      </w:r>
      <w:r>
        <w:t xml:space="preserve">nse and revenue </w:t>
      </w:r>
      <w:r w:rsidRPr="00BE21E7">
        <w:t>for the ERM?</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A.</w:t>
      </w:r>
      <w:r w:rsidRPr="00BE21E7">
        <w:tab/>
      </w:r>
      <w:r w:rsidRPr="00BE21E7">
        <w:rPr>
          <w:b w:val="0"/>
          <w:bCs w:val="0"/>
        </w:rPr>
        <w:t>The proposed authorized level of annual system power supply expense</w:t>
      </w:r>
      <w:r w:rsidR="00A745AE">
        <w:rPr>
          <w:b w:val="0"/>
          <w:bCs w:val="0"/>
        </w:rPr>
        <w:t xml:space="preserve"> </w:t>
      </w:r>
      <w:r w:rsidRPr="00BE21E7">
        <w:rPr>
          <w:b w:val="0"/>
          <w:bCs w:val="0"/>
        </w:rPr>
        <w:t xml:space="preserve">is </w:t>
      </w:r>
      <w:r w:rsidRPr="00591EDC">
        <w:rPr>
          <w:b w:val="0"/>
          <w:bCs w:val="0"/>
        </w:rPr>
        <w:t>$</w:t>
      </w:r>
      <w:r w:rsidR="00591EDC">
        <w:rPr>
          <w:b w:val="0"/>
          <w:bCs w:val="0"/>
        </w:rPr>
        <w:t>176,595,377</w:t>
      </w:r>
      <w:r w:rsidRPr="00BE21E7">
        <w:rPr>
          <w:b w:val="0"/>
          <w:bCs w:val="0"/>
        </w:rPr>
        <w:t>.  This is the sum of Accounts 555 (Purchased Power), 501 (Thermal Fuel), 547 (Fuel), less Account 447 (</w:t>
      </w:r>
      <w:smartTag w:uri="urn:schemas-microsoft-com:office:smarttags" w:element="City">
        <w:smartTag w:uri="urn:schemas-microsoft-com:office:smarttags" w:element="place">
          <w:r w:rsidRPr="00BE21E7">
            <w:rPr>
              <w:b w:val="0"/>
              <w:bCs w:val="0"/>
            </w:rPr>
            <w:t>Sale</w:t>
          </w:r>
        </w:smartTag>
      </w:smartTag>
      <w:r w:rsidRPr="00BE21E7">
        <w:rPr>
          <w:b w:val="0"/>
          <w:bCs w:val="0"/>
        </w:rPr>
        <w:t xml:space="preserve"> for Resale).  The proposed level of Transmission Expense is </w:t>
      </w:r>
      <w:r w:rsidR="00591EDC">
        <w:rPr>
          <w:b w:val="0"/>
          <w:bCs w:val="0"/>
        </w:rPr>
        <w:t>$18,058,719</w:t>
      </w:r>
      <w:r w:rsidRPr="00BE21E7">
        <w:rPr>
          <w:b w:val="0"/>
          <w:bCs w:val="0"/>
        </w:rPr>
        <w:t xml:space="preserve">.  The proposed level of Transmission Revenue is </w:t>
      </w:r>
      <w:r w:rsidRPr="00804CDF">
        <w:rPr>
          <w:b w:val="0"/>
          <w:bCs w:val="0"/>
        </w:rPr>
        <w:t>$</w:t>
      </w:r>
      <w:r w:rsidR="001F4990" w:rsidRPr="00804CDF">
        <w:rPr>
          <w:b w:val="0"/>
          <w:bCs w:val="0"/>
        </w:rPr>
        <w:t>1</w:t>
      </w:r>
      <w:r w:rsidR="00DC7D94" w:rsidRPr="00804CDF">
        <w:rPr>
          <w:b w:val="0"/>
          <w:bCs w:val="0"/>
        </w:rPr>
        <w:t>1</w:t>
      </w:r>
      <w:r w:rsidRPr="00804CDF">
        <w:rPr>
          <w:b w:val="0"/>
          <w:bCs w:val="0"/>
        </w:rPr>
        <w:t>,</w:t>
      </w:r>
      <w:r w:rsidR="00804CDF">
        <w:rPr>
          <w:b w:val="0"/>
          <w:bCs w:val="0"/>
        </w:rPr>
        <w:t>065,962</w:t>
      </w:r>
      <w:r w:rsidRPr="00BE21E7">
        <w:rPr>
          <w:b w:val="0"/>
          <w:bCs w:val="0"/>
        </w:rPr>
        <w:t>.</w:t>
      </w:r>
    </w:p>
    <w:p w:rsidR="00B358E3" w:rsidRDefault="00B358E3" w:rsidP="00B358E3">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the </w:t>
      </w:r>
      <w:r>
        <w:t xml:space="preserve">level of retail sales and the proposed retail revenue credit </w:t>
      </w:r>
      <w:r w:rsidRPr="00BE21E7">
        <w:t>for the ERM?</w:t>
      </w:r>
    </w:p>
    <w:p w:rsidR="00BE21E7" w:rsidRPr="00BE21E7" w:rsidRDefault="00B358E3" w:rsidP="00BE21E7">
      <w:pPr>
        <w:pStyle w:val="BodyText"/>
        <w:tabs>
          <w:tab w:val="num" w:pos="0"/>
        </w:tabs>
        <w:spacing w:line="480" w:lineRule="auto"/>
        <w:ind w:firstLine="720"/>
        <w:jc w:val="both"/>
        <w:rPr>
          <w:b w:val="0"/>
          <w:bCs w:val="0"/>
        </w:rPr>
      </w:pPr>
      <w:r>
        <w:rPr>
          <w:b w:val="0"/>
          <w:bCs w:val="0"/>
        </w:rPr>
        <w:t>A.</w:t>
      </w:r>
      <w:r>
        <w:rPr>
          <w:b w:val="0"/>
          <w:bCs w:val="0"/>
        </w:rPr>
        <w:tab/>
      </w:r>
      <w:r w:rsidR="00BE21E7" w:rsidRPr="00BE21E7">
        <w:rPr>
          <w:b w:val="0"/>
          <w:bCs w:val="0"/>
        </w:rPr>
        <w:t>The proposed authorized level of retail sales to be used in the ERM is the January 201</w:t>
      </w:r>
      <w:r w:rsidR="005A6D43">
        <w:rPr>
          <w:b w:val="0"/>
          <w:bCs w:val="0"/>
        </w:rPr>
        <w:t>1</w:t>
      </w:r>
      <w:r w:rsidR="00BE21E7" w:rsidRPr="00BE21E7">
        <w:rPr>
          <w:b w:val="0"/>
          <w:bCs w:val="0"/>
        </w:rPr>
        <w:t xml:space="preserve"> through December 20</w:t>
      </w:r>
      <w:r w:rsidR="001177A0">
        <w:rPr>
          <w:b w:val="0"/>
          <w:bCs w:val="0"/>
        </w:rPr>
        <w:t>1</w:t>
      </w:r>
      <w:r w:rsidR="005A6D43">
        <w:rPr>
          <w:b w:val="0"/>
          <w:bCs w:val="0"/>
        </w:rPr>
        <w:t>1</w:t>
      </w:r>
      <w:r w:rsidR="00BE21E7" w:rsidRPr="00BE21E7">
        <w:rPr>
          <w:b w:val="0"/>
          <w:bCs w:val="0"/>
        </w:rPr>
        <w:t xml:space="preserve"> </w:t>
      </w:r>
      <w:r w:rsidR="001177A0">
        <w:rPr>
          <w:b w:val="0"/>
          <w:bCs w:val="0"/>
        </w:rPr>
        <w:t>weather adjusted</w:t>
      </w:r>
      <w:r w:rsidR="00BE21E7" w:rsidRPr="00BE21E7">
        <w:rPr>
          <w:b w:val="0"/>
          <w:bCs w:val="0"/>
        </w:rPr>
        <w:t xml:space="preserve"> retail</w:t>
      </w:r>
      <w:r w:rsidR="00B97984">
        <w:rPr>
          <w:b w:val="0"/>
          <w:bCs w:val="0"/>
        </w:rPr>
        <w:t xml:space="preserve"> sales</w:t>
      </w:r>
      <w:r w:rsidR="00BE21E7" w:rsidRPr="00BE21E7">
        <w:rPr>
          <w:b w:val="0"/>
          <w:bCs w:val="0"/>
        </w:rPr>
        <w:t xml:space="preserve">.  The proposed retail revenue credit is </w:t>
      </w:r>
      <w:r w:rsidR="00BE21E7" w:rsidRPr="00105104">
        <w:rPr>
          <w:b w:val="0"/>
          <w:bCs w:val="0"/>
        </w:rPr>
        <w:t>$</w:t>
      </w:r>
      <w:r w:rsidR="00804CDF" w:rsidRPr="00804CDF">
        <w:rPr>
          <w:b w:val="0"/>
          <w:bCs w:val="0"/>
        </w:rPr>
        <w:t>33.</w:t>
      </w:r>
      <w:r w:rsidR="00214EEC">
        <w:rPr>
          <w:b w:val="0"/>
          <w:bCs w:val="0"/>
        </w:rPr>
        <w:t>29</w:t>
      </w:r>
      <w:r w:rsidR="00BE21E7" w:rsidRPr="00804CDF">
        <w:rPr>
          <w:b w:val="0"/>
          <w:bCs w:val="0"/>
        </w:rPr>
        <w:t>/</w:t>
      </w:r>
      <w:r w:rsidR="00BE21E7" w:rsidRPr="001F4990">
        <w:rPr>
          <w:b w:val="0"/>
          <w:bCs w:val="0"/>
        </w:rPr>
        <w:t>MWh</w:t>
      </w:r>
      <w:r w:rsidR="00BE21E7" w:rsidRPr="00BE21E7">
        <w:rPr>
          <w:b w:val="0"/>
          <w:bCs w:val="0"/>
        </w:rPr>
        <w:t xml:space="preserve">, which is the </w:t>
      </w:r>
      <w:r>
        <w:rPr>
          <w:b w:val="0"/>
          <w:bCs w:val="0"/>
        </w:rPr>
        <w:t>energy classified portion of the fixed and variable production and transmission revenue requirement</w:t>
      </w:r>
      <w:r w:rsidR="00BE21E7" w:rsidRPr="00BE21E7">
        <w:rPr>
          <w:b w:val="0"/>
          <w:bCs w:val="0"/>
        </w:rPr>
        <w:t xml:space="preserve"> in this filing</w:t>
      </w:r>
      <w:r w:rsidR="0044617E">
        <w:rPr>
          <w:b w:val="0"/>
          <w:bCs w:val="0"/>
        </w:rPr>
        <w:t xml:space="preserve"> developed </w:t>
      </w:r>
      <w:r w:rsidR="009C2006">
        <w:rPr>
          <w:b w:val="0"/>
          <w:bCs w:val="0"/>
        </w:rPr>
        <w:t>by Company witness Ms. Knox</w:t>
      </w:r>
      <w:r w:rsidR="00BE21E7" w:rsidRPr="00BE21E7">
        <w:rPr>
          <w:b w:val="0"/>
          <w:bCs w:val="0"/>
        </w:rPr>
        <w:t>.</w:t>
      </w:r>
    </w:p>
    <w:p w:rsidR="00BE21E7" w:rsidRPr="00BE21E7" w:rsidRDefault="00BE21E7" w:rsidP="00BE21E7">
      <w:pPr>
        <w:pStyle w:val="BodyText"/>
        <w:tabs>
          <w:tab w:val="num" w:pos="0"/>
        </w:tabs>
        <w:spacing w:line="480" w:lineRule="auto"/>
        <w:jc w:val="both"/>
        <w:rPr>
          <w:b w:val="0"/>
          <w:bCs w:val="0"/>
        </w:rPr>
      </w:pPr>
      <w:r w:rsidRPr="00BE21E7">
        <w:rPr>
          <w:b w:val="0"/>
          <w:bCs w:val="0"/>
        </w:rPr>
        <w:tab/>
        <w:t xml:space="preserve">The proposed authorized ERM power supply expense and revenue, transmission expense and revenue, and </w:t>
      </w:r>
      <w:proofErr w:type="gramStart"/>
      <w:r w:rsidRPr="00BE21E7">
        <w:rPr>
          <w:b w:val="0"/>
          <w:bCs w:val="0"/>
        </w:rPr>
        <w:t>retail sales is</w:t>
      </w:r>
      <w:proofErr w:type="gramEnd"/>
      <w:r w:rsidRPr="00BE21E7">
        <w:rPr>
          <w:b w:val="0"/>
          <w:bCs w:val="0"/>
        </w:rPr>
        <w:t xml:space="preserve"> shown in Exhibit No.</w:t>
      </w:r>
      <w:r w:rsidR="00A55DD3">
        <w:rPr>
          <w:b w:val="0"/>
          <w:bCs w:val="0"/>
        </w:rPr>
        <w:t>__</w:t>
      </w:r>
      <w:r w:rsidR="00822FCE">
        <w:rPr>
          <w:b w:val="0"/>
          <w:bCs w:val="0"/>
        </w:rPr>
        <w:t>_</w:t>
      </w:r>
      <w:r w:rsidR="00822FCE" w:rsidRPr="00BE21E7">
        <w:rPr>
          <w:b w:val="0"/>
          <w:bCs w:val="0"/>
        </w:rPr>
        <w:t xml:space="preserve"> (</w:t>
      </w:r>
      <w:r w:rsidRPr="00BE21E7">
        <w:rPr>
          <w:b w:val="0"/>
          <w:bCs w:val="0"/>
        </w:rPr>
        <w:t>WGJ-</w:t>
      </w:r>
      <w:r w:rsidR="00A745AE">
        <w:rPr>
          <w:b w:val="0"/>
          <w:bCs w:val="0"/>
        </w:rPr>
        <w:t>5</w:t>
      </w:r>
      <w:r w:rsidRPr="00BE21E7">
        <w:rPr>
          <w:b w:val="0"/>
          <w:bCs w:val="0"/>
        </w:rPr>
        <w: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Does that conclude your pre-filed direct testimony?</w:t>
      </w:r>
    </w:p>
    <w:p w:rsidR="00182994" w:rsidRDefault="00BE21E7" w:rsidP="0044617E">
      <w:pPr>
        <w:pStyle w:val="BodyText2"/>
        <w:tabs>
          <w:tab w:val="left" w:pos="1440"/>
        </w:tabs>
        <w:ind w:firstLine="720"/>
        <w:jc w:val="left"/>
      </w:pPr>
      <w:r w:rsidRPr="00BE21E7">
        <w:t>A.</w:t>
      </w:r>
      <w:r w:rsidRPr="00BE21E7">
        <w:tab/>
        <w:t xml:space="preserve">Yes. </w:t>
      </w:r>
    </w:p>
    <w:sectPr w:rsidR="00182994" w:rsidSect="00B86298">
      <w:pgSz w:w="12240" w:h="15840" w:code="1"/>
      <w:pgMar w:top="1440" w:right="1440"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1D1" w:rsidRDefault="00E331D1">
      <w:r>
        <w:separator/>
      </w:r>
    </w:p>
  </w:endnote>
  <w:endnote w:type="continuationSeparator" w:id="0">
    <w:p w:rsidR="00E331D1" w:rsidRDefault="00E33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D1" w:rsidRPr="00B4031A" w:rsidRDefault="00E331D1">
    <w:pPr>
      <w:pStyle w:val="Footer"/>
      <w:tabs>
        <w:tab w:val="clear" w:pos="4320"/>
        <w:tab w:val="clear" w:pos="8640"/>
        <w:tab w:val="left" w:pos="180"/>
        <w:tab w:val="right" w:pos="9360"/>
      </w:tabs>
    </w:pPr>
    <w:r w:rsidRPr="00B4031A">
      <w:t>Direct Testimony of William G. Johnson</w:t>
    </w:r>
  </w:p>
  <w:p w:rsidR="00E331D1" w:rsidRPr="00B4031A" w:rsidRDefault="00E331D1">
    <w:pPr>
      <w:pStyle w:val="Footer"/>
      <w:tabs>
        <w:tab w:val="clear" w:pos="4320"/>
        <w:tab w:val="clear" w:pos="8640"/>
        <w:tab w:val="left" w:pos="180"/>
        <w:tab w:val="right" w:pos="9360"/>
      </w:tabs>
      <w:rPr>
        <w:lang w:val="fr-FR"/>
      </w:rPr>
    </w:pPr>
    <w:r w:rsidRPr="00B4031A">
      <w:rPr>
        <w:lang w:val="fr-FR"/>
      </w:rPr>
      <w:t>Avista Corporation</w:t>
    </w:r>
  </w:p>
  <w:p w:rsidR="00E331D1" w:rsidRDefault="00E331D1">
    <w:pPr>
      <w:pStyle w:val="Footer"/>
      <w:tabs>
        <w:tab w:val="clear" w:pos="4320"/>
        <w:tab w:val="clear" w:pos="8640"/>
        <w:tab w:val="left" w:pos="180"/>
        <w:tab w:val="right" w:pos="9360"/>
      </w:tabs>
      <w:rPr>
        <w:rStyle w:val="PageNumber"/>
        <w:rFonts w:ascii="Palatino Linotype" w:hAnsi="Palatino Linotype" w:cs="Palatino Linotype"/>
      </w:rPr>
    </w:pPr>
    <w:r w:rsidRPr="00BE21E7">
      <w:rPr>
        <w:lang w:val="fr-FR"/>
      </w:rPr>
      <w:t>Docket No. UE-</w:t>
    </w:r>
    <w:r>
      <w:rPr>
        <w:lang w:val="fr-FR"/>
      </w:rPr>
      <w:t>1</w:t>
    </w:r>
    <w:r w:rsidR="00B86298">
      <w:rPr>
        <w:lang w:val="fr-FR"/>
      </w:rPr>
      <w:t>2</w:t>
    </w:r>
    <w:r w:rsidRPr="00BE21E7">
      <w:rPr>
        <w:lang w:val="fr-FR"/>
      </w:rPr>
      <w:t>____</w:t>
    </w:r>
    <w:r w:rsidRPr="00BE21E7">
      <w:rPr>
        <w:lang w:val="fr-FR"/>
      </w:rPr>
      <w:tab/>
      <w:t>Page</w:t>
    </w:r>
    <w:r w:rsidRPr="00BE21E7">
      <w:rPr>
        <w:rFonts w:ascii="Palatino Linotype" w:hAnsi="Palatino Linotype" w:cs="Palatino Linotype"/>
        <w:lang w:val="fr-FR"/>
      </w:rPr>
      <w:t xml:space="preserve"> </w:t>
    </w:r>
    <w:r w:rsidR="006A7727">
      <w:rPr>
        <w:rStyle w:val="PageNumber"/>
        <w:rFonts w:ascii="Palatino Linotype" w:hAnsi="Palatino Linotype" w:cs="Palatino Linotype"/>
      </w:rPr>
      <w:fldChar w:fldCharType="begin"/>
    </w:r>
    <w:r w:rsidRPr="00BE21E7">
      <w:rPr>
        <w:rStyle w:val="PageNumber"/>
        <w:rFonts w:ascii="Palatino Linotype" w:hAnsi="Palatino Linotype" w:cs="Palatino Linotype"/>
        <w:lang w:val="fr-FR"/>
      </w:rPr>
      <w:instrText xml:space="preserve"> PAGE </w:instrText>
    </w:r>
    <w:r w:rsidR="006A7727">
      <w:rPr>
        <w:rStyle w:val="PageNumber"/>
        <w:rFonts w:ascii="Palatino Linotype" w:hAnsi="Palatino Linotype" w:cs="Palatino Linotype"/>
      </w:rPr>
      <w:fldChar w:fldCharType="separate"/>
    </w:r>
    <w:r w:rsidR="005A7619">
      <w:rPr>
        <w:rStyle w:val="PageNumber"/>
        <w:rFonts w:ascii="Palatino Linotype" w:hAnsi="Palatino Linotype" w:cs="Palatino Linotype"/>
        <w:noProof/>
        <w:lang w:val="fr-FR"/>
      </w:rPr>
      <w:t>1</w:t>
    </w:r>
    <w:r w:rsidR="006A7727">
      <w:rPr>
        <w:rStyle w:val="PageNumber"/>
        <w:rFonts w:ascii="Palatino Linotype" w:hAnsi="Palatino Linotype" w:cs="Palatino Linotype"/>
      </w:rPr>
      <w:fldChar w:fldCharType="end"/>
    </w:r>
  </w:p>
  <w:p w:rsidR="00B4031A" w:rsidRDefault="00B4031A">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D1" w:rsidRDefault="00E331D1">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1D1" w:rsidRDefault="00E331D1">
      <w:r>
        <w:separator/>
      </w:r>
    </w:p>
  </w:footnote>
  <w:footnote w:type="continuationSeparator" w:id="0">
    <w:p w:rsidR="00E331D1" w:rsidRDefault="00E331D1">
      <w:r>
        <w:continuationSeparator/>
      </w:r>
    </w:p>
  </w:footnote>
  <w:footnote w:id="1">
    <w:p w:rsidR="00E331D1" w:rsidRDefault="00E331D1">
      <w:pPr>
        <w:pStyle w:val="FootnoteText"/>
      </w:pPr>
      <w:r>
        <w:rPr>
          <w:rStyle w:val="FootnoteReference"/>
        </w:rPr>
        <w:footnoteRef/>
      </w:r>
      <w:r>
        <w:t xml:space="preserve"> For the remainder of my testimony, for purposes of the power supply adjustment I will refer to the net of power supply revenues and expenses as power supply expense for ease of reference.</w:t>
      </w:r>
    </w:p>
  </w:footnote>
  <w:footnote w:id="2">
    <w:p w:rsidR="00E331D1" w:rsidRDefault="00E331D1">
      <w:pPr>
        <w:pStyle w:val="FootnoteText"/>
      </w:pPr>
      <w:r>
        <w:rPr>
          <w:rStyle w:val="FootnoteReference"/>
        </w:rPr>
        <w:footnoteRef/>
      </w:r>
      <w:r>
        <w:t xml:space="preserve"> The natural gas price included in the AURORA model and the modeled power purchase price does not include the actual natural gas and power transactions that have been entered into for the pro forma period.  These actual transactions have been separately accounted for in the pro forma expense.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D1" w:rsidRDefault="00E331D1">
    <w:pPr>
      <w:pStyle w:val="Header"/>
      <w:jc w:val="right"/>
    </w:pPr>
    <w:r>
      <w:t>Exhibit No. ___ (WGJ-1T)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D1" w:rsidRDefault="00E331D1" w:rsidP="00E331D1">
    <w:pPr>
      <w:pStyle w:val="Header"/>
      <w:jc w:val="right"/>
    </w:pPr>
    <w:r>
      <w:t>Exhibit No. ___ (WGJ-1T)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61A2EED"/>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5">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8">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0AD7DC5"/>
    <w:multiLevelType w:val="singleLevel"/>
    <w:tmpl w:val="7AB25DA2"/>
    <w:lvl w:ilvl="0">
      <w:start w:val="17"/>
      <w:numFmt w:val="upperLetter"/>
      <w:lvlText w:val="%1."/>
      <w:lvlJc w:val="left"/>
      <w:pPr>
        <w:tabs>
          <w:tab w:val="num" w:pos="1440"/>
        </w:tabs>
        <w:ind w:left="1440" w:hanging="720"/>
      </w:pPr>
      <w:rPr>
        <w:rFonts w:cs="Times New Roman" w:hint="default"/>
      </w:rPr>
    </w:lvl>
  </w:abstractNum>
  <w:abstractNum w:abstractNumId="10">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0"/>
  </w:num>
  <w:num w:numId="4">
    <w:abstractNumId w:val="9"/>
  </w:num>
  <w:num w:numId="5">
    <w:abstractNumId w:val="5"/>
  </w:num>
  <w:num w:numId="6">
    <w:abstractNumId w:val="1"/>
  </w:num>
  <w:num w:numId="7">
    <w:abstractNumId w:val="3"/>
  </w:num>
  <w:num w:numId="8">
    <w:abstractNumId w:val="10"/>
  </w:num>
  <w:num w:numId="9">
    <w:abstractNumId w:val="2"/>
  </w:num>
  <w:num w:numId="10">
    <w:abstractNumId w:val="8"/>
  </w:num>
  <w:num w:numId="11">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o:colormenu v:ext="edit" fillcolor="none [3212]"/>
    </o:shapedefaults>
  </w:hdrShapeDefaults>
  <w:footnotePr>
    <w:footnote w:id="-1"/>
    <w:footnote w:id="0"/>
  </w:footnotePr>
  <w:endnotePr>
    <w:endnote w:id="-1"/>
    <w:endnote w:id="0"/>
  </w:endnotePr>
  <w:compat/>
  <w:rsids>
    <w:rsidRoot w:val="00182994"/>
    <w:rsid w:val="00022CA6"/>
    <w:rsid w:val="00023534"/>
    <w:rsid w:val="0003296D"/>
    <w:rsid w:val="00036DBA"/>
    <w:rsid w:val="00037B2A"/>
    <w:rsid w:val="000519D7"/>
    <w:rsid w:val="00055978"/>
    <w:rsid w:val="00067E1A"/>
    <w:rsid w:val="00071F0A"/>
    <w:rsid w:val="00076370"/>
    <w:rsid w:val="000773D0"/>
    <w:rsid w:val="00087A02"/>
    <w:rsid w:val="00092D05"/>
    <w:rsid w:val="00095636"/>
    <w:rsid w:val="000A2769"/>
    <w:rsid w:val="000B57DD"/>
    <w:rsid w:val="000C6001"/>
    <w:rsid w:val="000E01AF"/>
    <w:rsid w:val="000F40A2"/>
    <w:rsid w:val="00105104"/>
    <w:rsid w:val="001177A0"/>
    <w:rsid w:val="001245BE"/>
    <w:rsid w:val="0012703B"/>
    <w:rsid w:val="00127C1C"/>
    <w:rsid w:val="0013441E"/>
    <w:rsid w:val="00137F9D"/>
    <w:rsid w:val="00147465"/>
    <w:rsid w:val="001665E9"/>
    <w:rsid w:val="001705BE"/>
    <w:rsid w:val="00182994"/>
    <w:rsid w:val="00187892"/>
    <w:rsid w:val="00190B9E"/>
    <w:rsid w:val="001947A1"/>
    <w:rsid w:val="001951A0"/>
    <w:rsid w:val="001973DE"/>
    <w:rsid w:val="00197849"/>
    <w:rsid w:val="001B0749"/>
    <w:rsid w:val="001B0DAD"/>
    <w:rsid w:val="001B4D44"/>
    <w:rsid w:val="001C4C68"/>
    <w:rsid w:val="001F1D02"/>
    <w:rsid w:val="001F37AE"/>
    <w:rsid w:val="001F3D71"/>
    <w:rsid w:val="001F4990"/>
    <w:rsid w:val="001F7A60"/>
    <w:rsid w:val="00200197"/>
    <w:rsid w:val="00201090"/>
    <w:rsid w:val="00201A6E"/>
    <w:rsid w:val="00201AC3"/>
    <w:rsid w:val="002034E5"/>
    <w:rsid w:val="00212289"/>
    <w:rsid w:val="00213819"/>
    <w:rsid w:val="00214EEC"/>
    <w:rsid w:val="002276E4"/>
    <w:rsid w:val="00230CF6"/>
    <w:rsid w:val="00231AD4"/>
    <w:rsid w:val="0023421E"/>
    <w:rsid w:val="002477D3"/>
    <w:rsid w:val="00254D97"/>
    <w:rsid w:val="00291043"/>
    <w:rsid w:val="002A2261"/>
    <w:rsid w:val="002C2686"/>
    <w:rsid w:val="002D06C3"/>
    <w:rsid w:val="002D0C51"/>
    <w:rsid w:val="002E5016"/>
    <w:rsid w:val="002F1C20"/>
    <w:rsid w:val="002F62B6"/>
    <w:rsid w:val="002F6EB0"/>
    <w:rsid w:val="00301D3F"/>
    <w:rsid w:val="00305307"/>
    <w:rsid w:val="003214E3"/>
    <w:rsid w:val="00321801"/>
    <w:rsid w:val="00326EEB"/>
    <w:rsid w:val="00335253"/>
    <w:rsid w:val="0035252D"/>
    <w:rsid w:val="00353674"/>
    <w:rsid w:val="00363D96"/>
    <w:rsid w:val="00387A30"/>
    <w:rsid w:val="003932C2"/>
    <w:rsid w:val="003A768F"/>
    <w:rsid w:val="003B5B38"/>
    <w:rsid w:val="003C2A70"/>
    <w:rsid w:val="003D15A9"/>
    <w:rsid w:val="003F3CBF"/>
    <w:rsid w:val="003F55FA"/>
    <w:rsid w:val="00407CC1"/>
    <w:rsid w:val="00414AC3"/>
    <w:rsid w:val="00414DD7"/>
    <w:rsid w:val="00431EB0"/>
    <w:rsid w:val="00434B9F"/>
    <w:rsid w:val="0044617E"/>
    <w:rsid w:val="0044625D"/>
    <w:rsid w:val="00452AA7"/>
    <w:rsid w:val="004628CA"/>
    <w:rsid w:val="00465B31"/>
    <w:rsid w:val="00470A8E"/>
    <w:rsid w:val="00472C4D"/>
    <w:rsid w:val="00476EBC"/>
    <w:rsid w:val="00483209"/>
    <w:rsid w:val="004936A1"/>
    <w:rsid w:val="004967E7"/>
    <w:rsid w:val="004A187E"/>
    <w:rsid w:val="004A3454"/>
    <w:rsid w:val="004A5300"/>
    <w:rsid w:val="004B4C41"/>
    <w:rsid w:val="004C0725"/>
    <w:rsid w:val="004C2BF7"/>
    <w:rsid w:val="004C3981"/>
    <w:rsid w:val="004D3D45"/>
    <w:rsid w:val="004E6CF8"/>
    <w:rsid w:val="004E7A16"/>
    <w:rsid w:val="004F758B"/>
    <w:rsid w:val="00506FC8"/>
    <w:rsid w:val="005108F2"/>
    <w:rsid w:val="005145D4"/>
    <w:rsid w:val="00514AC4"/>
    <w:rsid w:val="00541D93"/>
    <w:rsid w:val="00542569"/>
    <w:rsid w:val="005430BA"/>
    <w:rsid w:val="005517D9"/>
    <w:rsid w:val="005542A8"/>
    <w:rsid w:val="00565FD8"/>
    <w:rsid w:val="00576309"/>
    <w:rsid w:val="00580970"/>
    <w:rsid w:val="0058225F"/>
    <w:rsid w:val="00583433"/>
    <w:rsid w:val="00590DD4"/>
    <w:rsid w:val="00591D43"/>
    <w:rsid w:val="00591EDC"/>
    <w:rsid w:val="00593E33"/>
    <w:rsid w:val="005A6D43"/>
    <w:rsid w:val="005A7619"/>
    <w:rsid w:val="005B1E66"/>
    <w:rsid w:val="005C366C"/>
    <w:rsid w:val="005C39B4"/>
    <w:rsid w:val="005D7E94"/>
    <w:rsid w:val="005D7EE1"/>
    <w:rsid w:val="005E439A"/>
    <w:rsid w:val="005E6D8E"/>
    <w:rsid w:val="005F4F7A"/>
    <w:rsid w:val="005F5256"/>
    <w:rsid w:val="00601E14"/>
    <w:rsid w:val="00611611"/>
    <w:rsid w:val="0061735C"/>
    <w:rsid w:val="006242F7"/>
    <w:rsid w:val="0063791F"/>
    <w:rsid w:val="00650761"/>
    <w:rsid w:val="00653B88"/>
    <w:rsid w:val="0065453C"/>
    <w:rsid w:val="0065505F"/>
    <w:rsid w:val="00655366"/>
    <w:rsid w:val="00662BFE"/>
    <w:rsid w:val="006652C4"/>
    <w:rsid w:val="0066587A"/>
    <w:rsid w:val="00665EFE"/>
    <w:rsid w:val="0067610F"/>
    <w:rsid w:val="00676BEE"/>
    <w:rsid w:val="00684DC5"/>
    <w:rsid w:val="00691CB7"/>
    <w:rsid w:val="006A26AD"/>
    <w:rsid w:val="006A2758"/>
    <w:rsid w:val="006A6139"/>
    <w:rsid w:val="006A7727"/>
    <w:rsid w:val="006A7CFD"/>
    <w:rsid w:val="006B492E"/>
    <w:rsid w:val="006B7E17"/>
    <w:rsid w:val="006C01C8"/>
    <w:rsid w:val="006C0205"/>
    <w:rsid w:val="006D1A9B"/>
    <w:rsid w:val="006D353A"/>
    <w:rsid w:val="006D5BF7"/>
    <w:rsid w:val="006F4590"/>
    <w:rsid w:val="0070505F"/>
    <w:rsid w:val="007105B1"/>
    <w:rsid w:val="007119B4"/>
    <w:rsid w:val="0071369A"/>
    <w:rsid w:val="00717FC0"/>
    <w:rsid w:val="0072665A"/>
    <w:rsid w:val="00742583"/>
    <w:rsid w:val="00743E18"/>
    <w:rsid w:val="00747553"/>
    <w:rsid w:val="0075076D"/>
    <w:rsid w:val="00751E45"/>
    <w:rsid w:val="00754E86"/>
    <w:rsid w:val="00765BA1"/>
    <w:rsid w:val="007937D3"/>
    <w:rsid w:val="00796F4B"/>
    <w:rsid w:val="007A40D4"/>
    <w:rsid w:val="007A6DE3"/>
    <w:rsid w:val="007A795E"/>
    <w:rsid w:val="007A7EF9"/>
    <w:rsid w:val="007C4511"/>
    <w:rsid w:val="007D01A9"/>
    <w:rsid w:val="007D09A6"/>
    <w:rsid w:val="007D3E87"/>
    <w:rsid w:val="007E2219"/>
    <w:rsid w:val="007E6C13"/>
    <w:rsid w:val="007E7BC2"/>
    <w:rsid w:val="007F0DC8"/>
    <w:rsid w:val="007F462F"/>
    <w:rsid w:val="00800A6B"/>
    <w:rsid w:val="00804CDF"/>
    <w:rsid w:val="008103E4"/>
    <w:rsid w:val="008114C7"/>
    <w:rsid w:val="0081197F"/>
    <w:rsid w:val="00816FAB"/>
    <w:rsid w:val="00817F2D"/>
    <w:rsid w:val="00822FCE"/>
    <w:rsid w:val="00827A28"/>
    <w:rsid w:val="00834809"/>
    <w:rsid w:val="00844535"/>
    <w:rsid w:val="00845CCE"/>
    <w:rsid w:val="008527AD"/>
    <w:rsid w:val="008726A9"/>
    <w:rsid w:val="00876319"/>
    <w:rsid w:val="00876525"/>
    <w:rsid w:val="00883CEC"/>
    <w:rsid w:val="00890A57"/>
    <w:rsid w:val="00892EAA"/>
    <w:rsid w:val="008A0A47"/>
    <w:rsid w:val="008A35A7"/>
    <w:rsid w:val="008A45E4"/>
    <w:rsid w:val="008A76B4"/>
    <w:rsid w:val="008D3155"/>
    <w:rsid w:val="008E0200"/>
    <w:rsid w:val="008F3931"/>
    <w:rsid w:val="00904869"/>
    <w:rsid w:val="009055A6"/>
    <w:rsid w:val="0091276F"/>
    <w:rsid w:val="00922C46"/>
    <w:rsid w:val="009366BC"/>
    <w:rsid w:val="00945166"/>
    <w:rsid w:val="00946E37"/>
    <w:rsid w:val="0095196D"/>
    <w:rsid w:val="00953816"/>
    <w:rsid w:val="00954DB7"/>
    <w:rsid w:val="00954E28"/>
    <w:rsid w:val="00972518"/>
    <w:rsid w:val="00976E12"/>
    <w:rsid w:val="009920E0"/>
    <w:rsid w:val="009A26DF"/>
    <w:rsid w:val="009A2DAA"/>
    <w:rsid w:val="009A4D7E"/>
    <w:rsid w:val="009A610C"/>
    <w:rsid w:val="009B1B04"/>
    <w:rsid w:val="009C2006"/>
    <w:rsid w:val="009C412C"/>
    <w:rsid w:val="009E49FE"/>
    <w:rsid w:val="009E6F0C"/>
    <w:rsid w:val="009F0721"/>
    <w:rsid w:val="009F2E2E"/>
    <w:rsid w:val="00A040D3"/>
    <w:rsid w:val="00A2043B"/>
    <w:rsid w:val="00A31DD2"/>
    <w:rsid w:val="00A402FE"/>
    <w:rsid w:val="00A47217"/>
    <w:rsid w:val="00A55DD3"/>
    <w:rsid w:val="00A61E60"/>
    <w:rsid w:val="00A726C8"/>
    <w:rsid w:val="00A73B72"/>
    <w:rsid w:val="00A745AE"/>
    <w:rsid w:val="00A774E3"/>
    <w:rsid w:val="00A8574B"/>
    <w:rsid w:val="00A95D47"/>
    <w:rsid w:val="00AA1E96"/>
    <w:rsid w:val="00AA20C9"/>
    <w:rsid w:val="00AA2ED4"/>
    <w:rsid w:val="00AA3E66"/>
    <w:rsid w:val="00AA4BA2"/>
    <w:rsid w:val="00AC036F"/>
    <w:rsid w:val="00AE2899"/>
    <w:rsid w:val="00B0687F"/>
    <w:rsid w:val="00B06EB1"/>
    <w:rsid w:val="00B07EE5"/>
    <w:rsid w:val="00B07FCC"/>
    <w:rsid w:val="00B10EED"/>
    <w:rsid w:val="00B174B1"/>
    <w:rsid w:val="00B30FD8"/>
    <w:rsid w:val="00B358E3"/>
    <w:rsid w:val="00B3712F"/>
    <w:rsid w:val="00B4031A"/>
    <w:rsid w:val="00B4374B"/>
    <w:rsid w:val="00B500C4"/>
    <w:rsid w:val="00B502D2"/>
    <w:rsid w:val="00B51693"/>
    <w:rsid w:val="00B527F3"/>
    <w:rsid w:val="00B53214"/>
    <w:rsid w:val="00B53D8C"/>
    <w:rsid w:val="00B708DF"/>
    <w:rsid w:val="00B71810"/>
    <w:rsid w:val="00B7736F"/>
    <w:rsid w:val="00B77F17"/>
    <w:rsid w:val="00B80027"/>
    <w:rsid w:val="00B80CF5"/>
    <w:rsid w:val="00B86298"/>
    <w:rsid w:val="00B968D6"/>
    <w:rsid w:val="00B97984"/>
    <w:rsid w:val="00BA6FE4"/>
    <w:rsid w:val="00BB000A"/>
    <w:rsid w:val="00BB6621"/>
    <w:rsid w:val="00BB766A"/>
    <w:rsid w:val="00BC03AA"/>
    <w:rsid w:val="00BC154E"/>
    <w:rsid w:val="00BD5EFD"/>
    <w:rsid w:val="00BE21E7"/>
    <w:rsid w:val="00C026FD"/>
    <w:rsid w:val="00C030B8"/>
    <w:rsid w:val="00C03549"/>
    <w:rsid w:val="00C117D9"/>
    <w:rsid w:val="00C162D3"/>
    <w:rsid w:val="00C20A53"/>
    <w:rsid w:val="00C213E7"/>
    <w:rsid w:val="00C23C54"/>
    <w:rsid w:val="00C26DE3"/>
    <w:rsid w:val="00C52BC0"/>
    <w:rsid w:val="00C579DD"/>
    <w:rsid w:val="00C608F0"/>
    <w:rsid w:val="00C62BDA"/>
    <w:rsid w:val="00C74C46"/>
    <w:rsid w:val="00C74E30"/>
    <w:rsid w:val="00C86BD0"/>
    <w:rsid w:val="00C95537"/>
    <w:rsid w:val="00CA4C19"/>
    <w:rsid w:val="00CA52FC"/>
    <w:rsid w:val="00CB1427"/>
    <w:rsid w:val="00CB6E42"/>
    <w:rsid w:val="00CC1C97"/>
    <w:rsid w:val="00CD0757"/>
    <w:rsid w:val="00CD172A"/>
    <w:rsid w:val="00D007A9"/>
    <w:rsid w:val="00D118D9"/>
    <w:rsid w:val="00D150B6"/>
    <w:rsid w:val="00D21307"/>
    <w:rsid w:val="00D22C98"/>
    <w:rsid w:val="00D244AB"/>
    <w:rsid w:val="00D26E33"/>
    <w:rsid w:val="00D2745E"/>
    <w:rsid w:val="00D36CB0"/>
    <w:rsid w:val="00D47735"/>
    <w:rsid w:val="00D51E9F"/>
    <w:rsid w:val="00D60043"/>
    <w:rsid w:val="00D70A5F"/>
    <w:rsid w:val="00D753BA"/>
    <w:rsid w:val="00D7657F"/>
    <w:rsid w:val="00D77B2C"/>
    <w:rsid w:val="00D81DE9"/>
    <w:rsid w:val="00D83854"/>
    <w:rsid w:val="00DB3BCC"/>
    <w:rsid w:val="00DB55EE"/>
    <w:rsid w:val="00DC7D94"/>
    <w:rsid w:val="00DD3971"/>
    <w:rsid w:val="00DF0891"/>
    <w:rsid w:val="00E00851"/>
    <w:rsid w:val="00E04B65"/>
    <w:rsid w:val="00E24BB0"/>
    <w:rsid w:val="00E263B2"/>
    <w:rsid w:val="00E273CB"/>
    <w:rsid w:val="00E31282"/>
    <w:rsid w:val="00E331D1"/>
    <w:rsid w:val="00E469CC"/>
    <w:rsid w:val="00E502AC"/>
    <w:rsid w:val="00E62431"/>
    <w:rsid w:val="00E65C27"/>
    <w:rsid w:val="00E700D9"/>
    <w:rsid w:val="00E74A1D"/>
    <w:rsid w:val="00E81931"/>
    <w:rsid w:val="00E86EAC"/>
    <w:rsid w:val="00EA44DF"/>
    <w:rsid w:val="00EA4963"/>
    <w:rsid w:val="00EA7203"/>
    <w:rsid w:val="00EB2665"/>
    <w:rsid w:val="00EC62F1"/>
    <w:rsid w:val="00F105DA"/>
    <w:rsid w:val="00F134B6"/>
    <w:rsid w:val="00F155E9"/>
    <w:rsid w:val="00F22C09"/>
    <w:rsid w:val="00F34D22"/>
    <w:rsid w:val="00F4206A"/>
    <w:rsid w:val="00F46162"/>
    <w:rsid w:val="00F54F39"/>
    <w:rsid w:val="00F63D5B"/>
    <w:rsid w:val="00F67CA5"/>
    <w:rsid w:val="00F7443D"/>
    <w:rsid w:val="00F83CE7"/>
    <w:rsid w:val="00F92D8E"/>
    <w:rsid w:val="00FA2BB9"/>
    <w:rsid w:val="00FA5D11"/>
    <w:rsid w:val="00FB6544"/>
    <w:rsid w:val="00FC09A4"/>
    <w:rsid w:val="00FD413F"/>
    <w:rsid w:val="00FE2C77"/>
    <w:rsid w:val="00FF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638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qFormat/>
    <w:rsid w:val="004E7A1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E7A1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4E7A1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4E7A1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4E7A16"/>
    <w:pPr>
      <w:keepNext/>
      <w:spacing w:line="480" w:lineRule="auto"/>
      <w:jc w:val="center"/>
      <w:outlineLvl w:val="4"/>
    </w:pPr>
    <w:rPr>
      <w:b/>
      <w:bCs/>
    </w:rPr>
  </w:style>
  <w:style w:type="paragraph" w:styleId="Heading6">
    <w:name w:val="heading 6"/>
    <w:basedOn w:val="Normal"/>
    <w:next w:val="Normal"/>
    <w:qFormat/>
    <w:rsid w:val="004E7A1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4E7A16"/>
    <w:pPr>
      <w:keepNext/>
      <w:tabs>
        <w:tab w:val="left" w:pos="1260"/>
      </w:tabs>
      <w:jc w:val="right"/>
      <w:outlineLvl w:val="6"/>
    </w:pPr>
    <w:rPr>
      <w:sz w:val="20"/>
      <w:szCs w:val="20"/>
    </w:rPr>
  </w:style>
  <w:style w:type="paragraph" w:styleId="Heading8">
    <w:name w:val="heading 8"/>
    <w:basedOn w:val="Normal"/>
    <w:next w:val="Normal"/>
    <w:qFormat/>
    <w:rsid w:val="004E7A1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4E7A1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16"/>
    <w:pPr>
      <w:tabs>
        <w:tab w:val="center" w:pos="4320"/>
        <w:tab w:val="right" w:pos="8640"/>
      </w:tabs>
    </w:pPr>
  </w:style>
  <w:style w:type="paragraph" w:styleId="Footer">
    <w:name w:val="footer"/>
    <w:basedOn w:val="Normal"/>
    <w:rsid w:val="004E7A16"/>
    <w:pPr>
      <w:tabs>
        <w:tab w:val="center" w:pos="4320"/>
        <w:tab w:val="right" w:pos="8640"/>
      </w:tabs>
    </w:pPr>
  </w:style>
  <w:style w:type="character" w:styleId="PageNumber">
    <w:name w:val="page number"/>
    <w:basedOn w:val="DefaultParagraphFont"/>
    <w:rsid w:val="004E7A16"/>
    <w:rPr>
      <w:rFonts w:ascii="Times New Roman" w:hAnsi="Times New Roman" w:cs="Times New Roman"/>
      <w:sz w:val="24"/>
      <w:szCs w:val="24"/>
    </w:rPr>
  </w:style>
  <w:style w:type="character" w:styleId="LineNumber">
    <w:name w:val="line number"/>
    <w:basedOn w:val="DefaultParagraphFont"/>
    <w:rsid w:val="004E7A16"/>
    <w:rPr>
      <w:rFonts w:ascii="Times New Roman" w:hAnsi="Times New Roman" w:cs="Times New Roman"/>
      <w:sz w:val="24"/>
      <w:szCs w:val="24"/>
    </w:rPr>
  </w:style>
  <w:style w:type="paragraph" w:styleId="BodyText2">
    <w:name w:val="Body Text 2"/>
    <w:basedOn w:val="Normal"/>
    <w:link w:val="BodyText2Char"/>
    <w:rsid w:val="004E7A16"/>
    <w:pPr>
      <w:spacing w:line="480" w:lineRule="auto"/>
      <w:jc w:val="both"/>
    </w:pPr>
  </w:style>
  <w:style w:type="paragraph" w:styleId="BodyTextIndent2">
    <w:name w:val="Body Text Indent 2"/>
    <w:basedOn w:val="Normal"/>
    <w:rsid w:val="004E7A16"/>
    <w:pPr>
      <w:tabs>
        <w:tab w:val="left" w:pos="1260"/>
      </w:tabs>
      <w:spacing w:line="480" w:lineRule="auto"/>
      <w:ind w:left="540" w:hanging="540"/>
      <w:jc w:val="both"/>
    </w:pPr>
  </w:style>
  <w:style w:type="paragraph" w:styleId="BodyTextIndent3">
    <w:name w:val="Body Text Indent 3"/>
    <w:basedOn w:val="Normal"/>
    <w:rsid w:val="004E7A16"/>
    <w:pPr>
      <w:tabs>
        <w:tab w:val="left" w:pos="1260"/>
      </w:tabs>
      <w:spacing w:line="480" w:lineRule="auto"/>
      <w:ind w:firstLine="720"/>
      <w:jc w:val="both"/>
    </w:pPr>
    <w:rPr>
      <w:b/>
      <w:bCs/>
    </w:rPr>
  </w:style>
  <w:style w:type="paragraph" w:styleId="FootnoteText">
    <w:name w:val="footnote text"/>
    <w:basedOn w:val="Normal"/>
    <w:link w:val="FootnoteTextChar"/>
    <w:rsid w:val="004E7A16"/>
    <w:rPr>
      <w:sz w:val="20"/>
      <w:szCs w:val="20"/>
    </w:rPr>
  </w:style>
  <w:style w:type="character" w:styleId="FootnoteReference">
    <w:name w:val="footnote reference"/>
    <w:basedOn w:val="DefaultParagraphFont"/>
    <w:rsid w:val="004E7A16"/>
    <w:rPr>
      <w:rFonts w:cs="Times New Roman"/>
      <w:vertAlign w:val="superscript"/>
    </w:rPr>
  </w:style>
  <w:style w:type="paragraph" w:styleId="BodyText">
    <w:name w:val="Body Text"/>
    <w:basedOn w:val="Normal"/>
    <w:link w:val="BodyTextChar"/>
    <w:rsid w:val="004E7A16"/>
    <w:pPr>
      <w:spacing w:line="360" w:lineRule="auto"/>
      <w:jc w:val="center"/>
    </w:pPr>
    <w:rPr>
      <w:b/>
      <w:bCs/>
    </w:rPr>
  </w:style>
  <w:style w:type="paragraph" w:styleId="DocumentMap">
    <w:name w:val="Document Map"/>
    <w:basedOn w:val="Normal"/>
    <w:rsid w:val="004E7A16"/>
    <w:pPr>
      <w:shd w:val="clear" w:color="auto" w:fill="000080"/>
    </w:pPr>
    <w:rPr>
      <w:rFonts w:ascii="Tahoma" w:hAnsi="Tahoma" w:cs="Tahoma"/>
    </w:rPr>
  </w:style>
  <w:style w:type="paragraph" w:customStyle="1" w:styleId="TestBody">
    <w:name w:val="Test Body"/>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4E7A16"/>
    <w:pPr>
      <w:numPr>
        <w:numId w:val="1"/>
      </w:numPr>
    </w:pPr>
  </w:style>
  <w:style w:type="paragraph" w:styleId="BalloonText">
    <w:name w:val="Balloon Text"/>
    <w:basedOn w:val="Normal"/>
    <w:link w:val="BalloonTextChar"/>
    <w:rsid w:val="00AA1E96"/>
    <w:rPr>
      <w:rFonts w:ascii="Tahoma" w:hAnsi="Tahoma" w:cs="Tahoma"/>
      <w:sz w:val="16"/>
      <w:szCs w:val="16"/>
    </w:rPr>
  </w:style>
  <w:style w:type="character" w:customStyle="1" w:styleId="BalloonTextChar">
    <w:name w:val="Balloon Text Char"/>
    <w:basedOn w:val="DefaultParagraphFont"/>
    <w:link w:val="BalloonText"/>
    <w:rsid w:val="00AA1E96"/>
    <w:rPr>
      <w:rFonts w:ascii="Tahoma" w:hAnsi="Tahoma" w:cs="Tahoma"/>
      <w:sz w:val="16"/>
      <w:szCs w:val="16"/>
    </w:rPr>
  </w:style>
  <w:style w:type="character" w:customStyle="1" w:styleId="BodyTextChar">
    <w:name w:val="Body Text Char"/>
    <w:basedOn w:val="DefaultParagraphFont"/>
    <w:link w:val="BodyText"/>
    <w:rsid w:val="00212289"/>
    <w:rPr>
      <w:b/>
      <w:bCs/>
      <w:sz w:val="24"/>
      <w:szCs w:val="24"/>
    </w:rPr>
  </w:style>
  <w:style w:type="character" w:customStyle="1" w:styleId="FootnoteTextChar">
    <w:name w:val="Footnote Text Char"/>
    <w:basedOn w:val="DefaultParagraphFont"/>
    <w:link w:val="FootnoteText"/>
    <w:rsid w:val="00212289"/>
  </w:style>
  <w:style w:type="character" w:customStyle="1" w:styleId="BodyText2Char">
    <w:name w:val="Body Text 2 Char"/>
    <w:basedOn w:val="DefaultParagraphFont"/>
    <w:link w:val="BodyText2"/>
    <w:rsid w:val="00212289"/>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2792746">
      <w:bodyDiv w:val="1"/>
      <w:marLeft w:val="0"/>
      <w:marRight w:val="0"/>
      <w:marTop w:val="0"/>
      <w:marBottom w:val="0"/>
      <w:divBdr>
        <w:top w:val="none" w:sz="0" w:space="0" w:color="auto"/>
        <w:left w:val="none" w:sz="0" w:space="0" w:color="auto"/>
        <w:bottom w:val="none" w:sz="0" w:space="0" w:color="auto"/>
        <w:right w:val="none" w:sz="0" w:space="0" w:color="auto"/>
      </w:divBdr>
    </w:div>
    <w:div w:id="17927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EFE3031-2C50-4154-AA44-22574F7682DD}"/>
</file>

<file path=customXml/itemProps2.xml><?xml version="1.0" encoding="utf-8"?>
<ds:datastoreItem xmlns:ds="http://schemas.openxmlformats.org/officeDocument/2006/customXml" ds:itemID="{6267DF64-7CE6-4258-AF7C-4D5431B0BC59}"/>
</file>

<file path=customXml/itemProps3.xml><?xml version="1.0" encoding="utf-8"?>
<ds:datastoreItem xmlns:ds="http://schemas.openxmlformats.org/officeDocument/2006/customXml" ds:itemID="{87585B0A-1DD6-4414-B535-2B02C3788C6E}"/>
</file>

<file path=customXml/itemProps4.xml><?xml version="1.0" encoding="utf-8"?>
<ds:datastoreItem xmlns:ds="http://schemas.openxmlformats.org/officeDocument/2006/customXml" ds:itemID="{D7CB72BC-5BCB-49CE-953D-AF8F488900D1}"/>
</file>

<file path=customXml/itemProps5.xml><?xml version="1.0" encoding="utf-8"?>
<ds:datastoreItem xmlns:ds="http://schemas.openxmlformats.org/officeDocument/2006/customXml" ds:itemID="{8393CEB7-0388-4826-8133-6B4729DF26CC}"/>
</file>

<file path=docProps/app.xml><?xml version="1.0" encoding="utf-8"?>
<Properties xmlns="http://schemas.openxmlformats.org/officeDocument/2006/extended-properties" xmlns:vt="http://schemas.openxmlformats.org/officeDocument/2006/docPropsVTypes">
  <Template>Normal.dotm</Template>
  <TotalTime>263</TotalTime>
  <Pages>25</Pages>
  <Words>6427</Words>
  <Characters>33582</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Linda Gervais</cp:lastModifiedBy>
  <cp:revision>21</cp:revision>
  <cp:lastPrinted>2012-03-21T17:43:00Z</cp:lastPrinted>
  <dcterms:created xsi:type="dcterms:W3CDTF">2012-02-17T19:17:00Z</dcterms:created>
  <dcterms:modified xsi:type="dcterms:W3CDTF">2012-03-26T15:44:00Z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