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D7C8" w14:textId="5C33EC1D" w:rsidR="00AC629F" w:rsidRPr="00AC629F" w:rsidRDefault="00AC629F" w:rsidP="00AC629F">
      <w:pPr>
        <w:tabs>
          <w:tab w:val="center" w:pos="4680"/>
        </w:tabs>
        <w:spacing w:before="0" w:after="0"/>
        <w:ind w:right="-108" w:hanging="180"/>
        <w:jc w:val="center"/>
        <w:rPr>
          <w:b/>
        </w:rPr>
      </w:pPr>
      <w:r w:rsidRPr="00AC629F">
        <w:rPr>
          <w:b/>
        </w:rPr>
        <w:t xml:space="preserve">BEFORE THE WASHINGTON </w:t>
      </w:r>
      <w:r w:rsidR="00EE6FC0">
        <w:rPr>
          <w:b/>
        </w:rPr>
        <w:br/>
      </w:r>
      <w:r w:rsidRPr="00AC629F">
        <w:rPr>
          <w:b/>
        </w:rPr>
        <w:t>UTILITIES AND TRANSPORTATION COMMISSION</w:t>
      </w:r>
    </w:p>
    <w:p w14:paraId="7897FF66" w14:textId="77777777" w:rsidR="00AC629F" w:rsidRPr="00AC629F" w:rsidRDefault="00AC629F" w:rsidP="00AC629F">
      <w:pPr>
        <w:spacing w:before="0" w:after="0"/>
        <w:jc w:val="both"/>
        <w:rPr>
          <w:b/>
        </w:rPr>
      </w:pPr>
    </w:p>
    <w:p w14:paraId="7A2DF3E5" w14:textId="77777777" w:rsidR="00AC629F" w:rsidRPr="00AC629F" w:rsidRDefault="00AC629F" w:rsidP="00AC629F">
      <w:pPr>
        <w:spacing w:before="0" w:after="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C629F" w:rsidRPr="00AC629F" w14:paraId="1AF3B583" w14:textId="77777777" w:rsidTr="009112E8">
        <w:tc>
          <w:tcPr>
            <w:tcW w:w="4590" w:type="dxa"/>
            <w:tcBorders>
              <w:top w:val="single" w:sz="6" w:space="0" w:color="FFFFFF"/>
              <w:left w:val="single" w:sz="6" w:space="0" w:color="FFFFFF"/>
              <w:bottom w:val="single" w:sz="6" w:space="0" w:color="FFFFFF"/>
              <w:right w:val="single" w:sz="6" w:space="0" w:color="FFFFFF"/>
            </w:tcBorders>
          </w:tcPr>
          <w:p w14:paraId="4FF2A488" w14:textId="1DEBE73F" w:rsidR="00AC629F" w:rsidRPr="00AC629F" w:rsidRDefault="00261A88" w:rsidP="00AC629F">
            <w:pPr>
              <w:spacing w:before="0" w:after="0"/>
              <w:rPr>
                <w:b/>
              </w:rPr>
            </w:pPr>
            <w:r w:rsidRPr="00AC629F">
              <w:rPr>
                <w:b/>
              </w:rPr>
              <w:t xml:space="preserve">In the Matter of </w:t>
            </w:r>
            <w:r w:rsidR="008C0BC8" w:rsidRPr="008C0BC8">
              <w:rPr>
                <w:b/>
              </w:rPr>
              <w:t xml:space="preserve">Puget Sound Energy </w:t>
            </w:r>
            <w:r w:rsidR="00A70AC1">
              <w:rPr>
                <w:b/>
              </w:rPr>
              <w:t xml:space="preserve">2014-2015 </w:t>
            </w:r>
            <w:r w:rsidR="00B252CD">
              <w:rPr>
                <w:b/>
              </w:rPr>
              <w:t>Biennial</w:t>
            </w:r>
            <w:r w:rsidR="00A70AC1">
              <w:rPr>
                <w:b/>
              </w:rPr>
              <w:t xml:space="preserve"> Conservation Report</w:t>
            </w:r>
          </w:p>
          <w:p w14:paraId="44381730" w14:textId="77777777" w:rsidR="00AC629F" w:rsidRPr="00AC629F" w:rsidRDefault="00AC629F" w:rsidP="00AC629F">
            <w:pPr>
              <w:spacing w:before="0" w:after="0"/>
              <w:rPr>
                <w:b/>
              </w:rPr>
            </w:pPr>
          </w:p>
          <w:p w14:paraId="36DE69A6" w14:textId="5D5BCC1C" w:rsidR="00AC629F" w:rsidRPr="00AC629F" w:rsidRDefault="00AC629F" w:rsidP="00AC629F">
            <w:pPr>
              <w:spacing w:before="0" w:after="0"/>
              <w:rPr>
                <w:b/>
              </w:rPr>
            </w:pPr>
            <w:r w:rsidRPr="00AC629F">
              <w:rPr>
                <w:b/>
              </w:rPr>
              <w:t>____________________________________</w:t>
            </w:r>
          </w:p>
          <w:p w14:paraId="25B23B45" w14:textId="77777777" w:rsidR="00AC629F" w:rsidRPr="00AC629F" w:rsidRDefault="00AC629F" w:rsidP="00AC629F">
            <w:pPr>
              <w:spacing w:before="0" w:after="0"/>
              <w:rPr>
                <w:b/>
              </w:rPr>
            </w:pPr>
          </w:p>
          <w:p w14:paraId="41988B86" w14:textId="288C3E87" w:rsidR="00AC629F" w:rsidRPr="00AC629F" w:rsidRDefault="00AC629F" w:rsidP="00AC629F">
            <w:pPr>
              <w:spacing w:before="0" w:after="0"/>
              <w:rPr>
                <w:b/>
              </w:rPr>
            </w:pPr>
            <w:r w:rsidRPr="00AC629F">
              <w:rPr>
                <w:b/>
              </w:rPr>
              <w:t xml:space="preserve">In the Matter of </w:t>
            </w:r>
            <w:r w:rsidR="008C0BC8" w:rsidRPr="008C0BC8">
              <w:rPr>
                <w:b/>
              </w:rPr>
              <w:t>Avista Corporation</w:t>
            </w:r>
            <w:r w:rsidRPr="00AC629F">
              <w:rPr>
                <w:b/>
              </w:rPr>
              <w:t xml:space="preserve"> </w:t>
            </w:r>
            <w:r w:rsidR="00A70AC1" w:rsidRPr="00A70AC1">
              <w:rPr>
                <w:b/>
              </w:rPr>
              <w:t xml:space="preserve">2014-2015 </w:t>
            </w:r>
            <w:r w:rsidR="00B252CD" w:rsidRPr="00A70AC1">
              <w:rPr>
                <w:b/>
              </w:rPr>
              <w:t>Biennial</w:t>
            </w:r>
            <w:r w:rsidR="00A70AC1" w:rsidRPr="00A70AC1">
              <w:rPr>
                <w:b/>
              </w:rPr>
              <w:t xml:space="preserve"> Conservation Report</w:t>
            </w:r>
          </w:p>
          <w:p w14:paraId="3C605EBD" w14:textId="77777777" w:rsidR="00AC629F" w:rsidRPr="00AC629F" w:rsidRDefault="00AC629F" w:rsidP="00AC629F">
            <w:pPr>
              <w:spacing w:before="0" w:after="0"/>
              <w:rPr>
                <w:b/>
              </w:rPr>
            </w:pPr>
          </w:p>
          <w:p w14:paraId="4322FBE4" w14:textId="77777777" w:rsidR="00AC629F" w:rsidRPr="00AC629F" w:rsidRDefault="00AC629F" w:rsidP="00AC629F">
            <w:pPr>
              <w:spacing w:before="0" w:after="0"/>
              <w:rPr>
                <w:b/>
              </w:rPr>
            </w:pPr>
            <w:r w:rsidRPr="00AC629F">
              <w:rPr>
                <w:b/>
              </w:rPr>
              <w:t>____________________________________</w:t>
            </w:r>
          </w:p>
          <w:p w14:paraId="3026285B" w14:textId="77777777" w:rsidR="00AC629F" w:rsidRPr="00AC629F" w:rsidRDefault="00AC629F" w:rsidP="00AC629F">
            <w:pPr>
              <w:spacing w:before="0" w:after="0"/>
              <w:rPr>
                <w:b/>
              </w:rPr>
            </w:pPr>
          </w:p>
          <w:p w14:paraId="406E5602" w14:textId="006ABEAA" w:rsidR="00AC629F" w:rsidRPr="00AC629F" w:rsidRDefault="00261A88" w:rsidP="008C0BC8">
            <w:pPr>
              <w:spacing w:before="0" w:after="0"/>
              <w:rPr>
                <w:b/>
              </w:rPr>
            </w:pPr>
            <w:r w:rsidRPr="00AC629F">
              <w:rPr>
                <w:b/>
              </w:rPr>
              <w:t xml:space="preserve">In the Matter of </w:t>
            </w:r>
            <w:r w:rsidR="008C0BC8" w:rsidRPr="008C0BC8">
              <w:rPr>
                <w:b/>
              </w:rPr>
              <w:t xml:space="preserve">Pacific Power and Light Company 2014-2015 </w:t>
            </w:r>
            <w:r w:rsidR="00B252CD" w:rsidRPr="008C0BC8">
              <w:rPr>
                <w:b/>
              </w:rPr>
              <w:t>Biennial</w:t>
            </w:r>
            <w:r w:rsidR="008C0BC8" w:rsidRPr="008C0BC8">
              <w:rPr>
                <w:b/>
              </w:rPr>
              <w:t xml:space="preserve"> Conservation Report</w:t>
            </w:r>
          </w:p>
        </w:tc>
        <w:tc>
          <w:tcPr>
            <w:tcW w:w="4590" w:type="dxa"/>
            <w:tcBorders>
              <w:top w:val="single" w:sz="6" w:space="0" w:color="FFFFFF"/>
              <w:left w:val="single" w:sz="7" w:space="0" w:color="000000"/>
              <w:bottom w:val="single" w:sz="6" w:space="0" w:color="FFFFFF"/>
              <w:right w:val="single" w:sz="6" w:space="0" w:color="FFFFFF"/>
            </w:tcBorders>
          </w:tcPr>
          <w:p w14:paraId="63E65102" w14:textId="4711B861" w:rsidR="00AC629F" w:rsidRPr="00AC629F" w:rsidRDefault="00AC629F" w:rsidP="00AC629F">
            <w:pPr>
              <w:spacing w:before="0" w:after="0"/>
              <w:ind w:firstLine="720"/>
              <w:rPr>
                <w:b/>
              </w:rPr>
            </w:pPr>
            <w:r w:rsidRPr="00AC629F">
              <w:rPr>
                <w:b/>
              </w:rPr>
              <w:t>DOCKET UE-</w:t>
            </w:r>
            <w:r w:rsidR="00261A88">
              <w:rPr>
                <w:b/>
              </w:rPr>
              <w:t>1</w:t>
            </w:r>
            <w:r w:rsidR="00A70AC1">
              <w:rPr>
                <w:b/>
              </w:rPr>
              <w:t>3204</w:t>
            </w:r>
            <w:r w:rsidR="008C0BC8">
              <w:rPr>
                <w:b/>
              </w:rPr>
              <w:t>3</w:t>
            </w:r>
          </w:p>
          <w:p w14:paraId="15BEA21B" w14:textId="77777777" w:rsidR="00AC629F" w:rsidRPr="00AC629F" w:rsidRDefault="00AC629F" w:rsidP="009112E8">
            <w:pPr>
              <w:spacing w:before="0" w:after="0"/>
              <w:ind w:left="734"/>
              <w:rPr>
                <w:b/>
              </w:rPr>
            </w:pPr>
          </w:p>
          <w:p w14:paraId="384F4196" w14:textId="77777777" w:rsidR="00AC629F" w:rsidRPr="00AC629F" w:rsidRDefault="00AC629F" w:rsidP="00AC629F">
            <w:pPr>
              <w:spacing w:before="0" w:after="0"/>
              <w:ind w:left="720"/>
              <w:rPr>
                <w:b/>
              </w:rPr>
            </w:pPr>
          </w:p>
          <w:p w14:paraId="5393E771" w14:textId="77777777" w:rsidR="00AC629F" w:rsidRPr="00AC629F" w:rsidRDefault="00AC629F" w:rsidP="00AC629F">
            <w:pPr>
              <w:spacing w:before="0" w:after="0"/>
              <w:ind w:left="720"/>
              <w:rPr>
                <w:b/>
              </w:rPr>
            </w:pPr>
          </w:p>
          <w:p w14:paraId="6C22AC9F" w14:textId="77777777" w:rsidR="00AC629F" w:rsidRPr="00AC629F" w:rsidRDefault="00AC629F" w:rsidP="00AC629F">
            <w:pPr>
              <w:spacing w:before="0" w:after="0"/>
              <w:ind w:left="720"/>
              <w:rPr>
                <w:b/>
              </w:rPr>
            </w:pPr>
          </w:p>
          <w:p w14:paraId="0945300C" w14:textId="2F7BD42C" w:rsidR="00AC629F" w:rsidRPr="00AC629F" w:rsidRDefault="00AC629F" w:rsidP="00AC629F">
            <w:pPr>
              <w:spacing w:before="0" w:after="0"/>
              <w:ind w:left="720"/>
              <w:rPr>
                <w:b/>
              </w:rPr>
            </w:pPr>
            <w:r w:rsidRPr="00AC629F">
              <w:rPr>
                <w:b/>
              </w:rPr>
              <w:t>DOCKET UE-</w:t>
            </w:r>
            <w:r w:rsidR="003E47A2">
              <w:rPr>
                <w:b/>
              </w:rPr>
              <w:t>1</w:t>
            </w:r>
            <w:r w:rsidR="00A70AC1">
              <w:rPr>
                <w:b/>
              </w:rPr>
              <w:t>3</w:t>
            </w:r>
            <w:r w:rsidR="008C0BC8">
              <w:rPr>
                <w:b/>
              </w:rPr>
              <w:t>2045</w:t>
            </w:r>
          </w:p>
          <w:p w14:paraId="44695B41" w14:textId="77777777" w:rsidR="00AC629F" w:rsidRPr="00AC629F" w:rsidRDefault="00AC629F" w:rsidP="00AC629F">
            <w:pPr>
              <w:spacing w:before="0" w:after="0"/>
              <w:ind w:left="720"/>
              <w:rPr>
                <w:b/>
              </w:rPr>
            </w:pPr>
          </w:p>
          <w:p w14:paraId="18DEB6F0" w14:textId="77777777" w:rsidR="00AC629F" w:rsidRPr="00AC629F" w:rsidRDefault="00AC629F" w:rsidP="00AC629F">
            <w:pPr>
              <w:spacing w:before="0" w:after="0"/>
              <w:ind w:left="720"/>
              <w:rPr>
                <w:b/>
              </w:rPr>
            </w:pPr>
          </w:p>
          <w:p w14:paraId="331CE55D" w14:textId="77777777" w:rsidR="00AC629F" w:rsidRPr="00AC629F" w:rsidRDefault="00AC629F" w:rsidP="00AC629F">
            <w:pPr>
              <w:spacing w:before="0" w:after="0"/>
              <w:ind w:left="720"/>
              <w:rPr>
                <w:b/>
              </w:rPr>
            </w:pPr>
          </w:p>
          <w:p w14:paraId="7697E1E5" w14:textId="77777777" w:rsidR="00AC629F" w:rsidRPr="00AC629F" w:rsidRDefault="00AC629F" w:rsidP="00AC629F">
            <w:pPr>
              <w:spacing w:before="0" w:after="0"/>
              <w:ind w:left="720"/>
              <w:rPr>
                <w:b/>
              </w:rPr>
            </w:pPr>
          </w:p>
          <w:p w14:paraId="3BC2087A" w14:textId="77777777" w:rsidR="00AC629F" w:rsidRPr="00AC629F" w:rsidRDefault="00AC629F" w:rsidP="00AC629F">
            <w:pPr>
              <w:spacing w:before="0" w:after="0"/>
              <w:ind w:left="720"/>
              <w:rPr>
                <w:b/>
              </w:rPr>
            </w:pPr>
          </w:p>
          <w:p w14:paraId="4D5D9A42" w14:textId="2F398572" w:rsidR="00AC629F" w:rsidRPr="00AC629F" w:rsidRDefault="003E47A2" w:rsidP="00A70AC1">
            <w:pPr>
              <w:spacing w:before="0" w:after="0"/>
              <w:ind w:left="720"/>
              <w:rPr>
                <w:b/>
              </w:rPr>
            </w:pPr>
            <w:r>
              <w:rPr>
                <w:b/>
              </w:rPr>
              <w:t>DOCKET UE-</w:t>
            </w:r>
            <w:r w:rsidR="00261A88">
              <w:rPr>
                <w:b/>
              </w:rPr>
              <w:t>1</w:t>
            </w:r>
            <w:r w:rsidR="00A70AC1">
              <w:rPr>
                <w:b/>
              </w:rPr>
              <w:t>3204</w:t>
            </w:r>
            <w:r w:rsidR="008C0BC8">
              <w:rPr>
                <w:b/>
              </w:rPr>
              <w:t>7</w:t>
            </w:r>
          </w:p>
        </w:tc>
      </w:tr>
      <w:tr w:rsidR="009112E8" w:rsidRPr="00AC629F" w14:paraId="22D71F1F" w14:textId="77777777" w:rsidTr="007D63B4">
        <w:tc>
          <w:tcPr>
            <w:tcW w:w="4590" w:type="dxa"/>
            <w:tcBorders>
              <w:top w:val="single" w:sz="6" w:space="0" w:color="FFFFFF"/>
              <w:left w:val="single" w:sz="6" w:space="0" w:color="FFFFFF"/>
              <w:bottom w:val="single" w:sz="7" w:space="0" w:color="000000"/>
              <w:right w:val="single" w:sz="6" w:space="0" w:color="FFFFFF"/>
            </w:tcBorders>
          </w:tcPr>
          <w:p w14:paraId="7AFD09D1" w14:textId="77777777" w:rsidR="009112E8" w:rsidRPr="00AC629F" w:rsidRDefault="009112E8" w:rsidP="00AC629F">
            <w:pPr>
              <w:spacing w:before="0" w:after="0"/>
              <w:rPr>
                <w:b/>
              </w:rPr>
            </w:pPr>
          </w:p>
        </w:tc>
        <w:tc>
          <w:tcPr>
            <w:tcW w:w="4590" w:type="dxa"/>
            <w:tcBorders>
              <w:top w:val="single" w:sz="6" w:space="0" w:color="FFFFFF"/>
              <w:left w:val="single" w:sz="7" w:space="0" w:color="000000"/>
              <w:bottom w:val="single" w:sz="6" w:space="0" w:color="FFFFFF"/>
              <w:right w:val="single" w:sz="6" w:space="0" w:color="FFFFFF"/>
            </w:tcBorders>
          </w:tcPr>
          <w:p w14:paraId="586E8452" w14:textId="77777777" w:rsidR="009112E8" w:rsidRPr="00AC629F" w:rsidRDefault="009112E8" w:rsidP="00AC629F">
            <w:pPr>
              <w:spacing w:before="0" w:after="0"/>
              <w:ind w:firstLine="720"/>
              <w:rPr>
                <w:b/>
              </w:rPr>
            </w:pPr>
          </w:p>
        </w:tc>
      </w:tr>
    </w:tbl>
    <w:p w14:paraId="12872CC6" w14:textId="3E50FF92" w:rsidR="00AC629F" w:rsidRPr="00AC629F" w:rsidRDefault="00AC629F" w:rsidP="00AC629F">
      <w:pPr>
        <w:jc w:val="both"/>
        <w:rPr>
          <w:b/>
        </w:rPr>
      </w:pPr>
    </w:p>
    <w:p w14:paraId="3874004E" w14:textId="77777777" w:rsidR="00EF7490" w:rsidRDefault="00EF7490" w:rsidP="00EF7490">
      <w:pPr>
        <w:tabs>
          <w:tab w:val="left" w:pos="-1440"/>
        </w:tabs>
        <w:spacing w:before="0" w:after="0"/>
        <w:ind w:left="4320" w:hanging="4320"/>
        <w:rPr>
          <w:b/>
          <w:bCs/>
        </w:rPr>
      </w:pPr>
    </w:p>
    <w:p w14:paraId="10343F03" w14:textId="77777777" w:rsidR="00EF7490" w:rsidRDefault="00EF7490" w:rsidP="00EF7490">
      <w:pPr>
        <w:tabs>
          <w:tab w:val="center" w:pos="4680"/>
        </w:tabs>
        <w:spacing w:before="0" w:after="0"/>
        <w:jc w:val="center"/>
        <w:rPr>
          <w:b/>
          <w:bCs/>
        </w:rPr>
      </w:pPr>
      <w:r>
        <w:rPr>
          <w:b/>
          <w:bCs/>
        </w:rPr>
        <w:t>COMMISSION STAFF COMMENTS REGARDING</w:t>
      </w:r>
    </w:p>
    <w:p w14:paraId="3F621122" w14:textId="4EF5EFDF" w:rsidR="00EF7490" w:rsidRDefault="00EF7490" w:rsidP="00EF7490">
      <w:pPr>
        <w:tabs>
          <w:tab w:val="left" w:pos="-1440"/>
        </w:tabs>
        <w:spacing w:before="0" w:after="0"/>
        <w:jc w:val="center"/>
        <w:rPr>
          <w:b/>
        </w:rPr>
      </w:pPr>
      <w:r>
        <w:rPr>
          <w:b/>
        </w:rPr>
        <w:t xml:space="preserve">ELECTRIC UTILITY </w:t>
      </w:r>
      <w:r w:rsidR="00A70AC1" w:rsidRPr="00A70AC1">
        <w:rPr>
          <w:b/>
        </w:rPr>
        <w:t xml:space="preserve">CONSERVATION ACHIEVEMENTS </w:t>
      </w:r>
      <w:r>
        <w:rPr>
          <w:b/>
        </w:rPr>
        <w:t xml:space="preserve">UNDER </w:t>
      </w:r>
      <w:r w:rsidR="00EE6FC0">
        <w:rPr>
          <w:b/>
        </w:rPr>
        <w:br/>
      </w:r>
      <w:bookmarkStart w:id="0" w:name="_GoBack"/>
      <w:bookmarkEnd w:id="0"/>
      <w:r w:rsidR="007D0319">
        <w:rPr>
          <w:b/>
        </w:rPr>
        <w:t>THE ENERGY INDEPENDENCE ACT</w:t>
      </w:r>
      <w:r>
        <w:rPr>
          <w:b/>
        </w:rPr>
        <w:t>,</w:t>
      </w:r>
    </w:p>
    <w:p w14:paraId="30382449" w14:textId="753A7D9E" w:rsidR="00EF7490" w:rsidRDefault="007D0319" w:rsidP="00EF7490">
      <w:pPr>
        <w:tabs>
          <w:tab w:val="center" w:pos="4680"/>
        </w:tabs>
        <w:spacing w:before="0" w:after="0"/>
        <w:jc w:val="center"/>
        <w:rPr>
          <w:b/>
        </w:rPr>
      </w:pPr>
      <w:r>
        <w:rPr>
          <w:b/>
        </w:rPr>
        <w:t xml:space="preserve">RCW 19.285 and </w:t>
      </w:r>
      <w:r w:rsidR="00EF7490">
        <w:rPr>
          <w:b/>
        </w:rPr>
        <w:t>WAC 480-109</w:t>
      </w:r>
    </w:p>
    <w:p w14:paraId="74D4E3AD" w14:textId="07DAD34D" w:rsidR="00EF7490" w:rsidRDefault="00EF7490" w:rsidP="00EF7490">
      <w:pPr>
        <w:tabs>
          <w:tab w:val="center" w:pos="4680"/>
        </w:tabs>
        <w:spacing w:before="0" w:after="0"/>
        <w:jc w:val="center"/>
        <w:rPr>
          <w:b/>
          <w:bCs/>
        </w:rPr>
      </w:pPr>
      <w:r>
        <w:rPr>
          <w:b/>
        </w:rPr>
        <w:t>(</w:t>
      </w:r>
      <w:r>
        <w:rPr>
          <w:b/>
          <w:bCs/>
        </w:rPr>
        <w:t>201</w:t>
      </w:r>
      <w:r w:rsidR="00A70AC1">
        <w:rPr>
          <w:b/>
          <w:bCs/>
        </w:rPr>
        <w:t>4-2015</w:t>
      </w:r>
      <w:r>
        <w:rPr>
          <w:b/>
          <w:bCs/>
        </w:rPr>
        <w:t xml:space="preserve"> </w:t>
      </w:r>
      <w:r w:rsidR="00A70AC1">
        <w:rPr>
          <w:b/>
          <w:bCs/>
        </w:rPr>
        <w:t>BIEN</w:t>
      </w:r>
      <w:r w:rsidR="007D1A93">
        <w:rPr>
          <w:b/>
          <w:bCs/>
        </w:rPr>
        <w:t>N</w:t>
      </w:r>
      <w:r w:rsidR="00A70AC1">
        <w:rPr>
          <w:b/>
          <w:bCs/>
        </w:rPr>
        <w:t>IAL CONSERVATION</w:t>
      </w:r>
      <w:r>
        <w:rPr>
          <w:b/>
          <w:bCs/>
        </w:rPr>
        <w:t xml:space="preserve"> REPORTS)</w:t>
      </w:r>
    </w:p>
    <w:p w14:paraId="262F57EA" w14:textId="77777777" w:rsidR="00EF7490" w:rsidRDefault="00EF7490" w:rsidP="00EF7490">
      <w:pPr>
        <w:tabs>
          <w:tab w:val="center" w:pos="4680"/>
        </w:tabs>
        <w:spacing w:before="0" w:after="0"/>
        <w:jc w:val="center"/>
        <w:rPr>
          <w:b/>
          <w:bCs/>
        </w:rPr>
      </w:pPr>
    </w:p>
    <w:p w14:paraId="014C6D6D" w14:textId="04EBC364" w:rsidR="00EF7490" w:rsidRDefault="003607E1" w:rsidP="00EF7490">
      <w:pPr>
        <w:tabs>
          <w:tab w:val="center" w:pos="4680"/>
        </w:tabs>
        <w:spacing w:before="0" w:after="0"/>
        <w:jc w:val="center"/>
        <w:rPr>
          <w:b/>
          <w:bCs/>
        </w:rPr>
      </w:pPr>
      <w:r>
        <w:rPr>
          <w:b/>
          <w:bCs/>
        </w:rPr>
        <w:t xml:space="preserve">JULY </w:t>
      </w:r>
      <w:r w:rsidR="00A70AC1">
        <w:rPr>
          <w:b/>
          <w:bCs/>
        </w:rPr>
        <w:t>21</w:t>
      </w:r>
      <w:r w:rsidR="00C06AF3">
        <w:rPr>
          <w:b/>
          <w:bCs/>
        </w:rPr>
        <w:t>, 2016</w:t>
      </w:r>
    </w:p>
    <w:p w14:paraId="6C0E91A9" w14:textId="77777777" w:rsidR="00EF7490" w:rsidRDefault="00EF7490" w:rsidP="00EF7490">
      <w:pPr>
        <w:tabs>
          <w:tab w:val="center" w:pos="4680"/>
        </w:tabs>
        <w:spacing w:before="0" w:after="0"/>
        <w:jc w:val="center"/>
        <w:rPr>
          <w:b/>
          <w:bCs/>
        </w:rPr>
      </w:pPr>
    </w:p>
    <w:p w14:paraId="68662473" w14:textId="77777777" w:rsidR="00EF7490" w:rsidRDefault="00EF7490" w:rsidP="009112E8">
      <w:pPr>
        <w:tabs>
          <w:tab w:val="center" w:pos="4680"/>
        </w:tabs>
        <w:rPr>
          <w:b/>
          <w:bCs/>
        </w:rPr>
      </w:pPr>
    </w:p>
    <w:p w14:paraId="7963A86C" w14:textId="77777777" w:rsidR="00AC629F" w:rsidRDefault="00AC629F" w:rsidP="00EF7490">
      <w:pPr>
        <w:spacing w:before="0" w:after="0"/>
        <w:rPr>
          <w:b/>
        </w:rPr>
        <w:sectPr w:rsidR="00AC629F" w:rsidSect="00A81BDF">
          <w:headerReference w:type="default" r:id="rId11"/>
          <w:headerReference w:type="first" r:id="rId12"/>
          <w:pgSz w:w="12240" w:h="15840"/>
          <w:pgMar w:top="1440" w:right="1440" w:bottom="1440" w:left="1440" w:header="720" w:footer="720" w:gutter="0"/>
          <w:pgNumType w:start="1"/>
          <w:cols w:space="720"/>
          <w:titlePg/>
          <w:docGrid w:linePitch="326"/>
        </w:sectPr>
      </w:pPr>
    </w:p>
    <w:sdt>
      <w:sdtPr>
        <w:rPr>
          <w:rFonts w:ascii="Times New Roman" w:eastAsia="Times New Roman" w:hAnsi="Times New Roman" w:cs="Times New Roman"/>
          <w:color w:val="auto"/>
          <w:sz w:val="24"/>
          <w:szCs w:val="24"/>
        </w:rPr>
        <w:id w:val="-1622760112"/>
        <w:docPartObj>
          <w:docPartGallery w:val="Table of Contents"/>
          <w:docPartUnique/>
        </w:docPartObj>
      </w:sdtPr>
      <w:sdtEndPr>
        <w:rPr>
          <w:b/>
          <w:bCs/>
          <w:noProof/>
        </w:rPr>
      </w:sdtEndPr>
      <w:sdtContent>
        <w:p w14:paraId="0FB17C98" w14:textId="77777777" w:rsidR="001608A6" w:rsidRDefault="001608A6">
          <w:pPr>
            <w:pStyle w:val="TOCHeading"/>
          </w:pPr>
          <w:r>
            <w:t>Contents</w:t>
          </w:r>
        </w:p>
        <w:p w14:paraId="6F78C04F" w14:textId="77777777" w:rsidR="00EA350E" w:rsidRDefault="00843B5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6879732" w:history="1">
            <w:r w:rsidR="00EA350E" w:rsidRPr="006178F7">
              <w:rPr>
                <w:rStyle w:val="Hyperlink"/>
                <w:noProof/>
              </w:rPr>
              <w:t>Executive Summary</w:t>
            </w:r>
            <w:r w:rsidR="00EA350E">
              <w:rPr>
                <w:noProof/>
                <w:webHidden/>
              </w:rPr>
              <w:tab/>
            </w:r>
            <w:r w:rsidR="00EA350E">
              <w:rPr>
                <w:noProof/>
                <w:webHidden/>
              </w:rPr>
              <w:fldChar w:fldCharType="begin"/>
            </w:r>
            <w:r w:rsidR="00EA350E">
              <w:rPr>
                <w:noProof/>
                <w:webHidden/>
              </w:rPr>
              <w:instrText xml:space="preserve"> PAGEREF _Toc456879732 \h </w:instrText>
            </w:r>
            <w:r w:rsidR="00EA350E">
              <w:rPr>
                <w:noProof/>
                <w:webHidden/>
              </w:rPr>
            </w:r>
            <w:r w:rsidR="00EA350E">
              <w:rPr>
                <w:noProof/>
                <w:webHidden/>
              </w:rPr>
              <w:fldChar w:fldCharType="separate"/>
            </w:r>
            <w:r w:rsidR="00EA350E">
              <w:rPr>
                <w:noProof/>
                <w:webHidden/>
              </w:rPr>
              <w:t>1</w:t>
            </w:r>
            <w:r w:rsidR="00EA350E">
              <w:rPr>
                <w:noProof/>
                <w:webHidden/>
              </w:rPr>
              <w:fldChar w:fldCharType="end"/>
            </w:r>
          </w:hyperlink>
        </w:p>
        <w:p w14:paraId="06768DEA"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33" w:history="1">
            <w:r w:rsidR="00EA350E" w:rsidRPr="006178F7">
              <w:rPr>
                <w:rStyle w:val="Hyperlink"/>
                <w:noProof/>
              </w:rPr>
              <w:t>Focus Issues and Prudency</w:t>
            </w:r>
            <w:r w:rsidR="00EA350E">
              <w:rPr>
                <w:noProof/>
                <w:webHidden/>
              </w:rPr>
              <w:tab/>
            </w:r>
            <w:r w:rsidR="00EA350E">
              <w:rPr>
                <w:noProof/>
                <w:webHidden/>
              </w:rPr>
              <w:fldChar w:fldCharType="begin"/>
            </w:r>
            <w:r w:rsidR="00EA350E">
              <w:rPr>
                <w:noProof/>
                <w:webHidden/>
              </w:rPr>
              <w:instrText xml:space="preserve"> PAGEREF _Toc456879733 \h </w:instrText>
            </w:r>
            <w:r w:rsidR="00EA350E">
              <w:rPr>
                <w:noProof/>
                <w:webHidden/>
              </w:rPr>
            </w:r>
            <w:r w:rsidR="00EA350E">
              <w:rPr>
                <w:noProof/>
                <w:webHidden/>
              </w:rPr>
              <w:fldChar w:fldCharType="separate"/>
            </w:r>
            <w:r w:rsidR="00EA350E">
              <w:rPr>
                <w:noProof/>
                <w:webHidden/>
              </w:rPr>
              <w:t>3</w:t>
            </w:r>
            <w:r w:rsidR="00EA350E">
              <w:rPr>
                <w:noProof/>
                <w:webHidden/>
              </w:rPr>
              <w:fldChar w:fldCharType="end"/>
            </w:r>
          </w:hyperlink>
        </w:p>
        <w:p w14:paraId="0D2EFD30"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4" w:history="1">
            <w:r w:rsidR="00EA350E" w:rsidRPr="006178F7">
              <w:rPr>
                <w:rStyle w:val="Hyperlink"/>
                <w:i/>
                <w:noProof/>
              </w:rPr>
              <w:t>Treatment of Excess Savings</w:t>
            </w:r>
            <w:r w:rsidR="00EA350E">
              <w:rPr>
                <w:noProof/>
                <w:webHidden/>
              </w:rPr>
              <w:tab/>
            </w:r>
            <w:r w:rsidR="00EA350E">
              <w:rPr>
                <w:noProof/>
                <w:webHidden/>
              </w:rPr>
              <w:fldChar w:fldCharType="begin"/>
            </w:r>
            <w:r w:rsidR="00EA350E">
              <w:rPr>
                <w:noProof/>
                <w:webHidden/>
              </w:rPr>
              <w:instrText xml:space="preserve"> PAGEREF _Toc456879734 \h </w:instrText>
            </w:r>
            <w:r w:rsidR="00EA350E">
              <w:rPr>
                <w:noProof/>
                <w:webHidden/>
              </w:rPr>
            </w:r>
            <w:r w:rsidR="00EA350E">
              <w:rPr>
                <w:noProof/>
                <w:webHidden/>
              </w:rPr>
              <w:fldChar w:fldCharType="separate"/>
            </w:r>
            <w:r w:rsidR="00EA350E">
              <w:rPr>
                <w:noProof/>
                <w:webHidden/>
              </w:rPr>
              <w:t>3</w:t>
            </w:r>
            <w:r w:rsidR="00EA350E">
              <w:rPr>
                <w:noProof/>
                <w:webHidden/>
              </w:rPr>
              <w:fldChar w:fldCharType="end"/>
            </w:r>
          </w:hyperlink>
        </w:p>
        <w:p w14:paraId="5EB3D03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5" w:history="1">
            <w:r w:rsidR="00EA350E" w:rsidRPr="006178F7">
              <w:rPr>
                <w:rStyle w:val="Hyperlink"/>
                <w:i/>
                <w:noProof/>
              </w:rPr>
              <w:t>Single Large Facility Savings</w:t>
            </w:r>
            <w:r w:rsidR="00EA350E">
              <w:rPr>
                <w:noProof/>
                <w:webHidden/>
              </w:rPr>
              <w:tab/>
            </w:r>
            <w:r w:rsidR="00EA350E">
              <w:rPr>
                <w:noProof/>
                <w:webHidden/>
              </w:rPr>
              <w:fldChar w:fldCharType="begin"/>
            </w:r>
            <w:r w:rsidR="00EA350E">
              <w:rPr>
                <w:noProof/>
                <w:webHidden/>
              </w:rPr>
              <w:instrText xml:space="preserve"> PAGEREF _Toc456879735 \h </w:instrText>
            </w:r>
            <w:r w:rsidR="00EA350E">
              <w:rPr>
                <w:noProof/>
                <w:webHidden/>
              </w:rPr>
            </w:r>
            <w:r w:rsidR="00EA350E">
              <w:rPr>
                <w:noProof/>
                <w:webHidden/>
              </w:rPr>
              <w:fldChar w:fldCharType="separate"/>
            </w:r>
            <w:r w:rsidR="00EA350E">
              <w:rPr>
                <w:noProof/>
                <w:webHidden/>
              </w:rPr>
              <w:t>5</w:t>
            </w:r>
            <w:r w:rsidR="00EA350E">
              <w:rPr>
                <w:noProof/>
                <w:webHidden/>
              </w:rPr>
              <w:fldChar w:fldCharType="end"/>
            </w:r>
          </w:hyperlink>
        </w:p>
        <w:p w14:paraId="334877A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6" w:history="1">
            <w:r w:rsidR="00EA350E" w:rsidRPr="006178F7">
              <w:rPr>
                <w:rStyle w:val="Hyperlink"/>
                <w:i/>
                <w:noProof/>
              </w:rPr>
              <w:t>Reporting NEEA Savings to Commerce</w:t>
            </w:r>
            <w:r w:rsidR="00EA350E">
              <w:rPr>
                <w:noProof/>
                <w:webHidden/>
              </w:rPr>
              <w:tab/>
            </w:r>
            <w:r w:rsidR="00EA350E">
              <w:rPr>
                <w:noProof/>
                <w:webHidden/>
              </w:rPr>
              <w:fldChar w:fldCharType="begin"/>
            </w:r>
            <w:r w:rsidR="00EA350E">
              <w:rPr>
                <w:noProof/>
                <w:webHidden/>
              </w:rPr>
              <w:instrText xml:space="preserve"> PAGEREF _Toc456879736 \h </w:instrText>
            </w:r>
            <w:r w:rsidR="00EA350E">
              <w:rPr>
                <w:noProof/>
                <w:webHidden/>
              </w:rPr>
            </w:r>
            <w:r w:rsidR="00EA350E">
              <w:rPr>
                <w:noProof/>
                <w:webHidden/>
              </w:rPr>
              <w:fldChar w:fldCharType="separate"/>
            </w:r>
            <w:r w:rsidR="00EA350E">
              <w:rPr>
                <w:noProof/>
                <w:webHidden/>
              </w:rPr>
              <w:t>6</w:t>
            </w:r>
            <w:r w:rsidR="00EA350E">
              <w:rPr>
                <w:noProof/>
                <w:webHidden/>
              </w:rPr>
              <w:fldChar w:fldCharType="end"/>
            </w:r>
          </w:hyperlink>
        </w:p>
        <w:p w14:paraId="7E23CE35"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7" w:history="1">
            <w:r w:rsidR="00EA350E" w:rsidRPr="006178F7">
              <w:rPr>
                <w:rStyle w:val="Hyperlink"/>
                <w:i/>
                <w:noProof/>
              </w:rPr>
              <w:t>Unit Energy Savings Values</w:t>
            </w:r>
            <w:r w:rsidR="00EA350E">
              <w:rPr>
                <w:noProof/>
                <w:webHidden/>
              </w:rPr>
              <w:tab/>
            </w:r>
            <w:r w:rsidR="00EA350E">
              <w:rPr>
                <w:noProof/>
                <w:webHidden/>
              </w:rPr>
              <w:fldChar w:fldCharType="begin"/>
            </w:r>
            <w:r w:rsidR="00EA350E">
              <w:rPr>
                <w:noProof/>
                <w:webHidden/>
              </w:rPr>
              <w:instrText xml:space="preserve"> PAGEREF _Toc456879737 \h </w:instrText>
            </w:r>
            <w:r w:rsidR="00EA350E">
              <w:rPr>
                <w:noProof/>
                <w:webHidden/>
              </w:rPr>
            </w:r>
            <w:r w:rsidR="00EA350E">
              <w:rPr>
                <w:noProof/>
                <w:webHidden/>
              </w:rPr>
              <w:fldChar w:fldCharType="separate"/>
            </w:r>
            <w:r w:rsidR="00EA350E">
              <w:rPr>
                <w:noProof/>
                <w:webHidden/>
              </w:rPr>
              <w:t>7</w:t>
            </w:r>
            <w:r w:rsidR="00EA350E">
              <w:rPr>
                <w:noProof/>
                <w:webHidden/>
              </w:rPr>
              <w:fldChar w:fldCharType="end"/>
            </w:r>
          </w:hyperlink>
        </w:p>
        <w:p w14:paraId="3EAAC775"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8" w:history="1">
            <w:r w:rsidR="00EA350E" w:rsidRPr="006178F7">
              <w:rPr>
                <w:rStyle w:val="Hyperlink"/>
                <w:i/>
                <w:noProof/>
              </w:rPr>
              <w:t>Adaptive Management</w:t>
            </w:r>
            <w:r w:rsidR="00EA350E">
              <w:rPr>
                <w:noProof/>
                <w:webHidden/>
              </w:rPr>
              <w:tab/>
            </w:r>
            <w:r w:rsidR="00EA350E">
              <w:rPr>
                <w:noProof/>
                <w:webHidden/>
              </w:rPr>
              <w:fldChar w:fldCharType="begin"/>
            </w:r>
            <w:r w:rsidR="00EA350E">
              <w:rPr>
                <w:noProof/>
                <w:webHidden/>
              </w:rPr>
              <w:instrText xml:space="preserve"> PAGEREF _Toc456879738 \h </w:instrText>
            </w:r>
            <w:r w:rsidR="00EA350E">
              <w:rPr>
                <w:noProof/>
                <w:webHidden/>
              </w:rPr>
            </w:r>
            <w:r w:rsidR="00EA350E">
              <w:rPr>
                <w:noProof/>
                <w:webHidden/>
              </w:rPr>
              <w:fldChar w:fldCharType="separate"/>
            </w:r>
            <w:r w:rsidR="00EA350E">
              <w:rPr>
                <w:noProof/>
                <w:webHidden/>
              </w:rPr>
              <w:t>8</w:t>
            </w:r>
            <w:r w:rsidR="00EA350E">
              <w:rPr>
                <w:noProof/>
                <w:webHidden/>
              </w:rPr>
              <w:fldChar w:fldCharType="end"/>
            </w:r>
          </w:hyperlink>
        </w:p>
        <w:p w14:paraId="38B2A540"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9" w:history="1">
            <w:r w:rsidR="00EA350E" w:rsidRPr="006178F7">
              <w:rPr>
                <w:rStyle w:val="Hyperlink"/>
                <w:i/>
                <w:noProof/>
              </w:rPr>
              <w:t>Pilot Programs</w:t>
            </w:r>
            <w:r w:rsidR="00EA350E">
              <w:rPr>
                <w:noProof/>
                <w:webHidden/>
              </w:rPr>
              <w:tab/>
            </w:r>
            <w:r w:rsidR="00EA350E">
              <w:rPr>
                <w:noProof/>
                <w:webHidden/>
              </w:rPr>
              <w:fldChar w:fldCharType="begin"/>
            </w:r>
            <w:r w:rsidR="00EA350E">
              <w:rPr>
                <w:noProof/>
                <w:webHidden/>
              </w:rPr>
              <w:instrText xml:space="preserve"> PAGEREF _Toc456879739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387A689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40" w:history="1">
            <w:r w:rsidR="00EA350E" w:rsidRPr="006178F7">
              <w:rPr>
                <w:rStyle w:val="Hyperlink"/>
                <w:noProof/>
              </w:rPr>
              <w:t>Fuel Conversions</w:t>
            </w:r>
            <w:r w:rsidR="00EA350E">
              <w:rPr>
                <w:noProof/>
                <w:webHidden/>
              </w:rPr>
              <w:tab/>
            </w:r>
            <w:r w:rsidR="00EA350E">
              <w:rPr>
                <w:noProof/>
                <w:webHidden/>
              </w:rPr>
              <w:fldChar w:fldCharType="begin"/>
            </w:r>
            <w:r w:rsidR="00EA350E">
              <w:rPr>
                <w:noProof/>
                <w:webHidden/>
              </w:rPr>
              <w:instrText xml:space="preserve"> PAGEREF _Toc456879740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4B0BF2C7"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41" w:history="1">
            <w:r w:rsidR="00EA350E" w:rsidRPr="006178F7">
              <w:rPr>
                <w:rStyle w:val="Hyperlink"/>
                <w:noProof/>
              </w:rPr>
              <w:t>Company Reports and Achievements</w:t>
            </w:r>
            <w:r w:rsidR="00EA350E">
              <w:rPr>
                <w:noProof/>
                <w:webHidden/>
              </w:rPr>
              <w:tab/>
            </w:r>
            <w:r w:rsidR="00EA350E">
              <w:rPr>
                <w:noProof/>
                <w:webHidden/>
              </w:rPr>
              <w:fldChar w:fldCharType="begin"/>
            </w:r>
            <w:r w:rsidR="00EA350E">
              <w:rPr>
                <w:noProof/>
                <w:webHidden/>
              </w:rPr>
              <w:instrText xml:space="preserve"> PAGEREF _Toc456879741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246D886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42" w:history="1">
            <w:r w:rsidR="00EA350E" w:rsidRPr="006178F7">
              <w:rPr>
                <w:rStyle w:val="Hyperlink"/>
                <w:i/>
                <w:noProof/>
              </w:rPr>
              <w:t>Puget Sound Energy (Docket UE-132043)</w:t>
            </w:r>
            <w:r w:rsidR="00EA350E">
              <w:rPr>
                <w:noProof/>
                <w:webHidden/>
              </w:rPr>
              <w:tab/>
            </w:r>
            <w:r w:rsidR="00EA350E">
              <w:rPr>
                <w:noProof/>
                <w:webHidden/>
              </w:rPr>
              <w:fldChar w:fldCharType="begin"/>
            </w:r>
            <w:r w:rsidR="00EA350E">
              <w:rPr>
                <w:noProof/>
                <w:webHidden/>
              </w:rPr>
              <w:instrText xml:space="preserve"> PAGEREF _Toc456879742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19175FB1"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3" w:history="1">
            <w:r w:rsidR="00EA350E" w:rsidRPr="006178F7">
              <w:rPr>
                <w:rStyle w:val="Hyperlink"/>
                <w:noProof/>
              </w:rPr>
              <w:t>Conservation Target and Achievement</w:t>
            </w:r>
            <w:r w:rsidR="00EA350E">
              <w:rPr>
                <w:noProof/>
                <w:webHidden/>
              </w:rPr>
              <w:tab/>
            </w:r>
            <w:r w:rsidR="00EA350E">
              <w:rPr>
                <w:noProof/>
                <w:webHidden/>
              </w:rPr>
              <w:fldChar w:fldCharType="begin"/>
            </w:r>
            <w:r w:rsidR="00EA350E">
              <w:rPr>
                <w:noProof/>
                <w:webHidden/>
              </w:rPr>
              <w:instrText xml:space="preserve"> PAGEREF _Toc456879743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30BED594"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4" w:history="1">
            <w:r w:rsidR="00EA350E" w:rsidRPr="006178F7">
              <w:rPr>
                <w:rStyle w:val="Hyperlink"/>
                <w:noProof/>
              </w:rPr>
              <w:t>Third Party Verification</w:t>
            </w:r>
            <w:r w:rsidR="00EA350E">
              <w:rPr>
                <w:noProof/>
                <w:webHidden/>
              </w:rPr>
              <w:tab/>
            </w:r>
            <w:r w:rsidR="00EA350E">
              <w:rPr>
                <w:noProof/>
                <w:webHidden/>
              </w:rPr>
              <w:fldChar w:fldCharType="begin"/>
            </w:r>
            <w:r w:rsidR="00EA350E">
              <w:rPr>
                <w:noProof/>
                <w:webHidden/>
              </w:rPr>
              <w:instrText xml:space="preserve"> PAGEREF _Toc456879744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24146529"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5" w:history="1">
            <w:r w:rsidR="00EA350E" w:rsidRPr="006178F7">
              <w:rPr>
                <w:rStyle w:val="Hyperlink"/>
                <w:noProof/>
              </w:rPr>
              <w:t>Reporting Requirements</w:t>
            </w:r>
            <w:r w:rsidR="00EA350E">
              <w:rPr>
                <w:noProof/>
                <w:webHidden/>
              </w:rPr>
              <w:tab/>
            </w:r>
            <w:r w:rsidR="00EA350E">
              <w:rPr>
                <w:noProof/>
                <w:webHidden/>
              </w:rPr>
              <w:fldChar w:fldCharType="begin"/>
            </w:r>
            <w:r w:rsidR="00EA350E">
              <w:rPr>
                <w:noProof/>
                <w:webHidden/>
              </w:rPr>
              <w:instrText xml:space="preserve"> PAGEREF _Toc456879745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3D7999EE"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46" w:history="1">
            <w:r w:rsidR="00EA350E" w:rsidRPr="006178F7">
              <w:rPr>
                <w:rStyle w:val="Hyperlink"/>
                <w:i/>
                <w:noProof/>
              </w:rPr>
              <w:t>Avista (Docket UE-132045)</w:t>
            </w:r>
            <w:r w:rsidR="00EA350E">
              <w:rPr>
                <w:noProof/>
                <w:webHidden/>
              </w:rPr>
              <w:tab/>
            </w:r>
            <w:r w:rsidR="00EA350E">
              <w:rPr>
                <w:noProof/>
                <w:webHidden/>
              </w:rPr>
              <w:fldChar w:fldCharType="begin"/>
            </w:r>
            <w:r w:rsidR="00EA350E">
              <w:rPr>
                <w:noProof/>
                <w:webHidden/>
              </w:rPr>
              <w:instrText xml:space="preserve"> PAGEREF _Toc456879746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7D131699"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7" w:history="1">
            <w:r w:rsidR="00EA350E" w:rsidRPr="006178F7">
              <w:rPr>
                <w:rStyle w:val="Hyperlink"/>
                <w:rFonts w:asciiTheme="majorHAnsi" w:eastAsiaTheme="majorEastAsia" w:hAnsiTheme="majorHAnsi" w:cstheme="majorBidi"/>
                <w:noProof/>
              </w:rPr>
              <w:t>Conservation Target and Achievement</w:t>
            </w:r>
            <w:r w:rsidR="00EA350E">
              <w:rPr>
                <w:noProof/>
                <w:webHidden/>
              </w:rPr>
              <w:tab/>
            </w:r>
            <w:r w:rsidR="00EA350E">
              <w:rPr>
                <w:noProof/>
                <w:webHidden/>
              </w:rPr>
              <w:fldChar w:fldCharType="begin"/>
            </w:r>
            <w:r w:rsidR="00EA350E">
              <w:rPr>
                <w:noProof/>
                <w:webHidden/>
              </w:rPr>
              <w:instrText xml:space="preserve"> PAGEREF _Toc456879747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6056F54C"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8" w:history="1">
            <w:r w:rsidR="00EA350E" w:rsidRPr="006178F7">
              <w:rPr>
                <w:rStyle w:val="Hyperlink"/>
                <w:rFonts w:asciiTheme="majorHAnsi" w:eastAsiaTheme="majorEastAsia" w:hAnsiTheme="majorHAnsi" w:cstheme="majorBidi"/>
                <w:noProof/>
              </w:rPr>
              <w:t>Third Party Verification</w:t>
            </w:r>
            <w:r w:rsidR="00EA350E">
              <w:rPr>
                <w:noProof/>
                <w:webHidden/>
              </w:rPr>
              <w:tab/>
            </w:r>
            <w:r w:rsidR="00EA350E">
              <w:rPr>
                <w:noProof/>
                <w:webHidden/>
              </w:rPr>
              <w:fldChar w:fldCharType="begin"/>
            </w:r>
            <w:r w:rsidR="00EA350E">
              <w:rPr>
                <w:noProof/>
                <w:webHidden/>
              </w:rPr>
              <w:instrText xml:space="preserve"> PAGEREF _Toc456879748 \h </w:instrText>
            </w:r>
            <w:r w:rsidR="00EA350E">
              <w:rPr>
                <w:noProof/>
                <w:webHidden/>
              </w:rPr>
            </w:r>
            <w:r w:rsidR="00EA350E">
              <w:rPr>
                <w:noProof/>
                <w:webHidden/>
              </w:rPr>
              <w:fldChar w:fldCharType="separate"/>
            </w:r>
            <w:r w:rsidR="00EA350E">
              <w:rPr>
                <w:noProof/>
                <w:webHidden/>
              </w:rPr>
              <w:t>12</w:t>
            </w:r>
            <w:r w:rsidR="00EA350E">
              <w:rPr>
                <w:noProof/>
                <w:webHidden/>
              </w:rPr>
              <w:fldChar w:fldCharType="end"/>
            </w:r>
          </w:hyperlink>
        </w:p>
        <w:p w14:paraId="030D5F6C"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9" w:history="1">
            <w:r w:rsidR="00EA350E" w:rsidRPr="006178F7">
              <w:rPr>
                <w:rStyle w:val="Hyperlink"/>
                <w:noProof/>
              </w:rPr>
              <w:t>Confusion over the appropriate UES values used for claiming savings</w:t>
            </w:r>
            <w:r w:rsidR="00EA350E">
              <w:rPr>
                <w:noProof/>
                <w:webHidden/>
              </w:rPr>
              <w:tab/>
            </w:r>
            <w:r w:rsidR="00EA350E">
              <w:rPr>
                <w:noProof/>
                <w:webHidden/>
              </w:rPr>
              <w:fldChar w:fldCharType="begin"/>
            </w:r>
            <w:r w:rsidR="00EA350E">
              <w:rPr>
                <w:noProof/>
                <w:webHidden/>
              </w:rPr>
              <w:instrText xml:space="preserve"> PAGEREF _Toc456879749 \h </w:instrText>
            </w:r>
            <w:r w:rsidR="00EA350E">
              <w:rPr>
                <w:noProof/>
                <w:webHidden/>
              </w:rPr>
            </w:r>
            <w:r w:rsidR="00EA350E">
              <w:rPr>
                <w:noProof/>
                <w:webHidden/>
              </w:rPr>
              <w:fldChar w:fldCharType="separate"/>
            </w:r>
            <w:r w:rsidR="00EA350E">
              <w:rPr>
                <w:noProof/>
                <w:webHidden/>
              </w:rPr>
              <w:t>13</w:t>
            </w:r>
            <w:r w:rsidR="00EA350E">
              <w:rPr>
                <w:noProof/>
                <w:webHidden/>
              </w:rPr>
              <w:fldChar w:fldCharType="end"/>
            </w:r>
          </w:hyperlink>
        </w:p>
        <w:p w14:paraId="33125A8C"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0" w:history="1">
            <w:r w:rsidR="00EA350E" w:rsidRPr="006178F7">
              <w:rPr>
                <w:rStyle w:val="Hyperlink"/>
                <w:noProof/>
              </w:rPr>
              <w:t>Opower Interruption</w:t>
            </w:r>
            <w:r w:rsidR="00EA350E">
              <w:rPr>
                <w:noProof/>
                <w:webHidden/>
              </w:rPr>
              <w:tab/>
            </w:r>
            <w:r w:rsidR="00EA350E">
              <w:rPr>
                <w:noProof/>
                <w:webHidden/>
              </w:rPr>
              <w:fldChar w:fldCharType="begin"/>
            </w:r>
            <w:r w:rsidR="00EA350E">
              <w:rPr>
                <w:noProof/>
                <w:webHidden/>
              </w:rPr>
              <w:instrText xml:space="preserve"> PAGEREF _Toc456879750 \h </w:instrText>
            </w:r>
            <w:r w:rsidR="00EA350E">
              <w:rPr>
                <w:noProof/>
                <w:webHidden/>
              </w:rPr>
            </w:r>
            <w:r w:rsidR="00EA350E">
              <w:rPr>
                <w:noProof/>
                <w:webHidden/>
              </w:rPr>
              <w:fldChar w:fldCharType="separate"/>
            </w:r>
            <w:r w:rsidR="00EA350E">
              <w:rPr>
                <w:noProof/>
                <w:webHidden/>
              </w:rPr>
              <w:t>13</w:t>
            </w:r>
            <w:r w:rsidR="00EA350E">
              <w:rPr>
                <w:noProof/>
                <w:webHidden/>
              </w:rPr>
              <w:fldChar w:fldCharType="end"/>
            </w:r>
          </w:hyperlink>
        </w:p>
        <w:p w14:paraId="62287C0F"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1" w:history="1">
            <w:r w:rsidR="00EA350E" w:rsidRPr="006178F7">
              <w:rPr>
                <w:rStyle w:val="Hyperlink"/>
                <w:rFonts w:asciiTheme="majorHAnsi" w:eastAsiaTheme="majorEastAsia" w:hAnsiTheme="majorHAnsi" w:cstheme="majorBidi"/>
                <w:noProof/>
              </w:rPr>
              <w:t>Reporting Requirements</w:t>
            </w:r>
            <w:r w:rsidR="00EA350E">
              <w:rPr>
                <w:noProof/>
                <w:webHidden/>
              </w:rPr>
              <w:tab/>
            </w:r>
            <w:r w:rsidR="00EA350E">
              <w:rPr>
                <w:noProof/>
                <w:webHidden/>
              </w:rPr>
              <w:fldChar w:fldCharType="begin"/>
            </w:r>
            <w:r w:rsidR="00EA350E">
              <w:rPr>
                <w:noProof/>
                <w:webHidden/>
              </w:rPr>
              <w:instrText xml:space="preserve"> PAGEREF _Toc456879751 \h </w:instrText>
            </w:r>
            <w:r w:rsidR="00EA350E">
              <w:rPr>
                <w:noProof/>
                <w:webHidden/>
              </w:rPr>
            </w:r>
            <w:r w:rsidR="00EA350E">
              <w:rPr>
                <w:noProof/>
                <w:webHidden/>
              </w:rPr>
              <w:fldChar w:fldCharType="separate"/>
            </w:r>
            <w:r w:rsidR="00EA350E">
              <w:rPr>
                <w:noProof/>
                <w:webHidden/>
              </w:rPr>
              <w:t>14</w:t>
            </w:r>
            <w:r w:rsidR="00EA350E">
              <w:rPr>
                <w:noProof/>
                <w:webHidden/>
              </w:rPr>
              <w:fldChar w:fldCharType="end"/>
            </w:r>
          </w:hyperlink>
        </w:p>
        <w:p w14:paraId="462C3C11"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52" w:history="1">
            <w:r w:rsidR="00EA350E" w:rsidRPr="006178F7">
              <w:rPr>
                <w:rStyle w:val="Hyperlink"/>
                <w:i/>
                <w:noProof/>
              </w:rPr>
              <w:t>Pacific Power &amp; Light Company (Docket UE-132047)</w:t>
            </w:r>
            <w:r w:rsidR="00EA350E">
              <w:rPr>
                <w:noProof/>
                <w:webHidden/>
              </w:rPr>
              <w:tab/>
            </w:r>
            <w:r w:rsidR="00EA350E">
              <w:rPr>
                <w:noProof/>
                <w:webHidden/>
              </w:rPr>
              <w:fldChar w:fldCharType="begin"/>
            </w:r>
            <w:r w:rsidR="00EA350E">
              <w:rPr>
                <w:noProof/>
                <w:webHidden/>
              </w:rPr>
              <w:instrText xml:space="preserve"> PAGEREF _Toc456879752 \h </w:instrText>
            </w:r>
            <w:r w:rsidR="00EA350E">
              <w:rPr>
                <w:noProof/>
                <w:webHidden/>
              </w:rPr>
            </w:r>
            <w:r w:rsidR="00EA350E">
              <w:rPr>
                <w:noProof/>
                <w:webHidden/>
              </w:rPr>
              <w:fldChar w:fldCharType="separate"/>
            </w:r>
            <w:r w:rsidR="00EA350E">
              <w:rPr>
                <w:noProof/>
                <w:webHidden/>
              </w:rPr>
              <w:t>14</w:t>
            </w:r>
            <w:r w:rsidR="00EA350E">
              <w:rPr>
                <w:noProof/>
                <w:webHidden/>
              </w:rPr>
              <w:fldChar w:fldCharType="end"/>
            </w:r>
          </w:hyperlink>
        </w:p>
        <w:p w14:paraId="2A09323E"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3" w:history="1">
            <w:r w:rsidR="00EA350E" w:rsidRPr="006178F7">
              <w:rPr>
                <w:rStyle w:val="Hyperlink"/>
                <w:rFonts w:asciiTheme="majorHAnsi" w:eastAsiaTheme="majorEastAsia" w:hAnsiTheme="majorHAnsi" w:cstheme="majorBidi"/>
                <w:noProof/>
              </w:rPr>
              <w:t>Conservation Target and Achievement</w:t>
            </w:r>
            <w:r w:rsidR="00EA350E">
              <w:rPr>
                <w:noProof/>
                <w:webHidden/>
              </w:rPr>
              <w:tab/>
            </w:r>
            <w:r w:rsidR="00EA350E">
              <w:rPr>
                <w:noProof/>
                <w:webHidden/>
              </w:rPr>
              <w:fldChar w:fldCharType="begin"/>
            </w:r>
            <w:r w:rsidR="00EA350E">
              <w:rPr>
                <w:noProof/>
                <w:webHidden/>
              </w:rPr>
              <w:instrText xml:space="preserve"> PAGEREF _Toc456879753 \h </w:instrText>
            </w:r>
            <w:r w:rsidR="00EA350E">
              <w:rPr>
                <w:noProof/>
                <w:webHidden/>
              </w:rPr>
            </w:r>
            <w:r w:rsidR="00EA350E">
              <w:rPr>
                <w:noProof/>
                <w:webHidden/>
              </w:rPr>
              <w:fldChar w:fldCharType="separate"/>
            </w:r>
            <w:r w:rsidR="00EA350E">
              <w:rPr>
                <w:noProof/>
                <w:webHidden/>
              </w:rPr>
              <w:t>14</w:t>
            </w:r>
            <w:r w:rsidR="00EA350E">
              <w:rPr>
                <w:noProof/>
                <w:webHidden/>
              </w:rPr>
              <w:fldChar w:fldCharType="end"/>
            </w:r>
          </w:hyperlink>
        </w:p>
        <w:p w14:paraId="3DD934BD"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4" w:history="1">
            <w:r w:rsidR="00EA350E" w:rsidRPr="006178F7">
              <w:rPr>
                <w:rStyle w:val="Hyperlink"/>
                <w:rFonts w:asciiTheme="majorHAnsi" w:eastAsiaTheme="majorEastAsia" w:hAnsiTheme="majorHAnsi" w:cstheme="majorBidi"/>
                <w:noProof/>
              </w:rPr>
              <w:t>Third Party Verification</w:t>
            </w:r>
            <w:r w:rsidR="00EA350E">
              <w:rPr>
                <w:noProof/>
                <w:webHidden/>
              </w:rPr>
              <w:tab/>
            </w:r>
            <w:r w:rsidR="00EA350E">
              <w:rPr>
                <w:noProof/>
                <w:webHidden/>
              </w:rPr>
              <w:fldChar w:fldCharType="begin"/>
            </w:r>
            <w:r w:rsidR="00EA350E">
              <w:rPr>
                <w:noProof/>
                <w:webHidden/>
              </w:rPr>
              <w:instrText xml:space="preserve"> PAGEREF _Toc456879754 \h </w:instrText>
            </w:r>
            <w:r w:rsidR="00EA350E">
              <w:rPr>
                <w:noProof/>
                <w:webHidden/>
              </w:rPr>
            </w:r>
            <w:r w:rsidR="00EA350E">
              <w:rPr>
                <w:noProof/>
                <w:webHidden/>
              </w:rPr>
              <w:fldChar w:fldCharType="separate"/>
            </w:r>
            <w:r w:rsidR="00EA350E">
              <w:rPr>
                <w:noProof/>
                <w:webHidden/>
              </w:rPr>
              <w:t>16</w:t>
            </w:r>
            <w:r w:rsidR="00EA350E">
              <w:rPr>
                <w:noProof/>
                <w:webHidden/>
              </w:rPr>
              <w:fldChar w:fldCharType="end"/>
            </w:r>
          </w:hyperlink>
        </w:p>
        <w:p w14:paraId="50C903B0"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5" w:history="1">
            <w:r w:rsidR="00EA350E" w:rsidRPr="006178F7">
              <w:rPr>
                <w:rStyle w:val="Hyperlink"/>
                <w:rFonts w:asciiTheme="majorHAnsi" w:eastAsiaTheme="majorEastAsia" w:hAnsiTheme="majorHAnsi" w:cstheme="majorBidi"/>
                <w:noProof/>
              </w:rPr>
              <w:t>Reporting Requirements</w:t>
            </w:r>
            <w:r w:rsidR="00EA350E">
              <w:rPr>
                <w:noProof/>
                <w:webHidden/>
              </w:rPr>
              <w:tab/>
            </w:r>
            <w:r w:rsidR="00EA350E">
              <w:rPr>
                <w:noProof/>
                <w:webHidden/>
              </w:rPr>
              <w:fldChar w:fldCharType="begin"/>
            </w:r>
            <w:r w:rsidR="00EA350E">
              <w:rPr>
                <w:noProof/>
                <w:webHidden/>
              </w:rPr>
              <w:instrText xml:space="preserve"> PAGEREF _Toc456879755 \h </w:instrText>
            </w:r>
            <w:r w:rsidR="00EA350E">
              <w:rPr>
                <w:noProof/>
                <w:webHidden/>
              </w:rPr>
            </w:r>
            <w:r w:rsidR="00EA350E">
              <w:rPr>
                <w:noProof/>
                <w:webHidden/>
              </w:rPr>
              <w:fldChar w:fldCharType="separate"/>
            </w:r>
            <w:r w:rsidR="00EA350E">
              <w:rPr>
                <w:noProof/>
                <w:webHidden/>
              </w:rPr>
              <w:t>16</w:t>
            </w:r>
            <w:r w:rsidR="00EA350E">
              <w:rPr>
                <w:noProof/>
                <w:webHidden/>
              </w:rPr>
              <w:fldChar w:fldCharType="end"/>
            </w:r>
          </w:hyperlink>
        </w:p>
        <w:p w14:paraId="4A9F4649"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56" w:history="1">
            <w:r w:rsidR="00EA350E" w:rsidRPr="006178F7">
              <w:rPr>
                <w:rStyle w:val="Hyperlink"/>
                <w:noProof/>
              </w:rPr>
              <w:t>Issues for Further Consideration</w:t>
            </w:r>
            <w:r w:rsidR="00EA350E">
              <w:rPr>
                <w:noProof/>
                <w:webHidden/>
              </w:rPr>
              <w:tab/>
            </w:r>
            <w:r w:rsidR="00EA350E">
              <w:rPr>
                <w:noProof/>
                <w:webHidden/>
              </w:rPr>
              <w:fldChar w:fldCharType="begin"/>
            </w:r>
            <w:r w:rsidR="00EA350E">
              <w:rPr>
                <w:noProof/>
                <w:webHidden/>
              </w:rPr>
              <w:instrText xml:space="preserve"> PAGEREF _Toc456879756 \h </w:instrText>
            </w:r>
            <w:r w:rsidR="00EA350E">
              <w:rPr>
                <w:noProof/>
                <w:webHidden/>
              </w:rPr>
            </w:r>
            <w:r w:rsidR="00EA350E">
              <w:rPr>
                <w:noProof/>
                <w:webHidden/>
              </w:rPr>
              <w:fldChar w:fldCharType="separate"/>
            </w:r>
            <w:r w:rsidR="00EA350E">
              <w:rPr>
                <w:noProof/>
                <w:webHidden/>
              </w:rPr>
              <w:t>17</w:t>
            </w:r>
            <w:r w:rsidR="00EA350E">
              <w:rPr>
                <w:noProof/>
                <w:webHidden/>
              </w:rPr>
              <w:fldChar w:fldCharType="end"/>
            </w:r>
          </w:hyperlink>
        </w:p>
        <w:p w14:paraId="5B584612"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57" w:history="1">
            <w:r w:rsidR="00EA350E" w:rsidRPr="006178F7">
              <w:rPr>
                <w:rStyle w:val="Hyperlink"/>
                <w:i/>
                <w:noProof/>
              </w:rPr>
              <w:t>Quantified Health Benefits of Emission Reduction</w:t>
            </w:r>
            <w:r w:rsidR="00EA350E">
              <w:rPr>
                <w:noProof/>
                <w:webHidden/>
              </w:rPr>
              <w:tab/>
            </w:r>
            <w:r w:rsidR="00EA350E">
              <w:rPr>
                <w:noProof/>
                <w:webHidden/>
              </w:rPr>
              <w:fldChar w:fldCharType="begin"/>
            </w:r>
            <w:r w:rsidR="00EA350E">
              <w:rPr>
                <w:noProof/>
                <w:webHidden/>
              </w:rPr>
              <w:instrText xml:space="preserve"> PAGEREF _Toc456879757 \h </w:instrText>
            </w:r>
            <w:r w:rsidR="00EA350E">
              <w:rPr>
                <w:noProof/>
                <w:webHidden/>
              </w:rPr>
            </w:r>
            <w:r w:rsidR="00EA350E">
              <w:rPr>
                <w:noProof/>
                <w:webHidden/>
              </w:rPr>
              <w:fldChar w:fldCharType="separate"/>
            </w:r>
            <w:r w:rsidR="00EA350E">
              <w:rPr>
                <w:noProof/>
                <w:webHidden/>
              </w:rPr>
              <w:t>17</w:t>
            </w:r>
            <w:r w:rsidR="00EA350E">
              <w:rPr>
                <w:noProof/>
                <w:webHidden/>
              </w:rPr>
              <w:fldChar w:fldCharType="end"/>
            </w:r>
          </w:hyperlink>
        </w:p>
        <w:p w14:paraId="6484FB6D"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58" w:history="1">
            <w:r w:rsidR="00EA350E" w:rsidRPr="006178F7">
              <w:rPr>
                <w:rStyle w:val="Hyperlink"/>
                <w:i/>
                <w:noProof/>
              </w:rPr>
              <w:t>Other Upcoming Issues</w:t>
            </w:r>
            <w:r w:rsidR="00EA350E">
              <w:rPr>
                <w:noProof/>
                <w:webHidden/>
              </w:rPr>
              <w:tab/>
            </w:r>
            <w:r w:rsidR="00EA350E">
              <w:rPr>
                <w:noProof/>
                <w:webHidden/>
              </w:rPr>
              <w:fldChar w:fldCharType="begin"/>
            </w:r>
            <w:r w:rsidR="00EA350E">
              <w:rPr>
                <w:noProof/>
                <w:webHidden/>
              </w:rPr>
              <w:instrText xml:space="preserve"> PAGEREF _Toc456879758 \h </w:instrText>
            </w:r>
            <w:r w:rsidR="00EA350E">
              <w:rPr>
                <w:noProof/>
                <w:webHidden/>
              </w:rPr>
            </w:r>
            <w:r w:rsidR="00EA350E">
              <w:rPr>
                <w:noProof/>
                <w:webHidden/>
              </w:rPr>
              <w:fldChar w:fldCharType="separate"/>
            </w:r>
            <w:r w:rsidR="00EA350E">
              <w:rPr>
                <w:noProof/>
                <w:webHidden/>
              </w:rPr>
              <w:t>17</w:t>
            </w:r>
            <w:r w:rsidR="00EA350E">
              <w:rPr>
                <w:noProof/>
                <w:webHidden/>
              </w:rPr>
              <w:fldChar w:fldCharType="end"/>
            </w:r>
          </w:hyperlink>
        </w:p>
        <w:p w14:paraId="5CAE6B19"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59" w:history="1">
            <w:r w:rsidR="00EA350E" w:rsidRPr="006178F7">
              <w:rPr>
                <w:rStyle w:val="Hyperlink"/>
                <w:noProof/>
              </w:rPr>
              <w:t>Summary</w:t>
            </w:r>
            <w:r w:rsidR="00EA350E">
              <w:rPr>
                <w:noProof/>
                <w:webHidden/>
              </w:rPr>
              <w:tab/>
            </w:r>
            <w:r w:rsidR="00EA350E">
              <w:rPr>
                <w:noProof/>
                <w:webHidden/>
              </w:rPr>
              <w:fldChar w:fldCharType="begin"/>
            </w:r>
            <w:r w:rsidR="00EA350E">
              <w:rPr>
                <w:noProof/>
                <w:webHidden/>
              </w:rPr>
              <w:instrText xml:space="preserve"> PAGEREF _Toc456879759 \h </w:instrText>
            </w:r>
            <w:r w:rsidR="00EA350E">
              <w:rPr>
                <w:noProof/>
                <w:webHidden/>
              </w:rPr>
            </w:r>
            <w:r w:rsidR="00EA350E">
              <w:rPr>
                <w:noProof/>
                <w:webHidden/>
              </w:rPr>
              <w:fldChar w:fldCharType="separate"/>
            </w:r>
            <w:r w:rsidR="00EA350E">
              <w:rPr>
                <w:noProof/>
                <w:webHidden/>
              </w:rPr>
              <w:t>18</w:t>
            </w:r>
            <w:r w:rsidR="00EA350E">
              <w:rPr>
                <w:noProof/>
                <w:webHidden/>
              </w:rPr>
              <w:fldChar w:fldCharType="end"/>
            </w:r>
          </w:hyperlink>
        </w:p>
        <w:p w14:paraId="230D860F" w14:textId="4CBB73D3" w:rsidR="00EA350E" w:rsidRDefault="00EE6FC0" w:rsidP="00EA350E">
          <w:pPr>
            <w:pStyle w:val="TOC1"/>
            <w:tabs>
              <w:tab w:val="right" w:leader="dot" w:pos="9350"/>
            </w:tabs>
            <w:rPr>
              <w:rFonts w:asciiTheme="minorHAnsi" w:eastAsiaTheme="minorEastAsia" w:hAnsiTheme="minorHAnsi" w:cstheme="minorBidi"/>
              <w:noProof/>
              <w:sz w:val="22"/>
              <w:szCs w:val="22"/>
            </w:rPr>
          </w:pPr>
          <w:hyperlink w:anchor="_Toc456879760" w:history="1">
            <w:r w:rsidR="00EA350E" w:rsidRPr="006178F7">
              <w:rPr>
                <w:rStyle w:val="Hyperlink"/>
                <w:noProof/>
              </w:rPr>
              <w:t>Attachment: Recommended Treatment of Excess Conservation</w:t>
            </w:r>
            <w:r w:rsidR="00EA350E">
              <w:rPr>
                <w:noProof/>
                <w:webHidden/>
              </w:rPr>
              <w:tab/>
            </w:r>
            <w:r w:rsidR="00EA350E">
              <w:rPr>
                <w:noProof/>
                <w:webHidden/>
              </w:rPr>
              <w:fldChar w:fldCharType="begin"/>
            </w:r>
            <w:r w:rsidR="00EA350E">
              <w:rPr>
                <w:noProof/>
                <w:webHidden/>
              </w:rPr>
              <w:instrText xml:space="preserve"> PAGEREF _Toc456879760 \h </w:instrText>
            </w:r>
            <w:r w:rsidR="00EA350E">
              <w:rPr>
                <w:noProof/>
                <w:webHidden/>
              </w:rPr>
            </w:r>
            <w:r w:rsidR="00EA350E">
              <w:rPr>
                <w:noProof/>
                <w:webHidden/>
              </w:rPr>
              <w:fldChar w:fldCharType="separate"/>
            </w:r>
            <w:r w:rsidR="00EA350E">
              <w:rPr>
                <w:noProof/>
                <w:webHidden/>
              </w:rPr>
              <w:t>19</w:t>
            </w:r>
            <w:r w:rsidR="00EA350E">
              <w:rPr>
                <w:noProof/>
                <w:webHidden/>
              </w:rPr>
              <w:fldChar w:fldCharType="end"/>
            </w:r>
          </w:hyperlink>
        </w:p>
        <w:p w14:paraId="58DCA57F" w14:textId="7641CDA6" w:rsidR="00EA350E" w:rsidRDefault="00EA350E">
          <w:pPr>
            <w:pStyle w:val="TOC2"/>
            <w:tabs>
              <w:tab w:val="right" w:leader="dot" w:pos="9350"/>
            </w:tabs>
            <w:rPr>
              <w:rFonts w:asciiTheme="minorHAnsi" w:eastAsiaTheme="minorEastAsia" w:hAnsiTheme="minorHAnsi" w:cstheme="minorBidi"/>
              <w:noProof/>
              <w:sz w:val="22"/>
              <w:szCs w:val="22"/>
            </w:rPr>
          </w:pPr>
        </w:p>
        <w:p w14:paraId="110773B6" w14:textId="77777777" w:rsidR="001608A6" w:rsidRDefault="00843B51">
          <w:r>
            <w:rPr>
              <w:b/>
              <w:bCs/>
              <w:noProof/>
            </w:rPr>
            <w:lastRenderedPageBreak/>
            <w:fldChar w:fldCharType="end"/>
          </w:r>
        </w:p>
      </w:sdtContent>
    </w:sdt>
    <w:p w14:paraId="65EEBA39" w14:textId="1AF28A2E" w:rsidR="0059543A" w:rsidRDefault="0059543A" w:rsidP="001608A6">
      <w:pPr>
        <w:spacing w:before="0" w:after="0"/>
        <w:jc w:val="center"/>
        <w:rPr>
          <w:b/>
        </w:rPr>
      </w:pPr>
    </w:p>
    <w:p w14:paraId="3F9ECF6A" w14:textId="77777777" w:rsidR="00947A69" w:rsidRDefault="00947A69" w:rsidP="0059543A">
      <w:pPr>
        <w:rPr>
          <w:rFonts w:asciiTheme="majorHAnsi" w:hAnsiTheme="majorHAnsi"/>
          <w:color w:val="4F81BD" w:themeColor="accent1"/>
          <w:sz w:val="28"/>
          <w:szCs w:val="28"/>
        </w:rPr>
      </w:pPr>
    </w:p>
    <w:p w14:paraId="1B78E5A6" w14:textId="78195CB3" w:rsidR="001608A6" w:rsidRDefault="0059543A" w:rsidP="0059543A">
      <w:pPr>
        <w:rPr>
          <w:rFonts w:asciiTheme="majorHAnsi" w:hAnsiTheme="majorHAnsi"/>
          <w:color w:val="4F81BD" w:themeColor="accent1"/>
          <w:sz w:val="28"/>
          <w:szCs w:val="28"/>
        </w:rPr>
      </w:pPr>
      <w:r w:rsidRPr="0059543A">
        <w:rPr>
          <w:rFonts w:asciiTheme="majorHAnsi" w:hAnsiTheme="majorHAnsi"/>
          <w:color w:val="4F81BD" w:themeColor="accent1"/>
          <w:sz w:val="28"/>
          <w:szCs w:val="28"/>
        </w:rPr>
        <w:t>List of Tables</w:t>
      </w:r>
    </w:p>
    <w:p w14:paraId="64BC1603" w14:textId="77777777" w:rsidR="0005698C" w:rsidRDefault="0005698C" w:rsidP="0059543A">
      <w:pPr>
        <w:rPr>
          <w:rFonts w:asciiTheme="majorHAnsi" w:hAnsiTheme="majorHAnsi"/>
          <w:color w:val="4F81BD" w:themeColor="accent1"/>
          <w:sz w:val="28"/>
          <w:szCs w:val="28"/>
        </w:rPr>
      </w:pPr>
    </w:p>
    <w:p w14:paraId="159FDDAE" w14:textId="77777777" w:rsidR="00FF7C4F" w:rsidRDefault="00FD5765">
      <w:pPr>
        <w:pStyle w:val="TableofFigures"/>
        <w:tabs>
          <w:tab w:val="right" w:leader="dot" w:pos="9350"/>
        </w:tabs>
        <w:rPr>
          <w:rFonts w:asciiTheme="minorHAnsi" w:eastAsiaTheme="minorEastAsia" w:hAnsiTheme="minorHAnsi" w:cstheme="minorBidi"/>
          <w:noProof/>
          <w:sz w:val="22"/>
          <w:szCs w:val="22"/>
        </w:rPr>
      </w:pPr>
      <w:r>
        <w:rPr>
          <w:rFonts w:asciiTheme="majorHAnsi" w:hAnsiTheme="majorHAnsi"/>
          <w:color w:val="4F81BD" w:themeColor="accent1"/>
          <w:sz w:val="28"/>
          <w:szCs w:val="28"/>
        </w:rPr>
        <w:fldChar w:fldCharType="begin"/>
      </w:r>
      <w:r>
        <w:rPr>
          <w:rFonts w:asciiTheme="majorHAnsi" w:hAnsiTheme="majorHAnsi"/>
          <w:color w:val="4F81BD" w:themeColor="accent1"/>
          <w:sz w:val="28"/>
          <w:szCs w:val="28"/>
        </w:rPr>
        <w:instrText xml:space="preserve"> TOC \h \z \c "Table" </w:instrText>
      </w:r>
      <w:r>
        <w:rPr>
          <w:rFonts w:asciiTheme="majorHAnsi" w:hAnsiTheme="majorHAnsi"/>
          <w:color w:val="4F81BD" w:themeColor="accent1"/>
          <w:sz w:val="28"/>
          <w:szCs w:val="28"/>
        </w:rPr>
        <w:fldChar w:fldCharType="separate"/>
      </w:r>
      <w:hyperlink w:anchor="_Toc456867226" w:history="1">
        <w:r w:rsidR="00FF7C4F" w:rsidRPr="00324F83">
          <w:rPr>
            <w:rStyle w:val="Hyperlink"/>
            <w:b/>
            <w:noProof/>
          </w:rPr>
          <w:t>Table 1: Summary of Reported 2014-2015 Cost-Effective Savings</w:t>
        </w:r>
        <w:r w:rsidR="00FF7C4F">
          <w:rPr>
            <w:noProof/>
            <w:webHidden/>
          </w:rPr>
          <w:tab/>
        </w:r>
        <w:r w:rsidR="00FF7C4F">
          <w:rPr>
            <w:noProof/>
            <w:webHidden/>
          </w:rPr>
          <w:fldChar w:fldCharType="begin"/>
        </w:r>
        <w:r w:rsidR="00FF7C4F">
          <w:rPr>
            <w:noProof/>
            <w:webHidden/>
          </w:rPr>
          <w:instrText xml:space="preserve"> PAGEREF _Toc456867226 \h </w:instrText>
        </w:r>
        <w:r w:rsidR="00FF7C4F">
          <w:rPr>
            <w:noProof/>
            <w:webHidden/>
          </w:rPr>
        </w:r>
        <w:r w:rsidR="00FF7C4F">
          <w:rPr>
            <w:noProof/>
            <w:webHidden/>
          </w:rPr>
          <w:fldChar w:fldCharType="separate"/>
        </w:r>
        <w:r w:rsidR="00FF7C4F">
          <w:rPr>
            <w:noProof/>
            <w:webHidden/>
          </w:rPr>
          <w:t>1</w:t>
        </w:r>
        <w:r w:rsidR="00FF7C4F">
          <w:rPr>
            <w:noProof/>
            <w:webHidden/>
          </w:rPr>
          <w:fldChar w:fldCharType="end"/>
        </w:r>
      </w:hyperlink>
    </w:p>
    <w:p w14:paraId="31081622"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27" w:history="1">
        <w:r w:rsidR="00FF7C4F" w:rsidRPr="00324F83">
          <w:rPr>
            <w:rStyle w:val="Hyperlink"/>
            <w:b/>
            <w:noProof/>
          </w:rPr>
          <w:t>Table 2: 2014-2015 Excess Savings Achieved (MWh)</w:t>
        </w:r>
        <w:r w:rsidR="00FF7C4F">
          <w:rPr>
            <w:noProof/>
            <w:webHidden/>
          </w:rPr>
          <w:tab/>
        </w:r>
        <w:r w:rsidR="00FF7C4F">
          <w:rPr>
            <w:noProof/>
            <w:webHidden/>
          </w:rPr>
          <w:fldChar w:fldCharType="begin"/>
        </w:r>
        <w:r w:rsidR="00FF7C4F">
          <w:rPr>
            <w:noProof/>
            <w:webHidden/>
          </w:rPr>
          <w:instrText xml:space="preserve"> PAGEREF _Toc456867227 \h </w:instrText>
        </w:r>
        <w:r w:rsidR="00FF7C4F">
          <w:rPr>
            <w:noProof/>
            <w:webHidden/>
          </w:rPr>
        </w:r>
        <w:r w:rsidR="00FF7C4F">
          <w:rPr>
            <w:noProof/>
            <w:webHidden/>
          </w:rPr>
          <w:fldChar w:fldCharType="separate"/>
        </w:r>
        <w:r w:rsidR="00FF7C4F">
          <w:rPr>
            <w:noProof/>
            <w:webHidden/>
          </w:rPr>
          <w:t>4</w:t>
        </w:r>
        <w:r w:rsidR="00FF7C4F">
          <w:rPr>
            <w:noProof/>
            <w:webHidden/>
          </w:rPr>
          <w:fldChar w:fldCharType="end"/>
        </w:r>
      </w:hyperlink>
    </w:p>
    <w:p w14:paraId="1E45D97D"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28" w:history="1">
        <w:r w:rsidR="00FF7C4F" w:rsidRPr="00324F83">
          <w:rPr>
            <w:rStyle w:val="Hyperlink"/>
            <w:b/>
            <w:noProof/>
          </w:rPr>
          <w:t>Table 3: Summary of PSE’s 2014-2015 Conservation Achievements</w:t>
        </w:r>
        <w:r w:rsidR="00FF7C4F">
          <w:rPr>
            <w:noProof/>
            <w:webHidden/>
          </w:rPr>
          <w:tab/>
        </w:r>
        <w:r w:rsidR="00FF7C4F">
          <w:rPr>
            <w:noProof/>
            <w:webHidden/>
          </w:rPr>
          <w:fldChar w:fldCharType="begin"/>
        </w:r>
        <w:r w:rsidR="00FF7C4F">
          <w:rPr>
            <w:noProof/>
            <w:webHidden/>
          </w:rPr>
          <w:instrText xml:space="preserve"> PAGEREF _Toc456867228 \h </w:instrText>
        </w:r>
        <w:r w:rsidR="00FF7C4F">
          <w:rPr>
            <w:noProof/>
            <w:webHidden/>
          </w:rPr>
        </w:r>
        <w:r w:rsidR="00FF7C4F">
          <w:rPr>
            <w:noProof/>
            <w:webHidden/>
          </w:rPr>
          <w:fldChar w:fldCharType="separate"/>
        </w:r>
        <w:r w:rsidR="00FF7C4F">
          <w:rPr>
            <w:noProof/>
            <w:webHidden/>
          </w:rPr>
          <w:t>10</w:t>
        </w:r>
        <w:r w:rsidR="00FF7C4F">
          <w:rPr>
            <w:noProof/>
            <w:webHidden/>
          </w:rPr>
          <w:fldChar w:fldCharType="end"/>
        </w:r>
      </w:hyperlink>
    </w:p>
    <w:p w14:paraId="78B560A8"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29" w:history="1">
        <w:r w:rsidR="00FF7C4F" w:rsidRPr="00324F83">
          <w:rPr>
            <w:rStyle w:val="Hyperlink"/>
            <w:b/>
            <w:noProof/>
          </w:rPr>
          <w:t>Table 4: PSE’s 2014-2015 Conservation Achievements by Program</w:t>
        </w:r>
        <w:r w:rsidR="00FF7C4F">
          <w:rPr>
            <w:noProof/>
            <w:webHidden/>
          </w:rPr>
          <w:tab/>
        </w:r>
        <w:r w:rsidR="00FF7C4F">
          <w:rPr>
            <w:noProof/>
            <w:webHidden/>
          </w:rPr>
          <w:fldChar w:fldCharType="begin"/>
        </w:r>
        <w:r w:rsidR="00FF7C4F">
          <w:rPr>
            <w:noProof/>
            <w:webHidden/>
          </w:rPr>
          <w:instrText xml:space="preserve"> PAGEREF _Toc456867229 \h </w:instrText>
        </w:r>
        <w:r w:rsidR="00FF7C4F">
          <w:rPr>
            <w:noProof/>
            <w:webHidden/>
          </w:rPr>
        </w:r>
        <w:r w:rsidR="00FF7C4F">
          <w:rPr>
            <w:noProof/>
            <w:webHidden/>
          </w:rPr>
          <w:fldChar w:fldCharType="separate"/>
        </w:r>
        <w:r w:rsidR="00FF7C4F">
          <w:rPr>
            <w:noProof/>
            <w:webHidden/>
          </w:rPr>
          <w:t>10</w:t>
        </w:r>
        <w:r w:rsidR="00FF7C4F">
          <w:rPr>
            <w:noProof/>
            <w:webHidden/>
          </w:rPr>
          <w:fldChar w:fldCharType="end"/>
        </w:r>
      </w:hyperlink>
    </w:p>
    <w:p w14:paraId="6149FB79"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0" w:history="1">
        <w:r w:rsidR="00FF7C4F" w:rsidRPr="00324F83">
          <w:rPr>
            <w:rStyle w:val="Hyperlink"/>
            <w:b/>
            <w:noProof/>
          </w:rPr>
          <w:t>Table 5: Summary of Avista’s 2014-2015 Conservation Achievements</w:t>
        </w:r>
        <w:r w:rsidR="00FF7C4F">
          <w:rPr>
            <w:noProof/>
            <w:webHidden/>
          </w:rPr>
          <w:tab/>
        </w:r>
        <w:r w:rsidR="00FF7C4F">
          <w:rPr>
            <w:noProof/>
            <w:webHidden/>
          </w:rPr>
          <w:fldChar w:fldCharType="begin"/>
        </w:r>
        <w:r w:rsidR="00FF7C4F">
          <w:rPr>
            <w:noProof/>
            <w:webHidden/>
          </w:rPr>
          <w:instrText xml:space="preserve"> PAGEREF _Toc456867230 \h </w:instrText>
        </w:r>
        <w:r w:rsidR="00FF7C4F">
          <w:rPr>
            <w:noProof/>
            <w:webHidden/>
          </w:rPr>
        </w:r>
        <w:r w:rsidR="00FF7C4F">
          <w:rPr>
            <w:noProof/>
            <w:webHidden/>
          </w:rPr>
          <w:fldChar w:fldCharType="separate"/>
        </w:r>
        <w:r w:rsidR="00FF7C4F">
          <w:rPr>
            <w:noProof/>
            <w:webHidden/>
          </w:rPr>
          <w:t>11</w:t>
        </w:r>
        <w:r w:rsidR="00FF7C4F">
          <w:rPr>
            <w:noProof/>
            <w:webHidden/>
          </w:rPr>
          <w:fldChar w:fldCharType="end"/>
        </w:r>
      </w:hyperlink>
    </w:p>
    <w:p w14:paraId="6E414744"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1" w:history="1">
        <w:r w:rsidR="00FF7C4F" w:rsidRPr="00324F83">
          <w:rPr>
            <w:rStyle w:val="Hyperlink"/>
            <w:b/>
            <w:noProof/>
          </w:rPr>
          <w:t>Table 6: Avista’s’s 2014-2015 Conservation Achievements by Program</w:t>
        </w:r>
        <w:r w:rsidR="00FF7C4F">
          <w:rPr>
            <w:noProof/>
            <w:webHidden/>
          </w:rPr>
          <w:tab/>
        </w:r>
        <w:r w:rsidR="00FF7C4F">
          <w:rPr>
            <w:noProof/>
            <w:webHidden/>
          </w:rPr>
          <w:fldChar w:fldCharType="begin"/>
        </w:r>
        <w:r w:rsidR="00FF7C4F">
          <w:rPr>
            <w:noProof/>
            <w:webHidden/>
          </w:rPr>
          <w:instrText xml:space="preserve"> PAGEREF _Toc456867231 \h </w:instrText>
        </w:r>
        <w:r w:rsidR="00FF7C4F">
          <w:rPr>
            <w:noProof/>
            <w:webHidden/>
          </w:rPr>
        </w:r>
        <w:r w:rsidR="00FF7C4F">
          <w:rPr>
            <w:noProof/>
            <w:webHidden/>
          </w:rPr>
          <w:fldChar w:fldCharType="separate"/>
        </w:r>
        <w:r w:rsidR="00FF7C4F">
          <w:rPr>
            <w:noProof/>
            <w:webHidden/>
          </w:rPr>
          <w:t>12</w:t>
        </w:r>
        <w:r w:rsidR="00FF7C4F">
          <w:rPr>
            <w:noProof/>
            <w:webHidden/>
          </w:rPr>
          <w:fldChar w:fldCharType="end"/>
        </w:r>
      </w:hyperlink>
    </w:p>
    <w:p w14:paraId="5957F4A3"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2" w:history="1">
        <w:r w:rsidR="00FF7C4F" w:rsidRPr="00324F83">
          <w:rPr>
            <w:rStyle w:val="Hyperlink"/>
            <w:b/>
            <w:noProof/>
          </w:rPr>
          <w:t>Table 7: Summary of Pacific</w:t>
        </w:r>
        <w:r w:rsidR="00FF7C4F" w:rsidRPr="00324F83">
          <w:rPr>
            <w:rStyle w:val="Hyperlink"/>
            <w:noProof/>
          </w:rPr>
          <w:t xml:space="preserve"> </w:t>
        </w:r>
        <w:r w:rsidR="00FF7C4F" w:rsidRPr="00324F83">
          <w:rPr>
            <w:rStyle w:val="Hyperlink"/>
            <w:b/>
            <w:noProof/>
          </w:rPr>
          <w:t>Power’s 2014-2015 Conservation Achievements</w:t>
        </w:r>
        <w:r w:rsidR="00FF7C4F">
          <w:rPr>
            <w:noProof/>
            <w:webHidden/>
          </w:rPr>
          <w:tab/>
        </w:r>
        <w:r w:rsidR="00FF7C4F">
          <w:rPr>
            <w:noProof/>
            <w:webHidden/>
          </w:rPr>
          <w:fldChar w:fldCharType="begin"/>
        </w:r>
        <w:r w:rsidR="00FF7C4F">
          <w:rPr>
            <w:noProof/>
            <w:webHidden/>
          </w:rPr>
          <w:instrText xml:space="preserve"> PAGEREF _Toc456867232 \h </w:instrText>
        </w:r>
        <w:r w:rsidR="00FF7C4F">
          <w:rPr>
            <w:noProof/>
            <w:webHidden/>
          </w:rPr>
        </w:r>
        <w:r w:rsidR="00FF7C4F">
          <w:rPr>
            <w:noProof/>
            <w:webHidden/>
          </w:rPr>
          <w:fldChar w:fldCharType="separate"/>
        </w:r>
        <w:r w:rsidR="00FF7C4F">
          <w:rPr>
            <w:noProof/>
            <w:webHidden/>
          </w:rPr>
          <w:t>14</w:t>
        </w:r>
        <w:r w:rsidR="00FF7C4F">
          <w:rPr>
            <w:noProof/>
            <w:webHidden/>
          </w:rPr>
          <w:fldChar w:fldCharType="end"/>
        </w:r>
      </w:hyperlink>
    </w:p>
    <w:p w14:paraId="1E50F1A6"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3" w:history="1">
        <w:r w:rsidR="00FF7C4F" w:rsidRPr="00324F83">
          <w:rPr>
            <w:rStyle w:val="Hyperlink"/>
            <w:b/>
            <w:noProof/>
          </w:rPr>
          <w:t>Table 8: Pacific</w:t>
        </w:r>
        <w:r w:rsidR="00FF7C4F" w:rsidRPr="00324F83">
          <w:rPr>
            <w:rStyle w:val="Hyperlink"/>
            <w:noProof/>
          </w:rPr>
          <w:t xml:space="preserve"> </w:t>
        </w:r>
        <w:r w:rsidR="00FF7C4F" w:rsidRPr="00324F83">
          <w:rPr>
            <w:rStyle w:val="Hyperlink"/>
            <w:b/>
            <w:noProof/>
          </w:rPr>
          <w:t>Power’s 2014-2015 Conservation Achievements by Program</w:t>
        </w:r>
        <w:r w:rsidR="00FF7C4F">
          <w:rPr>
            <w:noProof/>
            <w:webHidden/>
          </w:rPr>
          <w:tab/>
        </w:r>
        <w:r w:rsidR="00FF7C4F">
          <w:rPr>
            <w:noProof/>
            <w:webHidden/>
          </w:rPr>
          <w:fldChar w:fldCharType="begin"/>
        </w:r>
        <w:r w:rsidR="00FF7C4F">
          <w:rPr>
            <w:noProof/>
            <w:webHidden/>
          </w:rPr>
          <w:instrText xml:space="preserve"> PAGEREF _Toc456867233 \h </w:instrText>
        </w:r>
        <w:r w:rsidR="00FF7C4F">
          <w:rPr>
            <w:noProof/>
            <w:webHidden/>
          </w:rPr>
        </w:r>
        <w:r w:rsidR="00FF7C4F">
          <w:rPr>
            <w:noProof/>
            <w:webHidden/>
          </w:rPr>
          <w:fldChar w:fldCharType="separate"/>
        </w:r>
        <w:r w:rsidR="00FF7C4F">
          <w:rPr>
            <w:noProof/>
            <w:webHidden/>
          </w:rPr>
          <w:t>15</w:t>
        </w:r>
        <w:r w:rsidR="00FF7C4F">
          <w:rPr>
            <w:noProof/>
            <w:webHidden/>
          </w:rPr>
          <w:fldChar w:fldCharType="end"/>
        </w:r>
      </w:hyperlink>
    </w:p>
    <w:p w14:paraId="1EA55B91" w14:textId="0313A24B" w:rsidR="0005698C" w:rsidRDefault="00FD5765" w:rsidP="0059543A">
      <w:pPr>
        <w:rPr>
          <w:rFonts w:asciiTheme="majorHAnsi" w:hAnsiTheme="majorHAnsi"/>
          <w:color w:val="4F81BD" w:themeColor="accent1"/>
          <w:sz w:val="28"/>
          <w:szCs w:val="28"/>
        </w:rPr>
      </w:pPr>
      <w:r>
        <w:rPr>
          <w:rFonts w:asciiTheme="majorHAnsi" w:hAnsiTheme="majorHAnsi"/>
          <w:color w:val="4F81BD" w:themeColor="accent1"/>
          <w:sz w:val="28"/>
          <w:szCs w:val="28"/>
        </w:rPr>
        <w:fldChar w:fldCharType="end"/>
      </w:r>
    </w:p>
    <w:p w14:paraId="5CF05FFD" w14:textId="6CFB327C" w:rsidR="00E06945" w:rsidRDefault="00E06945" w:rsidP="0059543A">
      <w:pPr>
        <w:rPr>
          <w:rFonts w:asciiTheme="majorHAnsi" w:hAnsiTheme="majorHAnsi"/>
          <w:color w:val="4F81BD" w:themeColor="accent1"/>
          <w:sz w:val="28"/>
          <w:szCs w:val="28"/>
        </w:rPr>
      </w:pPr>
    </w:p>
    <w:p w14:paraId="6ADC5911" w14:textId="77777777" w:rsidR="009820D2" w:rsidRDefault="009820D2">
      <w:pPr>
        <w:spacing w:before="0" w:after="0"/>
        <w:rPr>
          <w:rFonts w:asciiTheme="majorHAnsi" w:hAnsiTheme="majorHAnsi"/>
          <w:color w:val="4F81BD" w:themeColor="accent1"/>
          <w:sz w:val="28"/>
          <w:szCs w:val="28"/>
        </w:rPr>
        <w:sectPr w:rsidR="009820D2" w:rsidSect="009820D2">
          <w:headerReference w:type="first" r:id="rId13"/>
          <w:pgSz w:w="12240" w:h="15840"/>
          <w:pgMar w:top="1440" w:right="1440" w:bottom="1440" w:left="1440" w:header="720" w:footer="720" w:gutter="0"/>
          <w:pgNumType w:fmt="lowerRoman" w:start="1"/>
          <w:cols w:space="720"/>
          <w:titlePg/>
          <w:docGrid w:linePitch="360"/>
        </w:sectPr>
      </w:pPr>
    </w:p>
    <w:p w14:paraId="50AAE701" w14:textId="55012AD4" w:rsidR="00A64E5C" w:rsidRPr="009820D2" w:rsidRDefault="00A64E5C" w:rsidP="009820D2">
      <w:pPr>
        <w:pStyle w:val="Heading1"/>
        <w:rPr>
          <w:color w:val="4F81BD" w:themeColor="accent1"/>
        </w:rPr>
      </w:pPr>
      <w:bookmarkStart w:id="1" w:name="_Toc455489971"/>
      <w:bookmarkStart w:id="2" w:name="_Toc456682595"/>
      <w:bookmarkStart w:id="3" w:name="_Toc456689280"/>
      <w:bookmarkStart w:id="4" w:name="_Toc456879732"/>
      <w:r>
        <w:lastRenderedPageBreak/>
        <w:t>Executive Summary</w:t>
      </w:r>
      <w:bookmarkEnd w:id="1"/>
      <w:bookmarkEnd w:id="2"/>
      <w:bookmarkEnd w:id="3"/>
      <w:bookmarkEnd w:id="4"/>
    </w:p>
    <w:p w14:paraId="3D30EB2E" w14:textId="4525F069" w:rsidR="00191A5B" w:rsidRDefault="00EF7490" w:rsidP="00211E70">
      <w:r w:rsidRPr="005C2917">
        <w:t>In 2006, Washington voters approved Initiative 937, also known as the Energy Independence Act (EIA). Now codified in RCW 19.285</w:t>
      </w:r>
      <w:r w:rsidR="00006B15" w:rsidRPr="005C2917">
        <w:t xml:space="preserve"> and Chapter 480-109 WAC</w:t>
      </w:r>
      <w:r w:rsidRPr="005C2917">
        <w:t xml:space="preserve">, </w:t>
      </w:r>
      <w:r w:rsidR="00D56915" w:rsidRPr="005C2917">
        <w:t>“qualifying” electric utilities</w:t>
      </w:r>
      <w:r w:rsidR="00267EF6">
        <w:t> </w:t>
      </w:r>
      <w:r w:rsidR="00D56915" w:rsidRPr="005C2917">
        <w:t>—</w:t>
      </w:r>
      <w:r w:rsidR="00267EF6">
        <w:t xml:space="preserve"> </w:t>
      </w:r>
      <w:r w:rsidR="00D56915" w:rsidRPr="005C2917">
        <w:t>those with at least 25,000 customers in Washington</w:t>
      </w:r>
      <w:r w:rsidR="00267EF6">
        <w:t> </w:t>
      </w:r>
      <w:r w:rsidR="00D56915" w:rsidRPr="005C2917">
        <w:t xml:space="preserve">— </w:t>
      </w:r>
      <w:r w:rsidR="00191A5B">
        <w:t xml:space="preserve">are mandated to </w:t>
      </w:r>
      <w:r w:rsidR="00191A5B" w:rsidRPr="00191A5B">
        <w:t>set and meet energy conservation targets.</w:t>
      </w:r>
      <w:r w:rsidR="00191A5B" w:rsidRPr="00191A5B">
        <w:rPr>
          <w:vertAlign w:val="superscript"/>
        </w:rPr>
        <w:footnoteReference w:id="2"/>
      </w:r>
      <w:r w:rsidR="00191A5B">
        <w:t xml:space="preserve"> </w:t>
      </w:r>
      <w:r w:rsidR="00191A5B" w:rsidRPr="00E430C1">
        <w:t xml:space="preserve">On </w:t>
      </w:r>
      <w:r w:rsidR="00191A5B">
        <w:t>December 19,</w:t>
      </w:r>
      <w:r w:rsidR="00191A5B" w:rsidRPr="00E430C1">
        <w:t xml:space="preserve"> 2013, the Washington Utilities and Transportation Commission (Commission</w:t>
      </w:r>
      <w:r w:rsidR="00191A5B">
        <w:t xml:space="preserve">) approved the </w:t>
      </w:r>
      <w:r w:rsidR="00191A5B" w:rsidRPr="00191A5B">
        <w:t>2014-2023 achievabl</w:t>
      </w:r>
      <w:r w:rsidR="00D503F5">
        <w:t>e conservation potential and</w:t>
      </w:r>
      <w:r w:rsidR="00191A5B" w:rsidRPr="00191A5B">
        <w:t xml:space="preserve"> 2014-2015 </w:t>
      </w:r>
      <w:r w:rsidR="00D239F3">
        <w:t>b</w:t>
      </w:r>
      <w:r w:rsidR="00D239F3" w:rsidRPr="00191A5B">
        <w:t xml:space="preserve">iennial </w:t>
      </w:r>
      <w:r w:rsidR="00D239F3">
        <w:t>c</w:t>
      </w:r>
      <w:r w:rsidR="00D239F3" w:rsidRPr="00191A5B">
        <w:t xml:space="preserve">onservation </w:t>
      </w:r>
      <w:r w:rsidR="00191A5B" w:rsidRPr="00191A5B">
        <w:t>target</w:t>
      </w:r>
      <w:r w:rsidR="00191A5B">
        <w:t>,</w:t>
      </w:r>
      <w:r w:rsidR="00191A5B" w:rsidRPr="00191A5B">
        <w:t xml:space="preserve"> subject to conditions</w:t>
      </w:r>
      <w:r w:rsidR="00191A5B">
        <w:t xml:space="preserve">, for </w:t>
      </w:r>
      <w:r w:rsidR="00191A5B" w:rsidRPr="00E430C1">
        <w:t>Puget Sound Energy (PSE)</w:t>
      </w:r>
      <w:r w:rsidR="00B1563F" w:rsidRPr="00B1563F">
        <w:t xml:space="preserve"> </w:t>
      </w:r>
      <w:r w:rsidR="00B1563F">
        <w:t>in docket UE-132043</w:t>
      </w:r>
      <w:r w:rsidR="00191A5B" w:rsidRPr="00E430C1">
        <w:t>, Avista Corporation (Avista)</w:t>
      </w:r>
      <w:r w:rsidR="00B1563F" w:rsidRPr="00B1563F">
        <w:t xml:space="preserve"> </w:t>
      </w:r>
      <w:r w:rsidR="00B1563F">
        <w:t>in docket</w:t>
      </w:r>
      <w:r w:rsidR="00B1563F" w:rsidRPr="00B1563F">
        <w:t xml:space="preserve"> </w:t>
      </w:r>
      <w:r w:rsidR="00B1563F">
        <w:t>UE-132045,</w:t>
      </w:r>
      <w:r w:rsidR="00191A5B" w:rsidRPr="00E430C1">
        <w:t xml:space="preserve"> and Pacific Power and Light Company (</w:t>
      </w:r>
      <w:r w:rsidR="00B1563F" w:rsidRPr="005C2917">
        <w:t>Pacific Power</w:t>
      </w:r>
      <w:r w:rsidR="00191A5B" w:rsidRPr="00E430C1">
        <w:t>)</w:t>
      </w:r>
      <w:r w:rsidR="00B1563F" w:rsidRPr="00B1563F">
        <w:t xml:space="preserve"> </w:t>
      </w:r>
      <w:r w:rsidR="00B1563F">
        <w:t>in docket</w:t>
      </w:r>
      <w:r w:rsidR="00191A5B">
        <w:t xml:space="preserve"> UE-132047.</w:t>
      </w:r>
    </w:p>
    <w:p w14:paraId="66DD6443" w14:textId="6556FCFC" w:rsidR="00A70AC1" w:rsidRPr="00042B9D" w:rsidRDefault="00A70AC1" w:rsidP="00042B9D">
      <w:pPr>
        <w:spacing w:before="0" w:after="0"/>
      </w:pPr>
      <w:r w:rsidRPr="005C2917">
        <w:t xml:space="preserve">On </w:t>
      </w:r>
      <w:r w:rsidR="00D56915" w:rsidRPr="005C2917">
        <w:t>May 31 and June 1</w:t>
      </w:r>
      <w:r w:rsidRPr="005C2917">
        <w:t xml:space="preserve">, 2015, </w:t>
      </w:r>
      <w:r w:rsidR="00B1563F">
        <w:t>PSE</w:t>
      </w:r>
      <w:r w:rsidRPr="005C2917">
        <w:t>, Avista</w:t>
      </w:r>
      <w:r w:rsidR="00B1563F">
        <w:t>,</w:t>
      </w:r>
      <w:r w:rsidRPr="005C2917">
        <w:t xml:space="preserve"> and Pacific Power timely filed their respective Biennial Conservation </w:t>
      </w:r>
      <w:r w:rsidR="00D56915" w:rsidRPr="005C2917">
        <w:t>Reports</w:t>
      </w:r>
      <w:r w:rsidRPr="005C2917">
        <w:t xml:space="preserve"> (BC</w:t>
      </w:r>
      <w:r w:rsidR="00D56915" w:rsidRPr="005C2917">
        <w:t>R</w:t>
      </w:r>
      <w:r w:rsidRPr="005C2917">
        <w:t xml:space="preserve">s or </w:t>
      </w:r>
      <w:r w:rsidR="00D56915" w:rsidRPr="005C2917">
        <w:t>Reports</w:t>
      </w:r>
      <w:r w:rsidRPr="005C2917">
        <w:t>)</w:t>
      </w:r>
      <w:r w:rsidR="007A4833">
        <w:t>,</w:t>
      </w:r>
      <w:r w:rsidRPr="005C2917">
        <w:t xml:space="preserve"> </w:t>
      </w:r>
      <w:r w:rsidR="00602041" w:rsidRPr="005C2917">
        <w:t xml:space="preserve">regarding their </w:t>
      </w:r>
      <w:r w:rsidR="007D1A93">
        <w:t xml:space="preserve">2014-2015 </w:t>
      </w:r>
      <w:r w:rsidR="00602041" w:rsidRPr="005C2917">
        <w:t xml:space="preserve">conservation targets </w:t>
      </w:r>
      <w:r w:rsidRPr="005C2917">
        <w:t xml:space="preserve">with the Commission as required by </w:t>
      </w:r>
      <w:r w:rsidR="007D1A93">
        <w:t>law.</w:t>
      </w:r>
      <w:r w:rsidRPr="005C2917">
        <w:rPr>
          <w:rStyle w:val="FootnoteReference"/>
          <w:rFonts w:eastAsiaTheme="majorEastAsia"/>
        </w:rPr>
        <w:footnoteReference w:id="3"/>
      </w:r>
      <w:r w:rsidRPr="005C2917">
        <w:t xml:space="preserve"> </w:t>
      </w:r>
      <w:r w:rsidR="00042B9D">
        <w:t xml:space="preserve">As detailed in Table 1 below, each utility achieved cost-effective conservation savings beyond their </w:t>
      </w:r>
      <w:r w:rsidR="005B234B">
        <w:t>target</w:t>
      </w:r>
      <w:r w:rsidR="00042B9D">
        <w:t>.</w:t>
      </w:r>
    </w:p>
    <w:p w14:paraId="597C6649" w14:textId="77777777" w:rsidR="005C2917" w:rsidRPr="005C2917" w:rsidRDefault="005C2917" w:rsidP="00A70AC1"/>
    <w:p w14:paraId="55396BE6" w14:textId="7D67DDA3" w:rsidR="0005698C" w:rsidRPr="00FD5765" w:rsidRDefault="0005698C" w:rsidP="0005698C">
      <w:pPr>
        <w:pStyle w:val="Caption"/>
        <w:keepNext/>
        <w:rPr>
          <w:b/>
          <w:i w:val="0"/>
          <w:color w:val="auto"/>
          <w:sz w:val="24"/>
          <w:szCs w:val="24"/>
        </w:rPr>
      </w:pPr>
      <w:bookmarkStart w:id="5" w:name="_Toc456682587"/>
      <w:bookmarkStart w:id="6" w:name="_Toc456689272"/>
      <w:bookmarkStart w:id="7" w:name="_Toc456867226"/>
      <w:r w:rsidRPr="00FD5765">
        <w:rPr>
          <w:b/>
          <w:i w:val="0"/>
          <w:color w:val="auto"/>
          <w:sz w:val="24"/>
          <w:szCs w:val="24"/>
        </w:rPr>
        <w:t xml:space="preserve">Table </w:t>
      </w:r>
      <w:r w:rsidRPr="00FD5765">
        <w:rPr>
          <w:b/>
          <w:i w:val="0"/>
          <w:color w:val="auto"/>
          <w:sz w:val="24"/>
          <w:szCs w:val="24"/>
        </w:rPr>
        <w:fldChar w:fldCharType="begin"/>
      </w:r>
      <w:r w:rsidRPr="00FD5765">
        <w:rPr>
          <w:b/>
          <w:i w:val="0"/>
          <w:color w:val="auto"/>
          <w:sz w:val="24"/>
          <w:szCs w:val="24"/>
        </w:rPr>
        <w:instrText xml:space="preserve"> SEQ Table \* ARABIC </w:instrText>
      </w:r>
      <w:r w:rsidRPr="00FD5765">
        <w:rPr>
          <w:b/>
          <w:i w:val="0"/>
          <w:color w:val="auto"/>
          <w:sz w:val="24"/>
          <w:szCs w:val="24"/>
        </w:rPr>
        <w:fldChar w:fldCharType="separate"/>
      </w:r>
      <w:r w:rsidR="00D239F3">
        <w:rPr>
          <w:b/>
          <w:i w:val="0"/>
          <w:noProof/>
          <w:color w:val="auto"/>
          <w:sz w:val="24"/>
          <w:szCs w:val="24"/>
        </w:rPr>
        <w:t>1</w:t>
      </w:r>
      <w:r w:rsidRPr="00FD5765">
        <w:rPr>
          <w:b/>
          <w:i w:val="0"/>
          <w:color w:val="auto"/>
          <w:sz w:val="24"/>
          <w:szCs w:val="24"/>
        </w:rPr>
        <w:fldChar w:fldCharType="end"/>
      </w:r>
      <w:r w:rsidR="00FD5765">
        <w:rPr>
          <w:b/>
          <w:i w:val="0"/>
          <w:color w:val="auto"/>
          <w:sz w:val="24"/>
          <w:szCs w:val="24"/>
        </w:rPr>
        <w:t xml:space="preserve">: Summary of </w:t>
      </w:r>
      <w:r w:rsidR="00D503F5">
        <w:rPr>
          <w:b/>
          <w:i w:val="0"/>
          <w:color w:val="auto"/>
          <w:sz w:val="24"/>
          <w:szCs w:val="24"/>
        </w:rPr>
        <w:t xml:space="preserve">Reported </w:t>
      </w:r>
      <w:r w:rsidR="007D1A93">
        <w:rPr>
          <w:b/>
          <w:i w:val="0"/>
          <w:color w:val="auto"/>
          <w:sz w:val="24"/>
          <w:szCs w:val="24"/>
        </w:rPr>
        <w:t xml:space="preserve">2014-2015 </w:t>
      </w:r>
      <w:r w:rsidR="00FD5765">
        <w:rPr>
          <w:b/>
          <w:i w:val="0"/>
          <w:color w:val="auto"/>
          <w:sz w:val="24"/>
          <w:szCs w:val="24"/>
        </w:rPr>
        <w:t>Cost-Effective Savings</w:t>
      </w:r>
      <w:bookmarkEnd w:id="5"/>
      <w:bookmarkEnd w:id="6"/>
      <w:bookmarkEnd w:id="7"/>
    </w:p>
    <w:tbl>
      <w:tblPr>
        <w:tblStyle w:val="TableGrid"/>
        <w:tblW w:w="0" w:type="auto"/>
        <w:tblLook w:val="04A0" w:firstRow="1" w:lastRow="0" w:firstColumn="1" w:lastColumn="0" w:noHBand="0" w:noVBand="1"/>
      </w:tblPr>
      <w:tblGrid>
        <w:gridCol w:w="2337"/>
        <w:gridCol w:w="2337"/>
        <w:gridCol w:w="2338"/>
        <w:gridCol w:w="2338"/>
      </w:tblGrid>
      <w:tr w:rsidR="00547ED2" w14:paraId="40D9DCCF" w14:textId="77777777" w:rsidTr="00547ED2">
        <w:tc>
          <w:tcPr>
            <w:tcW w:w="2337" w:type="dxa"/>
          </w:tcPr>
          <w:p w14:paraId="673EB2C8" w14:textId="77777777" w:rsidR="00547ED2" w:rsidRPr="00547ED2" w:rsidRDefault="00547ED2" w:rsidP="00D06066">
            <w:pPr>
              <w:jc w:val="center"/>
            </w:pPr>
          </w:p>
        </w:tc>
        <w:tc>
          <w:tcPr>
            <w:tcW w:w="2337" w:type="dxa"/>
          </w:tcPr>
          <w:p w14:paraId="6B5D8C4E" w14:textId="212AC8F5" w:rsidR="00547ED2" w:rsidRPr="00547ED2" w:rsidRDefault="00ED7A14" w:rsidP="00E201E9">
            <w:pPr>
              <w:jc w:val="center"/>
            </w:pPr>
            <w:r>
              <w:t xml:space="preserve">Base UTC </w:t>
            </w:r>
            <w:r w:rsidR="00547ED2">
              <w:t xml:space="preserve">Biennial Conservation </w:t>
            </w:r>
            <w:r w:rsidR="00547ED2" w:rsidRPr="00547ED2">
              <w:t>Target</w:t>
            </w:r>
            <w:r w:rsidR="00A94D29">
              <w:t xml:space="preserve"> (MWh)</w:t>
            </w:r>
            <w:r w:rsidR="003B7ACC">
              <w:rPr>
                <w:rStyle w:val="FootnoteReference"/>
              </w:rPr>
              <w:footnoteReference w:id="4"/>
            </w:r>
            <w:r w:rsidR="00E201E9">
              <w:t xml:space="preserve"> </w:t>
            </w:r>
          </w:p>
        </w:tc>
        <w:tc>
          <w:tcPr>
            <w:tcW w:w="2338" w:type="dxa"/>
          </w:tcPr>
          <w:p w14:paraId="7EDC6A84" w14:textId="5B84B2CD" w:rsidR="00547ED2" w:rsidRPr="00547ED2" w:rsidRDefault="007D1A93" w:rsidP="00267EF6">
            <w:pPr>
              <w:jc w:val="center"/>
            </w:pPr>
            <w:r>
              <w:t xml:space="preserve">Reported </w:t>
            </w:r>
            <w:r w:rsidR="00547ED2">
              <w:t xml:space="preserve">Biennial </w:t>
            </w:r>
            <w:r w:rsidR="00547ED2" w:rsidRPr="00547ED2">
              <w:t>Conservation Savings (MWh)</w:t>
            </w:r>
          </w:p>
        </w:tc>
        <w:tc>
          <w:tcPr>
            <w:tcW w:w="2338" w:type="dxa"/>
          </w:tcPr>
          <w:p w14:paraId="68EF5697" w14:textId="4CE9A6A1" w:rsidR="00547ED2" w:rsidRPr="00547ED2" w:rsidRDefault="00E12E64" w:rsidP="00267EF6">
            <w:pPr>
              <w:jc w:val="center"/>
            </w:pPr>
            <w:r>
              <w:t xml:space="preserve">Reported </w:t>
            </w:r>
            <w:r w:rsidR="00A94D29">
              <w:t>Portfolio</w:t>
            </w:r>
            <w:r w:rsidR="00267EF6">
              <w:noBreakHyphen/>
            </w:r>
            <w:r w:rsidR="00C551FC">
              <w:t xml:space="preserve">Level </w:t>
            </w:r>
            <w:r w:rsidR="00547ED2" w:rsidRPr="00547ED2">
              <w:t>Cost</w:t>
            </w:r>
            <w:r w:rsidR="00267EF6">
              <w:noBreakHyphen/>
            </w:r>
            <w:r w:rsidR="00547ED2" w:rsidRPr="00547ED2">
              <w:t>effectiveness</w:t>
            </w:r>
            <w:r w:rsidR="00267EF6">
              <w:t xml:space="preserve"> </w:t>
            </w:r>
            <w:r w:rsidR="00547ED2" w:rsidRPr="00547ED2">
              <w:t>(TRC)</w:t>
            </w:r>
            <w:r w:rsidR="00C551FC">
              <w:rPr>
                <w:rStyle w:val="FootnoteReference"/>
              </w:rPr>
              <w:footnoteReference w:id="5"/>
            </w:r>
          </w:p>
        </w:tc>
      </w:tr>
      <w:tr w:rsidR="00547ED2" w14:paraId="57CC6F0F" w14:textId="77777777" w:rsidTr="00D34FF6">
        <w:tc>
          <w:tcPr>
            <w:tcW w:w="2337" w:type="dxa"/>
          </w:tcPr>
          <w:p w14:paraId="00F8D801" w14:textId="3E03232B" w:rsidR="00547ED2" w:rsidRPr="00547ED2" w:rsidRDefault="00547ED2" w:rsidP="00A70AC1">
            <w:r w:rsidRPr="00547ED2">
              <w:t>PSE</w:t>
            </w:r>
          </w:p>
        </w:tc>
        <w:tc>
          <w:tcPr>
            <w:tcW w:w="2337" w:type="dxa"/>
          </w:tcPr>
          <w:p w14:paraId="658359EE" w14:textId="7DA5D3D7" w:rsidR="00547ED2" w:rsidRPr="00547ED2" w:rsidRDefault="00DA61CC" w:rsidP="00D06066">
            <w:pPr>
              <w:jc w:val="right"/>
            </w:pPr>
            <w:r w:rsidRPr="00DA61CC">
              <w:t>485,770</w:t>
            </w:r>
            <w:r w:rsidR="00E201E9">
              <w:rPr>
                <w:rStyle w:val="FootnoteReference"/>
              </w:rPr>
              <w:footnoteReference w:id="6"/>
            </w:r>
          </w:p>
        </w:tc>
        <w:tc>
          <w:tcPr>
            <w:tcW w:w="2338" w:type="dxa"/>
          </w:tcPr>
          <w:p w14:paraId="7B1DE8CF" w14:textId="7FF48F8D" w:rsidR="00547ED2" w:rsidRPr="00547ED2" w:rsidRDefault="00DA61CC" w:rsidP="00D06066">
            <w:pPr>
              <w:jc w:val="right"/>
            </w:pPr>
            <w:r w:rsidRPr="00DA61CC">
              <w:t>552,596</w:t>
            </w:r>
            <w:r w:rsidR="00ED7A14">
              <w:t xml:space="preserve"> </w:t>
            </w:r>
          </w:p>
        </w:tc>
        <w:tc>
          <w:tcPr>
            <w:tcW w:w="2338" w:type="dxa"/>
          </w:tcPr>
          <w:p w14:paraId="45794157" w14:textId="73917C69" w:rsidR="00547ED2" w:rsidRPr="00547ED2" w:rsidRDefault="00DA61CC" w:rsidP="00D34FF6">
            <w:pPr>
              <w:jc w:val="center"/>
            </w:pPr>
            <w:r w:rsidRPr="00DA61CC">
              <w:t>1.6</w:t>
            </w:r>
          </w:p>
        </w:tc>
      </w:tr>
      <w:tr w:rsidR="00547ED2" w14:paraId="76D1F43F" w14:textId="77777777" w:rsidTr="00D34FF6">
        <w:tc>
          <w:tcPr>
            <w:tcW w:w="2337" w:type="dxa"/>
          </w:tcPr>
          <w:p w14:paraId="58CD8517" w14:textId="65406FED" w:rsidR="00547ED2" w:rsidRPr="00547ED2" w:rsidRDefault="00547ED2" w:rsidP="00A70AC1">
            <w:r w:rsidRPr="00547ED2">
              <w:t>Avista</w:t>
            </w:r>
          </w:p>
        </w:tc>
        <w:tc>
          <w:tcPr>
            <w:tcW w:w="2337" w:type="dxa"/>
          </w:tcPr>
          <w:p w14:paraId="5F7799BF" w14:textId="515EACFE" w:rsidR="00547ED2" w:rsidRPr="00547ED2" w:rsidRDefault="003B7ACC" w:rsidP="00D06066">
            <w:pPr>
              <w:jc w:val="right"/>
            </w:pPr>
            <w:r>
              <w:t>65,131</w:t>
            </w:r>
            <w:r w:rsidR="00E201E9">
              <w:rPr>
                <w:rStyle w:val="FootnoteReference"/>
              </w:rPr>
              <w:footnoteReference w:id="7"/>
            </w:r>
          </w:p>
        </w:tc>
        <w:tc>
          <w:tcPr>
            <w:tcW w:w="2338" w:type="dxa"/>
          </w:tcPr>
          <w:p w14:paraId="0A521ECA" w14:textId="322544BB" w:rsidR="00547ED2" w:rsidRPr="00547ED2" w:rsidRDefault="00E64BD5" w:rsidP="00D06066">
            <w:pPr>
              <w:jc w:val="right"/>
            </w:pPr>
            <w:r>
              <w:t>70,69</w:t>
            </w:r>
            <w:r w:rsidR="00D47C6D">
              <w:t>3</w:t>
            </w:r>
            <w:r w:rsidR="00ED7A14">
              <w:t xml:space="preserve"> </w:t>
            </w:r>
          </w:p>
        </w:tc>
        <w:tc>
          <w:tcPr>
            <w:tcW w:w="2338" w:type="dxa"/>
          </w:tcPr>
          <w:p w14:paraId="0B73DC2A" w14:textId="67AE2E70" w:rsidR="00547ED2" w:rsidRPr="00547ED2" w:rsidRDefault="00E64BD5" w:rsidP="00D34FF6">
            <w:pPr>
              <w:jc w:val="center"/>
            </w:pPr>
            <w:r>
              <w:t>1.</w:t>
            </w:r>
            <w:r w:rsidR="00940C70">
              <w:t>7</w:t>
            </w:r>
          </w:p>
        </w:tc>
      </w:tr>
      <w:tr w:rsidR="00547ED2" w14:paraId="2A2A4044" w14:textId="77777777" w:rsidTr="00D34FF6">
        <w:tc>
          <w:tcPr>
            <w:tcW w:w="2337" w:type="dxa"/>
          </w:tcPr>
          <w:p w14:paraId="6F940F8B" w14:textId="50934C0F" w:rsidR="00547ED2" w:rsidRPr="00547ED2" w:rsidRDefault="00547ED2" w:rsidP="00A70AC1">
            <w:r w:rsidRPr="00547ED2">
              <w:t>Pacific</w:t>
            </w:r>
            <w:r w:rsidR="009B70AF">
              <w:t xml:space="preserve"> </w:t>
            </w:r>
            <w:r w:rsidR="009B70AF" w:rsidRPr="009B70AF">
              <w:t>Power</w:t>
            </w:r>
          </w:p>
        </w:tc>
        <w:tc>
          <w:tcPr>
            <w:tcW w:w="2337" w:type="dxa"/>
          </w:tcPr>
          <w:p w14:paraId="1E252EAD" w14:textId="370A59D1" w:rsidR="00547ED2" w:rsidRPr="00547ED2" w:rsidRDefault="005C6DBA" w:rsidP="00D06066">
            <w:pPr>
              <w:jc w:val="right"/>
            </w:pPr>
            <w:r>
              <w:t>74,703</w:t>
            </w:r>
          </w:p>
        </w:tc>
        <w:tc>
          <w:tcPr>
            <w:tcW w:w="2338" w:type="dxa"/>
          </w:tcPr>
          <w:p w14:paraId="137C5AF9" w14:textId="156DB46E" w:rsidR="00547ED2" w:rsidRPr="00547ED2" w:rsidRDefault="005C6DBA" w:rsidP="00D06066">
            <w:pPr>
              <w:jc w:val="right"/>
            </w:pPr>
            <w:r>
              <w:t>98,881</w:t>
            </w:r>
            <w:r w:rsidR="00ED7A14">
              <w:t xml:space="preserve"> </w:t>
            </w:r>
          </w:p>
        </w:tc>
        <w:tc>
          <w:tcPr>
            <w:tcW w:w="2338" w:type="dxa"/>
          </w:tcPr>
          <w:p w14:paraId="24BAB7CF" w14:textId="60E996E8" w:rsidR="00547ED2" w:rsidRPr="00547ED2" w:rsidRDefault="00163113" w:rsidP="00D34FF6">
            <w:pPr>
              <w:jc w:val="center"/>
            </w:pPr>
            <w:r>
              <w:t>1.7</w:t>
            </w:r>
          </w:p>
        </w:tc>
      </w:tr>
    </w:tbl>
    <w:p w14:paraId="565C53AD" w14:textId="77777777" w:rsidR="00A70AC1" w:rsidRPr="000471A1" w:rsidRDefault="00A70AC1" w:rsidP="00A70AC1">
      <w:pPr>
        <w:rPr>
          <w:color w:val="4F81BD" w:themeColor="accent1"/>
        </w:rPr>
      </w:pPr>
    </w:p>
    <w:p w14:paraId="2BE21969" w14:textId="401B2483" w:rsidR="00163113" w:rsidRPr="005D476D" w:rsidRDefault="00042B9D" w:rsidP="001608A6">
      <w:pPr>
        <w:spacing w:before="0" w:after="0"/>
      </w:pPr>
      <w:r w:rsidRPr="005C2917">
        <w:lastRenderedPageBreak/>
        <w:t xml:space="preserve">These are the first </w:t>
      </w:r>
      <w:r>
        <w:t>Reports</w:t>
      </w:r>
      <w:r w:rsidRPr="005C2917">
        <w:t xml:space="preserve"> to be filed since the Commission adopted new rule</w:t>
      </w:r>
      <w:r w:rsidR="00C911E5">
        <w:t>s</w:t>
      </w:r>
      <w:r w:rsidR="00ED7A14">
        <w:t xml:space="preserve"> for EIA compliance</w:t>
      </w:r>
      <w:r w:rsidRPr="005C2917">
        <w:t xml:space="preserve"> in March 2015</w:t>
      </w:r>
      <w:r w:rsidRPr="00D06066">
        <w:t>.</w:t>
      </w:r>
      <w:r w:rsidRPr="005C2917">
        <w:rPr>
          <w:rStyle w:val="FootnoteReference"/>
          <w:rFonts w:eastAsiaTheme="majorEastAsia"/>
        </w:rPr>
        <w:footnoteReference w:id="8"/>
      </w:r>
      <w:r>
        <w:t xml:space="preserve"> </w:t>
      </w:r>
      <w:r w:rsidR="005D476D" w:rsidRPr="005D476D">
        <w:t xml:space="preserve">While these rules largely codified </w:t>
      </w:r>
      <w:r w:rsidR="00E12E64">
        <w:t xml:space="preserve">existing Commission </w:t>
      </w:r>
      <w:r w:rsidR="005D476D" w:rsidRPr="005D476D">
        <w:t>conditions, notable changes to the reporting requir</w:t>
      </w:r>
      <w:r w:rsidR="00C911E5">
        <w:t>e</w:t>
      </w:r>
      <w:r w:rsidR="005D476D" w:rsidRPr="005D476D">
        <w:t xml:space="preserve">ments </w:t>
      </w:r>
      <w:r w:rsidR="005D476D">
        <w:t xml:space="preserve">in WAC 480-109-120(4) </w:t>
      </w:r>
      <w:r w:rsidR="005D476D" w:rsidRPr="005D476D">
        <w:t>include the reporting of t</w:t>
      </w:r>
      <w:r w:rsidR="00163113" w:rsidRPr="005D476D">
        <w:t>he portfolio-level cost-effectiveness of the actual electricity savings from conservation</w:t>
      </w:r>
      <w:r w:rsidR="005D476D" w:rsidRPr="005D476D">
        <w:t>, a</w:t>
      </w:r>
      <w:r w:rsidR="00163113" w:rsidRPr="005D476D">
        <w:t>n independent third-party evaluation of portfolio-level biennial conservation savings achievement</w:t>
      </w:r>
      <w:r w:rsidR="005D476D" w:rsidRPr="005D476D">
        <w:t>, and a</w:t>
      </w:r>
      <w:r w:rsidR="00163113" w:rsidRPr="005D476D">
        <w:t xml:space="preserve"> summary of the steps taken to adaptively manage conservation programs throughout the preceding two years</w:t>
      </w:r>
      <w:r w:rsidR="005D476D">
        <w:t>.</w:t>
      </w:r>
    </w:p>
    <w:p w14:paraId="7E3F0536" w14:textId="50FC5C93" w:rsidR="000E60B6" w:rsidRDefault="000E60B6" w:rsidP="000E60B6">
      <w:bookmarkStart w:id="8" w:name="_Toc455489975"/>
      <w:r>
        <w:t xml:space="preserve">The 2014-2015 </w:t>
      </w:r>
      <w:r w:rsidR="00D503F5">
        <w:t>BCRs are</w:t>
      </w:r>
      <w:r>
        <w:t xml:space="preserve"> </w:t>
      </w:r>
      <w:r w:rsidR="00C911E5">
        <w:t xml:space="preserve">also </w:t>
      </w:r>
      <w:r>
        <w:t>the first opportunity for the utilities to claim excess conservation savings in accordance with the passage of HB 1643. RCW 19.285.040</w:t>
      </w:r>
      <w:r w:rsidR="0022589F">
        <w:t>(1)</w:t>
      </w:r>
      <w:r>
        <w:t xml:space="preserve">(c)(i) </w:t>
      </w:r>
      <w:r w:rsidR="00C911E5">
        <w:t>allows that</w:t>
      </w:r>
      <w:r>
        <w:t>,</w:t>
      </w:r>
    </w:p>
    <w:p w14:paraId="73CA9946" w14:textId="3FD44D06" w:rsidR="000E60B6" w:rsidRDefault="000E60B6" w:rsidP="000E60B6">
      <w:pPr>
        <w:pStyle w:val="ListParagraph"/>
        <w:rPr>
          <w:i/>
        </w:rPr>
      </w:pPr>
      <w:r w:rsidRPr="000E60B6">
        <w:rPr>
          <w:i/>
        </w:rPr>
        <w:t>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14:paraId="4A6625D8" w14:textId="77777777" w:rsidR="000E60B6" w:rsidRPr="000E60B6" w:rsidRDefault="000E60B6" w:rsidP="00D503F5">
      <w:pPr>
        <w:pStyle w:val="ListParagraph"/>
        <w:spacing w:before="0" w:after="0"/>
        <w:rPr>
          <w:i/>
        </w:rPr>
      </w:pPr>
    </w:p>
    <w:p w14:paraId="1A5C4350" w14:textId="0515AC9C" w:rsidR="005200DF" w:rsidRDefault="000E60B6" w:rsidP="000E60B6">
      <w:r>
        <w:t xml:space="preserve">The </w:t>
      </w:r>
      <w:r w:rsidR="00E12E64">
        <w:t xml:space="preserve">statute </w:t>
      </w:r>
      <w:r>
        <w:t xml:space="preserve">specifically addresses a utility’s target, but does not consider any additional commitments the companies may have with the Commission. Both PSE and Avista currently have decoupling commitments that require them to achieve conservation five percent above </w:t>
      </w:r>
      <w:r w:rsidR="005B234B">
        <w:t xml:space="preserve">that </w:t>
      </w:r>
      <w:r>
        <w:t>target.</w:t>
      </w:r>
      <w:r w:rsidR="00D503F5" w:rsidRPr="00C42107">
        <w:rPr>
          <w:rFonts w:eastAsiaTheme="minorHAnsi"/>
          <w:vertAlign w:val="superscript"/>
        </w:rPr>
        <w:footnoteReference w:id="9"/>
      </w:r>
      <w:r>
        <w:t xml:space="preserve"> Pacific </w:t>
      </w:r>
      <w:r w:rsidR="009B70AF" w:rsidRPr="009B70AF">
        <w:t xml:space="preserve">Power </w:t>
      </w:r>
      <w:r>
        <w:t>has a pending request for decoupling treatment and</w:t>
      </w:r>
      <w:r w:rsidR="00C911E5">
        <w:t xml:space="preserve"> may</w:t>
      </w:r>
      <w:r>
        <w:t xml:space="preserve"> have a similar commitment in future biennia.</w:t>
      </w:r>
      <w:r w:rsidR="00D503F5">
        <w:rPr>
          <w:rStyle w:val="FootnoteReference"/>
        </w:rPr>
        <w:footnoteReference w:id="10"/>
      </w:r>
    </w:p>
    <w:p w14:paraId="30FCDE91" w14:textId="53E80771" w:rsidR="000E60B6" w:rsidRDefault="009A6888" w:rsidP="000E60B6">
      <w:r>
        <w:t xml:space="preserve">Companies also achieve conservation savings from areas that are </w:t>
      </w:r>
      <w:r w:rsidR="00D239F3">
        <w:t>excluded from</w:t>
      </w:r>
      <w:r>
        <w:t xml:space="preserve"> the</w:t>
      </w:r>
      <w:r w:rsidR="00FF7C4F">
        <w:t xml:space="preserve"> C</w:t>
      </w:r>
      <w:r w:rsidR="00D239F3">
        <w:t>ompany-specific</w:t>
      </w:r>
      <w:r>
        <w:t xml:space="preserve"> target, such as </w:t>
      </w:r>
      <w:r w:rsidR="007E45CB">
        <w:t>market transformation programs</w:t>
      </w:r>
      <w:r>
        <w:t xml:space="preserve"> and </w:t>
      </w:r>
      <w:r w:rsidR="007E45CB">
        <w:t>p</w:t>
      </w:r>
      <w:r>
        <w:t>ilots.</w:t>
      </w:r>
      <w:r w:rsidR="00314641">
        <w:t xml:space="preserve"> </w:t>
      </w:r>
      <w:r w:rsidR="00D239F3">
        <w:t>The commission has relied on its standard practice for review and approval of investor-owned utility conservation targets, only holding companies responsible for the programs they directly implement.</w:t>
      </w:r>
      <w:r w:rsidR="00D239F3">
        <w:rPr>
          <w:rStyle w:val="FootnoteReference"/>
        </w:rPr>
        <w:footnoteReference w:id="11"/>
      </w:r>
      <w:r w:rsidR="00D239F3">
        <w:t xml:space="preserve"> </w:t>
      </w:r>
      <w:r w:rsidR="00E93112">
        <w:t xml:space="preserve">The question of what constitutes excess savings and to which targets it can be applied will be examined in further detail </w:t>
      </w:r>
      <w:r w:rsidR="007A7E0A">
        <w:t>in the next section</w:t>
      </w:r>
      <w:r w:rsidR="00E93112" w:rsidRPr="007C1350">
        <w:t>.</w:t>
      </w:r>
      <w:r w:rsidR="00E93112">
        <w:t xml:space="preserve">  </w:t>
      </w:r>
    </w:p>
    <w:p w14:paraId="24AFB617" w14:textId="0B2B97CC" w:rsidR="00484532" w:rsidRDefault="00484532" w:rsidP="00484532">
      <w:r>
        <w:t>Staff’s review of the BCRs has focused on evaluating whether the companies met the reporting requirements outlined in RCW 19.285.070</w:t>
      </w:r>
      <w:r w:rsidR="007F63C0">
        <w:t>,</w:t>
      </w:r>
      <w:r>
        <w:t xml:space="preserve"> WAC 480-109-040</w:t>
      </w:r>
      <w:r w:rsidR="007C1350">
        <w:t xml:space="preserve">, the conditions set forth in the </w:t>
      </w:r>
      <w:r w:rsidR="00D503F5">
        <w:t>Order 01</w:t>
      </w:r>
      <w:r w:rsidR="007C1350">
        <w:t xml:space="preserve"> in each respective docket,</w:t>
      </w:r>
      <w:r w:rsidR="00FF7C4F">
        <w:t xml:space="preserve"> and whether the C</w:t>
      </w:r>
      <w:r>
        <w:t>ompany correctly reported its savings for the biennium.</w:t>
      </w:r>
    </w:p>
    <w:p w14:paraId="1A80ED43" w14:textId="3F272DF1" w:rsidR="00484532" w:rsidRPr="00042B9D" w:rsidRDefault="00484532" w:rsidP="008C0BC8">
      <w:r>
        <w:t xml:space="preserve">In these comments, </w:t>
      </w:r>
      <w:r w:rsidR="007C1350">
        <w:t>S</w:t>
      </w:r>
      <w:r>
        <w:t xml:space="preserve">taff will summarize each report, highlight key pieces of information, and identify lingering issues. Staff will also discuss </w:t>
      </w:r>
      <w:r w:rsidR="00616CD0">
        <w:t xml:space="preserve">some </w:t>
      </w:r>
      <w:r>
        <w:t xml:space="preserve">recent </w:t>
      </w:r>
      <w:r w:rsidRPr="00484532">
        <w:t xml:space="preserve">and anticipated </w:t>
      </w:r>
      <w:r>
        <w:t>changes in the rules</w:t>
      </w:r>
      <w:r w:rsidR="00616CD0">
        <w:t xml:space="preserve">, </w:t>
      </w:r>
      <w:r>
        <w:t>policies</w:t>
      </w:r>
      <w:r w:rsidR="00AA4BD2">
        <w:t>,</w:t>
      </w:r>
      <w:r>
        <w:t xml:space="preserve"> </w:t>
      </w:r>
      <w:r w:rsidR="00616CD0">
        <w:t>and technologies</w:t>
      </w:r>
      <w:r>
        <w:t xml:space="preserve"> affecting energy conservation</w:t>
      </w:r>
      <w:r w:rsidR="00616CD0">
        <w:t xml:space="preserve"> in Washington</w:t>
      </w:r>
      <w:r>
        <w:t xml:space="preserve">. After reviewing </w:t>
      </w:r>
      <w:r w:rsidR="00033EB6">
        <w:t>amendments</w:t>
      </w:r>
      <w:r>
        <w:t xml:space="preserve"> to the reports and the comments filed by other parties in this matter, </w:t>
      </w:r>
      <w:r w:rsidR="00825133">
        <w:t>S</w:t>
      </w:r>
      <w:r>
        <w:t xml:space="preserve">taff </w:t>
      </w:r>
      <w:r w:rsidR="00FA20FF">
        <w:t xml:space="preserve">intends to </w:t>
      </w:r>
      <w:r w:rsidR="00F93DB3">
        <w:t>present</w:t>
      </w:r>
      <w:r>
        <w:t xml:space="preserve"> </w:t>
      </w:r>
      <w:r w:rsidR="00DF45DA">
        <w:t xml:space="preserve">its </w:t>
      </w:r>
      <w:r>
        <w:t>final recommendation</w:t>
      </w:r>
      <w:r w:rsidR="00F93DB3">
        <w:t>s</w:t>
      </w:r>
      <w:r>
        <w:t xml:space="preserve"> </w:t>
      </w:r>
      <w:r w:rsidR="00F93DB3" w:rsidRPr="00F93DB3">
        <w:t>and proposed conditions for approval at the Commission’s August</w:t>
      </w:r>
      <w:r w:rsidR="00AA4BD2">
        <w:t> </w:t>
      </w:r>
      <w:r w:rsidR="00F93DB3" w:rsidRPr="00F93DB3">
        <w:t>12, 2016, Recessed Open Meeting.</w:t>
      </w:r>
    </w:p>
    <w:p w14:paraId="2C3AFF91" w14:textId="5BD8C94F" w:rsidR="00BC717C" w:rsidRPr="007C1350" w:rsidRDefault="00C53EC1" w:rsidP="00B17B8D">
      <w:pPr>
        <w:pStyle w:val="Heading1"/>
        <w:spacing w:after="0"/>
        <w:rPr>
          <w:b w:val="0"/>
        </w:rPr>
      </w:pPr>
      <w:bookmarkStart w:id="9" w:name="_Toc456682596"/>
      <w:bookmarkStart w:id="10" w:name="_Toc456689281"/>
      <w:bookmarkStart w:id="11" w:name="_Toc456879733"/>
      <w:bookmarkEnd w:id="8"/>
      <w:r>
        <w:rPr>
          <w:b w:val="0"/>
        </w:rPr>
        <w:lastRenderedPageBreak/>
        <w:t>Focus Issues and Prudency</w:t>
      </w:r>
      <w:bookmarkEnd w:id="9"/>
      <w:bookmarkEnd w:id="10"/>
      <w:bookmarkEnd w:id="11"/>
    </w:p>
    <w:p w14:paraId="746AD068" w14:textId="7207C1E7" w:rsidR="005A755D" w:rsidRPr="00BC717C" w:rsidRDefault="00BC717C" w:rsidP="00344EC6">
      <w:pPr>
        <w:rPr>
          <w:rFonts w:eastAsiaTheme="minorHAnsi"/>
        </w:rPr>
      </w:pPr>
      <w:r w:rsidRPr="00BC717C">
        <w:t>The ongoing conservation planning, reporting, and review</w:t>
      </w:r>
      <w:r w:rsidR="005777A6">
        <w:t>ing</w:t>
      </w:r>
      <w:r w:rsidRPr="00BC717C">
        <w:t xml:space="preserve"> process developed for each utility’s portfolio is effectively a prudenc</w:t>
      </w:r>
      <w:r w:rsidR="00AA4BD2">
        <w:t>y</w:t>
      </w:r>
      <w:r w:rsidRPr="00BC717C">
        <w:t xml:space="preserve"> review. Throughout a biennial cycle, Staff ensures prudency</w:t>
      </w:r>
      <w:r w:rsidRPr="00BC717C">
        <w:rPr>
          <w:rFonts w:eastAsiaTheme="minorHAnsi"/>
        </w:rPr>
        <w:t xml:space="preserve"> </w:t>
      </w:r>
      <w:r w:rsidR="005A755D" w:rsidRPr="00BC717C">
        <w:rPr>
          <w:rFonts w:eastAsiaTheme="minorHAnsi"/>
        </w:rPr>
        <w:t xml:space="preserve">related to conservation </w:t>
      </w:r>
      <w:r w:rsidRPr="00BC717C">
        <w:rPr>
          <w:rFonts w:eastAsiaTheme="minorHAnsi"/>
        </w:rPr>
        <w:t xml:space="preserve">by reviewing </w:t>
      </w:r>
      <w:r w:rsidR="005A755D" w:rsidRPr="00BC717C">
        <w:rPr>
          <w:rFonts w:eastAsiaTheme="minorHAnsi"/>
        </w:rPr>
        <w:t>several elements, including the proper establishment of conservation potential, whether programs are cost effective, reliable, and feasible, whether all reasonable measures were pursued, if appropriate public and stakeholder involvement was included in the process (advisory group review), and verification that programs were administered efficiently.</w:t>
      </w:r>
    </w:p>
    <w:p w14:paraId="04A0333E" w14:textId="1E69AE2F" w:rsidR="00ED3413" w:rsidRPr="00EB49F4" w:rsidRDefault="00166163" w:rsidP="00ED3413">
      <w:pPr>
        <w:spacing w:before="0" w:after="0"/>
      </w:pPr>
      <w:r w:rsidRPr="00B22AC2">
        <w:t xml:space="preserve">Details about individual </w:t>
      </w:r>
      <w:r w:rsidR="00FF7C4F">
        <w:t>C</w:t>
      </w:r>
      <w:r w:rsidR="00167778">
        <w:t xml:space="preserve">ompany </w:t>
      </w:r>
      <w:r w:rsidRPr="00B22AC2">
        <w:t xml:space="preserve">programs will be discussed </w:t>
      </w:r>
      <w:r w:rsidR="00B22AC2" w:rsidRPr="00B22AC2">
        <w:t xml:space="preserve">in following sections. </w:t>
      </w:r>
      <w:r w:rsidR="00902FA1">
        <w:t xml:space="preserve">This section </w:t>
      </w:r>
      <w:r w:rsidR="00A85AAB">
        <w:t xml:space="preserve">provides a </w:t>
      </w:r>
      <w:r w:rsidR="00844330">
        <w:t xml:space="preserve">discussion </w:t>
      </w:r>
      <w:r w:rsidR="00A85AAB">
        <w:t>of</w:t>
      </w:r>
      <w:r w:rsidR="00844330">
        <w:t xml:space="preserve"> the</w:t>
      </w:r>
      <w:r w:rsidR="00437D49">
        <w:t xml:space="preserve"> </w:t>
      </w:r>
      <w:r w:rsidR="000670C5">
        <w:t xml:space="preserve">areas of </w:t>
      </w:r>
      <w:r w:rsidR="002C0F9F">
        <w:t>focus</w:t>
      </w:r>
      <w:r w:rsidR="000670C5">
        <w:t xml:space="preserve"> </w:t>
      </w:r>
      <w:r w:rsidR="007D3921">
        <w:t>and</w:t>
      </w:r>
      <w:r w:rsidR="000670C5">
        <w:t xml:space="preserve"> </w:t>
      </w:r>
      <w:r w:rsidR="00844330">
        <w:t xml:space="preserve">common </w:t>
      </w:r>
      <w:r w:rsidR="00437D49">
        <w:t xml:space="preserve">issues identified </w:t>
      </w:r>
      <w:r w:rsidR="00D525DF">
        <w:t xml:space="preserve">during </w:t>
      </w:r>
      <w:r w:rsidR="00B70CFF">
        <w:t>St</w:t>
      </w:r>
      <w:r w:rsidR="000670C5">
        <w:t xml:space="preserve">aff’s review of </w:t>
      </w:r>
      <w:r w:rsidR="00EB49F4" w:rsidRPr="00EB49F4">
        <w:t xml:space="preserve">each </w:t>
      </w:r>
      <w:r w:rsidR="00E12E64" w:rsidRPr="00EB49F4">
        <w:t>utilit</w:t>
      </w:r>
      <w:r w:rsidR="00E12E64">
        <w:t>y’s</w:t>
      </w:r>
      <w:r w:rsidR="00E12E64" w:rsidRPr="00EB49F4">
        <w:t xml:space="preserve"> </w:t>
      </w:r>
      <w:r w:rsidR="00EB49F4" w:rsidRPr="00EB49F4">
        <w:t>BCR</w:t>
      </w:r>
      <w:r w:rsidR="00BC0FE4" w:rsidRPr="00EB49F4">
        <w:t>, including but not limited to:</w:t>
      </w:r>
    </w:p>
    <w:p w14:paraId="38E24FB9" w14:textId="1017050F" w:rsidR="00994016" w:rsidRDefault="00994016" w:rsidP="005A755D">
      <w:pPr>
        <w:spacing w:before="0" w:after="0"/>
      </w:pPr>
    </w:p>
    <w:p w14:paraId="410FAB33" w14:textId="55EC78B8" w:rsidR="001D405A" w:rsidRDefault="001D405A" w:rsidP="00A75717">
      <w:pPr>
        <w:pStyle w:val="ListParagraph"/>
        <w:numPr>
          <w:ilvl w:val="0"/>
          <w:numId w:val="8"/>
        </w:numPr>
        <w:spacing w:before="0" w:after="0"/>
      </w:pPr>
      <w:r>
        <w:t>Treatment of Excess Savings.</w:t>
      </w:r>
    </w:p>
    <w:p w14:paraId="1C68A893" w14:textId="77777777" w:rsidR="005D3A92" w:rsidRDefault="005D3A92" w:rsidP="005D3A92">
      <w:pPr>
        <w:pStyle w:val="ListParagraph"/>
        <w:numPr>
          <w:ilvl w:val="0"/>
          <w:numId w:val="8"/>
        </w:numPr>
        <w:spacing w:before="0" w:after="0"/>
      </w:pPr>
      <w:r>
        <w:t>Single Large Facility Savings.</w:t>
      </w:r>
    </w:p>
    <w:p w14:paraId="7834C423" w14:textId="1CF21092" w:rsidR="005D3A92" w:rsidRDefault="005D3A92" w:rsidP="005D3A92">
      <w:pPr>
        <w:pStyle w:val="ListParagraph"/>
        <w:numPr>
          <w:ilvl w:val="0"/>
          <w:numId w:val="8"/>
        </w:numPr>
        <w:spacing w:before="0" w:after="0"/>
      </w:pPr>
      <w:r>
        <w:t>Reporting of NEEA Savings to Commerce.</w:t>
      </w:r>
    </w:p>
    <w:p w14:paraId="2C22A677" w14:textId="7D4AE7B9" w:rsidR="00D4764D" w:rsidRDefault="005A755D" w:rsidP="00A75717">
      <w:pPr>
        <w:pStyle w:val="ListParagraph"/>
        <w:numPr>
          <w:ilvl w:val="0"/>
          <w:numId w:val="8"/>
        </w:numPr>
        <w:spacing w:before="0" w:after="0"/>
      </w:pPr>
      <w:r>
        <w:t>U</w:t>
      </w:r>
      <w:r w:rsidR="00FA20FF">
        <w:t xml:space="preserve">nit </w:t>
      </w:r>
      <w:r>
        <w:t>E</w:t>
      </w:r>
      <w:r w:rsidR="00FA20FF">
        <w:t xml:space="preserve">nergy </w:t>
      </w:r>
      <w:r>
        <w:t>S</w:t>
      </w:r>
      <w:r w:rsidR="00FA20FF">
        <w:t>avings</w:t>
      </w:r>
      <w:r>
        <w:t xml:space="preserve"> Values</w:t>
      </w:r>
      <w:r w:rsidR="00E12E64">
        <w:t>.</w:t>
      </w:r>
    </w:p>
    <w:p w14:paraId="69E8E07F" w14:textId="08752575" w:rsidR="004A2ABB" w:rsidRDefault="004A2ABB" w:rsidP="008C0BC8">
      <w:pPr>
        <w:pStyle w:val="ListParagraph"/>
        <w:numPr>
          <w:ilvl w:val="0"/>
          <w:numId w:val="8"/>
        </w:numPr>
        <w:spacing w:before="0" w:after="0"/>
      </w:pPr>
      <w:r>
        <w:t>Adaptive Management</w:t>
      </w:r>
      <w:r w:rsidR="00E12E64">
        <w:t>.</w:t>
      </w:r>
    </w:p>
    <w:p w14:paraId="16CD5AC4" w14:textId="03CDAD02" w:rsidR="00A75717" w:rsidRDefault="00A75717" w:rsidP="008C0BC8">
      <w:pPr>
        <w:pStyle w:val="ListParagraph"/>
        <w:numPr>
          <w:ilvl w:val="0"/>
          <w:numId w:val="8"/>
        </w:numPr>
        <w:spacing w:before="0" w:after="0"/>
      </w:pPr>
      <w:r>
        <w:t>Pilot Programs</w:t>
      </w:r>
      <w:r w:rsidR="00E12E64">
        <w:t>.</w:t>
      </w:r>
    </w:p>
    <w:p w14:paraId="0D7273F4" w14:textId="2824DC06" w:rsidR="005D3A92" w:rsidRDefault="005D3A92" w:rsidP="008C0BC8">
      <w:pPr>
        <w:pStyle w:val="ListParagraph"/>
        <w:numPr>
          <w:ilvl w:val="0"/>
          <w:numId w:val="8"/>
        </w:numPr>
        <w:spacing w:before="0" w:after="0"/>
      </w:pPr>
      <w:r>
        <w:t>Fuel Conversions.</w:t>
      </w:r>
    </w:p>
    <w:p w14:paraId="3F20C523" w14:textId="1EE0B6BA" w:rsidR="00BD0F4D" w:rsidRPr="00ED3413" w:rsidRDefault="00BD0F4D" w:rsidP="00344EC6">
      <w:pPr>
        <w:pStyle w:val="ListParagraph"/>
        <w:contextualSpacing w:val="0"/>
      </w:pPr>
    </w:p>
    <w:p w14:paraId="75AD6258" w14:textId="77777777" w:rsidR="00F96EA9" w:rsidRDefault="00F96EA9" w:rsidP="00F96EA9">
      <w:pPr>
        <w:pStyle w:val="Heading2"/>
        <w:rPr>
          <w:i/>
        </w:rPr>
      </w:pPr>
      <w:bookmarkStart w:id="12" w:name="_Toc456682597"/>
      <w:bookmarkStart w:id="13" w:name="_Toc456689282"/>
      <w:bookmarkStart w:id="14" w:name="_Toc456879734"/>
      <w:r w:rsidRPr="004A2ABB">
        <w:rPr>
          <w:i/>
        </w:rPr>
        <w:t>Treatment of Excess Savings</w:t>
      </w:r>
      <w:bookmarkEnd w:id="12"/>
      <w:bookmarkEnd w:id="13"/>
      <w:bookmarkEnd w:id="14"/>
    </w:p>
    <w:p w14:paraId="70B021A6" w14:textId="12B82D05" w:rsidR="000D5067" w:rsidRDefault="00F96EA9" w:rsidP="00BE3004">
      <w:r w:rsidRPr="000171CB">
        <w:t>The 2014-2015 BCR is the first opportunity for the utilities to claim excess conservation savings in accordance with the passage of HB 1643.</w:t>
      </w:r>
      <w:r w:rsidRPr="000171CB">
        <w:rPr>
          <w:rStyle w:val="FootnoteReference"/>
        </w:rPr>
        <w:footnoteReference w:id="12"/>
      </w:r>
      <w:r w:rsidRPr="000171CB">
        <w:t xml:space="preserve"> </w:t>
      </w:r>
      <w:r w:rsidR="00BE3004">
        <w:t xml:space="preserve">A summary of the excess savings achieved from the 2014-2015 biennium, using </w:t>
      </w:r>
      <w:r w:rsidR="00844330">
        <w:t xml:space="preserve">the </w:t>
      </w:r>
      <w:r w:rsidR="00BE3004">
        <w:t>current approach to target calculation, is present</w:t>
      </w:r>
      <w:r w:rsidR="002E1957">
        <w:t>ed</w:t>
      </w:r>
      <w:r w:rsidR="00BE3004">
        <w:t xml:space="preserve"> in Table 2. </w:t>
      </w:r>
      <w:r w:rsidR="00147361">
        <w:t>As in past biennia,</w:t>
      </w:r>
      <w:r w:rsidR="004B36D8">
        <w:t xml:space="preserve"> i</w:t>
      </w:r>
      <w:r w:rsidR="00BE3004">
        <w:t xml:space="preserve">t is important that the Commission identify the amount of savings achieved during the </w:t>
      </w:r>
      <w:r w:rsidR="004B36D8">
        <w:t xml:space="preserve">previous </w:t>
      </w:r>
      <w:r w:rsidR="00BE3004">
        <w:t>biennium</w:t>
      </w:r>
      <w:r w:rsidR="00147361">
        <w:t>, which should enable the identification of excess savings</w:t>
      </w:r>
      <w:r w:rsidR="004B36D8">
        <w:t xml:space="preserve"> available for use</w:t>
      </w:r>
      <w:r w:rsidR="00147361">
        <w:t xml:space="preserve"> in </w:t>
      </w:r>
      <w:r w:rsidR="00AA4BD2">
        <w:t xml:space="preserve">the </w:t>
      </w:r>
      <w:r w:rsidR="00147361">
        <w:t>future</w:t>
      </w:r>
      <w:r w:rsidR="00BE3004">
        <w:t xml:space="preserve">. </w:t>
      </w:r>
      <w:r w:rsidR="00147361">
        <w:t xml:space="preserve">However, because the amendment to the statute did not contemplate the </w:t>
      </w:r>
      <w:r w:rsidR="00AA4BD2">
        <w:t>C</w:t>
      </w:r>
      <w:r w:rsidR="00147361">
        <w:t>ommission’s standard practice</w:t>
      </w:r>
      <w:r w:rsidR="00844330">
        <w:t xml:space="preserve"> of excluding certain elements</w:t>
      </w:r>
      <w:r w:rsidR="00147361">
        <w:t xml:space="preserve">, calculating </w:t>
      </w:r>
      <w:r w:rsidR="000D5067">
        <w:t xml:space="preserve">excess savings poses </w:t>
      </w:r>
      <w:r w:rsidR="00147361">
        <w:t>two critical</w:t>
      </w:r>
      <w:r w:rsidR="000D5067">
        <w:t xml:space="preserve"> questions that the Commission must consider before settling on an appropriate method. </w:t>
      </w:r>
    </w:p>
    <w:p w14:paraId="25B7C2FB" w14:textId="58F69C9E" w:rsidR="00147361" w:rsidRDefault="00147361" w:rsidP="00147361">
      <w:pPr>
        <w:pStyle w:val="ListParagraph"/>
        <w:numPr>
          <w:ilvl w:val="0"/>
          <w:numId w:val="8"/>
        </w:numPr>
        <w:spacing w:before="0" w:after="0"/>
      </w:pPr>
      <w:r>
        <w:t xml:space="preserve">Can excess savings </w:t>
      </w:r>
      <w:r w:rsidR="00FF7C4F">
        <w:t>be applied towards a C</w:t>
      </w:r>
      <w:r>
        <w:t>ompany’s decoupling commitment?</w:t>
      </w:r>
    </w:p>
    <w:p w14:paraId="35349F28" w14:textId="7ACB91AC" w:rsidR="000D5067" w:rsidRDefault="000D5067" w:rsidP="00147361">
      <w:pPr>
        <w:pStyle w:val="ListParagraph"/>
        <w:numPr>
          <w:ilvl w:val="0"/>
          <w:numId w:val="8"/>
        </w:numPr>
        <w:spacing w:before="0" w:after="0"/>
      </w:pPr>
      <w:r>
        <w:t xml:space="preserve">Should savings from </w:t>
      </w:r>
      <w:r w:rsidR="008E0180">
        <w:t xml:space="preserve">the </w:t>
      </w:r>
      <w:r w:rsidR="008E0180" w:rsidRPr="006431A4">
        <w:t xml:space="preserve">Northwest Energy Efficiency Alliance </w:t>
      </w:r>
      <w:r w:rsidR="008E0180">
        <w:t>(</w:t>
      </w:r>
      <w:r>
        <w:t>NEEA</w:t>
      </w:r>
      <w:r w:rsidR="008E0180">
        <w:t>)</w:t>
      </w:r>
      <w:r w:rsidR="002560B4">
        <w:t xml:space="preserve"> and other excluded programs</w:t>
      </w:r>
      <w:r>
        <w:t xml:space="preserve"> be considered excess savings?</w:t>
      </w:r>
    </w:p>
    <w:p w14:paraId="4D2AB8CC" w14:textId="1868AEAA" w:rsidR="00BE3004" w:rsidRDefault="00BE3004" w:rsidP="00DD0A37">
      <w:pPr>
        <w:spacing w:before="0" w:after="0"/>
      </w:pPr>
    </w:p>
    <w:p w14:paraId="7B00418C" w14:textId="58E4C929" w:rsidR="00BE3004" w:rsidRPr="000141F9" w:rsidRDefault="00BE3004" w:rsidP="00D06066">
      <w:pPr>
        <w:pStyle w:val="Caption"/>
        <w:keepNext/>
        <w:keepLines/>
        <w:rPr>
          <w:b/>
          <w:i w:val="0"/>
          <w:color w:val="auto"/>
          <w:sz w:val="24"/>
          <w:szCs w:val="24"/>
        </w:rPr>
      </w:pPr>
      <w:bookmarkStart w:id="15" w:name="_Toc456682588"/>
      <w:bookmarkStart w:id="16" w:name="_Toc456689273"/>
      <w:bookmarkStart w:id="17" w:name="_Toc456867227"/>
      <w:r w:rsidRPr="00BE3004">
        <w:rPr>
          <w:b/>
          <w:i w:val="0"/>
          <w:color w:val="auto"/>
          <w:sz w:val="24"/>
          <w:szCs w:val="24"/>
        </w:rPr>
        <w:lastRenderedPageBreak/>
        <w:t xml:space="preserve">Table </w:t>
      </w:r>
      <w:r w:rsidRPr="00BE3004">
        <w:rPr>
          <w:b/>
          <w:i w:val="0"/>
          <w:color w:val="auto"/>
          <w:sz w:val="24"/>
          <w:szCs w:val="24"/>
        </w:rPr>
        <w:fldChar w:fldCharType="begin"/>
      </w:r>
      <w:r w:rsidRPr="00BE3004">
        <w:rPr>
          <w:b/>
          <w:i w:val="0"/>
          <w:color w:val="auto"/>
          <w:sz w:val="24"/>
          <w:szCs w:val="24"/>
        </w:rPr>
        <w:instrText xml:space="preserve"> SEQ Table \* ARABIC </w:instrText>
      </w:r>
      <w:r w:rsidRPr="00BE3004">
        <w:rPr>
          <w:b/>
          <w:i w:val="0"/>
          <w:color w:val="auto"/>
          <w:sz w:val="24"/>
          <w:szCs w:val="24"/>
        </w:rPr>
        <w:fldChar w:fldCharType="separate"/>
      </w:r>
      <w:r w:rsidR="00D239F3">
        <w:rPr>
          <w:b/>
          <w:i w:val="0"/>
          <w:noProof/>
          <w:color w:val="auto"/>
          <w:sz w:val="24"/>
          <w:szCs w:val="24"/>
        </w:rPr>
        <w:t>2</w:t>
      </w:r>
      <w:r w:rsidRPr="00BE3004">
        <w:rPr>
          <w:b/>
          <w:i w:val="0"/>
          <w:color w:val="auto"/>
          <w:sz w:val="24"/>
          <w:szCs w:val="24"/>
        </w:rPr>
        <w:fldChar w:fldCharType="end"/>
      </w:r>
      <w:r w:rsidRPr="00BE3004">
        <w:rPr>
          <w:b/>
          <w:i w:val="0"/>
          <w:color w:val="auto"/>
          <w:sz w:val="24"/>
          <w:szCs w:val="24"/>
        </w:rPr>
        <w:t xml:space="preserve">: </w:t>
      </w:r>
      <w:r w:rsidRPr="000141F9">
        <w:rPr>
          <w:b/>
          <w:i w:val="0"/>
          <w:color w:val="auto"/>
          <w:sz w:val="24"/>
          <w:szCs w:val="24"/>
        </w:rPr>
        <w:t>2014-2015 Excess Savings Achieved</w:t>
      </w:r>
      <w:bookmarkEnd w:id="15"/>
      <w:bookmarkEnd w:id="16"/>
      <w:r w:rsidRPr="000141F9">
        <w:rPr>
          <w:b/>
          <w:i w:val="0"/>
          <w:color w:val="auto"/>
          <w:sz w:val="24"/>
          <w:szCs w:val="24"/>
        </w:rPr>
        <w:t xml:space="preserve"> </w:t>
      </w:r>
      <w:r w:rsidR="009554B8">
        <w:rPr>
          <w:b/>
          <w:i w:val="0"/>
          <w:color w:val="auto"/>
          <w:sz w:val="24"/>
          <w:szCs w:val="24"/>
        </w:rPr>
        <w:t>(MWh)</w:t>
      </w:r>
      <w:bookmarkEnd w:id="17"/>
    </w:p>
    <w:tbl>
      <w:tblPr>
        <w:tblStyle w:val="TableGrid"/>
        <w:tblW w:w="9805" w:type="dxa"/>
        <w:tblLook w:val="04A0" w:firstRow="1" w:lastRow="0" w:firstColumn="1" w:lastColumn="0" w:noHBand="0" w:noVBand="1"/>
      </w:tblPr>
      <w:tblGrid>
        <w:gridCol w:w="949"/>
        <w:gridCol w:w="1566"/>
        <w:gridCol w:w="1980"/>
        <w:gridCol w:w="1170"/>
        <w:gridCol w:w="1260"/>
        <w:gridCol w:w="1800"/>
        <w:gridCol w:w="1080"/>
      </w:tblGrid>
      <w:tr w:rsidR="0064473B" w14:paraId="6B25091F" w14:textId="77777777" w:rsidTr="00A32286">
        <w:tc>
          <w:tcPr>
            <w:tcW w:w="949" w:type="dxa"/>
          </w:tcPr>
          <w:p w14:paraId="53DF9716" w14:textId="77777777" w:rsidR="0064473B" w:rsidRDefault="0064473B" w:rsidP="00D06066">
            <w:pPr>
              <w:keepNext/>
              <w:keepLines/>
              <w:jc w:val="center"/>
            </w:pPr>
          </w:p>
        </w:tc>
        <w:tc>
          <w:tcPr>
            <w:tcW w:w="1566" w:type="dxa"/>
          </w:tcPr>
          <w:p w14:paraId="1D6E873A" w14:textId="5EB609E1" w:rsidR="0064473B" w:rsidRDefault="0064473B" w:rsidP="00D06066">
            <w:pPr>
              <w:keepNext/>
              <w:keepLines/>
              <w:jc w:val="center"/>
            </w:pPr>
            <w:r>
              <w:t>Biennial Conservation Target</w:t>
            </w:r>
            <w:r w:rsidR="00844330">
              <w:t xml:space="preserve"> (</w:t>
            </w:r>
            <w:r w:rsidR="00822142">
              <w:t>Based on Commission Order</w:t>
            </w:r>
            <w:r w:rsidR="00844330">
              <w:t>)</w:t>
            </w:r>
          </w:p>
        </w:tc>
        <w:tc>
          <w:tcPr>
            <w:tcW w:w="1980" w:type="dxa"/>
          </w:tcPr>
          <w:p w14:paraId="6E092099" w14:textId="514918FA" w:rsidR="0064473B" w:rsidRDefault="00A753DD" w:rsidP="00D06066">
            <w:pPr>
              <w:keepNext/>
              <w:keepLines/>
              <w:jc w:val="center"/>
            </w:pPr>
            <w:r>
              <w:t xml:space="preserve">Overall </w:t>
            </w:r>
            <w:r w:rsidR="0064473B">
              <w:t>UTC Target (with Decoupling Commitment, without NEEA)</w:t>
            </w:r>
          </w:p>
        </w:tc>
        <w:tc>
          <w:tcPr>
            <w:tcW w:w="1170" w:type="dxa"/>
          </w:tcPr>
          <w:p w14:paraId="0DF6A6AA" w14:textId="2F1CA866" w:rsidR="0064473B" w:rsidRDefault="0064473B" w:rsidP="00D06066">
            <w:pPr>
              <w:keepNext/>
              <w:keepLines/>
              <w:jc w:val="center"/>
            </w:pPr>
            <w:r>
              <w:t>Full Target</w:t>
            </w:r>
          </w:p>
        </w:tc>
        <w:tc>
          <w:tcPr>
            <w:tcW w:w="1260" w:type="dxa"/>
          </w:tcPr>
          <w:p w14:paraId="6F34750E" w14:textId="35CEC469" w:rsidR="0064473B" w:rsidRDefault="0064473B" w:rsidP="00D06066">
            <w:pPr>
              <w:keepNext/>
              <w:keepLines/>
              <w:jc w:val="center"/>
            </w:pPr>
            <w:r>
              <w:t>Utility Program Savings</w:t>
            </w:r>
          </w:p>
        </w:tc>
        <w:tc>
          <w:tcPr>
            <w:tcW w:w="1800" w:type="dxa"/>
          </w:tcPr>
          <w:p w14:paraId="4A7B9472" w14:textId="2AA2F81C" w:rsidR="0064473B" w:rsidRDefault="0064473B" w:rsidP="00D06066">
            <w:pPr>
              <w:keepNext/>
              <w:keepLines/>
              <w:jc w:val="center"/>
            </w:pPr>
            <w:r>
              <w:t>Total Utility Savings (including NEEA and Pilots)</w:t>
            </w:r>
          </w:p>
        </w:tc>
        <w:tc>
          <w:tcPr>
            <w:tcW w:w="1080" w:type="dxa"/>
          </w:tcPr>
          <w:p w14:paraId="01FAA4B9" w14:textId="0BD2788E" w:rsidR="0064473B" w:rsidRDefault="0064473B" w:rsidP="00D06066">
            <w:pPr>
              <w:keepNext/>
              <w:keepLines/>
              <w:jc w:val="center"/>
            </w:pPr>
            <w:r>
              <w:t>Excess Savings</w:t>
            </w:r>
          </w:p>
        </w:tc>
      </w:tr>
      <w:tr w:rsidR="0064473B" w14:paraId="6FEFC274" w14:textId="77777777" w:rsidTr="00A32286">
        <w:tc>
          <w:tcPr>
            <w:tcW w:w="949" w:type="dxa"/>
          </w:tcPr>
          <w:p w14:paraId="06DBD388" w14:textId="77777777" w:rsidR="0064473B" w:rsidRDefault="0064473B" w:rsidP="00D06066">
            <w:pPr>
              <w:keepNext/>
              <w:keepLines/>
            </w:pPr>
            <w:r>
              <w:t>PSE</w:t>
            </w:r>
          </w:p>
        </w:tc>
        <w:tc>
          <w:tcPr>
            <w:tcW w:w="1566" w:type="dxa"/>
          </w:tcPr>
          <w:p w14:paraId="7AA1F9FF" w14:textId="14D8AFFC" w:rsidR="0064473B" w:rsidRPr="00D06066" w:rsidRDefault="008F2AAB" w:rsidP="00D06066">
            <w:pPr>
              <w:keepNext/>
              <w:keepLines/>
              <w:jc w:val="right"/>
              <w:rPr>
                <w:highlight w:val="yellow"/>
              </w:rPr>
            </w:pPr>
            <w:r w:rsidRPr="00520433">
              <w:t>558,301</w:t>
            </w:r>
            <w:r w:rsidR="00520433" w:rsidRPr="00520433">
              <w:rPr>
                <w:rStyle w:val="FootnoteReference"/>
              </w:rPr>
              <w:footnoteReference w:id="13"/>
            </w:r>
          </w:p>
        </w:tc>
        <w:tc>
          <w:tcPr>
            <w:tcW w:w="1980" w:type="dxa"/>
          </w:tcPr>
          <w:p w14:paraId="7870EB72" w14:textId="77777777" w:rsidR="0064473B" w:rsidRDefault="0064473B" w:rsidP="00D06066">
            <w:pPr>
              <w:keepNext/>
              <w:keepLines/>
              <w:jc w:val="right"/>
            </w:pPr>
            <w:r w:rsidRPr="00DA61CC">
              <w:t>513,690</w:t>
            </w:r>
          </w:p>
        </w:tc>
        <w:tc>
          <w:tcPr>
            <w:tcW w:w="1170" w:type="dxa"/>
          </w:tcPr>
          <w:p w14:paraId="072B6911" w14:textId="75922CB5" w:rsidR="0064473B" w:rsidRDefault="008F2AAB" w:rsidP="00D06066">
            <w:pPr>
              <w:keepNext/>
              <w:keepLines/>
              <w:jc w:val="right"/>
            </w:pPr>
            <w:r w:rsidRPr="008F2AAB">
              <w:t>582,589</w:t>
            </w:r>
          </w:p>
        </w:tc>
        <w:tc>
          <w:tcPr>
            <w:tcW w:w="1260" w:type="dxa"/>
          </w:tcPr>
          <w:p w14:paraId="1F056209" w14:textId="465A0981" w:rsidR="0064473B" w:rsidRDefault="0064473B" w:rsidP="00D06066">
            <w:pPr>
              <w:keepNext/>
              <w:keepLines/>
              <w:jc w:val="right"/>
            </w:pPr>
            <w:r w:rsidRPr="00DA61CC">
              <w:t>552,596</w:t>
            </w:r>
          </w:p>
        </w:tc>
        <w:tc>
          <w:tcPr>
            <w:tcW w:w="1800" w:type="dxa"/>
          </w:tcPr>
          <w:p w14:paraId="2C8EC338" w14:textId="77777777" w:rsidR="0064473B" w:rsidRDefault="0064473B" w:rsidP="00D06066">
            <w:pPr>
              <w:keepNext/>
              <w:keepLines/>
              <w:jc w:val="right"/>
            </w:pPr>
            <w:r>
              <w:t>663,122</w:t>
            </w:r>
          </w:p>
        </w:tc>
        <w:tc>
          <w:tcPr>
            <w:tcW w:w="1080" w:type="dxa"/>
          </w:tcPr>
          <w:p w14:paraId="7BE40DE9" w14:textId="03CA0CF9" w:rsidR="0064473B" w:rsidRDefault="008F2AAB" w:rsidP="00D06066">
            <w:pPr>
              <w:keepNext/>
              <w:keepLines/>
              <w:jc w:val="right"/>
            </w:pPr>
            <w:r>
              <w:t>80,533</w:t>
            </w:r>
          </w:p>
        </w:tc>
      </w:tr>
      <w:tr w:rsidR="0064473B" w14:paraId="5E403164" w14:textId="77777777" w:rsidTr="00A32286">
        <w:tc>
          <w:tcPr>
            <w:tcW w:w="949" w:type="dxa"/>
          </w:tcPr>
          <w:p w14:paraId="5C03D9CB" w14:textId="77777777" w:rsidR="0064473B" w:rsidRDefault="0064473B" w:rsidP="00D06066">
            <w:pPr>
              <w:keepNext/>
              <w:keepLines/>
            </w:pPr>
            <w:r w:rsidRPr="00463F40">
              <w:t>Avista</w:t>
            </w:r>
          </w:p>
        </w:tc>
        <w:tc>
          <w:tcPr>
            <w:tcW w:w="1566" w:type="dxa"/>
          </w:tcPr>
          <w:p w14:paraId="5F1C0F53" w14:textId="004F8E95" w:rsidR="0064473B" w:rsidRPr="00D06066" w:rsidRDefault="00A32286" w:rsidP="00D06066">
            <w:pPr>
              <w:keepNext/>
              <w:keepLines/>
              <w:jc w:val="right"/>
              <w:rPr>
                <w:highlight w:val="yellow"/>
              </w:rPr>
            </w:pPr>
            <w:r w:rsidRPr="00515C18">
              <w:t>76,261</w:t>
            </w:r>
            <w:r w:rsidR="00520433" w:rsidRPr="00515C18">
              <w:rPr>
                <w:rStyle w:val="FootnoteReference"/>
              </w:rPr>
              <w:footnoteReference w:id="14"/>
            </w:r>
          </w:p>
        </w:tc>
        <w:tc>
          <w:tcPr>
            <w:tcW w:w="1980" w:type="dxa"/>
          </w:tcPr>
          <w:p w14:paraId="66DA558E" w14:textId="20EDDE0C" w:rsidR="0064473B" w:rsidRPr="006C2B86" w:rsidRDefault="0064473B" w:rsidP="00D06066">
            <w:pPr>
              <w:keepNext/>
              <w:keepLines/>
              <w:jc w:val="right"/>
            </w:pPr>
            <w:r w:rsidRPr="00A32286">
              <w:t>68,</w:t>
            </w:r>
            <w:r w:rsidR="00A32286" w:rsidRPr="00A32286">
              <w:t>388</w:t>
            </w:r>
          </w:p>
        </w:tc>
        <w:tc>
          <w:tcPr>
            <w:tcW w:w="1170" w:type="dxa"/>
          </w:tcPr>
          <w:p w14:paraId="79A3BA40" w14:textId="580787FD" w:rsidR="0064473B" w:rsidRDefault="00A32286" w:rsidP="00D06066">
            <w:pPr>
              <w:keepNext/>
              <w:keepLines/>
              <w:jc w:val="right"/>
            </w:pPr>
            <w:r>
              <w:t>79,518</w:t>
            </w:r>
          </w:p>
        </w:tc>
        <w:tc>
          <w:tcPr>
            <w:tcW w:w="1260" w:type="dxa"/>
          </w:tcPr>
          <w:p w14:paraId="61110C50" w14:textId="6572A152" w:rsidR="0064473B" w:rsidRPr="00944CD1" w:rsidRDefault="0064473B" w:rsidP="00D06066">
            <w:pPr>
              <w:keepNext/>
              <w:keepLines/>
              <w:jc w:val="right"/>
              <w:rPr>
                <w:highlight w:val="yellow"/>
              </w:rPr>
            </w:pPr>
            <w:r w:rsidRPr="00463F40">
              <w:t>70,693</w:t>
            </w:r>
          </w:p>
        </w:tc>
        <w:tc>
          <w:tcPr>
            <w:tcW w:w="1800" w:type="dxa"/>
          </w:tcPr>
          <w:p w14:paraId="66125032" w14:textId="77777777" w:rsidR="0064473B" w:rsidRPr="00A32286" w:rsidRDefault="0064473B" w:rsidP="00D06066">
            <w:pPr>
              <w:keepNext/>
              <w:keepLines/>
              <w:jc w:val="right"/>
            </w:pPr>
            <w:r w:rsidRPr="00A32286">
              <w:t>101,356</w:t>
            </w:r>
          </w:p>
        </w:tc>
        <w:tc>
          <w:tcPr>
            <w:tcW w:w="1080" w:type="dxa"/>
          </w:tcPr>
          <w:p w14:paraId="679B8705" w14:textId="2661B362" w:rsidR="0064473B" w:rsidRPr="00A32286" w:rsidRDefault="00A32286" w:rsidP="00D06066">
            <w:pPr>
              <w:keepNext/>
              <w:keepLines/>
              <w:jc w:val="right"/>
            </w:pPr>
            <w:r w:rsidRPr="00A32286">
              <w:t>2,571</w:t>
            </w:r>
          </w:p>
        </w:tc>
      </w:tr>
      <w:tr w:rsidR="0064473B" w14:paraId="2D4E90E2" w14:textId="77777777" w:rsidTr="00A32286">
        <w:tc>
          <w:tcPr>
            <w:tcW w:w="949" w:type="dxa"/>
          </w:tcPr>
          <w:p w14:paraId="5FB3BF90" w14:textId="77777777" w:rsidR="0064473B" w:rsidRDefault="0064473B" w:rsidP="00D06066">
            <w:pPr>
              <w:keepNext/>
              <w:keepLines/>
            </w:pPr>
            <w:r>
              <w:t xml:space="preserve">Pacific </w:t>
            </w:r>
            <w:r w:rsidRPr="001564FE">
              <w:t>Power</w:t>
            </w:r>
          </w:p>
        </w:tc>
        <w:tc>
          <w:tcPr>
            <w:tcW w:w="1566" w:type="dxa"/>
          </w:tcPr>
          <w:p w14:paraId="431C92E2" w14:textId="68F28CF8" w:rsidR="0064473B" w:rsidRPr="00D06066" w:rsidRDefault="008F2AAB" w:rsidP="00D06066">
            <w:pPr>
              <w:keepNext/>
              <w:keepLines/>
              <w:jc w:val="right"/>
              <w:rPr>
                <w:highlight w:val="yellow"/>
              </w:rPr>
            </w:pPr>
            <w:r w:rsidRPr="00515C18">
              <w:t>89,016</w:t>
            </w:r>
            <w:r w:rsidR="00515C18" w:rsidRPr="00515C18">
              <w:rPr>
                <w:rStyle w:val="FootnoteReference"/>
              </w:rPr>
              <w:footnoteReference w:id="15"/>
            </w:r>
          </w:p>
        </w:tc>
        <w:tc>
          <w:tcPr>
            <w:tcW w:w="1980" w:type="dxa"/>
          </w:tcPr>
          <w:p w14:paraId="6FAA2D32" w14:textId="77777777" w:rsidR="0064473B" w:rsidRDefault="0064473B" w:rsidP="00D06066">
            <w:pPr>
              <w:keepNext/>
              <w:keepLines/>
              <w:jc w:val="right"/>
            </w:pPr>
            <w:r w:rsidRPr="000141F9">
              <w:t>74,703</w:t>
            </w:r>
          </w:p>
        </w:tc>
        <w:tc>
          <w:tcPr>
            <w:tcW w:w="1170" w:type="dxa"/>
          </w:tcPr>
          <w:p w14:paraId="1C0AF17D" w14:textId="78B6DDF3" w:rsidR="0064473B" w:rsidRDefault="008F2AAB" w:rsidP="00D06066">
            <w:pPr>
              <w:keepNext/>
              <w:keepLines/>
              <w:jc w:val="right"/>
            </w:pPr>
            <w:r w:rsidRPr="008F2AAB">
              <w:t>89,016</w:t>
            </w:r>
          </w:p>
        </w:tc>
        <w:tc>
          <w:tcPr>
            <w:tcW w:w="1260" w:type="dxa"/>
          </w:tcPr>
          <w:p w14:paraId="6E94C049" w14:textId="64834C17" w:rsidR="0064473B" w:rsidRDefault="0064473B" w:rsidP="00D06066">
            <w:pPr>
              <w:keepNext/>
              <w:keepLines/>
              <w:jc w:val="right"/>
            </w:pPr>
            <w:r>
              <w:t>98,881</w:t>
            </w:r>
          </w:p>
        </w:tc>
        <w:tc>
          <w:tcPr>
            <w:tcW w:w="1800" w:type="dxa"/>
          </w:tcPr>
          <w:p w14:paraId="5BA1AABA" w14:textId="77777777" w:rsidR="0064473B" w:rsidRDefault="0064473B" w:rsidP="00D06066">
            <w:pPr>
              <w:keepNext/>
              <w:keepLines/>
              <w:jc w:val="right"/>
            </w:pPr>
            <w:r>
              <w:t>111,160</w:t>
            </w:r>
          </w:p>
        </w:tc>
        <w:tc>
          <w:tcPr>
            <w:tcW w:w="1080" w:type="dxa"/>
          </w:tcPr>
          <w:p w14:paraId="641F854C" w14:textId="4B8427CD" w:rsidR="0064473B" w:rsidRDefault="008F2AAB" w:rsidP="00D06066">
            <w:pPr>
              <w:keepNext/>
              <w:keepLines/>
              <w:jc w:val="right"/>
            </w:pPr>
            <w:r w:rsidRPr="008F2AAB">
              <w:t>22,144</w:t>
            </w:r>
          </w:p>
        </w:tc>
      </w:tr>
    </w:tbl>
    <w:p w14:paraId="131EB1C7" w14:textId="77777777" w:rsidR="00DD0A37" w:rsidRDefault="00DD0A37" w:rsidP="00DD0A37">
      <w:pPr>
        <w:spacing w:before="0"/>
      </w:pPr>
    </w:p>
    <w:p w14:paraId="17A2D1F7" w14:textId="7CF37322" w:rsidR="00DD0A37" w:rsidRDefault="002560B4" w:rsidP="00DD0A37">
      <w:pPr>
        <w:spacing w:before="0"/>
      </w:pPr>
      <w:r w:rsidRPr="00D06066">
        <w:rPr>
          <w:u w:val="single"/>
        </w:rPr>
        <w:t>Excess Savings and Decoupling Commitments:</w:t>
      </w:r>
      <w:r>
        <w:t xml:space="preserve"> </w:t>
      </w:r>
      <w:r w:rsidR="00AA4BD2">
        <w:t xml:space="preserve">the Commission’s </w:t>
      </w:r>
      <w:r w:rsidR="00047AA3">
        <w:t>rule</w:t>
      </w:r>
      <w:r w:rsidR="00147361">
        <w:t xml:space="preserve"> </w:t>
      </w:r>
      <w:r w:rsidR="00DD0A37">
        <w:t>specifically address</w:t>
      </w:r>
      <w:r w:rsidR="00527A77">
        <w:t>es</w:t>
      </w:r>
      <w:r w:rsidR="00DD0A37">
        <w:t xml:space="preserve"> </w:t>
      </w:r>
      <w:r w:rsidR="00147361">
        <w:t>the utilities’</w:t>
      </w:r>
      <w:r w:rsidR="00DD0A37">
        <w:t xml:space="preserve"> </w:t>
      </w:r>
      <w:r w:rsidR="00047AA3">
        <w:t xml:space="preserve">biennial conservation </w:t>
      </w:r>
      <w:r w:rsidR="00DD0A37">
        <w:t>target</w:t>
      </w:r>
      <w:r w:rsidR="00147361">
        <w:t>s</w:t>
      </w:r>
      <w:r w:rsidR="00DD0A37">
        <w:t>, but do</w:t>
      </w:r>
      <w:r w:rsidR="00527A77">
        <w:t>es</w:t>
      </w:r>
      <w:r w:rsidR="00DD0A37">
        <w:t xml:space="preserve"> not consider any additional conservation commitments the companies may have with the Commission. Staff does not think this particular issue was contemplated by the legislature, nor has the Commission had an opportunity to establish a position. </w:t>
      </w:r>
    </w:p>
    <w:p w14:paraId="5C5DBE48" w14:textId="3A51DC1B" w:rsidR="00DD0A37" w:rsidRDefault="00DD0A37" w:rsidP="00DD0A37">
      <w:r>
        <w:t>Currently, both PSE and Avista</w:t>
      </w:r>
      <w:r w:rsidRPr="00914AE7">
        <w:t xml:space="preserve"> </w:t>
      </w:r>
      <w:r>
        <w:t xml:space="preserve">have agreed to decoupling commitments to achieve an additional five percent </w:t>
      </w:r>
      <w:r w:rsidR="00147361">
        <w:t xml:space="preserve">of </w:t>
      </w:r>
      <w:r w:rsidR="00FF7C4F">
        <w:t>conservation above the C</w:t>
      </w:r>
      <w:r>
        <w:t xml:space="preserve">ompany’s </w:t>
      </w:r>
      <w:r w:rsidR="00A41195">
        <w:t xml:space="preserve">biennial conservation </w:t>
      </w:r>
      <w:r>
        <w:t>target.</w:t>
      </w:r>
      <w:r w:rsidRPr="00C42107">
        <w:rPr>
          <w:rFonts w:eastAsiaTheme="minorHAnsi"/>
          <w:vertAlign w:val="superscript"/>
        </w:rPr>
        <w:footnoteReference w:id="16"/>
      </w:r>
      <w:r>
        <w:t xml:space="preserve"> In Pacific</w:t>
      </w:r>
      <w:r w:rsidRPr="001564FE">
        <w:t xml:space="preserve"> Power</w:t>
      </w:r>
      <w:r>
        <w:t>’s most current rate case, the Company has requested a decoupling mechanism which, based on the PSE and Avista models, will likely result in an additional conservation decoupling commitment if the decoupling mechanism is approved.</w:t>
      </w:r>
      <w:r>
        <w:rPr>
          <w:rStyle w:val="FootnoteReference"/>
        </w:rPr>
        <w:footnoteReference w:id="17"/>
      </w:r>
      <w:r w:rsidR="002560B4">
        <w:t xml:space="preserve"> </w:t>
      </w:r>
    </w:p>
    <w:p w14:paraId="1359A9EC" w14:textId="5A135E3F" w:rsidR="00BE3004" w:rsidRDefault="00DD0A37" w:rsidP="00F96EA9">
      <w:r>
        <w:t xml:space="preserve">To avoid double counting, Staff maintains that </w:t>
      </w:r>
      <w:r w:rsidRPr="007C1A8A">
        <w:t xml:space="preserve">utilities may apply each verified MWh of conservation acquired in excess of the </w:t>
      </w:r>
      <w:r w:rsidR="00A41195">
        <w:t>target</w:t>
      </w:r>
      <w:r w:rsidRPr="007C1A8A">
        <w:t xml:space="preserve"> to meet biennial conservation requirements relat</w:t>
      </w:r>
      <w:r>
        <w:t>ed to either the d</w:t>
      </w:r>
      <w:r w:rsidRPr="007C1A8A">
        <w:t xml:space="preserve">ecoupling </w:t>
      </w:r>
      <w:r>
        <w:t>target or to a t</w:t>
      </w:r>
      <w:r w:rsidRPr="007C1A8A">
        <w:t>arget shortfall in one of the subsequent two biennia, but that utilities may not use the same MWh of conservation to comply with multiple targets.</w:t>
      </w:r>
    </w:p>
    <w:p w14:paraId="24AF0894" w14:textId="1F438EED" w:rsidR="00A41195" w:rsidRDefault="00A41195" w:rsidP="00A41195">
      <w:r>
        <w:t xml:space="preserve">There is some question as to whether the excess savings may be used towards meeting </w:t>
      </w:r>
      <w:r w:rsidR="00AA4BD2">
        <w:t xml:space="preserve">the </w:t>
      </w:r>
      <w:r>
        <w:t>a</w:t>
      </w:r>
      <w:r w:rsidR="00AA4BD2">
        <w:t>dditional</w:t>
      </w:r>
      <w:r>
        <w:t xml:space="preserve"> </w:t>
      </w:r>
      <w:r w:rsidR="00AA4BD2">
        <w:t xml:space="preserve">conservation </w:t>
      </w:r>
      <w:r>
        <w:t xml:space="preserve">decoupling commitment with the Commission. Staff believes that excess savings may be used to meet decoupling commitment shortfalls in future biennia. A decoupling </w:t>
      </w:r>
      <w:r>
        <w:lastRenderedPageBreak/>
        <w:t>commitment asks a utility to go above-and-beyond its achievable biennial potential to realize future savings no</w:t>
      </w:r>
      <w:r w:rsidR="00FF7C4F">
        <w:t>w, and Staff believes that the C</w:t>
      </w:r>
      <w:r>
        <w:t xml:space="preserve">ompany should not be penalized if it falls short in a future biennium because of its </w:t>
      </w:r>
      <w:r w:rsidR="00AA4BD2">
        <w:t xml:space="preserve">prior </w:t>
      </w:r>
      <w:r>
        <w:t xml:space="preserve">success. Additionally, while the legislature did not appear to consider decoupling, the passage of HB 1643 </w:t>
      </w:r>
      <w:r w:rsidR="009A2EB9" w:rsidRPr="009A2EB9">
        <w:t xml:space="preserve">indicates general approval that excess conservation should be available to mitigate any future shortfalls that occur </w:t>
      </w:r>
      <w:r>
        <w:t xml:space="preserve">despite the pursuit of all available conservation. </w:t>
      </w:r>
    </w:p>
    <w:p w14:paraId="5569241D" w14:textId="54C73D1C" w:rsidR="00A41195" w:rsidRDefault="00A41195" w:rsidP="00A41195">
      <w:r>
        <w:t>Staff’s suggested method for calculating excess savings is detailed in Attachment 1. The target approved by the Commission in the utility’s B</w:t>
      </w:r>
      <w:r w:rsidR="00AA4BD2">
        <w:t xml:space="preserve">iennial </w:t>
      </w:r>
      <w:r>
        <w:t>C</w:t>
      </w:r>
      <w:r w:rsidR="00AA4BD2">
        <w:t xml:space="preserve">onservation </w:t>
      </w:r>
      <w:r>
        <w:t>P</w:t>
      </w:r>
      <w:r w:rsidR="00AA4BD2">
        <w:t>lan</w:t>
      </w:r>
      <w:r>
        <w:t>s (</w:t>
      </w:r>
      <w:r w:rsidR="00363559">
        <w:t xml:space="preserve">its </w:t>
      </w:r>
      <w:r>
        <w:t xml:space="preserve">Base UTC Target) remains the penalizable amount under the EIA. The </w:t>
      </w:r>
      <w:r w:rsidR="00363559">
        <w:t xml:space="preserve">Overall </w:t>
      </w:r>
      <w:r>
        <w:t xml:space="preserve">UTC Target would </w:t>
      </w:r>
      <w:r w:rsidR="00B26208">
        <w:t xml:space="preserve">include the </w:t>
      </w:r>
      <w:r>
        <w:t>add</w:t>
      </w:r>
      <w:r w:rsidR="00B26208">
        <w:t>ition to the Base UTC Target of</w:t>
      </w:r>
      <w:r>
        <w:t xml:space="preserve"> any decoupling commitment, which is penalizable under the </w:t>
      </w:r>
      <w:r w:rsidR="00B26208">
        <w:t>C</w:t>
      </w:r>
      <w:r>
        <w:t>ommission’s orders.</w:t>
      </w:r>
    </w:p>
    <w:p w14:paraId="18B41588" w14:textId="585038DC" w:rsidR="00A41195" w:rsidRDefault="00A41195" w:rsidP="00A41195">
      <w:r w:rsidRPr="00E92F4F">
        <w:t>In order to achieve clear guidance from the Commission about implementation of this new l</w:t>
      </w:r>
      <w:r w:rsidR="00FF7C4F">
        <w:t>aw, Staff recommends that each C</w:t>
      </w:r>
      <w:r w:rsidRPr="00E92F4F">
        <w:t>ompany file a petition with the Commission in its</w:t>
      </w:r>
      <w:r>
        <w:t xml:space="preserve"> respective decoupling docket. The petition should further request clarification that any penalty for missing a decoupling commitment would be calculated in the</w:t>
      </w:r>
      <w:r w:rsidR="00B26208">
        <w:t xml:space="preserve"> companies’ respective</w:t>
      </w:r>
      <w:r>
        <w:t xml:space="preserve"> B</w:t>
      </w:r>
      <w:r w:rsidR="00B26208">
        <w:t xml:space="preserve">iennial </w:t>
      </w:r>
      <w:r>
        <w:t>C</w:t>
      </w:r>
      <w:r w:rsidR="00B26208">
        <w:t xml:space="preserve">onservation </w:t>
      </w:r>
      <w:r>
        <w:t>P</w:t>
      </w:r>
      <w:r w:rsidR="00B26208">
        <w:t>lan</w:t>
      </w:r>
      <w:r>
        <w:t xml:space="preserve"> </w:t>
      </w:r>
      <w:r w:rsidR="00B26208">
        <w:t xml:space="preserve">(BCP) </w:t>
      </w:r>
      <w:r>
        <w:t>dockets.</w:t>
      </w:r>
    </w:p>
    <w:p w14:paraId="55623CD9" w14:textId="77777777" w:rsidR="00A41195" w:rsidRPr="000D5067" w:rsidRDefault="00A41195" w:rsidP="00A41195"/>
    <w:p w14:paraId="396298E2" w14:textId="28B104BB" w:rsidR="00A32286" w:rsidRDefault="002560B4" w:rsidP="00F96EA9">
      <w:r w:rsidRPr="008207F0">
        <w:rPr>
          <w:u w:val="single"/>
        </w:rPr>
        <w:t>Excess Savings and Excluded Savings:</w:t>
      </w:r>
      <w:r>
        <w:t xml:space="preserve"> </w:t>
      </w:r>
      <w:r w:rsidR="00F96EA9">
        <w:t>NEEA savings are currently held separate from target setting and reporting</w:t>
      </w:r>
      <w:r w:rsidR="00B228DA" w:rsidRPr="00B228DA">
        <w:t xml:space="preserve"> </w:t>
      </w:r>
      <w:r w:rsidR="00B228DA">
        <w:t xml:space="preserve">under the </w:t>
      </w:r>
      <w:r w:rsidR="00C63C0D">
        <w:t xml:space="preserve">Commission’s </w:t>
      </w:r>
      <w:r w:rsidR="00B228DA">
        <w:t>standard practice of only holding the utility accountable for programs it directly controls.</w:t>
      </w:r>
      <w:r w:rsidR="00F96EA9">
        <w:t xml:space="preserve"> Staff has not considered these savings to be excess. This is because when</w:t>
      </w:r>
      <w:r w:rsidR="00F96EA9" w:rsidRPr="002A0A95">
        <w:t xml:space="preserve"> a utility foregoes the risk of an EIA penalty due to a NEEA shortfall, it </w:t>
      </w:r>
      <w:r w:rsidR="00F96EA9">
        <w:t xml:space="preserve">should </w:t>
      </w:r>
      <w:r w:rsidR="00F96EA9" w:rsidRPr="002A0A95">
        <w:t xml:space="preserve">also </w:t>
      </w:r>
      <w:r w:rsidR="005D3A92" w:rsidRPr="002A0A95">
        <w:t>forego</w:t>
      </w:r>
      <w:r w:rsidR="00F96EA9" w:rsidRPr="002A0A95">
        <w:t xml:space="preserve"> the benefit of using NEEA savings to meet its target</w:t>
      </w:r>
      <w:r w:rsidR="00F96EA9">
        <w:t xml:space="preserve">, current or future. This would hold true for other programs withheld from the target setting process. However, this practice </w:t>
      </w:r>
      <w:r w:rsidR="00B228DA">
        <w:t>removes benefits that have already been purchased by ratepayers, because the costs associated with NEEA are recovered from customers through the conservation cost recovery tariffs.</w:t>
      </w:r>
      <w:r w:rsidR="00B228DA" w:rsidRPr="00B228DA">
        <w:t xml:space="preserve"> </w:t>
      </w:r>
      <w:r w:rsidR="00B228DA">
        <w:t xml:space="preserve">Further, it </w:t>
      </w:r>
      <w:r w:rsidR="00F96EA9">
        <w:t xml:space="preserve">artificially lowers the companies’ achievement reported on a statewide basis. </w:t>
      </w:r>
    </w:p>
    <w:p w14:paraId="71D88D6F" w14:textId="0F5ED4E2" w:rsidR="00F96EA9" w:rsidRDefault="00A41195" w:rsidP="00F96EA9">
      <w:r>
        <w:t>F</w:t>
      </w:r>
      <w:r w:rsidR="00A32286">
        <w:t xml:space="preserve">or the purposes of calculating </w:t>
      </w:r>
      <w:r w:rsidR="005D3A92">
        <w:t>excess</w:t>
      </w:r>
      <w:r w:rsidR="00A32286">
        <w:t xml:space="preserve"> savings</w:t>
      </w:r>
      <w:r w:rsidR="00250B38">
        <w:t xml:space="preserve">, </w:t>
      </w:r>
      <w:r>
        <w:t>each utility</w:t>
      </w:r>
      <w:r w:rsidR="005B234B">
        <w:t xml:space="preserve"> </w:t>
      </w:r>
      <w:r>
        <w:t xml:space="preserve">could </w:t>
      </w:r>
      <w:r w:rsidR="00250B38">
        <w:t>report a target that includes all potential savings, as well as any decoupling commitment (Full Target). This targ</w:t>
      </w:r>
      <w:r w:rsidR="005D3A92">
        <w:t xml:space="preserve">et </w:t>
      </w:r>
      <w:r>
        <w:t xml:space="preserve">could </w:t>
      </w:r>
      <w:r w:rsidR="005D3A92">
        <w:t>then be compared with</w:t>
      </w:r>
      <w:r w:rsidR="00250B38">
        <w:t xml:space="preserve"> a</w:t>
      </w:r>
      <w:r w:rsidR="005D3A92">
        <w:t>n</w:t>
      </w:r>
      <w:r w:rsidR="00250B38">
        <w:t xml:space="preserve"> </w:t>
      </w:r>
      <w:r w:rsidR="005D3A92">
        <w:t xml:space="preserve">achieved </w:t>
      </w:r>
      <w:r w:rsidR="00250B38">
        <w:t>savings amount that includes all savings achieved by the utility, no matter the path to achievement (Total Savings Achieved).</w:t>
      </w:r>
      <w:r>
        <w:t xml:space="preserve"> Detailed calculations are contained in Attachment 1. Staff points out that this approach is quite different from our past practice and welcome</w:t>
      </w:r>
      <w:r w:rsidR="00C63C0D">
        <w:t>s</w:t>
      </w:r>
      <w:r>
        <w:t xml:space="preserve"> stakeholder feedback mov</w:t>
      </w:r>
      <w:r w:rsidR="00C63C0D">
        <w:t>ing</w:t>
      </w:r>
      <w:r>
        <w:t xml:space="preserve"> forward.</w:t>
      </w:r>
    </w:p>
    <w:p w14:paraId="218CDB9B" w14:textId="77777777" w:rsidR="00344EC6" w:rsidRDefault="00344EC6" w:rsidP="00F96EA9"/>
    <w:p w14:paraId="65D1F0B6" w14:textId="77777777" w:rsidR="00454070" w:rsidRPr="0022589F" w:rsidRDefault="00454070" w:rsidP="00454070">
      <w:pPr>
        <w:pStyle w:val="Heading2"/>
        <w:rPr>
          <w:i/>
        </w:rPr>
      </w:pPr>
      <w:bookmarkStart w:id="18" w:name="_Toc456682602"/>
      <w:bookmarkStart w:id="19" w:name="_Toc456689287"/>
      <w:bookmarkStart w:id="20" w:name="_Toc456879735"/>
      <w:r w:rsidRPr="005200DF">
        <w:rPr>
          <w:i/>
        </w:rPr>
        <w:t>Single Large Facility Savings</w:t>
      </w:r>
      <w:bookmarkEnd w:id="18"/>
      <w:bookmarkEnd w:id="19"/>
      <w:bookmarkEnd w:id="20"/>
    </w:p>
    <w:p w14:paraId="420C5820" w14:textId="739A1172" w:rsidR="00454070" w:rsidRDefault="00454070" w:rsidP="00344EC6">
      <w:r>
        <w:t xml:space="preserve">Single </w:t>
      </w:r>
      <w:r w:rsidR="004D386C">
        <w:t xml:space="preserve">large </w:t>
      </w:r>
      <w:r>
        <w:t>facility conservation savings are treated separately than other cost-effective conservation under the law.</w:t>
      </w:r>
      <w:r>
        <w:rPr>
          <w:rStyle w:val="FootnoteReference"/>
        </w:rPr>
        <w:footnoteReference w:id="18"/>
      </w:r>
      <w:r>
        <w:t xml:space="preserve"> Beginning </w:t>
      </w:r>
      <w:r w:rsidR="00C63C0D">
        <w:t xml:space="preserve">in </w:t>
      </w:r>
      <w:r>
        <w:t xml:space="preserve">January 2014, single large-facility conservation savings in excess of a utility’s biennial target can be used to meet up to five percent of </w:t>
      </w:r>
      <w:r>
        <w:lastRenderedPageBreak/>
        <w:t>subsequent target shortfalls, in addition to the twenty percent that can be met with</w:t>
      </w:r>
      <w:r w:rsidR="004D386C">
        <w:t xml:space="preserve"> standard excess savings</w:t>
      </w:r>
      <w:r>
        <w:t>.</w:t>
      </w:r>
      <w:r>
        <w:rPr>
          <w:rStyle w:val="FootnoteReference"/>
        </w:rPr>
        <w:footnoteReference w:id="19"/>
      </w:r>
      <w:r>
        <w:t xml:space="preserve"> No utilit</w:t>
      </w:r>
      <w:r w:rsidR="00C63C0D">
        <w:t>y</w:t>
      </w:r>
      <w:r>
        <w:t xml:space="preserve"> </w:t>
      </w:r>
      <w:r w:rsidR="00C63C0D">
        <w:t>is</w:t>
      </w:r>
      <w:r>
        <w:t xml:space="preserve"> separately reporting these large facility savings at this time. </w:t>
      </w:r>
    </w:p>
    <w:p w14:paraId="6E9D8D94" w14:textId="32E75AE5" w:rsidR="00454070" w:rsidRDefault="00C63C0D" w:rsidP="00344EC6">
      <w:r>
        <w:t>Of all the faci</w:t>
      </w:r>
      <w:r w:rsidR="00E67801">
        <w:t>lities that may potentially qualify under sing</w:t>
      </w:r>
      <w:r>
        <w:t>le large facility savings</w:t>
      </w:r>
      <w:r w:rsidR="00E67801">
        <w:t>, t</w:t>
      </w:r>
      <w:r w:rsidR="00454070">
        <w:t xml:space="preserve">here are </w:t>
      </w:r>
      <w:r w:rsidR="004D386C">
        <w:t>approximately</w:t>
      </w:r>
      <w:r w:rsidR="00454070">
        <w:t xml:space="preserve"> </w:t>
      </w:r>
      <w:r w:rsidR="00250B38">
        <w:t>twenty</w:t>
      </w:r>
      <w:r w:rsidR="004D386C">
        <w:t xml:space="preserve"> </w:t>
      </w:r>
      <w:r w:rsidR="00454070">
        <w:t>in PSE’s service territory</w:t>
      </w:r>
      <w:r w:rsidR="00250B38">
        <w:t xml:space="preserve"> (seven of the twenty are currently not included in the conservation rider)</w:t>
      </w:r>
      <w:r w:rsidR="00454070">
        <w:t xml:space="preserve">, seven in Avista’s service territory, and one in Pacific Power’s service territory. These facilities represent at least </w:t>
      </w:r>
      <w:r w:rsidR="00D33C58" w:rsidRPr="00250B38">
        <w:t>105</w:t>
      </w:r>
      <w:r w:rsidR="00454070">
        <w:t xml:space="preserve"> aMW of total consumption. The savings potential at these facilities is unknown</w:t>
      </w:r>
      <w:r w:rsidR="00E67801">
        <w:t>,</w:t>
      </w:r>
      <w:r w:rsidR="00454070">
        <w:t xml:space="preserve"> but conceivably significant.</w:t>
      </w:r>
    </w:p>
    <w:p w14:paraId="11675A24" w14:textId="0D400F66" w:rsidR="00B24258" w:rsidRDefault="00454070" w:rsidP="00454070">
      <w:r>
        <w:t>Staff encourages utilities to pursue these potential savings, and recommends that any program engagement with a potentially qualifying single large-facility customer be discussed with the utility’s advisory group early in the process</w:t>
      </w:r>
      <w:r w:rsidR="004D386C">
        <w:t>. In addition, Staff requests</w:t>
      </w:r>
      <w:r>
        <w:t xml:space="preserve"> </w:t>
      </w:r>
      <w:r w:rsidR="004D386C">
        <w:t xml:space="preserve">that </w:t>
      </w:r>
      <w:r w:rsidR="00E67801">
        <w:t xml:space="preserve">with its next business plan update </w:t>
      </w:r>
      <w:r w:rsidR="004D386C">
        <w:t xml:space="preserve">each utility include an analysis of the savings potential of large facilities in its service territory. </w:t>
      </w:r>
    </w:p>
    <w:p w14:paraId="2D4D4B52" w14:textId="7E36FD04" w:rsidR="00454070" w:rsidRDefault="004D386C" w:rsidP="00454070">
      <w:r>
        <w:t>When single large facility savings are achieved</w:t>
      </w:r>
      <w:r w:rsidR="003D0AC5">
        <w:t>, they m</w:t>
      </w:r>
      <w:r w:rsidR="00B24258">
        <w:t xml:space="preserve">ust be clearly reported as </w:t>
      </w:r>
      <w:r w:rsidR="00E67801">
        <w:t>“single large facility savings</w:t>
      </w:r>
      <w:r w:rsidR="00B24258">
        <w:t>.</w:t>
      </w:r>
      <w:r w:rsidR="00E67801">
        <w:t>”</w:t>
      </w:r>
      <w:r w:rsidR="00B24258">
        <w:t xml:space="preserve"> When excess savings are earned at the end of a biennium, the utility </w:t>
      </w:r>
      <w:r w:rsidR="00E67801">
        <w:t xml:space="preserve">should </w:t>
      </w:r>
      <w:r w:rsidR="00B24258">
        <w:t>classify the quantity of single large facility savings</w:t>
      </w:r>
      <w:r w:rsidR="00A41195">
        <w:t xml:space="preserve"> that</w:t>
      </w:r>
      <w:r w:rsidR="00B24258">
        <w:t xml:space="preserve"> will be used to meet the target and how much will be held for future shortfalls.</w:t>
      </w:r>
    </w:p>
    <w:p w14:paraId="6375CACD" w14:textId="77777777" w:rsidR="00F96EA9" w:rsidRPr="00B17B8D" w:rsidRDefault="00F96EA9" w:rsidP="00F96EA9"/>
    <w:p w14:paraId="7A88AF7B" w14:textId="3E5F639F" w:rsidR="004F2F5C" w:rsidRDefault="00B24258" w:rsidP="004F2F5C">
      <w:pPr>
        <w:pStyle w:val="Heading2"/>
        <w:spacing w:before="0"/>
        <w:rPr>
          <w:i/>
        </w:rPr>
      </w:pPr>
      <w:bookmarkStart w:id="21" w:name="_Toc456682598"/>
      <w:bookmarkStart w:id="22" w:name="_Toc456689283"/>
      <w:bookmarkStart w:id="23" w:name="_Toc456879736"/>
      <w:r>
        <w:rPr>
          <w:i/>
        </w:rPr>
        <w:t xml:space="preserve">Reporting </w:t>
      </w:r>
      <w:r w:rsidR="004F2F5C">
        <w:rPr>
          <w:i/>
        </w:rPr>
        <w:t>NEEA</w:t>
      </w:r>
      <w:bookmarkEnd w:id="21"/>
      <w:bookmarkEnd w:id="22"/>
      <w:r>
        <w:rPr>
          <w:i/>
        </w:rPr>
        <w:t xml:space="preserve"> Savings to Commerce</w:t>
      </w:r>
      <w:bookmarkEnd w:id="23"/>
    </w:p>
    <w:p w14:paraId="68C0FE83" w14:textId="327ED7C3" w:rsidR="004F2F5C" w:rsidRDefault="004F2F5C" w:rsidP="00344EC6">
      <w:r w:rsidRPr="006431A4">
        <w:t xml:space="preserve">All three </w:t>
      </w:r>
      <w:r>
        <w:t>utilitie</w:t>
      </w:r>
      <w:r w:rsidRPr="006431A4">
        <w:t xml:space="preserve">s fund and actively collaborate with NEEA, a regional market transformation organization. </w:t>
      </w:r>
      <w:r>
        <w:t>NEEA continues to improve the cost-effectiveness of companies’ overall portfolios by leveraging regional market power and creating economies of scale to achieve co-created energy efficiency savings.</w:t>
      </w:r>
      <w:r>
        <w:rPr>
          <w:rStyle w:val="FootnoteReference"/>
        </w:rPr>
        <w:footnoteReference w:id="20"/>
      </w:r>
      <w:r>
        <w:t xml:space="preserve"> </w:t>
      </w:r>
    </w:p>
    <w:p w14:paraId="08C5C1C5" w14:textId="08E06B0F" w:rsidR="004F2F5C" w:rsidRDefault="004F2F5C" w:rsidP="00E67801">
      <w:r>
        <w:t xml:space="preserve">PSE, Avista, and Pacific </w:t>
      </w:r>
      <w:r w:rsidRPr="009B70AF">
        <w:t xml:space="preserve">Power </w:t>
      </w:r>
      <w:r>
        <w:t>collaborated to develop a consistent approach for the</w:t>
      </w:r>
      <w:r w:rsidRPr="006431A4">
        <w:t xml:space="preserve"> treatment of NEEA savings </w:t>
      </w:r>
      <w:r>
        <w:t>b</w:t>
      </w:r>
      <w:r w:rsidRPr="006431A4">
        <w:t>eginning in the 2014-2015 biennium.</w:t>
      </w:r>
      <w:r w:rsidRPr="006431A4">
        <w:rPr>
          <w:rStyle w:val="FootnoteReference"/>
        </w:rPr>
        <w:footnoteReference w:id="21"/>
      </w:r>
      <w:r w:rsidRPr="006431A4">
        <w:t xml:space="preserve"> </w:t>
      </w:r>
      <w:r w:rsidR="008E0180">
        <w:t xml:space="preserve">As a result of that collaboration, </w:t>
      </w:r>
      <w:r>
        <w:t>t</w:t>
      </w:r>
      <w:r w:rsidRPr="006431A4">
        <w:t xml:space="preserve">he companies </w:t>
      </w:r>
      <w:r w:rsidR="008E0180">
        <w:t>agreed to</w:t>
      </w:r>
      <w:r w:rsidRPr="006431A4">
        <w:t xml:space="preserve"> </w:t>
      </w:r>
      <w:r>
        <w:t>fund</w:t>
      </w:r>
      <w:r w:rsidRPr="006431A4">
        <w:t xml:space="preserve"> NEEA and report the amount of savings achieved</w:t>
      </w:r>
      <w:r>
        <w:t xml:space="preserve"> to the Commission separately from the </w:t>
      </w:r>
      <w:r w:rsidR="00A41195">
        <w:t xml:space="preserve">biennial conservation </w:t>
      </w:r>
      <w:r>
        <w:t>target</w:t>
      </w:r>
      <w:r w:rsidRPr="006431A4">
        <w:t xml:space="preserve">. NEEA savings are </w:t>
      </w:r>
      <w:r>
        <w:t>neither</w:t>
      </w:r>
      <w:r w:rsidRPr="006431A4">
        <w:t xml:space="preserve"> used when utilities are s</w:t>
      </w:r>
      <w:r>
        <w:t>etting their target nor applied</w:t>
      </w:r>
      <w:r w:rsidRPr="006431A4">
        <w:t xml:space="preserve"> toward meeting their target</w:t>
      </w:r>
      <w:r>
        <w:t>.</w:t>
      </w:r>
    </w:p>
    <w:p w14:paraId="1FDBF2D3" w14:textId="483064EF" w:rsidR="004F2F5C" w:rsidRDefault="004F2F5C" w:rsidP="00E67801">
      <w:r>
        <w:t xml:space="preserve">In addition to </w:t>
      </w:r>
      <w:r w:rsidR="00CA098E">
        <w:t>BCRs</w:t>
      </w:r>
      <w:r>
        <w:t xml:space="preserve"> filed with the Commission, utilities must concurrently submit conservation reports to the Washington Department of Commerce (Commerce).</w:t>
      </w:r>
      <w:r>
        <w:rPr>
          <w:rStyle w:val="FootnoteReference"/>
        </w:rPr>
        <w:footnoteReference w:id="22"/>
      </w:r>
      <w:r>
        <w:t xml:space="preserve"> The form provided for these reports </w:t>
      </w:r>
      <w:r w:rsidR="008E0180">
        <w:t>is unclear</w:t>
      </w:r>
      <w:r>
        <w:t xml:space="preserve"> </w:t>
      </w:r>
      <w:r w:rsidR="008E0180">
        <w:t>as to</w:t>
      </w:r>
      <w:r>
        <w:t xml:space="preserve"> where </w:t>
      </w:r>
      <w:r w:rsidR="00A41195">
        <w:t>investor-</w:t>
      </w:r>
      <w:r>
        <w:t xml:space="preserve">owned utilities should </w:t>
      </w:r>
      <w:r w:rsidR="00A41195">
        <w:t xml:space="preserve">report </w:t>
      </w:r>
      <w:r>
        <w:t xml:space="preserve">NEEA savings. As a result, utilities were </w:t>
      </w:r>
      <w:r w:rsidR="008E0180">
        <w:t>in</w:t>
      </w:r>
      <w:r>
        <w:t>consistent with including or excluding NEEA savings in the Achievement field of the Commerce Energy Independence Act (I-937) Report Workbook.</w:t>
      </w:r>
    </w:p>
    <w:p w14:paraId="054A6648" w14:textId="109888DD" w:rsidR="004F2F5C" w:rsidRPr="00F345A8" w:rsidRDefault="004F2F5C" w:rsidP="00E67801">
      <w:r>
        <w:t xml:space="preserve">Each utility provided an appropriate and thorough narrative on the way they fit their more complicated </w:t>
      </w:r>
      <w:r w:rsidR="00A41195">
        <w:t>target-</w:t>
      </w:r>
      <w:r>
        <w:t xml:space="preserve">setting and reporting processes into the Commerce form. However, Staff </w:t>
      </w:r>
      <w:r w:rsidR="005D3A92">
        <w:t>requests</w:t>
      </w:r>
      <w:r w:rsidR="00980FA5">
        <w:t xml:space="preserve"> </w:t>
      </w:r>
      <w:r w:rsidR="008E0180">
        <w:t>that</w:t>
      </w:r>
      <w:r w:rsidR="00980FA5">
        <w:t xml:space="preserve"> the utilities</w:t>
      </w:r>
      <w:r>
        <w:t xml:space="preserve"> </w:t>
      </w:r>
      <w:r w:rsidR="00A41195">
        <w:t xml:space="preserve">work with </w:t>
      </w:r>
      <w:r w:rsidR="00E201E9">
        <w:t>S</w:t>
      </w:r>
      <w:r w:rsidR="00A41195">
        <w:t xml:space="preserve">taff to </w:t>
      </w:r>
      <w:r>
        <w:t>determine a uniform approach to completing the form</w:t>
      </w:r>
      <w:r w:rsidR="00A41195">
        <w:t xml:space="preserve"> and update the Commerce filings</w:t>
      </w:r>
      <w:r>
        <w:t xml:space="preserve"> before Staff recommends issuing orders in these dockets.</w:t>
      </w:r>
      <w:r w:rsidR="00980FA5">
        <w:t xml:space="preserve"> Staffs </w:t>
      </w:r>
      <w:r w:rsidR="00A41195">
        <w:t xml:space="preserve">suggests </w:t>
      </w:r>
      <w:r w:rsidR="00980FA5">
        <w:t xml:space="preserve">that the </w:t>
      </w:r>
      <w:r w:rsidR="00A41195">
        <w:t>investor-</w:t>
      </w:r>
      <w:r w:rsidR="00980FA5">
        <w:t xml:space="preserve">owned </w:t>
      </w:r>
      <w:r w:rsidR="005D3A92">
        <w:t>utilities</w:t>
      </w:r>
      <w:r w:rsidR="00980FA5">
        <w:t xml:space="preserve"> </w:t>
      </w:r>
      <w:r w:rsidR="00A41195">
        <w:t xml:space="preserve">should </w:t>
      </w:r>
      <w:r w:rsidR="00980FA5">
        <w:t xml:space="preserve">remain consistent with the public utilities </w:t>
      </w:r>
      <w:r w:rsidR="00980FA5">
        <w:lastRenderedPageBreak/>
        <w:t xml:space="preserve">in the Commerce reports. This means that companies </w:t>
      </w:r>
      <w:r w:rsidR="00A41195">
        <w:t xml:space="preserve">would </w:t>
      </w:r>
      <w:r w:rsidR="00980FA5">
        <w:t>report a full target, without any excluded potential, and the total savings achieved from all sources. The target approved by the Commission, as well as any decoupling commitment, should be detailed in the notes of the report.</w:t>
      </w:r>
    </w:p>
    <w:p w14:paraId="12427CCD" w14:textId="77777777" w:rsidR="004F2F5C" w:rsidRDefault="004F2F5C" w:rsidP="00E67801"/>
    <w:p w14:paraId="0C9DE739" w14:textId="0589FCEB" w:rsidR="00994016" w:rsidRDefault="005A755D" w:rsidP="00994016">
      <w:pPr>
        <w:pStyle w:val="Heading2"/>
        <w:rPr>
          <w:i/>
        </w:rPr>
      </w:pPr>
      <w:bookmarkStart w:id="24" w:name="_Toc456682599"/>
      <w:bookmarkStart w:id="25" w:name="_Toc456689284"/>
      <w:bookmarkStart w:id="26" w:name="_Toc456879737"/>
      <w:r>
        <w:rPr>
          <w:i/>
        </w:rPr>
        <w:t>U</w:t>
      </w:r>
      <w:r w:rsidR="00A41195">
        <w:rPr>
          <w:i/>
        </w:rPr>
        <w:t xml:space="preserve">nit </w:t>
      </w:r>
      <w:r>
        <w:rPr>
          <w:i/>
        </w:rPr>
        <w:t>E</w:t>
      </w:r>
      <w:r w:rsidR="00A41195">
        <w:rPr>
          <w:i/>
        </w:rPr>
        <w:t xml:space="preserve">nergy </w:t>
      </w:r>
      <w:r>
        <w:rPr>
          <w:i/>
        </w:rPr>
        <w:t>S</w:t>
      </w:r>
      <w:r w:rsidR="00A41195">
        <w:rPr>
          <w:i/>
        </w:rPr>
        <w:t>avings</w:t>
      </w:r>
      <w:r>
        <w:rPr>
          <w:i/>
        </w:rPr>
        <w:t xml:space="preserve"> Val</w:t>
      </w:r>
      <w:r w:rsidR="00225857">
        <w:rPr>
          <w:i/>
        </w:rPr>
        <w:t>u</w:t>
      </w:r>
      <w:r>
        <w:rPr>
          <w:i/>
        </w:rPr>
        <w:t>es</w:t>
      </w:r>
      <w:bookmarkEnd w:id="24"/>
      <w:bookmarkEnd w:id="25"/>
      <w:bookmarkEnd w:id="26"/>
    </w:p>
    <w:p w14:paraId="3F43B876" w14:textId="64803098" w:rsidR="007B2613" w:rsidRPr="00CD3536" w:rsidRDefault="007B2613" w:rsidP="00344EC6">
      <w:r w:rsidRPr="00CD3536">
        <w:t xml:space="preserve">The Commission has directed the utilities to use the unit energy savings (UES) values that the </w:t>
      </w:r>
      <w:r w:rsidR="00E12E64">
        <w:t xml:space="preserve">Northwest Power and Conservation </w:t>
      </w:r>
      <w:r w:rsidRPr="00CD3536">
        <w:t>Council’s Regional Technical Forum (RTF) calculates for each measure, where they exist and are appropriate</w:t>
      </w:r>
      <w:r w:rsidR="00EE5E9F">
        <w:t>, unless the utility has more appropriate data that specifically reflects its service territory</w:t>
      </w:r>
      <w:r w:rsidR="005A16BD">
        <w:t xml:space="preserve">. </w:t>
      </w:r>
      <w:r w:rsidRPr="00CD3536">
        <w:t xml:space="preserve">However, the utilities vary in how frequently they update their assumptions to reflect current RTF practice. </w:t>
      </w:r>
      <w:r w:rsidR="00DE13E1">
        <w:t>Pacific</w:t>
      </w:r>
      <w:r w:rsidRPr="00CD3536">
        <w:t xml:space="preserve"> </w:t>
      </w:r>
      <w:r w:rsidR="009B70AF" w:rsidRPr="009B70AF">
        <w:t xml:space="preserve">Power </w:t>
      </w:r>
      <w:r w:rsidRPr="00CD3536">
        <w:t>and Avista update every other year when preparing their next biennial target; this allows the utilities to use the same value when setting their target and measuring whether it</w:t>
      </w:r>
      <w:r w:rsidR="003C565F">
        <w:t xml:space="preserve"> </w:t>
      </w:r>
      <w:r w:rsidR="00D503F5">
        <w:t xml:space="preserve">was met </w:t>
      </w:r>
      <w:r w:rsidR="003C565F">
        <w:t>(“</w:t>
      </w:r>
      <w:r w:rsidR="00E12E64">
        <w:t xml:space="preserve">locked </w:t>
      </w:r>
      <w:r w:rsidR="003C565F">
        <w:t>UES”)</w:t>
      </w:r>
      <w:r w:rsidRPr="00CD3536">
        <w:t>. PSE voluntarily updates UES values every year</w:t>
      </w:r>
      <w:r w:rsidR="003C565F">
        <w:t xml:space="preserve"> (“floating UES”)</w:t>
      </w:r>
      <w:r w:rsidRPr="00CD3536">
        <w:t xml:space="preserve">. </w:t>
      </w:r>
    </w:p>
    <w:p w14:paraId="4339BF46" w14:textId="7E005730" w:rsidR="000C2CC2" w:rsidRDefault="00027E90" w:rsidP="007B2613">
      <w:r>
        <w:t xml:space="preserve">Staff </w:t>
      </w:r>
      <w:r w:rsidR="00997ECF">
        <w:t>has previously recognized that</w:t>
      </w:r>
      <w:r>
        <w:t xml:space="preserve"> floating UES</w:t>
      </w:r>
      <w:r w:rsidR="00997ECF">
        <w:t xml:space="preserve"> values</w:t>
      </w:r>
      <w:r w:rsidR="00FF7C4F">
        <w:t xml:space="preserve"> may increase a C</w:t>
      </w:r>
      <w:r w:rsidR="007B2613" w:rsidRPr="00CD3536">
        <w:t>ompany’s risk of not meeting its target.</w:t>
      </w:r>
      <w:r>
        <w:rPr>
          <w:rStyle w:val="FootnoteReference"/>
        </w:rPr>
        <w:footnoteReference w:id="23"/>
      </w:r>
      <w:r w:rsidR="007B2613" w:rsidRPr="00CD3536">
        <w:t xml:space="preserve"> </w:t>
      </w:r>
      <w:r w:rsidR="00997ECF">
        <w:t xml:space="preserve">Indeed, </w:t>
      </w:r>
      <w:r w:rsidR="00E9454D">
        <w:t>S</w:t>
      </w:r>
      <w:r w:rsidR="00997ECF">
        <w:t>taff has recommended utilities be allowed to claim savings using</w:t>
      </w:r>
      <w:r w:rsidR="00E12E64">
        <w:t xml:space="preserve"> </w:t>
      </w:r>
      <w:r w:rsidR="00997ECF">
        <w:t>locked UES values under the agreement that</w:t>
      </w:r>
      <w:r w:rsidR="00604F12">
        <w:t>,</w:t>
      </w:r>
      <w:r w:rsidR="00997ECF">
        <w:t xml:space="preserve"> </w:t>
      </w:r>
      <w:r w:rsidR="00B8489F">
        <w:t xml:space="preserve">in the </w:t>
      </w:r>
      <w:r w:rsidR="00344456">
        <w:t xml:space="preserve">2014-2015 </w:t>
      </w:r>
      <w:r w:rsidR="00B8489F">
        <w:t>BCRs</w:t>
      </w:r>
      <w:r w:rsidR="00604F12">
        <w:t>,</w:t>
      </w:r>
      <w:r w:rsidR="00B8489F">
        <w:t xml:space="preserve"> </w:t>
      </w:r>
      <w:r w:rsidR="00997ECF">
        <w:t xml:space="preserve">utilities </w:t>
      </w:r>
      <w:r w:rsidR="00EE5E9F">
        <w:t>that use locked values</w:t>
      </w:r>
      <w:r w:rsidR="00997ECF">
        <w:t xml:space="preserve"> would</w:t>
      </w:r>
      <w:r w:rsidR="00B8489F">
        <w:t xml:space="preserve"> present savings using both locked and floating UES values. Such a presentation would enable </w:t>
      </w:r>
      <w:r w:rsidR="00A13F7B">
        <w:t xml:space="preserve">Staff </w:t>
      </w:r>
      <w:r w:rsidR="00B8489F">
        <w:t xml:space="preserve">and the </w:t>
      </w:r>
      <w:r w:rsidR="00090BDE">
        <w:t xml:space="preserve">Commission </w:t>
      </w:r>
      <w:r w:rsidR="00B8489F">
        <w:t xml:space="preserve">to evaluate the actual risk associated with requiring annual updates to UES values. </w:t>
      </w:r>
      <w:r w:rsidR="00B9644D">
        <w:t>Pacific</w:t>
      </w:r>
      <w:r w:rsidR="009B70AF" w:rsidRPr="009B70AF">
        <w:t xml:space="preserve"> Power</w:t>
      </w:r>
      <w:r w:rsidR="00FF7C4F">
        <w:t xml:space="preserve"> was the only C</w:t>
      </w:r>
      <w:r w:rsidR="00B9644D">
        <w:t xml:space="preserve">ompany to provide such an analysis in its </w:t>
      </w:r>
      <w:r w:rsidR="00E73560">
        <w:t xml:space="preserve">2014-2015 </w:t>
      </w:r>
      <w:r w:rsidR="00B9644D">
        <w:t>BCR.</w:t>
      </w:r>
      <w:r w:rsidR="00B9644D">
        <w:rPr>
          <w:rStyle w:val="FootnoteReference"/>
        </w:rPr>
        <w:footnoteReference w:id="24"/>
      </w:r>
      <w:r w:rsidR="00997ECF">
        <w:t xml:space="preserve"> </w:t>
      </w:r>
      <w:r w:rsidR="00F7382A" w:rsidRPr="00F7382A">
        <w:t>Out of the total savings Pacific Power claimed toward the Biennial Conservation target, 3.3 percent came from using the floating UES values. This amount would not affect whether Pacific Power met its target.</w:t>
      </w:r>
    </w:p>
    <w:p w14:paraId="564AF245" w14:textId="0B6162F5" w:rsidR="00B9644D" w:rsidRDefault="00B9644D" w:rsidP="007B2613">
      <w:r>
        <w:t xml:space="preserve">Although </w:t>
      </w:r>
      <w:r w:rsidR="00C25CD0">
        <w:t xml:space="preserve">Avista failed to provide the </w:t>
      </w:r>
      <w:r w:rsidR="00090BDE">
        <w:t xml:space="preserve">Commission </w:t>
      </w:r>
      <w:r w:rsidR="00C25CD0">
        <w:t xml:space="preserve">with an analysis of reported savings using locked versus floating UES values, the need for such an analysis has been </w:t>
      </w:r>
      <w:r w:rsidR="00D503F5">
        <w:t>eliminated</w:t>
      </w:r>
      <w:r w:rsidR="00C25CD0">
        <w:t xml:space="preserve">. </w:t>
      </w:r>
      <w:r w:rsidR="00506F7D">
        <w:t xml:space="preserve">In the target-setting process for the 2016-2017 </w:t>
      </w:r>
      <w:r w:rsidR="001A6228">
        <w:t>BCP</w:t>
      </w:r>
      <w:r w:rsidR="00506F7D">
        <w:t>, Avista agreed to update</w:t>
      </w:r>
      <w:r w:rsidR="00FF7C4F">
        <w:t xml:space="preserve"> its UES values annually. If a </w:t>
      </w:r>
      <w:r w:rsidR="00090BDE">
        <w:t>c</w:t>
      </w:r>
      <w:r w:rsidR="00506F7D">
        <w:t xml:space="preserve">ompany voluntarily agrees to update UES values annually, </w:t>
      </w:r>
      <w:r w:rsidR="00A13F7B">
        <w:t xml:space="preserve">Staff </w:t>
      </w:r>
      <w:r w:rsidR="00506F7D">
        <w:t>will not o</w:t>
      </w:r>
      <w:r w:rsidR="00FF7C4F">
        <w:t xml:space="preserve">bject. </w:t>
      </w:r>
      <w:r w:rsidR="004C57C3">
        <w:t>Staff interprets such a position by a company to mean that it has assessed the actual risk to be low, and that annual updates to UES values promote effective portfolio management. As a result, a company would then focus on the most efficient measures while culling those that are beginning to perform poorly with respect to baseline equipment.</w:t>
      </w:r>
    </w:p>
    <w:p w14:paraId="16839CD4" w14:textId="27B87F0B" w:rsidR="004A2ABB" w:rsidRPr="00D5792B" w:rsidRDefault="00344456" w:rsidP="00344EC6">
      <w:r w:rsidRPr="00D5792B">
        <w:t xml:space="preserve">Staff finds that while using floating UES values does impose some risk </w:t>
      </w:r>
      <w:r w:rsidR="00D5792B" w:rsidRPr="00D5792B">
        <w:t>of</w:t>
      </w:r>
      <w:r w:rsidRPr="00D5792B">
        <w:t xml:space="preserve"> the utility</w:t>
      </w:r>
      <w:r w:rsidR="00D5792B" w:rsidRPr="00D5792B">
        <w:t xml:space="preserve"> not meeting its target</w:t>
      </w:r>
      <w:r w:rsidRPr="00D5792B">
        <w:t xml:space="preserve">, this risk is </w:t>
      </w:r>
      <w:r w:rsidR="00604F12">
        <w:t>small and can be mitigated through active portfolio management</w:t>
      </w:r>
      <w:r w:rsidR="00D5792B" w:rsidRPr="00D5792B">
        <w:t xml:space="preserve">. In addition, the new provision to use excess savings from previous biennium to meet shortfalls </w:t>
      </w:r>
      <w:r w:rsidR="00D5792B" w:rsidRPr="00D5792B">
        <w:lastRenderedPageBreak/>
        <w:t xml:space="preserve">provides a layer of insurance for any utility </w:t>
      </w:r>
      <w:r w:rsidR="00604F12">
        <w:t>that</w:t>
      </w:r>
      <w:r w:rsidR="00604F12" w:rsidRPr="00D5792B">
        <w:t xml:space="preserve"> </w:t>
      </w:r>
      <w:r w:rsidR="00D5792B" w:rsidRPr="00D5792B">
        <w:t xml:space="preserve">has been proactively </w:t>
      </w:r>
      <w:r w:rsidR="00604F12">
        <w:t>updating UES values</w:t>
      </w:r>
      <w:r w:rsidR="00D5792B" w:rsidRPr="00D5792B">
        <w:t xml:space="preserve">. Staff recommends that by the 2018-2019 </w:t>
      </w:r>
      <w:r w:rsidR="005A16BD" w:rsidRPr="00D5792B">
        <w:t>biennium</w:t>
      </w:r>
      <w:r w:rsidR="00D5792B" w:rsidRPr="00D5792B">
        <w:t>, every utility updat</w:t>
      </w:r>
      <w:r w:rsidR="00ED46E3">
        <w:t>e</w:t>
      </w:r>
      <w:r w:rsidR="00D5792B" w:rsidRPr="00D5792B">
        <w:t xml:space="preserve"> their UES values at least once a year.</w:t>
      </w:r>
    </w:p>
    <w:p w14:paraId="488A68D0" w14:textId="77777777" w:rsidR="00D5792B" w:rsidRDefault="00D5792B" w:rsidP="00344EC6">
      <w:pPr>
        <w:rPr>
          <w:color w:val="8064A2" w:themeColor="accent4"/>
        </w:rPr>
      </w:pPr>
    </w:p>
    <w:p w14:paraId="52243041" w14:textId="20C586F1" w:rsidR="004A2ABB" w:rsidRDefault="004A2ABB" w:rsidP="004A2ABB">
      <w:pPr>
        <w:pStyle w:val="Heading2"/>
        <w:rPr>
          <w:i/>
        </w:rPr>
      </w:pPr>
      <w:bookmarkStart w:id="27" w:name="_Toc456682600"/>
      <w:bookmarkStart w:id="28" w:name="_Toc456689285"/>
      <w:bookmarkStart w:id="29" w:name="_Toc456879738"/>
      <w:r w:rsidRPr="004A2ABB">
        <w:rPr>
          <w:i/>
        </w:rPr>
        <w:t xml:space="preserve">Adaptive </w:t>
      </w:r>
      <w:r w:rsidR="00EB49F4">
        <w:rPr>
          <w:i/>
        </w:rPr>
        <w:t>Management</w:t>
      </w:r>
      <w:bookmarkEnd w:id="27"/>
      <w:bookmarkEnd w:id="28"/>
      <w:bookmarkEnd w:id="29"/>
    </w:p>
    <w:p w14:paraId="32626FE9" w14:textId="685587DE" w:rsidR="00EB49F4" w:rsidRDefault="00EB49F4" w:rsidP="00344EC6">
      <w:r w:rsidRPr="006C0A64">
        <w:t>On</w:t>
      </w:r>
      <w:r w:rsidR="00FF7C4F">
        <w:t>e of the key indicators that a C</w:t>
      </w:r>
      <w:r w:rsidRPr="006C0A64">
        <w:t xml:space="preserve">ompany is </w:t>
      </w:r>
      <w:r w:rsidR="003B5870">
        <w:t>actively</w:t>
      </w:r>
      <w:r w:rsidRPr="006C0A64">
        <w:t xml:space="preserve"> “pursu</w:t>
      </w:r>
      <w:r w:rsidR="003B5870">
        <w:t>[ing]</w:t>
      </w:r>
      <w:r w:rsidRPr="006C0A64">
        <w:t xml:space="preserve"> all conservation that is cost-effective, reliable and feasible”</w:t>
      </w:r>
      <w:r w:rsidR="00FB5B91">
        <w:rPr>
          <w:rStyle w:val="FootnoteReference"/>
        </w:rPr>
        <w:footnoteReference w:id="25"/>
      </w:r>
      <w:r w:rsidR="00FF7C4F">
        <w:t xml:space="preserve"> is the extent to which each C</w:t>
      </w:r>
      <w:r w:rsidRPr="006C0A64">
        <w:t>ompany is adaptively managing conservation programs and portfolios</w:t>
      </w:r>
      <w:r w:rsidR="003B5870">
        <w:t>.</w:t>
      </w:r>
      <w:r w:rsidR="003B5870" w:rsidRPr="006C0A64">
        <w:t xml:space="preserve"> </w:t>
      </w:r>
      <w:r w:rsidR="003B5870">
        <w:t>This should include</w:t>
      </w:r>
      <w:r w:rsidR="003B5870" w:rsidRPr="006C0A64">
        <w:t xml:space="preserve"> </w:t>
      </w:r>
      <w:r w:rsidRPr="006C0A64">
        <w:t xml:space="preserve">continuing cost-effective programs, discontinuing programs that have been shown to </w:t>
      </w:r>
      <w:r w:rsidR="00FB5B91" w:rsidRPr="006C0A64">
        <w:t xml:space="preserve">no longer </w:t>
      </w:r>
      <w:r w:rsidRPr="006C0A64">
        <w:t>be cost-effective, and exploring potential new programs or technologies.</w:t>
      </w:r>
      <w:r>
        <w:t xml:space="preserve"> </w:t>
      </w:r>
      <w:r w:rsidR="000824A9">
        <w:t>Accordingly, and as required by rule</w:t>
      </w:r>
      <w:r w:rsidR="003B5870">
        <w:t>,</w:t>
      </w:r>
      <w:r w:rsidR="000824A9">
        <w:rPr>
          <w:rStyle w:val="FootnoteReference"/>
        </w:rPr>
        <w:footnoteReference w:id="26"/>
      </w:r>
      <w:r w:rsidR="00FF7C4F">
        <w:t xml:space="preserve"> each C</w:t>
      </w:r>
      <w:r w:rsidR="000824A9">
        <w:t xml:space="preserve">ompany </w:t>
      </w:r>
      <w:r w:rsidR="00BC30C0">
        <w:t xml:space="preserve">was </w:t>
      </w:r>
      <w:r w:rsidR="00090BDE">
        <w:t xml:space="preserve">obligated </w:t>
      </w:r>
      <w:r w:rsidR="00BC30C0">
        <w:t>to include</w:t>
      </w:r>
      <w:r w:rsidR="000824A9">
        <w:t xml:space="preserve"> </w:t>
      </w:r>
      <w:r w:rsidR="00090BDE" w:rsidRPr="005D476D">
        <w:t>a summary</w:t>
      </w:r>
      <w:r w:rsidR="000824A9">
        <w:t xml:space="preserve"> </w:t>
      </w:r>
      <w:r w:rsidR="002C2F0F">
        <w:t>in its BCR</w:t>
      </w:r>
      <w:r w:rsidR="002C2F0F" w:rsidRPr="005D476D">
        <w:t xml:space="preserve"> </w:t>
      </w:r>
      <w:r w:rsidR="000824A9" w:rsidRPr="005D476D">
        <w:t>of the steps taken to adaptively manage</w:t>
      </w:r>
      <w:r w:rsidR="002C2F0F" w:rsidRPr="002C2F0F">
        <w:t xml:space="preserve"> </w:t>
      </w:r>
      <w:r w:rsidR="002C2F0F" w:rsidRPr="005D476D">
        <w:t>conservation programs throughout the preceding two years</w:t>
      </w:r>
      <w:r w:rsidR="002C2F0F">
        <w:t>.</w:t>
      </w:r>
      <w:r w:rsidR="00F74F38">
        <w:rPr>
          <w:rStyle w:val="FootnoteReference"/>
        </w:rPr>
        <w:footnoteReference w:id="27"/>
      </w:r>
      <w:r w:rsidR="000824A9" w:rsidRPr="005D476D">
        <w:t xml:space="preserve"> </w:t>
      </w:r>
    </w:p>
    <w:p w14:paraId="24916847" w14:textId="344A352D" w:rsidR="000824A9" w:rsidRDefault="006C0A64" w:rsidP="00EB49F4">
      <w:r>
        <w:t>PSE</w:t>
      </w:r>
      <w:r w:rsidR="00BC30C0">
        <w:t xml:space="preserve"> summarized that it added new measures, adjusted incentives according to key market drivers, improved internal and customer-facing operational efficiencies, streamlined rebate and grant application processes, provided customers with actionable information, and maximized customer outreach</w:t>
      </w:r>
      <w:r w:rsidR="00E757B3">
        <w:t xml:space="preserve"> in the 2014-2015 biennium</w:t>
      </w:r>
      <w:r w:rsidR="00BC30C0">
        <w:t xml:space="preserve">. Two tables are included in </w:t>
      </w:r>
      <w:r w:rsidR="00090BDE">
        <w:t xml:space="preserve">its </w:t>
      </w:r>
      <w:r w:rsidR="00BC30C0">
        <w:t xml:space="preserve">Report </w:t>
      </w:r>
      <w:r w:rsidR="00604F12">
        <w:t xml:space="preserve">that </w:t>
      </w:r>
      <w:r w:rsidR="00BC30C0">
        <w:t xml:space="preserve">highlight particular initiatives from </w:t>
      </w:r>
      <w:r w:rsidR="00D503F5">
        <w:t xml:space="preserve">the </w:t>
      </w:r>
      <w:r w:rsidR="00BC30C0">
        <w:t>2014 and 2015</w:t>
      </w:r>
      <w:r w:rsidR="000F7DD8">
        <w:t xml:space="preserve"> </w:t>
      </w:r>
      <w:r w:rsidR="00D503F5">
        <w:t xml:space="preserve">program years </w:t>
      </w:r>
      <w:r w:rsidR="000F7DD8">
        <w:t xml:space="preserve">with references to details contained in the </w:t>
      </w:r>
      <w:r w:rsidR="00FF7C4F">
        <w:t>C</w:t>
      </w:r>
      <w:r w:rsidR="00604F12">
        <w:t>ompany’s a</w:t>
      </w:r>
      <w:r w:rsidR="000F7DD8">
        <w:t xml:space="preserve">nnual </w:t>
      </w:r>
      <w:r w:rsidR="00604F12">
        <w:t>c</w:t>
      </w:r>
      <w:r w:rsidR="000F7DD8">
        <w:t>onservatio</w:t>
      </w:r>
      <w:r w:rsidR="001E2AA8">
        <w:t>n</w:t>
      </w:r>
      <w:r w:rsidR="000F7DD8">
        <w:t xml:space="preserve"> </w:t>
      </w:r>
      <w:r w:rsidR="00604F12">
        <w:t>r</w:t>
      </w:r>
      <w:r w:rsidR="000F7DD8">
        <w:t>eports.</w:t>
      </w:r>
    </w:p>
    <w:p w14:paraId="06F3D5CD" w14:textId="08AFA95B" w:rsidR="006C0A64" w:rsidRDefault="00D503F5" w:rsidP="00EB49F4">
      <w:r>
        <w:t xml:space="preserve">In </w:t>
      </w:r>
      <w:r w:rsidR="006C0A64">
        <w:t>Avista</w:t>
      </w:r>
      <w:r w:rsidR="000F7DD8">
        <w:t xml:space="preserve">’s </w:t>
      </w:r>
      <w:r>
        <w:t>BCR</w:t>
      </w:r>
      <w:r w:rsidR="00596494">
        <w:t>,</w:t>
      </w:r>
      <w:r>
        <w:t xml:space="preserve"> the </w:t>
      </w:r>
      <w:r w:rsidR="000F7DD8">
        <w:t xml:space="preserve">adaptive management summary highlights a department reorganization that occurred early in the biennium. </w:t>
      </w:r>
      <w:r w:rsidR="00C73F7E">
        <w:t>Avista identifies a</w:t>
      </w:r>
      <w:r w:rsidR="000F7DD8">
        <w:t xml:space="preserve"> number of pilot programs</w:t>
      </w:r>
      <w:r w:rsidR="001E2AA8">
        <w:t xml:space="preserve"> and new technologies</w:t>
      </w:r>
      <w:r w:rsidR="000F7DD8">
        <w:t xml:space="preserve"> </w:t>
      </w:r>
      <w:r w:rsidR="00C73F7E">
        <w:t>that it</w:t>
      </w:r>
      <w:r w:rsidR="000F7DD8">
        <w:t xml:space="preserve"> </w:t>
      </w:r>
      <w:r w:rsidR="009B0760">
        <w:t>adopted</w:t>
      </w:r>
      <w:r w:rsidR="00C73F7E">
        <w:t xml:space="preserve"> during the biennium </w:t>
      </w:r>
      <w:r w:rsidR="000F7DD8">
        <w:t xml:space="preserve">or ruled out as likely not cost-effective. </w:t>
      </w:r>
      <w:r w:rsidR="001E2AA8">
        <w:t xml:space="preserve">In 2015, Avista began a small business audit and </w:t>
      </w:r>
      <w:r w:rsidR="00596494">
        <w:t>direct-</w:t>
      </w:r>
      <w:r w:rsidR="001E2AA8">
        <w:t xml:space="preserve">install program to overcome barriers in reaching these customers. Additionally, Avista has identified the growth in </w:t>
      </w:r>
      <w:r w:rsidR="00596494">
        <w:t xml:space="preserve">the </w:t>
      </w:r>
      <w:r w:rsidR="005A16BD">
        <w:t>marijuana</w:t>
      </w:r>
      <w:r w:rsidR="001E2AA8">
        <w:t xml:space="preserve"> </w:t>
      </w:r>
      <w:r w:rsidR="00263614">
        <w:t xml:space="preserve">industry </w:t>
      </w:r>
      <w:r w:rsidR="001E2AA8">
        <w:t xml:space="preserve">as a potential source of savings </w:t>
      </w:r>
      <w:r w:rsidR="00263614">
        <w:t>and has taken steps to actively engage with producers.</w:t>
      </w:r>
    </w:p>
    <w:p w14:paraId="5AB29A89" w14:textId="57CAF981" w:rsidR="006C0A64" w:rsidRDefault="006C0A64" w:rsidP="00EB49F4">
      <w:r>
        <w:t>Pacific</w:t>
      </w:r>
      <w:r w:rsidR="009B70AF" w:rsidRPr="009B70AF">
        <w:t xml:space="preserve"> Power</w:t>
      </w:r>
      <w:r w:rsidR="00AC74A6">
        <w:t xml:space="preserve"> did not include a summary of its adaptive management in </w:t>
      </w:r>
      <w:r w:rsidR="00C73F7E">
        <w:t xml:space="preserve">its </w:t>
      </w:r>
      <w:r w:rsidR="00AC74A6">
        <w:t xml:space="preserve">initial BCR filing. Staff has discussed this </w:t>
      </w:r>
      <w:r w:rsidR="003B5870">
        <w:t xml:space="preserve">oversight </w:t>
      </w:r>
      <w:r w:rsidR="00AC74A6">
        <w:t xml:space="preserve">with the </w:t>
      </w:r>
      <w:r w:rsidR="005A16BD">
        <w:t>utility</w:t>
      </w:r>
      <w:r w:rsidR="00C73F7E">
        <w:t xml:space="preserve">, which has agreed to file </w:t>
      </w:r>
      <w:r w:rsidR="00AC74A6">
        <w:t xml:space="preserve">a revised BCR shortly. </w:t>
      </w:r>
      <w:r w:rsidR="00780E82">
        <w:t>Even w</w:t>
      </w:r>
      <w:r w:rsidR="00AC74A6">
        <w:t xml:space="preserve">ithout the summary, Staff has </w:t>
      </w:r>
      <w:r w:rsidR="00780E82">
        <w:t>been able to identify</w:t>
      </w:r>
      <w:r w:rsidR="00AC74A6">
        <w:t xml:space="preserve"> instances of adaptive management at Pacific Pow</w:t>
      </w:r>
      <w:r w:rsidR="00941654">
        <w:t>er over the biennium, such as discontinuing the refrigerator recycling program when it was no longer cost</w:t>
      </w:r>
      <w:r w:rsidR="00696002">
        <w:t>-</w:t>
      </w:r>
      <w:r w:rsidR="00941654">
        <w:t>effective</w:t>
      </w:r>
      <w:r w:rsidR="00C73F7E">
        <w:t xml:space="preserve"> and actively working with the program vendor to expand its home energy reporting program</w:t>
      </w:r>
      <w:r w:rsidR="00941654">
        <w:t xml:space="preserve">. </w:t>
      </w:r>
    </w:p>
    <w:p w14:paraId="51A88A79" w14:textId="2B35AE44" w:rsidR="009B0760" w:rsidRPr="009B0760" w:rsidRDefault="00D1124C" w:rsidP="00EB49F4">
      <w:r>
        <w:t>D</w:t>
      </w:r>
      <w:r w:rsidR="009B0760">
        <w:t xml:space="preserve">emonstrating </w:t>
      </w:r>
      <w:r w:rsidR="00312A2E">
        <w:t>appropriate</w:t>
      </w:r>
      <w:r w:rsidR="009B0760">
        <w:t xml:space="preserve"> adaptive management is crucial to demonstrating prudency in conservation programs</w:t>
      </w:r>
      <w:r w:rsidR="00780E82">
        <w:t>.</w:t>
      </w:r>
      <w:r>
        <w:t xml:space="preserve"> </w:t>
      </w:r>
      <w:r w:rsidR="00A13F7B">
        <w:t xml:space="preserve">Staff </w:t>
      </w:r>
      <w:r>
        <w:t>suggests that</w:t>
      </w:r>
      <w:r w:rsidR="009B0760">
        <w:t xml:space="preserve"> </w:t>
      </w:r>
      <w:r w:rsidR="00366CB3">
        <w:t xml:space="preserve">the </w:t>
      </w:r>
      <w:r w:rsidR="009B0760" w:rsidRPr="009B0760">
        <w:t>summary of the steps taken to adaptively manage</w:t>
      </w:r>
      <w:r w:rsidR="00366CB3">
        <w:t xml:space="preserve"> programs deserves </w:t>
      </w:r>
      <w:r w:rsidR="00780E82">
        <w:t xml:space="preserve">greater </w:t>
      </w:r>
      <w:r w:rsidR="00E50082">
        <w:t>prominence</w:t>
      </w:r>
      <w:r w:rsidR="00366CB3">
        <w:t xml:space="preserve"> in </w:t>
      </w:r>
      <w:r w:rsidR="009116EB">
        <w:t xml:space="preserve">all three </w:t>
      </w:r>
      <w:r w:rsidR="00366CB3">
        <w:t>future BCRs</w:t>
      </w:r>
      <w:r w:rsidR="00793C3D">
        <w:t>, ideally including both the general process of adaptive management within a program and specific examples that highlight how well the process is working.</w:t>
      </w:r>
    </w:p>
    <w:p w14:paraId="554FDCD3" w14:textId="77777777" w:rsidR="00DF38A9" w:rsidRDefault="00DF38A9" w:rsidP="00DF38A9">
      <w:pPr>
        <w:spacing w:before="0" w:after="0"/>
      </w:pPr>
    </w:p>
    <w:p w14:paraId="08D567DA" w14:textId="645045D4" w:rsidR="005A755D" w:rsidRPr="003559E6" w:rsidRDefault="005A755D" w:rsidP="003559E6">
      <w:pPr>
        <w:pStyle w:val="Heading2"/>
        <w:spacing w:before="0"/>
        <w:rPr>
          <w:i/>
        </w:rPr>
      </w:pPr>
      <w:bookmarkStart w:id="30" w:name="_Toc456682601"/>
      <w:bookmarkStart w:id="31" w:name="_Toc456689286"/>
      <w:bookmarkStart w:id="32" w:name="_Toc456879739"/>
      <w:r>
        <w:rPr>
          <w:i/>
        </w:rPr>
        <w:lastRenderedPageBreak/>
        <w:t>Pilot Programs</w:t>
      </w:r>
      <w:bookmarkEnd w:id="30"/>
      <w:bookmarkEnd w:id="31"/>
      <w:bookmarkEnd w:id="32"/>
    </w:p>
    <w:p w14:paraId="469C0807" w14:textId="4988E41F" w:rsidR="0064328C" w:rsidRDefault="00684176" w:rsidP="00211E70">
      <w:r>
        <w:t xml:space="preserve">Order 01 of each </w:t>
      </w:r>
      <w:r w:rsidR="00D1124C">
        <w:t xml:space="preserve">utility’s </w:t>
      </w:r>
      <w:r w:rsidR="00B91D94">
        <w:t xml:space="preserve">respective </w:t>
      </w:r>
      <w:r>
        <w:t xml:space="preserve">conservation </w:t>
      </w:r>
      <w:r w:rsidRPr="00684176">
        <w:t xml:space="preserve">docket </w:t>
      </w:r>
      <w:r w:rsidR="0064328C">
        <w:t xml:space="preserve">authorized </w:t>
      </w:r>
      <w:r w:rsidR="00D1124C">
        <w:t>it</w:t>
      </w:r>
      <w:r w:rsidR="0064328C">
        <w:t xml:space="preserve"> to spend up to 10 percent of its conservation program budget on educational and pilot programs “whose savings impact has not yet been measured.”</w:t>
      </w:r>
      <w:r w:rsidR="006D6E84">
        <w:rPr>
          <w:rStyle w:val="FootnoteReference"/>
        </w:rPr>
        <w:footnoteReference w:id="28"/>
      </w:r>
      <w:r w:rsidR="0064328C">
        <w:t xml:space="preserve"> </w:t>
      </w:r>
      <w:r w:rsidR="00D80395">
        <w:t xml:space="preserve">The language in the new rules is stronger, requiring that utilities “must implement pilot projects when appropriate and expected to produce cost-effective savings within the current or immediately </w:t>
      </w:r>
      <w:r w:rsidR="005A16BD">
        <w:t>subsequent</w:t>
      </w:r>
      <w:r w:rsidR="00D80395">
        <w:t xml:space="preserve"> biennium.”</w:t>
      </w:r>
      <w:r w:rsidR="00A24955">
        <w:rPr>
          <w:rStyle w:val="FootnoteReference"/>
        </w:rPr>
        <w:footnoteReference w:id="29"/>
      </w:r>
    </w:p>
    <w:p w14:paraId="0028F6A7" w14:textId="5F4F2FF7" w:rsidR="00D80395" w:rsidRDefault="00D80395" w:rsidP="0064328C">
      <w:r>
        <w:t xml:space="preserve">In the 2014-2015 </w:t>
      </w:r>
      <w:r w:rsidR="005A16BD">
        <w:t>biennium</w:t>
      </w:r>
      <w:r>
        <w:t xml:space="preserve">, none of the </w:t>
      </w:r>
      <w:r w:rsidR="005A16BD">
        <w:t>utilities</w:t>
      </w:r>
      <w:r>
        <w:t xml:space="preserve"> had </w:t>
      </w:r>
      <w:r w:rsidR="004B395D">
        <w:t>notable</w:t>
      </w:r>
      <w:r>
        <w:t xml:space="preserve"> pilot programs.</w:t>
      </w:r>
      <w:r w:rsidR="008E4356">
        <w:t xml:space="preserve"> Staff is disappointed in the percent of the conservation bud</w:t>
      </w:r>
      <w:r w:rsidR="004B395D">
        <w:t>get</w:t>
      </w:r>
      <w:r w:rsidR="00194999">
        <w:t xml:space="preserve"> reported as</w:t>
      </w:r>
      <w:r w:rsidR="004B395D">
        <w:t xml:space="preserve"> allocated to pilot programs in this biennium, </w:t>
      </w:r>
      <w:r w:rsidR="00941654">
        <w:t xml:space="preserve">with no utility reaching </w:t>
      </w:r>
      <w:r w:rsidR="00D1124C">
        <w:t xml:space="preserve">even </w:t>
      </w:r>
      <w:r w:rsidR="00941654">
        <w:t>one p</w:t>
      </w:r>
      <w:r w:rsidR="004B395D">
        <w:t>ercent.</w:t>
      </w:r>
      <w:r w:rsidR="00D755AD">
        <w:t xml:space="preserve"> In addition, a significant portion of this limited budget went toward programs that were expansions of existing programs and, as such,</w:t>
      </w:r>
      <w:r w:rsidR="00194999">
        <w:t xml:space="preserve"> were</w:t>
      </w:r>
      <w:r w:rsidR="00D755AD">
        <w:t xml:space="preserve"> only tenuously </w:t>
      </w:r>
      <w:r w:rsidR="00B91D94">
        <w:t xml:space="preserve">categorized as </w:t>
      </w:r>
      <w:r w:rsidR="00D755AD">
        <w:t>pilot programs.</w:t>
      </w:r>
    </w:p>
    <w:p w14:paraId="470E8096" w14:textId="534711B5" w:rsidR="00B22AC2" w:rsidRDefault="003B22E3" w:rsidP="005A755D">
      <w:pPr>
        <w:spacing w:before="0" w:after="0"/>
      </w:pPr>
      <w:r w:rsidRPr="003B22E3">
        <w:t xml:space="preserve">Staff </w:t>
      </w:r>
      <w:r w:rsidR="00D80395">
        <w:t>expects</w:t>
      </w:r>
      <w:r w:rsidRPr="003B22E3">
        <w:t xml:space="preserve"> to see </w:t>
      </w:r>
      <w:r w:rsidR="00D80395">
        <w:t xml:space="preserve">the </w:t>
      </w:r>
      <w:r w:rsidR="005A16BD">
        <w:t>utilities</w:t>
      </w:r>
      <w:r w:rsidR="003509FB">
        <w:t>, in cooperation with their</w:t>
      </w:r>
      <w:r w:rsidR="00B91D94">
        <w:t xml:space="preserve"> advisory groups,</w:t>
      </w:r>
      <w:r w:rsidRPr="003B22E3">
        <w:t xml:space="preserve"> </w:t>
      </w:r>
      <w:r w:rsidR="00D1124C">
        <w:t xml:space="preserve">meaningfully </w:t>
      </w:r>
      <w:r w:rsidRPr="003B22E3">
        <w:t xml:space="preserve">expand </w:t>
      </w:r>
      <w:r w:rsidR="005A16BD">
        <w:t>their</w:t>
      </w:r>
      <w:r w:rsidRPr="003B22E3">
        <w:t xml:space="preserve"> pilot offerings </w:t>
      </w:r>
      <w:r w:rsidR="00D755AD">
        <w:t xml:space="preserve">during the 2016-2017 biennium. </w:t>
      </w:r>
    </w:p>
    <w:p w14:paraId="30044036" w14:textId="77777777" w:rsidR="003B22E3" w:rsidRDefault="003B22E3" w:rsidP="005A755D">
      <w:pPr>
        <w:spacing w:before="0" w:after="0"/>
      </w:pPr>
    </w:p>
    <w:p w14:paraId="3D0EBB6F" w14:textId="793953A2" w:rsidR="006512B9" w:rsidRDefault="00131E86" w:rsidP="006512B9">
      <w:pPr>
        <w:pStyle w:val="Heading2"/>
      </w:pPr>
      <w:bookmarkStart w:id="33" w:name="_Toc456682607"/>
      <w:bookmarkStart w:id="34" w:name="_Toc456689292"/>
      <w:bookmarkStart w:id="35" w:name="_Toc456879740"/>
      <w:r>
        <w:t>Fuel Conversions</w:t>
      </w:r>
      <w:bookmarkEnd w:id="33"/>
      <w:bookmarkEnd w:id="34"/>
      <w:bookmarkEnd w:id="35"/>
    </w:p>
    <w:p w14:paraId="27F80873" w14:textId="14F23311" w:rsidR="006512B9" w:rsidRDefault="00131E86" w:rsidP="00211E70">
      <w:r w:rsidRPr="00F91EA6">
        <w:t>P</w:t>
      </w:r>
      <w:r>
        <w:t>SE</w:t>
      </w:r>
      <w:r w:rsidRPr="00F91EA6">
        <w:t xml:space="preserve"> </w:t>
      </w:r>
      <w:r>
        <w:t>included electric to natural gas water heater and furnace savings in both its BCP target and as part of its savings claimed in its BC</w:t>
      </w:r>
      <w:r w:rsidRPr="006512B9">
        <w:t xml:space="preserve">R. </w:t>
      </w:r>
      <w:r w:rsidR="006512B9">
        <w:t xml:space="preserve">PSE only provides incentives </w:t>
      </w:r>
      <w:r w:rsidR="005D3A92">
        <w:t>when</w:t>
      </w:r>
      <w:r w:rsidR="006512B9">
        <w:t xml:space="preserve"> a customer converts to high-efficiency appliances. </w:t>
      </w:r>
    </w:p>
    <w:p w14:paraId="5008C3C0" w14:textId="3E8C666D" w:rsidR="006512B9" w:rsidRDefault="006512B9" w:rsidP="00211E70">
      <w:r>
        <w:t>Avista provides incentives when a customer converts to standard</w:t>
      </w:r>
      <w:r w:rsidR="00A41195">
        <w:t xml:space="preserve"> or high</w:t>
      </w:r>
      <w:r>
        <w:t xml:space="preserve"> efficiency natural gas appliances </w:t>
      </w:r>
      <w:r w:rsidR="00A41195">
        <w:t xml:space="preserve">and thus </w:t>
      </w:r>
      <w:r>
        <w:t>excludes fuel conversions from both its BCP and BCR. The method of calculating these savings has been approved by each utility’s respective advisory groups.</w:t>
      </w:r>
    </w:p>
    <w:p w14:paraId="4719D5E0" w14:textId="2B423DF6" w:rsidR="006512B9" w:rsidRDefault="006512B9" w:rsidP="00211E70">
      <w:pPr>
        <w:rPr>
          <w:highlight w:val="yellow"/>
        </w:rPr>
      </w:pPr>
      <w:r>
        <w:t xml:space="preserve">Staff does not have any recommendations regarding fuel conversions at this time but simply wishes to </w:t>
      </w:r>
      <w:r w:rsidR="00A41195">
        <w:t xml:space="preserve">call attention to </w:t>
      </w:r>
      <w:r>
        <w:t>the varying ways the utilities are handling fuel conversions</w:t>
      </w:r>
      <w:r w:rsidR="00A32286">
        <w:t>.</w:t>
      </w:r>
    </w:p>
    <w:p w14:paraId="7C40F1A8" w14:textId="68B93DFF" w:rsidR="00EF7490" w:rsidRDefault="001B05EF" w:rsidP="00211E70">
      <w:pPr>
        <w:pStyle w:val="Heading1"/>
        <w:rPr>
          <w:b w:val="0"/>
        </w:rPr>
      </w:pPr>
      <w:bookmarkStart w:id="36" w:name="_Toc455489980"/>
      <w:bookmarkStart w:id="37" w:name="_Toc456682603"/>
      <w:bookmarkStart w:id="38" w:name="_Toc456689288"/>
      <w:bookmarkStart w:id="39" w:name="_Toc456879741"/>
      <w:r w:rsidRPr="001B05EF">
        <w:rPr>
          <w:b w:val="0"/>
        </w:rPr>
        <w:t>Company R</w:t>
      </w:r>
      <w:r w:rsidR="00EF7490" w:rsidRPr="001B05EF">
        <w:rPr>
          <w:b w:val="0"/>
        </w:rPr>
        <w:t>eports</w:t>
      </w:r>
      <w:bookmarkEnd w:id="36"/>
      <w:r w:rsidR="00A70AC1">
        <w:rPr>
          <w:b w:val="0"/>
        </w:rPr>
        <w:t xml:space="preserve"> and Achievements</w:t>
      </w:r>
      <w:bookmarkEnd w:id="37"/>
      <w:bookmarkEnd w:id="38"/>
      <w:bookmarkEnd w:id="39"/>
    </w:p>
    <w:p w14:paraId="4FA03D82" w14:textId="77777777" w:rsidR="000801E1" w:rsidRDefault="000801E1" w:rsidP="00F536C9">
      <w:pPr>
        <w:spacing w:before="0" w:after="0"/>
      </w:pPr>
    </w:p>
    <w:p w14:paraId="1E5C34D6" w14:textId="5D36B37C" w:rsidR="00F536C9" w:rsidRDefault="001C39B6" w:rsidP="009921A0">
      <w:pPr>
        <w:pStyle w:val="Heading2"/>
        <w:rPr>
          <w:i/>
        </w:rPr>
      </w:pPr>
      <w:bookmarkStart w:id="40" w:name="_Toc455489981"/>
      <w:bookmarkStart w:id="41" w:name="_Toc456682604"/>
      <w:bookmarkStart w:id="42" w:name="_Toc456689289"/>
      <w:bookmarkStart w:id="43" w:name="_Toc456879742"/>
      <w:r>
        <w:rPr>
          <w:i/>
        </w:rPr>
        <w:t>Puget Sound Energy (Docket UE-1</w:t>
      </w:r>
      <w:r w:rsidR="008C0BC8">
        <w:rPr>
          <w:i/>
        </w:rPr>
        <w:t>32043</w:t>
      </w:r>
      <w:r>
        <w:rPr>
          <w:i/>
        </w:rPr>
        <w:t>)</w:t>
      </w:r>
      <w:bookmarkEnd w:id="40"/>
      <w:bookmarkEnd w:id="41"/>
      <w:bookmarkEnd w:id="42"/>
      <w:bookmarkEnd w:id="43"/>
    </w:p>
    <w:p w14:paraId="5263A5B2" w14:textId="77777777" w:rsidR="00F536C9" w:rsidRDefault="00F536C9" w:rsidP="00F536C9">
      <w:pPr>
        <w:spacing w:before="0" w:after="0"/>
        <w:rPr>
          <w:i/>
        </w:rPr>
      </w:pPr>
    </w:p>
    <w:p w14:paraId="252D06A6" w14:textId="0E9978FA" w:rsidR="0096541B" w:rsidRDefault="0096541B" w:rsidP="001B6346">
      <w:pPr>
        <w:pStyle w:val="Heading3"/>
      </w:pPr>
      <w:bookmarkStart w:id="44" w:name="_Toc456682605"/>
      <w:bookmarkStart w:id="45" w:name="_Toc456689290"/>
      <w:bookmarkStart w:id="46" w:name="_Toc456879743"/>
      <w:r w:rsidRPr="0096541B">
        <w:t>Conservation Target</w:t>
      </w:r>
      <w:r w:rsidR="00166163">
        <w:t xml:space="preserve"> and</w:t>
      </w:r>
      <w:r w:rsidRPr="0096541B">
        <w:t xml:space="preserve"> Achievement</w:t>
      </w:r>
      <w:bookmarkEnd w:id="44"/>
      <w:bookmarkEnd w:id="45"/>
      <w:bookmarkEnd w:id="46"/>
    </w:p>
    <w:p w14:paraId="50C0C9DF" w14:textId="03ACA253" w:rsidR="00EA1094" w:rsidRPr="00D71A37" w:rsidRDefault="00EA1094" w:rsidP="00211E70">
      <w:r w:rsidRPr="002556D8">
        <w:t xml:space="preserve">In Order 01 of </w:t>
      </w:r>
      <w:r w:rsidR="009311F6">
        <w:t>UE-132043</w:t>
      </w:r>
      <w:r w:rsidRPr="002556D8">
        <w:t xml:space="preserve">, the Commission approved a 2014-2015 biennial conservation target </w:t>
      </w:r>
      <w:r w:rsidRPr="005959A4">
        <w:t xml:space="preserve">of </w:t>
      </w:r>
      <w:r>
        <w:t>485,770</w:t>
      </w:r>
      <w:r w:rsidRPr="005959A4">
        <w:t xml:space="preserve"> megawatt-hours (MWh) for </w:t>
      </w:r>
      <w:r>
        <w:t>PSE</w:t>
      </w:r>
      <w:r w:rsidR="00FF7C4F">
        <w:t>. The C</w:t>
      </w:r>
      <w:r w:rsidRPr="005959A4">
        <w:t xml:space="preserve">ompany reports that it exceeded this target, achieving </w:t>
      </w:r>
      <w:r w:rsidRPr="00DA61CC">
        <w:t>552,596</w:t>
      </w:r>
      <w:r>
        <w:t xml:space="preserve"> </w:t>
      </w:r>
      <w:r w:rsidRPr="005959A4">
        <w:t xml:space="preserve">MWh. </w:t>
      </w:r>
      <w:r w:rsidR="00FF7C4F">
        <w:t>The C</w:t>
      </w:r>
      <w:r w:rsidRPr="00D71A37">
        <w:t>ompany spent about $</w:t>
      </w:r>
      <w:r>
        <w:t>190</w:t>
      </w:r>
      <w:r w:rsidRPr="00D71A37">
        <w:t xml:space="preserve"> million, which is </w:t>
      </w:r>
      <w:r>
        <w:t>less than two percent</w:t>
      </w:r>
      <w:r w:rsidRPr="00D71A37">
        <w:t xml:space="preserve"> more than the $</w:t>
      </w:r>
      <w:r>
        <w:t xml:space="preserve">188 </w:t>
      </w:r>
      <w:r w:rsidRPr="00D71A37">
        <w:t xml:space="preserve">million budget the Commission approved. </w:t>
      </w:r>
      <w:r>
        <w:t xml:space="preserve">When </w:t>
      </w:r>
      <w:r w:rsidR="00FF7C4F">
        <w:t>including NEEA and pilot</w:t>
      </w:r>
      <w:r w:rsidR="004C03A9">
        <w:t xml:space="preserve"> program</w:t>
      </w:r>
      <w:r w:rsidR="00FF7C4F">
        <w:t>s, the C</w:t>
      </w:r>
      <w:r>
        <w:t xml:space="preserve">ompany’s total conservation achievement increases </w:t>
      </w:r>
      <w:r w:rsidR="00891108">
        <w:t>to</w:t>
      </w:r>
      <w:r>
        <w:t xml:space="preserve"> 663,123 MWh. </w:t>
      </w:r>
      <w:r w:rsidRPr="00B2377B">
        <w:t>The total portfolio cost-</w:t>
      </w:r>
      <w:r w:rsidR="005A16BD" w:rsidRPr="00B2377B">
        <w:t>effectiveness</w:t>
      </w:r>
      <w:r w:rsidR="002A0918">
        <w:t xml:space="preserve"> is 1.6</w:t>
      </w:r>
      <w:r w:rsidRPr="00B2377B">
        <w:t>.</w:t>
      </w:r>
      <w:r w:rsidR="001A6228">
        <w:rPr>
          <w:rStyle w:val="FootnoteReference"/>
        </w:rPr>
        <w:footnoteReference w:id="30"/>
      </w:r>
      <w:r w:rsidRPr="00B2377B">
        <w:t xml:space="preserve"> </w:t>
      </w:r>
      <w:r w:rsidRPr="00D71A37">
        <w:t>A summary of P</w:t>
      </w:r>
      <w:r w:rsidR="002A0918">
        <w:t>SE’</w:t>
      </w:r>
      <w:r w:rsidRPr="00D71A37">
        <w:t xml:space="preserve">s reported savings and expenses </w:t>
      </w:r>
      <w:r w:rsidR="000721AD">
        <w:t>follows</w:t>
      </w:r>
      <w:r w:rsidRPr="00D71A37">
        <w:t>:</w:t>
      </w:r>
    </w:p>
    <w:p w14:paraId="59C1216A" w14:textId="77777777" w:rsidR="00166163" w:rsidRPr="00166163" w:rsidRDefault="00166163" w:rsidP="00166163"/>
    <w:p w14:paraId="15FD7E9E" w14:textId="3EF12F91" w:rsidR="008E0F23" w:rsidRPr="00A37817" w:rsidRDefault="00A37817" w:rsidP="00A37817">
      <w:pPr>
        <w:pStyle w:val="Caption"/>
        <w:keepNext/>
        <w:rPr>
          <w:b/>
          <w:i w:val="0"/>
          <w:color w:val="auto"/>
          <w:sz w:val="24"/>
          <w:szCs w:val="24"/>
        </w:rPr>
      </w:pPr>
      <w:bookmarkStart w:id="47" w:name="_Toc456682589"/>
      <w:bookmarkStart w:id="48" w:name="_Toc456689274"/>
      <w:bookmarkStart w:id="49" w:name="_Toc456867228"/>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3</w:t>
      </w:r>
      <w:r w:rsidRPr="00A37817">
        <w:rPr>
          <w:b/>
          <w:i w:val="0"/>
          <w:color w:val="auto"/>
          <w:sz w:val="24"/>
          <w:szCs w:val="24"/>
        </w:rPr>
        <w:fldChar w:fldCharType="end"/>
      </w:r>
      <w:r w:rsidRPr="00A37817">
        <w:rPr>
          <w:b/>
          <w:i w:val="0"/>
          <w:color w:val="auto"/>
          <w:sz w:val="24"/>
          <w:szCs w:val="24"/>
        </w:rPr>
        <w:t>: Summary of PSE’s 2014-2015 Conservation Achievements</w:t>
      </w:r>
      <w:r w:rsidR="00E822A6">
        <w:rPr>
          <w:rStyle w:val="FootnoteReference"/>
          <w:b/>
          <w:i w:val="0"/>
          <w:color w:val="auto"/>
          <w:sz w:val="24"/>
          <w:szCs w:val="24"/>
        </w:rPr>
        <w:footnoteReference w:id="31"/>
      </w:r>
      <w:bookmarkEnd w:id="47"/>
      <w:bookmarkEnd w:id="48"/>
      <w:bookmarkEnd w:id="49"/>
      <w:r w:rsidR="00E822A6">
        <w:rPr>
          <w:b/>
          <w:i w:val="0"/>
          <w:color w:val="auto"/>
          <w:sz w:val="24"/>
          <w:szCs w:val="24"/>
        </w:rPr>
        <w:t xml:space="preserve"> </w:t>
      </w:r>
    </w:p>
    <w:tbl>
      <w:tblPr>
        <w:tblStyle w:val="TableGrid"/>
        <w:tblW w:w="0" w:type="auto"/>
        <w:tblLook w:val="04A0" w:firstRow="1" w:lastRow="0" w:firstColumn="1" w:lastColumn="0" w:noHBand="0" w:noVBand="1"/>
      </w:tblPr>
      <w:tblGrid>
        <w:gridCol w:w="2724"/>
        <w:gridCol w:w="1949"/>
        <w:gridCol w:w="2334"/>
        <w:gridCol w:w="2343"/>
      </w:tblGrid>
      <w:tr w:rsidR="008E0F23" w14:paraId="42CC3323" w14:textId="77777777" w:rsidTr="008E0F23">
        <w:trPr>
          <w:trHeight w:val="395"/>
        </w:trPr>
        <w:tc>
          <w:tcPr>
            <w:tcW w:w="2808" w:type="dxa"/>
            <w:vAlign w:val="center"/>
          </w:tcPr>
          <w:p w14:paraId="38EF40B0" w14:textId="77777777" w:rsidR="008E0F23" w:rsidRDefault="008E0F23" w:rsidP="008E0F23"/>
        </w:tc>
        <w:tc>
          <w:tcPr>
            <w:tcW w:w="1980" w:type="dxa"/>
            <w:vAlign w:val="center"/>
          </w:tcPr>
          <w:p w14:paraId="4D91747E" w14:textId="053D4D6F" w:rsidR="008E0F23" w:rsidRPr="00CC6F5C" w:rsidRDefault="00E822A6" w:rsidP="008E0F23">
            <w:pPr>
              <w:rPr>
                <w:b/>
              </w:rPr>
            </w:pPr>
            <w:r w:rsidRPr="00CC6F5C">
              <w:rPr>
                <w:b/>
              </w:rPr>
              <w:t>Target</w:t>
            </w:r>
            <w:r>
              <w:rPr>
                <w:rStyle w:val="FootnoteReference"/>
                <w:b/>
              </w:rPr>
              <w:footnoteReference w:id="32"/>
            </w:r>
          </w:p>
        </w:tc>
        <w:tc>
          <w:tcPr>
            <w:tcW w:w="2394" w:type="dxa"/>
            <w:vAlign w:val="center"/>
          </w:tcPr>
          <w:p w14:paraId="602EF21E" w14:textId="77777777" w:rsidR="008E0F23" w:rsidRPr="00CC6F5C" w:rsidRDefault="008E0F23" w:rsidP="008E0F23">
            <w:pPr>
              <w:rPr>
                <w:b/>
              </w:rPr>
            </w:pPr>
            <w:r w:rsidRPr="00CC6F5C">
              <w:rPr>
                <w:b/>
              </w:rPr>
              <w:t>Actual</w:t>
            </w:r>
          </w:p>
        </w:tc>
        <w:tc>
          <w:tcPr>
            <w:tcW w:w="2394" w:type="dxa"/>
            <w:vAlign w:val="center"/>
          </w:tcPr>
          <w:p w14:paraId="040B5BC4" w14:textId="040B5762" w:rsidR="008E0F23" w:rsidRPr="00CC6F5C" w:rsidRDefault="00160302" w:rsidP="008E0F23">
            <w:pPr>
              <w:rPr>
                <w:b/>
              </w:rPr>
            </w:pPr>
            <w:r>
              <w:rPr>
                <w:b/>
              </w:rPr>
              <w:t>Actual/Target Percentage</w:t>
            </w:r>
          </w:p>
        </w:tc>
      </w:tr>
      <w:tr w:rsidR="008E0F23" w14:paraId="1469D04B" w14:textId="77777777" w:rsidTr="008E0F23">
        <w:trPr>
          <w:trHeight w:val="440"/>
        </w:trPr>
        <w:tc>
          <w:tcPr>
            <w:tcW w:w="2808" w:type="dxa"/>
            <w:vAlign w:val="center"/>
          </w:tcPr>
          <w:p w14:paraId="2ED2A3C0" w14:textId="77777777" w:rsidR="008E0F23" w:rsidRPr="00CC6F5C" w:rsidRDefault="008E0F23" w:rsidP="008E0F23">
            <w:pPr>
              <w:rPr>
                <w:b/>
              </w:rPr>
            </w:pPr>
            <w:r w:rsidRPr="00CC6F5C">
              <w:rPr>
                <w:b/>
              </w:rPr>
              <w:t>Savings (MWh)</w:t>
            </w:r>
          </w:p>
        </w:tc>
        <w:tc>
          <w:tcPr>
            <w:tcW w:w="1980" w:type="dxa"/>
            <w:vAlign w:val="center"/>
          </w:tcPr>
          <w:p w14:paraId="61E0D504" w14:textId="438B7EE1" w:rsidR="008E0F23" w:rsidRPr="003C1278" w:rsidRDefault="00A97373" w:rsidP="008E0F23">
            <w:pPr>
              <w:jc w:val="center"/>
            </w:pPr>
            <w:r w:rsidRPr="003C1278">
              <w:t>485,770</w:t>
            </w:r>
            <w:r w:rsidR="003C1278">
              <w:t xml:space="preserve"> MWh</w:t>
            </w:r>
          </w:p>
        </w:tc>
        <w:tc>
          <w:tcPr>
            <w:tcW w:w="2394" w:type="dxa"/>
            <w:vAlign w:val="center"/>
          </w:tcPr>
          <w:p w14:paraId="0958D33F" w14:textId="06A68F21" w:rsidR="008E0F23" w:rsidRPr="003C1278" w:rsidRDefault="00A97373" w:rsidP="008E0F23">
            <w:pPr>
              <w:jc w:val="center"/>
            </w:pPr>
            <w:r w:rsidRPr="003C1278">
              <w:t>552,596</w:t>
            </w:r>
            <w:r w:rsidR="003C1278">
              <w:t xml:space="preserve"> MWh</w:t>
            </w:r>
          </w:p>
        </w:tc>
        <w:tc>
          <w:tcPr>
            <w:tcW w:w="2394" w:type="dxa"/>
            <w:vMerge w:val="restart"/>
            <w:vAlign w:val="center"/>
          </w:tcPr>
          <w:p w14:paraId="2FACD4BB" w14:textId="3ECD9086" w:rsidR="008E0F23" w:rsidRPr="003C1278" w:rsidRDefault="00A97373" w:rsidP="008E0F23">
            <w:pPr>
              <w:jc w:val="center"/>
            </w:pPr>
            <w:r w:rsidRPr="003C1278">
              <w:t>114</w:t>
            </w:r>
            <w:r w:rsidR="008E0F23" w:rsidRPr="003C1278">
              <w:t>%</w:t>
            </w:r>
          </w:p>
        </w:tc>
      </w:tr>
      <w:tr w:rsidR="008E0F23" w14:paraId="156147A3" w14:textId="77777777" w:rsidTr="008E0F23">
        <w:trPr>
          <w:trHeight w:val="440"/>
        </w:trPr>
        <w:tc>
          <w:tcPr>
            <w:tcW w:w="2808" w:type="dxa"/>
            <w:vAlign w:val="center"/>
          </w:tcPr>
          <w:p w14:paraId="3A68963A" w14:textId="77777777" w:rsidR="008E0F23" w:rsidRPr="00CC6F5C" w:rsidRDefault="008E0F23" w:rsidP="008E0F23">
            <w:pPr>
              <w:rPr>
                <w:b/>
              </w:rPr>
            </w:pPr>
            <w:r w:rsidRPr="00CC6F5C">
              <w:rPr>
                <w:b/>
              </w:rPr>
              <w:t>Savings (average MW)</w:t>
            </w:r>
          </w:p>
        </w:tc>
        <w:tc>
          <w:tcPr>
            <w:tcW w:w="1980" w:type="dxa"/>
            <w:vAlign w:val="center"/>
          </w:tcPr>
          <w:p w14:paraId="595805C3" w14:textId="58B864F7" w:rsidR="008E0F23" w:rsidRPr="003C1278" w:rsidRDefault="00A97373" w:rsidP="008E0F23">
            <w:pPr>
              <w:jc w:val="center"/>
            </w:pPr>
            <w:r w:rsidRPr="003C1278">
              <w:t>55.5</w:t>
            </w:r>
            <w:r w:rsidR="003C1278">
              <w:t xml:space="preserve"> aMW</w:t>
            </w:r>
          </w:p>
        </w:tc>
        <w:tc>
          <w:tcPr>
            <w:tcW w:w="2394" w:type="dxa"/>
            <w:vAlign w:val="center"/>
          </w:tcPr>
          <w:p w14:paraId="20E1E9C0" w14:textId="350646ED" w:rsidR="008E0F23" w:rsidRPr="003C1278" w:rsidRDefault="00A97373" w:rsidP="008E0F23">
            <w:pPr>
              <w:jc w:val="center"/>
            </w:pPr>
            <w:r w:rsidRPr="003C1278">
              <w:t>63.1</w:t>
            </w:r>
            <w:r w:rsidR="003C1278">
              <w:t xml:space="preserve"> aMW</w:t>
            </w:r>
          </w:p>
        </w:tc>
        <w:tc>
          <w:tcPr>
            <w:tcW w:w="2394" w:type="dxa"/>
            <w:vMerge/>
            <w:vAlign w:val="center"/>
          </w:tcPr>
          <w:p w14:paraId="15D13169" w14:textId="77777777" w:rsidR="008E0F23" w:rsidRPr="003C1278" w:rsidRDefault="008E0F23" w:rsidP="008E0F23">
            <w:pPr>
              <w:jc w:val="center"/>
            </w:pPr>
          </w:p>
        </w:tc>
      </w:tr>
      <w:tr w:rsidR="008E0F23" w14:paraId="36B04374" w14:textId="77777777" w:rsidTr="008E0F23">
        <w:trPr>
          <w:trHeight w:val="440"/>
        </w:trPr>
        <w:tc>
          <w:tcPr>
            <w:tcW w:w="2808" w:type="dxa"/>
            <w:vAlign w:val="center"/>
          </w:tcPr>
          <w:p w14:paraId="5005FE6C" w14:textId="77777777" w:rsidR="008E0F23" w:rsidRPr="00CC6F5C" w:rsidRDefault="008E0F23" w:rsidP="008E0F23">
            <w:pPr>
              <w:rPr>
                <w:b/>
              </w:rPr>
            </w:pPr>
            <w:r w:rsidRPr="00CC6F5C">
              <w:rPr>
                <w:b/>
              </w:rPr>
              <w:t>Expenditures</w:t>
            </w:r>
          </w:p>
        </w:tc>
        <w:tc>
          <w:tcPr>
            <w:tcW w:w="1980" w:type="dxa"/>
            <w:vAlign w:val="center"/>
          </w:tcPr>
          <w:p w14:paraId="10FE56A5" w14:textId="5834AF56" w:rsidR="008E0F23" w:rsidRPr="003C1278" w:rsidRDefault="008E0F23" w:rsidP="008E0F23">
            <w:pPr>
              <w:jc w:val="center"/>
            </w:pPr>
            <w:r w:rsidRPr="003C1278">
              <w:t>$</w:t>
            </w:r>
            <w:r w:rsidR="00A97373" w:rsidRPr="003C1278">
              <w:t>187,646,000</w:t>
            </w:r>
          </w:p>
        </w:tc>
        <w:tc>
          <w:tcPr>
            <w:tcW w:w="2394" w:type="dxa"/>
            <w:vAlign w:val="center"/>
          </w:tcPr>
          <w:p w14:paraId="084EB084" w14:textId="7F58381F" w:rsidR="008E0F23" w:rsidRPr="003C1278" w:rsidRDefault="008E0F23" w:rsidP="008E0F23">
            <w:pPr>
              <w:jc w:val="center"/>
            </w:pPr>
            <w:r w:rsidRPr="003C1278">
              <w:t>$</w:t>
            </w:r>
            <w:r w:rsidR="00A97373" w:rsidRPr="003C1278">
              <w:t>190,098,000</w:t>
            </w:r>
          </w:p>
        </w:tc>
        <w:tc>
          <w:tcPr>
            <w:tcW w:w="2394" w:type="dxa"/>
            <w:vAlign w:val="center"/>
          </w:tcPr>
          <w:p w14:paraId="4DD670C0" w14:textId="72A1E6FF" w:rsidR="008E0F23" w:rsidRPr="003C1278" w:rsidRDefault="00A97373" w:rsidP="008E0F23">
            <w:pPr>
              <w:jc w:val="center"/>
            </w:pPr>
            <w:r w:rsidRPr="003C1278">
              <w:t>101</w:t>
            </w:r>
            <w:r w:rsidR="008E0F23" w:rsidRPr="003C1278">
              <w:t>%</w:t>
            </w:r>
          </w:p>
        </w:tc>
      </w:tr>
    </w:tbl>
    <w:p w14:paraId="40DDF6D7" w14:textId="77777777" w:rsidR="00A37817" w:rsidRDefault="00A37817" w:rsidP="00A37817">
      <w:pPr>
        <w:pStyle w:val="Caption"/>
        <w:rPr>
          <w:b/>
          <w:i w:val="0"/>
          <w:color w:val="auto"/>
          <w:sz w:val="24"/>
          <w:szCs w:val="24"/>
        </w:rPr>
      </w:pPr>
    </w:p>
    <w:p w14:paraId="13BCC3B5" w14:textId="5408766B" w:rsidR="00325DBC" w:rsidRPr="00325DBC" w:rsidRDefault="009311F6" w:rsidP="00325DBC">
      <w:r>
        <w:t>The following table</w:t>
      </w:r>
      <w:r w:rsidR="000E37A5" w:rsidRPr="00DF06FA">
        <w:t xml:space="preserve"> breaks down PSE’s conservation achievement by program</w:t>
      </w:r>
      <w:r>
        <w:t xml:space="preserve"> or sector, providing a comparison of the cost-effectiveness of the programs within the various sectors</w:t>
      </w:r>
      <w:r w:rsidR="00325DBC" w:rsidRPr="00DF06FA">
        <w:t>.</w:t>
      </w:r>
      <w:r>
        <w:t xml:space="preserve"> Staff is impressed by the low-income conservation cost-effectiveness ratio of 1.1, an outlier among the companies.</w:t>
      </w:r>
    </w:p>
    <w:p w14:paraId="634D5646" w14:textId="77777777" w:rsidR="008D407B" w:rsidRPr="00325DBC" w:rsidRDefault="008D407B" w:rsidP="00947E9B">
      <w:pPr>
        <w:spacing w:before="0" w:after="0"/>
      </w:pPr>
    </w:p>
    <w:p w14:paraId="75D174D3" w14:textId="37081069" w:rsidR="006539A5" w:rsidRPr="00A37817" w:rsidRDefault="00A37817" w:rsidP="00DF06FA">
      <w:pPr>
        <w:pStyle w:val="Caption"/>
        <w:keepNext/>
        <w:rPr>
          <w:b/>
          <w:i w:val="0"/>
          <w:color w:val="auto"/>
          <w:sz w:val="24"/>
          <w:szCs w:val="24"/>
        </w:rPr>
      </w:pPr>
      <w:bookmarkStart w:id="50" w:name="_Toc456682590"/>
      <w:bookmarkStart w:id="51" w:name="_Toc456689275"/>
      <w:bookmarkStart w:id="52" w:name="_Toc456867229"/>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4</w:t>
      </w:r>
      <w:r w:rsidRPr="00A37817">
        <w:rPr>
          <w:b/>
          <w:i w:val="0"/>
          <w:color w:val="auto"/>
          <w:sz w:val="24"/>
          <w:szCs w:val="24"/>
        </w:rPr>
        <w:fldChar w:fldCharType="end"/>
      </w:r>
      <w:r>
        <w:rPr>
          <w:b/>
          <w:i w:val="0"/>
          <w:color w:val="auto"/>
          <w:sz w:val="24"/>
          <w:szCs w:val="24"/>
        </w:rPr>
        <w:t>:</w:t>
      </w:r>
      <w:r w:rsidRPr="00A37817">
        <w:rPr>
          <w:b/>
          <w:i w:val="0"/>
          <w:color w:val="auto"/>
          <w:sz w:val="24"/>
          <w:szCs w:val="24"/>
        </w:rPr>
        <w:t xml:space="preserve"> PSE’s 2014-2015 Conservation Achievements</w:t>
      </w:r>
      <w:r>
        <w:rPr>
          <w:b/>
          <w:i w:val="0"/>
          <w:color w:val="auto"/>
          <w:sz w:val="24"/>
          <w:szCs w:val="24"/>
        </w:rPr>
        <w:t xml:space="preserve"> by Program</w:t>
      </w:r>
      <w:bookmarkEnd w:id="50"/>
      <w:bookmarkEnd w:id="51"/>
      <w:bookmarkEnd w:id="52"/>
    </w:p>
    <w:tbl>
      <w:tblPr>
        <w:tblStyle w:val="TableGrid"/>
        <w:tblW w:w="0" w:type="auto"/>
        <w:tblLook w:val="04A0" w:firstRow="1" w:lastRow="0" w:firstColumn="1" w:lastColumn="0" w:noHBand="0" w:noVBand="1"/>
      </w:tblPr>
      <w:tblGrid>
        <w:gridCol w:w="1727"/>
        <w:gridCol w:w="1565"/>
        <w:gridCol w:w="1270"/>
        <w:gridCol w:w="1483"/>
        <w:gridCol w:w="1842"/>
        <w:gridCol w:w="1463"/>
      </w:tblGrid>
      <w:tr w:rsidR="006539A5" w14:paraId="6C83A99A" w14:textId="77777777" w:rsidTr="009B287E">
        <w:tc>
          <w:tcPr>
            <w:tcW w:w="1727" w:type="dxa"/>
          </w:tcPr>
          <w:p w14:paraId="4E1F62A8" w14:textId="77777777" w:rsidR="006539A5" w:rsidRDefault="006539A5" w:rsidP="007E45CB">
            <w:r>
              <w:t>Program</w:t>
            </w:r>
          </w:p>
        </w:tc>
        <w:tc>
          <w:tcPr>
            <w:tcW w:w="1565" w:type="dxa"/>
          </w:tcPr>
          <w:p w14:paraId="2518B660" w14:textId="2617DD58" w:rsidR="006539A5" w:rsidRDefault="00E34D3F" w:rsidP="00696002">
            <w:pPr>
              <w:jc w:val="right"/>
            </w:pPr>
            <w:r w:rsidRPr="00E34D3F">
              <w:t>Anticipated Savings (MWh)</w:t>
            </w:r>
          </w:p>
        </w:tc>
        <w:tc>
          <w:tcPr>
            <w:tcW w:w="1270" w:type="dxa"/>
          </w:tcPr>
          <w:p w14:paraId="40195791" w14:textId="7897180D" w:rsidR="006539A5" w:rsidRDefault="00E34D3F" w:rsidP="001515C5">
            <w:pPr>
              <w:jc w:val="right"/>
            </w:pPr>
            <w:r>
              <w:t xml:space="preserve">Actual </w:t>
            </w:r>
            <w:r w:rsidR="006539A5">
              <w:t>Savings (MWh)</w:t>
            </w:r>
          </w:p>
        </w:tc>
        <w:tc>
          <w:tcPr>
            <w:tcW w:w="1483" w:type="dxa"/>
          </w:tcPr>
          <w:p w14:paraId="27413596" w14:textId="77777777" w:rsidR="006539A5" w:rsidRDefault="006539A5">
            <w:pPr>
              <w:jc w:val="right"/>
            </w:pPr>
            <w:r>
              <w:t>Budget</w:t>
            </w:r>
          </w:p>
        </w:tc>
        <w:tc>
          <w:tcPr>
            <w:tcW w:w="1842" w:type="dxa"/>
          </w:tcPr>
          <w:p w14:paraId="0BB18227" w14:textId="77777777" w:rsidR="006539A5" w:rsidRDefault="006539A5">
            <w:pPr>
              <w:jc w:val="right"/>
            </w:pPr>
            <w:r>
              <w:t>Expenditures</w:t>
            </w:r>
          </w:p>
        </w:tc>
        <w:tc>
          <w:tcPr>
            <w:tcW w:w="1463" w:type="dxa"/>
          </w:tcPr>
          <w:p w14:paraId="33DAD0A9" w14:textId="17563AA2" w:rsidR="006539A5" w:rsidRDefault="006539A5">
            <w:pPr>
              <w:jc w:val="center"/>
            </w:pPr>
            <w:r>
              <w:t>TRC</w:t>
            </w:r>
          </w:p>
        </w:tc>
      </w:tr>
      <w:tr w:rsidR="006539A5" w14:paraId="1A73D629" w14:textId="77777777" w:rsidTr="009B287E">
        <w:tc>
          <w:tcPr>
            <w:tcW w:w="1727" w:type="dxa"/>
          </w:tcPr>
          <w:p w14:paraId="120E5A5B" w14:textId="2A542354" w:rsidR="006539A5" w:rsidRDefault="006539A5" w:rsidP="004863D2">
            <w:r>
              <w:t xml:space="preserve">Residential </w:t>
            </w:r>
          </w:p>
        </w:tc>
        <w:tc>
          <w:tcPr>
            <w:tcW w:w="1565" w:type="dxa"/>
          </w:tcPr>
          <w:p w14:paraId="4BAD0DA1" w14:textId="164D0BBD" w:rsidR="006539A5" w:rsidRDefault="00091330" w:rsidP="00696002">
            <w:pPr>
              <w:jc w:val="right"/>
            </w:pPr>
            <w:r>
              <w:t>260,790</w:t>
            </w:r>
          </w:p>
        </w:tc>
        <w:tc>
          <w:tcPr>
            <w:tcW w:w="1270" w:type="dxa"/>
          </w:tcPr>
          <w:p w14:paraId="48F0B8A6" w14:textId="2765EDCE" w:rsidR="006539A5" w:rsidRPr="001A29E8" w:rsidRDefault="006539A5" w:rsidP="001515C5">
            <w:pPr>
              <w:jc w:val="right"/>
              <w:rPr>
                <w:color w:val="000000"/>
              </w:rPr>
            </w:pPr>
            <w:r w:rsidRPr="001A29E8">
              <w:rPr>
                <w:color w:val="000000"/>
              </w:rPr>
              <w:t>282,555</w:t>
            </w:r>
            <w:r w:rsidR="00091330" w:rsidRPr="001A29E8">
              <w:rPr>
                <w:color w:val="000000"/>
              </w:rPr>
              <w:t xml:space="preserve"> </w:t>
            </w:r>
          </w:p>
          <w:p w14:paraId="55E88601" w14:textId="77777777" w:rsidR="006539A5" w:rsidRDefault="006539A5">
            <w:pPr>
              <w:jc w:val="right"/>
            </w:pPr>
          </w:p>
        </w:tc>
        <w:tc>
          <w:tcPr>
            <w:tcW w:w="1483" w:type="dxa"/>
          </w:tcPr>
          <w:p w14:paraId="5469BC10" w14:textId="77777777" w:rsidR="006539A5" w:rsidRDefault="006539A5">
            <w:pPr>
              <w:jc w:val="right"/>
            </w:pPr>
            <w:r>
              <w:t>$85,520,500</w:t>
            </w:r>
          </w:p>
        </w:tc>
        <w:tc>
          <w:tcPr>
            <w:tcW w:w="1842" w:type="dxa"/>
          </w:tcPr>
          <w:p w14:paraId="77609AA2" w14:textId="77777777" w:rsidR="006539A5" w:rsidRPr="00A97373" w:rsidRDefault="006539A5">
            <w:pPr>
              <w:jc w:val="right"/>
              <w:rPr>
                <w:color w:val="000000"/>
              </w:rPr>
            </w:pPr>
            <w:r w:rsidRPr="00A97373">
              <w:rPr>
                <w:color w:val="000000"/>
              </w:rPr>
              <w:t>$93,558,362</w:t>
            </w:r>
          </w:p>
          <w:p w14:paraId="50193D79" w14:textId="77777777" w:rsidR="006539A5" w:rsidRDefault="006539A5">
            <w:pPr>
              <w:jc w:val="right"/>
            </w:pPr>
          </w:p>
        </w:tc>
        <w:tc>
          <w:tcPr>
            <w:tcW w:w="1463" w:type="dxa"/>
          </w:tcPr>
          <w:p w14:paraId="73583846" w14:textId="79826E15" w:rsidR="006539A5" w:rsidRDefault="004863D2">
            <w:pPr>
              <w:jc w:val="center"/>
            </w:pPr>
            <w:r>
              <w:t>1.6</w:t>
            </w:r>
            <w:r>
              <w:rPr>
                <w:rStyle w:val="FootnoteReference"/>
              </w:rPr>
              <w:footnoteReference w:id="33"/>
            </w:r>
          </w:p>
        </w:tc>
      </w:tr>
      <w:tr w:rsidR="006539A5" w14:paraId="0AF4EC78" w14:textId="77777777" w:rsidTr="009B287E">
        <w:tc>
          <w:tcPr>
            <w:tcW w:w="1727" w:type="dxa"/>
          </w:tcPr>
          <w:p w14:paraId="68EB98C4" w14:textId="54288EF2" w:rsidR="006539A5" w:rsidRDefault="006539A5" w:rsidP="007E45CB">
            <w:r>
              <w:t>Commercial</w:t>
            </w:r>
            <w:r w:rsidR="00091330">
              <w:t xml:space="preserve"> and Industrial</w:t>
            </w:r>
          </w:p>
        </w:tc>
        <w:tc>
          <w:tcPr>
            <w:tcW w:w="1565" w:type="dxa"/>
          </w:tcPr>
          <w:p w14:paraId="3150880C" w14:textId="755399D1" w:rsidR="006539A5" w:rsidRDefault="00091330" w:rsidP="00696002">
            <w:pPr>
              <w:jc w:val="right"/>
            </w:pPr>
            <w:r>
              <w:t xml:space="preserve">243,130 </w:t>
            </w:r>
          </w:p>
        </w:tc>
        <w:tc>
          <w:tcPr>
            <w:tcW w:w="1270" w:type="dxa"/>
          </w:tcPr>
          <w:p w14:paraId="797FFCF6" w14:textId="2340D1DA" w:rsidR="006539A5" w:rsidRDefault="006539A5" w:rsidP="001515C5">
            <w:pPr>
              <w:jc w:val="right"/>
            </w:pPr>
            <w:r>
              <w:t>265,039</w:t>
            </w:r>
          </w:p>
        </w:tc>
        <w:tc>
          <w:tcPr>
            <w:tcW w:w="1483" w:type="dxa"/>
          </w:tcPr>
          <w:p w14:paraId="3E1869F2" w14:textId="77777777" w:rsidR="006539A5" w:rsidRDefault="006539A5">
            <w:pPr>
              <w:jc w:val="right"/>
            </w:pPr>
            <w:r>
              <w:t>$68,415,000</w:t>
            </w:r>
          </w:p>
        </w:tc>
        <w:tc>
          <w:tcPr>
            <w:tcW w:w="1842" w:type="dxa"/>
          </w:tcPr>
          <w:p w14:paraId="49A53710" w14:textId="77777777" w:rsidR="006539A5" w:rsidRDefault="006539A5">
            <w:pPr>
              <w:jc w:val="right"/>
            </w:pPr>
            <w:r>
              <w:t>$67,039,006</w:t>
            </w:r>
          </w:p>
        </w:tc>
        <w:tc>
          <w:tcPr>
            <w:tcW w:w="1463" w:type="dxa"/>
          </w:tcPr>
          <w:p w14:paraId="623E4BF5" w14:textId="25C72CC2" w:rsidR="006539A5" w:rsidRDefault="006539A5">
            <w:pPr>
              <w:jc w:val="center"/>
            </w:pPr>
            <w:r>
              <w:t>1.6</w:t>
            </w:r>
          </w:p>
        </w:tc>
      </w:tr>
      <w:tr w:rsidR="006539A5" w14:paraId="70E53478" w14:textId="77777777" w:rsidTr="009B287E">
        <w:tc>
          <w:tcPr>
            <w:tcW w:w="1727" w:type="dxa"/>
          </w:tcPr>
          <w:p w14:paraId="2E7320F6" w14:textId="77777777" w:rsidR="006539A5" w:rsidRDefault="006539A5" w:rsidP="007E45CB">
            <w:r>
              <w:t>Distribution system</w:t>
            </w:r>
          </w:p>
        </w:tc>
        <w:tc>
          <w:tcPr>
            <w:tcW w:w="1565" w:type="dxa"/>
          </w:tcPr>
          <w:p w14:paraId="11C44C45" w14:textId="2EF1C9B5" w:rsidR="006539A5" w:rsidRDefault="00091330" w:rsidP="00696002">
            <w:pPr>
              <w:jc w:val="right"/>
            </w:pPr>
            <w:r>
              <w:t>6,200</w:t>
            </w:r>
          </w:p>
        </w:tc>
        <w:tc>
          <w:tcPr>
            <w:tcW w:w="1270" w:type="dxa"/>
          </w:tcPr>
          <w:p w14:paraId="32AEB0CF" w14:textId="77777777" w:rsidR="006539A5" w:rsidRDefault="006539A5" w:rsidP="001515C5">
            <w:pPr>
              <w:jc w:val="right"/>
            </w:pPr>
            <w:r>
              <w:t>1,495</w:t>
            </w:r>
          </w:p>
        </w:tc>
        <w:tc>
          <w:tcPr>
            <w:tcW w:w="1483" w:type="dxa"/>
          </w:tcPr>
          <w:p w14:paraId="72C1C273" w14:textId="77777777" w:rsidR="006539A5" w:rsidRDefault="006539A5">
            <w:pPr>
              <w:jc w:val="right"/>
            </w:pPr>
            <w:r>
              <w:t>$0</w:t>
            </w:r>
          </w:p>
        </w:tc>
        <w:tc>
          <w:tcPr>
            <w:tcW w:w="1842" w:type="dxa"/>
          </w:tcPr>
          <w:p w14:paraId="0E4D9A09" w14:textId="77777777" w:rsidR="006539A5" w:rsidRDefault="006539A5">
            <w:pPr>
              <w:jc w:val="right"/>
            </w:pPr>
            <w:r>
              <w:t>$0</w:t>
            </w:r>
          </w:p>
        </w:tc>
        <w:tc>
          <w:tcPr>
            <w:tcW w:w="1463" w:type="dxa"/>
          </w:tcPr>
          <w:p w14:paraId="521B003E" w14:textId="6EDAAC53" w:rsidR="006539A5" w:rsidRDefault="00091330">
            <w:pPr>
              <w:jc w:val="center"/>
            </w:pPr>
            <w:r>
              <w:t>-</w:t>
            </w:r>
          </w:p>
        </w:tc>
      </w:tr>
      <w:tr w:rsidR="006539A5" w14:paraId="4139629E" w14:textId="77777777" w:rsidTr="009B287E">
        <w:tc>
          <w:tcPr>
            <w:tcW w:w="1727" w:type="dxa"/>
          </w:tcPr>
          <w:p w14:paraId="79D0AD61" w14:textId="77777777" w:rsidR="006539A5" w:rsidRDefault="006539A5" w:rsidP="007E45CB">
            <w:r>
              <w:t>Low Income</w:t>
            </w:r>
          </w:p>
        </w:tc>
        <w:tc>
          <w:tcPr>
            <w:tcW w:w="1565" w:type="dxa"/>
          </w:tcPr>
          <w:p w14:paraId="559855A0" w14:textId="673FA793" w:rsidR="006539A5" w:rsidRDefault="00091330" w:rsidP="00696002">
            <w:pPr>
              <w:jc w:val="right"/>
            </w:pPr>
            <w:r>
              <w:t>3,140</w:t>
            </w:r>
          </w:p>
        </w:tc>
        <w:tc>
          <w:tcPr>
            <w:tcW w:w="1270" w:type="dxa"/>
          </w:tcPr>
          <w:p w14:paraId="5019D0D6" w14:textId="4D83CBA6" w:rsidR="006539A5" w:rsidRDefault="00091330" w:rsidP="001515C5">
            <w:pPr>
              <w:jc w:val="right"/>
            </w:pPr>
            <w:r>
              <w:t>3,505</w:t>
            </w:r>
          </w:p>
        </w:tc>
        <w:tc>
          <w:tcPr>
            <w:tcW w:w="1483" w:type="dxa"/>
          </w:tcPr>
          <w:p w14:paraId="096D894C" w14:textId="77777777" w:rsidR="006539A5" w:rsidRDefault="006539A5">
            <w:pPr>
              <w:jc w:val="right"/>
            </w:pPr>
            <w:r>
              <w:t>$6,198,000</w:t>
            </w:r>
          </w:p>
        </w:tc>
        <w:tc>
          <w:tcPr>
            <w:tcW w:w="1842" w:type="dxa"/>
          </w:tcPr>
          <w:p w14:paraId="4A38DD22" w14:textId="77777777" w:rsidR="006539A5" w:rsidRDefault="006539A5">
            <w:pPr>
              <w:jc w:val="right"/>
            </w:pPr>
            <w:r>
              <w:t>$6,336,329</w:t>
            </w:r>
          </w:p>
        </w:tc>
        <w:tc>
          <w:tcPr>
            <w:tcW w:w="1463" w:type="dxa"/>
          </w:tcPr>
          <w:p w14:paraId="028847DC" w14:textId="70F1E06B" w:rsidR="006539A5" w:rsidRDefault="006539A5">
            <w:pPr>
              <w:jc w:val="center"/>
            </w:pPr>
            <w:r>
              <w:t>1.1</w:t>
            </w:r>
          </w:p>
        </w:tc>
      </w:tr>
      <w:tr w:rsidR="006539A5" w14:paraId="3F37FA01" w14:textId="77777777" w:rsidTr="009B287E">
        <w:tc>
          <w:tcPr>
            <w:tcW w:w="1727" w:type="dxa"/>
          </w:tcPr>
          <w:p w14:paraId="51891ADF" w14:textId="77777777" w:rsidR="006539A5" w:rsidRDefault="006539A5" w:rsidP="007E45CB">
            <w:r>
              <w:t>Pilots</w:t>
            </w:r>
          </w:p>
        </w:tc>
        <w:tc>
          <w:tcPr>
            <w:tcW w:w="1565" w:type="dxa"/>
          </w:tcPr>
          <w:p w14:paraId="13D8B4D5" w14:textId="5569E2FE" w:rsidR="006539A5" w:rsidRDefault="00091330" w:rsidP="00696002">
            <w:pPr>
              <w:jc w:val="right"/>
            </w:pPr>
            <w:r>
              <w:t>35,330</w:t>
            </w:r>
          </w:p>
        </w:tc>
        <w:tc>
          <w:tcPr>
            <w:tcW w:w="1270" w:type="dxa"/>
          </w:tcPr>
          <w:p w14:paraId="7B9DFE5B" w14:textId="3ACCAB0C" w:rsidR="006539A5" w:rsidRDefault="00091330" w:rsidP="001515C5">
            <w:pPr>
              <w:jc w:val="right"/>
            </w:pPr>
            <w:r>
              <w:t>18,897</w:t>
            </w:r>
          </w:p>
        </w:tc>
        <w:tc>
          <w:tcPr>
            <w:tcW w:w="1483" w:type="dxa"/>
          </w:tcPr>
          <w:p w14:paraId="7733E4FD" w14:textId="77777777" w:rsidR="006539A5" w:rsidRDefault="006539A5">
            <w:pPr>
              <w:jc w:val="right"/>
            </w:pPr>
            <w:r>
              <w:t>$2,870,000</w:t>
            </w:r>
          </w:p>
        </w:tc>
        <w:tc>
          <w:tcPr>
            <w:tcW w:w="1842" w:type="dxa"/>
          </w:tcPr>
          <w:p w14:paraId="1CE4A889" w14:textId="77777777" w:rsidR="006539A5" w:rsidRDefault="006539A5">
            <w:pPr>
              <w:jc w:val="right"/>
            </w:pPr>
            <w:r>
              <w:t>$1,627,149</w:t>
            </w:r>
          </w:p>
        </w:tc>
        <w:tc>
          <w:tcPr>
            <w:tcW w:w="1463" w:type="dxa"/>
          </w:tcPr>
          <w:p w14:paraId="0B225588" w14:textId="0E0A2BD2" w:rsidR="006539A5" w:rsidRDefault="006539A5">
            <w:pPr>
              <w:jc w:val="center"/>
            </w:pPr>
            <w:r>
              <w:t>1.</w:t>
            </w:r>
            <w:r w:rsidR="00A65461">
              <w:t>9</w:t>
            </w:r>
          </w:p>
        </w:tc>
      </w:tr>
      <w:tr w:rsidR="006539A5" w14:paraId="11C63DB8" w14:textId="77777777" w:rsidTr="009B287E">
        <w:tc>
          <w:tcPr>
            <w:tcW w:w="1727" w:type="dxa"/>
          </w:tcPr>
          <w:p w14:paraId="617EC9A9" w14:textId="77777777" w:rsidR="006539A5" w:rsidRDefault="006539A5" w:rsidP="007E45CB">
            <w:r>
              <w:t>NEEA</w:t>
            </w:r>
          </w:p>
        </w:tc>
        <w:tc>
          <w:tcPr>
            <w:tcW w:w="1565" w:type="dxa"/>
          </w:tcPr>
          <w:p w14:paraId="580B354E" w14:textId="7A59B697" w:rsidR="006539A5" w:rsidRDefault="00091330" w:rsidP="00696002">
            <w:pPr>
              <w:jc w:val="right"/>
            </w:pPr>
            <w:r>
              <w:t>72,530</w:t>
            </w:r>
          </w:p>
        </w:tc>
        <w:tc>
          <w:tcPr>
            <w:tcW w:w="1270" w:type="dxa"/>
          </w:tcPr>
          <w:p w14:paraId="4108D42B" w14:textId="767A8181" w:rsidR="006539A5" w:rsidRDefault="00091330" w:rsidP="001515C5">
            <w:pPr>
              <w:jc w:val="right"/>
            </w:pPr>
            <w:r>
              <w:t>91,630</w:t>
            </w:r>
          </w:p>
        </w:tc>
        <w:tc>
          <w:tcPr>
            <w:tcW w:w="1483" w:type="dxa"/>
          </w:tcPr>
          <w:p w14:paraId="0AC03F81" w14:textId="77777777" w:rsidR="006539A5" w:rsidRDefault="006539A5">
            <w:pPr>
              <w:jc w:val="right"/>
            </w:pPr>
            <w:r>
              <w:t>$10,521,000</w:t>
            </w:r>
          </w:p>
        </w:tc>
        <w:tc>
          <w:tcPr>
            <w:tcW w:w="1842" w:type="dxa"/>
          </w:tcPr>
          <w:p w14:paraId="0C50EF17" w14:textId="77777777" w:rsidR="006539A5" w:rsidRDefault="006539A5">
            <w:pPr>
              <w:jc w:val="right"/>
            </w:pPr>
            <w:r>
              <w:t>$7,137,633</w:t>
            </w:r>
          </w:p>
        </w:tc>
        <w:tc>
          <w:tcPr>
            <w:tcW w:w="1463" w:type="dxa"/>
          </w:tcPr>
          <w:p w14:paraId="17F0F3D0" w14:textId="6C8F88F1" w:rsidR="006539A5" w:rsidRDefault="006539A5">
            <w:pPr>
              <w:jc w:val="center"/>
            </w:pPr>
            <w:r>
              <w:t>3.9</w:t>
            </w:r>
          </w:p>
        </w:tc>
      </w:tr>
    </w:tbl>
    <w:p w14:paraId="3EB14BB9" w14:textId="77777777" w:rsidR="00D9676A" w:rsidRDefault="00D9676A" w:rsidP="00D9676A"/>
    <w:p w14:paraId="22F4C7E6" w14:textId="0E4EE972" w:rsidR="0096541B" w:rsidRPr="0096541B" w:rsidRDefault="0096541B" w:rsidP="001B6346">
      <w:pPr>
        <w:pStyle w:val="Heading3"/>
      </w:pPr>
      <w:bookmarkStart w:id="53" w:name="_Toc456682606"/>
      <w:bookmarkStart w:id="54" w:name="_Toc456689291"/>
      <w:bookmarkStart w:id="55" w:name="_Toc456879744"/>
      <w:r w:rsidRPr="0096541B">
        <w:lastRenderedPageBreak/>
        <w:t>Third Party Verification</w:t>
      </w:r>
      <w:bookmarkEnd w:id="53"/>
      <w:bookmarkEnd w:id="54"/>
      <w:bookmarkEnd w:id="55"/>
    </w:p>
    <w:p w14:paraId="3FA2A7BD" w14:textId="005AE248" w:rsidR="00B7105E" w:rsidRDefault="00B7105E" w:rsidP="00211E70">
      <w:pPr>
        <w:rPr>
          <w:color w:val="8064A2" w:themeColor="accent4"/>
          <w:sz w:val="20"/>
          <w:szCs w:val="20"/>
          <w:highlight w:val="yellow"/>
        </w:rPr>
      </w:pPr>
      <w:r w:rsidRPr="00F91EA6">
        <w:t>P</w:t>
      </w:r>
      <w:r>
        <w:t>SE</w:t>
      </w:r>
      <w:r w:rsidRPr="00F91EA6">
        <w:t xml:space="preserve"> contracted with SBW Consul</w:t>
      </w:r>
      <w:r w:rsidR="00FF7C4F">
        <w:t>ting, Inc. (SBW) to review the C</w:t>
      </w:r>
      <w:r w:rsidRPr="00F91EA6">
        <w:t>ompany’s conservation programs and verify its claimed savings</w:t>
      </w:r>
      <w:r w:rsidR="00325DBC">
        <w:t xml:space="preserve"> in the Biennial Electric Conservation Achievement Review</w:t>
      </w:r>
      <w:r w:rsidRPr="00F91EA6">
        <w:t>.</w:t>
      </w:r>
      <w:r w:rsidRPr="00F91EA6">
        <w:rPr>
          <w:sz w:val="20"/>
          <w:szCs w:val="20"/>
        </w:rPr>
        <w:t xml:space="preserve"> </w:t>
      </w:r>
      <w:r>
        <w:t xml:space="preserve">Evergreen Economics, </w:t>
      </w:r>
      <w:r w:rsidR="005A16BD">
        <w:t>Inc.</w:t>
      </w:r>
      <w:r w:rsidRPr="001950CD">
        <w:t xml:space="preserve"> assisted as a subcontractor.</w:t>
      </w:r>
      <w:r w:rsidRPr="001950CD">
        <w:rPr>
          <w:sz w:val="20"/>
          <w:szCs w:val="20"/>
        </w:rPr>
        <w:t xml:space="preserve"> </w:t>
      </w:r>
      <w:r w:rsidRPr="00F91EA6">
        <w:t>Generally, SBW found that P</w:t>
      </w:r>
      <w:r>
        <w:t>SE</w:t>
      </w:r>
      <w:r w:rsidRPr="00F91EA6">
        <w:t xml:space="preserve"> has employed solid practices in tracking and measuring the achievements of its conservation programs.</w:t>
      </w:r>
      <w:r w:rsidRPr="00F91EA6">
        <w:rPr>
          <w:sz w:val="20"/>
          <w:szCs w:val="20"/>
        </w:rPr>
        <w:t xml:space="preserve"> </w:t>
      </w:r>
    </w:p>
    <w:p w14:paraId="3FC18C0C" w14:textId="3E7FD3E9" w:rsidR="00B17B8D" w:rsidRDefault="00B7105E" w:rsidP="00211E70">
      <w:r>
        <w:t>SBW found</w:t>
      </w:r>
      <w:r w:rsidR="003A664D">
        <w:t xml:space="preserve"> that the </w:t>
      </w:r>
      <w:r w:rsidR="009D1ED7">
        <w:t xml:space="preserve">Company </w:t>
      </w:r>
      <w:r w:rsidR="003A664D">
        <w:t>accurately reflected PSE</w:t>
      </w:r>
      <w:r w:rsidR="000E37A5">
        <w:t>-</w:t>
      </w:r>
      <w:r w:rsidR="003A664D">
        <w:t xml:space="preserve">listed savings, </w:t>
      </w:r>
      <w:r w:rsidR="00F84ECC">
        <w:t>selected and used the correct UES values,</w:t>
      </w:r>
      <w:r w:rsidR="003A664D">
        <w:t xml:space="preserve"> </w:t>
      </w:r>
      <w:r w:rsidR="00F84ECC">
        <w:t>and appropriately responded to recommendations</w:t>
      </w:r>
      <w:r w:rsidR="00DB0EE3">
        <w:t xml:space="preserve"> from the previous consultant review</w:t>
      </w:r>
      <w:r w:rsidR="00F84ECC">
        <w:t>.</w:t>
      </w:r>
      <w:r w:rsidR="00791F67">
        <w:t xml:space="preserve"> SBW and the Company</w:t>
      </w:r>
      <w:r w:rsidR="003A664D">
        <w:t xml:space="preserve"> quickly resolved</w:t>
      </w:r>
      <w:r w:rsidR="00791F67">
        <w:t xml:space="preserve"> the few minor issues that were identified.</w:t>
      </w:r>
      <w:r w:rsidR="00791F67">
        <w:rPr>
          <w:rStyle w:val="FootnoteReference"/>
        </w:rPr>
        <w:footnoteReference w:id="34"/>
      </w:r>
      <w:r w:rsidR="00791F67">
        <w:t xml:space="preserve"> </w:t>
      </w:r>
      <w:r w:rsidR="00F84ECC">
        <w:t xml:space="preserve">It is </w:t>
      </w:r>
      <w:r w:rsidR="00A13F7B">
        <w:t xml:space="preserve">Staff’s </w:t>
      </w:r>
      <w:r w:rsidR="00F84ECC">
        <w:t>opinion that both SBW and the Company performed professional</w:t>
      </w:r>
      <w:r w:rsidR="00791F67">
        <w:t xml:space="preserve">ly, </w:t>
      </w:r>
      <w:r w:rsidR="00F84ECC">
        <w:t>and competently worked through issues and problems that developed during the course of the biennium.</w:t>
      </w:r>
      <w:r w:rsidR="003A664D">
        <w:t xml:space="preserve"> </w:t>
      </w:r>
    </w:p>
    <w:p w14:paraId="46602DD1" w14:textId="77777777" w:rsidR="00B17B8D" w:rsidRPr="0096541B" w:rsidRDefault="00B17B8D" w:rsidP="00211E70">
      <w:pPr>
        <w:rPr>
          <w:color w:val="8064A2" w:themeColor="accent4"/>
        </w:rPr>
      </w:pPr>
    </w:p>
    <w:p w14:paraId="44DD98D0" w14:textId="7158DDAA" w:rsidR="0096541B" w:rsidRDefault="0096541B" w:rsidP="001B6346">
      <w:pPr>
        <w:pStyle w:val="Heading3"/>
      </w:pPr>
      <w:bookmarkStart w:id="56" w:name="_Toc456682608"/>
      <w:bookmarkStart w:id="57" w:name="_Toc456689293"/>
      <w:bookmarkStart w:id="58" w:name="_Toc456879745"/>
      <w:r w:rsidRPr="0096541B">
        <w:t>Reporting Requirements</w:t>
      </w:r>
      <w:bookmarkEnd w:id="56"/>
      <w:bookmarkEnd w:id="57"/>
      <w:bookmarkEnd w:id="58"/>
    </w:p>
    <w:p w14:paraId="3D800433" w14:textId="79946ED7" w:rsidR="00D9676A" w:rsidRDefault="00A75717" w:rsidP="00211E70">
      <w:r>
        <w:t xml:space="preserve">Staff has not identified any instances where PSE </w:t>
      </w:r>
      <w:r w:rsidR="00ED141C">
        <w:t>failed to meet</w:t>
      </w:r>
      <w:r>
        <w:t xml:space="preserve"> the reporting requirements laid out in Order 01 of docket UE-132043</w:t>
      </w:r>
      <w:r w:rsidR="0066485C">
        <w:t>, RCW 19.285.070,</w:t>
      </w:r>
      <w:r>
        <w:t xml:space="preserve"> and WAC 480-109-120(4).</w:t>
      </w:r>
      <w:bookmarkStart w:id="59" w:name="_Toc455489982"/>
    </w:p>
    <w:p w14:paraId="3DCC602D" w14:textId="77777777" w:rsidR="00D9676A" w:rsidRPr="00D9676A" w:rsidRDefault="00D9676A" w:rsidP="00D9676A"/>
    <w:p w14:paraId="7A448093" w14:textId="14BE1985" w:rsidR="00914AE7" w:rsidRPr="00CB42DB" w:rsidRDefault="008C0BC8" w:rsidP="00211E70">
      <w:pPr>
        <w:pStyle w:val="Heading2"/>
        <w:rPr>
          <w:i/>
        </w:rPr>
      </w:pPr>
      <w:bookmarkStart w:id="60" w:name="_Toc456682609"/>
      <w:bookmarkStart w:id="61" w:name="_Toc456689294"/>
      <w:bookmarkStart w:id="62" w:name="_Toc456879746"/>
      <w:r>
        <w:rPr>
          <w:i/>
        </w:rPr>
        <w:t>Avista</w:t>
      </w:r>
      <w:r w:rsidR="00D012E3">
        <w:rPr>
          <w:i/>
        </w:rPr>
        <w:t xml:space="preserve"> (Docket UE-</w:t>
      </w:r>
      <w:r w:rsidR="0072555A">
        <w:rPr>
          <w:i/>
        </w:rPr>
        <w:t>1</w:t>
      </w:r>
      <w:r>
        <w:rPr>
          <w:i/>
        </w:rPr>
        <w:t>32045</w:t>
      </w:r>
      <w:r w:rsidR="00D012E3">
        <w:rPr>
          <w:i/>
        </w:rPr>
        <w:t>)</w:t>
      </w:r>
      <w:bookmarkEnd w:id="59"/>
      <w:bookmarkEnd w:id="60"/>
      <w:bookmarkEnd w:id="61"/>
      <w:bookmarkEnd w:id="62"/>
    </w:p>
    <w:p w14:paraId="7CD2999A" w14:textId="77777777" w:rsidR="00211E70" w:rsidRDefault="00211E70" w:rsidP="00211E70">
      <w:pPr>
        <w:spacing w:before="0" w:after="0"/>
        <w:rPr>
          <w:i/>
        </w:rPr>
      </w:pPr>
      <w:bookmarkStart w:id="63" w:name="_Toc456682610"/>
      <w:bookmarkStart w:id="64" w:name="_Toc456689295"/>
    </w:p>
    <w:p w14:paraId="492127B4" w14:textId="3668D95C" w:rsidR="00A37817" w:rsidRDefault="001B6346" w:rsidP="00B17B8D">
      <w:pPr>
        <w:keepNext/>
        <w:keepLines/>
        <w:spacing w:before="40" w:after="0"/>
        <w:outlineLvl w:val="2"/>
        <w:rPr>
          <w:rFonts w:asciiTheme="majorHAnsi" w:eastAsiaTheme="majorEastAsia" w:hAnsiTheme="majorHAnsi" w:cstheme="majorBidi"/>
          <w:color w:val="243F60" w:themeColor="accent1" w:themeShade="7F"/>
        </w:rPr>
      </w:pPr>
      <w:bookmarkStart w:id="65" w:name="_Toc456879747"/>
      <w:r w:rsidRPr="001B6346">
        <w:rPr>
          <w:rFonts w:asciiTheme="majorHAnsi" w:eastAsiaTheme="majorEastAsia" w:hAnsiTheme="majorHAnsi" w:cstheme="majorBidi"/>
          <w:color w:val="243F60" w:themeColor="accent1" w:themeShade="7F"/>
        </w:rPr>
        <w:t>Conservation Target</w:t>
      </w:r>
      <w:r w:rsidR="00914AE7">
        <w:rPr>
          <w:rFonts w:asciiTheme="majorHAnsi" w:eastAsiaTheme="majorEastAsia" w:hAnsiTheme="majorHAnsi" w:cstheme="majorBidi"/>
          <w:color w:val="243F60" w:themeColor="accent1" w:themeShade="7F"/>
        </w:rPr>
        <w:t xml:space="preserve"> and Achievement</w:t>
      </w:r>
      <w:bookmarkEnd w:id="63"/>
      <w:bookmarkEnd w:id="64"/>
      <w:bookmarkEnd w:id="65"/>
    </w:p>
    <w:p w14:paraId="6209C2DC" w14:textId="51A63D43" w:rsidR="00347A02" w:rsidRDefault="00347A02" w:rsidP="00211E70">
      <w:r w:rsidRPr="002556D8">
        <w:t xml:space="preserve">In Order 01 of </w:t>
      </w:r>
      <w:r w:rsidR="009311F6">
        <w:t>UE-132045</w:t>
      </w:r>
      <w:r w:rsidRPr="002556D8">
        <w:t xml:space="preserve">, the Commission approved a 2014-2015 biennial conservation target </w:t>
      </w:r>
      <w:r w:rsidRPr="005959A4">
        <w:t xml:space="preserve">of </w:t>
      </w:r>
      <w:r>
        <w:t>64,956 MWh</w:t>
      </w:r>
      <w:r w:rsidRPr="005959A4">
        <w:t xml:space="preserve"> for </w:t>
      </w:r>
      <w:r>
        <w:t>Avista</w:t>
      </w:r>
      <w:r w:rsidR="00FF7C4F">
        <w:t>. The C</w:t>
      </w:r>
      <w:r w:rsidRPr="005959A4">
        <w:t xml:space="preserve">ompany reports that it exceeded this target, achieving </w:t>
      </w:r>
      <w:r>
        <w:t xml:space="preserve">70,693 </w:t>
      </w:r>
      <w:r w:rsidRPr="005959A4">
        <w:t xml:space="preserve">MWh. </w:t>
      </w:r>
      <w:r w:rsidR="00FF7C4F">
        <w:t>The C</w:t>
      </w:r>
      <w:r w:rsidRPr="00D71A37">
        <w:t>ompany spent about $</w:t>
      </w:r>
      <w:r>
        <w:t>2</w:t>
      </w:r>
      <w:r w:rsidR="00D569AB">
        <w:t>3</w:t>
      </w:r>
      <w:r>
        <w:t xml:space="preserve"> million, which is four percent</w:t>
      </w:r>
      <w:r w:rsidRPr="00D71A37">
        <w:t xml:space="preserve"> </w:t>
      </w:r>
      <w:r w:rsidR="00D569AB">
        <w:t>more</w:t>
      </w:r>
      <w:r w:rsidRPr="00D71A37">
        <w:t xml:space="preserve"> than the $</w:t>
      </w:r>
      <w:r w:rsidR="009B4811">
        <w:t>2</w:t>
      </w:r>
      <w:r w:rsidR="00D569AB">
        <w:t>2</w:t>
      </w:r>
      <w:r>
        <w:t xml:space="preserve"> </w:t>
      </w:r>
      <w:r w:rsidRPr="00D71A37">
        <w:t xml:space="preserve">million budget the Commission approved. </w:t>
      </w:r>
      <w:r w:rsidRPr="009B4811">
        <w:t xml:space="preserve">When including NEEA </w:t>
      </w:r>
      <w:r w:rsidR="00D569AB">
        <w:t>savings</w:t>
      </w:r>
      <w:r w:rsidR="00FF7C4F">
        <w:t>, the C</w:t>
      </w:r>
      <w:r w:rsidRPr="009B4811">
        <w:t xml:space="preserve">ompany’s total conservation achievement increases </w:t>
      </w:r>
      <w:r w:rsidR="009B4811">
        <w:t>to</w:t>
      </w:r>
      <w:r w:rsidRPr="009B4811">
        <w:t xml:space="preserve"> </w:t>
      </w:r>
      <w:r w:rsidR="009B4811" w:rsidRPr="009B4811">
        <w:t>101,356</w:t>
      </w:r>
      <w:r w:rsidRPr="009B4811">
        <w:t xml:space="preserve"> MWh. The total portfolio cost-</w:t>
      </w:r>
      <w:r w:rsidR="005A16BD" w:rsidRPr="009B4811">
        <w:t>effectiveness</w:t>
      </w:r>
      <w:r w:rsidRPr="009B4811">
        <w:t xml:space="preserve"> is 1.</w:t>
      </w:r>
      <w:r w:rsidR="009311F6">
        <w:t>5</w:t>
      </w:r>
      <w:r w:rsidRPr="009B4811">
        <w:t>.</w:t>
      </w:r>
      <w:r w:rsidRPr="00B2377B">
        <w:t xml:space="preserve"> </w:t>
      </w:r>
      <w:r w:rsidR="000721AD">
        <w:t>The following table</w:t>
      </w:r>
      <w:r w:rsidR="000E37A5">
        <w:t xml:space="preserve"> provides a</w:t>
      </w:r>
      <w:r w:rsidRPr="00D71A37">
        <w:t xml:space="preserve"> summary of </w:t>
      </w:r>
      <w:r w:rsidR="009B4811">
        <w:t>Avista</w:t>
      </w:r>
      <w:r>
        <w:t>’</w:t>
      </w:r>
      <w:r w:rsidRPr="00D71A37">
        <w:t>s reported savings and expenses:</w:t>
      </w:r>
    </w:p>
    <w:p w14:paraId="60136CE1" w14:textId="77777777" w:rsidR="00CB42DB" w:rsidRPr="00CB42DB" w:rsidRDefault="00CB42DB" w:rsidP="00CB42DB">
      <w:pPr>
        <w:spacing w:before="0" w:after="0"/>
      </w:pPr>
    </w:p>
    <w:p w14:paraId="17F9F0B3" w14:textId="41F01F92" w:rsidR="008E0F23" w:rsidRPr="00A37817" w:rsidRDefault="00A37817" w:rsidP="00614F0F">
      <w:pPr>
        <w:pStyle w:val="Caption"/>
        <w:keepNext/>
        <w:keepLines/>
        <w:rPr>
          <w:b/>
          <w:i w:val="0"/>
          <w:color w:val="auto"/>
          <w:sz w:val="24"/>
          <w:szCs w:val="24"/>
        </w:rPr>
      </w:pPr>
      <w:bookmarkStart w:id="66" w:name="_Toc456682591"/>
      <w:bookmarkStart w:id="67" w:name="_Toc456689276"/>
      <w:bookmarkStart w:id="68" w:name="_Toc456867230"/>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5</w:t>
      </w:r>
      <w:r w:rsidRPr="00A37817">
        <w:rPr>
          <w:b/>
          <w:i w:val="0"/>
          <w:color w:val="auto"/>
          <w:sz w:val="24"/>
          <w:szCs w:val="24"/>
        </w:rPr>
        <w:fldChar w:fldCharType="end"/>
      </w:r>
      <w:r>
        <w:rPr>
          <w:b/>
          <w:i w:val="0"/>
          <w:color w:val="auto"/>
          <w:sz w:val="24"/>
          <w:szCs w:val="24"/>
        </w:rPr>
        <w:t>:</w:t>
      </w:r>
      <w:r w:rsidRPr="00A37817">
        <w:rPr>
          <w:b/>
          <w:i w:val="0"/>
          <w:color w:val="auto"/>
          <w:sz w:val="24"/>
          <w:szCs w:val="24"/>
        </w:rPr>
        <w:t xml:space="preserve"> Summary of Avista’s 2014-2015 Conservation Achievements</w:t>
      </w:r>
      <w:r w:rsidR="00090229">
        <w:rPr>
          <w:rStyle w:val="FootnoteReference"/>
          <w:b/>
          <w:i w:val="0"/>
          <w:color w:val="auto"/>
          <w:sz w:val="24"/>
          <w:szCs w:val="24"/>
        </w:rPr>
        <w:footnoteReference w:id="35"/>
      </w:r>
      <w:bookmarkEnd w:id="66"/>
      <w:bookmarkEnd w:id="67"/>
      <w:bookmarkEnd w:id="68"/>
    </w:p>
    <w:tbl>
      <w:tblPr>
        <w:tblStyle w:val="TableGrid"/>
        <w:tblW w:w="0" w:type="auto"/>
        <w:tblLook w:val="04A0" w:firstRow="1" w:lastRow="0" w:firstColumn="1" w:lastColumn="0" w:noHBand="0" w:noVBand="1"/>
      </w:tblPr>
      <w:tblGrid>
        <w:gridCol w:w="2735"/>
        <w:gridCol w:w="1947"/>
        <w:gridCol w:w="2336"/>
        <w:gridCol w:w="2332"/>
      </w:tblGrid>
      <w:tr w:rsidR="008E0F23" w14:paraId="0E1520D3" w14:textId="77777777" w:rsidTr="008E0F23">
        <w:trPr>
          <w:trHeight w:val="395"/>
        </w:trPr>
        <w:tc>
          <w:tcPr>
            <w:tcW w:w="2808" w:type="dxa"/>
            <w:vAlign w:val="center"/>
          </w:tcPr>
          <w:p w14:paraId="6A93B8E6" w14:textId="77777777" w:rsidR="008E0F23" w:rsidRDefault="008E0F23" w:rsidP="00614F0F">
            <w:pPr>
              <w:keepLines/>
            </w:pPr>
          </w:p>
        </w:tc>
        <w:tc>
          <w:tcPr>
            <w:tcW w:w="1980" w:type="dxa"/>
            <w:vAlign w:val="center"/>
          </w:tcPr>
          <w:p w14:paraId="40294066" w14:textId="35136B47" w:rsidR="008E0F23" w:rsidRPr="00CC6F5C" w:rsidRDefault="008E0F23" w:rsidP="00614F0F">
            <w:pPr>
              <w:keepLines/>
              <w:rPr>
                <w:b/>
              </w:rPr>
            </w:pPr>
            <w:r w:rsidRPr="00CC6F5C">
              <w:rPr>
                <w:b/>
              </w:rPr>
              <w:t>Target</w:t>
            </w:r>
            <w:r w:rsidR="00463F40">
              <w:rPr>
                <w:rStyle w:val="FootnoteReference"/>
                <w:b/>
              </w:rPr>
              <w:footnoteReference w:id="36"/>
            </w:r>
          </w:p>
        </w:tc>
        <w:tc>
          <w:tcPr>
            <w:tcW w:w="2394" w:type="dxa"/>
            <w:vAlign w:val="center"/>
          </w:tcPr>
          <w:p w14:paraId="099851AA" w14:textId="77777777" w:rsidR="008E0F23" w:rsidRPr="00CC6F5C" w:rsidRDefault="008E0F23" w:rsidP="00614F0F">
            <w:pPr>
              <w:keepLines/>
              <w:rPr>
                <w:b/>
              </w:rPr>
            </w:pPr>
            <w:r w:rsidRPr="00CC6F5C">
              <w:rPr>
                <w:b/>
              </w:rPr>
              <w:t>Actual</w:t>
            </w:r>
          </w:p>
        </w:tc>
        <w:tc>
          <w:tcPr>
            <w:tcW w:w="2394" w:type="dxa"/>
            <w:vAlign w:val="center"/>
          </w:tcPr>
          <w:p w14:paraId="33819A9C" w14:textId="5A997921" w:rsidR="008E0F23" w:rsidRPr="00CC6F5C" w:rsidRDefault="009839C2" w:rsidP="00614F0F">
            <w:pPr>
              <w:keepLines/>
              <w:rPr>
                <w:b/>
              </w:rPr>
            </w:pPr>
            <w:r>
              <w:rPr>
                <w:b/>
              </w:rPr>
              <w:t>Actual/</w:t>
            </w:r>
            <w:r w:rsidR="00463F40">
              <w:rPr>
                <w:b/>
              </w:rPr>
              <w:t xml:space="preserve"> </w:t>
            </w:r>
            <w:r>
              <w:rPr>
                <w:b/>
              </w:rPr>
              <w:t>T</w:t>
            </w:r>
            <w:r w:rsidR="008E0F23">
              <w:rPr>
                <w:b/>
              </w:rPr>
              <w:t>arget</w:t>
            </w:r>
            <w:r>
              <w:rPr>
                <w:b/>
              </w:rPr>
              <w:t xml:space="preserve"> Percentage</w:t>
            </w:r>
          </w:p>
        </w:tc>
      </w:tr>
      <w:tr w:rsidR="008E0F23" w14:paraId="595F98F3" w14:textId="77777777" w:rsidTr="008E0F23">
        <w:trPr>
          <w:trHeight w:val="440"/>
        </w:trPr>
        <w:tc>
          <w:tcPr>
            <w:tcW w:w="2808" w:type="dxa"/>
            <w:vAlign w:val="center"/>
          </w:tcPr>
          <w:p w14:paraId="5B99036F" w14:textId="77777777" w:rsidR="008E0F23" w:rsidRPr="00CC6F5C" w:rsidRDefault="008E0F23" w:rsidP="00614F0F">
            <w:pPr>
              <w:keepLines/>
              <w:rPr>
                <w:b/>
              </w:rPr>
            </w:pPr>
            <w:r w:rsidRPr="00CC6F5C">
              <w:rPr>
                <w:b/>
              </w:rPr>
              <w:t>Savings (MWh)</w:t>
            </w:r>
          </w:p>
        </w:tc>
        <w:tc>
          <w:tcPr>
            <w:tcW w:w="1980" w:type="dxa"/>
            <w:vAlign w:val="center"/>
          </w:tcPr>
          <w:p w14:paraId="1825AFCA" w14:textId="6BBA08B4" w:rsidR="008E0F23" w:rsidRPr="00625F5A" w:rsidRDefault="00D069F7" w:rsidP="00614F0F">
            <w:pPr>
              <w:keepLines/>
              <w:jc w:val="center"/>
            </w:pPr>
            <w:r w:rsidRPr="00625F5A">
              <w:t>64,956</w:t>
            </w:r>
          </w:p>
        </w:tc>
        <w:tc>
          <w:tcPr>
            <w:tcW w:w="2394" w:type="dxa"/>
            <w:vAlign w:val="center"/>
          </w:tcPr>
          <w:p w14:paraId="78D59286" w14:textId="4687D69C" w:rsidR="008E0F23" w:rsidRPr="00625F5A" w:rsidRDefault="00625F5A" w:rsidP="00614F0F">
            <w:pPr>
              <w:keepLines/>
              <w:jc w:val="center"/>
            </w:pPr>
            <w:r w:rsidRPr="00625F5A">
              <w:t>70,693</w:t>
            </w:r>
          </w:p>
        </w:tc>
        <w:tc>
          <w:tcPr>
            <w:tcW w:w="2394" w:type="dxa"/>
            <w:vMerge w:val="restart"/>
            <w:vAlign w:val="center"/>
          </w:tcPr>
          <w:p w14:paraId="34631D16" w14:textId="35A468DA" w:rsidR="008E0F23" w:rsidRPr="00625F5A" w:rsidRDefault="00625F5A" w:rsidP="00614F0F">
            <w:pPr>
              <w:keepLines/>
              <w:jc w:val="center"/>
            </w:pPr>
            <w:r>
              <w:t>109</w:t>
            </w:r>
            <w:r w:rsidR="008E0F23" w:rsidRPr="00625F5A">
              <w:t>%</w:t>
            </w:r>
          </w:p>
        </w:tc>
      </w:tr>
      <w:tr w:rsidR="008E0F23" w14:paraId="3476EB84" w14:textId="77777777" w:rsidTr="008E0F23">
        <w:trPr>
          <w:trHeight w:val="440"/>
        </w:trPr>
        <w:tc>
          <w:tcPr>
            <w:tcW w:w="2808" w:type="dxa"/>
            <w:vAlign w:val="center"/>
          </w:tcPr>
          <w:p w14:paraId="437B98D0" w14:textId="77777777" w:rsidR="008E0F23" w:rsidRPr="00CC6F5C" w:rsidRDefault="008E0F23" w:rsidP="00614F0F">
            <w:pPr>
              <w:keepLines/>
              <w:rPr>
                <w:b/>
              </w:rPr>
            </w:pPr>
            <w:r w:rsidRPr="00CC6F5C">
              <w:rPr>
                <w:b/>
              </w:rPr>
              <w:t>Savings (average MW)</w:t>
            </w:r>
          </w:p>
        </w:tc>
        <w:tc>
          <w:tcPr>
            <w:tcW w:w="1980" w:type="dxa"/>
            <w:vAlign w:val="center"/>
          </w:tcPr>
          <w:p w14:paraId="77A24B09" w14:textId="04086869" w:rsidR="008E0F23" w:rsidRPr="00625F5A" w:rsidRDefault="0008285B" w:rsidP="00614F0F">
            <w:pPr>
              <w:keepLines/>
              <w:jc w:val="center"/>
            </w:pPr>
            <w:r>
              <w:t>7.42</w:t>
            </w:r>
          </w:p>
        </w:tc>
        <w:tc>
          <w:tcPr>
            <w:tcW w:w="2394" w:type="dxa"/>
            <w:vAlign w:val="center"/>
          </w:tcPr>
          <w:p w14:paraId="2825928E" w14:textId="6239D29A" w:rsidR="008E0F23" w:rsidRPr="00625F5A" w:rsidRDefault="0008285B" w:rsidP="00614F0F">
            <w:pPr>
              <w:keepLines/>
              <w:jc w:val="center"/>
            </w:pPr>
            <w:r>
              <w:t>8.07</w:t>
            </w:r>
          </w:p>
        </w:tc>
        <w:tc>
          <w:tcPr>
            <w:tcW w:w="2394" w:type="dxa"/>
            <w:vMerge/>
            <w:vAlign w:val="center"/>
          </w:tcPr>
          <w:p w14:paraId="447415D8" w14:textId="77777777" w:rsidR="008E0F23" w:rsidRPr="00625F5A" w:rsidRDefault="008E0F23" w:rsidP="00614F0F">
            <w:pPr>
              <w:keepLines/>
              <w:jc w:val="center"/>
            </w:pPr>
          </w:p>
        </w:tc>
      </w:tr>
      <w:tr w:rsidR="008E0F23" w14:paraId="32BCA968" w14:textId="77777777" w:rsidTr="008E0F23">
        <w:trPr>
          <w:trHeight w:val="440"/>
        </w:trPr>
        <w:tc>
          <w:tcPr>
            <w:tcW w:w="2808" w:type="dxa"/>
            <w:vAlign w:val="center"/>
          </w:tcPr>
          <w:p w14:paraId="5135FDF2" w14:textId="77777777" w:rsidR="008E0F23" w:rsidRPr="00CC6F5C" w:rsidRDefault="008E0F23" w:rsidP="00614F0F">
            <w:pPr>
              <w:keepLines/>
              <w:rPr>
                <w:b/>
              </w:rPr>
            </w:pPr>
            <w:r w:rsidRPr="00CC6F5C">
              <w:rPr>
                <w:b/>
              </w:rPr>
              <w:t>Expenditures</w:t>
            </w:r>
          </w:p>
        </w:tc>
        <w:tc>
          <w:tcPr>
            <w:tcW w:w="1980" w:type="dxa"/>
            <w:vAlign w:val="center"/>
          </w:tcPr>
          <w:p w14:paraId="1F5C0256" w14:textId="2AC0EFD8" w:rsidR="008E0F23" w:rsidRPr="00625F5A" w:rsidRDefault="00D569AB" w:rsidP="00614F0F">
            <w:pPr>
              <w:keepLines/>
              <w:jc w:val="center"/>
            </w:pPr>
            <w:r w:rsidRPr="00D569AB">
              <w:t>$22,107,759</w:t>
            </w:r>
          </w:p>
        </w:tc>
        <w:tc>
          <w:tcPr>
            <w:tcW w:w="2394" w:type="dxa"/>
            <w:vAlign w:val="center"/>
          </w:tcPr>
          <w:p w14:paraId="27D2536B" w14:textId="5EB960DF" w:rsidR="008E0F23" w:rsidRPr="00625F5A" w:rsidRDefault="00D569AB" w:rsidP="00614F0F">
            <w:pPr>
              <w:keepLines/>
              <w:jc w:val="center"/>
            </w:pPr>
            <w:r w:rsidRPr="00625F5A">
              <w:t>$</w:t>
            </w:r>
            <w:r w:rsidRPr="005C6BD7">
              <w:t>23,076,191</w:t>
            </w:r>
          </w:p>
        </w:tc>
        <w:tc>
          <w:tcPr>
            <w:tcW w:w="2394" w:type="dxa"/>
            <w:vAlign w:val="center"/>
          </w:tcPr>
          <w:p w14:paraId="4AD6EFDC" w14:textId="6AE10A57" w:rsidR="008E0F23" w:rsidRPr="00625F5A" w:rsidRDefault="00D569AB" w:rsidP="00614F0F">
            <w:pPr>
              <w:keepLines/>
              <w:jc w:val="center"/>
            </w:pPr>
            <w:r>
              <w:t>104</w:t>
            </w:r>
            <w:r w:rsidR="005C6BD7" w:rsidRPr="009B4811">
              <w:t>%</w:t>
            </w:r>
          </w:p>
        </w:tc>
      </w:tr>
    </w:tbl>
    <w:p w14:paraId="284B3288" w14:textId="48222033" w:rsidR="00DE13E1" w:rsidRDefault="00FA3258" w:rsidP="00FA3258">
      <w:pPr>
        <w:pStyle w:val="Caption"/>
        <w:rPr>
          <w:b/>
          <w:i w:val="0"/>
          <w:color w:val="auto"/>
          <w:sz w:val="24"/>
          <w:szCs w:val="24"/>
        </w:rPr>
      </w:pPr>
      <w:r>
        <w:rPr>
          <w:b/>
          <w:i w:val="0"/>
          <w:color w:val="auto"/>
          <w:sz w:val="24"/>
          <w:szCs w:val="24"/>
        </w:rPr>
        <w:lastRenderedPageBreak/>
        <w:t xml:space="preserve"> </w:t>
      </w:r>
    </w:p>
    <w:p w14:paraId="01BD408A" w14:textId="42ACEA85" w:rsidR="000E37A5" w:rsidRPr="000E37A5" w:rsidRDefault="009311F6" w:rsidP="00206F6B">
      <w:r>
        <w:t>The following table</w:t>
      </w:r>
      <w:r w:rsidR="000E37A5">
        <w:t xml:space="preserve"> breaks down Avista’s conservation achievement by program</w:t>
      </w:r>
      <w:r w:rsidR="000721AD">
        <w:t xml:space="preserve"> or sector, providing a comparison of cost-effectiveness between the various elements of the program</w:t>
      </w:r>
      <w:r w:rsidR="000E37A5">
        <w:t>.</w:t>
      </w:r>
    </w:p>
    <w:p w14:paraId="177CDAEF" w14:textId="77777777" w:rsidR="000E37A5" w:rsidRDefault="000E37A5" w:rsidP="00DE13E1">
      <w:pPr>
        <w:pStyle w:val="Caption"/>
        <w:keepNext/>
        <w:rPr>
          <w:b/>
          <w:i w:val="0"/>
          <w:color w:val="auto"/>
          <w:sz w:val="24"/>
          <w:szCs w:val="24"/>
        </w:rPr>
      </w:pPr>
    </w:p>
    <w:p w14:paraId="373A7159" w14:textId="16F8FF8B" w:rsidR="00FA3258" w:rsidRPr="00DE13E1" w:rsidRDefault="00DE13E1" w:rsidP="00614F0F">
      <w:pPr>
        <w:pStyle w:val="Caption"/>
        <w:keepNext/>
        <w:keepLines/>
        <w:rPr>
          <w:b/>
          <w:i w:val="0"/>
          <w:color w:val="auto"/>
          <w:sz w:val="24"/>
          <w:szCs w:val="24"/>
        </w:rPr>
      </w:pPr>
      <w:bookmarkStart w:id="69" w:name="_Toc456682592"/>
      <w:bookmarkStart w:id="70" w:name="_Toc456689277"/>
      <w:bookmarkStart w:id="71" w:name="_Toc456867231"/>
      <w:r w:rsidRPr="00DE13E1">
        <w:rPr>
          <w:b/>
          <w:i w:val="0"/>
          <w:color w:val="auto"/>
          <w:sz w:val="24"/>
          <w:szCs w:val="24"/>
        </w:rPr>
        <w:t xml:space="preserve">Table </w:t>
      </w:r>
      <w:r w:rsidRPr="00DE13E1">
        <w:rPr>
          <w:b/>
          <w:i w:val="0"/>
          <w:color w:val="auto"/>
          <w:sz w:val="24"/>
          <w:szCs w:val="24"/>
        </w:rPr>
        <w:fldChar w:fldCharType="begin"/>
      </w:r>
      <w:r w:rsidRPr="00DE13E1">
        <w:rPr>
          <w:b/>
          <w:i w:val="0"/>
          <w:color w:val="auto"/>
          <w:sz w:val="24"/>
          <w:szCs w:val="24"/>
        </w:rPr>
        <w:instrText xml:space="preserve"> SEQ Table \* ARABIC </w:instrText>
      </w:r>
      <w:r w:rsidRPr="00DE13E1">
        <w:rPr>
          <w:b/>
          <w:i w:val="0"/>
          <w:color w:val="auto"/>
          <w:sz w:val="24"/>
          <w:szCs w:val="24"/>
        </w:rPr>
        <w:fldChar w:fldCharType="separate"/>
      </w:r>
      <w:r w:rsidR="00D239F3">
        <w:rPr>
          <w:b/>
          <w:i w:val="0"/>
          <w:noProof/>
          <w:color w:val="auto"/>
          <w:sz w:val="24"/>
          <w:szCs w:val="24"/>
        </w:rPr>
        <w:t>6</w:t>
      </w:r>
      <w:r w:rsidRPr="00DE13E1">
        <w:rPr>
          <w:b/>
          <w:i w:val="0"/>
          <w:color w:val="auto"/>
          <w:sz w:val="24"/>
          <w:szCs w:val="24"/>
        </w:rPr>
        <w:fldChar w:fldCharType="end"/>
      </w:r>
      <w:r w:rsidRPr="00DE13E1">
        <w:rPr>
          <w:b/>
          <w:i w:val="0"/>
          <w:color w:val="auto"/>
          <w:sz w:val="24"/>
          <w:szCs w:val="24"/>
        </w:rPr>
        <w:t>: Avista’s’s 2014-2015 Conservation Achievements by Program</w:t>
      </w:r>
      <w:bookmarkEnd w:id="69"/>
      <w:bookmarkEnd w:id="70"/>
      <w:bookmarkEnd w:id="71"/>
    </w:p>
    <w:tbl>
      <w:tblPr>
        <w:tblStyle w:val="TableGrid"/>
        <w:tblW w:w="0" w:type="auto"/>
        <w:tblLook w:val="04A0" w:firstRow="1" w:lastRow="0" w:firstColumn="1" w:lastColumn="0" w:noHBand="0" w:noVBand="1"/>
      </w:tblPr>
      <w:tblGrid>
        <w:gridCol w:w="1728"/>
        <w:gridCol w:w="1566"/>
        <w:gridCol w:w="1271"/>
        <w:gridCol w:w="1478"/>
        <w:gridCol w:w="1844"/>
        <w:gridCol w:w="1463"/>
      </w:tblGrid>
      <w:tr w:rsidR="00FA3258" w14:paraId="21FEAE64" w14:textId="77777777" w:rsidTr="00131E86">
        <w:tc>
          <w:tcPr>
            <w:tcW w:w="1728" w:type="dxa"/>
          </w:tcPr>
          <w:p w14:paraId="581B33E1" w14:textId="77777777" w:rsidR="00FA3258" w:rsidRPr="005C6BD7" w:rsidRDefault="00FA3258" w:rsidP="00614F0F">
            <w:pPr>
              <w:keepNext/>
              <w:keepLines/>
            </w:pPr>
            <w:r w:rsidRPr="005C6BD7">
              <w:t>Program</w:t>
            </w:r>
          </w:p>
        </w:tc>
        <w:tc>
          <w:tcPr>
            <w:tcW w:w="1566" w:type="dxa"/>
          </w:tcPr>
          <w:p w14:paraId="26A222B2" w14:textId="4E4AFA95" w:rsidR="00FA3258" w:rsidRDefault="00E34D3F" w:rsidP="00614F0F">
            <w:pPr>
              <w:keepNext/>
              <w:keepLines/>
            </w:pPr>
            <w:r w:rsidRPr="00E34D3F">
              <w:t>Anticipated Savings (MWh)</w:t>
            </w:r>
          </w:p>
        </w:tc>
        <w:tc>
          <w:tcPr>
            <w:tcW w:w="1271" w:type="dxa"/>
          </w:tcPr>
          <w:p w14:paraId="3519C5FB" w14:textId="4A081424" w:rsidR="00FA3258" w:rsidRDefault="00E34D3F" w:rsidP="00614F0F">
            <w:pPr>
              <w:keepNext/>
              <w:keepLines/>
            </w:pPr>
            <w:r>
              <w:t xml:space="preserve">Actual </w:t>
            </w:r>
            <w:r w:rsidR="00FA3258">
              <w:t>Savings (MWh)</w:t>
            </w:r>
          </w:p>
        </w:tc>
        <w:tc>
          <w:tcPr>
            <w:tcW w:w="1478" w:type="dxa"/>
          </w:tcPr>
          <w:p w14:paraId="38CCF451" w14:textId="77777777" w:rsidR="00FA3258" w:rsidRDefault="00FA3258" w:rsidP="00614F0F">
            <w:pPr>
              <w:keepNext/>
              <w:keepLines/>
            </w:pPr>
            <w:r>
              <w:t>Budget</w:t>
            </w:r>
          </w:p>
        </w:tc>
        <w:tc>
          <w:tcPr>
            <w:tcW w:w="1844" w:type="dxa"/>
          </w:tcPr>
          <w:p w14:paraId="29C5A1DE" w14:textId="77777777" w:rsidR="00FA3258" w:rsidRDefault="00FA3258" w:rsidP="00614F0F">
            <w:pPr>
              <w:keepNext/>
              <w:keepLines/>
            </w:pPr>
            <w:r>
              <w:t>Expenditures</w:t>
            </w:r>
          </w:p>
        </w:tc>
        <w:tc>
          <w:tcPr>
            <w:tcW w:w="1463" w:type="dxa"/>
          </w:tcPr>
          <w:p w14:paraId="1DDF7E58" w14:textId="528A518B" w:rsidR="00FA3258" w:rsidRDefault="00C04CB6" w:rsidP="00614F0F">
            <w:pPr>
              <w:keepNext/>
              <w:keepLines/>
            </w:pPr>
            <w:r>
              <w:t>TRC</w:t>
            </w:r>
            <w:r>
              <w:rPr>
                <w:rStyle w:val="FootnoteReference"/>
              </w:rPr>
              <w:footnoteReference w:id="37"/>
            </w:r>
          </w:p>
        </w:tc>
      </w:tr>
      <w:tr w:rsidR="005C6BD7" w14:paraId="7A238FB7" w14:textId="77777777" w:rsidTr="00131E86">
        <w:tc>
          <w:tcPr>
            <w:tcW w:w="1728" w:type="dxa"/>
          </w:tcPr>
          <w:p w14:paraId="4275038D" w14:textId="399EE327" w:rsidR="005C6BD7" w:rsidRPr="005C6BD7" w:rsidRDefault="00C04CB6" w:rsidP="00614F0F">
            <w:pPr>
              <w:keepNext/>
              <w:keepLines/>
            </w:pPr>
            <w:r>
              <w:t>Residential (not including  Low I</w:t>
            </w:r>
            <w:r w:rsidR="005C6BD7" w:rsidRPr="005C6BD7">
              <w:t>ncome)</w:t>
            </w:r>
          </w:p>
        </w:tc>
        <w:tc>
          <w:tcPr>
            <w:tcW w:w="1566" w:type="dxa"/>
          </w:tcPr>
          <w:p w14:paraId="1E160E2B" w14:textId="12BE2D09" w:rsidR="005C6BD7" w:rsidRDefault="005C6BD7" w:rsidP="00614F0F">
            <w:pPr>
              <w:keepNext/>
              <w:keepLines/>
              <w:jc w:val="right"/>
            </w:pPr>
            <w:r w:rsidRPr="00435A92">
              <w:t>32,045</w:t>
            </w:r>
          </w:p>
        </w:tc>
        <w:tc>
          <w:tcPr>
            <w:tcW w:w="1271" w:type="dxa"/>
          </w:tcPr>
          <w:p w14:paraId="24210920" w14:textId="1EC44B83" w:rsidR="005C6BD7" w:rsidRDefault="003E03DF" w:rsidP="00614F0F">
            <w:pPr>
              <w:keepNext/>
              <w:keepLines/>
              <w:jc w:val="right"/>
            </w:pPr>
            <w:r w:rsidRPr="003E03DF">
              <w:t>41,794</w:t>
            </w:r>
          </w:p>
        </w:tc>
        <w:tc>
          <w:tcPr>
            <w:tcW w:w="1478" w:type="dxa"/>
          </w:tcPr>
          <w:p w14:paraId="2267CB5F" w14:textId="66676AAB" w:rsidR="005C6BD7" w:rsidRDefault="005C6BD7" w:rsidP="00614F0F">
            <w:pPr>
              <w:keepNext/>
              <w:keepLines/>
              <w:jc w:val="right"/>
            </w:pPr>
            <w:r w:rsidRPr="00435A92">
              <w:t xml:space="preserve">$6,548,519 </w:t>
            </w:r>
          </w:p>
        </w:tc>
        <w:tc>
          <w:tcPr>
            <w:tcW w:w="1844" w:type="dxa"/>
          </w:tcPr>
          <w:p w14:paraId="0F28D6AF" w14:textId="6DB33DF4" w:rsidR="005C6BD7" w:rsidRDefault="003E03DF" w:rsidP="00614F0F">
            <w:pPr>
              <w:keepNext/>
              <w:keepLines/>
              <w:jc w:val="right"/>
            </w:pPr>
            <w:r w:rsidRPr="003E03DF">
              <w:t>$7,500,853</w:t>
            </w:r>
          </w:p>
        </w:tc>
        <w:tc>
          <w:tcPr>
            <w:tcW w:w="1463" w:type="dxa"/>
          </w:tcPr>
          <w:p w14:paraId="2CC0C3C8" w14:textId="0A95497B" w:rsidR="005C6BD7" w:rsidRDefault="00160302" w:rsidP="00614F0F">
            <w:pPr>
              <w:keepNext/>
              <w:keepLines/>
              <w:jc w:val="center"/>
            </w:pPr>
            <w:r>
              <w:t>1.0</w:t>
            </w:r>
          </w:p>
        </w:tc>
      </w:tr>
      <w:tr w:rsidR="005C6BD7" w14:paraId="3BBFDAC9" w14:textId="77777777" w:rsidTr="00131E86">
        <w:tc>
          <w:tcPr>
            <w:tcW w:w="1728" w:type="dxa"/>
          </w:tcPr>
          <w:p w14:paraId="073C76DB" w14:textId="1CB82025" w:rsidR="005C6BD7" w:rsidRPr="005C6BD7" w:rsidRDefault="005C6BD7" w:rsidP="00614F0F">
            <w:pPr>
              <w:keepNext/>
              <w:keepLines/>
            </w:pPr>
            <w:r w:rsidRPr="005C6BD7">
              <w:t>Low Income</w:t>
            </w:r>
          </w:p>
        </w:tc>
        <w:tc>
          <w:tcPr>
            <w:tcW w:w="1566" w:type="dxa"/>
          </w:tcPr>
          <w:p w14:paraId="35A85B78" w14:textId="1BC4EC04" w:rsidR="005C6BD7" w:rsidRDefault="005C6BD7" w:rsidP="00614F0F">
            <w:pPr>
              <w:keepNext/>
              <w:keepLines/>
              <w:jc w:val="right"/>
            </w:pPr>
            <w:r w:rsidRPr="006805DC">
              <w:t>2,989</w:t>
            </w:r>
          </w:p>
        </w:tc>
        <w:tc>
          <w:tcPr>
            <w:tcW w:w="1271" w:type="dxa"/>
          </w:tcPr>
          <w:p w14:paraId="16C9CF02" w14:textId="2EAA472A" w:rsidR="005C6BD7" w:rsidRDefault="005C6BD7" w:rsidP="00614F0F">
            <w:pPr>
              <w:keepNext/>
              <w:keepLines/>
              <w:jc w:val="right"/>
            </w:pPr>
            <w:r w:rsidRPr="006805DC">
              <w:t>1,488</w:t>
            </w:r>
          </w:p>
        </w:tc>
        <w:tc>
          <w:tcPr>
            <w:tcW w:w="1478" w:type="dxa"/>
          </w:tcPr>
          <w:p w14:paraId="57172CFB" w14:textId="1B38456A" w:rsidR="005C6BD7" w:rsidRDefault="005C6BD7" w:rsidP="00614F0F">
            <w:pPr>
              <w:keepNext/>
              <w:keepLines/>
              <w:jc w:val="right"/>
            </w:pPr>
            <w:r w:rsidRPr="006805DC">
              <w:t xml:space="preserve">$4,011,742 </w:t>
            </w:r>
          </w:p>
        </w:tc>
        <w:tc>
          <w:tcPr>
            <w:tcW w:w="1844" w:type="dxa"/>
          </w:tcPr>
          <w:p w14:paraId="2F258E4C" w14:textId="16FD2CCB" w:rsidR="005C6BD7" w:rsidRDefault="005C6BD7" w:rsidP="00614F0F">
            <w:pPr>
              <w:keepNext/>
              <w:keepLines/>
              <w:jc w:val="right"/>
            </w:pPr>
            <w:r w:rsidRPr="006805DC">
              <w:t xml:space="preserve">$3,044,737 </w:t>
            </w:r>
          </w:p>
        </w:tc>
        <w:tc>
          <w:tcPr>
            <w:tcW w:w="1463" w:type="dxa"/>
          </w:tcPr>
          <w:p w14:paraId="4ED0CFC7" w14:textId="7A9F12B1" w:rsidR="005C6BD7" w:rsidRDefault="005C6BD7" w:rsidP="00614F0F">
            <w:pPr>
              <w:keepNext/>
              <w:keepLines/>
              <w:jc w:val="center"/>
            </w:pPr>
            <w:r w:rsidRPr="006805DC">
              <w:t>0.9</w:t>
            </w:r>
          </w:p>
        </w:tc>
      </w:tr>
      <w:tr w:rsidR="005C6BD7" w14:paraId="2A676E17" w14:textId="77777777" w:rsidTr="00131E86">
        <w:tc>
          <w:tcPr>
            <w:tcW w:w="1728" w:type="dxa"/>
          </w:tcPr>
          <w:p w14:paraId="414D6B4C" w14:textId="77777777" w:rsidR="005C6BD7" w:rsidRPr="005C6BD7" w:rsidRDefault="005C6BD7" w:rsidP="00614F0F">
            <w:pPr>
              <w:keepNext/>
              <w:keepLines/>
            </w:pPr>
            <w:r w:rsidRPr="005C6BD7">
              <w:t>Commercial and Industrial</w:t>
            </w:r>
          </w:p>
        </w:tc>
        <w:tc>
          <w:tcPr>
            <w:tcW w:w="1566" w:type="dxa"/>
          </w:tcPr>
          <w:p w14:paraId="521A1A5A" w14:textId="226C3698" w:rsidR="005C6BD7" w:rsidRDefault="005C6BD7" w:rsidP="00614F0F">
            <w:pPr>
              <w:keepNext/>
              <w:keepLines/>
              <w:jc w:val="right"/>
            </w:pPr>
            <w:r w:rsidRPr="00AB26AD">
              <w:t>41,375</w:t>
            </w:r>
          </w:p>
        </w:tc>
        <w:tc>
          <w:tcPr>
            <w:tcW w:w="1271" w:type="dxa"/>
          </w:tcPr>
          <w:p w14:paraId="4E71BD12" w14:textId="72065ECC" w:rsidR="005C6BD7" w:rsidRDefault="005C6BD7" w:rsidP="00614F0F">
            <w:pPr>
              <w:keepNext/>
              <w:keepLines/>
              <w:jc w:val="right"/>
            </w:pPr>
            <w:r w:rsidRPr="00AB26AD">
              <w:t>35,330</w:t>
            </w:r>
          </w:p>
        </w:tc>
        <w:tc>
          <w:tcPr>
            <w:tcW w:w="1478" w:type="dxa"/>
          </w:tcPr>
          <w:p w14:paraId="7C6F353A" w14:textId="4AC2CC0E" w:rsidR="005C6BD7" w:rsidRDefault="005C6BD7" w:rsidP="00614F0F">
            <w:pPr>
              <w:keepNext/>
              <w:keepLines/>
              <w:jc w:val="right"/>
            </w:pPr>
            <w:r w:rsidRPr="00AB26AD">
              <w:t xml:space="preserve">$7,775,657 </w:t>
            </w:r>
          </w:p>
        </w:tc>
        <w:tc>
          <w:tcPr>
            <w:tcW w:w="1844" w:type="dxa"/>
          </w:tcPr>
          <w:p w14:paraId="5159DC2B" w14:textId="5FB96487" w:rsidR="005C6BD7" w:rsidRDefault="005C6BD7" w:rsidP="00614F0F">
            <w:pPr>
              <w:keepNext/>
              <w:keepLines/>
              <w:jc w:val="right"/>
            </w:pPr>
            <w:r w:rsidRPr="00AB26AD">
              <w:t xml:space="preserve">$9,764,893 </w:t>
            </w:r>
          </w:p>
        </w:tc>
        <w:tc>
          <w:tcPr>
            <w:tcW w:w="1463" w:type="dxa"/>
          </w:tcPr>
          <w:p w14:paraId="7F603F40" w14:textId="698F6C43" w:rsidR="005C6BD7" w:rsidRDefault="005C6BD7" w:rsidP="00614F0F">
            <w:pPr>
              <w:keepNext/>
              <w:keepLines/>
              <w:jc w:val="center"/>
            </w:pPr>
            <w:r w:rsidRPr="00AB26AD">
              <w:t>2.4</w:t>
            </w:r>
          </w:p>
        </w:tc>
      </w:tr>
      <w:tr w:rsidR="005C6BD7" w14:paraId="264610EC" w14:textId="77777777" w:rsidTr="00131E86">
        <w:tc>
          <w:tcPr>
            <w:tcW w:w="1728" w:type="dxa"/>
          </w:tcPr>
          <w:p w14:paraId="5CF73B4D" w14:textId="5CAA147A" w:rsidR="005C6BD7" w:rsidRPr="005C6BD7" w:rsidRDefault="005C6BD7" w:rsidP="00614F0F">
            <w:pPr>
              <w:keepNext/>
              <w:keepLines/>
            </w:pPr>
            <w:r w:rsidRPr="005C6BD7">
              <w:t xml:space="preserve">Distribution </w:t>
            </w:r>
          </w:p>
        </w:tc>
        <w:tc>
          <w:tcPr>
            <w:tcW w:w="1566" w:type="dxa"/>
          </w:tcPr>
          <w:p w14:paraId="13AAD5BD" w14:textId="777F124F" w:rsidR="005C6BD7" w:rsidRDefault="005C6BD7" w:rsidP="00614F0F">
            <w:pPr>
              <w:keepNext/>
              <w:keepLines/>
              <w:jc w:val="right"/>
            </w:pPr>
            <w:r w:rsidRPr="003F6160">
              <w:t>2,061</w:t>
            </w:r>
          </w:p>
        </w:tc>
        <w:tc>
          <w:tcPr>
            <w:tcW w:w="1271" w:type="dxa"/>
          </w:tcPr>
          <w:p w14:paraId="1BD66231" w14:textId="34A9486C" w:rsidR="005C6BD7" w:rsidRDefault="005C6BD7" w:rsidP="00614F0F">
            <w:pPr>
              <w:keepNext/>
              <w:keepLines/>
              <w:jc w:val="right"/>
            </w:pPr>
            <w:r w:rsidRPr="003F6160">
              <w:t>1,513</w:t>
            </w:r>
          </w:p>
        </w:tc>
        <w:tc>
          <w:tcPr>
            <w:tcW w:w="1478" w:type="dxa"/>
          </w:tcPr>
          <w:p w14:paraId="0A81C3ED" w14:textId="64A112FB" w:rsidR="005C6BD7" w:rsidRDefault="003D5B93" w:rsidP="00614F0F">
            <w:pPr>
              <w:keepNext/>
              <w:keepLines/>
              <w:jc w:val="right"/>
            </w:pPr>
            <w:r>
              <w:t>-</w:t>
            </w:r>
          </w:p>
        </w:tc>
        <w:tc>
          <w:tcPr>
            <w:tcW w:w="1844" w:type="dxa"/>
          </w:tcPr>
          <w:p w14:paraId="2F461192" w14:textId="0A36C8FE" w:rsidR="005C6BD7" w:rsidRDefault="005C6BD7" w:rsidP="00614F0F">
            <w:pPr>
              <w:keepNext/>
              <w:keepLines/>
              <w:jc w:val="right"/>
            </w:pPr>
            <w:r w:rsidRPr="003F6160">
              <w:t xml:space="preserve">$1,619,300 </w:t>
            </w:r>
          </w:p>
        </w:tc>
        <w:tc>
          <w:tcPr>
            <w:tcW w:w="1463" w:type="dxa"/>
          </w:tcPr>
          <w:p w14:paraId="2E1CE9E7" w14:textId="2353108F" w:rsidR="005C6BD7" w:rsidRDefault="003D5B93" w:rsidP="00614F0F">
            <w:pPr>
              <w:keepNext/>
              <w:keepLines/>
              <w:jc w:val="center"/>
            </w:pPr>
            <w:r>
              <w:t>-</w:t>
            </w:r>
          </w:p>
        </w:tc>
      </w:tr>
      <w:tr w:rsidR="005C6BD7" w14:paraId="3FE3AD78" w14:textId="77777777" w:rsidTr="00131E86">
        <w:tc>
          <w:tcPr>
            <w:tcW w:w="1728" w:type="dxa"/>
          </w:tcPr>
          <w:p w14:paraId="6903E494" w14:textId="350673A4" w:rsidR="005C6BD7" w:rsidRPr="005C6BD7" w:rsidRDefault="005C6BD7" w:rsidP="00614F0F">
            <w:pPr>
              <w:keepNext/>
              <w:keepLines/>
            </w:pPr>
            <w:r w:rsidRPr="005C6BD7">
              <w:t>Generation Facilities</w:t>
            </w:r>
          </w:p>
        </w:tc>
        <w:tc>
          <w:tcPr>
            <w:tcW w:w="1566" w:type="dxa"/>
          </w:tcPr>
          <w:p w14:paraId="55650078" w14:textId="1E7C67DD" w:rsidR="005C6BD7" w:rsidRDefault="005C6BD7" w:rsidP="00614F0F">
            <w:pPr>
              <w:keepNext/>
              <w:keepLines/>
              <w:jc w:val="right"/>
            </w:pPr>
            <w:r w:rsidRPr="005520B3">
              <w:t>163</w:t>
            </w:r>
          </w:p>
        </w:tc>
        <w:tc>
          <w:tcPr>
            <w:tcW w:w="1271" w:type="dxa"/>
          </w:tcPr>
          <w:p w14:paraId="1ECFDB5B" w14:textId="6B053A0F" w:rsidR="005C6BD7" w:rsidRDefault="005C6BD7" w:rsidP="00614F0F">
            <w:pPr>
              <w:keepNext/>
              <w:keepLines/>
              <w:jc w:val="right"/>
            </w:pPr>
            <w:r w:rsidRPr="005520B3">
              <w:t>249</w:t>
            </w:r>
          </w:p>
        </w:tc>
        <w:tc>
          <w:tcPr>
            <w:tcW w:w="1478" w:type="dxa"/>
          </w:tcPr>
          <w:p w14:paraId="271EEAC8" w14:textId="57C212D6" w:rsidR="005C6BD7" w:rsidRDefault="003D5B93" w:rsidP="00614F0F">
            <w:pPr>
              <w:keepNext/>
              <w:keepLines/>
              <w:jc w:val="right"/>
            </w:pPr>
            <w:r>
              <w:t>-</w:t>
            </w:r>
          </w:p>
        </w:tc>
        <w:tc>
          <w:tcPr>
            <w:tcW w:w="1844" w:type="dxa"/>
          </w:tcPr>
          <w:p w14:paraId="6821C163" w14:textId="5841B017" w:rsidR="005C6BD7" w:rsidRDefault="005C6BD7" w:rsidP="00614F0F">
            <w:pPr>
              <w:keepNext/>
              <w:keepLines/>
              <w:jc w:val="right"/>
            </w:pPr>
            <w:r w:rsidRPr="005520B3">
              <w:t xml:space="preserve">$282,074 </w:t>
            </w:r>
          </w:p>
        </w:tc>
        <w:tc>
          <w:tcPr>
            <w:tcW w:w="1463" w:type="dxa"/>
          </w:tcPr>
          <w:p w14:paraId="7204DEC9" w14:textId="4DCDFF43" w:rsidR="005C6BD7" w:rsidRDefault="003D5B93" w:rsidP="00614F0F">
            <w:pPr>
              <w:keepNext/>
              <w:keepLines/>
              <w:jc w:val="center"/>
            </w:pPr>
            <w:r>
              <w:t>-</w:t>
            </w:r>
          </w:p>
        </w:tc>
      </w:tr>
      <w:tr w:rsidR="005C6BD7" w14:paraId="22BC51C5" w14:textId="77777777" w:rsidTr="00131E86">
        <w:tc>
          <w:tcPr>
            <w:tcW w:w="1728" w:type="dxa"/>
          </w:tcPr>
          <w:p w14:paraId="1C82B687" w14:textId="77777777" w:rsidR="005C6BD7" w:rsidRPr="005C6BD7" w:rsidRDefault="005C6BD7" w:rsidP="00614F0F">
            <w:pPr>
              <w:keepNext/>
              <w:keepLines/>
            </w:pPr>
            <w:r w:rsidRPr="005C6BD7">
              <w:t>Pilots</w:t>
            </w:r>
          </w:p>
        </w:tc>
        <w:tc>
          <w:tcPr>
            <w:tcW w:w="1566" w:type="dxa"/>
          </w:tcPr>
          <w:p w14:paraId="5DA11C07" w14:textId="06196F5F" w:rsidR="005C6BD7" w:rsidRDefault="005C6BD7" w:rsidP="00614F0F">
            <w:pPr>
              <w:keepNext/>
              <w:keepLines/>
              <w:jc w:val="right"/>
            </w:pPr>
            <w:r w:rsidRPr="00DE1F04">
              <w:t>1,410</w:t>
            </w:r>
          </w:p>
        </w:tc>
        <w:tc>
          <w:tcPr>
            <w:tcW w:w="1271" w:type="dxa"/>
          </w:tcPr>
          <w:p w14:paraId="08BD2139" w14:textId="6D933CBE" w:rsidR="005C6BD7" w:rsidRDefault="003E03DF" w:rsidP="00614F0F">
            <w:pPr>
              <w:keepNext/>
              <w:keepLines/>
              <w:jc w:val="right"/>
            </w:pPr>
            <w:r w:rsidRPr="003E03DF">
              <w:t>29</w:t>
            </w:r>
          </w:p>
        </w:tc>
        <w:tc>
          <w:tcPr>
            <w:tcW w:w="1478" w:type="dxa"/>
          </w:tcPr>
          <w:p w14:paraId="5AB031AA" w14:textId="25128DE3" w:rsidR="005C6BD7" w:rsidRDefault="005C6BD7" w:rsidP="00614F0F">
            <w:pPr>
              <w:keepNext/>
              <w:keepLines/>
              <w:jc w:val="right"/>
            </w:pPr>
            <w:r w:rsidRPr="00DE1F04">
              <w:t xml:space="preserve">$253,700 </w:t>
            </w:r>
          </w:p>
        </w:tc>
        <w:tc>
          <w:tcPr>
            <w:tcW w:w="1844" w:type="dxa"/>
          </w:tcPr>
          <w:p w14:paraId="346E3C2C" w14:textId="4C5DB7EB" w:rsidR="005C6BD7" w:rsidRDefault="005C6BD7" w:rsidP="00614F0F">
            <w:pPr>
              <w:keepNext/>
              <w:keepLines/>
              <w:jc w:val="right"/>
            </w:pPr>
            <w:r w:rsidRPr="00DE1F04">
              <w:t>$</w:t>
            </w:r>
            <w:r w:rsidR="003E03DF">
              <w:t xml:space="preserve"> </w:t>
            </w:r>
            <w:r w:rsidR="003E03DF" w:rsidRPr="003E03DF">
              <w:t xml:space="preserve">4,891 </w:t>
            </w:r>
            <w:r w:rsidRPr="00DE1F04">
              <w:t xml:space="preserve"> </w:t>
            </w:r>
          </w:p>
        </w:tc>
        <w:tc>
          <w:tcPr>
            <w:tcW w:w="1463" w:type="dxa"/>
          </w:tcPr>
          <w:p w14:paraId="04072FAA" w14:textId="1BB06FA6" w:rsidR="005C6BD7" w:rsidRDefault="003E03DF" w:rsidP="00614F0F">
            <w:pPr>
              <w:keepNext/>
              <w:keepLines/>
              <w:jc w:val="center"/>
            </w:pPr>
            <w:r>
              <w:t>0.9</w:t>
            </w:r>
          </w:p>
        </w:tc>
      </w:tr>
      <w:tr w:rsidR="005C6BD7" w14:paraId="2820A6BE" w14:textId="77777777" w:rsidTr="00131E86">
        <w:tc>
          <w:tcPr>
            <w:tcW w:w="1728" w:type="dxa"/>
          </w:tcPr>
          <w:p w14:paraId="2D99B135" w14:textId="77777777" w:rsidR="005C6BD7" w:rsidRPr="005C6BD7" w:rsidRDefault="005C6BD7" w:rsidP="00614F0F">
            <w:pPr>
              <w:keepNext/>
              <w:keepLines/>
            </w:pPr>
            <w:r w:rsidRPr="005C6BD7">
              <w:t>NEEA</w:t>
            </w:r>
          </w:p>
        </w:tc>
        <w:tc>
          <w:tcPr>
            <w:tcW w:w="1566" w:type="dxa"/>
          </w:tcPr>
          <w:p w14:paraId="7C301265" w14:textId="68D9E5AA" w:rsidR="005C6BD7" w:rsidRDefault="005C6BD7" w:rsidP="00614F0F">
            <w:pPr>
              <w:keepNext/>
              <w:keepLines/>
              <w:jc w:val="right"/>
            </w:pPr>
            <w:r w:rsidRPr="008B595A">
              <w:t>29,000</w:t>
            </w:r>
          </w:p>
        </w:tc>
        <w:tc>
          <w:tcPr>
            <w:tcW w:w="1271" w:type="dxa"/>
          </w:tcPr>
          <w:p w14:paraId="5B3EAC38" w14:textId="0A4CA977" w:rsidR="005C6BD7" w:rsidRDefault="005C6BD7" w:rsidP="00614F0F">
            <w:pPr>
              <w:keepNext/>
              <w:keepLines/>
              <w:jc w:val="right"/>
            </w:pPr>
            <w:r w:rsidRPr="008B595A">
              <w:t>30,397</w:t>
            </w:r>
          </w:p>
        </w:tc>
        <w:tc>
          <w:tcPr>
            <w:tcW w:w="1478" w:type="dxa"/>
          </w:tcPr>
          <w:p w14:paraId="0E61C02E" w14:textId="44482036" w:rsidR="005C6BD7" w:rsidRDefault="005C6BD7" w:rsidP="00614F0F">
            <w:pPr>
              <w:keepNext/>
              <w:keepLines/>
              <w:jc w:val="right"/>
            </w:pPr>
            <w:r w:rsidRPr="008B595A">
              <w:t xml:space="preserve">$2,848,650 </w:t>
            </w:r>
          </w:p>
        </w:tc>
        <w:tc>
          <w:tcPr>
            <w:tcW w:w="1844" w:type="dxa"/>
          </w:tcPr>
          <w:p w14:paraId="57166466" w14:textId="46E40827" w:rsidR="005C6BD7" w:rsidRDefault="005C6BD7" w:rsidP="00614F0F">
            <w:pPr>
              <w:keepNext/>
              <w:keepLines/>
              <w:jc w:val="right"/>
            </w:pPr>
            <w:r w:rsidRPr="008B595A">
              <w:t xml:space="preserve">$2,760,816 </w:t>
            </w:r>
          </w:p>
        </w:tc>
        <w:tc>
          <w:tcPr>
            <w:tcW w:w="1463" w:type="dxa"/>
          </w:tcPr>
          <w:p w14:paraId="11168608" w14:textId="61EBDC57" w:rsidR="005C6BD7" w:rsidRDefault="003D5B93" w:rsidP="00614F0F">
            <w:pPr>
              <w:keepNext/>
              <w:keepLines/>
              <w:jc w:val="center"/>
            </w:pPr>
            <w:r>
              <w:t>-</w:t>
            </w:r>
          </w:p>
        </w:tc>
      </w:tr>
    </w:tbl>
    <w:p w14:paraId="2ABD0B18" w14:textId="77777777" w:rsidR="001B6346" w:rsidRPr="001B6346" w:rsidRDefault="001B6346" w:rsidP="00211E70">
      <w:pPr>
        <w:rPr>
          <w:color w:val="8064A2" w:themeColor="accent4"/>
        </w:rPr>
      </w:pPr>
    </w:p>
    <w:p w14:paraId="315F6C04" w14:textId="6F97A1A2" w:rsidR="001B6346" w:rsidRPr="001B6346" w:rsidRDefault="001B6346" w:rsidP="001B6346">
      <w:pPr>
        <w:keepNext/>
        <w:keepLines/>
        <w:spacing w:before="40" w:after="0"/>
        <w:outlineLvl w:val="2"/>
        <w:rPr>
          <w:rFonts w:asciiTheme="majorHAnsi" w:eastAsiaTheme="majorEastAsia" w:hAnsiTheme="majorHAnsi" w:cstheme="majorBidi"/>
          <w:color w:val="243F60" w:themeColor="accent1" w:themeShade="7F"/>
        </w:rPr>
      </w:pPr>
      <w:bookmarkStart w:id="72" w:name="_Toc456682611"/>
      <w:bookmarkStart w:id="73" w:name="_Toc456689296"/>
      <w:bookmarkStart w:id="74" w:name="_Toc456879748"/>
      <w:r w:rsidRPr="001B6346">
        <w:rPr>
          <w:rFonts w:asciiTheme="majorHAnsi" w:eastAsiaTheme="majorEastAsia" w:hAnsiTheme="majorHAnsi" w:cstheme="majorBidi"/>
          <w:color w:val="243F60" w:themeColor="accent1" w:themeShade="7F"/>
        </w:rPr>
        <w:t>Third Party Verification</w:t>
      </w:r>
      <w:bookmarkEnd w:id="72"/>
      <w:bookmarkEnd w:id="73"/>
      <w:bookmarkEnd w:id="74"/>
    </w:p>
    <w:p w14:paraId="51F3B7DA" w14:textId="1AD1D8C0" w:rsidR="003224C5" w:rsidRPr="003224C5" w:rsidRDefault="003224C5" w:rsidP="00211E70">
      <w:r w:rsidRPr="003224C5">
        <w:t>Avista contracted with Nexant to review the</w:t>
      </w:r>
      <w:r w:rsidR="00FF7C4F">
        <w:t xml:space="preserve"> C</w:t>
      </w:r>
      <w:r w:rsidRPr="003224C5">
        <w:t xml:space="preserve">ompany’s conservation programs and verify its claimed savings. Although Nexant discovered that the realization rate of some measures was not always consistent with expectations (with some measures underperforming relative to expectations and others </w:t>
      </w:r>
      <w:r w:rsidRPr="003224C5" w:rsidDel="000721AD">
        <w:t>over</w:t>
      </w:r>
      <w:r w:rsidR="000721AD">
        <w:t>-</w:t>
      </w:r>
      <w:r w:rsidRPr="003224C5">
        <w:t xml:space="preserve">performing), on balance Nexant found that the performance of Avista’s portfolio was consistent with expected savings. </w:t>
      </w:r>
      <w:r w:rsidR="00FC538F">
        <w:t>U</w:t>
      </w:r>
      <w:r w:rsidRPr="003224C5">
        <w:t xml:space="preserve">nverified savings for the biennium derived from locked UES values was 70,693 MWh, </w:t>
      </w:r>
      <w:r w:rsidR="00CD37ED">
        <w:t xml:space="preserve">while </w:t>
      </w:r>
      <w:r w:rsidRPr="003224C5">
        <w:t>evaluated, ve</w:t>
      </w:r>
      <w:r w:rsidR="00090229">
        <w:t>rified savings</w:t>
      </w:r>
      <w:r w:rsidR="000721AD">
        <w:t xml:space="preserve"> (with adjusted UES values)</w:t>
      </w:r>
      <w:r w:rsidR="00090229">
        <w:t xml:space="preserve"> was 70,961 MWh. </w:t>
      </w:r>
      <w:r w:rsidR="000721AD">
        <w:t xml:space="preserve">Staff accepts the values derived from the locked UES values, consistent with the </w:t>
      </w:r>
      <w:r w:rsidR="00E201E9">
        <w:t>C</w:t>
      </w:r>
      <w:r w:rsidR="000721AD">
        <w:t>ommission’s order.</w:t>
      </w:r>
    </w:p>
    <w:p w14:paraId="0BE509C8" w14:textId="36DD380A" w:rsidR="003224C5" w:rsidRDefault="003224C5" w:rsidP="00B17B8D">
      <w:pPr>
        <w:spacing w:after="0"/>
      </w:pPr>
      <w:r w:rsidRPr="003224C5">
        <w:t xml:space="preserve">Although Nexant uncovered no serious infirmities during the review of Avista’s conservation programs over the biennium, </w:t>
      </w:r>
      <w:r w:rsidR="00B70CFF">
        <w:t>S</w:t>
      </w:r>
      <w:r w:rsidRPr="003224C5">
        <w:t>taff wish</w:t>
      </w:r>
      <w:r w:rsidR="00FC538F">
        <w:t>es</w:t>
      </w:r>
      <w:r w:rsidRPr="003224C5">
        <w:t xml:space="preserve"> to raise two issues specific to Avista: 1</w:t>
      </w:r>
      <w:r w:rsidR="00FC538F" w:rsidRPr="003224C5">
        <w:t>)</w:t>
      </w:r>
      <w:r w:rsidR="00FC538F">
        <w:t> </w:t>
      </w:r>
      <w:r w:rsidRPr="003224C5">
        <w:t>confusion over the appropriate UES values used for claiming savings</w:t>
      </w:r>
      <w:r w:rsidR="00FC538F">
        <w:t>;</w:t>
      </w:r>
      <w:r w:rsidR="00FC538F" w:rsidRPr="003224C5">
        <w:t xml:space="preserve"> </w:t>
      </w:r>
      <w:r w:rsidR="00B17B8D">
        <w:t>and</w:t>
      </w:r>
      <w:r w:rsidR="00FC538F">
        <w:t>,</w:t>
      </w:r>
      <w:r w:rsidR="00B17B8D">
        <w:t xml:space="preserve"> 2) the Opower interruption.</w:t>
      </w:r>
    </w:p>
    <w:p w14:paraId="0AFB043D" w14:textId="77777777" w:rsidR="00B17B8D" w:rsidRDefault="00B17B8D" w:rsidP="003224C5"/>
    <w:p w14:paraId="74B31599" w14:textId="552ECEE2" w:rsidR="003224C5" w:rsidRDefault="003224C5" w:rsidP="003224C5">
      <w:pPr>
        <w:pStyle w:val="Heading3"/>
      </w:pPr>
      <w:bookmarkStart w:id="75" w:name="_Toc456682612"/>
      <w:bookmarkStart w:id="76" w:name="_Toc456689297"/>
      <w:bookmarkStart w:id="77" w:name="_Toc456879749"/>
      <w:r>
        <w:t>Confusion over the appropriate UES values used for claiming savings</w:t>
      </w:r>
      <w:bookmarkEnd w:id="75"/>
      <w:bookmarkEnd w:id="76"/>
      <w:bookmarkEnd w:id="77"/>
    </w:p>
    <w:p w14:paraId="4D68D371" w14:textId="4F363E72" w:rsidR="003224C5" w:rsidRDefault="003224C5" w:rsidP="00211E70">
      <w:r>
        <w:t xml:space="preserve">In its BCR, Avista requested </w:t>
      </w:r>
      <w:r w:rsidR="00FC538F">
        <w:t xml:space="preserve">permission </w:t>
      </w:r>
      <w:r>
        <w:t xml:space="preserve">to claim </w:t>
      </w:r>
      <w:r w:rsidR="00120F56">
        <w:t>only</w:t>
      </w:r>
      <w:r>
        <w:t xml:space="preserve"> the savings reported by third party evaluator, Nexant</w:t>
      </w:r>
      <w:r w:rsidR="00FC538F">
        <w:t>,</w:t>
      </w:r>
      <w:r w:rsidR="00FC538F" w:rsidRPr="00FC538F">
        <w:t xml:space="preserve"> </w:t>
      </w:r>
      <w:r w:rsidR="00FC538F">
        <w:t>toward its target</w:t>
      </w:r>
      <w:r>
        <w:t xml:space="preserve">. In other words, Avista requested to abandon its position with regard to using locked UES values for reporting savings this biennium. </w:t>
      </w:r>
      <w:r w:rsidR="00120F56">
        <w:t>I</w:t>
      </w:r>
      <w:r>
        <w:t>n abandoning that position (which is memorialized in multiple documents entered into the record during the target-setting process)</w:t>
      </w:r>
      <w:r w:rsidR="00876D4D">
        <w:rPr>
          <w:rStyle w:val="FootnoteReference"/>
        </w:rPr>
        <w:footnoteReference w:id="38"/>
      </w:r>
      <w:r>
        <w:t xml:space="preserve">, </w:t>
      </w:r>
      <w:r w:rsidR="00120F56">
        <w:t>however,</w:t>
      </w:r>
      <w:r>
        <w:t xml:space="preserve"> Avista does not propose to supplant the locke</w:t>
      </w:r>
      <w:r w:rsidR="00CD37ED">
        <w:t>d</w:t>
      </w:r>
      <w:r>
        <w:t xml:space="preserve"> UES values with updated UES values provided by the Council’s Regional Technical Forum (RTF), or other UES values updated using data specific to Avista’s service territory and vetted through the Advisory Group process. Rather, Avista proposes to disregard all UES values previously identified by the RTF and previously vetted by the Advisory Group in favor of a single consultant’s eva</w:t>
      </w:r>
      <w:r w:rsidR="00090229">
        <w:t xml:space="preserve">luation of Avista’s portfolio. </w:t>
      </w:r>
    </w:p>
    <w:p w14:paraId="639A27F6" w14:textId="32162FC5" w:rsidR="00090229" w:rsidRDefault="003224C5" w:rsidP="003224C5">
      <w:r>
        <w:t xml:space="preserve">As a result of discussions with </w:t>
      </w:r>
      <w:r w:rsidR="00A13F7B">
        <w:t xml:space="preserve">Staff </w:t>
      </w:r>
      <w:r>
        <w:t xml:space="preserve">subsequent to the filing of its BCR, Avista has agreed to claim savings for this biennium consistent with its prior request to use locked UES values. Additionally, Avista has agreed, voluntarily, to claim savings using annually updated UES values for future biennia. As such, there is no issue with Avista’s claimed savings that requires additional </w:t>
      </w:r>
      <w:r w:rsidR="00E201E9">
        <w:t>C</w:t>
      </w:r>
      <w:r>
        <w:t xml:space="preserve">ommission intervention at this time. </w:t>
      </w:r>
    </w:p>
    <w:p w14:paraId="7707C38B" w14:textId="62737476" w:rsidR="003224C5" w:rsidRDefault="000721AD" w:rsidP="003224C5">
      <w:r>
        <w:t>As part of the annual update to its 2016-2017 BCP</w:t>
      </w:r>
      <w:r w:rsidR="003224C5">
        <w:t xml:space="preserve">, </w:t>
      </w:r>
      <w:r w:rsidR="00E201E9">
        <w:t>S</w:t>
      </w:r>
      <w:r>
        <w:t xml:space="preserve">taff recommends the </w:t>
      </w:r>
      <w:r w:rsidR="00E201E9">
        <w:t>C</w:t>
      </w:r>
      <w:r>
        <w:t xml:space="preserve">ommission direct </w:t>
      </w:r>
      <w:r w:rsidR="003224C5">
        <w:t>Avista to review the legal framework within which it operates its conservation programs</w:t>
      </w:r>
      <w:r w:rsidR="001705FD">
        <w:t>, including those</w:t>
      </w:r>
      <w:r w:rsidR="003224C5">
        <w:t xml:space="preserve"> </w:t>
      </w:r>
      <w:r w:rsidR="00E201E9">
        <w:t>C</w:t>
      </w:r>
      <w:r w:rsidR="003224C5">
        <w:t>ommission orders and associated conditions lists further clarifying this framework.</w:t>
      </w:r>
      <w:r w:rsidR="00626C56">
        <w:t xml:space="preserve"> Avista must provide a presentation on this subject to its board, and include such documentation in the annual update.</w:t>
      </w:r>
      <w:r w:rsidR="003224C5">
        <w:t xml:space="preserve"> </w:t>
      </w:r>
      <w:r w:rsidR="00D06066">
        <w:t xml:space="preserve">It would be helpful </w:t>
      </w:r>
      <w:r w:rsidR="004C03A9">
        <w:t>if</w:t>
      </w:r>
      <w:r w:rsidR="00D06066">
        <w:t xml:space="preserve"> the board’s response is also provided.</w:t>
      </w:r>
    </w:p>
    <w:p w14:paraId="4F4D0DF3" w14:textId="77777777" w:rsidR="00B17B8D" w:rsidRDefault="00B17B8D" w:rsidP="003224C5"/>
    <w:p w14:paraId="26E4FBC7" w14:textId="14222ECE" w:rsidR="003224C5" w:rsidRPr="003224C5" w:rsidRDefault="003224C5" w:rsidP="003224C5">
      <w:pPr>
        <w:pStyle w:val="Heading3"/>
      </w:pPr>
      <w:bookmarkStart w:id="78" w:name="_Toc456682613"/>
      <w:bookmarkStart w:id="79" w:name="_Toc456689298"/>
      <w:bookmarkStart w:id="80" w:name="_Toc456879750"/>
      <w:r>
        <w:t>Opower Interruption</w:t>
      </w:r>
      <w:bookmarkEnd w:id="78"/>
      <w:bookmarkEnd w:id="79"/>
      <w:bookmarkEnd w:id="80"/>
    </w:p>
    <w:p w14:paraId="66666417" w14:textId="453D4888" w:rsidR="00090229" w:rsidRDefault="003224C5" w:rsidP="00211E70">
      <w:r>
        <w:t xml:space="preserve">Between February and August, 2015, an error associated with the launch of Avista’s new customer care and billing system caused a six-month lapse in customers receiving Home Energy Reports from Opower. This issue has been discussed in great detail (and largely resolved) elsewhere, and so </w:t>
      </w:r>
      <w:r w:rsidR="00A13F7B">
        <w:t xml:space="preserve">Staff </w:t>
      </w:r>
      <w:r>
        <w:t>will not belabor the issue here, except to note</w:t>
      </w:r>
      <w:r w:rsidR="00F1306F">
        <w:t>:</w:t>
      </w:r>
      <w:r>
        <w:t xml:space="preserve"> 1) savings have been properly reported in Avista’s BCR</w:t>
      </w:r>
      <w:r w:rsidR="00F1306F">
        <w:t>;</w:t>
      </w:r>
      <w:r>
        <w:t xml:space="preserve"> and</w:t>
      </w:r>
      <w:r w:rsidR="00F1306F">
        <w:t>,</w:t>
      </w:r>
      <w:r>
        <w:t xml:space="preserve"> 2) the program continues to generate substantial savings. </w:t>
      </w:r>
    </w:p>
    <w:p w14:paraId="34BF9631" w14:textId="4D6BC002" w:rsidR="001B6346" w:rsidRPr="00090229" w:rsidRDefault="003224C5" w:rsidP="00090229">
      <w:r>
        <w:t xml:space="preserve">As Nexant describes in its evaluation report, savings did not significantly decline during or after the lapse. Further, to the extent that savings were impacted by the lapse in report mailings, a decline in savings would be captured in the billing analysis and would be netted out of total savings. Importantly, the lapse happened in the second year of the biennium. This means that savings are reported for 2014 and </w:t>
      </w:r>
      <w:r>
        <w:rPr>
          <w:i/>
          <w:iCs/>
        </w:rPr>
        <w:t>net</w:t>
      </w:r>
      <w:r>
        <w:t xml:space="preserve"> savings are reported for the second year. Accordingly, if savings had decreased in 2015</w:t>
      </w:r>
      <w:r w:rsidR="00F1306F">
        <w:t>,</w:t>
      </w:r>
      <w:r>
        <w:t xml:space="preserve"> the net </w:t>
      </w:r>
      <w:r w:rsidR="00F1306F">
        <w:t>savings</w:t>
      </w:r>
      <w:r>
        <w:t xml:space="preserve"> (relative to 2014) would have been negative and overall savings claimed for EIA compliance would </w:t>
      </w:r>
      <w:r w:rsidR="00F1306F">
        <w:t xml:space="preserve">also have </w:t>
      </w:r>
      <w:r>
        <w:t>be</w:t>
      </w:r>
      <w:r w:rsidR="00F1306F">
        <w:t>en</w:t>
      </w:r>
      <w:r>
        <w:t xml:space="preserve"> reduced. Staff is not concerned with the Opower savings Avista is claiming in its BCR, nor is it concerned </w:t>
      </w:r>
      <w:r w:rsidR="00F1306F">
        <w:t xml:space="preserve">that </w:t>
      </w:r>
      <w:r>
        <w:t>the six-month lapse will have serious negative impacts on the program going forward.</w:t>
      </w:r>
    </w:p>
    <w:p w14:paraId="34F1AD3E" w14:textId="77777777" w:rsidR="001B6346" w:rsidRPr="001B6346" w:rsidRDefault="001B6346" w:rsidP="001B6346">
      <w:pPr>
        <w:spacing w:before="0" w:after="0"/>
        <w:rPr>
          <w:color w:val="8064A2" w:themeColor="accent4"/>
        </w:rPr>
      </w:pPr>
    </w:p>
    <w:p w14:paraId="4C46F8F2" w14:textId="7F4827BE" w:rsidR="00090229" w:rsidRDefault="001B6346" w:rsidP="00DB1D5C">
      <w:pPr>
        <w:keepNext/>
        <w:keepLines/>
        <w:spacing w:before="40" w:after="0"/>
        <w:outlineLvl w:val="2"/>
        <w:rPr>
          <w:rFonts w:asciiTheme="majorHAnsi" w:eastAsiaTheme="majorEastAsia" w:hAnsiTheme="majorHAnsi" w:cstheme="majorBidi"/>
          <w:color w:val="243F60" w:themeColor="accent1" w:themeShade="7F"/>
        </w:rPr>
      </w:pPr>
      <w:bookmarkStart w:id="81" w:name="_Toc456682614"/>
      <w:bookmarkStart w:id="82" w:name="_Toc456689299"/>
      <w:bookmarkStart w:id="83" w:name="_Toc456879751"/>
      <w:r w:rsidRPr="001B6346">
        <w:rPr>
          <w:rFonts w:asciiTheme="majorHAnsi" w:eastAsiaTheme="majorEastAsia" w:hAnsiTheme="majorHAnsi" w:cstheme="majorBidi"/>
          <w:color w:val="243F60" w:themeColor="accent1" w:themeShade="7F"/>
        </w:rPr>
        <w:lastRenderedPageBreak/>
        <w:t>Reporting Requirements</w:t>
      </w:r>
      <w:bookmarkEnd w:id="81"/>
      <w:bookmarkEnd w:id="82"/>
      <w:bookmarkEnd w:id="83"/>
    </w:p>
    <w:p w14:paraId="39FBCC4C" w14:textId="3AB0AB06" w:rsidR="006B2DDB" w:rsidRPr="0096541B" w:rsidRDefault="006B2DDB" w:rsidP="00211E70">
      <w:r>
        <w:t xml:space="preserve">Staff has not identified any instance where Avista </w:t>
      </w:r>
      <w:r w:rsidR="00680D6C">
        <w:t>failed to meet</w:t>
      </w:r>
      <w:r>
        <w:t xml:space="preserve"> the reporting requirements laid out in Order 01 of docket UE-132045</w:t>
      </w:r>
      <w:r w:rsidR="0066485C">
        <w:t>, RCW 19.285.070,</w:t>
      </w:r>
      <w:r>
        <w:t xml:space="preserve"> and WAC 480-109-120(4).</w:t>
      </w:r>
    </w:p>
    <w:p w14:paraId="4CA5576D" w14:textId="77777777" w:rsidR="00090229" w:rsidRPr="00DB1D5C" w:rsidRDefault="00090229" w:rsidP="00E7172F">
      <w:pPr>
        <w:rPr>
          <w:rFonts w:eastAsiaTheme="majorEastAsia"/>
        </w:rPr>
      </w:pPr>
    </w:p>
    <w:p w14:paraId="09883FCB" w14:textId="48D66940" w:rsidR="00EF7490" w:rsidRDefault="008C0BC8" w:rsidP="007C079E">
      <w:pPr>
        <w:pStyle w:val="Heading2"/>
      </w:pPr>
      <w:bookmarkStart w:id="84" w:name="_Toc455489983"/>
      <w:bookmarkStart w:id="85" w:name="_Toc456682615"/>
      <w:bookmarkStart w:id="86" w:name="_Toc456689300"/>
      <w:bookmarkStart w:id="87" w:name="_Toc456879752"/>
      <w:r w:rsidRPr="008C0BC8">
        <w:rPr>
          <w:i/>
        </w:rPr>
        <w:t>Pacific Power &amp; Light Company</w:t>
      </w:r>
      <w:r w:rsidR="005E24D4">
        <w:rPr>
          <w:i/>
        </w:rPr>
        <w:t xml:space="preserve"> </w:t>
      </w:r>
      <w:r w:rsidR="007C079E">
        <w:rPr>
          <w:i/>
        </w:rPr>
        <w:t>(Docket UE-</w:t>
      </w:r>
      <w:r w:rsidR="005E24D4">
        <w:rPr>
          <w:i/>
        </w:rPr>
        <w:t>1</w:t>
      </w:r>
      <w:r>
        <w:rPr>
          <w:i/>
        </w:rPr>
        <w:t>32047</w:t>
      </w:r>
      <w:r w:rsidR="00EF7490">
        <w:rPr>
          <w:i/>
        </w:rPr>
        <w:t>)</w:t>
      </w:r>
      <w:bookmarkEnd w:id="84"/>
      <w:bookmarkEnd w:id="85"/>
      <w:bookmarkEnd w:id="86"/>
      <w:bookmarkEnd w:id="87"/>
    </w:p>
    <w:p w14:paraId="39676D18" w14:textId="77777777" w:rsidR="0072555A" w:rsidRDefault="0072555A" w:rsidP="0072555A">
      <w:pPr>
        <w:spacing w:before="0" w:after="0"/>
      </w:pPr>
    </w:p>
    <w:p w14:paraId="543F369D" w14:textId="2E8DD262" w:rsidR="001B6346" w:rsidRPr="001B6346" w:rsidRDefault="001B6346" w:rsidP="00C55E2C">
      <w:pPr>
        <w:keepNext/>
        <w:keepLines/>
        <w:spacing w:before="40" w:after="0"/>
        <w:outlineLvl w:val="2"/>
        <w:rPr>
          <w:rFonts w:asciiTheme="majorHAnsi" w:eastAsiaTheme="majorEastAsia" w:hAnsiTheme="majorHAnsi" w:cstheme="majorBidi"/>
          <w:color w:val="243F60" w:themeColor="accent1" w:themeShade="7F"/>
        </w:rPr>
      </w:pPr>
      <w:bookmarkStart w:id="88" w:name="_Toc456682616"/>
      <w:bookmarkStart w:id="89" w:name="_Toc456689301"/>
      <w:bookmarkStart w:id="90" w:name="_Toc456879753"/>
      <w:r w:rsidRPr="001B6346">
        <w:rPr>
          <w:rFonts w:asciiTheme="majorHAnsi" w:eastAsiaTheme="majorEastAsia" w:hAnsiTheme="majorHAnsi" w:cstheme="majorBidi"/>
          <w:color w:val="243F60" w:themeColor="accent1" w:themeShade="7F"/>
        </w:rPr>
        <w:t>Conservation Target</w:t>
      </w:r>
      <w:r w:rsidR="002556D8">
        <w:rPr>
          <w:rFonts w:asciiTheme="majorHAnsi" w:eastAsiaTheme="majorEastAsia" w:hAnsiTheme="majorHAnsi" w:cstheme="majorBidi"/>
          <w:color w:val="243F60" w:themeColor="accent1" w:themeShade="7F"/>
        </w:rPr>
        <w:t xml:space="preserve"> and Achievement</w:t>
      </w:r>
      <w:bookmarkEnd w:id="88"/>
      <w:bookmarkEnd w:id="89"/>
      <w:bookmarkEnd w:id="90"/>
    </w:p>
    <w:p w14:paraId="181F149B" w14:textId="3A7FD787" w:rsidR="00C55E2C" w:rsidRPr="00D71A37" w:rsidRDefault="00F93DB3" w:rsidP="00211E70">
      <w:r w:rsidRPr="002556D8">
        <w:t xml:space="preserve">In Order 01 of </w:t>
      </w:r>
      <w:r w:rsidR="00626C56">
        <w:t>UE-132047</w:t>
      </w:r>
      <w:r w:rsidRPr="002556D8">
        <w:t>, the Commission approved a 201</w:t>
      </w:r>
      <w:r w:rsidR="002556D8" w:rsidRPr="002556D8">
        <w:t>4</w:t>
      </w:r>
      <w:r w:rsidRPr="002556D8">
        <w:t>-201</w:t>
      </w:r>
      <w:r w:rsidR="002556D8" w:rsidRPr="002556D8">
        <w:t>5</w:t>
      </w:r>
      <w:r w:rsidRPr="002556D8">
        <w:t xml:space="preserve"> biennial conservation target </w:t>
      </w:r>
      <w:r w:rsidRPr="005959A4">
        <w:t xml:space="preserve">of </w:t>
      </w:r>
      <w:r w:rsidR="005959A4" w:rsidRPr="005959A4">
        <w:t>74,703</w:t>
      </w:r>
      <w:r w:rsidRPr="005959A4">
        <w:t xml:space="preserve"> megawatt-hours (MWh) for Pacifi</w:t>
      </w:r>
      <w:r w:rsidR="005959A4" w:rsidRPr="005959A4">
        <w:t>c</w:t>
      </w:r>
      <w:r w:rsidR="009B70AF" w:rsidRPr="009B70AF">
        <w:t xml:space="preserve"> Power</w:t>
      </w:r>
      <w:r w:rsidR="00FF7C4F">
        <w:t>. The C</w:t>
      </w:r>
      <w:r w:rsidRPr="005959A4">
        <w:t xml:space="preserve">ompany reports that it exceeded </w:t>
      </w:r>
      <w:r w:rsidR="005959A4" w:rsidRPr="005959A4">
        <w:t xml:space="preserve">this target, </w:t>
      </w:r>
      <w:r w:rsidRPr="005959A4">
        <w:t xml:space="preserve">achieving </w:t>
      </w:r>
      <w:r w:rsidR="005959A4" w:rsidRPr="005959A4">
        <w:t>98,881</w:t>
      </w:r>
      <w:r w:rsidRPr="005959A4">
        <w:t xml:space="preserve"> MWh. </w:t>
      </w:r>
      <w:r w:rsidR="00FF7C4F">
        <w:t>The C</w:t>
      </w:r>
      <w:r w:rsidRPr="00D71A37">
        <w:t>ompany spent about $</w:t>
      </w:r>
      <w:r w:rsidR="00D71A37" w:rsidRPr="00D71A37">
        <w:t>20.8</w:t>
      </w:r>
      <w:r w:rsidRPr="00D71A37">
        <w:t xml:space="preserve"> million, which is about </w:t>
      </w:r>
      <w:r w:rsidR="00D71A37" w:rsidRPr="00D71A37">
        <w:t>three</w:t>
      </w:r>
      <w:r w:rsidRPr="00D71A37">
        <w:t xml:space="preserve"> percent </w:t>
      </w:r>
      <w:r w:rsidR="00D71A37" w:rsidRPr="00D71A37">
        <w:t>more</w:t>
      </w:r>
      <w:r w:rsidRPr="00D71A37">
        <w:t xml:space="preserve"> than the $20.</w:t>
      </w:r>
      <w:r w:rsidR="00D71A37" w:rsidRPr="00D71A37">
        <w:t>2</w:t>
      </w:r>
      <w:r w:rsidRPr="00D71A37">
        <w:t xml:space="preserve"> million budget the Commission approved. </w:t>
      </w:r>
      <w:r w:rsidR="00B2377B">
        <w:t>When including NEEA</w:t>
      </w:r>
      <w:r w:rsidR="004C03A9">
        <w:t xml:space="preserve"> savings</w:t>
      </w:r>
      <w:r w:rsidR="00B2377B">
        <w:t>, the values increase to total conservation</w:t>
      </w:r>
      <w:r w:rsidR="00626C56">
        <w:t xml:space="preserve"> savings</w:t>
      </w:r>
      <w:r w:rsidR="00B2377B">
        <w:t xml:space="preserve"> of 111,160 MWh and expenditures of $22,888,355. </w:t>
      </w:r>
      <w:r w:rsidR="00B2377B" w:rsidRPr="00B2377B">
        <w:t>The total</w:t>
      </w:r>
      <w:r w:rsidR="00AF4DB5" w:rsidRPr="00B2377B">
        <w:t xml:space="preserve"> portfoli</w:t>
      </w:r>
      <w:r w:rsidR="00B2377B" w:rsidRPr="00B2377B">
        <w:t>o cost-</w:t>
      </w:r>
      <w:r w:rsidR="00033EB6" w:rsidRPr="00B2377B">
        <w:t>effectiveness</w:t>
      </w:r>
      <w:r w:rsidR="00B2377B" w:rsidRPr="00B2377B">
        <w:t xml:space="preserve">, including NEEA, is 1.7. </w:t>
      </w:r>
      <w:r w:rsidRPr="00D71A37">
        <w:t xml:space="preserve">A summary of </w:t>
      </w:r>
      <w:r w:rsidR="00DE13E1">
        <w:t>Pacific</w:t>
      </w:r>
      <w:r w:rsidR="009B70AF" w:rsidRPr="009B70AF">
        <w:t xml:space="preserve"> Power</w:t>
      </w:r>
      <w:r w:rsidRPr="00D71A37">
        <w:t xml:space="preserve">’s reported savings and expenses </w:t>
      </w:r>
      <w:r w:rsidR="00626C56">
        <w:t>follows</w:t>
      </w:r>
      <w:r w:rsidRPr="00D71A37">
        <w:t>:</w:t>
      </w:r>
    </w:p>
    <w:p w14:paraId="59447DA6" w14:textId="77777777" w:rsidR="002556D8" w:rsidRDefault="002556D8" w:rsidP="00211E70">
      <w:pPr>
        <w:rPr>
          <w:b/>
          <w:i/>
        </w:rPr>
      </w:pPr>
    </w:p>
    <w:p w14:paraId="49284AA2" w14:textId="26A0D15E" w:rsidR="008E0F23" w:rsidRPr="00A37817" w:rsidRDefault="00A37817" w:rsidP="00614F0F">
      <w:pPr>
        <w:pStyle w:val="Caption"/>
        <w:keepNext/>
        <w:keepLines/>
        <w:rPr>
          <w:b/>
          <w:i w:val="0"/>
          <w:color w:val="auto"/>
          <w:sz w:val="24"/>
          <w:szCs w:val="24"/>
        </w:rPr>
      </w:pPr>
      <w:bookmarkStart w:id="91" w:name="_Toc456682593"/>
      <w:bookmarkStart w:id="92" w:name="_Toc456689278"/>
      <w:bookmarkStart w:id="93" w:name="_Toc456867232"/>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7</w:t>
      </w:r>
      <w:r w:rsidRPr="00A37817">
        <w:rPr>
          <w:b/>
          <w:i w:val="0"/>
          <w:color w:val="auto"/>
          <w:sz w:val="24"/>
          <w:szCs w:val="24"/>
        </w:rPr>
        <w:fldChar w:fldCharType="end"/>
      </w:r>
      <w:r w:rsidRPr="00A37817">
        <w:rPr>
          <w:b/>
          <w:i w:val="0"/>
          <w:color w:val="auto"/>
          <w:sz w:val="24"/>
          <w:szCs w:val="24"/>
        </w:rPr>
        <w:t xml:space="preserve">: Summary of </w:t>
      </w:r>
      <w:r w:rsidR="00DE13E1">
        <w:rPr>
          <w:b/>
          <w:i w:val="0"/>
          <w:color w:val="auto"/>
          <w:sz w:val="24"/>
          <w:szCs w:val="24"/>
        </w:rPr>
        <w:t>Pacific</w:t>
      </w:r>
      <w:r w:rsidR="009B70AF" w:rsidRPr="009B70AF">
        <w:t xml:space="preserve"> </w:t>
      </w:r>
      <w:r w:rsidR="009B70AF" w:rsidRPr="009B70AF">
        <w:rPr>
          <w:b/>
          <w:i w:val="0"/>
          <w:color w:val="auto"/>
          <w:sz w:val="24"/>
          <w:szCs w:val="24"/>
        </w:rPr>
        <w:t>Power</w:t>
      </w:r>
      <w:r w:rsidRPr="00A37817">
        <w:rPr>
          <w:b/>
          <w:i w:val="0"/>
          <w:color w:val="auto"/>
          <w:sz w:val="24"/>
          <w:szCs w:val="24"/>
        </w:rPr>
        <w:t xml:space="preserve">’s </w:t>
      </w:r>
      <w:r w:rsidR="00874F09">
        <w:rPr>
          <w:b/>
          <w:i w:val="0"/>
          <w:color w:val="auto"/>
          <w:sz w:val="24"/>
          <w:szCs w:val="24"/>
        </w:rPr>
        <w:t>2014-</w:t>
      </w:r>
      <w:r w:rsidRPr="00A37817">
        <w:rPr>
          <w:b/>
          <w:i w:val="0"/>
          <w:color w:val="auto"/>
          <w:sz w:val="24"/>
          <w:szCs w:val="24"/>
        </w:rPr>
        <w:t>2015 Conservation Achievements</w:t>
      </w:r>
      <w:r w:rsidR="00090229">
        <w:rPr>
          <w:rStyle w:val="FootnoteReference"/>
          <w:b/>
          <w:i w:val="0"/>
          <w:color w:val="auto"/>
          <w:sz w:val="24"/>
          <w:szCs w:val="24"/>
        </w:rPr>
        <w:footnoteReference w:id="39"/>
      </w:r>
      <w:bookmarkEnd w:id="91"/>
      <w:bookmarkEnd w:id="92"/>
      <w:bookmarkEnd w:id="93"/>
      <w:r w:rsidR="005959A4">
        <w:rPr>
          <w:b/>
          <w:i w:val="0"/>
          <w:color w:val="auto"/>
          <w:sz w:val="24"/>
          <w:szCs w:val="24"/>
        </w:rPr>
        <w:t xml:space="preserve"> </w:t>
      </w:r>
    </w:p>
    <w:tbl>
      <w:tblPr>
        <w:tblStyle w:val="TableGrid"/>
        <w:tblW w:w="0" w:type="auto"/>
        <w:tblLook w:val="04A0" w:firstRow="1" w:lastRow="0" w:firstColumn="1" w:lastColumn="0" w:noHBand="0" w:noVBand="1"/>
      </w:tblPr>
      <w:tblGrid>
        <w:gridCol w:w="2729"/>
        <w:gridCol w:w="1944"/>
        <w:gridCol w:w="2331"/>
        <w:gridCol w:w="2346"/>
      </w:tblGrid>
      <w:tr w:rsidR="008E0F23" w14:paraId="53EE1171" w14:textId="77777777" w:rsidTr="008E0F23">
        <w:trPr>
          <w:trHeight w:val="395"/>
        </w:trPr>
        <w:tc>
          <w:tcPr>
            <w:tcW w:w="2808" w:type="dxa"/>
            <w:vAlign w:val="center"/>
          </w:tcPr>
          <w:p w14:paraId="29C3FFB2" w14:textId="77777777" w:rsidR="008E0F23" w:rsidRDefault="008E0F23" w:rsidP="00614F0F">
            <w:pPr>
              <w:keepNext/>
              <w:keepLines/>
            </w:pPr>
          </w:p>
        </w:tc>
        <w:tc>
          <w:tcPr>
            <w:tcW w:w="1980" w:type="dxa"/>
            <w:vAlign w:val="center"/>
          </w:tcPr>
          <w:p w14:paraId="5F351725" w14:textId="77777777" w:rsidR="008E0F23" w:rsidRPr="00CC6F5C" w:rsidRDefault="008E0F23" w:rsidP="00614F0F">
            <w:pPr>
              <w:keepNext/>
              <w:keepLines/>
              <w:rPr>
                <w:b/>
              </w:rPr>
            </w:pPr>
            <w:r w:rsidRPr="00CC6F5C">
              <w:rPr>
                <w:b/>
              </w:rPr>
              <w:t>Target</w:t>
            </w:r>
          </w:p>
        </w:tc>
        <w:tc>
          <w:tcPr>
            <w:tcW w:w="2394" w:type="dxa"/>
            <w:vAlign w:val="center"/>
          </w:tcPr>
          <w:p w14:paraId="12C5CB39" w14:textId="77777777" w:rsidR="008E0F23" w:rsidRPr="00CC6F5C" w:rsidRDefault="008E0F23" w:rsidP="00614F0F">
            <w:pPr>
              <w:keepNext/>
              <w:keepLines/>
              <w:rPr>
                <w:b/>
              </w:rPr>
            </w:pPr>
            <w:r w:rsidRPr="00CC6F5C">
              <w:rPr>
                <w:b/>
              </w:rPr>
              <w:t>Actual</w:t>
            </w:r>
          </w:p>
        </w:tc>
        <w:tc>
          <w:tcPr>
            <w:tcW w:w="2394" w:type="dxa"/>
            <w:vAlign w:val="center"/>
          </w:tcPr>
          <w:p w14:paraId="491208F2" w14:textId="0C830D40" w:rsidR="008E0F23" w:rsidRPr="00CC6F5C" w:rsidRDefault="00160302" w:rsidP="00614F0F">
            <w:pPr>
              <w:keepNext/>
              <w:keepLines/>
              <w:rPr>
                <w:b/>
              </w:rPr>
            </w:pPr>
            <w:r>
              <w:rPr>
                <w:b/>
              </w:rPr>
              <w:t>Actual/Target Percentage</w:t>
            </w:r>
          </w:p>
        </w:tc>
      </w:tr>
      <w:tr w:rsidR="008E0F23" w14:paraId="53B633FA" w14:textId="77777777" w:rsidTr="008E0F23">
        <w:trPr>
          <w:trHeight w:val="440"/>
        </w:trPr>
        <w:tc>
          <w:tcPr>
            <w:tcW w:w="2808" w:type="dxa"/>
            <w:vAlign w:val="center"/>
          </w:tcPr>
          <w:p w14:paraId="6F1FFA9C" w14:textId="77777777" w:rsidR="008E0F23" w:rsidRPr="00CC6F5C" w:rsidRDefault="008E0F23" w:rsidP="00614F0F">
            <w:pPr>
              <w:keepNext/>
              <w:keepLines/>
              <w:rPr>
                <w:b/>
              </w:rPr>
            </w:pPr>
            <w:r w:rsidRPr="00CC6F5C">
              <w:rPr>
                <w:b/>
              </w:rPr>
              <w:t>Savings (MWh)</w:t>
            </w:r>
          </w:p>
        </w:tc>
        <w:tc>
          <w:tcPr>
            <w:tcW w:w="1980" w:type="dxa"/>
            <w:vAlign w:val="center"/>
          </w:tcPr>
          <w:p w14:paraId="38DE155A" w14:textId="5B7E7F16" w:rsidR="008E0F23" w:rsidRPr="008E0F23" w:rsidRDefault="005959A4" w:rsidP="00614F0F">
            <w:pPr>
              <w:keepNext/>
              <w:keepLines/>
              <w:jc w:val="center"/>
              <w:rPr>
                <w:highlight w:val="yellow"/>
              </w:rPr>
            </w:pPr>
            <w:r w:rsidRPr="005959A4">
              <w:t>74,703</w:t>
            </w:r>
          </w:p>
        </w:tc>
        <w:tc>
          <w:tcPr>
            <w:tcW w:w="2394" w:type="dxa"/>
            <w:vAlign w:val="center"/>
          </w:tcPr>
          <w:p w14:paraId="3AE60014" w14:textId="41777236" w:rsidR="008E0F23" w:rsidRPr="008E0F23" w:rsidRDefault="005959A4" w:rsidP="00614F0F">
            <w:pPr>
              <w:keepNext/>
              <w:keepLines/>
              <w:jc w:val="center"/>
              <w:rPr>
                <w:highlight w:val="yellow"/>
              </w:rPr>
            </w:pPr>
            <w:r w:rsidRPr="005959A4">
              <w:t>98,881</w:t>
            </w:r>
          </w:p>
        </w:tc>
        <w:tc>
          <w:tcPr>
            <w:tcW w:w="2394" w:type="dxa"/>
            <w:vMerge w:val="restart"/>
            <w:vAlign w:val="center"/>
          </w:tcPr>
          <w:p w14:paraId="249DC5B3" w14:textId="49E2F237" w:rsidR="008E0F23" w:rsidRPr="008E0F23" w:rsidRDefault="008E0F23" w:rsidP="00614F0F">
            <w:pPr>
              <w:keepNext/>
              <w:keepLines/>
              <w:jc w:val="center"/>
              <w:rPr>
                <w:highlight w:val="yellow"/>
              </w:rPr>
            </w:pPr>
            <w:r w:rsidRPr="005959A4">
              <w:t>1</w:t>
            </w:r>
            <w:r w:rsidR="005959A4" w:rsidRPr="005959A4">
              <w:t>32</w:t>
            </w:r>
            <w:r w:rsidRPr="005959A4">
              <w:t>%</w:t>
            </w:r>
          </w:p>
        </w:tc>
      </w:tr>
      <w:tr w:rsidR="008E0F23" w14:paraId="48ABC3E1" w14:textId="77777777" w:rsidTr="008E0F23">
        <w:trPr>
          <w:trHeight w:val="440"/>
        </w:trPr>
        <w:tc>
          <w:tcPr>
            <w:tcW w:w="2808" w:type="dxa"/>
            <w:vAlign w:val="center"/>
          </w:tcPr>
          <w:p w14:paraId="0FF4D065" w14:textId="77777777" w:rsidR="008E0F23" w:rsidRPr="00CC6F5C" w:rsidRDefault="008E0F23" w:rsidP="00614F0F">
            <w:pPr>
              <w:keepNext/>
              <w:keepLines/>
              <w:rPr>
                <w:b/>
              </w:rPr>
            </w:pPr>
            <w:r w:rsidRPr="00CC6F5C">
              <w:rPr>
                <w:b/>
              </w:rPr>
              <w:t>Savings (average MW)</w:t>
            </w:r>
          </w:p>
        </w:tc>
        <w:tc>
          <w:tcPr>
            <w:tcW w:w="1980" w:type="dxa"/>
            <w:vAlign w:val="center"/>
          </w:tcPr>
          <w:p w14:paraId="3DEB6C9D" w14:textId="19ABFF64" w:rsidR="008E0F23" w:rsidRPr="008E0F23" w:rsidRDefault="00D71A37" w:rsidP="00614F0F">
            <w:pPr>
              <w:keepNext/>
              <w:keepLines/>
              <w:jc w:val="center"/>
              <w:rPr>
                <w:highlight w:val="yellow"/>
              </w:rPr>
            </w:pPr>
            <w:r w:rsidRPr="00D71A37">
              <w:t>8.528</w:t>
            </w:r>
          </w:p>
        </w:tc>
        <w:tc>
          <w:tcPr>
            <w:tcW w:w="2394" w:type="dxa"/>
            <w:vAlign w:val="center"/>
          </w:tcPr>
          <w:p w14:paraId="0BB2862D" w14:textId="07E16C76" w:rsidR="008E0F23" w:rsidRPr="008E0F23" w:rsidRDefault="00D71A37" w:rsidP="00614F0F">
            <w:pPr>
              <w:keepNext/>
              <w:keepLines/>
              <w:jc w:val="center"/>
              <w:rPr>
                <w:highlight w:val="yellow"/>
              </w:rPr>
            </w:pPr>
            <w:r w:rsidRPr="00D71A37">
              <w:t>11.288</w:t>
            </w:r>
          </w:p>
        </w:tc>
        <w:tc>
          <w:tcPr>
            <w:tcW w:w="2394" w:type="dxa"/>
            <w:vMerge/>
            <w:vAlign w:val="center"/>
          </w:tcPr>
          <w:p w14:paraId="5AD2163B" w14:textId="77777777" w:rsidR="008E0F23" w:rsidRPr="008E0F23" w:rsidRDefault="008E0F23" w:rsidP="00614F0F">
            <w:pPr>
              <w:keepNext/>
              <w:keepLines/>
              <w:jc w:val="center"/>
              <w:rPr>
                <w:highlight w:val="yellow"/>
              </w:rPr>
            </w:pPr>
          </w:p>
        </w:tc>
      </w:tr>
      <w:tr w:rsidR="008E0F23" w14:paraId="682A4C4B" w14:textId="77777777" w:rsidTr="008E0F23">
        <w:trPr>
          <w:trHeight w:val="440"/>
        </w:trPr>
        <w:tc>
          <w:tcPr>
            <w:tcW w:w="2808" w:type="dxa"/>
            <w:vAlign w:val="center"/>
          </w:tcPr>
          <w:p w14:paraId="00865E8B" w14:textId="77777777" w:rsidR="008E0F23" w:rsidRPr="00CC6F5C" w:rsidRDefault="008E0F23" w:rsidP="00614F0F">
            <w:pPr>
              <w:keepNext/>
              <w:keepLines/>
              <w:rPr>
                <w:b/>
              </w:rPr>
            </w:pPr>
            <w:r w:rsidRPr="00CC6F5C">
              <w:rPr>
                <w:b/>
              </w:rPr>
              <w:t>Expenditures</w:t>
            </w:r>
          </w:p>
        </w:tc>
        <w:tc>
          <w:tcPr>
            <w:tcW w:w="1980" w:type="dxa"/>
            <w:vAlign w:val="center"/>
          </w:tcPr>
          <w:p w14:paraId="3DE598C5" w14:textId="6E2DCA6A" w:rsidR="008E0F23" w:rsidRPr="005959A4" w:rsidRDefault="008E0F23" w:rsidP="00614F0F">
            <w:pPr>
              <w:keepNext/>
              <w:keepLines/>
              <w:jc w:val="center"/>
            </w:pPr>
            <w:r w:rsidRPr="005959A4">
              <w:t>$20,</w:t>
            </w:r>
            <w:r w:rsidR="005959A4" w:rsidRPr="005959A4">
              <w:t>242</w:t>
            </w:r>
            <w:r w:rsidRPr="005959A4">
              <w:t>,</w:t>
            </w:r>
            <w:r w:rsidR="005959A4" w:rsidRPr="005959A4">
              <w:t>600</w:t>
            </w:r>
          </w:p>
        </w:tc>
        <w:tc>
          <w:tcPr>
            <w:tcW w:w="2394" w:type="dxa"/>
            <w:vAlign w:val="center"/>
          </w:tcPr>
          <w:p w14:paraId="2C227FBB" w14:textId="29F2EE2F" w:rsidR="008E0F23" w:rsidRPr="005959A4" w:rsidRDefault="008E0F23" w:rsidP="00614F0F">
            <w:pPr>
              <w:keepNext/>
              <w:keepLines/>
              <w:jc w:val="center"/>
            </w:pPr>
            <w:r w:rsidRPr="005959A4">
              <w:t>$</w:t>
            </w:r>
            <w:r w:rsidR="005959A4" w:rsidRPr="005959A4">
              <w:t>20</w:t>
            </w:r>
            <w:r w:rsidRPr="005959A4">
              <w:t>,</w:t>
            </w:r>
            <w:r w:rsidR="005959A4" w:rsidRPr="005959A4">
              <w:t>829</w:t>
            </w:r>
            <w:r w:rsidRPr="005959A4">
              <w:t>,</w:t>
            </w:r>
            <w:r w:rsidR="005959A4" w:rsidRPr="005959A4">
              <w:t>232</w:t>
            </w:r>
          </w:p>
        </w:tc>
        <w:tc>
          <w:tcPr>
            <w:tcW w:w="2394" w:type="dxa"/>
            <w:vAlign w:val="center"/>
          </w:tcPr>
          <w:p w14:paraId="428AF6C9" w14:textId="606F53E9" w:rsidR="008E0F23" w:rsidRPr="008E0F23" w:rsidRDefault="005959A4" w:rsidP="00614F0F">
            <w:pPr>
              <w:keepNext/>
              <w:keepLines/>
              <w:jc w:val="center"/>
              <w:rPr>
                <w:highlight w:val="yellow"/>
              </w:rPr>
            </w:pPr>
            <w:r w:rsidRPr="005959A4">
              <w:t>103</w:t>
            </w:r>
            <w:r w:rsidR="008E0F23" w:rsidRPr="005959A4">
              <w:t>%</w:t>
            </w:r>
          </w:p>
        </w:tc>
      </w:tr>
    </w:tbl>
    <w:p w14:paraId="4D63EA86" w14:textId="77777777" w:rsidR="008E0F23" w:rsidRPr="001B6346" w:rsidRDefault="008E0F23" w:rsidP="00C55E2C">
      <w:pPr>
        <w:spacing w:before="0" w:after="0"/>
        <w:rPr>
          <w:color w:val="8064A2" w:themeColor="accent4"/>
        </w:rPr>
      </w:pPr>
    </w:p>
    <w:p w14:paraId="2690988A" w14:textId="113091AE" w:rsidR="00CA5AB5" w:rsidRPr="00CA5AB5" w:rsidRDefault="00CA5AB5" w:rsidP="00F50DFE">
      <w:pPr>
        <w:spacing w:before="0"/>
      </w:pPr>
      <w:r>
        <w:t xml:space="preserve">As demonstrated </w:t>
      </w:r>
      <w:r w:rsidDel="00626C56">
        <w:t xml:space="preserve">in </w:t>
      </w:r>
      <w:r w:rsidR="00626C56">
        <w:t>the following table</w:t>
      </w:r>
      <w:r>
        <w:t>, Pacific Power’s performance at the program</w:t>
      </w:r>
      <w:r w:rsidR="00626C56">
        <w:t xml:space="preserve"> or sector</w:t>
      </w:r>
      <w:r>
        <w:t xml:space="preserve"> level kept close to the planned level of both budget and savings. The major exception to this is in the </w:t>
      </w:r>
      <w:r w:rsidR="00CD37ED">
        <w:t>a</w:t>
      </w:r>
      <w:r w:rsidR="00FF7C4F">
        <w:t>gricultural sector, where the C</w:t>
      </w:r>
      <w:r>
        <w:t xml:space="preserve">ompany spent six times more than planned </w:t>
      </w:r>
      <w:r w:rsidR="00626C56">
        <w:t xml:space="preserve">but </w:t>
      </w:r>
      <w:r>
        <w:t>achieved eight times the savings.</w:t>
      </w:r>
    </w:p>
    <w:p w14:paraId="1D39FF0B" w14:textId="06D0C257" w:rsidR="00C55E2C" w:rsidRPr="00874F09" w:rsidRDefault="00874F09" w:rsidP="00614F0F">
      <w:pPr>
        <w:pStyle w:val="Caption"/>
        <w:keepNext/>
        <w:keepLines/>
        <w:rPr>
          <w:b/>
          <w:i w:val="0"/>
          <w:color w:val="auto"/>
          <w:sz w:val="24"/>
          <w:szCs w:val="24"/>
        </w:rPr>
      </w:pPr>
      <w:bookmarkStart w:id="94" w:name="_Toc456682594"/>
      <w:bookmarkStart w:id="95" w:name="_Toc456689279"/>
      <w:bookmarkStart w:id="96" w:name="_Toc456867233"/>
      <w:r w:rsidRPr="00874F09">
        <w:rPr>
          <w:b/>
          <w:i w:val="0"/>
          <w:color w:val="auto"/>
          <w:sz w:val="24"/>
          <w:szCs w:val="24"/>
        </w:rPr>
        <w:lastRenderedPageBreak/>
        <w:t xml:space="preserve">Table </w:t>
      </w:r>
      <w:r w:rsidRPr="00874F09">
        <w:rPr>
          <w:b/>
          <w:i w:val="0"/>
          <w:color w:val="auto"/>
          <w:sz w:val="24"/>
          <w:szCs w:val="24"/>
        </w:rPr>
        <w:fldChar w:fldCharType="begin"/>
      </w:r>
      <w:r w:rsidRPr="00874F09">
        <w:rPr>
          <w:b/>
          <w:i w:val="0"/>
          <w:color w:val="auto"/>
          <w:sz w:val="24"/>
          <w:szCs w:val="24"/>
        </w:rPr>
        <w:instrText xml:space="preserve"> SEQ Table \* ARABIC </w:instrText>
      </w:r>
      <w:r w:rsidRPr="00874F09">
        <w:rPr>
          <w:b/>
          <w:i w:val="0"/>
          <w:color w:val="auto"/>
          <w:sz w:val="24"/>
          <w:szCs w:val="24"/>
        </w:rPr>
        <w:fldChar w:fldCharType="separate"/>
      </w:r>
      <w:r w:rsidR="00D239F3">
        <w:rPr>
          <w:b/>
          <w:i w:val="0"/>
          <w:noProof/>
          <w:color w:val="auto"/>
          <w:sz w:val="24"/>
          <w:szCs w:val="24"/>
        </w:rPr>
        <w:t>8</w:t>
      </w:r>
      <w:r w:rsidRPr="00874F09">
        <w:rPr>
          <w:b/>
          <w:i w:val="0"/>
          <w:color w:val="auto"/>
          <w:sz w:val="24"/>
          <w:szCs w:val="24"/>
        </w:rPr>
        <w:fldChar w:fldCharType="end"/>
      </w:r>
      <w:r w:rsidRPr="00874F09">
        <w:rPr>
          <w:b/>
          <w:i w:val="0"/>
          <w:color w:val="auto"/>
          <w:sz w:val="24"/>
          <w:szCs w:val="24"/>
        </w:rPr>
        <w:t>: Pacific</w:t>
      </w:r>
      <w:r w:rsidR="009B70AF" w:rsidRPr="009B70AF">
        <w:t xml:space="preserve"> </w:t>
      </w:r>
      <w:r w:rsidR="009B70AF" w:rsidRPr="009B70AF">
        <w:rPr>
          <w:b/>
          <w:i w:val="0"/>
          <w:color w:val="auto"/>
          <w:sz w:val="24"/>
          <w:szCs w:val="24"/>
        </w:rPr>
        <w:t>Power</w:t>
      </w:r>
      <w:r w:rsidRPr="00874F09">
        <w:rPr>
          <w:b/>
          <w:i w:val="0"/>
          <w:color w:val="auto"/>
          <w:sz w:val="24"/>
          <w:szCs w:val="24"/>
        </w:rPr>
        <w:t xml:space="preserve">’s </w:t>
      </w:r>
      <w:r w:rsidR="00891108">
        <w:rPr>
          <w:b/>
          <w:i w:val="0"/>
          <w:color w:val="auto"/>
          <w:sz w:val="24"/>
          <w:szCs w:val="24"/>
        </w:rPr>
        <w:t>2014-</w:t>
      </w:r>
      <w:r w:rsidRPr="00874F09">
        <w:rPr>
          <w:b/>
          <w:i w:val="0"/>
          <w:color w:val="auto"/>
          <w:sz w:val="24"/>
          <w:szCs w:val="24"/>
        </w:rPr>
        <w:t>2015 Conservation Achievements by Program</w:t>
      </w:r>
      <w:bookmarkEnd w:id="94"/>
      <w:bookmarkEnd w:id="95"/>
      <w:bookmarkEnd w:id="96"/>
    </w:p>
    <w:tbl>
      <w:tblPr>
        <w:tblStyle w:val="TableGrid"/>
        <w:tblW w:w="0" w:type="auto"/>
        <w:tblLook w:val="04A0" w:firstRow="1" w:lastRow="0" w:firstColumn="1" w:lastColumn="0" w:noHBand="0" w:noVBand="1"/>
      </w:tblPr>
      <w:tblGrid>
        <w:gridCol w:w="1746"/>
        <w:gridCol w:w="1579"/>
        <w:gridCol w:w="1287"/>
        <w:gridCol w:w="1487"/>
        <w:gridCol w:w="1864"/>
        <w:gridCol w:w="1387"/>
      </w:tblGrid>
      <w:tr w:rsidR="00E34D3F" w14:paraId="20B74028" w14:textId="77777777" w:rsidTr="00163113">
        <w:tc>
          <w:tcPr>
            <w:tcW w:w="1746" w:type="dxa"/>
          </w:tcPr>
          <w:p w14:paraId="1B40DC15" w14:textId="77777777" w:rsidR="00D71A37" w:rsidRDefault="00D71A37" w:rsidP="00614F0F">
            <w:pPr>
              <w:keepNext/>
              <w:keepLines/>
            </w:pPr>
            <w:r>
              <w:t>Program</w:t>
            </w:r>
          </w:p>
        </w:tc>
        <w:tc>
          <w:tcPr>
            <w:tcW w:w="1579" w:type="dxa"/>
          </w:tcPr>
          <w:p w14:paraId="2247C362" w14:textId="36AD7971" w:rsidR="00D71A37" w:rsidRDefault="00E34D3F" w:rsidP="00614F0F">
            <w:pPr>
              <w:keepNext/>
              <w:keepLines/>
            </w:pPr>
            <w:r>
              <w:t xml:space="preserve">Anticipated Savings </w:t>
            </w:r>
            <w:r w:rsidR="00D71A37" w:rsidRPr="00CB749A">
              <w:t>(MWh)</w:t>
            </w:r>
          </w:p>
        </w:tc>
        <w:tc>
          <w:tcPr>
            <w:tcW w:w="1287" w:type="dxa"/>
          </w:tcPr>
          <w:p w14:paraId="361F5175" w14:textId="43F457E9" w:rsidR="00D71A37" w:rsidRDefault="00E34D3F" w:rsidP="00614F0F">
            <w:pPr>
              <w:keepNext/>
              <w:keepLines/>
            </w:pPr>
            <w:r>
              <w:t xml:space="preserve">Actual </w:t>
            </w:r>
            <w:r w:rsidR="00D71A37">
              <w:t xml:space="preserve">Savings </w:t>
            </w:r>
            <w:r w:rsidR="00D71A37" w:rsidRPr="00CB749A">
              <w:t>(MWh)</w:t>
            </w:r>
          </w:p>
        </w:tc>
        <w:tc>
          <w:tcPr>
            <w:tcW w:w="1487" w:type="dxa"/>
          </w:tcPr>
          <w:p w14:paraId="6A84BA96" w14:textId="77777777" w:rsidR="00D71A37" w:rsidRDefault="00D71A37" w:rsidP="00614F0F">
            <w:pPr>
              <w:keepNext/>
              <w:keepLines/>
            </w:pPr>
            <w:r>
              <w:t>Budget</w:t>
            </w:r>
          </w:p>
        </w:tc>
        <w:tc>
          <w:tcPr>
            <w:tcW w:w="1864" w:type="dxa"/>
          </w:tcPr>
          <w:p w14:paraId="00F6F878" w14:textId="77777777" w:rsidR="00D71A37" w:rsidRDefault="00D71A37" w:rsidP="00614F0F">
            <w:pPr>
              <w:keepNext/>
              <w:keepLines/>
            </w:pPr>
            <w:r>
              <w:t>Expenditures</w:t>
            </w:r>
          </w:p>
        </w:tc>
        <w:tc>
          <w:tcPr>
            <w:tcW w:w="1387" w:type="dxa"/>
          </w:tcPr>
          <w:p w14:paraId="1DA6BD42" w14:textId="1456BF0C" w:rsidR="00D71A37" w:rsidRDefault="00D71A37" w:rsidP="00614F0F">
            <w:pPr>
              <w:keepNext/>
              <w:keepLines/>
            </w:pPr>
            <w:r>
              <w:t>TRC</w:t>
            </w:r>
            <w:r w:rsidR="00A46EBF">
              <w:rPr>
                <w:rStyle w:val="FootnoteReference"/>
              </w:rPr>
              <w:footnoteReference w:id="40"/>
            </w:r>
            <w:r>
              <w:t xml:space="preserve"> </w:t>
            </w:r>
          </w:p>
        </w:tc>
      </w:tr>
      <w:tr w:rsidR="00E34D3F" w14:paraId="4634EF0A" w14:textId="77777777" w:rsidTr="00163113">
        <w:tc>
          <w:tcPr>
            <w:tcW w:w="1746" w:type="dxa"/>
          </w:tcPr>
          <w:p w14:paraId="3124FFD5" w14:textId="79B9FCB0" w:rsidR="00D71A37" w:rsidRDefault="00E6047A" w:rsidP="00614F0F">
            <w:pPr>
              <w:keepNext/>
              <w:keepLines/>
            </w:pPr>
            <w:r>
              <w:t>Residential (not including Low I</w:t>
            </w:r>
            <w:r w:rsidR="00D71A37">
              <w:t>ncome)</w:t>
            </w:r>
          </w:p>
        </w:tc>
        <w:tc>
          <w:tcPr>
            <w:tcW w:w="1579" w:type="dxa"/>
          </w:tcPr>
          <w:p w14:paraId="73776089" w14:textId="63E36958" w:rsidR="00D71A37" w:rsidRDefault="00A46EBF" w:rsidP="00614F0F">
            <w:pPr>
              <w:keepNext/>
              <w:keepLines/>
              <w:jc w:val="right"/>
            </w:pPr>
            <w:r>
              <w:t>43,199</w:t>
            </w:r>
          </w:p>
        </w:tc>
        <w:tc>
          <w:tcPr>
            <w:tcW w:w="1287" w:type="dxa"/>
          </w:tcPr>
          <w:p w14:paraId="45BF5B45" w14:textId="264D4D88" w:rsidR="00D71A37" w:rsidRDefault="00A46EBF" w:rsidP="00614F0F">
            <w:pPr>
              <w:keepNext/>
              <w:keepLines/>
              <w:jc w:val="right"/>
            </w:pPr>
            <w:r>
              <w:t>44,553</w:t>
            </w:r>
          </w:p>
        </w:tc>
        <w:tc>
          <w:tcPr>
            <w:tcW w:w="1487" w:type="dxa"/>
          </w:tcPr>
          <w:p w14:paraId="591D5316" w14:textId="731650D9" w:rsidR="00D71A37" w:rsidRDefault="00A46EBF" w:rsidP="00614F0F">
            <w:pPr>
              <w:keepNext/>
              <w:keepLines/>
              <w:jc w:val="right"/>
            </w:pPr>
            <w:r>
              <w:t>$5,647,963</w:t>
            </w:r>
          </w:p>
        </w:tc>
        <w:tc>
          <w:tcPr>
            <w:tcW w:w="1864" w:type="dxa"/>
          </w:tcPr>
          <w:p w14:paraId="550957D8" w14:textId="42F2C01E" w:rsidR="00D71A37" w:rsidRDefault="00A46EBF" w:rsidP="00614F0F">
            <w:pPr>
              <w:keepNext/>
              <w:keepLines/>
              <w:jc w:val="right"/>
            </w:pPr>
            <w:r>
              <w:t>$5,778,955</w:t>
            </w:r>
          </w:p>
        </w:tc>
        <w:tc>
          <w:tcPr>
            <w:tcW w:w="1387" w:type="dxa"/>
          </w:tcPr>
          <w:p w14:paraId="627BE60A" w14:textId="1BDB467D" w:rsidR="00D71A37" w:rsidRDefault="002854AD" w:rsidP="00614F0F">
            <w:pPr>
              <w:keepNext/>
              <w:keepLines/>
              <w:jc w:val="center"/>
            </w:pPr>
            <w:r w:rsidRPr="002854AD">
              <w:t>2.2</w:t>
            </w:r>
          </w:p>
        </w:tc>
      </w:tr>
      <w:tr w:rsidR="00E34D3F" w14:paraId="37A6694E" w14:textId="77777777" w:rsidTr="00163113">
        <w:tc>
          <w:tcPr>
            <w:tcW w:w="1746" w:type="dxa"/>
          </w:tcPr>
          <w:p w14:paraId="77C33190" w14:textId="77777777" w:rsidR="001E0D97" w:rsidRDefault="001E0D97" w:rsidP="00614F0F">
            <w:pPr>
              <w:keepNext/>
              <w:keepLines/>
            </w:pPr>
            <w:r>
              <w:t>Commercial</w:t>
            </w:r>
          </w:p>
        </w:tc>
        <w:tc>
          <w:tcPr>
            <w:tcW w:w="1579" w:type="dxa"/>
          </w:tcPr>
          <w:p w14:paraId="165166D6" w14:textId="2CA5999B" w:rsidR="001E0D97" w:rsidRDefault="001E0D97" w:rsidP="00614F0F">
            <w:pPr>
              <w:keepNext/>
              <w:keepLines/>
              <w:jc w:val="right"/>
            </w:pPr>
            <w:r>
              <w:t>23,799</w:t>
            </w:r>
          </w:p>
        </w:tc>
        <w:tc>
          <w:tcPr>
            <w:tcW w:w="1287" w:type="dxa"/>
          </w:tcPr>
          <w:p w14:paraId="4BE2ED98" w14:textId="1279B673" w:rsidR="001E0D97" w:rsidRDefault="001E0D97" w:rsidP="00614F0F">
            <w:pPr>
              <w:keepNext/>
              <w:keepLines/>
              <w:jc w:val="right"/>
            </w:pPr>
            <w:r>
              <w:t>24,493</w:t>
            </w:r>
          </w:p>
        </w:tc>
        <w:tc>
          <w:tcPr>
            <w:tcW w:w="1487" w:type="dxa"/>
          </w:tcPr>
          <w:p w14:paraId="5BC1AF7E" w14:textId="3F574A48" w:rsidR="001E0D97" w:rsidRDefault="001E0D97" w:rsidP="00614F0F">
            <w:pPr>
              <w:keepNext/>
              <w:keepLines/>
              <w:jc w:val="right"/>
            </w:pPr>
            <w:r>
              <w:t>$5,208,810</w:t>
            </w:r>
          </w:p>
        </w:tc>
        <w:tc>
          <w:tcPr>
            <w:tcW w:w="1864" w:type="dxa"/>
          </w:tcPr>
          <w:p w14:paraId="3076555B" w14:textId="4E10DDD6" w:rsidR="001E0D97" w:rsidRDefault="001E0D97" w:rsidP="00614F0F">
            <w:pPr>
              <w:keepNext/>
              <w:keepLines/>
              <w:jc w:val="right"/>
            </w:pPr>
            <w:r>
              <w:t>$6,028,463</w:t>
            </w:r>
          </w:p>
        </w:tc>
        <w:tc>
          <w:tcPr>
            <w:tcW w:w="1387" w:type="dxa"/>
            <w:vMerge w:val="restart"/>
          </w:tcPr>
          <w:p w14:paraId="46B56311" w14:textId="62B0B8BA" w:rsidR="001E0D97" w:rsidRDefault="001E0D97" w:rsidP="00614F0F">
            <w:pPr>
              <w:keepNext/>
              <w:keepLines/>
              <w:jc w:val="center"/>
            </w:pPr>
            <w:r>
              <w:t>1.</w:t>
            </w:r>
            <w:r w:rsidR="00D40A37">
              <w:t>7</w:t>
            </w:r>
          </w:p>
        </w:tc>
      </w:tr>
      <w:tr w:rsidR="00E34D3F" w14:paraId="7D54D21F" w14:textId="77777777" w:rsidTr="00163113">
        <w:tc>
          <w:tcPr>
            <w:tcW w:w="1746" w:type="dxa"/>
          </w:tcPr>
          <w:p w14:paraId="06229EEB" w14:textId="77777777" w:rsidR="001E0D97" w:rsidRDefault="001E0D97" w:rsidP="00614F0F">
            <w:pPr>
              <w:keepNext/>
              <w:keepLines/>
            </w:pPr>
            <w:r>
              <w:t>Industrial</w:t>
            </w:r>
          </w:p>
        </w:tc>
        <w:tc>
          <w:tcPr>
            <w:tcW w:w="1579" w:type="dxa"/>
          </w:tcPr>
          <w:p w14:paraId="79375F14" w14:textId="62591C76" w:rsidR="001E0D97" w:rsidRDefault="001E0D97" w:rsidP="00614F0F">
            <w:pPr>
              <w:keepNext/>
              <w:keepLines/>
              <w:jc w:val="right"/>
            </w:pPr>
            <w:r>
              <w:t>25,467</w:t>
            </w:r>
          </w:p>
        </w:tc>
        <w:tc>
          <w:tcPr>
            <w:tcW w:w="1287" w:type="dxa"/>
          </w:tcPr>
          <w:p w14:paraId="5C478DEE" w14:textId="0FA5CE09" w:rsidR="001E0D97" w:rsidRDefault="001E0D97" w:rsidP="00614F0F">
            <w:pPr>
              <w:keepNext/>
              <w:keepLines/>
              <w:jc w:val="right"/>
            </w:pPr>
            <w:r>
              <w:t>27,173</w:t>
            </w:r>
          </w:p>
        </w:tc>
        <w:tc>
          <w:tcPr>
            <w:tcW w:w="1487" w:type="dxa"/>
          </w:tcPr>
          <w:p w14:paraId="401CD37B" w14:textId="1A8E4DE6" w:rsidR="001E0D97" w:rsidRDefault="001E0D97" w:rsidP="00614F0F">
            <w:pPr>
              <w:keepNext/>
              <w:keepLines/>
              <w:jc w:val="right"/>
            </w:pPr>
            <w:r>
              <w:t>$5,617,240</w:t>
            </w:r>
          </w:p>
        </w:tc>
        <w:tc>
          <w:tcPr>
            <w:tcW w:w="1864" w:type="dxa"/>
          </w:tcPr>
          <w:p w14:paraId="2CE9DE5E" w14:textId="37F81955" w:rsidR="001E0D97" w:rsidRDefault="001E0D97" w:rsidP="00614F0F">
            <w:pPr>
              <w:keepNext/>
              <w:keepLines/>
              <w:jc w:val="right"/>
            </w:pPr>
            <w:r>
              <w:t>$5,185,203</w:t>
            </w:r>
          </w:p>
        </w:tc>
        <w:tc>
          <w:tcPr>
            <w:tcW w:w="1387" w:type="dxa"/>
            <w:vMerge/>
          </w:tcPr>
          <w:p w14:paraId="230476F8" w14:textId="77777777" w:rsidR="001E0D97" w:rsidRDefault="001E0D97" w:rsidP="00614F0F">
            <w:pPr>
              <w:keepNext/>
              <w:keepLines/>
              <w:jc w:val="center"/>
            </w:pPr>
          </w:p>
        </w:tc>
      </w:tr>
      <w:tr w:rsidR="00E34D3F" w14:paraId="7C9A3324" w14:textId="77777777" w:rsidTr="00163113">
        <w:tc>
          <w:tcPr>
            <w:tcW w:w="1746" w:type="dxa"/>
          </w:tcPr>
          <w:p w14:paraId="3A0DDAC9" w14:textId="77777777" w:rsidR="001E0D97" w:rsidRDefault="001E0D97" w:rsidP="00614F0F">
            <w:pPr>
              <w:keepNext/>
              <w:keepLines/>
            </w:pPr>
            <w:r>
              <w:t>Agricultural</w:t>
            </w:r>
          </w:p>
        </w:tc>
        <w:tc>
          <w:tcPr>
            <w:tcW w:w="1579" w:type="dxa"/>
          </w:tcPr>
          <w:p w14:paraId="408F1DAC" w14:textId="299950F7" w:rsidR="001E0D97" w:rsidRDefault="001E0D97" w:rsidP="00614F0F">
            <w:pPr>
              <w:keepNext/>
              <w:keepLines/>
              <w:jc w:val="right"/>
            </w:pPr>
            <w:r>
              <w:t>291</w:t>
            </w:r>
          </w:p>
        </w:tc>
        <w:tc>
          <w:tcPr>
            <w:tcW w:w="1287" w:type="dxa"/>
          </w:tcPr>
          <w:p w14:paraId="4D72225B" w14:textId="68099849" w:rsidR="001E0D97" w:rsidRDefault="001E0D97" w:rsidP="00614F0F">
            <w:pPr>
              <w:keepNext/>
              <w:keepLines/>
              <w:jc w:val="right"/>
            </w:pPr>
            <w:r>
              <w:t>2,331</w:t>
            </w:r>
          </w:p>
        </w:tc>
        <w:tc>
          <w:tcPr>
            <w:tcW w:w="1487" w:type="dxa"/>
          </w:tcPr>
          <w:p w14:paraId="2E9CD2DA" w14:textId="6884397D" w:rsidR="001E0D97" w:rsidRDefault="001E0D97" w:rsidP="00614F0F">
            <w:pPr>
              <w:keepNext/>
              <w:keepLines/>
              <w:jc w:val="right"/>
            </w:pPr>
            <w:r>
              <w:t>$63,533</w:t>
            </w:r>
          </w:p>
        </w:tc>
        <w:tc>
          <w:tcPr>
            <w:tcW w:w="1864" w:type="dxa"/>
          </w:tcPr>
          <w:p w14:paraId="5151CE36" w14:textId="532424D3" w:rsidR="001E0D97" w:rsidRDefault="001E0D97" w:rsidP="00614F0F">
            <w:pPr>
              <w:keepNext/>
              <w:keepLines/>
              <w:jc w:val="right"/>
            </w:pPr>
            <w:r>
              <w:t>$390,775</w:t>
            </w:r>
          </w:p>
        </w:tc>
        <w:tc>
          <w:tcPr>
            <w:tcW w:w="1387" w:type="dxa"/>
            <w:vMerge/>
          </w:tcPr>
          <w:p w14:paraId="4A60BF5D" w14:textId="77777777" w:rsidR="001E0D97" w:rsidRDefault="001E0D97" w:rsidP="00614F0F">
            <w:pPr>
              <w:keepNext/>
              <w:keepLines/>
              <w:jc w:val="center"/>
            </w:pPr>
          </w:p>
        </w:tc>
      </w:tr>
      <w:tr w:rsidR="00E34D3F" w14:paraId="021DE2FD" w14:textId="77777777" w:rsidTr="00CB749A">
        <w:trPr>
          <w:trHeight w:val="863"/>
        </w:trPr>
        <w:tc>
          <w:tcPr>
            <w:tcW w:w="1746" w:type="dxa"/>
          </w:tcPr>
          <w:p w14:paraId="637B8165" w14:textId="2B857A22" w:rsidR="00D71A37" w:rsidRDefault="00D71A37" w:rsidP="00614F0F">
            <w:pPr>
              <w:keepNext/>
              <w:keepLines/>
            </w:pPr>
            <w:r>
              <w:t>Production sys</w:t>
            </w:r>
            <w:r w:rsidR="00CB749A">
              <w:t>tem</w:t>
            </w:r>
          </w:p>
        </w:tc>
        <w:tc>
          <w:tcPr>
            <w:tcW w:w="1579" w:type="dxa"/>
          </w:tcPr>
          <w:p w14:paraId="141FE97E" w14:textId="436C10C5" w:rsidR="00D71A37" w:rsidRDefault="00CB749A" w:rsidP="00614F0F">
            <w:pPr>
              <w:keepNext/>
              <w:keepLines/>
              <w:jc w:val="right"/>
            </w:pPr>
            <w:r>
              <w:t>16</w:t>
            </w:r>
          </w:p>
        </w:tc>
        <w:tc>
          <w:tcPr>
            <w:tcW w:w="1287" w:type="dxa"/>
          </w:tcPr>
          <w:p w14:paraId="274D4C89" w14:textId="7E61BCE9" w:rsidR="00D71A37" w:rsidRDefault="000D750C" w:rsidP="00614F0F">
            <w:pPr>
              <w:keepNext/>
              <w:keepLines/>
              <w:jc w:val="right"/>
            </w:pPr>
            <w:r>
              <w:t>2</w:t>
            </w:r>
          </w:p>
        </w:tc>
        <w:tc>
          <w:tcPr>
            <w:tcW w:w="1487" w:type="dxa"/>
          </w:tcPr>
          <w:p w14:paraId="5B7DDB5D" w14:textId="4AD2AAFA" w:rsidR="00D71A37" w:rsidRDefault="00797DD1" w:rsidP="00614F0F">
            <w:pPr>
              <w:keepNext/>
              <w:keepLines/>
              <w:jc w:val="right"/>
            </w:pPr>
            <w:r w:rsidRPr="00797DD1">
              <w:t>$2,947</w:t>
            </w:r>
          </w:p>
        </w:tc>
        <w:tc>
          <w:tcPr>
            <w:tcW w:w="1864" w:type="dxa"/>
          </w:tcPr>
          <w:p w14:paraId="06557673" w14:textId="32F5E1DA" w:rsidR="00D71A37" w:rsidRDefault="000D750C" w:rsidP="00614F0F">
            <w:pPr>
              <w:keepNext/>
              <w:keepLines/>
              <w:jc w:val="right"/>
            </w:pPr>
            <w:r>
              <w:t>$3,357</w:t>
            </w:r>
          </w:p>
        </w:tc>
        <w:tc>
          <w:tcPr>
            <w:tcW w:w="1387" w:type="dxa"/>
          </w:tcPr>
          <w:p w14:paraId="17ADD054" w14:textId="3ABDBDEE" w:rsidR="00D71A37" w:rsidRDefault="00D40A37" w:rsidP="00614F0F">
            <w:pPr>
              <w:keepNext/>
              <w:keepLines/>
              <w:jc w:val="center"/>
            </w:pPr>
            <w:r>
              <w:t>5.5</w:t>
            </w:r>
          </w:p>
        </w:tc>
      </w:tr>
      <w:tr w:rsidR="00E34D3F" w14:paraId="0BE3C64D" w14:textId="77777777" w:rsidTr="00163113">
        <w:tc>
          <w:tcPr>
            <w:tcW w:w="1746" w:type="dxa"/>
          </w:tcPr>
          <w:p w14:paraId="4F99A76D" w14:textId="00D9C28F" w:rsidR="00D71A37" w:rsidRDefault="00D71A37" w:rsidP="00614F0F">
            <w:pPr>
              <w:keepNext/>
              <w:keepLines/>
            </w:pPr>
            <w:r>
              <w:t>Low Income</w:t>
            </w:r>
            <w:r w:rsidR="00876D4D">
              <w:rPr>
                <w:rStyle w:val="FootnoteReference"/>
              </w:rPr>
              <w:footnoteReference w:id="41"/>
            </w:r>
          </w:p>
        </w:tc>
        <w:tc>
          <w:tcPr>
            <w:tcW w:w="1579" w:type="dxa"/>
          </w:tcPr>
          <w:p w14:paraId="54B8DE2F" w14:textId="5962D90E" w:rsidR="00D71A37" w:rsidRDefault="00831F4F" w:rsidP="00614F0F">
            <w:pPr>
              <w:keepNext/>
              <w:keepLines/>
              <w:jc w:val="right"/>
            </w:pPr>
            <w:r>
              <w:t>330</w:t>
            </w:r>
          </w:p>
        </w:tc>
        <w:tc>
          <w:tcPr>
            <w:tcW w:w="1287" w:type="dxa"/>
          </w:tcPr>
          <w:p w14:paraId="53309CE5" w14:textId="78171BFA" w:rsidR="00D71A37" w:rsidRDefault="00831F4F" w:rsidP="00614F0F">
            <w:pPr>
              <w:keepNext/>
              <w:keepLines/>
              <w:jc w:val="right"/>
            </w:pPr>
            <w:r>
              <w:t>330</w:t>
            </w:r>
          </w:p>
        </w:tc>
        <w:tc>
          <w:tcPr>
            <w:tcW w:w="1487" w:type="dxa"/>
          </w:tcPr>
          <w:p w14:paraId="0AFFE5A5" w14:textId="22E24CF9" w:rsidR="00D71A37" w:rsidRDefault="00A46EBF" w:rsidP="00614F0F">
            <w:pPr>
              <w:keepNext/>
              <w:keepLines/>
              <w:jc w:val="right"/>
            </w:pPr>
            <w:r>
              <w:t>$1,800,000</w:t>
            </w:r>
          </w:p>
        </w:tc>
        <w:tc>
          <w:tcPr>
            <w:tcW w:w="1864" w:type="dxa"/>
          </w:tcPr>
          <w:p w14:paraId="1619A65D" w14:textId="12C5636E" w:rsidR="00D71A37" w:rsidRDefault="00A46EBF" w:rsidP="00614F0F">
            <w:pPr>
              <w:keepNext/>
              <w:keepLines/>
              <w:jc w:val="right"/>
            </w:pPr>
            <w:r>
              <w:t>$1,557,035</w:t>
            </w:r>
          </w:p>
        </w:tc>
        <w:tc>
          <w:tcPr>
            <w:tcW w:w="1387" w:type="dxa"/>
          </w:tcPr>
          <w:p w14:paraId="710FF2D5" w14:textId="06F8F0B5" w:rsidR="00D71A37" w:rsidRDefault="001E0D97" w:rsidP="00614F0F">
            <w:pPr>
              <w:keepNext/>
              <w:keepLines/>
              <w:jc w:val="center"/>
            </w:pPr>
            <w:r w:rsidRPr="0013230F">
              <w:t>0.</w:t>
            </w:r>
            <w:r w:rsidR="00160302" w:rsidRPr="0013230F">
              <w:t>7</w:t>
            </w:r>
          </w:p>
        </w:tc>
      </w:tr>
      <w:tr w:rsidR="00E34D3F" w14:paraId="74A0A178" w14:textId="77777777" w:rsidTr="00163113">
        <w:tc>
          <w:tcPr>
            <w:tcW w:w="1746" w:type="dxa"/>
          </w:tcPr>
          <w:p w14:paraId="3C3B2142" w14:textId="5381F660" w:rsidR="00D71A37" w:rsidRDefault="00D71A37" w:rsidP="00614F0F">
            <w:pPr>
              <w:keepNext/>
              <w:keepLines/>
            </w:pPr>
            <w:r>
              <w:t>Pilots</w:t>
            </w:r>
            <w:r w:rsidR="00756E39">
              <w:rPr>
                <w:rStyle w:val="FootnoteReference"/>
              </w:rPr>
              <w:footnoteReference w:id="42"/>
            </w:r>
          </w:p>
        </w:tc>
        <w:tc>
          <w:tcPr>
            <w:tcW w:w="1579" w:type="dxa"/>
          </w:tcPr>
          <w:p w14:paraId="4377BE0A" w14:textId="5C2C96BD" w:rsidR="00D71A37" w:rsidRDefault="00756E39" w:rsidP="00614F0F">
            <w:pPr>
              <w:keepNext/>
              <w:keepLines/>
              <w:jc w:val="right"/>
            </w:pPr>
            <w:r>
              <w:t>-</w:t>
            </w:r>
          </w:p>
        </w:tc>
        <w:tc>
          <w:tcPr>
            <w:tcW w:w="1287" w:type="dxa"/>
          </w:tcPr>
          <w:p w14:paraId="63C25009" w14:textId="26374F77" w:rsidR="00D71A37" w:rsidRDefault="00756E39" w:rsidP="00614F0F">
            <w:pPr>
              <w:keepNext/>
              <w:keepLines/>
              <w:jc w:val="right"/>
            </w:pPr>
            <w:r>
              <w:t>-</w:t>
            </w:r>
          </w:p>
        </w:tc>
        <w:tc>
          <w:tcPr>
            <w:tcW w:w="1487" w:type="dxa"/>
          </w:tcPr>
          <w:p w14:paraId="30855145" w14:textId="34561CB8" w:rsidR="00D71A37" w:rsidRDefault="00756E39" w:rsidP="00614F0F">
            <w:pPr>
              <w:keepNext/>
              <w:keepLines/>
              <w:jc w:val="right"/>
            </w:pPr>
            <w:r>
              <w:t>$119,000</w:t>
            </w:r>
          </w:p>
        </w:tc>
        <w:tc>
          <w:tcPr>
            <w:tcW w:w="1864" w:type="dxa"/>
          </w:tcPr>
          <w:p w14:paraId="058BA268" w14:textId="7D2A55DA" w:rsidR="00D71A37" w:rsidRDefault="00756E39" w:rsidP="00614F0F">
            <w:pPr>
              <w:keepNext/>
              <w:keepLines/>
              <w:jc w:val="right"/>
            </w:pPr>
            <w:r>
              <w:t>$119,690</w:t>
            </w:r>
          </w:p>
        </w:tc>
        <w:tc>
          <w:tcPr>
            <w:tcW w:w="1387" w:type="dxa"/>
          </w:tcPr>
          <w:p w14:paraId="58E21731" w14:textId="64C014C0" w:rsidR="00D71A37" w:rsidRDefault="006D68F7" w:rsidP="00614F0F">
            <w:pPr>
              <w:keepNext/>
              <w:keepLines/>
              <w:jc w:val="center"/>
            </w:pPr>
            <w:r>
              <w:t>-</w:t>
            </w:r>
          </w:p>
        </w:tc>
      </w:tr>
      <w:tr w:rsidR="00E34D3F" w14:paraId="0F881B7C" w14:textId="77777777" w:rsidTr="00163113">
        <w:tc>
          <w:tcPr>
            <w:tcW w:w="1746" w:type="dxa"/>
          </w:tcPr>
          <w:p w14:paraId="515F5D4C" w14:textId="77777777" w:rsidR="00D71A37" w:rsidRDefault="00D71A37" w:rsidP="00614F0F">
            <w:pPr>
              <w:keepNext/>
              <w:keepLines/>
            </w:pPr>
            <w:r>
              <w:t>NEEA</w:t>
            </w:r>
          </w:p>
        </w:tc>
        <w:tc>
          <w:tcPr>
            <w:tcW w:w="1579" w:type="dxa"/>
          </w:tcPr>
          <w:p w14:paraId="528B0B3E" w14:textId="43F0B083" w:rsidR="00D71A37" w:rsidRDefault="00831F4F" w:rsidP="00614F0F">
            <w:pPr>
              <w:keepNext/>
              <w:keepLines/>
              <w:jc w:val="right"/>
            </w:pPr>
            <w:r>
              <w:t>14,313</w:t>
            </w:r>
          </w:p>
        </w:tc>
        <w:tc>
          <w:tcPr>
            <w:tcW w:w="1287" w:type="dxa"/>
          </w:tcPr>
          <w:p w14:paraId="3B3B332C" w14:textId="2BC4632C" w:rsidR="00D71A37" w:rsidRDefault="00831F4F" w:rsidP="00614F0F">
            <w:pPr>
              <w:keepNext/>
              <w:keepLines/>
              <w:jc w:val="right"/>
            </w:pPr>
            <w:r>
              <w:t>12,277</w:t>
            </w:r>
          </w:p>
        </w:tc>
        <w:tc>
          <w:tcPr>
            <w:tcW w:w="1487" w:type="dxa"/>
          </w:tcPr>
          <w:p w14:paraId="6926FD2B" w14:textId="509C759E" w:rsidR="00D71A37" w:rsidRDefault="00831F4F" w:rsidP="00614F0F">
            <w:pPr>
              <w:keepNext/>
              <w:keepLines/>
              <w:jc w:val="right"/>
            </w:pPr>
            <w:r>
              <w:t>$2,131,177</w:t>
            </w:r>
          </w:p>
        </w:tc>
        <w:tc>
          <w:tcPr>
            <w:tcW w:w="1864" w:type="dxa"/>
          </w:tcPr>
          <w:p w14:paraId="17CB40D3" w14:textId="5E27A5E1" w:rsidR="00D71A37" w:rsidRDefault="00831F4F" w:rsidP="00614F0F">
            <w:pPr>
              <w:keepNext/>
              <w:keepLines/>
              <w:jc w:val="right"/>
            </w:pPr>
            <w:r>
              <w:t>$2,059,123</w:t>
            </w:r>
          </w:p>
        </w:tc>
        <w:tc>
          <w:tcPr>
            <w:tcW w:w="1387" w:type="dxa"/>
          </w:tcPr>
          <w:p w14:paraId="6B82AF33" w14:textId="1AF691E3" w:rsidR="00D71A37" w:rsidRDefault="00756E39" w:rsidP="00614F0F">
            <w:pPr>
              <w:keepNext/>
              <w:keepLines/>
              <w:jc w:val="center"/>
            </w:pPr>
            <w:r w:rsidRPr="006D68F7">
              <w:t>-</w:t>
            </w:r>
          </w:p>
        </w:tc>
      </w:tr>
    </w:tbl>
    <w:p w14:paraId="73932382" w14:textId="77777777" w:rsidR="00D71A37" w:rsidRDefault="00D71A37" w:rsidP="00D71A37"/>
    <w:p w14:paraId="4406A657" w14:textId="1CEC37E7" w:rsidR="00AE51B6" w:rsidRDefault="00AE51B6" w:rsidP="00211E70">
      <w:r w:rsidRPr="00895B02">
        <w:t>Pacific</w:t>
      </w:r>
      <w:r w:rsidR="009B70AF" w:rsidRPr="009B70AF">
        <w:t xml:space="preserve"> Power</w:t>
      </w:r>
      <w:r w:rsidRPr="00895B02">
        <w:t xml:space="preserve">’s </w:t>
      </w:r>
      <w:r w:rsidR="0066485C">
        <w:t>r</w:t>
      </w:r>
      <w:r w:rsidRPr="00895B02">
        <w:t xml:space="preserve">efrigerator </w:t>
      </w:r>
      <w:r w:rsidR="0066485C">
        <w:t>r</w:t>
      </w:r>
      <w:r w:rsidR="00033EB6" w:rsidRPr="00895B02">
        <w:t>ecycling</w:t>
      </w:r>
      <w:r w:rsidRPr="00895B02">
        <w:t xml:space="preserve"> program, known as “See ya later, refrigerator,” </w:t>
      </w:r>
      <w:r w:rsidR="007F5D1A" w:rsidRPr="00895B02">
        <w:t xml:space="preserve">ended sooner than anticipated </w:t>
      </w:r>
      <w:r w:rsidR="00FF7C4F">
        <w:t>when the C</w:t>
      </w:r>
      <w:r w:rsidR="00FA1736" w:rsidRPr="00895B02">
        <w:t xml:space="preserve">ompany was notified by the program administrator that they had gone out of business. While the utility had been planning </w:t>
      </w:r>
      <w:r w:rsidR="00CD37ED">
        <w:t>to cancel</w:t>
      </w:r>
      <w:r w:rsidR="00FA1736" w:rsidRPr="00895B02">
        <w:t xml:space="preserve"> the program at the </w:t>
      </w:r>
      <w:r w:rsidR="00033EB6" w:rsidRPr="00895B02">
        <w:t>beginning</w:t>
      </w:r>
      <w:r w:rsidR="00FA1736" w:rsidRPr="00895B02">
        <w:t xml:space="preserve"> of 2016, this November 2015 abrupt halt impacted </w:t>
      </w:r>
      <w:r w:rsidR="00CD37ED">
        <w:t>29</w:t>
      </w:r>
      <w:r w:rsidR="00FA1736" w:rsidRPr="00895B02">
        <w:t xml:space="preserve"> Washington customers. After </w:t>
      </w:r>
      <w:r w:rsidR="00033EB6" w:rsidRPr="00895B02">
        <w:t>notifying</w:t>
      </w:r>
      <w:r w:rsidR="00FA1736" w:rsidRPr="00895B02">
        <w:t xml:space="preserve"> the DSM Advisory Group, Pacific </w:t>
      </w:r>
      <w:r w:rsidR="009B70AF" w:rsidRPr="009B70AF">
        <w:t xml:space="preserve">Power </w:t>
      </w:r>
      <w:r w:rsidR="00FA1736" w:rsidRPr="00895B02">
        <w:t>engaged a provider through an expedited process</w:t>
      </w:r>
      <w:r w:rsidR="00895B02" w:rsidRPr="00895B02">
        <w:t>. This provider began providing outreach</w:t>
      </w:r>
      <w:r w:rsidR="00FA1736" w:rsidRPr="00895B02">
        <w:t xml:space="preserve"> </w:t>
      </w:r>
      <w:r w:rsidR="00895B02" w:rsidRPr="00895B02">
        <w:t>to customers who had</w:t>
      </w:r>
      <w:r w:rsidR="00FA1736" w:rsidRPr="00895B02">
        <w:t xml:space="preserve"> scheduled </w:t>
      </w:r>
      <w:r w:rsidR="00895B02" w:rsidRPr="00895B02">
        <w:t xml:space="preserve">pick-ups </w:t>
      </w:r>
      <w:r w:rsidR="00FA1736" w:rsidRPr="00895B02">
        <w:t>that had been cancelled</w:t>
      </w:r>
      <w:r w:rsidR="00895B02" w:rsidRPr="00895B02">
        <w:t xml:space="preserve"> in January 2016.</w:t>
      </w:r>
    </w:p>
    <w:p w14:paraId="751CA2A4" w14:textId="73660104" w:rsidR="0066485C" w:rsidRDefault="0066485C" w:rsidP="00211E70">
      <w:r>
        <w:t xml:space="preserve">Staff commends Pacific Power for its prompt response </w:t>
      </w:r>
      <w:r w:rsidR="0006410F">
        <w:t xml:space="preserve">to </w:t>
      </w:r>
      <w:r>
        <w:t xml:space="preserve">this challenging situation. It appears that all appropriate steps were taken to ensure customer satisfaction in an </w:t>
      </w:r>
      <w:r w:rsidRPr="0066485C">
        <w:t>expiring</w:t>
      </w:r>
      <w:r>
        <w:t xml:space="preserve"> program.</w:t>
      </w:r>
    </w:p>
    <w:p w14:paraId="4FD5E9D8" w14:textId="77777777" w:rsidR="00211E70" w:rsidRDefault="00211E70" w:rsidP="00211E70"/>
    <w:p w14:paraId="54FA10DA" w14:textId="6804B530" w:rsidR="001B6346" w:rsidRPr="001B6346" w:rsidRDefault="001B6346" w:rsidP="00B17B8D">
      <w:pPr>
        <w:keepNext/>
        <w:keepLines/>
        <w:spacing w:before="0" w:after="0"/>
        <w:outlineLvl w:val="2"/>
        <w:rPr>
          <w:rFonts w:asciiTheme="majorHAnsi" w:eastAsiaTheme="majorEastAsia" w:hAnsiTheme="majorHAnsi" w:cstheme="majorBidi"/>
          <w:color w:val="243F60" w:themeColor="accent1" w:themeShade="7F"/>
        </w:rPr>
      </w:pPr>
      <w:bookmarkStart w:id="97" w:name="_Toc456682617"/>
      <w:bookmarkStart w:id="98" w:name="_Toc456689302"/>
      <w:bookmarkStart w:id="99" w:name="_Toc456879754"/>
      <w:r w:rsidRPr="001B6346">
        <w:rPr>
          <w:rFonts w:asciiTheme="majorHAnsi" w:eastAsiaTheme="majorEastAsia" w:hAnsiTheme="majorHAnsi" w:cstheme="majorBidi"/>
          <w:color w:val="243F60" w:themeColor="accent1" w:themeShade="7F"/>
        </w:rPr>
        <w:lastRenderedPageBreak/>
        <w:t>Third Party Verification</w:t>
      </w:r>
      <w:bookmarkEnd w:id="97"/>
      <w:bookmarkEnd w:id="98"/>
      <w:bookmarkEnd w:id="99"/>
    </w:p>
    <w:p w14:paraId="606A99F5" w14:textId="3964F2AE" w:rsidR="000D4C14" w:rsidRDefault="00F91EA6" w:rsidP="00211E70">
      <w:pPr>
        <w:rPr>
          <w:color w:val="8064A2" w:themeColor="accent4"/>
          <w:sz w:val="20"/>
          <w:szCs w:val="20"/>
          <w:highlight w:val="yellow"/>
        </w:rPr>
      </w:pPr>
      <w:r w:rsidRPr="00F91EA6">
        <w:t>Pacifi</w:t>
      </w:r>
      <w:r>
        <w:t>c</w:t>
      </w:r>
      <w:r w:rsidRPr="00F91EA6">
        <w:t xml:space="preserve"> </w:t>
      </w:r>
      <w:r w:rsidR="009B70AF" w:rsidRPr="009B70AF">
        <w:t xml:space="preserve">Power </w:t>
      </w:r>
      <w:r w:rsidRPr="00F91EA6">
        <w:t>contracted with SBW to review the</w:t>
      </w:r>
      <w:r w:rsidR="00FF7C4F">
        <w:t xml:space="preserve"> C</w:t>
      </w:r>
      <w:r w:rsidRPr="00F91EA6">
        <w:t>ompany’s conservation programs and verify its claimed savings.</w:t>
      </w:r>
      <w:r w:rsidRPr="00F91EA6">
        <w:rPr>
          <w:sz w:val="20"/>
          <w:szCs w:val="20"/>
        </w:rPr>
        <w:t xml:space="preserve"> </w:t>
      </w:r>
      <w:r w:rsidRPr="001950CD">
        <w:t>DNV GL assisted as a subcontractor.</w:t>
      </w:r>
      <w:r w:rsidRPr="001950CD">
        <w:rPr>
          <w:sz w:val="20"/>
          <w:szCs w:val="20"/>
        </w:rPr>
        <w:t xml:space="preserve"> </w:t>
      </w:r>
      <w:r w:rsidRPr="00F91EA6">
        <w:t xml:space="preserve">Generally, SBW found that </w:t>
      </w:r>
      <w:r w:rsidR="00DE13E1">
        <w:t>Pacific</w:t>
      </w:r>
      <w:r w:rsidRPr="00F91EA6">
        <w:t xml:space="preserve"> </w:t>
      </w:r>
      <w:r w:rsidR="009B70AF" w:rsidRPr="009B70AF">
        <w:t xml:space="preserve">Power </w:t>
      </w:r>
      <w:r w:rsidRPr="00F91EA6">
        <w:t>has employed solid practices in tracking and measuring the achievements of its conservation programs.</w:t>
      </w:r>
      <w:r w:rsidRPr="00F91EA6">
        <w:rPr>
          <w:sz w:val="20"/>
          <w:szCs w:val="20"/>
        </w:rPr>
        <w:t xml:space="preserve"> </w:t>
      </w:r>
    </w:p>
    <w:p w14:paraId="754E37CA" w14:textId="3092D1FC" w:rsidR="00F91EA6" w:rsidRDefault="000D4C14" w:rsidP="00211E70">
      <w:r w:rsidRPr="000D4C14">
        <w:t xml:space="preserve">Following previous recommendations, </w:t>
      </w:r>
      <w:r w:rsidR="00626C56">
        <w:t>the consultant reviewed</w:t>
      </w:r>
      <w:r w:rsidRPr="000D4C14" w:rsidDel="00626C56">
        <w:t xml:space="preserve"> </w:t>
      </w:r>
      <w:r w:rsidR="00FF7C4F">
        <w:t>the C</w:t>
      </w:r>
      <w:r w:rsidRPr="000D4C14">
        <w:t>ompany’s new, web-based system for tracking its conservation programs</w:t>
      </w:r>
      <w:r w:rsidR="00C71735">
        <w:t>, DSM Central (DSMC). SBW found that</w:t>
      </w:r>
      <w:r w:rsidR="004524FF">
        <w:t>,</w:t>
      </w:r>
      <w:r w:rsidR="00BD2D38">
        <w:t xml:space="preserve"> overall</w:t>
      </w:r>
      <w:r w:rsidR="004524FF">
        <w:t>,</w:t>
      </w:r>
      <w:r w:rsidR="00C71735">
        <w:t xml:space="preserve"> Pacific</w:t>
      </w:r>
      <w:r w:rsidR="009B70AF" w:rsidRPr="009B70AF">
        <w:t xml:space="preserve"> Power</w:t>
      </w:r>
      <w:r w:rsidR="00C71735">
        <w:t xml:space="preserve">’s tracking and reporting </w:t>
      </w:r>
      <w:r w:rsidR="00BD2D38">
        <w:t>procedures are in line with best practices, aided by DSMC.</w:t>
      </w:r>
    </w:p>
    <w:p w14:paraId="6BC3C8E7" w14:textId="23CF0F98" w:rsidR="00B17B8D" w:rsidRDefault="000D4C14" w:rsidP="00211E70">
      <w:r>
        <w:t>During an onsite inspection</w:t>
      </w:r>
      <w:r w:rsidR="00CD37ED">
        <w:t>,</w:t>
      </w:r>
      <w:r>
        <w:t xml:space="preserve"> SBW observed that operation hours on a lighting measure were incorrect. An always-on value (8,064 hours) had been applied when the affected light fixtures were actually in use </w:t>
      </w:r>
      <w:r w:rsidR="004524FF">
        <w:t xml:space="preserve">only </w:t>
      </w:r>
      <w:r>
        <w:t xml:space="preserve">10 hours per day 5 days per week. </w:t>
      </w:r>
      <w:r w:rsidR="00226638">
        <w:t xml:space="preserve">The correction of operating hours for this project resulted in reduced </w:t>
      </w:r>
      <w:r w:rsidR="00835094">
        <w:t xml:space="preserve">claimed </w:t>
      </w:r>
      <w:r w:rsidR="00226638">
        <w:t>savings of 13,639 kWh.</w:t>
      </w:r>
      <w:r w:rsidR="00226638" w:rsidRPr="00226638">
        <w:t xml:space="preserve"> </w:t>
      </w:r>
      <w:r w:rsidR="00226638">
        <w:t xml:space="preserve">This </w:t>
      </w:r>
      <w:r w:rsidR="00835094">
        <w:t xml:space="preserve">example reinforces </w:t>
      </w:r>
      <w:r w:rsidR="00A4531A">
        <w:t xml:space="preserve">support for </w:t>
      </w:r>
      <w:r w:rsidR="00226638" w:rsidRPr="00226638">
        <w:t xml:space="preserve">onsite evaluations </w:t>
      </w:r>
      <w:r w:rsidR="00A4531A">
        <w:t>as</w:t>
      </w:r>
      <w:r w:rsidR="00A4531A" w:rsidRPr="00226638">
        <w:t xml:space="preserve"> </w:t>
      </w:r>
      <w:r w:rsidR="00226638" w:rsidRPr="00226638">
        <w:t>an important component of program reviews</w:t>
      </w:r>
      <w:r w:rsidR="00226638">
        <w:t>.</w:t>
      </w:r>
      <w:r w:rsidR="00F4180B">
        <w:t xml:space="preserve"> </w:t>
      </w:r>
    </w:p>
    <w:p w14:paraId="173AB585" w14:textId="59960EF6" w:rsidR="00F4180B" w:rsidRDefault="00F4180B" w:rsidP="00211E70">
      <w:r>
        <w:t xml:space="preserve">While SBW states that it is “not critical to confirming proper measure implementation or assessing program cost-effectiveness,” Staff deems the recommendation that Pacific Power consider assigning a </w:t>
      </w:r>
      <w:r w:rsidR="009976FB">
        <w:t>measure-</w:t>
      </w:r>
      <w:r>
        <w:t>life to all active measures to be sound and encourages its implementation.</w:t>
      </w:r>
    </w:p>
    <w:p w14:paraId="56F151C8" w14:textId="77777777" w:rsidR="00F4180B" w:rsidRPr="00B17B8D" w:rsidRDefault="00F4180B" w:rsidP="00F4180B">
      <w:pPr>
        <w:spacing w:before="0"/>
      </w:pPr>
    </w:p>
    <w:p w14:paraId="501AE94B" w14:textId="5D0BC45B" w:rsidR="008C0BC8" w:rsidRDefault="001B6346" w:rsidP="00B17B8D">
      <w:pPr>
        <w:keepNext/>
        <w:keepLines/>
        <w:spacing w:before="0" w:after="0"/>
        <w:outlineLvl w:val="2"/>
        <w:rPr>
          <w:rFonts w:asciiTheme="majorHAnsi" w:eastAsiaTheme="majorEastAsia" w:hAnsiTheme="majorHAnsi" w:cstheme="majorBidi"/>
          <w:color w:val="243F60" w:themeColor="accent1" w:themeShade="7F"/>
        </w:rPr>
      </w:pPr>
      <w:bookmarkStart w:id="100" w:name="_Toc456682618"/>
      <w:bookmarkStart w:id="101" w:name="_Toc456689303"/>
      <w:bookmarkStart w:id="102" w:name="_Toc456879755"/>
      <w:r w:rsidRPr="001B6346">
        <w:rPr>
          <w:rFonts w:asciiTheme="majorHAnsi" w:eastAsiaTheme="majorEastAsia" w:hAnsiTheme="majorHAnsi" w:cstheme="majorBidi"/>
          <w:color w:val="243F60" w:themeColor="accent1" w:themeShade="7F"/>
        </w:rPr>
        <w:t>Reporting Requirements</w:t>
      </w:r>
      <w:bookmarkEnd w:id="100"/>
      <w:bookmarkEnd w:id="101"/>
      <w:bookmarkEnd w:id="102"/>
    </w:p>
    <w:p w14:paraId="695F3D99" w14:textId="791FF02C" w:rsidR="00065776" w:rsidRDefault="008E4150" w:rsidP="00211E70">
      <w:r w:rsidRPr="005C2917">
        <w:t xml:space="preserve">These are the first </w:t>
      </w:r>
      <w:r w:rsidR="001564FE">
        <w:t>BCR</w:t>
      </w:r>
      <w:r>
        <w:t>s</w:t>
      </w:r>
      <w:r w:rsidRPr="005C2917">
        <w:t xml:space="preserve"> to be filed since the Commission adopted new rule</w:t>
      </w:r>
      <w:r>
        <w:t>s</w:t>
      </w:r>
      <w:r w:rsidRPr="005C2917">
        <w:t xml:space="preserve"> f</w:t>
      </w:r>
      <w:r>
        <w:t>or EIA enforcement</w:t>
      </w:r>
      <w:r w:rsidRPr="000471A1">
        <w:rPr>
          <w:color w:val="4F81BD" w:themeColor="accent1"/>
        </w:rPr>
        <w:t>.</w:t>
      </w:r>
      <w:r w:rsidRPr="005C2917">
        <w:rPr>
          <w:rStyle w:val="FootnoteReference"/>
          <w:rFonts w:eastAsiaTheme="majorEastAsia"/>
        </w:rPr>
        <w:footnoteReference w:id="43"/>
      </w:r>
      <w:r>
        <w:t xml:space="preserve"> </w:t>
      </w:r>
      <w:r w:rsidR="00C53576" w:rsidRPr="00C53576">
        <w:t xml:space="preserve">Pacific </w:t>
      </w:r>
      <w:r w:rsidR="001564FE">
        <w:t xml:space="preserve">Power </w:t>
      </w:r>
      <w:r w:rsidR="00C53576" w:rsidRPr="00C53576">
        <w:t xml:space="preserve">included a “2014-2015 Plan </w:t>
      </w:r>
      <w:r w:rsidR="005A16BD" w:rsidRPr="00C53576">
        <w:t>Condition</w:t>
      </w:r>
      <w:r w:rsidR="00C53576" w:rsidRPr="00C53576">
        <w:t xml:space="preserve"> Requirements and Compliance” checklist in Appendix 1 of their BCR detailing their compliance</w:t>
      </w:r>
      <w:r w:rsidR="00941654">
        <w:t xml:space="preserve"> with Order</w:t>
      </w:r>
      <w:r w:rsidR="004C03A9">
        <w:t> </w:t>
      </w:r>
      <w:r w:rsidR="00941654">
        <w:t>01 and WAC</w:t>
      </w:r>
      <w:r w:rsidR="004C03A9">
        <w:t> </w:t>
      </w:r>
      <w:r w:rsidR="00941654">
        <w:t>480</w:t>
      </w:r>
      <w:r w:rsidR="004C03A9">
        <w:noBreakHyphen/>
      </w:r>
      <w:r w:rsidR="00941654">
        <w:t xml:space="preserve">109, </w:t>
      </w:r>
      <w:r w:rsidR="000421E2">
        <w:t>but</w:t>
      </w:r>
      <w:r w:rsidR="00941654">
        <w:t xml:space="preserve"> t</w:t>
      </w:r>
      <w:r w:rsidR="00065776">
        <w:t xml:space="preserve">he March 2015 updates to the rule were </w:t>
      </w:r>
      <w:r>
        <w:t>not included in</w:t>
      </w:r>
      <w:r w:rsidR="00065776">
        <w:t xml:space="preserve"> this list. While most of the changes to the rule were previously </w:t>
      </w:r>
      <w:r w:rsidR="005A16BD">
        <w:t>incorporated</w:t>
      </w:r>
      <w:r w:rsidR="00065776">
        <w:t xml:space="preserve"> in Pacific</w:t>
      </w:r>
      <w:r w:rsidR="001564FE" w:rsidRPr="001564FE">
        <w:t xml:space="preserve"> Power</w:t>
      </w:r>
      <w:r w:rsidR="00065776">
        <w:t>’s conditions list to Order</w:t>
      </w:r>
      <w:r w:rsidR="004C03A9">
        <w:t> </w:t>
      </w:r>
      <w:r w:rsidR="00065776">
        <w:t xml:space="preserve">01, </w:t>
      </w:r>
      <w:r w:rsidR="000421E2">
        <w:t>one was not</w:t>
      </w:r>
      <w:r w:rsidR="00065776">
        <w:t xml:space="preserve">. </w:t>
      </w:r>
    </w:p>
    <w:p w14:paraId="2DB9DEE6" w14:textId="594DBE5F" w:rsidR="00616CD0" w:rsidRPr="00941654" w:rsidRDefault="00065776" w:rsidP="00F34483">
      <w:r>
        <w:t xml:space="preserve">The only reporting requirement that Staff finds missing from the BCR is </w:t>
      </w:r>
      <w:r w:rsidRPr="00065776">
        <w:t>a summary of the steps taken to adaptively manage conservation programs throughout the preceding two years.</w:t>
      </w:r>
      <w:r>
        <w:t xml:space="preserve"> Through participation in the </w:t>
      </w:r>
      <w:r w:rsidR="000865CB">
        <w:t xml:space="preserve">DSM </w:t>
      </w:r>
      <w:r w:rsidR="00406AA5">
        <w:t>A</w:t>
      </w:r>
      <w:r>
        <w:t>d</w:t>
      </w:r>
      <w:r w:rsidR="00406AA5">
        <w:t>visory G</w:t>
      </w:r>
      <w:r w:rsidR="00FF7C4F">
        <w:t>roup, Staff has witnessed the C</w:t>
      </w:r>
      <w:r>
        <w:t xml:space="preserve">ompany </w:t>
      </w:r>
      <w:r w:rsidR="005A16BD">
        <w:t>adaptively</w:t>
      </w:r>
      <w:r>
        <w:t xml:space="preserve"> manage the program and is confident </w:t>
      </w:r>
      <w:r w:rsidR="00496374">
        <w:t>that</w:t>
      </w:r>
      <w:r w:rsidR="000421E2">
        <w:t>, at least to some degree,</w:t>
      </w:r>
      <w:r w:rsidR="00496374">
        <w:t xml:space="preserve"> </w:t>
      </w:r>
      <w:r w:rsidR="002E4832">
        <w:t xml:space="preserve">adaptive </w:t>
      </w:r>
      <w:r w:rsidR="00312A2E">
        <w:t>management</w:t>
      </w:r>
      <w:r w:rsidR="00496374">
        <w:t xml:space="preserve"> is occurring. </w:t>
      </w:r>
      <w:r w:rsidR="0060452A" w:rsidRPr="00275615">
        <w:t>For example,</w:t>
      </w:r>
      <w:r w:rsidR="0060452A">
        <w:t xml:space="preserve"> </w:t>
      </w:r>
      <w:r w:rsidR="00275615">
        <w:t xml:space="preserve">Pacific Power expanded the Home Energy Reports program in mid 2014, and changed the focus of its lighting program from CFLs to LEDs. </w:t>
      </w:r>
      <w:r w:rsidR="00496374">
        <w:t>However, t</w:t>
      </w:r>
      <w:r w:rsidR="00496374" w:rsidRPr="00496374">
        <w:t xml:space="preserve">o be in compliance with the reporting requirements, Pacific </w:t>
      </w:r>
      <w:r w:rsidR="001564FE" w:rsidRPr="001564FE">
        <w:t xml:space="preserve">Power </w:t>
      </w:r>
      <w:r w:rsidR="00496374" w:rsidRPr="00496374">
        <w:t xml:space="preserve">must file this summary with the Commission. </w:t>
      </w:r>
      <w:r>
        <w:t>Staff has requested this section be filed in an update to the BCR</w:t>
      </w:r>
      <w:r w:rsidR="004C03A9">
        <w:t>,</w:t>
      </w:r>
      <w:r>
        <w:t xml:space="preserve"> but has yet to receive </w:t>
      </w:r>
      <w:r w:rsidR="000421E2">
        <w:t xml:space="preserve">the </w:t>
      </w:r>
      <w:r>
        <w:t xml:space="preserve">summary. </w:t>
      </w:r>
      <w:r w:rsidR="004D2D21">
        <w:t>No order should be issued until this deficiency has been corrected.</w:t>
      </w:r>
    </w:p>
    <w:p w14:paraId="3374BCB0" w14:textId="598F12B9" w:rsidR="008C0BC8" w:rsidRDefault="008C0BC8" w:rsidP="008C0BC8">
      <w:pPr>
        <w:pStyle w:val="Heading1"/>
      </w:pPr>
      <w:bookmarkStart w:id="103" w:name="_Toc456682619"/>
      <w:bookmarkStart w:id="104" w:name="_Toc456689304"/>
      <w:bookmarkStart w:id="105" w:name="_Toc456879756"/>
      <w:r>
        <w:lastRenderedPageBreak/>
        <w:t>Issues</w:t>
      </w:r>
      <w:r w:rsidR="00E93112">
        <w:t xml:space="preserve"> for Further Consideration</w:t>
      </w:r>
      <w:bookmarkEnd w:id="103"/>
      <w:bookmarkEnd w:id="104"/>
      <w:bookmarkEnd w:id="105"/>
    </w:p>
    <w:p w14:paraId="63E7C331" w14:textId="77777777" w:rsidR="00211E70" w:rsidRDefault="00211E70" w:rsidP="00211E70">
      <w:pPr>
        <w:keepNext/>
        <w:spacing w:before="0" w:after="0"/>
      </w:pPr>
      <w:bookmarkStart w:id="106" w:name="_Toc456682620"/>
      <w:bookmarkStart w:id="107" w:name="_Toc456689305"/>
    </w:p>
    <w:p w14:paraId="16489A74" w14:textId="57BC4F7C" w:rsidR="00E75D81" w:rsidRDefault="007371CE" w:rsidP="00484532">
      <w:pPr>
        <w:pStyle w:val="Heading2"/>
        <w:rPr>
          <w:i/>
        </w:rPr>
      </w:pPr>
      <w:bookmarkStart w:id="108" w:name="_Toc456879757"/>
      <w:r>
        <w:rPr>
          <w:i/>
        </w:rPr>
        <w:t>Quantified Health Benefits of Emission Reduction</w:t>
      </w:r>
      <w:bookmarkEnd w:id="106"/>
      <w:bookmarkEnd w:id="107"/>
      <w:bookmarkEnd w:id="108"/>
    </w:p>
    <w:p w14:paraId="72BB6B5B" w14:textId="02026BF0" w:rsidR="007371CE" w:rsidRDefault="007371CE" w:rsidP="00211E70">
      <w:r>
        <w:t>The EIA requires the inclusion of quantifiable environmental cost</w:t>
      </w:r>
      <w:r w:rsidR="004D2D21">
        <w:t>s</w:t>
      </w:r>
      <w:r>
        <w:t xml:space="preserve"> and benefits when calculating cost-effective conservation.</w:t>
      </w:r>
      <w:r w:rsidR="00C02FBA">
        <w:rPr>
          <w:rStyle w:val="FootnoteReference"/>
        </w:rPr>
        <w:footnoteReference w:id="44"/>
      </w:r>
      <w:r w:rsidR="00C02FBA" w:rsidRPr="00C02FBA">
        <w:t xml:space="preserve"> </w:t>
      </w:r>
      <w:r w:rsidR="00C02FBA">
        <w:t xml:space="preserve">The Commission </w:t>
      </w:r>
      <w:r w:rsidR="003B7AD6">
        <w:t xml:space="preserve">has made clear that it </w:t>
      </w:r>
      <w:r w:rsidR="00C02FBA">
        <w:t>prefers a properly balanced total resource cost test.</w:t>
      </w:r>
      <w:r w:rsidR="00C02FBA">
        <w:rPr>
          <w:rStyle w:val="FootnoteReference"/>
        </w:rPr>
        <w:footnoteReference w:id="45"/>
      </w:r>
      <w:r w:rsidR="00CD37ED">
        <w:t xml:space="preserve"> </w:t>
      </w:r>
      <w:r w:rsidR="00FF5D10">
        <w:t xml:space="preserve">As such, when a benefit is identified as quantifiable, it should be included in </w:t>
      </w:r>
      <w:r w:rsidR="004C03A9">
        <w:t xml:space="preserve">a </w:t>
      </w:r>
      <w:r w:rsidR="00FF5D10">
        <w:t>utility</w:t>
      </w:r>
      <w:r w:rsidR="004C03A9">
        <w:t>’s</w:t>
      </w:r>
      <w:r w:rsidR="00FF5D10">
        <w:t xml:space="preserve"> calculations of cost-effective conservation.</w:t>
      </w:r>
    </w:p>
    <w:p w14:paraId="066D15A3" w14:textId="00190DC0" w:rsidR="009875F2" w:rsidRDefault="007371CE" w:rsidP="00D0286E">
      <w:r>
        <w:t xml:space="preserve">Specifically, Staff </w:t>
      </w:r>
      <w:r w:rsidR="00033EB6">
        <w:t>believes</w:t>
      </w:r>
      <w:r>
        <w:t xml:space="preserve"> that the health benefits of reduced particulate matter emissions (PM</w:t>
      </w:r>
      <w:r w:rsidRPr="007371CE">
        <w:rPr>
          <w:vertAlign w:val="subscript"/>
        </w:rPr>
        <w:t>2.5</w:t>
      </w:r>
      <w:r>
        <w:t xml:space="preserve">) are a quantifiable benefit of energy efficiency measures. </w:t>
      </w:r>
      <w:r w:rsidR="00D0286E" w:rsidRPr="00D0286E">
        <w:t>Reduction of these particulate emissions occur in two ways. Particulate emissions are reduced when a specific measure reduces reliance on</w:t>
      </w:r>
      <w:r w:rsidR="004D2D21">
        <w:t xml:space="preserve"> a</w:t>
      </w:r>
      <w:r w:rsidR="00D0286E" w:rsidRPr="00D0286E">
        <w:t xml:space="preserve"> customer’s use of combustion technology, e.g., wood stove heat or an oil</w:t>
      </w:r>
      <w:r w:rsidR="004C03A9">
        <w:t>/</w:t>
      </w:r>
      <w:r w:rsidR="00D0286E" w:rsidRPr="00D0286E">
        <w:t xml:space="preserve">gas fired-furnace or boiler. In addition, because energy efficiency measures reduce load, particulate emissions are simultaneously reduced from the system of utility-scale combustion-based electric generators. </w:t>
      </w:r>
    </w:p>
    <w:p w14:paraId="5797AA7C" w14:textId="4BDEEC00" w:rsidR="009875F2" w:rsidRDefault="009875F2" w:rsidP="00D0286E">
      <w:r>
        <w:t xml:space="preserve">In its </w:t>
      </w:r>
      <w:r w:rsidRPr="009875F2">
        <w:t xml:space="preserve">December 18, 2015, </w:t>
      </w:r>
      <w:r>
        <w:t xml:space="preserve">comments on </w:t>
      </w:r>
      <w:r w:rsidRPr="009875F2">
        <w:t>the Northwest Power and Conservation Council</w:t>
      </w:r>
      <w:r>
        <w:t>’s</w:t>
      </w:r>
      <w:r w:rsidRPr="009875F2">
        <w:t xml:space="preserve"> (Council)</w:t>
      </w:r>
      <w:r>
        <w:t xml:space="preserve"> Draft </w:t>
      </w:r>
      <w:r w:rsidR="00FE7E32">
        <w:t>Seventh</w:t>
      </w:r>
      <w:r>
        <w:t xml:space="preserve"> </w:t>
      </w:r>
      <w:r w:rsidR="00FE7E32">
        <w:t xml:space="preserve">Power </w:t>
      </w:r>
      <w:r>
        <w:t>Plan, the Commission identified the health benefits of reduced emissions as proven and stated that including the financial health benefits of reduced PM</w:t>
      </w:r>
      <w:r w:rsidRPr="007371CE">
        <w:rPr>
          <w:vertAlign w:val="subscript"/>
        </w:rPr>
        <w:t>2.5</w:t>
      </w:r>
      <w:r>
        <w:t xml:space="preserve"> emissions </w:t>
      </w:r>
      <w:r w:rsidR="000171CB">
        <w:t xml:space="preserve">is </w:t>
      </w:r>
      <w:r>
        <w:t>called for by the EIA.</w:t>
      </w:r>
      <w:r w:rsidR="000171CB">
        <w:rPr>
          <w:rStyle w:val="FootnoteReference"/>
        </w:rPr>
        <w:footnoteReference w:id="46"/>
      </w:r>
    </w:p>
    <w:p w14:paraId="33C71AAC" w14:textId="5B89B99F" w:rsidR="004A2ABB" w:rsidRDefault="00D0286E" w:rsidP="00B17B8D">
      <w:pPr>
        <w:spacing w:after="0"/>
      </w:pPr>
      <w:r w:rsidRPr="00D0286E">
        <w:t xml:space="preserve">Staff encourages the utilities to work together with </w:t>
      </w:r>
      <w:r w:rsidR="00A13F7B">
        <w:t>S</w:t>
      </w:r>
      <w:r w:rsidR="00A13F7B" w:rsidRPr="00D0286E">
        <w:t xml:space="preserve">taff </w:t>
      </w:r>
      <w:r w:rsidRPr="00D0286E">
        <w:t xml:space="preserve">to </w:t>
      </w:r>
      <w:r w:rsidR="00835094">
        <w:t xml:space="preserve">begin </w:t>
      </w:r>
      <w:r w:rsidRPr="00835094">
        <w:t>including</w:t>
      </w:r>
      <w:r w:rsidRPr="00CB42DB">
        <w:rPr>
          <w:color w:val="FF0000"/>
        </w:rPr>
        <w:t xml:space="preserve"> </w:t>
      </w:r>
      <w:r w:rsidRPr="00D0286E">
        <w:t xml:space="preserve">these quantifiable benefits in future conservation calculations at </w:t>
      </w:r>
      <w:r w:rsidR="009875F2">
        <w:t xml:space="preserve">both </w:t>
      </w:r>
      <w:r w:rsidRPr="00D0286E">
        <w:t>the measure and system levels.</w:t>
      </w:r>
    </w:p>
    <w:p w14:paraId="43E1FF31" w14:textId="77777777" w:rsidR="00B17B8D" w:rsidRDefault="00B17B8D" w:rsidP="00D0286E">
      <w:pPr>
        <w:rPr>
          <w:i/>
        </w:rPr>
      </w:pPr>
    </w:p>
    <w:p w14:paraId="0D33BEDC" w14:textId="510E0475" w:rsidR="00947A69" w:rsidRPr="00947A69" w:rsidRDefault="00947A69" w:rsidP="00947A69">
      <w:pPr>
        <w:pStyle w:val="Heading2"/>
        <w:rPr>
          <w:i/>
        </w:rPr>
      </w:pPr>
      <w:bookmarkStart w:id="109" w:name="_Toc456682621"/>
      <w:bookmarkStart w:id="110" w:name="_Toc456689306"/>
      <w:bookmarkStart w:id="111" w:name="_Toc456879758"/>
      <w:r w:rsidRPr="00947A69">
        <w:rPr>
          <w:i/>
        </w:rPr>
        <w:t>Other Upcoming Issues</w:t>
      </w:r>
      <w:bookmarkEnd w:id="109"/>
      <w:bookmarkEnd w:id="110"/>
      <w:bookmarkEnd w:id="111"/>
    </w:p>
    <w:p w14:paraId="2775BF9F" w14:textId="293C06A4" w:rsidR="00B65520" w:rsidRDefault="00B65520" w:rsidP="00B65520">
      <w:r>
        <w:t xml:space="preserve">The energy efficiency industry, like the energy industry in general, is rapidly evolving. In </w:t>
      </w:r>
      <w:r w:rsidDel="00B65520">
        <w:t>addition to</w:t>
      </w:r>
      <w:r>
        <w:t xml:space="preserve"> changing technologies, evolving policy trends, and innovations in energy efficiency, the Council released its 7th Power Plan on February 10, 2016. Utilities are required by statute to follow methodologies consistent with the Council’s most recent plan.</w:t>
      </w:r>
      <w:r>
        <w:rPr>
          <w:rStyle w:val="FootnoteReference"/>
        </w:rPr>
        <w:footnoteReference w:id="47"/>
      </w:r>
      <w:r>
        <w:t xml:space="preserve"> </w:t>
      </w:r>
      <w:r w:rsidRPr="00B252CD">
        <w:t xml:space="preserve">Staff has </w:t>
      </w:r>
      <w:r w:rsidR="004C03A9">
        <w:t xml:space="preserve">also </w:t>
      </w:r>
      <w:r w:rsidRPr="00B252CD">
        <w:t xml:space="preserve">identified some </w:t>
      </w:r>
      <w:r>
        <w:t>further</w:t>
      </w:r>
      <w:r w:rsidRPr="00B252CD">
        <w:t xml:space="preserve"> issues that should be kept in mind going forward</w:t>
      </w:r>
      <w:r>
        <w:t>.</w:t>
      </w:r>
      <w:r w:rsidRPr="00B252CD">
        <w:t xml:space="preserve"> </w:t>
      </w:r>
      <w:r>
        <w:t xml:space="preserve">These include, but are not limited to: adaptive management, real-time monitoring, treatment of non-traditional conservation, and equity in energy efficiency programs. </w:t>
      </w:r>
    </w:p>
    <w:p w14:paraId="7C372A26" w14:textId="731B23BA" w:rsidR="00D563CA" w:rsidRPr="004A2ABB" w:rsidRDefault="00B65520" w:rsidP="00D46711">
      <w:r w:rsidRPr="00C447A3">
        <w:rPr>
          <w:u w:val="single"/>
        </w:rPr>
        <w:t>Adaptive Management</w:t>
      </w:r>
      <w:r>
        <w:t xml:space="preserve">: First, </w:t>
      </w:r>
      <w:r w:rsidR="00E201E9">
        <w:t>S</w:t>
      </w:r>
      <w:r>
        <w:t>taff reiterates the importance of adaptive management in the quest to pursue all cost-effective energy efficiency. Staff expects, and the law requires, that utilities continuously review market conditions, research emerging technologies, and implement promising pilot programs. Companies must</w:t>
      </w:r>
      <w:r w:rsidR="00033EB6">
        <w:t xml:space="preserve"> explor</w:t>
      </w:r>
      <w:r>
        <w:t>e</w:t>
      </w:r>
      <w:r w:rsidR="00033EB6">
        <w:t xml:space="preserve"> new programs and </w:t>
      </w:r>
      <w:r w:rsidR="005A16BD">
        <w:t>technologies</w:t>
      </w:r>
      <w:r>
        <w:t xml:space="preserve"> through a variety of mechanisms, inc</w:t>
      </w:r>
      <w:r w:rsidR="008B6CB9">
        <w:t>luding pilots and participation in research projects and organizations</w:t>
      </w:r>
      <w:r w:rsidR="00033EB6">
        <w:t xml:space="preserve">. </w:t>
      </w:r>
    </w:p>
    <w:p w14:paraId="49BA40A8" w14:textId="53DCCFF9" w:rsidR="00F26836" w:rsidRDefault="00B65520" w:rsidP="00947A69">
      <w:r w:rsidRPr="00D46711">
        <w:rPr>
          <w:u w:val="single"/>
        </w:rPr>
        <w:t>Real-time Monitoring</w:t>
      </w:r>
      <w:r>
        <w:t xml:space="preserve">: </w:t>
      </w:r>
      <w:r w:rsidR="00F26836">
        <w:t xml:space="preserve">Due to </w:t>
      </w:r>
      <w:r w:rsidR="00505F45">
        <w:t>technological</w:t>
      </w:r>
      <w:r w:rsidR="00F26836">
        <w:t xml:space="preserve"> </w:t>
      </w:r>
      <w:r w:rsidR="00505F45">
        <w:t>and software improvements, it is possible for utilities</w:t>
      </w:r>
      <w:r w:rsidR="004D2D21">
        <w:t xml:space="preserve"> to</w:t>
      </w:r>
      <w:r w:rsidR="00F26836">
        <w:t xml:space="preserve"> reduce </w:t>
      </w:r>
      <w:r w:rsidR="005A16BD">
        <w:t>measure</w:t>
      </w:r>
      <w:r w:rsidR="00F26836">
        <w:t xml:space="preserve"> and savings evaluation costs, and possibly improve the accuracy of its </w:t>
      </w:r>
      <w:r w:rsidR="00F26836">
        <w:lastRenderedPageBreak/>
        <w:t xml:space="preserve">efficiency savings. Through billing analysis, sub-metering and </w:t>
      </w:r>
      <w:r w:rsidR="00C27CC4">
        <w:t>s</w:t>
      </w:r>
      <w:r w:rsidR="00F26836">
        <w:t>ensors, and advanced metering infrastructure, utilities can gain access to near real-time impact of both measure and contractor performance.</w:t>
      </w:r>
    </w:p>
    <w:p w14:paraId="08BAAE2C" w14:textId="33665ED5" w:rsidR="00505F45" w:rsidRPr="004A2ABB" w:rsidRDefault="00F26836" w:rsidP="00947A69">
      <w:r>
        <w:t>Staff encourages each utilit</w:t>
      </w:r>
      <w:r w:rsidR="000921F0">
        <w:t>y</w:t>
      </w:r>
      <w:r>
        <w:t xml:space="preserve"> to begin exploring </w:t>
      </w:r>
      <w:r w:rsidR="00CA1369">
        <w:t xml:space="preserve">a </w:t>
      </w:r>
      <w:r>
        <w:t xml:space="preserve">pilot for real-time monitoring and evaluation. A good first step is to bring the issue forward to the advisory groups, and identify </w:t>
      </w:r>
      <w:r w:rsidR="00CA1369">
        <w:t xml:space="preserve">the challenges and opportunities within </w:t>
      </w:r>
      <w:r w:rsidR="004D2D21">
        <w:t xml:space="preserve">the </w:t>
      </w:r>
      <w:r w:rsidR="00CA1369">
        <w:t>energy efficiency program</w:t>
      </w:r>
      <w:r w:rsidR="004D2D21">
        <w:t>s</w:t>
      </w:r>
      <w:r w:rsidR="00CA1369">
        <w:t xml:space="preserve">. </w:t>
      </w:r>
      <w:r>
        <w:t xml:space="preserve">   </w:t>
      </w:r>
      <w:r w:rsidR="00505F45">
        <w:t xml:space="preserve">  </w:t>
      </w:r>
    </w:p>
    <w:p w14:paraId="50A05DE5" w14:textId="0AD04F55" w:rsidR="004D1326" w:rsidRDefault="004D2D21" w:rsidP="00947A69">
      <w:r w:rsidRPr="00D46711">
        <w:rPr>
          <w:u w:val="single"/>
        </w:rPr>
        <w:t>Solar applications:</w:t>
      </w:r>
      <w:r>
        <w:t xml:space="preserve"> </w:t>
      </w:r>
      <w:r w:rsidR="00B252CD">
        <w:t>While not traditional energy efficiency measures, some “direct application renewables” are considered in the Council’s 7</w:t>
      </w:r>
      <w:r w:rsidR="00DC0DE6">
        <w:t>th</w:t>
      </w:r>
      <w:r w:rsidR="00B252CD">
        <w:t xml:space="preserve"> Power Plan </w:t>
      </w:r>
      <w:r w:rsidR="006636DF">
        <w:t>as potential conservation resources.</w:t>
      </w:r>
      <w:r w:rsidR="006636DF">
        <w:rPr>
          <w:rStyle w:val="FootnoteReference"/>
        </w:rPr>
        <w:footnoteReference w:id="48"/>
      </w:r>
      <w:r w:rsidR="006636DF">
        <w:t xml:space="preserve"> Solar water heaters are </w:t>
      </w:r>
      <w:r>
        <w:t xml:space="preserve">directly </w:t>
      </w:r>
      <w:r w:rsidR="006636DF">
        <w:t>included in the residential conservation supply curves</w:t>
      </w:r>
      <w:r w:rsidR="00C27CC4">
        <w:t>,</w:t>
      </w:r>
      <w:r w:rsidR="006636DF">
        <w:t xml:space="preserve"> </w:t>
      </w:r>
      <w:r>
        <w:t xml:space="preserve">and the Plan further considers </w:t>
      </w:r>
      <w:r w:rsidR="006636DF">
        <w:t xml:space="preserve">distributed solar photovoltaics (PV). </w:t>
      </w:r>
      <w:r w:rsidR="0045128B">
        <w:t>The Council finds that “when deployed as a rooftop application</w:t>
      </w:r>
      <w:r w:rsidR="00C27CC4">
        <w:t>,</w:t>
      </w:r>
      <w:r w:rsidR="0045128B">
        <w:t xml:space="preserve"> it (PV) typically reduces site electricity consumption more than it adds to grid generation, thus making it appear much like a conservation measure.”</w:t>
      </w:r>
      <w:r w:rsidR="00DC0DE6">
        <w:rPr>
          <w:rStyle w:val="FootnoteReference"/>
        </w:rPr>
        <w:footnoteReference w:id="49"/>
      </w:r>
      <w:r w:rsidR="0045128B">
        <w:t xml:space="preserve"> </w:t>
      </w:r>
    </w:p>
    <w:p w14:paraId="016D843E" w14:textId="5748D728" w:rsidR="00B252CD" w:rsidRPr="004D2D21" w:rsidRDefault="0045128B" w:rsidP="00947A69">
      <w:r>
        <w:t>Treating PV as a conservation resource may be in conflict with the Commission</w:t>
      </w:r>
      <w:r w:rsidR="00DC0DE6">
        <w:t>’s</w:t>
      </w:r>
      <w:r>
        <w:t xml:space="preserve"> definition of conservation as </w:t>
      </w:r>
      <w:r w:rsidRPr="004D2D21">
        <w:t>“</w:t>
      </w:r>
      <w:r w:rsidRPr="001619CA">
        <w:rPr>
          <w:i/>
        </w:rPr>
        <w:t>any reduction in electric power consumption</w:t>
      </w:r>
      <w:r w:rsidRPr="001619CA">
        <w:t xml:space="preserve"> resulting from increases in the efficiency of energy use, production, or distribution.”</w:t>
      </w:r>
      <w:r w:rsidRPr="004D2D21">
        <w:rPr>
          <w:rStyle w:val="FootnoteReference"/>
        </w:rPr>
        <w:footnoteReference w:id="50"/>
      </w:r>
      <w:r w:rsidR="00082445" w:rsidRPr="001619CA">
        <w:t xml:space="preserve"> Staff </w:t>
      </w:r>
      <w:r w:rsidR="005A16BD" w:rsidRPr="001619CA">
        <w:t>believes</w:t>
      </w:r>
      <w:r w:rsidR="00082445" w:rsidRPr="001619CA">
        <w:t xml:space="preserve"> this is an issue that requires further consideration by the Commission before utilities implement the methodology.</w:t>
      </w:r>
    </w:p>
    <w:p w14:paraId="3274F5F5" w14:textId="02CD2FB0" w:rsidR="004A2ABB" w:rsidRDefault="00B65520" w:rsidP="008C0BC8">
      <w:r w:rsidRPr="001619CA">
        <w:rPr>
          <w:u w:val="single"/>
        </w:rPr>
        <w:t>Equal Access to Conservation</w:t>
      </w:r>
      <w:r>
        <w:t xml:space="preserve">: </w:t>
      </w:r>
      <w:r w:rsidR="00947A69">
        <w:t>The issue of e</w:t>
      </w:r>
      <w:r w:rsidR="004A2ABB" w:rsidRPr="004A2ABB">
        <w:t>quity</w:t>
      </w:r>
      <w:r w:rsidR="00947A69">
        <w:t xml:space="preserve"> in energy efficiency programs is about more than fairness. If certain populations are being consistently underserved, then potential savings are being left on the table. Staff encourages utilities to </w:t>
      </w:r>
      <w:r w:rsidR="00596AEF">
        <w:t xml:space="preserve">identify and </w:t>
      </w:r>
      <w:r w:rsidR="00947A69">
        <w:t xml:space="preserve">pursue portions of the population their programs </w:t>
      </w:r>
      <w:r w:rsidR="00596AEF">
        <w:t xml:space="preserve">may not be </w:t>
      </w:r>
      <w:r w:rsidR="00FE7E32">
        <w:t>sufficiently serving</w:t>
      </w:r>
      <w:r w:rsidR="00596AEF">
        <w:t>.</w:t>
      </w:r>
    </w:p>
    <w:p w14:paraId="5955193A" w14:textId="08FB4517" w:rsidR="00EF7490" w:rsidRDefault="0040598F" w:rsidP="00211E70">
      <w:pPr>
        <w:pStyle w:val="Heading1"/>
        <w:rPr>
          <w:b w:val="0"/>
        </w:rPr>
      </w:pPr>
      <w:bookmarkStart w:id="112" w:name="_Toc455489984"/>
      <w:bookmarkStart w:id="113" w:name="_Toc456682622"/>
      <w:bookmarkStart w:id="114" w:name="_Toc456689307"/>
      <w:bookmarkStart w:id="115" w:name="_Toc456879759"/>
      <w:r>
        <w:t>Summary</w:t>
      </w:r>
      <w:bookmarkEnd w:id="112"/>
      <w:bookmarkEnd w:id="113"/>
      <w:bookmarkEnd w:id="114"/>
      <w:bookmarkEnd w:id="115"/>
    </w:p>
    <w:p w14:paraId="2ED65A42" w14:textId="18BFF08F" w:rsidR="008B6CB9" w:rsidRDefault="006C0A64" w:rsidP="008B4790">
      <w:r w:rsidRPr="009C2FD6">
        <w:t xml:space="preserve">Staff will review stakeholder comments and provide a recommendation as to whether the </w:t>
      </w:r>
      <w:r w:rsidR="00E201E9">
        <w:t>C</w:t>
      </w:r>
      <w:r w:rsidRPr="009C2FD6">
        <w:t>ommission should</w:t>
      </w:r>
      <w:r w:rsidR="008B6CB9">
        <w:t>:</w:t>
      </w:r>
      <w:r w:rsidRPr="009C2FD6">
        <w:t xml:space="preserve"> </w:t>
      </w:r>
    </w:p>
    <w:p w14:paraId="020DB574" w14:textId="216FDE8E" w:rsidR="008B6CB9" w:rsidRDefault="008B6CB9" w:rsidP="001619CA">
      <w:pPr>
        <w:pStyle w:val="ListParagraph"/>
        <w:numPr>
          <w:ilvl w:val="0"/>
          <w:numId w:val="28"/>
        </w:numPr>
      </w:pPr>
      <w:r>
        <w:t>A</w:t>
      </w:r>
      <w:r w:rsidRPr="009C2FD6">
        <w:t xml:space="preserve">ccept </w:t>
      </w:r>
      <w:r w:rsidR="006C0A64" w:rsidRPr="009C2FD6">
        <w:t xml:space="preserve">that </w:t>
      </w:r>
      <w:r w:rsidR="006C0A64">
        <w:t>PSE, Avista, and Pacific</w:t>
      </w:r>
      <w:r w:rsidR="006C0A64" w:rsidRPr="009C2FD6">
        <w:t xml:space="preserve"> </w:t>
      </w:r>
      <w:r w:rsidR="001564FE" w:rsidRPr="001564FE">
        <w:t xml:space="preserve">Power </w:t>
      </w:r>
      <w:r w:rsidR="006C0A64" w:rsidRPr="009C2FD6">
        <w:t xml:space="preserve">complied with the </w:t>
      </w:r>
      <w:r w:rsidR="00723D43">
        <w:t>c</w:t>
      </w:r>
      <w:r w:rsidR="006C0A64" w:rsidRPr="009C2FD6">
        <w:t>onditions of t</w:t>
      </w:r>
      <w:r w:rsidR="006C0A64">
        <w:t xml:space="preserve">heir respective </w:t>
      </w:r>
      <w:r w:rsidR="00723D43">
        <w:t>o</w:t>
      </w:r>
      <w:r w:rsidR="006C0A64">
        <w:t>rders (Order 01</w:t>
      </w:r>
      <w:r w:rsidR="006C0A64" w:rsidRPr="009C2FD6">
        <w:t xml:space="preserve"> in Docket UE-1</w:t>
      </w:r>
      <w:r w:rsidR="006C0A64">
        <w:t>32043</w:t>
      </w:r>
      <w:r w:rsidR="006C0A64" w:rsidRPr="009C2FD6">
        <w:t>, Order 01 in Docket UE-1</w:t>
      </w:r>
      <w:r w:rsidR="006C0A64">
        <w:t>32045</w:t>
      </w:r>
      <w:r w:rsidR="006C0A64" w:rsidRPr="009C2FD6">
        <w:t>, and Order 0</w:t>
      </w:r>
      <w:r w:rsidR="006C0A64">
        <w:t>1</w:t>
      </w:r>
      <w:r w:rsidR="006C0A64" w:rsidRPr="009C2FD6">
        <w:t xml:space="preserve"> in Docket UE-1</w:t>
      </w:r>
      <w:r w:rsidR="006C0A64">
        <w:t>32047</w:t>
      </w:r>
      <w:r w:rsidR="006C0A64" w:rsidRPr="009C2FD6">
        <w:t>)</w:t>
      </w:r>
      <w:r>
        <w:t>,</w:t>
      </w:r>
      <w:r w:rsidR="006C0A64" w:rsidRPr="009C2FD6">
        <w:t xml:space="preserve"> </w:t>
      </w:r>
    </w:p>
    <w:p w14:paraId="42C2EE42" w14:textId="33687DCF" w:rsidR="008B6CB9" w:rsidRDefault="008B6CB9" w:rsidP="001619CA">
      <w:pPr>
        <w:pStyle w:val="ListParagraph"/>
        <w:numPr>
          <w:ilvl w:val="0"/>
          <w:numId w:val="28"/>
        </w:numPr>
      </w:pPr>
      <w:r>
        <w:t>A</w:t>
      </w:r>
      <w:r w:rsidRPr="009C2FD6">
        <w:t xml:space="preserve">re </w:t>
      </w:r>
      <w:r w:rsidR="006C0A64" w:rsidRPr="009C2FD6">
        <w:t>in compliance with the reporting requirements</w:t>
      </w:r>
      <w:r>
        <w:t xml:space="preserve"> of</w:t>
      </w:r>
      <w:r w:rsidR="006C0A64" w:rsidRPr="009C2FD6">
        <w:t xml:space="preserve"> WAC 480</w:t>
      </w:r>
      <w:r w:rsidR="006C0A64" w:rsidRPr="009C2FD6">
        <w:noBreakHyphen/>
        <w:t>109</w:t>
      </w:r>
      <w:r w:rsidR="006C0A64" w:rsidRPr="009C2FD6">
        <w:noBreakHyphen/>
        <w:t xml:space="preserve">120 and RCW 19.285.070 in their </w:t>
      </w:r>
      <w:r w:rsidR="006C0A64" w:rsidRPr="009C2FD6" w:rsidDel="00C63C0D">
        <w:t xml:space="preserve">biennial conservation </w:t>
      </w:r>
      <w:r w:rsidR="006C0A64" w:rsidRPr="009C2FD6">
        <w:t>reports</w:t>
      </w:r>
      <w:r>
        <w:t>,</w:t>
      </w:r>
      <w:r w:rsidR="006C0A64" w:rsidRPr="009C2FD6">
        <w:t xml:space="preserve"> and</w:t>
      </w:r>
    </w:p>
    <w:p w14:paraId="46D7B8D7" w14:textId="7FF30C1B" w:rsidR="003079AE" w:rsidRDefault="008B6CB9" w:rsidP="001619CA">
      <w:pPr>
        <w:pStyle w:val="ListParagraph"/>
        <w:numPr>
          <w:ilvl w:val="0"/>
          <w:numId w:val="28"/>
        </w:numPr>
        <w:sectPr w:rsidR="003079AE" w:rsidSect="00EA350E">
          <w:pgSz w:w="12240" w:h="15840"/>
          <w:pgMar w:top="1440" w:right="1440" w:bottom="1440" w:left="1440" w:header="720" w:footer="720" w:gutter="0"/>
          <w:pgNumType w:start="1"/>
          <w:cols w:space="720"/>
          <w:docGrid w:linePitch="360"/>
        </w:sectPr>
      </w:pPr>
      <w:r>
        <w:t>I</w:t>
      </w:r>
      <w:r w:rsidR="006C0A64" w:rsidRPr="009C2FD6">
        <w:t>ssue an order finding that the companies</w:t>
      </w:r>
      <w:r w:rsidR="006C0A64">
        <w:t xml:space="preserve"> met</w:t>
      </w:r>
      <w:r w:rsidR="006C0A64" w:rsidRPr="009C2FD6">
        <w:t xml:space="preserve"> their biennial conservation targets at the August 1</w:t>
      </w:r>
      <w:r w:rsidR="008B4790">
        <w:t>2, 2016, recessed open meeting.</w:t>
      </w:r>
      <w:r w:rsidR="000D750C">
        <w:br w:type="page"/>
      </w:r>
      <w:bookmarkStart w:id="116" w:name="_Toc456682623"/>
      <w:bookmarkStart w:id="117" w:name="_Toc456689308"/>
    </w:p>
    <w:p w14:paraId="38E476B2" w14:textId="06A2F694" w:rsidR="000D750C" w:rsidRPr="000D750C" w:rsidRDefault="000D750C" w:rsidP="000D750C">
      <w:pPr>
        <w:pStyle w:val="Heading1"/>
      </w:pPr>
      <w:bookmarkStart w:id="118" w:name="_Toc456879760"/>
      <w:r w:rsidRPr="000D750C">
        <w:lastRenderedPageBreak/>
        <w:t>Attachment</w:t>
      </w:r>
      <w:bookmarkEnd w:id="116"/>
      <w:bookmarkEnd w:id="117"/>
      <w:r w:rsidR="003079AE">
        <w:t>:</w:t>
      </w:r>
      <w:r w:rsidR="008B4790">
        <w:t xml:space="preserve"> Recommended Treatment of</w:t>
      </w:r>
      <w:r w:rsidR="003079AE">
        <w:t xml:space="preserve"> </w:t>
      </w:r>
      <w:r w:rsidR="008B4790">
        <w:t>Excess Conservation</w:t>
      </w:r>
      <w:bookmarkEnd w:id="118"/>
    </w:p>
    <w:p w14:paraId="491FB068" w14:textId="643D0928" w:rsidR="00E92F4F" w:rsidRDefault="008B4790" w:rsidP="008B4790">
      <w:pPr>
        <w:pStyle w:val="Heading2"/>
      </w:pPr>
      <w:bookmarkStart w:id="119" w:name="_Toc456801639"/>
      <w:bookmarkStart w:id="120" w:name="_Toc456867211"/>
      <w:bookmarkStart w:id="121" w:name="_Toc456879761"/>
      <w:r>
        <w:t xml:space="preserve">Glossary for Excess </w:t>
      </w:r>
      <w:r w:rsidR="005D3A92">
        <w:t>Conservation</w:t>
      </w:r>
      <w:r>
        <w:t xml:space="preserve"> Examples</w:t>
      </w:r>
      <w:bookmarkEnd w:id="119"/>
      <w:bookmarkEnd w:id="120"/>
      <w:bookmarkEnd w:id="121"/>
      <w:r>
        <w:t xml:space="preserve"> </w:t>
      </w:r>
    </w:p>
    <w:tbl>
      <w:tblPr>
        <w:tblStyle w:val="PlainTable4"/>
        <w:tblW w:w="12500" w:type="dxa"/>
        <w:tblLook w:val="04A0" w:firstRow="1" w:lastRow="0" w:firstColumn="1" w:lastColumn="0" w:noHBand="0" w:noVBand="1"/>
      </w:tblPr>
      <w:tblGrid>
        <w:gridCol w:w="4230"/>
        <w:gridCol w:w="8270"/>
      </w:tblGrid>
      <w:tr w:rsidR="008B4790" w:rsidRPr="008B4790" w14:paraId="7DF227EA" w14:textId="77777777" w:rsidTr="001619CA">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4184916" w14:textId="77777777" w:rsidR="008B4790" w:rsidRPr="008B4790" w:rsidRDefault="008B4790" w:rsidP="008B4790">
            <w:pPr>
              <w:spacing w:before="0" w:after="0" w:line="360" w:lineRule="auto"/>
              <w:jc w:val="right"/>
              <w:rPr>
                <w:b w:val="0"/>
                <w:bCs w:val="0"/>
                <w:color w:val="000000"/>
              </w:rPr>
            </w:pPr>
            <w:r w:rsidRPr="008B4790">
              <w:rPr>
                <w:b w:val="0"/>
                <w:bCs w:val="0"/>
                <w:color w:val="000000"/>
              </w:rPr>
              <w:t>Biennial Conservation Target</w:t>
            </w:r>
          </w:p>
        </w:tc>
        <w:tc>
          <w:tcPr>
            <w:tcW w:w="8270" w:type="dxa"/>
            <w:hideMark/>
          </w:tcPr>
          <w:p w14:paraId="02B89328" w14:textId="56B91D2A" w:rsidR="008B4790" w:rsidRPr="008B4790" w:rsidRDefault="008B4790" w:rsidP="008B4790">
            <w:pPr>
              <w:spacing w:before="0" w:after="0" w:line="360" w:lineRule="auto"/>
              <w:cnfStyle w:val="100000000000" w:firstRow="1" w:lastRow="0" w:firstColumn="0" w:lastColumn="0" w:oddVBand="0" w:evenVBand="0" w:oddHBand="0" w:evenHBand="0" w:firstRowFirstColumn="0" w:firstRowLastColumn="0" w:lastRowFirstColumn="0" w:lastRowLastColumn="0"/>
              <w:rPr>
                <w:color w:val="000000"/>
              </w:rPr>
            </w:pPr>
            <w:r w:rsidRPr="008B4790">
              <w:rPr>
                <w:color w:val="000000"/>
              </w:rPr>
              <w:t>All available conservation that is cost-effective, reliable, and feasible. No less than the pro rata share of the t</w:t>
            </w:r>
            <w:r w:rsidR="005D3A92">
              <w:rPr>
                <w:color w:val="000000"/>
              </w:rPr>
              <w:t>en year potential, at least 20%</w:t>
            </w:r>
            <w:r w:rsidRPr="008B4790">
              <w:rPr>
                <w:color w:val="000000"/>
              </w:rPr>
              <w:t>.</w:t>
            </w:r>
          </w:p>
        </w:tc>
      </w:tr>
      <w:tr w:rsidR="008B4790" w:rsidRPr="008B4790" w14:paraId="37DC194A" w14:textId="77777777" w:rsidTr="001619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DF239AA" w14:textId="77777777" w:rsidR="008B4790" w:rsidRPr="008B4790" w:rsidRDefault="008B4790" w:rsidP="008B4790">
            <w:pPr>
              <w:spacing w:before="0" w:after="0" w:line="360" w:lineRule="auto"/>
              <w:jc w:val="right"/>
              <w:rPr>
                <w:b w:val="0"/>
                <w:bCs w:val="0"/>
                <w:color w:val="000000"/>
              </w:rPr>
            </w:pPr>
            <w:r w:rsidRPr="008B4790">
              <w:rPr>
                <w:b w:val="0"/>
                <w:bCs w:val="0"/>
                <w:color w:val="000000"/>
              </w:rPr>
              <w:t>Excluded Potential</w:t>
            </w:r>
          </w:p>
        </w:tc>
        <w:tc>
          <w:tcPr>
            <w:tcW w:w="8270" w:type="dxa"/>
            <w:hideMark/>
          </w:tcPr>
          <w:p w14:paraId="609B10B0"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Potential savings which are speculative in nature and excluded from Base UTC Target i.e. NEEA or pilot programs.</w:t>
            </w:r>
          </w:p>
        </w:tc>
      </w:tr>
      <w:tr w:rsidR="008B4790" w:rsidRPr="008B4790" w14:paraId="62D6BE75" w14:textId="77777777" w:rsidTr="001619CA">
        <w:trPr>
          <w:trHeight w:val="87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1C2EE33" w14:textId="77777777" w:rsidR="008B4790" w:rsidRPr="008B4790" w:rsidRDefault="008B4790" w:rsidP="008B4790">
            <w:pPr>
              <w:spacing w:before="0" w:after="0" w:line="360" w:lineRule="auto"/>
              <w:jc w:val="right"/>
              <w:rPr>
                <w:b w:val="0"/>
                <w:bCs w:val="0"/>
                <w:color w:val="000000"/>
              </w:rPr>
            </w:pPr>
            <w:r w:rsidRPr="008B4790">
              <w:rPr>
                <w:b w:val="0"/>
                <w:bCs w:val="0"/>
                <w:color w:val="000000"/>
              </w:rPr>
              <w:t>Base UTC Target</w:t>
            </w:r>
          </w:p>
        </w:tc>
        <w:tc>
          <w:tcPr>
            <w:tcW w:w="8270" w:type="dxa"/>
            <w:hideMark/>
          </w:tcPr>
          <w:p w14:paraId="7E38C47C"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The Energy Independence Act biennial conservation plan (BCP) energy savings targets approved by the UTC. Generally, the Biennial Conservation Target minus any excluded potential.</w:t>
            </w:r>
          </w:p>
        </w:tc>
      </w:tr>
      <w:tr w:rsidR="008B4790" w:rsidRPr="008B4790" w14:paraId="04B2768C" w14:textId="77777777" w:rsidTr="001619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6355809E" w14:textId="77777777" w:rsidR="008B4790" w:rsidRPr="008B4790" w:rsidRDefault="008B4790" w:rsidP="008B4790">
            <w:pPr>
              <w:spacing w:before="0" w:after="0" w:line="360" w:lineRule="auto"/>
              <w:jc w:val="right"/>
              <w:rPr>
                <w:b w:val="0"/>
                <w:bCs w:val="0"/>
                <w:color w:val="000000"/>
              </w:rPr>
            </w:pPr>
            <w:r w:rsidRPr="008B4790">
              <w:rPr>
                <w:b w:val="0"/>
                <w:bCs w:val="0"/>
                <w:color w:val="000000"/>
              </w:rPr>
              <w:t>Decoupling Commitment</w:t>
            </w:r>
          </w:p>
        </w:tc>
        <w:tc>
          <w:tcPr>
            <w:tcW w:w="8270" w:type="dxa"/>
            <w:hideMark/>
          </w:tcPr>
          <w:p w14:paraId="62341FBD"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Additional percent of Base UTC Target required per Commission order. Currently 5% for PSE and Avista.</w:t>
            </w:r>
          </w:p>
        </w:tc>
      </w:tr>
      <w:tr w:rsidR="008B4790" w:rsidRPr="008B4790" w14:paraId="714ADC28"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D7A8704" w14:textId="1854A840" w:rsidR="008B4790" w:rsidRPr="008B4790" w:rsidRDefault="00363559" w:rsidP="008B4790">
            <w:pPr>
              <w:spacing w:before="0" w:after="0" w:line="360" w:lineRule="auto"/>
              <w:jc w:val="right"/>
              <w:rPr>
                <w:b w:val="0"/>
                <w:bCs w:val="0"/>
                <w:color w:val="000000"/>
              </w:rPr>
            </w:pPr>
            <w:r>
              <w:rPr>
                <w:b w:val="0"/>
                <w:bCs w:val="0"/>
                <w:color w:val="000000"/>
              </w:rPr>
              <w:t>Overall</w:t>
            </w:r>
            <w:r w:rsidRPr="008B4790">
              <w:rPr>
                <w:b w:val="0"/>
                <w:bCs w:val="0"/>
                <w:color w:val="000000"/>
              </w:rPr>
              <w:t xml:space="preserve"> </w:t>
            </w:r>
            <w:r w:rsidR="008B4790" w:rsidRPr="008B4790">
              <w:rPr>
                <w:b w:val="0"/>
                <w:bCs w:val="0"/>
                <w:color w:val="000000"/>
              </w:rPr>
              <w:t>UTC Target</w:t>
            </w:r>
          </w:p>
        </w:tc>
        <w:tc>
          <w:tcPr>
            <w:tcW w:w="8270" w:type="dxa"/>
            <w:hideMark/>
          </w:tcPr>
          <w:p w14:paraId="709A7A18"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Base UTC Target plus Decoupling Commitment.</w:t>
            </w:r>
          </w:p>
        </w:tc>
      </w:tr>
      <w:tr w:rsidR="008B4790" w:rsidRPr="008B4790" w14:paraId="17862DEB" w14:textId="77777777" w:rsidTr="001619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FECEB08" w14:textId="77777777" w:rsidR="008B4790" w:rsidRPr="008B4790" w:rsidRDefault="008B4790" w:rsidP="008B4790">
            <w:pPr>
              <w:spacing w:before="0" w:after="0" w:line="360" w:lineRule="auto"/>
              <w:jc w:val="right"/>
              <w:rPr>
                <w:b w:val="0"/>
                <w:bCs w:val="0"/>
                <w:color w:val="000000"/>
              </w:rPr>
            </w:pPr>
            <w:r w:rsidRPr="008B4790">
              <w:rPr>
                <w:b w:val="0"/>
                <w:bCs w:val="0"/>
                <w:color w:val="000000"/>
              </w:rPr>
              <w:t>Full Target</w:t>
            </w:r>
          </w:p>
        </w:tc>
        <w:tc>
          <w:tcPr>
            <w:tcW w:w="8270" w:type="dxa"/>
            <w:hideMark/>
          </w:tcPr>
          <w:p w14:paraId="1F017F87" w14:textId="4B978E96"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 xml:space="preserve">Biennial Conservation Target plus decoupling </w:t>
            </w:r>
            <w:r w:rsidR="005D3A92" w:rsidRPr="008B4790">
              <w:rPr>
                <w:color w:val="000000"/>
              </w:rPr>
              <w:t>commitment</w:t>
            </w:r>
            <w:r w:rsidRPr="008B4790">
              <w:rPr>
                <w:color w:val="000000"/>
              </w:rPr>
              <w:t>. This is the “Target” reported to Commerce.</w:t>
            </w:r>
          </w:p>
        </w:tc>
      </w:tr>
      <w:tr w:rsidR="008B4790" w:rsidRPr="008B4790" w14:paraId="1815380D"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19C5BFA" w14:textId="77777777" w:rsidR="008B4790" w:rsidRPr="008B4790" w:rsidRDefault="008B4790" w:rsidP="008B4790">
            <w:pPr>
              <w:spacing w:before="0" w:after="0" w:line="360" w:lineRule="auto"/>
              <w:jc w:val="right"/>
              <w:rPr>
                <w:b w:val="0"/>
                <w:bCs w:val="0"/>
                <w:color w:val="000000"/>
              </w:rPr>
            </w:pPr>
            <w:r w:rsidRPr="008B4790">
              <w:rPr>
                <w:b w:val="0"/>
                <w:bCs w:val="0"/>
                <w:color w:val="000000"/>
              </w:rPr>
              <w:t>Utility Program Savings Achieved</w:t>
            </w:r>
          </w:p>
        </w:tc>
        <w:tc>
          <w:tcPr>
            <w:tcW w:w="8270" w:type="dxa"/>
            <w:hideMark/>
          </w:tcPr>
          <w:p w14:paraId="368143DD"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Energy Efficiency savings resulting from Utility Programs.</w:t>
            </w:r>
          </w:p>
        </w:tc>
      </w:tr>
      <w:tr w:rsidR="008B4790" w:rsidRPr="008B4790" w14:paraId="33F848C6" w14:textId="77777777" w:rsidTr="001619C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0113F822" w14:textId="77777777" w:rsidR="008B4790" w:rsidRPr="008B4790" w:rsidRDefault="008B4790" w:rsidP="008B4790">
            <w:pPr>
              <w:spacing w:before="0" w:after="0" w:line="360" w:lineRule="auto"/>
              <w:jc w:val="right"/>
              <w:rPr>
                <w:b w:val="0"/>
                <w:bCs w:val="0"/>
                <w:color w:val="000000"/>
              </w:rPr>
            </w:pPr>
            <w:r w:rsidRPr="008B4790">
              <w:rPr>
                <w:b w:val="0"/>
                <w:bCs w:val="0"/>
                <w:color w:val="000000"/>
              </w:rPr>
              <w:t>Single Large Facility Savings Achieved</w:t>
            </w:r>
          </w:p>
        </w:tc>
        <w:tc>
          <w:tcPr>
            <w:tcW w:w="8270" w:type="dxa"/>
            <w:hideMark/>
          </w:tcPr>
          <w:p w14:paraId="7622E6AC"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Energy Efficiency savings as defined in WAC 480-109-060(26).</w:t>
            </w:r>
          </w:p>
        </w:tc>
      </w:tr>
      <w:tr w:rsidR="008B4790" w:rsidRPr="008B4790" w14:paraId="333645F6"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70CB5B6" w14:textId="77777777" w:rsidR="008B4790" w:rsidRPr="008B4790" w:rsidRDefault="008B4790" w:rsidP="008B4790">
            <w:pPr>
              <w:spacing w:before="0" w:after="0" w:line="360" w:lineRule="auto"/>
              <w:jc w:val="right"/>
              <w:rPr>
                <w:b w:val="0"/>
                <w:bCs w:val="0"/>
                <w:color w:val="000000"/>
              </w:rPr>
            </w:pPr>
            <w:r w:rsidRPr="008B4790">
              <w:rPr>
                <w:b w:val="0"/>
                <w:bCs w:val="0"/>
                <w:color w:val="000000"/>
              </w:rPr>
              <w:t>Total Utility Savings Achieved</w:t>
            </w:r>
          </w:p>
        </w:tc>
        <w:tc>
          <w:tcPr>
            <w:tcW w:w="8270" w:type="dxa"/>
            <w:hideMark/>
          </w:tcPr>
          <w:p w14:paraId="1DA3E288"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Utility Program Savings Achieved plus Single Large Facility Savings Achieved.</w:t>
            </w:r>
          </w:p>
        </w:tc>
      </w:tr>
      <w:tr w:rsidR="008B4790" w:rsidRPr="008B4790" w14:paraId="5EF33477" w14:textId="77777777" w:rsidTr="001619C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426BDF1" w14:textId="77777777" w:rsidR="008B4790" w:rsidRPr="008B4790" w:rsidRDefault="008B4790" w:rsidP="008B4790">
            <w:pPr>
              <w:spacing w:before="0" w:after="0" w:line="360" w:lineRule="auto"/>
              <w:jc w:val="right"/>
              <w:rPr>
                <w:b w:val="0"/>
                <w:bCs w:val="0"/>
                <w:color w:val="000000"/>
              </w:rPr>
            </w:pPr>
            <w:r w:rsidRPr="008B4790">
              <w:rPr>
                <w:b w:val="0"/>
                <w:bCs w:val="0"/>
                <w:color w:val="000000"/>
              </w:rPr>
              <w:t>NEEA and Other Savings Achieved</w:t>
            </w:r>
          </w:p>
        </w:tc>
        <w:tc>
          <w:tcPr>
            <w:tcW w:w="8270" w:type="dxa"/>
            <w:hideMark/>
          </w:tcPr>
          <w:p w14:paraId="1D519CA5"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Any savings that result from programs excluded in the Base UTC Target calculation.</w:t>
            </w:r>
          </w:p>
        </w:tc>
      </w:tr>
      <w:tr w:rsidR="008B4790" w:rsidRPr="008B4790" w14:paraId="3A966BE4"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330A0DB" w14:textId="77777777" w:rsidR="008B4790" w:rsidRPr="008B4790" w:rsidRDefault="008B4790" w:rsidP="008B4790">
            <w:pPr>
              <w:spacing w:before="0" w:after="0" w:line="360" w:lineRule="auto"/>
              <w:jc w:val="right"/>
              <w:rPr>
                <w:b w:val="0"/>
                <w:bCs w:val="0"/>
                <w:color w:val="000000"/>
              </w:rPr>
            </w:pPr>
            <w:r w:rsidRPr="008B4790">
              <w:rPr>
                <w:b w:val="0"/>
                <w:bCs w:val="0"/>
                <w:color w:val="000000"/>
              </w:rPr>
              <w:t>Total Savings Achieved</w:t>
            </w:r>
          </w:p>
        </w:tc>
        <w:tc>
          <w:tcPr>
            <w:tcW w:w="8270" w:type="dxa"/>
            <w:hideMark/>
          </w:tcPr>
          <w:p w14:paraId="6B97D36A"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Total Utility Savings Achieved plus NEEA and Other Savings Achieved.</w:t>
            </w:r>
          </w:p>
        </w:tc>
      </w:tr>
      <w:tr w:rsidR="008B4790" w:rsidRPr="008B4790" w14:paraId="6D57D558" w14:textId="77777777" w:rsidTr="001619C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7B5D056" w14:textId="77777777" w:rsidR="008B4790" w:rsidRPr="008B4790" w:rsidRDefault="008B4790" w:rsidP="008B4790">
            <w:pPr>
              <w:spacing w:before="0" w:after="0" w:line="360" w:lineRule="auto"/>
              <w:jc w:val="right"/>
              <w:rPr>
                <w:b w:val="0"/>
                <w:bCs w:val="0"/>
                <w:color w:val="000000"/>
              </w:rPr>
            </w:pPr>
            <w:r w:rsidRPr="008B4790">
              <w:rPr>
                <w:b w:val="0"/>
                <w:bCs w:val="0"/>
                <w:color w:val="000000"/>
              </w:rPr>
              <w:t>Excess Savings Earned</w:t>
            </w:r>
          </w:p>
        </w:tc>
        <w:tc>
          <w:tcPr>
            <w:tcW w:w="8270" w:type="dxa"/>
            <w:hideMark/>
          </w:tcPr>
          <w:p w14:paraId="55064A28" w14:textId="01E72F45"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Total Savings Achieved minus the Full Target</w:t>
            </w:r>
            <w:r w:rsidR="008B6CB9">
              <w:rPr>
                <w:color w:val="000000"/>
              </w:rPr>
              <w:t>.</w:t>
            </w:r>
          </w:p>
        </w:tc>
      </w:tr>
    </w:tbl>
    <w:p w14:paraId="1053067F" w14:textId="14CB0AA7" w:rsidR="002C039A" w:rsidRDefault="008B4790" w:rsidP="008B4790">
      <w:pPr>
        <w:pStyle w:val="Heading2"/>
      </w:pPr>
      <w:bookmarkStart w:id="122" w:name="_Toc456801640"/>
      <w:bookmarkStart w:id="123" w:name="_Toc456867212"/>
      <w:bookmarkStart w:id="124" w:name="_Toc456879762"/>
      <w:r w:rsidRPr="008B4790">
        <w:lastRenderedPageBreak/>
        <w:t>Example Excess Conservation Calculations (MWh)</w:t>
      </w:r>
      <w:bookmarkEnd w:id="122"/>
      <w:bookmarkEnd w:id="123"/>
      <w:bookmarkEnd w:id="124"/>
    </w:p>
    <w:p w14:paraId="1221A4EA" w14:textId="77777777" w:rsidR="008B4790" w:rsidRPr="008B4790" w:rsidRDefault="008B4790" w:rsidP="008B4790"/>
    <w:tbl>
      <w:tblPr>
        <w:tblW w:w="0" w:type="auto"/>
        <w:tblInd w:w="-10" w:type="dxa"/>
        <w:tblLook w:val="04A0" w:firstRow="1" w:lastRow="0" w:firstColumn="1" w:lastColumn="0" w:noHBand="0" w:noVBand="1"/>
      </w:tblPr>
      <w:tblGrid>
        <w:gridCol w:w="2909"/>
        <w:gridCol w:w="1983"/>
        <w:gridCol w:w="1954"/>
        <w:gridCol w:w="3839"/>
        <w:gridCol w:w="2265"/>
      </w:tblGrid>
      <w:tr w:rsidR="007917EC" w:rsidRPr="007917EC" w14:paraId="601B8A95"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0E57FADD"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603FAACD"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0588755C"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5F0AF9B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431A3978"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215F112E" w14:textId="77777777" w:rsidTr="007917EC">
        <w:trPr>
          <w:trHeight w:val="2040"/>
        </w:trPr>
        <w:tc>
          <w:tcPr>
            <w:tcW w:w="0" w:type="auto"/>
            <w:tcBorders>
              <w:top w:val="nil"/>
              <w:left w:val="single" w:sz="8" w:space="0" w:color="auto"/>
              <w:bottom w:val="nil"/>
              <w:right w:val="nil"/>
            </w:tcBorders>
            <w:shd w:val="clear" w:color="auto" w:fill="auto"/>
            <w:hideMark/>
          </w:tcPr>
          <w:p w14:paraId="1BA055BD"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710604CE" w14:textId="36C5CBDC"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0EF3482D"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2624AB35"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67C8E752"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44F19F00"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5722C3C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6BBCF690"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4B4BF3A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-B = C</w:t>
            </w:r>
          </w:p>
        </w:tc>
        <w:tc>
          <w:tcPr>
            <w:tcW w:w="0" w:type="auto"/>
            <w:tcBorders>
              <w:top w:val="nil"/>
              <w:left w:val="single" w:sz="4" w:space="0" w:color="auto"/>
              <w:bottom w:val="nil"/>
              <w:right w:val="single" w:sz="4" w:space="0" w:color="auto"/>
            </w:tcBorders>
            <w:shd w:val="clear" w:color="auto" w:fill="auto"/>
            <w:noWrap/>
            <w:vAlign w:val="center"/>
            <w:hideMark/>
          </w:tcPr>
          <w:p w14:paraId="3BCEA1D6"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5% of C = D</w:t>
            </w:r>
          </w:p>
        </w:tc>
        <w:tc>
          <w:tcPr>
            <w:tcW w:w="0" w:type="auto"/>
            <w:tcBorders>
              <w:top w:val="nil"/>
              <w:left w:val="nil"/>
              <w:bottom w:val="nil"/>
              <w:right w:val="single" w:sz="8" w:space="0" w:color="auto"/>
            </w:tcBorders>
            <w:shd w:val="clear" w:color="auto" w:fill="auto"/>
            <w:noWrap/>
            <w:vAlign w:val="bottom"/>
            <w:hideMark/>
          </w:tcPr>
          <w:p w14:paraId="01235E9F"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6BE00733"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046DA769" w14:textId="556AB889"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w:t>
            </w:r>
            <w:r w:rsidR="00614F0F">
              <w:rPr>
                <w:rFonts w:ascii="Calibri" w:hAnsi="Calibri"/>
                <w:b/>
                <w:bCs/>
                <w:color w:val="000000"/>
                <w:sz w:val="22"/>
                <w:szCs w:val="22"/>
              </w:rPr>
              <w:t>,</w:t>
            </w:r>
            <w:r w:rsidRPr="007917EC">
              <w:rPr>
                <w:rFonts w:ascii="Calibri" w:hAnsi="Calibri"/>
                <w:b/>
                <w:bCs/>
                <w:color w:val="000000"/>
                <w:sz w:val="22"/>
                <w:szCs w:val="22"/>
              </w:rPr>
              <w:t>000</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7DBC0F01"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50</w:t>
            </w:r>
          </w:p>
        </w:tc>
        <w:tc>
          <w:tcPr>
            <w:tcW w:w="0" w:type="auto"/>
            <w:tcBorders>
              <w:top w:val="nil"/>
              <w:left w:val="nil"/>
              <w:bottom w:val="single" w:sz="8" w:space="0" w:color="auto"/>
              <w:right w:val="nil"/>
            </w:tcBorders>
            <w:shd w:val="clear" w:color="auto" w:fill="auto"/>
            <w:noWrap/>
            <w:vAlign w:val="bottom"/>
            <w:hideMark/>
          </w:tcPr>
          <w:p w14:paraId="32988B7B"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950</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212BB9BD"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48</w:t>
            </w:r>
          </w:p>
        </w:tc>
        <w:tc>
          <w:tcPr>
            <w:tcW w:w="0" w:type="auto"/>
            <w:tcBorders>
              <w:top w:val="nil"/>
              <w:left w:val="nil"/>
              <w:bottom w:val="single" w:sz="8" w:space="0" w:color="auto"/>
              <w:right w:val="single" w:sz="8" w:space="0" w:color="auto"/>
            </w:tcBorders>
            <w:shd w:val="clear" w:color="auto" w:fill="auto"/>
            <w:noWrap/>
            <w:vAlign w:val="bottom"/>
            <w:hideMark/>
          </w:tcPr>
          <w:p w14:paraId="25814926" w14:textId="7551C4A5"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w:t>
            </w:r>
            <w:r w:rsidR="00614F0F">
              <w:rPr>
                <w:rFonts w:ascii="Calibri" w:hAnsi="Calibri"/>
                <w:b/>
                <w:bCs/>
                <w:color w:val="000000"/>
                <w:sz w:val="22"/>
                <w:szCs w:val="22"/>
              </w:rPr>
              <w:t>,</w:t>
            </w:r>
            <w:r w:rsidRPr="007917EC">
              <w:rPr>
                <w:rFonts w:ascii="Calibri" w:hAnsi="Calibri"/>
                <w:b/>
                <w:bCs/>
                <w:color w:val="000000"/>
                <w:sz w:val="22"/>
                <w:szCs w:val="22"/>
              </w:rPr>
              <w:t>048</w:t>
            </w:r>
          </w:p>
        </w:tc>
      </w:tr>
      <w:tr w:rsidR="007917EC" w:rsidRPr="007917EC" w14:paraId="4FBD24E6" w14:textId="77777777" w:rsidTr="007917EC">
        <w:trPr>
          <w:trHeight w:val="620"/>
        </w:trPr>
        <w:tc>
          <w:tcPr>
            <w:tcW w:w="0" w:type="auto"/>
            <w:tcBorders>
              <w:top w:val="nil"/>
              <w:left w:val="single" w:sz="8" w:space="0" w:color="auto"/>
              <w:bottom w:val="nil"/>
              <w:right w:val="nil"/>
            </w:tcBorders>
            <w:shd w:val="clear" w:color="auto" w:fill="auto"/>
            <w:hideMark/>
          </w:tcPr>
          <w:p w14:paraId="0C812BE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527E513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52FDFD46"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74EA47E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5AD59B8C"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0397F734"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263D59A2"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1AA459AC"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2E10C958"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5508EEBD"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52BBA43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0C2EDB58" w14:textId="77777777" w:rsidTr="0047692C">
        <w:trPr>
          <w:trHeight w:val="300"/>
        </w:trPr>
        <w:tc>
          <w:tcPr>
            <w:tcW w:w="0" w:type="auto"/>
            <w:tcBorders>
              <w:top w:val="nil"/>
              <w:left w:val="single" w:sz="8" w:space="0" w:color="auto"/>
              <w:bottom w:val="single" w:sz="8" w:space="0" w:color="auto"/>
              <w:right w:val="nil"/>
            </w:tcBorders>
            <w:shd w:val="clear" w:color="auto" w:fill="auto"/>
            <w:vAlign w:val="bottom"/>
            <w:hideMark/>
          </w:tcPr>
          <w:p w14:paraId="77F326DB"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950</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46269CC4"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5258D2C2"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9A4839"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100</w:t>
            </w:r>
          </w:p>
        </w:tc>
        <w:tc>
          <w:tcPr>
            <w:tcW w:w="0" w:type="auto"/>
            <w:tcBorders>
              <w:top w:val="nil"/>
              <w:left w:val="nil"/>
              <w:bottom w:val="single" w:sz="4" w:space="0" w:color="auto"/>
              <w:right w:val="single" w:sz="8" w:space="0" w:color="auto"/>
            </w:tcBorders>
            <w:shd w:val="clear" w:color="auto" w:fill="auto"/>
            <w:noWrap/>
            <w:vAlign w:val="bottom"/>
            <w:hideMark/>
          </w:tcPr>
          <w:p w14:paraId="1DD19431" w14:textId="7EA6AC75"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w:t>
            </w:r>
            <w:r w:rsidR="00614F0F">
              <w:rPr>
                <w:rFonts w:ascii="Calibri" w:hAnsi="Calibri"/>
                <w:b/>
                <w:bCs/>
                <w:color w:val="000000"/>
                <w:sz w:val="22"/>
                <w:szCs w:val="22"/>
              </w:rPr>
              <w:t>,</w:t>
            </w:r>
            <w:r w:rsidRPr="007917EC">
              <w:rPr>
                <w:rFonts w:ascii="Calibri" w:hAnsi="Calibri"/>
                <w:b/>
                <w:bCs/>
                <w:color w:val="000000"/>
                <w:sz w:val="22"/>
                <w:szCs w:val="22"/>
              </w:rPr>
              <w:t>050</w:t>
            </w:r>
          </w:p>
        </w:tc>
      </w:tr>
      <w:tr w:rsidR="0047692C" w:rsidRPr="007917EC" w14:paraId="17576F75" w14:textId="77777777" w:rsidTr="0047692C">
        <w:trPr>
          <w:trHeight w:val="583"/>
        </w:trPr>
        <w:tc>
          <w:tcPr>
            <w:tcW w:w="0" w:type="auto"/>
            <w:tcBorders>
              <w:top w:val="single" w:sz="8" w:space="0" w:color="auto"/>
              <w:bottom w:val="nil"/>
            </w:tcBorders>
            <w:shd w:val="clear" w:color="auto" w:fill="auto"/>
          </w:tcPr>
          <w:p w14:paraId="7CA173A4" w14:textId="495C6543"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bottom w:val="nil"/>
              <w:right w:val="single" w:sz="4" w:space="0" w:color="auto"/>
            </w:tcBorders>
            <w:shd w:val="clear" w:color="auto" w:fill="auto"/>
          </w:tcPr>
          <w:p w14:paraId="58DE4F04" w14:textId="7ED841AC" w:rsidR="0047692C" w:rsidRPr="007917EC" w:rsidRDefault="0047692C" w:rsidP="0047692C">
            <w:pPr>
              <w:spacing w:before="0" w:after="0"/>
              <w:rPr>
                <w:rFonts w:ascii="Calibri" w:hAnsi="Calibri"/>
                <w:b/>
                <w:bCs/>
                <w:color w:val="1F497D"/>
                <w:sz w:val="22"/>
                <w:szCs w:val="22"/>
              </w:rPr>
            </w:pPr>
          </w:p>
        </w:tc>
        <w:tc>
          <w:tcPr>
            <w:tcW w:w="0" w:type="auto"/>
            <w:tcBorders>
              <w:top w:val="single" w:sz="4" w:space="0" w:color="auto"/>
              <w:left w:val="nil"/>
              <w:bottom w:val="nil"/>
              <w:right w:val="single" w:sz="4" w:space="0" w:color="auto"/>
            </w:tcBorders>
            <w:shd w:val="clear" w:color="auto" w:fill="auto"/>
          </w:tcPr>
          <w:p w14:paraId="638A30C8" w14:textId="37E7CF12"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477E4AD0" w14:textId="52FFC778"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5308E574" w14:textId="39942FF2"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p>
        </w:tc>
      </w:tr>
      <w:tr w:rsidR="0047692C" w:rsidRPr="007917EC" w14:paraId="7BFC61DA" w14:textId="77777777" w:rsidTr="0047692C">
        <w:trPr>
          <w:trHeight w:val="292"/>
        </w:trPr>
        <w:tc>
          <w:tcPr>
            <w:tcW w:w="0" w:type="auto"/>
            <w:tcBorders>
              <w:top w:val="nil"/>
              <w:bottom w:val="nil"/>
            </w:tcBorders>
            <w:shd w:val="clear" w:color="auto" w:fill="auto"/>
            <w:noWrap/>
            <w:vAlign w:val="bottom"/>
          </w:tcPr>
          <w:p w14:paraId="105B8697" w14:textId="222F4273" w:rsidR="0047692C" w:rsidRPr="007917EC" w:rsidRDefault="0047692C" w:rsidP="0047692C">
            <w:pPr>
              <w:spacing w:before="0" w:after="0"/>
              <w:rPr>
                <w:rFonts w:ascii="Calibri" w:hAnsi="Calibri"/>
                <w:color w:val="000000"/>
                <w:sz w:val="22"/>
                <w:szCs w:val="22"/>
              </w:rPr>
            </w:pPr>
          </w:p>
        </w:tc>
        <w:tc>
          <w:tcPr>
            <w:tcW w:w="0" w:type="auto"/>
            <w:tcBorders>
              <w:top w:val="nil"/>
              <w:bottom w:val="nil"/>
              <w:right w:val="single" w:sz="4" w:space="0" w:color="auto"/>
            </w:tcBorders>
            <w:shd w:val="clear" w:color="auto" w:fill="auto"/>
            <w:noWrap/>
            <w:vAlign w:val="bottom"/>
          </w:tcPr>
          <w:p w14:paraId="22471358" w14:textId="010E71C5"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1BBDCB32" w14:textId="7C923ACB"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5B2907CB" w14:textId="6FD49664"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501CCD4A" w14:textId="499A6FBE"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419AB277" w14:textId="77777777" w:rsidTr="0047692C">
        <w:trPr>
          <w:trHeight w:val="875"/>
        </w:trPr>
        <w:tc>
          <w:tcPr>
            <w:tcW w:w="0" w:type="auto"/>
            <w:tcBorders>
              <w:top w:val="nil"/>
            </w:tcBorders>
            <w:shd w:val="clear" w:color="auto" w:fill="auto"/>
            <w:vAlign w:val="bottom"/>
          </w:tcPr>
          <w:p w14:paraId="1C42DD76" w14:textId="124D643C" w:rsidR="0047692C" w:rsidRPr="007917EC" w:rsidRDefault="0047692C" w:rsidP="0047692C">
            <w:pPr>
              <w:spacing w:before="0" w:after="0"/>
              <w:rPr>
                <w:rFonts w:ascii="Calibri" w:hAnsi="Calibri"/>
                <w:b/>
                <w:bCs/>
                <w:color w:val="000000"/>
                <w:sz w:val="22"/>
                <w:szCs w:val="22"/>
              </w:rPr>
            </w:pPr>
          </w:p>
        </w:tc>
        <w:tc>
          <w:tcPr>
            <w:tcW w:w="0" w:type="auto"/>
            <w:tcBorders>
              <w:top w:val="nil"/>
              <w:right w:val="single" w:sz="4" w:space="0" w:color="auto"/>
            </w:tcBorders>
            <w:shd w:val="clear" w:color="auto" w:fill="auto"/>
            <w:vAlign w:val="bottom"/>
          </w:tcPr>
          <w:p w14:paraId="4C36B5AF" w14:textId="5FA9DB42"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bottom"/>
          </w:tcPr>
          <w:p w14:paraId="69E4CECB" w14:textId="44BD97C7"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E21E2" w14:textId="38747945"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Shortfall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6904D" w14:textId="675D2CF2" w:rsidR="0047692C" w:rsidRPr="007917EC" w:rsidRDefault="0047692C" w:rsidP="002640A3">
            <w:pPr>
              <w:spacing w:before="0" w:after="0"/>
              <w:jc w:val="right"/>
              <w:rPr>
                <w:sz w:val="20"/>
                <w:szCs w:val="20"/>
              </w:rPr>
            </w:pPr>
            <w:r w:rsidRPr="007917EC">
              <w:rPr>
                <w:rFonts w:ascii="Calibri" w:hAnsi="Calibri"/>
                <w:b/>
                <w:bCs/>
                <w:color w:val="000000"/>
                <w:sz w:val="22"/>
                <w:szCs w:val="22"/>
              </w:rPr>
              <w:t>3</w:t>
            </w:r>
          </w:p>
        </w:tc>
      </w:tr>
    </w:tbl>
    <w:p w14:paraId="6752208F" w14:textId="77777777" w:rsidR="008B4790" w:rsidRDefault="008B4790" w:rsidP="008B4790"/>
    <w:p w14:paraId="6A03F4DA" w14:textId="77777777" w:rsidR="007917EC" w:rsidRDefault="007917EC">
      <w:pPr>
        <w:spacing w:before="0" w:after="0"/>
      </w:pPr>
    </w:p>
    <w:p w14:paraId="71E740AE" w14:textId="77777777" w:rsidR="007917EC" w:rsidRDefault="007917EC">
      <w:pPr>
        <w:spacing w:before="0" w:after="0"/>
      </w:pPr>
      <w:r>
        <w:br w:type="page"/>
      </w:r>
    </w:p>
    <w:p w14:paraId="326E7213" w14:textId="34D531E0" w:rsidR="008B4790" w:rsidRDefault="008B4790">
      <w:pPr>
        <w:spacing w:before="0" w:after="0"/>
      </w:pPr>
    </w:p>
    <w:p w14:paraId="4F373A79" w14:textId="093829E6" w:rsidR="008B4790" w:rsidRDefault="008B4790" w:rsidP="008B4790">
      <w:pPr>
        <w:pStyle w:val="Heading2"/>
      </w:pPr>
      <w:bookmarkStart w:id="125" w:name="_Toc456801641"/>
      <w:bookmarkStart w:id="126" w:name="_Toc456867213"/>
      <w:bookmarkStart w:id="127" w:name="_Toc456879763"/>
      <w:r w:rsidRPr="008B4790">
        <w:t>PSE Excess Conservation Calculations (MWh)</w:t>
      </w:r>
      <w:bookmarkEnd w:id="125"/>
      <w:bookmarkEnd w:id="126"/>
      <w:bookmarkEnd w:id="127"/>
    </w:p>
    <w:p w14:paraId="55A518B9" w14:textId="77777777" w:rsidR="008B4790" w:rsidRPr="008B4790" w:rsidRDefault="008B4790" w:rsidP="008B4790"/>
    <w:tbl>
      <w:tblPr>
        <w:tblW w:w="0" w:type="auto"/>
        <w:tblInd w:w="-10" w:type="dxa"/>
        <w:tblLook w:val="04A0" w:firstRow="1" w:lastRow="0" w:firstColumn="1" w:lastColumn="0" w:noHBand="0" w:noVBand="1"/>
      </w:tblPr>
      <w:tblGrid>
        <w:gridCol w:w="2881"/>
        <w:gridCol w:w="1951"/>
        <w:gridCol w:w="1932"/>
        <w:gridCol w:w="3832"/>
        <w:gridCol w:w="2354"/>
      </w:tblGrid>
      <w:tr w:rsidR="007917EC" w:rsidRPr="007917EC" w14:paraId="1B4E3850"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66E1936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76E1406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3A712CD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22D1807B"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5A3AC2C0"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09ECF753" w14:textId="77777777" w:rsidTr="007917EC">
        <w:trPr>
          <w:trHeight w:val="2040"/>
        </w:trPr>
        <w:tc>
          <w:tcPr>
            <w:tcW w:w="0" w:type="auto"/>
            <w:tcBorders>
              <w:top w:val="nil"/>
              <w:left w:val="single" w:sz="8" w:space="0" w:color="auto"/>
              <w:bottom w:val="nil"/>
              <w:right w:val="nil"/>
            </w:tcBorders>
            <w:shd w:val="clear" w:color="auto" w:fill="auto"/>
            <w:hideMark/>
          </w:tcPr>
          <w:p w14:paraId="22D31281"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1679B69B" w14:textId="115D5610"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565F26AF"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1B5BE144"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2EDDB171"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2C252C7F"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62D8D24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33074D80"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3A34F65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-B = C</w:t>
            </w:r>
          </w:p>
        </w:tc>
        <w:tc>
          <w:tcPr>
            <w:tcW w:w="0" w:type="auto"/>
            <w:tcBorders>
              <w:top w:val="nil"/>
              <w:left w:val="single" w:sz="4" w:space="0" w:color="auto"/>
              <w:bottom w:val="nil"/>
              <w:right w:val="single" w:sz="4" w:space="0" w:color="auto"/>
            </w:tcBorders>
            <w:shd w:val="clear" w:color="auto" w:fill="auto"/>
            <w:noWrap/>
            <w:vAlign w:val="center"/>
            <w:hideMark/>
          </w:tcPr>
          <w:p w14:paraId="1CDAAB4A"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5% of C = D</w:t>
            </w:r>
          </w:p>
        </w:tc>
        <w:tc>
          <w:tcPr>
            <w:tcW w:w="0" w:type="auto"/>
            <w:tcBorders>
              <w:top w:val="nil"/>
              <w:left w:val="nil"/>
              <w:bottom w:val="nil"/>
              <w:right w:val="single" w:sz="8" w:space="0" w:color="auto"/>
            </w:tcBorders>
            <w:shd w:val="clear" w:color="auto" w:fill="auto"/>
            <w:noWrap/>
            <w:vAlign w:val="bottom"/>
            <w:hideMark/>
          </w:tcPr>
          <w:p w14:paraId="0BEA0742"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6A923A45"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2928BC7C" w14:textId="66774DD3"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55</w:t>
            </w:r>
            <w:r w:rsidR="00614F0F">
              <w:rPr>
                <w:rFonts w:ascii="Calibri" w:hAnsi="Calibri"/>
                <w:b/>
                <w:bCs/>
                <w:color w:val="000000"/>
                <w:sz w:val="22"/>
                <w:szCs w:val="22"/>
              </w:rPr>
              <w:t>,</w:t>
            </w:r>
            <w:r w:rsidRPr="007917EC">
              <w:rPr>
                <w:rFonts w:ascii="Calibri" w:hAnsi="Calibri"/>
                <w:b/>
                <w:bCs/>
                <w:color w:val="000000"/>
                <w:sz w:val="22"/>
                <w:szCs w:val="22"/>
              </w:rPr>
              <w:t>8301</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1AD3AB4E" w14:textId="5A825F9F"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72</w:t>
            </w:r>
            <w:r w:rsidR="00614F0F">
              <w:rPr>
                <w:rFonts w:ascii="Calibri" w:hAnsi="Calibri"/>
                <w:b/>
                <w:bCs/>
                <w:color w:val="000000"/>
                <w:sz w:val="22"/>
                <w:szCs w:val="22"/>
              </w:rPr>
              <w:t>,</w:t>
            </w:r>
            <w:r w:rsidRPr="007917EC">
              <w:rPr>
                <w:rFonts w:ascii="Calibri" w:hAnsi="Calibri"/>
                <w:b/>
                <w:bCs/>
                <w:color w:val="000000"/>
                <w:sz w:val="22"/>
                <w:szCs w:val="22"/>
              </w:rPr>
              <w:t>533</w:t>
            </w:r>
          </w:p>
        </w:tc>
        <w:tc>
          <w:tcPr>
            <w:tcW w:w="0" w:type="auto"/>
            <w:tcBorders>
              <w:top w:val="nil"/>
              <w:left w:val="nil"/>
              <w:bottom w:val="single" w:sz="8" w:space="0" w:color="auto"/>
              <w:right w:val="nil"/>
            </w:tcBorders>
            <w:shd w:val="clear" w:color="auto" w:fill="auto"/>
            <w:noWrap/>
            <w:vAlign w:val="bottom"/>
            <w:hideMark/>
          </w:tcPr>
          <w:p w14:paraId="455F8309" w14:textId="778DF6D1"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485</w:t>
            </w:r>
            <w:r w:rsidR="00614F0F">
              <w:rPr>
                <w:rFonts w:ascii="Calibri" w:hAnsi="Calibri"/>
                <w:b/>
                <w:bCs/>
                <w:color w:val="000000"/>
                <w:sz w:val="22"/>
                <w:szCs w:val="22"/>
              </w:rPr>
              <w:t>,</w:t>
            </w:r>
            <w:r w:rsidRPr="007917EC">
              <w:rPr>
                <w:rFonts w:ascii="Calibri" w:hAnsi="Calibri"/>
                <w:b/>
                <w:bCs/>
                <w:color w:val="000000"/>
                <w:sz w:val="22"/>
                <w:szCs w:val="22"/>
              </w:rPr>
              <w:t>768</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7C32D6D8" w14:textId="4A64A1AD"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24</w:t>
            </w:r>
            <w:r w:rsidR="00614F0F">
              <w:rPr>
                <w:rFonts w:ascii="Calibri" w:hAnsi="Calibri"/>
                <w:b/>
                <w:bCs/>
                <w:color w:val="000000"/>
                <w:sz w:val="22"/>
                <w:szCs w:val="22"/>
              </w:rPr>
              <w:t>,</w:t>
            </w:r>
            <w:r w:rsidRPr="007917EC">
              <w:rPr>
                <w:rFonts w:ascii="Calibri" w:hAnsi="Calibri"/>
                <w:b/>
                <w:bCs/>
                <w:color w:val="000000"/>
                <w:sz w:val="22"/>
                <w:szCs w:val="22"/>
              </w:rPr>
              <w:t>288</w:t>
            </w:r>
          </w:p>
        </w:tc>
        <w:tc>
          <w:tcPr>
            <w:tcW w:w="0" w:type="auto"/>
            <w:tcBorders>
              <w:top w:val="nil"/>
              <w:left w:val="nil"/>
              <w:bottom w:val="single" w:sz="8" w:space="0" w:color="auto"/>
              <w:right w:val="single" w:sz="8" w:space="0" w:color="auto"/>
            </w:tcBorders>
            <w:shd w:val="clear" w:color="auto" w:fill="auto"/>
            <w:noWrap/>
            <w:vAlign w:val="bottom"/>
            <w:hideMark/>
          </w:tcPr>
          <w:p w14:paraId="45690FDC" w14:textId="4F6DE331"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582</w:t>
            </w:r>
            <w:r w:rsidR="00614F0F">
              <w:rPr>
                <w:rFonts w:ascii="Calibri" w:hAnsi="Calibri"/>
                <w:b/>
                <w:bCs/>
                <w:color w:val="000000"/>
                <w:sz w:val="22"/>
                <w:szCs w:val="22"/>
              </w:rPr>
              <w:t>,</w:t>
            </w:r>
            <w:r w:rsidRPr="007917EC">
              <w:rPr>
                <w:rFonts w:ascii="Calibri" w:hAnsi="Calibri"/>
                <w:b/>
                <w:bCs/>
                <w:color w:val="000000"/>
                <w:sz w:val="22"/>
                <w:szCs w:val="22"/>
              </w:rPr>
              <w:t>589</w:t>
            </w:r>
          </w:p>
        </w:tc>
      </w:tr>
      <w:tr w:rsidR="007917EC" w:rsidRPr="007917EC" w14:paraId="39F019AA" w14:textId="77777777" w:rsidTr="007917EC">
        <w:trPr>
          <w:trHeight w:val="620"/>
        </w:trPr>
        <w:tc>
          <w:tcPr>
            <w:tcW w:w="0" w:type="auto"/>
            <w:tcBorders>
              <w:top w:val="nil"/>
              <w:left w:val="single" w:sz="8" w:space="0" w:color="auto"/>
              <w:bottom w:val="nil"/>
              <w:right w:val="nil"/>
            </w:tcBorders>
            <w:shd w:val="clear" w:color="auto" w:fill="auto"/>
            <w:hideMark/>
          </w:tcPr>
          <w:p w14:paraId="06D2509F"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4D6B984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33BE0F06"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1D531F3D"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18E23AA2"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4A5A17F1"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4B156D2B"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1009DF5E"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65CADD55"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3299EAF5"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55D7941E"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6E46AD05" w14:textId="77777777" w:rsidTr="0047692C">
        <w:trPr>
          <w:trHeight w:val="300"/>
        </w:trPr>
        <w:tc>
          <w:tcPr>
            <w:tcW w:w="0" w:type="auto"/>
            <w:tcBorders>
              <w:top w:val="nil"/>
              <w:left w:val="single" w:sz="8" w:space="0" w:color="auto"/>
              <w:bottom w:val="single" w:sz="8" w:space="0" w:color="auto"/>
              <w:right w:val="nil"/>
            </w:tcBorders>
            <w:shd w:val="clear" w:color="auto" w:fill="auto"/>
            <w:vAlign w:val="bottom"/>
            <w:hideMark/>
          </w:tcPr>
          <w:p w14:paraId="7D55589B" w14:textId="786A802D"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552</w:t>
            </w:r>
            <w:r w:rsidR="00614F0F">
              <w:rPr>
                <w:rFonts w:ascii="Calibri" w:hAnsi="Calibri"/>
                <w:b/>
                <w:bCs/>
                <w:color w:val="000000"/>
                <w:sz w:val="22"/>
                <w:szCs w:val="22"/>
              </w:rPr>
              <w:t>,</w:t>
            </w:r>
            <w:r w:rsidRPr="007917EC">
              <w:rPr>
                <w:rFonts w:ascii="Calibri" w:hAnsi="Calibri"/>
                <w:b/>
                <w:bCs/>
                <w:color w:val="000000"/>
                <w:sz w:val="22"/>
                <w:szCs w:val="22"/>
              </w:rPr>
              <w:t>595</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4E352D44"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0</w:t>
            </w:r>
          </w:p>
        </w:tc>
        <w:tc>
          <w:tcPr>
            <w:tcW w:w="0" w:type="auto"/>
            <w:tcBorders>
              <w:top w:val="nil"/>
              <w:left w:val="nil"/>
              <w:bottom w:val="single" w:sz="8" w:space="0" w:color="auto"/>
              <w:right w:val="nil"/>
            </w:tcBorders>
            <w:shd w:val="clear" w:color="auto" w:fill="auto"/>
            <w:noWrap/>
            <w:vAlign w:val="bottom"/>
            <w:hideMark/>
          </w:tcPr>
          <w:p w14:paraId="69166663" w14:textId="62CBDEEF"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552</w:t>
            </w:r>
            <w:r w:rsidR="00614F0F">
              <w:rPr>
                <w:rFonts w:ascii="Calibri" w:hAnsi="Calibri"/>
                <w:b/>
                <w:bCs/>
                <w:color w:val="000000"/>
                <w:sz w:val="22"/>
                <w:szCs w:val="22"/>
              </w:rPr>
              <w:t>,</w:t>
            </w:r>
            <w:r w:rsidRPr="007917EC">
              <w:rPr>
                <w:rFonts w:ascii="Calibri" w:hAnsi="Calibri"/>
                <w:b/>
                <w:bCs/>
                <w:color w:val="000000"/>
                <w:sz w:val="22"/>
                <w:szCs w:val="22"/>
              </w:rPr>
              <w:t>595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62D842" w14:textId="4B56EA9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110</w:t>
            </w:r>
            <w:r w:rsidR="00614F0F">
              <w:rPr>
                <w:rFonts w:ascii="Calibri" w:hAnsi="Calibri"/>
                <w:b/>
                <w:bCs/>
                <w:color w:val="000000"/>
                <w:sz w:val="22"/>
                <w:szCs w:val="22"/>
              </w:rPr>
              <w:t>,</w:t>
            </w:r>
            <w:r w:rsidRPr="007917EC">
              <w:rPr>
                <w:rFonts w:ascii="Calibri" w:hAnsi="Calibri"/>
                <w:b/>
                <w:bCs/>
                <w:color w:val="000000"/>
                <w:sz w:val="22"/>
                <w:szCs w:val="22"/>
              </w:rPr>
              <w:t>527</w:t>
            </w:r>
          </w:p>
        </w:tc>
        <w:tc>
          <w:tcPr>
            <w:tcW w:w="0" w:type="auto"/>
            <w:tcBorders>
              <w:top w:val="nil"/>
              <w:left w:val="nil"/>
              <w:bottom w:val="single" w:sz="4" w:space="0" w:color="auto"/>
              <w:right w:val="single" w:sz="8" w:space="0" w:color="auto"/>
            </w:tcBorders>
            <w:shd w:val="clear" w:color="auto" w:fill="auto"/>
            <w:noWrap/>
            <w:vAlign w:val="bottom"/>
            <w:hideMark/>
          </w:tcPr>
          <w:p w14:paraId="3A0F0BDB" w14:textId="57C26A38"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663</w:t>
            </w:r>
            <w:r w:rsidR="00614F0F">
              <w:rPr>
                <w:rFonts w:ascii="Calibri" w:hAnsi="Calibri"/>
                <w:b/>
                <w:bCs/>
                <w:color w:val="000000"/>
                <w:sz w:val="22"/>
                <w:szCs w:val="22"/>
              </w:rPr>
              <w:t>,</w:t>
            </w:r>
            <w:r w:rsidRPr="007917EC">
              <w:rPr>
                <w:rFonts w:ascii="Calibri" w:hAnsi="Calibri"/>
                <w:b/>
                <w:bCs/>
                <w:color w:val="000000"/>
                <w:sz w:val="22"/>
                <w:szCs w:val="22"/>
              </w:rPr>
              <w:t>122</w:t>
            </w:r>
          </w:p>
        </w:tc>
      </w:tr>
      <w:tr w:rsidR="0047692C" w:rsidRPr="007917EC" w14:paraId="04A1A923" w14:textId="77777777" w:rsidTr="0047692C">
        <w:trPr>
          <w:trHeight w:val="583"/>
        </w:trPr>
        <w:tc>
          <w:tcPr>
            <w:tcW w:w="0" w:type="auto"/>
            <w:tcBorders>
              <w:top w:val="single" w:sz="8" w:space="0" w:color="auto"/>
              <w:bottom w:val="nil"/>
            </w:tcBorders>
            <w:shd w:val="clear" w:color="auto" w:fill="auto"/>
          </w:tcPr>
          <w:p w14:paraId="28687834" w14:textId="47072A8A"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left w:val="nil"/>
              <w:bottom w:val="nil"/>
              <w:right w:val="single" w:sz="4" w:space="0" w:color="auto"/>
            </w:tcBorders>
            <w:shd w:val="clear" w:color="auto" w:fill="auto"/>
          </w:tcPr>
          <w:p w14:paraId="4AD81F35" w14:textId="138DEE99" w:rsidR="0047692C" w:rsidRPr="007917EC" w:rsidRDefault="0047692C" w:rsidP="0047692C">
            <w:pPr>
              <w:spacing w:before="0" w:after="0"/>
              <w:rPr>
                <w:rFonts w:ascii="Calibri" w:hAnsi="Calibri"/>
                <w:b/>
                <w:bCs/>
                <w:color w:val="1F497D"/>
                <w:sz w:val="22"/>
                <w:szCs w:val="22"/>
              </w:rPr>
            </w:pPr>
          </w:p>
        </w:tc>
        <w:tc>
          <w:tcPr>
            <w:tcW w:w="0" w:type="auto"/>
            <w:tcBorders>
              <w:top w:val="nil"/>
              <w:left w:val="nil"/>
              <w:bottom w:val="nil"/>
              <w:right w:val="single" w:sz="4" w:space="0" w:color="auto"/>
            </w:tcBorders>
            <w:shd w:val="clear" w:color="auto" w:fill="auto"/>
            <w:hideMark/>
          </w:tcPr>
          <w:p w14:paraId="6032168F" w14:textId="1B1E15C3"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7C9851C6" w14:textId="6C35969B"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7A86135C" w14:textId="5EDF9E0F"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r>
              <w:rPr>
                <w:rFonts w:ascii="Calibri" w:hAnsi="Calibri"/>
                <w:b/>
                <w:bCs/>
                <w:color w:val="1F497D"/>
                <w:sz w:val="22"/>
                <w:szCs w:val="22"/>
              </w:rPr>
              <w:t>*</w:t>
            </w:r>
          </w:p>
        </w:tc>
      </w:tr>
      <w:tr w:rsidR="0047692C" w:rsidRPr="007917EC" w14:paraId="768A7B54" w14:textId="77777777" w:rsidTr="0047692C">
        <w:trPr>
          <w:trHeight w:val="292"/>
        </w:trPr>
        <w:tc>
          <w:tcPr>
            <w:tcW w:w="0" w:type="auto"/>
            <w:tcBorders>
              <w:top w:val="nil"/>
              <w:bottom w:val="nil"/>
            </w:tcBorders>
            <w:shd w:val="clear" w:color="auto" w:fill="auto"/>
            <w:noWrap/>
            <w:vAlign w:val="bottom"/>
          </w:tcPr>
          <w:p w14:paraId="48E248CE" w14:textId="55204639"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2C0FDD4E" w14:textId="78F7CA7E"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hideMark/>
          </w:tcPr>
          <w:p w14:paraId="77A9C456" w14:textId="285FDF11"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46DE10A0" w14:textId="00FD6A5E"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5030ADDB" w14:textId="14E64DCD"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35BCDAE3" w14:textId="77777777" w:rsidTr="0047692C">
        <w:trPr>
          <w:trHeight w:val="875"/>
        </w:trPr>
        <w:tc>
          <w:tcPr>
            <w:tcW w:w="0" w:type="auto"/>
            <w:tcBorders>
              <w:top w:val="nil"/>
            </w:tcBorders>
            <w:shd w:val="clear" w:color="auto" w:fill="auto"/>
            <w:vAlign w:val="bottom"/>
          </w:tcPr>
          <w:p w14:paraId="39AA3E60" w14:textId="0422C6C2" w:rsidR="0047692C" w:rsidRPr="007917EC" w:rsidRDefault="0047692C" w:rsidP="0047692C">
            <w:pPr>
              <w:spacing w:before="0" w:after="0"/>
              <w:rPr>
                <w:rFonts w:ascii="Calibri" w:hAnsi="Calibri"/>
                <w:b/>
                <w:bCs/>
                <w:color w:val="000000"/>
                <w:sz w:val="22"/>
                <w:szCs w:val="22"/>
              </w:rPr>
            </w:pPr>
          </w:p>
        </w:tc>
        <w:tc>
          <w:tcPr>
            <w:tcW w:w="0" w:type="auto"/>
            <w:tcBorders>
              <w:top w:val="nil"/>
              <w:left w:val="nil"/>
              <w:right w:val="single" w:sz="4" w:space="0" w:color="auto"/>
            </w:tcBorders>
            <w:shd w:val="clear" w:color="auto" w:fill="auto"/>
            <w:vAlign w:val="bottom"/>
          </w:tcPr>
          <w:p w14:paraId="5327C243" w14:textId="5232DBB0"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8" w:space="0" w:color="auto"/>
              <w:right w:val="single" w:sz="4" w:space="0" w:color="auto"/>
            </w:tcBorders>
            <w:shd w:val="clear" w:color="auto" w:fill="auto"/>
            <w:vAlign w:val="bottom"/>
            <w:hideMark/>
          </w:tcPr>
          <w:p w14:paraId="375478EE" w14:textId="4ED517D4"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00E37" w14:textId="600007B7"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E1FF6" w14:textId="7C34E04D" w:rsidR="0047692C" w:rsidRPr="007917EC" w:rsidRDefault="0047692C" w:rsidP="002640A3">
            <w:pPr>
              <w:spacing w:before="0" w:after="0"/>
              <w:jc w:val="right"/>
              <w:rPr>
                <w:sz w:val="20"/>
                <w:szCs w:val="20"/>
              </w:rPr>
            </w:pPr>
            <w:r w:rsidRPr="007917EC">
              <w:rPr>
                <w:rFonts w:ascii="Calibri" w:hAnsi="Calibri"/>
                <w:b/>
                <w:bCs/>
                <w:color w:val="000000"/>
                <w:sz w:val="22"/>
                <w:szCs w:val="22"/>
              </w:rPr>
              <w:t>80</w:t>
            </w:r>
            <w:r>
              <w:rPr>
                <w:rFonts w:ascii="Calibri" w:hAnsi="Calibri"/>
                <w:b/>
                <w:bCs/>
                <w:color w:val="000000"/>
                <w:sz w:val="22"/>
                <w:szCs w:val="22"/>
              </w:rPr>
              <w:t>,</w:t>
            </w:r>
            <w:r w:rsidRPr="007917EC">
              <w:rPr>
                <w:rFonts w:ascii="Calibri" w:hAnsi="Calibri"/>
                <w:b/>
                <w:bCs/>
                <w:color w:val="000000"/>
                <w:sz w:val="22"/>
                <w:szCs w:val="22"/>
              </w:rPr>
              <w:t>533</w:t>
            </w:r>
          </w:p>
        </w:tc>
      </w:tr>
    </w:tbl>
    <w:p w14:paraId="55CDB5A7" w14:textId="77777777" w:rsidR="00B1073A" w:rsidRDefault="00B1073A" w:rsidP="008B4790"/>
    <w:p w14:paraId="62BC2210" w14:textId="3246B7A6" w:rsidR="00B1073A" w:rsidRDefault="00EC2E2C">
      <w:pPr>
        <w:spacing w:before="0" w:after="0"/>
      </w:pPr>
      <w:r>
        <w:t xml:space="preserve">* PSE has agreed that it will not count NEEA savings as excess, thus they report a different amount that </w:t>
      </w:r>
      <w:r w:rsidR="00E201E9">
        <w:t>S</w:t>
      </w:r>
      <w:r>
        <w:t>taff accepts, although it is lower than their entitlement.</w:t>
      </w:r>
      <w:r w:rsidR="00B1073A">
        <w:br w:type="page"/>
      </w:r>
    </w:p>
    <w:p w14:paraId="77B22B68" w14:textId="1BC8180D" w:rsidR="008B4790" w:rsidRDefault="00B1073A" w:rsidP="00B1073A">
      <w:pPr>
        <w:pStyle w:val="Heading2"/>
      </w:pPr>
      <w:bookmarkStart w:id="128" w:name="_Toc456801642"/>
      <w:bookmarkStart w:id="129" w:name="_Toc456867214"/>
      <w:bookmarkStart w:id="130" w:name="_Toc456879764"/>
      <w:r w:rsidRPr="00B1073A">
        <w:lastRenderedPageBreak/>
        <w:t>Avista Excess Conservation Calculations (MWh)</w:t>
      </w:r>
      <w:bookmarkEnd w:id="128"/>
      <w:bookmarkEnd w:id="129"/>
      <w:bookmarkEnd w:id="130"/>
    </w:p>
    <w:p w14:paraId="551B84F2" w14:textId="77777777" w:rsidR="00B1073A" w:rsidRDefault="00B1073A" w:rsidP="00B1073A"/>
    <w:tbl>
      <w:tblPr>
        <w:tblW w:w="0" w:type="auto"/>
        <w:tblInd w:w="-10" w:type="dxa"/>
        <w:tblLook w:val="04A0" w:firstRow="1" w:lastRow="0" w:firstColumn="1" w:lastColumn="0" w:noHBand="0" w:noVBand="1"/>
      </w:tblPr>
      <w:tblGrid>
        <w:gridCol w:w="2909"/>
        <w:gridCol w:w="1983"/>
        <w:gridCol w:w="1954"/>
        <w:gridCol w:w="3839"/>
        <w:gridCol w:w="2265"/>
      </w:tblGrid>
      <w:tr w:rsidR="007917EC" w:rsidRPr="007917EC" w14:paraId="55225326"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24F04294"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3036E24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4493DF0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77E05846"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74A766DE"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5779830F" w14:textId="77777777" w:rsidTr="007917EC">
        <w:trPr>
          <w:trHeight w:val="2040"/>
        </w:trPr>
        <w:tc>
          <w:tcPr>
            <w:tcW w:w="0" w:type="auto"/>
            <w:tcBorders>
              <w:top w:val="nil"/>
              <w:left w:val="single" w:sz="8" w:space="0" w:color="auto"/>
              <w:bottom w:val="nil"/>
              <w:right w:val="nil"/>
            </w:tcBorders>
            <w:shd w:val="clear" w:color="auto" w:fill="auto"/>
            <w:hideMark/>
          </w:tcPr>
          <w:p w14:paraId="20DCC66D"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50B51378" w14:textId="08F4FD36"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4DB8D48F"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46BF565A"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3560A3D2"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0EB06FF6" w14:textId="77777777" w:rsidTr="007917EC">
        <w:trPr>
          <w:trHeight w:val="720"/>
        </w:trPr>
        <w:tc>
          <w:tcPr>
            <w:tcW w:w="0" w:type="auto"/>
            <w:tcBorders>
              <w:top w:val="nil"/>
              <w:left w:val="single" w:sz="8" w:space="0" w:color="auto"/>
              <w:bottom w:val="nil"/>
              <w:right w:val="nil"/>
            </w:tcBorders>
            <w:shd w:val="clear" w:color="auto" w:fill="auto"/>
            <w:noWrap/>
            <w:vAlign w:val="bottom"/>
            <w:hideMark/>
          </w:tcPr>
          <w:p w14:paraId="6BA5B322"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4ED613A4"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05BC50D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-B = C</w:t>
            </w:r>
          </w:p>
        </w:tc>
        <w:tc>
          <w:tcPr>
            <w:tcW w:w="0" w:type="auto"/>
            <w:tcBorders>
              <w:top w:val="nil"/>
              <w:left w:val="single" w:sz="4" w:space="0" w:color="auto"/>
              <w:bottom w:val="nil"/>
              <w:right w:val="single" w:sz="4" w:space="0" w:color="auto"/>
            </w:tcBorders>
            <w:shd w:val="clear" w:color="auto" w:fill="auto"/>
            <w:noWrap/>
            <w:vAlign w:val="center"/>
            <w:hideMark/>
          </w:tcPr>
          <w:p w14:paraId="247564C1"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5% of C = D</w:t>
            </w:r>
          </w:p>
        </w:tc>
        <w:tc>
          <w:tcPr>
            <w:tcW w:w="0" w:type="auto"/>
            <w:tcBorders>
              <w:top w:val="nil"/>
              <w:left w:val="nil"/>
              <w:bottom w:val="nil"/>
              <w:right w:val="single" w:sz="8" w:space="0" w:color="auto"/>
            </w:tcBorders>
            <w:shd w:val="clear" w:color="auto" w:fill="auto"/>
            <w:noWrap/>
            <w:vAlign w:val="bottom"/>
            <w:hideMark/>
          </w:tcPr>
          <w:p w14:paraId="46A6F922"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461C27FE"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21C3E558" w14:textId="7D3D981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76</w:t>
            </w:r>
            <w:r w:rsidR="00614F0F">
              <w:rPr>
                <w:rFonts w:ascii="Calibri" w:hAnsi="Calibri"/>
                <w:b/>
                <w:bCs/>
                <w:color w:val="000000"/>
                <w:sz w:val="22"/>
                <w:szCs w:val="22"/>
              </w:rPr>
              <w:t>,</w:t>
            </w:r>
            <w:r w:rsidRPr="007917EC">
              <w:rPr>
                <w:rFonts w:ascii="Calibri" w:hAnsi="Calibri"/>
                <w:b/>
                <w:bCs/>
                <w:color w:val="000000"/>
                <w:sz w:val="22"/>
                <w:szCs w:val="22"/>
              </w:rPr>
              <w:t>261</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7342248D" w14:textId="2C7A259B"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w:t>
            </w:r>
            <w:r w:rsidR="00614F0F">
              <w:rPr>
                <w:rFonts w:ascii="Calibri" w:hAnsi="Calibri"/>
                <w:b/>
                <w:bCs/>
                <w:color w:val="000000"/>
                <w:sz w:val="22"/>
                <w:szCs w:val="22"/>
              </w:rPr>
              <w:t>,</w:t>
            </w:r>
            <w:r w:rsidRPr="007917EC">
              <w:rPr>
                <w:rFonts w:ascii="Calibri" w:hAnsi="Calibri"/>
                <w:b/>
                <w:bCs/>
                <w:color w:val="000000"/>
                <w:sz w:val="22"/>
                <w:szCs w:val="22"/>
              </w:rPr>
              <w:t>130</w:t>
            </w:r>
          </w:p>
        </w:tc>
        <w:tc>
          <w:tcPr>
            <w:tcW w:w="0" w:type="auto"/>
            <w:tcBorders>
              <w:top w:val="nil"/>
              <w:left w:val="nil"/>
              <w:bottom w:val="single" w:sz="8" w:space="0" w:color="auto"/>
              <w:right w:val="nil"/>
            </w:tcBorders>
            <w:shd w:val="clear" w:color="auto" w:fill="auto"/>
            <w:noWrap/>
            <w:vAlign w:val="bottom"/>
            <w:hideMark/>
          </w:tcPr>
          <w:p w14:paraId="4B812F48" w14:textId="33CF89DB"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65</w:t>
            </w:r>
            <w:r w:rsidR="00614F0F">
              <w:rPr>
                <w:rFonts w:ascii="Calibri" w:hAnsi="Calibri"/>
                <w:b/>
                <w:bCs/>
                <w:color w:val="000000"/>
                <w:sz w:val="22"/>
                <w:szCs w:val="22"/>
              </w:rPr>
              <w:t>,</w:t>
            </w:r>
            <w:r w:rsidRPr="007917EC">
              <w:rPr>
                <w:rFonts w:ascii="Calibri" w:hAnsi="Calibri"/>
                <w:b/>
                <w:bCs/>
                <w:color w:val="000000"/>
                <w:sz w:val="22"/>
                <w:szCs w:val="22"/>
              </w:rPr>
              <w:t>131</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35FFB2F3" w14:textId="0161C2F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3</w:t>
            </w:r>
            <w:r w:rsidR="00614F0F">
              <w:rPr>
                <w:rFonts w:ascii="Calibri" w:hAnsi="Calibri"/>
                <w:b/>
                <w:bCs/>
                <w:color w:val="000000"/>
                <w:sz w:val="22"/>
                <w:szCs w:val="22"/>
              </w:rPr>
              <w:t>,</w:t>
            </w:r>
            <w:r w:rsidRPr="007917EC">
              <w:rPr>
                <w:rFonts w:ascii="Calibri" w:hAnsi="Calibri"/>
                <w:b/>
                <w:bCs/>
                <w:color w:val="000000"/>
                <w:sz w:val="22"/>
                <w:szCs w:val="22"/>
              </w:rPr>
              <w:t>257</w:t>
            </w:r>
          </w:p>
        </w:tc>
        <w:tc>
          <w:tcPr>
            <w:tcW w:w="0" w:type="auto"/>
            <w:tcBorders>
              <w:top w:val="nil"/>
              <w:left w:val="nil"/>
              <w:bottom w:val="single" w:sz="8" w:space="0" w:color="auto"/>
              <w:right w:val="single" w:sz="8" w:space="0" w:color="auto"/>
            </w:tcBorders>
            <w:shd w:val="clear" w:color="auto" w:fill="auto"/>
            <w:noWrap/>
            <w:vAlign w:val="bottom"/>
            <w:hideMark/>
          </w:tcPr>
          <w:p w14:paraId="2D80ED4B" w14:textId="18BFFA8C"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79</w:t>
            </w:r>
            <w:r w:rsidR="00614F0F">
              <w:rPr>
                <w:rFonts w:ascii="Calibri" w:hAnsi="Calibri"/>
                <w:b/>
                <w:bCs/>
                <w:color w:val="000000"/>
                <w:sz w:val="22"/>
                <w:szCs w:val="22"/>
              </w:rPr>
              <w:t>,</w:t>
            </w:r>
            <w:r w:rsidRPr="007917EC">
              <w:rPr>
                <w:rFonts w:ascii="Calibri" w:hAnsi="Calibri"/>
                <w:b/>
                <w:bCs/>
                <w:color w:val="000000"/>
                <w:sz w:val="22"/>
                <w:szCs w:val="22"/>
              </w:rPr>
              <w:t>518</w:t>
            </w:r>
          </w:p>
        </w:tc>
      </w:tr>
      <w:tr w:rsidR="007917EC" w:rsidRPr="007917EC" w14:paraId="02529817" w14:textId="77777777" w:rsidTr="007917EC">
        <w:trPr>
          <w:trHeight w:val="620"/>
        </w:trPr>
        <w:tc>
          <w:tcPr>
            <w:tcW w:w="0" w:type="auto"/>
            <w:tcBorders>
              <w:top w:val="nil"/>
              <w:left w:val="single" w:sz="8" w:space="0" w:color="auto"/>
              <w:bottom w:val="nil"/>
              <w:right w:val="nil"/>
            </w:tcBorders>
            <w:shd w:val="clear" w:color="auto" w:fill="auto"/>
            <w:hideMark/>
          </w:tcPr>
          <w:p w14:paraId="41371BA2"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7A2BDFF4"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003B862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06958ED0"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3294677B"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13FA75BE"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35A152B5"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08EEA94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46E02450"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1FDDFB0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21F375C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3E6BAFFF" w14:textId="77777777" w:rsidTr="0047692C">
        <w:trPr>
          <w:trHeight w:val="300"/>
        </w:trPr>
        <w:tc>
          <w:tcPr>
            <w:tcW w:w="0" w:type="auto"/>
            <w:tcBorders>
              <w:top w:val="nil"/>
              <w:left w:val="single" w:sz="8" w:space="0" w:color="auto"/>
              <w:bottom w:val="single" w:sz="4" w:space="0" w:color="auto"/>
              <w:right w:val="nil"/>
            </w:tcBorders>
            <w:shd w:val="clear" w:color="auto" w:fill="auto"/>
            <w:vAlign w:val="bottom"/>
            <w:hideMark/>
          </w:tcPr>
          <w:p w14:paraId="0A83A5B6" w14:textId="051FFD93"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70</w:t>
            </w:r>
            <w:r w:rsidR="00614F0F">
              <w:rPr>
                <w:rFonts w:ascii="Calibri" w:hAnsi="Calibri"/>
                <w:b/>
                <w:bCs/>
                <w:color w:val="000000"/>
                <w:sz w:val="22"/>
                <w:szCs w:val="22"/>
              </w:rPr>
              <w:t>,</w:t>
            </w:r>
            <w:r w:rsidRPr="007917EC">
              <w:rPr>
                <w:rFonts w:ascii="Calibri" w:hAnsi="Calibri"/>
                <w:b/>
                <w:bCs/>
                <w:color w:val="000000"/>
                <w:sz w:val="22"/>
                <w:szCs w:val="22"/>
              </w:rPr>
              <w:t>959</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7778E69E" w14:textId="77777777" w:rsidR="007917EC" w:rsidRPr="007917EC" w:rsidRDefault="007917EC" w:rsidP="007917EC">
            <w:pPr>
              <w:spacing w:before="0" w:after="0"/>
              <w:rPr>
                <w:rFonts w:ascii="Calibri" w:hAnsi="Calibri"/>
                <w:b/>
                <w:bCs/>
                <w:color w:val="000000"/>
                <w:sz w:val="22"/>
                <w:szCs w:val="22"/>
              </w:rPr>
            </w:pPr>
            <w:r w:rsidRPr="007917EC">
              <w:rPr>
                <w:rFonts w:ascii="Calibri" w:hAnsi="Calibri"/>
                <w:b/>
                <w:bCs/>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743441BE" w14:textId="6950A0FC"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70</w:t>
            </w:r>
            <w:r w:rsidR="00614F0F">
              <w:rPr>
                <w:rFonts w:ascii="Calibri" w:hAnsi="Calibri"/>
                <w:b/>
                <w:bCs/>
                <w:color w:val="000000"/>
                <w:sz w:val="22"/>
                <w:szCs w:val="22"/>
              </w:rPr>
              <w:t>,</w:t>
            </w:r>
            <w:r w:rsidRPr="007917EC">
              <w:rPr>
                <w:rFonts w:ascii="Calibri" w:hAnsi="Calibri"/>
                <w:b/>
                <w:bCs/>
                <w:color w:val="000000"/>
                <w:sz w:val="22"/>
                <w:szCs w:val="22"/>
              </w:rPr>
              <w:t>959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B0A17" w14:textId="32CF2364"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w:t>
            </w:r>
            <w:r w:rsidR="00614F0F">
              <w:rPr>
                <w:rFonts w:ascii="Calibri" w:hAnsi="Calibri"/>
                <w:b/>
                <w:bCs/>
                <w:color w:val="000000"/>
                <w:sz w:val="22"/>
                <w:szCs w:val="22"/>
              </w:rPr>
              <w:t>,</w:t>
            </w:r>
            <w:r w:rsidRPr="007917EC">
              <w:rPr>
                <w:rFonts w:ascii="Calibri" w:hAnsi="Calibri"/>
                <w:b/>
                <w:bCs/>
                <w:color w:val="000000"/>
                <w:sz w:val="22"/>
                <w:szCs w:val="22"/>
              </w:rPr>
              <w:t>130</w:t>
            </w:r>
          </w:p>
        </w:tc>
        <w:tc>
          <w:tcPr>
            <w:tcW w:w="0" w:type="auto"/>
            <w:tcBorders>
              <w:top w:val="nil"/>
              <w:left w:val="nil"/>
              <w:bottom w:val="single" w:sz="4" w:space="0" w:color="auto"/>
              <w:right w:val="single" w:sz="8" w:space="0" w:color="auto"/>
            </w:tcBorders>
            <w:shd w:val="clear" w:color="auto" w:fill="auto"/>
            <w:noWrap/>
            <w:vAlign w:val="bottom"/>
            <w:hideMark/>
          </w:tcPr>
          <w:p w14:paraId="6F4ED5C4" w14:textId="6D481715"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82</w:t>
            </w:r>
            <w:r w:rsidR="00614F0F">
              <w:rPr>
                <w:rFonts w:ascii="Calibri" w:hAnsi="Calibri"/>
                <w:b/>
                <w:bCs/>
                <w:color w:val="000000"/>
                <w:sz w:val="22"/>
                <w:szCs w:val="22"/>
              </w:rPr>
              <w:t>,</w:t>
            </w:r>
            <w:r w:rsidRPr="007917EC">
              <w:rPr>
                <w:rFonts w:ascii="Calibri" w:hAnsi="Calibri"/>
                <w:b/>
                <w:bCs/>
                <w:color w:val="000000"/>
                <w:sz w:val="22"/>
                <w:szCs w:val="22"/>
              </w:rPr>
              <w:t>089</w:t>
            </w:r>
          </w:p>
        </w:tc>
      </w:tr>
      <w:tr w:rsidR="0047692C" w:rsidRPr="007917EC" w14:paraId="5BF4F093" w14:textId="77777777" w:rsidTr="0047692C">
        <w:trPr>
          <w:trHeight w:val="583"/>
        </w:trPr>
        <w:tc>
          <w:tcPr>
            <w:tcW w:w="0" w:type="auto"/>
            <w:tcBorders>
              <w:top w:val="single" w:sz="4" w:space="0" w:color="auto"/>
              <w:bottom w:val="nil"/>
            </w:tcBorders>
            <w:shd w:val="clear" w:color="auto" w:fill="auto"/>
          </w:tcPr>
          <w:p w14:paraId="444BA3C7" w14:textId="149AA985"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left w:val="nil"/>
              <w:bottom w:val="nil"/>
              <w:right w:val="single" w:sz="4" w:space="0" w:color="auto"/>
            </w:tcBorders>
            <w:shd w:val="clear" w:color="auto" w:fill="auto"/>
          </w:tcPr>
          <w:p w14:paraId="24D6D07A" w14:textId="7B12A040" w:rsidR="0047692C" w:rsidRPr="007917EC" w:rsidRDefault="0047692C" w:rsidP="0047692C">
            <w:pPr>
              <w:spacing w:before="0" w:after="0"/>
              <w:rPr>
                <w:rFonts w:ascii="Calibri" w:hAnsi="Calibri"/>
                <w:b/>
                <w:bCs/>
                <w:color w:val="1F497D"/>
                <w:sz w:val="22"/>
                <w:szCs w:val="22"/>
              </w:rPr>
            </w:pPr>
          </w:p>
        </w:tc>
        <w:tc>
          <w:tcPr>
            <w:tcW w:w="0" w:type="auto"/>
            <w:tcBorders>
              <w:top w:val="nil"/>
              <w:left w:val="nil"/>
              <w:bottom w:val="nil"/>
              <w:right w:val="single" w:sz="4" w:space="0" w:color="auto"/>
            </w:tcBorders>
            <w:shd w:val="clear" w:color="auto" w:fill="auto"/>
          </w:tcPr>
          <w:p w14:paraId="6008A139" w14:textId="0743BA18"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461DFDCB" w14:textId="4C46F25A"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079E38C7" w14:textId="58CC330C"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p>
        </w:tc>
      </w:tr>
      <w:tr w:rsidR="0047692C" w:rsidRPr="007917EC" w14:paraId="7B9E2740" w14:textId="77777777" w:rsidTr="0047692C">
        <w:trPr>
          <w:trHeight w:val="292"/>
        </w:trPr>
        <w:tc>
          <w:tcPr>
            <w:tcW w:w="0" w:type="auto"/>
            <w:tcBorders>
              <w:top w:val="nil"/>
              <w:bottom w:val="nil"/>
            </w:tcBorders>
            <w:shd w:val="clear" w:color="auto" w:fill="auto"/>
            <w:noWrap/>
            <w:vAlign w:val="bottom"/>
          </w:tcPr>
          <w:p w14:paraId="5EBE1FC7" w14:textId="49F5950B"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3ED5F01B" w14:textId="41252B29"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30691B58" w14:textId="2CCF30B9"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4B4AC926" w14:textId="238CE91F"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0F1389E7" w14:textId="6FD821C6"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06185270" w14:textId="77777777" w:rsidTr="0047692C">
        <w:trPr>
          <w:trHeight w:val="875"/>
        </w:trPr>
        <w:tc>
          <w:tcPr>
            <w:tcW w:w="0" w:type="auto"/>
            <w:tcBorders>
              <w:top w:val="nil"/>
            </w:tcBorders>
            <w:shd w:val="clear" w:color="auto" w:fill="auto"/>
            <w:vAlign w:val="bottom"/>
          </w:tcPr>
          <w:p w14:paraId="7D54B543" w14:textId="7E93D8D3" w:rsidR="0047692C" w:rsidRPr="007917EC" w:rsidRDefault="0047692C" w:rsidP="0047692C">
            <w:pPr>
              <w:spacing w:before="0" w:after="0"/>
              <w:rPr>
                <w:rFonts w:ascii="Calibri" w:hAnsi="Calibri"/>
                <w:b/>
                <w:bCs/>
                <w:color w:val="000000"/>
                <w:sz w:val="22"/>
                <w:szCs w:val="22"/>
              </w:rPr>
            </w:pPr>
          </w:p>
        </w:tc>
        <w:tc>
          <w:tcPr>
            <w:tcW w:w="0" w:type="auto"/>
            <w:tcBorders>
              <w:top w:val="nil"/>
              <w:left w:val="nil"/>
              <w:right w:val="single" w:sz="4" w:space="0" w:color="auto"/>
            </w:tcBorders>
            <w:shd w:val="clear" w:color="auto" w:fill="auto"/>
            <w:vAlign w:val="bottom"/>
          </w:tcPr>
          <w:p w14:paraId="35BAC4A6" w14:textId="207D362B"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8" w:space="0" w:color="auto"/>
              <w:right w:val="single" w:sz="4" w:space="0" w:color="auto"/>
            </w:tcBorders>
            <w:shd w:val="clear" w:color="auto" w:fill="auto"/>
            <w:vAlign w:val="bottom"/>
          </w:tcPr>
          <w:p w14:paraId="5916F124" w14:textId="5194AF20"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2DCDF0" w14:textId="500F44C0"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42648D" w14:textId="74CD69B1" w:rsidR="0047692C" w:rsidRPr="007917EC" w:rsidRDefault="0047692C" w:rsidP="002640A3">
            <w:pPr>
              <w:spacing w:before="0" w:after="0"/>
              <w:jc w:val="right"/>
              <w:rPr>
                <w:sz w:val="20"/>
                <w:szCs w:val="20"/>
              </w:rPr>
            </w:pPr>
            <w:r w:rsidRPr="007917EC">
              <w:rPr>
                <w:rFonts w:ascii="Calibri" w:hAnsi="Calibri"/>
                <w:b/>
                <w:bCs/>
                <w:color w:val="000000"/>
                <w:sz w:val="22"/>
                <w:szCs w:val="22"/>
              </w:rPr>
              <w:t>2</w:t>
            </w:r>
            <w:r>
              <w:rPr>
                <w:rFonts w:ascii="Calibri" w:hAnsi="Calibri"/>
                <w:b/>
                <w:bCs/>
                <w:color w:val="000000"/>
                <w:sz w:val="22"/>
                <w:szCs w:val="22"/>
              </w:rPr>
              <w:t>,</w:t>
            </w:r>
            <w:r w:rsidRPr="007917EC">
              <w:rPr>
                <w:rFonts w:ascii="Calibri" w:hAnsi="Calibri"/>
                <w:b/>
                <w:bCs/>
                <w:color w:val="000000"/>
                <w:sz w:val="22"/>
                <w:szCs w:val="22"/>
              </w:rPr>
              <w:t>571</w:t>
            </w:r>
          </w:p>
        </w:tc>
      </w:tr>
    </w:tbl>
    <w:p w14:paraId="664F5FEB" w14:textId="77777777" w:rsidR="00B1073A" w:rsidRDefault="00B1073A" w:rsidP="00B1073A"/>
    <w:p w14:paraId="1E58B13C" w14:textId="77777777" w:rsidR="00B1073A" w:rsidRDefault="00B1073A" w:rsidP="00B1073A"/>
    <w:p w14:paraId="25B8184A" w14:textId="77777777" w:rsidR="00B1073A" w:rsidRDefault="00B1073A">
      <w:pPr>
        <w:spacing w:before="0" w:after="0"/>
      </w:pPr>
      <w:r>
        <w:br w:type="page"/>
      </w:r>
    </w:p>
    <w:p w14:paraId="676C466B" w14:textId="44975D45" w:rsidR="00B1073A" w:rsidRDefault="00B1073A" w:rsidP="00B1073A">
      <w:pPr>
        <w:pStyle w:val="Heading2"/>
      </w:pPr>
      <w:bookmarkStart w:id="131" w:name="_Toc456801643"/>
      <w:bookmarkStart w:id="132" w:name="_Toc456867215"/>
      <w:bookmarkStart w:id="133" w:name="_Toc456879765"/>
      <w:r w:rsidRPr="00B1073A">
        <w:lastRenderedPageBreak/>
        <w:t>Pacific Power Excess Conservation Calculations (MWh)</w:t>
      </w:r>
      <w:bookmarkEnd w:id="131"/>
      <w:bookmarkEnd w:id="132"/>
      <w:bookmarkEnd w:id="133"/>
    </w:p>
    <w:p w14:paraId="1EA1E9E9" w14:textId="77777777" w:rsidR="00B1073A" w:rsidRDefault="00B1073A" w:rsidP="00B1073A"/>
    <w:tbl>
      <w:tblPr>
        <w:tblW w:w="0" w:type="auto"/>
        <w:tblInd w:w="-10" w:type="dxa"/>
        <w:tblLook w:val="04A0" w:firstRow="1" w:lastRow="0" w:firstColumn="1" w:lastColumn="0" w:noHBand="0" w:noVBand="1"/>
      </w:tblPr>
      <w:tblGrid>
        <w:gridCol w:w="2909"/>
        <w:gridCol w:w="1983"/>
        <w:gridCol w:w="1954"/>
        <w:gridCol w:w="3839"/>
        <w:gridCol w:w="2265"/>
      </w:tblGrid>
      <w:tr w:rsidR="007917EC" w:rsidRPr="007917EC" w14:paraId="0050EFFE"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1D11AAF5"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49D8376B"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06D2E97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6453AC7C"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790CEF9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4B797705" w14:textId="77777777" w:rsidTr="007917EC">
        <w:trPr>
          <w:trHeight w:val="2040"/>
        </w:trPr>
        <w:tc>
          <w:tcPr>
            <w:tcW w:w="0" w:type="auto"/>
            <w:tcBorders>
              <w:top w:val="nil"/>
              <w:left w:val="single" w:sz="8" w:space="0" w:color="auto"/>
              <w:bottom w:val="nil"/>
              <w:right w:val="nil"/>
            </w:tcBorders>
            <w:shd w:val="clear" w:color="auto" w:fill="auto"/>
            <w:hideMark/>
          </w:tcPr>
          <w:p w14:paraId="3C139F4B"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57D2C6AE" w14:textId="7ED4395A"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4C1CDF8C"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0AB8CBA3"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6E68F485"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7A17EE8B"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0DD7D974"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2CBDFA6E"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0F3D05C9" w14:textId="62E52AF8"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w:t>
            </w:r>
            <w:r w:rsidR="002640A3">
              <w:rPr>
                <w:rFonts w:ascii="Calibri" w:hAnsi="Calibri"/>
                <w:color w:val="000000"/>
                <w:sz w:val="22"/>
                <w:szCs w:val="22"/>
              </w:rPr>
              <w:t xml:space="preserve"> </w:t>
            </w:r>
            <w:r w:rsidRPr="007917EC">
              <w:rPr>
                <w:rFonts w:ascii="Calibri" w:hAnsi="Calibri"/>
                <w:color w:val="000000"/>
                <w:sz w:val="22"/>
                <w:szCs w:val="22"/>
              </w:rPr>
              <w:t>B = C</w:t>
            </w:r>
          </w:p>
        </w:tc>
        <w:tc>
          <w:tcPr>
            <w:tcW w:w="0" w:type="auto"/>
            <w:tcBorders>
              <w:top w:val="nil"/>
              <w:left w:val="single" w:sz="4" w:space="0" w:color="auto"/>
              <w:bottom w:val="nil"/>
              <w:right w:val="single" w:sz="4" w:space="0" w:color="auto"/>
            </w:tcBorders>
            <w:shd w:val="clear" w:color="auto" w:fill="auto"/>
            <w:noWrap/>
            <w:vAlign w:val="center"/>
            <w:hideMark/>
          </w:tcPr>
          <w:p w14:paraId="3313AFDC" w14:textId="179ABDFC"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no decoupling</w:t>
            </w:r>
            <w:r w:rsidR="002640A3">
              <w:rPr>
                <w:rFonts w:ascii="Calibri" w:hAnsi="Calibri"/>
                <w:color w:val="000000"/>
                <w:sz w:val="22"/>
                <w:szCs w:val="22"/>
              </w:rPr>
              <w:t xml:space="preserve"> (D)</w:t>
            </w:r>
          </w:p>
        </w:tc>
        <w:tc>
          <w:tcPr>
            <w:tcW w:w="0" w:type="auto"/>
            <w:tcBorders>
              <w:top w:val="nil"/>
              <w:left w:val="nil"/>
              <w:bottom w:val="nil"/>
              <w:right w:val="single" w:sz="8" w:space="0" w:color="auto"/>
            </w:tcBorders>
            <w:shd w:val="clear" w:color="auto" w:fill="auto"/>
            <w:noWrap/>
            <w:vAlign w:val="bottom"/>
            <w:hideMark/>
          </w:tcPr>
          <w:p w14:paraId="154E5B7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5070AFBD"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0327568B" w14:textId="0B3DD74C"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89</w:t>
            </w:r>
            <w:r w:rsidR="00614F0F">
              <w:rPr>
                <w:rFonts w:ascii="Calibri" w:hAnsi="Calibri"/>
                <w:b/>
                <w:bCs/>
                <w:color w:val="000000"/>
                <w:sz w:val="22"/>
                <w:szCs w:val="22"/>
              </w:rPr>
              <w:t>,</w:t>
            </w:r>
            <w:r w:rsidRPr="007917EC">
              <w:rPr>
                <w:rFonts w:ascii="Calibri" w:hAnsi="Calibri"/>
                <w:b/>
                <w:bCs/>
                <w:color w:val="000000"/>
                <w:sz w:val="22"/>
                <w:szCs w:val="22"/>
              </w:rPr>
              <w:t>016</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172FB258" w14:textId="02D81D09"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14</w:t>
            </w:r>
            <w:r w:rsidR="00614F0F">
              <w:rPr>
                <w:rFonts w:ascii="Calibri" w:hAnsi="Calibri"/>
                <w:b/>
                <w:bCs/>
                <w:color w:val="000000"/>
                <w:sz w:val="22"/>
                <w:szCs w:val="22"/>
              </w:rPr>
              <w:t>,</w:t>
            </w:r>
            <w:r w:rsidRPr="007917EC">
              <w:rPr>
                <w:rFonts w:ascii="Calibri" w:hAnsi="Calibri"/>
                <w:b/>
                <w:bCs/>
                <w:color w:val="000000"/>
                <w:sz w:val="22"/>
                <w:szCs w:val="22"/>
              </w:rPr>
              <w:t>313</w:t>
            </w:r>
          </w:p>
        </w:tc>
        <w:tc>
          <w:tcPr>
            <w:tcW w:w="0" w:type="auto"/>
            <w:tcBorders>
              <w:top w:val="nil"/>
              <w:left w:val="nil"/>
              <w:bottom w:val="single" w:sz="8" w:space="0" w:color="auto"/>
              <w:right w:val="nil"/>
            </w:tcBorders>
            <w:shd w:val="clear" w:color="auto" w:fill="auto"/>
            <w:noWrap/>
            <w:vAlign w:val="bottom"/>
            <w:hideMark/>
          </w:tcPr>
          <w:p w14:paraId="1BD99504" w14:textId="70FFA73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74</w:t>
            </w:r>
            <w:r w:rsidR="00614F0F">
              <w:rPr>
                <w:rFonts w:ascii="Calibri" w:hAnsi="Calibri"/>
                <w:b/>
                <w:bCs/>
                <w:color w:val="000000"/>
                <w:sz w:val="22"/>
                <w:szCs w:val="22"/>
              </w:rPr>
              <w:t>,</w:t>
            </w:r>
            <w:r w:rsidRPr="007917EC">
              <w:rPr>
                <w:rFonts w:ascii="Calibri" w:hAnsi="Calibri"/>
                <w:b/>
                <w:bCs/>
                <w:color w:val="000000"/>
                <w:sz w:val="22"/>
                <w:szCs w:val="22"/>
              </w:rPr>
              <w:t>703</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05368A08"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0</w:t>
            </w:r>
          </w:p>
        </w:tc>
        <w:tc>
          <w:tcPr>
            <w:tcW w:w="0" w:type="auto"/>
            <w:tcBorders>
              <w:top w:val="nil"/>
              <w:left w:val="nil"/>
              <w:bottom w:val="single" w:sz="8" w:space="0" w:color="auto"/>
              <w:right w:val="single" w:sz="8" w:space="0" w:color="auto"/>
            </w:tcBorders>
            <w:shd w:val="clear" w:color="auto" w:fill="auto"/>
            <w:noWrap/>
            <w:vAlign w:val="bottom"/>
            <w:hideMark/>
          </w:tcPr>
          <w:p w14:paraId="185A04A3" w14:textId="51F042C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89</w:t>
            </w:r>
            <w:r w:rsidR="00614F0F">
              <w:rPr>
                <w:rFonts w:ascii="Calibri" w:hAnsi="Calibri"/>
                <w:b/>
                <w:bCs/>
                <w:color w:val="000000"/>
                <w:sz w:val="22"/>
                <w:szCs w:val="22"/>
              </w:rPr>
              <w:t>,</w:t>
            </w:r>
            <w:r w:rsidRPr="007917EC">
              <w:rPr>
                <w:rFonts w:ascii="Calibri" w:hAnsi="Calibri"/>
                <w:b/>
                <w:bCs/>
                <w:color w:val="000000"/>
                <w:sz w:val="22"/>
                <w:szCs w:val="22"/>
              </w:rPr>
              <w:t>016</w:t>
            </w:r>
          </w:p>
        </w:tc>
      </w:tr>
      <w:tr w:rsidR="007917EC" w:rsidRPr="007917EC" w14:paraId="5F4BCDBC" w14:textId="77777777" w:rsidTr="007917EC">
        <w:trPr>
          <w:trHeight w:val="620"/>
        </w:trPr>
        <w:tc>
          <w:tcPr>
            <w:tcW w:w="0" w:type="auto"/>
            <w:tcBorders>
              <w:top w:val="nil"/>
              <w:left w:val="single" w:sz="8" w:space="0" w:color="auto"/>
              <w:bottom w:val="nil"/>
              <w:right w:val="nil"/>
            </w:tcBorders>
            <w:shd w:val="clear" w:color="auto" w:fill="auto"/>
            <w:hideMark/>
          </w:tcPr>
          <w:p w14:paraId="0E12CD4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025A4B61"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5D0A8441"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77809E6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1C4A091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23F1A322"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7A209456"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4EE7AEC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2929457D"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2F5B988A"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67F7AE96"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2CCC24AD" w14:textId="77777777" w:rsidTr="0047692C">
        <w:trPr>
          <w:trHeight w:val="300"/>
        </w:trPr>
        <w:tc>
          <w:tcPr>
            <w:tcW w:w="0" w:type="auto"/>
            <w:tcBorders>
              <w:top w:val="nil"/>
              <w:left w:val="single" w:sz="8" w:space="0" w:color="auto"/>
              <w:bottom w:val="single" w:sz="4" w:space="0" w:color="auto"/>
              <w:right w:val="nil"/>
            </w:tcBorders>
            <w:shd w:val="clear" w:color="auto" w:fill="auto"/>
            <w:vAlign w:val="bottom"/>
            <w:hideMark/>
          </w:tcPr>
          <w:p w14:paraId="080C25BF" w14:textId="11E1B389"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98</w:t>
            </w:r>
            <w:r w:rsidR="00614F0F">
              <w:rPr>
                <w:rFonts w:ascii="Calibri" w:hAnsi="Calibri"/>
                <w:b/>
                <w:bCs/>
                <w:color w:val="000000"/>
                <w:sz w:val="22"/>
                <w:szCs w:val="22"/>
              </w:rPr>
              <w:t>,</w:t>
            </w:r>
            <w:r w:rsidRPr="007917EC">
              <w:rPr>
                <w:rFonts w:ascii="Calibri" w:hAnsi="Calibri"/>
                <w:b/>
                <w:bCs/>
                <w:color w:val="000000"/>
                <w:sz w:val="22"/>
                <w:szCs w:val="22"/>
              </w:rPr>
              <w:t>881</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5510D46C" w14:textId="77777777" w:rsidR="007917EC" w:rsidRPr="007917EC" w:rsidRDefault="007917EC" w:rsidP="007917EC">
            <w:pPr>
              <w:spacing w:before="0" w:after="0"/>
              <w:rPr>
                <w:rFonts w:ascii="Calibri" w:hAnsi="Calibri"/>
                <w:b/>
                <w:bCs/>
                <w:color w:val="000000"/>
                <w:sz w:val="22"/>
                <w:szCs w:val="22"/>
              </w:rPr>
            </w:pPr>
            <w:r w:rsidRPr="007917EC">
              <w:rPr>
                <w:rFonts w:ascii="Calibri" w:hAnsi="Calibri"/>
                <w:b/>
                <w:bCs/>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14:paraId="01B20A61" w14:textId="31269224"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98</w:t>
            </w:r>
            <w:r w:rsidR="00614F0F">
              <w:rPr>
                <w:rFonts w:ascii="Calibri" w:hAnsi="Calibri"/>
                <w:b/>
                <w:bCs/>
                <w:color w:val="000000"/>
                <w:sz w:val="22"/>
                <w:szCs w:val="22"/>
              </w:rPr>
              <w:t>,</w:t>
            </w:r>
            <w:r w:rsidRPr="007917EC">
              <w:rPr>
                <w:rFonts w:ascii="Calibri" w:hAnsi="Calibri"/>
                <w:b/>
                <w:bCs/>
                <w:color w:val="000000"/>
                <w:sz w:val="22"/>
                <w:szCs w:val="22"/>
              </w:rPr>
              <w:t>881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4E83B" w14:textId="1574E154"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12</w:t>
            </w:r>
            <w:r w:rsidR="00614F0F">
              <w:rPr>
                <w:rFonts w:ascii="Calibri" w:hAnsi="Calibri"/>
                <w:b/>
                <w:bCs/>
                <w:color w:val="000000"/>
                <w:sz w:val="22"/>
                <w:szCs w:val="22"/>
              </w:rPr>
              <w:t>,</w:t>
            </w:r>
            <w:r w:rsidRPr="007917EC">
              <w:rPr>
                <w:rFonts w:ascii="Calibri" w:hAnsi="Calibri"/>
                <w:b/>
                <w:bCs/>
                <w:color w:val="000000"/>
                <w:sz w:val="22"/>
                <w:szCs w:val="22"/>
              </w:rPr>
              <w:t>279</w:t>
            </w:r>
          </w:p>
        </w:tc>
        <w:tc>
          <w:tcPr>
            <w:tcW w:w="0" w:type="auto"/>
            <w:tcBorders>
              <w:top w:val="nil"/>
              <w:left w:val="nil"/>
              <w:bottom w:val="single" w:sz="4" w:space="0" w:color="auto"/>
              <w:right w:val="single" w:sz="8" w:space="0" w:color="auto"/>
            </w:tcBorders>
            <w:shd w:val="clear" w:color="auto" w:fill="auto"/>
            <w:noWrap/>
            <w:vAlign w:val="bottom"/>
            <w:hideMark/>
          </w:tcPr>
          <w:p w14:paraId="3C8DF3BB" w14:textId="2AC25BF2"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111</w:t>
            </w:r>
            <w:r w:rsidR="00614F0F">
              <w:rPr>
                <w:rFonts w:ascii="Calibri" w:hAnsi="Calibri"/>
                <w:b/>
                <w:bCs/>
                <w:color w:val="000000"/>
                <w:sz w:val="22"/>
                <w:szCs w:val="22"/>
              </w:rPr>
              <w:t>,</w:t>
            </w:r>
            <w:r w:rsidRPr="007917EC">
              <w:rPr>
                <w:rFonts w:ascii="Calibri" w:hAnsi="Calibri"/>
                <w:b/>
                <w:bCs/>
                <w:color w:val="000000"/>
                <w:sz w:val="22"/>
                <w:szCs w:val="22"/>
              </w:rPr>
              <w:t>160</w:t>
            </w:r>
          </w:p>
        </w:tc>
      </w:tr>
      <w:tr w:rsidR="0047692C" w:rsidRPr="007917EC" w14:paraId="61DCAD41" w14:textId="77777777" w:rsidTr="0047692C">
        <w:trPr>
          <w:trHeight w:val="583"/>
        </w:trPr>
        <w:tc>
          <w:tcPr>
            <w:tcW w:w="0" w:type="auto"/>
            <w:tcBorders>
              <w:top w:val="single" w:sz="4" w:space="0" w:color="auto"/>
              <w:bottom w:val="nil"/>
            </w:tcBorders>
            <w:shd w:val="clear" w:color="auto" w:fill="auto"/>
          </w:tcPr>
          <w:p w14:paraId="2EA7CF39" w14:textId="751FBAB0"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left w:val="nil"/>
              <w:bottom w:val="nil"/>
              <w:right w:val="single" w:sz="4" w:space="0" w:color="auto"/>
            </w:tcBorders>
            <w:shd w:val="clear" w:color="auto" w:fill="auto"/>
          </w:tcPr>
          <w:p w14:paraId="76C59765" w14:textId="29712831" w:rsidR="0047692C" w:rsidRPr="007917EC" w:rsidRDefault="0047692C" w:rsidP="0047692C">
            <w:pPr>
              <w:spacing w:before="0" w:after="0"/>
              <w:rPr>
                <w:rFonts w:ascii="Calibri" w:hAnsi="Calibri"/>
                <w:b/>
                <w:bCs/>
                <w:color w:val="1F497D"/>
                <w:sz w:val="22"/>
                <w:szCs w:val="22"/>
              </w:rPr>
            </w:pPr>
          </w:p>
        </w:tc>
        <w:tc>
          <w:tcPr>
            <w:tcW w:w="0" w:type="auto"/>
            <w:tcBorders>
              <w:top w:val="single" w:sz="4" w:space="0" w:color="auto"/>
              <w:left w:val="nil"/>
              <w:bottom w:val="nil"/>
              <w:right w:val="single" w:sz="4" w:space="0" w:color="auto"/>
            </w:tcBorders>
            <w:shd w:val="clear" w:color="auto" w:fill="auto"/>
          </w:tcPr>
          <w:p w14:paraId="154DE7CB" w14:textId="50C94A62"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68C21203" w14:textId="55376645"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7839F0ED" w14:textId="495B48A5"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p>
        </w:tc>
      </w:tr>
      <w:tr w:rsidR="0047692C" w:rsidRPr="007917EC" w14:paraId="2BA7E827" w14:textId="77777777" w:rsidTr="0047692C">
        <w:trPr>
          <w:trHeight w:val="292"/>
        </w:trPr>
        <w:tc>
          <w:tcPr>
            <w:tcW w:w="0" w:type="auto"/>
            <w:tcBorders>
              <w:top w:val="nil"/>
              <w:bottom w:val="nil"/>
            </w:tcBorders>
            <w:shd w:val="clear" w:color="auto" w:fill="auto"/>
            <w:noWrap/>
            <w:vAlign w:val="bottom"/>
          </w:tcPr>
          <w:p w14:paraId="69EF8BE0" w14:textId="492C5EA4"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25D5F47B" w14:textId="75012D1B"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1C10DFF0" w14:textId="4DFECB24"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4E6BB814" w14:textId="42C3FED1"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1581B275" w14:textId="7413707D"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4AD5323C" w14:textId="77777777" w:rsidTr="0047692C">
        <w:trPr>
          <w:trHeight w:val="875"/>
        </w:trPr>
        <w:tc>
          <w:tcPr>
            <w:tcW w:w="0" w:type="auto"/>
            <w:tcBorders>
              <w:top w:val="nil"/>
            </w:tcBorders>
            <w:shd w:val="clear" w:color="auto" w:fill="auto"/>
            <w:vAlign w:val="bottom"/>
          </w:tcPr>
          <w:p w14:paraId="6381FC1A" w14:textId="1CA4BF35" w:rsidR="0047692C" w:rsidRPr="007917EC" w:rsidRDefault="0047692C" w:rsidP="0047692C">
            <w:pPr>
              <w:spacing w:before="0" w:after="0"/>
              <w:rPr>
                <w:rFonts w:ascii="Calibri" w:hAnsi="Calibri"/>
                <w:b/>
                <w:bCs/>
                <w:color w:val="000000"/>
                <w:sz w:val="22"/>
                <w:szCs w:val="22"/>
              </w:rPr>
            </w:pPr>
          </w:p>
        </w:tc>
        <w:tc>
          <w:tcPr>
            <w:tcW w:w="0" w:type="auto"/>
            <w:tcBorders>
              <w:top w:val="nil"/>
              <w:left w:val="nil"/>
              <w:right w:val="single" w:sz="4" w:space="0" w:color="auto"/>
            </w:tcBorders>
            <w:shd w:val="clear" w:color="auto" w:fill="auto"/>
            <w:vAlign w:val="bottom"/>
          </w:tcPr>
          <w:p w14:paraId="0CB16CC8" w14:textId="5F24AA43"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bottom"/>
          </w:tcPr>
          <w:p w14:paraId="0DA6E763" w14:textId="28CF6013"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077351" w14:textId="36A58BB3"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DFC6A9" w14:textId="07ED20DB" w:rsidR="0047692C" w:rsidRPr="007917EC" w:rsidRDefault="0047692C" w:rsidP="002640A3">
            <w:pPr>
              <w:spacing w:before="0" w:after="0"/>
              <w:jc w:val="right"/>
              <w:rPr>
                <w:sz w:val="20"/>
                <w:szCs w:val="20"/>
              </w:rPr>
            </w:pPr>
            <w:r w:rsidRPr="007917EC">
              <w:rPr>
                <w:rFonts w:ascii="Calibri" w:hAnsi="Calibri"/>
                <w:b/>
                <w:bCs/>
                <w:color w:val="000000"/>
                <w:sz w:val="22"/>
                <w:szCs w:val="22"/>
              </w:rPr>
              <w:t>22</w:t>
            </w:r>
            <w:r>
              <w:rPr>
                <w:rFonts w:ascii="Calibri" w:hAnsi="Calibri"/>
                <w:b/>
                <w:bCs/>
                <w:color w:val="000000"/>
                <w:sz w:val="22"/>
                <w:szCs w:val="22"/>
              </w:rPr>
              <w:t>,</w:t>
            </w:r>
            <w:r w:rsidRPr="007917EC">
              <w:rPr>
                <w:rFonts w:ascii="Calibri" w:hAnsi="Calibri"/>
                <w:b/>
                <w:bCs/>
                <w:color w:val="000000"/>
                <w:sz w:val="22"/>
                <w:szCs w:val="22"/>
              </w:rPr>
              <w:t>144</w:t>
            </w:r>
          </w:p>
        </w:tc>
      </w:tr>
    </w:tbl>
    <w:p w14:paraId="7DE200CC" w14:textId="77777777" w:rsidR="00B1073A" w:rsidRPr="00B1073A" w:rsidRDefault="00B1073A" w:rsidP="00B1073A"/>
    <w:sectPr w:rsidR="00B1073A" w:rsidRPr="00B1073A" w:rsidSect="00EA350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12A2F" w14:textId="77777777" w:rsidR="00363559" w:rsidRDefault="00363559" w:rsidP="00EF7490">
      <w:pPr>
        <w:spacing w:before="0" w:after="0"/>
      </w:pPr>
      <w:r>
        <w:separator/>
      </w:r>
    </w:p>
  </w:endnote>
  <w:endnote w:type="continuationSeparator" w:id="0">
    <w:p w14:paraId="39B3B6E3" w14:textId="77777777" w:rsidR="00363559" w:rsidRDefault="00363559" w:rsidP="00EF7490">
      <w:pPr>
        <w:spacing w:before="0" w:after="0"/>
      </w:pPr>
      <w:r>
        <w:continuationSeparator/>
      </w:r>
    </w:p>
  </w:endnote>
  <w:endnote w:type="continuationNotice" w:id="1">
    <w:p w14:paraId="365FC470" w14:textId="77777777" w:rsidR="00363559" w:rsidRDefault="003635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C0176" w14:textId="77777777" w:rsidR="00363559" w:rsidRDefault="00363559" w:rsidP="00EF7490">
      <w:pPr>
        <w:spacing w:before="0" w:after="0"/>
      </w:pPr>
      <w:r>
        <w:separator/>
      </w:r>
    </w:p>
  </w:footnote>
  <w:footnote w:type="continuationSeparator" w:id="0">
    <w:p w14:paraId="68D1204C" w14:textId="77777777" w:rsidR="00363559" w:rsidRDefault="00363559" w:rsidP="00EF7490">
      <w:pPr>
        <w:spacing w:before="0" w:after="0"/>
      </w:pPr>
      <w:r>
        <w:continuationSeparator/>
      </w:r>
    </w:p>
  </w:footnote>
  <w:footnote w:type="continuationNotice" w:id="1">
    <w:p w14:paraId="2169C14C" w14:textId="77777777" w:rsidR="00363559" w:rsidRDefault="00363559">
      <w:pPr>
        <w:spacing w:before="0" w:after="0"/>
      </w:pPr>
    </w:p>
  </w:footnote>
  <w:footnote w:id="2">
    <w:p w14:paraId="2E11C9B2" w14:textId="30113034" w:rsidR="00363559" w:rsidRPr="00191A5B" w:rsidRDefault="00363559" w:rsidP="00191A5B">
      <w:pPr>
        <w:pStyle w:val="FootnoteText"/>
        <w:rPr>
          <w:color w:val="FF0000"/>
        </w:rPr>
      </w:pPr>
      <w:r>
        <w:rPr>
          <w:rStyle w:val="FootnoteReference"/>
        </w:rPr>
        <w:footnoteRef/>
      </w:r>
      <w:r>
        <w:t xml:space="preserve"> </w:t>
      </w:r>
      <w:r w:rsidRPr="00D05E4C">
        <w:t>RCW 19.285.030(19) (definition of “qualifying utility”); RCW 19.285.040(1)(b) (biennial conservation targets).</w:t>
      </w:r>
    </w:p>
  </w:footnote>
  <w:footnote w:id="3">
    <w:p w14:paraId="531F5D6C" w14:textId="0E490766" w:rsidR="00363559" w:rsidRPr="005C2917" w:rsidRDefault="00363559" w:rsidP="00A70AC1">
      <w:pPr>
        <w:pStyle w:val="FootnoteText"/>
      </w:pPr>
      <w:r w:rsidRPr="005C2917">
        <w:rPr>
          <w:rStyle w:val="FootnoteReference"/>
          <w:rFonts w:eastAsiaTheme="majorEastAsia"/>
        </w:rPr>
        <w:footnoteRef/>
      </w:r>
      <w:r w:rsidRPr="005C2917">
        <w:t xml:space="preserve"> RCW 19.285</w:t>
      </w:r>
      <w:r>
        <w:t>.070; WAC 480-109-120; initial orders in d</w:t>
      </w:r>
      <w:r w:rsidRPr="007D1A93">
        <w:t>ockets UE-132043, UE-132045,</w:t>
      </w:r>
      <w:r>
        <w:t xml:space="preserve"> and </w:t>
      </w:r>
      <w:r w:rsidRPr="007D1A93">
        <w:t>UE-132047</w:t>
      </w:r>
      <w:r w:rsidRPr="005C2917">
        <w:t>.</w:t>
      </w:r>
    </w:p>
  </w:footnote>
  <w:footnote w:id="4">
    <w:p w14:paraId="016C103C" w14:textId="771FB193" w:rsidR="00363559" w:rsidRDefault="00363559">
      <w:pPr>
        <w:pStyle w:val="FootnoteText"/>
      </w:pPr>
      <w:r>
        <w:rPr>
          <w:rStyle w:val="FootnoteReference"/>
        </w:rPr>
        <w:footnoteRef/>
      </w:r>
      <w:r>
        <w:t xml:space="preserve"> </w:t>
      </w:r>
      <w:r w:rsidRPr="003B7ACC">
        <w:t xml:space="preserve">See dockets UE-132043, Order 01 ¶ </w:t>
      </w:r>
      <w:r>
        <w:t>26</w:t>
      </w:r>
      <w:r w:rsidRPr="003B7ACC">
        <w:t xml:space="preserve">; UE-132045, Order 01 ¶ </w:t>
      </w:r>
      <w:r>
        <w:t>28</w:t>
      </w:r>
      <w:r w:rsidRPr="003B7ACC">
        <w:t xml:space="preserve">; UE-132047, Order 01 ¶ </w:t>
      </w:r>
      <w:r>
        <w:t>26. This target does not include any additional decoupling incremental conservation target commitments or excluded programs i.e. NEEA.</w:t>
      </w:r>
    </w:p>
  </w:footnote>
  <w:footnote w:id="5">
    <w:p w14:paraId="1BCB4E5B" w14:textId="402CA2A8" w:rsidR="00363559" w:rsidRDefault="00363559">
      <w:pPr>
        <w:pStyle w:val="FootnoteText"/>
      </w:pPr>
      <w:r>
        <w:rPr>
          <w:rStyle w:val="FootnoteReference"/>
        </w:rPr>
        <w:footnoteRef/>
      </w:r>
      <w:r>
        <w:t xml:space="preserve"> WAC 480-109-100(10)(b) allows low-income conservation to be excluded from portfolio-level cost-effectiveness calculations. PSE and Avista include low-income in its calculations. Pacific </w:t>
      </w:r>
      <w:r w:rsidRPr="001564FE">
        <w:t xml:space="preserve">Power </w:t>
      </w:r>
      <w:r>
        <w:t>excludes low-income from its calculations.</w:t>
      </w:r>
    </w:p>
  </w:footnote>
  <w:footnote w:id="6">
    <w:p w14:paraId="5DBCE6E0" w14:textId="4216ABD6" w:rsidR="00363559" w:rsidRDefault="00363559" w:rsidP="00E201E9">
      <w:pPr>
        <w:pStyle w:val="FootnoteText"/>
      </w:pPr>
      <w:r>
        <w:rPr>
          <w:rStyle w:val="FootnoteReference"/>
        </w:rPr>
        <w:footnoteRef/>
      </w:r>
      <w:r>
        <w:t xml:space="preserve"> Including decoupling, PSE’s target is 510,056 MWh.</w:t>
      </w:r>
    </w:p>
  </w:footnote>
  <w:footnote w:id="7">
    <w:p w14:paraId="3C345F77" w14:textId="6EA81ABD" w:rsidR="00363559" w:rsidRDefault="00363559">
      <w:pPr>
        <w:pStyle w:val="FootnoteText"/>
      </w:pPr>
      <w:r>
        <w:rPr>
          <w:rStyle w:val="FootnoteReference"/>
        </w:rPr>
        <w:footnoteRef/>
      </w:r>
      <w:r>
        <w:t xml:space="preserve"> </w:t>
      </w:r>
      <w:r w:rsidRPr="003B7ACC">
        <w:t xml:space="preserve">Including decoupling, </w:t>
      </w:r>
      <w:r>
        <w:t>Avista</w:t>
      </w:r>
      <w:r w:rsidRPr="003B7ACC">
        <w:t>’s target is 68,</w:t>
      </w:r>
      <w:r>
        <w:t>388</w:t>
      </w:r>
      <w:r w:rsidRPr="003B7ACC">
        <w:t xml:space="preserve"> MWh. </w:t>
      </w:r>
      <w:r>
        <w:t xml:space="preserve">Note that there is some discrepancy in the target reported by Avista and the target identified by Staff. In docket UE-140188, Order 05 </w:t>
      </w:r>
      <w:r w:rsidRPr="003B7ACC">
        <w:t xml:space="preserve">¶ </w:t>
      </w:r>
      <w:r>
        <w:t xml:space="preserve">26 Avista’s </w:t>
      </w:r>
      <w:r w:rsidRPr="003B7ACC">
        <w:t xml:space="preserve">target is </w:t>
      </w:r>
      <w:r>
        <w:t xml:space="preserve">64,956 MWh plus 3,248 MWh for decoupling for a total target of 68,204 MWh. However, in docket </w:t>
      </w:r>
      <w:r w:rsidRPr="003B7ACC">
        <w:t xml:space="preserve">UE-132045, Order 01 ¶ </w:t>
      </w:r>
      <w:r>
        <w:t xml:space="preserve">28 and </w:t>
      </w:r>
      <w:r w:rsidRPr="00D47531">
        <w:t>Order 0</w:t>
      </w:r>
      <w:r>
        <w:t>2</w:t>
      </w:r>
      <w:r w:rsidRPr="00D47531">
        <w:t xml:space="preserve"> ¶ 28</w:t>
      </w:r>
      <w:r>
        <w:t xml:space="preserve"> the approved target is 65,131 MWh. Under either target Avista meets its decoupling commitment. This discrepancy should be addressed in Avista’s petition on excess savings in docket UE-140188.</w:t>
      </w:r>
    </w:p>
  </w:footnote>
  <w:footnote w:id="8">
    <w:p w14:paraId="64E18932" w14:textId="77777777" w:rsidR="00363559" w:rsidRPr="005C2917" w:rsidRDefault="00363559" w:rsidP="00042B9D">
      <w:pPr>
        <w:pStyle w:val="FootnoteText"/>
      </w:pPr>
      <w:r w:rsidRPr="005C2917">
        <w:rPr>
          <w:rStyle w:val="FootnoteReference"/>
          <w:rFonts w:eastAsiaTheme="majorEastAsia"/>
        </w:rPr>
        <w:footnoteRef/>
      </w:r>
      <w:r w:rsidRPr="005C2917">
        <w:t xml:space="preserve"> See Docket UE-131723, General Order R-578 (March 13, 2015). The new rule is codified in WAC 480-109.</w:t>
      </w:r>
    </w:p>
  </w:footnote>
  <w:footnote w:id="9">
    <w:p w14:paraId="5718AB26" w14:textId="77777777" w:rsidR="00363559" w:rsidRPr="00243E4E" w:rsidRDefault="00363559" w:rsidP="00D503F5">
      <w:pPr>
        <w:pStyle w:val="FootnoteText"/>
      </w:pPr>
      <w:r w:rsidRPr="00243E4E">
        <w:rPr>
          <w:rStyle w:val="FootnoteReference"/>
        </w:rPr>
        <w:footnoteRef/>
      </w:r>
      <w:r w:rsidRPr="00243E4E">
        <w:t xml:space="preserve"> </w:t>
      </w:r>
      <w:r w:rsidRPr="00243E4E">
        <w:rPr>
          <w:i/>
        </w:rPr>
        <w:t xml:space="preserve">In the Matter of the Petition of Puget Sound Energy, Inc. and Northwest Energy Coalition For an Order Authorizing PSE to Implement Electric and Natural Gas Decoupling Mechanism and to Record Accounting Entries Associated with the Mechanisms, </w:t>
      </w:r>
      <w:r w:rsidRPr="00243E4E">
        <w:t xml:space="preserve">Docket UE-121697, Order 07 (June 25, 2013) ¶ 108; </w:t>
      </w:r>
      <w:r w:rsidRPr="00243E4E">
        <w:rPr>
          <w:i/>
        </w:rPr>
        <w:t>WUTC vs. Avista Corporation d/b/a Avista Utilities</w:t>
      </w:r>
      <w:r w:rsidRPr="00243E4E">
        <w:t>, Docket UE-140188, Order 05 (November 25, 2014) ¶ 26.</w:t>
      </w:r>
    </w:p>
  </w:footnote>
  <w:footnote w:id="10">
    <w:p w14:paraId="137437A3" w14:textId="3DC752E3" w:rsidR="00363559" w:rsidRDefault="00363559">
      <w:pPr>
        <w:pStyle w:val="FootnoteText"/>
      </w:pPr>
      <w:r>
        <w:rPr>
          <w:rStyle w:val="FootnoteReference"/>
        </w:rPr>
        <w:footnoteRef/>
      </w:r>
      <w:r>
        <w:t xml:space="preserve"> See docket UE-152253.</w:t>
      </w:r>
    </w:p>
  </w:footnote>
  <w:footnote w:id="11">
    <w:p w14:paraId="3A02E313" w14:textId="288DBD1A" w:rsidR="00363559" w:rsidRDefault="00363559">
      <w:pPr>
        <w:pStyle w:val="FootnoteText"/>
      </w:pPr>
      <w:r>
        <w:rPr>
          <w:rStyle w:val="FootnoteReference"/>
        </w:rPr>
        <w:footnoteRef/>
      </w:r>
      <w:r>
        <w:t xml:space="preserve"> RCW 19.285.040(f). NEEA has been excluded because the NEEA board has members from utilities outside the Commission’s jurisdiction, whether in Washington or without.</w:t>
      </w:r>
    </w:p>
  </w:footnote>
  <w:footnote w:id="12">
    <w:p w14:paraId="3A8055D3" w14:textId="10AD7EA2" w:rsidR="00363559" w:rsidRDefault="00363559" w:rsidP="00F96EA9">
      <w:pPr>
        <w:pStyle w:val="FootnoteText"/>
      </w:pPr>
      <w:r>
        <w:rPr>
          <w:rStyle w:val="FootnoteReference"/>
        </w:rPr>
        <w:footnoteRef/>
      </w:r>
      <w:r>
        <w:t xml:space="preserve"> RCW 19.285.040(c)(i)“Except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footnote>
  <w:footnote w:id="13">
    <w:p w14:paraId="57E409F2" w14:textId="646FB454" w:rsidR="00363559" w:rsidRDefault="00363559">
      <w:pPr>
        <w:pStyle w:val="FootnoteText"/>
      </w:pPr>
      <w:r>
        <w:rPr>
          <w:rStyle w:val="FootnoteReference"/>
        </w:rPr>
        <w:footnoteRef/>
      </w:r>
      <w:r>
        <w:t xml:space="preserve"> See docket</w:t>
      </w:r>
      <w:r w:rsidRPr="00520433">
        <w:t xml:space="preserve"> UE-132043, Order 01 ¶ </w:t>
      </w:r>
      <w:r>
        <w:t>5</w:t>
      </w:r>
      <w:r w:rsidRPr="00520433">
        <w:t>;</w:t>
      </w:r>
      <w:r>
        <w:t xml:space="preserve"> the full Biennial Conservation Target includes the savings from End-Use Efficiency Measures (551,880), and Existing Home Energy Reports (6,421). No potential savings have been excluded.</w:t>
      </w:r>
    </w:p>
  </w:footnote>
  <w:footnote w:id="14">
    <w:p w14:paraId="071DA8EC" w14:textId="570D71D1" w:rsidR="00363559" w:rsidRDefault="00363559">
      <w:pPr>
        <w:pStyle w:val="FootnoteText"/>
      </w:pPr>
      <w:r>
        <w:rPr>
          <w:rStyle w:val="FootnoteReference"/>
        </w:rPr>
        <w:footnoteRef/>
      </w:r>
      <w:r>
        <w:t xml:space="preserve"> See docket UE-132045</w:t>
      </w:r>
      <w:r w:rsidRPr="00520433">
        <w:t xml:space="preserve">, Order 01 ¶ </w:t>
      </w:r>
      <w:r>
        <w:t xml:space="preserve">5 and </w:t>
      </w:r>
      <w:r w:rsidRPr="00520433">
        <w:t xml:space="preserve">¶ </w:t>
      </w:r>
      <w:r>
        <w:t>9</w:t>
      </w:r>
      <w:r w:rsidRPr="00520433">
        <w:t>;</w:t>
      </w:r>
      <w:r>
        <w:t xml:space="preserve"> the full Biennial Conservation Target includes the savings from End-Use Efficiency Measures (67,137), Distribution Efficiency (2,061), Generation Efficiency (163), and Home Energy Reports (6,900).</w:t>
      </w:r>
      <w:r w:rsidRPr="00520433">
        <w:t xml:space="preserve"> No potential savings have been excluded.</w:t>
      </w:r>
    </w:p>
  </w:footnote>
  <w:footnote w:id="15">
    <w:p w14:paraId="3C1706D2" w14:textId="22D18055" w:rsidR="00363559" w:rsidRDefault="00363559">
      <w:pPr>
        <w:pStyle w:val="FootnoteText"/>
      </w:pPr>
      <w:r>
        <w:rPr>
          <w:rStyle w:val="FootnoteReference"/>
        </w:rPr>
        <w:footnoteRef/>
      </w:r>
      <w:r>
        <w:t xml:space="preserve"> </w:t>
      </w:r>
      <w:r w:rsidRPr="00515C18">
        <w:t>See docket UE-13204</w:t>
      </w:r>
      <w:r>
        <w:t>7</w:t>
      </w:r>
      <w:r w:rsidRPr="00515C18">
        <w:t>, Order 01 ¶ 5; the full Biennial Conservation Target includes the savings from End-Use Efficiency Measures (</w:t>
      </w:r>
      <w:r>
        <w:t xml:space="preserve">89,016). </w:t>
      </w:r>
      <w:r w:rsidRPr="00515C18">
        <w:t>No potential savings have been excluded.</w:t>
      </w:r>
    </w:p>
  </w:footnote>
  <w:footnote w:id="16">
    <w:p w14:paraId="68694230" w14:textId="77777777" w:rsidR="00363559" w:rsidRPr="00243E4E" w:rsidRDefault="00363559" w:rsidP="00DD0A37">
      <w:pPr>
        <w:pStyle w:val="FootnoteText"/>
      </w:pPr>
      <w:r w:rsidRPr="00243E4E">
        <w:rPr>
          <w:rStyle w:val="FootnoteReference"/>
        </w:rPr>
        <w:footnoteRef/>
      </w:r>
      <w:r w:rsidRPr="00243E4E">
        <w:t xml:space="preserve"> </w:t>
      </w:r>
      <w:r w:rsidRPr="00243E4E">
        <w:rPr>
          <w:i/>
        </w:rPr>
        <w:t xml:space="preserve">In the Matter of the Petition of Puget Sound Energy, Inc. and Northwest Energy Coalition For an Order Authorizing PSE to Implement Electric and Natural Gas Decoupling Mechanism and to Record Accounting Entries Associated with the Mechanisms, </w:t>
      </w:r>
      <w:r w:rsidRPr="00243E4E">
        <w:t xml:space="preserve">Docket UE-121697, Order 07 (June 25, 2013) ¶ 108; </w:t>
      </w:r>
      <w:r w:rsidRPr="00243E4E">
        <w:rPr>
          <w:i/>
        </w:rPr>
        <w:t>WUTC vs. Avista Corporation d/b/a Avista Utilities</w:t>
      </w:r>
      <w:r w:rsidRPr="00243E4E">
        <w:t>, Docket UE-140188, Order 05 (November 25, 2014) ¶ 26.</w:t>
      </w:r>
    </w:p>
  </w:footnote>
  <w:footnote w:id="17">
    <w:p w14:paraId="291D10AB" w14:textId="7FCBA755" w:rsidR="00363559" w:rsidRDefault="00363559" w:rsidP="00DD0A37">
      <w:pPr>
        <w:pStyle w:val="FootnoteText"/>
      </w:pPr>
      <w:r>
        <w:rPr>
          <w:rStyle w:val="FootnoteReference"/>
        </w:rPr>
        <w:footnoteRef/>
      </w:r>
      <w:r>
        <w:t xml:space="preserve"> See docket UE-152253.</w:t>
      </w:r>
    </w:p>
  </w:footnote>
  <w:footnote w:id="18">
    <w:p w14:paraId="54B55869" w14:textId="4C5EF80E" w:rsidR="00363559" w:rsidRDefault="00363559" w:rsidP="00454070">
      <w:pPr>
        <w:pStyle w:val="FootnoteText"/>
      </w:pPr>
      <w:r>
        <w:rPr>
          <w:rStyle w:val="FootnoteReference"/>
        </w:rPr>
        <w:footnoteRef/>
      </w:r>
      <w:r w:rsidRPr="00454070">
        <w:t>RCW 19.285.040(c)(i)</w:t>
      </w:r>
      <w:r>
        <w:t>; WAC 480-109-160(28) defines “Single large facility conservation savings” as cost-effective conservation savings achieved in a single biennial period at the premises of a single customer of a utility whose recent annual electricity consumption prior to the conservation savings exceeded five average megawatts.</w:t>
      </w:r>
    </w:p>
  </w:footnote>
  <w:footnote w:id="19">
    <w:p w14:paraId="4C0DA6DC" w14:textId="77777777" w:rsidR="00363559" w:rsidRDefault="00363559" w:rsidP="00454070">
      <w:pPr>
        <w:pStyle w:val="FootnoteText"/>
      </w:pPr>
      <w:r>
        <w:rPr>
          <w:rStyle w:val="FootnoteReference"/>
        </w:rPr>
        <w:footnoteRef/>
      </w:r>
      <w:r>
        <w:t xml:space="preserve"> WAC 480-109-100(3)(c)(ii).</w:t>
      </w:r>
    </w:p>
  </w:footnote>
  <w:footnote w:id="20">
    <w:p w14:paraId="2E867282" w14:textId="77777777" w:rsidR="00363559" w:rsidRDefault="00363559" w:rsidP="004F2F5C">
      <w:pPr>
        <w:pStyle w:val="FootnoteText"/>
      </w:pPr>
      <w:r>
        <w:rPr>
          <w:rStyle w:val="FootnoteReference"/>
        </w:rPr>
        <w:footnoteRef/>
      </w:r>
      <w:r>
        <w:t xml:space="preserve"> Formerly known as net market effects.</w:t>
      </w:r>
    </w:p>
  </w:footnote>
  <w:footnote w:id="21">
    <w:p w14:paraId="76E3AC7B" w14:textId="77777777" w:rsidR="00363559" w:rsidRPr="00134880" w:rsidRDefault="00363559" w:rsidP="004F2F5C">
      <w:pPr>
        <w:pStyle w:val="FootnoteText"/>
      </w:pPr>
      <w:r w:rsidRPr="00134880">
        <w:rPr>
          <w:rStyle w:val="FootnoteReference"/>
        </w:rPr>
        <w:footnoteRef/>
      </w:r>
      <w:r w:rsidRPr="00134880">
        <w:t xml:space="preserve"> See</w:t>
      </w:r>
      <w:r>
        <w:t xml:space="preserve"> D</w:t>
      </w:r>
      <w:r w:rsidRPr="00134880">
        <w:t>ocket</w:t>
      </w:r>
      <w:r>
        <w:t>s</w:t>
      </w:r>
      <w:r w:rsidRPr="00134880">
        <w:t xml:space="preserve"> UE-1</w:t>
      </w:r>
      <w:r>
        <w:t xml:space="preserve">00170, UE-100176, and </w:t>
      </w:r>
      <w:r w:rsidRPr="00883BA6">
        <w:t>UE-100177</w:t>
      </w:r>
      <w:r>
        <w:t xml:space="preserve"> Joint Proposal for Consistent Approach to Northwest Energy Efficiency Alliance (NEEA) Claimed Conservation Savings (October 31, 2012).</w:t>
      </w:r>
    </w:p>
  </w:footnote>
  <w:footnote w:id="22">
    <w:p w14:paraId="175CE0EC" w14:textId="77777777" w:rsidR="00363559" w:rsidRDefault="00363559" w:rsidP="004F2F5C">
      <w:pPr>
        <w:pStyle w:val="FootnoteText"/>
      </w:pPr>
      <w:r>
        <w:rPr>
          <w:rStyle w:val="FootnoteReference"/>
        </w:rPr>
        <w:footnoteRef/>
      </w:r>
      <w:r>
        <w:t xml:space="preserve"> WAC 480-109-120(3)(c)</w:t>
      </w:r>
    </w:p>
  </w:footnote>
  <w:footnote w:id="23">
    <w:p w14:paraId="476E15D6" w14:textId="34E9B6ED" w:rsidR="00363559" w:rsidRDefault="00363559">
      <w:pPr>
        <w:pStyle w:val="FootnoteText"/>
      </w:pPr>
      <w:r>
        <w:rPr>
          <w:rStyle w:val="FootnoteReference"/>
        </w:rPr>
        <w:footnoteRef/>
      </w:r>
      <w:r>
        <w:t xml:space="preserve"> Most commonly, UES values degrade over time as the result of continuous improvement of the baseline efficiency of installed equipment. Consequently, annual updates of UES values will typically disadvantage companies because the UES values used for claiming savings would be less than the UES value used for setting the biennial targets.</w:t>
      </w:r>
    </w:p>
  </w:footnote>
  <w:footnote w:id="24">
    <w:p w14:paraId="2ACD4F4B" w14:textId="7B9253F4" w:rsidR="00363559" w:rsidRDefault="00363559" w:rsidP="00206F6B">
      <w:r w:rsidRPr="00C25CD0">
        <w:rPr>
          <w:rStyle w:val="FootnoteReference"/>
          <w:sz w:val="20"/>
          <w:szCs w:val="20"/>
        </w:rPr>
        <w:footnoteRef/>
      </w:r>
      <w:r w:rsidRPr="00C25CD0">
        <w:rPr>
          <w:sz w:val="20"/>
          <w:szCs w:val="20"/>
        </w:rPr>
        <w:t xml:space="preserve"> PSE was not expected to p</w:t>
      </w:r>
      <w:r>
        <w:rPr>
          <w:sz w:val="20"/>
          <w:szCs w:val="20"/>
        </w:rPr>
        <w:t>resent such an analysis as the C</w:t>
      </w:r>
      <w:r w:rsidRPr="00C25CD0">
        <w:rPr>
          <w:sz w:val="20"/>
          <w:szCs w:val="20"/>
        </w:rPr>
        <w:t>ompany already voluntarily updates its UES values annually. Pacific</w:t>
      </w:r>
      <w:r w:rsidRPr="009B70AF">
        <w:t xml:space="preserve"> </w:t>
      </w:r>
      <w:r w:rsidRPr="009B70AF">
        <w:rPr>
          <w:sz w:val="20"/>
          <w:szCs w:val="20"/>
        </w:rPr>
        <w:t>Power</w:t>
      </w:r>
      <w:r w:rsidRPr="00C25CD0">
        <w:rPr>
          <w:sz w:val="20"/>
          <w:szCs w:val="20"/>
        </w:rPr>
        <w:t>’s savings analysis replicated PSE’s method of updating UES values once during the biennial period, effective January 1</w:t>
      </w:r>
      <w:r w:rsidRPr="00C25CD0">
        <w:rPr>
          <w:sz w:val="20"/>
          <w:szCs w:val="20"/>
          <w:vertAlign w:val="superscript"/>
        </w:rPr>
        <w:t>st</w:t>
      </w:r>
      <w:r w:rsidRPr="00C25CD0">
        <w:rPr>
          <w:sz w:val="20"/>
          <w:szCs w:val="20"/>
        </w:rPr>
        <w:t xml:space="preserve"> of the second year based on updated information available by October 1</w:t>
      </w:r>
      <w:r w:rsidRPr="00C25CD0">
        <w:rPr>
          <w:sz w:val="20"/>
          <w:szCs w:val="20"/>
          <w:vertAlign w:val="superscript"/>
        </w:rPr>
        <w:t>st</w:t>
      </w:r>
      <w:r w:rsidRPr="00C25CD0">
        <w:rPr>
          <w:sz w:val="20"/>
          <w:szCs w:val="20"/>
        </w:rPr>
        <w:t xml:space="preserve"> of the first year. </w:t>
      </w:r>
    </w:p>
  </w:footnote>
  <w:footnote w:id="25">
    <w:p w14:paraId="77FAE60D" w14:textId="399A59C3" w:rsidR="00363559" w:rsidRDefault="00363559">
      <w:pPr>
        <w:pStyle w:val="FootnoteText"/>
      </w:pPr>
      <w:r>
        <w:rPr>
          <w:rStyle w:val="FootnoteReference"/>
        </w:rPr>
        <w:footnoteRef/>
      </w:r>
      <w:r>
        <w:t xml:space="preserve"> WAC 480-109-100(1)(a)</w:t>
      </w:r>
    </w:p>
  </w:footnote>
  <w:footnote w:id="26">
    <w:p w14:paraId="6BA6481F" w14:textId="698B6AE9" w:rsidR="00363559" w:rsidRDefault="00363559">
      <w:pPr>
        <w:pStyle w:val="FootnoteText"/>
      </w:pPr>
      <w:r>
        <w:rPr>
          <w:rStyle w:val="FootnoteReference"/>
        </w:rPr>
        <w:footnoteRef/>
      </w:r>
      <w:r>
        <w:t xml:space="preserve"> WAC 480-109-120(4)(vi)</w:t>
      </w:r>
    </w:p>
  </w:footnote>
  <w:footnote w:id="27">
    <w:p w14:paraId="36C1E487" w14:textId="2ED7DF52" w:rsidR="00363559" w:rsidRDefault="00363559">
      <w:pPr>
        <w:pStyle w:val="FootnoteText"/>
      </w:pPr>
      <w:r>
        <w:rPr>
          <w:rStyle w:val="FootnoteReference"/>
        </w:rPr>
        <w:footnoteRef/>
      </w:r>
      <w:r>
        <w:t xml:space="preserve"> WAC 480-109-100(1)(iv) “Continuously review and update as appropriate the conservation portfolio to adapt to changing market conditions and developing technologies, and assess the potential of such technologies for implementation in its service territory.”</w:t>
      </w:r>
    </w:p>
  </w:footnote>
  <w:footnote w:id="28">
    <w:p w14:paraId="23A459FF" w14:textId="3E9B1722" w:rsidR="00363559" w:rsidRDefault="00363559">
      <w:pPr>
        <w:pStyle w:val="FootnoteText"/>
      </w:pPr>
      <w:r>
        <w:rPr>
          <w:rStyle w:val="FootnoteReference"/>
        </w:rPr>
        <w:footnoteRef/>
      </w:r>
      <w:r>
        <w:t xml:space="preserve"> See dockets UE-132043, Order 01 Attachment A ¶ 7;</w:t>
      </w:r>
      <w:r w:rsidRPr="0078520A">
        <w:t xml:space="preserve"> </w:t>
      </w:r>
      <w:r>
        <w:t>UE-132045, Order 01 Attachment A ¶ 7; UE-132047, Order 01 Attachment A ¶ 7.</w:t>
      </w:r>
    </w:p>
  </w:footnote>
  <w:footnote w:id="29">
    <w:p w14:paraId="4DD7FC5A" w14:textId="749DA5EA" w:rsidR="00363559" w:rsidRDefault="00363559">
      <w:pPr>
        <w:pStyle w:val="FootnoteText"/>
      </w:pPr>
      <w:r>
        <w:rPr>
          <w:rStyle w:val="FootnoteReference"/>
        </w:rPr>
        <w:footnoteRef/>
      </w:r>
      <w:r>
        <w:t xml:space="preserve"> WAC 480-109-100(1)(c).</w:t>
      </w:r>
    </w:p>
  </w:footnote>
  <w:footnote w:id="30">
    <w:p w14:paraId="5C51E0CA" w14:textId="46B01DA4" w:rsidR="00363559" w:rsidRDefault="00363559">
      <w:pPr>
        <w:pStyle w:val="FootnoteText"/>
      </w:pPr>
      <w:r>
        <w:rPr>
          <w:rStyle w:val="FootnoteReference"/>
        </w:rPr>
        <w:footnoteRef/>
      </w:r>
      <w:r>
        <w:t xml:space="preserve"> Under the Northwest Power and Conservation Council method, a portfolio is considered c</w:t>
      </w:r>
      <w:r w:rsidRPr="00276C8B">
        <w:t xml:space="preserve">ost-effective </w:t>
      </w:r>
      <w:r>
        <w:t xml:space="preserve">when the benefit-to-cost ratio, </w:t>
      </w:r>
      <w:r w:rsidRPr="00276C8B">
        <w:t>using the Total Resource Cost (TRC) test</w:t>
      </w:r>
      <w:r>
        <w:t>, is greater than one.</w:t>
      </w:r>
    </w:p>
  </w:footnote>
  <w:footnote w:id="31">
    <w:p w14:paraId="025E32C3" w14:textId="2AC2B053" w:rsidR="00363559" w:rsidRDefault="00363559">
      <w:pPr>
        <w:pStyle w:val="FootnoteText"/>
      </w:pPr>
      <w:r>
        <w:rPr>
          <w:rStyle w:val="FootnoteReference"/>
        </w:rPr>
        <w:footnoteRef/>
      </w:r>
      <w:r>
        <w:t xml:space="preserve"> Excluding NEEA savings and savings from pilots.</w:t>
      </w:r>
    </w:p>
  </w:footnote>
  <w:footnote w:id="32">
    <w:p w14:paraId="1022F930" w14:textId="6FC111F5" w:rsidR="00363559" w:rsidRDefault="00363559" w:rsidP="00E822A6">
      <w:pPr>
        <w:pStyle w:val="FootnoteText"/>
      </w:pPr>
      <w:r>
        <w:rPr>
          <w:rStyle w:val="FootnoteReference"/>
        </w:rPr>
        <w:footnoteRef/>
      </w:r>
      <w:r>
        <w:t xml:space="preserve"> When including the 5% decoupling commitment, PSE’s 2014-2015 biennial target is 513,690. </w:t>
      </w:r>
      <w:r w:rsidRPr="00AD4C9B">
        <w:rPr>
          <w:i/>
        </w:rPr>
        <w:t xml:space="preserve"> </w:t>
      </w:r>
      <w:r w:rsidRPr="00243E4E">
        <w:rPr>
          <w:i/>
        </w:rPr>
        <w:t xml:space="preserve">WUTC vs. </w:t>
      </w:r>
      <w:r>
        <w:rPr>
          <w:i/>
        </w:rPr>
        <w:t>Puget Sound Energy</w:t>
      </w:r>
      <w:r w:rsidRPr="00243E4E">
        <w:t>, Docket UE-1</w:t>
      </w:r>
      <w:r>
        <w:t>32043</w:t>
      </w:r>
      <w:r w:rsidRPr="00243E4E">
        <w:t>, Order 0</w:t>
      </w:r>
      <w:r>
        <w:t>3</w:t>
      </w:r>
      <w:r w:rsidRPr="00243E4E">
        <w:t xml:space="preserve"> (</w:t>
      </w:r>
      <w:r>
        <w:t>September 11, 2014) ¶ 22.</w:t>
      </w:r>
    </w:p>
  </w:footnote>
  <w:footnote w:id="33">
    <w:p w14:paraId="023B9447" w14:textId="1B510432" w:rsidR="00363559" w:rsidRDefault="00363559">
      <w:pPr>
        <w:pStyle w:val="FootnoteText"/>
      </w:pPr>
      <w:r>
        <w:rPr>
          <w:rStyle w:val="FootnoteReference"/>
        </w:rPr>
        <w:footnoteRef/>
      </w:r>
      <w:r>
        <w:t xml:space="preserve"> PSE includes low-income programs in its Residential Program reporting.</w:t>
      </w:r>
    </w:p>
  </w:footnote>
  <w:footnote w:id="34">
    <w:p w14:paraId="1313E609" w14:textId="77777777" w:rsidR="00363559" w:rsidRDefault="00363559" w:rsidP="00791F67">
      <w:pPr>
        <w:pStyle w:val="FootnoteText"/>
      </w:pPr>
      <w:r>
        <w:rPr>
          <w:rStyle w:val="FootnoteReference"/>
        </w:rPr>
        <w:footnoteRef/>
      </w:r>
      <w:r>
        <w:t xml:space="preserve"> PSE 2014-2015 BECAR Final Report page ES-3. </w:t>
      </w:r>
    </w:p>
  </w:footnote>
  <w:footnote w:id="35">
    <w:p w14:paraId="33F809DE" w14:textId="5C319BCD" w:rsidR="00363559" w:rsidRDefault="00363559">
      <w:pPr>
        <w:pStyle w:val="FootnoteText"/>
      </w:pPr>
      <w:r>
        <w:rPr>
          <w:rStyle w:val="FootnoteReference"/>
        </w:rPr>
        <w:footnoteRef/>
      </w:r>
      <w:r>
        <w:t xml:space="preserve"> Excluding NEEA savings.</w:t>
      </w:r>
    </w:p>
  </w:footnote>
  <w:footnote w:id="36">
    <w:p w14:paraId="4E14A052" w14:textId="64FED8D9" w:rsidR="00363559" w:rsidRDefault="00363559">
      <w:pPr>
        <w:pStyle w:val="FootnoteText"/>
      </w:pPr>
      <w:r>
        <w:rPr>
          <w:rStyle w:val="FootnoteReference"/>
        </w:rPr>
        <w:footnoteRef/>
      </w:r>
      <w:r>
        <w:t xml:space="preserve"> When including the 5% decoupling commitment, Avista’s 2014-2015 biennial target is 68,204. </w:t>
      </w:r>
      <w:r w:rsidRPr="00AD4C9B">
        <w:rPr>
          <w:i/>
        </w:rPr>
        <w:t xml:space="preserve"> </w:t>
      </w:r>
      <w:r w:rsidRPr="00243E4E">
        <w:rPr>
          <w:i/>
        </w:rPr>
        <w:t>WUTC vs. Avista Corporation d/b/a Avista Utilities</w:t>
      </w:r>
      <w:r w:rsidRPr="00243E4E">
        <w:t>, Docket UE-140188, Ord</w:t>
      </w:r>
      <w:r>
        <w:t>er 05 (November 25, 2014) ¶ 26.</w:t>
      </w:r>
    </w:p>
  </w:footnote>
  <w:footnote w:id="37">
    <w:p w14:paraId="1F6715CB" w14:textId="5A76B69E" w:rsidR="00363559" w:rsidRDefault="00363559">
      <w:pPr>
        <w:pStyle w:val="FootnoteText"/>
      </w:pPr>
      <w:r>
        <w:rPr>
          <w:rStyle w:val="FootnoteReference"/>
        </w:rPr>
        <w:footnoteRef/>
      </w:r>
      <w:r>
        <w:t xml:space="preserve"> Cost-effectiveness was not provided for every program.</w:t>
      </w:r>
    </w:p>
  </w:footnote>
  <w:footnote w:id="38">
    <w:p w14:paraId="66463F1D" w14:textId="08856754" w:rsidR="00363559" w:rsidRDefault="00363559">
      <w:pPr>
        <w:pStyle w:val="FootnoteText"/>
      </w:pPr>
      <w:r>
        <w:rPr>
          <w:rStyle w:val="FootnoteReference"/>
        </w:rPr>
        <w:footnoteRef/>
      </w:r>
      <w:r>
        <w:t xml:space="preserve"> For example, see docket UE-132045, Biennial Conservation Plan of Avista Corporation, Appendix C – Fixed UES List for 2014-2015.</w:t>
      </w:r>
    </w:p>
  </w:footnote>
  <w:footnote w:id="39">
    <w:p w14:paraId="1ACC36C9" w14:textId="303D0BA6" w:rsidR="00363559" w:rsidRDefault="00363559">
      <w:pPr>
        <w:pStyle w:val="FootnoteText"/>
      </w:pPr>
      <w:r>
        <w:rPr>
          <w:rStyle w:val="FootnoteReference"/>
        </w:rPr>
        <w:footnoteRef/>
      </w:r>
      <w:r>
        <w:t xml:space="preserve"> </w:t>
      </w:r>
      <w:r w:rsidRPr="00090229">
        <w:t>Excluding NEEA savings and savings from pilots.</w:t>
      </w:r>
    </w:p>
  </w:footnote>
  <w:footnote w:id="40">
    <w:p w14:paraId="5EEBDB44" w14:textId="25EF9C2A" w:rsidR="00363559" w:rsidRDefault="00363559">
      <w:pPr>
        <w:pStyle w:val="FootnoteText"/>
      </w:pPr>
      <w:r>
        <w:rPr>
          <w:rStyle w:val="FootnoteReference"/>
        </w:rPr>
        <w:footnoteRef/>
      </w:r>
      <w:r>
        <w:t xml:space="preserve"> Program level cost-effectiveness values for the 2014-2015 biennium provided via email by Kaley McNay on July 18, 2016.</w:t>
      </w:r>
    </w:p>
  </w:footnote>
  <w:footnote w:id="41">
    <w:p w14:paraId="3D098E8A" w14:textId="6E159BEC" w:rsidR="00363559" w:rsidRDefault="00363559">
      <w:pPr>
        <w:pStyle w:val="FootnoteText"/>
      </w:pPr>
      <w:r>
        <w:rPr>
          <w:rStyle w:val="FootnoteReference"/>
        </w:rPr>
        <w:footnoteRef/>
      </w:r>
      <w:r>
        <w:t xml:space="preserve"> The TRC of 0.7 for Pacific Power’s low income program is for 2015 only. In 2014, the low income program had a TRC of 1.1.</w:t>
      </w:r>
    </w:p>
  </w:footnote>
  <w:footnote w:id="42">
    <w:p w14:paraId="3BD593AC" w14:textId="38EAB29D" w:rsidR="00363559" w:rsidRDefault="00363559">
      <w:pPr>
        <w:pStyle w:val="FootnoteText"/>
      </w:pPr>
      <w:r>
        <w:rPr>
          <w:rStyle w:val="FootnoteReference"/>
        </w:rPr>
        <w:footnoteRef/>
      </w:r>
      <w:r>
        <w:t xml:space="preserve"> The savings impact from Pacific</w:t>
      </w:r>
      <w:r w:rsidRPr="009B70AF">
        <w:t xml:space="preserve"> Power</w:t>
      </w:r>
      <w:r>
        <w:t>’s only pilot program “Be wattsmart, Begin at Home” was not measured or reported. This program provides energy efficiency education in schools and the impact would be difficult to measure.</w:t>
      </w:r>
    </w:p>
  </w:footnote>
  <w:footnote w:id="43">
    <w:p w14:paraId="1C28544F" w14:textId="77777777" w:rsidR="00363559" w:rsidRPr="005C2917" w:rsidRDefault="00363559" w:rsidP="008E4150">
      <w:pPr>
        <w:pStyle w:val="FootnoteText"/>
      </w:pPr>
      <w:r w:rsidRPr="005C2917">
        <w:rPr>
          <w:rStyle w:val="FootnoteReference"/>
          <w:rFonts w:eastAsiaTheme="majorEastAsia"/>
        </w:rPr>
        <w:footnoteRef/>
      </w:r>
      <w:r w:rsidRPr="005C2917">
        <w:t xml:space="preserve"> See Docket UE-131723, General Order R-578 (March 13, 2015). The new rule is codified in WAC 480-109.</w:t>
      </w:r>
    </w:p>
  </w:footnote>
  <w:footnote w:id="44">
    <w:p w14:paraId="5CCD8CA8" w14:textId="3B698ACE" w:rsidR="00363559" w:rsidRDefault="00363559">
      <w:pPr>
        <w:pStyle w:val="FootnoteText"/>
      </w:pPr>
      <w:r>
        <w:rPr>
          <w:rStyle w:val="FootnoteReference"/>
        </w:rPr>
        <w:footnoteRef/>
      </w:r>
      <w:r>
        <w:t xml:space="preserve"> RCW 19.285.030(6). Cost-effectiveness is defined at RCW 80.52.030 and include system costs and quantifiable environmental costs and benefits.</w:t>
      </w:r>
    </w:p>
  </w:footnote>
  <w:footnote w:id="45">
    <w:p w14:paraId="39E3FEC1" w14:textId="77777777" w:rsidR="00363559" w:rsidRDefault="00363559" w:rsidP="00C02FBA">
      <w:pPr>
        <w:pStyle w:val="FootnoteText"/>
      </w:pPr>
      <w:r>
        <w:rPr>
          <w:rStyle w:val="FootnoteReference"/>
        </w:rPr>
        <w:footnoteRef/>
      </w:r>
      <w:r>
        <w:t xml:space="preserve"> UG-121207, </w:t>
      </w:r>
      <w:r w:rsidRPr="00FA3217">
        <w:t>Policy Statement on the Evaluation of the Cost-Effectiveness of Natural Gas Conservation Programs</w:t>
      </w:r>
      <w:r>
        <w:t>.</w:t>
      </w:r>
    </w:p>
  </w:footnote>
  <w:footnote w:id="46">
    <w:p w14:paraId="7A7078C2" w14:textId="46FE349E" w:rsidR="00363559" w:rsidRDefault="00363559">
      <w:pPr>
        <w:pStyle w:val="FootnoteText"/>
      </w:pPr>
      <w:r w:rsidRPr="00723D43">
        <w:rPr>
          <w:rStyle w:val="FootnoteReference"/>
        </w:rPr>
        <w:footnoteRef/>
      </w:r>
      <w:r w:rsidRPr="00723D43">
        <w:t xml:space="preserve"> Commission comment for the Draft 7</w:t>
      </w:r>
      <w:r w:rsidRPr="00723D43">
        <w:rPr>
          <w:vertAlign w:val="superscript"/>
        </w:rPr>
        <w:t>th</w:t>
      </w:r>
      <w:r w:rsidRPr="00723D43">
        <w:t xml:space="preserve"> Power Plan, December 18, 2015, available at </w:t>
      </w:r>
      <w:hyperlink r:id="rId1" w:history="1">
        <w:r w:rsidRPr="0014141E">
          <w:rPr>
            <w:rStyle w:val="Hyperlink"/>
          </w:rPr>
          <w:t>https://www.nwcouncil.org/energy/powerplan/7/draftplan/comments/view?id=1862</w:t>
        </w:r>
      </w:hyperlink>
      <w:r>
        <w:t xml:space="preserve">. </w:t>
      </w:r>
    </w:p>
  </w:footnote>
  <w:footnote w:id="47">
    <w:p w14:paraId="40DAD53B" w14:textId="77777777" w:rsidR="00363559" w:rsidRDefault="00363559" w:rsidP="00B65520">
      <w:pPr>
        <w:pStyle w:val="FootnoteText"/>
      </w:pPr>
      <w:r>
        <w:rPr>
          <w:rStyle w:val="FootnoteReference"/>
        </w:rPr>
        <w:footnoteRef/>
      </w:r>
      <w:r>
        <w:t xml:space="preserve"> RCW 19.285.040</w:t>
      </w:r>
    </w:p>
  </w:footnote>
  <w:footnote w:id="48">
    <w:p w14:paraId="1087998B" w14:textId="4CEB692C" w:rsidR="00363559" w:rsidRPr="006636DF" w:rsidRDefault="00363559">
      <w:pPr>
        <w:pStyle w:val="FootnoteText"/>
        <w:rPr>
          <w:color w:val="FF0000"/>
        </w:rPr>
      </w:pPr>
      <w:r>
        <w:rPr>
          <w:rStyle w:val="FootnoteReference"/>
        </w:rPr>
        <w:footnoteRef/>
      </w:r>
      <w:r>
        <w:t xml:space="preserve"> Seventh </w:t>
      </w:r>
      <w:r w:rsidRPr="00933E0B">
        <w:t>Northwest Power Plan, Northwest Power and Conservation Council</w:t>
      </w:r>
      <w:r>
        <w:t>,</w:t>
      </w:r>
      <w:r w:rsidRPr="00933E0B">
        <w:t xml:space="preserve"> Chapter 12 pg. 52</w:t>
      </w:r>
      <w:r>
        <w:t xml:space="preserve"> (Feb. 2016), available at </w:t>
      </w:r>
      <w:hyperlink r:id="rId2" w:history="1">
        <w:r w:rsidRPr="00933E0B">
          <w:rPr>
            <w:rStyle w:val="Hyperlink"/>
          </w:rPr>
          <w:t>http://www.nwcouncil.org/energy/powerplan/7/plan/</w:t>
        </w:r>
      </w:hyperlink>
      <w:r>
        <w:t>.</w:t>
      </w:r>
    </w:p>
  </w:footnote>
  <w:footnote w:id="49">
    <w:p w14:paraId="135654CF" w14:textId="1470457A" w:rsidR="00363559" w:rsidRDefault="00363559">
      <w:pPr>
        <w:pStyle w:val="FootnoteText"/>
      </w:pPr>
      <w:r>
        <w:rPr>
          <w:rStyle w:val="FootnoteReference"/>
        </w:rPr>
        <w:footnoteRef/>
      </w:r>
      <w:r>
        <w:t xml:space="preserve"> </w:t>
      </w:r>
      <w:r w:rsidR="002A050F" w:rsidRPr="002A050F">
        <w:t xml:space="preserve">Seventh Northwest Power Plan, Northwest Power and Conservation Council, Chapter 12 pg. 52 (Feb. 2016), available at </w:t>
      </w:r>
      <w:hyperlink r:id="rId3" w:history="1">
        <w:r w:rsidR="002A050F" w:rsidRPr="00F54EEB">
          <w:rPr>
            <w:rStyle w:val="Hyperlink"/>
          </w:rPr>
          <w:t>http://www.nwcouncil.org/energy/powerplan/7/plan/</w:t>
        </w:r>
      </w:hyperlink>
      <w:r w:rsidR="002A050F" w:rsidRPr="002A050F">
        <w:t>.</w:t>
      </w:r>
      <w:r w:rsidR="002A050F">
        <w:t xml:space="preserve"> </w:t>
      </w:r>
    </w:p>
  </w:footnote>
  <w:footnote w:id="50">
    <w:p w14:paraId="52BB873E" w14:textId="7610216A" w:rsidR="00363559" w:rsidRPr="00082445" w:rsidRDefault="00363559" w:rsidP="00082445">
      <w:pPr>
        <w:pStyle w:val="FootnoteText"/>
        <w:rPr>
          <w:color w:val="FF0000"/>
        </w:rPr>
      </w:pPr>
      <w:r>
        <w:rPr>
          <w:rStyle w:val="FootnoteReference"/>
        </w:rPr>
        <w:footnoteRef/>
      </w:r>
      <w:r w:rsidRPr="00134880">
        <w:rPr>
          <w:i/>
        </w:rPr>
        <w:t xml:space="preserve">In the Matter of </w:t>
      </w:r>
      <w:r>
        <w:rPr>
          <w:i/>
        </w:rPr>
        <w:t>Petition of Puget Sound Energy, Inc., for a Declaratory Order on the Meaning of “Conservation” in Chapter 19.285 RCW</w:t>
      </w:r>
      <w:r>
        <w:t>, Docket U</w:t>
      </w:r>
      <w:r w:rsidRPr="00134880">
        <w:t>-1</w:t>
      </w:r>
      <w:r>
        <w:t>21165</w:t>
      </w:r>
      <w:r w:rsidRPr="00134880">
        <w:t>, Order 0</w:t>
      </w:r>
      <w:r>
        <w:t>1</w:t>
      </w:r>
      <w:r w:rsidRPr="00134880">
        <w:t xml:space="preserve"> ¶ </w:t>
      </w:r>
      <w:r>
        <w:t>12</w:t>
      </w:r>
      <w:r w:rsidRPr="00134880">
        <w:t>.</w:t>
      </w:r>
    </w:p>
    <w:p w14:paraId="22EF55CE" w14:textId="77777777" w:rsidR="00363559" w:rsidRPr="00082445" w:rsidRDefault="00363559">
      <w:pPr>
        <w:pStyle w:val="FootnoteText"/>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78C6" w14:textId="77777777" w:rsidR="00363559" w:rsidRPr="0096541B" w:rsidRDefault="00363559" w:rsidP="0096541B">
    <w:pPr>
      <w:pStyle w:val="Header"/>
      <w:rPr>
        <w:sz w:val="20"/>
        <w:szCs w:val="20"/>
      </w:rPr>
    </w:pPr>
    <w:r w:rsidRPr="0096541B">
      <w:rPr>
        <w:sz w:val="20"/>
        <w:szCs w:val="20"/>
      </w:rPr>
      <w:t>Dockets UE-132043, UE-132045, UE-132047</w:t>
    </w:r>
  </w:p>
  <w:p w14:paraId="2FEBF323" w14:textId="31CB552D" w:rsidR="00363559" w:rsidRPr="0096541B" w:rsidRDefault="00363559" w:rsidP="0096541B">
    <w:pPr>
      <w:pStyle w:val="Header"/>
      <w:rPr>
        <w:sz w:val="20"/>
        <w:szCs w:val="20"/>
      </w:rPr>
    </w:pPr>
    <w:r w:rsidRPr="0096541B">
      <w:rPr>
        <w:sz w:val="20"/>
        <w:szCs w:val="20"/>
      </w:rPr>
      <w:t>Staff Comments on 2014-2015 Biennial Conservation Reports</w:t>
    </w:r>
  </w:p>
  <w:p w14:paraId="2F2D7301" w14:textId="7DA1C5C7" w:rsidR="00EA350E" w:rsidRPr="00EA350E" w:rsidRDefault="00EA350E" w:rsidP="0096541B">
    <w:pPr>
      <w:pStyle w:val="Header"/>
      <w:rPr>
        <w:noProof/>
        <w:sz w:val="20"/>
        <w:szCs w:val="20"/>
      </w:rPr>
    </w:pPr>
    <w:r>
      <w:rPr>
        <w:sz w:val="20"/>
        <w:szCs w:val="20"/>
      </w:rPr>
      <w:t xml:space="preserve">Page </w:t>
    </w:r>
    <w:r w:rsidRPr="00EA350E">
      <w:rPr>
        <w:sz w:val="20"/>
        <w:szCs w:val="20"/>
      </w:rPr>
      <w:fldChar w:fldCharType="begin"/>
    </w:r>
    <w:r w:rsidRPr="00EA350E">
      <w:rPr>
        <w:sz w:val="20"/>
        <w:szCs w:val="20"/>
      </w:rPr>
      <w:instrText xml:space="preserve"> PAGE   \* MERGEFORMAT </w:instrText>
    </w:r>
    <w:r w:rsidRPr="00EA350E">
      <w:rPr>
        <w:sz w:val="20"/>
        <w:szCs w:val="20"/>
      </w:rPr>
      <w:fldChar w:fldCharType="separate"/>
    </w:r>
    <w:r w:rsidR="00EE6FC0">
      <w:rPr>
        <w:noProof/>
        <w:sz w:val="20"/>
        <w:szCs w:val="20"/>
      </w:rPr>
      <w:t>7</w:t>
    </w:r>
    <w:r w:rsidRPr="00EA350E">
      <w:rPr>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133" w14:textId="77777777" w:rsidR="00363559" w:rsidRDefault="00363559">
    <w:pPr>
      <w:pStyle w:val="Header"/>
    </w:pPr>
  </w:p>
  <w:p w14:paraId="50D4BCAE" w14:textId="77777777" w:rsidR="00363559" w:rsidRDefault="00363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63786193"/>
      <w:docPartObj>
        <w:docPartGallery w:val="Page Numbers (Top of Page)"/>
        <w:docPartUnique/>
      </w:docPartObj>
    </w:sdtPr>
    <w:sdtEndPr>
      <w:rPr>
        <w:noProof/>
      </w:rPr>
    </w:sdtEndPr>
    <w:sdtContent>
      <w:p w14:paraId="11A2DA5E" w14:textId="77777777" w:rsidR="00363559" w:rsidRPr="0096541B" w:rsidRDefault="00363559" w:rsidP="0096541B">
        <w:pPr>
          <w:pStyle w:val="Header"/>
          <w:rPr>
            <w:sz w:val="20"/>
            <w:szCs w:val="20"/>
          </w:rPr>
        </w:pPr>
        <w:r w:rsidRPr="0096541B">
          <w:rPr>
            <w:sz w:val="20"/>
            <w:szCs w:val="20"/>
          </w:rPr>
          <w:t>Dockets UE-132043, UE-132045, UE-132047</w:t>
        </w:r>
      </w:p>
      <w:p w14:paraId="2A08DDD4" w14:textId="42F2A14D" w:rsidR="00363559" w:rsidRDefault="00363559" w:rsidP="0096541B">
        <w:pPr>
          <w:pStyle w:val="Header"/>
          <w:rPr>
            <w:sz w:val="20"/>
            <w:szCs w:val="20"/>
          </w:rPr>
        </w:pPr>
        <w:r w:rsidRPr="0096541B">
          <w:rPr>
            <w:sz w:val="20"/>
            <w:szCs w:val="20"/>
          </w:rPr>
          <w:t>Staff Comments on 2014-2015 Biennial Conservation Reports</w:t>
        </w:r>
      </w:p>
      <w:p w14:paraId="137C441F" w14:textId="52C90A26" w:rsidR="00363559" w:rsidRPr="00AC629F" w:rsidRDefault="00363559" w:rsidP="0096541B">
        <w:pPr>
          <w:pStyle w:val="Header"/>
          <w:rPr>
            <w:sz w:val="20"/>
            <w:szCs w:val="20"/>
          </w:rPr>
        </w:pPr>
        <w:r w:rsidRPr="00AC629F">
          <w:rPr>
            <w:sz w:val="20"/>
            <w:szCs w:val="20"/>
          </w:rPr>
          <w:t xml:space="preserve">Page </w:t>
        </w:r>
        <w:r w:rsidR="00EA350E" w:rsidRPr="00EA350E">
          <w:rPr>
            <w:sz w:val="20"/>
            <w:szCs w:val="20"/>
          </w:rPr>
          <w:fldChar w:fldCharType="begin"/>
        </w:r>
        <w:r w:rsidR="00EA350E" w:rsidRPr="00EA350E">
          <w:rPr>
            <w:sz w:val="20"/>
            <w:szCs w:val="20"/>
          </w:rPr>
          <w:instrText xml:space="preserve"> PAGE   \* MERGEFORMAT </w:instrText>
        </w:r>
        <w:r w:rsidR="00EA350E" w:rsidRPr="00EA350E">
          <w:rPr>
            <w:sz w:val="20"/>
            <w:szCs w:val="20"/>
          </w:rPr>
          <w:fldChar w:fldCharType="separate"/>
        </w:r>
        <w:r w:rsidR="00EE6FC0">
          <w:rPr>
            <w:noProof/>
            <w:sz w:val="20"/>
            <w:szCs w:val="20"/>
          </w:rPr>
          <w:t>i</w:t>
        </w:r>
        <w:r w:rsidR="00EA350E" w:rsidRPr="00EA350E">
          <w:rPr>
            <w:noProof/>
            <w:sz w:val="20"/>
            <w:szCs w:val="20"/>
          </w:rPr>
          <w:fldChar w:fldCharType="end"/>
        </w:r>
      </w:p>
    </w:sdtContent>
  </w:sdt>
  <w:p w14:paraId="214E095E" w14:textId="77777777" w:rsidR="00363559" w:rsidRDefault="00363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C69"/>
    <w:multiLevelType w:val="hybridMultilevel"/>
    <w:tmpl w:val="9B76AB0A"/>
    <w:lvl w:ilvl="0" w:tplc="88A21A9E">
      <w:start w:val="1"/>
      <w:numFmt w:val="lowerRoman"/>
      <w:lvlText w:val="(%1)"/>
      <w:lvlJc w:val="left"/>
      <w:pPr>
        <w:ind w:left="1080" w:hanging="72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B3032"/>
    <w:multiLevelType w:val="hybridMultilevel"/>
    <w:tmpl w:val="3C4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617C1"/>
    <w:multiLevelType w:val="hybridMultilevel"/>
    <w:tmpl w:val="FE8834FE"/>
    <w:lvl w:ilvl="0" w:tplc="40DE0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55F10"/>
    <w:multiLevelType w:val="hybridMultilevel"/>
    <w:tmpl w:val="0BB22190"/>
    <w:lvl w:ilvl="0" w:tplc="FFA063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F695A"/>
    <w:multiLevelType w:val="hybridMultilevel"/>
    <w:tmpl w:val="BAB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277B2"/>
    <w:multiLevelType w:val="hybridMultilevel"/>
    <w:tmpl w:val="805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1E61A1"/>
    <w:multiLevelType w:val="hybridMultilevel"/>
    <w:tmpl w:val="814CD058"/>
    <w:lvl w:ilvl="0" w:tplc="63D8B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9728F"/>
    <w:multiLevelType w:val="hybridMultilevel"/>
    <w:tmpl w:val="480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5338E"/>
    <w:multiLevelType w:val="hybridMultilevel"/>
    <w:tmpl w:val="0DCC9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2EF30A7"/>
    <w:multiLevelType w:val="hybridMultilevel"/>
    <w:tmpl w:val="0D0623E6"/>
    <w:lvl w:ilvl="0" w:tplc="4E6E47F6">
      <w:start w:val="20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46B04"/>
    <w:multiLevelType w:val="hybridMultilevel"/>
    <w:tmpl w:val="874C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25507"/>
    <w:multiLevelType w:val="hybridMultilevel"/>
    <w:tmpl w:val="7736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6D0CDA"/>
    <w:multiLevelType w:val="hybridMultilevel"/>
    <w:tmpl w:val="7E78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27FE7"/>
    <w:multiLevelType w:val="hybridMultilevel"/>
    <w:tmpl w:val="BF18A390"/>
    <w:lvl w:ilvl="0" w:tplc="7FEC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F5BFD"/>
    <w:multiLevelType w:val="hybridMultilevel"/>
    <w:tmpl w:val="6128A668"/>
    <w:lvl w:ilvl="0" w:tplc="0409000F">
      <w:start w:val="1"/>
      <w:numFmt w:val="decimal"/>
      <w:lvlText w:val="%1."/>
      <w:lvlJc w:val="left"/>
      <w:pPr>
        <w:ind w:left="126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61657F"/>
    <w:multiLevelType w:val="hybridMultilevel"/>
    <w:tmpl w:val="3C12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CC0479"/>
    <w:multiLevelType w:val="hybridMultilevel"/>
    <w:tmpl w:val="890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900D94"/>
    <w:multiLevelType w:val="hybridMultilevel"/>
    <w:tmpl w:val="380A322E"/>
    <w:lvl w:ilvl="0" w:tplc="C5A62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A95FBC"/>
    <w:multiLevelType w:val="hybridMultilevel"/>
    <w:tmpl w:val="D29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8922CA"/>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73DDE"/>
    <w:multiLevelType w:val="hybridMultilevel"/>
    <w:tmpl w:val="20A0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51C95"/>
    <w:multiLevelType w:val="hybridMultilevel"/>
    <w:tmpl w:val="513CC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51FE7"/>
    <w:multiLevelType w:val="hybridMultilevel"/>
    <w:tmpl w:val="492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552A3C"/>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D2CA1"/>
    <w:multiLevelType w:val="hybridMultilevel"/>
    <w:tmpl w:val="C666D86A"/>
    <w:lvl w:ilvl="0" w:tplc="6A221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7CBF08D2"/>
    <w:multiLevelType w:val="hybridMultilevel"/>
    <w:tmpl w:val="442E0160"/>
    <w:lvl w:ilvl="0" w:tplc="42F4E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DA45E5"/>
    <w:multiLevelType w:val="hybridMultilevel"/>
    <w:tmpl w:val="2050FC0C"/>
    <w:lvl w:ilvl="0" w:tplc="F46A21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5"/>
  </w:num>
  <w:num w:numId="5">
    <w:abstractNumId w:val="23"/>
  </w:num>
  <w:num w:numId="6">
    <w:abstractNumId w:val="17"/>
  </w:num>
  <w:num w:numId="7">
    <w:abstractNumId w:val="22"/>
  </w:num>
  <w:num w:numId="8">
    <w:abstractNumId w:val="19"/>
  </w:num>
  <w:num w:numId="9">
    <w:abstractNumId w:val="4"/>
  </w:num>
  <w:num w:numId="10">
    <w:abstractNumId w:val="24"/>
  </w:num>
  <w:num w:numId="11">
    <w:abstractNumId w:val="1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13"/>
  </w:num>
  <w:num w:numId="16">
    <w:abstractNumId w:val="5"/>
  </w:num>
  <w:num w:numId="17">
    <w:abstractNumId w:val="8"/>
  </w:num>
  <w:num w:numId="18">
    <w:abstractNumId w:val="21"/>
  </w:num>
  <w:num w:numId="19">
    <w:abstractNumId w:val="9"/>
  </w:num>
  <w:num w:numId="20">
    <w:abstractNumId w:val="18"/>
  </w:num>
  <w:num w:numId="21">
    <w:abstractNumId w:val="28"/>
  </w:num>
  <w:num w:numId="22">
    <w:abstractNumId w:val="1"/>
  </w:num>
  <w:num w:numId="23">
    <w:abstractNumId w:val="14"/>
  </w:num>
  <w:num w:numId="24">
    <w:abstractNumId w:val="26"/>
  </w:num>
  <w:num w:numId="25">
    <w:abstractNumId w:val="3"/>
  </w:num>
  <w:num w:numId="26">
    <w:abstractNumId w:val="25"/>
  </w:num>
  <w:num w:numId="27">
    <w:abstractNumId w:val="20"/>
  </w:num>
  <w:num w:numId="28">
    <w:abstractNumId w:val="16"/>
  </w:num>
  <w:num w:numId="29">
    <w:abstractNumId w:val="7"/>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90"/>
    <w:rsid w:val="00001B9B"/>
    <w:rsid w:val="00004873"/>
    <w:rsid w:val="00005520"/>
    <w:rsid w:val="000067CC"/>
    <w:rsid w:val="00006B15"/>
    <w:rsid w:val="00006FF1"/>
    <w:rsid w:val="000076AF"/>
    <w:rsid w:val="00011DF9"/>
    <w:rsid w:val="000128AF"/>
    <w:rsid w:val="000141F9"/>
    <w:rsid w:val="00016031"/>
    <w:rsid w:val="000171CB"/>
    <w:rsid w:val="00021519"/>
    <w:rsid w:val="00022202"/>
    <w:rsid w:val="000257DA"/>
    <w:rsid w:val="00025F58"/>
    <w:rsid w:val="00027E90"/>
    <w:rsid w:val="000304C0"/>
    <w:rsid w:val="00030FBE"/>
    <w:rsid w:val="00031329"/>
    <w:rsid w:val="00031621"/>
    <w:rsid w:val="00033EB6"/>
    <w:rsid w:val="00037136"/>
    <w:rsid w:val="000377FB"/>
    <w:rsid w:val="000404A3"/>
    <w:rsid w:val="00042165"/>
    <w:rsid w:val="000421E2"/>
    <w:rsid w:val="00042B9D"/>
    <w:rsid w:val="000451EB"/>
    <w:rsid w:val="0004537D"/>
    <w:rsid w:val="000459EE"/>
    <w:rsid w:val="00047A0C"/>
    <w:rsid w:val="00047AA3"/>
    <w:rsid w:val="0005098C"/>
    <w:rsid w:val="00051057"/>
    <w:rsid w:val="00051E04"/>
    <w:rsid w:val="00053D7D"/>
    <w:rsid w:val="00055428"/>
    <w:rsid w:val="0005698C"/>
    <w:rsid w:val="00056B03"/>
    <w:rsid w:val="0005799B"/>
    <w:rsid w:val="00062721"/>
    <w:rsid w:val="0006410F"/>
    <w:rsid w:val="00065776"/>
    <w:rsid w:val="000661FF"/>
    <w:rsid w:val="000670C5"/>
    <w:rsid w:val="000677D0"/>
    <w:rsid w:val="000702A4"/>
    <w:rsid w:val="000721AD"/>
    <w:rsid w:val="00074F4F"/>
    <w:rsid w:val="000772C0"/>
    <w:rsid w:val="000801E1"/>
    <w:rsid w:val="00082445"/>
    <w:rsid w:val="000824A9"/>
    <w:rsid w:val="0008285B"/>
    <w:rsid w:val="0008288F"/>
    <w:rsid w:val="00083DD2"/>
    <w:rsid w:val="000858D3"/>
    <w:rsid w:val="000861BC"/>
    <w:rsid w:val="000865CB"/>
    <w:rsid w:val="000877C3"/>
    <w:rsid w:val="00087E8C"/>
    <w:rsid w:val="00090229"/>
    <w:rsid w:val="00090BDE"/>
    <w:rsid w:val="00091330"/>
    <w:rsid w:val="000921F0"/>
    <w:rsid w:val="00092984"/>
    <w:rsid w:val="000938FC"/>
    <w:rsid w:val="00093A46"/>
    <w:rsid w:val="00095C17"/>
    <w:rsid w:val="00096D82"/>
    <w:rsid w:val="00097981"/>
    <w:rsid w:val="000A2230"/>
    <w:rsid w:val="000A2ACC"/>
    <w:rsid w:val="000A3519"/>
    <w:rsid w:val="000A4614"/>
    <w:rsid w:val="000B0A5A"/>
    <w:rsid w:val="000B18D2"/>
    <w:rsid w:val="000B25E9"/>
    <w:rsid w:val="000B3435"/>
    <w:rsid w:val="000B379D"/>
    <w:rsid w:val="000B3CDA"/>
    <w:rsid w:val="000B426A"/>
    <w:rsid w:val="000B462C"/>
    <w:rsid w:val="000B46B3"/>
    <w:rsid w:val="000B551B"/>
    <w:rsid w:val="000B7602"/>
    <w:rsid w:val="000C151B"/>
    <w:rsid w:val="000C1670"/>
    <w:rsid w:val="000C276F"/>
    <w:rsid w:val="000C2CC2"/>
    <w:rsid w:val="000C3712"/>
    <w:rsid w:val="000C571B"/>
    <w:rsid w:val="000C70DD"/>
    <w:rsid w:val="000C72BC"/>
    <w:rsid w:val="000C7FE7"/>
    <w:rsid w:val="000D1B66"/>
    <w:rsid w:val="000D24A7"/>
    <w:rsid w:val="000D2949"/>
    <w:rsid w:val="000D34AD"/>
    <w:rsid w:val="000D4C14"/>
    <w:rsid w:val="000D5067"/>
    <w:rsid w:val="000D5C72"/>
    <w:rsid w:val="000D6576"/>
    <w:rsid w:val="000D750C"/>
    <w:rsid w:val="000E1983"/>
    <w:rsid w:val="000E37A5"/>
    <w:rsid w:val="000E3C1A"/>
    <w:rsid w:val="000E60B6"/>
    <w:rsid w:val="000E640C"/>
    <w:rsid w:val="000E6E0C"/>
    <w:rsid w:val="000F2A55"/>
    <w:rsid w:val="000F3AAE"/>
    <w:rsid w:val="000F5150"/>
    <w:rsid w:val="000F57D9"/>
    <w:rsid w:val="000F69CC"/>
    <w:rsid w:val="000F7DD8"/>
    <w:rsid w:val="00102A51"/>
    <w:rsid w:val="001039DC"/>
    <w:rsid w:val="0010477B"/>
    <w:rsid w:val="00117D8D"/>
    <w:rsid w:val="001207EF"/>
    <w:rsid w:val="00120E89"/>
    <w:rsid w:val="00120F56"/>
    <w:rsid w:val="001213B6"/>
    <w:rsid w:val="00123FD7"/>
    <w:rsid w:val="0012574C"/>
    <w:rsid w:val="001271C2"/>
    <w:rsid w:val="00127A8C"/>
    <w:rsid w:val="00127CDA"/>
    <w:rsid w:val="00130FE2"/>
    <w:rsid w:val="00131870"/>
    <w:rsid w:val="00131E86"/>
    <w:rsid w:val="0013230F"/>
    <w:rsid w:val="00135F72"/>
    <w:rsid w:val="00136742"/>
    <w:rsid w:val="00137F6B"/>
    <w:rsid w:val="00140303"/>
    <w:rsid w:val="00140B4C"/>
    <w:rsid w:val="00142B9B"/>
    <w:rsid w:val="00147361"/>
    <w:rsid w:val="00151015"/>
    <w:rsid w:val="001515C5"/>
    <w:rsid w:val="00151F28"/>
    <w:rsid w:val="0015264C"/>
    <w:rsid w:val="00153BD0"/>
    <w:rsid w:val="001564FE"/>
    <w:rsid w:val="00160302"/>
    <w:rsid w:val="001608A6"/>
    <w:rsid w:val="00160DD5"/>
    <w:rsid w:val="001619CA"/>
    <w:rsid w:val="0016297F"/>
    <w:rsid w:val="00163113"/>
    <w:rsid w:val="00165C1A"/>
    <w:rsid w:val="00166163"/>
    <w:rsid w:val="00167778"/>
    <w:rsid w:val="001705FD"/>
    <w:rsid w:val="0017385A"/>
    <w:rsid w:val="00175406"/>
    <w:rsid w:val="00175482"/>
    <w:rsid w:val="00176518"/>
    <w:rsid w:val="0017680F"/>
    <w:rsid w:val="00183632"/>
    <w:rsid w:val="00184901"/>
    <w:rsid w:val="00185EFB"/>
    <w:rsid w:val="0019073E"/>
    <w:rsid w:val="00191A5B"/>
    <w:rsid w:val="00194999"/>
    <w:rsid w:val="001950CD"/>
    <w:rsid w:val="001961DA"/>
    <w:rsid w:val="00196AB5"/>
    <w:rsid w:val="00197137"/>
    <w:rsid w:val="001A1046"/>
    <w:rsid w:val="001A104D"/>
    <w:rsid w:val="001A1D88"/>
    <w:rsid w:val="001A2326"/>
    <w:rsid w:val="001A2669"/>
    <w:rsid w:val="001A29E8"/>
    <w:rsid w:val="001A60D5"/>
    <w:rsid w:val="001A6228"/>
    <w:rsid w:val="001B05EF"/>
    <w:rsid w:val="001B43ED"/>
    <w:rsid w:val="001B6101"/>
    <w:rsid w:val="001B6266"/>
    <w:rsid w:val="001B6346"/>
    <w:rsid w:val="001C1284"/>
    <w:rsid w:val="001C1450"/>
    <w:rsid w:val="001C1578"/>
    <w:rsid w:val="001C1EB5"/>
    <w:rsid w:val="001C39B6"/>
    <w:rsid w:val="001C4710"/>
    <w:rsid w:val="001C5AB1"/>
    <w:rsid w:val="001C79AD"/>
    <w:rsid w:val="001D2A38"/>
    <w:rsid w:val="001D2D77"/>
    <w:rsid w:val="001D37AA"/>
    <w:rsid w:val="001D405A"/>
    <w:rsid w:val="001E0D97"/>
    <w:rsid w:val="001E1CB0"/>
    <w:rsid w:val="001E1D5F"/>
    <w:rsid w:val="001E1D7A"/>
    <w:rsid w:val="001E2AA8"/>
    <w:rsid w:val="001E3DF5"/>
    <w:rsid w:val="001F3C33"/>
    <w:rsid w:val="001F6088"/>
    <w:rsid w:val="00201289"/>
    <w:rsid w:val="00202200"/>
    <w:rsid w:val="00204D04"/>
    <w:rsid w:val="00205F52"/>
    <w:rsid w:val="00206A7A"/>
    <w:rsid w:val="00206F6B"/>
    <w:rsid w:val="00211C56"/>
    <w:rsid w:val="00211E70"/>
    <w:rsid w:val="0021205A"/>
    <w:rsid w:val="00216FE1"/>
    <w:rsid w:val="00220D41"/>
    <w:rsid w:val="00221E16"/>
    <w:rsid w:val="00222318"/>
    <w:rsid w:val="00222ADC"/>
    <w:rsid w:val="002246EC"/>
    <w:rsid w:val="002255C5"/>
    <w:rsid w:val="00225857"/>
    <w:rsid w:val="0022589F"/>
    <w:rsid w:val="00226209"/>
    <w:rsid w:val="00226638"/>
    <w:rsid w:val="002271B8"/>
    <w:rsid w:val="002318BF"/>
    <w:rsid w:val="00231A79"/>
    <w:rsid w:val="00233C81"/>
    <w:rsid w:val="00237FF7"/>
    <w:rsid w:val="00240477"/>
    <w:rsid w:val="00240E72"/>
    <w:rsid w:val="00242650"/>
    <w:rsid w:val="00242E03"/>
    <w:rsid w:val="00244250"/>
    <w:rsid w:val="00244812"/>
    <w:rsid w:val="00246625"/>
    <w:rsid w:val="00250B38"/>
    <w:rsid w:val="002513FF"/>
    <w:rsid w:val="00251E62"/>
    <w:rsid w:val="00253351"/>
    <w:rsid w:val="002556D8"/>
    <w:rsid w:val="002560B4"/>
    <w:rsid w:val="002606B1"/>
    <w:rsid w:val="00261A88"/>
    <w:rsid w:val="002621D2"/>
    <w:rsid w:val="002623A5"/>
    <w:rsid w:val="00263614"/>
    <w:rsid w:val="002640A3"/>
    <w:rsid w:val="00265058"/>
    <w:rsid w:val="00265121"/>
    <w:rsid w:val="00265929"/>
    <w:rsid w:val="00267EF6"/>
    <w:rsid w:val="00275615"/>
    <w:rsid w:val="00276789"/>
    <w:rsid w:val="00276C8B"/>
    <w:rsid w:val="0028007F"/>
    <w:rsid w:val="002849E2"/>
    <w:rsid w:val="002854AD"/>
    <w:rsid w:val="0028555B"/>
    <w:rsid w:val="00286AC9"/>
    <w:rsid w:val="00287C4F"/>
    <w:rsid w:val="00290F36"/>
    <w:rsid w:val="0029101C"/>
    <w:rsid w:val="00291648"/>
    <w:rsid w:val="0029302B"/>
    <w:rsid w:val="002945F7"/>
    <w:rsid w:val="00295592"/>
    <w:rsid w:val="00295D82"/>
    <w:rsid w:val="002A050F"/>
    <w:rsid w:val="002A0918"/>
    <w:rsid w:val="002A0A95"/>
    <w:rsid w:val="002A0ABA"/>
    <w:rsid w:val="002A39EF"/>
    <w:rsid w:val="002A57A1"/>
    <w:rsid w:val="002A60FF"/>
    <w:rsid w:val="002B1024"/>
    <w:rsid w:val="002C039A"/>
    <w:rsid w:val="002C0F9F"/>
    <w:rsid w:val="002C22E7"/>
    <w:rsid w:val="002C2F0F"/>
    <w:rsid w:val="002C482B"/>
    <w:rsid w:val="002C4DA8"/>
    <w:rsid w:val="002C6E4D"/>
    <w:rsid w:val="002C71D1"/>
    <w:rsid w:val="002C7CC9"/>
    <w:rsid w:val="002D3751"/>
    <w:rsid w:val="002D3A6B"/>
    <w:rsid w:val="002D3D5C"/>
    <w:rsid w:val="002D40BC"/>
    <w:rsid w:val="002E057E"/>
    <w:rsid w:val="002E1957"/>
    <w:rsid w:val="002E19B7"/>
    <w:rsid w:val="002E20D0"/>
    <w:rsid w:val="002E3BB4"/>
    <w:rsid w:val="002E4832"/>
    <w:rsid w:val="002E5DCE"/>
    <w:rsid w:val="002E5DF5"/>
    <w:rsid w:val="002E6DFA"/>
    <w:rsid w:val="002F149E"/>
    <w:rsid w:val="002F5F14"/>
    <w:rsid w:val="002F6012"/>
    <w:rsid w:val="003030B6"/>
    <w:rsid w:val="00303DE3"/>
    <w:rsid w:val="0030402D"/>
    <w:rsid w:val="003043CE"/>
    <w:rsid w:val="00304814"/>
    <w:rsid w:val="003053A1"/>
    <w:rsid w:val="00305409"/>
    <w:rsid w:val="003079AE"/>
    <w:rsid w:val="00310A1E"/>
    <w:rsid w:val="00311019"/>
    <w:rsid w:val="0031252B"/>
    <w:rsid w:val="003129B4"/>
    <w:rsid w:val="00312A2E"/>
    <w:rsid w:val="00314641"/>
    <w:rsid w:val="003150B9"/>
    <w:rsid w:val="0031558E"/>
    <w:rsid w:val="003167C5"/>
    <w:rsid w:val="0031690E"/>
    <w:rsid w:val="00317573"/>
    <w:rsid w:val="00317BA1"/>
    <w:rsid w:val="0032233C"/>
    <w:rsid w:val="003224C5"/>
    <w:rsid w:val="00324E66"/>
    <w:rsid w:val="00325DBC"/>
    <w:rsid w:val="0032759E"/>
    <w:rsid w:val="00327811"/>
    <w:rsid w:val="00333B32"/>
    <w:rsid w:val="00333FAD"/>
    <w:rsid w:val="0033615E"/>
    <w:rsid w:val="00342664"/>
    <w:rsid w:val="00344456"/>
    <w:rsid w:val="00344EC6"/>
    <w:rsid w:val="00345F94"/>
    <w:rsid w:val="00347A02"/>
    <w:rsid w:val="00350261"/>
    <w:rsid w:val="003509FB"/>
    <w:rsid w:val="00350E8C"/>
    <w:rsid w:val="003536D2"/>
    <w:rsid w:val="00354ECC"/>
    <w:rsid w:val="003559E6"/>
    <w:rsid w:val="003607E1"/>
    <w:rsid w:val="003620CB"/>
    <w:rsid w:val="00363380"/>
    <w:rsid w:val="00363559"/>
    <w:rsid w:val="00363C56"/>
    <w:rsid w:val="00364BA3"/>
    <w:rsid w:val="00366CB3"/>
    <w:rsid w:val="003759BA"/>
    <w:rsid w:val="003775F7"/>
    <w:rsid w:val="00381C60"/>
    <w:rsid w:val="00381EF7"/>
    <w:rsid w:val="0039122A"/>
    <w:rsid w:val="00391777"/>
    <w:rsid w:val="00391CA4"/>
    <w:rsid w:val="00395CAD"/>
    <w:rsid w:val="003964C2"/>
    <w:rsid w:val="003A13EA"/>
    <w:rsid w:val="003A1BB4"/>
    <w:rsid w:val="003A1C36"/>
    <w:rsid w:val="003A664D"/>
    <w:rsid w:val="003B0132"/>
    <w:rsid w:val="003B03B9"/>
    <w:rsid w:val="003B1E76"/>
    <w:rsid w:val="003B22E3"/>
    <w:rsid w:val="003B3B4B"/>
    <w:rsid w:val="003B441D"/>
    <w:rsid w:val="003B5870"/>
    <w:rsid w:val="003B7ACC"/>
    <w:rsid w:val="003B7AD6"/>
    <w:rsid w:val="003C1278"/>
    <w:rsid w:val="003C47E9"/>
    <w:rsid w:val="003C4855"/>
    <w:rsid w:val="003C565F"/>
    <w:rsid w:val="003C5AD8"/>
    <w:rsid w:val="003C62D4"/>
    <w:rsid w:val="003D07C5"/>
    <w:rsid w:val="003D0AC5"/>
    <w:rsid w:val="003D1C3D"/>
    <w:rsid w:val="003D5B93"/>
    <w:rsid w:val="003D6AD4"/>
    <w:rsid w:val="003D6F68"/>
    <w:rsid w:val="003D727B"/>
    <w:rsid w:val="003E03DF"/>
    <w:rsid w:val="003E0D5D"/>
    <w:rsid w:val="003E3BB4"/>
    <w:rsid w:val="003E47A2"/>
    <w:rsid w:val="003E5A58"/>
    <w:rsid w:val="003E6E56"/>
    <w:rsid w:val="003E7CA4"/>
    <w:rsid w:val="003F4E4C"/>
    <w:rsid w:val="003F54E7"/>
    <w:rsid w:val="003F7566"/>
    <w:rsid w:val="0040328A"/>
    <w:rsid w:val="0040598F"/>
    <w:rsid w:val="00406AA5"/>
    <w:rsid w:val="0041098B"/>
    <w:rsid w:val="004147D0"/>
    <w:rsid w:val="00420D81"/>
    <w:rsid w:val="00424AE3"/>
    <w:rsid w:val="00431BCB"/>
    <w:rsid w:val="004320AB"/>
    <w:rsid w:val="004328BB"/>
    <w:rsid w:val="004330CE"/>
    <w:rsid w:val="00435779"/>
    <w:rsid w:val="00437D49"/>
    <w:rsid w:val="00445201"/>
    <w:rsid w:val="00445669"/>
    <w:rsid w:val="004465BC"/>
    <w:rsid w:val="0045128B"/>
    <w:rsid w:val="004524FF"/>
    <w:rsid w:val="004535F0"/>
    <w:rsid w:val="004539F7"/>
    <w:rsid w:val="00454070"/>
    <w:rsid w:val="00455396"/>
    <w:rsid w:val="0045795E"/>
    <w:rsid w:val="00460D14"/>
    <w:rsid w:val="004616C3"/>
    <w:rsid w:val="00462164"/>
    <w:rsid w:val="00463F40"/>
    <w:rsid w:val="004651E6"/>
    <w:rsid w:val="00467DDD"/>
    <w:rsid w:val="00471D84"/>
    <w:rsid w:val="00472C62"/>
    <w:rsid w:val="00472D14"/>
    <w:rsid w:val="00474C04"/>
    <w:rsid w:val="0047678A"/>
    <w:rsid w:val="0047692C"/>
    <w:rsid w:val="00477C77"/>
    <w:rsid w:val="00481193"/>
    <w:rsid w:val="00481C8F"/>
    <w:rsid w:val="00484532"/>
    <w:rsid w:val="00484D97"/>
    <w:rsid w:val="00485439"/>
    <w:rsid w:val="004863D2"/>
    <w:rsid w:val="00496374"/>
    <w:rsid w:val="004A05AB"/>
    <w:rsid w:val="004A1405"/>
    <w:rsid w:val="004A2ABB"/>
    <w:rsid w:val="004B36D8"/>
    <w:rsid w:val="004B395D"/>
    <w:rsid w:val="004B7E56"/>
    <w:rsid w:val="004C03A9"/>
    <w:rsid w:val="004C0BB1"/>
    <w:rsid w:val="004C57C3"/>
    <w:rsid w:val="004C645E"/>
    <w:rsid w:val="004C736A"/>
    <w:rsid w:val="004D1326"/>
    <w:rsid w:val="004D2D21"/>
    <w:rsid w:val="004D386C"/>
    <w:rsid w:val="004D42A5"/>
    <w:rsid w:val="004D5AB8"/>
    <w:rsid w:val="004D60EF"/>
    <w:rsid w:val="004D71AF"/>
    <w:rsid w:val="004E175C"/>
    <w:rsid w:val="004E1B78"/>
    <w:rsid w:val="004E213D"/>
    <w:rsid w:val="004E2F86"/>
    <w:rsid w:val="004E379A"/>
    <w:rsid w:val="004E3A63"/>
    <w:rsid w:val="004E5A2D"/>
    <w:rsid w:val="004E7E43"/>
    <w:rsid w:val="004F0E44"/>
    <w:rsid w:val="004F2125"/>
    <w:rsid w:val="004F2779"/>
    <w:rsid w:val="004F2F5C"/>
    <w:rsid w:val="004F3A0B"/>
    <w:rsid w:val="004F4E6F"/>
    <w:rsid w:val="004F5C22"/>
    <w:rsid w:val="004F67F0"/>
    <w:rsid w:val="004F6D07"/>
    <w:rsid w:val="004F7D98"/>
    <w:rsid w:val="0050033E"/>
    <w:rsid w:val="0050463C"/>
    <w:rsid w:val="00505F45"/>
    <w:rsid w:val="00506F7D"/>
    <w:rsid w:val="005114CD"/>
    <w:rsid w:val="00511FEA"/>
    <w:rsid w:val="00515C18"/>
    <w:rsid w:val="0051782F"/>
    <w:rsid w:val="00517C16"/>
    <w:rsid w:val="005200DF"/>
    <w:rsid w:val="00520433"/>
    <w:rsid w:val="005207F1"/>
    <w:rsid w:val="00521952"/>
    <w:rsid w:val="00522A4C"/>
    <w:rsid w:val="00523188"/>
    <w:rsid w:val="00523CEE"/>
    <w:rsid w:val="00523FA1"/>
    <w:rsid w:val="00524D7E"/>
    <w:rsid w:val="00525A3D"/>
    <w:rsid w:val="00527A77"/>
    <w:rsid w:val="005316E6"/>
    <w:rsid w:val="00532FD6"/>
    <w:rsid w:val="00534189"/>
    <w:rsid w:val="005350CF"/>
    <w:rsid w:val="00535F33"/>
    <w:rsid w:val="00536F7F"/>
    <w:rsid w:val="00536FB0"/>
    <w:rsid w:val="00537608"/>
    <w:rsid w:val="00542259"/>
    <w:rsid w:val="00542748"/>
    <w:rsid w:val="005438A7"/>
    <w:rsid w:val="00544743"/>
    <w:rsid w:val="00547ED2"/>
    <w:rsid w:val="00551599"/>
    <w:rsid w:val="00552600"/>
    <w:rsid w:val="00557EDB"/>
    <w:rsid w:val="0056134A"/>
    <w:rsid w:val="00562CB7"/>
    <w:rsid w:val="0056618E"/>
    <w:rsid w:val="005670C5"/>
    <w:rsid w:val="005721A9"/>
    <w:rsid w:val="005723E5"/>
    <w:rsid w:val="00577062"/>
    <w:rsid w:val="005774E6"/>
    <w:rsid w:val="005777A6"/>
    <w:rsid w:val="005828AC"/>
    <w:rsid w:val="00584EE1"/>
    <w:rsid w:val="005850DD"/>
    <w:rsid w:val="00585C7C"/>
    <w:rsid w:val="005873CD"/>
    <w:rsid w:val="0059176B"/>
    <w:rsid w:val="0059543A"/>
    <w:rsid w:val="0059566B"/>
    <w:rsid w:val="005959A4"/>
    <w:rsid w:val="00596494"/>
    <w:rsid w:val="00596AEF"/>
    <w:rsid w:val="005A03C2"/>
    <w:rsid w:val="005A16BD"/>
    <w:rsid w:val="005A1B33"/>
    <w:rsid w:val="005A30DB"/>
    <w:rsid w:val="005A3EB9"/>
    <w:rsid w:val="005A48C1"/>
    <w:rsid w:val="005A5639"/>
    <w:rsid w:val="005A5C7A"/>
    <w:rsid w:val="005A6C74"/>
    <w:rsid w:val="005A6E38"/>
    <w:rsid w:val="005A7355"/>
    <w:rsid w:val="005A755D"/>
    <w:rsid w:val="005A7B7E"/>
    <w:rsid w:val="005B234B"/>
    <w:rsid w:val="005B2DB9"/>
    <w:rsid w:val="005B4C4E"/>
    <w:rsid w:val="005B5EE2"/>
    <w:rsid w:val="005B5FC8"/>
    <w:rsid w:val="005C03C4"/>
    <w:rsid w:val="005C2917"/>
    <w:rsid w:val="005C5B46"/>
    <w:rsid w:val="005C5B78"/>
    <w:rsid w:val="005C6710"/>
    <w:rsid w:val="005C6BBD"/>
    <w:rsid w:val="005C6BD7"/>
    <w:rsid w:val="005C6DBA"/>
    <w:rsid w:val="005D227F"/>
    <w:rsid w:val="005D3A92"/>
    <w:rsid w:val="005D476D"/>
    <w:rsid w:val="005D7EE2"/>
    <w:rsid w:val="005E0D54"/>
    <w:rsid w:val="005E182D"/>
    <w:rsid w:val="005E24D4"/>
    <w:rsid w:val="005E3916"/>
    <w:rsid w:val="005E416F"/>
    <w:rsid w:val="005E6295"/>
    <w:rsid w:val="005E718B"/>
    <w:rsid w:val="005F0A3A"/>
    <w:rsid w:val="005F19CB"/>
    <w:rsid w:val="005F3EE3"/>
    <w:rsid w:val="005F5336"/>
    <w:rsid w:val="005F6B54"/>
    <w:rsid w:val="005F7E7E"/>
    <w:rsid w:val="0060195C"/>
    <w:rsid w:val="00602041"/>
    <w:rsid w:val="006030D7"/>
    <w:rsid w:val="006033F0"/>
    <w:rsid w:val="0060452A"/>
    <w:rsid w:val="00604571"/>
    <w:rsid w:val="00604F12"/>
    <w:rsid w:val="006050CD"/>
    <w:rsid w:val="00605155"/>
    <w:rsid w:val="00606275"/>
    <w:rsid w:val="0060640E"/>
    <w:rsid w:val="0060707A"/>
    <w:rsid w:val="0060749F"/>
    <w:rsid w:val="006128AC"/>
    <w:rsid w:val="00614F0F"/>
    <w:rsid w:val="00616CD0"/>
    <w:rsid w:val="00622387"/>
    <w:rsid w:val="00625F5A"/>
    <w:rsid w:val="00625F6C"/>
    <w:rsid w:val="00626C56"/>
    <w:rsid w:val="00626F04"/>
    <w:rsid w:val="006270E0"/>
    <w:rsid w:val="00627ABE"/>
    <w:rsid w:val="00632015"/>
    <w:rsid w:val="00633140"/>
    <w:rsid w:val="0063315F"/>
    <w:rsid w:val="00634F89"/>
    <w:rsid w:val="006400DC"/>
    <w:rsid w:val="006431A4"/>
    <w:rsid w:val="0064328C"/>
    <w:rsid w:val="0064473B"/>
    <w:rsid w:val="006447BF"/>
    <w:rsid w:val="0064673F"/>
    <w:rsid w:val="00647562"/>
    <w:rsid w:val="006512B9"/>
    <w:rsid w:val="006539A5"/>
    <w:rsid w:val="00653A03"/>
    <w:rsid w:val="0065408C"/>
    <w:rsid w:val="00654EBA"/>
    <w:rsid w:val="006570A0"/>
    <w:rsid w:val="006573A6"/>
    <w:rsid w:val="00660D29"/>
    <w:rsid w:val="00661791"/>
    <w:rsid w:val="00661C0F"/>
    <w:rsid w:val="006628B0"/>
    <w:rsid w:val="00662F33"/>
    <w:rsid w:val="006636DF"/>
    <w:rsid w:val="00663B4B"/>
    <w:rsid w:val="0066485C"/>
    <w:rsid w:val="00664B91"/>
    <w:rsid w:val="0066714C"/>
    <w:rsid w:val="00667C82"/>
    <w:rsid w:val="00667EAB"/>
    <w:rsid w:val="00672F7B"/>
    <w:rsid w:val="006730AC"/>
    <w:rsid w:val="006744DC"/>
    <w:rsid w:val="006759BF"/>
    <w:rsid w:val="006777AD"/>
    <w:rsid w:val="00680D6C"/>
    <w:rsid w:val="00684176"/>
    <w:rsid w:val="006870C8"/>
    <w:rsid w:val="00687264"/>
    <w:rsid w:val="00687B20"/>
    <w:rsid w:val="00690254"/>
    <w:rsid w:val="006908C9"/>
    <w:rsid w:val="00692F01"/>
    <w:rsid w:val="00694942"/>
    <w:rsid w:val="00696002"/>
    <w:rsid w:val="006A1076"/>
    <w:rsid w:val="006A2C4E"/>
    <w:rsid w:val="006A41EE"/>
    <w:rsid w:val="006A4F35"/>
    <w:rsid w:val="006B1481"/>
    <w:rsid w:val="006B2624"/>
    <w:rsid w:val="006B2DDB"/>
    <w:rsid w:val="006B3B37"/>
    <w:rsid w:val="006B5474"/>
    <w:rsid w:val="006B5893"/>
    <w:rsid w:val="006B6503"/>
    <w:rsid w:val="006B6D4A"/>
    <w:rsid w:val="006B791E"/>
    <w:rsid w:val="006B7E83"/>
    <w:rsid w:val="006C0A64"/>
    <w:rsid w:val="006C1297"/>
    <w:rsid w:val="006C191B"/>
    <w:rsid w:val="006C22F4"/>
    <w:rsid w:val="006C24A4"/>
    <w:rsid w:val="006C2B86"/>
    <w:rsid w:val="006C310F"/>
    <w:rsid w:val="006C454E"/>
    <w:rsid w:val="006C531D"/>
    <w:rsid w:val="006C69EE"/>
    <w:rsid w:val="006C6EA9"/>
    <w:rsid w:val="006C71AD"/>
    <w:rsid w:val="006D11F7"/>
    <w:rsid w:val="006D4605"/>
    <w:rsid w:val="006D59E3"/>
    <w:rsid w:val="006D654A"/>
    <w:rsid w:val="006D68F7"/>
    <w:rsid w:val="006D6E84"/>
    <w:rsid w:val="006E06C2"/>
    <w:rsid w:val="006E2BDC"/>
    <w:rsid w:val="006E6EEE"/>
    <w:rsid w:val="006F0680"/>
    <w:rsid w:val="006F1B61"/>
    <w:rsid w:val="006F2B01"/>
    <w:rsid w:val="006F399A"/>
    <w:rsid w:val="006F4CF9"/>
    <w:rsid w:val="00703AC0"/>
    <w:rsid w:val="00707156"/>
    <w:rsid w:val="00713E84"/>
    <w:rsid w:val="0071497C"/>
    <w:rsid w:val="007177DE"/>
    <w:rsid w:val="00723D43"/>
    <w:rsid w:val="0072555A"/>
    <w:rsid w:val="00725DE4"/>
    <w:rsid w:val="007306D2"/>
    <w:rsid w:val="00732548"/>
    <w:rsid w:val="00734F6D"/>
    <w:rsid w:val="007371CE"/>
    <w:rsid w:val="00737A94"/>
    <w:rsid w:val="00740E3A"/>
    <w:rsid w:val="00744203"/>
    <w:rsid w:val="00745368"/>
    <w:rsid w:val="00746A61"/>
    <w:rsid w:val="00746B6B"/>
    <w:rsid w:val="007472FE"/>
    <w:rsid w:val="0075348B"/>
    <w:rsid w:val="00753A08"/>
    <w:rsid w:val="0075417B"/>
    <w:rsid w:val="007564A1"/>
    <w:rsid w:val="007566AC"/>
    <w:rsid w:val="00756E39"/>
    <w:rsid w:val="00757B25"/>
    <w:rsid w:val="00757FFE"/>
    <w:rsid w:val="00767898"/>
    <w:rsid w:val="00773215"/>
    <w:rsid w:val="00776BBC"/>
    <w:rsid w:val="00776EC3"/>
    <w:rsid w:val="00780E82"/>
    <w:rsid w:val="00782582"/>
    <w:rsid w:val="007842B5"/>
    <w:rsid w:val="0078520A"/>
    <w:rsid w:val="007875B8"/>
    <w:rsid w:val="007917EC"/>
    <w:rsid w:val="00791F67"/>
    <w:rsid w:val="00793C3D"/>
    <w:rsid w:val="00794687"/>
    <w:rsid w:val="00797DD1"/>
    <w:rsid w:val="007A11B8"/>
    <w:rsid w:val="007A1A3B"/>
    <w:rsid w:val="007A4308"/>
    <w:rsid w:val="007A4833"/>
    <w:rsid w:val="007A574B"/>
    <w:rsid w:val="007A7E0A"/>
    <w:rsid w:val="007B0988"/>
    <w:rsid w:val="007B2613"/>
    <w:rsid w:val="007B486F"/>
    <w:rsid w:val="007B67E5"/>
    <w:rsid w:val="007C079E"/>
    <w:rsid w:val="007C088F"/>
    <w:rsid w:val="007C089D"/>
    <w:rsid w:val="007C1350"/>
    <w:rsid w:val="007C1A39"/>
    <w:rsid w:val="007C23E3"/>
    <w:rsid w:val="007C4533"/>
    <w:rsid w:val="007C4BFF"/>
    <w:rsid w:val="007C4FDD"/>
    <w:rsid w:val="007C510E"/>
    <w:rsid w:val="007C78A1"/>
    <w:rsid w:val="007D0319"/>
    <w:rsid w:val="007D132C"/>
    <w:rsid w:val="007D1A93"/>
    <w:rsid w:val="007D3921"/>
    <w:rsid w:val="007D63B4"/>
    <w:rsid w:val="007E0ACD"/>
    <w:rsid w:val="007E45CB"/>
    <w:rsid w:val="007E5B7F"/>
    <w:rsid w:val="007E75A1"/>
    <w:rsid w:val="007E7EE7"/>
    <w:rsid w:val="007F3BB7"/>
    <w:rsid w:val="007F5D1A"/>
    <w:rsid w:val="007F63C0"/>
    <w:rsid w:val="007F7967"/>
    <w:rsid w:val="008013B5"/>
    <w:rsid w:val="0080343E"/>
    <w:rsid w:val="00805A7E"/>
    <w:rsid w:val="008107E3"/>
    <w:rsid w:val="00811ABB"/>
    <w:rsid w:val="0081375C"/>
    <w:rsid w:val="008145C1"/>
    <w:rsid w:val="00815400"/>
    <w:rsid w:val="008157EC"/>
    <w:rsid w:val="00815B54"/>
    <w:rsid w:val="008207F0"/>
    <w:rsid w:val="00821117"/>
    <w:rsid w:val="00822142"/>
    <w:rsid w:val="00822A39"/>
    <w:rsid w:val="00822C55"/>
    <w:rsid w:val="00824C6E"/>
    <w:rsid w:val="00825133"/>
    <w:rsid w:val="008252FA"/>
    <w:rsid w:val="008263C2"/>
    <w:rsid w:val="00826967"/>
    <w:rsid w:val="008309EF"/>
    <w:rsid w:val="008317BA"/>
    <w:rsid w:val="00831F4F"/>
    <w:rsid w:val="00835094"/>
    <w:rsid w:val="008353FA"/>
    <w:rsid w:val="00842B83"/>
    <w:rsid w:val="0084358B"/>
    <w:rsid w:val="00843B51"/>
    <w:rsid w:val="008440C3"/>
    <w:rsid w:val="00844330"/>
    <w:rsid w:val="008445A4"/>
    <w:rsid w:val="00844D5F"/>
    <w:rsid w:val="00844E07"/>
    <w:rsid w:val="00845077"/>
    <w:rsid w:val="00846955"/>
    <w:rsid w:val="00850BB9"/>
    <w:rsid w:val="00851F09"/>
    <w:rsid w:val="00853509"/>
    <w:rsid w:val="008566C1"/>
    <w:rsid w:val="00857E61"/>
    <w:rsid w:val="00860658"/>
    <w:rsid w:val="00860892"/>
    <w:rsid w:val="00862D49"/>
    <w:rsid w:val="008640BA"/>
    <w:rsid w:val="00864110"/>
    <w:rsid w:val="00864567"/>
    <w:rsid w:val="00867E7D"/>
    <w:rsid w:val="008726A9"/>
    <w:rsid w:val="00874F09"/>
    <w:rsid w:val="008761A6"/>
    <w:rsid w:val="00876600"/>
    <w:rsid w:val="00876D4D"/>
    <w:rsid w:val="00877F38"/>
    <w:rsid w:val="00883BA6"/>
    <w:rsid w:val="00883FC1"/>
    <w:rsid w:val="00884436"/>
    <w:rsid w:val="008844D2"/>
    <w:rsid w:val="008873BF"/>
    <w:rsid w:val="00890D45"/>
    <w:rsid w:val="00891108"/>
    <w:rsid w:val="008912A8"/>
    <w:rsid w:val="00895B02"/>
    <w:rsid w:val="008A02BC"/>
    <w:rsid w:val="008A249B"/>
    <w:rsid w:val="008A3652"/>
    <w:rsid w:val="008B0FC6"/>
    <w:rsid w:val="008B4790"/>
    <w:rsid w:val="008B5646"/>
    <w:rsid w:val="008B6567"/>
    <w:rsid w:val="008B6CB9"/>
    <w:rsid w:val="008B73EC"/>
    <w:rsid w:val="008C0365"/>
    <w:rsid w:val="008C0BC8"/>
    <w:rsid w:val="008C1317"/>
    <w:rsid w:val="008C653A"/>
    <w:rsid w:val="008C6AB9"/>
    <w:rsid w:val="008C7489"/>
    <w:rsid w:val="008D10C5"/>
    <w:rsid w:val="008D407B"/>
    <w:rsid w:val="008D4C6D"/>
    <w:rsid w:val="008D654E"/>
    <w:rsid w:val="008D70AF"/>
    <w:rsid w:val="008D7FD1"/>
    <w:rsid w:val="008E0043"/>
    <w:rsid w:val="008E009E"/>
    <w:rsid w:val="008E0180"/>
    <w:rsid w:val="008E0F23"/>
    <w:rsid w:val="008E4150"/>
    <w:rsid w:val="008E4356"/>
    <w:rsid w:val="008E5C52"/>
    <w:rsid w:val="008E6292"/>
    <w:rsid w:val="008F0A58"/>
    <w:rsid w:val="008F2AAB"/>
    <w:rsid w:val="008F2E1C"/>
    <w:rsid w:val="008F4933"/>
    <w:rsid w:val="008F4FD4"/>
    <w:rsid w:val="008F54A8"/>
    <w:rsid w:val="008F64DB"/>
    <w:rsid w:val="009015DA"/>
    <w:rsid w:val="00901C5F"/>
    <w:rsid w:val="00902FA1"/>
    <w:rsid w:val="00907254"/>
    <w:rsid w:val="009112E8"/>
    <w:rsid w:val="009116EB"/>
    <w:rsid w:val="009142C9"/>
    <w:rsid w:val="00914AE7"/>
    <w:rsid w:val="00916ECF"/>
    <w:rsid w:val="00920D87"/>
    <w:rsid w:val="009228F0"/>
    <w:rsid w:val="009244B6"/>
    <w:rsid w:val="0092495E"/>
    <w:rsid w:val="009311F6"/>
    <w:rsid w:val="00933C99"/>
    <w:rsid w:val="00933E0B"/>
    <w:rsid w:val="0093740C"/>
    <w:rsid w:val="00940C70"/>
    <w:rsid w:val="00941654"/>
    <w:rsid w:val="00944CD1"/>
    <w:rsid w:val="00947748"/>
    <w:rsid w:val="00947A69"/>
    <w:rsid w:val="00947E9B"/>
    <w:rsid w:val="0095448F"/>
    <w:rsid w:val="009554B8"/>
    <w:rsid w:val="00956959"/>
    <w:rsid w:val="009571E6"/>
    <w:rsid w:val="00960C27"/>
    <w:rsid w:val="00964788"/>
    <w:rsid w:val="0096541B"/>
    <w:rsid w:val="00965590"/>
    <w:rsid w:val="00970191"/>
    <w:rsid w:val="0097185A"/>
    <w:rsid w:val="00971C4F"/>
    <w:rsid w:val="009731AC"/>
    <w:rsid w:val="00973B4E"/>
    <w:rsid w:val="00976EB4"/>
    <w:rsid w:val="00980FA5"/>
    <w:rsid w:val="009810CE"/>
    <w:rsid w:val="009820D2"/>
    <w:rsid w:val="009839C2"/>
    <w:rsid w:val="009842FA"/>
    <w:rsid w:val="009875F2"/>
    <w:rsid w:val="00987726"/>
    <w:rsid w:val="00990627"/>
    <w:rsid w:val="00991321"/>
    <w:rsid w:val="00992045"/>
    <w:rsid w:val="009921A0"/>
    <w:rsid w:val="009930E0"/>
    <w:rsid w:val="009936E2"/>
    <w:rsid w:val="00993DCB"/>
    <w:rsid w:val="00994016"/>
    <w:rsid w:val="009976FB"/>
    <w:rsid w:val="00997ECF"/>
    <w:rsid w:val="009A2EB9"/>
    <w:rsid w:val="009A6888"/>
    <w:rsid w:val="009A797D"/>
    <w:rsid w:val="009B0760"/>
    <w:rsid w:val="009B287E"/>
    <w:rsid w:val="009B3D45"/>
    <w:rsid w:val="009B4811"/>
    <w:rsid w:val="009B4CA2"/>
    <w:rsid w:val="009B63E5"/>
    <w:rsid w:val="009B697C"/>
    <w:rsid w:val="009B70AF"/>
    <w:rsid w:val="009C0A39"/>
    <w:rsid w:val="009C0CD0"/>
    <w:rsid w:val="009C1E65"/>
    <w:rsid w:val="009C278D"/>
    <w:rsid w:val="009C2B4D"/>
    <w:rsid w:val="009C3310"/>
    <w:rsid w:val="009C33F2"/>
    <w:rsid w:val="009C4744"/>
    <w:rsid w:val="009C59E0"/>
    <w:rsid w:val="009C5F03"/>
    <w:rsid w:val="009C666D"/>
    <w:rsid w:val="009D1ED7"/>
    <w:rsid w:val="009D204E"/>
    <w:rsid w:val="009D5691"/>
    <w:rsid w:val="009D5CA4"/>
    <w:rsid w:val="009E09DE"/>
    <w:rsid w:val="009E2ACA"/>
    <w:rsid w:val="009E7E7A"/>
    <w:rsid w:val="009F0E48"/>
    <w:rsid w:val="009F1ADC"/>
    <w:rsid w:val="009F5045"/>
    <w:rsid w:val="009F6C80"/>
    <w:rsid w:val="009F6EC3"/>
    <w:rsid w:val="00A00D60"/>
    <w:rsid w:val="00A02074"/>
    <w:rsid w:val="00A022D2"/>
    <w:rsid w:val="00A03784"/>
    <w:rsid w:val="00A112CF"/>
    <w:rsid w:val="00A12513"/>
    <w:rsid w:val="00A13C18"/>
    <w:rsid w:val="00A13F51"/>
    <w:rsid w:val="00A13F7B"/>
    <w:rsid w:val="00A143D2"/>
    <w:rsid w:val="00A22E3C"/>
    <w:rsid w:val="00A232F4"/>
    <w:rsid w:val="00A24955"/>
    <w:rsid w:val="00A25B2A"/>
    <w:rsid w:val="00A26B92"/>
    <w:rsid w:val="00A32286"/>
    <w:rsid w:val="00A324E3"/>
    <w:rsid w:val="00A32E8B"/>
    <w:rsid w:val="00A35D66"/>
    <w:rsid w:val="00A370A2"/>
    <w:rsid w:val="00A37817"/>
    <w:rsid w:val="00A41195"/>
    <w:rsid w:val="00A41EC7"/>
    <w:rsid w:val="00A4531A"/>
    <w:rsid w:val="00A46879"/>
    <w:rsid w:val="00A46EBF"/>
    <w:rsid w:val="00A4714D"/>
    <w:rsid w:val="00A55603"/>
    <w:rsid w:val="00A634D3"/>
    <w:rsid w:val="00A638AD"/>
    <w:rsid w:val="00A63C82"/>
    <w:rsid w:val="00A64E5C"/>
    <w:rsid w:val="00A65461"/>
    <w:rsid w:val="00A70AC1"/>
    <w:rsid w:val="00A71AD7"/>
    <w:rsid w:val="00A73A91"/>
    <w:rsid w:val="00A74177"/>
    <w:rsid w:val="00A74472"/>
    <w:rsid w:val="00A753DD"/>
    <w:rsid w:val="00A75717"/>
    <w:rsid w:val="00A76D20"/>
    <w:rsid w:val="00A81BDF"/>
    <w:rsid w:val="00A83565"/>
    <w:rsid w:val="00A84748"/>
    <w:rsid w:val="00A84C2A"/>
    <w:rsid w:val="00A85AAB"/>
    <w:rsid w:val="00A870DF"/>
    <w:rsid w:val="00A90B1E"/>
    <w:rsid w:val="00A90DDD"/>
    <w:rsid w:val="00A94D29"/>
    <w:rsid w:val="00A97373"/>
    <w:rsid w:val="00A97992"/>
    <w:rsid w:val="00AA151E"/>
    <w:rsid w:val="00AA2E8D"/>
    <w:rsid w:val="00AA4BD2"/>
    <w:rsid w:val="00AA5221"/>
    <w:rsid w:val="00AB3690"/>
    <w:rsid w:val="00AB4B3B"/>
    <w:rsid w:val="00AB4D4F"/>
    <w:rsid w:val="00AB4F1A"/>
    <w:rsid w:val="00AC183B"/>
    <w:rsid w:val="00AC48EC"/>
    <w:rsid w:val="00AC629F"/>
    <w:rsid w:val="00AC6395"/>
    <w:rsid w:val="00AC74A6"/>
    <w:rsid w:val="00AD200C"/>
    <w:rsid w:val="00AD268F"/>
    <w:rsid w:val="00AD3312"/>
    <w:rsid w:val="00AD4C9B"/>
    <w:rsid w:val="00AD50E5"/>
    <w:rsid w:val="00AD5CF0"/>
    <w:rsid w:val="00AD5E64"/>
    <w:rsid w:val="00AD7A96"/>
    <w:rsid w:val="00AE05D0"/>
    <w:rsid w:val="00AE10CF"/>
    <w:rsid w:val="00AE1D1C"/>
    <w:rsid w:val="00AE273E"/>
    <w:rsid w:val="00AE2AEC"/>
    <w:rsid w:val="00AE36A3"/>
    <w:rsid w:val="00AE4342"/>
    <w:rsid w:val="00AE47B3"/>
    <w:rsid w:val="00AE51B6"/>
    <w:rsid w:val="00AE5DB4"/>
    <w:rsid w:val="00AE73B8"/>
    <w:rsid w:val="00AE7EA2"/>
    <w:rsid w:val="00AF0A52"/>
    <w:rsid w:val="00AF2D48"/>
    <w:rsid w:val="00AF367F"/>
    <w:rsid w:val="00AF4DB5"/>
    <w:rsid w:val="00AF6E25"/>
    <w:rsid w:val="00AF6E42"/>
    <w:rsid w:val="00B012EF"/>
    <w:rsid w:val="00B01942"/>
    <w:rsid w:val="00B01FC6"/>
    <w:rsid w:val="00B03740"/>
    <w:rsid w:val="00B0407E"/>
    <w:rsid w:val="00B05099"/>
    <w:rsid w:val="00B05680"/>
    <w:rsid w:val="00B06632"/>
    <w:rsid w:val="00B06F03"/>
    <w:rsid w:val="00B073C0"/>
    <w:rsid w:val="00B1073A"/>
    <w:rsid w:val="00B11E9D"/>
    <w:rsid w:val="00B13041"/>
    <w:rsid w:val="00B1444F"/>
    <w:rsid w:val="00B1563F"/>
    <w:rsid w:val="00B165B1"/>
    <w:rsid w:val="00B17B8D"/>
    <w:rsid w:val="00B20490"/>
    <w:rsid w:val="00B228DA"/>
    <w:rsid w:val="00B22AC2"/>
    <w:rsid w:val="00B22D88"/>
    <w:rsid w:val="00B23174"/>
    <w:rsid w:val="00B2377B"/>
    <w:rsid w:val="00B24258"/>
    <w:rsid w:val="00B24E50"/>
    <w:rsid w:val="00B252CD"/>
    <w:rsid w:val="00B2574D"/>
    <w:rsid w:val="00B26208"/>
    <w:rsid w:val="00B26FF0"/>
    <w:rsid w:val="00B332F0"/>
    <w:rsid w:val="00B35579"/>
    <w:rsid w:val="00B43FB0"/>
    <w:rsid w:val="00B4447F"/>
    <w:rsid w:val="00B45FBD"/>
    <w:rsid w:val="00B50E47"/>
    <w:rsid w:val="00B56272"/>
    <w:rsid w:val="00B65520"/>
    <w:rsid w:val="00B70CFF"/>
    <w:rsid w:val="00B71035"/>
    <w:rsid w:val="00B7105E"/>
    <w:rsid w:val="00B746BB"/>
    <w:rsid w:val="00B75411"/>
    <w:rsid w:val="00B7564D"/>
    <w:rsid w:val="00B82622"/>
    <w:rsid w:val="00B8333C"/>
    <w:rsid w:val="00B8489F"/>
    <w:rsid w:val="00B8666B"/>
    <w:rsid w:val="00B90B1D"/>
    <w:rsid w:val="00B91C90"/>
    <w:rsid w:val="00B91D94"/>
    <w:rsid w:val="00B91DC0"/>
    <w:rsid w:val="00B948E2"/>
    <w:rsid w:val="00B9644D"/>
    <w:rsid w:val="00BA15EB"/>
    <w:rsid w:val="00BA524F"/>
    <w:rsid w:val="00BA7066"/>
    <w:rsid w:val="00BB15CB"/>
    <w:rsid w:val="00BB43DE"/>
    <w:rsid w:val="00BB49B2"/>
    <w:rsid w:val="00BB769B"/>
    <w:rsid w:val="00BC0FE4"/>
    <w:rsid w:val="00BC290F"/>
    <w:rsid w:val="00BC30C0"/>
    <w:rsid w:val="00BC429E"/>
    <w:rsid w:val="00BC64D4"/>
    <w:rsid w:val="00BC6B87"/>
    <w:rsid w:val="00BC717C"/>
    <w:rsid w:val="00BD0F4D"/>
    <w:rsid w:val="00BD2D38"/>
    <w:rsid w:val="00BD7A64"/>
    <w:rsid w:val="00BE19C1"/>
    <w:rsid w:val="00BE1F7A"/>
    <w:rsid w:val="00BE3004"/>
    <w:rsid w:val="00BE4368"/>
    <w:rsid w:val="00BE4F59"/>
    <w:rsid w:val="00BE697F"/>
    <w:rsid w:val="00BE7EDC"/>
    <w:rsid w:val="00BF1C9C"/>
    <w:rsid w:val="00BF32A8"/>
    <w:rsid w:val="00BF5389"/>
    <w:rsid w:val="00BF6BAC"/>
    <w:rsid w:val="00BF75EC"/>
    <w:rsid w:val="00C02FBA"/>
    <w:rsid w:val="00C03B78"/>
    <w:rsid w:val="00C04CB6"/>
    <w:rsid w:val="00C054AB"/>
    <w:rsid w:val="00C054F8"/>
    <w:rsid w:val="00C0569A"/>
    <w:rsid w:val="00C061CB"/>
    <w:rsid w:val="00C06AF3"/>
    <w:rsid w:val="00C1036C"/>
    <w:rsid w:val="00C111B7"/>
    <w:rsid w:val="00C12144"/>
    <w:rsid w:val="00C24772"/>
    <w:rsid w:val="00C2568D"/>
    <w:rsid w:val="00C25CD0"/>
    <w:rsid w:val="00C27CC4"/>
    <w:rsid w:val="00C31159"/>
    <w:rsid w:val="00C320F5"/>
    <w:rsid w:val="00C3430B"/>
    <w:rsid w:val="00C343DB"/>
    <w:rsid w:val="00C37DD3"/>
    <w:rsid w:val="00C409C2"/>
    <w:rsid w:val="00C42107"/>
    <w:rsid w:val="00C42E07"/>
    <w:rsid w:val="00C447A3"/>
    <w:rsid w:val="00C45D85"/>
    <w:rsid w:val="00C4720C"/>
    <w:rsid w:val="00C51323"/>
    <w:rsid w:val="00C53576"/>
    <w:rsid w:val="00C53EC1"/>
    <w:rsid w:val="00C551FC"/>
    <w:rsid w:val="00C55E2C"/>
    <w:rsid w:val="00C56DC5"/>
    <w:rsid w:val="00C57C21"/>
    <w:rsid w:val="00C61D54"/>
    <w:rsid w:val="00C63C0D"/>
    <w:rsid w:val="00C63F18"/>
    <w:rsid w:val="00C6750D"/>
    <w:rsid w:val="00C70214"/>
    <w:rsid w:val="00C70775"/>
    <w:rsid w:val="00C71735"/>
    <w:rsid w:val="00C72AE8"/>
    <w:rsid w:val="00C73B63"/>
    <w:rsid w:val="00C73F7E"/>
    <w:rsid w:val="00C77081"/>
    <w:rsid w:val="00C81856"/>
    <w:rsid w:val="00C834CC"/>
    <w:rsid w:val="00C86AC8"/>
    <w:rsid w:val="00C911E5"/>
    <w:rsid w:val="00C91BB3"/>
    <w:rsid w:val="00C954D5"/>
    <w:rsid w:val="00C97753"/>
    <w:rsid w:val="00C97903"/>
    <w:rsid w:val="00CA098E"/>
    <w:rsid w:val="00CA1369"/>
    <w:rsid w:val="00CA1601"/>
    <w:rsid w:val="00CA32F5"/>
    <w:rsid w:val="00CA5251"/>
    <w:rsid w:val="00CA5AB5"/>
    <w:rsid w:val="00CA5F06"/>
    <w:rsid w:val="00CA6D6C"/>
    <w:rsid w:val="00CA7357"/>
    <w:rsid w:val="00CB30B2"/>
    <w:rsid w:val="00CB42DB"/>
    <w:rsid w:val="00CB4FDF"/>
    <w:rsid w:val="00CB5226"/>
    <w:rsid w:val="00CB558B"/>
    <w:rsid w:val="00CB5B01"/>
    <w:rsid w:val="00CB737C"/>
    <w:rsid w:val="00CB749A"/>
    <w:rsid w:val="00CB7F10"/>
    <w:rsid w:val="00CC1518"/>
    <w:rsid w:val="00CC211B"/>
    <w:rsid w:val="00CC39FC"/>
    <w:rsid w:val="00CC4DDF"/>
    <w:rsid w:val="00CC6567"/>
    <w:rsid w:val="00CC748E"/>
    <w:rsid w:val="00CD0C78"/>
    <w:rsid w:val="00CD0D64"/>
    <w:rsid w:val="00CD2A1B"/>
    <w:rsid w:val="00CD3536"/>
    <w:rsid w:val="00CD37ED"/>
    <w:rsid w:val="00CD57DB"/>
    <w:rsid w:val="00CD6013"/>
    <w:rsid w:val="00CE0E8C"/>
    <w:rsid w:val="00CE7506"/>
    <w:rsid w:val="00CF3154"/>
    <w:rsid w:val="00CF49B0"/>
    <w:rsid w:val="00D00457"/>
    <w:rsid w:val="00D012E3"/>
    <w:rsid w:val="00D01C94"/>
    <w:rsid w:val="00D02354"/>
    <w:rsid w:val="00D0286E"/>
    <w:rsid w:val="00D05E4C"/>
    <w:rsid w:val="00D06066"/>
    <w:rsid w:val="00D069F7"/>
    <w:rsid w:val="00D06F10"/>
    <w:rsid w:val="00D1019B"/>
    <w:rsid w:val="00D1124C"/>
    <w:rsid w:val="00D11E09"/>
    <w:rsid w:val="00D2327C"/>
    <w:rsid w:val="00D238B0"/>
    <w:rsid w:val="00D239F3"/>
    <w:rsid w:val="00D246B3"/>
    <w:rsid w:val="00D259F6"/>
    <w:rsid w:val="00D3300D"/>
    <w:rsid w:val="00D33C58"/>
    <w:rsid w:val="00D34D41"/>
    <w:rsid w:val="00D34FF6"/>
    <w:rsid w:val="00D35883"/>
    <w:rsid w:val="00D35D13"/>
    <w:rsid w:val="00D37B70"/>
    <w:rsid w:val="00D37B9F"/>
    <w:rsid w:val="00D409D3"/>
    <w:rsid w:val="00D40A37"/>
    <w:rsid w:val="00D41701"/>
    <w:rsid w:val="00D44628"/>
    <w:rsid w:val="00D450D7"/>
    <w:rsid w:val="00D46093"/>
    <w:rsid w:val="00D46711"/>
    <w:rsid w:val="00D47531"/>
    <w:rsid w:val="00D4764D"/>
    <w:rsid w:val="00D47C6D"/>
    <w:rsid w:val="00D503F5"/>
    <w:rsid w:val="00D51C02"/>
    <w:rsid w:val="00D525DF"/>
    <w:rsid w:val="00D52C43"/>
    <w:rsid w:val="00D5384D"/>
    <w:rsid w:val="00D54E2F"/>
    <w:rsid w:val="00D55967"/>
    <w:rsid w:val="00D563CA"/>
    <w:rsid w:val="00D56915"/>
    <w:rsid w:val="00D569AB"/>
    <w:rsid w:val="00D5792B"/>
    <w:rsid w:val="00D57CDB"/>
    <w:rsid w:val="00D60CC4"/>
    <w:rsid w:val="00D61CC5"/>
    <w:rsid w:val="00D636E0"/>
    <w:rsid w:val="00D64582"/>
    <w:rsid w:val="00D64A0D"/>
    <w:rsid w:val="00D66C8C"/>
    <w:rsid w:val="00D700E7"/>
    <w:rsid w:val="00D7077E"/>
    <w:rsid w:val="00D71A37"/>
    <w:rsid w:val="00D72939"/>
    <w:rsid w:val="00D755AD"/>
    <w:rsid w:val="00D75A39"/>
    <w:rsid w:val="00D75BA5"/>
    <w:rsid w:val="00D76BFF"/>
    <w:rsid w:val="00D80395"/>
    <w:rsid w:val="00D80F6A"/>
    <w:rsid w:val="00D821AF"/>
    <w:rsid w:val="00D8224D"/>
    <w:rsid w:val="00D83E64"/>
    <w:rsid w:val="00D84CE9"/>
    <w:rsid w:val="00D8655B"/>
    <w:rsid w:val="00D877F7"/>
    <w:rsid w:val="00D901C4"/>
    <w:rsid w:val="00D92A03"/>
    <w:rsid w:val="00D93DF9"/>
    <w:rsid w:val="00D9676A"/>
    <w:rsid w:val="00D96964"/>
    <w:rsid w:val="00DA1B86"/>
    <w:rsid w:val="00DA2636"/>
    <w:rsid w:val="00DA26C6"/>
    <w:rsid w:val="00DA3383"/>
    <w:rsid w:val="00DA3D38"/>
    <w:rsid w:val="00DA4A3E"/>
    <w:rsid w:val="00DA4C55"/>
    <w:rsid w:val="00DA53DB"/>
    <w:rsid w:val="00DA5A9C"/>
    <w:rsid w:val="00DA6060"/>
    <w:rsid w:val="00DA61CC"/>
    <w:rsid w:val="00DA744E"/>
    <w:rsid w:val="00DB0EE3"/>
    <w:rsid w:val="00DB1D5C"/>
    <w:rsid w:val="00DB3E1D"/>
    <w:rsid w:val="00DC0DE6"/>
    <w:rsid w:val="00DC2B3E"/>
    <w:rsid w:val="00DC334D"/>
    <w:rsid w:val="00DC3FB6"/>
    <w:rsid w:val="00DC447A"/>
    <w:rsid w:val="00DC51EF"/>
    <w:rsid w:val="00DC527B"/>
    <w:rsid w:val="00DC5552"/>
    <w:rsid w:val="00DC6D16"/>
    <w:rsid w:val="00DC73D2"/>
    <w:rsid w:val="00DC7598"/>
    <w:rsid w:val="00DC7A9D"/>
    <w:rsid w:val="00DD0415"/>
    <w:rsid w:val="00DD0A37"/>
    <w:rsid w:val="00DD0B80"/>
    <w:rsid w:val="00DD219F"/>
    <w:rsid w:val="00DD2A47"/>
    <w:rsid w:val="00DE0E41"/>
    <w:rsid w:val="00DE13E1"/>
    <w:rsid w:val="00DE25F8"/>
    <w:rsid w:val="00DE3BD2"/>
    <w:rsid w:val="00DE5495"/>
    <w:rsid w:val="00DE6005"/>
    <w:rsid w:val="00DF06FA"/>
    <w:rsid w:val="00DF38A9"/>
    <w:rsid w:val="00DF38BA"/>
    <w:rsid w:val="00DF45DA"/>
    <w:rsid w:val="00DF4F89"/>
    <w:rsid w:val="00E0173B"/>
    <w:rsid w:val="00E01861"/>
    <w:rsid w:val="00E01E55"/>
    <w:rsid w:val="00E020D7"/>
    <w:rsid w:val="00E06945"/>
    <w:rsid w:val="00E10184"/>
    <w:rsid w:val="00E12E64"/>
    <w:rsid w:val="00E13A69"/>
    <w:rsid w:val="00E147E2"/>
    <w:rsid w:val="00E14930"/>
    <w:rsid w:val="00E15635"/>
    <w:rsid w:val="00E16070"/>
    <w:rsid w:val="00E201E9"/>
    <w:rsid w:val="00E23063"/>
    <w:rsid w:val="00E23073"/>
    <w:rsid w:val="00E23B92"/>
    <w:rsid w:val="00E26B0F"/>
    <w:rsid w:val="00E307F0"/>
    <w:rsid w:val="00E3112F"/>
    <w:rsid w:val="00E3338D"/>
    <w:rsid w:val="00E34D3F"/>
    <w:rsid w:val="00E350A5"/>
    <w:rsid w:val="00E35BE2"/>
    <w:rsid w:val="00E3685F"/>
    <w:rsid w:val="00E36DBC"/>
    <w:rsid w:val="00E3727A"/>
    <w:rsid w:val="00E43656"/>
    <w:rsid w:val="00E50082"/>
    <w:rsid w:val="00E5009A"/>
    <w:rsid w:val="00E530F6"/>
    <w:rsid w:val="00E54E6A"/>
    <w:rsid w:val="00E6047A"/>
    <w:rsid w:val="00E63535"/>
    <w:rsid w:val="00E63DAA"/>
    <w:rsid w:val="00E649D5"/>
    <w:rsid w:val="00E64BD5"/>
    <w:rsid w:val="00E67801"/>
    <w:rsid w:val="00E67B6A"/>
    <w:rsid w:val="00E7069D"/>
    <w:rsid w:val="00E7172F"/>
    <w:rsid w:val="00E73560"/>
    <w:rsid w:val="00E74CA1"/>
    <w:rsid w:val="00E757B3"/>
    <w:rsid w:val="00E75D81"/>
    <w:rsid w:val="00E76EAF"/>
    <w:rsid w:val="00E812E9"/>
    <w:rsid w:val="00E82004"/>
    <w:rsid w:val="00E822A6"/>
    <w:rsid w:val="00E8334A"/>
    <w:rsid w:val="00E83569"/>
    <w:rsid w:val="00E83EF2"/>
    <w:rsid w:val="00E87856"/>
    <w:rsid w:val="00E9017A"/>
    <w:rsid w:val="00E92735"/>
    <w:rsid w:val="00E92F4F"/>
    <w:rsid w:val="00E93112"/>
    <w:rsid w:val="00E9454D"/>
    <w:rsid w:val="00E96718"/>
    <w:rsid w:val="00E97723"/>
    <w:rsid w:val="00EA0F94"/>
    <w:rsid w:val="00EA1094"/>
    <w:rsid w:val="00EA350E"/>
    <w:rsid w:val="00EA351D"/>
    <w:rsid w:val="00EB49F4"/>
    <w:rsid w:val="00EB55B9"/>
    <w:rsid w:val="00EC2E2C"/>
    <w:rsid w:val="00EC4607"/>
    <w:rsid w:val="00EC562A"/>
    <w:rsid w:val="00EC5D23"/>
    <w:rsid w:val="00ED141C"/>
    <w:rsid w:val="00ED2765"/>
    <w:rsid w:val="00ED33A3"/>
    <w:rsid w:val="00ED3413"/>
    <w:rsid w:val="00ED46E3"/>
    <w:rsid w:val="00ED500E"/>
    <w:rsid w:val="00ED62EF"/>
    <w:rsid w:val="00ED6D10"/>
    <w:rsid w:val="00ED743F"/>
    <w:rsid w:val="00ED76B6"/>
    <w:rsid w:val="00ED7777"/>
    <w:rsid w:val="00ED7A14"/>
    <w:rsid w:val="00ED7D78"/>
    <w:rsid w:val="00EE0BC5"/>
    <w:rsid w:val="00EE3B4F"/>
    <w:rsid w:val="00EE3EA7"/>
    <w:rsid w:val="00EE5E9F"/>
    <w:rsid w:val="00EE66FA"/>
    <w:rsid w:val="00EE6FC0"/>
    <w:rsid w:val="00EE773B"/>
    <w:rsid w:val="00EF1C59"/>
    <w:rsid w:val="00EF1F2E"/>
    <w:rsid w:val="00EF28C8"/>
    <w:rsid w:val="00EF2DF8"/>
    <w:rsid w:val="00EF3EB2"/>
    <w:rsid w:val="00EF44E7"/>
    <w:rsid w:val="00EF45C7"/>
    <w:rsid w:val="00EF6459"/>
    <w:rsid w:val="00EF6903"/>
    <w:rsid w:val="00EF71BB"/>
    <w:rsid w:val="00EF7490"/>
    <w:rsid w:val="00F0043A"/>
    <w:rsid w:val="00F0483A"/>
    <w:rsid w:val="00F04B4B"/>
    <w:rsid w:val="00F050F9"/>
    <w:rsid w:val="00F06C39"/>
    <w:rsid w:val="00F07EDD"/>
    <w:rsid w:val="00F10447"/>
    <w:rsid w:val="00F12316"/>
    <w:rsid w:val="00F1306F"/>
    <w:rsid w:val="00F15E2E"/>
    <w:rsid w:val="00F1666A"/>
    <w:rsid w:val="00F17265"/>
    <w:rsid w:val="00F17DD6"/>
    <w:rsid w:val="00F21B68"/>
    <w:rsid w:val="00F22DBD"/>
    <w:rsid w:val="00F23DEA"/>
    <w:rsid w:val="00F248AB"/>
    <w:rsid w:val="00F26836"/>
    <w:rsid w:val="00F26A6C"/>
    <w:rsid w:val="00F30114"/>
    <w:rsid w:val="00F33473"/>
    <w:rsid w:val="00F34483"/>
    <w:rsid w:val="00F345A8"/>
    <w:rsid w:val="00F35D00"/>
    <w:rsid w:val="00F361A1"/>
    <w:rsid w:val="00F40184"/>
    <w:rsid w:val="00F40DE5"/>
    <w:rsid w:val="00F4180B"/>
    <w:rsid w:val="00F4344E"/>
    <w:rsid w:val="00F442C7"/>
    <w:rsid w:val="00F448B2"/>
    <w:rsid w:val="00F4558B"/>
    <w:rsid w:val="00F46433"/>
    <w:rsid w:val="00F508D7"/>
    <w:rsid w:val="00F50A93"/>
    <w:rsid w:val="00F50DFE"/>
    <w:rsid w:val="00F51FD4"/>
    <w:rsid w:val="00F52CE4"/>
    <w:rsid w:val="00F536C9"/>
    <w:rsid w:val="00F546B2"/>
    <w:rsid w:val="00F56088"/>
    <w:rsid w:val="00F60458"/>
    <w:rsid w:val="00F677DF"/>
    <w:rsid w:val="00F7382A"/>
    <w:rsid w:val="00F74F38"/>
    <w:rsid w:val="00F75C1E"/>
    <w:rsid w:val="00F81638"/>
    <w:rsid w:val="00F84ECC"/>
    <w:rsid w:val="00F87106"/>
    <w:rsid w:val="00F91EA6"/>
    <w:rsid w:val="00F93DB3"/>
    <w:rsid w:val="00F95450"/>
    <w:rsid w:val="00F964A2"/>
    <w:rsid w:val="00F96EA9"/>
    <w:rsid w:val="00FA01FB"/>
    <w:rsid w:val="00FA1736"/>
    <w:rsid w:val="00FA20FF"/>
    <w:rsid w:val="00FA3217"/>
    <w:rsid w:val="00FA3258"/>
    <w:rsid w:val="00FA7229"/>
    <w:rsid w:val="00FA7B45"/>
    <w:rsid w:val="00FB01F7"/>
    <w:rsid w:val="00FB0A23"/>
    <w:rsid w:val="00FB2F7E"/>
    <w:rsid w:val="00FB5B91"/>
    <w:rsid w:val="00FB5E8E"/>
    <w:rsid w:val="00FB7106"/>
    <w:rsid w:val="00FC11B7"/>
    <w:rsid w:val="00FC1666"/>
    <w:rsid w:val="00FC189F"/>
    <w:rsid w:val="00FC3806"/>
    <w:rsid w:val="00FC382B"/>
    <w:rsid w:val="00FC3C4F"/>
    <w:rsid w:val="00FC4A9D"/>
    <w:rsid w:val="00FC538F"/>
    <w:rsid w:val="00FD4ECD"/>
    <w:rsid w:val="00FD5765"/>
    <w:rsid w:val="00FD6CA5"/>
    <w:rsid w:val="00FE525B"/>
    <w:rsid w:val="00FE7E32"/>
    <w:rsid w:val="00FE7EC9"/>
    <w:rsid w:val="00FF2A0F"/>
    <w:rsid w:val="00FF3417"/>
    <w:rsid w:val="00FF3C1E"/>
    <w:rsid w:val="00FF5BDF"/>
    <w:rsid w:val="00FF5CBE"/>
    <w:rsid w:val="00FF5D10"/>
    <w:rsid w:val="00FF796B"/>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2C0D183"/>
  <w15:chartTrackingRefBased/>
  <w15:docId w15:val="{028A8A61-748D-4DB3-8196-AC13892D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DB"/>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186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7490"/>
    <w:pPr>
      <w:spacing w:before="0" w:after="0"/>
    </w:pPr>
    <w:rPr>
      <w:sz w:val="20"/>
      <w:szCs w:val="20"/>
    </w:rPr>
  </w:style>
  <w:style w:type="character" w:customStyle="1" w:styleId="FootnoteTextChar">
    <w:name w:val="Footnote Text Char"/>
    <w:basedOn w:val="DefaultParagraphFont"/>
    <w:link w:val="FootnoteText"/>
    <w:uiPriority w:val="99"/>
    <w:semiHidden/>
    <w:rsid w:val="00EF7490"/>
    <w:rPr>
      <w:rFonts w:ascii="Times New Roman" w:eastAsia="Times New Roman" w:hAnsi="Times New Roman" w:cs="Times New Roman"/>
      <w:sz w:val="20"/>
      <w:szCs w:val="20"/>
    </w:rPr>
  </w:style>
  <w:style w:type="paragraph" w:styleId="ListParagraph">
    <w:name w:val="List Paragraph"/>
    <w:basedOn w:val="Normal"/>
    <w:uiPriority w:val="34"/>
    <w:qFormat/>
    <w:rsid w:val="00EF7490"/>
    <w:pPr>
      <w:ind w:left="720"/>
      <w:contextualSpacing/>
    </w:pPr>
  </w:style>
  <w:style w:type="character" w:styleId="FootnoteReference">
    <w:name w:val="footnote reference"/>
    <w:aliases w:val="o"/>
    <w:basedOn w:val="DefaultParagraphFont"/>
    <w:uiPriority w:val="99"/>
    <w:unhideWhenUsed/>
    <w:rsid w:val="00EF7490"/>
    <w:rPr>
      <w:vertAlign w:val="superscript"/>
    </w:rPr>
  </w:style>
  <w:style w:type="table" w:styleId="TableGrid">
    <w:name w:val="Table Grid"/>
    <w:basedOn w:val="TableNormal"/>
    <w:uiPriority w:val="39"/>
    <w:rsid w:val="00EF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90"/>
    <w:pPr>
      <w:tabs>
        <w:tab w:val="center" w:pos="4680"/>
        <w:tab w:val="right" w:pos="9360"/>
      </w:tabs>
      <w:spacing w:before="0" w:after="0"/>
    </w:pPr>
  </w:style>
  <w:style w:type="character" w:customStyle="1" w:styleId="HeaderChar">
    <w:name w:val="Header Char"/>
    <w:basedOn w:val="DefaultParagraphFont"/>
    <w:link w:val="Header"/>
    <w:uiPriority w:val="99"/>
    <w:rsid w:val="00EF74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490"/>
    <w:pPr>
      <w:tabs>
        <w:tab w:val="center" w:pos="4680"/>
        <w:tab w:val="right" w:pos="9360"/>
      </w:tabs>
      <w:spacing w:before="0" w:after="0"/>
    </w:pPr>
  </w:style>
  <w:style w:type="character" w:customStyle="1" w:styleId="FooterChar">
    <w:name w:val="Footer Char"/>
    <w:basedOn w:val="DefaultParagraphFont"/>
    <w:link w:val="Footer"/>
    <w:uiPriority w:val="99"/>
    <w:rsid w:val="00EF749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08A6"/>
    <w:pPr>
      <w:spacing w:before="240" w:after="0" w:line="259" w:lineRule="auto"/>
      <w:outlineLvl w:val="9"/>
    </w:pPr>
    <w:rPr>
      <w:b w:val="0"/>
      <w:bCs w:val="0"/>
      <w:sz w:val="32"/>
      <w:szCs w:val="32"/>
    </w:rPr>
  </w:style>
  <w:style w:type="character" w:customStyle="1" w:styleId="Heading2Char">
    <w:name w:val="Heading 2 Char"/>
    <w:basedOn w:val="DefaultParagraphFont"/>
    <w:link w:val="Heading2"/>
    <w:uiPriority w:val="9"/>
    <w:rsid w:val="00ED341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700E7"/>
    <w:pPr>
      <w:spacing w:after="100"/>
    </w:pPr>
  </w:style>
  <w:style w:type="paragraph" w:styleId="TOC2">
    <w:name w:val="toc 2"/>
    <w:basedOn w:val="Normal"/>
    <w:next w:val="Normal"/>
    <w:autoRedefine/>
    <w:uiPriority w:val="39"/>
    <w:unhideWhenUsed/>
    <w:rsid w:val="00D700E7"/>
    <w:pPr>
      <w:spacing w:after="100"/>
      <w:ind w:left="240"/>
    </w:pPr>
  </w:style>
  <w:style w:type="character" w:styleId="Hyperlink">
    <w:name w:val="Hyperlink"/>
    <w:basedOn w:val="DefaultParagraphFont"/>
    <w:uiPriority w:val="99"/>
    <w:unhideWhenUsed/>
    <w:rsid w:val="00D700E7"/>
    <w:rPr>
      <w:color w:val="0000FF" w:themeColor="hyperlink"/>
      <w:u w:val="single"/>
    </w:rPr>
  </w:style>
  <w:style w:type="character" w:styleId="CommentReference">
    <w:name w:val="annotation reference"/>
    <w:basedOn w:val="DefaultParagraphFont"/>
    <w:uiPriority w:val="99"/>
    <w:semiHidden/>
    <w:unhideWhenUsed/>
    <w:rsid w:val="00E97723"/>
    <w:rPr>
      <w:sz w:val="16"/>
      <w:szCs w:val="16"/>
    </w:rPr>
  </w:style>
  <w:style w:type="paragraph" w:styleId="CommentText">
    <w:name w:val="annotation text"/>
    <w:basedOn w:val="Normal"/>
    <w:link w:val="CommentTextChar"/>
    <w:uiPriority w:val="99"/>
    <w:semiHidden/>
    <w:unhideWhenUsed/>
    <w:rsid w:val="00E97723"/>
    <w:rPr>
      <w:sz w:val="20"/>
      <w:szCs w:val="20"/>
    </w:rPr>
  </w:style>
  <w:style w:type="character" w:customStyle="1" w:styleId="CommentTextChar">
    <w:name w:val="Comment Text Char"/>
    <w:basedOn w:val="DefaultParagraphFont"/>
    <w:link w:val="CommentText"/>
    <w:uiPriority w:val="99"/>
    <w:semiHidden/>
    <w:rsid w:val="00E977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723"/>
    <w:rPr>
      <w:b/>
      <w:bCs/>
    </w:rPr>
  </w:style>
  <w:style w:type="character" w:customStyle="1" w:styleId="CommentSubjectChar">
    <w:name w:val="Comment Subject Char"/>
    <w:basedOn w:val="CommentTextChar"/>
    <w:link w:val="CommentSubject"/>
    <w:uiPriority w:val="99"/>
    <w:semiHidden/>
    <w:rsid w:val="00E977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7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23"/>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01861"/>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E7EA2"/>
    <w:pPr>
      <w:spacing w:after="100"/>
      <w:ind w:left="480"/>
    </w:pPr>
  </w:style>
  <w:style w:type="paragraph" w:styleId="Caption">
    <w:name w:val="caption"/>
    <w:basedOn w:val="Normal"/>
    <w:next w:val="Normal"/>
    <w:uiPriority w:val="35"/>
    <w:unhideWhenUsed/>
    <w:qFormat/>
    <w:rsid w:val="0005698C"/>
    <w:pPr>
      <w:spacing w:before="0" w:after="200"/>
    </w:pPr>
    <w:rPr>
      <w:i/>
      <w:iCs/>
      <w:color w:val="1F497D" w:themeColor="text2"/>
      <w:sz w:val="18"/>
      <w:szCs w:val="18"/>
    </w:rPr>
  </w:style>
  <w:style w:type="paragraph" w:styleId="TableofFigures">
    <w:name w:val="table of figures"/>
    <w:basedOn w:val="Normal"/>
    <w:next w:val="Normal"/>
    <w:uiPriority w:val="99"/>
    <w:unhideWhenUsed/>
    <w:rsid w:val="00FD5765"/>
    <w:pPr>
      <w:spacing w:after="0"/>
    </w:pPr>
  </w:style>
  <w:style w:type="paragraph" w:styleId="Revision">
    <w:name w:val="Revision"/>
    <w:hidden/>
    <w:uiPriority w:val="99"/>
    <w:semiHidden/>
    <w:rsid w:val="00D34FF6"/>
    <w:rPr>
      <w:rFonts w:ascii="Times New Roman" w:eastAsia="Times New Roman" w:hAnsi="Times New Roman" w:cs="Times New Roman"/>
      <w:sz w:val="24"/>
      <w:szCs w:val="24"/>
    </w:rPr>
  </w:style>
  <w:style w:type="table" w:styleId="PlainTable4">
    <w:name w:val="Plain Table 4"/>
    <w:basedOn w:val="TableNormal"/>
    <w:uiPriority w:val="44"/>
    <w:rsid w:val="00B1444F"/>
    <w:tblPr>
      <w:tblStyleRowBandSize w:val="1"/>
      <w:tblStyleColBandSize w:val="1"/>
    </w:tblPr>
    <w:tcPr>
      <w:shd w:val="clear" w:color="auto" w:fill="DBE5F1" w:themeFill="accent1" w:themeFillTint="33"/>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8903">
      <w:bodyDiv w:val="1"/>
      <w:marLeft w:val="0"/>
      <w:marRight w:val="0"/>
      <w:marTop w:val="0"/>
      <w:marBottom w:val="0"/>
      <w:divBdr>
        <w:top w:val="none" w:sz="0" w:space="0" w:color="auto"/>
        <w:left w:val="none" w:sz="0" w:space="0" w:color="auto"/>
        <w:bottom w:val="none" w:sz="0" w:space="0" w:color="auto"/>
        <w:right w:val="none" w:sz="0" w:space="0" w:color="auto"/>
      </w:divBdr>
      <w:divsChild>
        <w:div w:id="1552110645">
          <w:marLeft w:val="0"/>
          <w:marRight w:val="0"/>
          <w:marTop w:val="0"/>
          <w:marBottom w:val="0"/>
          <w:divBdr>
            <w:top w:val="none" w:sz="0" w:space="0" w:color="auto"/>
            <w:left w:val="none" w:sz="0" w:space="0" w:color="auto"/>
            <w:bottom w:val="none" w:sz="0" w:space="0" w:color="auto"/>
            <w:right w:val="none" w:sz="0" w:space="0" w:color="auto"/>
          </w:divBdr>
          <w:divsChild>
            <w:div w:id="1645085648">
              <w:marLeft w:val="0"/>
              <w:marRight w:val="0"/>
              <w:marTop w:val="0"/>
              <w:marBottom w:val="0"/>
              <w:divBdr>
                <w:top w:val="none" w:sz="0" w:space="0" w:color="auto"/>
                <w:left w:val="none" w:sz="0" w:space="0" w:color="auto"/>
                <w:bottom w:val="none" w:sz="0" w:space="0" w:color="auto"/>
                <w:right w:val="none" w:sz="0" w:space="0" w:color="auto"/>
              </w:divBdr>
              <w:divsChild>
                <w:div w:id="493033066">
                  <w:marLeft w:val="0"/>
                  <w:marRight w:val="0"/>
                  <w:marTop w:val="0"/>
                  <w:marBottom w:val="0"/>
                  <w:divBdr>
                    <w:top w:val="none" w:sz="0" w:space="12" w:color="auto"/>
                    <w:left w:val="none" w:sz="0" w:space="12" w:color="auto"/>
                    <w:bottom w:val="none" w:sz="0" w:space="12" w:color="auto"/>
                    <w:right w:val="none" w:sz="0" w:space="12" w:color="auto"/>
                  </w:divBdr>
                  <w:divsChild>
                    <w:div w:id="1913349131">
                      <w:marLeft w:val="0"/>
                      <w:marRight w:val="0"/>
                      <w:marTop w:val="0"/>
                      <w:marBottom w:val="0"/>
                      <w:divBdr>
                        <w:top w:val="none" w:sz="0" w:space="12" w:color="auto"/>
                        <w:left w:val="none" w:sz="0" w:space="12" w:color="auto"/>
                        <w:bottom w:val="none" w:sz="0" w:space="12" w:color="auto"/>
                        <w:right w:val="none" w:sz="0" w:space="12" w:color="auto"/>
                      </w:divBdr>
                      <w:divsChild>
                        <w:div w:id="1433282362">
                          <w:marLeft w:val="0"/>
                          <w:marRight w:val="0"/>
                          <w:marTop w:val="0"/>
                          <w:marBottom w:val="0"/>
                          <w:divBdr>
                            <w:top w:val="none" w:sz="0" w:space="0" w:color="auto"/>
                            <w:left w:val="none" w:sz="0" w:space="0" w:color="auto"/>
                            <w:bottom w:val="none" w:sz="0" w:space="0" w:color="auto"/>
                            <w:right w:val="none" w:sz="0" w:space="0" w:color="auto"/>
                          </w:divBdr>
                          <w:divsChild>
                            <w:div w:id="14960343">
                              <w:marLeft w:val="-225"/>
                              <w:marRight w:val="-225"/>
                              <w:marTop w:val="0"/>
                              <w:marBottom w:val="0"/>
                              <w:divBdr>
                                <w:top w:val="none" w:sz="0" w:space="0" w:color="auto"/>
                                <w:left w:val="none" w:sz="0" w:space="0" w:color="auto"/>
                                <w:bottom w:val="none" w:sz="0" w:space="0" w:color="auto"/>
                                <w:right w:val="none" w:sz="0" w:space="0" w:color="auto"/>
                              </w:divBdr>
                              <w:divsChild>
                                <w:div w:id="1949191090">
                                  <w:marLeft w:val="0"/>
                                  <w:marRight w:val="0"/>
                                  <w:marTop w:val="0"/>
                                  <w:marBottom w:val="0"/>
                                  <w:divBdr>
                                    <w:top w:val="none" w:sz="0" w:space="0" w:color="auto"/>
                                    <w:left w:val="none" w:sz="0" w:space="0" w:color="auto"/>
                                    <w:bottom w:val="none" w:sz="0" w:space="0" w:color="auto"/>
                                    <w:right w:val="none" w:sz="0" w:space="0" w:color="auto"/>
                                  </w:divBdr>
                                  <w:divsChild>
                                    <w:div w:id="761026739">
                                      <w:marLeft w:val="0"/>
                                      <w:marRight w:val="0"/>
                                      <w:marTop w:val="0"/>
                                      <w:marBottom w:val="0"/>
                                      <w:divBdr>
                                        <w:top w:val="none" w:sz="0" w:space="0" w:color="auto"/>
                                        <w:left w:val="none" w:sz="0" w:space="0" w:color="auto"/>
                                        <w:bottom w:val="none" w:sz="0" w:space="0" w:color="auto"/>
                                        <w:right w:val="none" w:sz="0" w:space="0" w:color="auto"/>
                                      </w:divBdr>
                                      <w:divsChild>
                                        <w:div w:id="520434497">
                                          <w:marLeft w:val="0"/>
                                          <w:marRight w:val="0"/>
                                          <w:marTop w:val="0"/>
                                          <w:marBottom w:val="0"/>
                                          <w:divBdr>
                                            <w:top w:val="none" w:sz="0" w:space="0" w:color="auto"/>
                                            <w:left w:val="none" w:sz="0" w:space="0" w:color="auto"/>
                                            <w:bottom w:val="none" w:sz="0" w:space="0" w:color="auto"/>
                                            <w:right w:val="none" w:sz="0" w:space="0" w:color="auto"/>
                                          </w:divBdr>
                                        </w:div>
                                        <w:div w:id="1823353749">
                                          <w:marLeft w:val="0"/>
                                          <w:marRight w:val="0"/>
                                          <w:marTop w:val="0"/>
                                          <w:marBottom w:val="0"/>
                                          <w:divBdr>
                                            <w:top w:val="none" w:sz="0" w:space="0" w:color="auto"/>
                                            <w:left w:val="none" w:sz="0" w:space="0" w:color="auto"/>
                                            <w:bottom w:val="none" w:sz="0" w:space="0" w:color="auto"/>
                                            <w:right w:val="none" w:sz="0" w:space="0" w:color="auto"/>
                                          </w:divBdr>
                                        </w:div>
                                        <w:div w:id="98062352">
                                          <w:marLeft w:val="0"/>
                                          <w:marRight w:val="0"/>
                                          <w:marTop w:val="0"/>
                                          <w:marBottom w:val="0"/>
                                          <w:divBdr>
                                            <w:top w:val="none" w:sz="0" w:space="0" w:color="auto"/>
                                            <w:left w:val="none" w:sz="0" w:space="0" w:color="auto"/>
                                            <w:bottom w:val="none" w:sz="0" w:space="0" w:color="auto"/>
                                            <w:right w:val="none" w:sz="0" w:space="0" w:color="auto"/>
                                          </w:divBdr>
                                        </w:div>
                                        <w:div w:id="532234925">
                                          <w:marLeft w:val="0"/>
                                          <w:marRight w:val="0"/>
                                          <w:marTop w:val="0"/>
                                          <w:marBottom w:val="0"/>
                                          <w:divBdr>
                                            <w:top w:val="none" w:sz="0" w:space="0" w:color="auto"/>
                                            <w:left w:val="none" w:sz="0" w:space="0" w:color="auto"/>
                                            <w:bottom w:val="none" w:sz="0" w:space="0" w:color="auto"/>
                                            <w:right w:val="none" w:sz="0" w:space="0" w:color="auto"/>
                                          </w:divBdr>
                                        </w:div>
                                        <w:div w:id="336421967">
                                          <w:marLeft w:val="0"/>
                                          <w:marRight w:val="0"/>
                                          <w:marTop w:val="0"/>
                                          <w:marBottom w:val="0"/>
                                          <w:divBdr>
                                            <w:top w:val="none" w:sz="0" w:space="0" w:color="auto"/>
                                            <w:left w:val="none" w:sz="0" w:space="0" w:color="auto"/>
                                            <w:bottom w:val="none" w:sz="0" w:space="0" w:color="auto"/>
                                            <w:right w:val="none" w:sz="0" w:space="0" w:color="auto"/>
                                          </w:divBdr>
                                        </w:div>
                                        <w:div w:id="1381708100">
                                          <w:marLeft w:val="0"/>
                                          <w:marRight w:val="0"/>
                                          <w:marTop w:val="0"/>
                                          <w:marBottom w:val="0"/>
                                          <w:divBdr>
                                            <w:top w:val="none" w:sz="0" w:space="0" w:color="auto"/>
                                            <w:left w:val="none" w:sz="0" w:space="0" w:color="auto"/>
                                            <w:bottom w:val="none" w:sz="0" w:space="0" w:color="auto"/>
                                            <w:right w:val="none" w:sz="0" w:space="0" w:color="auto"/>
                                          </w:divBdr>
                                        </w:div>
                                        <w:div w:id="398787358">
                                          <w:marLeft w:val="0"/>
                                          <w:marRight w:val="0"/>
                                          <w:marTop w:val="0"/>
                                          <w:marBottom w:val="0"/>
                                          <w:divBdr>
                                            <w:top w:val="none" w:sz="0" w:space="0" w:color="auto"/>
                                            <w:left w:val="none" w:sz="0" w:space="0" w:color="auto"/>
                                            <w:bottom w:val="none" w:sz="0" w:space="0" w:color="auto"/>
                                            <w:right w:val="none" w:sz="0" w:space="0" w:color="auto"/>
                                          </w:divBdr>
                                        </w:div>
                                        <w:div w:id="805900084">
                                          <w:marLeft w:val="0"/>
                                          <w:marRight w:val="0"/>
                                          <w:marTop w:val="0"/>
                                          <w:marBottom w:val="0"/>
                                          <w:divBdr>
                                            <w:top w:val="none" w:sz="0" w:space="0" w:color="auto"/>
                                            <w:left w:val="none" w:sz="0" w:space="0" w:color="auto"/>
                                            <w:bottom w:val="none" w:sz="0" w:space="0" w:color="auto"/>
                                            <w:right w:val="none" w:sz="0" w:space="0" w:color="auto"/>
                                          </w:divBdr>
                                        </w:div>
                                        <w:div w:id="1534919095">
                                          <w:marLeft w:val="0"/>
                                          <w:marRight w:val="0"/>
                                          <w:marTop w:val="0"/>
                                          <w:marBottom w:val="0"/>
                                          <w:divBdr>
                                            <w:top w:val="none" w:sz="0" w:space="0" w:color="auto"/>
                                            <w:left w:val="none" w:sz="0" w:space="0" w:color="auto"/>
                                            <w:bottom w:val="none" w:sz="0" w:space="0" w:color="auto"/>
                                            <w:right w:val="none" w:sz="0" w:space="0" w:color="auto"/>
                                          </w:divBdr>
                                        </w:div>
                                        <w:div w:id="1601454607">
                                          <w:marLeft w:val="0"/>
                                          <w:marRight w:val="0"/>
                                          <w:marTop w:val="0"/>
                                          <w:marBottom w:val="0"/>
                                          <w:divBdr>
                                            <w:top w:val="none" w:sz="0" w:space="0" w:color="auto"/>
                                            <w:left w:val="none" w:sz="0" w:space="0" w:color="auto"/>
                                            <w:bottom w:val="none" w:sz="0" w:space="0" w:color="auto"/>
                                            <w:right w:val="none" w:sz="0" w:space="0" w:color="auto"/>
                                          </w:divBdr>
                                        </w:div>
                                        <w:div w:id="1461613157">
                                          <w:marLeft w:val="0"/>
                                          <w:marRight w:val="0"/>
                                          <w:marTop w:val="0"/>
                                          <w:marBottom w:val="0"/>
                                          <w:divBdr>
                                            <w:top w:val="none" w:sz="0" w:space="0" w:color="auto"/>
                                            <w:left w:val="none" w:sz="0" w:space="0" w:color="auto"/>
                                            <w:bottom w:val="none" w:sz="0" w:space="0" w:color="auto"/>
                                            <w:right w:val="none" w:sz="0" w:space="0" w:color="auto"/>
                                          </w:divBdr>
                                        </w:div>
                                        <w:div w:id="944457423">
                                          <w:marLeft w:val="0"/>
                                          <w:marRight w:val="0"/>
                                          <w:marTop w:val="0"/>
                                          <w:marBottom w:val="0"/>
                                          <w:divBdr>
                                            <w:top w:val="none" w:sz="0" w:space="0" w:color="auto"/>
                                            <w:left w:val="none" w:sz="0" w:space="0" w:color="auto"/>
                                            <w:bottom w:val="none" w:sz="0" w:space="0" w:color="auto"/>
                                            <w:right w:val="none" w:sz="0" w:space="0" w:color="auto"/>
                                          </w:divBdr>
                                        </w:div>
                                        <w:div w:id="437407668">
                                          <w:marLeft w:val="0"/>
                                          <w:marRight w:val="0"/>
                                          <w:marTop w:val="0"/>
                                          <w:marBottom w:val="0"/>
                                          <w:divBdr>
                                            <w:top w:val="none" w:sz="0" w:space="0" w:color="auto"/>
                                            <w:left w:val="none" w:sz="0" w:space="0" w:color="auto"/>
                                            <w:bottom w:val="none" w:sz="0" w:space="0" w:color="auto"/>
                                            <w:right w:val="none" w:sz="0" w:space="0" w:color="auto"/>
                                          </w:divBdr>
                                        </w:div>
                                        <w:div w:id="1134908514">
                                          <w:marLeft w:val="0"/>
                                          <w:marRight w:val="0"/>
                                          <w:marTop w:val="0"/>
                                          <w:marBottom w:val="0"/>
                                          <w:divBdr>
                                            <w:top w:val="none" w:sz="0" w:space="0" w:color="auto"/>
                                            <w:left w:val="none" w:sz="0" w:space="0" w:color="auto"/>
                                            <w:bottom w:val="none" w:sz="0" w:space="0" w:color="auto"/>
                                            <w:right w:val="none" w:sz="0" w:space="0" w:color="auto"/>
                                          </w:divBdr>
                                        </w:div>
                                        <w:div w:id="1376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48837">
      <w:bodyDiv w:val="1"/>
      <w:marLeft w:val="0"/>
      <w:marRight w:val="0"/>
      <w:marTop w:val="0"/>
      <w:marBottom w:val="0"/>
      <w:divBdr>
        <w:top w:val="none" w:sz="0" w:space="0" w:color="auto"/>
        <w:left w:val="none" w:sz="0" w:space="0" w:color="auto"/>
        <w:bottom w:val="none" w:sz="0" w:space="0" w:color="auto"/>
        <w:right w:val="none" w:sz="0" w:space="0" w:color="auto"/>
      </w:divBdr>
      <w:divsChild>
        <w:div w:id="1616713440">
          <w:marLeft w:val="0"/>
          <w:marRight w:val="0"/>
          <w:marTop w:val="0"/>
          <w:marBottom w:val="0"/>
          <w:divBdr>
            <w:top w:val="none" w:sz="0" w:space="0" w:color="auto"/>
            <w:left w:val="none" w:sz="0" w:space="0" w:color="auto"/>
            <w:bottom w:val="none" w:sz="0" w:space="0" w:color="auto"/>
            <w:right w:val="none" w:sz="0" w:space="0" w:color="auto"/>
          </w:divBdr>
          <w:divsChild>
            <w:div w:id="997224618">
              <w:marLeft w:val="0"/>
              <w:marRight w:val="0"/>
              <w:marTop w:val="0"/>
              <w:marBottom w:val="0"/>
              <w:divBdr>
                <w:top w:val="none" w:sz="0" w:space="0" w:color="auto"/>
                <w:left w:val="none" w:sz="0" w:space="0" w:color="auto"/>
                <w:bottom w:val="none" w:sz="0" w:space="0" w:color="auto"/>
                <w:right w:val="none" w:sz="0" w:space="0" w:color="auto"/>
              </w:divBdr>
              <w:divsChild>
                <w:div w:id="2088184856">
                  <w:marLeft w:val="0"/>
                  <w:marRight w:val="0"/>
                  <w:marTop w:val="0"/>
                  <w:marBottom w:val="0"/>
                  <w:divBdr>
                    <w:top w:val="none" w:sz="0" w:space="12" w:color="auto"/>
                    <w:left w:val="none" w:sz="0" w:space="12" w:color="auto"/>
                    <w:bottom w:val="none" w:sz="0" w:space="12" w:color="auto"/>
                    <w:right w:val="none" w:sz="0" w:space="12" w:color="auto"/>
                  </w:divBdr>
                  <w:divsChild>
                    <w:div w:id="1361780391">
                      <w:marLeft w:val="0"/>
                      <w:marRight w:val="0"/>
                      <w:marTop w:val="0"/>
                      <w:marBottom w:val="0"/>
                      <w:divBdr>
                        <w:top w:val="none" w:sz="0" w:space="12" w:color="auto"/>
                        <w:left w:val="none" w:sz="0" w:space="12" w:color="auto"/>
                        <w:bottom w:val="none" w:sz="0" w:space="12" w:color="auto"/>
                        <w:right w:val="none" w:sz="0" w:space="12" w:color="auto"/>
                      </w:divBdr>
                      <w:divsChild>
                        <w:div w:id="646394438">
                          <w:marLeft w:val="0"/>
                          <w:marRight w:val="0"/>
                          <w:marTop w:val="0"/>
                          <w:marBottom w:val="0"/>
                          <w:divBdr>
                            <w:top w:val="none" w:sz="0" w:space="0" w:color="auto"/>
                            <w:left w:val="none" w:sz="0" w:space="0" w:color="auto"/>
                            <w:bottom w:val="none" w:sz="0" w:space="0" w:color="auto"/>
                            <w:right w:val="none" w:sz="0" w:space="0" w:color="auto"/>
                          </w:divBdr>
                          <w:divsChild>
                            <w:div w:id="600794103">
                              <w:marLeft w:val="-225"/>
                              <w:marRight w:val="-225"/>
                              <w:marTop w:val="0"/>
                              <w:marBottom w:val="0"/>
                              <w:divBdr>
                                <w:top w:val="none" w:sz="0" w:space="0" w:color="auto"/>
                                <w:left w:val="none" w:sz="0" w:space="0" w:color="auto"/>
                                <w:bottom w:val="none" w:sz="0" w:space="0" w:color="auto"/>
                                <w:right w:val="none" w:sz="0" w:space="0" w:color="auto"/>
                              </w:divBdr>
                              <w:divsChild>
                                <w:div w:id="1871259501">
                                  <w:marLeft w:val="0"/>
                                  <w:marRight w:val="0"/>
                                  <w:marTop w:val="0"/>
                                  <w:marBottom w:val="0"/>
                                  <w:divBdr>
                                    <w:top w:val="none" w:sz="0" w:space="0" w:color="auto"/>
                                    <w:left w:val="none" w:sz="0" w:space="0" w:color="auto"/>
                                    <w:bottom w:val="none" w:sz="0" w:space="0" w:color="auto"/>
                                    <w:right w:val="none" w:sz="0" w:space="0" w:color="auto"/>
                                  </w:divBdr>
                                  <w:divsChild>
                                    <w:div w:id="1343781929">
                                      <w:marLeft w:val="0"/>
                                      <w:marRight w:val="0"/>
                                      <w:marTop w:val="0"/>
                                      <w:marBottom w:val="0"/>
                                      <w:divBdr>
                                        <w:top w:val="none" w:sz="0" w:space="0" w:color="auto"/>
                                        <w:left w:val="none" w:sz="0" w:space="0" w:color="auto"/>
                                        <w:bottom w:val="none" w:sz="0" w:space="0" w:color="auto"/>
                                        <w:right w:val="none" w:sz="0" w:space="0" w:color="auto"/>
                                      </w:divBdr>
                                      <w:divsChild>
                                        <w:div w:id="1374888899">
                                          <w:marLeft w:val="0"/>
                                          <w:marRight w:val="0"/>
                                          <w:marTop w:val="0"/>
                                          <w:marBottom w:val="0"/>
                                          <w:divBdr>
                                            <w:top w:val="none" w:sz="0" w:space="0" w:color="auto"/>
                                            <w:left w:val="none" w:sz="0" w:space="0" w:color="auto"/>
                                            <w:bottom w:val="none" w:sz="0" w:space="0" w:color="auto"/>
                                            <w:right w:val="none" w:sz="0" w:space="0" w:color="auto"/>
                                          </w:divBdr>
                                        </w:div>
                                        <w:div w:id="30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330256">
      <w:bodyDiv w:val="1"/>
      <w:marLeft w:val="0"/>
      <w:marRight w:val="0"/>
      <w:marTop w:val="0"/>
      <w:marBottom w:val="0"/>
      <w:divBdr>
        <w:top w:val="none" w:sz="0" w:space="0" w:color="auto"/>
        <w:left w:val="none" w:sz="0" w:space="0" w:color="auto"/>
        <w:bottom w:val="none" w:sz="0" w:space="0" w:color="auto"/>
        <w:right w:val="none" w:sz="0" w:space="0" w:color="auto"/>
      </w:divBdr>
    </w:div>
    <w:div w:id="374278621">
      <w:bodyDiv w:val="1"/>
      <w:marLeft w:val="0"/>
      <w:marRight w:val="0"/>
      <w:marTop w:val="0"/>
      <w:marBottom w:val="0"/>
      <w:divBdr>
        <w:top w:val="none" w:sz="0" w:space="0" w:color="auto"/>
        <w:left w:val="none" w:sz="0" w:space="0" w:color="auto"/>
        <w:bottom w:val="none" w:sz="0" w:space="0" w:color="auto"/>
        <w:right w:val="none" w:sz="0" w:space="0" w:color="auto"/>
      </w:divBdr>
    </w:div>
    <w:div w:id="422728859">
      <w:bodyDiv w:val="1"/>
      <w:marLeft w:val="0"/>
      <w:marRight w:val="0"/>
      <w:marTop w:val="0"/>
      <w:marBottom w:val="0"/>
      <w:divBdr>
        <w:top w:val="none" w:sz="0" w:space="0" w:color="auto"/>
        <w:left w:val="none" w:sz="0" w:space="0" w:color="auto"/>
        <w:bottom w:val="none" w:sz="0" w:space="0" w:color="auto"/>
        <w:right w:val="none" w:sz="0" w:space="0" w:color="auto"/>
      </w:divBdr>
    </w:div>
    <w:div w:id="423578204">
      <w:bodyDiv w:val="1"/>
      <w:marLeft w:val="0"/>
      <w:marRight w:val="0"/>
      <w:marTop w:val="0"/>
      <w:marBottom w:val="0"/>
      <w:divBdr>
        <w:top w:val="none" w:sz="0" w:space="0" w:color="auto"/>
        <w:left w:val="none" w:sz="0" w:space="0" w:color="auto"/>
        <w:bottom w:val="none" w:sz="0" w:space="0" w:color="auto"/>
        <w:right w:val="none" w:sz="0" w:space="0" w:color="auto"/>
      </w:divBdr>
    </w:div>
    <w:div w:id="523330803">
      <w:bodyDiv w:val="1"/>
      <w:marLeft w:val="0"/>
      <w:marRight w:val="0"/>
      <w:marTop w:val="0"/>
      <w:marBottom w:val="0"/>
      <w:divBdr>
        <w:top w:val="none" w:sz="0" w:space="0" w:color="auto"/>
        <w:left w:val="none" w:sz="0" w:space="0" w:color="auto"/>
        <w:bottom w:val="none" w:sz="0" w:space="0" w:color="auto"/>
        <w:right w:val="none" w:sz="0" w:space="0" w:color="auto"/>
      </w:divBdr>
    </w:div>
    <w:div w:id="669255068">
      <w:bodyDiv w:val="1"/>
      <w:marLeft w:val="0"/>
      <w:marRight w:val="0"/>
      <w:marTop w:val="0"/>
      <w:marBottom w:val="0"/>
      <w:divBdr>
        <w:top w:val="none" w:sz="0" w:space="0" w:color="auto"/>
        <w:left w:val="none" w:sz="0" w:space="0" w:color="auto"/>
        <w:bottom w:val="none" w:sz="0" w:space="0" w:color="auto"/>
        <w:right w:val="none" w:sz="0" w:space="0" w:color="auto"/>
      </w:divBdr>
    </w:div>
    <w:div w:id="743642762">
      <w:bodyDiv w:val="1"/>
      <w:marLeft w:val="0"/>
      <w:marRight w:val="0"/>
      <w:marTop w:val="0"/>
      <w:marBottom w:val="0"/>
      <w:divBdr>
        <w:top w:val="none" w:sz="0" w:space="0" w:color="auto"/>
        <w:left w:val="none" w:sz="0" w:space="0" w:color="auto"/>
        <w:bottom w:val="none" w:sz="0" w:space="0" w:color="auto"/>
        <w:right w:val="none" w:sz="0" w:space="0" w:color="auto"/>
      </w:divBdr>
    </w:div>
    <w:div w:id="887300890">
      <w:bodyDiv w:val="1"/>
      <w:marLeft w:val="0"/>
      <w:marRight w:val="0"/>
      <w:marTop w:val="0"/>
      <w:marBottom w:val="0"/>
      <w:divBdr>
        <w:top w:val="none" w:sz="0" w:space="0" w:color="auto"/>
        <w:left w:val="none" w:sz="0" w:space="0" w:color="auto"/>
        <w:bottom w:val="none" w:sz="0" w:space="0" w:color="auto"/>
        <w:right w:val="none" w:sz="0" w:space="0" w:color="auto"/>
      </w:divBdr>
    </w:div>
    <w:div w:id="1001277919">
      <w:bodyDiv w:val="1"/>
      <w:marLeft w:val="0"/>
      <w:marRight w:val="0"/>
      <w:marTop w:val="0"/>
      <w:marBottom w:val="0"/>
      <w:divBdr>
        <w:top w:val="none" w:sz="0" w:space="0" w:color="auto"/>
        <w:left w:val="none" w:sz="0" w:space="0" w:color="auto"/>
        <w:bottom w:val="none" w:sz="0" w:space="0" w:color="auto"/>
        <w:right w:val="none" w:sz="0" w:space="0" w:color="auto"/>
      </w:divBdr>
    </w:div>
    <w:div w:id="1230847743">
      <w:bodyDiv w:val="1"/>
      <w:marLeft w:val="0"/>
      <w:marRight w:val="0"/>
      <w:marTop w:val="0"/>
      <w:marBottom w:val="0"/>
      <w:divBdr>
        <w:top w:val="none" w:sz="0" w:space="0" w:color="auto"/>
        <w:left w:val="none" w:sz="0" w:space="0" w:color="auto"/>
        <w:bottom w:val="none" w:sz="0" w:space="0" w:color="auto"/>
        <w:right w:val="none" w:sz="0" w:space="0" w:color="auto"/>
      </w:divBdr>
      <w:divsChild>
        <w:div w:id="1521969992">
          <w:marLeft w:val="0"/>
          <w:marRight w:val="0"/>
          <w:marTop w:val="0"/>
          <w:marBottom w:val="0"/>
          <w:divBdr>
            <w:top w:val="none" w:sz="0" w:space="0" w:color="auto"/>
            <w:left w:val="none" w:sz="0" w:space="0" w:color="auto"/>
            <w:bottom w:val="none" w:sz="0" w:space="0" w:color="auto"/>
            <w:right w:val="none" w:sz="0" w:space="0" w:color="auto"/>
          </w:divBdr>
          <w:divsChild>
            <w:div w:id="1217014062">
              <w:marLeft w:val="0"/>
              <w:marRight w:val="0"/>
              <w:marTop w:val="0"/>
              <w:marBottom w:val="0"/>
              <w:divBdr>
                <w:top w:val="none" w:sz="0" w:space="0" w:color="auto"/>
                <w:left w:val="none" w:sz="0" w:space="0" w:color="auto"/>
                <w:bottom w:val="none" w:sz="0" w:space="0" w:color="auto"/>
                <w:right w:val="none" w:sz="0" w:space="0" w:color="auto"/>
              </w:divBdr>
              <w:divsChild>
                <w:div w:id="1129932899">
                  <w:marLeft w:val="0"/>
                  <w:marRight w:val="0"/>
                  <w:marTop w:val="0"/>
                  <w:marBottom w:val="0"/>
                  <w:divBdr>
                    <w:top w:val="none" w:sz="0" w:space="12" w:color="auto"/>
                    <w:left w:val="none" w:sz="0" w:space="12" w:color="auto"/>
                    <w:bottom w:val="none" w:sz="0" w:space="12" w:color="auto"/>
                    <w:right w:val="none" w:sz="0" w:space="12" w:color="auto"/>
                  </w:divBdr>
                  <w:divsChild>
                    <w:div w:id="2021932758">
                      <w:marLeft w:val="0"/>
                      <w:marRight w:val="0"/>
                      <w:marTop w:val="0"/>
                      <w:marBottom w:val="0"/>
                      <w:divBdr>
                        <w:top w:val="none" w:sz="0" w:space="12" w:color="auto"/>
                        <w:left w:val="none" w:sz="0" w:space="12" w:color="auto"/>
                        <w:bottom w:val="none" w:sz="0" w:space="12" w:color="auto"/>
                        <w:right w:val="none" w:sz="0" w:space="12" w:color="auto"/>
                      </w:divBdr>
                      <w:divsChild>
                        <w:div w:id="1337268445">
                          <w:marLeft w:val="0"/>
                          <w:marRight w:val="0"/>
                          <w:marTop w:val="0"/>
                          <w:marBottom w:val="0"/>
                          <w:divBdr>
                            <w:top w:val="none" w:sz="0" w:space="0" w:color="auto"/>
                            <w:left w:val="none" w:sz="0" w:space="0" w:color="auto"/>
                            <w:bottom w:val="none" w:sz="0" w:space="0" w:color="auto"/>
                            <w:right w:val="none" w:sz="0" w:space="0" w:color="auto"/>
                          </w:divBdr>
                          <w:divsChild>
                            <w:div w:id="1298335530">
                              <w:marLeft w:val="-225"/>
                              <w:marRight w:val="-225"/>
                              <w:marTop w:val="0"/>
                              <w:marBottom w:val="0"/>
                              <w:divBdr>
                                <w:top w:val="none" w:sz="0" w:space="0" w:color="auto"/>
                                <w:left w:val="none" w:sz="0" w:space="0" w:color="auto"/>
                                <w:bottom w:val="none" w:sz="0" w:space="0" w:color="auto"/>
                                <w:right w:val="none" w:sz="0" w:space="0" w:color="auto"/>
                              </w:divBdr>
                              <w:divsChild>
                                <w:div w:id="1464226810">
                                  <w:marLeft w:val="0"/>
                                  <w:marRight w:val="0"/>
                                  <w:marTop w:val="0"/>
                                  <w:marBottom w:val="0"/>
                                  <w:divBdr>
                                    <w:top w:val="none" w:sz="0" w:space="0" w:color="auto"/>
                                    <w:left w:val="none" w:sz="0" w:space="0" w:color="auto"/>
                                    <w:bottom w:val="none" w:sz="0" w:space="0" w:color="auto"/>
                                    <w:right w:val="none" w:sz="0" w:space="0" w:color="auto"/>
                                  </w:divBdr>
                                  <w:divsChild>
                                    <w:div w:id="1019427589">
                                      <w:marLeft w:val="0"/>
                                      <w:marRight w:val="0"/>
                                      <w:marTop w:val="0"/>
                                      <w:marBottom w:val="0"/>
                                      <w:divBdr>
                                        <w:top w:val="none" w:sz="0" w:space="0" w:color="auto"/>
                                        <w:left w:val="none" w:sz="0" w:space="0" w:color="auto"/>
                                        <w:bottom w:val="none" w:sz="0" w:space="0" w:color="auto"/>
                                        <w:right w:val="none" w:sz="0" w:space="0" w:color="auto"/>
                                      </w:divBdr>
                                      <w:divsChild>
                                        <w:div w:id="220793289">
                                          <w:marLeft w:val="0"/>
                                          <w:marRight w:val="0"/>
                                          <w:marTop w:val="0"/>
                                          <w:marBottom w:val="0"/>
                                          <w:divBdr>
                                            <w:top w:val="none" w:sz="0" w:space="0" w:color="auto"/>
                                            <w:left w:val="none" w:sz="0" w:space="0" w:color="auto"/>
                                            <w:bottom w:val="none" w:sz="0" w:space="0" w:color="auto"/>
                                            <w:right w:val="none" w:sz="0" w:space="0" w:color="auto"/>
                                          </w:divBdr>
                                        </w:div>
                                        <w:div w:id="1905293557">
                                          <w:marLeft w:val="0"/>
                                          <w:marRight w:val="0"/>
                                          <w:marTop w:val="0"/>
                                          <w:marBottom w:val="0"/>
                                          <w:divBdr>
                                            <w:top w:val="none" w:sz="0" w:space="0" w:color="auto"/>
                                            <w:left w:val="none" w:sz="0" w:space="0" w:color="auto"/>
                                            <w:bottom w:val="none" w:sz="0" w:space="0" w:color="auto"/>
                                            <w:right w:val="none" w:sz="0" w:space="0" w:color="auto"/>
                                          </w:divBdr>
                                        </w:div>
                                        <w:div w:id="36247360">
                                          <w:marLeft w:val="0"/>
                                          <w:marRight w:val="0"/>
                                          <w:marTop w:val="0"/>
                                          <w:marBottom w:val="0"/>
                                          <w:divBdr>
                                            <w:top w:val="none" w:sz="0" w:space="0" w:color="auto"/>
                                            <w:left w:val="none" w:sz="0" w:space="0" w:color="auto"/>
                                            <w:bottom w:val="none" w:sz="0" w:space="0" w:color="auto"/>
                                            <w:right w:val="none" w:sz="0" w:space="0" w:color="auto"/>
                                          </w:divBdr>
                                        </w:div>
                                        <w:div w:id="337462919">
                                          <w:marLeft w:val="0"/>
                                          <w:marRight w:val="0"/>
                                          <w:marTop w:val="0"/>
                                          <w:marBottom w:val="0"/>
                                          <w:divBdr>
                                            <w:top w:val="none" w:sz="0" w:space="0" w:color="auto"/>
                                            <w:left w:val="none" w:sz="0" w:space="0" w:color="auto"/>
                                            <w:bottom w:val="none" w:sz="0" w:space="0" w:color="auto"/>
                                            <w:right w:val="none" w:sz="0" w:space="0" w:color="auto"/>
                                          </w:divBdr>
                                        </w:div>
                                        <w:div w:id="1155033062">
                                          <w:marLeft w:val="0"/>
                                          <w:marRight w:val="0"/>
                                          <w:marTop w:val="0"/>
                                          <w:marBottom w:val="0"/>
                                          <w:divBdr>
                                            <w:top w:val="none" w:sz="0" w:space="0" w:color="auto"/>
                                            <w:left w:val="none" w:sz="0" w:space="0" w:color="auto"/>
                                            <w:bottom w:val="none" w:sz="0" w:space="0" w:color="auto"/>
                                            <w:right w:val="none" w:sz="0" w:space="0" w:color="auto"/>
                                          </w:divBdr>
                                        </w:div>
                                        <w:div w:id="342896594">
                                          <w:marLeft w:val="0"/>
                                          <w:marRight w:val="0"/>
                                          <w:marTop w:val="0"/>
                                          <w:marBottom w:val="0"/>
                                          <w:divBdr>
                                            <w:top w:val="none" w:sz="0" w:space="0" w:color="auto"/>
                                            <w:left w:val="none" w:sz="0" w:space="0" w:color="auto"/>
                                            <w:bottom w:val="none" w:sz="0" w:space="0" w:color="auto"/>
                                            <w:right w:val="none" w:sz="0" w:space="0" w:color="auto"/>
                                          </w:divBdr>
                                        </w:div>
                                        <w:div w:id="357896853">
                                          <w:marLeft w:val="0"/>
                                          <w:marRight w:val="0"/>
                                          <w:marTop w:val="0"/>
                                          <w:marBottom w:val="0"/>
                                          <w:divBdr>
                                            <w:top w:val="none" w:sz="0" w:space="0" w:color="auto"/>
                                            <w:left w:val="none" w:sz="0" w:space="0" w:color="auto"/>
                                            <w:bottom w:val="none" w:sz="0" w:space="0" w:color="auto"/>
                                            <w:right w:val="none" w:sz="0" w:space="0" w:color="auto"/>
                                          </w:divBdr>
                                        </w:div>
                                        <w:div w:id="1995910098">
                                          <w:marLeft w:val="0"/>
                                          <w:marRight w:val="0"/>
                                          <w:marTop w:val="0"/>
                                          <w:marBottom w:val="0"/>
                                          <w:divBdr>
                                            <w:top w:val="none" w:sz="0" w:space="0" w:color="auto"/>
                                            <w:left w:val="none" w:sz="0" w:space="0" w:color="auto"/>
                                            <w:bottom w:val="none" w:sz="0" w:space="0" w:color="auto"/>
                                            <w:right w:val="none" w:sz="0" w:space="0" w:color="auto"/>
                                          </w:divBdr>
                                        </w:div>
                                        <w:div w:id="449327198">
                                          <w:marLeft w:val="0"/>
                                          <w:marRight w:val="0"/>
                                          <w:marTop w:val="0"/>
                                          <w:marBottom w:val="0"/>
                                          <w:divBdr>
                                            <w:top w:val="none" w:sz="0" w:space="0" w:color="auto"/>
                                            <w:left w:val="none" w:sz="0" w:space="0" w:color="auto"/>
                                            <w:bottom w:val="none" w:sz="0" w:space="0" w:color="auto"/>
                                            <w:right w:val="none" w:sz="0" w:space="0" w:color="auto"/>
                                          </w:divBdr>
                                        </w:div>
                                        <w:div w:id="667244785">
                                          <w:marLeft w:val="0"/>
                                          <w:marRight w:val="0"/>
                                          <w:marTop w:val="0"/>
                                          <w:marBottom w:val="0"/>
                                          <w:divBdr>
                                            <w:top w:val="none" w:sz="0" w:space="0" w:color="auto"/>
                                            <w:left w:val="none" w:sz="0" w:space="0" w:color="auto"/>
                                            <w:bottom w:val="none" w:sz="0" w:space="0" w:color="auto"/>
                                            <w:right w:val="none" w:sz="0" w:space="0" w:color="auto"/>
                                          </w:divBdr>
                                        </w:div>
                                        <w:div w:id="1226725646">
                                          <w:marLeft w:val="0"/>
                                          <w:marRight w:val="0"/>
                                          <w:marTop w:val="0"/>
                                          <w:marBottom w:val="0"/>
                                          <w:divBdr>
                                            <w:top w:val="none" w:sz="0" w:space="0" w:color="auto"/>
                                            <w:left w:val="none" w:sz="0" w:space="0" w:color="auto"/>
                                            <w:bottom w:val="none" w:sz="0" w:space="0" w:color="auto"/>
                                            <w:right w:val="none" w:sz="0" w:space="0" w:color="auto"/>
                                          </w:divBdr>
                                        </w:div>
                                        <w:div w:id="251160183">
                                          <w:marLeft w:val="0"/>
                                          <w:marRight w:val="0"/>
                                          <w:marTop w:val="0"/>
                                          <w:marBottom w:val="0"/>
                                          <w:divBdr>
                                            <w:top w:val="none" w:sz="0" w:space="0" w:color="auto"/>
                                            <w:left w:val="none" w:sz="0" w:space="0" w:color="auto"/>
                                            <w:bottom w:val="none" w:sz="0" w:space="0" w:color="auto"/>
                                            <w:right w:val="none" w:sz="0" w:space="0" w:color="auto"/>
                                          </w:divBdr>
                                        </w:div>
                                        <w:div w:id="255945205">
                                          <w:marLeft w:val="0"/>
                                          <w:marRight w:val="0"/>
                                          <w:marTop w:val="0"/>
                                          <w:marBottom w:val="0"/>
                                          <w:divBdr>
                                            <w:top w:val="none" w:sz="0" w:space="0" w:color="auto"/>
                                            <w:left w:val="none" w:sz="0" w:space="0" w:color="auto"/>
                                            <w:bottom w:val="none" w:sz="0" w:space="0" w:color="auto"/>
                                            <w:right w:val="none" w:sz="0" w:space="0" w:color="auto"/>
                                          </w:divBdr>
                                        </w:div>
                                        <w:div w:id="364912403">
                                          <w:marLeft w:val="0"/>
                                          <w:marRight w:val="0"/>
                                          <w:marTop w:val="0"/>
                                          <w:marBottom w:val="0"/>
                                          <w:divBdr>
                                            <w:top w:val="none" w:sz="0" w:space="0" w:color="auto"/>
                                            <w:left w:val="none" w:sz="0" w:space="0" w:color="auto"/>
                                            <w:bottom w:val="none" w:sz="0" w:space="0" w:color="auto"/>
                                            <w:right w:val="none" w:sz="0" w:space="0" w:color="auto"/>
                                          </w:divBdr>
                                        </w:div>
                                        <w:div w:id="10343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207890">
      <w:bodyDiv w:val="1"/>
      <w:marLeft w:val="0"/>
      <w:marRight w:val="0"/>
      <w:marTop w:val="0"/>
      <w:marBottom w:val="0"/>
      <w:divBdr>
        <w:top w:val="none" w:sz="0" w:space="0" w:color="auto"/>
        <w:left w:val="none" w:sz="0" w:space="0" w:color="auto"/>
        <w:bottom w:val="none" w:sz="0" w:space="0" w:color="auto"/>
        <w:right w:val="none" w:sz="0" w:space="0" w:color="auto"/>
      </w:divBdr>
    </w:div>
    <w:div w:id="1566840045">
      <w:bodyDiv w:val="1"/>
      <w:marLeft w:val="0"/>
      <w:marRight w:val="0"/>
      <w:marTop w:val="0"/>
      <w:marBottom w:val="0"/>
      <w:divBdr>
        <w:top w:val="none" w:sz="0" w:space="0" w:color="auto"/>
        <w:left w:val="none" w:sz="0" w:space="0" w:color="auto"/>
        <w:bottom w:val="none" w:sz="0" w:space="0" w:color="auto"/>
        <w:right w:val="none" w:sz="0" w:space="0" w:color="auto"/>
      </w:divBdr>
    </w:div>
    <w:div w:id="1751078755">
      <w:bodyDiv w:val="1"/>
      <w:marLeft w:val="0"/>
      <w:marRight w:val="0"/>
      <w:marTop w:val="0"/>
      <w:marBottom w:val="0"/>
      <w:divBdr>
        <w:top w:val="none" w:sz="0" w:space="0" w:color="auto"/>
        <w:left w:val="none" w:sz="0" w:space="0" w:color="auto"/>
        <w:bottom w:val="none" w:sz="0" w:space="0" w:color="auto"/>
        <w:right w:val="none" w:sz="0" w:space="0" w:color="auto"/>
      </w:divBdr>
    </w:div>
    <w:div w:id="1764717402">
      <w:bodyDiv w:val="1"/>
      <w:marLeft w:val="0"/>
      <w:marRight w:val="0"/>
      <w:marTop w:val="0"/>
      <w:marBottom w:val="0"/>
      <w:divBdr>
        <w:top w:val="none" w:sz="0" w:space="0" w:color="auto"/>
        <w:left w:val="none" w:sz="0" w:space="0" w:color="auto"/>
        <w:bottom w:val="none" w:sz="0" w:space="0" w:color="auto"/>
        <w:right w:val="none" w:sz="0" w:space="0" w:color="auto"/>
      </w:divBdr>
      <w:divsChild>
        <w:div w:id="1455056212">
          <w:marLeft w:val="0"/>
          <w:marRight w:val="0"/>
          <w:marTop w:val="0"/>
          <w:marBottom w:val="0"/>
          <w:divBdr>
            <w:top w:val="none" w:sz="0" w:space="0" w:color="auto"/>
            <w:left w:val="none" w:sz="0" w:space="0" w:color="auto"/>
            <w:bottom w:val="none" w:sz="0" w:space="0" w:color="auto"/>
            <w:right w:val="none" w:sz="0" w:space="0" w:color="auto"/>
          </w:divBdr>
          <w:divsChild>
            <w:div w:id="1552232300">
              <w:marLeft w:val="0"/>
              <w:marRight w:val="0"/>
              <w:marTop w:val="0"/>
              <w:marBottom w:val="0"/>
              <w:divBdr>
                <w:top w:val="none" w:sz="0" w:space="0" w:color="auto"/>
                <w:left w:val="none" w:sz="0" w:space="0" w:color="auto"/>
                <w:bottom w:val="none" w:sz="0" w:space="0" w:color="auto"/>
                <w:right w:val="none" w:sz="0" w:space="0" w:color="auto"/>
              </w:divBdr>
              <w:divsChild>
                <w:div w:id="975529733">
                  <w:marLeft w:val="0"/>
                  <w:marRight w:val="0"/>
                  <w:marTop w:val="0"/>
                  <w:marBottom w:val="0"/>
                  <w:divBdr>
                    <w:top w:val="none" w:sz="0" w:space="12" w:color="auto"/>
                    <w:left w:val="none" w:sz="0" w:space="12" w:color="auto"/>
                    <w:bottom w:val="none" w:sz="0" w:space="12" w:color="auto"/>
                    <w:right w:val="none" w:sz="0" w:space="12" w:color="auto"/>
                  </w:divBdr>
                  <w:divsChild>
                    <w:div w:id="982350438">
                      <w:marLeft w:val="0"/>
                      <w:marRight w:val="0"/>
                      <w:marTop w:val="0"/>
                      <w:marBottom w:val="0"/>
                      <w:divBdr>
                        <w:top w:val="none" w:sz="0" w:space="12" w:color="auto"/>
                        <w:left w:val="none" w:sz="0" w:space="12" w:color="auto"/>
                        <w:bottom w:val="none" w:sz="0" w:space="12" w:color="auto"/>
                        <w:right w:val="none" w:sz="0" w:space="12" w:color="auto"/>
                      </w:divBdr>
                      <w:divsChild>
                        <w:div w:id="1055009259">
                          <w:marLeft w:val="0"/>
                          <w:marRight w:val="0"/>
                          <w:marTop w:val="0"/>
                          <w:marBottom w:val="0"/>
                          <w:divBdr>
                            <w:top w:val="none" w:sz="0" w:space="0" w:color="auto"/>
                            <w:left w:val="none" w:sz="0" w:space="0" w:color="auto"/>
                            <w:bottom w:val="none" w:sz="0" w:space="0" w:color="auto"/>
                            <w:right w:val="none" w:sz="0" w:space="0" w:color="auto"/>
                          </w:divBdr>
                          <w:divsChild>
                            <w:div w:id="963195852">
                              <w:marLeft w:val="-225"/>
                              <w:marRight w:val="-225"/>
                              <w:marTop w:val="0"/>
                              <w:marBottom w:val="0"/>
                              <w:divBdr>
                                <w:top w:val="none" w:sz="0" w:space="0" w:color="auto"/>
                                <w:left w:val="none" w:sz="0" w:space="0" w:color="auto"/>
                                <w:bottom w:val="none" w:sz="0" w:space="0" w:color="auto"/>
                                <w:right w:val="none" w:sz="0" w:space="0" w:color="auto"/>
                              </w:divBdr>
                              <w:divsChild>
                                <w:div w:id="154535134">
                                  <w:marLeft w:val="0"/>
                                  <w:marRight w:val="0"/>
                                  <w:marTop w:val="0"/>
                                  <w:marBottom w:val="0"/>
                                  <w:divBdr>
                                    <w:top w:val="none" w:sz="0" w:space="0" w:color="auto"/>
                                    <w:left w:val="none" w:sz="0" w:space="0" w:color="auto"/>
                                    <w:bottom w:val="none" w:sz="0" w:space="0" w:color="auto"/>
                                    <w:right w:val="none" w:sz="0" w:space="0" w:color="auto"/>
                                  </w:divBdr>
                                  <w:divsChild>
                                    <w:div w:id="1630429488">
                                      <w:marLeft w:val="0"/>
                                      <w:marRight w:val="0"/>
                                      <w:marTop w:val="0"/>
                                      <w:marBottom w:val="0"/>
                                      <w:divBdr>
                                        <w:top w:val="none" w:sz="0" w:space="0" w:color="auto"/>
                                        <w:left w:val="none" w:sz="0" w:space="0" w:color="auto"/>
                                        <w:bottom w:val="none" w:sz="0" w:space="0" w:color="auto"/>
                                        <w:right w:val="none" w:sz="0" w:space="0" w:color="auto"/>
                                      </w:divBdr>
                                      <w:divsChild>
                                        <w:div w:id="492258221">
                                          <w:marLeft w:val="0"/>
                                          <w:marRight w:val="0"/>
                                          <w:marTop w:val="0"/>
                                          <w:marBottom w:val="0"/>
                                          <w:divBdr>
                                            <w:top w:val="none" w:sz="0" w:space="0" w:color="auto"/>
                                            <w:left w:val="none" w:sz="0" w:space="0" w:color="auto"/>
                                            <w:bottom w:val="none" w:sz="0" w:space="0" w:color="auto"/>
                                            <w:right w:val="none" w:sz="0" w:space="0" w:color="auto"/>
                                          </w:divBdr>
                                          <w:divsChild>
                                            <w:div w:id="1431119330">
                                              <w:marLeft w:val="0"/>
                                              <w:marRight w:val="0"/>
                                              <w:marTop w:val="0"/>
                                              <w:marBottom w:val="0"/>
                                              <w:divBdr>
                                                <w:top w:val="none" w:sz="0" w:space="0" w:color="auto"/>
                                                <w:left w:val="none" w:sz="0" w:space="0" w:color="auto"/>
                                                <w:bottom w:val="none" w:sz="0" w:space="0" w:color="auto"/>
                                                <w:right w:val="none" w:sz="0" w:space="0" w:color="auto"/>
                                              </w:divBdr>
                                            </w:div>
                                            <w:div w:id="1387025619">
                                              <w:marLeft w:val="0"/>
                                              <w:marRight w:val="0"/>
                                              <w:marTop w:val="0"/>
                                              <w:marBottom w:val="0"/>
                                              <w:divBdr>
                                                <w:top w:val="none" w:sz="0" w:space="0" w:color="auto"/>
                                                <w:left w:val="none" w:sz="0" w:space="0" w:color="auto"/>
                                                <w:bottom w:val="none" w:sz="0" w:space="0" w:color="auto"/>
                                                <w:right w:val="none" w:sz="0" w:space="0" w:color="auto"/>
                                              </w:divBdr>
                                            </w:div>
                                            <w:div w:id="13331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302004">
      <w:bodyDiv w:val="1"/>
      <w:marLeft w:val="0"/>
      <w:marRight w:val="0"/>
      <w:marTop w:val="0"/>
      <w:marBottom w:val="0"/>
      <w:divBdr>
        <w:top w:val="none" w:sz="0" w:space="0" w:color="auto"/>
        <w:left w:val="none" w:sz="0" w:space="0" w:color="auto"/>
        <w:bottom w:val="none" w:sz="0" w:space="0" w:color="auto"/>
        <w:right w:val="none" w:sz="0" w:space="0" w:color="auto"/>
      </w:divBdr>
    </w:div>
    <w:div w:id="1812164009">
      <w:bodyDiv w:val="1"/>
      <w:marLeft w:val="0"/>
      <w:marRight w:val="0"/>
      <w:marTop w:val="0"/>
      <w:marBottom w:val="0"/>
      <w:divBdr>
        <w:top w:val="none" w:sz="0" w:space="0" w:color="auto"/>
        <w:left w:val="none" w:sz="0" w:space="0" w:color="auto"/>
        <w:bottom w:val="none" w:sz="0" w:space="0" w:color="auto"/>
        <w:right w:val="none" w:sz="0" w:space="0" w:color="auto"/>
      </w:divBdr>
    </w:div>
    <w:div w:id="1816726057">
      <w:bodyDiv w:val="1"/>
      <w:marLeft w:val="0"/>
      <w:marRight w:val="0"/>
      <w:marTop w:val="0"/>
      <w:marBottom w:val="0"/>
      <w:divBdr>
        <w:top w:val="none" w:sz="0" w:space="0" w:color="auto"/>
        <w:left w:val="none" w:sz="0" w:space="0" w:color="auto"/>
        <w:bottom w:val="none" w:sz="0" w:space="0" w:color="auto"/>
        <w:right w:val="none" w:sz="0" w:space="0" w:color="auto"/>
      </w:divBdr>
    </w:div>
    <w:div w:id="1851598776">
      <w:bodyDiv w:val="1"/>
      <w:marLeft w:val="0"/>
      <w:marRight w:val="0"/>
      <w:marTop w:val="0"/>
      <w:marBottom w:val="0"/>
      <w:divBdr>
        <w:top w:val="none" w:sz="0" w:space="0" w:color="auto"/>
        <w:left w:val="none" w:sz="0" w:space="0" w:color="auto"/>
        <w:bottom w:val="none" w:sz="0" w:space="0" w:color="auto"/>
        <w:right w:val="none" w:sz="0" w:space="0" w:color="auto"/>
      </w:divBdr>
    </w:div>
    <w:div w:id="1930236307">
      <w:bodyDiv w:val="1"/>
      <w:marLeft w:val="0"/>
      <w:marRight w:val="0"/>
      <w:marTop w:val="0"/>
      <w:marBottom w:val="0"/>
      <w:divBdr>
        <w:top w:val="none" w:sz="0" w:space="0" w:color="auto"/>
        <w:left w:val="none" w:sz="0" w:space="0" w:color="auto"/>
        <w:bottom w:val="none" w:sz="0" w:space="0" w:color="auto"/>
        <w:right w:val="none" w:sz="0" w:space="0" w:color="auto"/>
      </w:divBdr>
    </w:div>
    <w:div w:id="1979453950">
      <w:bodyDiv w:val="1"/>
      <w:marLeft w:val="0"/>
      <w:marRight w:val="0"/>
      <w:marTop w:val="0"/>
      <w:marBottom w:val="0"/>
      <w:divBdr>
        <w:top w:val="none" w:sz="0" w:space="0" w:color="auto"/>
        <w:left w:val="none" w:sz="0" w:space="0" w:color="auto"/>
        <w:bottom w:val="none" w:sz="0" w:space="0" w:color="auto"/>
        <w:right w:val="none" w:sz="0" w:space="0" w:color="auto"/>
      </w:divBdr>
    </w:div>
    <w:div w:id="2032679076">
      <w:bodyDiv w:val="1"/>
      <w:marLeft w:val="0"/>
      <w:marRight w:val="0"/>
      <w:marTop w:val="0"/>
      <w:marBottom w:val="0"/>
      <w:divBdr>
        <w:top w:val="none" w:sz="0" w:space="0" w:color="auto"/>
        <w:left w:val="none" w:sz="0" w:space="0" w:color="auto"/>
        <w:bottom w:val="none" w:sz="0" w:space="0" w:color="auto"/>
        <w:right w:val="none" w:sz="0" w:space="0" w:color="auto"/>
      </w:divBdr>
      <w:divsChild>
        <w:div w:id="1467163413">
          <w:marLeft w:val="0"/>
          <w:marRight w:val="0"/>
          <w:marTop w:val="0"/>
          <w:marBottom w:val="0"/>
          <w:divBdr>
            <w:top w:val="none" w:sz="0" w:space="0" w:color="auto"/>
            <w:left w:val="none" w:sz="0" w:space="0" w:color="auto"/>
            <w:bottom w:val="none" w:sz="0" w:space="0" w:color="auto"/>
            <w:right w:val="none" w:sz="0" w:space="0" w:color="auto"/>
          </w:divBdr>
          <w:divsChild>
            <w:div w:id="1289894678">
              <w:marLeft w:val="0"/>
              <w:marRight w:val="0"/>
              <w:marTop w:val="0"/>
              <w:marBottom w:val="0"/>
              <w:divBdr>
                <w:top w:val="none" w:sz="0" w:space="0" w:color="auto"/>
                <w:left w:val="none" w:sz="0" w:space="0" w:color="auto"/>
                <w:bottom w:val="none" w:sz="0" w:space="0" w:color="auto"/>
                <w:right w:val="none" w:sz="0" w:space="0" w:color="auto"/>
              </w:divBdr>
              <w:divsChild>
                <w:div w:id="1446583620">
                  <w:marLeft w:val="0"/>
                  <w:marRight w:val="0"/>
                  <w:marTop w:val="0"/>
                  <w:marBottom w:val="0"/>
                  <w:divBdr>
                    <w:top w:val="none" w:sz="0" w:space="12" w:color="auto"/>
                    <w:left w:val="none" w:sz="0" w:space="12" w:color="auto"/>
                    <w:bottom w:val="none" w:sz="0" w:space="12" w:color="auto"/>
                    <w:right w:val="none" w:sz="0" w:space="12" w:color="auto"/>
                  </w:divBdr>
                  <w:divsChild>
                    <w:div w:id="1849178382">
                      <w:marLeft w:val="0"/>
                      <w:marRight w:val="0"/>
                      <w:marTop w:val="0"/>
                      <w:marBottom w:val="0"/>
                      <w:divBdr>
                        <w:top w:val="none" w:sz="0" w:space="12" w:color="auto"/>
                        <w:left w:val="none" w:sz="0" w:space="12" w:color="auto"/>
                        <w:bottom w:val="none" w:sz="0" w:space="12" w:color="auto"/>
                        <w:right w:val="none" w:sz="0" w:space="12" w:color="auto"/>
                      </w:divBdr>
                      <w:divsChild>
                        <w:div w:id="560403617">
                          <w:marLeft w:val="0"/>
                          <w:marRight w:val="0"/>
                          <w:marTop w:val="0"/>
                          <w:marBottom w:val="0"/>
                          <w:divBdr>
                            <w:top w:val="none" w:sz="0" w:space="0" w:color="auto"/>
                            <w:left w:val="none" w:sz="0" w:space="0" w:color="auto"/>
                            <w:bottom w:val="none" w:sz="0" w:space="0" w:color="auto"/>
                            <w:right w:val="none" w:sz="0" w:space="0" w:color="auto"/>
                          </w:divBdr>
                          <w:divsChild>
                            <w:div w:id="615257467">
                              <w:marLeft w:val="-225"/>
                              <w:marRight w:val="-225"/>
                              <w:marTop w:val="0"/>
                              <w:marBottom w:val="0"/>
                              <w:divBdr>
                                <w:top w:val="none" w:sz="0" w:space="0" w:color="auto"/>
                                <w:left w:val="none" w:sz="0" w:space="0" w:color="auto"/>
                                <w:bottom w:val="none" w:sz="0" w:space="0" w:color="auto"/>
                                <w:right w:val="none" w:sz="0" w:space="0" w:color="auto"/>
                              </w:divBdr>
                              <w:divsChild>
                                <w:div w:id="506752586">
                                  <w:marLeft w:val="0"/>
                                  <w:marRight w:val="0"/>
                                  <w:marTop w:val="0"/>
                                  <w:marBottom w:val="0"/>
                                  <w:divBdr>
                                    <w:top w:val="none" w:sz="0" w:space="0" w:color="auto"/>
                                    <w:left w:val="none" w:sz="0" w:space="0" w:color="auto"/>
                                    <w:bottom w:val="none" w:sz="0" w:space="0" w:color="auto"/>
                                    <w:right w:val="none" w:sz="0" w:space="0" w:color="auto"/>
                                  </w:divBdr>
                                  <w:divsChild>
                                    <w:div w:id="710039198">
                                      <w:marLeft w:val="0"/>
                                      <w:marRight w:val="0"/>
                                      <w:marTop w:val="0"/>
                                      <w:marBottom w:val="0"/>
                                      <w:divBdr>
                                        <w:top w:val="none" w:sz="0" w:space="0" w:color="auto"/>
                                        <w:left w:val="none" w:sz="0" w:space="0" w:color="auto"/>
                                        <w:bottom w:val="none" w:sz="0" w:space="0" w:color="auto"/>
                                        <w:right w:val="none" w:sz="0" w:space="0" w:color="auto"/>
                                      </w:divBdr>
                                      <w:divsChild>
                                        <w:div w:id="1293827284">
                                          <w:marLeft w:val="-225"/>
                                          <w:marRight w:val="-225"/>
                                          <w:marTop w:val="0"/>
                                          <w:marBottom w:val="0"/>
                                          <w:divBdr>
                                            <w:top w:val="none" w:sz="0" w:space="0" w:color="auto"/>
                                            <w:left w:val="none" w:sz="0" w:space="0" w:color="auto"/>
                                            <w:bottom w:val="none" w:sz="0" w:space="0" w:color="auto"/>
                                            <w:right w:val="none" w:sz="0" w:space="0" w:color="auto"/>
                                          </w:divBdr>
                                          <w:divsChild>
                                            <w:div w:id="970478413">
                                              <w:marLeft w:val="0"/>
                                              <w:marRight w:val="0"/>
                                              <w:marTop w:val="0"/>
                                              <w:marBottom w:val="0"/>
                                              <w:divBdr>
                                                <w:top w:val="none" w:sz="0" w:space="0" w:color="auto"/>
                                                <w:left w:val="none" w:sz="0" w:space="0" w:color="auto"/>
                                                <w:bottom w:val="none" w:sz="0" w:space="0" w:color="auto"/>
                                                <w:right w:val="none" w:sz="0" w:space="0" w:color="auto"/>
                                              </w:divBdr>
                                            </w:div>
                                          </w:divsChild>
                                        </w:div>
                                        <w:div w:id="1170174338">
                                          <w:marLeft w:val="-225"/>
                                          <w:marRight w:val="-225"/>
                                          <w:marTop w:val="0"/>
                                          <w:marBottom w:val="0"/>
                                          <w:divBdr>
                                            <w:top w:val="none" w:sz="0" w:space="0" w:color="auto"/>
                                            <w:left w:val="none" w:sz="0" w:space="0" w:color="auto"/>
                                            <w:bottom w:val="none" w:sz="0" w:space="0" w:color="auto"/>
                                            <w:right w:val="none" w:sz="0" w:space="0" w:color="auto"/>
                                          </w:divBdr>
                                          <w:divsChild>
                                            <w:div w:id="1681589320">
                                              <w:marLeft w:val="0"/>
                                              <w:marRight w:val="0"/>
                                              <w:marTop w:val="0"/>
                                              <w:marBottom w:val="0"/>
                                              <w:divBdr>
                                                <w:top w:val="none" w:sz="0" w:space="0" w:color="auto"/>
                                                <w:left w:val="none" w:sz="0" w:space="0" w:color="auto"/>
                                                <w:bottom w:val="none" w:sz="0" w:space="0" w:color="auto"/>
                                                <w:right w:val="none" w:sz="0" w:space="0" w:color="auto"/>
                                              </w:divBdr>
                                              <w:divsChild>
                                                <w:div w:id="46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wcouncil.org/energy/powerplan/7/plan/" TargetMode="External"/><Relationship Id="rId2" Type="http://schemas.openxmlformats.org/officeDocument/2006/relationships/hyperlink" Target="http://www.nwcouncil.org/energy/powerplan/7/plan/" TargetMode="External"/><Relationship Id="rId1" Type="http://schemas.openxmlformats.org/officeDocument/2006/relationships/hyperlink" Target="https://www.nwcouncil.org/energy/powerplan/7/draftplan/comments/view?id=1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2016-07-22T15:34:58+00:00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595A-2DEA-4282-8F1D-00410420DAEE}"/>
</file>

<file path=customXml/itemProps2.xml><?xml version="1.0" encoding="utf-8"?>
<ds:datastoreItem xmlns:ds="http://schemas.openxmlformats.org/officeDocument/2006/customXml" ds:itemID="{3BFED4A1-50E3-485F-8E9F-A2F0571EEE48}"/>
</file>

<file path=customXml/itemProps3.xml><?xml version="1.0" encoding="utf-8"?>
<ds:datastoreItem xmlns:ds="http://schemas.openxmlformats.org/officeDocument/2006/customXml" ds:itemID="{BB67EA1F-DCD2-4C2E-98D0-E31119CEDE54}"/>
</file>

<file path=customXml/itemProps4.xml><?xml version="1.0" encoding="utf-8"?>
<ds:datastoreItem xmlns:ds="http://schemas.openxmlformats.org/officeDocument/2006/customXml" ds:itemID="{DC8BEF90-A4B0-4585-A86C-E622ED9E24C5}"/>
</file>

<file path=customXml/itemProps5.xml><?xml version="1.0" encoding="utf-8"?>
<ds:datastoreItem xmlns:ds="http://schemas.openxmlformats.org/officeDocument/2006/customXml" ds:itemID="{E668C593-0C46-4870-BB8E-8619BBB81B08}"/>
</file>

<file path=docProps/app.xml><?xml version="1.0" encoding="utf-8"?>
<Properties xmlns="http://schemas.openxmlformats.org/officeDocument/2006/extended-properties" xmlns:vt="http://schemas.openxmlformats.org/officeDocument/2006/docPropsVTypes">
  <Template>Normal</Template>
  <TotalTime>5</TotalTime>
  <Pages>26</Pages>
  <Words>7698</Words>
  <Characters>43884</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Andrew J. O'Connell</cp:lastModifiedBy>
  <cp:revision>2</cp:revision>
  <cp:lastPrinted>2016-07-21T15:29:00Z</cp:lastPrinted>
  <dcterms:created xsi:type="dcterms:W3CDTF">2016-07-21T23:00:00Z</dcterms:created>
  <dcterms:modified xsi:type="dcterms:W3CDTF">2016-07-21T23:00:00Z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