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3.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A2C5B" w14:textId="77777777" w:rsidR="00E82C29" w:rsidRDefault="00E82C29" w:rsidP="00E82C29">
      <w:pPr>
        <w:pStyle w:val="BodyTextIndent"/>
        <w:keepNext/>
        <w:tabs>
          <w:tab w:val="clear" w:pos="0"/>
          <w:tab w:val="clear" w:pos="720"/>
          <w:tab w:val="left" w:pos="1260"/>
          <w:tab w:val="left" w:pos="1440"/>
          <w:tab w:val="left" w:pos="2160"/>
          <w:tab w:val="left" w:pos="2880"/>
          <w:tab w:val="left" w:pos="3600"/>
        </w:tabs>
        <w:spacing w:before="840" w:line="240" w:lineRule="auto"/>
        <w:ind w:firstLine="720"/>
        <w:jc w:val="center"/>
        <w:outlineLvl w:val="0"/>
        <w:rPr>
          <w:b/>
          <w:bCs/>
        </w:rPr>
      </w:pPr>
      <w:r>
        <w:rPr>
          <w:b/>
          <w:bCs/>
        </w:rPr>
        <w:t>BEFORE THE</w:t>
      </w:r>
    </w:p>
    <w:p w14:paraId="4D248AE1" w14:textId="77777777" w:rsidR="00E82C29" w:rsidRDefault="00E82C29" w:rsidP="00241563">
      <w:pPr>
        <w:pStyle w:val="BodyTextIndent"/>
        <w:keepNext/>
        <w:tabs>
          <w:tab w:val="clear" w:pos="0"/>
          <w:tab w:val="clear" w:pos="720"/>
          <w:tab w:val="left" w:pos="1260"/>
          <w:tab w:val="left" w:pos="1440"/>
          <w:tab w:val="left" w:pos="2160"/>
          <w:tab w:val="left" w:pos="2880"/>
          <w:tab w:val="left" w:pos="3600"/>
        </w:tabs>
        <w:spacing w:after="480" w:line="240" w:lineRule="auto"/>
        <w:ind w:firstLine="720"/>
        <w:jc w:val="center"/>
        <w:outlineLvl w:val="0"/>
        <w:rPr>
          <w:b/>
          <w:bCs/>
        </w:rPr>
      </w:pPr>
      <w:r>
        <w:rPr>
          <w:b/>
          <w:bCs/>
        </w:rPr>
        <w:t>WASHINGTON UTILITIES AND TRANSPORTATION COMMISSION</w:t>
      </w:r>
    </w:p>
    <w:tbl>
      <w:tblPr>
        <w:tblStyle w:val="TableGrid"/>
        <w:tblW w:w="0" w:type="auto"/>
        <w:tblLook w:val="04A0" w:firstRow="1" w:lastRow="0" w:firstColumn="1" w:lastColumn="0" w:noHBand="0" w:noVBand="1"/>
      </w:tblPr>
      <w:tblGrid>
        <w:gridCol w:w="4788"/>
        <w:gridCol w:w="4788"/>
      </w:tblGrid>
      <w:tr w:rsidR="00A93B4E" w14:paraId="4B8484E0" w14:textId="77777777" w:rsidTr="00E82C29">
        <w:tc>
          <w:tcPr>
            <w:tcW w:w="4788" w:type="dxa"/>
            <w:tcBorders>
              <w:top w:val="nil"/>
              <w:left w:val="nil"/>
              <w:right w:val="single" w:sz="4" w:space="0" w:color="000000"/>
            </w:tcBorders>
          </w:tcPr>
          <w:p w14:paraId="68596D16" w14:textId="77777777" w:rsidR="00E82C29" w:rsidRPr="00333124" w:rsidRDefault="00E82C29" w:rsidP="00E82C29">
            <w:pPr>
              <w:widowControl/>
              <w:spacing w:before="240" w:after="240"/>
            </w:pPr>
            <w:r w:rsidRPr="00333124">
              <w:t>In the Matter of the Petition of</w:t>
            </w:r>
          </w:p>
          <w:p w14:paraId="49BAE2A6" w14:textId="77777777" w:rsidR="00E82C29" w:rsidRPr="00333124" w:rsidRDefault="00E82C29" w:rsidP="00E82C29">
            <w:pPr>
              <w:widowControl/>
              <w:spacing w:before="240" w:after="240"/>
            </w:pPr>
            <w:r w:rsidRPr="00333124">
              <w:t>PUGET SOUND ENERGY</w:t>
            </w:r>
          </w:p>
          <w:p w14:paraId="2195C53C" w14:textId="77777777" w:rsidR="00E82C29" w:rsidRDefault="00E82C29" w:rsidP="00E82C29">
            <w:pPr>
              <w:widowControl/>
              <w:tabs>
                <w:tab w:val="left" w:pos="2174"/>
              </w:tabs>
              <w:spacing w:before="240" w:after="240"/>
            </w:pPr>
            <w:r w:rsidRPr="00333124">
              <w:t>for (i) Approval of a Special Contract for Liquefied Natural Gas Fuel Service with Totem Ocean Trailer Express, Inc. and (ii) a Declaratory Order Approving the Methodology for Allocating Costs Between Regulated and Non-regulated Liquefied Natural Gas Services</w:t>
            </w:r>
          </w:p>
        </w:tc>
        <w:tc>
          <w:tcPr>
            <w:tcW w:w="4788" w:type="dxa"/>
            <w:tcBorders>
              <w:top w:val="nil"/>
              <w:left w:val="single" w:sz="4" w:space="0" w:color="000000"/>
              <w:bottom w:val="nil"/>
              <w:right w:val="nil"/>
            </w:tcBorders>
          </w:tcPr>
          <w:p w14:paraId="09BC5ADA" w14:textId="77777777" w:rsidR="00E82C29" w:rsidRDefault="00E82C29" w:rsidP="00E82C29">
            <w:pPr>
              <w:widowControl/>
              <w:spacing w:before="240" w:after="240"/>
              <w:ind w:left="432"/>
            </w:pPr>
            <w:r w:rsidRPr="00333124">
              <w:t xml:space="preserve">DOCKET </w:t>
            </w:r>
            <w:r w:rsidRPr="00333124">
              <w:rPr>
                <w:bCs/>
                <w:iCs/>
              </w:rPr>
              <w:t>UG-151663</w:t>
            </w:r>
          </w:p>
          <w:p w14:paraId="19F61EAF" w14:textId="77777777" w:rsidR="00E82C29" w:rsidRDefault="00E82C29" w:rsidP="00E82C29">
            <w:pPr>
              <w:widowControl/>
              <w:spacing w:before="240" w:after="240"/>
              <w:ind w:left="432"/>
            </w:pPr>
          </w:p>
          <w:p w14:paraId="1203EFFA" w14:textId="1297EDE7" w:rsidR="00E82C29" w:rsidRDefault="00E82C29" w:rsidP="00E82C29">
            <w:pPr>
              <w:widowControl/>
              <w:spacing w:before="240" w:after="240"/>
              <w:ind w:left="432"/>
            </w:pPr>
            <w:r>
              <w:t>FULL SETTLEMENT STIPULATION</w:t>
            </w:r>
          </w:p>
          <w:p w14:paraId="3C19F97A" w14:textId="77777777" w:rsidR="00E82C29" w:rsidRDefault="00E82C29" w:rsidP="00E82C29">
            <w:pPr>
              <w:pStyle w:val="BodyTextIndent"/>
              <w:keepNext/>
              <w:tabs>
                <w:tab w:val="clear" w:pos="0"/>
                <w:tab w:val="clear" w:pos="720"/>
                <w:tab w:val="left" w:pos="1260"/>
                <w:tab w:val="left" w:pos="1440"/>
                <w:tab w:val="left" w:pos="2160"/>
                <w:tab w:val="left" w:pos="2880"/>
                <w:tab w:val="left" w:pos="3600"/>
              </w:tabs>
              <w:spacing w:line="240" w:lineRule="auto"/>
              <w:outlineLvl w:val="0"/>
            </w:pPr>
          </w:p>
        </w:tc>
      </w:tr>
    </w:tbl>
    <w:p w14:paraId="35EA711F" w14:textId="36C8FF02" w:rsidR="00E82C29" w:rsidRDefault="00E82C29" w:rsidP="00226022">
      <w:pPr>
        <w:pStyle w:val="BodyTextIndent"/>
        <w:numPr>
          <w:ilvl w:val="0"/>
          <w:numId w:val="17"/>
        </w:numPr>
        <w:tabs>
          <w:tab w:val="clear" w:pos="0"/>
          <w:tab w:val="clear" w:pos="720"/>
          <w:tab w:val="clear" w:pos="4320"/>
          <w:tab w:val="clear" w:pos="5040"/>
          <w:tab w:val="clear" w:pos="5760"/>
          <w:tab w:val="clear" w:pos="6480"/>
          <w:tab w:val="clear" w:pos="7200"/>
          <w:tab w:val="clear" w:pos="7920"/>
        </w:tabs>
        <w:spacing w:before="600"/>
        <w:ind w:left="0" w:firstLine="720"/>
        <w:outlineLvl w:val="0"/>
      </w:pPr>
      <w:r w:rsidRPr="00226022">
        <w:t xml:space="preserve">This Settlement Stipulation is entered into for the purpose of resolving the issues in this proceeding identified below </w:t>
      </w:r>
      <w:r w:rsidR="001C3BB8">
        <w:t>as Docket UG-151663 at the Washington Utilities and Transportation Commission (“Commission”)</w:t>
      </w:r>
      <w:r w:rsidRPr="00226022">
        <w:t>. This Settlement Stipulation is subject to approval by the Commission</w:t>
      </w:r>
      <w:r w:rsidR="001C3BB8">
        <w:t xml:space="preserve"> </w:t>
      </w:r>
      <w:r w:rsidRPr="00226022">
        <w:t>and it is not effective for any purpose until such approval, except for paragraphs</w:t>
      </w:r>
      <w:r w:rsidR="000A31E2">
        <w:t> </w:t>
      </w:r>
      <w:r w:rsidR="00871C04">
        <w:fldChar w:fldCharType="begin"/>
      </w:r>
      <w:r w:rsidR="00871C04">
        <w:instrText xml:space="preserve"> REF _Ref462406513 \r \h </w:instrText>
      </w:r>
      <w:r w:rsidR="00871C04">
        <w:fldChar w:fldCharType="separate"/>
      </w:r>
      <w:r w:rsidR="00F40CFC">
        <w:t>39</w:t>
      </w:r>
      <w:r w:rsidR="00871C04">
        <w:fldChar w:fldCharType="end"/>
      </w:r>
      <w:r w:rsidRPr="00226022">
        <w:t xml:space="preserve">, </w:t>
      </w:r>
      <w:r w:rsidR="00871C04">
        <w:fldChar w:fldCharType="begin"/>
      </w:r>
      <w:r w:rsidR="00871C04">
        <w:instrText xml:space="preserve"> REF _Ref462406525 \r \h </w:instrText>
      </w:r>
      <w:r w:rsidR="00871C04">
        <w:fldChar w:fldCharType="separate"/>
      </w:r>
      <w:r w:rsidR="00F40CFC">
        <w:t>41</w:t>
      </w:r>
      <w:r w:rsidR="00871C04">
        <w:fldChar w:fldCharType="end"/>
      </w:r>
      <w:r w:rsidRPr="00226022">
        <w:t xml:space="preserve">, </w:t>
      </w:r>
      <w:r w:rsidR="00871C04">
        <w:fldChar w:fldCharType="begin"/>
      </w:r>
      <w:r w:rsidR="00871C04">
        <w:instrText xml:space="preserve"> REF _Ref462406535 \r \h </w:instrText>
      </w:r>
      <w:r w:rsidR="00871C04">
        <w:fldChar w:fldCharType="separate"/>
      </w:r>
      <w:r w:rsidR="00F40CFC">
        <w:t>42</w:t>
      </w:r>
      <w:r w:rsidR="00871C04">
        <w:fldChar w:fldCharType="end"/>
      </w:r>
      <w:r w:rsidR="007A2AA5" w:rsidRPr="00226022">
        <w:t xml:space="preserve">, </w:t>
      </w:r>
      <w:r w:rsidR="00871C04">
        <w:fldChar w:fldCharType="begin"/>
      </w:r>
      <w:r w:rsidR="00871C04">
        <w:instrText xml:space="preserve"> REF _Ref462406551 \r \h </w:instrText>
      </w:r>
      <w:r w:rsidR="00871C04">
        <w:fldChar w:fldCharType="separate"/>
      </w:r>
      <w:r w:rsidR="00F40CFC">
        <w:t>43</w:t>
      </w:r>
      <w:r w:rsidR="00871C04">
        <w:fldChar w:fldCharType="end"/>
      </w:r>
      <w:r w:rsidR="00DC282C">
        <w:t xml:space="preserve">, and </w:t>
      </w:r>
      <w:r w:rsidR="00DC282C">
        <w:fldChar w:fldCharType="begin"/>
      </w:r>
      <w:r w:rsidR="00DC282C">
        <w:instrText xml:space="preserve"> REF _Ref462408881 \r \h </w:instrText>
      </w:r>
      <w:r w:rsidR="00DC282C">
        <w:fldChar w:fldCharType="separate"/>
      </w:r>
      <w:r w:rsidR="00F40CFC">
        <w:t>44</w:t>
      </w:r>
      <w:r w:rsidR="00DC282C">
        <w:fldChar w:fldCharType="end"/>
      </w:r>
      <w:r w:rsidR="000A31E2">
        <w:t>,</w:t>
      </w:r>
      <w:r w:rsidRPr="00226022">
        <w:t xml:space="preserve"> which cover the agreement by the Settling Parties regarding how they will support the Settlement Stipulation before the Commission.</w:t>
      </w:r>
    </w:p>
    <w:p w14:paraId="7E0293BD" w14:textId="77777777" w:rsidR="00DC75F8" w:rsidRDefault="00E82C29" w:rsidP="00E82C29">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t>This Settlement Stipulation includes and incorporates the following Attachments:</w:t>
      </w:r>
    </w:p>
    <w:p w14:paraId="1FD763F0" w14:textId="6B6EDBDF" w:rsidR="00241563" w:rsidRDefault="00E82C29" w:rsidP="00E82C29">
      <w:pPr>
        <w:pStyle w:val="BodyTextIndent"/>
        <w:numPr>
          <w:ilvl w:val="0"/>
          <w:numId w:val="34"/>
        </w:numPr>
        <w:tabs>
          <w:tab w:val="clear" w:pos="0"/>
          <w:tab w:val="clear" w:pos="720"/>
          <w:tab w:val="clear" w:pos="4320"/>
          <w:tab w:val="clear" w:pos="5040"/>
          <w:tab w:val="clear" w:pos="5760"/>
          <w:tab w:val="clear" w:pos="6480"/>
          <w:tab w:val="clear" w:pos="7200"/>
          <w:tab w:val="clear" w:pos="7920"/>
          <w:tab w:val="left" w:pos="2160"/>
        </w:tabs>
        <w:spacing w:after="280" w:line="240" w:lineRule="auto"/>
        <w:ind w:left="3960" w:hanging="2520"/>
        <w:outlineLvl w:val="0"/>
      </w:pPr>
      <w:r>
        <w:t>Attachment</w:t>
      </w:r>
      <w:r w:rsidR="00241563">
        <w:t> </w:t>
      </w:r>
      <w:r>
        <w:t>A</w:t>
      </w:r>
      <w:r>
        <w:tab/>
      </w:r>
      <w:r w:rsidR="00241563">
        <w:t>Summary of P</w:t>
      </w:r>
      <w:r w:rsidR="00241563" w:rsidRPr="001C3BB8">
        <w:t xml:space="preserve">rocedural </w:t>
      </w:r>
      <w:r w:rsidR="00241563">
        <w:t>H</w:t>
      </w:r>
      <w:r w:rsidR="00241563" w:rsidRPr="001C3BB8">
        <w:t>istory</w:t>
      </w:r>
      <w:r w:rsidR="00241563">
        <w:t xml:space="preserve"> in Docket UG-151663</w:t>
      </w:r>
    </w:p>
    <w:p w14:paraId="43EAC5ED" w14:textId="4443F465" w:rsidR="00E82C29" w:rsidRDefault="00241563" w:rsidP="00E82C29">
      <w:pPr>
        <w:pStyle w:val="BodyTextIndent"/>
        <w:numPr>
          <w:ilvl w:val="0"/>
          <w:numId w:val="34"/>
        </w:numPr>
        <w:tabs>
          <w:tab w:val="clear" w:pos="0"/>
          <w:tab w:val="clear" w:pos="720"/>
          <w:tab w:val="clear" w:pos="4320"/>
          <w:tab w:val="clear" w:pos="5040"/>
          <w:tab w:val="clear" w:pos="5760"/>
          <w:tab w:val="clear" w:pos="6480"/>
          <w:tab w:val="clear" w:pos="7200"/>
          <w:tab w:val="clear" w:pos="7920"/>
          <w:tab w:val="left" w:pos="2160"/>
        </w:tabs>
        <w:spacing w:after="280" w:line="240" w:lineRule="auto"/>
        <w:ind w:left="3960" w:hanging="2520"/>
        <w:outlineLvl w:val="0"/>
      </w:pPr>
      <w:r>
        <w:t>Attachment B</w:t>
      </w:r>
      <w:r>
        <w:tab/>
      </w:r>
      <w:r w:rsidR="00E82C29" w:rsidRPr="00E82C29">
        <w:t>Joint Ownership Agreement Term Sheet</w:t>
      </w:r>
      <w:r w:rsidR="00E82C29">
        <w:t>;</w:t>
      </w:r>
    </w:p>
    <w:p w14:paraId="20B7F023" w14:textId="166D9D0C" w:rsidR="00E82C29" w:rsidRPr="00E82C29" w:rsidRDefault="00E82C29" w:rsidP="00E82C29">
      <w:pPr>
        <w:pStyle w:val="BodyTextIndent"/>
        <w:numPr>
          <w:ilvl w:val="0"/>
          <w:numId w:val="34"/>
        </w:numPr>
        <w:tabs>
          <w:tab w:val="clear" w:pos="0"/>
          <w:tab w:val="clear" w:pos="720"/>
          <w:tab w:val="clear" w:pos="4320"/>
          <w:tab w:val="clear" w:pos="5040"/>
          <w:tab w:val="clear" w:pos="5760"/>
          <w:tab w:val="clear" w:pos="6480"/>
          <w:tab w:val="clear" w:pos="7200"/>
          <w:tab w:val="clear" w:pos="7920"/>
          <w:tab w:val="left" w:pos="2160"/>
        </w:tabs>
        <w:spacing w:after="280" w:line="240" w:lineRule="auto"/>
        <w:ind w:left="3960" w:hanging="2520"/>
        <w:outlineLvl w:val="0"/>
      </w:pPr>
      <w:r>
        <w:t>Attachment </w:t>
      </w:r>
      <w:r w:rsidR="00241563">
        <w:t>C</w:t>
      </w:r>
      <w:r>
        <w:tab/>
      </w:r>
      <w:r w:rsidRPr="00E82C29">
        <w:t>Representative List of Fixed Operating Costs Associated with the Tacoma LNG Facility</w:t>
      </w:r>
      <w:r w:rsidRPr="00E82C29">
        <w:br/>
        <w:t>(Projected Annual Fixed Operating Costs for Calendar Year 2020)</w:t>
      </w:r>
      <w:r>
        <w:t>; and</w:t>
      </w:r>
    </w:p>
    <w:p w14:paraId="4B843CCA" w14:textId="0828172B" w:rsidR="00E82C29" w:rsidRDefault="00E82C29" w:rsidP="00E82C29">
      <w:pPr>
        <w:pStyle w:val="BodyTextIndent"/>
        <w:numPr>
          <w:ilvl w:val="0"/>
          <w:numId w:val="34"/>
        </w:numPr>
        <w:tabs>
          <w:tab w:val="clear" w:pos="0"/>
          <w:tab w:val="clear" w:pos="720"/>
          <w:tab w:val="clear" w:pos="4320"/>
          <w:tab w:val="clear" w:pos="5040"/>
          <w:tab w:val="clear" w:pos="5760"/>
          <w:tab w:val="clear" w:pos="6480"/>
          <w:tab w:val="clear" w:pos="7200"/>
          <w:tab w:val="clear" w:pos="7920"/>
          <w:tab w:val="left" w:pos="2160"/>
        </w:tabs>
        <w:spacing w:after="280" w:line="240" w:lineRule="auto"/>
        <w:ind w:left="3960" w:hanging="2520"/>
        <w:outlineLvl w:val="0"/>
      </w:pPr>
      <w:r>
        <w:t>Attachment</w:t>
      </w:r>
      <w:r w:rsidR="00241563">
        <w:t> D</w:t>
      </w:r>
      <w:r>
        <w:tab/>
        <w:t>Ownership Shares.</w:t>
      </w:r>
    </w:p>
    <w:p w14:paraId="2B1CF590" w14:textId="77777777" w:rsidR="00E82C29" w:rsidRDefault="00E82C29" w:rsidP="00E82C29">
      <w:pPr>
        <w:pStyle w:val="BodyTextIndent"/>
        <w:keepNext/>
        <w:keepLines/>
        <w:tabs>
          <w:tab w:val="clear" w:pos="0"/>
          <w:tab w:val="clear" w:pos="720"/>
          <w:tab w:val="clear" w:pos="4320"/>
          <w:tab w:val="clear" w:pos="5040"/>
          <w:tab w:val="clear" w:pos="5760"/>
          <w:tab w:val="clear" w:pos="6480"/>
          <w:tab w:val="clear" w:pos="7200"/>
          <w:tab w:val="clear" w:pos="7920"/>
        </w:tabs>
        <w:spacing w:after="280" w:line="240" w:lineRule="auto"/>
        <w:ind w:left="720"/>
        <w:jc w:val="center"/>
        <w:outlineLvl w:val="0"/>
        <w:rPr>
          <w:b/>
        </w:rPr>
      </w:pPr>
      <w:r>
        <w:rPr>
          <w:b/>
        </w:rPr>
        <w:lastRenderedPageBreak/>
        <w:t>I.</w:t>
      </w:r>
      <w:r>
        <w:rPr>
          <w:b/>
        </w:rPr>
        <w:tab/>
        <w:t>PARTIES</w:t>
      </w:r>
    </w:p>
    <w:p w14:paraId="11056989" w14:textId="7C509536" w:rsidR="00E82C29" w:rsidRDefault="00E82C29" w:rsidP="00DC75F8">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t xml:space="preserve">The initial parties to this Settlement Stipulation are Puget Sound Energy (“PSE”), </w:t>
      </w:r>
      <w:r w:rsidR="006C474A" w:rsidRPr="006C474A">
        <w:t>C</w:t>
      </w:r>
      <w:r w:rsidR="00074BF1" w:rsidRPr="006C474A">
        <w:t>ommission Staff</w:t>
      </w:r>
      <w:r w:rsidRPr="006C474A">
        <w:t xml:space="preserve">, </w:t>
      </w:r>
      <w:r w:rsidR="00074BF1" w:rsidRPr="006C474A">
        <w:t>the Public Counsel Section of the Washington Office of Attorney General (“Public Counsel”),</w:t>
      </w:r>
      <w:r w:rsidRPr="006C474A">
        <w:t xml:space="preserve"> </w:t>
      </w:r>
      <w:r w:rsidR="00074BF1" w:rsidRPr="006C474A">
        <w:t>the Northwest Industrial Gas Users (“</w:t>
      </w:r>
      <w:proofErr w:type="spellStart"/>
      <w:r w:rsidR="00074BF1" w:rsidRPr="006C474A">
        <w:t>NWIGU</w:t>
      </w:r>
      <w:proofErr w:type="spellEnd"/>
      <w:r w:rsidR="00074BF1" w:rsidRPr="006C474A">
        <w:t>”)</w:t>
      </w:r>
      <w:r w:rsidRPr="006C474A">
        <w:t xml:space="preserve">, and </w:t>
      </w:r>
      <w:r w:rsidR="00074BF1" w:rsidRPr="006C474A">
        <w:t>the Industrial Customers of Northwest Utilities (“ICNU”)</w:t>
      </w:r>
      <w:r w:rsidR="00DC75F8">
        <w:rPr>
          <w:rStyle w:val="FootnoteReference"/>
          <w:vertAlign w:val="superscript"/>
        </w:rPr>
        <w:footnoteReference w:id="2"/>
      </w:r>
      <w:r>
        <w:t xml:space="preserve"> (referred to in the singular as a “Settling Party” and in the plural as the “Settling Parties”). All parties that have actively participated in this proceeding are sign</w:t>
      </w:r>
      <w:r w:rsidR="00BF18E3">
        <w:t>ing the Settlement Stipulation.</w:t>
      </w:r>
    </w:p>
    <w:p w14:paraId="17AE668B" w14:textId="77777777" w:rsidR="00E82C29" w:rsidRDefault="00E82C29" w:rsidP="00E82C29">
      <w:pPr>
        <w:pStyle w:val="BodyTextIndent"/>
        <w:keepNext/>
        <w:keepLines/>
        <w:tabs>
          <w:tab w:val="clear" w:pos="0"/>
          <w:tab w:val="clear" w:pos="720"/>
          <w:tab w:val="clear" w:pos="4320"/>
          <w:tab w:val="clear" w:pos="5040"/>
          <w:tab w:val="clear" w:pos="5760"/>
          <w:tab w:val="clear" w:pos="6480"/>
          <w:tab w:val="clear" w:pos="7200"/>
          <w:tab w:val="clear" w:pos="7920"/>
        </w:tabs>
        <w:spacing w:after="280" w:line="240" w:lineRule="auto"/>
        <w:ind w:left="720"/>
        <w:jc w:val="center"/>
        <w:outlineLvl w:val="0"/>
        <w:rPr>
          <w:b/>
        </w:rPr>
      </w:pPr>
      <w:r>
        <w:rPr>
          <w:b/>
        </w:rPr>
        <w:t>II.</w:t>
      </w:r>
      <w:r>
        <w:rPr>
          <w:b/>
        </w:rPr>
        <w:tab/>
        <w:t>INTRODUCTION</w:t>
      </w:r>
    </w:p>
    <w:p w14:paraId="7398B7EB" w14:textId="1AC2A2CE" w:rsidR="007C6E74" w:rsidRDefault="007C6E74" w:rsidP="007C6E74">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t>On August 11, 2015, PSE filed with the Commission a proposal to develop at the Port of Tacoma a liquefied natural gas (LNG) facility (the “Tacoma LNG Facility”) capable of (i) receiving nearly 21,000 </w:t>
      </w:r>
      <w:proofErr w:type="spellStart"/>
      <w:r>
        <w:t>Decatherms</w:t>
      </w:r>
      <w:proofErr w:type="spellEnd"/>
      <w:r>
        <w:t xml:space="preserve"> per day (</w:t>
      </w:r>
      <w:proofErr w:type="spellStart"/>
      <w:r>
        <w:t>Dth</w:t>
      </w:r>
      <w:proofErr w:type="spellEnd"/>
      <w:r>
        <w:t>/day) of natural gas, (ii) producing approximately 250,000 gallons of LNG when liquefying at nameplate capacity, and (iii) storing approximately 8 million gallons of LNG. PSE identified three functions the facility is planned to perform:</w:t>
      </w:r>
    </w:p>
    <w:p w14:paraId="44D49E0B" w14:textId="77777777" w:rsidR="007C6E74" w:rsidRDefault="007C6E74" w:rsidP="007C6E74">
      <w:pPr>
        <w:pStyle w:val="BodyTextIndent"/>
        <w:tabs>
          <w:tab w:val="clear" w:pos="0"/>
          <w:tab w:val="clear" w:pos="720"/>
          <w:tab w:val="clear" w:pos="4320"/>
          <w:tab w:val="clear" w:pos="5040"/>
          <w:tab w:val="clear" w:pos="5760"/>
          <w:tab w:val="clear" w:pos="6480"/>
          <w:tab w:val="clear" w:pos="7200"/>
          <w:tab w:val="clear" w:pos="7920"/>
        </w:tabs>
        <w:spacing w:after="280" w:line="240" w:lineRule="auto"/>
        <w:ind w:left="2160" w:right="720" w:hanging="720"/>
        <w:outlineLvl w:val="0"/>
      </w:pPr>
      <w:r>
        <w:rPr>
          <w:rFonts w:ascii="Symbol" w:hAnsi="Symbol"/>
        </w:rPr>
        <w:sym w:font="Symbol" w:char="F0B7"/>
      </w:r>
      <w:r>
        <w:tab/>
        <w:t>The Tacoma LNG Facility would supply fuel to Totem Ocean Trailer Express, Inc. (TOTE), under a contract PSE entered with TOTE on October 27, 2014.</w:t>
      </w:r>
    </w:p>
    <w:p w14:paraId="2BBFE696" w14:textId="77777777" w:rsidR="007C6E74" w:rsidRDefault="007C6E74" w:rsidP="007C6E74">
      <w:pPr>
        <w:pStyle w:val="BodyTextIndent"/>
        <w:tabs>
          <w:tab w:val="clear" w:pos="0"/>
          <w:tab w:val="clear" w:pos="720"/>
          <w:tab w:val="clear" w:pos="4320"/>
          <w:tab w:val="clear" w:pos="5040"/>
          <w:tab w:val="clear" w:pos="5760"/>
          <w:tab w:val="clear" w:pos="6480"/>
          <w:tab w:val="clear" w:pos="7200"/>
          <w:tab w:val="clear" w:pos="7920"/>
        </w:tabs>
        <w:spacing w:after="280" w:line="240" w:lineRule="auto"/>
        <w:ind w:left="2160" w:right="720" w:hanging="720"/>
        <w:outlineLvl w:val="0"/>
      </w:pPr>
      <w:r>
        <w:rPr>
          <w:rFonts w:ascii="Symbol" w:hAnsi="Symbol"/>
        </w:rPr>
        <w:sym w:font="Symbol" w:char="F0B7"/>
      </w:r>
      <w:r>
        <w:tab/>
        <w:t>The Tacoma LNG Facility would provide fuel for sales to other marine vessels or other purchasers.</w:t>
      </w:r>
    </w:p>
    <w:p w14:paraId="7BFDD31E" w14:textId="77777777" w:rsidR="007C6E74" w:rsidRDefault="007C6E74" w:rsidP="007C6E74">
      <w:pPr>
        <w:pStyle w:val="BodyTextIndent"/>
        <w:tabs>
          <w:tab w:val="clear" w:pos="0"/>
          <w:tab w:val="clear" w:pos="720"/>
          <w:tab w:val="clear" w:pos="4320"/>
          <w:tab w:val="clear" w:pos="5040"/>
          <w:tab w:val="clear" w:pos="5760"/>
          <w:tab w:val="clear" w:pos="6480"/>
          <w:tab w:val="clear" w:pos="7200"/>
          <w:tab w:val="clear" w:pos="7920"/>
        </w:tabs>
        <w:spacing w:after="280" w:line="240" w:lineRule="auto"/>
        <w:ind w:left="2160" w:right="720" w:hanging="720"/>
        <w:outlineLvl w:val="0"/>
      </w:pPr>
      <w:r>
        <w:rPr>
          <w:rFonts w:ascii="Symbol" w:hAnsi="Symbol"/>
        </w:rPr>
        <w:sym w:font="Symbol" w:char="F0B7"/>
      </w:r>
      <w:r>
        <w:tab/>
        <w:t>The Tacoma LNG Facility would serve as a peaking resource for PSE’s core natural ga</w:t>
      </w:r>
      <w:bookmarkStart w:id="0" w:name="_GoBack"/>
      <w:bookmarkEnd w:id="0"/>
      <w:r>
        <w:t>s customers.</w:t>
      </w:r>
    </w:p>
    <w:p w14:paraId="539922CE" w14:textId="77777777" w:rsidR="007C6E74" w:rsidRDefault="007C6E74" w:rsidP="007C6E74">
      <w:pPr>
        <w:pStyle w:val="BodyTextIndent"/>
        <w:tabs>
          <w:tab w:val="clear" w:pos="0"/>
          <w:tab w:val="clear" w:pos="720"/>
          <w:tab w:val="clear" w:pos="4320"/>
          <w:tab w:val="clear" w:pos="5040"/>
          <w:tab w:val="clear" w:pos="5760"/>
          <w:tab w:val="clear" w:pos="6480"/>
          <w:tab w:val="clear" w:pos="7200"/>
          <w:tab w:val="clear" w:pos="7920"/>
        </w:tabs>
        <w:ind w:left="86"/>
        <w:outlineLvl w:val="0"/>
      </w:pPr>
      <w:r>
        <w:t xml:space="preserve">PSE initially proposed that the first and third functions should be treated as part of PSE’s regulated business—the first function meeting the needs of a single customer, TOTE, under a </w:t>
      </w:r>
      <w:r>
        <w:lastRenderedPageBreak/>
        <w:t>“special contract” and the third function providing capacity to meet core retail natural gas customers’ peak requirements at tariffed rates. PSE proposed that the second function would be a separate, unregulated business.</w:t>
      </w:r>
    </w:p>
    <w:p w14:paraId="32D00476" w14:textId="49A672A9" w:rsidR="001C3BB8" w:rsidRDefault="001C3BB8" w:rsidP="001C3BB8">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rsidRPr="001C3BB8">
        <w:t>This Settlement Stipulation includes Attachment</w:t>
      </w:r>
      <w:r>
        <w:t> </w:t>
      </w:r>
      <w:r w:rsidRPr="001C3BB8">
        <w:t>A as a summary of the procedural history in this matter. That procedural history is also publicly available as Docket</w:t>
      </w:r>
      <w:r>
        <w:t> </w:t>
      </w:r>
      <w:r w:rsidRPr="001C3BB8">
        <w:t xml:space="preserve">UG-151663 at the </w:t>
      </w:r>
      <w:r>
        <w:t>Commission.</w:t>
      </w:r>
    </w:p>
    <w:p w14:paraId="44C4F661" w14:textId="1CDE3906" w:rsidR="00226022" w:rsidRDefault="00E82C29" w:rsidP="00226022">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t xml:space="preserve">PSE, Commission Staff, Public Counsel, </w:t>
      </w:r>
      <w:proofErr w:type="spellStart"/>
      <w:r>
        <w:t>NWIGU</w:t>
      </w:r>
      <w:proofErr w:type="spellEnd"/>
      <w:r>
        <w:t xml:space="preserve">, and ICNU </w:t>
      </w:r>
      <w:r w:rsidR="00241563">
        <w:t xml:space="preserve">entered into mediation on May 29, 2016. The Settling Parties </w:t>
      </w:r>
      <w:r>
        <w:t xml:space="preserve">retained Mr. Donald Trotter to serve as an independent mediator and the energy consulting firm </w:t>
      </w:r>
      <w:r w:rsidRPr="00862A8C">
        <w:t>Brown, Williams, Moorhead &amp; Quinn, Inc.</w:t>
      </w:r>
      <w:r>
        <w:t xml:space="preserve"> to serve as an independent technical consultant. Mediated conferences were held in Olympia, Washington, on June 16 and 17, 2016; on August 9</w:t>
      </w:r>
      <w:r w:rsidR="00B90FBB">
        <w:t xml:space="preserve"> and</w:t>
      </w:r>
      <w:r w:rsidRPr="00505385">
        <w:t xml:space="preserve"> </w:t>
      </w:r>
      <w:r w:rsidR="00B3128A">
        <w:t>26</w:t>
      </w:r>
      <w:r w:rsidRPr="00505385">
        <w:t>,</w:t>
      </w:r>
      <w:r>
        <w:t xml:space="preserve"> 2016; </w:t>
      </w:r>
      <w:r w:rsidRPr="00074BF1">
        <w:t>and on September 15</w:t>
      </w:r>
      <w:r w:rsidR="00074BF1" w:rsidRPr="00074BF1">
        <w:t>,</w:t>
      </w:r>
      <w:r w:rsidRPr="00074BF1">
        <w:t xml:space="preserve"> 16,</w:t>
      </w:r>
      <w:r w:rsidR="00074BF1" w:rsidRPr="00074BF1">
        <w:t xml:space="preserve"> and 26,</w:t>
      </w:r>
      <w:r w:rsidRPr="00074BF1">
        <w:t xml:space="preserve"> 2016</w:t>
      </w:r>
      <w:r>
        <w:t>. Telephonic mediation conferences occurred on June 29, 2016; on July 11, 13, and 21, 2016</w:t>
      </w:r>
      <w:r w:rsidR="00B3128A">
        <w:t xml:space="preserve">; and on </w:t>
      </w:r>
      <w:r w:rsidR="00B3128A" w:rsidRPr="00074BF1">
        <w:t>September </w:t>
      </w:r>
      <w:r w:rsidR="00B3128A">
        <w:t>27, 2016</w:t>
      </w:r>
      <w:r>
        <w:t>. Additionally, the mediator conducted one or more conferences with parties individually.</w:t>
      </w:r>
    </w:p>
    <w:p w14:paraId="532CBEE7" w14:textId="0E770653" w:rsidR="00226022" w:rsidRDefault="00E82C29" w:rsidP="00226022">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t xml:space="preserve">Based on </w:t>
      </w:r>
      <w:r w:rsidR="00241563">
        <w:t xml:space="preserve">mediated </w:t>
      </w:r>
      <w:r>
        <w:t>discussions and related correspondence, the Settling Parties have reached an agreement that would provide a basis upon which the Settling Parties could recommend proceeding with the Tacoma LNG Facility.</w:t>
      </w:r>
    </w:p>
    <w:p w14:paraId="76A491AF" w14:textId="180C349E" w:rsidR="00E82C29" w:rsidRDefault="00E82C29" w:rsidP="00226022">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t>The Settling Parties wish to present their agreement for the Commission’s consideration and approval. The Settling Parties therefore adopt this Settlement Stipulation, which is entered into by the Settling Parties voluntarily to resolve matters in dispute among them in the interests of expediting the orderly disposition of this proceeding. The Settling Parties file this Settlement Stipulation with the Commission as a “</w:t>
      </w:r>
      <w:r w:rsidRPr="006C474A">
        <w:t>Full</w:t>
      </w:r>
      <w:r>
        <w:t xml:space="preserve"> Settlement” pursuant to WAC 480-07-730(</w:t>
      </w:r>
      <w:r w:rsidRPr="006C474A">
        <w:t>1</w:t>
      </w:r>
      <w:r>
        <w:t>).</w:t>
      </w:r>
    </w:p>
    <w:p w14:paraId="2275EAC0" w14:textId="0E8F8C30" w:rsidR="00E82C29" w:rsidRPr="00E97F83" w:rsidRDefault="006C474A" w:rsidP="00E82C29">
      <w:pPr>
        <w:pStyle w:val="BodyTextIndent"/>
        <w:keepNext/>
        <w:keepLines/>
        <w:tabs>
          <w:tab w:val="clear" w:pos="0"/>
          <w:tab w:val="clear" w:pos="720"/>
          <w:tab w:val="clear" w:pos="4320"/>
          <w:tab w:val="clear" w:pos="5040"/>
          <w:tab w:val="clear" w:pos="5760"/>
          <w:tab w:val="clear" w:pos="6480"/>
          <w:tab w:val="clear" w:pos="7200"/>
          <w:tab w:val="clear" w:pos="7920"/>
        </w:tabs>
        <w:spacing w:after="280" w:line="240" w:lineRule="auto"/>
        <w:ind w:left="720"/>
        <w:jc w:val="center"/>
        <w:outlineLvl w:val="0"/>
        <w:rPr>
          <w:b/>
        </w:rPr>
      </w:pPr>
      <w:r>
        <w:rPr>
          <w:b/>
          <w:bCs/>
          <w:szCs w:val="24"/>
        </w:rPr>
        <w:lastRenderedPageBreak/>
        <w:t>III.</w:t>
      </w:r>
      <w:r>
        <w:rPr>
          <w:b/>
          <w:bCs/>
          <w:szCs w:val="24"/>
        </w:rPr>
        <w:tab/>
      </w:r>
      <w:r w:rsidR="00E82C29">
        <w:rPr>
          <w:b/>
          <w:bCs/>
          <w:szCs w:val="24"/>
        </w:rPr>
        <w:t>AGREEMENT</w:t>
      </w:r>
    </w:p>
    <w:p w14:paraId="20BB8B1D" w14:textId="77777777" w:rsidR="00E82C29" w:rsidRDefault="00E82C29" w:rsidP="00E82C29">
      <w:pPr>
        <w:pStyle w:val="BodyTextIndent"/>
        <w:keepNext/>
        <w:keepLines/>
        <w:tabs>
          <w:tab w:val="clear" w:pos="0"/>
          <w:tab w:val="clear" w:pos="720"/>
          <w:tab w:val="clear" w:pos="4320"/>
          <w:tab w:val="clear" w:pos="5040"/>
          <w:tab w:val="clear" w:pos="5760"/>
          <w:tab w:val="clear" w:pos="6480"/>
          <w:tab w:val="clear" w:pos="7200"/>
          <w:tab w:val="clear" w:pos="7920"/>
          <w:tab w:val="left" w:pos="1440"/>
        </w:tabs>
        <w:spacing w:after="280" w:line="240" w:lineRule="auto"/>
        <w:ind w:left="720" w:hanging="720"/>
        <w:outlineLvl w:val="0"/>
        <w:rPr>
          <w:b/>
        </w:rPr>
      </w:pPr>
      <w:r>
        <w:rPr>
          <w:b/>
          <w:bCs/>
          <w:szCs w:val="24"/>
        </w:rPr>
        <w:t>A.</w:t>
      </w:r>
      <w:r>
        <w:rPr>
          <w:b/>
          <w:bCs/>
          <w:szCs w:val="24"/>
        </w:rPr>
        <w:tab/>
      </w:r>
      <w:r w:rsidRPr="00E37FEB">
        <w:rPr>
          <w:b/>
          <w:bCs/>
          <w:szCs w:val="24"/>
          <w:u w:val="single"/>
        </w:rPr>
        <w:t>Ring-Fencing Agreements</w:t>
      </w:r>
    </w:p>
    <w:p w14:paraId="55D49653" w14:textId="77777777" w:rsidR="00E82C29" w:rsidRPr="00E55704" w:rsidRDefault="00E82C29" w:rsidP="00E82C29">
      <w:pPr>
        <w:pStyle w:val="BodyTextIndent"/>
        <w:keepNext/>
        <w:keepLines/>
        <w:tabs>
          <w:tab w:val="clear" w:pos="0"/>
          <w:tab w:val="clear" w:pos="720"/>
          <w:tab w:val="clear" w:pos="4320"/>
          <w:tab w:val="clear" w:pos="5040"/>
          <w:tab w:val="clear" w:pos="5760"/>
          <w:tab w:val="clear" w:pos="6480"/>
          <w:tab w:val="clear" w:pos="7200"/>
          <w:tab w:val="clear" w:pos="7920"/>
          <w:tab w:val="left" w:pos="1440"/>
        </w:tabs>
        <w:spacing w:after="280" w:line="240" w:lineRule="auto"/>
        <w:ind w:left="1440" w:hanging="720"/>
        <w:outlineLvl w:val="0"/>
        <w:rPr>
          <w:b/>
          <w:u w:val="single"/>
        </w:rPr>
      </w:pPr>
      <w:r>
        <w:rPr>
          <w:b/>
        </w:rPr>
        <w:t>1</w:t>
      </w:r>
      <w:r w:rsidRPr="00E55704">
        <w:rPr>
          <w:b/>
        </w:rPr>
        <w:t>.</w:t>
      </w:r>
      <w:r w:rsidRPr="00E55704">
        <w:rPr>
          <w:b/>
        </w:rPr>
        <w:tab/>
      </w:r>
      <w:r>
        <w:rPr>
          <w:b/>
          <w:u w:val="single"/>
        </w:rPr>
        <w:t>Creation of Puget LNG, LLC</w:t>
      </w:r>
    </w:p>
    <w:p w14:paraId="5797D03B" w14:textId="4B22024E" w:rsidR="00E82C29" w:rsidRDefault="00E82C29" w:rsidP="00E82C29">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t xml:space="preserve">Within thirty (30) days of issuance of an order by the Commission approving the Settlement Stipulation consistent with its terms and its conditions, Puget Energy will form or will cause to be formed a wholly-owned subsidiary of Puget Energy named Puget LNG, LLC (“Puget LNG”). Puget LNG will be a </w:t>
      </w:r>
      <w:r w:rsidRPr="00DC039C">
        <w:t xml:space="preserve">special purpose </w:t>
      </w:r>
      <w:r>
        <w:t xml:space="preserve">limited liability company </w:t>
      </w:r>
      <w:r w:rsidRPr="00DC039C">
        <w:t>formed by Puget Energy solely for the purposes of owning, developing, and financing</w:t>
      </w:r>
      <w:r>
        <w:t xml:space="preserve"> the Tacoma LNG Facility</w:t>
      </w:r>
      <w:r w:rsidRPr="00DC039C">
        <w:t xml:space="preserve"> as a tenant-in-common with PSE.</w:t>
      </w:r>
    </w:p>
    <w:p w14:paraId="761C5EB7" w14:textId="77777777" w:rsidR="00E82C29" w:rsidRPr="00E55704" w:rsidRDefault="00E82C29" w:rsidP="00E82C29">
      <w:pPr>
        <w:pStyle w:val="BodyTextIndent"/>
        <w:keepNext/>
        <w:keepLines/>
        <w:tabs>
          <w:tab w:val="clear" w:pos="0"/>
          <w:tab w:val="clear" w:pos="720"/>
          <w:tab w:val="clear" w:pos="4320"/>
          <w:tab w:val="clear" w:pos="5040"/>
          <w:tab w:val="clear" w:pos="5760"/>
          <w:tab w:val="clear" w:pos="6480"/>
          <w:tab w:val="clear" w:pos="7200"/>
          <w:tab w:val="clear" w:pos="7920"/>
          <w:tab w:val="left" w:pos="1440"/>
        </w:tabs>
        <w:spacing w:after="280" w:line="240" w:lineRule="auto"/>
        <w:ind w:left="1440" w:hanging="720"/>
        <w:outlineLvl w:val="0"/>
        <w:rPr>
          <w:b/>
          <w:u w:val="single"/>
        </w:rPr>
      </w:pPr>
      <w:r>
        <w:rPr>
          <w:b/>
        </w:rPr>
        <w:t>2</w:t>
      </w:r>
      <w:r w:rsidRPr="00E55704">
        <w:rPr>
          <w:b/>
        </w:rPr>
        <w:t>.</w:t>
      </w:r>
      <w:r w:rsidRPr="00E55704">
        <w:rPr>
          <w:b/>
        </w:rPr>
        <w:tab/>
      </w:r>
      <w:r>
        <w:rPr>
          <w:b/>
          <w:u w:val="single"/>
        </w:rPr>
        <w:t>Non-Consolidation Opinion</w:t>
      </w:r>
    </w:p>
    <w:p w14:paraId="396A9947" w14:textId="453298B3" w:rsidR="00E82C29" w:rsidRDefault="00E82C29" w:rsidP="00E82C29">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t xml:space="preserve">Within sixty (60) days of the formation of Puget LNG, </w:t>
      </w:r>
      <w:r w:rsidRPr="007D1C56">
        <w:t>PSE</w:t>
      </w:r>
      <w:r>
        <w:t xml:space="preserve"> </w:t>
      </w:r>
      <w:r w:rsidRPr="007D1C56">
        <w:t>will file a non-consolidation opinion with the Commission which concludes, subject to customary assumptions and exceptions, that the ring</w:t>
      </w:r>
      <w:r>
        <w:t>-</w:t>
      </w:r>
      <w:r w:rsidRPr="007D1C56">
        <w:t>fencing provisions are sufficient that a bankruptcy court would not order the substantive consolidation of the assets and liabilities of PSE with those of Puget Energy or its affiliates or subsidiaries</w:t>
      </w:r>
      <w:r>
        <w:t>, including Puget LNG</w:t>
      </w:r>
      <w:r w:rsidRPr="007D1C56">
        <w:t>.</w:t>
      </w:r>
      <w:r>
        <w:t xml:space="preserve"> If the ring-fencing provisions are insufficient to obtain a non-consolidation opinion, PSE will promptly undertake the following actions:</w:t>
      </w:r>
    </w:p>
    <w:p w14:paraId="498709F1" w14:textId="62746981" w:rsidR="00E82C29" w:rsidRDefault="00E82C29" w:rsidP="00E82C29">
      <w:pPr>
        <w:pStyle w:val="BodyTextIndent"/>
        <w:tabs>
          <w:tab w:val="clear" w:pos="0"/>
          <w:tab w:val="clear" w:pos="720"/>
          <w:tab w:val="clear" w:pos="4320"/>
          <w:tab w:val="clear" w:pos="5040"/>
          <w:tab w:val="clear" w:pos="5760"/>
          <w:tab w:val="clear" w:pos="6480"/>
          <w:tab w:val="clear" w:pos="7200"/>
          <w:tab w:val="clear" w:pos="7920"/>
        </w:tabs>
        <w:ind w:left="720" w:firstLine="720"/>
        <w:outlineLvl w:val="0"/>
      </w:pPr>
      <w:r>
        <w:t>(i)</w:t>
      </w:r>
      <w:r>
        <w:tab/>
        <w:t>Notify the Commission of this inability to obtain a non-consolidation opinion</w:t>
      </w:r>
      <w:r w:rsidR="00241563">
        <w:t>;</w:t>
      </w:r>
    </w:p>
    <w:p w14:paraId="02550A13" w14:textId="77777777" w:rsidR="00241563" w:rsidRDefault="00E82C29" w:rsidP="00241563">
      <w:pPr>
        <w:pStyle w:val="BodyTextIndent"/>
        <w:tabs>
          <w:tab w:val="clear" w:pos="0"/>
          <w:tab w:val="clear" w:pos="720"/>
          <w:tab w:val="clear" w:pos="4320"/>
          <w:tab w:val="clear" w:pos="5040"/>
          <w:tab w:val="clear" w:pos="5760"/>
          <w:tab w:val="clear" w:pos="6480"/>
          <w:tab w:val="clear" w:pos="7200"/>
          <w:tab w:val="clear" w:pos="7920"/>
        </w:tabs>
        <w:ind w:left="720" w:firstLine="720"/>
        <w:outlineLvl w:val="0"/>
      </w:pPr>
      <w:r>
        <w:t>(ii)</w:t>
      </w:r>
      <w:r>
        <w:tab/>
        <w:t>Propose and implement, upon Commission approval, such additional ring-fencing provisions around PSE as are sufficient to obtain a non-consolidation opinion subject to customary assumptions and exceptions</w:t>
      </w:r>
      <w:r w:rsidR="00241563">
        <w:t>;</w:t>
      </w:r>
    </w:p>
    <w:p w14:paraId="66F61D1F" w14:textId="6BEEA23C" w:rsidR="00241563" w:rsidRDefault="00241563" w:rsidP="00241563">
      <w:pPr>
        <w:pStyle w:val="BodyTextIndent"/>
        <w:tabs>
          <w:tab w:val="clear" w:pos="0"/>
          <w:tab w:val="clear" w:pos="720"/>
          <w:tab w:val="clear" w:pos="4320"/>
          <w:tab w:val="clear" w:pos="5040"/>
          <w:tab w:val="clear" w:pos="5760"/>
          <w:tab w:val="clear" w:pos="6480"/>
          <w:tab w:val="clear" w:pos="7200"/>
          <w:tab w:val="clear" w:pos="7920"/>
        </w:tabs>
        <w:ind w:left="720" w:firstLine="720"/>
        <w:outlineLvl w:val="0"/>
      </w:pPr>
      <w:r>
        <w:lastRenderedPageBreak/>
        <w:t>(iii)</w:t>
      </w:r>
      <w:r>
        <w:tab/>
        <w:t>Obtain a non-consolidation opinio</w:t>
      </w:r>
      <w:r w:rsidR="00085CDB">
        <w:t>n based on the additional ring-</w:t>
      </w:r>
      <w:r>
        <w:t>fencing provisions and customary assumptions and exceptions</w:t>
      </w:r>
      <w:r w:rsidR="00F145B1">
        <w:t>; and</w:t>
      </w:r>
    </w:p>
    <w:p w14:paraId="6B23D322" w14:textId="4D3DA9E2" w:rsidR="00241563" w:rsidRDefault="00241563" w:rsidP="00241563">
      <w:pPr>
        <w:pStyle w:val="BodyTextIndent"/>
        <w:tabs>
          <w:tab w:val="clear" w:pos="0"/>
          <w:tab w:val="clear" w:pos="720"/>
          <w:tab w:val="clear" w:pos="4320"/>
          <w:tab w:val="clear" w:pos="5040"/>
          <w:tab w:val="clear" w:pos="5760"/>
          <w:tab w:val="clear" w:pos="6480"/>
          <w:tab w:val="clear" w:pos="7200"/>
          <w:tab w:val="clear" w:pos="7920"/>
        </w:tabs>
        <w:ind w:left="720" w:firstLine="720"/>
        <w:outlineLvl w:val="0"/>
      </w:pPr>
      <w:r>
        <w:t>(iv)</w:t>
      </w:r>
      <w:r>
        <w:tab/>
        <w:t>If PSE cannot obtain a non-consolidation agreement based on the proposed additional ring-fencing provisions, PSE will seek guidance from the Commission.</w:t>
      </w:r>
    </w:p>
    <w:p w14:paraId="6299CCC0" w14:textId="77777777" w:rsidR="00E82C29" w:rsidRPr="00E55704" w:rsidRDefault="00E82C29" w:rsidP="00E82C29">
      <w:pPr>
        <w:pStyle w:val="BodyTextIndent"/>
        <w:keepNext/>
        <w:keepLines/>
        <w:tabs>
          <w:tab w:val="clear" w:pos="0"/>
          <w:tab w:val="clear" w:pos="720"/>
          <w:tab w:val="clear" w:pos="4320"/>
          <w:tab w:val="clear" w:pos="5040"/>
          <w:tab w:val="clear" w:pos="5760"/>
          <w:tab w:val="clear" w:pos="6480"/>
          <w:tab w:val="clear" w:pos="7200"/>
          <w:tab w:val="clear" w:pos="7920"/>
          <w:tab w:val="left" w:pos="1440"/>
        </w:tabs>
        <w:spacing w:after="280" w:line="240" w:lineRule="auto"/>
        <w:ind w:left="1440" w:hanging="720"/>
        <w:outlineLvl w:val="0"/>
        <w:rPr>
          <w:b/>
          <w:u w:val="single"/>
        </w:rPr>
      </w:pPr>
      <w:r>
        <w:rPr>
          <w:b/>
        </w:rPr>
        <w:t>3</w:t>
      </w:r>
      <w:r w:rsidRPr="00E55704">
        <w:rPr>
          <w:b/>
        </w:rPr>
        <w:t>.</w:t>
      </w:r>
      <w:r w:rsidRPr="00E55704">
        <w:rPr>
          <w:b/>
        </w:rPr>
        <w:tab/>
      </w:r>
      <w:r>
        <w:rPr>
          <w:b/>
          <w:u w:val="single"/>
        </w:rPr>
        <w:t>PSE Customers Held Harmless</w:t>
      </w:r>
    </w:p>
    <w:p w14:paraId="4150D13E" w14:textId="1682B54F" w:rsidR="00E82C29" w:rsidRDefault="00E82C29" w:rsidP="00E82C29">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rsidRPr="00AB7F16">
        <w:t xml:space="preserve">PSE’s customers will be held harmless from the liabilities </w:t>
      </w:r>
      <w:r w:rsidR="00F145B1">
        <w:t xml:space="preserve">and financial losses </w:t>
      </w:r>
      <w:r w:rsidRPr="00AB7F16">
        <w:t xml:space="preserve">of any non-regulated activity of </w:t>
      </w:r>
      <w:r>
        <w:t xml:space="preserve">the Tacoma LNG Facility, including </w:t>
      </w:r>
      <w:r w:rsidRPr="00AB7F16">
        <w:t xml:space="preserve">any non-regulated activity of </w:t>
      </w:r>
      <w:r>
        <w:t>Puget LNG</w:t>
      </w:r>
      <w:r w:rsidRPr="00AB7F16">
        <w:t>.</w:t>
      </w:r>
      <w:r>
        <w:t xml:space="preserve"> </w:t>
      </w:r>
      <w:r w:rsidRPr="002701F8">
        <w:t>P</w:t>
      </w:r>
      <w:r>
        <w:t xml:space="preserve">uget Energy </w:t>
      </w:r>
      <w:r w:rsidRPr="002701F8">
        <w:t>guarantee</w:t>
      </w:r>
      <w:r>
        <w:t xml:space="preserve">s and will hold PSE’s customers harmless from </w:t>
      </w:r>
      <w:r w:rsidR="00B40F70">
        <w:t xml:space="preserve">all </w:t>
      </w:r>
      <w:r>
        <w:t xml:space="preserve">liabilities </w:t>
      </w:r>
      <w:r w:rsidR="00B40F70">
        <w:t xml:space="preserve">and financial losses </w:t>
      </w:r>
      <w:r>
        <w:t>of Puget LNG resulting from</w:t>
      </w:r>
      <w:r w:rsidR="00B40F70">
        <w:t>:</w:t>
      </w:r>
    </w:p>
    <w:p w14:paraId="54781C27" w14:textId="041A8C3C" w:rsidR="00E82C29" w:rsidRDefault="00E82C29" w:rsidP="00E82C29">
      <w:pPr>
        <w:pStyle w:val="BodyTextIndent"/>
        <w:tabs>
          <w:tab w:val="clear" w:pos="0"/>
          <w:tab w:val="clear" w:pos="720"/>
          <w:tab w:val="clear" w:pos="4320"/>
          <w:tab w:val="clear" w:pos="5040"/>
          <w:tab w:val="clear" w:pos="5760"/>
          <w:tab w:val="clear" w:pos="6480"/>
          <w:tab w:val="clear" w:pos="7200"/>
          <w:tab w:val="clear" w:pos="7920"/>
        </w:tabs>
        <w:ind w:left="720" w:firstLine="720"/>
        <w:outlineLvl w:val="0"/>
      </w:pPr>
      <w:r>
        <w:t>(i)</w:t>
      </w:r>
      <w:r>
        <w:tab/>
      </w:r>
      <w:r w:rsidRPr="00AB7F16">
        <w:t xml:space="preserve">any non-regulated activity of </w:t>
      </w:r>
      <w:r>
        <w:t>the Tacoma LNG Facility</w:t>
      </w:r>
      <w:r w:rsidR="00B40F70">
        <w:t>, including the sale or assignment of the assets of Puget LNG to a thirty party</w:t>
      </w:r>
      <w:r>
        <w:t>; and</w:t>
      </w:r>
    </w:p>
    <w:p w14:paraId="1EDCDBD6" w14:textId="09829C1D" w:rsidR="00E82C29" w:rsidRDefault="00E82C29" w:rsidP="00E82C29">
      <w:pPr>
        <w:pStyle w:val="BodyTextIndent"/>
        <w:tabs>
          <w:tab w:val="clear" w:pos="0"/>
          <w:tab w:val="clear" w:pos="720"/>
          <w:tab w:val="clear" w:pos="4320"/>
          <w:tab w:val="clear" w:pos="5040"/>
          <w:tab w:val="clear" w:pos="5760"/>
          <w:tab w:val="clear" w:pos="6480"/>
          <w:tab w:val="clear" w:pos="7200"/>
          <w:tab w:val="clear" w:pos="7920"/>
        </w:tabs>
        <w:ind w:left="720" w:firstLine="720"/>
        <w:outlineLvl w:val="0"/>
      </w:pPr>
      <w:r>
        <w:t>(ii)</w:t>
      </w:r>
      <w:r>
        <w:tab/>
        <w:t xml:space="preserve">circumstances in which Puget LNG </w:t>
      </w:r>
      <w:r w:rsidR="00B40F70">
        <w:t xml:space="preserve">or any successor to Puget LNG </w:t>
      </w:r>
      <w:r>
        <w:t>(a) </w:t>
      </w:r>
      <w:r w:rsidRPr="00092DC3">
        <w:t>becomes insolvent or is unable to pay its debts when due, (b)</w:t>
      </w:r>
      <w:r>
        <w:t> </w:t>
      </w:r>
      <w:r w:rsidRPr="00092DC3">
        <w:t xml:space="preserve">files a petition in bankruptcy, reorganization or similar proceedings (and if filed against, such petition is not removed within </w:t>
      </w:r>
      <w:r>
        <w:t>90 </w:t>
      </w:r>
      <w:r w:rsidRPr="00092DC3">
        <w:t>days), (c)</w:t>
      </w:r>
      <w:r>
        <w:t> </w:t>
      </w:r>
      <w:r w:rsidRPr="00092DC3">
        <w:t>discontinues its business, or (d)</w:t>
      </w:r>
      <w:r>
        <w:t> </w:t>
      </w:r>
      <w:r w:rsidRPr="00092DC3">
        <w:t>a receiver is appointed or there is an assignment for the benefit of creditors</w:t>
      </w:r>
      <w:r>
        <w:t xml:space="preserve"> of Puget LNG</w:t>
      </w:r>
      <w:r w:rsidRPr="00092DC3">
        <w:t>.</w:t>
      </w:r>
    </w:p>
    <w:p w14:paraId="19EA6827" w14:textId="77777777" w:rsidR="00E82C29" w:rsidRPr="00E55704" w:rsidRDefault="00E82C29" w:rsidP="00E82C29">
      <w:pPr>
        <w:pStyle w:val="BodyTextIndent"/>
        <w:keepNext/>
        <w:keepLines/>
        <w:tabs>
          <w:tab w:val="clear" w:pos="0"/>
          <w:tab w:val="clear" w:pos="720"/>
          <w:tab w:val="clear" w:pos="4320"/>
          <w:tab w:val="clear" w:pos="5040"/>
          <w:tab w:val="clear" w:pos="5760"/>
          <w:tab w:val="clear" w:pos="6480"/>
          <w:tab w:val="clear" w:pos="7200"/>
          <w:tab w:val="clear" w:pos="7920"/>
          <w:tab w:val="left" w:pos="1440"/>
        </w:tabs>
        <w:spacing w:after="280" w:line="240" w:lineRule="auto"/>
        <w:ind w:left="1440" w:hanging="720"/>
        <w:outlineLvl w:val="0"/>
        <w:rPr>
          <w:b/>
          <w:u w:val="single"/>
        </w:rPr>
      </w:pPr>
      <w:r>
        <w:rPr>
          <w:b/>
        </w:rPr>
        <w:t>4</w:t>
      </w:r>
      <w:r w:rsidRPr="00E55704">
        <w:rPr>
          <w:b/>
        </w:rPr>
        <w:t>.</w:t>
      </w:r>
      <w:r w:rsidRPr="00E55704">
        <w:rPr>
          <w:b/>
        </w:rPr>
        <w:tab/>
      </w:r>
      <w:r>
        <w:rPr>
          <w:b/>
          <w:u w:val="single"/>
        </w:rPr>
        <w:t>Joint Ownership Agreement</w:t>
      </w:r>
    </w:p>
    <w:p w14:paraId="50AA579D" w14:textId="65BEE6E8" w:rsidR="00E82C29" w:rsidRDefault="00E82C29" w:rsidP="00E82C29">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t>Within sixty (60) days of the formation of Puget LNG, PSE will file a Joint Ownership Agreement between Puget LNG and PSE for approval by the Commission pursuant to RCW </w:t>
      </w:r>
      <w:r w:rsidRPr="00C24479">
        <w:t>80.16.020</w:t>
      </w:r>
      <w:r>
        <w:t>. The terms and conditions of the Joint Ownership Agreement will reflect the terms and conditions set forth in Attachment </w:t>
      </w:r>
      <w:r w:rsidR="00241563">
        <w:t>B</w:t>
      </w:r>
      <w:r>
        <w:t xml:space="preserve"> to this Settlement Stipulation.</w:t>
      </w:r>
    </w:p>
    <w:p w14:paraId="31F00BC3" w14:textId="77777777" w:rsidR="00E82C29" w:rsidRPr="00E55704" w:rsidRDefault="00E82C29" w:rsidP="00E82C29">
      <w:pPr>
        <w:pStyle w:val="BodyTextIndent"/>
        <w:keepNext/>
        <w:keepLines/>
        <w:tabs>
          <w:tab w:val="clear" w:pos="0"/>
          <w:tab w:val="clear" w:pos="720"/>
          <w:tab w:val="clear" w:pos="4320"/>
          <w:tab w:val="clear" w:pos="5040"/>
          <w:tab w:val="clear" w:pos="5760"/>
          <w:tab w:val="clear" w:pos="6480"/>
          <w:tab w:val="clear" w:pos="7200"/>
          <w:tab w:val="clear" w:pos="7920"/>
          <w:tab w:val="left" w:pos="1440"/>
        </w:tabs>
        <w:spacing w:after="280" w:line="240" w:lineRule="auto"/>
        <w:ind w:left="2160" w:hanging="720"/>
        <w:outlineLvl w:val="0"/>
        <w:rPr>
          <w:b/>
          <w:u w:val="single"/>
        </w:rPr>
      </w:pPr>
      <w:r>
        <w:rPr>
          <w:b/>
        </w:rPr>
        <w:lastRenderedPageBreak/>
        <w:t>a</w:t>
      </w:r>
      <w:r w:rsidRPr="00E55704">
        <w:rPr>
          <w:b/>
        </w:rPr>
        <w:t>.</w:t>
      </w:r>
      <w:r w:rsidRPr="00E55704">
        <w:rPr>
          <w:b/>
        </w:rPr>
        <w:tab/>
      </w:r>
      <w:r>
        <w:rPr>
          <w:b/>
          <w:u w:val="single"/>
        </w:rPr>
        <w:t>Operating Costs Under the Joint Ownership Agreement</w:t>
      </w:r>
    </w:p>
    <w:p w14:paraId="60FFF6A1" w14:textId="0B8D4000" w:rsidR="00E82C29" w:rsidRDefault="00E82C29" w:rsidP="00E82C29">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rsidRPr="00871C04">
        <w:rPr>
          <w:u w:val="single"/>
        </w:rPr>
        <w:t>Operating Costs During the Term of the Joint Ownership Agreement</w:t>
      </w:r>
      <w:r w:rsidRPr="00C21D68">
        <w:t>.</w:t>
      </w:r>
      <w:r>
        <w:t xml:space="preserve"> </w:t>
      </w:r>
      <w:r w:rsidRPr="002701F8">
        <w:t xml:space="preserve">Puget LNG </w:t>
      </w:r>
      <w:r>
        <w:t>will pay</w:t>
      </w:r>
      <w:r w:rsidRPr="002701F8">
        <w:t>, and P</w:t>
      </w:r>
      <w:r>
        <w:t xml:space="preserve">uget Energy will </w:t>
      </w:r>
      <w:r w:rsidRPr="002701F8">
        <w:t>guarantee, Puget</w:t>
      </w:r>
      <w:r>
        <w:t> </w:t>
      </w:r>
      <w:r w:rsidRPr="002701F8">
        <w:t>LNG’s assigned percentage allocation of annual operating costs</w:t>
      </w:r>
      <w:r w:rsidR="00B40F70">
        <w:t xml:space="preserve"> </w:t>
      </w:r>
      <w:r w:rsidRPr="002701F8">
        <w:t xml:space="preserve">and </w:t>
      </w:r>
      <w:r w:rsidR="00B40F70">
        <w:t xml:space="preserve">will </w:t>
      </w:r>
      <w:r w:rsidRPr="002701F8">
        <w:t>do so without subsidy from PSE ratepayers</w:t>
      </w:r>
      <w:r>
        <w:t>.</w:t>
      </w:r>
    </w:p>
    <w:p w14:paraId="56A56091" w14:textId="6B4C5711" w:rsidR="00E82C29" w:rsidRDefault="00E82C29" w:rsidP="00E82C29">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bookmarkStart w:id="1" w:name="_Ref462406743"/>
      <w:r w:rsidRPr="00871C04">
        <w:rPr>
          <w:u w:val="single"/>
        </w:rPr>
        <w:t>Operating Costs Upon the Expiration or Termination of the Joint Ownership Agreement</w:t>
      </w:r>
      <w:r w:rsidRPr="00C21D68">
        <w:t>.</w:t>
      </w:r>
      <w:r>
        <w:t xml:space="preserve"> In the event that Puget LNG ceases operating as a going concern and another entity does not succeed Puget LNG’s obligations under the Joint Ownership Agreement or similar agreement, the Joint Ownership Agreement will terminate or expire in accordance with its terms. The Settling Parties acknowledge that some of the fixed operating costs associated with the Tacoma LNG Facility may shift to PSE because Puget LNG will not be available to share in those fixed operating costs. Attachment </w:t>
      </w:r>
      <w:r w:rsidR="00241563">
        <w:t>C</w:t>
      </w:r>
      <w:r>
        <w:t xml:space="preserve"> to this Settlement Stipulation is a representative list of fixed operating costs associated with the Tacoma LNG Facility</w:t>
      </w:r>
      <w:r w:rsidR="002D74F8">
        <w:t xml:space="preserve"> that may shift to PSE</w:t>
      </w:r>
      <w:r>
        <w:t xml:space="preserve">. PSE will use commercially reasonable efforts to minimize the fixed operating costs shifted to PSE and mitigate the impacts of any such shift on PSE. PSE will bear the burden of demonstrating to the Commission that such fixed operating costs, if any, are prudent and reasonable for recovery in rates by PSE. Each of the Commission, Staff, Public Counsel, </w:t>
      </w:r>
      <w:proofErr w:type="spellStart"/>
      <w:r>
        <w:t>NWIGU</w:t>
      </w:r>
      <w:proofErr w:type="spellEnd"/>
      <w:r>
        <w:t>, and ICNU reserves its right to challenge such fixed operating costs, if any, in future rate proceedings.</w:t>
      </w:r>
      <w:bookmarkEnd w:id="1"/>
    </w:p>
    <w:p w14:paraId="217691F7" w14:textId="77777777" w:rsidR="00E82C29" w:rsidRPr="00E55704" w:rsidRDefault="00E82C29" w:rsidP="00E82C29">
      <w:pPr>
        <w:pStyle w:val="BodyTextIndent"/>
        <w:keepNext/>
        <w:keepLines/>
        <w:tabs>
          <w:tab w:val="clear" w:pos="0"/>
          <w:tab w:val="clear" w:pos="720"/>
          <w:tab w:val="clear" w:pos="4320"/>
          <w:tab w:val="clear" w:pos="5040"/>
          <w:tab w:val="clear" w:pos="5760"/>
          <w:tab w:val="clear" w:pos="6480"/>
          <w:tab w:val="clear" w:pos="7200"/>
          <w:tab w:val="clear" w:pos="7920"/>
          <w:tab w:val="left" w:pos="1440"/>
        </w:tabs>
        <w:spacing w:after="280" w:line="240" w:lineRule="auto"/>
        <w:ind w:left="2160" w:hanging="720"/>
        <w:outlineLvl w:val="0"/>
        <w:rPr>
          <w:b/>
          <w:u w:val="single"/>
        </w:rPr>
      </w:pPr>
      <w:r>
        <w:rPr>
          <w:b/>
        </w:rPr>
        <w:t>b</w:t>
      </w:r>
      <w:r w:rsidRPr="00E55704">
        <w:rPr>
          <w:b/>
        </w:rPr>
        <w:t>.</w:t>
      </w:r>
      <w:r w:rsidRPr="00E55704">
        <w:rPr>
          <w:b/>
        </w:rPr>
        <w:tab/>
      </w:r>
      <w:r>
        <w:rPr>
          <w:b/>
          <w:u w:val="single"/>
        </w:rPr>
        <w:t>Liabilities Under the Joint Ownership Agreement</w:t>
      </w:r>
    </w:p>
    <w:p w14:paraId="5CCA6ACC" w14:textId="25AEF2BB" w:rsidR="00871C04" w:rsidRDefault="00E82C29" w:rsidP="00E82C29">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rsidRPr="000F3840">
        <w:t>The obligations and liabilities of Puget LNG and PSE (each, an “Owner”) with respect to the Tacoma LNG Facility are intended to be several and not joint or collective, and nothing contained in the Joint Ownership Agreement will be construed to create an association, joint venture, trust or partnership.</w:t>
      </w:r>
      <w:r>
        <w:t xml:space="preserve"> </w:t>
      </w:r>
      <w:r w:rsidRPr="000F3840">
        <w:t>Each Owner will be individually responsible for the performance of its own obligations.</w:t>
      </w:r>
      <w:r>
        <w:t xml:space="preserve"> </w:t>
      </w:r>
      <w:r w:rsidRPr="000F3840">
        <w:t xml:space="preserve">Neither Owner will have a right or power to bind the other </w:t>
      </w:r>
      <w:r w:rsidRPr="000F3840">
        <w:lastRenderedPageBreak/>
        <w:t>Owner without its express written consent, except as expressly provided in the Joint Ownership Agreement or in an ancillary agreement.</w:t>
      </w:r>
    </w:p>
    <w:p w14:paraId="5C700B8B" w14:textId="33C8CDFB" w:rsidR="00E82C29" w:rsidRDefault="00E82C29" w:rsidP="00E82C29">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t xml:space="preserve">Except as otherwise provided, all risk, loss and damage arising out of the ownership, construction, operation or maintenance of any portion of the Tacoma LNG Facility shall be borne by each Owner in proportion to its </w:t>
      </w:r>
      <w:r w:rsidRPr="006E5A84">
        <w:t xml:space="preserve">capital cost allocation </w:t>
      </w:r>
      <w:r>
        <w:t>set forth in Attachment </w:t>
      </w:r>
      <w:r w:rsidR="00241563">
        <w:t>D</w:t>
      </w:r>
      <w:r>
        <w:t xml:space="preserve"> to this Settlement Stipulation</w:t>
      </w:r>
      <w:r w:rsidR="000A31E2">
        <w:t>,</w:t>
      </w:r>
      <w:r>
        <w:t xml:space="preserve"> all or portions of which shall be insured; </w:t>
      </w:r>
      <w:r w:rsidRPr="00871C04">
        <w:rPr>
          <w:i/>
        </w:rPr>
        <w:t>provided</w:t>
      </w:r>
      <w:r>
        <w:t xml:space="preserve">, </w:t>
      </w:r>
      <w:r w:rsidRPr="00871C04">
        <w:rPr>
          <w:i/>
        </w:rPr>
        <w:t>however</w:t>
      </w:r>
      <w:r>
        <w:t xml:space="preserve">, </w:t>
      </w:r>
      <w:r w:rsidRPr="00871C04">
        <w:rPr>
          <w:i/>
        </w:rPr>
        <w:t>that</w:t>
      </w:r>
      <w:r>
        <w:t xml:space="preserve">, to the extent that any </w:t>
      </w:r>
      <w:r w:rsidRPr="000F3840">
        <w:t>loss or damage is caused by actions performed exclusively for Puget LNG or exclusively for PSE, then the Owner on whose behalf the actions were exclusively performed will be fully responsible for the loss or damage</w:t>
      </w:r>
      <w:r>
        <w:t>. If either Owner, by reason of joint liability, shall be called upon to make any payment or incur any obligation in excess of its proportionate Ownership Share, then the other Owner shall have the obligation to pay and reimburse, regardless of cost, such Owner proportionately to the extent of any such excess by tendering payment upon thirty (30) business days’ notice of such payment in excess of its Ownership Share.</w:t>
      </w:r>
    </w:p>
    <w:p w14:paraId="5177C1DD" w14:textId="77777777" w:rsidR="00E82C29" w:rsidRPr="00E55704" w:rsidRDefault="00E82C29" w:rsidP="00E82C29">
      <w:pPr>
        <w:pStyle w:val="BodyTextIndent"/>
        <w:keepNext/>
        <w:keepLines/>
        <w:tabs>
          <w:tab w:val="clear" w:pos="0"/>
          <w:tab w:val="clear" w:pos="720"/>
          <w:tab w:val="clear" w:pos="4320"/>
          <w:tab w:val="clear" w:pos="5040"/>
          <w:tab w:val="clear" w:pos="5760"/>
          <w:tab w:val="clear" w:pos="6480"/>
          <w:tab w:val="clear" w:pos="7200"/>
          <w:tab w:val="clear" w:pos="7920"/>
          <w:tab w:val="left" w:pos="1440"/>
        </w:tabs>
        <w:spacing w:after="280" w:line="240" w:lineRule="auto"/>
        <w:ind w:left="2160" w:hanging="720"/>
        <w:outlineLvl w:val="0"/>
        <w:rPr>
          <w:b/>
          <w:u w:val="single"/>
        </w:rPr>
      </w:pPr>
      <w:r>
        <w:rPr>
          <w:b/>
        </w:rPr>
        <w:t>c</w:t>
      </w:r>
      <w:r w:rsidRPr="00E55704">
        <w:rPr>
          <w:b/>
        </w:rPr>
        <w:t>.</w:t>
      </w:r>
      <w:r w:rsidRPr="00E55704">
        <w:rPr>
          <w:b/>
        </w:rPr>
        <w:tab/>
      </w:r>
      <w:r>
        <w:rPr>
          <w:b/>
          <w:u w:val="single"/>
        </w:rPr>
        <w:t>Insurance Requirements Under the Joint Ownership Agreement</w:t>
      </w:r>
    </w:p>
    <w:p w14:paraId="45F78C7E" w14:textId="62639D6E" w:rsidR="00B40F70" w:rsidRPr="00B40F70" w:rsidRDefault="00B40F70" w:rsidP="00B40F70">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rsidRPr="00B40F70">
        <w:t>Puget Energy and its affiliates will adequately insure non-regulated activity at the Tacoma</w:t>
      </w:r>
      <w:r>
        <w:t> </w:t>
      </w:r>
      <w:r w:rsidRPr="00B40F70">
        <w:t>LNG Facility. The term “adequately insure” means that the nominal value of such insurance coverage must reasonably reflect the size, value, and scope of the Tacoma</w:t>
      </w:r>
      <w:r>
        <w:t> </w:t>
      </w:r>
      <w:r w:rsidRPr="00B40F70">
        <w:t>LNG Facility and its operations.</w:t>
      </w:r>
    </w:p>
    <w:p w14:paraId="3EA09BE1" w14:textId="77777777" w:rsidR="00E82C29" w:rsidRPr="00E55704" w:rsidRDefault="00E82C29" w:rsidP="00E82C29">
      <w:pPr>
        <w:pStyle w:val="BodyTextIndent"/>
        <w:keepNext/>
        <w:keepLines/>
        <w:tabs>
          <w:tab w:val="clear" w:pos="0"/>
          <w:tab w:val="clear" w:pos="720"/>
          <w:tab w:val="clear" w:pos="4320"/>
          <w:tab w:val="clear" w:pos="5040"/>
          <w:tab w:val="clear" w:pos="5760"/>
          <w:tab w:val="clear" w:pos="6480"/>
          <w:tab w:val="clear" w:pos="7200"/>
          <w:tab w:val="clear" w:pos="7920"/>
          <w:tab w:val="left" w:pos="1440"/>
        </w:tabs>
        <w:spacing w:after="280" w:line="240" w:lineRule="auto"/>
        <w:ind w:left="2160" w:hanging="720"/>
        <w:outlineLvl w:val="0"/>
        <w:rPr>
          <w:b/>
          <w:u w:val="single"/>
        </w:rPr>
      </w:pPr>
      <w:r>
        <w:rPr>
          <w:b/>
        </w:rPr>
        <w:t>d</w:t>
      </w:r>
      <w:r w:rsidRPr="00E55704">
        <w:rPr>
          <w:b/>
        </w:rPr>
        <w:t>.</w:t>
      </w:r>
      <w:r w:rsidRPr="00E55704">
        <w:rPr>
          <w:b/>
        </w:rPr>
        <w:tab/>
      </w:r>
      <w:r>
        <w:rPr>
          <w:b/>
          <w:u w:val="single"/>
        </w:rPr>
        <w:t>Usage Fees Under the Joint Ownership Agreement</w:t>
      </w:r>
    </w:p>
    <w:p w14:paraId="2F724B1A" w14:textId="77777777" w:rsidR="00804853" w:rsidRDefault="00E82C29" w:rsidP="00E82C29">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t xml:space="preserve">The Settling Parties acknowledge that, notwithstanding the Ownership Shares identified for components of the Tacoma LNG Facility set forth in this Settlement Stipulation, it may be necessary for an Owner to use more than its Ownership Share of components of the </w:t>
      </w:r>
      <w:r>
        <w:lastRenderedPageBreak/>
        <w:t xml:space="preserve">Tacoma LNG Facility. For example, Puget LNG may desire to use more than its Ownership Share of the storage facility during the summer, when PSE does not require as much storage capacity for peaking service. Conversely, PSE may desire to use more than its Ownership Share of the truck loading facility if PSE were to build and operate LNG satellite peaking facilities in addition to that in Gig Harbor. The opportunity for each Owner to charge the other Owner to compensate for usage in excess of Ownership Shares will be included in the Joint Operating Agreement. </w:t>
      </w:r>
    </w:p>
    <w:p w14:paraId="3288D02B" w14:textId="4EB7EF26" w:rsidR="00E82C29" w:rsidRPr="00804853" w:rsidRDefault="00E82C29" w:rsidP="00E82C29">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rsidRPr="00804853">
        <w:t xml:space="preserve">PSE will maintain sufficient records to support any such usage charge and report any such usage charge for a calendar year in the affiliated interest and subsidiary transaction report filed annually with the Commission pursuant to WAC 480-90-264. In the event PSE receives payment from Puget LNG in excess of its Ownership Share, such benefits shall flow to PSE customers. PSE will bear the burden of demonstrating to the Commission that </w:t>
      </w:r>
      <w:r w:rsidR="00B40F70" w:rsidRPr="00804853">
        <w:t xml:space="preserve">any </w:t>
      </w:r>
      <w:r w:rsidRPr="00804853">
        <w:t xml:space="preserve">charges in excess of its Ownership Shares are prudent and reasonable for recovery in rates by PSE. Each of the Commission Staff, Public Counsel, </w:t>
      </w:r>
      <w:proofErr w:type="spellStart"/>
      <w:r w:rsidRPr="00804853">
        <w:t>NWIGU</w:t>
      </w:r>
      <w:proofErr w:type="spellEnd"/>
      <w:r w:rsidRPr="00804853">
        <w:t>, and ICNU reserves its right to challenge such charges in excess of PSE Ownership Shares, if any, in future rate proceedings.</w:t>
      </w:r>
    </w:p>
    <w:p w14:paraId="45A6DBC3" w14:textId="550D5CEB" w:rsidR="00E82C29" w:rsidRPr="00C24479" w:rsidRDefault="00E82C29" w:rsidP="00E82C29">
      <w:pPr>
        <w:pStyle w:val="BodyTextIndent"/>
        <w:keepNext/>
        <w:keepLines/>
        <w:tabs>
          <w:tab w:val="clear" w:pos="0"/>
          <w:tab w:val="clear" w:pos="720"/>
          <w:tab w:val="clear" w:pos="4320"/>
          <w:tab w:val="clear" w:pos="5040"/>
          <w:tab w:val="clear" w:pos="5760"/>
          <w:tab w:val="clear" w:pos="6480"/>
          <w:tab w:val="clear" w:pos="7200"/>
          <w:tab w:val="clear" w:pos="7920"/>
          <w:tab w:val="left" w:pos="1440"/>
        </w:tabs>
        <w:spacing w:after="280" w:line="240" w:lineRule="auto"/>
        <w:ind w:left="1440" w:hanging="720"/>
        <w:outlineLvl w:val="0"/>
        <w:rPr>
          <w:b/>
          <w:u w:val="single"/>
        </w:rPr>
      </w:pPr>
      <w:r>
        <w:rPr>
          <w:b/>
        </w:rPr>
        <w:t>5</w:t>
      </w:r>
      <w:r w:rsidRPr="00E55704">
        <w:rPr>
          <w:b/>
        </w:rPr>
        <w:t>.</w:t>
      </w:r>
      <w:r w:rsidRPr="00E55704">
        <w:rPr>
          <w:b/>
        </w:rPr>
        <w:tab/>
      </w:r>
      <w:r w:rsidRPr="00C24479">
        <w:rPr>
          <w:b/>
          <w:u w:val="single"/>
        </w:rPr>
        <w:t>Revisions to the Commitment</w:t>
      </w:r>
      <w:r>
        <w:rPr>
          <w:b/>
          <w:u w:val="single"/>
        </w:rPr>
        <w:t>s in the Merger Order</w:t>
      </w:r>
      <w:r w:rsidR="002C20B8" w:rsidRPr="00C21A5E">
        <w:rPr>
          <w:rStyle w:val="FootnoteReference"/>
          <w:b/>
          <w:u w:val="single"/>
          <w:vertAlign w:val="superscript"/>
        </w:rPr>
        <w:footnoteReference w:id="3"/>
      </w:r>
    </w:p>
    <w:p w14:paraId="2D498F06" w14:textId="67E1A21F" w:rsidR="00E82C29" w:rsidRDefault="00497336" w:rsidP="008D065F">
      <w:pPr>
        <w:pStyle w:val="BodyTextIndent"/>
        <w:keepNext/>
        <w:keepLines/>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bookmarkStart w:id="2" w:name="_Ref462406765"/>
      <w:r>
        <w:t>To effectuate this Settlement Stipulation, t</w:t>
      </w:r>
      <w:r w:rsidR="00E82C29">
        <w:t xml:space="preserve">he Settling Parties </w:t>
      </w:r>
      <w:r>
        <w:t xml:space="preserve">request </w:t>
      </w:r>
      <w:r w:rsidR="00E82C29">
        <w:t>that the Commission amend Commitment 56 in the Merger Order</w:t>
      </w:r>
      <w:r w:rsidR="00B3128A" w:rsidRPr="008D065F">
        <w:rPr>
          <w:rStyle w:val="FootnoteReference"/>
          <w:vertAlign w:val="superscript"/>
        </w:rPr>
        <w:footnoteReference w:id="4"/>
      </w:r>
      <w:r w:rsidR="00E82C29">
        <w:t xml:space="preserve"> to read as follows:</w:t>
      </w:r>
      <w:bookmarkEnd w:id="2"/>
    </w:p>
    <w:p w14:paraId="7A00A215" w14:textId="7E34688F" w:rsidR="00E82C29" w:rsidRPr="00B26E5C" w:rsidRDefault="00E82C29" w:rsidP="00E82C29">
      <w:pPr>
        <w:pStyle w:val="BodyTextIndent"/>
        <w:tabs>
          <w:tab w:val="clear" w:pos="0"/>
          <w:tab w:val="clear" w:pos="720"/>
          <w:tab w:val="clear" w:pos="4320"/>
          <w:tab w:val="clear" w:pos="5040"/>
          <w:tab w:val="clear" w:pos="5760"/>
          <w:tab w:val="clear" w:pos="6480"/>
          <w:tab w:val="clear" w:pos="7200"/>
          <w:tab w:val="clear" w:pos="7920"/>
        </w:tabs>
        <w:spacing w:after="280" w:line="240" w:lineRule="auto"/>
        <w:ind w:left="2160" w:right="720" w:hanging="720"/>
        <w:outlineLvl w:val="0"/>
        <w:rPr>
          <w:color w:val="FF0000"/>
          <w:u w:val="single"/>
        </w:rPr>
      </w:pPr>
      <w:r>
        <w:t>56.</w:t>
      </w:r>
      <w:r>
        <w:tab/>
        <w:t>Puget Energy shall not operate or own any business other than PSE</w:t>
      </w:r>
      <w:r w:rsidRPr="00E55704">
        <w:rPr>
          <w:color w:val="FF0000"/>
          <w:u w:val="single"/>
        </w:rPr>
        <w:t xml:space="preserve"> and Puget LNG, LLC</w:t>
      </w:r>
      <w:r>
        <w:rPr>
          <w:color w:val="FF0000"/>
          <w:u w:val="single"/>
        </w:rPr>
        <w:t xml:space="preserve"> (“Puget LNG”). </w:t>
      </w:r>
      <w:r w:rsidRPr="00B26E5C">
        <w:rPr>
          <w:color w:val="FF0000"/>
          <w:u w:val="single"/>
        </w:rPr>
        <w:t>Puget LNG</w:t>
      </w:r>
      <w:r>
        <w:rPr>
          <w:color w:val="FF0000"/>
          <w:u w:val="single"/>
        </w:rPr>
        <w:t xml:space="preserve"> </w:t>
      </w:r>
      <w:r w:rsidRPr="00B26E5C">
        <w:rPr>
          <w:color w:val="FF0000"/>
          <w:u w:val="single"/>
        </w:rPr>
        <w:t xml:space="preserve">shall be a special purpose entity formed </w:t>
      </w:r>
      <w:r>
        <w:rPr>
          <w:color w:val="FF0000"/>
          <w:u w:val="single"/>
        </w:rPr>
        <w:t xml:space="preserve">by Puget Energy </w:t>
      </w:r>
      <w:r w:rsidRPr="00B26E5C">
        <w:rPr>
          <w:color w:val="FF0000"/>
          <w:u w:val="single"/>
        </w:rPr>
        <w:t>solely for the purposes of owning, developing, and financing</w:t>
      </w:r>
      <w:r>
        <w:rPr>
          <w:color w:val="FF0000"/>
          <w:u w:val="single"/>
        </w:rPr>
        <w:t xml:space="preserve">, </w:t>
      </w:r>
      <w:r w:rsidRPr="00B26E5C">
        <w:rPr>
          <w:color w:val="FF0000"/>
          <w:u w:val="single"/>
        </w:rPr>
        <w:t>as a tenant-in-common with PSE</w:t>
      </w:r>
      <w:r>
        <w:rPr>
          <w:color w:val="FF0000"/>
          <w:u w:val="single"/>
        </w:rPr>
        <w:t>,</w:t>
      </w:r>
      <w:r w:rsidRPr="00B26E5C">
        <w:rPr>
          <w:color w:val="FF0000"/>
          <w:u w:val="single"/>
        </w:rPr>
        <w:t xml:space="preserve"> an LNG facility at the Port of Tacoma</w:t>
      </w:r>
      <w:r>
        <w:rPr>
          <w:color w:val="FF0000"/>
          <w:u w:val="single"/>
        </w:rPr>
        <w:t xml:space="preserve"> (the</w:t>
      </w:r>
      <w:r w:rsidR="00C21A5E">
        <w:rPr>
          <w:color w:val="FF0000"/>
          <w:u w:val="single"/>
        </w:rPr>
        <w:t> </w:t>
      </w:r>
      <w:r>
        <w:rPr>
          <w:color w:val="FF0000"/>
          <w:u w:val="single"/>
        </w:rPr>
        <w:t>“Tacoma LNG Facility”).</w:t>
      </w:r>
    </w:p>
    <w:p w14:paraId="0556F5B8" w14:textId="219067DA" w:rsidR="00E82C29" w:rsidRDefault="00E82C29" w:rsidP="00871C04">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bookmarkStart w:id="3" w:name="_Ref462406775"/>
      <w:r>
        <w:lastRenderedPageBreak/>
        <w:t xml:space="preserve">The Settling Parties </w:t>
      </w:r>
      <w:r w:rsidR="00497336">
        <w:t xml:space="preserve">further request </w:t>
      </w:r>
      <w:r>
        <w:t>that the Commission amend Commitment 58 in the Merger Order</w:t>
      </w:r>
      <w:r w:rsidR="00B3128A">
        <w:rPr>
          <w:rStyle w:val="FootnoteReference"/>
        </w:rPr>
        <w:footnoteReference w:id="5"/>
      </w:r>
      <w:r>
        <w:t xml:space="preserve"> to read as follows:</w:t>
      </w:r>
      <w:bookmarkEnd w:id="3"/>
    </w:p>
    <w:p w14:paraId="741D5182" w14:textId="77777777" w:rsidR="00E82C29" w:rsidRDefault="00E82C29" w:rsidP="00E82C29">
      <w:pPr>
        <w:pStyle w:val="BodyTextIndent"/>
        <w:tabs>
          <w:tab w:val="clear" w:pos="0"/>
          <w:tab w:val="clear" w:pos="720"/>
          <w:tab w:val="clear" w:pos="4320"/>
          <w:tab w:val="clear" w:pos="5040"/>
          <w:tab w:val="clear" w:pos="5760"/>
          <w:tab w:val="clear" w:pos="6480"/>
          <w:tab w:val="clear" w:pos="7200"/>
          <w:tab w:val="clear" w:pos="7920"/>
        </w:tabs>
        <w:spacing w:after="280" w:line="240" w:lineRule="auto"/>
        <w:ind w:left="2160" w:right="720" w:hanging="720"/>
        <w:outlineLvl w:val="0"/>
      </w:pPr>
      <w:r>
        <w:t>58.</w:t>
      </w:r>
      <w:r>
        <w:tab/>
        <w:t xml:space="preserve">Joint Applicants commit that the current and any future capital expenditure credit facilities will by their terms limit the use of such funds only for financing </w:t>
      </w:r>
      <w:r w:rsidRPr="00E55704">
        <w:rPr>
          <w:strike/>
          <w:color w:val="FF0000"/>
        </w:rPr>
        <w:t xml:space="preserve">PSE </w:t>
      </w:r>
      <w:r>
        <w:t>capital expenditures</w:t>
      </w:r>
      <w:r w:rsidRPr="00E55704">
        <w:rPr>
          <w:color w:val="FF0000"/>
          <w:u w:val="single"/>
        </w:rPr>
        <w:t xml:space="preserve"> of PSE and Puget LNG, LLC</w:t>
      </w:r>
      <w:r>
        <w:t>. Quarterly officer certificates under each of the credit facilities of Puget Energy and PSE will be made available to the Commission and other interested parties, upon request and subject to the protective order in Docket No. U-072375.</w:t>
      </w:r>
    </w:p>
    <w:p w14:paraId="23CCD4E0" w14:textId="408C9563" w:rsidR="00E82C29" w:rsidRDefault="00E82C29" w:rsidP="00871C04">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t>Commitment 56 and 58, as amended consistent with paragraphs </w:t>
      </w:r>
      <w:r w:rsidR="00280B19">
        <w:fldChar w:fldCharType="begin"/>
      </w:r>
      <w:r w:rsidR="00280B19">
        <w:instrText xml:space="preserve"> REF _Ref462406765 \r \h </w:instrText>
      </w:r>
      <w:r w:rsidR="00280B19">
        <w:fldChar w:fldCharType="separate"/>
      </w:r>
      <w:r w:rsidR="00F40CFC">
        <w:t>20</w:t>
      </w:r>
      <w:r w:rsidR="00280B19">
        <w:fldChar w:fldCharType="end"/>
      </w:r>
      <w:r>
        <w:t xml:space="preserve"> and </w:t>
      </w:r>
      <w:r w:rsidR="00280B19">
        <w:fldChar w:fldCharType="begin"/>
      </w:r>
      <w:r w:rsidR="00280B19">
        <w:instrText xml:space="preserve"> REF _Ref462406775 \r \h </w:instrText>
      </w:r>
      <w:r w:rsidR="00280B19">
        <w:fldChar w:fldCharType="separate"/>
      </w:r>
      <w:r w:rsidR="00F40CFC">
        <w:t>21</w:t>
      </w:r>
      <w:r w:rsidR="00280B19">
        <w:fldChar w:fldCharType="end"/>
      </w:r>
      <w:r>
        <w:t xml:space="preserve"> of this Settlement Stipulation, will apply to PSE and its affiliates, including Puget Energy and Puget LNG.</w:t>
      </w:r>
    </w:p>
    <w:p w14:paraId="040F5764" w14:textId="5CC05AFD" w:rsidR="00E82C29" w:rsidRDefault="00E82C29" w:rsidP="00871C04">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t>Commitments 1-55, 57, and 59-63 will continue in full force and effect and without amendment.</w:t>
      </w:r>
    </w:p>
    <w:p w14:paraId="1CDABD1A" w14:textId="2437C325" w:rsidR="00B40F70" w:rsidRPr="00C24479" w:rsidRDefault="00B40F70" w:rsidP="00B40F70">
      <w:pPr>
        <w:pStyle w:val="BodyTextIndent"/>
        <w:keepNext/>
        <w:keepLines/>
        <w:tabs>
          <w:tab w:val="clear" w:pos="0"/>
          <w:tab w:val="clear" w:pos="720"/>
          <w:tab w:val="clear" w:pos="4320"/>
          <w:tab w:val="clear" w:pos="5040"/>
          <w:tab w:val="clear" w:pos="5760"/>
          <w:tab w:val="clear" w:pos="6480"/>
          <w:tab w:val="clear" w:pos="7200"/>
          <w:tab w:val="clear" w:pos="7920"/>
          <w:tab w:val="left" w:pos="1440"/>
        </w:tabs>
        <w:spacing w:after="280" w:line="240" w:lineRule="auto"/>
        <w:ind w:left="1440" w:hanging="720"/>
        <w:outlineLvl w:val="0"/>
        <w:rPr>
          <w:b/>
          <w:u w:val="single"/>
        </w:rPr>
      </w:pPr>
      <w:r>
        <w:rPr>
          <w:b/>
        </w:rPr>
        <w:t>6</w:t>
      </w:r>
      <w:r w:rsidRPr="00E55704">
        <w:rPr>
          <w:b/>
        </w:rPr>
        <w:t>.</w:t>
      </w:r>
      <w:r w:rsidRPr="00E55704">
        <w:rPr>
          <w:b/>
        </w:rPr>
        <w:tab/>
      </w:r>
      <w:r>
        <w:rPr>
          <w:b/>
          <w:u w:val="single"/>
        </w:rPr>
        <w:t>Notice to the Commission</w:t>
      </w:r>
    </w:p>
    <w:p w14:paraId="0E9556AE" w14:textId="3F1C165B" w:rsidR="00B40F70" w:rsidRDefault="00B40F70" w:rsidP="00B40F70">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t xml:space="preserve">PSE will notify the Commission of any potential sale or transfer of </w:t>
      </w:r>
      <w:r w:rsidR="00192E70">
        <w:t xml:space="preserve">all or substantially all of the assets of the </w:t>
      </w:r>
      <w:r>
        <w:t xml:space="preserve">Tacoma LNG Facility </w:t>
      </w:r>
      <w:r w:rsidR="00192E70">
        <w:t xml:space="preserve">or </w:t>
      </w:r>
      <w:r>
        <w:t>the potential sale or transfer of Puget LNG’s non-regulated operations. PSE must give this notice as soon as practicable.</w:t>
      </w:r>
    </w:p>
    <w:p w14:paraId="5B984BC7" w14:textId="77777777" w:rsidR="00E82C29" w:rsidRDefault="00E82C29" w:rsidP="00E82C29">
      <w:pPr>
        <w:pStyle w:val="BodyTextIndent"/>
        <w:keepNext/>
        <w:keepLines/>
        <w:tabs>
          <w:tab w:val="clear" w:pos="0"/>
          <w:tab w:val="clear" w:pos="720"/>
          <w:tab w:val="clear" w:pos="4320"/>
          <w:tab w:val="clear" w:pos="5040"/>
          <w:tab w:val="clear" w:pos="5760"/>
          <w:tab w:val="clear" w:pos="6480"/>
          <w:tab w:val="clear" w:pos="7200"/>
          <w:tab w:val="clear" w:pos="7920"/>
          <w:tab w:val="left" w:pos="1440"/>
        </w:tabs>
        <w:spacing w:after="280" w:line="240" w:lineRule="auto"/>
        <w:ind w:left="720" w:hanging="720"/>
        <w:outlineLvl w:val="0"/>
        <w:rPr>
          <w:b/>
        </w:rPr>
      </w:pPr>
      <w:r>
        <w:rPr>
          <w:b/>
          <w:bCs/>
          <w:szCs w:val="24"/>
        </w:rPr>
        <w:t>B.</w:t>
      </w:r>
      <w:r>
        <w:rPr>
          <w:b/>
          <w:bCs/>
          <w:szCs w:val="24"/>
        </w:rPr>
        <w:tab/>
      </w:r>
      <w:r w:rsidRPr="00E37FEB">
        <w:rPr>
          <w:b/>
          <w:bCs/>
          <w:szCs w:val="24"/>
          <w:u w:val="single"/>
        </w:rPr>
        <w:t>Agreements</w:t>
      </w:r>
      <w:r>
        <w:rPr>
          <w:b/>
          <w:bCs/>
          <w:szCs w:val="24"/>
          <w:u w:val="single"/>
        </w:rPr>
        <w:t xml:space="preserve"> With Respect to Ownership Shares</w:t>
      </w:r>
    </w:p>
    <w:p w14:paraId="1D5D28D9" w14:textId="70B4A0A9" w:rsidR="005956D8" w:rsidRDefault="00E82C29" w:rsidP="005956D8">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t xml:space="preserve">Each of </w:t>
      </w:r>
      <w:r w:rsidR="000B433B">
        <w:t>the Settling Parties agree to the following capital cost allocators with respect to the Tacoma LNG Facility:</w:t>
      </w:r>
    </w:p>
    <w:p w14:paraId="743A60ED" w14:textId="77777777" w:rsidR="000B433B" w:rsidRDefault="000B433B" w:rsidP="00A62F9C">
      <w:pPr>
        <w:pStyle w:val="BodyTextIndent"/>
        <w:tabs>
          <w:tab w:val="clear" w:pos="0"/>
          <w:tab w:val="clear" w:pos="720"/>
          <w:tab w:val="clear" w:pos="4320"/>
          <w:tab w:val="clear" w:pos="5040"/>
          <w:tab w:val="clear" w:pos="5760"/>
          <w:tab w:val="clear" w:pos="6480"/>
          <w:tab w:val="clear" w:pos="7200"/>
          <w:tab w:val="clear" w:pos="7920"/>
        </w:tabs>
        <w:spacing w:after="280" w:line="240" w:lineRule="auto"/>
        <w:ind w:left="2160" w:right="720" w:hanging="720"/>
        <w:outlineLvl w:val="0"/>
      </w:pPr>
      <w:r>
        <w:t>a.</w:t>
      </w:r>
      <w:r>
        <w:tab/>
      </w:r>
      <w:r w:rsidRPr="00F22D67">
        <w:rPr>
          <w:u w:val="single"/>
        </w:rPr>
        <w:t>Liquefaction Allocator</w:t>
      </w:r>
      <w:r>
        <w:t xml:space="preserve">. The liquefaction allocator allocates </w:t>
      </w:r>
      <w:r w:rsidRPr="005534A3">
        <w:t>capital costs associated with liquefaction</w:t>
      </w:r>
      <w:r>
        <w:t xml:space="preserve">, which </w:t>
      </w:r>
      <w:r w:rsidRPr="005534A3">
        <w:t>include the costs of facilities used to receive natural gas, treat the gas, cool the gas below its boiling point and deliver the gas to onsite storage.</w:t>
      </w:r>
    </w:p>
    <w:p w14:paraId="7EA5493F" w14:textId="77777777" w:rsidR="000B433B" w:rsidRDefault="000B433B" w:rsidP="00A62F9C">
      <w:pPr>
        <w:pStyle w:val="BodyTextIndent"/>
        <w:tabs>
          <w:tab w:val="clear" w:pos="0"/>
          <w:tab w:val="clear" w:pos="720"/>
          <w:tab w:val="clear" w:pos="4320"/>
          <w:tab w:val="clear" w:pos="5040"/>
          <w:tab w:val="clear" w:pos="5760"/>
          <w:tab w:val="clear" w:pos="6480"/>
          <w:tab w:val="clear" w:pos="7200"/>
          <w:tab w:val="clear" w:pos="7920"/>
        </w:tabs>
        <w:spacing w:after="280" w:line="240" w:lineRule="auto"/>
        <w:ind w:left="2160" w:right="720" w:hanging="720"/>
        <w:outlineLvl w:val="0"/>
      </w:pPr>
      <w:r>
        <w:t>b.</w:t>
      </w:r>
      <w:r>
        <w:tab/>
      </w:r>
      <w:r w:rsidRPr="00F22D67">
        <w:rPr>
          <w:u w:val="single"/>
        </w:rPr>
        <w:t>Storage Allocator</w:t>
      </w:r>
      <w:r>
        <w:t xml:space="preserve">. The storage allocator allocates </w:t>
      </w:r>
      <w:r w:rsidRPr="005534A3">
        <w:t>capital costs associated with storage</w:t>
      </w:r>
      <w:r>
        <w:t xml:space="preserve">, which </w:t>
      </w:r>
      <w:r w:rsidRPr="005534A3">
        <w:t>include the costs of the site</w:t>
      </w:r>
      <w:r w:rsidRPr="005534A3">
        <w:rPr>
          <w:rFonts w:ascii="Cambria Math" w:hAnsi="Cambria Math" w:cs="Cambria Math"/>
        </w:rPr>
        <w:t>‐</w:t>
      </w:r>
      <w:r w:rsidRPr="005534A3">
        <w:t xml:space="preserve">erected </w:t>
      </w:r>
      <w:r w:rsidRPr="005534A3">
        <w:lastRenderedPageBreak/>
        <w:t>full containment cryogenic storage tank as well as the costs of foundations and other supporting facilities</w:t>
      </w:r>
      <w:r>
        <w:t>.</w:t>
      </w:r>
    </w:p>
    <w:p w14:paraId="25F7FE55" w14:textId="78B4C352" w:rsidR="000B433B" w:rsidRDefault="000B433B" w:rsidP="00A62F9C">
      <w:pPr>
        <w:pStyle w:val="BodyTextIndent"/>
        <w:tabs>
          <w:tab w:val="clear" w:pos="0"/>
          <w:tab w:val="clear" w:pos="720"/>
          <w:tab w:val="clear" w:pos="4320"/>
          <w:tab w:val="clear" w:pos="5040"/>
          <w:tab w:val="clear" w:pos="5760"/>
          <w:tab w:val="clear" w:pos="6480"/>
          <w:tab w:val="clear" w:pos="7200"/>
          <w:tab w:val="clear" w:pos="7920"/>
        </w:tabs>
        <w:spacing w:after="280" w:line="240" w:lineRule="auto"/>
        <w:ind w:left="2160" w:right="720" w:hanging="720"/>
        <w:outlineLvl w:val="0"/>
      </w:pPr>
      <w:r>
        <w:t>c.</w:t>
      </w:r>
      <w:r>
        <w:tab/>
      </w:r>
      <w:r w:rsidRPr="00F22D67">
        <w:rPr>
          <w:u w:val="single"/>
        </w:rPr>
        <w:t>Bunkering Allocator</w:t>
      </w:r>
      <w:r>
        <w:t xml:space="preserve">. The </w:t>
      </w:r>
      <w:r w:rsidR="00192E70">
        <w:t xml:space="preserve">bunkering </w:t>
      </w:r>
      <w:r>
        <w:t xml:space="preserve">allocator allocates </w:t>
      </w:r>
      <w:r w:rsidRPr="005534A3">
        <w:t>capital costs associated with bunkering</w:t>
      </w:r>
      <w:r>
        <w:t xml:space="preserve">, which </w:t>
      </w:r>
      <w:r w:rsidRPr="005534A3">
        <w:t xml:space="preserve">include facilities used to move the LNG from the onsite storage tank to the marine loading facility, which will be located at </w:t>
      </w:r>
      <w:proofErr w:type="spellStart"/>
      <w:r w:rsidRPr="005534A3">
        <w:t>TOTE’s</w:t>
      </w:r>
      <w:proofErr w:type="spellEnd"/>
      <w:r w:rsidRPr="005534A3">
        <w:t xml:space="preserve"> berthing location.</w:t>
      </w:r>
    </w:p>
    <w:p w14:paraId="35E4D3E1" w14:textId="77777777" w:rsidR="000B433B" w:rsidRDefault="000B433B" w:rsidP="00A62F9C">
      <w:pPr>
        <w:pStyle w:val="BodyTextIndent"/>
        <w:tabs>
          <w:tab w:val="clear" w:pos="0"/>
          <w:tab w:val="clear" w:pos="720"/>
          <w:tab w:val="clear" w:pos="4320"/>
          <w:tab w:val="clear" w:pos="5040"/>
          <w:tab w:val="clear" w:pos="5760"/>
          <w:tab w:val="clear" w:pos="6480"/>
          <w:tab w:val="clear" w:pos="7200"/>
          <w:tab w:val="clear" w:pos="7920"/>
        </w:tabs>
        <w:spacing w:after="280" w:line="240" w:lineRule="auto"/>
        <w:ind w:left="2160" w:right="720" w:hanging="720"/>
        <w:outlineLvl w:val="0"/>
      </w:pPr>
      <w:r>
        <w:t>d.</w:t>
      </w:r>
      <w:r>
        <w:tab/>
      </w:r>
      <w:r w:rsidRPr="00192E70">
        <w:rPr>
          <w:u w:val="single"/>
        </w:rPr>
        <w:t>Truck Loading Allocator</w:t>
      </w:r>
      <w:r>
        <w:t xml:space="preserve">. The truck loading allocator allocates </w:t>
      </w:r>
      <w:r w:rsidRPr="005534A3">
        <w:t xml:space="preserve">capital costs associated with </w:t>
      </w:r>
      <w:r>
        <w:t xml:space="preserve">truck loading, which </w:t>
      </w:r>
      <w:r w:rsidRPr="005534A3">
        <w:t>include facilities used to move the LNG from the onsite storage tank to tanker trucks or ISO containers</w:t>
      </w:r>
    </w:p>
    <w:p w14:paraId="26A11FC7" w14:textId="77777777" w:rsidR="000B433B" w:rsidRDefault="000B433B" w:rsidP="00A62F9C">
      <w:pPr>
        <w:pStyle w:val="BodyTextIndent"/>
        <w:tabs>
          <w:tab w:val="clear" w:pos="0"/>
          <w:tab w:val="clear" w:pos="720"/>
          <w:tab w:val="clear" w:pos="4320"/>
          <w:tab w:val="clear" w:pos="5040"/>
          <w:tab w:val="clear" w:pos="5760"/>
          <w:tab w:val="clear" w:pos="6480"/>
          <w:tab w:val="clear" w:pos="7200"/>
          <w:tab w:val="clear" w:pos="7920"/>
        </w:tabs>
        <w:spacing w:after="280" w:line="240" w:lineRule="auto"/>
        <w:ind w:left="2160" w:right="720" w:hanging="720"/>
        <w:outlineLvl w:val="0"/>
      </w:pPr>
      <w:r>
        <w:t>e.</w:t>
      </w:r>
      <w:r>
        <w:tab/>
      </w:r>
      <w:r w:rsidRPr="00192E70">
        <w:rPr>
          <w:u w:val="single"/>
        </w:rPr>
        <w:t>Vaporization Allocator</w:t>
      </w:r>
      <w:r>
        <w:t xml:space="preserve">. The </w:t>
      </w:r>
      <w:r w:rsidRPr="00A51C76">
        <w:t xml:space="preserve">vaporization </w:t>
      </w:r>
      <w:r>
        <w:t xml:space="preserve">allocator allocates </w:t>
      </w:r>
      <w:r w:rsidRPr="005534A3">
        <w:t xml:space="preserve">capital costs associated with </w:t>
      </w:r>
      <w:r w:rsidRPr="00A51C76">
        <w:t>vaporization</w:t>
      </w:r>
      <w:r>
        <w:t xml:space="preserve">, which </w:t>
      </w:r>
      <w:r w:rsidRPr="005534A3">
        <w:t xml:space="preserve">include facilities </w:t>
      </w:r>
      <w:r w:rsidRPr="00A51C76">
        <w:t>used to vaporize the gas and inject it into PSE’s distribution system</w:t>
      </w:r>
      <w:r>
        <w:t>.</w:t>
      </w:r>
    </w:p>
    <w:p w14:paraId="0E4CE23F" w14:textId="4451BEDE" w:rsidR="000B433B" w:rsidRDefault="000B433B" w:rsidP="00A62F9C">
      <w:pPr>
        <w:pStyle w:val="BodyTextIndent"/>
        <w:tabs>
          <w:tab w:val="clear" w:pos="0"/>
          <w:tab w:val="clear" w:pos="720"/>
          <w:tab w:val="clear" w:pos="4320"/>
          <w:tab w:val="clear" w:pos="5040"/>
          <w:tab w:val="clear" w:pos="5760"/>
          <w:tab w:val="clear" w:pos="6480"/>
          <w:tab w:val="clear" w:pos="7200"/>
          <w:tab w:val="clear" w:pos="7920"/>
        </w:tabs>
        <w:spacing w:after="280" w:line="240" w:lineRule="auto"/>
        <w:ind w:left="2160" w:right="720" w:hanging="720"/>
        <w:outlineLvl w:val="0"/>
      </w:pPr>
      <w:r>
        <w:t>f.</w:t>
      </w:r>
      <w:r>
        <w:tab/>
      </w:r>
      <w:r w:rsidRPr="00192E70">
        <w:rPr>
          <w:u w:val="single"/>
        </w:rPr>
        <w:t>Common Allocator</w:t>
      </w:r>
      <w:r>
        <w:t>. The common allocator allocates common project</w:t>
      </w:r>
      <w:r w:rsidRPr="005534A3">
        <w:t xml:space="preserve"> costs</w:t>
      </w:r>
      <w:r>
        <w:t xml:space="preserve">, which </w:t>
      </w:r>
      <w:r w:rsidRPr="00A51C76">
        <w:t>include facilities that cannot be allocated to any individual service (e.g.,</w:t>
      </w:r>
      <w:r w:rsidR="00A62F9C">
        <w:t> </w:t>
      </w:r>
      <w:r w:rsidRPr="00A51C76">
        <w:t>facility development, civil and sit</w:t>
      </w:r>
      <w:r>
        <w:t>e work, site utilities, etc.).</w:t>
      </w:r>
    </w:p>
    <w:p w14:paraId="36905345" w14:textId="77777777" w:rsidR="000B433B" w:rsidRDefault="000B433B" w:rsidP="008D065F">
      <w:pPr>
        <w:pStyle w:val="BodyTextIndent"/>
        <w:keepNext/>
        <w:keepLines/>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bookmarkStart w:id="4" w:name="_Ref462663323"/>
      <w:r>
        <w:t>Each of the Settling Parties agree to the following Ownership Shares with respect to the following allocators:</w:t>
      </w:r>
      <w:bookmarkEnd w:id="4"/>
    </w:p>
    <w:tbl>
      <w:tblPr>
        <w:tblW w:w="6459" w:type="dxa"/>
        <w:jc w:val="center"/>
        <w:tblLayout w:type="fixed"/>
        <w:tblLook w:val="04A0" w:firstRow="1" w:lastRow="0" w:firstColumn="1" w:lastColumn="0" w:noHBand="0" w:noVBand="1"/>
      </w:tblPr>
      <w:tblGrid>
        <w:gridCol w:w="2510"/>
        <w:gridCol w:w="1974"/>
        <w:gridCol w:w="1975"/>
      </w:tblGrid>
      <w:tr w:rsidR="005956D8" w:rsidRPr="00DF5710" w14:paraId="7D0089C6" w14:textId="77777777" w:rsidTr="00620EBD">
        <w:trPr>
          <w:trHeight w:val="908"/>
          <w:jc w:val="center"/>
        </w:trPr>
        <w:tc>
          <w:tcPr>
            <w:tcW w:w="251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D915B9F" w14:textId="77777777" w:rsidR="005956D8" w:rsidRPr="00DF5710" w:rsidRDefault="005956D8" w:rsidP="00620EBD">
            <w:pPr>
              <w:widowControl/>
              <w:spacing w:before="60" w:after="60"/>
              <w:jc w:val="center"/>
              <w:rPr>
                <w:b/>
                <w:bCs/>
                <w:color w:val="000000"/>
                <w:szCs w:val="24"/>
              </w:rPr>
            </w:pPr>
            <w:r w:rsidRPr="00DF5710">
              <w:rPr>
                <w:b/>
                <w:bCs/>
                <w:color w:val="000000"/>
                <w:szCs w:val="24"/>
              </w:rPr>
              <w:t>Component</w:t>
            </w:r>
            <w:r w:rsidRPr="00DF5710">
              <w:rPr>
                <w:b/>
                <w:bCs/>
                <w:color w:val="000000"/>
                <w:szCs w:val="24"/>
              </w:rPr>
              <w:br/>
              <w:t>Ownership</w:t>
            </w:r>
            <w:r w:rsidRPr="00DF5710">
              <w:rPr>
                <w:b/>
                <w:bCs/>
                <w:color w:val="000000"/>
                <w:szCs w:val="24"/>
              </w:rPr>
              <w:br/>
              <w:t>Share</w:t>
            </w:r>
          </w:p>
        </w:tc>
        <w:tc>
          <w:tcPr>
            <w:tcW w:w="1974" w:type="dxa"/>
            <w:tcBorders>
              <w:top w:val="single" w:sz="4" w:space="0" w:color="auto"/>
              <w:left w:val="nil"/>
              <w:bottom w:val="single" w:sz="4" w:space="0" w:color="auto"/>
              <w:right w:val="single" w:sz="4" w:space="0" w:color="auto"/>
            </w:tcBorders>
            <w:shd w:val="clear" w:color="000000" w:fill="D9D9D9"/>
            <w:noWrap/>
            <w:vAlign w:val="bottom"/>
            <w:hideMark/>
          </w:tcPr>
          <w:p w14:paraId="7C74D121" w14:textId="77777777" w:rsidR="005956D8" w:rsidRPr="00DF5710" w:rsidRDefault="005956D8" w:rsidP="00620EBD">
            <w:pPr>
              <w:widowControl/>
              <w:spacing w:before="60" w:after="60"/>
              <w:jc w:val="center"/>
              <w:rPr>
                <w:b/>
                <w:bCs/>
                <w:color w:val="000000"/>
                <w:szCs w:val="24"/>
              </w:rPr>
            </w:pPr>
            <w:r w:rsidRPr="00DF5710">
              <w:rPr>
                <w:b/>
                <w:bCs/>
                <w:color w:val="000000"/>
                <w:szCs w:val="24"/>
              </w:rPr>
              <w:t>PSE</w:t>
            </w:r>
          </w:p>
        </w:tc>
        <w:tc>
          <w:tcPr>
            <w:tcW w:w="1975" w:type="dxa"/>
            <w:tcBorders>
              <w:top w:val="single" w:sz="4" w:space="0" w:color="auto"/>
              <w:left w:val="nil"/>
              <w:bottom w:val="single" w:sz="4" w:space="0" w:color="auto"/>
              <w:right w:val="single" w:sz="4" w:space="0" w:color="auto"/>
            </w:tcBorders>
            <w:shd w:val="clear" w:color="000000" w:fill="D9D9D9"/>
            <w:vAlign w:val="bottom"/>
            <w:hideMark/>
          </w:tcPr>
          <w:p w14:paraId="2887CE42" w14:textId="77777777" w:rsidR="005956D8" w:rsidRPr="00DF5710" w:rsidRDefault="005956D8" w:rsidP="00620EBD">
            <w:pPr>
              <w:widowControl/>
              <w:spacing w:before="60" w:after="60"/>
              <w:jc w:val="center"/>
              <w:rPr>
                <w:b/>
                <w:bCs/>
                <w:color w:val="000000"/>
                <w:szCs w:val="24"/>
              </w:rPr>
            </w:pPr>
            <w:r w:rsidRPr="00DF5710">
              <w:rPr>
                <w:b/>
                <w:bCs/>
                <w:color w:val="000000"/>
                <w:szCs w:val="24"/>
              </w:rPr>
              <w:t>Puget</w:t>
            </w:r>
            <w:r w:rsidRPr="00DF5710">
              <w:rPr>
                <w:b/>
                <w:bCs/>
                <w:color w:val="000000"/>
                <w:szCs w:val="24"/>
              </w:rPr>
              <w:br/>
              <w:t>LNG</w:t>
            </w:r>
          </w:p>
        </w:tc>
      </w:tr>
      <w:tr w:rsidR="005956D8" w:rsidRPr="00DF5710" w14:paraId="6BB557E1" w14:textId="77777777" w:rsidTr="00620EBD">
        <w:trPr>
          <w:trHeight w:val="315"/>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18B25BEE" w14:textId="6AB521D5" w:rsidR="005956D8" w:rsidRPr="00DF5710" w:rsidRDefault="005956D8" w:rsidP="002D74F8">
            <w:pPr>
              <w:widowControl/>
              <w:spacing w:before="60" w:after="60"/>
              <w:ind w:left="152"/>
              <w:rPr>
                <w:color w:val="000000"/>
                <w:szCs w:val="24"/>
              </w:rPr>
            </w:pPr>
            <w:r w:rsidRPr="00DF5710">
              <w:rPr>
                <w:color w:val="000000"/>
                <w:szCs w:val="24"/>
              </w:rPr>
              <w:t>Liquefaction</w:t>
            </w:r>
          </w:p>
        </w:tc>
        <w:tc>
          <w:tcPr>
            <w:tcW w:w="1974" w:type="dxa"/>
            <w:tcBorders>
              <w:top w:val="nil"/>
              <w:left w:val="nil"/>
              <w:bottom w:val="single" w:sz="4" w:space="0" w:color="auto"/>
              <w:right w:val="single" w:sz="4" w:space="0" w:color="auto"/>
            </w:tcBorders>
            <w:shd w:val="clear" w:color="auto" w:fill="auto"/>
            <w:noWrap/>
            <w:vAlign w:val="bottom"/>
            <w:hideMark/>
          </w:tcPr>
          <w:p w14:paraId="0D7D7BA0" w14:textId="77777777" w:rsidR="005956D8" w:rsidRPr="00DF5710" w:rsidRDefault="005956D8" w:rsidP="00620EBD">
            <w:pPr>
              <w:widowControl/>
              <w:spacing w:before="60" w:after="60"/>
              <w:jc w:val="center"/>
              <w:rPr>
                <w:color w:val="000000"/>
                <w:szCs w:val="24"/>
              </w:rPr>
            </w:pPr>
            <w:r w:rsidRPr="00DF5710">
              <w:rPr>
                <w:color w:val="000000"/>
                <w:szCs w:val="24"/>
              </w:rPr>
              <w:t>10%</w:t>
            </w:r>
          </w:p>
        </w:tc>
        <w:tc>
          <w:tcPr>
            <w:tcW w:w="1975" w:type="dxa"/>
            <w:tcBorders>
              <w:top w:val="nil"/>
              <w:left w:val="nil"/>
              <w:bottom w:val="single" w:sz="4" w:space="0" w:color="auto"/>
              <w:right w:val="single" w:sz="4" w:space="0" w:color="auto"/>
            </w:tcBorders>
            <w:shd w:val="clear" w:color="auto" w:fill="auto"/>
            <w:noWrap/>
            <w:vAlign w:val="bottom"/>
            <w:hideMark/>
          </w:tcPr>
          <w:p w14:paraId="21FC6B83" w14:textId="77777777" w:rsidR="005956D8" w:rsidRPr="00DF5710" w:rsidRDefault="005956D8" w:rsidP="00620EBD">
            <w:pPr>
              <w:widowControl/>
              <w:spacing w:before="60" w:after="60"/>
              <w:jc w:val="center"/>
              <w:rPr>
                <w:color w:val="000000"/>
                <w:szCs w:val="24"/>
              </w:rPr>
            </w:pPr>
            <w:r w:rsidRPr="00DF5710">
              <w:rPr>
                <w:color w:val="000000"/>
                <w:szCs w:val="24"/>
              </w:rPr>
              <w:t>90%</w:t>
            </w:r>
          </w:p>
        </w:tc>
      </w:tr>
      <w:tr w:rsidR="005956D8" w:rsidRPr="00DF5710" w14:paraId="7A28C9F4" w14:textId="77777777" w:rsidTr="00620EBD">
        <w:trPr>
          <w:trHeight w:val="315"/>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26F94408" w14:textId="41DFCF8E" w:rsidR="005956D8" w:rsidRPr="00DF5710" w:rsidRDefault="005956D8" w:rsidP="002D74F8">
            <w:pPr>
              <w:widowControl/>
              <w:spacing w:before="60" w:after="60"/>
              <w:ind w:left="152"/>
              <w:rPr>
                <w:color w:val="000000"/>
                <w:szCs w:val="24"/>
              </w:rPr>
            </w:pPr>
            <w:r w:rsidRPr="00DF5710">
              <w:rPr>
                <w:color w:val="000000"/>
                <w:szCs w:val="24"/>
              </w:rPr>
              <w:t>Storage</w:t>
            </w:r>
          </w:p>
        </w:tc>
        <w:tc>
          <w:tcPr>
            <w:tcW w:w="1974" w:type="dxa"/>
            <w:tcBorders>
              <w:top w:val="nil"/>
              <w:left w:val="nil"/>
              <w:bottom w:val="single" w:sz="4" w:space="0" w:color="auto"/>
              <w:right w:val="single" w:sz="4" w:space="0" w:color="auto"/>
            </w:tcBorders>
            <w:shd w:val="clear" w:color="auto" w:fill="auto"/>
            <w:noWrap/>
            <w:vAlign w:val="bottom"/>
            <w:hideMark/>
          </w:tcPr>
          <w:p w14:paraId="43B3B2F5" w14:textId="77777777" w:rsidR="005956D8" w:rsidRPr="00DF5710" w:rsidRDefault="005956D8" w:rsidP="00620EBD">
            <w:pPr>
              <w:widowControl/>
              <w:spacing w:before="60" w:after="60"/>
              <w:jc w:val="center"/>
              <w:rPr>
                <w:color w:val="000000"/>
                <w:szCs w:val="24"/>
              </w:rPr>
            </w:pPr>
            <w:r w:rsidRPr="00DF5710">
              <w:rPr>
                <w:color w:val="000000"/>
                <w:szCs w:val="24"/>
              </w:rPr>
              <w:t>79%</w:t>
            </w:r>
          </w:p>
        </w:tc>
        <w:tc>
          <w:tcPr>
            <w:tcW w:w="1975" w:type="dxa"/>
            <w:tcBorders>
              <w:top w:val="nil"/>
              <w:left w:val="nil"/>
              <w:bottom w:val="single" w:sz="4" w:space="0" w:color="auto"/>
              <w:right w:val="single" w:sz="4" w:space="0" w:color="auto"/>
            </w:tcBorders>
            <w:shd w:val="clear" w:color="auto" w:fill="auto"/>
            <w:noWrap/>
            <w:vAlign w:val="bottom"/>
            <w:hideMark/>
          </w:tcPr>
          <w:p w14:paraId="5FE548DA" w14:textId="77777777" w:rsidR="005956D8" w:rsidRPr="00DF5710" w:rsidRDefault="005956D8" w:rsidP="00620EBD">
            <w:pPr>
              <w:widowControl/>
              <w:spacing w:before="60" w:after="60"/>
              <w:jc w:val="center"/>
              <w:rPr>
                <w:color w:val="000000"/>
                <w:szCs w:val="24"/>
              </w:rPr>
            </w:pPr>
            <w:r w:rsidRPr="00DF5710">
              <w:rPr>
                <w:color w:val="000000"/>
                <w:szCs w:val="24"/>
              </w:rPr>
              <w:t>21%</w:t>
            </w:r>
          </w:p>
        </w:tc>
      </w:tr>
      <w:tr w:rsidR="005956D8" w:rsidRPr="00DF5710" w14:paraId="354CEE7B" w14:textId="77777777" w:rsidTr="00620EBD">
        <w:trPr>
          <w:trHeight w:val="315"/>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09D89206" w14:textId="422A58FF" w:rsidR="005956D8" w:rsidRPr="00DF5710" w:rsidRDefault="005956D8" w:rsidP="002D74F8">
            <w:pPr>
              <w:widowControl/>
              <w:spacing w:before="60" w:after="60"/>
              <w:ind w:left="152"/>
              <w:rPr>
                <w:color w:val="000000"/>
                <w:szCs w:val="24"/>
              </w:rPr>
            </w:pPr>
            <w:r w:rsidRPr="00DF5710">
              <w:rPr>
                <w:color w:val="000000"/>
                <w:szCs w:val="24"/>
              </w:rPr>
              <w:t>Bunkering</w:t>
            </w:r>
          </w:p>
        </w:tc>
        <w:tc>
          <w:tcPr>
            <w:tcW w:w="1974" w:type="dxa"/>
            <w:tcBorders>
              <w:top w:val="nil"/>
              <w:left w:val="nil"/>
              <w:bottom w:val="single" w:sz="4" w:space="0" w:color="auto"/>
              <w:right w:val="single" w:sz="4" w:space="0" w:color="auto"/>
            </w:tcBorders>
            <w:shd w:val="clear" w:color="auto" w:fill="auto"/>
            <w:noWrap/>
            <w:vAlign w:val="bottom"/>
            <w:hideMark/>
          </w:tcPr>
          <w:p w14:paraId="5466B7BC" w14:textId="77777777" w:rsidR="005956D8" w:rsidRPr="00DF5710" w:rsidRDefault="005956D8" w:rsidP="00620EBD">
            <w:pPr>
              <w:widowControl/>
              <w:spacing w:before="60" w:after="60"/>
              <w:jc w:val="center"/>
              <w:rPr>
                <w:color w:val="000000"/>
                <w:szCs w:val="24"/>
              </w:rPr>
            </w:pPr>
            <w:r w:rsidRPr="00DF5710">
              <w:rPr>
                <w:color w:val="000000"/>
                <w:szCs w:val="24"/>
              </w:rPr>
              <w:t>0%</w:t>
            </w:r>
          </w:p>
        </w:tc>
        <w:tc>
          <w:tcPr>
            <w:tcW w:w="1975" w:type="dxa"/>
            <w:tcBorders>
              <w:top w:val="nil"/>
              <w:left w:val="nil"/>
              <w:bottom w:val="single" w:sz="4" w:space="0" w:color="auto"/>
              <w:right w:val="single" w:sz="4" w:space="0" w:color="auto"/>
            </w:tcBorders>
            <w:shd w:val="clear" w:color="auto" w:fill="auto"/>
            <w:noWrap/>
            <w:vAlign w:val="bottom"/>
            <w:hideMark/>
          </w:tcPr>
          <w:p w14:paraId="03A3930C" w14:textId="77777777" w:rsidR="005956D8" w:rsidRPr="00DF5710" w:rsidRDefault="005956D8" w:rsidP="00620EBD">
            <w:pPr>
              <w:widowControl/>
              <w:spacing w:before="60" w:after="60"/>
              <w:jc w:val="center"/>
              <w:rPr>
                <w:color w:val="000000"/>
                <w:szCs w:val="24"/>
              </w:rPr>
            </w:pPr>
            <w:r w:rsidRPr="00DF5710">
              <w:rPr>
                <w:color w:val="000000"/>
                <w:szCs w:val="24"/>
              </w:rPr>
              <w:t>100%</w:t>
            </w:r>
          </w:p>
        </w:tc>
      </w:tr>
      <w:tr w:rsidR="005956D8" w:rsidRPr="00DF5710" w14:paraId="0ED2AD0D" w14:textId="77777777" w:rsidTr="00620EBD">
        <w:trPr>
          <w:trHeight w:val="315"/>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6365A439" w14:textId="6DA50361" w:rsidR="005956D8" w:rsidRPr="00DF5710" w:rsidRDefault="005956D8" w:rsidP="002D74F8">
            <w:pPr>
              <w:widowControl/>
              <w:spacing w:before="60" w:after="60"/>
              <w:ind w:left="152"/>
              <w:rPr>
                <w:color w:val="000000"/>
                <w:szCs w:val="24"/>
              </w:rPr>
            </w:pPr>
            <w:r w:rsidRPr="00E90677">
              <w:rPr>
                <w:color w:val="000000"/>
                <w:szCs w:val="24"/>
              </w:rPr>
              <w:t>Truck</w:t>
            </w:r>
            <w:r w:rsidRPr="00DF5710">
              <w:rPr>
                <w:color w:val="000000"/>
                <w:szCs w:val="24"/>
              </w:rPr>
              <w:t xml:space="preserve"> Loading</w:t>
            </w:r>
          </w:p>
        </w:tc>
        <w:tc>
          <w:tcPr>
            <w:tcW w:w="1974" w:type="dxa"/>
            <w:tcBorders>
              <w:top w:val="nil"/>
              <w:left w:val="nil"/>
              <w:bottom w:val="single" w:sz="4" w:space="0" w:color="auto"/>
              <w:right w:val="single" w:sz="4" w:space="0" w:color="auto"/>
            </w:tcBorders>
            <w:shd w:val="clear" w:color="auto" w:fill="auto"/>
            <w:noWrap/>
            <w:vAlign w:val="bottom"/>
            <w:hideMark/>
          </w:tcPr>
          <w:p w14:paraId="4D59F9BF" w14:textId="3076A96C" w:rsidR="005956D8" w:rsidRPr="00DF5710" w:rsidRDefault="005720CB" w:rsidP="00620EBD">
            <w:pPr>
              <w:widowControl/>
              <w:spacing w:before="60" w:after="60"/>
              <w:jc w:val="center"/>
              <w:rPr>
                <w:color w:val="000000"/>
                <w:szCs w:val="24"/>
              </w:rPr>
            </w:pPr>
            <w:r>
              <w:rPr>
                <w:color w:val="000000"/>
                <w:szCs w:val="24"/>
              </w:rPr>
              <w:t>5</w:t>
            </w:r>
            <w:r w:rsidR="005956D8">
              <w:rPr>
                <w:color w:val="000000"/>
                <w:szCs w:val="24"/>
              </w:rPr>
              <w:t>%</w:t>
            </w:r>
          </w:p>
        </w:tc>
        <w:tc>
          <w:tcPr>
            <w:tcW w:w="1975" w:type="dxa"/>
            <w:tcBorders>
              <w:top w:val="nil"/>
              <w:left w:val="nil"/>
              <w:bottom w:val="single" w:sz="4" w:space="0" w:color="auto"/>
              <w:right w:val="single" w:sz="4" w:space="0" w:color="auto"/>
            </w:tcBorders>
            <w:shd w:val="clear" w:color="auto" w:fill="auto"/>
            <w:noWrap/>
            <w:vAlign w:val="bottom"/>
            <w:hideMark/>
          </w:tcPr>
          <w:p w14:paraId="0FCEE277" w14:textId="5B78724F" w:rsidR="005956D8" w:rsidRPr="00DF5710" w:rsidRDefault="005720CB" w:rsidP="00620EBD">
            <w:pPr>
              <w:widowControl/>
              <w:spacing w:before="60" w:after="60"/>
              <w:jc w:val="center"/>
              <w:rPr>
                <w:color w:val="000000"/>
                <w:szCs w:val="24"/>
              </w:rPr>
            </w:pPr>
            <w:r>
              <w:rPr>
                <w:color w:val="000000"/>
                <w:szCs w:val="24"/>
              </w:rPr>
              <w:t>95</w:t>
            </w:r>
            <w:r w:rsidR="005956D8">
              <w:rPr>
                <w:color w:val="000000"/>
                <w:szCs w:val="24"/>
              </w:rPr>
              <w:t>%</w:t>
            </w:r>
          </w:p>
        </w:tc>
      </w:tr>
      <w:tr w:rsidR="005720CB" w:rsidRPr="00DF5710" w14:paraId="318800C6" w14:textId="77777777" w:rsidTr="000B433B">
        <w:trPr>
          <w:trHeight w:val="315"/>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05BBD0A1" w14:textId="2DFC2619" w:rsidR="005720CB" w:rsidRPr="00DF5710" w:rsidRDefault="005720CB" w:rsidP="002D74F8">
            <w:pPr>
              <w:widowControl/>
              <w:spacing w:before="60" w:after="60"/>
              <w:ind w:left="152"/>
              <w:rPr>
                <w:color w:val="000000"/>
                <w:szCs w:val="24"/>
              </w:rPr>
            </w:pPr>
            <w:r w:rsidRPr="00DF5710">
              <w:rPr>
                <w:color w:val="000000"/>
                <w:szCs w:val="24"/>
              </w:rPr>
              <w:t>Vaporization</w:t>
            </w:r>
          </w:p>
        </w:tc>
        <w:tc>
          <w:tcPr>
            <w:tcW w:w="1974" w:type="dxa"/>
            <w:tcBorders>
              <w:top w:val="nil"/>
              <w:left w:val="nil"/>
              <w:bottom w:val="single" w:sz="4" w:space="0" w:color="auto"/>
              <w:right w:val="single" w:sz="4" w:space="0" w:color="auto"/>
            </w:tcBorders>
            <w:shd w:val="clear" w:color="auto" w:fill="auto"/>
            <w:noWrap/>
            <w:vAlign w:val="bottom"/>
            <w:hideMark/>
          </w:tcPr>
          <w:p w14:paraId="113F5907" w14:textId="77777777" w:rsidR="005720CB" w:rsidRPr="00DF5710" w:rsidRDefault="005720CB" w:rsidP="00620EBD">
            <w:pPr>
              <w:widowControl/>
              <w:spacing w:before="60" w:after="60"/>
              <w:jc w:val="center"/>
              <w:rPr>
                <w:color w:val="000000"/>
                <w:szCs w:val="24"/>
              </w:rPr>
            </w:pPr>
            <w:r w:rsidRPr="00DF5710">
              <w:rPr>
                <w:color w:val="000000"/>
                <w:szCs w:val="24"/>
              </w:rPr>
              <w:t>100%</w:t>
            </w:r>
          </w:p>
        </w:tc>
        <w:tc>
          <w:tcPr>
            <w:tcW w:w="1975" w:type="dxa"/>
            <w:tcBorders>
              <w:top w:val="nil"/>
              <w:left w:val="nil"/>
              <w:bottom w:val="single" w:sz="4" w:space="0" w:color="auto"/>
              <w:right w:val="single" w:sz="4" w:space="0" w:color="auto"/>
            </w:tcBorders>
            <w:shd w:val="clear" w:color="auto" w:fill="auto"/>
            <w:noWrap/>
            <w:vAlign w:val="bottom"/>
            <w:hideMark/>
          </w:tcPr>
          <w:p w14:paraId="46471F49" w14:textId="77777777" w:rsidR="005720CB" w:rsidRPr="00DF5710" w:rsidRDefault="005720CB" w:rsidP="00620EBD">
            <w:pPr>
              <w:widowControl/>
              <w:spacing w:before="60" w:after="60"/>
              <w:jc w:val="center"/>
              <w:rPr>
                <w:color w:val="000000"/>
                <w:szCs w:val="24"/>
              </w:rPr>
            </w:pPr>
            <w:r w:rsidRPr="00DF5710">
              <w:rPr>
                <w:color w:val="000000"/>
                <w:szCs w:val="24"/>
              </w:rPr>
              <w:t>0%</w:t>
            </w:r>
          </w:p>
        </w:tc>
      </w:tr>
    </w:tbl>
    <w:p w14:paraId="3D90DB5C" w14:textId="78140C11" w:rsidR="004322F8" w:rsidRDefault="003A467D" w:rsidP="00620EBD">
      <w:pPr>
        <w:pStyle w:val="BodyTextIndent"/>
        <w:tabs>
          <w:tab w:val="clear" w:pos="0"/>
          <w:tab w:val="clear" w:pos="720"/>
          <w:tab w:val="clear" w:pos="4320"/>
          <w:tab w:val="clear" w:pos="5040"/>
          <w:tab w:val="clear" w:pos="5760"/>
          <w:tab w:val="clear" w:pos="6480"/>
          <w:tab w:val="clear" w:pos="7200"/>
          <w:tab w:val="clear" w:pos="7920"/>
        </w:tabs>
        <w:spacing w:before="360"/>
        <w:outlineLvl w:val="0"/>
      </w:pPr>
      <w:r>
        <w:t xml:space="preserve">The Ownership Shares for </w:t>
      </w:r>
      <w:r w:rsidR="004322F8">
        <w:t xml:space="preserve">the </w:t>
      </w:r>
      <w:r>
        <w:t xml:space="preserve">common </w:t>
      </w:r>
      <w:r w:rsidR="004322F8">
        <w:t>cost allocator shall equal the weighted costs of the liquefaction, storage, bunkering, truck loading, and vaporization allocation factors.</w:t>
      </w:r>
      <w:r w:rsidR="004322F8" w:rsidRPr="003A467D">
        <w:t xml:space="preserve"> </w:t>
      </w:r>
      <w:r w:rsidR="004322F8">
        <w:t>Please see Attachment D to this Settlement Stipulation for the projected Ownership Shares of common items of the Tacoma LNG Facility</w:t>
      </w:r>
      <w:r w:rsidR="004322F8" w:rsidRPr="007C7CC4">
        <w:t>.</w:t>
      </w:r>
    </w:p>
    <w:p w14:paraId="3C0DEBE7" w14:textId="77777777" w:rsidR="000A31E2" w:rsidRDefault="00E82C29" w:rsidP="00871C04">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lastRenderedPageBreak/>
        <w:t xml:space="preserve">On a date not later than ninety (90) days after the date of formation of Puget LNG (the “Transfer Date”), (i) PSE shall assign Puget LNG’s Ownership Shares of the components of the Tacoma LNG Facility to Puget LNG; (ii) Puget LNG shall accept assignment of Puget LNG’s Ownership Shares of the components of the Tacoma LNG Facility from PSE; and (iii) Puget LNG shall pay PSE an amount equal to the product of (a) PSE’s total capital expenditures for the Tacoma LNG Facility as of the Transfer Date and (b) Puget LNG’s projected common capital costs allocation of </w:t>
      </w:r>
      <w:r w:rsidRPr="00197ACD">
        <w:t>fifty-seven percent (57%)</w:t>
      </w:r>
      <w:r>
        <w:t>.</w:t>
      </w:r>
    </w:p>
    <w:p w14:paraId="63FEC0D8" w14:textId="31FE12E0" w:rsidR="004322F8" w:rsidRDefault="004322F8" w:rsidP="00A62F9C">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t>In the general rate case proceeding in which PSE seeks to include PSE’s Ownership Shares of the Tacoma LNG Facility in general rates, PSE shall (i) identify the final actual capital costs associated with each component of the Tacoma LNG Facility and (ii) calculate the common allocator for each of PSE and Puget LNG. PSE’s calculation of the common cost allocator shall be consistent with paragraph </w:t>
      </w:r>
      <w:r>
        <w:fldChar w:fldCharType="begin"/>
      </w:r>
      <w:r>
        <w:instrText xml:space="preserve"> REF _Ref462663323 \r \h </w:instrText>
      </w:r>
      <w:r>
        <w:fldChar w:fldCharType="separate"/>
      </w:r>
      <w:r w:rsidR="00F40CFC">
        <w:t>26</w:t>
      </w:r>
      <w:r>
        <w:fldChar w:fldCharType="end"/>
      </w:r>
      <w:r>
        <w:t xml:space="preserve"> and Attachment D to this Settlement Stipulation.</w:t>
      </w:r>
    </w:p>
    <w:p w14:paraId="14AD32AD" w14:textId="77777777" w:rsidR="00E82C29" w:rsidRPr="00D74B72" w:rsidRDefault="00E82C29" w:rsidP="00E82C29">
      <w:pPr>
        <w:keepNext/>
        <w:keepLines/>
        <w:widowControl/>
        <w:tabs>
          <w:tab w:val="left" w:pos="1440"/>
        </w:tabs>
        <w:spacing w:after="280"/>
        <w:ind w:left="720" w:hanging="720"/>
        <w:jc w:val="both"/>
        <w:outlineLvl w:val="0"/>
        <w:rPr>
          <w:b/>
        </w:rPr>
      </w:pPr>
      <w:r w:rsidRPr="00D74B72">
        <w:rPr>
          <w:b/>
          <w:bCs/>
          <w:szCs w:val="24"/>
        </w:rPr>
        <w:t>C.</w:t>
      </w:r>
      <w:r w:rsidRPr="00D74B72">
        <w:rPr>
          <w:b/>
          <w:bCs/>
          <w:szCs w:val="24"/>
        </w:rPr>
        <w:tab/>
      </w:r>
      <w:r w:rsidRPr="00D74B72">
        <w:rPr>
          <w:b/>
        </w:rPr>
        <w:t>Agreement with Respect to the 16-Inch Line and Bonney Lake Lateral</w:t>
      </w:r>
      <w:r w:rsidRPr="00D74B72">
        <w:t xml:space="preserve"> </w:t>
      </w:r>
      <w:r w:rsidRPr="00D74B72">
        <w:rPr>
          <w:b/>
        </w:rPr>
        <w:t>Improvements</w:t>
      </w:r>
    </w:p>
    <w:p w14:paraId="1619618E" w14:textId="0402FB15" w:rsidR="00804853" w:rsidRDefault="00E82C29" w:rsidP="00804853">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rsidRPr="00D74B72">
        <w:t>The Settling Parties acknowledge and agree that the costs of distribution system upgrades associated with the Tacoma LNG Facility should be allocated in accordance with the principle of cost causation.</w:t>
      </w:r>
    </w:p>
    <w:p w14:paraId="24754191" w14:textId="0F71349D" w:rsidR="00911173" w:rsidRPr="00D74B72" w:rsidRDefault="00620EBD" w:rsidP="00804853">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t xml:space="preserve">Although not all Settling Parties concur, </w:t>
      </w:r>
      <w:r w:rsidR="00911173">
        <w:t xml:space="preserve">PSE and </w:t>
      </w:r>
      <w:proofErr w:type="spellStart"/>
      <w:r w:rsidR="00911173">
        <w:t>NWIGU</w:t>
      </w:r>
      <w:proofErr w:type="spellEnd"/>
      <w:r w:rsidR="00911173">
        <w:t xml:space="preserve"> believe </w:t>
      </w:r>
      <w:r w:rsidR="00804853">
        <w:t xml:space="preserve">that the following facility </w:t>
      </w:r>
      <w:r w:rsidR="00911173">
        <w:t>would not be necessary but for the Tacoma LNG Facility:</w:t>
      </w:r>
    </w:p>
    <w:p w14:paraId="1F8D785F" w14:textId="645A5628" w:rsidR="00E82C29" w:rsidRPr="00D74B72" w:rsidRDefault="00E82C29" w:rsidP="00E82C29">
      <w:pPr>
        <w:widowControl/>
        <w:spacing w:after="240"/>
        <w:ind w:left="2160" w:right="720" w:hanging="720"/>
        <w:jc w:val="both"/>
        <w:outlineLvl w:val="0"/>
      </w:pPr>
      <w:r w:rsidRPr="00D74B72">
        <w:t>(i)</w:t>
      </w:r>
      <w:r w:rsidRPr="00D74B72">
        <w:tab/>
        <w:t>the installation of the new 16-inch line from the existing North Tacoma high pressure line beginning near the intersection of 20th Street East and 62nd Avenue East in Fife, Washington, and terminating at the intersection of Taylor Way and East 11th Street at the Port of Tacoma (the “16-Inch Line”); and</w:t>
      </w:r>
    </w:p>
    <w:p w14:paraId="114FAA4F" w14:textId="3CB41C0C" w:rsidR="00E82C29" w:rsidRPr="00D74B72" w:rsidRDefault="00E82C29" w:rsidP="00E82C29">
      <w:pPr>
        <w:widowControl/>
        <w:spacing w:after="240"/>
        <w:ind w:left="2160" w:right="720" w:hanging="720"/>
        <w:jc w:val="both"/>
        <w:outlineLvl w:val="0"/>
      </w:pPr>
      <w:r w:rsidRPr="00D74B72">
        <w:t>(ii)</w:t>
      </w:r>
      <w:r w:rsidRPr="00D74B72">
        <w:tab/>
        <w:t xml:space="preserve">the installation of improvements to the Bonney Lake lateral (currently expected to consist of the installation of approximately </w:t>
      </w:r>
      <w:r w:rsidRPr="00D74B72">
        <w:lastRenderedPageBreak/>
        <w:t>2.1 miles of 12-inch high pressure line) that will be required to accommodate (i) the increase of injection requirements of the Tacoma LNG Facility from 50 million cubic feet per day to 66 million cubic feet per day and (ii) the reduction of pressure out of the North Tacoma Gate Station by approximately 20 pounds per square inch (the “Bonney Lake Lateral Improvements”).</w:t>
      </w:r>
    </w:p>
    <w:p w14:paraId="45C0B236" w14:textId="365F0911" w:rsidR="00911173" w:rsidRDefault="00911173" w:rsidP="00911173">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rsidRPr="00D74B72">
        <w:t xml:space="preserve">PSE </w:t>
      </w:r>
      <w:r w:rsidR="00610A53">
        <w:t>agrees to</w:t>
      </w:r>
      <w:r w:rsidRPr="00D74B72">
        <w:t xml:space="preserve"> separately identify the costs associated with the each of the 16-Inch Line and the Bonney Lake Lateral Improvements and record these costs in respective subaccounts of FERC Account</w:t>
      </w:r>
      <w:r>
        <w:t> </w:t>
      </w:r>
      <w:r w:rsidRPr="00D74B72">
        <w:t>376</w:t>
      </w:r>
      <w:r w:rsidR="006C474A">
        <w:t>.</w:t>
      </w:r>
    </w:p>
    <w:p w14:paraId="53DA6E3F" w14:textId="1C3EC2D5" w:rsidR="00871C04" w:rsidRDefault="00E82C29" w:rsidP="00871C04">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bookmarkStart w:id="5" w:name="_Ref462407021"/>
      <w:r w:rsidRPr="00D74B72">
        <w:t xml:space="preserve">In all retail class cost of service studies used to set retail gas sales and transportation delivery tariff rates, PSE </w:t>
      </w:r>
      <w:r w:rsidR="00610A53">
        <w:t>agrees to</w:t>
      </w:r>
      <w:r w:rsidR="00EB434A">
        <w:t xml:space="preserve"> propose to</w:t>
      </w:r>
      <w:r w:rsidR="00EB434A" w:rsidRPr="00D74B72">
        <w:t xml:space="preserve"> </w:t>
      </w:r>
      <w:r w:rsidRPr="00D74B72">
        <w:t>allocate the costs of each of the 16-Inch Line and the Bonney Lake Lateral Improvements identified and recorded in the subaccount of FERC Account 376 in a manner consistent with the interclass allocation of the costs of the Tacoma LNG Facility. PSE will support the interclass allocation of the Tacoma LNG Facility costs to only sales customers on the basis of their contribution to PSE’s total retail design day</w:t>
      </w:r>
      <w:r w:rsidR="00EB434A">
        <w:t xml:space="preserve"> system peak demand (</w:t>
      </w:r>
      <w:proofErr w:type="spellStart"/>
      <w:r w:rsidR="00EB434A">
        <w:t>Dth</w:t>
      </w:r>
      <w:proofErr w:type="spellEnd"/>
      <w:r w:rsidR="00EB434A">
        <w:t xml:space="preserve">/day). </w:t>
      </w:r>
      <w:r w:rsidRPr="00D74B72">
        <w:t>Except for the condition described in paragraph </w:t>
      </w:r>
      <w:r w:rsidR="00280B19">
        <w:fldChar w:fldCharType="begin"/>
      </w:r>
      <w:r w:rsidR="00280B19">
        <w:instrText xml:space="preserve"> REF _Ref462406803 \r \h </w:instrText>
      </w:r>
      <w:r w:rsidR="00280B19">
        <w:fldChar w:fldCharType="separate"/>
      </w:r>
      <w:r w:rsidR="00F40CFC">
        <w:t>33</w:t>
      </w:r>
      <w:r w:rsidR="00280B19">
        <w:fldChar w:fldCharType="end"/>
      </w:r>
      <w:r w:rsidR="000A31E2">
        <w:t>,</w:t>
      </w:r>
      <w:r w:rsidRPr="00D74B72">
        <w:t xml:space="preserve"> </w:t>
      </w:r>
      <w:r w:rsidR="00EB434A">
        <w:t xml:space="preserve">PSE </w:t>
      </w:r>
      <w:r w:rsidR="00610A53">
        <w:t>agrees</w:t>
      </w:r>
      <w:r w:rsidR="000A21D3">
        <w:t xml:space="preserve"> </w:t>
      </w:r>
      <w:r w:rsidR="00EB434A">
        <w:t xml:space="preserve">not </w:t>
      </w:r>
      <w:r w:rsidR="00610A53">
        <w:t xml:space="preserve">to </w:t>
      </w:r>
      <w:r w:rsidR="00EB434A">
        <w:t xml:space="preserve">propose to allocate </w:t>
      </w:r>
      <w:r w:rsidRPr="00D74B72">
        <w:t>any costs associated with either the 16-Inch Line or the Bonney Lake Lateral Improvements</w:t>
      </w:r>
      <w:r w:rsidR="00EB434A" w:rsidRPr="00EB434A">
        <w:t xml:space="preserve"> </w:t>
      </w:r>
      <w:r w:rsidR="00EB434A">
        <w:t xml:space="preserve">to </w:t>
      </w:r>
      <w:r w:rsidR="00EB434A" w:rsidRPr="00D74B72">
        <w:t>transportation customers</w:t>
      </w:r>
      <w:r w:rsidRPr="00D74B72">
        <w:t>.</w:t>
      </w:r>
      <w:bookmarkEnd w:id="5"/>
    </w:p>
    <w:p w14:paraId="7DC45960" w14:textId="5E342EBE" w:rsidR="00E82C29" w:rsidRPr="00D74B72" w:rsidRDefault="00E82C29" w:rsidP="00871C04">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bookmarkStart w:id="6" w:name="_Ref462406803"/>
      <w:r w:rsidRPr="00D74B72">
        <w:t>Notwithstanding paragraph </w:t>
      </w:r>
      <w:r w:rsidR="00EE0F12">
        <w:fldChar w:fldCharType="begin"/>
      </w:r>
      <w:r w:rsidR="00EE0F12">
        <w:instrText xml:space="preserve"> REF _Ref462407021 \r \h </w:instrText>
      </w:r>
      <w:r w:rsidR="00EE0F12">
        <w:fldChar w:fldCharType="separate"/>
      </w:r>
      <w:r w:rsidR="00F40CFC">
        <w:t>32</w:t>
      </w:r>
      <w:r w:rsidR="00EE0F12">
        <w:fldChar w:fldCharType="end"/>
      </w:r>
      <w:r w:rsidR="000A31E2">
        <w:t>,</w:t>
      </w:r>
      <w:r w:rsidRPr="00D74B72">
        <w:t xml:space="preserve"> if a retail natural gas transportation customer of PSE takes retail natural gas transportation service </w:t>
      </w:r>
      <w:r w:rsidR="00AC052B">
        <w:t>along the 16-Inch Line</w:t>
      </w:r>
      <w:r w:rsidRPr="00D74B72">
        <w:t xml:space="preserve">, then PSE </w:t>
      </w:r>
      <w:r w:rsidR="00610A53">
        <w:t>agrees to</w:t>
      </w:r>
      <w:r w:rsidRPr="00D74B72">
        <w:t xml:space="preserve"> propose rates to be paid by the specific retail natural gas transportation customer or customers that will recover a portion of the costs associated with the 16-Inch Line.</w:t>
      </w:r>
      <w:r w:rsidR="002D74F8">
        <w:t xml:space="preserve"> </w:t>
      </w:r>
      <w:r w:rsidRPr="00D74B72">
        <w:t xml:space="preserve">This </w:t>
      </w:r>
      <w:r w:rsidR="00EB434A">
        <w:t xml:space="preserve">proposed </w:t>
      </w:r>
      <w:r w:rsidRPr="00D74B72">
        <w:t>portion of costs will be based on the quotient of:</w:t>
      </w:r>
      <w:bookmarkEnd w:id="6"/>
    </w:p>
    <w:p w14:paraId="70A5A6B1" w14:textId="77777777" w:rsidR="00E82C29" w:rsidRPr="00D74B72" w:rsidRDefault="00E82C29" w:rsidP="00E82C29">
      <w:pPr>
        <w:widowControl/>
        <w:spacing w:line="480" w:lineRule="auto"/>
        <w:ind w:left="720" w:firstLine="720"/>
        <w:jc w:val="both"/>
        <w:outlineLvl w:val="0"/>
      </w:pPr>
      <w:r w:rsidRPr="00D74B72">
        <w:t>(a)</w:t>
      </w:r>
      <w:r w:rsidRPr="00D74B72">
        <w:tab/>
        <w:t>the design day peak (</w:t>
      </w:r>
      <w:proofErr w:type="spellStart"/>
      <w:r w:rsidRPr="00D74B72">
        <w:t>Dth</w:t>
      </w:r>
      <w:proofErr w:type="spellEnd"/>
      <w:r w:rsidRPr="00D74B72">
        <w:t>/day) for that retail natural gas transportation customer(s), divided by</w:t>
      </w:r>
    </w:p>
    <w:p w14:paraId="1DF8C705" w14:textId="77777777" w:rsidR="00E82C29" w:rsidRPr="00D74B72" w:rsidRDefault="00E82C29" w:rsidP="00E82C29">
      <w:pPr>
        <w:widowControl/>
        <w:spacing w:line="480" w:lineRule="auto"/>
        <w:ind w:left="720" w:firstLine="720"/>
        <w:jc w:val="both"/>
        <w:outlineLvl w:val="0"/>
      </w:pPr>
      <w:r w:rsidRPr="00D74B72">
        <w:t>(b)</w:t>
      </w:r>
      <w:r w:rsidRPr="00D74B72">
        <w:tab/>
        <w:t>the sum of</w:t>
      </w:r>
    </w:p>
    <w:p w14:paraId="6BF7C1E3" w14:textId="77777777" w:rsidR="00E82C29" w:rsidRPr="00D74B72" w:rsidRDefault="00E82C29" w:rsidP="00E82C29">
      <w:pPr>
        <w:widowControl/>
        <w:spacing w:line="480" w:lineRule="auto"/>
        <w:ind w:left="1440" w:firstLine="720"/>
        <w:jc w:val="both"/>
        <w:outlineLvl w:val="0"/>
      </w:pPr>
      <w:r w:rsidRPr="00D74B72">
        <w:lastRenderedPageBreak/>
        <w:t>(i)</w:t>
      </w:r>
      <w:r w:rsidRPr="00D74B72">
        <w:tab/>
        <w:t>the design day peak (</w:t>
      </w:r>
      <w:proofErr w:type="spellStart"/>
      <w:r w:rsidRPr="00D74B72">
        <w:t>Dth</w:t>
      </w:r>
      <w:proofErr w:type="spellEnd"/>
      <w:r w:rsidRPr="00D74B72">
        <w:t>/day) for that retail natural gas transportation customer(s), plus</w:t>
      </w:r>
    </w:p>
    <w:p w14:paraId="1AD60EB6" w14:textId="77777777" w:rsidR="00E82C29" w:rsidRPr="00D74B72" w:rsidRDefault="00E82C29" w:rsidP="00E82C29">
      <w:pPr>
        <w:widowControl/>
        <w:spacing w:line="480" w:lineRule="auto"/>
        <w:ind w:left="1440" w:firstLine="720"/>
        <w:jc w:val="both"/>
        <w:outlineLvl w:val="0"/>
      </w:pPr>
      <w:r w:rsidRPr="00D74B72">
        <w:t>(ii)</w:t>
      </w:r>
      <w:r w:rsidRPr="00D74B72">
        <w:tab/>
        <w:t>the design day peak (</w:t>
      </w:r>
      <w:proofErr w:type="spellStart"/>
      <w:r w:rsidRPr="00D74B72">
        <w:t>Dth</w:t>
      </w:r>
      <w:proofErr w:type="spellEnd"/>
      <w:r w:rsidRPr="00D74B72">
        <w:t>/day) for all retail natural gas sales customers.</w:t>
      </w:r>
    </w:p>
    <w:p w14:paraId="20FF2F84" w14:textId="4864C48E" w:rsidR="00E82C29" w:rsidRDefault="00E82C29" w:rsidP="00871C04">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bookmarkStart w:id="7" w:name="_Ref462735041"/>
      <w:r w:rsidRPr="00D74B72">
        <w:t xml:space="preserve">If the Tacoma LNG Facility were to no longer be included in the rate base used to set retail natural gas rates for PSE, the manner in which PSE </w:t>
      </w:r>
      <w:r w:rsidR="00EB434A">
        <w:t xml:space="preserve">proposes to </w:t>
      </w:r>
      <w:r w:rsidRPr="00D74B72">
        <w:t xml:space="preserve">allocate the costs of either the 16-Inch Line or the Bonney Lake Lateral Improvements would remain unchanged for the remaining useful life of the 16-Inch Line or the Bonney Lake Lateral Improvements, respectively, </w:t>
      </w:r>
      <w:r w:rsidR="00E85F7D">
        <w:t xml:space="preserve">unless and until PSE demonstrates the </w:t>
      </w:r>
      <w:r w:rsidR="007C6E74">
        <w:t>16-Inch L</w:t>
      </w:r>
      <w:r w:rsidR="00E85F7D">
        <w:t xml:space="preserve">ine is </w:t>
      </w:r>
      <w:r w:rsidRPr="00D74B72">
        <w:t>used and useful in providing natural gas distribution service.</w:t>
      </w:r>
      <w:bookmarkEnd w:id="7"/>
    </w:p>
    <w:p w14:paraId="67BBFAA6" w14:textId="605729EB" w:rsidR="00911173" w:rsidRDefault="00620EBD" w:rsidP="00871C04">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t>Nothing in paragraphs </w:t>
      </w:r>
      <w:r w:rsidR="002A4569">
        <w:fldChar w:fldCharType="begin"/>
      </w:r>
      <w:r w:rsidR="002A4569">
        <w:instrText xml:space="preserve"> REF _Ref462407021 \r \h </w:instrText>
      </w:r>
      <w:r w:rsidR="002A4569">
        <w:fldChar w:fldCharType="separate"/>
      </w:r>
      <w:r w:rsidR="00F40CFC">
        <w:t>32</w:t>
      </w:r>
      <w:r w:rsidR="002A4569">
        <w:fldChar w:fldCharType="end"/>
      </w:r>
      <w:r>
        <w:t xml:space="preserve">, </w:t>
      </w:r>
      <w:r w:rsidR="002A4569">
        <w:fldChar w:fldCharType="begin"/>
      </w:r>
      <w:r w:rsidR="002A4569">
        <w:instrText xml:space="preserve"> REF _Ref462406803 \r \h </w:instrText>
      </w:r>
      <w:r w:rsidR="002A4569">
        <w:fldChar w:fldCharType="separate"/>
      </w:r>
      <w:r w:rsidR="00F40CFC">
        <w:t>33</w:t>
      </w:r>
      <w:r w:rsidR="002A4569">
        <w:fldChar w:fldCharType="end"/>
      </w:r>
      <w:r>
        <w:t xml:space="preserve">, and </w:t>
      </w:r>
      <w:r w:rsidR="002A4569">
        <w:fldChar w:fldCharType="begin"/>
      </w:r>
      <w:r w:rsidR="002A4569">
        <w:instrText xml:space="preserve"> REF _Ref462735041 \r \h </w:instrText>
      </w:r>
      <w:r w:rsidR="002A4569">
        <w:fldChar w:fldCharType="separate"/>
      </w:r>
      <w:r w:rsidR="00F40CFC">
        <w:t>34</w:t>
      </w:r>
      <w:r w:rsidR="002A4569">
        <w:fldChar w:fldCharType="end"/>
      </w:r>
      <w:r>
        <w:t xml:space="preserve"> of this Settlement Stipulation shall bind any of the Settling Parties other than PSE. Each of Commission Staff, Public Counsel, and </w:t>
      </w:r>
      <w:proofErr w:type="spellStart"/>
      <w:r>
        <w:t>NWIGU</w:t>
      </w:r>
      <w:proofErr w:type="spellEnd"/>
      <w:r>
        <w:t xml:space="preserve"> </w:t>
      </w:r>
      <w:r w:rsidR="00911173">
        <w:t>retain</w:t>
      </w:r>
      <w:r>
        <w:t>s</w:t>
      </w:r>
      <w:r w:rsidR="00911173">
        <w:t xml:space="preserve"> </w:t>
      </w:r>
      <w:r>
        <w:t xml:space="preserve">its </w:t>
      </w:r>
      <w:r w:rsidR="00911173">
        <w:t>right to contest PSE’s cost of service studies’ treatment of the 16-Inch Line and the Bonney Lake Lateral Improvements.</w:t>
      </w:r>
    </w:p>
    <w:p w14:paraId="78CE94CB" w14:textId="77777777" w:rsidR="00E82C29" w:rsidRDefault="00E82C29" w:rsidP="00E82C29">
      <w:pPr>
        <w:keepNext/>
        <w:keepLines/>
        <w:widowControl/>
        <w:spacing w:line="480" w:lineRule="auto"/>
        <w:jc w:val="center"/>
        <w:rPr>
          <w:b/>
          <w:bCs/>
          <w:szCs w:val="24"/>
        </w:rPr>
      </w:pPr>
      <w:r>
        <w:rPr>
          <w:b/>
          <w:bCs/>
          <w:szCs w:val="24"/>
        </w:rPr>
        <w:t>IV.</w:t>
      </w:r>
      <w:r>
        <w:rPr>
          <w:b/>
          <w:bCs/>
          <w:szCs w:val="24"/>
        </w:rPr>
        <w:tab/>
        <w:t>EFFECT OF THE SETTLEMENT STIPULATION</w:t>
      </w:r>
    </w:p>
    <w:p w14:paraId="282F38A4" w14:textId="1AB93F8F" w:rsidR="00871C04" w:rsidRPr="009F52D9" w:rsidRDefault="00E82C29" w:rsidP="00871C04">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rsidRPr="00871C04">
        <w:rPr>
          <w:szCs w:val="24"/>
          <w:u w:val="single"/>
        </w:rPr>
        <w:t>Prudence</w:t>
      </w:r>
      <w:r w:rsidRPr="00871C04">
        <w:rPr>
          <w:szCs w:val="24"/>
        </w:rPr>
        <w:t xml:space="preserve">. By agreeing to this Settlement Stipulation, each of </w:t>
      </w:r>
      <w:r>
        <w:t xml:space="preserve">Commission, Staff, Public Counsel, </w:t>
      </w:r>
      <w:proofErr w:type="spellStart"/>
      <w:r>
        <w:t>NWIGU</w:t>
      </w:r>
      <w:proofErr w:type="spellEnd"/>
      <w:r>
        <w:t xml:space="preserve">, and ICNU </w:t>
      </w:r>
      <w:r w:rsidRPr="00871C04">
        <w:rPr>
          <w:szCs w:val="24"/>
        </w:rPr>
        <w:t>does not waive, and expressly reserve</w:t>
      </w:r>
      <w:r w:rsidR="00497336">
        <w:rPr>
          <w:szCs w:val="24"/>
        </w:rPr>
        <w:t>s</w:t>
      </w:r>
      <w:r w:rsidRPr="00871C04">
        <w:rPr>
          <w:szCs w:val="24"/>
        </w:rPr>
        <w:t xml:space="preserve">, the right to challenge in future PSE rate proceedings, the prudence and the recovery of </w:t>
      </w:r>
      <w:r w:rsidR="00B3128A">
        <w:rPr>
          <w:szCs w:val="24"/>
        </w:rPr>
        <w:t xml:space="preserve">any </w:t>
      </w:r>
      <w:r w:rsidRPr="00871C04">
        <w:rPr>
          <w:szCs w:val="24"/>
        </w:rPr>
        <w:t xml:space="preserve">costs associated with the Tacoma LNG Facility used as a peaking resource and allocated to PSE. PSE agrees that nothing in this Settlement Stipulation alters its burden to prove in future rate proceedings the prudence of </w:t>
      </w:r>
      <w:r w:rsidR="00A62F9C">
        <w:rPr>
          <w:szCs w:val="24"/>
        </w:rPr>
        <w:t xml:space="preserve">any </w:t>
      </w:r>
      <w:r w:rsidRPr="00871C04">
        <w:rPr>
          <w:szCs w:val="24"/>
        </w:rPr>
        <w:t>costs associated with the Tacoma LNG Facility used as a peaking resource and allocated to PSE.</w:t>
      </w:r>
    </w:p>
    <w:p w14:paraId="369CC006" w14:textId="405C6E12" w:rsidR="009F52D9" w:rsidRDefault="009F52D9" w:rsidP="009F52D9">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rsidRPr="009F52D9">
        <w:rPr>
          <w:u w:val="single"/>
        </w:rPr>
        <w:lastRenderedPageBreak/>
        <w:t>Confidentiality of Mediation Statements and Materials</w:t>
      </w:r>
      <w:r>
        <w:t xml:space="preserve">. </w:t>
      </w:r>
      <w:r w:rsidRPr="009F52D9">
        <w:rPr>
          <w:szCs w:val="24"/>
        </w:rPr>
        <w:t xml:space="preserve">Each of </w:t>
      </w:r>
      <w:r>
        <w:t xml:space="preserve">Commission, Staff, Public Counsel, </w:t>
      </w:r>
      <w:proofErr w:type="spellStart"/>
      <w:r>
        <w:t>NWIGU</w:t>
      </w:r>
      <w:proofErr w:type="spellEnd"/>
      <w:r>
        <w:t xml:space="preserve">, and ICNU </w:t>
      </w:r>
      <w:r w:rsidR="006C7B0A">
        <w:t>(i) </w:t>
      </w:r>
      <w:r>
        <w:t xml:space="preserve">acknowledges that statements </w:t>
      </w:r>
      <w:r w:rsidRPr="009F52D9">
        <w:t xml:space="preserve">made during mediation and materials </w:t>
      </w:r>
      <w:r w:rsidR="006C7B0A">
        <w:t xml:space="preserve">exchanged during mediation </w:t>
      </w:r>
      <w:r w:rsidRPr="009F52D9">
        <w:t xml:space="preserve">are confidential </w:t>
      </w:r>
      <w:r>
        <w:t>pursuant to WAC 480-07-710(</w:t>
      </w:r>
      <w:r w:rsidR="001832AD">
        <w:t>4</w:t>
      </w:r>
      <w:r>
        <w:t>)(g)</w:t>
      </w:r>
      <w:r w:rsidR="006C7B0A">
        <w:t xml:space="preserve"> and (ii) agrees not to use statements </w:t>
      </w:r>
      <w:r w:rsidR="006C7B0A" w:rsidRPr="009F52D9">
        <w:t xml:space="preserve">made during mediation </w:t>
      </w:r>
      <w:r w:rsidR="000211A5">
        <w:t>or</w:t>
      </w:r>
      <w:r w:rsidR="006C7B0A" w:rsidRPr="009F52D9">
        <w:t xml:space="preserve"> materials </w:t>
      </w:r>
      <w:r w:rsidR="006C7B0A">
        <w:t xml:space="preserve">exchanged during mediation in this or any other proceeding. </w:t>
      </w:r>
    </w:p>
    <w:p w14:paraId="367F74DB" w14:textId="77777777" w:rsidR="00871C04" w:rsidRDefault="00E82C29" w:rsidP="00871C04">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rsidRPr="00871C04">
        <w:rPr>
          <w:szCs w:val="24"/>
          <w:u w:val="single"/>
        </w:rPr>
        <w:t>No Waiver</w:t>
      </w:r>
      <w:r w:rsidRPr="00871C04">
        <w:rPr>
          <w:szCs w:val="24"/>
        </w:rPr>
        <w:t xml:space="preserve">. The </w:t>
      </w:r>
      <w:r>
        <w:t xml:space="preserve">Settling </w:t>
      </w:r>
      <w:r w:rsidRPr="00871C04">
        <w:rPr>
          <w:szCs w:val="24"/>
        </w:rPr>
        <w:t xml:space="preserve">Parties agree that nothing in this Settlement Stipulation shall be deemed to constitute a waiver of any </w:t>
      </w:r>
      <w:r>
        <w:t xml:space="preserve">Settling </w:t>
      </w:r>
      <w:r w:rsidRPr="00871C04">
        <w:rPr>
          <w:szCs w:val="24"/>
        </w:rPr>
        <w:t>Party’s right to argue, and the Commission’s ability to find, in any subsequent proceeding that PSE’s affiliation with Puget LNG, or its joint ownership or operation of the Tacoma LNG Facility, or any actions incidental thereto, violates, or is in contradiction with, any Merger Commitment.</w:t>
      </w:r>
      <w:bookmarkStart w:id="8" w:name="p50"/>
    </w:p>
    <w:p w14:paraId="52B2C4C2" w14:textId="5079E94D" w:rsidR="00871C04" w:rsidRDefault="00E82C29" w:rsidP="00871C04">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bookmarkStart w:id="9" w:name="_Ref462406513"/>
      <w:bookmarkEnd w:id="8"/>
      <w:r w:rsidRPr="00871C04">
        <w:rPr>
          <w:szCs w:val="24"/>
          <w:u w:val="single"/>
        </w:rPr>
        <w:t>Binding on Parties</w:t>
      </w:r>
      <w:r w:rsidRPr="00871C04">
        <w:rPr>
          <w:szCs w:val="24"/>
        </w:rPr>
        <w:t>. The Settling Parties agree to support the terms of the Settlement</w:t>
      </w:r>
      <w:r>
        <w:t xml:space="preserve"> Stipulation</w:t>
      </w:r>
      <w:r w:rsidRPr="00871C04">
        <w:rPr>
          <w:szCs w:val="24"/>
        </w:rPr>
        <w:t xml:space="preserve"> and recommend that the Commission issue an order adopting the Settlement</w:t>
      </w:r>
      <w:r>
        <w:t xml:space="preserve"> Stipulation</w:t>
      </w:r>
      <w:r w:rsidRPr="00871C04">
        <w:rPr>
          <w:szCs w:val="24"/>
        </w:rPr>
        <w:t>. The Settling Parties understand that this Settlement</w:t>
      </w:r>
      <w:r>
        <w:t xml:space="preserve"> Stipulation</w:t>
      </w:r>
      <w:r w:rsidRPr="00871C04">
        <w:rPr>
          <w:szCs w:val="24"/>
        </w:rPr>
        <w:t xml:space="preserve"> is subject to Commission approval. The Settling Parties agree that this Settlement</w:t>
      </w:r>
      <w:r>
        <w:t xml:space="preserve"> Stipulation</w:t>
      </w:r>
      <w:r w:rsidRPr="00871C04">
        <w:rPr>
          <w:szCs w:val="24"/>
        </w:rPr>
        <w:t xml:space="preserve"> represents a compromise in the positions of the Settling Parties. No Settling Party may cite </w:t>
      </w:r>
      <w:r>
        <w:t xml:space="preserve">this </w:t>
      </w:r>
      <w:r w:rsidRPr="00871C04">
        <w:rPr>
          <w:szCs w:val="24"/>
        </w:rPr>
        <w:t>Settlement</w:t>
      </w:r>
      <w:r>
        <w:t xml:space="preserve"> Stipulation</w:t>
      </w:r>
      <w:r w:rsidRPr="00871C04">
        <w:rPr>
          <w:szCs w:val="24"/>
        </w:rPr>
        <w:t xml:space="preserve"> </w:t>
      </w:r>
      <w:r>
        <w:t xml:space="preserve">as precedent in any proceeding other than a proceeding to enforce the terms of this </w:t>
      </w:r>
      <w:r w:rsidRPr="00871C04">
        <w:rPr>
          <w:szCs w:val="24"/>
        </w:rPr>
        <w:t>Settlement</w:t>
      </w:r>
      <w:r>
        <w:t xml:space="preserve"> Stipulation. No Settling Party shall be deemed to have approved, admitted, or consented to the facts, principles, methods, or theories employed in arriving at the terms of this Settlement Stipulation, and no Settling Party shall be deemed to have agreed that this Settlement Stipulation is appropriate for resolving any issues in any other proceeding, except to the extent expressly set forth in this Settlement</w:t>
      </w:r>
      <w:r w:rsidRPr="004143EA">
        <w:t xml:space="preserve"> </w:t>
      </w:r>
      <w:r>
        <w:t xml:space="preserve">Stipulation. No Settling Party shall represent that any of the facts, principles, methods, or theories employed by any Settling Party in arriving at the terms of </w:t>
      </w:r>
      <w:r>
        <w:lastRenderedPageBreak/>
        <w:t>this Settlement Stipulation are precedents in any other proceeding, except to the extent expressly set forth in this Settlement</w:t>
      </w:r>
      <w:r w:rsidRPr="004143EA">
        <w:t xml:space="preserve"> </w:t>
      </w:r>
      <w:r>
        <w:t>Stipulation.</w:t>
      </w:r>
      <w:bookmarkEnd w:id="9"/>
    </w:p>
    <w:p w14:paraId="2F332018" w14:textId="407CE38D" w:rsidR="00871C04" w:rsidRDefault="00E82C29" w:rsidP="00871C04">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rsidRPr="00871C04">
        <w:rPr>
          <w:szCs w:val="24"/>
          <w:u w:val="single"/>
        </w:rPr>
        <w:t>Effectiveness; Counterparts</w:t>
      </w:r>
      <w:r w:rsidRPr="00871C04">
        <w:rPr>
          <w:szCs w:val="24"/>
        </w:rPr>
        <w:t xml:space="preserve">. </w:t>
      </w:r>
      <w:r>
        <w:t xml:space="preserve">A designated and authorized representative may sign the Settlement Stipulation on a Settling Party’s behalf. </w:t>
      </w:r>
      <w:r w:rsidRPr="00871C04">
        <w:rPr>
          <w:szCs w:val="24"/>
        </w:rPr>
        <w:t xml:space="preserve">This Settlement Stipulation will become effective when all Settlement Parties have signed it. The date this Settlement Stipulation is signed by the last Settling Party to sign it (as indicated by the date associated with that Settling Party’s signature) will be deemed the date of this Settlement Stipulation. </w:t>
      </w:r>
      <w:r>
        <w:t xml:space="preserve">The Settling Parties may execute this Settlement Stipulation </w:t>
      </w:r>
      <w:r w:rsidRPr="00292927">
        <w:t xml:space="preserve">in one or more original or facsimile or by an e-mail which contains a portable document format (.pdf) file of an executed signature page counterparts, each of which shall be deemed an original, but all of which shall together constitute one and the same instrument and which shall be enforceable against the </w:t>
      </w:r>
      <w:r>
        <w:t>Settlement P</w:t>
      </w:r>
      <w:r w:rsidRPr="00292927">
        <w:t>arties actually executing such counterparts.</w:t>
      </w:r>
      <w:r>
        <w:t xml:space="preserve"> </w:t>
      </w:r>
      <w:r w:rsidRPr="00292927">
        <w:t xml:space="preserve">The exchange of copies of this </w:t>
      </w:r>
      <w:r>
        <w:t xml:space="preserve">Settlement Stipulation </w:t>
      </w:r>
      <w:r w:rsidRPr="00292927">
        <w:t xml:space="preserve">and of signature pages by facsimile transmission or in .pdf format shall constitute effective execution and delivery of this </w:t>
      </w:r>
      <w:r>
        <w:t xml:space="preserve">Settlement Stipulation </w:t>
      </w:r>
      <w:r w:rsidRPr="00292927">
        <w:t xml:space="preserve">as to the </w:t>
      </w:r>
      <w:r>
        <w:t xml:space="preserve">Settling Parties </w:t>
      </w:r>
      <w:r w:rsidRPr="00292927">
        <w:t xml:space="preserve">and may be used in lieu of the original </w:t>
      </w:r>
      <w:r>
        <w:t xml:space="preserve">Settlement Stipulation </w:t>
      </w:r>
      <w:r w:rsidRPr="00292927">
        <w:t>for all purposes.</w:t>
      </w:r>
      <w:r>
        <w:t xml:space="preserve"> </w:t>
      </w:r>
      <w:r w:rsidRPr="00292927">
        <w:t xml:space="preserve">Signatures of the </w:t>
      </w:r>
      <w:r>
        <w:t>Settling P</w:t>
      </w:r>
      <w:r w:rsidRPr="00292927">
        <w:t>arties transmitted by facsimile or by e-mail of a document in pdf format shall be deemed to be their original signatures for all purposes.</w:t>
      </w:r>
    </w:p>
    <w:p w14:paraId="5762F57C" w14:textId="5B579552" w:rsidR="00871C04" w:rsidRDefault="00E82C29" w:rsidP="00871C04">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bookmarkStart w:id="10" w:name="_Ref462406525"/>
      <w:r w:rsidRPr="00871C04">
        <w:rPr>
          <w:szCs w:val="24"/>
          <w:u w:val="single"/>
        </w:rPr>
        <w:t>Integrated Terms of Settlement</w:t>
      </w:r>
      <w:r w:rsidRPr="00871C04">
        <w:rPr>
          <w:szCs w:val="24"/>
        </w:rPr>
        <w:t>. The Settling Parties have negotiated this Settlement</w:t>
      </w:r>
      <w:r>
        <w:t xml:space="preserve"> Stipulation</w:t>
      </w:r>
      <w:r w:rsidRPr="00871C04">
        <w:rPr>
          <w:szCs w:val="24"/>
        </w:rPr>
        <w:t xml:space="preserve"> as an integrated document. Accordingly, the Settling Parties recommend that the Commission adopt this Settlement</w:t>
      </w:r>
      <w:r>
        <w:t xml:space="preserve"> Stipulation</w:t>
      </w:r>
      <w:r w:rsidRPr="00871C04">
        <w:rPr>
          <w:szCs w:val="24"/>
        </w:rPr>
        <w:t xml:space="preserve"> in its entirety. Each Settling Party has participated in the drafting of this Settlement Stipulation, so it should not be construed in favor of, or against, any particular Settling Party.</w:t>
      </w:r>
      <w:bookmarkEnd w:id="10"/>
      <w:r w:rsidRPr="00871C04">
        <w:rPr>
          <w:szCs w:val="24"/>
        </w:rPr>
        <w:t xml:space="preserve"> </w:t>
      </w:r>
    </w:p>
    <w:p w14:paraId="0A707BCE" w14:textId="02E780F0" w:rsidR="00871C04" w:rsidRDefault="00E82C29" w:rsidP="00871C04">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bookmarkStart w:id="11" w:name="_Ref462406535"/>
      <w:r w:rsidRPr="00871C04">
        <w:rPr>
          <w:szCs w:val="24"/>
          <w:u w:val="single"/>
        </w:rPr>
        <w:lastRenderedPageBreak/>
        <w:t>Public Interest</w:t>
      </w:r>
      <w:r w:rsidRPr="00871C04">
        <w:rPr>
          <w:szCs w:val="24"/>
        </w:rPr>
        <w:t>. The Settling Parties agree that this Settlement</w:t>
      </w:r>
      <w:r>
        <w:t xml:space="preserve"> Stipulation</w:t>
      </w:r>
      <w:r w:rsidRPr="00871C04">
        <w:rPr>
          <w:szCs w:val="24"/>
        </w:rPr>
        <w:t xml:space="preserve"> is in the public interest.</w:t>
      </w:r>
      <w:bookmarkEnd w:id="11"/>
      <w:r w:rsidRPr="00871C04">
        <w:rPr>
          <w:szCs w:val="24"/>
        </w:rPr>
        <w:t xml:space="preserve"> </w:t>
      </w:r>
    </w:p>
    <w:p w14:paraId="184A3494" w14:textId="2058B0C6" w:rsidR="00871C04" w:rsidRDefault="00E82C29" w:rsidP="00871C04">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bookmarkStart w:id="12" w:name="_Ref462406551"/>
      <w:r w:rsidRPr="00871C04">
        <w:rPr>
          <w:u w:val="single"/>
        </w:rPr>
        <w:t>Approval Process</w:t>
      </w:r>
      <w:r>
        <w:t>. Each Settling Party agrees to support the terms and conditions of this Settlement Stipulation as a settlement of all contested issues between them in Docket UG-151663. Each Settling Party agrees to support the Settlement Stipulation during the course of whatever procedures the Commission determines are appropriate.</w:t>
      </w:r>
      <w:bookmarkEnd w:id="12"/>
    </w:p>
    <w:p w14:paraId="71CFC1B8" w14:textId="756E2978" w:rsidR="00871C04" w:rsidRDefault="00E82C29" w:rsidP="00871C04">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bookmarkStart w:id="13" w:name="_Ref462408881"/>
      <w:r w:rsidRPr="00871C04">
        <w:rPr>
          <w:u w:val="single"/>
        </w:rPr>
        <w:t>Commission Approval with Conditions</w:t>
      </w:r>
      <w:r>
        <w:t xml:space="preserve">. In the event the Commission approves this Settlement Stipulation, but with conditions, the Settling Parties will have ten (10) business days to file a letter with the Commission accepting or rejecting each such condition. If, in such a timely filed letter, a Settling Party rejects a condition, this Settlement Stipulation will be </w:t>
      </w:r>
      <w:r w:rsidRPr="00871C04">
        <w:rPr>
          <w:i/>
        </w:rPr>
        <w:t>void ab initio</w:t>
      </w:r>
      <w:r>
        <w:t>, and the Settling Parties will jointly and promptly request the Commission convene a prehearing conference to address procedural matters, including a procedural schedule for completion of the proceeding.</w:t>
      </w:r>
      <w:bookmarkEnd w:id="13"/>
    </w:p>
    <w:p w14:paraId="4A479346" w14:textId="360C5EF5" w:rsidR="00E82C29" w:rsidRPr="00871C04" w:rsidRDefault="00E82C29" w:rsidP="00871C04">
      <w:pPr>
        <w:pStyle w:val="BodyTextIndent"/>
        <w:numPr>
          <w:ilvl w:val="0"/>
          <w:numId w:val="17"/>
        </w:numPr>
        <w:tabs>
          <w:tab w:val="clear" w:pos="0"/>
          <w:tab w:val="clear" w:pos="720"/>
          <w:tab w:val="clear" w:pos="4320"/>
          <w:tab w:val="clear" w:pos="5040"/>
          <w:tab w:val="clear" w:pos="5760"/>
          <w:tab w:val="clear" w:pos="6480"/>
          <w:tab w:val="clear" w:pos="7200"/>
          <w:tab w:val="clear" w:pos="7920"/>
        </w:tabs>
        <w:ind w:left="0" w:firstLine="720"/>
        <w:outlineLvl w:val="0"/>
      </w:pPr>
      <w:r w:rsidRPr="00871C04">
        <w:rPr>
          <w:u w:val="single"/>
        </w:rPr>
        <w:t>Publicity</w:t>
      </w:r>
      <w:r>
        <w:t>. Each Settling Party has the right to review in advance of publication each announcement or news release another Settling Party intends to issue about this Settlement Stipulation. This right of advance review includes a reasonable opportunity for a non-issuing Settling Party to request changes to such an announcement. While the issuing Settling Party is not required to make any such requested change, the Settling Parties agree that if a news release or announcement issued by a Settling Party refers to Commission Staff, it shall include a statement that any recommendation by Commission Staff is not binding on the Commission.</w:t>
      </w:r>
    </w:p>
    <w:p w14:paraId="36E9BFC5" w14:textId="77777777" w:rsidR="00E82C29" w:rsidRDefault="00E82C29" w:rsidP="00E82C29">
      <w:pPr>
        <w:widowControl/>
        <w:spacing w:before="360" w:line="480" w:lineRule="auto"/>
        <w:jc w:val="center"/>
        <w:rPr>
          <w:szCs w:val="24"/>
        </w:rPr>
      </w:pPr>
      <w:r>
        <w:rPr>
          <w:szCs w:val="24"/>
        </w:rPr>
        <w:t>[[SIGNATURE PAGE ON NEXT PAGE]]</w:t>
      </w:r>
    </w:p>
    <w:p w14:paraId="406EAC27" w14:textId="7A0CA3F4" w:rsidR="00E82C29" w:rsidRDefault="00E82C29" w:rsidP="00E82C29">
      <w:pPr>
        <w:keepNext/>
        <w:keepLines/>
        <w:widowControl/>
        <w:spacing w:after="120" w:line="480" w:lineRule="auto"/>
        <w:ind w:firstLine="720"/>
        <w:jc w:val="both"/>
        <w:rPr>
          <w:szCs w:val="24"/>
        </w:rPr>
      </w:pPr>
      <w:r>
        <w:rPr>
          <w:szCs w:val="24"/>
        </w:rPr>
        <w:lastRenderedPageBreak/>
        <w:t xml:space="preserve">Entered into </w:t>
      </w:r>
      <w:r w:rsidR="00BA52D6">
        <w:rPr>
          <w:szCs w:val="24"/>
        </w:rPr>
        <w:t xml:space="preserve">as of </w:t>
      </w:r>
      <w:r>
        <w:rPr>
          <w:szCs w:val="24"/>
        </w:rPr>
        <w:t xml:space="preserve">this </w:t>
      </w:r>
      <w:r w:rsidR="00BA52D6">
        <w:rPr>
          <w:szCs w:val="24"/>
        </w:rPr>
        <w:t>30th</w:t>
      </w:r>
      <w:r>
        <w:rPr>
          <w:szCs w:val="24"/>
        </w:rPr>
        <w:t xml:space="preserve"> day of </w:t>
      </w:r>
      <w:r w:rsidR="00BA52D6">
        <w:rPr>
          <w:szCs w:val="24"/>
        </w:rPr>
        <w:t>September</w:t>
      </w:r>
      <w:r>
        <w:rPr>
          <w:szCs w:val="24"/>
        </w:rPr>
        <w:t>, 2016.</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4"/>
        <w:gridCol w:w="4734"/>
      </w:tblGrid>
      <w:tr w:rsidR="00DB651B" w14:paraId="742491F0" w14:textId="77777777" w:rsidTr="004353C1">
        <w:tc>
          <w:tcPr>
            <w:tcW w:w="4734" w:type="dxa"/>
          </w:tcPr>
          <w:p w14:paraId="2A109843" w14:textId="204C76C0" w:rsidR="00DB651B" w:rsidRPr="000968BB" w:rsidRDefault="00DB651B" w:rsidP="00DB651B">
            <w:pPr>
              <w:keepNext/>
              <w:keepLines/>
              <w:widowControl/>
              <w:jc w:val="both"/>
              <w:rPr>
                <w:b/>
                <w:szCs w:val="24"/>
              </w:rPr>
            </w:pPr>
            <w:r>
              <w:rPr>
                <w:b/>
                <w:szCs w:val="24"/>
              </w:rPr>
              <w:t xml:space="preserve">PERKINS COIE </w:t>
            </w:r>
            <w:r w:rsidRPr="004F6CC3">
              <w:rPr>
                <w:b/>
                <w:sz w:val="18"/>
                <w:szCs w:val="18"/>
              </w:rPr>
              <w:t>LLP</w:t>
            </w:r>
          </w:p>
        </w:tc>
        <w:tc>
          <w:tcPr>
            <w:tcW w:w="4734" w:type="dxa"/>
          </w:tcPr>
          <w:p w14:paraId="59AE0C37" w14:textId="77777777" w:rsidR="00DB651B" w:rsidRPr="004F6CC3" w:rsidRDefault="00DB651B" w:rsidP="00220B55">
            <w:pPr>
              <w:keepNext/>
              <w:keepLines/>
              <w:widowControl/>
              <w:jc w:val="both"/>
              <w:rPr>
                <w:b/>
                <w:szCs w:val="24"/>
              </w:rPr>
            </w:pPr>
            <w:r w:rsidRPr="004F6CC3">
              <w:rPr>
                <w:b/>
                <w:szCs w:val="24"/>
              </w:rPr>
              <w:t>ROBERT W. FERGUSON</w:t>
            </w:r>
          </w:p>
          <w:p w14:paraId="669819D9" w14:textId="7DF4D331" w:rsidR="00DB651B" w:rsidRPr="00DB651B" w:rsidRDefault="00DB651B" w:rsidP="00DB651B">
            <w:pPr>
              <w:keepNext/>
              <w:keepLines/>
              <w:widowControl/>
              <w:jc w:val="both"/>
              <w:rPr>
                <w:b/>
                <w:szCs w:val="24"/>
              </w:rPr>
            </w:pPr>
            <w:r w:rsidRPr="004F6CC3">
              <w:rPr>
                <w:b/>
                <w:szCs w:val="24"/>
              </w:rPr>
              <w:t>Attorney General</w:t>
            </w:r>
          </w:p>
        </w:tc>
      </w:tr>
      <w:tr w:rsidR="00DB651B" w14:paraId="0AF520F8" w14:textId="77777777" w:rsidTr="004353C1">
        <w:tc>
          <w:tcPr>
            <w:tcW w:w="4734" w:type="dxa"/>
          </w:tcPr>
          <w:p w14:paraId="0D0FBD1F" w14:textId="77777777" w:rsidR="00DB651B" w:rsidRDefault="00DB651B" w:rsidP="00DB651B">
            <w:pPr>
              <w:keepNext/>
              <w:keepLines/>
              <w:widowControl/>
              <w:tabs>
                <w:tab w:val="right" w:pos="3762"/>
                <w:tab w:val="right" w:pos="8640"/>
              </w:tabs>
              <w:spacing w:before="480"/>
              <w:ind w:left="72"/>
              <w:jc w:val="both"/>
              <w:rPr>
                <w:szCs w:val="24"/>
                <w:u w:val="single"/>
              </w:rPr>
            </w:pPr>
            <w:r>
              <w:rPr>
                <w:szCs w:val="24"/>
              </w:rPr>
              <w:t xml:space="preserve">By: </w:t>
            </w:r>
            <w:r w:rsidRPr="00952D11">
              <w:rPr>
                <w:szCs w:val="24"/>
                <w:u w:val="single"/>
              </w:rPr>
              <w:tab/>
            </w:r>
          </w:p>
          <w:p w14:paraId="2FD70290" w14:textId="77777777" w:rsidR="00DB651B" w:rsidRDefault="00DB651B" w:rsidP="00DB651B">
            <w:pPr>
              <w:keepNext/>
              <w:keepLines/>
              <w:widowControl/>
              <w:ind w:left="522"/>
              <w:jc w:val="both"/>
              <w:rPr>
                <w:szCs w:val="24"/>
              </w:rPr>
            </w:pPr>
            <w:r>
              <w:rPr>
                <w:szCs w:val="24"/>
              </w:rPr>
              <w:t>JASON KUZMA</w:t>
            </w:r>
          </w:p>
          <w:p w14:paraId="668A1FE8" w14:textId="77777777" w:rsidR="00DB651B" w:rsidRDefault="00DB651B" w:rsidP="00DB651B">
            <w:pPr>
              <w:keepNext/>
              <w:keepLines/>
              <w:widowControl/>
              <w:ind w:left="522"/>
              <w:jc w:val="both"/>
              <w:rPr>
                <w:szCs w:val="24"/>
              </w:rPr>
            </w:pPr>
            <w:r>
              <w:rPr>
                <w:szCs w:val="24"/>
              </w:rPr>
              <w:t>PAMELA J. ANDERSON</w:t>
            </w:r>
          </w:p>
          <w:p w14:paraId="5BF70010" w14:textId="77777777" w:rsidR="00DB651B" w:rsidRDefault="00DB651B" w:rsidP="00DB651B">
            <w:pPr>
              <w:keepNext/>
              <w:keepLines/>
              <w:widowControl/>
              <w:spacing w:before="240"/>
              <w:ind w:left="72"/>
              <w:rPr>
                <w:szCs w:val="24"/>
              </w:rPr>
            </w:pPr>
            <w:r>
              <w:rPr>
                <w:szCs w:val="24"/>
              </w:rPr>
              <w:t>Attorneys for Puget Sound Energy</w:t>
            </w:r>
          </w:p>
          <w:p w14:paraId="08896490" w14:textId="158242B2" w:rsidR="00DB651B" w:rsidRPr="00DB651B" w:rsidRDefault="00DB651B" w:rsidP="004353C1">
            <w:pPr>
              <w:keepNext/>
              <w:keepLines/>
              <w:widowControl/>
              <w:tabs>
                <w:tab w:val="right" w:pos="3798"/>
                <w:tab w:val="right" w:pos="8640"/>
              </w:tabs>
              <w:spacing w:before="360"/>
              <w:ind w:left="72"/>
              <w:jc w:val="both"/>
              <w:rPr>
                <w:szCs w:val="24"/>
                <w:u w:val="single"/>
              </w:rPr>
            </w:pPr>
            <w:r>
              <w:rPr>
                <w:szCs w:val="24"/>
              </w:rPr>
              <w:t>Date: </w:t>
            </w:r>
            <w:r w:rsidRPr="00952D11">
              <w:rPr>
                <w:szCs w:val="24"/>
                <w:u w:val="single"/>
              </w:rPr>
              <w:tab/>
            </w:r>
          </w:p>
        </w:tc>
        <w:tc>
          <w:tcPr>
            <w:tcW w:w="4734" w:type="dxa"/>
          </w:tcPr>
          <w:p w14:paraId="644035C8" w14:textId="77777777" w:rsidR="00DB651B" w:rsidRDefault="00DB651B" w:rsidP="00DB651B">
            <w:pPr>
              <w:keepNext/>
              <w:keepLines/>
              <w:widowControl/>
              <w:tabs>
                <w:tab w:val="right" w:pos="3762"/>
                <w:tab w:val="right" w:pos="8640"/>
              </w:tabs>
              <w:spacing w:before="480"/>
              <w:ind w:left="72"/>
              <w:jc w:val="both"/>
              <w:rPr>
                <w:szCs w:val="24"/>
                <w:u w:val="single"/>
              </w:rPr>
            </w:pPr>
            <w:r>
              <w:rPr>
                <w:szCs w:val="24"/>
              </w:rPr>
              <w:t xml:space="preserve">By: </w:t>
            </w:r>
            <w:r w:rsidRPr="00952D11">
              <w:rPr>
                <w:szCs w:val="24"/>
                <w:u w:val="single"/>
              </w:rPr>
              <w:tab/>
            </w:r>
          </w:p>
          <w:p w14:paraId="730CB9EA" w14:textId="77777777" w:rsidR="00DB651B" w:rsidRDefault="00DB651B" w:rsidP="00220B55">
            <w:pPr>
              <w:keepNext/>
              <w:keepLines/>
              <w:widowControl/>
              <w:ind w:left="522"/>
              <w:jc w:val="both"/>
              <w:rPr>
                <w:szCs w:val="24"/>
              </w:rPr>
            </w:pPr>
            <w:r>
              <w:rPr>
                <w:szCs w:val="24"/>
              </w:rPr>
              <w:t>SALLY BROWN</w:t>
            </w:r>
          </w:p>
          <w:p w14:paraId="4A453F9E" w14:textId="77777777" w:rsidR="00DB651B" w:rsidRDefault="00DB651B" w:rsidP="00220B55">
            <w:pPr>
              <w:keepNext/>
              <w:keepLines/>
              <w:widowControl/>
              <w:ind w:left="522"/>
              <w:jc w:val="both"/>
              <w:rPr>
                <w:szCs w:val="24"/>
              </w:rPr>
            </w:pPr>
            <w:r>
              <w:rPr>
                <w:szCs w:val="24"/>
              </w:rPr>
              <w:t>Senior Assistant Attorney General</w:t>
            </w:r>
          </w:p>
          <w:p w14:paraId="5DA662BE" w14:textId="77777777" w:rsidR="00DB651B" w:rsidRDefault="00DB651B" w:rsidP="00220B55">
            <w:pPr>
              <w:keepNext/>
              <w:keepLines/>
              <w:widowControl/>
              <w:ind w:left="522"/>
              <w:jc w:val="both"/>
              <w:rPr>
                <w:szCs w:val="24"/>
              </w:rPr>
            </w:pPr>
            <w:r>
              <w:rPr>
                <w:szCs w:val="24"/>
              </w:rPr>
              <w:t>JEFF ROBERSON</w:t>
            </w:r>
          </w:p>
          <w:p w14:paraId="532704C4" w14:textId="77777777" w:rsidR="00DB651B" w:rsidRDefault="00DB651B" w:rsidP="00220B55">
            <w:pPr>
              <w:keepNext/>
              <w:keepLines/>
              <w:widowControl/>
              <w:ind w:left="522"/>
              <w:jc w:val="both"/>
              <w:rPr>
                <w:szCs w:val="24"/>
              </w:rPr>
            </w:pPr>
            <w:r>
              <w:rPr>
                <w:szCs w:val="24"/>
              </w:rPr>
              <w:t>Senior Assistant Attorney General</w:t>
            </w:r>
          </w:p>
          <w:p w14:paraId="1AEEA2B4" w14:textId="77777777" w:rsidR="00DB651B" w:rsidRDefault="00DB651B" w:rsidP="00220B55">
            <w:pPr>
              <w:keepNext/>
              <w:keepLines/>
              <w:widowControl/>
              <w:ind w:left="522"/>
              <w:jc w:val="both"/>
              <w:rPr>
                <w:szCs w:val="24"/>
              </w:rPr>
            </w:pPr>
            <w:r>
              <w:rPr>
                <w:szCs w:val="24"/>
              </w:rPr>
              <w:t>BRETT P. SHEARER</w:t>
            </w:r>
          </w:p>
          <w:p w14:paraId="4FE4A284" w14:textId="77777777" w:rsidR="00DB651B" w:rsidRDefault="00DB651B" w:rsidP="00220B55">
            <w:pPr>
              <w:keepNext/>
              <w:keepLines/>
              <w:widowControl/>
              <w:ind w:left="522"/>
              <w:jc w:val="both"/>
              <w:rPr>
                <w:szCs w:val="24"/>
              </w:rPr>
            </w:pPr>
            <w:r>
              <w:rPr>
                <w:szCs w:val="24"/>
              </w:rPr>
              <w:t>Assistant Attorney General</w:t>
            </w:r>
          </w:p>
          <w:p w14:paraId="113B749A" w14:textId="77777777" w:rsidR="00DB651B" w:rsidRDefault="00DB651B" w:rsidP="00220B55">
            <w:pPr>
              <w:keepNext/>
              <w:keepLines/>
              <w:widowControl/>
              <w:spacing w:before="240"/>
              <w:ind w:left="72"/>
              <w:rPr>
                <w:szCs w:val="24"/>
              </w:rPr>
            </w:pPr>
            <w:r>
              <w:rPr>
                <w:szCs w:val="24"/>
              </w:rPr>
              <w:t>Attorneys for Washington Utilities and</w:t>
            </w:r>
            <w:r>
              <w:rPr>
                <w:szCs w:val="24"/>
              </w:rPr>
              <w:br/>
              <w:t>Transportation Commission Staff</w:t>
            </w:r>
          </w:p>
          <w:p w14:paraId="3E0618E0" w14:textId="3F2D2D8B" w:rsidR="00DB651B" w:rsidRPr="004F6CC3" w:rsidRDefault="004353C1" w:rsidP="004353C1">
            <w:pPr>
              <w:keepNext/>
              <w:keepLines/>
              <w:widowControl/>
              <w:tabs>
                <w:tab w:val="right" w:pos="3798"/>
                <w:tab w:val="right" w:pos="8640"/>
              </w:tabs>
              <w:spacing w:before="360"/>
              <w:ind w:left="72"/>
              <w:jc w:val="both"/>
              <w:rPr>
                <w:szCs w:val="24"/>
                <w:u w:val="single"/>
              </w:rPr>
            </w:pPr>
            <w:r>
              <w:rPr>
                <w:szCs w:val="24"/>
              </w:rPr>
              <w:t>Date: </w:t>
            </w:r>
            <w:r w:rsidRPr="00952D11">
              <w:rPr>
                <w:szCs w:val="24"/>
                <w:u w:val="single"/>
              </w:rPr>
              <w:tab/>
            </w:r>
          </w:p>
        </w:tc>
      </w:tr>
      <w:tr w:rsidR="00DB651B" w14:paraId="1F3EF9F9" w14:textId="77777777" w:rsidTr="004353C1">
        <w:tc>
          <w:tcPr>
            <w:tcW w:w="4734" w:type="dxa"/>
          </w:tcPr>
          <w:p w14:paraId="6C249FFE" w14:textId="77777777" w:rsidR="00DB651B" w:rsidRDefault="00DB651B" w:rsidP="00220B55">
            <w:pPr>
              <w:keepNext/>
              <w:keepLines/>
              <w:widowControl/>
              <w:jc w:val="both"/>
              <w:rPr>
                <w:szCs w:val="24"/>
              </w:rPr>
            </w:pPr>
          </w:p>
        </w:tc>
        <w:tc>
          <w:tcPr>
            <w:tcW w:w="4734" w:type="dxa"/>
          </w:tcPr>
          <w:p w14:paraId="541AB282" w14:textId="77777777" w:rsidR="00DB651B" w:rsidRDefault="00DB651B" w:rsidP="00220B55">
            <w:pPr>
              <w:keepNext/>
              <w:keepLines/>
              <w:widowControl/>
              <w:jc w:val="both"/>
              <w:rPr>
                <w:szCs w:val="24"/>
              </w:rPr>
            </w:pPr>
          </w:p>
        </w:tc>
      </w:tr>
      <w:tr w:rsidR="00DB651B" w14:paraId="336E8E4D" w14:textId="77777777" w:rsidTr="004353C1">
        <w:tc>
          <w:tcPr>
            <w:tcW w:w="4734" w:type="dxa"/>
          </w:tcPr>
          <w:p w14:paraId="7F1B8753" w14:textId="77777777" w:rsidR="00DB651B" w:rsidRPr="004F6CC3" w:rsidRDefault="00DB651B" w:rsidP="004353C1">
            <w:pPr>
              <w:keepNext/>
              <w:keepLines/>
              <w:widowControl/>
              <w:spacing w:line="480" w:lineRule="auto"/>
              <w:jc w:val="both"/>
              <w:rPr>
                <w:b/>
                <w:szCs w:val="24"/>
              </w:rPr>
            </w:pPr>
            <w:r w:rsidRPr="004F6CC3">
              <w:rPr>
                <w:b/>
                <w:szCs w:val="24"/>
              </w:rPr>
              <w:t>ROBERT W. FERGUSON</w:t>
            </w:r>
          </w:p>
          <w:p w14:paraId="6765ADCA" w14:textId="1120B0BE" w:rsidR="00DB651B" w:rsidRPr="00DB651B" w:rsidRDefault="00DB651B" w:rsidP="004353C1">
            <w:pPr>
              <w:keepNext/>
              <w:keepLines/>
              <w:widowControl/>
              <w:spacing w:line="480" w:lineRule="auto"/>
              <w:jc w:val="both"/>
              <w:rPr>
                <w:b/>
                <w:szCs w:val="24"/>
              </w:rPr>
            </w:pPr>
            <w:r w:rsidRPr="004F6CC3">
              <w:rPr>
                <w:b/>
                <w:szCs w:val="24"/>
              </w:rPr>
              <w:t>Attorney General</w:t>
            </w:r>
          </w:p>
        </w:tc>
        <w:tc>
          <w:tcPr>
            <w:tcW w:w="4734" w:type="dxa"/>
          </w:tcPr>
          <w:p w14:paraId="79B5D1FD" w14:textId="77777777" w:rsidR="00DB651B" w:rsidRPr="004F6CC3" w:rsidRDefault="00DB651B" w:rsidP="004353C1">
            <w:pPr>
              <w:keepNext/>
              <w:keepLines/>
              <w:widowControl/>
              <w:spacing w:line="480" w:lineRule="auto"/>
              <w:jc w:val="both"/>
              <w:rPr>
                <w:b/>
                <w:szCs w:val="24"/>
              </w:rPr>
            </w:pPr>
            <w:r>
              <w:rPr>
                <w:b/>
                <w:szCs w:val="24"/>
              </w:rPr>
              <w:t xml:space="preserve">CABLE HUSTON </w:t>
            </w:r>
            <w:r w:rsidRPr="00DB651B">
              <w:rPr>
                <w:b/>
                <w:sz w:val="18"/>
                <w:szCs w:val="18"/>
              </w:rPr>
              <w:t>LLP</w:t>
            </w:r>
          </w:p>
          <w:p w14:paraId="42C8FBBE" w14:textId="77777777" w:rsidR="00DB651B" w:rsidRDefault="00DB651B" w:rsidP="004353C1">
            <w:pPr>
              <w:keepNext/>
              <w:keepLines/>
              <w:widowControl/>
              <w:spacing w:line="480" w:lineRule="auto"/>
              <w:jc w:val="both"/>
              <w:rPr>
                <w:szCs w:val="24"/>
              </w:rPr>
            </w:pPr>
          </w:p>
        </w:tc>
      </w:tr>
      <w:tr w:rsidR="00DB651B" w14:paraId="28812112" w14:textId="77777777" w:rsidTr="004353C1">
        <w:tc>
          <w:tcPr>
            <w:tcW w:w="4734" w:type="dxa"/>
          </w:tcPr>
          <w:p w14:paraId="7E47D697" w14:textId="77777777" w:rsidR="00DB651B" w:rsidRDefault="00DB651B" w:rsidP="00DB651B">
            <w:pPr>
              <w:keepNext/>
              <w:keepLines/>
              <w:widowControl/>
              <w:tabs>
                <w:tab w:val="right" w:pos="3762"/>
                <w:tab w:val="right" w:pos="8640"/>
              </w:tabs>
              <w:spacing w:before="480"/>
              <w:ind w:left="72"/>
              <w:jc w:val="both"/>
              <w:rPr>
                <w:szCs w:val="24"/>
                <w:u w:val="single"/>
              </w:rPr>
            </w:pPr>
            <w:r>
              <w:rPr>
                <w:szCs w:val="24"/>
              </w:rPr>
              <w:t xml:space="preserve">By: </w:t>
            </w:r>
            <w:r w:rsidRPr="00952D11">
              <w:rPr>
                <w:szCs w:val="24"/>
                <w:u w:val="single"/>
              </w:rPr>
              <w:tab/>
            </w:r>
          </w:p>
          <w:p w14:paraId="11B30BC1" w14:textId="77777777" w:rsidR="00DB651B" w:rsidRPr="000968BB" w:rsidRDefault="00DB651B" w:rsidP="00220B55">
            <w:pPr>
              <w:keepNext/>
              <w:keepLines/>
              <w:widowControl/>
              <w:ind w:left="522"/>
              <w:jc w:val="both"/>
              <w:rPr>
                <w:szCs w:val="24"/>
              </w:rPr>
            </w:pPr>
            <w:r w:rsidRPr="000968BB">
              <w:rPr>
                <w:szCs w:val="24"/>
              </w:rPr>
              <w:t xml:space="preserve">LISA </w:t>
            </w:r>
            <w:proofErr w:type="spellStart"/>
            <w:r w:rsidRPr="000968BB">
              <w:rPr>
                <w:szCs w:val="24"/>
              </w:rPr>
              <w:t>GAFKEN</w:t>
            </w:r>
            <w:proofErr w:type="spellEnd"/>
          </w:p>
          <w:p w14:paraId="1CD6A2A3" w14:textId="77777777" w:rsidR="00DB651B" w:rsidRPr="000968BB" w:rsidRDefault="00DB651B" w:rsidP="00220B55">
            <w:pPr>
              <w:keepNext/>
              <w:keepLines/>
              <w:widowControl/>
              <w:ind w:left="522"/>
              <w:jc w:val="both"/>
              <w:rPr>
                <w:szCs w:val="24"/>
              </w:rPr>
            </w:pPr>
            <w:r w:rsidRPr="000968BB">
              <w:rPr>
                <w:szCs w:val="24"/>
              </w:rPr>
              <w:t>Assistant Attorney General</w:t>
            </w:r>
          </w:p>
          <w:p w14:paraId="712A118B" w14:textId="77777777" w:rsidR="00DB651B" w:rsidRDefault="00DB651B" w:rsidP="00220B55">
            <w:pPr>
              <w:keepNext/>
              <w:keepLines/>
              <w:widowControl/>
              <w:spacing w:before="240"/>
              <w:ind w:left="72"/>
              <w:rPr>
                <w:szCs w:val="24"/>
              </w:rPr>
            </w:pPr>
            <w:r w:rsidRPr="000968BB">
              <w:rPr>
                <w:szCs w:val="24"/>
              </w:rPr>
              <w:t>Public Counsel Division of the</w:t>
            </w:r>
            <w:r>
              <w:rPr>
                <w:szCs w:val="24"/>
              </w:rPr>
              <w:t xml:space="preserve"> </w:t>
            </w:r>
            <w:r w:rsidRPr="000968BB">
              <w:rPr>
                <w:szCs w:val="24"/>
              </w:rPr>
              <w:t>Washington State</w:t>
            </w:r>
            <w:r>
              <w:rPr>
                <w:szCs w:val="24"/>
              </w:rPr>
              <w:br/>
            </w:r>
            <w:r w:rsidRPr="000968BB">
              <w:rPr>
                <w:szCs w:val="24"/>
              </w:rPr>
              <w:t>Attorney General’s Office</w:t>
            </w:r>
          </w:p>
          <w:p w14:paraId="5AB5C4B9" w14:textId="3F94E3A6" w:rsidR="00DB651B" w:rsidRPr="00DB651B" w:rsidRDefault="00DB651B" w:rsidP="004353C1">
            <w:pPr>
              <w:keepNext/>
              <w:keepLines/>
              <w:widowControl/>
              <w:tabs>
                <w:tab w:val="right" w:pos="3798"/>
                <w:tab w:val="right" w:pos="8640"/>
              </w:tabs>
              <w:spacing w:before="360"/>
              <w:ind w:left="72"/>
              <w:jc w:val="both"/>
              <w:rPr>
                <w:szCs w:val="24"/>
                <w:u w:val="single"/>
              </w:rPr>
            </w:pPr>
            <w:r>
              <w:rPr>
                <w:szCs w:val="24"/>
              </w:rPr>
              <w:t>Date: </w:t>
            </w:r>
            <w:r w:rsidRPr="00952D11">
              <w:rPr>
                <w:szCs w:val="24"/>
                <w:u w:val="single"/>
              </w:rPr>
              <w:tab/>
            </w:r>
          </w:p>
        </w:tc>
        <w:tc>
          <w:tcPr>
            <w:tcW w:w="4734" w:type="dxa"/>
          </w:tcPr>
          <w:p w14:paraId="0E5C196B" w14:textId="77777777" w:rsidR="00DB651B" w:rsidRDefault="00DB651B" w:rsidP="00DB651B">
            <w:pPr>
              <w:keepNext/>
              <w:keepLines/>
              <w:widowControl/>
              <w:tabs>
                <w:tab w:val="right" w:pos="3762"/>
                <w:tab w:val="right" w:pos="8640"/>
              </w:tabs>
              <w:spacing w:before="480"/>
              <w:ind w:left="72"/>
              <w:jc w:val="both"/>
              <w:rPr>
                <w:szCs w:val="24"/>
                <w:u w:val="single"/>
              </w:rPr>
            </w:pPr>
            <w:r>
              <w:rPr>
                <w:szCs w:val="24"/>
              </w:rPr>
              <w:t xml:space="preserve">By: </w:t>
            </w:r>
            <w:r w:rsidRPr="00952D11">
              <w:rPr>
                <w:szCs w:val="24"/>
                <w:u w:val="single"/>
              </w:rPr>
              <w:tab/>
            </w:r>
          </w:p>
          <w:p w14:paraId="10643578" w14:textId="77777777" w:rsidR="00DB651B" w:rsidRPr="000968BB" w:rsidRDefault="00DB651B" w:rsidP="00220B55">
            <w:pPr>
              <w:keepNext/>
              <w:keepLines/>
              <w:widowControl/>
              <w:ind w:left="522"/>
              <w:jc w:val="both"/>
              <w:rPr>
                <w:szCs w:val="24"/>
              </w:rPr>
            </w:pPr>
            <w:r>
              <w:rPr>
                <w:szCs w:val="24"/>
              </w:rPr>
              <w:t>CHAD M. STOKES</w:t>
            </w:r>
          </w:p>
          <w:p w14:paraId="6F63F8AF" w14:textId="77777777" w:rsidR="00DB651B" w:rsidRPr="000968BB" w:rsidRDefault="00DB651B" w:rsidP="00220B55">
            <w:pPr>
              <w:keepNext/>
              <w:keepLines/>
              <w:widowControl/>
              <w:ind w:left="522"/>
              <w:jc w:val="both"/>
              <w:rPr>
                <w:szCs w:val="24"/>
              </w:rPr>
            </w:pPr>
            <w:r>
              <w:rPr>
                <w:szCs w:val="24"/>
              </w:rPr>
              <w:t>TOMMY A. BROOKS</w:t>
            </w:r>
          </w:p>
          <w:p w14:paraId="69484556" w14:textId="77777777" w:rsidR="00DB651B" w:rsidRDefault="00DB651B" w:rsidP="00220B55">
            <w:pPr>
              <w:keepNext/>
              <w:keepLines/>
              <w:widowControl/>
              <w:spacing w:before="240"/>
              <w:ind w:left="72"/>
              <w:rPr>
                <w:szCs w:val="24"/>
              </w:rPr>
            </w:pPr>
            <w:r>
              <w:rPr>
                <w:szCs w:val="24"/>
              </w:rPr>
              <w:t>Attorneys for Northwest Industrial Gas Users</w:t>
            </w:r>
          </w:p>
          <w:p w14:paraId="0A48DE34" w14:textId="650051D5" w:rsidR="00DB651B" w:rsidRPr="004F6CC3" w:rsidRDefault="004353C1" w:rsidP="004353C1">
            <w:pPr>
              <w:keepNext/>
              <w:keepLines/>
              <w:widowControl/>
              <w:tabs>
                <w:tab w:val="right" w:pos="3798"/>
                <w:tab w:val="right" w:pos="8640"/>
              </w:tabs>
              <w:spacing w:before="600"/>
              <w:ind w:left="72"/>
              <w:jc w:val="both"/>
              <w:rPr>
                <w:szCs w:val="24"/>
                <w:u w:val="single"/>
              </w:rPr>
            </w:pPr>
            <w:r>
              <w:rPr>
                <w:szCs w:val="24"/>
              </w:rPr>
              <w:t>Date: </w:t>
            </w:r>
            <w:r w:rsidRPr="00952D11">
              <w:rPr>
                <w:szCs w:val="24"/>
                <w:u w:val="single"/>
              </w:rPr>
              <w:tab/>
            </w:r>
          </w:p>
        </w:tc>
      </w:tr>
      <w:tr w:rsidR="00DB651B" w14:paraId="6159AC00" w14:textId="77777777" w:rsidTr="004353C1">
        <w:tc>
          <w:tcPr>
            <w:tcW w:w="4734" w:type="dxa"/>
          </w:tcPr>
          <w:p w14:paraId="6F5F94B6" w14:textId="77777777" w:rsidR="00DB651B" w:rsidRDefault="00DB651B" w:rsidP="004353C1">
            <w:pPr>
              <w:keepNext/>
              <w:keepLines/>
              <w:widowControl/>
              <w:spacing w:line="480" w:lineRule="auto"/>
              <w:jc w:val="both"/>
              <w:rPr>
                <w:szCs w:val="24"/>
              </w:rPr>
            </w:pPr>
          </w:p>
        </w:tc>
        <w:tc>
          <w:tcPr>
            <w:tcW w:w="4734" w:type="dxa"/>
          </w:tcPr>
          <w:p w14:paraId="40D909CC" w14:textId="77777777" w:rsidR="00DB651B" w:rsidRDefault="00DB651B" w:rsidP="004353C1">
            <w:pPr>
              <w:keepNext/>
              <w:keepLines/>
              <w:widowControl/>
              <w:spacing w:line="480" w:lineRule="auto"/>
              <w:jc w:val="both"/>
              <w:rPr>
                <w:szCs w:val="24"/>
              </w:rPr>
            </w:pPr>
          </w:p>
        </w:tc>
      </w:tr>
      <w:tr w:rsidR="00DB651B" w14:paraId="5F85EAA6" w14:textId="77777777" w:rsidTr="004353C1">
        <w:tc>
          <w:tcPr>
            <w:tcW w:w="4734" w:type="dxa"/>
          </w:tcPr>
          <w:p w14:paraId="21F14323" w14:textId="31C7DAF7" w:rsidR="00DB651B" w:rsidRDefault="00DB651B" w:rsidP="00220B55">
            <w:pPr>
              <w:keepNext/>
              <w:keepLines/>
              <w:widowControl/>
              <w:jc w:val="both"/>
              <w:rPr>
                <w:szCs w:val="24"/>
              </w:rPr>
            </w:pPr>
            <w:r>
              <w:rPr>
                <w:b/>
                <w:szCs w:val="24"/>
              </w:rPr>
              <w:t>DAVISON VAN CLEVE, P.C.</w:t>
            </w:r>
          </w:p>
        </w:tc>
        <w:tc>
          <w:tcPr>
            <w:tcW w:w="4734" w:type="dxa"/>
          </w:tcPr>
          <w:p w14:paraId="3FA95DF2" w14:textId="77777777" w:rsidR="00DB651B" w:rsidRDefault="00DB651B" w:rsidP="00220B55">
            <w:pPr>
              <w:keepNext/>
              <w:keepLines/>
              <w:widowControl/>
              <w:jc w:val="both"/>
              <w:rPr>
                <w:szCs w:val="24"/>
              </w:rPr>
            </w:pPr>
          </w:p>
        </w:tc>
      </w:tr>
      <w:tr w:rsidR="00DB651B" w14:paraId="796D934C" w14:textId="77777777" w:rsidTr="004353C1">
        <w:tc>
          <w:tcPr>
            <w:tcW w:w="4734" w:type="dxa"/>
          </w:tcPr>
          <w:p w14:paraId="25004BF4" w14:textId="77777777" w:rsidR="00DB651B" w:rsidRDefault="00DB651B" w:rsidP="00DB651B">
            <w:pPr>
              <w:keepNext/>
              <w:keepLines/>
              <w:widowControl/>
              <w:tabs>
                <w:tab w:val="right" w:pos="3762"/>
                <w:tab w:val="right" w:pos="8640"/>
              </w:tabs>
              <w:spacing w:before="480"/>
              <w:ind w:left="72"/>
              <w:jc w:val="both"/>
              <w:rPr>
                <w:szCs w:val="24"/>
                <w:u w:val="single"/>
              </w:rPr>
            </w:pPr>
            <w:r>
              <w:rPr>
                <w:szCs w:val="24"/>
              </w:rPr>
              <w:t xml:space="preserve">By: </w:t>
            </w:r>
            <w:r w:rsidRPr="00952D11">
              <w:rPr>
                <w:szCs w:val="24"/>
                <w:u w:val="single"/>
              </w:rPr>
              <w:tab/>
            </w:r>
          </w:p>
          <w:p w14:paraId="6976CFF2" w14:textId="77777777" w:rsidR="00DB651B" w:rsidRPr="000968BB" w:rsidRDefault="00DB651B" w:rsidP="00220B55">
            <w:pPr>
              <w:keepNext/>
              <w:keepLines/>
              <w:widowControl/>
              <w:ind w:left="522"/>
              <w:jc w:val="both"/>
              <w:rPr>
                <w:szCs w:val="24"/>
              </w:rPr>
            </w:pPr>
            <w:r>
              <w:rPr>
                <w:szCs w:val="24"/>
              </w:rPr>
              <w:t xml:space="preserve">TYLER C. </w:t>
            </w:r>
            <w:proofErr w:type="spellStart"/>
            <w:r>
              <w:rPr>
                <w:szCs w:val="24"/>
              </w:rPr>
              <w:t>PEPPLE</w:t>
            </w:r>
            <w:proofErr w:type="spellEnd"/>
          </w:p>
          <w:p w14:paraId="0E14533B" w14:textId="77777777" w:rsidR="00DB651B" w:rsidRDefault="00DB651B" w:rsidP="00220B55">
            <w:pPr>
              <w:keepNext/>
              <w:keepLines/>
              <w:widowControl/>
              <w:spacing w:before="240"/>
              <w:ind w:left="72"/>
              <w:rPr>
                <w:szCs w:val="24"/>
              </w:rPr>
            </w:pPr>
            <w:r>
              <w:rPr>
                <w:szCs w:val="24"/>
              </w:rPr>
              <w:t>Attorneys for Industrial Customers of</w:t>
            </w:r>
            <w:r>
              <w:rPr>
                <w:szCs w:val="24"/>
              </w:rPr>
              <w:br/>
              <w:t>Northwest Utilities</w:t>
            </w:r>
          </w:p>
          <w:p w14:paraId="7BEEC6D6" w14:textId="2ECDC96E" w:rsidR="00DB651B" w:rsidRPr="004353C1" w:rsidRDefault="004353C1" w:rsidP="004353C1">
            <w:pPr>
              <w:keepNext/>
              <w:keepLines/>
              <w:widowControl/>
              <w:tabs>
                <w:tab w:val="right" w:pos="3798"/>
                <w:tab w:val="right" w:pos="8640"/>
              </w:tabs>
              <w:spacing w:before="360"/>
              <w:ind w:left="72"/>
              <w:jc w:val="both"/>
              <w:rPr>
                <w:szCs w:val="24"/>
                <w:u w:val="single"/>
              </w:rPr>
            </w:pPr>
            <w:r>
              <w:rPr>
                <w:szCs w:val="24"/>
              </w:rPr>
              <w:t>Date: </w:t>
            </w:r>
            <w:r w:rsidRPr="00952D11">
              <w:rPr>
                <w:szCs w:val="24"/>
                <w:u w:val="single"/>
              </w:rPr>
              <w:tab/>
            </w:r>
          </w:p>
        </w:tc>
        <w:tc>
          <w:tcPr>
            <w:tcW w:w="4734" w:type="dxa"/>
          </w:tcPr>
          <w:p w14:paraId="124EF083" w14:textId="77777777" w:rsidR="00DB651B" w:rsidRDefault="00DB651B" w:rsidP="00220B55">
            <w:pPr>
              <w:keepNext/>
              <w:keepLines/>
              <w:widowControl/>
              <w:jc w:val="both"/>
              <w:rPr>
                <w:szCs w:val="24"/>
              </w:rPr>
            </w:pPr>
          </w:p>
        </w:tc>
      </w:tr>
    </w:tbl>
    <w:p w14:paraId="12567B83" w14:textId="6BF5B2C0" w:rsidR="00E82C29" w:rsidRDefault="00E82C29" w:rsidP="00E82C29">
      <w:pPr>
        <w:keepNext/>
        <w:keepLines/>
        <w:widowControl/>
        <w:tabs>
          <w:tab w:val="left" w:pos="4320"/>
          <w:tab w:val="right" w:pos="8640"/>
        </w:tabs>
        <w:spacing w:before="480"/>
        <w:ind w:left="4320"/>
        <w:jc w:val="both"/>
        <w:rPr>
          <w:szCs w:val="24"/>
          <w:u w:val="single"/>
        </w:rPr>
        <w:sectPr w:rsidR="00E82C29" w:rsidSect="00E82C29">
          <w:footerReference w:type="default" r:id="rId13"/>
          <w:pgSz w:w="12240" w:h="15840" w:code="1"/>
          <w:pgMar w:top="1440" w:right="1440" w:bottom="1440" w:left="1440" w:header="1008" w:footer="843" w:gutter="0"/>
          <w:cols w:space="720"/>
          <w:noEndnote/>
          <w:docGrid w:linePitch="326"/>
        </w:sectPr>
      </w:pPr>
    </w:p>
    <w:p w14:paraId="781877D2" w14:textId="02A3E093" w:rsidR="004353C1" w:rsidRDefault="004353C1" w:rsidP="00241563">
      <w:pPr>
        <w:pStyle w:val="BodyTextIndent"/>
        <w:keepNext/>
        <w:keepLines/>
        <w:tabs>
          <w:tab w:val="clear" w:pos="0"/>
          <w:tab w:val="clear" w:pos="720"/>
          <w:tab w:val="clear" w:pos="4320"/>
          <w:tab w:val="clear" w:pos="5040"/>
          <w:tab w:val="clear" w:pos="5760"/>
          <w:tab w:val="clear" w:pos="6480"/>
          <w:tab w:val="clear" w:pos="7200"/>
          <w:tab w:val="clear" w:pos="7920"/>
        </w:tabs>
        <w:spacing w:after="600" w:line="240" w:lineRule="auto"/>
        <w:jc w:val="center"/>
        <w:outlineLvl w:val="0"/>
        <w:rPr>
          <w:b/>
        </w:rPr>
        <w:sectPr w:rsidR="004353C1" w:rsidSect="004353C1">
          <w:headerReference w:type="default" r:id="rId14"/>
          <w:footerReference w:type="default" r:id="rId15"/>
          <w:headerReference w:type="first" r:id="rId16"/>
          <w:footerReference w:type="first" r:id="rId17"/>
          <w:pgSz w:w="12240" w:h="15840" w:code="1"/>
          <w:pgMar w:top="1440" w:right="1440" w:bottom="1440" w:left="1440" w:header="720" w:footer="720" w:gutter="0"/>
          <w:cols w:space="720"/>
          <w:vAlign w:val="center"/>
          <w:titlePg/>
          <w:docGrid w:linePitch="360"/>
        </w:sectPr>
      </w:pPr>
      <w:r>
        <w:rPr>
          <w:b/>
        </w:rPr>
        <w:lastRenderedPageBreak/>
        <w:t xml:space="preserve">ATTACHMENT A TO THE </w:t>
      </w:r>
      <w:r>
        <w:rPr>
          <w:b/>
        </w:rPr>
        <w:br/>
      </w:r>
      <w:r w:rsidRPr="004353C1">
        <w:rPr>
          <w:b/>
        </w:rPr>
        <w:t>FULL SETTLEMENT STIPULATION</w:t>
      </w:r>
    </w:p>
    <w:p w14:paraId="77C83549" w14:textId="7D491786" w:rsidR="00241563" w:rsidRPr="00241563" w:rsidRDefault="00241563" w:rsidP="00241563">
      <w:pPr>
        <w:pStyle w:val="BodyTextIndent"/>
        <w:keepNext/>
        <w:keepLines/>
        <w:tabs>
          <w:tab w:val="clear" w:pos="0"/>
          <w:tab w:val="clear" w:pos="720"/>
          <w:tab w:val="clear" w:pos="4320"/>
          <w:tab w:val="clear" w:pos="5040"/>
          <w:tab w:val="clear" w:pos="5760"/>
          <w:tab w:val="clear" w:pos="6480"/>
          <w:tab w:val="clear" w:pos="7200"/>
          <w:tab w:val="clear" w:pos="7920"/>
        </w:tabs>
        <w:spacing w:after="600" w:line="240" w:lineRule="auto"/>
        <w:jc w:val="center"/>
        <w:outlineLvl w:val="0"/>
        <w:rPr>
          <w:b/>
        </w:rPr>
      </w:pPr>
      <w:r w:rsidRPr="00241563">
        <w:rPr>
          <w:b/>
        </w:rPr>
        <w:lastRenderedPageBreak/>
        <w:t>ATTACHMENT A</w:t>
      </w:r>
      <w:r w:rsidRPr="00241563">
        <w:rPr>
          <w:b/>
        </w:rPr>
        <w:br/>
        <w:t>Summary of Procedural History in Docket UG-151663</w:t>
      </w:r>
    </w:p>
    <w:p w14:paraId="5C1DB98D" w14:textId="77777777" w:rsidR="00241563" w:rsidRDefault="00241563" w:rsidP="00241563">
      <w:pPr>
        <w:pStyle w:val="BodyTextIndent"/>
        <w:numPr>
          <w:ilvl w:val="0"/>
          <w:numId w:val="35"/>
        </w:numPr>
        <w:tabs>
          <w:tab w:val="clear" w:pos="0"/>
          <w:tab w:val="clear" w:pos="720"/>
          <w:tab w:val="clear" w:pos="4320"/>
          <w:tab w:val="clear" w:pos="5040"/>
          <w:tab w:val="clear" w:pos="5760"/>
          <w:tab w:val="clear" w:pos="6480"/>
          <w:tab w:val="clear" w:pos="7200"/>
          <w:tab w:val="clear" w:pos="7920"/>
        </w:tabs>
        <w:ind w:left="0" w:firstLine="720"/>
        <w:outlineLvl w:val="0"/>
      </w:pPr>
      <w:r>
        <w:t>The Commission convened a prehearing conference in this proceeding at Olympia, Washington on September 8, 2015, before Administrative Law Judge Dennis J. Moss. PSE, Commission Staff,</w:t>
      </w:r>
      <w:r>
        <w:rPr>
          <w:rStyle w:val="FootnoteReference"/>
          <w:vertAlign w:val="superscript"/>
        </w:rPr>
        <w:footnoteReference w:id="6"/>
      </w:r>
      <w:r>
        <w:t xml:space="preserve"> Public Counsel,</w:t>
      </w:r>
      <w:r w:rsidRPr="00074BF1">
        <w:rPr>
          <w:rStyle w:val="FootnoteReference"/>
          <w:vertAlign w:val="superscript"/>
        </w:rPr>
        <w:footnoteReference w:id="7"/>
      </w:r>
      <w:r>
        <w:t xml:space="preserve"> and </w:t>
      </w:r>
      <w:proofErr w:type="spellStart"/>
      <w:r>
        <w:t>NWIGU</w:t>
      </w:r>
      <w:proofErr w:type="spellEnd"/>
      <w:r>
        <w:rPr>
          <w:rStyle w:val="FootnoteReference"/>
          <w:vertAlign w:val="superscript"/>
        </w:rPr>
        <w:footnoteReference w:id="8"/>
      </w:r>
      <w:r>
        <w:t xml:space="preserve"> made appearances. The Commission entered Order 02 and adopted a preliminary procedural schedule including technical conferences on September 18 and 21, and October 8, 2015. The parties to the proceeding agreed to reconvene in prehearing to discuss their progress on the afternoon of October 13, 2015.</w:t>
      </w:r>
    </w:p>
    <w:p w14:paraId="7B643D3F" w14:textId="77777777" w:rsidR="00241563" w:rsidRDefault="00241563" w:rsidP="00241563">
      <w:pPr>
        <w:pStyle w:val="BodyTextIndent"/>
        <w:numPr>
          <w:ilvl w:val="0"/>
          <w:numId w:val="35"/>
        </w:numPr>
        <w:tabs>
          <w:tab w:val="clear" w:pos="0"/>
          <w:tab w:val="clear" w:pos="720"/>
          <w:tab w:val="clear" w:pos="4320"/>
          <w:tab w:val="clear" w:pos="5040"/>
          <w:tab w:val="clear" w:pos="5760"/>
          <w:tab w:val="clear" w:pos="6480"/>
          <w:tab w:val="clear" w:pos="7200"/>
          <w:tab w:val="clear" w:pos="7920"/>
        </w:tabs>
        <w:ind w:left="0" w:firstLine="720"/>
        <w:outlineLvl w:val="0"/>
      </w:pPr>
      <w:r>
        <w:t xml:space="preserve">At the October 13, 2015 prehearing conference, counsel for PSE, Staff, Public Counsel, and </w:t>
      </w:r>
      <w:proofErr w:type="spellStart"/>
      <w:r>
        <w:t>NWIGU</w:t>
      </w:r>
      <w:proofErr w:type="spellEnd"/>
      <w:r>
        <w:t xml:space="preserve"> each commented favorably on the progress made during the three technical conferences and in additional communications, including discovery, during the September and early October time frame. The parties stated that they had identified and were working to resolve issues of law and policy that raise threshold questions, the resolution of which could be determinative. The parties agreed to continue seeking common ground and to either report success in this regard, or to file simultaneous briefs on November 20, 2015, stating their respective positions on these issues that do not involve contested facts.</w:t>
      </w:r>
    </w:p>
    <w:p w14:paraId="4F8E90B9" w14:textId="77777777" w:rsidR="00241563" w:rsidRDefault="00241563" w:rsidP="00241563">
      <w:pPr>
        <w:pStyle w:val="BodyTextIndent"/>
        <w:numPr>
          <w:ilvl w:val="0"/>
          <w:numId w:val="35"/>
        </w:numPr>
        <w:tabs>
          <w:tab w:val="clear" w:pos="0"/>
          <w:tab w:val="clear" w:pos="720"/>
          <w:tab w:val="clear" w:pos="4320"/>
          <w:tab w:val="clear" w:pos="5040"/>
          <w:tab w:val="clear" w:pos="5760"/>
          <w:tab w:val="clear" w:pos="6480"/>
          <w:tab w:val="clear" w:pos="7200"/>
          <w:tab w:val="clear" w:pos="7920"/>
        </w:tabs>
        <w:ind w:left="0" w:firstLine="720"/>
        <w:outlineLvl w:val="0"/>
      </w:pPr>
      <w:r>
        <w:t xml:space="preserve">The Commission entered Order 03, its second prehearing conference order, on October 15, 2015. Order 03 stated that if issues remained after November 20, 2015, that could </w:t>
      </w:r>
      <w:r>
        <w:lastRenderedPageBreak/>
        <w:t>not be resolved on stipulated facts, then the Commission would establish early dates for response and rebuttal testimony, if needed, considering a planned January 29, 2016, hearing date.</w:t>
      </w:r>
    </w:p>
    <w:p w14:paraId="2B52E632" w14:textId="77777777" w:rsidR="00241563" w:rsidRDefault="00241563" w:rsidP="00241563">
      <w:pPr>
        <w:pStyle w:val="BodyTextIndent"/>
        <w:numPr>
          <w:ilvl w:val="0"/>
          <w:numId w:val="35"/>
        </w:numPr>
        <w:tabs>
          <w:tab w:val="clear" w:pos="0"/>
          <w:tab w:val="clear" w:pos="720"/>
          <w:tab w:val="clear" w:pos="4320"/>
          <w:tab w:val="clear" w:pos="5040"/>
          <w:tab w:val="clear" w:pos="5760"/>
          <w:tab w:val="clear" w:pos="6480"/>
          <w:tab w:val="clear" w:pos="7200"/>
          <w:tab w:val="clear" w:pos="7920"/>
        </w:tabs>
        <w:ind w:left="0" w:firstLine="720"/>
        <w:outlineLvl w:val="0"/>
      </w:pPr>
      <w:r>
        <w:t xml:space="preserve">PSE, Staff, and Public Counsel, following a short continuance granted in response to a request by Public Counsel, filed briefs on November 24, 2015. </w:t>
      </w:r>
      <w:proofErr w:type="spellStart"/>
      <w:r>
        <w:t>NWIGU</w:t>
      </w:r>
      <w:proofErr w:type="spellEnd"/>
      <w:r>
        <w:t xml:space="preserve"> filed a letter with the Commission on November 23, 2015, stating the organization elected not to brief “the threshold matters identified in the Prehearing Conference Order (Order 03).”</w:t>
      </w:r>
    </w:p>
    <w:p w14:paraId="2655CF9A" w14:textId="77777777" w:rsidR="00241563" w:rsidRDefault="00241563" w:rsidP="00241563">
      <w:pPr>
        <w:pStyle w:val="BodyTextIndent"/>
        <w:numPr>
          <w:ilvl w:val="0"/>
          <w:numId w:val="35"/>
        </w:numPr>
        <w:tabs>
          <w:tab w:val="clear" w:pos="0"/>
          <w:tab w:val="clear" w:pos="720"/>
          <w:tab w:val="clear" w:pos="4320"/>
          <w:tab w:val="clear" w:pos="5040"/>
          <w:tab w:val="clear" w:pos="5760"/>
          <w:tab w:val="clear" w:pos="6480"/>
          <w:tab w:val="clear" w:pos="7200"/>
          <w:tab w:val="clear" w:pos="7920"/>
        </w:tabs>
        <w:ind w:left="0" w:firstLine="720"/>
        <w:outlineLvl w:val="0"/>
      </w:pPr>
      <w:r>
        <w:t>On December 18, 2015, the Commission entered Order 04 in this proceeding, in which the Commission determined that it has “general jurisdiction under Title 80 RCW to regulate sales of liquefied natural gas by gas companies for use as transportation fuel.” However, the Commission also determined that it lacked authority to exercise its jurisdiction over sales of liquefied natural gas by PSE to TOTE as originally proposed by PSE. The Commission also stated in Order 04 that</w:t>
      </w:r>
    </w:p>
    <w:p w14:paraId="450A0CB4" w14:textId="77777777" w:rsidR="00241563" w:rsidRDefault="00241563" w:rsidP="00241563">
      <w:pPr>
        <w:pStyle w:val="BodyTextIndent"/>
        <w:tabs>
          <w:tab w:val="clear" w:pos="0"/>
          <w:tab w:val="clear" w:pos="720"/>
          <w:tab w:val="clear" w:pos="4320"/>
          <w:tab w:val="clear" w:pos="5040"/>
          <w:tab w:val="clear" w:pos="5760"/>
          <w:tab w:val="clear" w:pos="6480"/>
          <w:tab w:val="clear" w:pos="7200"/>
          <w:tab w:val="clear" w:pos="7920"/>
        </w:tabs>
        <w:spacing w:after="280" w:line="240" w:lineRule="auto"/>
        <w:ind w:left="1440" w:right="720"/>
        <w:outlineLvl w:val="0"/>
      </w:pPr>
      <w:r>
        <w:t>[w]</w:t>
      </w:r>
      <w:proofErr w:type="spellStart"/>
      <w:r>
        <w:t>hile</w:t>
      </w:r>
      <w:proofErr w:type="spellEnd"/>
      <w:r>
        <w:t xml:space="preserve"> the structure of the business PSE proposes, as described in its Petition and accompanying submittals in this docket, is one over which we cannot lawfully assert our jurisdiction, we make that determination here provisional and will carry the question forward with the case for the time being. We accordingly will afford the parties two additional formal opportunities to explore the question of jurisdiction specifically, and the proposed project more generally, to learn whether there may be alternative business models with structures that would fall under the Commission’s jurisdiction if this is somehow critical to the success of this project. Parties may file supplemental briefs by January 15, 2016, to address this question.</w:t>
      </w:r>
      <w:r>
        <w:rPr>
          <w:rStyle w:val="FootnoteReference"/>
          <w:vertAlign w:val="superscript"/>
        </w:rPr>
        <w:footnoteReference w:id="9"/>
      </w:r>
    </w:p>
    <w:p w14:paraId="2D96335A" w14:textId="77777777" w:rsidR="00241563" w:rsidRDefault="00241563" w:rsidP="00241563">
      <w:pPr>
        <w:pStyle w:val="BodyTextIndent"/>
        <w:numPr>
          <w:ilvl w:val="0"/>
          <w:numId w:val="35"/>
        </w:numPr>
        <w:tabs>
          <w:tab w:val="clear" w:pos="0"/>
          <w:tab w:val="clear" w:pos="720"/>
          <w:tab w:val="clear" w:pos="4320"/>
          <w:tab w:val="clear" w:pos="5040"/>
          <w:tab w:val="clear" w:pos="5760"/>
          <w:tab w:val="clear" w:pos="6480"/>
          <w:tab w:val="clear" w:pos="7200"/>
          <w:tab w:val="clear" w:pos="7920"/>
        </w:tabs>
        <w:ind w:left="0" w:firstLine="720"/>
        <w:outlineLvl w:val="0"/>
      </w:pPr>
      <w:r>
        <w:t>On January 11, 2016, the Commission entered Order 05, extending the date for filing supplemental briefs from January 15, 2016 to January 29, 2015, allowing an opportunity for parties to file reply briefs on February 15, 2016, and rescheduling oral argument.</w:t>
      </w:r>
    </w:p>
    <w:p w14:paraId="763CD4FD" w14:textId="77777777" w:rsidR="00241563" w:rsidRDefault="00241563" w:rsidP="00241563">
      <w:pPr>
        <w:pStyle w:val="BodyTextIndent"/>
        <w:numPr>
          <w:ilvl w:val="0"/>
          <w:numId w:val="35"/>
        </w:numPr>
        <w:tabs>
          <w:tab w:val="clear" w:pos="0"/>
          <w:tab w:val="clear" w:pos="720"/>
          <w:tab w:val="clear" w:pos="4320"/>
          <w:tab w:val="clear" w:pos="5040"/>
          <w:tab w:val="clear" w:pos="5760"/>
          <w:tab w:val="clear" w:pos="6480"/>
          <w:tab w:val="clear" w:pos="7200"/>
          <w:tab w:val="clear" w:pos="7920"/>
        </w:tabs>
        <w:ind w:left="0" w:firstLine="720"/>
        <w:outlineLvl w:val="0"/>
      </w:pPr>
      <w:r>
        <w:lastRenderedPageBreak/>
        <w:t>On January 25, 2016, the Commission granted, in Order 06, an unopposed motion from Commission Staff to suspend the procedural schedule to allow parties additional time to engage in settlement discussions.</w:t>
      </w:r>
    </w:p>
    <w:p w14:paraId="16C3F130" w14:textId="77777777" w:rsidR="00241563" w:rsidRDefault="00241563" w:rsidP="00241563">
      <w:pPr>
        <w:pStyle w:val="BodyTextIndent"/>
        <w:numPr>
          <w:ilvl w:val="0"/>
          <w:numId w:val="35"/>
        </w:numPr>
        <w:tabs>
          <w:tab w:val="clear" w:pos="0"/>
          <w:tab w:val="clear" w:pos="720"/>
          <w:tab w:val="clear" w:pos="4320"/>
          <w:tab w:val="clear" w:pos="5040"/>
          <w:tab w:val="clear" w:pos="5760"/>
          <w:tab w:val="clear" w:pos="6480"/>
          <w:tab w:val="clear" w:pos="7200"/>
          <w:tab w:val="clear" w:pos="7920"/>
        </w:tabs>
        <w:ind w:left="0" w:firstLine="720"/>
        <w:outlineLvl w:val="0"/>
      </w:pPr>
      <w:r>
        <w:t>On March 4, 2016, PSE filed a motion requesting that the Commission establish a bifurcated proceeding to allow for review of an alternative business model PSE is proposing as contemplated by Order 04. PSE’s alternative business model would treat all sales of LNG for transportation fuel as non-jurisdictional. In the filing, PSE proposed to establish a newly formed, unregulated subsidiary of Puget Energy (PSE’s parent corporation) as the business entity that would make such sales to TOTE and others. PSE, by its motion, proposes specifically that in the first phase of the bifurcated proceeding, the parties would brief and the Commission would rule on two issues:</w:t>
      </w:r>
    </w:p>
    <w:p w14:paraId="76087AE7" w14:textId="77777777" w:rsidR="00241563" w:rsidRDefault="00241563" w:rsidP="00241563">
      <w:pPr>
        <w:pStyle w:val="BodyTextIndent"/>
        <w:tabs>
          <w:tab w:val="clear" w:pos="0"/>
          <w:tab w:val="clear" w:pos="720"/>
          <w:tab w:val="clear" w:pos="4320"/>
          <w:tab w:val="clear" w:pos="5040"/>
          <w:tab w:val="clear" w:pos="5760"/>
          <w:tab w:val="clear" w:pos="6480"/>
          <w:tab w:val="clear" w:pos="7200"/>
          <w:tab w:val="clear" w:pos="7920"/>
        </w:tabs>
        <w:spacing w:after="280" w:line="240" w:lineRule="auto"/>
        <w:ind w:left="2160" w:right="720" w:hanging="720"/>
        <w:outlineLvl w:val="0"/>
      </w:pPr>
      <w:r>
        <w:rPr>
          <w:rFonts w:ascii="Symbol" w:hAnsi="Symbol"/>
        </w:rPr>
        <w:sym w:font="Symbol" w:char="F0B7"/>
      </w:r>
      <w:r>
        <w:tab/>
        <w:t>Whether the Commission would provide an exemption to Merger Commitment 56 in Docket U-072375 that would allow Puget Energy to own and operate both PSE and Puget LNG.</w:t>
      </w:r>
    </w:p>
    <w:p w14:paraId="3E5FE029" w14:textId="77777777" w:rsidR="00241563" w:rsidRDefault="00241563" w:rsidP="00241563">
      <w:pPr>
        <w:pStyle w:val="BodyTextIndent"/>
        <w:tabs>
          <w:tab w:val="clear" w:pos="0"/>
          <w:tab w:val="clear" w:pos="720"/>
          <w:tab w:val="clear" w:pos="4320"/>
          <w:tab w:val="clear" w:pos="5040"/>
          <w:tab w:val="clear" w:pos="5760"/>
          <w:tab w:val="clear" w:pos="6480"/>
          <w:tab w:val="clear" w:pos="7200"/>
          <w:tab w:val="clear" w:pos="7920"/>
        </w:tabs>
        <w:spacing w:after="280" w:line="240" w:lineRule="auto"/>
        <w:ind w:left="2160" w:right="720" w:hanging="720"/>
        <w:outlineLvl w:val="0"/>
      </w:pPr>
      <w:r>
        <w:rPr>
          <w:rFonts w:ascii="Symbol" w:hAnsi="Symbol"/>
        </w:rPr>
        <w:sym w:font="Symbol" w:char="F0B7"/>
      </w:r>
      <w:r>
        <w:tab/>
        <w:t xml:space="preserve">Whether the Commission would authorize an equal sharing of the projected portfolio benefits associated with the Tacoma LNG Facility between PSE investors and PSE natural gas sales customers for consideration in this proceeding. </w:t>
      </w:r>
    </w:p>
    <w:p w14:paraId="7F27627A" w14:textId="77777777" w:rsidR="00241563" w:rsidRDefault="00241563" w:rsidP="00241563">
      <w:pPr>
        <w:pStyle w:val="BodyTextIndent"/>
        <w:tabs>
          <w:tab w:val="clear" w:pos="0"/>
          <w:tab w:val="clear" w:pos="720"/>
          <w:tab w:val="clear" w:pos="4320"/>
          <w:tab w:val="clear" w:pos="5040"/>
          <w:tab w:val="clear" w:pos="5760"/>
          <w:tab w:val="clear" w:pos="6480"/>
          <w:tab w:val="clear" w:pos="7200"/>
          <w:tab w:val="clear" w:pos="7920"/>
        </w:tabs>
        <w:ind w:left="86"/>
        <w:outlineLvl w:val="0"/>
      </w:pPr>
      <w:r>
        <w:t>PSE described these issues as “foundational” and believed they present only policy questions for the Commission, thus requiring no extensive factual investigation prior to a decision.</w:t>
      </w:r>
    </w:p>
    <w:p w14:paraId="24F9DD81" w14:textId="77777777" w:rsidR="00241563" w:rsidRDefault="00241563" w:rsidP="00241563">
      <w:pPr>
        <w:pStyle w:val="BodyTextIndent"/>
        <w:numPr>
          <w:ilvl w:val="0"/>
          <w:numId w:val="35"/>
        </w:numPr>
        <w:tabs>
          <w:tab w:val="clear" w:pos="0"/>
          <w:tab w:val="clear" w:pos="720"/>
          <w:tab w:val="clear" w:pos="4320"/>
          <w:tab w:val="clear" w:pos="5040"/>
          <w:tab w:val="clear" w:pos="5760"/>
          <w:tab w:val="clear" w:pos="6480"/>
          <w:tab w:val="clear" w:pos="7200"/>
          <w:tab w:val="clear" w:pos="7920"/>
        </w:tabs>
        <w:ind w:left="0" w:firstLine="720"/>
        <w:outlineLvl w:val="0"/>
      </w:pPr>
      <w:r>
        <w:t>On March 29, 2016, the Commission entered Order 07 in this proceeding. Order 07 established a bifurcated process for considering certain “threshold” issues in phase one, with other issues to be determined in a subsequent phase two, if necessary. Order 07 established dates for initial and response briefs to be filed, and for oral argument, in phase one.</w:t>
      </w:r>
    </w:p>
    <w:p w14:paraId="20B36905" w14:textId="77777777" w:rsidR="00241563" w:rsidRDefault="00241563" w:rsidP="00241563">
      <w:pPr>
        <w:pStyle w:val="BodyTextIndent"/>
        <w:numPr>
          <w:ilvl w:val="0"/>
          <w:numId w:val="35"/>
        </w:numPr>
        <w:tabs>
          <w:tab w:val="clear" w:pos="0"/>
          <w:tab w:val="clear" w:pos="720"/>
          <w:tab w:val="clear" w:pos="4320"/>
          <w:tab w:val="clear" w:pos="5040"/>
          <w:tab w:val="clear" w:pos="5760"/>
          <w:tab w:val="clear" w:pos="6480"/>
          <w:tab w:val="clear" w:pos="7200"/>
          <w:tab w:val="clear" w:pos="7920"/>
        </w:tabs>
        <w:ind w:left="0" w:firstLine="720"/>
        <w:outlineLvl w:val="0"/>
      </w:pPr>
      <w:r>
        <w:t>On April 15, 2016, PSE filed its initial brief in phase one of the bifurcated proceeding.</w:t>
      </w:r>
    </w:p>
    <w:p w14:paraId="1DD09F6A" w14:textId="77777777" w:rsidR="00241563" w:rsidRDefault="00241563" w:rsidP="00241563">
      <w:pPr>
        <w:pStyle w:val="BodyTextIndent"/>
        <w:numPr>
          <w:ilvl w:val="0"/>
          <w:numId w:val="35"/>
        </w:numPr>
        <w:tabs>
          <w:tab w:val="clear" w:pos="0"/>
          <w:tab w:val="clear" w:pos="720"/>
          <w:tab w:val="clear" w:pos="4320"/>
          <w:tab w:val="clear" w:pos="5040"/>
          <w:tab w:val="clear" w:pos="5760"/>
          <w:tab w:val="clear" w:pos="6480"/>
          <w:tab w:val="clear" w:pos="7200"/>
          <w:tab w:val="clear" w:pos="7920"/>
        </w:tabs>
        <w:ind w:left="0" w:firstLine="720"/>
        <w:outlineLvl w:val="0"/>
      </w:pPr>
      <w:r>
        <w:lastRenderedPageBreak/>
        <w:t>On May 9, 2016, Public Counsel filed a M</w:t>
      </w:r>
      <w:r w:rsidRPr="005D5F47">
        <w:t xml:space="preserve">otion for </w:t>
      </w:r>
      <w:r>
        <w:t>E</w:t>
      </w:r>
      <w:r w:rsidRPr="005D5F47">
        <w:t xml:space="preserve">xtension of </w:t>
      </w:r>
      <w:r>
        <w:t>T</w:t>
      </w:r>
      <w:r w:rsidRPr="005D5F47">
        <w:t>ime</w:t>
      </w:r>
      <w:r>
        <w:t>, in which Public Counsel requested a brief extension of time for parties to file their phase one response briefs to PSE’s phase one brief filed on April 15, 2016. Public Counsel asked that the deadline for response briefs be extended from May 16 to May 18, 2016. No party objected to Public Counsel’s proposal.</w:t>
      </w:r>
    </w:p>
    <w:p w14:paraId="67805AA1" w14:textId="77777777" w:rsidR="00241563" w:rsidRDefault="00241563" w:rsidP="00241563">
      <w:pPr>
        <w:pStyle w:val="BodyTextIndent"/>
        <w:numPr>
          <w:ilvl w:val="0"/>
          <w:numId w:val="35"/>
        </w:numPr>
        <w:tabs>
          <w:tab w:val="clear" w:pos="0"/>
          <w:tab w:val="clear" w:pos="720"/>
          <w:tab w:val="clear" w:pos="4320"/>
          <w:tab w:val="clear" w:pos="5040"/>
          <w:tab w:val="clear" w:pos="5760"/>
          <w:tab w:val="clear" w:pos="6480"/>
          <w:tab w:val="clear" w:pos="7200"/>
          <w:tab w:val="clear" w:pos="7920"/>
        </w:tabs>
        <w:ind w:left="0" w:firstLine="720"/>
        <w:outlineLvl w:val="0"/>
      </w:pPr>
      <w:r>
        <w:t>Also on May 9, 2016, the Commission entered Order 08, granting Public Counsel’s M</w:t>
      </w:r>
      <w:r w:rsidRPr="005D5F47">
        <w:t xml:space="preserve">otion for </w:t>
      </w:r>
      <w:r>
        <w:t>E</w:t>
      </w:r>
      <w:r w:rsidRPr="005D5F47">
        <w:t xml:space="preserve">xtension of </w:t>
      </w:r>
      <w:r>
        <w:t>T</w:t>
      </w:r>
      <w:r w:rsidRPr="005D5F47">
        <w:t>ime</w:t>
      </w:r>
      <w:r>
        <w:t xml:space="preserve"> filed on May 9, 2016.</w:t>
      </w:r>
    </w:p>
    <w:p w14:paraId="4221CA60" w14:textId="77777777" w:rsidR="00241563" w:rsidRDefault="00241563" w:rsidP="00241563">
      <w:pPr>
        <w:pStyle w:val="BodyTextIndent"/>
        <w:numPr>
          <w:ilvl w:val="0"/>
          <w:numId w:val="35"/>
        </w:numPr>
        <w:tabs>
          <w:tab w:val="clear" w:pos="0"/>
          <w:tab w:val="clear" w:pos="720"/>
          <w:tab w:val="clear" w:pos="4320"/>
          <w:tab w:val="clear" w:pos="5040"/>
          <w:tab w:val="clear" w:pos="5760"/>
          <w:tab w:val="clear" w:pos="6480"/>
          <w:tab w:val="clear" w:pos="7200"/>
          <w:tab w:val="clear" w:pos="7920"/>
        </w:tabs>
        <w:ind w:left="0" w:firstLine="720"/>
        <w:outlineLvl w:val="0"/>
      </w:pPr>
      <w:r>
        <w:t xml:space="preserve">On May 18, 2016, Commission Staff, Public Counsel, </w:t>
      </w:r>
      <w:proofErr w:type="spellStart"/>
      <w:r>
        <w:t>NWIGU</w:t>
      </w:r>
      <w:proofErr w:type="spellEnd"/>
      <w:r>
        <w:t>, and ICNU</w:t>
      </w:r>
      <w:r>
        <w:rPr>
          <w:rStyle w:val="FootnoteReference"/>
          <w:vertAlign w:val="superscript"/>
        </w:rPr>
        <w:footnoteReference w:id="10"/>
      </w:r>
      <w:r>
        <w:t xml:space="preserve"> filed response briefs in the proceeding.</w:t>
      </w:r>
    </w:p>
    <w:p w14:paraId="255D9054" w14:textId="50539063" w:rsidR="00241563" w:rsidRDefault="00241563" w:rsidP="00241563">
      <w:pPr>
        <w:pStyle w:val="BodyTextIndent"/>
        <w:numPr>
          <w:ilvl w:val="0"/>
          <w:numId w:val="35"/>
        </w:numPr>
        <w:tabs>
          <w:tab w:val="clear" w:pos="0"/>
          <w:tab w:val="clear" w:pos="720"/>
          <w:tab w:val="clear" w:pos="4320"/>
          <w:tab w:val="clear" w:pos="5040"/>
          <w:tab w:val="clear" w:pos="5760"/>
          <w:tab w:val="clear" w:pos="6480"/>
          <w:tab w:val="clear" w:pos="7200"/>
          <w:tab w:val="clear" w:pos="7920"/>
        </w:tabs>
        <w:ind w:left="0" w:firstLine="720"/>
        <w:outlineLvl w:val="0"/>
      </w:pPr>
      <w:r>
        <w:t xml:space="preserve">On May 29, 2016, the Commission conducted a hearing to hear argument on the briefs submitted by PSE on April 15, 2015, and submitted by each of Commission Staff, Public Counsel, </w:t>
      </w:r>
      <w:proofErr w:type="spellStart"/>
      <w:r>
        <w:t>NWIGU</w:t>
      </w:r>
      <w:proofErr w:type="spellEnd"/>
      <w:r>
        <w:t xml:space="preserve">, and ICNU on May 18, 2016. At the hearing, PSE proposed to set aside a two-month period during which the parties could participate in mediated negotiations in an effort to develop parameters for the Tacoma LNG </w:t>
      </w:r>
      <w:r w:rsidR="00085CDB">
        <w:t>Facility</w:t>
      </w:r>
      <w:r>
        <w:t xml:space="preserve"> that would be acceptable to all parties and the Commission. The Commission determined that it would be appropriate to provide a two month window of opportunity for the process to take place. The Commission further determined that “absent success, or at least very significant progress toward success, during the two month period, it should establish such process and procedural schedule as necessary to bring this proceeding to a timely conclusion.”</w:t>
      </w:r>
    </w:p>
    <w:p w14:paraId="180964CD" w14:textId="5BFCF5A6" w:rsidR="00241563" w:rsidRDefault="00241563">
      <w:pPr>
        <w:widowControl/>
        <w:rPr>
          <w:b/>
        </w:rPr>
      </w:pPr>
    </w:p>
    <w:p w14:paraId="327736A5" w14:textId="77777777" w:rsidR="00220B55" w:rsidRDefault="00220B55" w:rsidP="00E82C29">
      <w:pPr>
        <w:pStyle w:val="BodyTextIndent"/>
        <w:keepNext/>
        <w:keepLines/>
        <w:tabs>
          <w:tab w:val="clear" w:pos="0"/>
          <w:tab w:val="clear" w:pos="720"/>
          <w:tab w:val="clear" w:pos="4320"/>
          <w:tab w:val="clear" w:pos="5040"/>
          <w:tab w:val="clear" w:pos="5760"/>
          <w:tab w:val="clear" w:pos="6480"/>
          <w:tab w:val="clear" w:pos="7200"/>
          <w:tab w:val="clear" w:pos="7920"/>
        </w:tabs>
        <w:spacing w:after="280" w:line="240" w:lineRule="auto"/>
        <w:jc w:val="center"/>
        <w:outlineLvl w:val="0"/>
        <w:rPr>
          <w:b/>
        </w:rPr>
        <w:sectPr w:rsidR="00220B55" w:rsidSect="00220B55">
          <w:footerReference w:type="default" r:id="rId18"/>
          <w:footerReference w:type="first" r:id="rId19"/>
          <w:pgSz w:w="12240" w:h="15840"/>
          <w:pgMar w:top="1440" w:right="1440" w:bottom="1440" w:left="1440" w:header="720" w:footer="720" w:gutter="0"/>
          <w:pgNumType w:start="1"/>
          <w:cols w:space="720"/>
          <w:titlePg/>
          <w:docGrid w:linePitch="360"/>
        </w:sectPr>
      </w:pPr>
    </w:p>
    <w:p w14:paraId="227818E8" w14:textId="5983CDB8" w:rsidR="00220B55" w:rsidRDefault="00220B55" w:rsidP="00220B55">
      <w:pPr>
        <w:pStyle w:val="BodyTextIndent"/>
        <w:keepNext/>
        <w:keepLines/>
        <w:tabs>
          <w:tab w:val="clear" w:pos="0"/>
          <w:tab w:val="clear" w:pos="720"/>
          <w:tab w:val="clear" w:pos="4320"/>
          <w:tab w:val="clear" w:pos="5040"/>
          <w:tab w:val="clear" w:pos="5760"/>
          <w:tab w:val="clear" w:pos="6480"/>
          <w:tab w:val="clear" w:pos="7200"/>
          <w:tab w:val="clear" w:pos="7920"/>
        </w:tabs>
        <w:spacing w:after="600" w:line="240" w:lineRule="auto"/>
        <w:jc w:val="center"/>
        <w:outlineLvl w:val="0"/>
        <w:rPr>
          <w:b/>
        </w:rPr>
        <w:sectPr w:rsidR="00220B55" w:rsidSect="004353C1">
          <w:headerReference w:type="default" r:id="rId20"/>
          <w:footerReference w:type="default" r:id="rId21"/>
          <w:headerReference w:type="first" r:id="rId22"/>
          <w:footerReference w:type="first" r:id="rId23"/>
          <w:pgSz w:w="12240" w:h="15840" w:code="1"/>
          <w:pgMar w:top="1440" w:right="1440" w:bottom="1440" w:left="1440" w:header="720" w:footer="720" w:gutter="0"/>
          <w:cols w:space="720"/>
          <w:vAlign w:val="center"/>
          <w:titlePg/>
          <w:docGrid w:linePitch="360"/>
        </w:sectPr>
      </w:pPr>
      <w:r>
        <w:rPr>
          <w:b/>
        </w:rPr>
        <w:lastRenderedPageBreak/>
        <w:t xml:space="preserve">ATTACHMENT B TO THE </w:t>
      </w:r>
      <w:r>
        <w:rPr>
          <w:b/>
        </w:rPr>
        <w:br/>
      </w:r>
      <w:r w:rsidRPr="004353C1">
        <w:rPr>
          <w:b/>
        </w:rPr>
        <w:t>FULL SETTLEMENT STIPULATION</w:t>
      </w:r>
    </w:p>
    <w:p w14:paraId="1ACCFF33" w14:textId="4921D863" w:rsidR="00E82C29" w:rsidRDefault="00E82C29" w:rsidP="00E82C29">
      <w:pPr>
        <w:pStyle w:val="BodyTextIndent"/>
        <w:keepNext/>
        <w:keepLines/>
        <w:tabs>
          <w:tab w:val="clear" w:pos="0"/>
          <w:tab w:val="clear" w:pos="720"/>
          <w:tab w:val="clear" w:pos="4320"/>
          <w:tab w:val="clear" w:pos="5040"/>
          <w:tab w:val="clear" w:pos="5760"/>
          <w:tab w:val="clear" w:pos="6480"/>
          <w:tab w:val="clear" w:pos="7200"/>
          <w:tab w:val="clear" w:pos="7920"/>
        </w:tabs>
        <w:spacing w:after="280" w:line="240" w:lineRule="auto"/>
        <w:jc w:val="center"/>
        <w:outlineLvl w:val="0"/>
        <w:rPr>
          <w:b/>
        </w:rPr>
      </w:pPr>
      <w:r w:rsidRPr="00786161">
        <w:rPr>
          <w:b/>
        </w:rPr>
        <w:lastRenderedPageBreak/>
        <w:t xml:space="preserve">ATTACHMENT </w:t>
      </w:r>
      <w:r w:rsidR="00241563">
        <w:rPr>
          <w:b/>
        </w:rPr>
        <w:t>B</w:t>
      </w:r>
      <w:r>
        <w:rPr>
          <w:b/>
        </w:rPr>
        <w:br/>
        <w:t>Joint Ownership Agreement Term Sheet</w:t>
      </w:r>
    </w:p>
    <w:p w14:paraId="4566FA41" w14:textId="77777777" w:rsidR="00E82C29" w:rsidRPr="00293DC5" w:rsidRDefault="00E82C29" w:rsidP="00E82C29">
      <w:pPr>
        <w:keepNext/>
        <w:widowControl/>
        <w:spacing w:after="240"/>
        <w:contextualSpacing/>
        <w:jc w:val="center"/>
        <w:rPr>
          <w:rFonts w:eastAsia="SimHei"/>
          <w:b/>
          <w:szCs w:val="52"/>
        </w:rPr>
      </w:pPr>
      <w:r w:rsidRPr="00293DC5">
        <w:rPr>
          <w:rFonts w:eastAsia="SimHei"/>
          <w:b/>
          <w:szCs w:val="52"/>
        </w:rPr>
        <w:t>Term Sheet for Joint Ownership Agreement (“</w:t>
      </w:r>
      <w:proofErr w:type="spellStart"/>
      <w:r w:rsidRPr="00293DC5">
        <w:rPr>
          <w:rFonts w:eastAsia="SimHei"/>
          <w:b/>
          <w:szCs w:val="52"/>
        </w:rPr>
        <w:t>JOA</w:t>
      </w:r>
      <w:proofErr w:type="spellEnd"/>
      <w:r w:rsidRPr="00293DC5">
        <w:rPr>
          <w:rFonts w:eastAsia="SimHei"/>
          <w:b/>
          <w:szCs w:val="52"/>
        </w:rPr>
        <w:t xml:space="preserve">”) re </w:t>
      </w:r>
      <w:r w:rsidRPr="00293DC5">
        <w:rPr>
          <w:rFonts w:eastAsia="SimHei"/>
          <w:b/>
          <w:szCs w:val="52"/>
        </w:rPr>
        <w:br/>
        <w:t xml:space="preserve">Tacoma LNG Project </w:t>
      </w:r>
    </w:p>
    <w:p w14:paraId="1A9B6855" w14:textId="77777777" w:rsidR="00E82C29" w:rsidRPr="00293DC5" w:rsidRDefault="00E82C29" w:rsidP="00E82C29">
      <w:pPr>
        <w:widowControl/>
        <w:jc w:val="both"/>
        <w:rPr>
          <w:szCs w:val="24"/>
        </w:rPr>
      </w:pPr>
    </w:p>
    <w:tbl>
      <w:tblPr>
        <w:tblStyle w:val="TableGrid1"/>
        <w:tblW w:w="0" w:type="auto"/>
        <w:tblBorders>
          <w:top w:val="nil"/>
          <w:left w:val="nil"/>
          <w:bottom w:val="nil"/>
          <w:right w:val="nil"/>
          <w:insideH w:val="nil"/>
          <w:insideV w:val="nil"/>
        </w:tblBorders>
        <w:tblCellMar>
          <w:top w:w="115" w:type="dxa"/>
          <w:left w:w="115" w:type="dxa"/>
          <w:bottom w:w="115" w:type="dxa"/>
          <w:right w:w="115" w:type="dxa"/>
        </w:tblCellMar>
        <w:tblLook w:val="04A0" w:firstRow="1" w:lastRow="0" w:firstColumn="1" w:lastColumn="0" w:noHBand="0" w:noVBand="1"/>
      </w:tblPr>
      <w:tblGrid>
        <w:gridCol w:w="2718"/>
        <w:gridCol w:w="6840"/>
      </w:tblGrid>
      <w:tr w:rsidR="00A93B4E" w14:paraId="6EBC37D2" w14:textId="77777777" w:rsidTr="00E82C29">
        <w:tc>
          <w:tcPr>
            <w:tcW w:w="2718" w:type="dxa"/>
          </w:tcPr>
          <w:p w14:paraId="56FE3AC0" w14:textId="77777777" w:rsidR="00E82C29" w:rsidRPr="00293DC5" w:rsidRDefault="00E82C29" w:rsidP="00E82C29">
            <w:pPr>
              <w:widowControl/>
              <w:rPr>
                <w:b/>
                <w:bCs/>
                <w:szCs w:val="24"/>
              </w:rPr>
            </w:pPr>
            <w:r w:rsidRPr="00293DC5">
              <w:rPr>
                <w:b/>
                <w:bCs/>
                <w:szCs w:val="24"/>
              </w:rPr>
              <w:t>Parties</w:t>
            </w:r>
          </w:p>
        </w:tc>
        <w:tc>
          <w:tcPr>
            <w:tcW w:w="6840" w:type="dxa"/>
          </w:tcPr>
          <w:p w14:paraId="7220C897" w14:textId="77777777" w:rsidR="00E82C29" w:rsidRPr="00293DC5" w:rsidRDefault="00E82C29" w:rsidP="00E82C29">
            <w:pPr>
              <w:widowControl/>
              <w:jc w:val="both"/>
              <w:rPr>
                <w:szCs w:val="24"/>
              </w:rPr>
            </w:pPr>
            <w:r w:rsidRPr="00293DC5">
              <w:rPr>
                <w:szCs w:val="24"/>
              </w:rPr>
              <w:t>Puget Sound Energy, Inc., a Washington corporation (“</w:t>
            </w:r>
            <w:r w:rsidRPr="00293DC5">
              <w:rPr>
                <w:b/>
                <w:bCs/>
                <w:szCs w:val="24"/>
              </w:rPr>
              <w:t>PSE</w:t>
            </w:r>
            <w:r w:rsidRPr="00293DC5">
              <w:rPr>
                <w:szCs w:val="24"/>
              </w:rPr>
              <w:t>”) and Puget LNG, LLC, a to-be-formed Washington limited liability company (“</w:t>
            </w:r>
            <w:r w:rsidRPr="00293DC5">
              <w:rPr>
                <w:b/>
                <w:bCs/>
                <w:szCs w:val="24"/>
              </w:rPr>
              <w:t>Puget LNG</w:t>
            </w:r>
            <w:r w:rsidRPr="00293DC5">
              <w:rPr>
                <w:szCs w:val="24"/>
              </w:rPr>
              <w:t>”).</w:t>
            </w:r>
            <w:r>
              <w:rPr>
                <w:szCs w:val="24"/>
              </w:rPr>
              <w:t xml:space="preserve"> </w:t>
            </w:r>
            <w:r w:rsidRPr="00293DC5">
              <w:rPr>
                <w:szCs w:val="24"/>
              </w:rPr>
              <w:t>Each of PSE and Puget LNG is individually referred to herein as a “</w:t>
            </w:r>
            <w:r w:rsidRPr="00293DC5">
              <w:rPr>
                <w:b/>
                <w:bCs/>
                <w:szCs w:val="24"/>
              </w:rPr>
              <w:t>Party</w:t>
            </w:r>
            <w:r w:rsidRPr="00293DC5">
              <w:rPr>
                <w:szCs w:val="24"/>
              </w:rPr>
              <w:t>” and collectively are referred to herein as the “</w:t>
            </w:r>
            <w:r w:rsidRPr="00293DC5">
              <w:rPr>
                <w:b/>
                <w:bCs/>
                <w:szCs w:val="24"/>
              </w:rPr>
              <w:t>Parties</w:t>
            </w:r>
            <w:r w:rsidRPr="00293DC5">
              <w:rPr>
                <w:szCs w:val="24"/>
              </w:rPr>
              <w:t>.”</w:t>
            </w:r>
          </w:p>
        </w:tc>
      </w:tr>
      <w:tr w:rsidR="00A93B4E" w14:paraId="7C049C04" w14:textId="77777777" w:rsidTr="00E82C29">
        <w:tc>
          <w:tcPr>
            <w:tcW w:w="2718" w:type="dxa"/>
          </w:tcPr>
          <w:p w14:paraId="45B673F1" w14:textId="77777777" w:rsidR="00E82C29" w:rsidRPr="00293DC5" w:rsidRDefault="00E82C29" w:rsidP="00E82C29">
            <w:pPr>
              <w:widowControl/>
              <w:rPr>
                <w:b/>
                <w:bCs/>
                <w:szCs w:val="24"/>
              </w:rPr>
            </w:pPr>
            <w:r w:rsidRPr="00293DC5">
              <w:rPr>
                <w:b/>
                <w:bCs/>
                <w:szCs w:val="24"/>
              </w:rPr>
              <w:t>Project</w:t>
            </w:r>
          </w:p>
        </w:tc>
        <w:tc>
          <w:tcPr>
            <w:tcW w:w="6840" w:type="dxa"/>
          </w:tcPr>
          <w:p w14:paraId="038AB9C0" w14:textId="77777777" w:rsidR="00E82C29" w:rsidRPr="00293DC5" w:rsidRDefault="00E82C29" w:rsidP="00E82C29">
            <w:pPr>
              <w:widowControl/>
              <w:jc w:val="both"/>
              <w:rPr>
                <w:szCs w:val="24"/>
              </w:rPr>
            </w:pPr>
            <w:r w:rsidRPr="00293DC5">
              <w:rPr>
                <w:szCs w:val="24"/>
              </w:rPr>
              <w:t>The liquefied natural gas (“</w:t>
            </w:r>
            <w:r w:rsidRPr="00293DC5">
              <w:rPr>
                <w:b/>
                <w:bCs/>
                <w:szCs w:val="24"/>
              </w:rPr>
              <w:t>LNG</w:t>
            </w:r>
            <w:r w:rsidRPr="00293DC5">
              <w:rPr>
                <w:szCs w:val="24"/>
              </w:rPr>
              <w:t>”) liquefaction and fueling terminal under development by PSE at the Port of Tacoma, Washington (the “</w:t>
            </w:r>
            <w:r w:rsidRPr="00293DC5">
              <w:rPr>
                <w:b/>
                <w:bCs/>
                <w:szCs w:val="24"/>
              </w:rPr>
              <w:t>Tacoma LNG Project</w:t>
            </w:r>
            <w:r w:rsidRPr="00293DC5">
              <w:rPr>
                <w:szCs w:val="24"/>
              </w:rPr>
              <w:t>”).</w:t>
            </w:r>
          </w:p>
        </w:tc>
      </w:tr>
      <w:tr w:rsidR="00A93B4E" w14:paraId="1AC2B155" w14:textId="77777777" w:rsidTr="00E82C29">
        <w:tc>
          <w:tcPr>
            <w:tcW w:w="2718" w:type="dxa"/>
          </w:tcPr>
          <w:p w14:paraId="57E2382B" w14:textId="77777777" w:rsidR="00E82C29" w:rsidRPr="00293DC5" w:rsidRDefault="00E82C29" w:rsidP="00E82C29">
            <w:pPr>
              <w:widowControl/>
              <w:rPr>
                <w:b/>
                <w:bCs/>
                <w:szCs w:val="24"/>
              </w:rPr>
            </w:pPr>
            <w:r w:rsidRPr="00293DC5">
              <w:rPr>
                <w:b/>
                <w:bCs/>
                <w:szCs w:val="24"/>
              </w:rPr>
              <w:t>Structure</w:t>
            </w:r>
          </w:p>
        </w:tc>
        <w:tc>
          <w:tcPr>
            <w:tcW w:w="6840" w:type="dxa"/>
          </w:tcPr>
          <w:p w14:paraId="1C91A70F" w14:textId="77777777" w:rsidR="00E82C29" w:rsidRPr="00293DC5" w:rsidRDefault="00E82C29" w:rsidP="00E82C29">
            <w:pPr>
              <w:widowControl/>
              <w:jc w:val="both"/>
              <w:rPr>
                <w:szCs w:val="24"/>
              </w:rPr>
            </w:pPr>
            <w:r w:rsidRPr="00293DC5">
              <w:rPr>
                <w:szCs w:val="24"/>
              </w:rPr>
              <w:t>The ownership of the Tacoma LNG Project will be structured as a co-tenancy pursuant to which each of PSE and Puget LNG would hold an undivided interest as a tenant in common in the assets comprising the Tacoma LNG Project.</w:t>
            </w:r>
            <w:r>
              <w:rPr>
                <w:szCs w:val="24"/>
              </w:rPr>
              <w:t xml:space="preserve"> </w:t>
            </w:r>
            <w:r w:rsidRPr="00293DC5">
              <w:rPr>
                <w:szCs w:val="24"/>
              </w:rPr>
              <w:t>PSE would utilize its portion of the Tacoma LNG Project for regulated purposes (i.e., peak shaving), whereas Puget LNG would utilize its portion of the Tacoma LNG Project for unregulated sales of LNG, including sales to Totem Ocean Trailer Express, Inc. (“</w:t>
            </w:r>
            <w:r w:rsidRPr="00293DC5">
              <w:rPr>
                <w:b/>
                <w:bCs/>
                <w:szCs w:val="24"/>
              </w:rPr>
              <w:t>TOTE</w:t>
            </w:r>
            <w:r w:rsidRPr="00293DC5">
              <w:rPr>
                <w:szCs w:val="24"/>
              </w:rPr>
              <w:t>”) pursuant to that certain LNG Fuel Supply Agreement, dated October 27, 2014 (the “</w:t>
            </w:r>
            <w:r w:rsidRPr="00293DC5">
              <w:rPr>
                <w:b/>
                <w:bCs/>
                <w:szCs w:val="24"/>
              </w:rPr>
              <w:t>TOTE FSA</w:t>
            </w:r>
            <w:r w:rsidRPr="00293DC5">
              <w:rPr>
                <w:szCs w:val="24"/>
              </w:rPr>
              <w:t>”), between TOTE and PSE.</w:t>
            </w:r>
            <w:r>
              <w:rPr>
                <w:szCs w:val="24"/>
              </w:rPr>
              <w:t xml:space="preserve"> </w:t>
            </w:r>
            <w:r w:rsidRPr="00293DC5">
              <w:rPr>
                <w:szCs w:val="24"/>
              </w:rPr>
              <w:t xml:space="preserve">The </w:t>
            </w:r>
            <w:proofErr w:type="spellStart"/>
            <w:r w:rsidRPr="00293DC5">
              <w:rPr>
                <w:szCs w:val="24"/>
              </w:rPr>
              <w:t>JOA</w:t>
            </w:r>
            <w:proofErr w:type="spellEnd"/>
            <w:r w:rsidRPr="00293DC5">
              <w:rPr>
                <w:szCs w:val="24"/>
              </w:rPr>
              <w:t xml:space="preserve"> will establish the governance of, and the Parties rights and obligations with respect to, such co-tenancy.</w:t>
            </w:r>
          </w:p>
        </w:tc>
      </w:tr>
      <w:tr w:rsidR="00A93B4E" w14:paraId="03E79DC0" w14:textId="77777777" w:rsidTr="00E82C29">
        <w:tc>
          <w:tcPr>
            <w:tcW w:w="2718" w:type="dxa"/>
          </w:tcPr>
          <w:p w14:paraId="3A19DD46" w14:textId="77777777" w:rsidR="00E82C29" w:rsidRPr="00293DC5" w:rsidRDefault="00E82C29" w:rsidP="00E82C29">
            <w:pPr>
              <w:widowControl/>
              <w:rPr>
                <w:b/>
                <w:bCs/>
                <w:szCs w:val="24"/>
              </w:rPr>
            </w:pPr>
            <w:r w:rsidRPr="00293DC5">
              <w:rPr>
                <w:b/>
                <w:bCs/>
                <w:szCs w:val="24"/>
              </w:rPr>
              <w:t>Ownership Interest</w:t>
            </w:r>
          </w:p>
        </w:tc>
        <w:tc>
          <w:tcPr>
            <w:tcW w:w="6840" w:type="dxa"/>
          </w:tcPr>
          <w:p w14:paraId="0D4AA6A4" w14:textId="77777777" w:rsidR="00E82C29" w:rsidRPr="00293DC5" w:rsidRDefault="00E82C29" w:rsidP="00E82C29">
            <w:pPr>
              <w:widowControl/>
              <w:jc w:val="both"/>
              <w:rPr>
                <w:szCs w:val="24"/>
              </w:rPr>
            </w:pPr>
            <w:r w:rsidRPr="00293DC5">
              <w:rPr>
                <w:szCs w:val="24"/>
              </w:rPr>
              <w:t>Each Party’s ownership interest in the Tacoma LNG Project is expected to be determined as part of a mediated settlement agreement among the parties to PSE’s current regulatory process for the Tacoma LNG Process.</w:t>
            </w:r>
            <w:r>
              <w:rPr>
                <w:szCs w:val="24"/>
              </w:rPr>
              <w:t xml:space="preserve"> </w:t>
            </w:r>
            <w:r w:rsidRPr="00293DC5">
              <w:rPr>
                <w:szCs w:val="24"/>
              </w:rPr>
              <w:t xml:space="preserve">Such ownership interests will be determined based upon allocated portions of the closing costs (less </w:t>
            </w:r>
            <w:proofErr w:type="spellStart"/>
            <w:r w:rsidRPr="00293DC5">
              <w:rPr>
                <w:szCs w:val="24"/>
              </w:rPr>
              <w:t>AFUDC</w:t>
            </w:r>
            <w:proofErr w:type="spellEnd"/>
            <w:r w:rsidRPr="00293DC5">
              <w:rPr>
                <w:szCs w:val="24"/>
              </w:rPr>
              <w:t>) associated with each party’s intended use of components of the Tacoma LNG Facility, all as further detailed on Appendix A hereto, which provides a more detailed breakdown showing the estimated allocations of capital costs.</w:t>
            </w:r>
          </w:p>
        </w:tc>
      </w:tr>
      <w:tr w:rsidR="00A93B4E" w14:paraId="57446C65" w14:textId="77777777" w:rsidTr="00E82C29">
        <w:tc>
          <w:tcPr>
            <w:tcW w:w="2718" w:type="dxa"/>
          </w:tcPr>
          <w:p w14:paraId="679B7CC1" w14:textId="77777777" w:rsidR="00E82C29" w:rsidRPr="00293DC5" w:rsidRDefault="00E82C29" w:rsidP="00E82C29">
            <w:pPr>
              <w:widowControl/>
              <w:rPr>
                <w:b/>
                <w:bCs/>
                <w:szCs w:val="24"/>
              </w:rPr>
            </w:pPr>
            <w:r w:rsidRPr="00293DC5">
              <w:rPr>
                <w:b/>
                <w:bCs/>
                <w:szCs w:val="24"/>
              </w:rPr>
              <w:t>Development and Capital Costs and Expenses</w:t>
            </w:r>
          </w:p>
        </w:tc>
        <w:tc>
          <w:tcPr>
            <w:tcW w:w="6840" w:type="dxa"/>
          </w:tcPr>
          <w:p w14:paraId="530DE62F" w14:textId="77777777" w:rsidR="00E82C29" w:rsidRPr="00293DC5" w:rsidRDefault="00E82C29" w:rsidP="00E82C29">
            <w:pPr>
              <w:widowControl/>
              <w:jc w:val="both"/>
              <w:rPr>
                <w:szCs w:val="24"/>
              </w:rPr>
            </w:pPr>
            <w:r w:rsidRPr="00293DC5">
              <w:rPr>
                <w:szCs w:val="24"/>
              </w:rPr>
              <w:t>Consistent with Appendix A, each of the Parties will be obligated to pay its share, based on ownership interest and intended use, of the costs and expenses associated with the development, design, construction and ownership of the Tacoma LNG Project.</w:t>
            </w:r>
            <w:r>
              <w:rPr>
                <w:szCs w:val="24"/>
              </w:rPr>
              <w:t xml:space="preserve"> </w:t>
            </w:r>
            <w:r w:rsidRPr="00293DC5">
              <w:rPr>
                <w:szCs w:val="24"/>
              </w:rPr>
              <w:t xml:space="preserve">For example, capital costs associated with marine bunkering capabilities will be allocated 100% to Puget LNG, whereas the capital costs associated with vaporization facilities will be allocated 100% to </w:t>
            </w:r>
            <w:r w:rsidRPr="00293DC5">
              <w:rPr>
                <w:szCs w:val="24"/>
              </w:rPr>
              <w:lastRenderedPageBreak/>
              <w:t>PSE.</w:t>
            </w:r>
            <w:r>
              <w:rPr>
                <w:szCs w:val="24"/>
              </w:rPr>
              <w:t xml:space="preserve"> </w:t>
            </w:r>
            <w:r w:rsidRPr="00293DC5">
              <w:rPr>
                <w:szCs w:val="24"/>
              </w:rPr>
              <w:t xml:space="preserve">Concurrently with the execution of the </w:t>
            </w:r>
            <w:proofErr w:type="spellStart"/>
            <w:r w:rsidRPr="00293DC5">
              <w:rPr>
                <w:szCs w:val="24"/>
              </w:rPr>
              <w:t>JOA</w:t>
            </w:r>
            <w:proofErr w:type="spellEnd"/>
            <w:r w:rsidRPr="00293DC5">
              <w:rPr>
                <w:szCs w:val="24"/>
              </w:rPr>
              <w:t>, Puget LNG would reimburse PSE for Puget LNG’s shares of any such costs already incurred by PSE.</w:t>
            </w:r>
          </w:p>
        </w:tc>
      </w:tr>
      <w:tr w:rsidR="00A93B4E" w14:paraId="14390888" w14:textId="77777777" w:rsidTr="00E82C29">
        <w:tc>
          <w:tcPr>
            <w:tcW w:w="2718" w:type="dxa"/>
          </w:tcPr>
          <w:p w14:paraId="76FF37EE" w14:textId="77777777" w:rsidR="00E82C29" w:rsidRPr="00293DC5" w:rsidRDefault="00E82C29" w:rsidP="00E82C29">
            <w:pPr>
              <w:widowControl/>
              <w:rPr>
                <w:b/>
                <w:bCs/>
                <w:szCs w:val="24"/>
              </w:rPr>
            </w:pPr>
            <w:r w:rsidRPr="00293DC5">
              <w:rPr>
                <w:b/>
                <w:bCs/>
                <w:szCs w:val="24"/>
              </w:rPr>
              <w:lastRenderedPageBreak/>
              <w:t>Operating Costs and Expenses</w:t>
            </w:r>
          </w:p>
        </w:tc>
        <w:tc>
          <w:tcPr>
            <w:tcW w:w="6840" w:type="dxa"/>
          </w:tcPr>
          <w:p w14:paraId="38118C1D" w14:textId="77777777" w:rsidR="00E82C29" w:rsidRPr="00293DC5" w:rsidRDefault="00E82C29" w:rsidP="00E82C29">
            <w:pPr>
              <w:widowControl/>
              <w:jc w:val="both"/>
              <w:rPr>
                <w:szCs w:val="24"/>
              </w:rPr>
            </w:pPr>
            <w:r w:rsidRPr="00293DC5">
              <w:rPr>
                <w:szCs w:val="24"/>
              </w:rPr>
              <w:t>Each of the Parties will be obligated to pay its allocable share of the costs and expenses associated with the operation and maintenance of the Tacoma LNG Project.</w:t>
            </w:r>
            <w:r>
              <w:rPr>
                <w:szCs w:val="24"/>
              </w:rPr>
              <w:t xml:space="preserve"> </w:t>
            </w:r>
            <w:r w:rsidRPr="00293DC5">
              <w:rPr>
                <w:szCs w:val="24"/>
              </w:rPr>
              <w:t>Operations and maintenance costs will be allocable generally on the basis of ownership interest, except for those portions of the facility as to which specific allocations are made based upon the intended use of the applicable portion of the project.</w:t>
            </w:r>
            <w:r>
              <w:rPr>
                <w:szCs w:val="24"/>
              </w:rPr>
              <w:t xml:space="preserve"> </w:t>
            </w:r>
            <w:r w:rsidRPr="00293DC5">
              <w:rPr>
                <w:szCs w:val="24"/>
              </w:rPr>
              <w:t>For example, operations and maintenance expenses associated with marine bunkering facilities will be allocated 100% to Puget LNG.</w:t>
            </w:r>
          </w:p>
        </w:tc>
      </w:tr>
      <w:tr w:rsidR="00A93B4E" w14:paraId="266513BC" w14:textId="77777777" w:rsidTr="00E82C29">
        <w:tc>
          <w:tcPr>
            <w:tcW w:w="2718" w:type="dxa"/>
          </w:tcPr>
          <w:p w14:paraId="6B0914A2" w14:textId="77777777" w:rsidR="00E82C29" w:rsidRPr="00293DC5" w:rsidRDefault="00E82C29" w:rsidP="00E82C29">
            <w:pPr>
              <w:widowControl/>
              <w:rPr>
                <w:b/>
                <w:bCs/>
                <w:szCs w:val="24"/>
              </w:rPr>
            </w:pPr>
            <w:r w:rsidRPr="00293DC5">
              <w:rPr>
                <w:b/>
                <w:bCs/>
                <w:szCs w:val="24"/>
              </w:rPr>
              <w:t>Existing Development Assets</w:t>
            </w:r>
          </w:p>
        </w:tc>
        <w:tc>
          <w:tcPr>
            <w:tcW w:w="6840" w:type="dxa"/>
          </w:tcPr>
          <w:p w14:paraId="566972C7" w14:textId="77777777" w:rsidR="00E82C29" w:rsidRPr="00293DC5" w:rsidRDefault="00E82C29" w:rsidP="00E82C29">
            <w:pPr>
              <w:widowControl/>
              <w:jc w:val="both"/>
              <w:rPr>
                <w:szCs w:val="24"/>
              </w:rPr>
            </w:pPr>
            <w:r w:rsidRPr="00293DC5">
              <w:rPr>
                <w:szCs w:val="24"/>
              </w:rPr>
              <w:t>Certain assets and rights associated with the Tacoma LNG Project, such as the ground lease at the Port of Tacoma and various permits, are currently held in PSE’s name.</w:t>
            </w:r>
            <w:r>
              <w:rPr>
                <w:szCs w:val="24"/>
              </w:rPr>
              <w:t xml:space="preserve"> </w:t>
            </w:r>
            <w:r w:rsidRPr="00293DC5">
              <w:rPr>
                <w:szCs w:val="24"/>
              </w:rPr>
              <w:t xml:space="preserve">The </w:t>
            </w:r>
            <w:proofErr w:type="spellStart"/>
            <w:r w:rsidRPr="00293DC5">
              <w:rPr>
                <w:szCs w:val="24"/>
              </w:rPr>
              <w:t>JOA</w:t>
            </w:r>
            <w:proofErr w:type="spellEnd"/>
            <w:r w:rsidRPr="00293DC5">
              <w:rPr>
                <w:szCs w:val="24"/>
              </w:rPr>
              <w:t xml:space="preserve"> will provide that (i) these assets will continue to be held by PSE, but that PSE will hold that portion of such assets and rights as are allocable to Puget LNG’s interest in the Tacoma LNG Project in trust for the benefit of Puget LNG</w:t>
            </w:r>
            <w:r>
              <w:rPr>
                <w:szCs w:val="24"/>
              </w:rPr>
              <w:t>,</w:t>
            </w:r>
            <w:r w:rsidRPr="00293DC5">
              <w:rPr>
                <w:szCs w:val="24"/>
              </w:rPr>
              <w:t xml:space="preserve"> and (ii) upon the reasonable request of Puget LNG, PSE will reasonably cooperate to transfer into Puget LNG’s name that portion of such assets and rights as are allocable to Puget LNG.</w:t>
            </w:r>
            <w:r>
              <w:rPr>
                <w:szCs w:val="24"/>
              </w:rPr>
              <w:t xml:space="preserve"> </w:t>
            </w:r>
            <w:r w:rsidRPr="00293DC5">
              <w:rPr>
                <w:szCs w:val="24"/>
              </w:rPr>
              <w:t xml:space="preserve">Notwithstanding the foregoing, concurrently with the execution of the </w:t>
            </w:r>
            <w:proofErr w:type="spellStart"/>
            <w:r w:rsidRPr="00293DC5">
              <w:rPr>
                <w:szCs w:val="24"/>
              </w:rPr>
              <w:t>JOA</w:t>
            </w:r>
            <w:proofErr w:type="spellEnd"/>
            <w:r w:rsidRPr="00293DC5">
              <w:rPr>
                <w:szCs w:val="24"/>
              </w:rPr>
              <w:t>, PSE would assign to Puget LNG all of PSE’s right, title and interest in, to and under the TOTE FSA as well as that certain letter agreement, dated July 9, 2015 and as amended, between PSE and TOTE pertaining to the interim supply of LNG to TOTE pending the commencement of commercial operations of the Tacoma LNG Facility.</w:t>
            </w:r>
          </w:p>
        </w:tc>
      </w:tr>
      <w:tr w:rsidR="00A93B4E" w14:paraId="7BED33C6" w14:textId="77777777" w:rsidTr="00E82C29">
        <w:tc>
          <w:tcPr>
            <w:tcW w:w="2718" w:type="dxa"/>
          </w:tcPr>
          <w:p w14:paraId="0EB2EC2A" w14:textId="77777777" w:rsidR="00E82C29" w:rsidRPr="00293DC5" w:rsidRDefault="00E82C29" w:rsidP="00E82C29">
            <w:pPr>
              <w:widowControl/>
              <w:rPr>
                <w:b/>
                <w:bCs/>
                <w:szCs w:val="24"/>
              </w:rPr>
            </w:pPr>
            <w:r w:rsidRPr="00293DC5">
              <w:rPr>
                <w:b/>
                <w:bCs/>
                <w:szCs w:val="24"/>
              </w:rPr>
              <w:t>Liability and Indemnification</w:t>
            </w:r>
          </w:p>
        </w:tc>
        <w:tc>
          <w:tcPr>
            <w:tcW w:w="6840" w:type="dxa"/>
          </w:tcPr>
          <w:p w14:paraId="011ACB12" w14:textId="77777777" w:rsidR="00E82C29" w:rsidRPr="00293DC5" w:rsidRDefault="00E82C29" w:rsidP="00E82C29">
            <w:pPr>
              <w:widowControl/>
              <w:jc w:val="both"/>
              <w:rPr>
                <w:szCs w:val="24"/>
              </w:rPr>
            </w:pPr>
            <w:r w:rsidRPr="006C7E99">
              <w:rPr>
                <w:szCs w:val="24"/>
              </w:rPr>
              <w:t>The obligations and liabilities of Puget LNG and PSE with respect to the Tacoma LNG Facility are intended to be several and not joint or collective.</w:t>
            </w:r>
            <w:r>
              <w:rPr>
                <w:szCs w:val="24"/>
              </w:rPr>
              <w:t xml:space="preserve"> </w:t>
            </w:r>
            <w:r w:rsidRPr="006C7E99">
              <w:rPr>
                <w:szCs w:val="24"/>
              </w:rPr>
              <w:t>Except as otherwise provided, all risk, loss and damage arising out of the ownership, construction, operation or maintenance of any portion of the Tacoma LNG Facility shall be borne by PSE and Puget LNG in proportion to its capital cost allocation (“Ownership Shares”), all of which shall be insured.</w:t>
            </w:r>
            <w:r>
              <w:rPr>
                <w:szCs w:val="24"/>
              </w:rPr>
              <w:t xml:space="preserve"> </w:t>
            </w:r>
            <w:r w:rsidRPr="006C7E99">
              <w:rPr>
                <w:szCs w:val="24"/>
              </w:rPr>
              <w:t xml:space="preserve">To the extent, however, any loss or damage is caused by actions performed exclusively for Puget LNG or exclusively for PSE, then Puget LNG or PSE will be fully responsible for the loss or damage. </w:t>
            </w:r>
          </w:p>
        </w:tc>
      </w:tr>
      <w:tr w:rsidR="00A93B4E" w14:paraId="447798D6" w14:textId="77777777" w:rsidTr="00E82C29">
        <w:tc>
          <w:tcPr>
            <w:tcW w:w="2718" w:type="dxa"/>
          </w:tcPr>
          <w:p w14:paraId="55E822A6" w14:textId="77777777" w:rsidR="00E82C29" w:rsidRPr="00293DC5" w:rsidRDefault="00E82C29" w:rsidP="00E82C29">
            <w:pPr>
              <w:widowControl/>
              <w:rPr>
                <w:b/>
                <w:bCs/>
                <w:szCs w:val="24"/>
              </w:rPr>
            </w:pPr>
            <w:r w:rsidRPr="00293DC5">
              <w:rPr>
                <w:b/>
                <w:bCs/>
                <w:szCs w:val="24"/>
              </w:rPr>
              <w:t>Guaranty</w:t>
            </w:r>
          </w:p>
        </w:tc>
        <w:tc>
          <w:tcPr>
            <w:tcW w:w="6840" w:type="dxa"/>
          </w:tcPr>
          <w:p w14:paraId="458618F0" w14:textId="77777777" w:rsidR="00E82C29" w:rsidRPr="00293DC5" w:rsidRDefault="00E82C29" w:rsidP="00E82C29">
            <w:pPr>
              <w:widowControl/>
              <w:jc w:val="both"/>
              <w:rPr>
                <w:szCs w:val="24"/>
              </w:rPr>
            </w:pPr>
            <w:r w:rsidRPr="00293DC5">
              <w:rPr>
                <w:szCs w:val="24"/>
              </w:rPr>
              <w:t xml:space="preserve">Puget LNG would cause Puget Energy, Inc., its parent company, to furnish a guaranty of Puget LNG’s obligations under the </w:t>
            </w:r>
            <w:proofErr w:type="spellStart"/>
            <w:r w:rsidRPr="00293DC5">
              <w:rPr>
                <w:szCs w:val="24"/>
              </w:rPr>
              <w:t>JOA</w:t>
            </w:r>
            <w:proofErr w:type="spellEnd"/>
            <w:r w:rsidRPr="00293DC5">
              <w:rPr>
                <w:szCs w:val="24"/>
              </w:rPr>
              <w:t xml:space="preserve"> to PSE.</w:t>
            </w:r>
          </w:p>
        </w:tc>
      </w:tr>
      <w:tr w:rsidR="00A93B4E" w14:paraId="0C3B7B86" w14:textId="77777777" w:rsidTr="00E82C29">
        <w:tc>
          <w:tcPr>
            <w:tcW w:w="2718" w:type="dxa"/>
          </w:tcPr>
          <w:p w14:paraId="3B2F27ED" w14:textId="77777777" w:rsidR="00E82C29" w:rsidRPr="00293DC5" w:rsidRDefault="00E82C29" w:rsidP="00E82C29">
            <w:pPr>
              <w:widowControl/>
              <w:rPr>
                <w:b/>
                <w:bCs/>
                <w:szCs w:val="24"/>
              </w:rPr>
            </w:pPr>
            <w:r w:rsidRPr="00293DC5">
              <w:rPr>
                <w:b/>
                <w:bCs/>
                <w:szCs w:val="24"/>
              </w:rPr>
              <w:lastRenderedPageBreak/>
              <w:t>Board Composition</w:t>
            </w:r>
          </w:p>
        </w:tc>
        <w:tc>
          <w:tcPr>
            <w:tcW w:w="6840" w:type="dxa"/>
          </w:tcPr>
          <w:p w14:paraId="1B1B954D" w14:textId="77777777" w:rsidR="00E82C29" w:rsidRPr="00293DC5" w:rsidRDefault="00E82C29" w:rsidP="00E82C29">
            <w:pPr>
              <w:widowControl/>
              <w:jc w:val="both"/>
              <w:rPr>
                <w:szCs w:val="24"/>
              </w:rPr>
            </w:pPr>
            <w:r w:rsidRPr="00293DC5">
              <w:rPr>
                <w:szCs w:val="24"/>
              </w:rPr>
              <w:t>It is the Parties’ expectation that a board of managers (the “</w:t>
            </w:r>
            <w:r w:rsidRPr="00293DC5">
              <w:rPr>
                <w:b/>
                <w:bCs/>
                <w:szCs w:val="24"/>
              </w:rPr>
              <w:t>Board</w:t>
            </w:r>
            <w:r w:rsidRPr="00293DC5">
              <w:rPr>
                <w:szCs w:val="24"/>
              </w:rPr>
              <w:t>”), consisting of four managers (each, a “</w:t>
            </w:r>
            <w:r w:rsidRPr="00293DC5">
              <w:rPr>
                <w:b/>
                <w:bCs/>
                <w:szCs w:val="24"/>
              </w:rPr>
              <w:t>Manager</w:t>
            </w:r>
            <w:r w:rsidRPr="00293DC5">
              <w:rPr>
                <w:szCs w:val="24"/>
              </w:rPr>
              <w:t xml:space="preserve">”), two of whom shall be designated by PSE and two of whom shall be designated by Puget LNG, shall be established to manage the Parties’ interest in the Tacoma LNG Project. </w:t>
            </w:r>
          </w:p>
        </w:tc>
      </w:tr>
      <w:tr w:rsidR="00A93B4E" w14:paraId="31927A85" w14:textId="77777777" w:rsidTr="00E82C29">
        <w:tc>
          <w:tcPr>
            <w:tcW w:w="2718" w:type="dxa"/>
          </w:tcPr>
          <w:p w14:paraId="60FE8145" w14:textId="77777777" w:rsidR="00E82C29" w:rsidRPr="00293DC5" w:rsidRDefault="00E82C29" w:rsidP="00E82C29">
            <w:pPr>
              <w:widowControl/>
              <w:rPr>
                <w:b/>
                <w:bCs/>
                <w:szCs w:val="24"/>
              </w:rPr>
            </w:pPr>
            <w:r w:rsidRPr="00293DC5">
              <w:rPr>
                <w:b/>
                <w:bCs/>
                <w:szCs w:val="24"/>
              </w:rPr>
              <w:t>Meetings of the Board</w:t>
            </w:r>
          </w:p>
        </w:tc>
        <w:tc>
          <w:tcPr>
            <w:tcW w:w="6840" w:type="dxa"/>
          </w:tcPr>
          <w:p w14:paraId="1EB219BF" w14:textId="77777777" w:rsidR="00E82C29" w:rsidRPr="00293DC5" w:rsidRDefault="00E82C29" w:rsidP="00E82C29">
            <w:pPr>
              <w:widowControl/>
              <w:jc w:val="both"/>
              <w:rPr>
                <w:szCs w:val="24"/>
              </w:rPr>
            </w:pPr>
            <w:r w:rsidRPr="00293DC5">
              <w:rPr>
                <w:szCs w:val="24"/>
              </w:rPr>
              <w:t>Regular meetings of the Board shall be held at least quarterly, at such places, dates and times as may be fixed by mutual agreement of PSE and Puget LNG, upon seven (7) days’ prior written notice to each Manager, which notice may be given by electronic communication.</w:t>
            </w:r>
            <w:r>
              <w:rPr>
                <w:szCs w:val="24"/>
              </w:rPr>
              <w:t xml:space="preserve"> </w:t>
            </w:r>
            <w:r w:rsidRPr="00293DC5">
              <w:rPr>
                <w:szCs w:val="24"/>
              </w:rPr>
              <w:t>Special meetings of the Board may be called by any Manager upon seven (7) days’ prior written notice to each Manager, which notice may be given by electronic communication and shall identify the purpose of the special meeting or the business to be transacted.</w:t>
            </w:r>
            <w:r>
              <w:rPr>
                <w:szCs w:val="24"/>
              </w:rPr>
              <w:t xml:space="preserve"> </w:t>
            </w:r>
            <w:r w:rsidRPr="00293DC5">
              <w:rPr>
                <w:szCs w:val="24"/>
              </w:rPr>
              <w:t>The presence of one Manager appointed by PSE and one Manager appointed by Puget LNG shall constitute a quorum for the transaction of business at any Board meeting.</w:t>
            </w:r>
            <w:r>
              <w:rPr>
                <w:szCs w:val="24"/>
              </w:rPr>
              <w:t xml:space="preserve"> </w:t>
            </w:r>
            <w:r w:rsidRPr="00293DC5">
              <w:rPr>
                <w:szCs w:val="24"/>
              </w:rPr>
              <w:t>Managers may participate in meetings by means of a conference telephone, videoconference, or similar communications equipment except where an in person meeting is requested by a Manager.</w:t>
            </w:r>
          </w:p>
        </w:tc>
      </w:tr>
      <w:tr w:rsidR="00A93B4E" w14:paraId="5B8EED67" w14:textId="77777777" w:rsidTr="00E82C29">
        <w:tc>
          <w:tcPr>
            <w:tcW w:w="2718" w:type="dxa"/>
          </w:tcPr>
          <w:p w14:paraId="5B731AC1" w14:textId="77777777" w:rsidR="00E82C29" w:rsidRPr="00293DC5" w:rsidRDefault="00E82C29" w:rsidP="00E82C29">
            <w:pPr>
              <w:widowControl/>
              <w:rPr>
                <w:b/>
                <w:bCs/>
                <w:szCs w:val="24"/>
              </w:rPr>
            </w:pPr>
            <w:r w:rsidRPr="00293DC5">
              <w:rPr>
                <w:b/>
                <w:bCs/>
                <w:szCs w:val="24"/>
              </w:rPr>
              <w:t>Voting by the Board</w:t>
            </w:r>
          </w:p>
        </w:tc>
        <w:tc>
          <w:tcPr>
            <w:tcW w:w="6840" w:type="dxa"/>
          </w:tcPr>
          <w:p w14:paraId="69D6412B" w14:textId="77777777" w:rsidR="00E82C29" w:rsidRPr="00293DC5" w:rsidRDefault="00E82C29" w:rsidP="00E82C29">
            <w:pPr>
              <w:widowControl/>
              <w:jc w:val="both"/>
              <w:rPr>
                <w:szCs w:val="24"/>
              </w:rPr>
            </w:pPr>
            <w:r w:rsidRPr="00293DC5">
              <w:rPr>
                <w:szCs w:val="24"/>
              </w:rPr>
              <w:t>All matters decided by the Board shall require the unanimous approval of the Managers present at a duly convened meeting of the Board in which a quorum is present.</w:t>
            </w:r>
            <w:r>
              <w:rPr>
                <w:szCs w:val="24"/>
              </w:rPr>
              <w:t xml:space="preserve"> </w:t>
            </w:r>
            <w:r w:rsidRPr="00293DC5">
              <w:rPr>
                <w:szCs w:val="24"/>
              </w:rPr>
              <w:t>Each Manager will be entitled to cast one vote.</w:t>
            </w:r>
          </w:p>
        </w:tc>
      </w:tr>
      <w:tr w:rsidR="00A93B4E" w14:paraId="4082A34A" w14:textId="77777777" w:rsidTr="00E82C29">
        <w:tc>
          <w:tcPr>
            <w:tcW w:w="2718" w:type="dxa"/>
          </w:tcPr>
          <w:p w14:paraId="15368002" w14:textId="77777777" w:rsidR="00E82C29" w:rsidRPr="00293DC5" w:rsidRDefault="00E82C29" w:rsidP="00E82C29">
            <w:pPr>
              <w:widowControl/>
              <w:rPr>
                <w:b/>
                <w:bCs/>
                <w:szCs w:val="24"/>
              </w:rPr>
            </w:pPr>
            <w:r w:rsidRPr="00293DC5">
              <w:rPr>
                <w:b/>
                <w:bCs/>
                <w:szCs w:val="24"/>
              </w:rPr>
              <w:t>Duties of the Board</w:t>
            </w:r>
          </w:p>
        </w:tc>
        <w:tc>
          <w:tcPr>
            <w:tcW w:w="6840" w:type="dxa"/>
          </w:tcPr>
          <w:p w14:paraId="66D97C4E" w14:textId="77777777" w:rsidR="00E82C29" w:rsidRPr="00293DC5" w:rsidRDefault="00E82C29" w:rsidP="00E82C29">
            <w:pPr>
              <w:widowControl/>
              <w:jc w:val="both"/>
              <w:rPr>
                <w:szCs w:val="24"/>
              </w:rPr>
            </w:pPr>
            <w:r w:rsidRPr="00293DC5">
              <w:rPr>
                <w:szCs w:val="24"/>
              </w:rPr>
              <w:t>All matters not expressly reserved to the Parties shall be deemed delegated to the Board.</w:t>
            </w:r>
            <w:r>
              <w:rPr>
                <w:szCs w:val="24"/>
              </w:rPr>
              <w:t xml:space="preserve"> </w:t>
            </w:r>
            <w:r w:rsidRPr="00293DC5">
              <w:rPr>
                <w:szCs w:val="24"/>
              </w:rPr>
              <w:t>The Board shall establish the policies, procedures and guidelines (subject to Party Approval) for the management of the affairs of the Tacoma LNG Project.</w:t>
            </w:r>
          </w:p>
        </w:tc>
      </w:tr>
      <w:tr w:rsidR="00A93B4E" w14:paraId="424F25F7" w14:textId="77777777" w:rsidTr="00E82C29">
        <w:tc>
          <w:tcPr>
            <w:tcW w:w="2718" w:type="dxa"/>
          </w:tcPr>
          <w:p w14:paraId="6EBF1763" w14:textId="77777777" w:rsidR="00E82C29" w:rsidRPr="00293DC5" w:rsidRDefault="00E82C29" w:rsidP="00E82C29">
            <w:pPr>
              <w:widowControl/>
              <w:rPr>
                <w:b/>
                <w:bCs/>
                <w:szCs w:val="24"/>
              </w:rPr>
            </w:pPr>
            <w:r w:rsidRPr="00293DC5">
              <w:rPr>
                <w:b/>
                <w:bCs/>
                <w:szCs w:val="24"/>
              </w:rPr>
              <w:t>Matters Reserved to the Parties</w:t>
            </w:r>
          </w:p>
        </w:tc>
        <w:tc>
          <w:tcPr>
            <w:tcW w:w="6840" w:type="dxa"/>
          </w:tcPr>
          <w:p w14:paraId="33F11213" w14:textId="77777777" w:rsidR="00E82C29" w:rsidRPr="00293DC5" w:rsidRDefault="00E82C29" w:rsidP="00E82C29">
            <w:pPr>
              <w:widowControl/>
              <w:jc w:val="both"/>
              <w:rPr>
                <w:szCs w:val="24"/>
              </w:rPr>
            </w:pPr>
            <w:r w:rsidRPr="00293DC5">
              <w:rPr>
                <w:szCs w:val="24"/>
              </w:rPr>
              <w:t>Appendix B sets forth certain matters reserved to the Parties that require Party Approval.</w:t>
            </w:r>
          </w:p>
        </w:tc>
      </w:tr>
      <w:tr w:rsidR="00A93B4E" w14:paraId="17289DBF" w14:textId="77777777" w:rsidTr="00E82C29">
        <w:tc>
          <w:tcPr>
            <w:tcW w:w="2718" w:type="dxa"/>
          </w:tcPr>
          <w:p w14:paraId="71703E02" w14:textId="77777777" w:rsidR="00E82C29" w:rsidRPr="00293DC5" w:rsidRDefault="00E82C29" w:rsidP="00E82C29">
            <w:pPr>
              <w:widowControl/>
              <w:rPr>
                <w:b/>
                <w:bCs/>
                <w:szCs w:val="24"/>
              </w:rPr>
            </w:pPr>
            <w:proofErr w:type="spellStart"/>
            <w:r w:rsidRPr="00293DC5">
              <w:rPr>
                <w:b/>
                <w:bCs/>
                <w:szCs w:val="24"/>
              </w:rPr>
              <w:t>O&amp;M</w:t>
            </w:r>
            <w:proofErr w:type="spellEnd"/>
            <w:r w:rsidRPr="00293DC5">
              <w:rPr>
                <w:b/>
                <w:bCs/>
                <w:szCs w:val="24"/>
              </w:rPr>
              <w:t xml:space="preserve"> Services</w:t>
            </w:r>
          </w:p>
        </w:tc>
        <w:tc>
          <w:tcPr>
            <w:tcW w:w="6840" w:type="dxa"/>
          </w:tcPr>
          <w:p w14:paraId="7A07C54A" w14:textId="77777777" w:rsidR="00E82C29" w:rsidRPr="00293DC5" w:rsidRDefault="00E82C29" w:rsidP="00E82C29">
            <w:pPr>
              <w:widowControl/>
              <w:jc w:val="both"/>
              <w:rPr>
                <w:szCs w:val="24"/>
              </w:rPr>
            </w:pPr>
            <w:r w:rsidRPr="00293DC5">
              <w:rPr>
                <w:szCs w:val="24"/>
              </w:rPr>
              <w:t>The Parties would enter into an Operations and Maintenance Contract (the “</w:t>
            </w:r>
            <w:proofErr w:type="spellStart"/>
            <w:r w:rsidRPr="00293DC5">
              <w:rPr>
                <w:b/>
                <w:bCs/>
                <w:szCs w:val="24"/>
              </w:rPr>
              <w:t>O&amp;M</w:t>
            </w:r>
            <w:proofErr w:type="spellEnd"/>
            <w:r w:rsidRPr="00293DC5">
              <w:rPr>
                <w:b/>
                <w:bCs/>
                <w:szCs w:val="24"/>
              </w:rPr>
              <w:t xml:space="preserve"> Contract</w:t>
            </w:r>
            <w:r w:rsidRPr="00293DC5">
              <w:rPr>
                <w:szCs w:val="24"/>
              </w:rPr>
              <w:t>”) pursuant to which PSE would operate and maintain the Tacoma LNG Project.</w:t>
            </w:r>
            <w:r>
              <w:rPr>
                <w:szCs w:val="24"/>
              </w:rPr>
              <w:t xml:space="preserve"> </w:t>
            </w:r>
            <w:r w:rsidRPr="00293DC5">
              <w:rPr>
                <w:szCs w:val="24"/>
              </w:rPr>
              <w:t xml:space="preserve">The Parties anticipate that the </w:t>
            </w:r>
            <w:proofErr w:type="spellStart"/>
            <w:r w:rsidRPr="00293DC5">
              <w:rPr>
                <w:szCs w:val="24"/>
              </w:rPr>
              <w:t>O&amp;M</w:t>
            </w:r>
            <w:proofErr w:type="spellEnd"/>
            <w:r w:rsidRPr="00293DC5">
              <w:rPr>
                <w:szCs w:val="24"/>
              </w:rPr>
              <w:t xml:space="preserve"> Contract would continue for the life of the Tacoma LNG Project and would provide for a cost of service based pricing structure pursuant to which PSE would allocate costs incurred in providing services under the </w:t>
            </w:r>
            <w:proofErr w:type="spellStart"/>
            <w:r w:rsidRPr="00293DC5">
              <w:rPr>
                <w:szCs w:val="24"/>
              </w:rPr>
              <w:t>O&amp;M</w:t>
            </w:r>
            <w:proofErr w:type="spellEnd"/>
            <w:r w:rsidRPr="00293DC5">
              <w:rPr>
                <w:szCs w:val="24"/>
              </w:rPr>
              <w:t xml:space="preserve"> Contract and would bill Puget LNG for its allocable share of such costs.</w:t>
            </w:r>
            <w:r>
              <w:rPr>
                <w:szCs w:val="24"/>
              </w:rPr>
              <w:t xml:space="preserve"> </w:t>
            </w:r>
            <w:r w:rsidRPr="00293DC5">
              <w:rPr>
                <w:szCs w:val="24"/>
              </w:rPr>
              <w:t xml:space="preserve">The scope of services under the </w:t>
            </w:r>
            <w:proofErr w:type="spellStart"/>
            <w:r w:rsidRPr="00293DC5">
              <w:rPr>
                <w:szCs w:val="24"/>
              </w:rPr>
              <w:t>O&amp;M</w:t>
            </w:r>
            <w:proofErr w:type="spellEnd"/>
            <w:r w:rsidRPr="00293DC5">
              <w:rPr>
                <w:szCs w:val="24"/>
              </w:rPr>
              <w:t xml:space="preserve"> Contract would also contemplate the implementation by PSE of capital improvements funded by the Parties in accordance with the Annual Budget.</w:t>
            </w:r>
            <w:r>
              <w:rPr>
                <w:szCs w:val="24"/>
              </w:rPr>
              <w:t xml:space="preserve"> </w:t>
            </w:r>
            <w:r w:rsidRPr="00293DC5">
              <w:rPr>
                <w:szCs w:val="24"/>
              </w:rPr>
              <w:t xml:space="preserve">All work under the </w:t>
            </w:r>
            <w:proofErr w:type="spellStart"/>
            <w:r w:rsidRPr="00293DC5">
              <w:rPr>
                <w:szCs w:val="24"/>
              </w:rPr>
              <w:t>O&amp;M</w:t>
            </w:r>
            <w:proofErr w:type="spellEnd"/>
            <w:r w:rsidRPr="00293DC5">
              <w:rPr>
                <w:szCs w:val="24"/>
              </w:rPr>
              <w:t xml:space="preserve"> Contract shall be in accordance with prudent utility practice </w:t>
            </w:r>
            <w:r w:rsidRPr="00293DC5">
              <w:rPr>
                <w:szCs w:val="24"/>
              </w:rPr>
              <w:lastRenderedPageBreak/>
              <w:t>and cost of service shall be reasonable and prudent.</w:t>
            </w:r>
            <w:r>
              <w:rPr>
                <w:szCs w:val="24"/>
              </w:rPr>
              <w:t xml:space="preserve"> </w:t>
            </w:r>
            <w:r w:rsidRPr="00293DC5">
              <w:rPr>
                <w:szCs w:val="24"/>
              </w:rPr>
              <w:t>If third party services are utilized, the cost of such services shall be consistent with market pricing for such services and if market pricing is not available then the prices must be demonstrably reasonable.</w:t>
            </w:r>
          </w:p>
        </w:tc>
      </w:tr>
      <w:tr w:rsidR="00A93B4E" w14:paraId="468EE1F0" w14:textId="77777777" w:rsidTr="00E82C29">
        <w:tc>
          <w:tcPr>
            <w:tcW w:w="2718" w:type="dxa"/>
          </w:tcPr>
          <w:p w14:paraId="0C387797" w14:textId="77777777" w:rsidR="00E82C29" w:rsidRPr="00293DC5" w:rsidRDefault="00E82C29" w:rsidP="00E82C29">
            <w:pPr>
              <w:widowControl/>
              <w:rPr>
                <w:b/>
                <w:bCs/>
                <w:szCs w:val="24"/>
              </w:rPr>
            </w:pPr>
            <w:r w:rsidRPr="00293DC5">
              <w:rPr>
                <w:b/>
                <w:bCs/>
                <w:szCs w:val="24"/>
              </w:rPr>
              <w:lastRenderedPageBreak/>
              <w:t>Annual Budget</w:t>
            </w:r>
          </w:p>
        </w:tc>
        <w:tc>
          <w:tcPr>
            <w:tcW w:w="6840" w:type="dxa"/>
          </w:tcPr>
          <w:p w14:paraId="6D508F1B" w14:textId="77777777" w:rsidR="00E82C29" w:rsidRPr="00293DC5" w:rsidRDefault="00E82C29" w:rsidP="00E82C29">
            <w:pPr>
              <w:widowControl/>
              <w:jc w:val="both"/>
              <w:rPr>
                <w:szCs w:val="24"/>
              </w:rPr>
            </w:pPr>
            <w:r w:rsidRPr="00293DC5">
              <w:rPr>
                <w:szCs w:val="24"/>
              </w:rPr>
              <w:t xml:space="preserve">The </w:t>
            </w:r>
            <w:proofErr w:type="spellStart"/>
            <w:r w:rsidRPr="00293DC5">
              <w:rPr>
                <w:szCs w:val="24"/>
              </w:rPr>
              <w:t>JOA</w:t>
            </w:r>
            <w:proofErr w:type="spellEnd"/>
            <w:r w:rsidRPr="00293DC5">
              <w:rPr>
                <w:szCs w:val="24"/>
              </w:rPr>
              <w:t xml:space="preserve"> will include an initial budget detailing the expected capital and operating costs required for the Tacoma LNG Project (the “</w:t>
            </w:r>
            <w:r w:rsidRPr="00293DC5">
              <w:rPr>
                <w:b/>
                <w:bCs/>
                <w:szCs w:val="24"/>
              </w:rPr>
              <w:t>Annual Budget</w:t>
            </w:r>
            <w:r w:rsidRPr="00293DC5">
              <w:rPr>
                <w:szCs w:val="24"/>
              </w:rPr>
              <w:t>”), which shall be updated on an annual basis.</w:t>
            </w:r>
            <w:r>
              <w:rPr>
                <w:szCs w:val="24"/>
              </w:rPr>
              <w:t xml:space="preserve"> </w:t>
            </w:r>
            <w:r w:rsidRPr="00293DC5">
              <w:rPr>
                <w:szCs w:val="24"/>
              </w:rPr>
              <w:t>The Board shall approve or disapprove each subsequent Annual Budget, subject, however, to Party Approval.</w:t>
            </w:r>
            <w:r>
              <w:rPr>
                <w:szCs w:val="24"/>
              </w:rPr>
              <w:t xml:space="preserve"> </w:t>
            </w:r>
            <w:r w:rsidRPr="00293DC5">
              <w:rPr>
                <w:szCs w:val="24"/>
              </w:rPr>
              <w:t>In the event that no Annual Budget for a fiscal year is approved prior to the first day of such fiscal year, the Annual Budget for the immediately preceding fiscal year shall continue in effect until the approval of a new annual budget in accordance herewith.</w:t>
            </w:r>
          </w:p>
        </w:tc>
      </w:tr>
      <w:tr w:rsidR="00A93B4E" w14:paraId="304869E1" w14:textId="77777777" w:rsidTr="00E82C29">
        <w:tc>
          <w:tcPr>
            <w:tcW w:w="2718" w:type="dxa"/>
          </w:tcPr>
          <w:p w14:paraId="727E9A03" w14:textId="77777777" w:rsidR="00E82C29" w:rsidRPr="00293DC5" w:rsidRDefault="00E82C29" w:rsidP="00E82C29">
            <w:pPr>
              <w:widowControl/>
              <w:rPr>
                <w:b/>
                <w:bCs/>
                <w:szCs w:val="24"/>
              </w:rPr>
            </w:pPr>
            <w:r w:rsidRPr="00293DC5">
              <w:rPr>
                <w:b/>
                <w:bCs/>
                <w:szCs w:val="24"/>
              </w:rPr>
              <w:t>Confidentiality</w:t>
            </w:r>
          </w:p>
        </w:tc>
        <w:tc>
          <w:tcPr>
            <w:tcW w:w="6840" w:type="dxa"/>
          </w:tcPr>
          <w:p w14:paraId="7DE75F85" w14:textId="77777777" w:rsidR="00E82C29" w:rsidRPr="00293DC5" w:rsidRDefault="00E82C29" w:rsidP="00E82C29">
            <w:pPr>
              <w:widowControl/>
              <w:jc w:val="both"/>
              <w:rPr>
                <w:szCs w:val="24"/>
              </w:rPr>
            </w:pPr>
            <w:r w:rsidRPr="00293DC5">
              <w:rPr>
                <w:szCs w:val="24"/>
              </w:rPr>
              <w:t xml:space="preserve">The </w:t>
            </w:r>
            <w:proofErr w:type="spellStart"/>
            <w:r w:rsidRPr="00293DC5">
              <w:rPr>
                <w:szCs w:val="24"/>
              </w:rPr>
              <w:t>JOA</w:t>
            </w:r>
            <w:proofErr w:type="spellEnd"/>
            <w:r w:rsidRPr="00293DC5">
              <w:rPr>
                <w:szCs w:val="24"/>
              </w:rPr>
              <w:t xml:space="preserve"> shall include customary confidentiality provisions.</w:t>
            </w:r>
          </w:p>
        </w:tc>
      </w:tr>
      <w:tr w:rsidR="00A93B4E" w14:paraId="4AC4D068" w14:textId="77777777" w:rsidTr="00E82C29">
        <w:tc>
          <w:tcPr>
            <w:tcW w:w="2718" w:type="dxa"/>
          </w:tcPr>
          <w:p w14:paraId="65129A41" w14:textId="77777777" w:rsidR="00E82C29" w:rsidRPr="00293DC5" w:rsidRDefault="00E82C29" w:rsidP="00E82C29">
            <w:pPr>
              <w:widowControl/>
              <w:rPr>
                <w:b/>
                <w:bCs/>
                <w:szCs w:val="24"/>
              </w:rPr>
            </w:pPr>
            <w:r w:rsidRPr="00293DC5">
              <w:rPr>
                <w:b/>
                <w:bCs/>
                <w:szCs w:val="24"/>
              </w:rPr>
              <w:t>Transfer Restrictions</w:t>
            </w:r>
          </w:p>
        </w:tc>
        <w:tc>
          <w:tcPr>
            <w:tcW w:w="6840" w:type="dxa"/>
          </w:tcPr>
          <w:p w14:paraId="15B48E53" w14:textId="77777777" w:rsidR="00E82C29" w:rsidRPr="00293DC5" w:rsidRDefault="00E82C29" w:rsidP="00E82C29">
            <w:pPr>
              <w:widowControl/>
              <w:jc w:val="both"/>
              <w:rPr>
                <w:szCs w:val="24"/>
              </w:rPr>
            </w:pPr>
            <w:r w:rsidRPr="00293DC5">
              <w:rPr>
                <w:szCs w:val="24"/>
              </w:rPr>
              <w:t xml:space="preserve">All transfers, direct or indirect, of interests in the Tacoma LNG Project, shall be subject to customary restrictions, including appropriate credit ratings or collateral support for an assignee’s obligations under the </w:t>
            </w:r>
            <w:proofErr w:type="spellStart"/>
            <w:r w:rsidRPr="00293DC5">
              <w:rPr>
                <w:szCs w:val="24"/>
              </w:rPr>
              <w:t>JOA</w:t>
            </w:r>
            <w:proofErr w:type="spellEnd"/>
            <w:r w:rsidRPr="00293DC5">
              <w:rPr>
                <w:szCs w:val="24"/>
              </w:rPr>
              <w:t>.</w:t>
            </w:r>
          </w:p>
        </w:tc>
      </w:tr>
      <w:tr w:rsidR="00A93B4E" w14:paraId="735CE175" w14:textId="77777777" w:rsidTr="00E82C29">
        <w:tc>
          <w:tcPr>
            <w:tcW w:w="2718" w:type="dxa"/>
          </w:tcPr>
          <w:p w14:paraId="7B7BFFD7" w14:textId="77777777" w:rsidR="00E82C29" w:rsidRPr="00293DC5" w:rsidRDefault="00E82C29" w:rsidP="00E82C29">
            <w:pPr>
              <w:widowControl/>
              <w:rPr>
                <w:b/>
                <w:bCs/>
                <w:szCs w:val="24"/>
              </w:rPr>
            </w:pPr>
            <w:r w:rsidRPr="00293DC5">
              <w:rPr>
                <w:b/>
                <w:bCs/>
                <w:szCs w:val="24"/>
              </w:rPr>
              <w:t>Dispute Resolution and Governing Law</w:t>
            </w:r>
          </w:p>
        </w:tc>
        <w:tc>
          <w:tcPr>
            <w:tcW w:w="6840" w:type="dxa"/>
          </w:tcPr>
          <w:p w14:paraId="5F12E80B" w14:textId="77777777" w:rsidR="00E82C29" w:rsidRPr="00293DC5" w:rsidRDefault="00E82C29" w:rsidP="00E82C29">
            <w:pPr>
              <w:widowControl/>
              <w:jc w:val="both"/>
              <w:rPr>
                <w:szCs w:val="24"/>
              </w:rPr>
            </w:pPr>
            <w:r w:rsidRPr="00293DC5">
              <w:rPr>
                <w:szCs w:val="24"/>
              </w:rPr>
              <w:t xml:space="preserve">Any dispute, controversy or claim between the Parties arising out of, relating to, or in any way connected to the </w:t>
            </w:r>
            <w:proofErr w:type="spellStart"/>
            <w:r w:rsidRPr="00293DC5">
              <w:rPr>
                <w:szCs w:val="24"/>
              </w:rPr>
              <w:t>JOA</w:t>
            </w:r>
            <w:proofErr w:type="spellEnd"/>
            <w:r w:rsidRPr="00293DC5">
              <w:rPr>
                <w:szCs w:val="24"/>
              </w:rPr>
              <w:t xml:space="preserve"> will be submitted to senior management of each Party.</w:t>
            </w:r>
            <w:r>
              <w:rPr>
                <w:szCs w:val="24"/>
              </w:rPr>
              <w:t xml:space="preserve"> </w:t>
            </w:r>
            <w:r w:rsidRPr="00293DC5">
              <w:rPr>
                <w:szCs w:val="24"/>
              </w:rPr>
              <w:t>If such executives are unable to resolve the dispute, the parties will resolve the dispute in Washington state or federal courts.</w:t>
            </w:r>
            <w:r>
              <w:rPr>
                <w:szCs w:val="24"/>
              </w:rPr>
              <w:t xml:space="preserve"> </w:t>
            </w:r>
            <w:r w:rsidRPr="00293DC5">
              <w:rPr>
                <w:szCs w:val="24"/>
              </w:rPr>
              <w:t xml:space="preserve">The </w:t>
            </w:r>
            <w:proofErr w:type="spellStart"/>
            <w:r w:rsidRPr="00293DC5">
              <w:rPr>
                <w:szCs w:val="24"/>
              </w:rPr>
              <w:t>JOA</w:t>
            </w:r>
            <w:proofErr w:type="spellEnd"/>
            <w:r w:rsidRPr="00293DC5">
              <w:rPr>
                <w:szCs w:val="24"/>
              </w:rPr>
              <w:t xml:space="preserve"> shall be governed by the laws of the State of Washington.</w:t>
            </w:r>
          </w:p>
        </w:tc>
      </w:tr>
      <w:tr w:rsidR="00A93B4E" w14:paraId="01F1E882" w14:textId="77777777" w:rsidTr="00E82C29">
        <w:tc>
          <w:tcPr>
            <w:tcW w:w="9558" w:type="dxa"/>
            <w:gridSpan w:val="2"/>
          </w:tcPr>
          <w:p w14:paraId="4D42422F" w14:textId="77777777" w:rsidR="00E82C29" w:rsidRPr="00293DC5" w:rsidRDefault="00E82C29" w:rsidP="00E82C29">
            <w:pPr>
              <w:keepNext/>
              <w:widowControl/>
              <w:jc w:val="both"/>
              <w:rPr>
                <w:i/>
                <w:iCs/>
                <w:szCs w:val="24"/>
              </w:rPr>
            </w:pPr>
            <w:r w:rsidRPr="00293DC5">
              <w:rPr>
                <w:i/>
                <w:iCs/>
                <w:szCs w:val="24"/>
              </w:rPr>
              <w:t>This term sheet is non-binding.</w:t>
            </w:r>
            <w:r>
              <w:rPr>
                <w:i/>
                <w:iCs/>
                <w:szCs w:val="24"/>
              </w:rPr>
              <w:t xml:space="preserve"> </w:t>
            </w:r>
            <w:r w:rsidRPr="00293DC5">
              <w:rPr>
                <w:i/>
                <w:iCs/>
                <w:szCs w:val="24"/>
              </w:rPr>
              <w:t xml:space="preserve">The Parties agree that (i) the Parties hereto have not created, nor intend to create, a partnership, joint venture or other special relationship of any kind, and (ii) no conduct, communication or any other representation by either Party prior to execution of a </w:t>
            </w:r>
            <w:proofErr w:type="spellStart"/>
            <w:r w:rsidRPr="00293DC5">
              <w:rPr>
                <w:i/>
                <w:iCs/>
                <w:szCs w:val="24"/>
              </w:rPr>
              <w:t>JOA</w:t>
            </w:r>
            <w:proofErr w:type="spellEnd"/>
            <w:r w:rsidRPr="00293DC5">
              <w:rPr>
                <w:i/>
                <w:iCs/>
                <w:szCs w:val="24"/>
              </w:rPr>
              <w:t xml:space="preserve"> will be interpreted as creating, or intending to create, such a relationship.</w:t>
            </w:r>
            <w:r>
              <w:rPr>
                <w:i/>
                <w:iCs/>
                <w:szCs w:val="24"/>
              </w:rPr>
              <w:t xml:space="preserve"> </w:t>
            </w:r>
            <w:r w:rsidRPr="00293DC5">
              <w:rPr>
                <w:i/>
                <w:iCs/>
                <w:szCs w:val="24"/>
              </w:rPr>
              <w:t xml:space="preserve">Prior to execution of a </w:t>
            </w:r>
            <w:proofErr w:type="spellStart"/>
            <w:r w:rsidRPr="00293DC5">
              <w:rPr>
                <w:i/>
                <w:iCs/>
                <w:szCs w:val="24"/>
              </w:rPr>
              <w:t>JOA</w:t>
            </w:r>
            <w:proofErr w:type="spellEnd"/>
            <w:r w:rsidRPr="00293DC5">
              <w:rPr>
                <w:i/>
                <w:iCs/>
                <w:szCs w:val="24"/>
              </w:rPr>
              <w:t>, each Party agrees to bring no action or make any claim against the other Party based on the establishment of a partnership or any other enforceable obligation arising from a course of conduct or course of dealing between the Parties. But for this waiver and the statements made in this paragraph, the Parties hereto would not be willing to pursue the proposed transaction.</w:t>
            </w:r>
          </w:p>
        </w:tc>
      </w:tr>
    </w:tbl>
    <w:p w14:paraId="2F621E37" w14:textId="77777777" w:rsidR="00220B55" w:rsidRDefault="00220B55">
      <w:pPr>
        <w:widowControl/>
        <w:rPr>
          <w:b/>
          <w:bCs/>
          <w:szCs w:val="24"/>
        </w:rPr>
      </w:pPr>
      <w:r>
        <w:rPr>
          <w:b/>
          <w:bCs/>
          <w:szCs w:val="24"/>
        </w:rPr>
        <w:br w:type="page"/>
      </w:r>
    </w:p>
    <w:p w14:paraId="2F139721" w14:textId="08333417" w:rsidR="00E82C29" w:rsidRPr="00293DC5" w:rsidRDefault="00E82C29" w:rsidP="00E82C29">
      <w:pPr>
        <w:widowControl/>
        <w:jc w:val="right"/>
        <w:rPr>
          <w:b/>
          <w:bCs/>
          <w:szCs w:val="24"/>
        </w:rPr>
      </w:pPr>
      <w:r w:rsidRPr="00293DC5">
        <w:rPr>
          <w:b/>
          <w:bCs/>
          <w:szCs w:val="24"/>
        </w:rPr>
        <w:lastRenderedPageBreak/>
        <w:t>Appendix A</w:t>
      </w:r>
    </w:p>
    <w:p w14:paraId="1D999958" w14:textId="77777777" w:rsidR="00E82C29" w:rsidRPr="00293DC5" w:rsidRDefault="00E82C29" w:rsidP="00E82C29">
      <w:pPr>
        <w:keepNext/>
        <w:widowControl/>
        <w:spacing w:after="240"/>
        <w:contextualSpacing/>
        <w:jc w:val="center"/>
        <w:rPr>
          <w:rFonts w:eastAsia="SimHei"/>
          <w:b/>
          <w:szCs w:val="52"/>
        </w:rPr>
      </w:pPr>
      <w:r w:rsidRPr="00293DC5">
        <w:rPr>
          <w:rFonts w:eastAsia="SimHei"/>
          <w:b/>
          <w:szCs w:val="52"/>
        </w:rPr>
        <w:t>Cost Allocations</w:t>
      </w:r>
    </w:p>
    <w:p w14:paraId="289C7BF8" w14:textId="77777777" w:rsidR="00E82C29" w:rsidRPr="00293DC5" w:rsidRDefault="00E82C29" w:rsidP="00E82C29">
      <w:pPr>
        <w:widowControl/>
        <w:jc w:val="center"/>
        <w:rPr>
          <w:szCs w:val="24"/>
        </w:rPr>
      </w:pPr>
      <w:r w:rsidRPr="00293DC5">
        <w:rPr>
          <w:szCs w:val="24"/>
        </w:rPr>
        <w:t>[</w:t>
      </w:r>
      <w:r w:rsidRPr="004353C1">
        <w:rPr>
          <w:szCs w:val="24"/>
        </w:rPr>
        <w:t>To come</w:t>
      </w:r>
      <w:r w:rsidRPr="00293DC5">
        <w:rPr>
          <w:szCs w:val="24"/>
        </w:rPr>
        <w:t>.]</w:t>
      </w:r>
    </w:p>
    <w:p w14:paraId="1B6662ED" w14:textId="77777777" w:rsidR="00220B55" w:rsidRDefault="00220B55">
      <w:pPr>
        <w:widowControl/>
        <w:rPr>
          <w:szCs w:val="24"/>
        </w:rPr>
      </w:pPr>
      <w:r>
        <w:rPr>
          <w:szCs w:val="24"/>
        </w:rPr>
        <w:br w:type="page"/>
      </w:r>
    </w:p>
    <w:p w14:paraId="1396B93F" w14:textId="04C52D45" w:rsidR="00E82C29" w:rsidRPr="00293DC5" w:rsidRDefault="00E82C29" w:rsidP="00E82C29">
      <w:pPr>
        <w:widowControl/>
        <w:jc w:val="right"/>
        <w:rPr>
          <w:b/>
          <w:bCs/>
          <w:szCs w:val="24"/>
        </w:rPr>
      </w:pPr>
      <w:r w:rsidRPr="00293DC5">
        <w:rPr>
          <w:b/>
          <w:bCs/>
          <w:szCs w:val="24"/>
        </w:rPr>
        <w:lastRenderedPageBreak/>
        <w:t>Appendix B</w:t>
      </w:r>
    </w:p>
    <w:p w14:paraId="184D5F5C" w14:textId="77777777" w:rsidR="00E82C29" w:rsidRPr="00293DC5" w:rsidRDefault="00E82C29" w:rsidP="00E82C29">
      <w:pPr>
        <w:keepNext/>
        <w:widowControl/>
        <w:spacing w:after="240"/>
        <w:contextualSpacing/>
        <w:jc w:val="center"/>
        <w:rPr>
          <w:rFonts w:eastAsia="SimHei"/>
          <w:b/>
          <w:szCs w:val="52"/>
        </w:rPr>
      </w:pPr>
      <w:r w:rsidRPr="00293DC5">
        <w:rPr>
          <w:rFonts w:eastAsia="SimHei"/>
          <w:b/>
          <w:szCs w:val="52"/>
        </w:rPr>
        <w:t>Party Approval Voting Requirements</w:t>
      </w:r>
    </w:p>
    <w:p w14:paraId="6B500C1C" w14:textId="77777777" w:rsidR="00E82C29" w:rsidRPr="00293DC5" w:rsidRDefault="00E82C29" w:rsidP="00E82C29">
      <w:pPr>
        <w:widowControl/>
        <w:jc w:val="both"/>
        <w:rPr>
          <w:szCs w:val="24"/>
        </w:rPr>
      </w:pPr>
    </w:p>
    <w:p w14:paraId="78ED7725" w14:textId="77777777" w:rsidR="00E82C29" w:rsidRPr="00293DC5" w:rsidRDefault="00E82C29" w:rsidP="00E82C29">
      <w:pPr>
        <w:widowControl/>
        <w:jc w:val="both"/>
        <w:rPr>
          <w:szCs w:val="24"/>
          <w:u w:val="single"/>
        </w:rPr>
      </w:pPr>
      <w:r w:rsidRPr="00293DC5">
        <w:rPr>
          <w:szCs w:val="24"/>
        </w:rPr>
        <w:t>For so long as a Party holds, directly or indirectly, a 20% or greater interest in the Tacoma LNG Project, each of the following matters shall require the affirmative vote of such Party (“</w:t>
      </w:r>
      <w:r w:rsidRPr="00293DC5">
        <w:rPr>
          <w:b/>
          <w:bCs/>
          <w:szCs w:val="24"/>
        </w:rPr>
        <w:t>Party Approval</w:t>
      </w:r>
      <w:r w:rsidRPr="00293DC5">
        <w:rPr>
          <w:szCs w:val="24"/>
        </w:rPr>
        <w:t>”):</w:t>
      </w:r>
    </w:p>
    <w:p w14:paraId="4900B2B6" w14:textId="77777777" w:rsidR="00E82C29" w:rsidRPr="00293DC5" w:rsidRDefault="00E82C29" w:rsidP="00E82C29">
      <w:pPr>
        <w:widowControl/>
        <w:jc w:val="both"/>
        <w:rPr>
          <w:szCs w:val="24"/>
          <w:u w:val="single"/>
        </w:rPr>
      </w:pPr>
    </w:p>
    <w:p w14:paraId="3AD4DC17" w14:textId="77777777" w:rsidR="00871C04" w:rsidRDefault="00871C04" w:rsidP="00871C04">
      <w:pPr>
        <w:widowControl/>
        <w:spacing w:after="240"/>
        <w:ind w:left="720" w:hanging="360"/>
        <w:jc w:val="both"/>
        <w:rPr>
          <w:szCs w:val="24"/>
        </w:rPr>
      </w:pPr>
      <w:bookmarkStart w:id="14" w:name="_Ref462406071"/>
      <w:r>
        <w:rPr>
          <w:szCs w:val="24"/>
        </w:rPr>
        <w:t>1.</w:t>
      </w:r>
      <w:r>
        <w:rPr>
          <w:szCs w:val="24"/>
        </w:rPr>
        <w:tab/>
      </w:r>
      <w:r w:rsidR="00E82C29" w:rsidRPr="00293DC5">
        <w:rPr>
          <w:szCs w:val="24"/>
        </w:rPr>
        <w:t>Approval of the Annual Budget and any changes thereto.</w:t>
      </w:r>
      <w:bookmarkEnd w:id="14"/>
    </w:p>
    <w:p w14:paraId="130C2E62" w14:textId="77777777" w:rsidR="00871C04" w:rsidRDefault="00871C04" w:rsidP="00871C04">
      <w:pPr>
        <w:widowControl/>
        <w:spacing w:after="240"/>
        <w:ind w:left="720" w:hanging="360"/>
        <w:jc w:val="both"/>
        <w:rPr>
          <w:szCs w:val="24"/>
        </w:rPr>
      </w:pPr>
      <w:r>
        <w:rPr>
          <w:szCs w:val="24"/>
        </w:rPr>
        <w:t>2.</w:t>
      </w:r>
      <w:r>
        <w:rPr>
          <w:szCs w:val="24"/>
        </w:rPr>
        <w:tab/>
      </w:r>
      <w:r w:rsidR="00E82C29" w:rsidRPr="00293DC5">
        <w:rPr>
          <w:szCs w:val="24"/>
        </w:rPr>
        <w:t>Any decision to acquire or dispose of assets comprising the Tacoma LNG Project in excess of $100,000 in any single transaction, except as included in the Annual Budget.</w:t>
      </w:r>
    </w:p>
    <w:p w14:paraId="555C18C7" w14:textId="77777777" w:rsidR="00871C04" w:rsidRDefault="00871C04" w:rsidP="00871C04">
      <w:pPr>
        <w:widowControl/>
        <w:spacing w:after="240"/>
        <w:ind w:left="720" w:hanging="360"/>
        <w:jc w:val="both"/>
        <w:rPr>
          <w:szCs w:val="24"/>
        </w:rPr>
      </w:pPr>
      <w:r>
        <w:rPr>
          <w:szCs w:val="24"/>
        </w:rPr>
        <w:t>3.</w:t>
      </w:r>
      <w:r>
        <w:rPr>
          <w:szCs w:val="24"/>
        </w:rPr>
        <w:tab/>
      </w:r>
      <w:r w:rsidR="00E82C29" w:rsidRPr="00293DC5">
        <w:rPr>
          <w:szCs w:val="24"/>
        </w:rPr>
        <w:t>Any incurrence of indebtedness for which the Parties shall be jointly liable (other than as contemplated by the Annual Budget or in the ordinary course of business).</w:t>
      </w:r>
    </w:p>
    <w:p w14:paraId="492F6674" w14:textId="77777777" w:rsidR="00871C04" w:rsidRDefault="00871C04" w:rsidP="00871C04">
      <w:pPr>
        <w:widowControl/>
        <w:spacing w:after="240"/>
        <w:ind w:left="720" w:hanging="360"/>
        <w:jc w:val="both"/>
        <w:rPr>
          <w:szCs w:val="24"/>
        </w:rPr>
      </w:pPr>
      <w:r>
        <w:rPr>
          <w:szCs w:val="24"/>
        </w:rPr>
        <w:t>4.</w:t>
      </w:r>
      <w:r>
        <w:rPr>
          <w:szCs w:val="24"/>
        </w:rPr>
        <w:tab/>
      </w:r>
      <w:r w:rsidR="00E82C29" w:rsidRPr="00293DC5">
        <w:rPr>
          <w:szCs w:val="24"/>
        </w:rPr>
        <w:t>The placement of any lien on the assets of the Tacoma LNG Project, other than as contemplated by the Annual Budget, other than the lien of PSE’s mortgage indenture, which shall automatically attach.</w:t>
      </w:r>
    </w:p>
    <w:p w14:paraId="3A7A5A04" w14:textId="77777777" w:rsidR="00871C04" w:rsidRDefault="00871C04" w:rsidP="00871C04">
      <w:pPr>
        <w:widowControl/>
        <w:spacing w:after="240"/>
        <w:ind w:left="720" w:hanging="360"/>
        <w:jc w:val="both"/>
        <w:rPr>
          <w:szCs w:val="24"/>
        </w:rPr>
      </w:pPr>
      <w:r>
        <w:rPr>
          <w:szCs w:val="24"/>
        </w:rPr>
        <w:t>5.</w:t>
      </w:r>
      <w:r>
        <w:rPr>
          <w:szCs w:val="24"/>
        </w:rPr>
        <w:tab/>
      </w:r>
      <w:r w:rsidR="00E82C29" w:rsidRPr="00293DC5">
        <w:rPr>
          <w:szCs w:val="24"/>
        </w:rPr>
        <w:t>The making of a guarantee by the Parties on a joint and several basis of payment obligations or performance of other obligations of third parties, other than in the ordinary course of business or as contemplated by the Annual Budget.</w:t>
      </w:r>
    </w:p>
    <w:p w14:paraId="02DC182F" w14:textId="77777777" w:rsidR="00871C04" w:rsidRDefault="00871C04" w:rsidP="00871C04">
      <w:pPr>
        <w:widowControl/>
        <w:spacing w:after="240"/>
        <w:ind w:left="720" w:hanging="360"/>
        <w:jc w:val="both"/>
        <w:rPr>
          <w:szCs w:val="24"/>
        </w:rPr>
      </w:pPr>
      <w:r>
        <w:rPr>
          <w:szCs w:val="24"/>
        </w:rPr>
        <w:t>6.</w:t>
      </w:r>
      <w:r>
        <w:rPr>
          <w:szCs w:val="24"/>
        </w:rPr>
        <w:tab/>
      </w:r>
      <w:r w:rsidR="00E82C29" w:rsidRPr="00293DC5">
        <w:rPr>
          <w:szCs w:val="24"/>
        </w:rPr>
        <w:t>Entering into any contract pertaining to the Tacoma LNG Project having either a current market value or a total remaining cost of greater than $250,000, or amending or modifying in any material respect or terminating such a contract, except as consistent with the Annual Budget.</w:t>
      </w:r>
    </w:p>
    <w:p w14:paraId="5098768D" w14:textId="77777777" w:rsidR="00871C04" w:rsidRDefault="00871C04" w:rsidP="00871C04">
      <w:pPr>
        <w:widowControl/>
        <w:spacing w:after="240"/>
        <w:ind w:left="720" w:hanging="360"/>
        <w:jc w:val="both"/>
        <w:rPr>
          <w:szCs w:val="24"/>
        </w:rPr>
      </w:pPr>
      <w:r>
        <w:rPr>
          <w:szCs w:val="24"/>
        </w:rPr>
        <w:t>7.</w:t>
      </w:r>
      <w:r>
        <w:rPr>
          <w:szCs w:val="24"/>
        </w:rPr>
        <w:tab/>
      </w:r>
      <w:r w:rsidR="00E82C29" w:rsidRPr="00293DC5">
        <w:rPr>
          <w:szCs w:val="24"/>
        </w:rPr>
        <w:t>Any decision to initiate or settle any litigation pertaining to the Tacoma LNG Project having a value in excess of $100,000.</w:t>
      </w:r>
    </w:p>
    <w:p w14:paraId="0408D0E7" w14:textId="77777777" w:rsidR="00871C04" w:rsidRDefault="00871C04" w:rsidP="00871C04">
      <w:pPr>
        <w:widowControl/>
        <w:spacing w:after="240"/>
        <w:ind w:left="720" w:hanging="360"/>
        <w:jc w:val="both"/>
        <w:rPr>
          <w:szCs w:val="24"/>
        </w:rPr>
      </w:pPr>
      <w:r>
        <w:rPr>
          <w:szCs w:val="24"/>
        </w:rPr>
        <w:t>8.</w:t>
      </w:r>
      <w:r>
        <w:rPr>
          <w:szCs w:val="24"/>
        </w:rPr>
        <w:tab/>
      </w:r>
      <w:r w:rsidR="00E82C29" w:rsidRPr="00293DC5">
        <w:rPr>
          <w:szCs w:val="24"/>
        </w:rPr>
        <w:t>Other than routine filings and notifications, the making of any filing with or notification to any regulatory authority have jurisdiction over the Tacoma LNG Project or the Parties’ activities with respect thereto.</w:t>
      </w:r>
    </w:p>
    <w:p w14:paraId="6142D195" w14:textId="77777777" w:rsidR="00871C04" w:rsidRDefault="00871C04" w:rsidP="00871C04">
      <w:pPr>
        <w:widowControl/>
        <w:spacing w:after="240"/>
        <w:ind w:left="720" w:hanging="360"/>
        <w:jc w:val="both"/>
        <w:rPr>
          <w:szCs w:val="24"/>
        </w:rPr>
      </w:pPr>
      <w:r>
        <w:rPr>
          <w:szCs w:val="24"/>
        </w:rPr>
        <w:t>9.</w:t>
      </w:r>
      <w:r>
        <w:rPr>
          <w:szCs w:val="24"/>
        </w:rPr>
        <w:tab/>
      </w:r>
      <w:r w:rsidR="00E82C29" w:rsidRPr="00293DC5">
        <w:rPr>
          <w:szCs w:val="24"/>
        </w:rPr>
        <w:t>The appointment of any agents or intermediaries with authority to act in the name of or otherwise bind the Parties with respect to the Tacoma LNG Project.</w:t>
      </w:r>
    </w:p>
    <w:p w14:paraId="5B6F2CA6" w14:textId="77777777" w:rsidR="00871C04" w:rsidRDefault="00871C04" w:rsidP="00871C04">
      <w:pPr>
        <w:widowControl/>
        <w:spacing w:after="240"/>
        <w:ind w:left="720" w:hanging="360"/>
        <w:jc w:val="both"/>
        <w:rPr>
          <w:szCs w:val="24"/>
        </w:rPr>
      </w:pPr>
      <w:r>
        <w:rPr>
          <w:szCs w:val="24"/>
        </w:rPr>
        <w:t>10.</w:t>
      </w:r>
      <w:r>
        <w:rPr>
          <w:szCs w:val="24"/>
        </w:rPr>
        <w:tab/>
      </w:r>
      <w:r w:rsidR="00E82C29" w:rsidRPr="00293DC5">
        <w:rPr>
          <w:szCs w:val="24"/>
        </w:rPr>
        <w:t>Entry into, or amendment or modification in any material respect of, any transaction pertaining to the Tacoma LNG Project with any Party or with an affiliate of any Party, other than on fair and reasonable terms substantially as favorable to the Parties or the Tacoma LNG Project as would be obtainable at the time in a comparable arm’s length transaction.</w:t>
      </w:r>
    </w:p>
    <w:p w14:paraId="5310CF3E" w14:textId="77777777" w:rsidR="00E82C29" w:rsidRPr="00293DC5" w:rsidRDefault="00871C04" w:rsidP="00871C04">
      <w:pPr>
        <w:widowControl/>
        <w:spacing w:after="240"/>
        <w:ind w:left="720" w:hanging="360"/>
        <w:jc w:val="both"/>
        <w:rPr>
          <w:szCs w:val="24"/>
        </w:rPr>
      </w:pPr>
      <w:r>
        <w:rPr>
          <w:szCs w:val="24"/>
        </w:rPr>
        <w:t>11.</w:t>
      </w:r>
      <w:r>
        <w:rPr>
          <w:szCs w:val="24"/>
        </w:rPr>
        <w:tab/>
      </w:r>
      <w:r w:rsidR="00E82C29" w:rsidRPr="00293DC5">
        <w:rPr>
          <w:szCs w:val="24"/>
        </w:rPr>
        <w:t>Any decision to grant to any Third Party rights to use real property rights acquired for the Tacoma LNG Project.</w:t>
      </w:r>
    </w:p>
    <w:p w14:paraId="46EB6FCA" w14:textId="77777777" w:rsidR="00E82C29" w:rsidRDefault="00E82C29" w:rsidP="00E82C29">
      <w:pPr>
        <w:pStyle w:val="BodyTextIndent"/>
        <w:keepNext/>
        <w:keepLines/>
        <w:tabs>
          <w:tab w:val="clear" w:pos="0"/>
          <w:tab w:val="clear" w:pos="720"/>
          <w:tab w:val="clear" w:pos="4320"/>
          <w:tab w:val="clear" w:pos="5040"/>
          <w:tab w:val="clear" w:pos="5760"/>
          <w:tab w:val="clear" w:pos="6480"/>
          <w:tab w:val="clear" w:pos="7200"/>
          <w:tab w:val="clear" w:pos="7920"/>
        </w:tabs>
        <w:spacing w:after="280" w:line="240" w:lineRule="auto"/>
        <w:jc w:val="center"/>
        <w:outlineLvl w:val="0"/>
        <w:rPr>
          <w:b/>
        </w:rPr>
      </w:pPr>
    </w:p>
    <w:p w14:paraId="512C724C" w14:textId="77777777" w:rsidR="00E82C29" w:rsidRDefault="00E82C29" w:rsidP="00E82C29">
      <w:pPr>
        <w:pStyle w:val="BodyTextIndent"/>
        <w:keepNext/>
        <w:keepLines/>
        <w:tabs>
          <w:tab w:val="clear" w:pos="0"/>
          <w:tab w:val="clear" w:pos="720"/>
          <w:tab w:val="clear" w:pos="4320"/>
          <w:tab w:val="clear" w:pos="5040"/>
          <w:tab w:val="clear" w:pos="5760"/>
          <w:tab w:val="clear" w:pos="6480"/>
          <w:tab w:val="clear" w:pos="7200"/>
          <w:tab w:val="clear" w:pos="7920"/>
        </w:tabs>
        <w:spacing w:after="280" w:line="240" w:lineRule="auto"/>
        <w:jc w:val="center"/>
        <w:outlineLvl w:val="0"/>
        <w:rPr>
          <w:b/>
        </w:rPr>
        <w:sectPr w:rsidR="00E82C29" w:rsidSect="00220B55">
          <w:footerReference w:type="default" r:id="rId24"/>
          <w:pgSz w:w="12240" w:h="15840" w:code="1"/>
          <w:pgMar w:top="1440" w:right="1440" w:bottom="1440" w:left="1440" w:header="1008" w:footer="843" w:gutter="0"/>
          <w:pgNumType w:start="1"/>
          <w:cols w:space="720"/>
          <w:noEndnote/>
          <w:docGrid w:linePitch="326"/>
        </w:sectPr>
      </w:pPr>
    </w:p>
    <w:p w14:paraId="51B8DE45" w14:textId="048F609C" w:rsidR="00220B55" w:rsidRDefault="00220B55" w:rsidP="00220B55">
      <w:pPr>
        <w:pStyle w:val="BodyTextIndent"/>
        <w:keepNext/>
        <w:keepLines/>
        <w:tabs>
          <w:tab w:val="clear" w:pos="0"/>
          <w:tab w:val="clear" w:pos="720"/>
          <w:tab w:val="clear" w:pos="4320"/>
          <w:tab w:val="clear" w:pos="5040"/>
          <w:tab w:val="clear" w:pos="5760"/>
          <w:tab w:val="clear" w:pos="6480"/>
          <w:tab w:val="clear" w:pos="7200"/>
          <w:tab w:val="clear" w:pos="7920"/>
        </w:tabs>
        <w:spacing w:after="600" w:line="240" w:lineRule="auto"/>
        <w:jc w:val="center"/>
        <w:outlineLvl w:val="0"/>
        <w:rPr>
          <w:b/>
        </w:rPr>
        <w:sectPr w:rsidR="00220B55" w:rsidSect="004353C1">
          <w:headerReference w:type="default" r:id="rId25"/>
          <w:footerReference w:type="default" r:id="rId26"/>
          <w:headerReference w:type="first" r:id="rId27"/>
          <w:footerReference w:type="first" r:id="rId28"/>
          <w:pgSz w:w="12240" w:h="15840" w:code="1"/>
          <w:pgMar w:top="1440" w:right="1440" w:bottom="1440" w:left="1440" w:header="720" w:footer="720" w:gutter="0"/>
          <w:cols w:space="720"/>
          <w:vAlign w:val="center"/>
          <w:titlePg/>
          <w:docGrid w:linePitch="360"/>
        </w:sectPr>
      </w:pPr>
      <w:r>
        <w:rPr>
          <w:b/>
        </w:rPr>
        <w:lastRenderedPageBreak/>
        <w:t xml:space="preserve">ATTACHMENT C TO THE </w:t>
      </w:r>
      <w:r>
        <w:rPr>
          <w:b/>
        </w:rPr>
        <w:br/>
      </w:r>
      <w:r w:rsidRPr="004353C1">
        <w:rPr>
          <w:b/>
        </w:rPr>
        <w:t>FULL SETTLEMENT STIPULATION</w:t>
      </w:r>
    </w:p>
    <w:p w14:paraId="3129A640" w14:textId="1DEFEBE3" w:rsidR="00E82C29" w:rsidRDefault="00E82C29" w:rsidP="00E82C29">
      <w:pPr>
        <w:pStyle w:val="BodyTextIndent"/>
        <w:keepNext/>
        <w:keepLines/>
        <w:tabs>
          <w:tab w:val="clear" w:pos="0"/>
          <w:tab w:val="clear" w:pos="720"/>
          <w:tab w:val="clear" w:pos="4320"/>
          <w:tab w:val="clear" w:pos="5040"/>
          <w:tab w:val="clear" w:pos="5760"/>
          <w:tab w:val="clear" w:pos="6480"/>
          <w:tab w:val="clear" w:pos="7200"/>
          <w:tab w:val="clear" w:pos="7920"/>
        </w:tabs>
        <w:spacing w:after="600" w:line="240" w:lineRule="auto"/>
        <w:jc w:val="center"/>
        <w:outlineLvl w:val="0"/>
        <w:rPr>
          <w:b/>
        </w:rPr>
      </w:pPr>
      <w:r w:rsidRPr="00786161">
        <w:rPr>
          <w:b/>
        </w:rPr>
        <w:lastRenderedPageBreak/>
        <w:t xml:space="preserve">ATTACHMENT </w:t>
      </w:r>
      <w:r w:rsidR="00241563">
        <w:rPr>
          <w:b/>
        </w:rPr>
        <w:t>C</w:t>
      </w:r>
      <w:r w:rsidRPr="00786161">
        <w:rPr>
          <w:b/>
        </w:rPr>
        <w:br/>
        <w:t xml:space="preserve">Representative </w:t>
      </w:r>
      <w:r>
        <w:rPr>
          <w:b/>
        </w:rPr>
        <w:t>L</w:t>
      </w:r>
      <w:r w:rsidRPr="00786161">
        <w:rPr>
          <w:b/>
        </w:rPr>
        <w:t>ist of Fixed Operating Costs Associated with the Tacoma LNG Facility</w:t>
      </w:r>
      <w:r>
        <w:rPr>
          <w:b/>
        </w:rPr>
        <w:br/>
        <w:t xml:space="preserve">(Projected Annual </w:t>
      </w:r>
      <w:r w:rsidRPr="00786161">
        <w:rPr>
          <w:b/>
        </w:rPr>
        <w:t xml:space="preserve">Fixed Operating Costs </w:t>
      </w:r>
      <w:r>
        <w:rPr>
          <w:b/>
        </w:rPr>
        <w:t>for Calendar Year 2020)</w:t>
      </w:r>
    </w:p>
    <w:p w14:paraId="25DBBA85" w14:textId="1C75B924" w:rsidR="00E82C29" w:rsidRPr="00725795" w:rsidRDefault="00E82C29" w:rsidP="00E82C29">
      <w:pPr>
        <w:pStyle w:val="BodyTextIndent"/>
        <w:keepNext/>
        <w:keepLines/>
        <w:tabs>
          <w:tab w:val="clear" w:pos="0"/>
          <w:tab w:val="clear" w:pos="720"/>
          <w:tab w:val="clear" w:pos="4320"/>
          <w:tab w:val="clear" w:pos="5040"/>
          <w:tab w:val="clear" w:pos="5760"/>
          <w:tab w:val="clear" w:pos="6480"/>
          <w:tab w:val="clear" w:pos="7200"/>
          <w:tab w:val="clear" w:pos="7920"/>
        </w:tabs>
        <w:spacing w:before="600" w:after="600" w:line="240" w:lineRule="auto"/>
        <w:ind w:firstLine="720"/>
        <w:jc w:val="left"/>
        <w:outlineLvl w:val="0"/>
      </w:pPr>
      <w:r>
        <w:t xml:space="preserve">The following fixed operating </w:t>
      </w:r>
      <w:r w:rsidRPr="006F0BA2">
        <w:t xml:space="preserve">costs </w:t>
      </w:r>
      <w:r>
        <w:t xml:space="preserve">represent the projected </w:t>
      </w:r>
      <w:r w:rsidRPr="006F0BA2">
        <w:t xml:space="preserve">annual fixed operating costs for </w:t>
      </w:r>
      <w:r w:rsidRPr="006F0BA2">
        <w:rPr>
          <w:i/>
        </w:rPr>
        <w:t>all</w:t>
      </w:r>
      <w:r>
        <w:t xml:space="preserve"> operations for </w:t>
      </w:r>
      <w:r w:rsidRPr="006F0BA2">
        <w:t>calendar year 2020</w:t>
      </w:r>
      <w:r w:rsidR="002D74F8">
        <w:t xml:space="preserve"> other than </w:t>
      </w:r>
      <w:r w:rsidR="002D74F8" w:rsidRPr="002D74F8">
        <w:t>Bunkering Station costs</w:t>
      </w:r>
      <w:r>
        <w:t xml:space="preserve"> and are not allocated between regulated and non-regulated operations of the Tacoma LNG Facility.</w:t>
      </w:r>
    </w:p>
    <w:tbl>
      <w:tblPr>
        <w:tblW w:w="4978" w:type="dxa"/>
        <w:jc w:val="center"/>
        <w:tblLook w:val="04A0" w:firstRow="1" w:lastRow="0" w:firstColumn="1" w:lastColumn="0" w:noHBand="0" w:noVBand="1"/>
      </w:tblPr>
      <w:tblGrid>
        <w:gridCol w:w="3682"/>
        <w:gridCol w:w="1296"/>
      </w:tblGrid>
      <w:tr w:rsidR="00A93B4E" w14:paraId="0B87D2AF" w14:textId="77777777" w:rsidTr="00E82C29">
        <w:trPr>
          <w:trHeight w:val="300"/>
          <w:jc w:val="center"/>
        </w:trPr>
        <w:tc>
          <w:tcPr>
            <w:tcW w:w="3682" w:type="dxa"/>
            <w:tcBorders>
              <w:bottom w:val="single" w:sz="4" w:space="0" w:color="auto"/>
            </w:tcBorders>
            <w:shd w:val="clear" w:color="000000" w:fill="FFFFFF"/>
            <w:noWrap/>
            <w:vAlign w:val="bottom"/>
            <w:hideMark/>
          </w:tcPr>
          <w:p w14:paraId="798F4EEA" w14:textId="77777777" w:rsidR="00E82C29" w:rsidRPr="00C21D68" w:rsidRDefault="00E82C29" w:rsidP="00E82C29">
            <w:pPr>
              <w:widowControl/>
              <w:spacing w:before="60" w:after="60"/>
              <w:rPr>
                <w:b/>
                <w:bCs/>
                <w:color w:val="000000"/>
                <w:szCs w:val="24"/>
              </w:rPr>
            </w:pPr>
            <w:r w:rsidRPr="00C21D68">
              <w:rPr>
                <w:b/>
                <w:bCs/>
                <w:color w:val="000000"/>
                <w:szCs w:val="24"/>
              </w:rPr>
              <w:t>Fixed Operating Costs</w:t>
            </w:r>
          </w:p>
        </w:tc>
        <w:tc>
          <w:tcPr>
            <w:tcW w:w="1296" w:type="dxa"/>
            <w:tcBorders>
              <w:bottom w:val="single" w:sz="4" w:space="0" w:color="auto"/>
            </w:tcBorders>
            <w:shd w:val="clear" w:color="000000" w:fill="FFFFFF"/>
            <w:noWrap/>
            <w:vAlign w:val="bottom"/>
            <w:hideMark/>
          </w:tcPr>
          <w:p w14:paraId="09D3559B" w14:textId="77777777" w:rsidR="00E82C29" w:rsidRPr="00C21D68" w:rsidRDefault="00E82C29" w:rsidP="00E82C29">
            <w:pPr>
              <w:widowControl/>
              <w:spacing w:before="60" w:after="60"/>
              <w:jc w:val="center"/>
              <w:rPr>
                <w:b/>
                <w:bCs/>
                <w:color w:val="000000"/>
                <w:szCs w:val="24"/>
              </w:rPr>
            </w:pPr>
            <w:r w:rsidRPr="00C21D68">
              <w:rPr>
                <w:b/>
                <w:bCs/>
                <w:color w:val="000000"/>
                <w:szCs w:val="24"/>
              </w:rPr>
              <w:t>2020</w:t>
            </w:r>
          </w:p>
        </w:tc>
      </w:tr>
      <w:tr w:rsidR="00A93B4E" w14:paraId="308C9825" w14:textId="77777777" w:rsidTr="00E82C29">
        <w:trPr>
          <w:trHeight w:val="300"/>
          <w:jc w:val="center"/>
        </w:trPr>
        <w:tc>
          <w:tcPr>
            <w:tcW w:w="3682" w:type="dxa"/>
            <w:tcBorders>
              <w:top w:val="single" w:sz="4" w:space="0" w:color="auto"/>
            </w:tcBorders>
            <w:shd w:val="clear" w:color="000000" w:fill="FFFFFF"/>
            <w:noWrap/>
            <w:vAlign w:val="bottom"/>
            <w:hideMark/>
          </w:tcPr>
          <w:p w14:paraId="74AA3FF7" w14:textId="77777777" w:rsidR="00E82C29" w:rsidRPr="00C21D68" w:rsidRDefault="00E82C29" w:rsidP="00E82C29">
            <w:pPr>
              <w:widowControl/>
              <w:spacing w:before="60" w:after="60"/>
              <w:ind w:firstLineChars="45" w:firstLine="108"/>
              <w:rPr>
                <w:color w:val="000000"/>
                <w:szCs w:val="24"/>
              </w:rPr>
            </w:pPr>
            <w:r w:rsidRPr="00C21D68">
              <w:rPr>
                <w:color w:val="000000"/>
                <w:szCs w:val="24"/>
              </w:rPr>
              <w:t>Maintenance</w:t>
            </w:r>
          </w:p>
        </w:tc>
        <w:tc>
          <w:tcPr>
            <w:tcW w:w="1296" w:type="dxa"/>
            <w:tcBorders>
              <w:top w:val="single" w:sz="4" w:space="0" w:color="auto"/>
            </w:tcBorders>
            <w:shd w:val="clear" w:color="000000" w:fill="FFFFFF"/>
            <w:noWrap/>
            <w:vAlign w:val="bottom"/>
            <w:hideMark/>
          </w:tcPr>
          <w:p w14:paraId="4264D001" w14:textId="77777777" w:rsidR="00E82C29" w:rsidRPr="00C21D68" w:rsidRDefault="00E82C29" w:rsidP="00E82C29">
            <w:pPr>
              <w:widowControl/>
              <w:spacing w:before="60" w:after="60"/>
              <w:jc w:val="right"/>
              <w:rPr>
                <w:color w:val="000000"/>
                <w:szCs w:val="24"/>
              </w:rPr>
            </w:pPr>
            <w:r w:rsidRPr="00C21D68">
              <w:rPr>
                <w:color w:val="000000"/>
                <w:szCs w:val="24"/>
              </w:rPr>
              <w:t>$751,249</w:t>
            </w:r>
          </w:p>
        </w:tc>
      </w:tr>
      <w:tr w:rsidR="00A93B4E" w14:paraId="4209E21C" w14:textId="77777777" w:rsidTr="00E82C29">
        <w:trPr>
          <w:trHeight w:val="300"/>
          <w:jc w:val="center"/>
        </w:trPr>
        <w:tc>
          <w:tcPr>
            <w:tcW w:w="3682" w:type="dxa"/>
            <w:shd w:val="clear" w:color="000000" w:fill="FFFFFF"/>
            <w:noWrap/>
            <w:vAlign w:val="bottom"/>
            <w:hideMark/>
          </w:tcPr>
          <w:p w14:paraId="1CB59EDB" w14:textId="77777777" w:rsidR="00E82C29" w:rsidRPr="00C21D68" w:rsidRDefault="00E82C29" w:rsidP="00E82C29">
            <w:pPr>
              <w:widowControl/>
              <w:spacing w:before="60" w:after="60"/>
              <w:ind w:firstLineChars="45" w:firstLine="108"/>
              <w:rPr>
                <w:color w:val="000000"/>
                <w:szCs w:val="24"/>
              </w:rPr>
            </w:pPr>
            <w:r w:rsidRPr="00C21D68">
              <w:rPr>
                <w:color w:val="000000"/>
                <w:szCs w:val="24"/>
              </w:rPr>
              <w:t>Staff</w:t>
            </w:r>
          </w:p>
        </w:tc>
        <w:tc>
          <w:tcPr>
            <w:tcW w:w="1296" w:type="dxa"/>
            <w:shd w:val="clear" w:color="000000" w:fill="FFFFFF"/>
            <w:noWrap/>
            <w:vAlign w:val="bottom"/>
            <w:hideMark/>
          </w:tcPr>
          <w:p w14:paraId="7E9C021C" w14:textId="77777777" w:rsidR="00E82C29" w:rsidRPr="00C21D68" w:rsidRDefault="00E82C29" w:rsidP="00E82C29">
            <w:pPr>
              <w:widowControl/>
              <w:spacing w:before="60" w:after="60"/>
              <w:jc w:val="right"/>
              <w:rPr>
                <w:color w:val="000000"/>
                <w:szCs w:val="24"/>
              </w:rPr>
            </w:pPr>
            <w:r w:rsidRPr="00C21D68">
              <w:rPr>
                <w:color w:val="000000"/>
                <w:szCs w:val="24"/>
              </w:rPr>
              <w:t>$3,157,852</w:t>
            </w:r>
          </w:p>
        </w:tc>
      </w:tr>
      <w:tr w:rsidR="00A93B4E" w14:paraId="7052EDB2" w14:textId="77777777" w:rsidTr="00E82C29">
        <w:trPr>
          <w:trHeight w:val="300"/>
          <w:jc w:val="center"/>
        </w:trPr>
        <w:tc>
          <w:tcPr>
            <w:tcW w:w="3682" w:type="dxa"/>
            <w:shd w:val="clear" w:color="000000" w:fill="FFFFFF"/>
            <w:noWrap/>
            <w:vAlign w:val="bottom"/>
            <w:hideMark/>
          </w:tcPr>
          <w:p w14:paraId="10342245" w14:textId="77777777" w:rsidR="00E82C29" w:rsidRPr="00C21D68" w:rsidRDefault="00E82C29" w:rsidP="00E82C29">
            <w:pPr>
              <w:widowControl/>
              <w:spacing w:before="60" w:after="60"/>
              <w:ind w:firstLineChars="45" w:firstLine="108"/>
              <w:rPr>
                <w:color w:val="000000"/>
                <w:szCs w:val="24"/>
              </w:rPr>
            </w:pPr>
            <w:r w:rsidRPr="00C21D68">
              <w:rPr>
                <w:color w:val="000000"/>
                <w:szCs w:val="24"/>
              </w:rPr>
              <w:t>Incremental Insurance</w:t>
            </w:r>
          </w:p>
        </w:tc>
        <w:tc>
          <w:tcPr>
            <w:tcW w:w="1296" w:type="dxa"/>
            <w:shd w:val="clear" w:color="000000" w:fill="FFFFFF"/>
            <w:noWrap/>
            <w:vAlign w:val="bottom"/>
            <w:hideMark/>
          </w:tcPr>
          <w:p w14:paraId="3B13593B" w14:textId="77777777" w:rsidR="00E82C29" w:rsidRPr="00C21D68" w:rsidRDefault="00E82C29" w:rsidP="00E82C29">
            <w:pPr>
              <w:widowControl/>
              <w:spacing w:before="60" w:after="60"/>
              <w:jc w:val="right"/>
              <w:rPr>
                <w:color w:val="000000"/>
                <w:szCs w:val="24"/>
              </w:rPr>
            </w:pPr>
            <w:r w:rsidRPr="00C21D68">
              <w:rPr>
                <w:color w:val="000000"/>
                <w:szCs w:val="24"/>
              </w:rPr>
              <w:t>$864,769</w:t>
            </w:r>
          </w:p>
        </w:tc>
      </w:tr>
      <w:tr w:rsidR="00A93B4E" w14:paraId="1E9E4876" w14:textId="77777777" w:rsidTr="00E82C29">
        <w:trPr>
          <w:trHeight w:val="300"/>
          <w:jc w:val="center"/>
        </w:trPr>
        <w:tc>
          <w:tcPr>
            <w:tcW w:w="3682" w:type="dxa"/>
            <w:shd w:val="clear" w:color="000000" w:fill="FFFFFF"/>
            <w:noWrap/>
            <w:vAlign w:val="bottom"/>
            <w:hideMark/>
          </w:tcPr>
          <w:p w14:paraId="3875A785" w14:textId="77777777" w:rsidR="00E82C29" w:rsidRPr="00C21D68" w:rsidRDefault="00E82C29" w:rsidP="00E82C29">
            <w:pPr>
              <w:widowControl/>
              <w:spacing w:before="60" w:after="60"/>
              <w:ind w:firstLineChars="45" w:firstLine="108"/>
              <w:rPr>
                <w:color w:val="000000"/>
                <w:szCs w:val="24"/>
              </w:rPr>
            </w:pPr>
            <w:r w:rsidRPr="00C21D68">
              <w:rPr>
                <w:color w:val="000000"/>
                <w:szCs w:val="24"/>
              </w:rPr>
              <w:t xml:space="preserve">Allocated Corporate </w:t>
            </w:r>
            <w:r>
              <w:rPr>
                <w:color w:val="000000"/>
                <w:szCs w:val="24"/>
              </w:rPr>
              <w:t>Overheads</w:t>
            </w:r>
          </w:p>
        </w:tc>
        <w:tc>
          <w:tcPr>
            <w:tcW w:w="1296" w:type="dxa"/>
            <w:shd w:val="clear" w:color="000000" w:fill="FFFFFF"/>
            <w:noWrap/>
            <w:vAlign w:val="bottom"/>
            <w:hideMark/>
          </w:tcPr>
          <w:p w14:paraId="14A87BB3" w14:textId="77777777" w:rsidR="00E82C29" w:rsidRPr="00C21D68" w:rsidRDefault="00E82C29" w:rsidP="00E82C29">
            <w:pPr>
              <w:widowControl/>
              <w:spacing w:before="60" w:after="60"/>
              <w:jc w:val="right"/>
              <w:rPr>
                <w:color w:val="000000"/>
                <w:szCs w:val="24"/>
              </w:rPr>
            </w:pPr>
            <w:r w:rsidRPr="00C21D68">
              <w:rPr>
                <w:color w:val="000000"/>
                <w:szCs w:val="24"/>
              </w:rPr>
              <w:t>$1,812,388</w:t>
            </w:r>
          </w:p>
        </w:tc>
      </w:tr>
      <w:tr w:rsidR="00A93B4E" w14:paraId="70CF526B" w14:textId="77777777" w:rsidTr="00E82C29">
        <w:trPr>
          <w:trHeight w:val="300"/>
          <w:jc w:val="center"/>
        </w:trPr>
        <w:tc>
          <w:tcPr>
            <w:tcW w:w="3682" w:type="dxa"/>
            <w:shd w:val="clear" w:color="000000" w:fill="FFFFFF"/>
            <w:noWrap/>
            <w:vAlign w:val="bottom"/>
            <w:hideMark/>
          </w:tcPr>
          <w:p w14:paraId="394EA6D1" w14:textId="77777777" w:rsidR="00E82C29" w:rsidRPr="00C21D68" w:rsidRDefault="00E82C29" w:rsidP="00E82C29">
            <w:pPr>
              <w:widowControl/>
              <w:spacing w:before="60" w:after="60"/>
              <w:ind w:firstLineChars="45" w:firstLine="108"/>
              <w:rPr>
                <w:color w:val="000000"/>
                <w:szCs w:val="24"/>
              </w:rPr>
            </w:pPr>
            <w:r w:rsidRPr="00C21D68">
              <w:rPr>
                <w:color w:val="000000"/>
                <w:szCs w:val="24"/>
              </w:rPr>
              <w:t>Lease</w:t>
            </w:r>
          </w:p>
        </w:tc>
        <w:tc>
          <w:tcPr>
            <w:tcW w:w="1296" w:type="dxa"/>
            <w:shd w:val="clear" w:color="000000" w:fill="FFFFFF"/>
            <w:noWrap/>
            <w:vAlign w:val="bottom"/>
            <w:hideMark/>
          </w:tcPr>
          <w:p w14:paraId="19627280" w14:textId="77777777" w:rsidR="00E82C29" w:rsidRPr="00C21D68" w:rsidRDefault="00E82C29" w:rsidP="00E82C29">
            <w:pPr>
              <w:widowControl/>
              <w:spacing w:before="60" w:after="60"/>
              <w:jc w:val="right"/>
              <w:rPr>
                <w:color w:val="000000"/>
                <w:szCs w:val="24"/>
              </w:rPr>
            </w:pPr>
            <w:r w:rsidRPr="00C21D68">
              <w:rPr>
                <w:color w:val="000000"/>
                <w:szCs w:val="24"/>
              </w:rPr>
              <w:t>$2,613,074</w:t>
            </w:r>
          </w:p>
        </w:tc>
      </w:tr>
      <w:tr w:rsidR="00A93B4E" w14:paraId="27AA00D1" w14:textId="77777777" w:rsidTr="00E82C29">
        <w:trPr>
          <w:trHeight w:val="300"/>
          <w:jc w:val="center"/>
        </w:trPr>
        <w:tc>
          <w:tcPr>
            <w:tcW w:w="3682" w:type="dxa"/>
            <w:tcBorders>
              <w:top w:val="double" w:sz="4" w:space="0" w:color="auto"/>
            </w:tcBorders>
            <w:shd w:val="clear" w:color="000000" w:fill="FFFFFF"/>
            <w:noWrap/>
            <w:vAlign w:val="bottom"/>
            <w:hideMark/>
          </w:tcPr>
          <w:p w14:paraId="476B4588" w14:textId="77777777" w:rsidR="00E82C29" w:rsidRPr="006F0BA2" w:rsidRDefault="00E82C29" w:rsidP="00E82C29">
            <w:pPr>
              <w:widowControl/>
              <w:spacing w:before="60" w:after="60"/>
              <w:ind w:firstLineChars="45" w:firstLine="108"/>
              <w:rPr>
                <w:b/>
                <w:color w:val="000000"/>
                <w:szCs w:val="24"/>
              </w:rPr>
            </w:pPr>
            <w:r w:rsidRPr="006F0BA2">
              <w:rPr>
                <w:b/>
                <w:color w:val="000000"/>
                <w:szCs w:val="24"/>
              </w:rPr>
              <w:t>TOTAL</w:t>
            </w:r>
          </w:p>
        </w:tc>
        <w:tc>
          <w:tcPr>
            <w:tcW w:w="1296" w:type="dxa"/>
            <w:tcBorders>
              <w:top w:val="double" w:sz="4" w:space="0" w:color="auto"/>
            </w:tcBorders>
            <w:shd w:val="clear" w:color="000000" w:fill="FFFFFF"/>
            <w:noWrap/>
            <w:vAlign w:val="bottom"/>
            <w:hideMark/>
          </w:tcPr>
          <w:p w14:paraId="79575D7A" w14:textId="2C76FECA" w:rsidR="00E82C29" w:rsidRPr="006F0BA2" w:rsidRDefault="00E82C29" w:rsidP="00E82C29">
            <w:pPr>
              <w:widowControl/>
              <w:spacing w:before="60" w:after="60"/>
              <w:jc w:val="right"/>
              <w:rPr>
                <w:b/>
                <w:color w:val="000000"/>
                <w:szCs w:val="24"/>
              </w:rPr>
            </w:pPr>
            <w:r w:rsidRPr="006F0BA2">
              <w:rPr>
                <w:b/>
                <w:color w:val="000000"/>
                <w:szCs w:val="24"/>
              </w:rPr>
              <w:t>$</w:t>
            </w:r>
            <w:r w:rsidR="004353C1" w:rsidRPr="004353C1">
              <w:rPr>
                <w:b/>
                <w:color w:val="000000"/>
                <w:szCs w:val="24"/>
              </w:rPr>
              <w:t>9</w:t>
            </w:r>
            <w:r w:rsidR="004353C1">
              <w:rPr>
                <w:b/>
                <w:color w:val="000000"/>
                <w:szCs w:val="24"/>
              </w:rPr>
              <w:t>,</w:t>
            </w:r>
            <w:r w:rsidR="004353C1" w:rsidRPr="004353C1">
              <w:rPr>
                <w:b/>
                <w:color w:val="000000"/>
                <w:szCs w:val="24"/>
              </w:rPr>
              <w:t>199</w:t>
            </w:r>
            <w:r w:rsidR="004353C1">
              <w:rPr>
                <w:b/>
                <w:color w:val="000000"/>
                <w:szCs w:val="24"/>
              </w:rPr>
              <w:t>,</w:t>
            </w:r>
            <w:r w:rsidR="004353C1" w:rsidRPr="004353C1">
              <w:rPr>
                <w:b/>
                <w:color w:val="000000"/>
                <w:szCs w:val="24"/>
              </w:rPr>
              <w:t>332</w:t>
            </w:r>
          </w:p>
        </w:tc>
      </w:tr>
    </w:tbl>
    <w:p w14:paraId="3FEE1031" w14:textId="77777777" w:rsidR="00E82C29" w:rsidRDefault="00E82C29" w:rsidP="00E82C29">
      <w:pPr>
        <w:pStyle w:val="BodyTextIndent"/>
        <w:keepNext/>
        <w:keepLines/>
        <w:tabs>
          <w:tab w:val="clear" w:pos="0"/>
          <w:tab w:val="clear" w:pos="720"/>
          <w:tab w:val="clear" w:pos="4320"/>
          <w:tab w:val="clear" w:pos="5040"/>
          <w:tab w:val="clear" w:pos="5760"/>
          <w:tab w:val="clear" w:pos="6480"/>
          <w:tab w:val="clear" w:pos="7200"/>
          <w:tab w:val="clear" w:pos="7920"/>
        </w:tabs>
        <w:spacing w:after="280" w:line="240" w:lineRule="auto"/>
        <w:jc w:val="center"/>
        <w:outlineLvl w:val="0"/>
        <w:rPr>
          <w:b/>
        </w:rPr>
      </w:pPr>
    </w:p>
    <w:p w14:paraId="2AEFFF78" w14:textId="77777777" w:rsidR="00E82C29" w:rsidRDefault="00E82C29" w:rsidP="00E82C29">
      <w:pPr>
        <w:pStyle w:val="BodyTextIndent"/>
        <w:keepNext/>
        <w:keepLines/>
        <w:tabs>
          <w:tab w:val="clear" w:pos="0"/>
          <w:tab w:val="clear" w:pos="720"/>
          <w:tab w:val="clear" w:pos="4320"/>
          <w:tab w:val="clear" w:pos="5040"/>
          <w:tab w:val="clear" w:pos="5760"/>
          <w:tab w:val="clear" w:pos="6480"/>
          <w:tab w:val="clear" w:pos="7200"/>
          <w:tab w:val="clear" w:pos="7920"/>
        </w:tabs>
        <w:spacing w:after="280" w:line="240" w:lineRule="auto"/>
        <w:jc w:val="center"/>
        <w:outlineLvl w:val="0"/>
        <w:rPr>
          <w:b/>
        </w:rPr>
        <w:sectPr w:rsidR="00E82C29" w:rsidSect="00220B55">
          <w:footerReference w:type="default" r:id="rId29"/>
          <w:pgSz w:w="12240" w:h="15840" w:code="1"/>
          <w:pgMar w:top="1440" w:right="1440" w:bottom="1440" w:left="1440" w:header="1008" w:footer="843" w:gutter="0"/>
          <w:pgNumType w:start="1"/>
          <w:cols w:space="720"/>
          <w:noEndnote/>
          <w:docGrid w:linePitch="326"/>
        </w:sectPr>
      </w:pPr>
    </w:p>
    <w:p w14:paraId="1501B45D" w14:textId="6C0AD64A" w:rsidR="00220B55" w:rsidRDefault="00220B55" w:rsidP="00220B55">
      <w:pPr>
        <w:pStyle w:val="BodyTextIndent"/>
        <w:keepNext/>
        <w:keepLines/>
        <w:tabs>
          <w:tab w:val="clear" w:pos="0"/>
          <w:tab w:val="clear" w:pos="720"/>
          <w:tab w:val="clear" w:pos="4320"/>
          <w:tab w:val="clear" w:pos="5040"/>
          <w:tab w:val="clear" w:pos="5760"/>
          <w:tab w:val="clear" w:pos="6480"/>
          <w:tab w:val="clear" w:pos="7200"/>
          <w:tab w:val="clear" w:pos="7920"/>
        </w:tabs>
        <w:spacing w:after="600" w:line="240" w:lineRule="auto"/>
        <w:jc w:val="center"/>
        <w:outlineLvl w:val="0"/>
        <w:rPr>
          <w:b/>
        </w:rPr>
        <w:sectPr w:rsidR="00220B55" w:rsidSect="004353C1">
          <w:headerReference w:type="default" r:id="rId30"/>
          <w:footerReference w:type="default" r:id="rId31"/>
          <w:headerReference w:type="first" r:id="rId32"/>
          <w:footerReference w:type="first" r:id="rId33"/>
          <w:pgSz w:w="12240" w:h="15840" w:code="1"/>
          <w:pgMar w:top="1440" w:right="1440" w:bottom="1440" w:left="1440" w:header="720" w:footer="720" w:gutter="0"/>
          <w:cols w:space="720"/>
          <w:vAlign w:val="center"/>
          <w:titlePg/>
          <w:docGrid w:linePitch="360"/>
        </w:sectPr>
      </w:pPr>
      <w:r>
        <w:rPr>
          <w:b/>
        </w:rPr>
        <w:lastRenderedPageBreak/>
        <w:t xml:space="preserve">ATTACHMENT D TO THE </w:t>
      </w:r>
      <w:r>
        <w:rPr>
          <w:b/>
        </w:rPr>
        <w:br/>
      </w:r>
      <w:r w:rsidRPr="004353C1">
        <w:rPr>
          <w:b/>
        </w:rPr>
        <w:t>FULL SETTLEMENT STIPULATION</w:t>
      </w:r>
    </w:p>
    <w:p w14:paraId="54286600" w14:textId="385520C1" w:rsidR="00E82C29" w:rsidRPr="00E90677" w:rsidRDefault="00E82C29" w:rsidP="00E82C29">
      <w:pPr>
        <w:pStyle w:val="BodyTextIndent"/>
        <w:keepNext/>
        <w:keepLines/>
        <w:tabs>
          <w:tab w:val="clear" w:pos="0"/>
          <w:tab w:val="clear" w:pos="720"/>
          <w:tab w:val="clear" w:pos="4320"/>
          <w:tab w:val="clear" w:pos="5040"/>
          <w:tab w:val="clear" w:pos="5760"/>
          <w:tab w:val="clear" w:pos="6480"/>
          <w:tab w:val="clear" w:pos="7200"/>
          <w:tab w:val="clear" w:pos="7920"/>
        </w:tabs>
        <w:spacing w:after="600" w:line="240" w:lineRule="auto"/>
        <w:jc w:val="center"/>
        <w:outlineLvl w:val="0"/>
        <w:rPr>
          <w:b/>
        </w:rPr>
      </w:pPr>
      <w:r w:rsidRPr="00786161">
        <w:rPr>
          <w:b/>
        </w:rPr>
        <w:lastRenderedPageBreak/>
        <w:t xml:space="preserve">ATTACHMENT </w:t>
      </w:r>
      <w:r w:rsidR="00241563">
        <w:rPr>
          <w:b/>
        </w:rPr>
        <w:t>D</w:t>
      </w:r>
      <w:r w:rsidRPr="00786161">
        <w:rPr>
          <w:b/>
        </w:rPr>
        <w:br/>
      </w:r>
      <w:r>
        <w:rPr>
          <w:b/>
        </w:rPr>
        <w:t>Tacoma LNG Facility</w:t>
      </w:r>
      <w:r w:rsidRPr="0092001D">
        <w:rPr>
          <w:b/>
        </w:rPr>
        <w:t xml:space="preserve"> </w:t>
      </w:r>
      <w:r>
        <w:rPr>
          <w:b/>
        </w:rPr>
        <w:t>Ownership Shares</w:t>
      </w:r>
    </w:p>
    <w:tbl>
      <w:tblPr>
        <w:tblW w:w="9010" w:type="dxa"/>
        <w:jc w:val="center"/>
        <w:tblLook w:val="04A0" w:firstRow="1" w:lastRow="0" w:firstColumn="1" w:lastColumn="0" w:noHBand="0" w:noVBand="1"/>
      </w:tblPr>
      <w:tblGrid>
        <w:gridCol w:w="1903"/>
        <w:gridCol w:w="976"/>
        <w:gridCol w:w="983"/>
        <w:gridCol w:w="1716"/>
        <w:gridCol w:w="1716"/>
        <w:gridCol w:w="1716"/>
      </w:tblGrid>
      <w:tr w:rsidR="00A93B4E" w14:paraId="1BDC2481" w14:textId="77777777" w:rsidTr="00E82C29">
        <w:trPr>
          <w:trHeight w:val="1575"/>
          <w:jc w:val="center"/>
        </w:trPr>
        <w:tc>
          <w:tcPr>
            <w:tcW w:w="1903"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CDDEBD0" w14:textId="77777777" w:rsidR="00E82C29" w:rsidRPr="00DF5710" w:rsidRDefault="00E82C29" w:rsidP="00E82C29">
            <w:pPr>
              <w:widowControl/>
              <w:jc w:val="center"/>
              <w:rPr>
                <w:b/>
                <w:bCs/>
                <w:color w:val="000000"/>
                <w:szCs w:val="24"/>
              </w:rPr>
            </w:pPr>
            <w:r w:rsidRPr="00DF5710">
              <w:rPr>
                <w:b/>
                <w:bCs/>
                <w:color w:val="000000"/>
                <w:szCs w:val="24"/>
              </w:rPr>
              <w:t>Component</w:t>
            </w:r>
            <w:r w:rsidRPr="00DF5710">
              <w:rPr>
                <w:b/>
                <w:bCs/>
                <w:color w:val="000000"/>
                <w:szCs w:val="24"/>
              </w:rPr>
              <w:br/>
              <w:t>Ownership</w:t>
            </w:r>
            <w:r w:rsidRPr="00DF5710">
              <w:rPr>
                <w:b/>
                <w:bCs/>
                <w:color w:val="000000"/>
                <w:szCs w:val="24"/>
              </w:rPr>
              <w:br/>
              <w:t>Share</w:t>
            </w:r>
          </w:p>
        </w:tc>
        <w:tc>
          <w:tcPr>
            <w:tcW w:w="976" w:type="dxa"/>
            <w:tcBorders>
              <w:top w:val="single" w:sz="4" w:space="0" w:color="auto"/>
              <w:left w:val="nil"/>
              <w:bottom w:val="single" w:sz="4" w:space="0" w:color="auto"/>
              <w:right w:val="single" w:sz="4" w:space="0" w:color="auto"/>
            </w:tcBorders>
            <w:shd w:val="clear" w:color="000000" w:fill="D9D9D9"/>
            <w:noWrap/>
            <w:vAlign w:val="bottom"/>
            <w:hideMark/>
          </w:tcPr>
          <w:p w14:paraId="58AC4DEC" w14:textId="77777777" w:rsidR="00E82C29" w:rsidRPr="00DF5710" w:rsidRDefault="00E82C29" w:rsidP="00E82C29">
            <w:pPr>
              <w:widowControl/>
              <w:jc w:val="center"/>
              <w:rPr>
                <w:b/>
                <w:bCs/>
                <w:color w:val="000000"/>
                <w:szCs w:val="24"/>
              </w:rPr>
            </w:pPr>
            <w:r w:rsidRPr="00DF5710">
              <w:rPr>
                <w:b/>
                <w:bCs/>
                <w:color w:val="000000"/>
                <w:szCs w:val="24"/>
              </w:rPr>
              <w:t>PSE</w:t>
            </w:r>
          </w:p>
        </w:tc>
        <w:tc>
          <w:tcPr>
            <w:tcW w:w="983" w:type="dxa"/>
            <w:tcBorders>
              <w:top w:val="single" w:sz="4" w:space="0" w:color="auto"/>
              <w:left w:val="nil"/>
              <w:bottom w:val="single" w:sz="4" w:space="0" w:color="auto"/>
              <w:right w:val="single" w:sz="4" w:space="0" w:color="auto"/>
            </w:tcBorders>
            <w:shd w:val="clear" w:color="000000" w:fill="D9D9D9"/>
            <w:vAlign w:val="bottom"/>
            <w:hideMark/>
          </w:tcPr>
          <w:p w14:paraId="65363BE3" w14:textId="77777777" w:rsidR="00E82C29" w:rsidRPr="00DF5710" w:rsidRDefault="00E82C29" w:rsidP="00E82C29">
            <w:pPr>
              <w:widowControl/>
              <w:jc w:val="center"/>
              <w:rPr>
                <w:b/>
                <w:bCs/>
                <w:color w:val="000000"/>
                <w:szCs w:val="24"/>
              </w:rPr>
            </w:pPr>
            <w:r w:rsidRPr="00DF5710">
              <w:rPr>
                <w:b/>
                <w:bCs/>
                <w:color w:val="000000"/>
                <w:szCs w:val="24"/>
              </w:rPr>
              <w:t>Puget</w:t>
            </w:r>
            <w:r w:rsidRPr="00DF5710">
              <w:rPr>
                <w:b/>
                <w:bCs/>
                <w:color w:val="000000"/>
                <w:szCs w:val="24"/>
              </w:rPr>
              <w:br/>
              <w:t>LNG</w:t>
            </w:r>
          </w:p>
        </w:tc>
        <w:tc>
          <w:tcPr>
            <w:tcW w:w="1716" w:type="dxa"/>
            <w:tcBorders>
              <w:top w:val="single" w:sz="4" w:space="0" w:color="auto"/>
              <w:left w:val="nil"/>
              <w:bottom w:val="single" w:sz="4" w:space="0" w:color="auto"/>
              <w:right w:val="single" w:sz="4" w:space="0" w:color="auto"/>
            </w:tcBorders>
            <w:shd w:val="clear" w:color="000000" w:fill="D9D9D9"/>
            <w:vAlign w:val="bottom"/>
            <w:hideMark/>
          </w:tcPr>
          <w:p w14:paraId="6CA4558B" w14:textId="77777777" w:rsidR="00E82C29" w:rsidRPr="00DF5710" w:rsidRDefault="00E82C29" w:rsidP="00E82C29">
            <w:pPr>
              <w:widowControl/>
              <w:jc w:val="center"/>
              <w:rPr>
                <w:b/>
                <w:bCs/>
                <w:color w:val="000000"/>
                <w:szCs w:val="24"/>
              </w:rPr>
            </w:pPr>
            <w:r w:rsidRPr="00DF5710">
              <w:rPr>
                <w:b/>
                <w:bCs/>
                <w:color w:val="000000"/>
                <w:szCs w:val="24"/>
              </w:rPr>
              <w:t>Projected</w:t>
            </w:r>
            <w:r w:rsidRPr="00DF5710">
              <w:rPr>
                <w:b/>
                <w:bCs/>
                <w:color w:val="000000"/>
                <w:szCs w:val="24"/>
              </w:rPr>
              <w:br/>
              <w:t>Capital</w:t>
            </w:r>
            <w:r w:rsidRPr="00DF5710">
              <w:rPr>
                <w:b/>
                <w:bCs/>
                <w:color w:val="000000"/>
                <w:szCs w:val="24"/>
              </w:rPr>
              <w:br/>
              <w:t>Expenditures</w:t>
            </w:r>
            <w:r w:rsidRPr="00DF5710">
              <w:rPr>
                <w:b/>
                <w:bCs/>
                <w:color w:val="000000"/>
                <w:szCs w:val="24"/>
              </w:rPr>
              <w:br/>
              <w:t xml:space="preserve">(No </w:t>
            </w:r>
            <w:proofErr w:type="spellStart"/>
            <w:r w:rsidRPr="00DF5710">
              <w:rPr>
                <w:b/>
                <w:bCs/>
                <w:color w:val="000000"/>
                <w:szCs w:val="24"/>
              </w:rPr>
              <w:t>AFUDC</w:t>
            </w:r>
            <w:proofErr w:type="spellEnd"/>
            <w:r w:rsidRPr="00DF5710">
              <w:rPr>
                <w:b/>
                <w:bCs/>
                <w:color w:val="000000"/>
                <w:szCs w:val="24"/>
              </w:rPr>
              <w:t>)</w:t>
            </w:r>
          </w:p>
        </w:tc>
        <w:tc>
          <w:tcPr>
            <w:tcW w:w="1716" w:type="dxa"/>
            <w:tcBorders>
              <w:top w:val="single" w:sz="4" w:space="0" w:color="auto"/>
              <w:left w:val="nil"/>
              <w:bottom w:val="single" w:sz="4" w:space="0" w:color="auto"/>
              <w:right w:val="single" w:sz="4" w:space="0" w:color="auto"/>
            </w:tcBorders>
            <w:shd w:val="clear" w:color="000000" w:fill="D9D9D9"/>
            <w:vAlign w:val="bottom"/>
            <w:hideMark/>
          </w:tcPr>
          <w:p w14:paraId="7772ACC7" w14:textId="77777777" w:rsidR="00E82C29" w:rsidRPr="00DF5710" w:rsidRDefault="00E82C29" w:rsidP="00E82C29">
            <w:pPr>
              <w:widowControl/>
              <w:jc w:val="center"/>
              <w:rPr>
                <w:b/>
                <w:bCs/>
                <w:color w:val="000000"/>
                <w:szCs w:val="24"/>
              </w:rPr>
            </w:pPr>
            <w:r w:rsidRPr="00DF5710">
              <w:rPr>
                <w:b/>
                <w:bCs/>
                <w:color w:val="000000"/>
                <w:szCs w:val="24"/>
              </w:rPr>
              <w:t>Projected</w:t>
            </w:r>
            <w:r w:rsidRPr="00DF5710">
              <w:rPr>
                <w:b/>
                <w:bCs/>
                <w:color w:val="000000"/>
                <w:szCs w:val="24"/>
              </w:rPr>
              <w:br/>
              <w:t>Capital</w:t>
            </w:r>
            <w:r w:rsidRPr="00DF5710">
              <w:rPr>
                <w:b/>
                <w:bCs/>
                <w:color w:val="000000"/>
                <w:szCs w:val="24"/>
              </w:rPr>
              <w:br/>
              <w:t>Expenditures</w:t>
            </w:r>
            <w:r w:rsidRPr="00DF5710">
              <w:rPr>
                <w:b/>
                <w:bCs/>
                <w:color w:val="000000"/>
                <w:szCs w:val="24"/>
              </w:rPr>
              <w:br/>
              <w:t xml:space="preserve">Allocated to </w:t>
            </w:r>
            <w:r w:rsidRPr="00DF5710">
              <w:rPr>
                <w:b/>
                <w:bCs/>
                <w:color w:val="000000"/>
                <w:szCs w:val="24"/>
              </w:rPr>
              <w:br/>
              <w:t>PSE</w:t>
            </w:r>
          </w:p>
        </w:tc>
        <w:tc>
          <w:tcPr>
            <w:tcW w:w="1716" w:type="dxa"/>
            <w:tcBorders>
              <w:top w:val="single" w:sz="4" w:space="0" w:color="auto"/>
              <w:left w:val="nil"/>
              <w:bottom w:val="single" w:sz="4" w:space="0" w:color="auto"/>
              <w:right w:val="single" w:sz="4" w:space="0" w:color="auto"/>
            </w:tcBorders>
            <w:shd w:val="clear" w:color="000000" w:fill="D9D9D9"/>
            <w:vAlign w:val="bottom"/>
            <w:hideMark/>
          </w:tcPr>
          <w:p w14:paraId="055B5518" w14:textId="77777777" w:rsidR="00E82C29" w:rsidRPr="00DF5710" w:rsidRDefault="00E82C29" w:rsidP="00E82C29">
            <w:pPr>
              <w:widowControl/>
              <w:jc w:val="center"/>
              <w:rPr>
                <w:b/>
                <w:bCs/>
                <w:color w:val="000000"/>
                <w:szCs w:val="24"/>
              </w:rPr>
            </w:pPr>
            <w:r w:rsidRPr="00DF5710">
              <w:rPr>
                <w:b/>
                <w:bCs/>
                <w:color w:val="000000"/>
                <w:szCs w:val="24"/>
              </w:rPr>
              <w:t>Projected</w:t>
            </w:r>
            <w:r w:rsidRPr="00DF5710">
              <w:rPr>
                <w:b/>
                <w:bCs/>
                <w:color w:val="000000"/>
                <w:szCs w:val="24"/>
              </w:rPr>
              <w:br/>
              <w:t>Capital</w:t>
            </w:r>
            <w:r w:rsidRPr="00DF5710">
              <w:rPr>
                <w:b/>
                <w:bCs/>
                <w:color w:val="000000"/>
                <w:szCs w:val="24"/>
              </w:rPr>
              <w:br/>
              <w:t>Expenditures</w:t>
            </w:r>
            <w:r w:rsidRPr="00DF5710">
              <w:rPr>
                <w:b/>
                <w:bCs/>
                <w:color w:val="000000"/>
                <w:szCs w:val="24"/>
              </w:rPr>
              <w:br/>
              <w:t xml:space="preserve">Allocated to </w:t>
            </w:r>
            <w:r w:rsidRPr="00DF5710">
              <w:rPr>
                <w:b/>
                <w:bCs/>
                <w:color w:val="000000"/>
                <w:szCs w:val="24"/>
              </w:rPr>
              <w:br/>
              <w:t>Puget LNG</w:t>
            </w:r>
          </w:p>
        </w:tc>
      </w:tr>
      <w:tr w:rsidR="00A93B4E" w14:paraId="1B1E5F52" w14:textId="77777777" w:rsidTr="00E82C29">
        <w:trPr>
          <w:trHeight w:val="315"/>
          <w:jc w:val="center"/>
        </w:trPr>
        <w:tc>
          <w:tcPr>
            <w:tcW w:w="1903" w:type="dxa"/>
            <w:tcBorders>
              <w:top w:val="nil"/>
              <w:left w:val="single" w:sz="4" w:space="0" w:color="auto"/>
              <w:bottom w:val="single" w:sz="4" w:space="0" w:color="auto"/>
              <w:right w:val="single" w:sz="4" w:space="0" w:color="auto"/>
            </w:tcBorders>
            <w:shd w:val="clear" w:color="auto" w:fill="auto"/>
            <w:noWrap/>
            <w:vAlign w:val="bottom"/>
            <w:hideMark/>
          </w:tcPr>
          <w:p w14:paraId="677137D6" w14:textId="2A1F4D45" w:rsidR="00E82C29" w:rsidRPr="00DF5710" w:rsidRDefault="00E82C29" w:rsidP="002D74F8">
            <w:pPr>
              <w:widowControl/>
              <w:ind w:left="167"/>
              <w:rPr>
                <w:color w:val="000000"/>
                <w:szCs w:val="24"/>
              </w:rPr>
            </w:pPr>
            <w:r w:rsidRPr="00DF5710">
              <w:rPr>
                <w:color w:val="000000"/>
                <w:szCs w:val="24"/>
              </w:rPr>
              <w:t>Liquefaction</w:t>
            </w:r>
          </w:p>
        </w:tc>
        <w:tc>
          <w:tcPr>
            <w:tcW w:w="976" w:type="dxa"/>
            <w:tcBorders>
              <w:top w:val="nil"/>
              <w:left w:val="nil"/>
              <w:bottom w:val="single" w:sz="4" w:space="0" w:color="auto"/>
              <w:right w:val="single" w:sz="4" w:space="0" w:color="auto"/>
            </w:tcBorders>
            <w:shd w:val="clear" w:color="auto" w:fill="auto"/>
            <w:noWrap/>
            <w:vAlign w:val="bottom"/>
            <w:hideMark/>
          </w:tcPr>
          <w:p w14:paraId="7D77F7D0" w14:textId="77777777" w:rsidR="00E82C29" w:rsidRPr="00DF5710" w:rsidRDefault="00E82C29" w:rsidP="00E82C29">
            <w:pPr>
              <w:widowControl/>
              <w:jc w:val="center"/>
              <w:rPr>
                <w:color w:val="000000"/>
                <w:szCs w:val="24"/>
              </w:rPr>
            </w:pPr>
            <w:r w:rsidRPr="00DF5710">
              <w:rPr>
                <w:color w:val="000000"/>
                <w:szCs w:val="24"/>
              </w:rPr>
              <w:t>10%</w:t>
            </w:r>
          </w:p>
        </w:tc>
        <w:tc>
          <w:tcPr>
            <w:tcW w:w="983" w:type="dxa"/>
            <w:tcBorders>
              <w:top w:val="nil"/>
              <w:left w:val="nil"/>
              <w:bottom w:val="single" w:sz="4" w:space="0" w:color="auto"/>
              <w:right w:val="single" w:sz="4" w:space="0" w:color="auto"/>
            </w:tcBorders>
            <w:shd w:val="clear" w:color="auto" w:fill="auto"/>
            <w:noWrap/>
            <w:vAlign w:val="bottom"/>
            <w:hideMark/>
          </w:tcPr>
          <w:p w14:paraId="7E6AD60D" w14:textId="77777777" w:rsidR="00E82C29" w:rsidRPr="00DF5710" w:rsidRDefault="00E82C29" w:rsidP="00E82C29">
            <w:pPr>
              <w:widowControl/>
              <w:jc w:val="center"/>
              <w:rPr>
                <w:color w:val="000000"/>
                <w:szCs w:val="24"/>
              </w:rPr>
            </w:pPr>
            <w:r w:rsidRPr="00DF5710">
              <w:rPr>
                <w:color w:val="000000"/>
                <w:szCs w:val="24"/>
              </w:rPr>
              <w:t>90%</w:t>
            </w:r>
          </w:p>
        </w:tc>
        <w:tc>
          <w:tcPr>
            <w:tcW w:w="1716" w:type="dxa"/>
            <w:tcBorders>
              <w:top w:val="nil"/>
              <w:left w:val="nil"/>
              <w:bottom w:val="single" w:sz="4" w:space="0" w:color="auto"/>
              <w:right w:val="single" w:sz="4" w:space="0" w:color="auto"/>
            </w:tcBorders>
            <w:shd w:val="clear" w:color="auto" w:fill="auto"/>
            <w:noWrap/>
            <w:vAlign w:val="bottom"/>
            <w:hideMark/>
          </w:tcPr>
          <w:p w14:paraId="63A2BBB6" w14:textId="0D9884D2" w:rsidR="00E82C29" w:rsidRPr="00DF5710" w:rsidRDefault="00E82C29" w:rsidP="00D0029A">
            <w:pPr>
              <w:widowControl/>
              <w:jc w:val="right"/>
              <w:rPr>
                <w:color w:val="000000"/>
                <w:szCs w:val="24"/>
              </w:rPr>
            </w:pPr>
            <w:r w:rsidRPr="00DF5710">
              <w:rPr>
                <w:color w:val="000000"/>
                <w:szCs w:val="24"/>
              </w:rPr>
              <w:t>$88,546,234</w:t>
            </w:r>
          </w:p>
        </w:tc>
        <w:tc>
          <w:tcPr>
            <w:tcW w:w="1716" w:type="dxa"/>
            <w:tcBorders>
              <w:top w:val="nil"/>
              <w:left w:val="nil"/>
              <w:bottom w:val="single" w:sz="4" w:space="0" w:color="auto"/>
              <w:right w:val="single" w:sz="4" w:space="0" w:color="auto"/>
            </w:tcBorders>
            <w:shd w:val="clear" w:color="auto" w:fill="auto"/>
            <w:noWrap/>
            <w:vAlign w:val="bottom"/>
            <w:hideMark/>
          </w:tcPr>
          <w:p w14:paraId="75083338" w14:textId="113629A8" w:rsidR="00E82C29" w:rsidRPr="00DF5710" w:rsidRDefault="00E82C29" w:rsidP="00D0029A">
            <w:pPr>
              <w:widowControl/>
              <w:jc w:val="right"/>
              <w:rPr>
                <w:color w:val="000000"/>
                <w:szCs w:val="24"/>
              </w:rPr>
            </w:pPr>
            <w:r w:rsidRPr="00DF5710">
              <w:rPr>
                <w:color w:val="000000"/>
                <w:szCs w:val="24"/>
              </w:rPr>
              <w:t>$8,854,623</w:t>
            </w:r>
          </w:p>
        </w:tc>
        <w:tc>
          <w:tcPr>
            <w:tcW w:w="1716" w:type="dxa"/>
            <w:tcBorders>
              <w:top w:val="nil"/>
              <w:left w:val="nil"/>
              <w:bottom w:val="single" w:sz="4" w:space="0" w:color="auto"/>
              <w:right w:val="single" w:sz="4" w:space="0" w:color="auto"/>
            </w:tcBorders>
            <w:shd w:val="clear" w:color="auto" w:fill="auto"/>
            <w:noWrap/>
            <w:vAlign w:val="bottom"/>
            <w:hideMark/>
          </w:tcPr>
          <w:p w14:paraId="56A1E015" w14:textId="77777777" w:rsidR="00E82C29" w:rsidRPr="00DF5710" w:rsidRDefault="00E82C29">
            <w:pPr>
              <w:widowControl/>
              <w:jc w:val="right"/>
              <w:rPr>
                <w:color w:val="000000"/>
                <w:szCs w:val="24"/>
              </w:rPr>
            </w:pPr>
            <w:r w:rsidRPr="00DF5710">
              <w:rPr>
                <w:color w:val="000000"/>
                <w:szCs w:val="24"/>
              </w:rPr>
              <w:t>$79,691,611</w:t>
            </w:r>
          </w:p>
        </w:tc>
      </w:tr>
      <w:tr w:rsidR="00A93B4E" w14:paraId="576587C5" w14:textId="77777777" w:rsidTr="00E82C29">
        <w:trPr>
          <w:trHeight w:val="315"/>
          <w:jc w:val="center"/>
        </w:trPr>
        <w:tc>
          <w:tcPr>
            <w:tcW w:w="1903" w:type="dxa"/>
            <w:tcBorders>
              <w:top w:val="nil"/>
              <w:left w:val="single" w:sz="4" w:space="0" w:color="auto"/>
              <w:bottom w:val="single" w:sz="4" w:space="0" w:color="auto"/>
              <w:right w:val="single" w:sz="4" w:space="0" w:color="auto"/>
            </w:tcBorders>
            <w:shd w:val="clear" w:color="auto" w:fill="auto"/>
            <w:noWrap/>
            <w:vAlign w:val="bottom"/>
            <w:hideMark/>
          </w:tcPr>
          <w:p w14:paraId="773B9085" w14:textId="0450E4A8" w:rsidR="00E82C29" w:rsidRPr="00DF5710" w:rsidRDefault="00E82C29" w:rsidP="002D74F8">
            <w:pPr>
              <w:widowControl/>
              <w:ind w:left="167"/>
              <w:rPr>
                <w:color w:val="000000"/>
                <w:szCs w:val="24"/>
              </w:rPr>
            </w:pPr>
            <w:r w:rsidRPr="00DF5710">
              <w:rPr>
                <w:color w:val="000000"/>
                <w:szCs w:val="24"/>
              </w:rPr>
              <w:t>Storage</w:t>
            </w:r>
          </w:p>
        </w:tc>
        <w:tc>
          <w:tcPr>
            <w:tcW w:w="976" w:type="dxa"/>
            <w:tcBorders>
              <w:top w:val="nil"/>
              <w:left w:val="nil"/>
              <w:bottom w:val="single" w:sz="4" w:space="0" w:color="auto"/>
              <w:right w:val="single" w:sz="4" w:space="0" w:color="auto"/>
            </w:tcBorders>
            <w:shd w:val="clear" w:color="auto" w:fill="auto"/>
            <w:noWrap/>
            <w:vAlign w:val="bottom"/>
            <w:hideMark/>
          </w:tcPr>
          <w:p w14:paraId="43244650" w14:textId="77777777" w:rsidR="00E82C29" w:rsidRPr="00DF5710" w:rsidRDefault="00E82C29" w:rsidP="00E82C29">
            <w:pPr>
              <w:widowControl/>
              <w:jc w:val="center"/>
              <w:rPr>
                <w:color w:val="000000"/>
                <w:szCs w:val="24"/>
              </w:rPr>
            </w:pPr>
            <w:r w:rsidRPr="00DF5710">
              <w:rPr>
                <w:color w:val="000000"/>
                <w:szCs w:val="24"/>
              </w:rPr>
              <w:t>79%</w:t>
            </w:r>
          </w:p>
        </w:tc>
        <w:tc>
          <w:tcPr>
            <w:tcW w:w="983" w:type="dxa"/>
            <w:tcBorders>
              <w:top w:val="nil"/>
              <w:left w:val="nil"/>
              <w:bottom w:val="single" w:sz="4" w:space="0" w:color="auto"/>
              <w:right w:val="single" w:sz="4" w:space="0" w:color="auto"/>
            </w:tcBorders>
            <w:shd w:val="clear" w:color="auto" w:fill="auto"/>
            <w:noWrap/>
            <w:vAlign w:val="bottom"/>
            <w:hideMark/>
          </w:tcPr>
          <w:p w14:paraId="61AA389D" w14:textId="77777777" w:rsidR="00E82C29" w:rsidRPr="00DF5710" w:rsidRDefault="00E82C29" w:rsidP="00E82C29">
            <w:pPr>
              <w:widowControl/>
              <w:jc w:val="center"/>
              <w:rPr>
                <w:color w:val="000000"/>
                <w:szCs w:val="24"/>
              </w:rPr>
            </w:pPr>
            <w:r w:rsidRPr="00DF5710">
              <w:rPr>
                <w:color w:val="000000"/>
                <w:szCs w:val="24"/>
              </w:rPr>
              <w:t>21%</w:t>
            </w:r>
          </w:p>
        </w:tc>
        <w:tc>
          <w:tcPr>
            <w:tcW w:w="1716" w:type="dxa"/>
            <w:tcBorders>
              <w:top w:val="nil"/>
              <w:left w:val="nil"/>
              <w:bottom w:val="single" w:sz="4" w:space="0" w:color="auto"/>
              <w:right w:val="single" w:sz="4" w:space="0" w:color="auto"/>
            </w:tcBorders>
            <w:shd w:val="clear" w:color="auto" w:fill="auto"/>
            <w:noWrap/>
            <w:vAlign w:val="bottom"/>
            <w:hideMark/>
          </w:tcPr>
          <w:p w14:paraId="5A4AB8CC" w14:textId="3F64803D" w:rsidR="00E82C29" w:rsidRPr="00DF5710" w:rsidRDefault="00E82C29" w:rsidP="00D0029A">
            <w:pPr>
              <w:widowControl/>
              <w:jc w:val="right"/>
              <w:rPr>
                <w:color w:val="000000"/>
                <w:szCs w:val="24"/>
              </w:rPr>
            </w:pPr>
            <w:r w:rsidRPr="00DF5710">
              <w:rPr>
                <w:color w:val="000000"/>
                <w:szCs w:val="24"/>
              </w:rPr>
              <w:t>$96,237,245</w:t>
            </w:r>
          </w:p>
        </w:tc>
        <w:tc>
          <w:tcPr>
            <w:tcW w:w="1716" w:type="dxa"/>
            <w:tcBorders>
              <w:top w:val="nil"/>
              <w:left w:val="nil"/>
              <w:bottom w:val="single" w:sz="4" w:space="0" w:color="auto"/>
              <w:right w:val="single" w:sz="4" w:space="0" w:color="auto"/>
            </w:tcBorders>
            <w:shd w:val="clear" w:color="auto" w:fill="auto"/>
            <w:noWrap/>
            <w:vAlign w:val="bottom"/>
            <w:hideMark/>
          </w:tcPr>
          <w:p w14:paraId="7FA05B2C" w14:textId="65E8D6F7" w:rsidR="00E82C29" w:rsidRPr="00DF5710" w:rsidRDefault="00E82C29" w:rsidP="00D0029A">
            <w:pPr>
              <w:widowControl/>
              <w:jc w:val="right"/>
              <w:rPr>
                <w:color w:val="000000"/>
                <w:szCs w:val="24"/>
              </w:rPr>
            </w:pPr>
            <w:r w:rsidRPr="00DF5710">
              <w:rPr>
                <w:color w:val="000000"/>
                <w:szCs w:val="24"/>
              </w:rPr>
              <w:t>$76,027,424</w:t>
            </w:r>
          </w:p>
        </w:tc>
        <w:tc>
          <w:tcPr>
            <w:tcW w:w="1716" w:type="dxa"/>
            <w:tcBorders>
              <w:top w:val="nil"/>
              <w:left w:val="nil"/>
              <w:bottom w:val="single" w:sz="4" w:space="0" w:color="auto"/>
              <w:right w:val="single" w:sz="4" w:space="0" w:color="auto"/>
            </w:tcBorders>
            <w:shd w:val="clear" w:color="auto" w:fill="auto"/>
            <w:noWrap/>
            <w:vAlign w:val="bottom"/>
            <w:hideMark/>
          </w:tcPr>
          <w:p w14:paraId="45D6AADC" w14:textId="77777777" w:rsidR="00E82C29" w:rsidRPr="00DF5710" w:rsidRDefault="00E82C29">
            <w:pPr>
              <w:widowControl/>
              <w:jc w:val="right"/>
              <w:rPr>
                <w:color w:val="000000"/>
                <w:szCs w:val="24"/>
              </w:rPr>
            </w:pPr>
            <w:r w:rsidRPr="00DF5710">
              <w:rPr>
                <w:color w:val="000000"/>
                <w:szCs w:val="24"/>
              </w:rPr>
              <w:t>$20,209,821</w:t>
            </w:r>
          </w:p>
        </w:tc>
      </w:tr>
      <w:tr w:rsidR="00A93B4E" w14:paraId="17333D14" w14:textId="77777777" w:rsidTr="00E82C29">
        <w:trPr>
          <w:trHeight w:val="315"/>
          <w:jc w:val="center"/>
        </w:trPr>
        <w:tc>
          <w:tcPr>
            <w:tcW w:w="1903" w:type="dxa"/>
            <w:tcBorders>
              <w:top w:val="nil"/>
              <w:left w:val="single" w:sz="4" w:space="0" w:color="auto"/>
              <w:bottom w:val="single" w:sz="4" w:space="0" w:color="auto"/>
              <w:right w:val="single" w:sz="4" w:space="0" w:color="auto"/>
            </w:tcBorders>
            <w:shd w:val="clear" w:color="auto" w:fill="auto"/>
            <w:noWrap/>
            <w:vAlign w:val="bottom"/>
            <w:hideMark/>
          </w:tcPr>
          <w:p w14:paraId="6D168634" w14:textId="4F3BCDEC" w:rsidR="00E82C29" w:rsidRPr="00DF5710" w:rsidRDefault="00E82C29" w:rsidP="002D74F8">
            <w:pPr>
              <w:widowControl/>
              <w:ind w:left="167"/>
              <w:rPr>
                <w:color w:val="000000"/>
                <w:szCs w:val="24"/>
              </w:rPr>
            </w:pPr>
            <w:r w:rsidRPr="00DF5710">
              <w:rPr>
                <w:color w:val="000000"/>
                <w:szCs w:val="24"/>
              </w:rPr>
              <w:t>Bunkering</w:t>
            </w:r>
          </w:p>
        </w:tc>
        <w:tc>
          <w:tcPr>
            <w:tcW w:w="976" w:type="dxa"/>
            <w:tcBorders>
              <w:top w:val="nil"/>
              <w:left w:val="nil"/>
              <w:bottom w:val="single" w:sz="4" w:space="0" w:color="auto"/>
              <w:right w:val="single" w:sz="4" w:space="0" w:color="auto"/>
            </w:tcBorders>
            <w:shd w:val="clear" w:color="auto" w:fill="auto"/>
            <w:noWrap/>
            <w:vAlign w:val="bottom"/>
            <w:hideMark/>
          </w:tcPr>
          <w:p w14:paraId="1427597A" w14:textId="77777777" w:rsidR="00E82C29" w:rsidRPr="00DF5710" w:rsidRDefault="00E82C29" w:rsidP="00E82C29">
            <w:pPr>
              <w:widowControl/>
              <w:jc w:val="center"/>
              <w:rPr>
                <w:color w:val="000000"/>
                <w:szCs w:val="24"/>
              </w:rPr>
            </w:pPr>
            <w:r w:rsidRPr="00DF5710">
              <w:rPr>
                <w:color w:val="000000"/>
                <w:szCs w:val="24"/>
              </w:rPr>
              <w:t>0%</w:t>
            </w:r>
          </w:p>
        </w:tc>
        <w:tc>
          <w:tcPr>
            <w:tcW w:w="983" w:type="dxa"/>
            <w:tcBorders>
              <w:top w:val="nil"/>
              <w:left w:val="nil"/>
              <w:bottom w:val="single" w:sz="4" w:space="0" w:color="auto"/>
              <w:right w:val="single" w:sz="4" w:space="0" w:color="auto"/>
            </w:tcBorders>
            <w:shd w:val="clear" w:color="auto" w:fill="auto"/>
            <w:noWrap/>
            <w:vAlign w:val="bottom"/>
            <w:hideMark/>
          </w:tcPr>
          <w:p w14:paraId="44A0560B" w14:textId="77777777" w:rsidR="00E82C29" w:rsidRPr="00DF5710" w:rsidRDefault="00E82C29" w:rsidP="00E82C29">
            <w:pPr>
              <w:widowControl/>
              <w:jc w:val="center"/>
              <w:rPr>
                <w:color w:val="000000"/>
                <w:szCs w:val="24"/>
              </w:rPr>
            </w:pPr>
            <w:r w:rsidRPr="00DF5710">
              <w:rPr>
                <w:color w:val="000000"/>
                <w:szCs w:val="24"/>
              </w:rPr>
              <w:t>100%</w:t>
            </w:r>
          </w:p>
        </w:tc>
        <w:tc>
          <w:tcPr>
            <w:tcW w:w="1716" w:type="dxa"/>
            <w:tcBorders>
              <w:top w:val="nil"/>
              <w:left w:val="nil"/>
              <w:bottom w:val="single" w:sz="4" w:space="0" w:color="auto"/>
              <w:right w:val="single" w:sz="4" w:space="0" w:color="auto"/>
            </w:tcBorders>
            <w:shd w:val="clear" w:color="auto" w:fill="auto"/>
            <w:noWrap/>
            <w:vAlign w:val="bottom"/>
            <w:hideMark/>
          </w:tcPr>
          <w:p w14:paraId="5611AABA" w14:textId="3CF28852" w:rsidR="00E82C29" w:rsidRPr="00DF5710" w:rsidRDefault="00E82C29" w:rsidP="00D0029A">
            <w:pPr>
              <w:widowControl/>
              <w:jc w:val="right"/>
              <w:rPr>
                <w:color w:val="000000"/>
                <w:szCs w:val="24"/>
              </w:rPr>
            </w:pPr>
            <w:r w:rsidRPr="00DF5710">
              <w:rPr>
                <w:color w:val="000000"/>
                <w:szCs w:val="24"/>
              </w:rPr>
              <w:t>$29,671,922</w:t>
            </w:r>
          </w:p>
        </w:tc>
        <w:tc>
          <w:tcPr>
            <w:tcW w:w="1716" w:type="dxa"/>
            <w:tcBorders>
              <w:top w:val="nil"/>
              <w:left w:val="nil"/>
              <w:bottom w:val="single" w:sz="4" w:space="0" w:color="auto"/>
              <w:right w:val="single" w:sz="4" w:space="0" w:color="auto"/>
            </w:tcBorders>
            <w:shd w:val="clear" w:color="auto" w:fill="auto"/>
            <w:noWrap/>
            <w:vAlign w:val="bottom"/>
            <w:hideMark/>
          </w:tcPr>
          <w:p w14:paraId="7ECF8D63" w14:textId="308B9FC4" w:rsidR="00E82C29" w:rsidRPr="00DF5710" w:rsidRDefault="00E82C29" w:rsidP="00D0029A">
            <w:pPr>
              <w:widowControl/>
              <w:jc w:val="right"/>
              <w:rPr>
                <w:color w:val="000000"/>
                <w:szCs w:val="24"/>
              </w:rPr>
            </w:pPr>
            <w:r w:rsidRPr="00DF5710">
              <w:rPr>
                <w:color w:val="000000"/>
                <w:szCs w:val="24"/>
              </w:rPr>
              <w:t>$0</w:t>
            </w:r>
          </w:p>
        </w:tc>
        <w:tc>
          <w:tcPr>
            <w:tcW w:w="1716" w:type="dxa"/>
            <w:tcBorders>
              <w:top w:val="nil"/>
              <w:left w:val="nil"/>
              <w:bottom w:val="single" w:sz="4" w:space="0" w:color="auto"/>
              <w:right w:val="single" w:sz="4" w:space="0" w:color="auto"/>
            </w:tcBorders>
            <w:shd w:val="clear" w:color="auto" w:fill="auto"/>
            <w:noWrap/>
            <w:vAlign w:val="bottom"/>
            <w:hideMark/>
          </w:tcPr>
          <w:p w14:paraId="7B701DC6" w14:textId="77777777" w:rsidR="00E82C29" w:rsidRPr="00DF5710" w:rsidRDefault="00E82C29">
            <w:pPr>
              <w:widowControl/>
              <w:jc w:val="right"/>
              <w:rPr>
                <w:color w:val="000000"/>
                <w:szCs w:val="24"/>
              </w:rPr>
            </w:pPr>
            <w:r w:rsidRPr="00DF5710">
              <w:rPr>
                <w:color w:val="000000"/>
                <w:szCs w:val="24"/>
              </w:rPr>
              <w:t>$29,671,922</w:t>
            </w:r>
          </w:p>
        </w:tc>
      </w:tr>
      <w:tr w:rsidR="00A93B4E" w14:paraId="211B6133" w14:textId="77777777" w:rsidTr="00E82C29">
        <w:trPr>
          <w:trHeight w:val="315"/>
          <w:jc w:val="center"/>
        </w:trPr>
        <w:tc>
          <w:tcPr>
            <w:tcW w:w="1903" w:type="dxa"/>
            <w:tcBorders>
              <w:top w:val="nil"/>
              <w:left w:val="single" w:sz="4" w:space="0" w:color="auto"/>
              <w:bottom w:val="single" w:sz="4" w:space="0" w:color="auto"/>
              <w:right w:val="single" w:sz="4" w:space="0" w:color="auto"/>
            </w:tcBorders>
            <w:shd w:val="clear" w:color="auto" w:fill="auto"/>
            <w:noWrap/>
            <w:vAlign w:val="bottom"/>
            <w:hideMark/>
          </w:tcPr>
          <w:p w14:paraId="23BADD64" w14:textId="761786CD" w:rsidR="00E82C29" w:rsidRPr="00DF5710" w:rsidRDefault="00E82C29" w:rsidP="002D74F8">
            <w:pPr>
              <w:widowControl/>
              <w:ind w:left="167"/>
              <w:rPr>
                <w:color w:val="000000"/>
                <w:szCs w:val="24"/>
              </w:rPr>
            </w:pPr>
            <w:r w:rsidRPr="00E90677">
              <w:rPr>
                <w:color w:val="000000"/>
                <w:szCs w:val="24"/>
              </w:rPr>
              <w:t>Truck</w:t>
            </w:r>
            <w:r w:rsidRPr="00DF5710">
              <w:rPr>
                <w:color w:val="000000"/>
                <w:szCs w:val="24"/>
              </w:rPr>
              <w:t xml:space="preserve"> Loading</w:t>
            </w:r>
          </w:p>
        </w:tc>
        <w:tc>
          <w:tcPr>
            <w:tcW w:w="976" w:type="dxa"/>
            <w:tcBorders>
              <w:top w:val="nil"/>
              <w:left w:val="nil"/>
              <w:bottom w:val="single" w:sz="4" w:space="0" w:color="auto"/>
              <w:right w:val="single" w:sz="4" w:space="0" w:color="auto"/>
            </w:tcBorders>
            <w:shd w:val="clear" w:color="auto" w:fill="auto"/>
            <w:noWrap/>
            <w:vAlign w:val="bottom"/>
            <w:hideMark/>
          </w:tcPr>
          <w:p w14:paraId="52CC16D9" w14:textId="5F37B41B" w:rsidR="00E82C29" w:rsidRPr="00DF5710" w:rsidRDefault="005720CB" w:rsidP="005720CB">
            <w:pPr>
              <w:widowControl/>
              <w:jc w:val="center"/>
              <w:rPr>
                <w:color w:val="000000"/>
                <w:szCs w:val="24"/>
              </w:rPr>
            </w:pPr>
            <w:r>
              <w:rPr>
                <w:color w:val="000000"/>
                <w:szCs w:val="24"/>
              </w:rPr>
              <w:t>5</w:t>
            </w:r>
            <w:r w:rsidR="00E82C29">
              <w:rPr>
                <w:color w:val="000000"/>
                <w:szCs w:val="24"/>
              </w:rPr>
              <w:t>%</w:t>
            </w:r>
          </w:p>
        </w:tc>
        <w:tc>
          <w:tcPr>
            <w:tcW w:w="983" w:type="dxa"/>
            <w:tcBorders>
              <w:top w:val="nil"/>
              <w:left w:val="nil"/>
              <w:bottom w:val="single" w:sz="4" w:space="0" w:color="auto"/>
              <w:right w:val="single" w:sz="4" w:space="0" w:color="auto"/>
            </w:tcBorders>
            <w:shd w:val="clear" w:color="auto" w:fill="auto"/>
            <w:noWrap/>
            <w:vAlign w:val="bottom"/>
            <w:hideMark/>
          </w:tcPr>
          <w:p w14:paraId="7A9574A5" w14:textId="2DCFF2D7" w:rsidR="00E82C29" w:rsidRPr="00DF5710" w:rsidRDefault="005720CB" w:rsidP="00E82C29">
            <w:pPr>
              <w:widowControl/>
              <w:jc w:val="center"/>
              <w:rPr>
                <w:color w:val="000000"/>
                <w:szCs w:val="24"/>
              </w:rPr>
            </w:pPr>
            <w:r>
              <w:rPr>
                <w:color w:val="000000"/>
                <w:szCs w:val="24"/>
              </w:rPr>
              <w:t>95</w:t>
            </w:r>
            <w:r w:rsidR="00E82C29">
              <w:rPr>
                <w:color w:val="000000"/>
                <w:szCs w:val="24"/>
              </w:rPr>
              <w:t>%</w:t>
            </w:r>
          </w:p>
        </w:tc>
        <w:tc>
          <w:tcPr>
            <w:tcW w:w="1716" w:type="dxa"/>
            <w:tcBorders>
              <w:top w:val="nil"/>
              <w:left w:val="nil"/>
              <w:bottom w:val="single" w:sz="4" w:space="0" w:color="auto"/>
              <w:right w:val="single" w:sz="4" w:space="0" w:color="auto"/>
            </w:tcBorders>
            <w:shd w:val="clear" w:color="auto" w:fill="auto"/>
            <w:noWrap/>
            <w:vAlign w:val="bottom"/>
            <w:hideMark/>
          </w:tcPr>
          <w:p w14:paraId="52A8DAC5" w14:textId="0B7FB294" w:rsidR="00E82C29" w:rsidRPr="00DF5710" w:rsidRDefault="00E82C29" w:rsidP="00D0029A">
            <w:pPr>
              <w:widowControl/>
              <w:jc w:val="right"/>
              <w:rPr>
                <w:color w:val="000000"/>
                <w:szCs w:val="24"/>
              </w:rPr>
            </w:pPr>
            <w:r w:rsidRPr="00DF5710">
              <w:rPr>
                <w:color w:val="000000"/>
                <w:szCs w:val="24"/>
              </w:rPr>
              <w:t>$6,229,252</w:t>
            </w:r>
          </w:p>
        </w:tc>
        <w:tc>
          <w:tcPr>
            <w:tcW w:w="1716" w:type="dxa"/>
            <w:tcBorders>
              <w:top w:val="nil"/>
              <w:left w:val="nil"/>
              <w:bottom w:val="single" w:sz="4" w:space="0" w:color="auto"/>
              <w:right w:val="single" w:sz="4" w:space="0" w:color="auto"/>
            </w:tcBorders>
            <w:shd w:val="clear" w:color="auto" w:fill="auto"/>
            <w:noWrap/>
            <w:vAlign w:val="bottom"/>
            <w:hideMark/>
          </w:tcPr>
          <w:p w14:paraId="32DDA8EF" w14:textId="661704B0" w:rsidR="00E82C29" w:rsidRPr="00DF5710" w:rsidRDefault="00E82C29" w:rsidP="005720CB">
            <w:pPr>
              <w:widowControl/>
              <w:jc w:val="right"/>
              <w:rPr>
                <w:color w:val="000000"/>
                <w:szCs w:val="24"/>
              </w:rPr>
            </w:pPr>
            <w:r>
              <w:rPr>
                <w:color w:val="000000"/>
                <w:szCs w:val="24"/>
              </w:rPr>
              <w:t>$</w:t>
            </w:r>
            <w:r w:rsidR="00D0029A">
              <w:rPr>
                <w:color w:val="000000"/>
                <w:szCs w:val="24"/>
              </w:rPr>
              <w:t>311,463</w:t>
            </w:r>
          </w:p>
        </w:tc>
        <w:tc>
          <w:tcPr>
            <w:tcW w:w="1716" w:type="dxa"/>
            <w:tcBorders>
              <w:top w:val="nil"/>
              <w:left w:val="nil"/>
              <w:bottom w:val="single" w:sz="4" w:space="0" w:color="auto"/>
              <w:right w:val="single" w:sz="4" w:space="0" w:color="auto"/>
            </w:tcBorders>
            <w:shd w:val="clear" w:color="auto" w:fill="auto"/>
            <w:noWrap/>
            <w:vAlign w:val="bottom"/>
            <w:hideMark/>
          </w:tcPr>
          <w:p w14:paraId="7CA6ABD7" w14:textId="4F47D152" w:rsidR="00E82C29" w:rsidRPr="00DF5710" w:rsidRDefault="00D0029A" w:rsidP="00D0029A">
            <w:pPr>
              <w:widowControl/>
              <w:jc w:val="right"/>
              <w:rPr>
                <w:color w:val="000000"/>
                <w:szCs w:val="24"/>
              </w:rPr>
            </w:pPr>
            <w:r>
              <w:rPr>
                <w:color w:val="000000"/>
                <w:szCs w:val="24"/>
              </w:rPr>
              <w:t>$5,917,789</w:t>
            </w:r>
          </w:p>
        </w:tc>
      </w:tr>
      <w:tr w:rsidR="00A93B4E" w14:paraId="7EC9A1E3" w14:textId="77777777" w:rsidTr="00E82C29">
        <w:trPr>
          <w:trHeight w:val="315"/>
          <w:jc w:val="center"/>
        </w:trPr>
        <w:tc>
          <w:tcPr>
            <w:tcW w:w="1903" w:type="dxa"/>
            <w:tcBorders>
              <w:top w:val="nil"/>
              <w:left w:val="single" w:sz="4" w:space="0" w:color="auto"/>
              <w:bottom w:val="single" w:sz="4" w:space="0" w:color="auto"/>
              <w:right w:val="single" w:sz="4" w:space="0" w:color="auto"/>
            </w:tcBorders>
            <w:shd w:val="clear" w:color="auto" w:fill="auto"/>
            <w:noWrap/>
            <w:vAlign w:val="bottom"/>
            <w:hideMark/>
          </w:tcPr>
          <w:p w14:paraId="326CB260" w14:textId="04FE8C35" w:rsidR="00E82C29" w:rsidRPr="00DF5710" w:rsidRDefault="00E82C29" w:rsidP="002D74F8">
            <w:pPr>
              <w:widowControl/>
              <w:ind w:left="167"/>
              <w:rPr>
                <w:color w:val="000000"/>
                <w:szCs w:val="24"/>
              </w:rPr>
            </w:pPr>
            <w:r w:rsidRPr="00DF5710">
              <w:rPr>
                <w:color w:val="000000"/>
                <w:szCs w:val="24"/>
              </w:rPr>
              <w:t>Vaporization</w:t>
            </w:r>
          </w:p>
        </w:tc>
        <w:tc>
          <w:tcPr>
            <w:tcW w:w="976" w:type="dxa"/>
            <w:tcBorders>
              <w:top w:val="nil"/>
              <w:left w:val="nil"/>
              <w:bottom w:val="single" w:sz="4" w:space="0" w:color="auto"/>
              <w:right w:val="single" w:sz="4" w:space="0" w:color="auto"/>
            </w:tcBorders>
            <w:shd w:val="clear" w:color="auto" w:fill="auto"/>
            <w:noWrap/>
            <w:vAlign w:val="bottom"/>
            <w:hideMark/>
          </w:tcPr>
          <w:p w14:paraId="0F03E658" w14:textId="77777777" w:rsidR="00E82C29" w:rsidRPr="00DF5710" w:rsidRDefault="00E82C29" w:rsidP="00E82C29">
            <w:pPr>
              <w:widowControl/>
              <w:jc w:val="center"/>
              <w:rPr>
                <w:color w:val="000000"/>
                <w:szCs w:val="24"/>
              </w:rPr>
            </w:pPr>
            <w:r w:rsidRPr="00DF5710">
              <w:rPr>
                <w:color w:val="000000"/>
                <w:szCs w:val="24"/>
              </w:rPr>
              <w:t>100%</w:t>
            </w:r>
          </w:p>
        </w:tc>
        <w:tc>
          <w:tcPr>
            <w:tcW w:w="983" w:type="dxa"/>
            <w:tcBorders>
              <w:top w:val="nil"/>
              <w:left w:val="nil"/>
              <w:bottom w:val="single" w:sz="4" w:space="0" w:color="auto"/>
              <w:right w:val="single" w:sz="4" w:space="0" w:color="auto"/>
            </w:tcBorders>
            <w:shd w:val="clear" w:color="auto" w:fill="auto"/>
            <w:noWrap/>
            <w:vAlign w:val="bottom"/>
            <w:hideMark/>
          </w:tcPr>
          <w:p w14:paraId="23A86CCD" w14:textId="77777777" w:rsidR="00E82C29" w:rsidRPr="00DF5710" w:rsidRDefault="00E82C29" w:rsidP="00E82C29">
            <w:pPr>
              <w:widowControl/>
              <w:jc w:val="center"/>
              <w:rPr>
                <w:color w:val="000000"/>
                <w:szCs w:val="24"/>
              </w:rPr>
            </w:pPr>
            <w:r w:rsidRPr="00DF5710">
              <w:rPr>
                <w:color w:val="000000"/>
                <w:szCs w:val="24"/>
              </w:rPr>
              <w:t>0%</w:t>
            </w:r>
          </w:p>
        </w:tc>
        <w:tc>
          <w:tcPr>
            <w:tcW w:w="1716" w:type="dxa"/>
            <w:tcBorders>
              <w:top w:val="nil"/>
              <w:left w:val="nil"/>
              <w:bottom w:val="single" w:sz="4" w:space="0" w:color="auto"/>
              <w:right w:val="single" w:sz="4" w:space="0" w:color="auto"/>
            </w:tcBorders>
            <w:shd w:val="clear" w:color="auto" w:fill="auto"/>
            <w:noWrap/>
            <w:vAlign w:val="bottom"/>
            <w:hideMark/>
          </w:tcPr>
          <w:p w14:paraId="0F62BC1B" w14:textId="51B79944" w:rsidR="00E82C29" w:rsidRPr="00DF5710" w:rsidRDefault="00E82C29" w:rsidP="00D0029A">
            <w:pPr>
              <w:widowControl/>
              <w:jc w:val="right"/>
              <w:rPr>
                <w:color w:val="000000"/>
                <w:szCs w:val="24"/>
              </w:rPr>
            </w:pPr>
            <w:r w:rsidRPr="00DF5710">
              <w:rPr>
                <w:color w:val="000000"/>
                <w:szCs w:val="24"/>
              </w:rPr>
              <w:t>$17,135,822</w:t>
            </w:r>
          </w:p>
        </w:tc>
        <w:tc>
          <w:tcPr>
            <w:tcW w:w="1716" w:type="dxa"/>
            <w:tcBorders>
              <w:top w:val="nil"/>
              <w:left w:val="nil"/>
              <w:bottom w:val="single" w:sz="4" w:space="0" w:color="auto"/>
              <w:right w:val="single" w:sz="4" w:space="0" w:color="auto"/>
            </w:tcBorders>
            <w:shd w:val="clear" w:color="auto" w:fill="auto"/>
            <w:noWrap/>
            <w:vAlign w:val="bottom"/>
            <w:hideMark/>
          </w:tcPr>
          <w:p w14:paraId="59D72429" w14:textId="777CFA77" w:rsidR="00E82C29" w:rsidRPr="00DF5710" w:rsidRDefault="00E82C29" w:rsidP="00D0029A">
            <w:pPr>
              <w:widowControl/>
              <w:jc w:val="right"/>
              <w:rPr>
                <w:color w:val="000000"/>
                <w:szCs w:val="24"/>
              </w:rPr>
            </w:pPr>
            <w:r w:rsidRPr="00DF5710">
              <w:rPr>
                <w:color w:val="000000"/>
                <w:szCs w:val="24"/>
              </w:rPr>
              <w:t>$17,135,822</w:t>
            </w:r>
          </w:p>
        </w:tc>
        <w:tc>
          <w:tcPr>
            <w:tcW w:w="1716" w:type="dxa"/>
            <w:tcBorders>
              <w:top w:val="nil"/>
              <w:left w:val="nil"/>
              <w:bottom w:val="single" w:sz="4" w:space="0" w:color="auto"/>
              <w:right w:val="single" w:sz="4" w:space="0" w:color="auto"/>
            </w:tcBorders>
            <w:shd w:val="clear" w:color="auto" w:fill="auto"/>
            <w:noWrap/>
            <w:vAlign w:val="bottom"/>
            <w:hideMark/>
          </w:tcPr>
          <w:p w14:paraId="2D931642" w14:textId="77777777" w:rsidR="00E82C29" w:rsidRPr="00DF5710" w:rsidRDefault="00E82C29">
            <w:pPr>
              <w:widowControl/>
              <w:jc w:val="right"/>
              <w:rPr>
                <w:color w:val="000000"/>
                <w:szCs w:val="24"/>
              </w:rPr>
            </w:pPr>
            <w:r w:rsidRPr="00DF5710">
              <w:rPr>
                <w:color w:val="000000"/>
                <w:szCs w:val="24"/>
              </w:rPr>
              <w:t>$0</w:t>
            </w:r>
          </w:p>
        </w:tc>
      </w:tr>
      <w:tr w:rsidR="00A93B4E" w14:paraId="6FC25D27" w14:textId="77777777" w:rsidTr="00E82C29">
        <w:trPr>
          <w:trHeight w:val="315"/>
          <w:jc w:val="center"/>
        </w:trPr>
        <w:tc>
          <w:tcPr>
            <w:tcW w:w="1903" w:type="dxa"/>
            <w:tcBorders>
              <w:top w:val="nil"/>
              <w:left w:val="single" w:sz="4" w:space="0" w:color="auto"/>
              <w:bottom w:val="single" w:sz="4" w:space="0" w:color="auto"/>
              <w:right w:val="single" w:sz="4" w:space="0" w:color="auto"/>
            </w:tcBorders>
            <w:shd w:val="clear" w:color="auto" w:fill="auto"/>
            <w:noWrap/>
            <w:vAlign w:val="bottom"/>
            <w:hideMark/>
          </w:tcPr>
          <w:p w14:paraId="18547F59" w14:textId="50FE832C" w:rsidR="00E82C29" w:rsidRPr="00DF5710" w:rsidRDefault="00E82C29" w:rsidP="002D74F8">
            <w:pPr>
              <w:widowControl/>
              <w:ind w:left="167"/>
              <w:rPr>
                <w:color w:val="000000"/>
                <w:szCs w:val="24"/>
              </w:rPr>
            </w:pPr>
            <w:r w:rsidRPr="00DF5710">
              <w:rPr>
                <w:color w:val="000000"/>
                <w:szCs w:val="24"/>
              </w:rPr>
              <w:t>Common</w:t>
            </w:r>
          </w:p>
        </w:tc>
        <w:tc>
          <w:tcPr>
            <w:tcW w:w="976" w:type="dxa"/>
            <w:tcBorders>
              <w:top w:val="nil"/>
              <w:left w:val="nil"/>
              <w:bottom w:val="single" w:sz="4" w:space="0" w:color="auto"/>
              <w:right w:val="single" w:sz="4" w:space="0" w:color="auto"/>
            </w:tcBorders>
            <w:shd w:val="clear" w:color="auto" w:fill="auto"/>
            <w:noWrap/>
            <w:vAlign w:val="bottom"/>
            <w:hideMark/>
          </w:tcPr>
          <w:p w14:paraId="7CA632CC" w14:textId="7C3A7002" w:rsidR="00E82C29" w:rsidRPr="00DF5710" w:rsidRDefault="00D0029A" w:rsidP="00E82C29">
            <w:pPr>
              <w:widowControl/>
              <w:jc w:val="center"/>
              <w:rPr>
                <w:color w:val="000000"/>
                <w:szCs w:val="24"/>
              </w:rPr>
            </w:pPr>
            <w:r>
              <w:rPr>
                <w:color w:val="000000"/>
                <w:szCs w:val="24"/>
              </w:rPr>
              <w:t>43</w:t>
            </w:r>
            <w:r w:rsidR="00E82C29" w:rsidRPr="00DF5710">
              <w:rPr>
                <w:color w:val="000000"/>
                <w:szCs w:val="24"/>
              </w:rPr>
              <w:t>%</w:t>
            </w:r>
          </w:p>
        </w:tc>
        <w:tc>
          <w:tcPr>
            <w:tcW w:w="983" w:type="dxa"/>
            <w:tcBorders>
              <w:top w:val="nil"/>
              <w:left w:val="nil"/>
              <w:bottom w:val="single" w:sz="4" w:space="0" w:color="auto"/>
              <w:right w:val="single" w:sz="4" w:space="0" w:color="auto"/>
            </w:tcBorders>
            <w:shd w:val="clear" w:color="auto" w:fill="auto"/>
            <w:noWrap/>
            <w:vAlign w:val="bottom"/>
            <w:hideMark/>
          </w:tcPr>
          <w:p w14:paraId="0EF7C887" w14:textId="06A6D3F2" w:rsidR="00E82C29" w:rsidRPr="00DF5710" w:rsidRDefault="00D0029A" w:rsidP="00E82C29">
            <w:pPr>
              <w:widowControl/>
              <w:jc w:val="center"/>
              <w:rPr>
                <w:color w:val="000000"/>
                <w:szCs w:val="24"/>
              </w:rPr>
            </w:pPr>
            <w:r>
              <w:rPr>
                <w:color w:val="000000"/>
                <w:szCs w:val="24"/>
              </w:rPr>
              <w:t>57</w:t>
            </w:r>
            <w:r w:rsidR="00E82C29" w:rsidRPr="00DF5710">
              <w:rPr>
                <w:color w:val="000000"/>
                <w:szCs w:val="24"/>
              </w:rPr>
              <w:t>%</w:t>
            </w:r>
          </w:p>
        </w:tc>
        <w:tc>
          <w:tcPr>
            <w:tcW w:w="1716" w:type="dxa"/>
            <w:tcBorders>
              <w:top w:val="nil"/>
              <w:left w:val="nil"/>
              <w:bottom w:val="single" w:sz="4" w:space="0" w:color="auto"/>
              <w:right w:val="single" w:sz="4" w:space="0" w:color="auto"/>
            </w:tcBorders>
            <w:shd w:val="clear" w:color="auto" w:fill="auto"/>
            <w:noWrap/>
            <w:vAlign w:val="bottom"/>
            <w:hideMark/>
          </w:tcPr>
          <w:p w14:paraId="52D4A5A7" w14:textId="52F20D2A" w:rsidR="00E82C29" w:rsidRPr="00DF5710" w:rsidRDefault="00E82C29" w:rsidP="00E82C29">
            <w:pPr>
              <w:widowControl/>
              <w:jc w:val="right"/>
              <w:rPr>
                <w:color w:val="000000"/>
                <w:szCs w:val="24"/>
              </w:rPr>
            </w:pPr>
            <w:r w:rsidRPr="00DF5710">
              <w:rPr>
                <w:color w:val="000000"/>
                <w:szCs w:val="24"/>
              </w:rPr>
              <w:t>$72,884,330</w:t>
            </w:r>
          </w:p>
        </w:tc>
        <w:tc>
          <w:tcPr>
            <w:tcW w:w="1716" w:type="dxa"/>
            <w:tcBorders>
              <w:top w:val="nil"/>
              <w:left w:val="nil"/>
              <w:bottom w:val="single" w:sz="4" w:space="0" w:color="auto"/>
              <w:right w:val="single" w:sz="4" w:space="0" w:color="auto"/>
            </w:tcBorders>
            <w:shd w:val="clear" w:color="auto" w:fill="auto"/>
            <w:noWrap/>
            <w:vAlign w:val="bottom"/>
            <w:hideMark/>
          </w:tcPr>
          <w:p w14:paraId="42E3E3DD" w14:textId="219552E8" w:rsidR="00E82C29" w:rsidRPr="00DF5710" w:rsidRDefault="00E82C29" w:rsidP="00D0029A">
            <w:pPr>
              <w:widowControl/>
              <w:jc w:val="right"/>
              <w:rPr>
                <w:color w:val="000000"/>
                <w:szCs w:val="24"/>
              </w:rPr>
            </w:pPr>
            <w:r w:rsidRPr="00DF5710">
              <w:rPr>
                <w:color w:val="000000"/>
                <w:szCs w:val="24"/>
              </w:rPr>
              <w:t>$31,</w:t>
            </w:r>
            <w:r w:rsidR="00D0029A">
              <w:rPr>
                <w:color w:val="000000"/>
                <w:szCs w:val="24"/>
              </w:rPr>
              <w:t>340</w:t>
            </w:r>
            <w:r w:rsidRPr="00DF5710">
              <w:rPr>
                <w:color w:val="000000"/>
                <w:szCs w:val="24"/>
              </w:rPr>
              <w:t>,</w:t>
            </w:r>
            <w:r w:rsidR="00D0029A">
              <w:rPr>
                <w:color w:val="000000"/>
                <w:szCs w:val="24"/>
              </w:rPr>
              <w:t>262</w:t>
            </w:r>
          </w:p>
        </w:tc>
        <w:tc>
          <w:tcPr>
            <w:tcW w:w="1716" w:type="dxa"/>
            <w:tcBorders>
              <w:top w:val="nil"/>
              <w:left w:val="nil"/>
              <w:bottom w:val="single" w:sz="4" w:space="0" w:color="auto"/>
              <w:right w:val="single" w:sz="4" w:space="0" w:color="auto"/>
            </w:tcBorders>
            <w:shd w:val="clear" w:color="auto" w:fill="auto"/>
            <w:noWrap/>
            <w:vAlign w:val="bottom"/>
            <w:hideMark/>
          </w:tcPr>
          <w:p w14:paraId="3BA97A37" w14:textId="3578E004" w:rsidR="00E82C29" w:rsidRPr="00DF5710" w:rsidRDefault="00E82C29" w:rsidP="00D0029A">
            <w:pPr>
              <w:widowControl/>
              <w:jc w:val="right"/>
              <w:rPr>
                <w:color w:val="000000"/>
                <w:szCs w:val="24"/>
              </w:rPr>
            </w:pPr>
            <w:r w:rsidRPr="00DF5710">
              <w:rPr>
                <w:color w:val="000000"/>
                <w:szCs w:val="24"/>
              </w:rPr>
              <w:t>$41,</w:t>
            </w:r>
            <w:r w:rsidR="00D0029A">
              <w:rPr>
                <w:color w:val="000000"/>
                <w:szCs w:val="24"/>
              </w:rPr>
              <w:t>544</w:t>
            </w:r>
            <w:r w:rsidRPr="00DF5710">
              <w:rPr>
                <w:color w:val="000000"/>
                <w:szCs w:val="24"/>
              </w:rPr>
              <w:t>,</w:t>
            </w:r>
            <w:r w:rsidR="00D0029A">
              <w:rPr>
                <w:color w:val="000000"/>
                <w:szCs w:val="24"/>
              </w:rPr>
              <w:t>068</w:t>
            </w:r>
          </w:p>
        </w:tc>
      </w:tr>
      <w:tr w:rsidR="00A93B4E" w14:paraId="4997C489" w14:textId="77777777" w:rsidTr="00E82C29">
        <w:trPr>
          <w:trHeight w:val="315"/>
          <w:jc w:val="center"/>
        </w:trPr>
        <w:tc>
          <w:tcPr>
            <w:tcW w:w="1903" w:type="dxa"/>
            <w:tcBorders>
              <w:top w:val="nil"/>
              <w:left w:val="single" w:sz="4" w:space="0" w:color="auto"/>
              <w:bottom w:val="single" w:sz="4" w:space="0" w:color="auto"/>
              <w:right w:val="single" w:sz="4" w:space="0" w:color="auto"/>
            </w:tcBorders>
            <w:shd w:val="clear" w:color="auto" w:fill="auto"/>
            <w:noWrap/>
            <w:vAlign w:val="bottom"/>
            <w:hideMark/>
          </w:tcPr>
          <w:p w14:paraId="0E7CA4D2" w14:textId="77777777" w:rsidR="00E82C29" w:rsidRPr="00DF5710" w:rsidRDefault="00E82C29" w:rsidP="00E82C29">
            <w:pPr>
              <w:widowControl/>
              <w:rPr>
                <w:b/>
                <w:bCs/>
                <w:color w:val="000000"/>
                <w:szCs w:val="24"/>
              </w:rPr>
            </w:pPr>
            <w:r w:rsidRPr="00DF5710">
              <w:rPr>
                <w:b/>
                <w:bCs/>
                <w:color w:val="000000"/>
                <w:szCs w:val="24"/>
              </w:rPr>
              <w:t>TOTAL</w:t>
            </w:r>
          </w:p>
        </w:tc>
        <w:tc>
          <w:tcPr>
            <w:tcW w:w="976" w:type="dxa"/>
            <w:tcBorders>
              <w:top w:val="nil"/>
              <w:left w:val="nil"/>
              <w:bottom w:val="single" w:sz="4" w:space="0" w:color="auto"/>
              <w:right w:val="single" w:sz="4" w:space="0" w:color="auto"/>
            </w:tcBorders>
            <w:shd w:val="clear" w:color="auto" w:fill="auto"/>
            <w:noWrap/>
            <w:vAlign w:val="bottom"/>
            <w:hideMark/>
          </w:tcPr>
          <w:p w14:paraId="5ECBC54F" w14:textId="77777777" w:rsidR="00E82C29" w:rsidRPr="00DF5710" w:rsidRDefault="00E82C29" w:rsidP="00E82C29">
            <w:pPr>
              <w:widowControl/>
              <w:jc w:val="center"/>
              <w:rPr>
                <w:b/>
                <w:bCs/>
                <w:color w:val="000000"/>
                <w:szCs w:val="24"/>
              </w:rPr>
            </w:pPr>
            <w:r w:rsidRPr="00DF5710">
              <w:rPr>
                <w:b/>
                <w:bCs/>
                <w:color w:val="000000"/>
                <w:szCs w:val="24"/>
              </w:rPr>
              <w:t>N/A</w:t>
            </w:r>
          </w:p>
        </w:tc>
        <w:tc>
          <w:tcPr>
            <w:tcW w:w="983" w:type="dxa"/>
            <w:tcBorders>
              <w:top w:val="nil"/>
              <w:left w:val="nil"/>
              <w:bottom w:val="single" w:sz="4" w:space="0" w:color="auto"/>
              <w:right w:val="single" w:sz="4" w:space="0" w:color="auto"/>
            </w:tcBorders>
            <w:shd w:val="clear" w:color="auto" w:fill="auto"/>
            <w:noWrap/>
            <w:vAlign w:val="bottom"/>
            <w:hideMark/>
          </w:tcPr>
          <w:p w14:paraId="4A5D4A4E" w14:textId="77777777" w:rsidR="00E82C29" w:rsidRPr="00DF5710" w:rsidRDefault="00E82C29" w:rsidP="00E82C29">
            <w:pPr>
              <w:widowControl/>
              <w:jc w:val="center"/>
              <w:rPr>
                <w:b/>
                <w:bCs/>
                <w:color w:val="000000"/>
                <w:szCs w:val="24"/>
              </w:rPr>
            </w:pPr>
            <w:r w:rsidRPr="00DF5710">
              <w:rPr>
                <w:b/>
                <w:bCs/>
                <w:color w:val="000000"/>
                <w:szCs w:val="24"/>
              </w:rPr>
              <w:t>N/A</w:t>
            </w:r>
          </w:p>
        </w:tc>
        <w:tc>
          <w:tcPr>
            <w:tcW w:w="1716" w:type="dxa"/>
            <w:tcBorders>
              <w:top w:val="nil"/>
              <w:left w:val="nil"/>
              <w:bottom w:val="single" w:sz="4" w:space="0" w:color="auto"/>
              <w:right w:val="single" w:sz="4" w:space="0" w:color="auto"/>
            </w:tcBorders>
            <w:shd w:val="clear" w:color="auto" w:fill="auto"/>
            <w:noWrap/>
            <w:vAlign w:val="bottom"/>
            <w:hideMark/>
          </w:tcPr>
          <w:p w14:paraId="77F86DAC" w14:textId="2AEFEF2F" w:rsidR="00E82C29" w:rsidRPr="00DF5710" w:rsidRDefault="00E82C29" w:rsidP="00D0029A">
            <w:pPr>
              <w:widowControl/>
              <w:jc w:val="right"/>
              <w:rPr>
                <w:b/>
                <w:bCs/>
                <w:color w:val="000000"/>
                <w:szCs w:val="24"/>
              </w:rPr>
            </w:pPr>
            <w:r w:rsidRPr="00DF5710">
              <w:rPr>
                <w:b/>
                <w:bCs/>
                <w:color w:val="000000"/>
                <w:szCs w:val="24"/>
              </w:rPr>
              <w:t>$310,704,805</w:t>
            </w:r>
          </w:p>
        </w:tc>
        <w:tc>
          <w:tcPr>
            <w:tcW w:w="1716" w:type="dxa"/>
            <w:tcBorders>
              <w:top w:val="nil"/>
              <w:left w:val="nil"/>
              <w:bottom w:val="single" w:sz="4" w:space="0" w:color="auto"/>
              <w:right w:val="single" w:sz="4" w:space="0" w:color="auto"/>
            </w:tcBorders>
            <w:shd w:val="clear" w:color="auto" w:fill="auto"/>
            <w:noWrap/>
            <w:vAlign w:val="bottom"/>
            <w:hideMark/>
          </w:tcPr>
          <w:p w14:paraId="10944970" w14:textId="688DCFE7" w:rsidR="00E82C29" w:rsidRPr="00DF5710" w:rsidRDefault="00D0029A">
            <w:pPr>
              <w:widowControl/>
              <w:jc w:val="right"/>
              <w:rPr>
                <w:b/>
                <w:bCs/>
                <w:color w:val="000000"/>
                <w:szCs w:val="24"/>
              </w:rPr>
            </w:pPr>
            <w:r>
              <w:rPr>
                <w:b/>
                <w:color w:val="000000"/>
                <w:szCs w:val="24"/>
              </w:rPr>
              <w:t>$133,669,593</w:t>
            </w:r>
          </w:p>
        </w:tc>
        <w:tc>
          <w:tcPr>
            <w:tcW w:w="1716" w:type="dxa"/>
            <w:tcBorders>
              <w:top w:val="nil"/>
              <w:left w:val="nil"/>
              <w:bottom w:val="single" w:sz="4" w:space="0" w:color="auto"/>
              <w:right w:val="single" w:sz="4" w:space="0" w:color="auto"/>
            </w:tcBorders>
            <w:shd w:val="clear" w:color="auto" w:fill="auto"/>
            <w:noWrap/>
            <w:vAlign w:val="bottom"/>
            <w:hideMark/>
          </w:tcPr>
          <w:p w14:paraId="23D1FB05" w14:textId="2AD1F007" w:rsidR="00E82C29" w:rsidRPr="00DF5710" w:rsidRDefault="00D0029A" w:rsidP="00D0029A">
            <w:pPr>
              <w:widowControl/>
              <w:jc w:val="right"/>
              <w:rPr>
                <w:b/>
                <w:bCs/>
                <w:color w:val="000000"/>
                <w:szCs w:val="24"/>
              </w:rPr>
            </w:pPr>
            <w:r>
              <w:rPr>
                <w:b/>
                <w:color w:val="000000"/>
                <w:szCs w:val="24"/>
              </w:rPr>
              <w:t>$177,035,212</w:t>
            </w:r>
          </w:p>
        </w:tc>
      </w:tr>
    </w:tbl>
    <w:p w14:paraId="5E5B8DD1" w14:textId="77777777" w:rsidR="00E82C29" w:rsidRDefault="00E82C29" w:rsidP="00E82C29">
      <w:pPr>
        <w:pStyle w:val="BodyTextIndent"/>
        <w:keepNext/>
        <w:keepLines/>
        <w:tabs>
          <w:tab w:val="left" w:pos="2700"/>
        </w:tabs>
        <w:spacing w:before="360" w:line="240" w:lineRule="auto"/>
        <w:ind w:left="2700" w:right="2070" w:hanging="540"/>
        <w:outlineLvl w:val="0"/>
        <w:rPr>
          <w:color w:val="000000"/>
          <w:szCs w:val="24"/>
        </w:rPr>
      </w:pPr>
      <w:r>
        <w:rPr>
          <w:color w:val="000000"/>
          <w:szCs w:val="24"/>
        </w:rPr>
        <w:t>*</w:t>
      </w:r>
      <w:r>
        <w:rPr>
          <w:color w:val="000000"/>
          <w:szCs w:val="24"/>
        </w:rPr>
        <w:tab/>
        <w:t xml:space="preserve">The common cost allocator for PSE shall equal the quotient of (i) the sum of the values for liquefaction, storage, bunkering, truck loading, and vaporization in the column “Projected Capital Expenditures Allocated to PSE,” divided by (ii) the sum of the values for liquefaction, storage, bunkering, truck loading, and vaporization in the column “Projected Capital Expenditures (No </w:t>
      </w:r>
      <w:proofErr w:type="spellStart"/>
      <w:r>
        <w:rPr>
          <w:color w:val="000000"/>
          <w:szCs w:val="24"/>
        </w:rPr>
        <w:t>AFUDC</w:t>
      </w:r>
      <w:proofErr w:type="spellEnd"/>
      <w:r>
        <w:rPr>
          <w:color w:val="000000"/>
          <w:szCs w:val="24"/>
        </w:rPr>
        <w:t>).”</w:t>
      </w:r>
    </w:p>
    <w:p w14:paraId="795C60CA" w14:textId="77777777" w:rsidR="00E82C29" w:rsidRPr="00E90677" w:rsidRDefault="00E82C29" w:rsidP="00E82C29">
      <w:pPr>
        <w:pStyle w:val="BodyTextIndent"/>
        <w:keepNext/>
        <w:keepLines/>
        <w:tabs>
          <w:tab w:val="left" w:pos="2700"/>
        </w:tabs>
        <w:spacing w:before="240" w:line="240" w:lineRule="auto"/>
        <w:ind w:left="2707" w:right="2074" w:hanging="547"/>
        <w:outlineLvl w:val="0"/>
        <w:rPr>
          <w:color w:val="000000"/>
          <w:szCs w:val="24"/>
        </w:rPr>
      </w:pPr>
      <w:r>
        <w:rPr>
          <w:color w:val="000000"/>
          <w:szCs w:val="24"/>
        </w:rPr>
        <w:t>**</w:t>
      </w:r>
      <w:r>
        <w:rPr>
          <w:color w:val="000000"/>
          <w:szCs w:val="24"/>
        </w:rPr>
        <w:tab/>
        <w:t xml:space="preserve">The common cost allocator for Puget LNG shall equal the quotient of (i) the sum of the values for liquefaction, storage, bunkering, truck loading, and vaporization in the column “Projected Capital Expenditures Allocated to Puget LNG,” divided by (ii) the sum of the values for liquefaction, storage, bunkering, truck loading, and vaporization in the column “Projected Capital Expenditures (No </w:t>
      </w:r>
      <w:proofErr w:type="spellStart"/>
      <w:r>
        <w:rPr>
          <w:color w:val="000000"/>
          <w:szCs w:val="24"/>
        </w:rPr>
        <w:t>AFUDC</w:t>
      </w:r>
      <w:proofErr w:type="spellEnd"/>
      <w:r>
        <w:rPr>
          <w:color w:val="000000"/>
          <w:szCs w:val="24"/>
        </w:rPr>
        <w:t>).”</w:t>
      </w:r>
    </w:p>
    <w:sectPr w:rsidR="00E82C29" w:rsidRPr="00E90677" w:rsidSect="00220B55">
      <w:footerReference w:type="default" r:id="rId34"/>
      <w:pgSz w:w="15840" w:h="12240" w:orient="landscape" w:code="1"/>
      <w:pgMar w:top="1440" w:right="1440" w:bottom="1440" w:left="1440" w:header="1008" w:footer="843" w:gutter="0"/>
      <w:pgNumType w:start="1"/>
      <w:cols w:space="720"/>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FFC982" w15:done="0"/>
  <w15:commentEx w15:paraId="23065D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8568B" w14:textId="77777777" w:rsidR="00A211B0" w:rsidRDefault="00A211B0">
      <w:r>
        <w:separator/>
      </w:r>
    </w:p>
  </w:endnote>
  <w:endnote w:type="continuationSeparator" w:id="0">
    <w:p w14:paraId="680AF6A9" w14:textId="77777777" w:rsidR="00A211B0" w:rsidRDefault="00A211B0">
      <w:r>
        <w:continuationSeparator/>
      </w:r>
    </w:p>
  </w:endnote>
  <w:endnote w:type="continuationNotice" w:id="1">
    <w:p w14:paraId="75E6A270" w14:textId="77777777" w:rsidR="00A211B0" w:rsidRDefault="00A21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02C0B" w14:textId="2BBCA951" w:rsidR="00220B55" w:rsidRDefault="00220B55" w:rsidP="004353C1">
    <w:pPr>
      <w:pStyle w:val="Footer"/>
      <w:tabs>
        <w:tab w:val="clear" w:pos="4320"/>
        <w:tab w:val="clear" w:pos="8640"/>
        <w:tab w:val="right" w:pos="9360"/>
      </w:tabs>
      <w:rPr>
        <w:sz w:val="20"/>
      </w:rPr>
    </w:pPr>
    <w:r w:rsidRPr="006C474A">
      <w:rPr>
        <w:sz w:val="20"/>
      </w:rPr>
      <w:t>FULL</w:t>
    </w:r>
    <w:r>
      <w:rPr>
        <w:sz w:val="20"/>
      </w:rPr>
      <w:t xml:space="preserve"> SETTLEMENT STIPULATION</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C552C4">
      <w:rPr>
        <w:rStyle w:val="PageNumber"/>
        <w:noProof/>
        <w:sz w:val="20"/>
      </w:rPr>
      <w:t>3</w:t>
    </w:r>
    <w:r>
      <w:rPr>
        <w:rStyle w:val="PageNumber"/>
        <w:sz w:val="20"/>
      </w:rPr>
      <w:fldChar w:fldCharType="end"/>
    </w:r>
    <w:r>
      <w:rPr>
        <w:rStyle w:val="PageNumber"/>
        <w:sz w:val="20"/>
      </w:rPr>
      <w:t xml:space="preserve"> of </w:t>
    </w:r>
    <w:r w:rsidR="00AB2EEE">
      <w:rPr>
        <w:rStyle w:val="PageNumber"/>
        <w:sz w:val="20"/>
      </w:rPr>
      <w:t>17</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CF3E9" w14:textId="77777777" w:rsidR="00220B55" w:rsidRPr="004353C1" w:rsidRDefault="00220B55" w:rsidP="004353C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040C8" w14:textId="53FFEA40" w:rsidR="00220B55" w:rsidRPr="00220B55" w:rsidRDefault="00220B55" w:rsidP="00220B55">
    <w:pPr>
      <w:pStyle w:val="Footer"/>
      <w:tabs>
        <w:tab w:val="clear" w:pos="4320"/>
        <w:tab w:val="clear" w:pos="8640"/>
        <w:tab w:val="right" w:pos="9360"/>
      </w:tabs>
      <w:rPr>
        <w:sz w:val="20"/>
      </w:rPr>
    </w:pPr>
    <w:r>
      <w:rPr>
        <w:sz w:val="20"/>
      </w:rPr>
      <w:t>ATTACHMENT C TO THE</w:t>
    </w:r>
    <w:r w:rsidRPr="004353C1">
      <w:rPr>
        <w:sz w:val="20"/>
      </w:rPr>
      <w:t xml:space="preserve"> </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F40CFC">
      <w:rPr>
        <w:rStyle w:val="PageNumber"/>
        <w:noProof/>
        <w:sz w:val="20"/>
      </w:rPr>
      <w:t>1</w:t>
    </w:r>
    <w:r>
      <w:rPr>
        <w:rStyle w:val="PageNumber"/>
        <w:sz w:val="20"/>
      </w:rPr>
      <w:fldChar w:fldCharType="end"/>
    </w:r>
    <w:r>
      <w:rPr>
        <w:rStyle w:val="PageNumber"/>
        <w:sz w:val="20"/>
      </w:rPr>
      <w:t xml:space="preserve"> of 1</w:t>
    </w:r>
    <w:r>
      <w:rPr>
        <w:sz w:val="20"/>
      </w:rPr>
      <w:br/>
    </w:r>
    <w:r w:rsidRPr="006C474A">
      <w:rPr>
        <w:sz w:val="20"/>
      </w:rPr>
      <w:t>FULL</w:t>
    </w:r>
    <w:r>
      <w:rPr>
        <w:sz w:val="20"/>
      </w:rPr>
      <w:t xml:space="preserve"> SETTLEMENT STIPULATION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0923C" w14:textId="77777777" w:rsidR="00220B55" w:rsidRPr="004353C1" w:rsidRDefault="00220B55" w:rsidP="004353C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28569" w14:textId="77777777" w:rsidR="00220B55" w:rsidRPr="004353C1" w:rsidRDefault="00220B55" w:rsidP="004353C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6F791" w14:textId="3FE7B3F3" w:rsidR="00220B55" w:rsidRPr="00220B55" w:rsidRDefault="00220B55" w:rsidP="00220B55">
    <w:pPr>
      <w:pStyle w:val="Footer"/>
      <w:tabs>
        <w:tab w:val="clear" w:pos="4320"/>
        <w:tab w:val="clear" w:pos="8640"/>
        <w:tab w:val="right" w:pos="12960"/>
      </w:tabs>
      <w:rPr>
        <w:sz w:val="20"/>
      </w:rPr>
    </w:pPr>
    <w:r>
      <w:rPr>
        <w:sz w:val="20"/>
      </w:rPr>
      <w:t>ATTACHMENT D TO THE</w:t>
    </w:r>
    <w:r w:rsidRPr="004353C1">
      <w:rPr>
        <w:sz w:val="20"/>
      </w:rPr>
      <w:t xml:space="preserve"> </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F40CFC">
      <w:rPr>
        <w:rStyle w:val="PageNumber"/>
        <w:noProof/>
        <w:sz w:val="20"/>
      </w:rPr>
      <w:t>1</w:t>
    </w:r>
    <w:r>
      <w:rPr>
        <w:rStyle w:val="PageNumber"/>
        <w:sz w:val="20"/>
      </w:rPr>
      <w:fldChar w:fldCharType="end"/>
    </w:r>
    <w:r>
      <w:rPr>
        <w:rStyle w:val="PageNumber"/>
        <w:sz w:val="20"/>
      </w:rPr>
      <w:t xml:space="preserve"> of 1</w:t>
    </w:r>
    <w:r>
      <w:rPr>
        <w:sz w:val="20"/>
      </w:rPr>
      <w:br/>
    </w:r>
    <w:r w:rsidRPr="006C474A">
      <w:rPr>
        <w:sz w:val="20"/>
      </w:rPr>
      <w:t>FULL</w:t>
    </w:r>
    <w:r>
      <w:rPr>
        <w:sz w:val="20"/>
      </w:rPr>
      <w:t xml:space="preserve"> SETTLEMENT STIPULATION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BDAD4" w14:textId="617B503B" w:rsidR="00220B55" w:rsidRPr="004353C1" w:rsidRDefault="00220B55" w:rsidP="004353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253A9" w14:textId="72CC1263" w:rsidR="00220B55" w:rsidRPr="004353C1" w:rsidRDefault="00220B55" w:rsidP="004353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2A8E3" w14:textId="09241DF3" w:rsidR="00220B55" w:rsidRPr="00220B55" w:rsidRDefault="00220B55" w:rsidP="00220B55">
    <w:pPr>
      <w:pStyle w:val="Footer"/>
      <w:tabs>
        <w:tab w:val="clear" w:pos="4320"/>
        <w:tab w:val="clear" w:pos="8640"/>
        <w:tab w:val="right" w:pos="9360"/>
      </w:tabs>
      <w:rPr>
        <w:sz w:val="20"/>
      </w:rPr>
    </w:pPr>
    <w:r>
      <w:rPr>
        <w:sz w:val="20"/>
      </w:rPr>
      <w:t>ATTACHMENT A TO THE</w:t>
    </w:r>
    <w:r w:rsidRPr="004353C1">
      <w:rPr>
        <w:sz w:val="20"/>
      </w:rPr>
      <w:t xml:space="preserve"> </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F40CFC">
      <w:rPr>
        <w:rStyle w:val="PageNumber"/>
        <w:noProof/>
        <w:sz w:val="20"/>
      </w:rPr>
      <w:t>4</w:t>
    </w:r>
    <w:r>
      <w:rPr>
        <w:rStyle w:val="PageNumber"/>
        <w:sz w:val="20"/>
      </w:rPr>
      <w:fldChar w:fldCharType="end"/>
    </w:r>
    <w:r>
      <w:rPr>
        <w:rStyle w:val="PageNumber"/>
        <w:sz w:val="20"/>
      </w:rPr>
      <w:t xml:space="preserve"> of 4</w:t>
    </w:r>
    <w:r>
      <w:rPr>
        <w:sz w:val="20"/>
      </w:rPr>
      <w:br/>
    </w:r>
    <w:r w:rsidRPr="006C474A">
      <w:rPr>
        <w:sz w:val="20"/>
      </w:rPr>
      <w:t>FULL</w:t>
    </w:r>
    <w:r>
      <w:rPr>
        <w:sz w:val="20"/>
      </w:rPr>
      <w:t xml:space="preserve"> SETTLEMENT STIPULATION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443AF" w14:textId="3C836C8F" w:rsidR="00220B55" w:rsidRPr="004353C1" w:rsidRDefault="00220B55" w:rsidP="004353C1">
    <w:pPr>
      <w:pStyle w:val="Footer"/>
      <w:tabs>
        <w:tab w:val="clear" w:pos="4320"/>
        <w:tab w:val="clear" w:pos="8640"/>
        <w:tab w:val="right" w:pos="9360"/>
      </w:tabs>
      <w:rPr>
        <w:sz w:val="20"/>
      </w:rPr>
    </w:pPr>
    <w:r>
      <w:rPr>
        <w:sz w:val="20"/>
      </w:rPr>
      <w:t>ATTACHMENT A TO THE</w:t>
    </w:r>
    <w:r w:rsidRPr="004353C1">
      <w:rPr>
        <w:sz w:val="20"/>
      </w:rPr>
      <w:t xml:space="preserve"> </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F40CFC">
      <w:rPr>
        <w:rStyle w:val="PageNumber"/>
        <w:noProof/>
        <w:sz w:val="20"/>
      </w:rPr>
      <w:t>1</w:t>
    </w:r>
    <w:r>
      <w:rPr>
        <w:rStyle w:val="PageNumber"/>
        <w:sz w:val="20"/>
      </w:rPr>
      <w:fldChar w:fldCharType="end"/>
    </w:r>
    <w:r>
      <w:rPr>
        <w:rStyle w:val="PageNumber"/>
        <w:sz w:val="20"/>
      </w:rPr>
      <w:t xml:space="preserve"> of 4</w:t>
    </w:r>
    <w:r>
      <w:rPr>
        <w:sz w:val="20"/>
      </w:rPr>
      <w:br/>
    </w:r>
    <w:r w:rsidRPr="006C474A">
      <w:rPr>
        <w:sz w:val="20"/>
      </w:rPr>
      <w:t>FULL</w:t>
    </w:r>
    <w:r>
      <w:rPr>
        <w:sz w:val="20"/>
      </w:rPr>
      <w:t xml:space="preserve"> SETTLEMENT STIPULATION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A7144" w14:textId="5BBA3598" w:rsidR="00220B55" w:rsidRPr="00220B55" w:rsidRDefault="00220B55" w:rsidP="00220B55">
    <w:pPr>
      <w:pStyle w:val="Footer"/>
      <w:tabs>
        <w:tab w:val="clear" w:pos="4320"/>
        <w:tab w:val="clear" w:pos="8640"/>
        <w:tab w:val="right" w:pos="9360"/>
      </w:tabs>
      <w:rPr>
        <w:sz w:val="20"/>
      </w:rPr>
    </w:pPr>
    <w:r>
      <w:rPr>
        <w:sz w:val="20"/>
      </w:rPr>
      <w:t>ATTACHMENT B TO THE</w:t>
    </w:r>
    <w:r w:rsidRPr="004353C1">
      <w:rPr>
        <w:sz w:val="20"/>
      </w:rPr>
      <w:t xml:space="preserve"> </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F40CFC">
      <w:rPr>
        <w:rStyle w:val="PageNumber"/>
        <w:noProof/>
        <w:sz w:val="20"/>
      </w:rPr>
      <w:t>1</w:t>
    </w:r>
    <w:r>
      <w:rPr>
        <w:rStyle w:val="PageNumber"/>
        <w:sz w:val="20"/>
      </w:rPr>
      <w:fldChar w:fldCharType="end"/>
    </w:r>
    <w:r>
      <w:rPr>
        <w:rStyle w:val="PageNumber"/>
        <w:sz w:val="20"/>
      </w:rPr>
      <w:t xml:space="preserve"> of 5</w:t>
    </w:r>
    <w:r>
      <w:rPr>
        <w:sz w:val="20"/>
      </w:rPr>
      <w:br/>
    </w:r>
    <w:r w:rsidRPr="006C474A">
      <w:rPr>
        <w:sz w:val="20"/>
      </w:rPr>
      <w:t>FULL</w:t>
    </w:r>
    <w:r>
      <w:rPr>
        <w:sz w:val="20"/>
      </w:rPr>
      <w:t xml:space="preserve"> SETTLEMENT STIPULATION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58FB6" w14:textId="77777777" w:rsidR="00220B55" w:rsidRPr="004353C1" w:rsidRDefault="00220B55" w:rsidP="004353C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B825F" w14:textId="69C52818" w:rsidR="00220B55" w:rsidRPr="00220B55" w:rsidRDefault="00220B55" w:rsidP="00220B55">
    <w:pPr>
      <w:pStyle w:val="Footer"/>
      <w:tabs>
        <w:tab w:val="clear" w:pos="4320"/>
        <w:tab w:val="clear" w:pos="8640"/>
        <w:tab w:val="right" w:pos="9360"/>
      </w:tabs>
      <w:rPr>
        <w:sz w:val="20"/>
      </w:rPr>
    </w:pPr>
    <w:r>
      <w:rPr>
        <w:sz w:val="20"/>
      </w:rPr>
      <w:t>ATTACHMENT B TO THE</w:t>
    </w:r>
    <w:r w:rsidRPr="004353C1">
      <w:rPr>
        <w:sz w:val="20"/>
      </w:rPr>
      <w:t xml:space="preserve"> </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F40CFC">
      <w:rPr>
        <w:rStyle w:val="PageNumber"/>
        <w:noProof/>
        <w:sz w:val="20"/>
      </w:rPr>
      <w:t>6</w:t>
    </w:r>
    <w:r>
      <w:rPr>
        <w:rStyle w:val="PageNumber"/>
        <w:sz w:val="20"/>
      </w:rPr>
      <w:fldChar w:fldCharType="end"/>
    </w:r>
    <w:r>
      <w:rPr>
        <w:rStyle w:val="PageNumber"/>
        <w:sz w:val="20"/>
      </w:rPr>
      <w:t xml:space="preserve"> of 6</w:t>
    </w:r>
    <w:r>
      <w:rPr>
        <w:sz w:val="20"/>
      </w:rPr>
      <w:br/>
    </w:r>
    <w:r w:rsidRPr="006C474A">
      <w:rPr>
        <w:sz w:val="20"/>
      </w:rPr>
      <w:t>FULL</w:t>
    </w:r>
    <w:r>
      <w:rPr>
        <w:sz w:val="20"/>
      </w:rPr>
      <w:t xml:space="preserve"> SETTLEMENT STIPULATION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8110E" w14:textId="77777777" w:rsidR="00220B55" w:rsidRPr="004353C1" w:rsidRDefault="00220B55" w:rsidP="00435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7E92E" w14:textId="77777777" w:rsidR="00A211B0" w:rsidRDefault="00A211B0">
      <w:r>
        <w:separator/>
      </w:r>
    </w:p>
  </w:footnote>
  <w:footnote w:type="continuationSeparator" w:id="0">
    <w:p w14:paraId="304D5BDF" w14:textId="77777777" w:rsidR="00A211B0" w:rsidRDefault="00A211B0">
      <w:r>
        <w:continuationSeparator/>
      </w:r>
    </w:p>
  </w:footnote>
  <w:footnote w:type="continuationNotice" w:id="1">
    <w:p w14:paraId="4689C92B" w14:textId="77777777" w:rsidR="00A211B0" w:rsidRDefault="00A211B0"/>
  </w:footnote>
  <w:footnote w:id="2">
    <w:p w14:paraId="440ACD5B" w14:textId="77777777" w:rsidR="00220B55" w:rsidRDefault="00220B55" w:rsidP="00DC75F8">
      <w:pPr>
        <w:pStyle w:val="FootnoteText"/>
        <w:ind w:firstLine="360"/>
        <w:jc w:val="both"/>
      </w:pPr>
      <w:r w:rsidRPr="00823C48">
        <w:rPr>
          <w:rStyle w:val="FootnoteReference"/>
          <w:vertAlign w:val="superscript"/>
        </w:rPr>
        <w:footnoteRef/>
      </w:r>
      <w:r>
        <w:tab/>
        <w:t>ICNU is neither a natural gas customer of PSE nor represents any customers of PSE with respect to issues involving natural gas. ICNU neither takes any position with respect to nor opposes the agreements set forth in Section </w:t>
      </w:r>
      <w:proofErr w:type="spellStart"/>
      <w:r>
        <w:t>III.B</w:t>
      </w:r>
      <w:proofErr w:type="spellEnd"/>
      <w:r>
        <w:t>. (</w:t>
      </w:r>
      <w:r w:rsidRPr="00DC75F8">
        <w:t>Agreements With Respect to Ownership Shares</w:t>
      </w:r>
      <w:r>
        <w:t>) or Section </w:t>
      </w:r>
      <w:proofErr w:type="spellStart"/>
      <w:r>
        <w:t>III.C</w:t>
      </w:r>
      <w:proofErr w:type="spellEnd"/>
      <w:r>
        <w:t>. (</w:t>
      </w:r>
      <w:r w:rsidRPr="00DC75F8">
        <w:t>Agreement with Respect to the 16-Inch Line and Bonney Lake Lateral Improvements</w:t>
      </w:r>
      <w:r>
        <w:t>) of this Settlement Stipulation.</w:t>
      </w:r>
    </w:p>
  </w:footnote>
  <w:footnote w:id="3">
    <w:p w14:paraId="2A2DEA23" w14:textId="26669CCC" w:rsidR="002C20B8" w:rsidRDefault="002C20B8" w:rsidP="00610A53">
      <w:pPr>
        <w:pStyle w:val="FootnoteText"/>
        <w:ind w:firstLine="360"/>
      </w:pPr>
      <w:r>
        <w:rPr>
          <w:rStyle w:val="FootnoteReference"/>
        </w:rPr>
        <w:footnoteRef/>
      </w:r>
      <w:r w:rsidR="00610A53">
        <w:tab/>
      </w:r>
      <w:r w:rsidR="00610A53" w:rsidRPr="00C67182">
        <w:rPr>
          <w:i/>
        </w:rPr>
        <w:t>In the Matter of the Joint Application of Puget Holdings LLC and Puget Sound Energy, Inc., For an Order Authorizing Proposed Transaction</w:t>
      </w:r>
      <w:r w:rsidR="00610A53">
        <w:t>, Docket U-072375</w:t>
      </w:r>
      <w:r w:rsidR="00C67182">
        <w:t>, Order </w:t>
      </w:r>
      <w:r w:rsidR="00610A53">
        <w:t xml:space="preserve">08 </w:t>
      </w:r>
      <w:r w:rsidR="00C67182">
        <w:t>(Dec. 30, 2008) (“Merger Order”).</w:t>
      </w:r>
    </w:p>
  </w:footnote>
  <w:footnote w:id="4">
    <w:p w14:paraId="38749DF8" w14:textId="6404656D" w:rsidR="00B3128A" w:rsidRDefault="00B3128A" w:rsidP="00B3128A">
      <w:pPr>
        <w:pStyle w:val="FootnoteText"/>
        <w:ind w:firstLine="360"/>
      </w:pPr>
      <w:r>
        <w:rPr>
          <w:rStyle w:val="FootnoteReference"/>
        </w:rPr>
        <w:footnoteRef/>
      </w:r>
      <w:r>
        <w:tab/>
      </w:r>
      <w:r w:rsidRPr="00B3128A">
        <w:t>Merger Order, Attach. A, Appx. A at 12.</w:t>
      </w:r>
    </w:p>
  </w:footnote>
  <w:footnote w:id="5">
    <w:p w14:paraId="69F2DCDF" w14:textId="4D640F2C" w:rsidR="00B3128A" w:rsidRDefault="00B3128A" w:rsidP="00B3128A">
      <w:pPr>
        <w:pStyle w:val="FootnoteText"/>
        <w:ind w:firstLine="360"/>
      </w:pPr>
      <w:r>
        <w:rPr>
          <w:rStyle w:val="FootnoteReference"/>
        </w:rPr>
        <w:footnoteRef/>
      </w:r>
      <w:r>
        <w:tab/>
      </w:r>
      <w:r w:rsidRPr="00B3128A">
        <w:rPr>
          <w:i/>
        </w:rPr>
        <w:t>Id</w:t>
      </w:r>
      <w:r w:rsidRPr="00B3128A">
        <w:t>.</w:t>
      </w:r>
    </w:p>
  </w:footnote>
  <w:footnote w:id="6">
    <w:p w14:paraId="1176BCFC" w14:textId="77777777" w:rsidR="00220B55" w:rsidRDefault="00220B55" w:rsidP="00241563">
      <w:pPr>
        <w:pStyle w:val="FootnoteText"/>
        <w:ind w:firstLine="360"/>
      </w:pPr>
      <w:r w:rsidRPr="004E2A34">
        <w:rPr>
          <w:rStyle w:val="FootnoteReference"/>
          <w:vertAlign w:val="superscript"/>
        </w:rPr>
        <w:footnoteRef/>
      </w:r>
      <w:r>
        <w:tab/>
        <w:t xml:space="preserve">In formal proceedings,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E82C29">
        <w:rPr>
          <w:i/>
        </w:rPr>
        <w:t>See</w:t>
      </w:r>
      <w:r>
        <w:t> RCW 34.05.455.</w:t>
      </w:r>
    </w:p>
  </w:footnote>
  <w:footnote w:id="7">
    <w:p w14:paraId="133CDA8E" w14:textId="77777777" w:rsidR="00220B55" w:rsidRDefault="00220B55" w:rsidP="00241563">
      <w:pPr>
        <w:pStyle w:val="FootnoteText"/>
        <w:ind w:firstLine="360"/>
      </w:pPr>
      <w:r w:rsidRPr="004E2A34">
        <w:rPr>
          <w:rStyle w:val="FootnoteReference"/>
          <w:vertAlign w:val="superscript"/>
        </w:rPr>
        <w:footnoteRef/>
      </w:r>
      <w:r>
        <w:tab/>
        <w:t>Public Counsel is a statutory party.</w:t>
      </w:r>
    </w:p>
  </w:footnote>
  <w:footnote w:id="8">
    <w:p w14:paraId="2099263F" w14:textId="2BDA2B99" w:rsidR="00220B55" w:rsidRDefault="00220B55" w:rsidP="00241563">
      <w:pPr>
        <w:pStyle w:val="FootnoteText"/>
        <w:ind w:firstLine="360"/>
      </w:pPr>
      <w:r w:rsidRPr="004E2A34">
        <w:rPr>
          <w:rStyle w:val="FootnoteReference"/>
          <w:vertAlign w:val="superscript"/>
        </w:rPr>
        <w:footnoteRef/>
      </w:r>
      <w:r>
        <w:tab/>
        <w:t xml:space="preserve">The Commission granted </w:t>
      </w:r>
      <w:proofErr w:type="spellStart"/>
      <w:r>
        <w:t>NWIGU’s</w:t>
      </w:r>
      <w:proofErr w:type="spellEnd"/>
      <w:r>
        <w:t xml:space="preserve"> unopposed Petition to Intervene</w:t>
      </w:r>
      <w:r w:rsidR="002D74F8">
        <w:t>.</w:t>
      </w:r>
    </w:p>
  </w:footnote>
  <w:footnote w:id="9">
    <w:p w14:paraId="2E5CFC41" w14:textId="77777777" w:rsidR="00220B55" w:rsidRDefault="00220B55" w:rsidP="00241563">
      <w:pPr>
        <w:pStyle w:val="FootnoteText"/>
        <w:ind w:firstLine="360"/>
      </w:pPr>
      <w:r w:rsidRPr="004E2A34">
        <w:rPr>
          <w:rStyle w:val="FootnoteReference"/>
          <w:vertAlign w:val="superscript"/>
        </w:rPr>
        <w:footnoteRef/>
      </w:r>
      <w:r>
        <w:tab/>
        <w:t>Order 04 ¶ 30.</w:t>
      </w:r>
    </w:p>
  </w:footnote>
  <w:footnote w:id="10">
    <w:p w14:paraId="40461A63" w14:textId="77777777" w:rsidR="00220B55" w:rsidRDefault="00220B55" w:rsidP="00241563">
      <w:pPr>
        <w:pStyle w:val="FootnoteText"/>
        <w:ind w:firstLine="360"/>
      </w:pPr>
      <w:r w:rsidRPr="00862A8C">
        <w:rPr>
          <w:rStyle w:val="FootnoteReference"/>
          <w:vertAlign w:val="superscript"/>
        </w:rPr>
        <w:footnoteRef/>
      </w:r>
      <w:r>
        <w:tab/>
        <w:t>Pursuant to Order 07 in the proceeding, the Commission issued a notice of opportunity that allowed parties to Docket U-072375 that are not parties to this proceeding to submit briefs limited to the first question to be briefed in phase one of the proceeding (i.e., whether the Commission would provide a limited exemption to the Merger Commitments set forth in Docket U-072375 for the purpose of allowing Puget Energy to own and operate both PSE and an unregulated affiliate).  ICNU was the sole party to Docket U-072375 that was not already a party to this proceeding to submit such a brief.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62330" w14:textId="52C1C757" w:rsidR="00220B55" w:rsidRPr="004353C1" w:rsidRDefault="00220B55" w:rsidP="004353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10183" w14:textId="19EA67BD" w:rsidR="00220B55" w:rsidRPr="004353C1" w:rsidRDefault="00220B55" w:rsidP="004353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04243" w14:textId="77777777" w:rsidR="00220B55" w:rsidRPr="004353C1" w:rsidRDefault="00220B55" w:rsidP="004353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8901D" w14:textId="77777777" w:rsidR="00220B55" w:rsidRPr="004353C1" w:rsidRDefault="00220B55" w:rsidP="004353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3CEAA" w14:textId="77777777" w:rsidR="00220B55" w:rsidRPr="004353C1" w:rsidRDefault="00220B55" w:rsidP="004353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18F83" w14:textId="77777777" w:rsidR="00220B55" w:rsidRPr="004353C1" w:rsidRDefault="00220B55" w:rsidP="004353C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10ADB" w14:textId="77777777" w:rsidR="00220B55" w:rsidRPr="004353C1" w:rsidRDefault="00220B55" w:rsidP="004353C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272FC" w14:textId="77777777" w:rsidR="00220B55" w:rsidRPr="004353C1" w:rsidRDefault="00220B55" w:rsidP="004353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2411BE"/>
    <w:lvl w:ilvl="0">
      <w:start w:val="1"/>
      <w:numFmt w:val="decimal"/>
      <w:lvlText w:val="%1."/>
      <w:lvlJc w:val="left"/>
      <w:pPr>
        <w:tabs>
          <w:tab w:val="num" w:pos="1800"/>
        </w:tabs>
        <w:ind w:left="1800" w:hanging="360"/>
      </w:pPr>
    </w:lvl>
  </w:abstractNum>
  <w:abstractNum w:abstractNumId="1">
    <w:nsid w:val="FFFFFF7D"/>
    <w:multiLevelType w:val="singleLevel"/>
    <w:tmpl w:val="366EAA44"/>
    <w:lvl w:ilvl="0">
      <w:start w:val="1"/>
      <w:numFmt w:val="decimal"/>
      <w:lvlText w:val="%1."/>
      <w:lvlJc w:val="left"/>
      <w:pPr>
        <w:tabs>
          <w:tab w:val="num" w:pos="1440"/>
        </w:tabs>
        <w:ind w:left="1440" w:hanging="360"/>
      </w:pPr>
    </w:lvl>
  </w:abstractNum>
  <w:abstractNum w:abstractNumId="2">
    <w:nsid w:val="FFFFFF7E"/>
    <w:multiLevelType w:val="singleLevel"/>
    <w:tmpl w:val="16EA8BD0"/>
    <w:lvl w:ilvl="0">
      <w:start w:val="1"/>
      <w:numFmt w:val="decimal"/>
      <w:lvlText w:val="%1."/>
      <w:lvlJc w:val="left"/>
      <w:pPr>
        <w:tabs>
          <w:tab w:val="num" w:pos="1080"/>
        </w:tabs>
        <w:ind w:left="1080" w:hanging="360"/>
      </w:pPr>
    </w:lvl>
  </w:abstractNum>
  <w:abstractNum w:abstractNumId="3">
    <w:nsid w:val="FFFFFF7F"/>
    <w:multiLevelType w:val="singleLevel"/>
    <w:tmpl w:val="98822808"/>
    <w:lvl w:ilvl="0">
      <w:start w:val="1"/>
      <w:numFmt w:val="decimal"/>
      <w:lvlText w:val="%1."/>
      <w:lvlJc w:val="left"/>
      <w:pPr>
        <w:tabs>
          <w:tab w:val="num" w:pos="720"/>
        </w:tabs>
        <w:ind w:left="720" w:hanging="360"/>
      </w:pPr>
    </w:lvl>
  </w:abstractNum>
  <w:abstractNum w:abstractNumId="4">
    <w:nsid w:val="FFFFFF80"/>
    <w:multiLevelType w:val="singleLevel"/>
    <w:tmpl w:val="A4C226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52666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646B8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81EBA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496CF12"/>
    <w:lvl w:ilvl="0">
      <w:start w:val="1"/>
      <w:numFmt w:val="decimal"/>
      <w:lvlText w:val="%1."/>
      <w:lvlJc w:val="left"/>
      <w:pPr>
        <w:tabs>
          <w:tab w:val="num" w:pos="360"/>
        </w:tabs>
        <w:ind w:left="360" w:hanging="360"/>
      </w:pPr>
    </w:lvl>
  </w:abstractNum>
  <w:abstractNum w:abstractNumId="9">
    <w:nsid w:val="FFFFFF89"/>
    <w:multiLevelType w:val="singleLevel"/>
    <w:tmpl w:val="1EEC98A2"/>
    <w:lvl w:ilvl="0">
      <w:start w:val="1"/>
      <w:numFmt w:val="bullet"/>
      <w:lvlText w:val=""/>
      <w:lvlJc w:val="left"/>
      <w:pPr>
        <w:tabs>
          <w:tab w:val="num" w:pos="360"/>
        </w:tabs>
        <w:ind w:left="360" w:hanging="360"/>
      </w:pPr>
      <w:rPr>
        <w:rFonts w:ascii="Symbol" w:hAnsi="Symbol" w:hint="default"/>
      </w:rPr>
    </w:lvl>
  </w:abstractNum>
  <w:abstractNum w:abstractNumId="10">
    <w:nsid w:val="018B60FD"/>
    <w:multiLevelType w:val="hybridMultilevel"/>
    <w:tmpl w:val="D86C59B4"/>
    <w:lvl w:ilvl="0" w:tplc="469A00A6">
      <w:start w:val="1"/>
      <w:numFmt w:val="lowerLetter"/>
      <w:lvlText w:val="%1)"/>
      <w:lvlJc w:val="left"/>
      <w:pPr>
        <w:ind w:left="1080" w:hanging="360"/>
      </w:pPr>
      <w:rPr>
        <w:rFonts w:hint="default"/>
      </w:rPr>
    </w:lvl>
    <w:lvl w:ilvl="1" w:tplc="29DC6962" w:tentative="1">
      <w:start w:val="1"/>
      <w:numFmt w:val="lowerLetter"/>
      <w:lvlText w:val="%2."/>
      <w:lvlJc w:val="left"/>
      <w:pPr>
        <w:ind w:left="1800" w:hanging="360"/>
      </w:pPr>
    </w:lvl>
    <w:lvl w:ilvl="2" w:tplc="3FC6FA90" w:tentative="1">
      <w:start w:val="1"/>
      <w:numFmt w:val="lowerRoman"/>
      <w:lvlText w:val="%3."/>
      <w:lvlJc w:val="right"/>
      <w:pPr>
        <w:ind w:left="2520" w:hanging="180"/>
      </w:pPr>
    </w:lvl>
    <w:lvl w:ilvl="3" w:tplc="0FC67B38" w:tentative="1">
      <w:start w:val="1"/>
      <w:numFmt w:val="decimal"/>
      <w:lvlText w:val="%4."/>
      <w:lvlJc w:val="left"/>
      <w:pPr>
        <w:ind w:left="3240" w:hanging="360"/>
      </w:pPr>
    </w:lvl>
    <w:lvl w:ilvl="4" w:tplc="AF9EE1D8" w:tentative="1">
      <w:start w:val="1"/>
      <w:numFmt w:val="lowerLetter"/>
      <w:lvlText w:val="%5."/>
      <w:lvlJc w:val="left"/>
      <w:pPr>
        <w:ind w:left="3960" w:hanging="360"/>
      </w:pPr>
    </w:lvl>
    <w:lvl w:ilvl="5" w:tplc="9EC45768" w:tentative="1">
      <w:start w:val="1"/>
      <w:numFmt w:val="lowerRoman"/>
      <w:lvlText w:val="%6."/>
      <w:lvlJc w:val="right"/>
      <w:pPr>
        <w:ind w:left="4680" w:hanging="180"/>
      </w:pPr>
    </w:lvl>
    <w:lvl w:ilvl="6" w:tplc="BBBEF9CC" w:tentative="1">
      <w:start w:val="1"/>
      <w:numFmt w:val="decimal"/>
      <w:lvlText w:val="%7."/>
      <w:lvlJc w:val="left"/>
      <w:pPr>
        <w:ind w:left="5400" w:hanging="360"/>
      </w:pPr>
    </w:lvl>
    <w:lvl w:ilvl="7" w:tplc="BCE63F92" w:tentative="1">
      <w:start w:val="1"/>
      <w:numFmt w:val="lowerLetter"/>
      <w:lvlText w:val="%8."/>
      <w:lvlJc w:val="left"/>
      <w:pPr>
        <w:ind w:left="6120" w:hanging="360"/>
      </w:pPr>
    </w:lvl>
    <w:lvl w:ilvl="8" w:tplc="46ACA0FC" w:tentative="1">
      <w:start w:val="1"/>
      <w:numFmt w:val="lowerRoman"/>
      <w:lvlText w:val="%9."/>
      <w:lvlJc w:val="right"/>
      <w:pPr>
        <w:ind w:left="6840" w:hanging="180"/>
      </w:pPr>
    </w:lvl>
  </w:abstractNum>
  <w:abstractNum w:abstractNumId="11">
    <w:nsid w:val="04990416"/>
    <w:multiLevelType w:val="hybridMultilevel"/>
    <w:tmpl w:val="FEA81D04"/>
    <w:lvl w:ilvl="0" w:tplc="A9D25B1E">
      <w:start w:val="1"/>
      <w:numFmt w:val="decimal"/>
      <w:lvlText w:val="%1"/>
      <w:lvlJc w:val="left"/>
      <w:pPr>
        <w:tabs>
          <w:tab w:val="num" w:pos="0"/>
        </w:tabs>
        <w:ind w:left="0" w:hanging="1080"/>
      </w:pPr>
      <w:rPr>
        <w:rFonts w:hint="default"/>
        <w:b w:val="0"/>
        <w:i/>
        <w:sz w:val="20"/>
      </w:rPr>
    </w:lvl>
    <w:lvl w:ilvl="1" w:tplc="29064C40">
      <w:start w:val="1"/>
      <w:numFmt w:val="bullet"/>
      <w:lvlText w:val=""/>
      <w:lvlJc w:val="left"/>
      <w:pPr>
        <w:tabs>
          <w:tab w:val="num" w:pos="1440"/>
        </w:tabs>
        <w:ind w:left="1440" w:hanging="360"/>
      </w:pPr>
      <w:rPr>
        <w:rFonts w:ascii="Symbol" w:hAnsi="Symbol" w:hint="default"/>
      </w:rPr>
    </w:lvl>
    <w:lvl w:ilvl="2" w:tplc="9F809A2E">
      <w:start w:val="1"/>
      <w:numFmt w:val="lowerRoman"/>
      <w:lvlText w:val="%3."/>
      <w:lvlJc w:val="right"/>
      <w:pPr>
        <w:tabs>
          <w:tab w:val="num" w:pos="2160"/>
        </w:tabs>
        <w:ind w:left="2160" w:hanging="180"/>
      </w:pPr>
    </w:lvl>
    <w:lvl w:ilvl="3" w:tplc="82B4B73E">
      <w:start w:val="1"/>
      <w:numFmt w:val="decimal"/>
      <w:lvlText w:val="%4."/>
      <w:lvlJc w:val="left"/>
      <w:pPr>
        <w:tabs>
          <w:tab w:val="num" w:pos="2970"/>
        </w:tabs>
        <w:ind w:left="2970" w:hanging="360"/>
      </w:pPr>
    </w:lvl>
    <w:lvl w:ilvl="4" w:tplc="32D2FFF4">
      <w:start w:val="1"/>
      <w:numFmt w:val="lowerLetter"/>
      <w:lvlText w:val="%5."/>
      <w:lvlJc w:val="left"/>
      <w:pPr>
        <w:tabs>
          <w:tab w:val="num" w:pos="3600"/>
        </w:tabs>
        <w:ind w:left="3600" w:hanging="360"/>
      </w:pPr>
    </w:lvl>
    <w:lvl w:ilvl="5" w:tplc="D846ACE0">
      <w:start w:val="1"/>
      <w:numFmt w:val="lowerRoman"/>
      <w:lvlText w:val="%6."/>
      <w:lvlJc w:val="right"/>
      <w:pPr>
        <w:tabs>
          <w:tab w:val="num" w:pos="4320"/>
        </w:tabs>
        <w:ind w:left="4320" w:hanging="180"/>
      </w:pPr>
    </w:lvl>
    <w:lvl w:ilvl="6" w:tplc="8C1469B2">
      <w:start w:val="1"/>
      <w:numFmt w:val="decimal"/>
      <w:lvlText w:val="%7."/>
      <w:lvlJc w:val="left"/>
      <w:pPr>
        <w:tabs>
          <w:tab w:val="num" w:pos="5040"/>
        </w:tabs>
        <w:ind w:left="5040" w:hanging="360"/>
      </w:pPr>
    </w:lvl>
    <w:lvl w:ilvl="7" w:tplc="63ECEF74">
      <w:start w:val="1"/>
      <w:numFmt w:val="lowerLetter"/>
      <w:lvlText w:val="%8."/>
      <w:lvlJc w:val="left"/>
      <w:pPr>
        <w:tabs>
          <w:tab w:val="num" w:pos="5760"/>
        </w:tabs>
        <w:ind w:left="5760" w:hanging="360"/>
      </w:pPr>
    </w:lvl>
    <w:lvl w:ilvl="8" w:tplc="DEF87C66">
      <w:start w:val="1"/>
      <w:numFmt w:val="lowerRoman"/>
      <w:lvlText w:val="%9."/>
      <w:lvlJc w:val="right"/>
      <w:pPr>
        <w:tabs>
          <w:tab w:val="num" w:pos="6480"/>
        </w:tabs>
        <w:ind w:left="6480" w:hanging="180"/>
      </w:pPr>
    </w:lvl>
  </w:abstractNum>
  <w:abstractNum w:abstractNumId="12">
    <w:nsid w:val="10222086"/>
    <w:multiLevelType w:val="hybridMultilevel"/>
    <w:tmpl w:val="57942138"/>
    <w:lvl w:ilvl="0" w:tplc="8E944622">
      <w:start w:val="1"/>
      <w:numFmt w:val="lowerLetter"/>
      <w:lvlText w:val="%1."/>
      <w:lvlJc w:val="left"/>
      <w:pPr>
        <w:tabs>
          <w:tab w:val="num" w:pos="1440"/>
        </w:tabs>
        <w:ind w:left="1440" w:hanging="720"/>
      </w:pPr>
      <w:rPr>
        <w:rFonts w:hint="default"/>
      </w:rPr>
    </w:lvl>
    <w:lvl w:ilvl="1" w:tplc="E864F3E0" w:tentative="1">
      <w:start w:val="1"/>
      <w:numFmt w:val="lowerLetter"/>
      <w:lvlText w:val="%2."/>
      <w:lvlJc w:val="left"/>
      <w:pPr>
        <w:tabs>
          <w:tab w:val="num" w:pos="1440"/>
        </w:tabs>
        <w:ind w:left="1440" w:hanging="360"/>
      </w:pPr>
    </w:lvl>
    <w:lvl w:ilvl="2" w:tplc="6568C49E" w:tentative="1">
      <w:start w:val="1"/>
      <w:numFmt w:val="lowerRoman"/>
      <w:lvlText w:val="%3."/>
      <w:lvlJc w:val="right"/>
      <w:pPr>
        <w:tabs>
          <w:tab w:val="num" w:pos="2160"/>
        </w:tabs>
        <w:ind w:left="2160" w:hanging="180"/>
      </w:pPr>
    </w:lvl>
    <w:lvl w:ilvl="3" w:tplc="58AC1F60" w:tentative="1">
      <w:start w:val="1"/>
      <w:numFmt w:val="decimal"/>
      <w:lvlText w:val="%4."/>
      <w:lvlJc w:val="left"/>
      <w:pPr>
        <w:tabs>
          <w:tab w:val="num" w:pos="2880"/>
        </w:tabs>
        <w:ind w:left="2880" w:hanging="360"/>
      </w:pPr>
    </w:lvl>
    <w:lvl w:ilvl="4" w:tplc="040CAB04" w:tentative="1">
      <w:start w:val="1"/>
      <w:numFmt w:val="lowerLetter"/>
      <w:lvlText w:val="%5."/>
      <w:lvlJc w:val="left"/>
      <w:pPr>
        <w:tabs>
          <w:tab w:val="num" w:pos="3600"/>
        </w:tabs>
        <w:ind w:left="3600" w:hanging="360"/>
      </w:pPr>
    </w:lvl>
    <w:lvl w:ilvl="5" w:tplc="22627398" w:tentative="1">
      <w:start w:val="1"/>
      <w:numFmt w:val="lowerRoman"/>
      <w:lvlText w:val="%6."/>
      <w:lvlJc w:val="right"/>
      <w:pPr>
        <w:tabs>
          <w:tab w:val="num" w:pos="4320"/>
        </w:tabs>
        <w:ind w:left="4320" w:hanging="180"/>
      </w:pPr>
    </w:lvl>
    <w:lvl w:ilvl="6" w:tplc="09F08DF8" w:tentative="1">
      <w:start w:val="1"/>
      <w:numFmt w:val="decimal"/>
      <w:lvlText w:val="%7."/>
      <w:lvlJc w:val="left"/>
      <w:pPr>
        <w:tabs>
          <w:tab w:val="num" w:pos="5040"/>
        </w:tabs>
        <w:ind w:left="5040" w:hanging="360"/>
      </w:pPr>
    </w:lvl>
    <w:lvl w:ilvl="7" w:tplc="F118D36C" w:tentative="1">
      <w:start w:val="1"/>
      <w:numFmt w:val="lowerLetter"/>
      <w:lvlText w:val="%8."/>
      <w:lvlJc w:val="left"/>
      <w:pPr>
        <w:tabs>
          <w:tab w:val="num" w:pos="5760"/>
        </w:tabs>
        <w:ind w:left="5760" w:hanging="360"/>
      </w:pPr>
    </w:lvl>
    <w:lvl w:ilvl="8" w:tplc="58FACB62" w:tentative="1">
      <w:start w:val="1"/>
      <w:numFmt w:val="lowerRoman"/>
      <w:lvlText w:val="%9."/>
      <w:lvlJc w:val="right"/>
      <w:pPr>
        <w:tabs>
          <w:tab w:val="num" w:pos="6480"/>
        </w:tabs>
        <w:ind w:left="6480" w:hanging="180"/>
      </w:pPr>
    </w:lvl>
  </w:abstractNum>
  <w:abstractNum w:abstractNumId="13">
    <w:nsid w:val="1D725EB9"/>
    <w:multiLevelType w:val="hybridMultilevel"/>
    <w:tmpl w:val="F208C5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E427086"/>
    <w:multiLevelType w:val="hybridMultilevel"/>
    <w:tmpl w:val="F208C5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3FA6A5B"/>
    <w:multiLevelType w:val="hybridMultilevel"/>
    <w:tmpl w:val="E02A4270"/>
    <w:lvl w:ilvl="0" w:tplc="D41AAAC4">
      <w:start w:val="1"/>
      <w:numFmt w:val="upperRoman"/>
      <w:lvlText w:val="%1."/>
      <w:lvlJc w:val="left"/>
      <w:pPr>
        <w:ind w:left="1440" w:hanging="720"/>
      </w:pPr>
      <w:rPr>
        <w:rFonts w:hint="default"/>
      </w:rPr>
    </w:lvl>
    <w:lvl w:ilvl="1" w:tplc="A934E540" w:tentative="1">
      <w:start w:val="1"/>
      <w:numFmt w:val="lowerLetter"/>
      <w:lvlText w:val="%2."/>
      <w:lvlJc w:val="left"/>
      <w:pPr>
        <w:ind w:left="1800" w:hanging="360"/>
      </w:pPr>
    </w:lvl>
    <w:lvl w:ilvl="2" w:tplc="69127528" w:tentative="1">
      <w:start w:val="1"/>
      <w:numFmt w:val="lowerRoman"/>
      <w:lvlText w:val="%3."/>
      <w:lvlJc w:val="right"/>
      <w:pPr>
        <w:ind w:left="2520" w:hanging="180"/>
      </w:pPr>
    </w:lvl>
    <w:lvl w:ilvl="3" w:tplc="10CE14CE" w:tentative="1">
      <w:start w:val="1"/>
      <w:numFmt w:val="decimal"/>
      <w:lvlText w:val="%4."/>
      <w:lvlJc w:val="left"/>
      <w:pPr>
        <w:ind w:left="3240" w:hanging="360"/>
      </w:pPr>
    </w:lvl>
    <w:lvl w:ilvl="4" w:tplc="6F9E90F8" w:tentative="1">
      <w:start w:val="1"/>
      <w:numFmt w:val="lowerLetter"/>
      <w:lvlText w:val="%5."/>
      <w:lvlJc w:val="left"/>
      <w:pPr>
        <w:ind w:left="3960" w:hanging="360"/>
      </w:pPr>
    </w:lvl>
    <w:lvl w:ilvl="5" w:tplc="F4560E38" w:tentative="1">
      <w:start w:val="1"/>
      <w:numFmt w:val="lowerRoman"/>
      <w:lvlText w:val="%6."/>
      <w:lvlJc w:val="right"/>
      <w:pPr>
        <w:ind w:left="4680" w:hanging="180"/>
      </w:pPr>
    </w:lvl>
    <w:lvl w:ilvl="6" w:tplc="C67C21C6" w:tentative="1">
      <w:start w:val="1"/>
      <w:numFmt w:val="decimal"/>
      <w:lvlText w:val="%7."/>
      <w:lvlJc w:val="left"/>
      <w:pPr>
        <w:ind w:left="5400" w:hanging="360"/>
      </w:pPr>
    </w:lvl>
    <w:lvl w:ilvl="7" w:tplc="0396D20A" w:tentative="1">
      <w:start w:val="1"/>
      <w:numFmt w:val="lowerLetter"/>
      <w:lvlText w:val="%8."/>
      <w:lvlJc w:val="left"/>
      <w:pPr>
        <w:ind w:left="6120" w:hanging="360"/>
      </w:pPr>
    </w:lvl>
    <w:lvl w:ilvl="8" w:tplc="6EA41316" w:tentative="1">
      <w:start w:val="1"/>
      <w:numFmt w:val="lowerRoman"/>
      <w:lvlText w:val="%9."/>
      <w:lvlJc w:val="right"/>
      <w:pPr>
        <w:ind w:left="6840" w:hanging="180"/>
      </w:pPr>
    </w:lvl>
  </w:abstractNum>
  <w:abstractNum w:abstractNumId="16">
    <w:nsid w:val="289108CF"/>
    <w:multiLevelType w:val="hybridMultilevel"/>
    <w:tmpl w:val="D76E2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CFD2C18"/>
    <w:multiLevelType w:val="hybridMultilevel"/>
    <w:tmpl w:val="1C96EC28"/>
    <w:lvl w:ilvl="0" w:tplc="79F40C28">
      <w:start w:val="1"/>
      <w:numFmt w:val="lowerLetter"/>
      <w:lvlText w:val="%1)"/>
      <w:lvlJc w:val="left"/>
      <w:pPr>
        <w:ind w:left="1080" w:hanging="360"/>
      </w:pPr>
      <w:rPr>
        <w:rFonts w:hint="default"/>
      </w:rPr>
    </w:lvl>
    <w:lvl w:ilvl="1" w:tplc="D554727C">
      <w:start w:val="1"/>
      <w:numFmt w:val="lowerLetter"/>
      <w:lvlText w:val="%2."/>
      <w:lvlJc w:val="left"/>
      <w:pPr>
        <w:ind w:left="1800" w:hanging="360"/>
      </w:pPr>
    </w:lvl>
    <w:lvl w:ilvl="2" w:tplc="5C689DFC" w:tentative="1">
      <w:start w:val="1"/>
      <w:numFmt w:val="lowerRoman"/>
      <w:lvlText w:val="%3."/>
      <w:lvlJc w:val="right"/>
      <w:pPr>
        <w:ind w:left="2520" w:hanging="180"/>
      </w:pPr>
    </w:lvl>
    <w:lvl w:ilvl="3" w:tplc="5450F028" w:tentative="1">
      <w:start w:val="1"/>
      <w:numFmt w:val="decimal"/>
      <w:lvlText w:val="%4."/>
      <w:lvlJc w:val="left"/>
      <w:pPr>
        <w:ind w:left="3240" w:hanging="360"/>
      </w:pPr>
    </w:lvl>
    <w:lvl w:ilvl="4" w:tplc="BB10ED50" w:tentative="1">
      <w:start w:val="1"/>
      <w:numFmt w:val="lowerLetter"/>
      <w:lvlText w:val="%5."/>
      <w:lvlJc w:val="left"/>
      <w:pPr>
        <w:ind w:left="3960" w:hanging="360"/>
      </w:pPr>
    </w:lvl>
    <w:lvl w:ilvl="5" w:tplc="9FA2A588" w:tentative="1">
      <w:start w:val="1"/>
      <w:numFmt w:val="lowerRoman"/>
      <w:lvlText w:val="%6."/>
      <w:lvlJc w:val="right"/>
      <w:pPr>
        <w:ind w:left="4680" w:hanging="180"/>
      </w:pPr>
    </w:lvl>
    <w:lvl w:ilvl="6" w:tplc="CEFE605A" w:tentative="1">
      <w:start w:val="1"/>
      <w:numFmt w:val="decimal"/>
      <w:lvlText w:val="%7."/>
      <w:lvlJc w:val="left"/>
      <w:pPr>
        <w:ind w:left="5400" w:hanging="360"/>
      </w:pPr>
    </w:lvl>
    <w:lvl w:ilvl="7" w:tplc="E1BA1BB4" w:tentative="1">
      <w:start w:val="1"/>
      <w:numFmt w:val="lowerLetter"/>
      <w:lvlText w:val="%8."/>
      <w:lvlJc w:val="left"/>
      <w:pPr>
        <w:ind w:left="6120" w:hanging="360"/>
      </w:pPr>
    </w:lvl>
    <w:lvl w:ilvl="8" w:tplc="40CC1CB8" w:tentative="1">
      <w:start w:val="1"/>
      <w:numFmt w:val="lowerRoman"/>
      <w:lvlText w:val="%9."/>
      <w:lvlJc w:val="right"/>
      <w:pPr>
        <w:ind w:left="6840" w:hanging="180"/>
      </w:pPr>
    </w:lvl>
  </w:abstractNum>
  <w:abstractNum w:abstractNumId="18">
    <w:nsid w:val="35CF7B59"/>
    <w:multiLevelType w:val="hybridMultilevel"/>
    <w:tmpl w:val="C28859EC"/>
    <w:lvl w:ilvl="0" w:tplc="72103934">
      <w:start w:val="1"/>
      <w:numFmt w:val="bullet"/>
      <w:lvlText w:val=""/>
      <w:lvlJc w:val="left"/>
      <w:pPr>
        <w:ind w:left="2340" w:hanging="360"/>
      </w:pPr>
      <w:rPr>
        <w:rFonts w:ascii="Symbol" w:hAnsi="Symbol" w:hint="default"/>
      </w:rPr>
    </w:lvl>
    <w:lvl w:ilvl="1" w:tplc="F38010DC">
      <w:start w:val="1"/>
      <w:numFmt w:val="lowerRoman"/>
      <w:lvlText w:val="%2."/>
      <w:lvlJc w:val="right"/>
      <w:pPr>
        <w:ind w:left="3060" w:hanging="360"/>
      </w:pPr>
    </w:lvl>
    <w:lvl w:ilvl="2" w:tplc="20769550">
      <w:start w:val="1"/>
      <w:numFmt w:val="bullet"/>
      <w:lvlText w:val=""/>
      <w:lvlJc w:val="left"/>
      <w:pPr>
        <w:ind w:left="3780" w:hanging="180"/>
      </w:pPr>
      <w:rPr>
        <w:rFonts w:ascii="Symbol" w:hAnsi="Symbol" w:hint="default"/>
      </w:rPr>
    </w:lvl>
    <w:lvl w:ilvl="3" w:tplc="CBAAD016" w:tentative="1">
      <w:start w:val="1"/>
      <w:numFmt w:val="decimal"/>
      <w:lvlText w:val="%4."/>
      <w:lvlJc w:val="left"/>
      <w:pPr>
        <w:ind w:left="4500" w:hanging="360"/>
      </w:pPr>
    </w:lvl>
    <w:lvl w:ilvl="4" w:tplc="5366F368" w:tentative="1">
      <w:start w:val="1"/>
      <w:numFmt w:val="lowerLetter"/>
      <w:lvlText w:val="%5."/>
      <w:lvlJc w:val="left"/>
      <w:pPr>
        <w:ind w:left="5220" w:hanging="360"/>
      </w:pPr>
    </w:lvl>
    <w:lvl w:ilvl="5" w:tplc="75166D7E" w:tentative="1">
      <w:start w:val="1"/>
      <w:numFmt w:val="lowerRoman"/>
      <w:lvlText w:val="%6."/>
      <w:lvlJc w:val="right"/>
      <w:pPr>
        <w:ind w:left="5940" w:hanging="180"/>
      </w:pPr>
    </w:lvl>
    <w:lvl w:ilvl="6" w:tplc="0D968BE2" w:tentative="1">
      <w:start w:val="1"/>
      <w:numFmt w:val="decimal"/>
      <w:lvlText w:val="%7."/>
      <w:lvlJc w:val="left"/>
      <w:pPr>
        <w:ind w:left="6660" w:hanging="360"/>
      </w:pPr>
    </w:lvl>
    <w:lvl w:ilvl="7" w:tplc="F93AEFCA" w:tentative="1">
      <w:start w:val="1"/>
      <w:numFmt w:val="lowerLetter"/>
      <w:lvlText w:val="%8."/>
      <w:lvlJc w:val="left"/>
      <w:pPr>
        <w:ind w:left="7380" w:hanging="360"/>
      </w:pPr>
    </w:lvl>
    <w:lvl w:ilvl="8" w:tplc="A644EB08" w:tentative="1">
      <w:start w:val="1"/>
      <w:numFmt w:val="lowerRoman"/>
      <w:lvlText w:val="%9."/>
      <w:lvlJc w:val="right"/>
      <w:pPr>
        <w:ind w:left="8100" w:hanging="180"/>
      </w:pPr>
    </w:lvl>
  </w:abstractNum>
  <w:abstractNum w:abstractNumId="19">
    <w:nsid w:val="397D2E02"/>
    <w:multiLevelType w:val="hybridMultilevel"/>
    <w:tmpl w:val="32C05444"/>
    <w:lvl w:ilvl="0" w:tplc="5FBC0A54">
      <w:start w:val="1"/>
      <w:numFmt w:val="lowerRoman"/>
      <w:lvlText w:val="(%1.)"/>
      <w:lvlJc w:val="left"/>
      <w:pPr>
        <w:ind w:left="1440" w:hanging="360"/>
      </w:pPr>
      <w:rPr>
        <w:rFonts w:cs="Times New Roman" w:hint="default"/>
      </w:rPr>
    </w:lvl>
    <w:lvl w:ilvl="1" w:tplc="8D080D50" w:tentative="1">
      <w:start w:val="1"/>
      <w:numFmt w:val="lowerLetter"/>
      <w:lvlText w:val="%2."/>
      <w:lvlJc w:val="left"/>
      <w:pPr>
        <w:ind w:left="1440" w:hanging="360"/>
      </w:pPr>
    </w:lvl>
    <w:lvl w:ilvl="2" w:tplc="278EE0C6" w:tentative="1">
      <w:start w:val="1"/>
      <w:numFmt w:val="lowerRoman"/>
      <w:lvlText w:val="%3."/>
      <w:lvlJc w:val="right"/>
      <w:pPr>
        <w:ind w:left="2160" w:hanging="180"/>
      </w:pPr>
    </w:lvl>
    <w:lvl w:ilvl="3" w:tplc="8BA81E72" w:tentative="1">
      <w:start w:val="1"/>
      <w:numFmt w:val="decimal"/>
      <w:lvlText w:val="%4."/>
      <w:lvlJc w:val="left"/>
      <w:pPr>
        <w:ind w:left="2880" w:hanging="360"/>
      </w:pPr>
    </w:lvl>
    <w:lvl w:ilvl="4" w:tplc="72D01552" w:tentative="1">
      <w:start w:val="1"/>
      <w:numFmt w:val="lowerLetter"/>
      <w:lvlText w:val="%5."/>
      <w:lvlJc w:val="left"/>
      <w:pPr>
        <w:ind w:left="3600" w:hanging="360"/>
      </w:pPr>
    </w:lvl>
    <w:lvl w:ilvl="5" w:tplc="31284002" w:tentative="1">
      <w:start w:val="1"/>
      <w:numFmt w:val="lowerRoman"/>
      <w:lvlText w:val="%6."/>
      <w:lvlJc w:val="right"/>
      <w:pPr>
        <w:ind w:left="4320" w:hanging="180"/>
      </w:pPr>
    </w:lvl>
    <w:lvl w:ilvl="6" w:tplc="EDF8DC98" w:tentative="1">
      <w:start w:val="1"/>
      <w:numFmt w:val="decimal"/>
      <w:lvlText w:val="%7."/>
      <w:lvlJc w:val="left"/>
      <w:pPr>
        <w:ind w:left="5040" w:hanging="360"/>
      </w:pPr>
    </w:lvl>
    <w:lvl w:ilvl="7" w:tplc="3A4E2E5C" w:tentative="1">
      <w:start w:val="1"/>
      <w:numFmt w:val="lowerLetter"/>
      <w:lvlText w:val="%8."/>
      <w:lvlJc w:val="left"/>
      <w:pPr>
        <w:ind w:left="5760" w:hanging="360"/>
      </w:pPr>
    </w:lvl>
    <w:lvl w:ilvl="8" w:tplc="00E83B64" w:tentative="1">
      <w:start w:val="1"/>
      <w:numFmt w:val="lowerRoman"/>
      <w:lvlText w:val="%9."/>
      <w:lvlJc w:val="right"/>
      <w:pPr>
        <w:ind w:left="6480" w:hanging="180"/>
      </w:pPr>
    </w:lvl>
  </w:abstractNum>
  <w:abstractNum w:abstractNumId="20">
    <w:nsid w:val="3AD94AEB"/>
    <w:multiLevelType w:val="hybridMultilevel"/>
    <w:tmpl w:val="907C5A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D662124"/>
    <w:multiLevelType w:val="hybridMultilevel"/>
    <w:tmpl w:val="912A6B7E"/>
    <w:lvl w:ilvl="0" w:tplc="CA62A466">
      <w:start w:val="1"/>
      <w:numFmt w:val="decimal"/>
      <w:lvlText w:val="%1."/>
      <w:lvlJc w:val="left"/>
      <w:pPr>
        <w:ind w:left="720" w:hanging="360"/>
      </w:pPr>
      <w:rPr>
        <w:rFonts w:hint="default"/>
      </w:rPr>
    </w:lvl>
    <w:lvl w:ilvl="1" w:tplc="88B8A69A" w:tentative="1">
      <w:start w:val="1"/>
      <w:numFmt w:val="lowerLetter"/>
      <w:lvlText w:val="%2."/>
      <w:lvlJc w:val="left"/>
      <w:pPr>
        <w:ind w:left="1440" w:hanging="360"/>
      </w:pPr>
    </w:lvl>
    <w:lvl w:ilvl="2" w:tplc="FCD0428E" w:tentative="1">
      <w:start w:val="1"/>
      <w:numFmt w:val="lowerRoman"/>
      <w:lvlText w:val="%3."/>
      <w:lvlJc w:val="right"/>
      <w:pPr>
        <w:ind w:left="2160" w:hanging="180"/>
      </w:pPr>
    </w:lvl>
    <w:lvl w:ilvl="3" w:tplc="ACAA65E0" w:tentative="1">
      <w:start w:val="1"/>
      <w:numFmt w:val="decimal"/>
      <w:lvlText w:val="%4."/>
      <w:lvlJc w:val="left"/>
      <w:pPr>
        <w:ind w:left="2880" w:hanging="360"/>
      </w:pPr>
    </w:lvl>
    <w:lvl w:ilvl="4" w:tplc="B86A41CC" w:tentative="1">
      <w:start w:val="1"/>
      <w:numFmt w:val="lowerLetter"/>
      <w:lvlText w:val="%5."/>
      <w:lvlJc w:val="left"/>
      <w:pPr>
        <w:ind w:left="3600" w:hanging="360"/>
      </w:pPr>
    </w:lvl>
    <w:lvl w:ilvl="5" w:tplc="8ADCA438" w:tentative="1">
      <w:start w:val="1"/>
      <w:numFmt w:val="lowerRoman"/>
      <w:lvlText w:val="%6."/>
      <w:lvlJc w:val="right"/>
      <w:pPr>
        <w:ind w:left="4320" w:hanging="180"/>
      </w:pPr>
    </w:lvl>
    <w:lvl w:ilvl="6" w:tplc="8676EF82" w:tentative="1">
      <w:start w:val="1"/>
      <w:numFmt w:val="decimal"/>
      <w:lvlText w:val="%7."/>
      <w:lvlJc w:val="left"/>
      <w:pPr>
        <w:ind w:left="5040" w:hanging="360"/>
      </w:pPr>
    </w:lvl>
    <w:lvl w:ilvl="7" w:tplc="E1C029C0" w:tentative="1">
      <w:start w:val="1"/>
      <w:numFmt w:val="lowerLetter"/>
      <w:lvlText w:val="%8."/>
      <w:lvlJc w:val="left"/>
      <w:pPr>
        <w:ind w:left="5760" w:hanging="360"/>
      </w:pPr>
    </w:lvl>
    <w:lvl w:ilvl="8" w:tplc="36E2CAB6" w:tentative="1">
      <w:start w:val="1"/>
      <w:numFmt w:val="lowerRoman"/>
      <w:lvlText w:val="%9."/>
      <w:lvlJc w:val="right"/>
      <w:pPr>
        <w:ind w:left="6480" w:hanging="180"/>
      </w:pPr>
    </w:lvl>
  </w:abstractNum>
  <w:abstractNum w:abstractNumId="22">
    <w:nsid w:val="40C74F30"/>
    <w:multiLevelType w:val="hybridMultilevel"/>
    <w:tmpl w:val="334A25E8"/>
    <w:lvl w:ilvl="0" w:tplc="4498E2E6">
      <w:start w:val="1"/>
      <w:numFmt w:val="lowerLetter"/>
      <w:lvlText w:val="%1)"/>
      <w:lvlJc w:val="left"/>
      <w:pPr>
        <w:ind w:left="720" w:hanging="360"/>
      </w:pPr>
      <w:rPr>
        <w:rFonts w:hint="default"/>
      </w:rPr>
    </w:lvl>
    <w:lvl w:ilvl="1" w:tplc="1FF21048">
      <w:start w:val="1"/>
      <w:numFmt w:val="lowerRoman"/>
      <w:lvlText w:val="%2."/>
      <w:lvlJc w:val="right"/>
      <w:pPr>
        <w:ind w:left="1440" w:hanging="360"/>
      </w:pPr>
    </w:lvl>
    <w:lvl w:ilvl="2" w:tplc="1E46BC08">
      <w:start w:val="1"/>
      <w:numFmt w:val="bullet"/>
      <w:lvlText w:val=""/>
      <w:lvlJc w:val="left"/>
      <w:pPr>
        <w:ind w:left="2160" w:hanging="180"/>
      </w:pPr>
      <w:rPr>
        <w:rFonts w:ascii="Symbol" w:hAnsi="Symbol" w:hint="default"/>
      </w:rPr>
    </w:lvl>
    <w:lvl w:ilvl="3" w:tplc="FBC65FB6">
      <w:start w:val="1"/>
      <w:numFmt w:val="decimal"/>
      <w:lvlText w:val="%4."/>
      <w:lvlJc w:val="left"/>
      <w:pPr>
        <w:ind w:left="2880" w:hanging="360"/>
      </w:pPr>
    </w:lvl>
    <w:lvl w:ilvl="4" w:tplc="1E167520" w:tentative="1">
      <w:start w:val="1"/>
      <w:numFmt w:val="lowerLetter"/>
      <w:lvlText w:val="%5."/>
      <w:lvlJc w:val="left"/>
      <w:pPr>
        <w:ind w:left="3600" w:hanging="360"/>
      </w:pPr>
    </w:lvl>
    <w:lvl w:ilvl="5" w:tplc="DBE0CB3E" w:tentative="1">
      <w:start w:val="1"/>
      <w:numFmt w:val="lowerRoman"/>
      <w:lvlText w:val="%6."/>
      <w:lvlJc w:val="right"/>
      <w:pPr>
        <w:ind w:left="4320" w:hanging="180"/>
      </w:pPr>
    </w:lvl>
    <w:lvl w:ilvl="6" w:tplc="BE78B6EA" w:tentative="1">
      <w:start w:val="1"/>
      <w:numFmt w:val="decimal"/>
      <w:lvlText w:val="%7."/>
      <w:lvlJc w:val="left"/>
      <w:pPr>
        <w:ind w:left="5040" w:hanging="360"/>
      </w:pPr>
    </w:lvl>
    <w:lvl w:ilvl="7" w:tplc="C44E9FD0" w:tentative="1">
      <w:start w:val="1"/>
      <w:numFmt w:val="lowerLetter"/>
      <w:lvlText w:val="%8."/>
      <w:lvlJc w:val="left"/>
      <w:pPr>
        <w:ind w:left="5760" w:hanging="360"/>
      </w:pPr>
    </w:lvl>
    <w:lvl w:ilvl="8" w:tplc="669AA98C" w:tentative="1">
      <w:start w:val="1"/>
      <w:numFmt w:val="lowerRoman"/>
      <w:lvlText w:val="%9."/>
      <w:lvlJc w:val="right"/>
      <w:pPr>
        <w:ind w:left="6480" w:hanging="180"/>
      </w:pPr>
    </w:lvl>
  </w:abstractNum>
  <w:abstractNum w:abstractNumId="23">
    <w:nsid w:val="509E78BE"/>
    <w:multiLevelType w:val="hybridMultilevel"/>
    <w:tmpl w:val="BDDC3890"/>
    <w:lvl w:ilvl="0" w:tplc="906AB7BA">
      <w:start w:val="1"/>
      <w:numFmt w:val="lowerLetter"/>
      <w:lvlText w:val="%1."/>
      <w:lvlJc w:val="left"/>
      <w:pPr>
        <w:ind w:left="720" w:hanging="360"/>
      </w:pPr>
      <w:rPr>
        <w:rFonts w:hint="default"/>
      </w:rPr>
    </w:lvl>
    <w:lvl w:ilvl="1" w:tplc="05CEF524">
      <w:start w:val="1"/>
      <w:numFmt w:val="bullet"/>
      <w:lvlText w:val=""/>
      <w:lvlJc w:val="left"/>
      <w:pPr>
        <w:ind w:left="1440" w:hanging="360"/>
      </w:pPr>
      <w:rPr>
        <w:rFonts w:ascii="Symbol" w:hAnsi="Symbol" w:hint="default"/>
      </w:rPr>
    </w:lvl>
    <w:lvl w:ilvl="2" w:tplc="2FB47300">
      <w:start w:val="1"/>
      <w:numFmt w:val="bullet"/>
      <w:lvlText w:val=""/>
      <w:lvlJc w:val="left"/>
      <w:pPr>
        <w:ind w:left="2160" w:hanging="180"/>
      </w:pPr>
      <w:rPr>
        <w:rFonts w:ascii="Symbol" w:hAnsi="Symbol" w:hint="default"/>
      </w:rPr>
    </w:lvl>
    <w:lvl w:ilvl="3" w:tplc="41862A6C">
      <w:start w:val="1"/>
      <w:numFmt w:val="decimal"/>
      <w:lvlText w:val="%4."/>
      <w:lvlJc w:val="left"/>
      <w:pPr>
        <w:ind w:left="2880" w:hanging="360"/>
      </w:pPr>
    </w:lvl>
    <w:lvl w:ilvl="4" w:tplc="F1E0C366" w:tentative="1">
      <w:start w:val="1"/>
      <w:numFmt w:val="lowerLetter"/>
      <w:lvlText w:val="%5."/>
      <w:lvlJc w:val="left"/>
      <w:pPr>
        <w:ind w:left="3600" w:hanging="360"/>
      </w:pPr>
    </w:lvl>
    <w:lvl w:ilvl="5" w:tplc="B7AEFCE8" w:tentative="1">
      <w:start w:val="1"/>
      <w:numFmt w:val="lowerRoman"/>
      <w:lvlText w:val="%6."/>
      <w:lvlJc w:val="right"/>
      <w:pPr>
        <w:ind w:left="4320" w:hanging="180"/>
      </w:pPr>
    </w:lvl>
    <w:lvl w:ilvl="6" w:tplc="E584A12E" w:tentative="1">
      <w:start w:val="1"/>
      <w:numFmt w:val="decimal"/>
      <w:lvlText w:val="%7."/>
      <w:lvlJc w:val="left"/>
      <w:pPr>
        <w:ind w:left="5040" w:hanging="360"/>
      </w:pPr>
    </w:lvl>
    <w:lvl w:ilvl="7" w:tplc="D91481AE" w:tentative="1">
      <w:start w:val="1"/>
      <w:numFmt w:val="lowerLetter"/>
      <w:lvlText w:val="%8."/>
      <w:lvlJc w:val="left"/>
      <w:pPr>
        <w:ind w:left="5760" w:hanging="360"/>
      </w:pPr>
    </w:lvl>
    <w:lvl w:ilvl="8" w:tplc="8370E1EC" w:tentative="1">
      <w:start w:val="1"/>
      <w:numFmt w:val="lowerRoman"/>
      <w:lvlText w:val="%9."/>
      <w:lvlJc w:val="right"/>
      <w:pPr>
        <w:ind w:left="6480" w:hanging="180"/>
      </w:pPr>
    </w:lvl>
  </w:abstractNum>
  <w:abstractNum w:abstractNumId="24">
    <w:nsid w:val="555D2470"/>
    <w:multiLevelType w:val="hybridMultilevel"/>
    <w:tmpl w:val="E3AAA1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DD49E0"/>
    <w:multiLevelType w:val="hybridMultilevel"/>
    <w:tmpl w:val="E7B0F3AA"/>
    <w:lvl w:ilvl="0" w:tplc="03E01C7E">
      <w:start w:val="1"/>
      <w:numFmt w:val="upperRoman"/>
      <w:lvlText w:val="%1."/>
      <w:lvlJc w:val="left"/>
      <w:pPr>
        <w:tabs>
          <w:tab w:val="num" w:pos="1440"/>
        </w:tabs>
        <w:ind w:left="1440" w:hanging="720"/>
      </w:pPr>
      <w:rPr>
        <w:rFonts w:cs="Times New Roman" w:hint="default"/>
      </w:rPr>
    </w:lvl>
    <w:lvl w:ilvl="1" w:tplc="75EE8AAE">
      <w:start w:val="1"/>
      <w:numFmt w:val="decimal"/>
      <w:lvlText w:val="%2."/>
      <w:lvlJc w:val="left"/>
      <w:pPr>
        <w:tabs>
          <w:tab w:val="num" w:pos="1980"/>
        </w:tabs>
        <w:ind w:left="1980" w:hanging="540"/>
      </w:pPr>
      <w:rPr>
        <w:rFonts w:cs="Times New Roman" w:hint="default"/>
      </w:rPr>
    </w:lvl>
    <w:lvl w:ilvl="2" w:tplc="B43E52A0" w:tentative="1">
      <w:start w:val="1"/>
      <w:numFmt w:val="lowerRoman"/>
      <w:lvlText w:val="%3."/>
      <w:lvlJc w:val="right"/>
      <w:pPr>
        <w:tabs>
          <w:tab w:val="num" w:pos="2520"/>
        </w:tabs>
        <w:ind w:left="2520" w:hanging="180"/>
      </w:pPr>
      <w:rPr>
        <w:rFonts w:cs="Times New Roman"/>
      </w:rPr>
    </w:lvl>
    <w:lvl w:ilvl="3" w:tplc="1E702A8A" w:tentative="1">
      <w:start w:val="1"/>
      <w:numFmt w:val="decimal"/>
      <w:lvlText w:val="%4."/>
      <w:lvlJc w:val="left"/>
      <w:pPr>
        <w:tabs>
          <w:tab w:val="num" w:pos="3240"/>
        </w:tabs>
        <w:ind w:left="3240" w:hanging="360"/>
      </w:pPr>
      <w:rPr>
        <w:rFonts w:cs="Times New Roman"/>
      </w:rPr>
    </w:lvl>
    <w:lvl w:ilvl="4" w:tplc="3DAC3AA2" w:tentative="1">
      <w:start w:val="1"/>
      <w:numFmt w:val="lowerLetter"/>
      <w:lvlText w:val="%5."/>
      <w:lvlJc w:val="left"/>
      <w:pPr>
        <w:tabs>
          <w:tab w:val="num" w:pos="3960"/>
        </w:tabs>
        <w:ind w:left="3960" w:hanging="360"/>
      </w:pPr>
      <w:rPr>
        <w:rFonts w:cs="Times New Roman"/>
      </w:rPr>
    </w:lvl>
    <w:lvl w:ilvl="5" w:tplc="E76E09B2" w:tentative="1">
      <w:start w:val="1"/>
      <w:numFmt w:val="lowerRoman"/>
      <w:lvlText w:val="%6."/>
      <w:lvlJc w:val="right"/>
      <w:pPr>
        <w:tabs>
          <w:tab w:val="num" w:pos="4680"/>
        </w:tabs>
        <w:ind w:left="4680" w:hanging="180"/>
      </w:pPr>
      <w:rPr>
        <w:rFonts w:cs="Times New Roman"/>
      </w:rPr>
    </w:lvl>
    <w:lvl w:ilvl="6" w:tplc="762C0CAE" w:tentative="1">
      <w:start w:val="1"/>
      <w:numFmt w:val="decimal"/>
      <w:lvlText w:val="%7."/>
      <w:lvlJc w:val="left"/>
      <w:pPr>
        <w:tabs>
          <w:tab w:val="num" w:pos="5400"/>
        </w:tabs>
        <w:ind w:left="5400" w:hanging="360"/>
      </w:pPr>
      <w:rPr>
        <w:rFonts w:cs="Times New Roman"/>
      </w:rPr>
    </w:lvl>
    <w:lvl w:ilvl="7" w:tplc="E696902A" w:tentative="1">
      <w:start w:val="1"/>
      <w:numFmt w:val="lowerLetter"/>
      <w:lvlText w:val="%8."/>
      <w:lvlJc w:val="left"/>
      <w:pPr>
        <w:tabs>
          <w:tab w:val="num" w:pos="6120"/>
        </w:tabs>
        <w:ind w:left="6120" w:hanging="360"/>
      </w:pPr>
      <w:rPr>
        <w:rFonts w:cs="Times New Roman"/>
      </w:rPr>
    </w:lvl>
    <w:lvl w:ilvl="8" w:tplc="37ECE06C" w:tentative="1">
      <w:start w:val="1"/>
      <w:numFmt w:val="lowerRoman"/>
      <w:lvlText w:val="%9."/>
      <w:lvlJc w:val="right"/>
      <w:pPr>
        <w:tabs>
          <w:tab w:val="num" w:pos="6840"/>
        </w:tabs>
        <w:ind w:left="6840" w:hanging="180"/>
      </w:pPr>
      <w:rPr>
        <w:rFonts w:cs="Times New Roman"/>
      </w:rPr>
    </w:lvl>
  </w:abstractNum>
  <w:abstractNum w:abstractNumId="26">
    <w:nsid w:val="56000EE5"/>
    <w:multiLevelType w:val="hybridMultilevel"/>
    <w:tmpl w:val="2A1AB58C"/>
    <w:lvl w:ilvl="0" w:tplc="9ECEBC96">
      <w:start w:val="1"/>
      <w:numFmt w:val="bullet"/>
      <w:lvlText w:val=""/>
      <w:lvlJc w:val="left"/>
      <w:pPr>
        <w:ind w:left="720" w:hanging="360"/>
      </w:pPr>
      <w:rPr>
        <w:rFonts w:ascii="Symbol" w:hAnsi="Symbol" w:hint="default"/>
      </w:rPr>
    </w:lvl>
    <w:lvl w:ilvl="1" w:tplc="5F5A7732" w:tentative="1">
      <w:start w:val="1"/>
      <w:numFmt w:val="bullet"/>
      <w:lvlText w:val="o"/>
      <w:lvlJc w:val="left"/>
      <w:pPr>
        <w:ind w:left="1440" w:hanging="360"/>
      </w:pPr>
      <w:rPr>
        <w:rFonts w:ascii="Courier New" w:hAnsi="Courier New" w:cs="Courier New" w:hint="default"/>
      </w:rPr>
    </w:lvl>
    <w:lvl w:ilvl="2" w:tplc="5F42C640" w:tentative="1">
      <w:start w:val="1"/>
      <w:numFmt w:val="bullet"/>
      <w:lvlText w:val=""/>
      <w:lvlJc w:val="left"/>
      <w:pPr>
        <w:ind w:left="2160" w:hanging="360"/>
      </w:pPr>
      <w:rPr>
        <w:rFonts w:ascii="Wingdings" w:hAnsi="Wingdings" w:hint="default"/>
      </w:rPr>
    </w:lvl>
    <w:lvl w:ilvl="3" w:tplc="01D6CDA6" w:tentative="1">
      <w:start w:val="1"/>
      <w:numFmt w:val="bullet"/>
      <w:lvlText w:val=""/>
      <w:lvlJc w:val="left"/>
      <w:pPr>
        <w:ind w:left="2880" w:hanging="360"/>
      </w:pPr>
      <w:rPr>
        <w:rFonts w:ascii="Symbol" w:hAnsi="Symbol" w:hint="default"/>
      </w:rPr>
    </w:lvl>
    <w:lvl w:ilvl="4" w:tplc="D3B0AC86" w:tentative="1">
      <w:start w:val="1"/>
      <w:numFmt w:val="bullet"/>
      <w:lvlText w:val="o"/>
      <w:lvlJc w:val="left"/>
      <w:pPr>
        <w:ind w:left="3600" w:hanging="360"/>
      </w:pPr>
      <w:rPr>
        <w:rFonts w:ascii="Courier New" w:hAnsi="Courier New" w:cs="Courier New" w:hint="default"/>
      </w:rPr>
    </w:lvl>
    <w:lvl w:ilvl="5" w:tplc="06203824" w:tentative="1">
      <w:start w:val="1"/>
      <w:numFmt w:val="bullet"/>
      <w:lvlText w:val=""/>
      <w:lvlJc w:val="left"/>
      <w:pPr>
        <w:ind w:left="4320" w:hanging="360"/>
      </w:pPr>
      <w:rPr>
        <w:rFonts w:ascii="Wingdings" w:hAnsi="Wingdings" w:hint="default"/>
      </w:rPr>
    </w:lvl>
    <w:lvl w:ilvl="6" w:tplc="44001236" w:tentative="1">
      <w:start w:val="1"/>
      <w:numFmt w:val="bullet"/>
      <w:lvlText w:val=""/>
      <w:lvlJc w:val="left"/>
      <w:pPr>
        <w:ind w:left="5040" w:hanging="360"/>
      </w:pPr>
      <w:rPr>
        <w:rFonts w:ascii="Symbol" w:hAnsi="Symbol" w:hint="default"/>
      </w:rPr>
    </w:lvl>
    <w:lvl w:ilvl="7" w:tplc="E19A5DC6" w:tentative="1">
      <w:start w:val="1"/>
      <w:numFmt w:val="bullet"/>
      <w:lvlText w:val="o"/>
      <w:lvlJc w:val="left"/>
      <w:pPr>
        <w:ind w:left="5760" w:hanging="360"/>
      </w:pPr>
      <w:rPr>
        <w:rFonts w:ascii="Courier New" w:hAnsi="Courier New" w:cs="Courier New" w:hint="default"/>
      </w:rPr>
    </w:lvl>
    <w:lvl w:ilvl="8" w:tplc="F048A5BA" w:tentative="1">
      <w:start w:val="1"/>
      <w:numFmt w:val="bullet"/>
      <w:lvlText w:val=""/>
      <w:lvlJc w:val="left"/>
      <w:pPr>
        <w:ind w:left="6480" w:hanging="360"/>
      </w:pPr>
      <w:rPr>
        <w:rFonts w:ascii="Wingdings" w:hAnsi="Wingdings" w:hint="default"/>
      </w:rPr>
    </w:lvl>
  </w:abstractNum>
  <w:abstractNum w:abstractNumId="27">
    <w:nsid w:val="573E326E"/>
    <w:multiLevelType w:val="hybridMultilevel"/>
    <w:tmpl w:val="9B720B02"/>
    <w:lvl w:ilvl="0" w:tplc="90EA01E4">
      <w:start w:val="1"/>
      <w:numFmt w:val="lowerRoman"/>
      <w:lvlText w:val="(%1.)"/>
      <w:lvlJc w:val="left"/>
      <w:pPr>
        <w:ind w:left="1800" w:hanging="360"/>
      </w:pPr>
      <w:rPr>
        <w:rFonts w:cs="Times New Roman" w:hint="default"/>
      </w:rPr>
    </w:lvl>
    <w:lvl w:ilvl="1" w:tplc="E5569C9C" w:tentative="1">
      <w:start w:val="1"/>
      <w:numFmt w:val="lowerLetter"/>
      <w:lvlText w:val="%2."/>
      <w:lvlJc w:val="left"/>
      <w:pPr>
        <w:ind w:left="1800" w:hanging="360"/>
      </w:pPr>
    </w:lvl>
    <w:lvl w:ilvl="2" w:tplc="79C4BF38" w:tentative="1">
      <w:start w:val="1"/>
      <w:numFmt w:val="lowerRoman"/>
      <w:lvlText w:val="%3."/>
      <w:lvlJc w:val="right"/>
      <w:pPr>
        <w:ind w:left="2520" w:hanging="180"/>
      </w:pPr>
    </w:lvl>
    <w:lvl w:ilvl="3" w:tplc="7B5E33EE" w:tentative="1">
      <w:start w:val="1"/>
      <w:numFmt w:val="decimal"/>
      <w:lvlText w:val="%4."/>
      <w:lvlJc w:val="left"/>
      <w:pPr>
        <w:ind w:left="3240" w:hanging="360"/>
      </w:pPr>
    </w:lvl>
    <w:lvl w:ilvl="4" w:tplc="B3E881D4" w:tentative="1">
      <w:start w:val="1"/>
      <w:numFmt w:val="lowerLetter"/>
      <w:lvlText w:val="%5."/>
      <w:lvlJc w:val="left"/>
      <w:pPr>
        <w:ind w:left="3960" w:hanging="360"/>
      </w:pPr>
    </w:lvl>
    <w:lvl w:ilvl="5" w:tplc="3BA0E50E" w:tentative="1">
      <w:start w:val="1"/>
      <w:numFmt w:val="lowerRoman"/>
      <w:lvlText w:val="%6."/>
      <w:lvlJc w:val="right"/>
      <w:pPr>
        <w:ind w:left="4680" w:hanging="180"/>
      </w:pPr>
    </w:lvl>
    <w:lvl w:ilvl="6" w:tplc="097A0C8E" w:tentative="1">
      <w:start w:val="1"/>
      <w:numFmt w:val="decimal"/>
      <w:lvlText w:val="%7."/>
      <w:lvlJc w:val="left"/>
      <w:pPr>
        <w:ind w:left="5400" w:hanging="360"/>
      </w:pPr>
    </w:lvl>
    <w:lvl w:ilvl="7" w:tplc="040EF290" w:tentative="1">
      <w:start w:val="1"/>
      <w:numFmt w:val="lowerLetter"/>
      <w:lvlText w:val="%8."/>
      <w:lvlJc w:val="left"/>
      <w:pPr>
        <w:ind w:left="6120" w:hanging="360"/>
      </w:pPr>
    </w:lvl>
    <w:lvl w:ilvl="8" w:tplc="08C27F94" w:tentative="1">
      <w:start w:val="1"/>
      <w:numFmt w:val="lowerRoman"/>
      <w:lvlText w:val="%9."/>
      <w:lvlJc w:val="right"/>
      <w:pPr>
        <w:ind w:left="6840" w:hanging="180"/>
      </w:pPr>
    </w:lvl>
  </w:abstractNum>
  <w:abstractNum w:abstractNumId="28">
    <w:nsid w:val="576033E8"/>
    <w:multiLevelType w:val="hybridMultilevel"/>
    <w:tmpl w:val="BA90A5B8"/>
    <w:lvl w:ilvl="0" w:tplc="005AE548">
      <w:start w:val="1"/>
      <w:numFmt w:val="lowerRoman"/>
      <w:lvlText w:val="(%1.)"/>
      <w:lvlJc w:val="left"/>
      <w:pPr>
        <w:ind w:left="1440" w:hanging="360"/>
      </w:pPr>
      <w:rPr>
        <w:rFonts w:cs="Times New Roman" w:hint="default"/>
      </w:rPr>
    </w:lvl>
    <w:lvl w:ilvl="1" w:tplc="B39281D6">
      <w:start w:val="1"/>
      <w:numFmt w:val="lowerLetter"/>
      <w:lvlText w:val="%2."/>
      <w:lvlJc w:val="left"/>
      <w:pPr>
        <w:ind w:left="2160" w:hanging="360"/>
      </w:pPr>
    </w:lvl>
    <w:lvl w:ilvl="2" w:tplc="94089B1E" w:tentative="1">
      <w:start w:val="1"/>
      <w:numFmt w:val="lowerRoman"/>
      <w:lvlText w:val="%3."/>
      <w:lvlJc w:val="right"/>
      <w:pPr>
        <w:ind w:left="2880" w:hanging="180"/>
      </w:pPr>
    </w:lvl>
    <w:lvl w:ilvl="3" w:tplc="5BE01FF8" w:tentative="1">
      <w:start w:val="1"/>
      <w:numFmt w:val="decimal"/>
      <w:lvlText w:val="%4."/>
      <w:lvlJc w:val="left"/>
      <w:pPr>
        <w:ind w:left="3600" w:hanging="360"/>
      </w:pPr>
    </w:lvl>
    <w:lvl w:ilvl="4" w:tplc="F6C0D064" w:tentative="1">
      <w:start w:val="1"/>
      <w:numFmt w:val="lowerLetter"/>
      <w:lvlText w:val="%5."/>
      <w:lvlJc w:val="left"/>
      <w:pPr>
        <w:ind w:left="4320" w:hanging="360"/>
      </w:pPr>
    </w:lvl>
    <w:lvl w:ilvl="5" w:tplc="2642288E" w:tentative="1">
      <w:start w:val="1"/>
      <w:numFmt w:val="lowerRoman"/>
      <w:lvlText w:val="%6."/>
      <w:lvlJc w:val="right"/>
      <w:pPr>
        <w:ind w:left="5040" w:hanging="180"/>
      </w:pPr>
    </w:lvl>
    <w:lvl w:ilvl="6" w:tplc="4A4A5994" w:tentative="1">
      <w:start w:val="1"/>
      <w:numFmt w:val="decimal"/>
      <w:lvlText w:val="%7."/>
      <w:lvlJc w:val="left"/>
      <w:pPr>
        <w:ind w:left="5760" w:hanging="360"/>
      </w:pPr>
    </w:lvl>
    <w:lvl w:ilvl="7" w:tplc="00F64C34" w:tentative="1">
      <w:start w:val="1"/>
      <w:numFmt w:val="lowerLetter"/>
      <w:lvlText w:val="%8."/>
      <w:lvlJc w:val="left"/>
      <w:pPr>
        <w:ind w:left="6480" w:hanging="360"/>
      </w:pPr>
    </w:lvl>
    <w:lvl w:ilvl="8" w:tplc="DE54EC98" w:tentative="1">
      <w:start w:val="1"/>
      <w:numFmt w:val="lowerRoman"/>
      <w:lvlText w:val="%9."/>
      <w:lvlJc w:val="right"/>
      <w:pPr>
        <w:ind w:left="7200" w:hanging="180"/>
      </w:pPr>
    </w:lvl>
  </w:abstractNum>
  <w:abstractNum w:abstractNumId="29">
    <w:nsid w:val="603F2D02"/>
    <w:multiLevelType w:val="hybridMultilevel"/>
    <w:tmpl w:val="77768D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8497385"/>
    <w:multiLevelType w:val="hybridMultilevel"/>
    <w:tmpl w:val="54280C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0B07080"/>
    <w:multiLevelType w:val="hybridMultilevel"/>
    <w:tmpl w:val="6F64C8E2"/>
    <w:lvl w:ilvl="0" w:tplc="B38EFE6E">
      <w:start w:val="1"/>
      <w:numFmt w:val="lowerLetter"/>
      <w:lvlText w:val="%1)"/>
      <w:lvlJc w:val="left"/>
      <w:pPr>
        <w:ind w:left="720" w:hanging="360"/>
      </w:pPr>
      <w:rPr>
        <w:rFonts w:hint="default"/>
      </w:rPr>
    </w:lvl>
    <w:lvl w:ilvl="1" w:tplc="89564A7E">
      <w:start w:val="1"/>
      <w:numFmt w:val="lowerRoman"/>
      <w:lvlText w:val="(%2.)"/>
      <w:lvlJc w:val="left"/>
      <w:pPr>
        <w:ind w:left="1440" w:hanging="360"/>
      </w:pPr>
      <w:rPr>
        <w:rFonts w:cs="Times New Roman" w:hint="default"/>
      </w:rPr>
    </w:lvl>
    <w:lvl w:ilvl="2" w:tplc="53CAD358">
      <w:start w:val="1"/>
      <w:numFmt w:val="lowerRoman"/>
      <w:lvlText w:val="(%3.)"/>
      <w:lvlJc w:val="left"/>
      <w:pPr>
        <w:ind w:left="2160" w:hanging="180"/>
      </w:pPr>
      <w:rPr>
        <w:rFonts w:cs="Times New Roman" w:hint="default"/>
      </w:rPr>
    </w:lvl>
    <w:lvl w:ilvl="3" w:tplc="8C4E18D0">
      <w:start w:val="1"/>
      <w:numFmt w:val="decimal"/>
      <w:lvlText w:val="%4."/>
      <w:lvlJc w:val="left"/>
      <w:pPr>
        <w:ind w:left="2880" w:hanging="360"/>
      </w:pPr>
    </w:lvl>
    <w:lvl w:ilvl="4" w:tplc="3EE080FE">
      <w:start w:val="1"/>
      <w:numFmt w:val="lowerLetter"/>
      <w:lvlText w:val="%5."/>
      <w:lvlJc w:val="left"/>
      <w:pPr>
        <w:ind w:left="3600" w:hanging="360"/>
      </w:pPr>
    </w:lvl>
    <w:lvl w:ilvl="5" w:tplc="F940B5D2" w:tentative="1">
      <w:start w:val="1"/>
      <w:numFmt w:val="lowerRoman"/>
      <w:lvlText w:val="%6."/>
      <w:lvlJc w:val="right"/>
      <w:pPr>
        <w:ind w:left="4320" w:hanging="180"/>
      </w:pPr>
    </w:lvl>
    <w:lvl w:ilvl="6" w:tplc="CC1E35FC" w:tentative="1">
      <w:start w:val="1"/>
      <w:numFmt w:val="decimal"/>
      <w:lvlText w:val="%7."/>
      <w:lvlJc w:val="left"/>
      <w:pPr>
        <w:ind w:left="5040" w:hanging="360"/>
      </w:pPr>
    </w:lvl>
    <w:lvl w:ilvl="7" w:tplc="87925EE4" w:tentative="1">
      <w:start w:val="1"/>
      <w:numFmt w:val="lowerLetter"/>
      <w:lvlText w:val="%8."/>
      <w:lvlJc w:val="left"/>
      <w:pPr>
        <w:ind w:left="5760" w:hanging="360"/>
      </w:pPr>
    </w:lvl>
    <w:lvl w:ilvl="8" w:tplc="EE340300" w:tentative="1">
      <w:start w:val="1"/>
      <w:numFmt w:val="lowerRoman"/>
      <w:lvlText w:val="%9."/>
      <w:lvlJc w:val="right"/>
      <w:pPr>
        <w:ind w:left="6480" w:hanging="180"/>
      </w:pPr>
    </w:lvl>
  </w:abstractNum>
  <w:abstractNum w:abstractNumId="32">
    <w:nsid w:val="712B3D07"/>
    <w:multiLevelType w:val="hybridMultilevel"/>
    <w:tmpl w:val="D00E6238"/>
    <w:lvl w:ilvl="0" w:tplc="578C19A6">
      <w:start w:val="1"/>
      <w:numFmt w:val="decimal"/>
      <w:lvlText w:val="%1."/>
      <w:lvlJc w:val="left"/>
      <w:pPr>
        <w:ind w:left="720" w:hanging="360"/>
      </w:pPr>
    </w:lvl>
    <w:lvl w:ilvl="1" w:tplc="7CE4B84A" w:tentative="1">
      <w:start w:val="1"/>
      <w:numFmt w:val="lowerLetter"/>
      <w:lvlText w:val="%2."/>
      <w:lvlJc w:val="left"/>
      <w:pPr>
        <w:ind w:left="1440" w:hanging="360"/>
      </w:pPr>
    </w:lvl>
    <w:lvl w:ilvl="2" w:tplc="6AE69664" w:tentative="1">
      <w:start w:val="1"/>
      <w:numFmt w:val="lowerRoman"/>
      <w:lvlText w:val="%3."/>
      <w:lvlJc w:val="right"/>
      <w:pPr>
        <w:ind w:left="2160" w:hanging="180"/>
      </w:pPr>
    </w:lvl>
    <w:lvl w:ilvl="3" w:tplc="0FEAEA2A" w:tentative="1">
      <w:start w:val="1"/>
      <w:numFmt w:val="decimal"/>
      <w:lvlText w:val="%4."/>
      <w:lvlJc w:val="left"/>
      <w:pPr>
        <w:ind w:left="2880" w:hanging="360"/>
      </w:pPr>
    </w:lvl>
    <w:lvl w:ilvl="4" w:tplc="D34C8AEC" w:tentative="1">
      <w:start w:val="1"/>
      <w:numFmt w:val="lowerLetter"/>
      <w:lvlText w:val="%5."/>
      <w:lvlJc w:val="left"/>
      <w:pPr>
        <w:ind w:left="3600" w:hanging="360"/>
      </w:pPr>
    </w:lvl>
    <w:lvl w:ilvl="5" w:tplc="FD82FBD4" w:tentative="1">
      <w:start w:val="1"/>
      <w:numFmt w:val="lowerRoman"/>
      <w:lvlText w:val="%6."/>
      <w:lvlJc w:val="right"/>
      <w:pPr>
        <w:ind w:left="4320" w:hanging="180"/>
      </w:pPr>
    </w:lvl>
    <w:lvl w:ilvl="6" w:tplc="8B0A957C" w:tentative="1">
      <w:start w:val="1"/>
      <w:numFmt w:val="decimal"/>
      <w:lvlText w:val="%7."/>
      <w:lvlJc w:val="left"/>
      <w:pPr>
        <w:ind w:left="5040" w:hanging="360"/>
      </w:pPr>
    </w:lvl>
    <w:lvl w:ilvl="7" w:tplc="5E5C5110" w:tentative="1">
      <w:start w:val="1"/>
      <w:numFmt w:val="lowerLetter"/>
      <w:lvlText w:val="%8."/>
      <w:lvlJc w:val="left"/>
      <w:pPr>
        <w:ind w:left="5760" w:hanging="360"/>
      </w:pPr>
    </w:lvl>
    <w:lvl w:ilvl="8" w:tplc="63A88822" w:tentative="1">
      <w:start w:val="1"/>
      <w:numFmt w:val="lowerRoman"/>
      <w:lvlText w:val="%9."/>
      <w:lvlJc w:val="right"/>
      <w:pPr>
        <w:ind w:left="6480" w:hanging="180"/>
      </w:pPr>
    </w:lvl>
  </w:abstractNum>
  <w:abstractNum w:abstractNumId="33">
    <w:nsid w:val="7B456293"/>
    <w:multiLevelType w:val="hybridMultilevel"/>
    <w:tmpl w:val="F6DA8E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F313D79"/>
    <w:multiLevelType w:val="hybridMultilevel"/>
    <w:tmpl w:val="54280CC8"/>
    <w:lvl w:ilvl="0" w:tplc="0409000F">
      <w:start w:val="1"/>
      <w:numFmt w:val="decimal"/>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12"/>
  </w:num>
  <w:num w:numId="3">
    <w:abstractNumId w:val="31"/>
  </w:num>
  <w:num w:numId="4">
    <w:abstractNumId w:val="18"/>
  </w:num>
  <w:num w:numId="5">
    <w:abstractNumId w:val="22"/>
  </w:num>
  <w:num w:numId="6">
    <w:abstractNumId w:val="23"/>
  </w:num>
  <w:num w:numId="7">
    <w:abstractNumId w:val="19"/>
  </w:num>
  <w:num w:numId="8">
    <w:abstractNumId w:val="17"/>
  </w:num>
  <w:num w:numId="9">
    <w:abstractNumId w:val="28"/>
  </w:num>
  <w:num w:numId="10">
    <w:abstractNumId w:val="10"/>
  </w:num>
  <w:num w:numId="11">
    <w:abstractNumId w:val="27"/>
  </w:num>
  <w:num w:numId="12">
    <w:abstractNumId w:val="26"/>
  </w:num>
  <w:num w:numId="13">
    <w:abstractNumId w:val="21"/>
  </w:num>
  <w:num w:numId="14">
    <w:abstractNumId w:val="15"/>
  </w:num>
  <w:num w:numId="15">
    <w:abstractNumId w:val="11"/>
  </w:num>
  <w:num w:numId="16">
    <w:abstractNumId w:val="32"/>
  </w:num>
  <w:num w:numId="17">
    <w:abstractNumId w:val="3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3"/>
  </w:num>
  <w:num w:numId="29">
    <w:abstractNumId w:val="14"/>
  </w:num>
  <w:num w:numId="30">
    <w:abstractNumId w:val="20"/>
  </w:num>
  <w:num w:numId="31">
    <w:abstractNumId w:val="29"/>
  </w:num>
  <w:num w:numId="32">
    <w:abstractNumId w:val="24"/>
  </w:num>
  <w:num w:numId="33">
    <w:abstractNumId w:val="16"/>
  </w:num>
  <w:num w:numId="34">
    <w:abstractNumId w:val="33"/>
  </w:num>
  <w:num w:numId="3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yler C. Pepple">
    <w15:presenceInfo w15:providerId="AD" w15:userId="S-1-5-21-1364278461-772529801-1134363619-1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4E"/>
    <w:rsid w:val="00003E3D"/>
    <w:rsid w:val="000211A5"/>
    <w:rsid w:val="00023863"/>
    <w:rsid w:val="00045935"/>
    <w:rsid w:val="00065F1F"/>
    <w:rsid w:val="00073CDA"/>
    <w:rsid w:val="00074BF1"/>
    <w:rsid w:val="00085CDB"/>
    <w:rsid w:val="00092DC3"/>
    <w:rsid w:val="000968BB"/>
    <w:rsid w:val="00097ADE"/>
    <w:rsid w:val="000A0772"/>
    <w:rsid w:val="000A21D3"/>
    <w:rsid w:val="000A31E2"/>
    <w:rsid w:val="000B134C"/>
    <w:rsid w:val="000B433B"/>
    <w:rsid w:val="000E2DB6"/>
    <w:rsid w:val="000F3840"/>
    <w:rsid w:val="00100EA5"/>
    <w:rsid w:val="0010222D"/>
    <w:rsid w:val="00120DB8"/>
    <w:rsid w:val="001418D0"/>
    <w:rsid w:val="0014718E"/>
    <w:rsid w:val="00147AA7"/>
    <w:rsid w:val="00151959"/>
    <w:rsid w:val="00162EEC"/>
    <w:rsid w:val="00181A0A"/>
    <w:rsid w:val="001832AD"/>
    <w:rsid w:val="00186A1D"/>
    <w:rsid w:val="00192A94"/>
    <w:rsid w:val="00192E70"/>
    <w:rsid w:val="00197ACD"/>
    <w:rsid w:val="001A4EEE"/>
    <w:rsid w:val="001A60F8"/>
    <w:rsid w:val="001A69EC"/>
    <w:rsid w:val="001C1108"/>
    <w:rsid w:val="001C3BB8"/>
    <w:rsid w:val="0020218C"/>
    <w:rsid w:val="00211C7E"/>
    <w:rsid w:val="00217C7D"/>
    <w:rsid w:val="00220B53"/>
    <w:rsid w:val="00220B55"/>
    <w:rsid w:val="00226022"/>
    <w:rsid w:val="00231D88"/>
    <w:rsid w:val="00241563"/>
    <w:rsid w:val="00245117"/>
    <w:rsid w:val="0025025D"/>
    <w:rsid w:val="002701F8"/>
    <w:rsid w:val="00280B19"/>
    <w:rsid w:val="00281847"/>
    <w:rsid w:val="00284475"/>
    <w:rsid w:val="00292927"/>
    <w:rsid w:val="0029335D"/>
    <w:rsid w:val="00293DC5"/>
    <w:rsid w:val="00295946"/>
    <w:rsid w:val="002A1FFD"/>
    <w:rsid w:val="002A4569"/>
    <w:rsid w:val="002A6154"/>
    <w:rsid w:val="002B2EB8"/>
    <w:rsid w:val="002C20B8"/>
    <w:rsid w:val="002C3C06"/>
    <w:rsid w:val="002D6603"/>
    <w:rsid w:val="002D74F8"/>
    <w:rsid w:val="003100CD"/>
    <w:rsid w:val="00323DFA"/>
    <w:rsid w:val="00331B77"/>
    <w:rsid w:val="00345491"/>
    <w:rsid w:val="0037195E"/>
    <w:rsid w:val="003935DE"/>
    <w:rsid w:val="003A03D1"/>
    <w:rsid w:val="003A467D"/>
    <w:rsid w:val="003B0566"/>
    <w:rsid w:val="003B320A"/>
    <w:rsid w:val="003C3796"/>
    <w:rsid w:val="003D265F"/>
    <w:rsid w:val="003E5477"/>
    <w:rsid w:val="003E58B9"/>
    <w:rsid w:val="003F5B57"/>
    <w:rsid w:val="004143EA"/>
    <w:rsid w:val="004229D3"/>
    <w:rsid w:val="00425C70"/>
    <w:rsid w:val="00427D5C"/>
    <w:rsid w:val="004322F8"/>
    <w:rsid w:val="004326E5"/>
    <w:rsid w:val="0043512E"/>
    <w:rsid w:val="004353C1"/>
    <w:rsid w:val="004428D7"/>
    <w:rsid w:val="0045704C"/>
    <w:rsid w:val="0046128C"/>
    <w:rsid w:val="0047013B"/>
    <w:rsid w:val="00491EBD"/>
    <w:rsid w:val="0049406C"/>
    <w:rsid w:val="00497336"/>
    <w:rsid w:val="004A679A"/>
    <w:rsid w:val="004C18E5"/>
    <w:rsid w:val="004D1528"/>
    <w:rsid w:val="004E2A34"/>
    <w:rsid w:val="004F6CC3"/>
    <w:rsid w:val="00505385"/>
    <w:rsid w:val="00535A93"/>
    <w:rsid w:val="00544321"/>
    <w:rsid w:val="005451C5"/>
    <w:rsid w:val="00567B3C"/>
    <w:rsid w:val="005720CB"/>
    <w:rsid w:val="0058442F"/>
    <w:rsid w:val="00591D83"/>
    <w:rsid w:val="005956D8"/>
    <w:rsid w:val="005E1039"/>
    <w:rsid w:val="005E247E"/>
    <w:rsid w:val="005F2BB3"/>
    <w:rsid w:val="005F5F0D"/>
    <w:rsid w:val="00610A53"/>
    <w:rsid w:val="006156D2"/>
    <w:rsid w:val="00620EBD"/>
    <w:rsid w:val="006225A9"/>
    <w:rsid w:val="00686FB0"/>
    <w:rsid w:val="006A5449"/>
    <w:rsid w:val="006A5E89"/>
    <w:rsid w:val="006B0429"/>
    <w:rsid w:val="006B0A0D"/>
    <w:rsid w:val="006C4476"/>
    <w:rsid w:val="006C474A"/>
    <w:rsid w:val="006C7B0A"/>
    <w:rsid w:val="006C7E99"/>
    <w:rsid w:val="006C7EAF"/>
    <w:rsid w:val="006E5A84"/>
    <w:rsid w:val="006F0BA2"/>
    <w:rsid w:val="006F7CBB"/>
    <w:rsid w:val="00713B35"/>
    <w:rsid w:val="00725795"/>
    <w:rsid w:val="00731CCD"/>
    <w:rsid w:val="007410EE"/>
    <w:rsid w:val="00743FDE"/>
    <w:rsid w:val="00751C2F"/>
    <w:rsid w:val="00770AAC"/>
    <w:rsid w:val="00786161"/>
    <w:rsid w:val="007A2AA5"/>
    <w:rsid w:val="007A2AB8"/>
    <w:rsid w:val="007B1E15"/>
    <w:rsid w:val="007B410A"/>
    <w:rsid w:val="007C38DA"/>
    <w:rsid w:val="007C6E74"/>
    <w:rsid w:val="007C77CD"/>
    <w:rsid w:val="007C7CC4"/>
    <w:rsid w:val="007D1C56"/>
    <w:rsid w:val="007D20C4"/>
    <w:rsid w:val="007D7F78"/>
    <w:rsid w:val="007E0EEE"/>
    <w:rsid w:val="007E4886"/>
    <w:rsid w:val="007F2FE4"/>
    <w:rsid w:val="00800C47"/>
    <w:rsid w:val="00804853"/>
    <w:rsid w:val="00811688"/>
    <w:rsid w:val="00813117"/>
    <w:rsid w:val="00823C48"/>
    <w:rsid w:val="008372A7"/>
    <w:rsid w:val="008541F0"/>
    <w:rsid w:val="0085584F"/>
    <w:rsid w:val="00862A8C"/>
    <w:rsid w:val="00871C04"/>
    <w:rsid w:val="00875836"/>
    <w:rsid w:val="008A064A"/>
    <w:rsid w:val="008B1FDB"/>
    <w:rsid w:val="008C571D"/>
    <w:rsid w:val="008D065F"/>
    <w:rsid w:val="008D6310"/>
    <w:rsid w:val="008E51F3"/>
    <w:rsid w:val="008F069A"/>
    <w:rsid w:val="008F56DE"/>
    <w:rsid w:val="00911173"/>
    <w:rsid w:val="009126E7"/>
    <w:rsid w:val="0092001D"/>
    <w:rsid w:val="00935B8B"/>
    <w:rsid w:val="00941E59"/>
    <w:rsid w:val="00942D02"/>
    <w:rsid w:val="00952D11"/>
    <w:rsid w:val="009834ED"/>
    <w:rsid w:val="00987307"/>
    <w:rsid w:val="009C5D37"/>
    <w:rsid w:val="009E1243"/>
    <w:rsid w:val="009E7E5B"/>
    <w:rsid w:val="009F52D9"/>
    <w:rsid w:val="00A00CA8"/>
    <w:rsid w:val="00A0209F"/>
    <w:rsid w:val="00A211B0"/>
    <w:rsid w:val="00A4571D"/>
    <w:rsid w:val="00A46F56"/>
    <w:rsid w:val="00A62F9C"/>
    <w:rsid w:val="00A702B8"/>
    <w:rsid w:val="00A75776"/>
    <w:rsid w:val="00A76AB8"/>
    <w:rsid w:val="00A84522"/>
    <w:rsid w:val="00A84DE4"/>
    <w:rsid w:val="00A85B7C"/>
    <w:rsid w:val="00A86258"/>
    <w:rsid w:val="00A86710"/>
    <w:rsid w:val="00A91ED9"/>
    <w:rsid w:val="00A926DC"/>
    <w:rsid w:val="00A93B4E"/>
    <w:rsid w:val="00A94D0B"/>
    <w:rsid w:val="00AA2DC5"/>
    <w:rsid w:val="00AA3B7B"/>
    <w:rsid w:val="00AA51D7"/>
    <w:rsid w:val="00AB2EEE"/>
    <w:rsid w:val="00AB5DFA"/>
    <w:rsid w:val="00AB7F16"/>
    <w:rsid w:val="00AC052B"/>
    <w:rsid w:val="00B02312"/>
    <w:rsid w:val="00B103CB"/>
    <w:rsid w:val="00B26E5C"/>
    <w:rsid w:val="00B3128A"/>
    <w:rsid w:val="00B40F70"/>
    <w:rsid w:val="00B50128"/>
    <w:rsid w:val="00B630DB"/>
    <w:rsid w:val="00B660F9"/>
    <w:rsid w:val="00B66781"/>
    <w:rsid w:val="00B70649"/>
    <w:rsid w:val="00B73589"/>
    <w:rsid w:val="00B8493E"/>
    <w:rsid w:val="00B90FBB"/>
    <w:rsid w:val="00BA52D6"/>
    <w:rsid w:val="00BB0007"/>
    <w:rsid w:val="00BB1196"/>
    <w:rsid w:val="00BD0A64"/>
    <w:rsid w:val="00BD3467"/>
    <w:rsid w:val="00BD4198"/>
    <w:rsid w:val="00BE3B45"/>
    <w:rsid w:val="00BF1808"/>
    <w:rsid w:val="00BF18E3"/>
    <w:rsid w:val="00BF47D3"/>
    <w:rsid w:val="00C052FE"/>
    <w:rsid w:val="00C118C9"/>
    <w:rsid w:val="00C202C4"/>
    <w:rsid w:val="00C21A5E"/>
    <w:rsid w:val="00C21D68"/>
    <w:rsid w:val="00C24479"/>
    <w:rsid w:val="00C350A7"/>
    <w:rsid w:val="00C45D68"/>
    <w:rsid w:val="00C46950"/>
    <w:rsid w:val="00C552C4"/>
    <w:rsid w:val="00C67182"/>
    <w:rsid w:val="00C7411B"/>
    <w:rsid w:val="00C80749"/>
    <w:rsid w:val="00C8724B"/>
    <w:rsid w:val="00CA5560"/>
    <w:rsid w:val="00CB1AC6"/>
    <w:rsid w:val="00CB600E"/>
    <w:rsid w:val="00CB6D99"/>
    <w:rsid w:val="00CD07B0"/>
    <w:rsid w:val="00CD297C"/>
    <w:rsid w:val="00CE07A5"/>
    <w:rsid w:val="00D0029A"/>
    <w:rsid w:val="00D01B08"/>
    <w:rsid w:val="00D037DA"/>
    <w:rsid w:val="00D042E0"/>
    <w:rsid w:val="00D13288"/>
    <w:rsid w:val="00D21F7B"/>
    <w:rsid w:val="00D24EB8"/>
    <w:rsid w:val="00D32E91"/>
    <w:rsid w:val="00D47C84"/>
    <w:rsid w:val="00D76C46"/>
    <w:rsid w:val="00DB24B9"/>
    <w:rsid w:val="00DB651B"/>
    <w:rsid w:val="00DB7AA3"/>
    <w:rsid w:val="00DC039C"/>
    <w:rsid w:val="00DC1C9D"/>
    <w:rsid w:val="00DC202E"/>
    <w:rsid w:val="00DC282C"/>
    <w:rsid w:val="00DC75F8"/>
    <w:rsid w:val="00DC767F"/>
    <w:rsid w:val="00DE105E"/>
    <w:rsid w:val="00DF5710"/>
    <w:rsid w:val="00DF61C3"/>
    <w:rsid w:val="00E20E70"/>
    <w:rsid w:val="00E37FEB"/>
    <w:rsid w:val="00E55704"/>
    <w:rsid w:val="00E61F1E"/>
    <w:rsid w:val="00E71659"/>
    <w:rsid w:val="00E82C29"/>
    <w:rsid w:val="00E85F7D"/>
    <w:rsid w:val="00E90677"/>
    <w:rsid w:val="00E97F83"/>
    <w:rsid w:val="00EB434A"/>
    <w:rsid w:val="00EB659A"/>
    <w:rsid w:val="00EC3B04"/>
    <w:rsid w:val="00EE0F12"/>
    <w:rsid w:val="00EE1330"/>
    <w:rsid w:val="00EF7A69"/>
    <w:rsid w:val="00F04F68"/>
    <w:rsid w:val="00F12172"/>
    <w:rsid w:val="00F145B1"/>
    <w:rsid w:val="00F166E6"/>
    <w:rsid w:val="00F20CCB"/>
    <w:rsid w:val="00F37C92"/>
    <w:rsid w:val="00F40CFC"/>
    <w:rsid w:val="00F64B56"/>
    <w:rsid w:val="00F8617E"/>
    <w:rsid w:val="00FA7B51"/>
    <w:rsid w:val="00FA7B60"/>
    <w:rsid w:val="00FD59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B9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84F"/>
    <w:pPr>
      <w:widowControl w:val="0"/>
    </w:pPr>
    <w:rPr>
      <w:sz w:val="24"/>
    </w:rPr>
  </w:style>
  <w:style w:type="paragraph" w:styleId="Heading1">
    <w:name w:val="heading 1"/>
    <w:basedOn w:val="Normal"/>
    <w:next w:val="Normal"/>
    <w:qFormat/>
    <w:rsid w:val="0085584F"/>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b/>
    </w:rPr>
  </w:style>
  <w:style w:type="paragraph" w:styleId="Heading2">
    <w:name w:val="heading 2"/>
    <w:basedOn w:val="Normal"/>
    <w:next w:val="Normal"/>
    <w:qFormat/>
    <w:rsid w:val="0085584F"/>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outlineLvl w:val="1"/>
    </w:pPr>
    <w:rPr>
      <w:b/>
    </w:rPr>
  </w:style>
  <w:style w:type="paragraph" w:styleId="Heading3">
    <w:name w:val="heading 3"/>
    <w:basedOn w:val="Normal"/>
    <w:next w:val="Normal"/>
    <w:qFormat/>
    <w:rsid w:val="0085584F"/>
    <w:pPr>
      <w:keepNext/>
      <w:widowControl/>
      <w:tabs>
        <w:tab w:val="left" w:pos="1260"/>
      </w:tabs>
      <w:spacing w:line="360" w:lineRule="auto"/>
      <w:ind w:left="540" w:hanging="540"/>
      <w:jc w:val="center"/>
      <w:outlineLvl w:val="2"/>
    </w:pPr>
    <w:rPr>
      <w:b/>
    </w:rPr>
  </w:style>
  <w:style w:type="paragraph" w:styleId="Heading4">
    <w:name w:val="heading 4"/>
    <w:basedOn w:val="Normal"/>
    <w:next w:val="Normal"/>
    <w:qFormat/>
    <w:rsid w:val="0085584F"/>
    <w:pPr>
      <w:keepNext/>
      <w:tabs>
        <w:tab w:val="left" w:pos="1260"/>
      </w:tabs>
      <w:spacing w:line="480" w:lineRule="auto"/>
      <w:ind w:firstLine="720"/>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5584F"/>
    <w:rPr>
      <w:rFonts w:cs="Times New Roman"/>
    </w:rPr>
  </w:style>
  <w:style w:type="character" w:styleId="PageNumber">
    <w:name w:val="page number"/>
    <w:rsid w:val="0085584F"/>
    <w:rPr>
      <w:rFonts w:ascii="Times New Roman" w:hAnsi="Times New Roman" w:cs="Times New Roman"/>
      <w:sz w:val="24"/>
    </w:rPr>
  </w:style>
  <w:style w:type="paragraph" w:styleId="Header">
    <w:name w:val="header"/>
    <w:basedOn w:val="Normal"/>
    <w:link w:val="HeaderChar"/>
    <w:uiPriority w:val="99"/>
    <w:rsid w:val="0085584F"/>
    <w:pPr>
      <w:tabs>
        <w:tab w:val="center" w:pos="4320"/>
        <w:tab w:val="right" w:pos="8640"/>
      </w:tabs>
    </w:pPr>
  </w:style>
  <w:style w:type="paragraph" w:styleId="Footer">
    <w:name w:val="footer"/>
    <w:basedOn w:val="Normal"/>
    <w:rsid w:val="0085584F"/>
    <w:pPr>
      <w:tabs>
        <w:tab w:val="center" w:pos="4320"/>
        <w:tab w:val="right" w:pos="8640"/>
      </w:tabs>
    </w:pPr>
  </w:style>
  <w:style w:type="paragraph" w:styleId="BodyTextIndent">
    <w:name w:val="Body Text Indent"/>
    <w:basedOn w:val="Normal"/>
    <w:link w:val="BodyTextIndentChar"/>
    <w:rsid w:val="0085584F"/>
    <w:pPr>
      <w:widowControl/>
      <w:tabs>
        <w:tab w:val="left" w:pos="0"/>
        <w:tab w:val="left" w:pos="720"/>
        <w:tab w:val="left" w:pos="4320"/>
        <w:tab w:val="left" w:pos="5040"/>
        <w:tab w:val="left" w:pos="5760"/>
        <w:tab w:val="left" w:pos="6480"/>
        <w:tab w:val="left" w:pos="7200"/>
        <w:tab w:val="left" w:pos="7920"/>
      </w:tabs>
      <w:spacing w:line="480" w:lineRule="auto"/>
      <w:jc w:val="both"/>
    </w:pPr>
  </w:style>
  <w:style w:type="paragraph" w:styleId="BodyTextIndent3">
    <w:name w:val="Body Text Indent 3"/>
    <w:basedOn w:val="Normal"/>
    <w:rsid w:val="0085584F"/>
    <w:pPr>
      <w:widowControl/>
      <w:tabs>
        <w:tab w:val="left" w:pos="1260"/>
      </w:tabs>
      <w:ind w:left="720" w:hanging="720"/>
      <w:jc w:val="both"/>
    </w:pPr>
  </w:style>
  <w:style w:type="paragraph" w:styleId="FootnoteText">
    <w:name w:val="footnote text"/>
    <w:basedOn w:val="Normal"/>
    <w:link w:val="FootnoteTextChar"/>
    <w:rsid w:val="0085584F"/>
    <w:rPr>
      <w:sz w:val="20"/>
    </w:rPr>
  </w:style>
  <w:style w:type="paragraph" w:styleId="BodyText">
    <w:name w:val="Body Text"/>
    <w:basedOn w:val="Normal"/>
    <w:link w:val="BodyTextChar"/>
    <w:rsid w:val="0085584F"/>
    <w:pPr>
      <w:widowControl/>
    </w:pPr>
  </w:style>
  <w:style w:type="character" w:styleId="LineNumber">
    <w:name w:val="line number"/>
    <w:rsid w:val="0085584F"/>
    <w:rPr>
      <w:rFonts w:cs="Times New Roman"/>
    </w:rPr>
  </w:style>
  <w:style w:type="paragraph" w:styleId="BodyTextIndent2">
    <w:name w:val="Body Text Indent 2"/>
    <w:basedOn w:val="Normal"/>
    <w:rsid w:val="0085584F"/>
    <w:pPr>
      <w:widowControl/>
      <w:tabs>
        <w:tab w:val="left" w:pos="1260"/>
      </w:tabs>
      <w:spacing w:line="360" w:lineRule="auto"/>
      <w:ind w:left="540" w:hanging="540"/>
      <w:jc w:val="both"/>
    </w:pPr>
  </w:style>
  <w:style w:type="paragraph" w:styleId="DocumentMap">
    <w:name w:val="Document Map"/>
    <w:basedOn w:val="Normal"/>
    <w:semiHidden/>
    <w:rsid w:val="0085584F"/>
    <w:pPr>
      <w:shd w:val="clear" w:color="auto" w:fill="000080"/>
    </w:pPr>
    <w:rPr>
      <w:rFonts w:ascii="Tahoma" w:hAnsi="Tahoma"/>
    </w:rPr>
  </w:style>
  <w:style w:type="paragraph" w:styleId="List2">
    <w:name w:val="List 2"/>
    <w:basedOn w:val="Normal"/>
    <w:rsid w:val="0085584F"/>
    <w:pPr>
      <w:ind w:left="720" w:hanging="360"/>
    </w:pPr>
  </w:style>
  <w:style w:type="paragraph" w:styleId="List3">
    <w:name w:val="List 3"/>
    <w:basedOn w:val="Normal"/>
    <w:rsid w:val="0085584F"/>
    <w:pPr>
      <w:ind w:left="1080" w:hanging="360"/>
    </w:pPr>
  </w:style>
  <w:style w:type="paragraph" w:styleId="Title">
    <w:name w:val="Title"/>
    <w:basedOn w:val="Normal"/>
    <w:qFormat/>
    <w:rsid w:val="0085584F"/>
    <w:pPr>
      <w:spacing w:before="240" w:after="60"/>
      <w:jc w:val="center"/>
      <w:outlineLvl w:val="0"/>
    </w:pPr>
    <w:rPr>
      <w:rFonts w:ascii="Arial" w:hAnsi="Arial" w:cs="Arial"/>
      <w:b/>
      <w:bCs/>
      <w:kern w:val="28"/>
      <w:sz w:val="32"/>
      <w:szCs w:val="32"/>
    </w:rPr>
  </w:style>
  <w:style w:type="paragraph" w:styleId="Subtitle">
    <w:name w:val="Subtitle"/>
    <w:basedOn w:val="Normal"/>
    <w:qFormat/>
    <w:rsid w:val="0085584F"/>
    <w:pPr>
      <w:spacing w:after="60"/>
      <w:jc w:val="center"/>
      <w:outlineLvl w:val="1"/>
    </w:pPr>
    <w:rPr>
      <w:rFonts w:ascii="Arial" w:hAnsi="Arial" w:cs="Arial"/>
      <w:szCs w:val="24"/>
    </w:rPr>
  </w:style>
  <w:style w:type="paragraph" w:styleId="NormalIndent">
    <w:name w:val="Normal Indent"/>
    <w:basedOn w:val="Normal"/>
    <w:rsid w:val="0085584F"/>
    <w:pPr>
      <w:ind w:left="720"/>
    </w:pPr>
  </w:style>
  <w:style w:type="paragraph" w:customStyle="1" w:styleId="ShortReturnAddress">
    <w:name w:val="Short Return Address"/>
    <w:basedOn w:val="Normal"/>
    <w:rsid w:val="0085584F"/>
  </w:style>
  <w:style w:type="paragraph" w:styleId="List">
    <w:name w:val="List"/>
    <w:basedOn w:val="Normal"/>
    <w:rsid w:val="0085584F"/>
    <w:pPr>
      <w:ind w:left="360" w:hanging="360"/>
    </w:pPr>
  </w:style>
  <w:style w:type="paragraph" w:customStyle="1" w:styleId="RomanHeader">
    <w:name w:val="Roman Header"/>
    <w:basedOn w:val="Normal"/>
    <w:rsid w:val="0085584F"/>
    <w:pPr>
      <w:widowControl/>
      <w:tabs>
        <w:tab w:val="left" w:pos="360"/>
      </w:tabs>
      <w:autoSpaceDE w:val="0"/>
      <w:autoSpaceDN w:val="0"/>
      <w:spacing w:line="360" w:lineRule="atLeast"/>
    </w:pPr>
    <w:rPr>
      <w:rFonts w:ascii="Times" w:hAnsi="Times"/>
      <w:szCs w:val="24"/>
    </w:rPr>
  </w:style>
  <w:style w:type="paragraph" w:customStyle="1" w:styleId="SubHeader">
    <w:name w:val="Sub Header"/>
    <w:basedOn w:val="Normal"/>
    <w:rsid w:val="0085584F"/>
    <w:pPr>
      <w:widowControl/>
      <w:tabs>
        <w:tab w:val="left" w:pos="360"/>
        <w:tab w:val="left" w:pos="900"/>
      </w:tabs>
      <w:autoSpaceDE w:val="0"/>
      <w:autoSpaceDN w:val="0"/>
      <w:spacing w:line="360" w:lineRule="atLeast"/>
    </w:pPr>
    <w:rPr>
      <w:rFonts w:ascii="Times" w:hAnsi="Times"/>
      <w:b/>
      <w:bCs/>
      <w:szCs w:val="24"/>
    </w:rPr>
  </w:style>
  <w:style w:type="paragraph" w:styleId="EndnoteText">
    <w:name w:val="endnote text"/>
    <w:basedOn w:val="Normal"/>
    <w:link w:val="EndnoteTextChar"/>
    <w:rsid w:val="0085584F"/>
    <w:rPr>
      <w:sz w:val="20"/>
    </w:rPr>
  </w:style>
  <w:style w:type="character" w:customStyle="1" w:styleId="EndnoteTextChar">
    <w:name w:val="Endnote Text Char"/>
    <w:basedOn w:val="DefaultParagraphFont"/>
    <w:link w:val="EndnoteText"/>
    <w:rsid w:val="0085584F"/>
  </w:style>
  <w:style w:type="character" w:styleId="EndnoteReference">
    <w:name w:val="endnote reference"/>
    <w:rsid w:val="0085584F"/>
    <w:rPr>
      <w:vertAlign w:val="superscript"/>
    </w:rPr>
  </w:style>
  <w:style w:type="character" w:customStyle="1" w:styleId="FootnoteTextChar">
    <w:name w:val="Footnote Text Char"/>
    <w:basedOn w:val="DefaultParagraphFont"/>
    <w:link w:val="FootnoteText"/>
    <w:rsid w:val="0085584F"/>
  </w:style>
  <w:style w:type="paragraph" w:styleId="ListParagraph">
    <w:name w:val="List Paragraph"/>
    <w:basedOn w:val="Normal"/>
    <w:uiPriority w:val="34"/>
    <w:qFormat/>
    <w:rsid w:val="0085584F"/>
    <w:pPr>
      <w:widowControl/>
      <w:ind w:left="720"/>
      <w:contextualSpacing/>
    </w:pPr>
    <w:rPr>
      <w:rFonts w:ascii="Calibri" w:eastAsia="Calibri" w:hAnsi="Calibri"/>
      <w:sz w:val="22"/>
      <w:szCs w:val="22"/>
    </w:rPr>
  </w:style>
  <w:style w:type="table" w:styleId="TableGrid">
    <w:name w:val="Table Grid"/>
    <w:basedOn w:val="TableNormal"/>
    <w:rsid w:val="008558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85584F"/>
    <w:rPr>
      <w:sz w:val="16"/>
      <w:szCs w:val="16"/>
    </w:rPr>
  </w:style>
  <w:style w:type="paragraph" w:styleId="CommentText">
    <w:name w:val="annotation text"/>
    <w:basedOn w:val="Normal"/>
    <w:link w:val="CommentTextChar"/>
    <w:rsid w:val="0085584F"/>
    <w:rPr>
      <w:sz w:val="20"/>
    </w:rPr>
  </w:style>
  <w:style w:type="character" w:customStyle="1" w:styleId="CommentTextChar">
    <w:name w:val="Comment Text Char"/>
    <w:basedOn w:val="DefaultParagraphFont"/>
    <w:link w:val="CommentText"/>
    <w:rsid w:val="0085584F"/>
  </w:style>
  <w:style w:type="paragraph" w:styleId="CommentSubject">
    <w:name w:val="annotation subject"/>
    <w:basedOn w:val="CommentText"/>
    <w:next w:val="CommentText"/>
    <w:link w:val="CommentSubjectChar"/>
    <w:rsid w:val="0085584F"/>
    <w:rPr>
      <w:b/>
      <w:bCs/>
    </w:rPr>
  </w:style>
  <w:style w:type="character" w:customStyle="1" w:styleId="CommentSubjectChar">
    <w:name w:val="Comment Subject Char"/>
    <w:link w:val="CommentSubject"/>
    <w:rsid w:val="0085584F"/>
    <w:rPr>
      <w:b/>
      <w:bCs/>
    </w:rPr>
  </w:style>
  <w:style w:type="paragraph" w:styleId="BalloonText">
    <w:name w:val="Balloon Text"/>
    <w:basedOn w:val="Normal"/>
    <w:link w:val="BalloonTextChar"/>
    <w:rsid w:val="0085584F"/>
    <w:rPr>
      <w:rFonts w:ascii="Tahoma" w:hAnsi="Tahoma"/>
      <w:sz w:val="16"/>
      <w:szCs w:val="16"/>
    </w:rPr>
  </w:style>
  <w:style w:type="character" w:customStyle="1" w:styleId="BalloonTextChar">
    <w:name w:val="Balloon Text Char"/>
    <w:link w:val="BalloonText"/>
    <w:rsid w:val="0085584F"/>
    <w:rPr>
      <w:rFonts w:ascii="Tahoma" w:hAnsi="Tahoma" w:cs="Tahoma"/>
      <w:sz w:val="16"/>
      <w:szCs w:val="16"/>
    </w:rPr>
  </w:style>
  <w:style w:type="paragraph" w:styleId="Revision">
    <w:name w:val="Revision"/>
    <w:hidden/>
    <w:uiPriority w:val="99"/>
    <w:semiHidden/>
    <w:rsid w:val="0085584F"/>
    <w:rPr>
      <w:sz w:val="24"/>
    </w:rPr>
  </w:style>
  <w:style w:type="character" w:customStyle="1" w:styleId="BodyTextIndentChar">
    <w:name w:val="Body Text Indent Char"/>
    <w:link w:val="BodyTextIndent"/>
    <w:rsid w:val="0085584F"/>
    <w:rPr>
      <w:sz w:val="24"/>
    </w:rPr>
  </w:style>
  <w:style w:type="paragraph" w:styleId="BodyText2">
    <w:name w:val="Body Text 2"/>
    <w:basedOn w:val="Normal"/>
    <w:link w:val="BodyText2Char"/>
    <w:rsid w:val="0085584F"/>
    <w:pPr>
      <w:spacing w:after="120" w:line="480" w:lineRule="auto"/>
    </w:pPr>
  </w:style>
  <w:style w:type="character" w:customStyle="1" w:styleId="BodyText2Char">
    <w:name w:val="Body Text 2 Char"/>
    <w:link w:val="BodyText2"/>
    <w:rsid w:val="0085584F"/>
    <w:rPr>
      <w:sz w:val="24"/>
    </w:rPr>
  </w:style>
  <w:style w:type="character" w:customStyle="1" w:styleId="HeaderChar">
    <w:name w:val="Header Char"/>
    <w:link w:val="Header"/>
    <w:uiPriority w:val="99"/>
    <w:rsid w:val="0085584F"/>
    <w:rPr>
      <w:sz w:val="24"/>
    </w:rPr>
  </w:style>
  <w:style w:type="character" w:customStyle="1" w:styleId="bumpedfont15">
    <w:name w:val="bumpedfont15"/>
    <w:basedOn w:val="DefaultParagraphFont"/>
    <w:rsid w:val="0085584F"/>
  </w:style>
  <w:style w:type="character" w:customStyle="1" w:styleId="cosearchterm">
    <w:name w:val="co_searchterm"/>
    <w:basedOn w:val="DefaultParagraphFont"/>
    <w:rsid w:val="004143EA"/>
  </w:style>
  <w:style w:type="character" w:customStyle="1" w:styleId="apple-converted-space">
    <w:name w:val="apple-converted-space"/>
    <w:basedOn w:val="DefaultParagraphFont"/>
    <w:rsid w:val="004143EA"/>
  </w:style>
  <w:style w:type="character" w:styleId="Hyperlink">
    <w:name w:val="Hyperlink"/>
    <w:basedOn w:val="DefaultParagraphFont"/>
    <w:uiPriority w:val="99"/>
    <w:semiHidden/>
    <w:unhideWhenUsed/>
    <w:rsid w:val="00862A8C"/>
    <w:rPr>
      <w:color w:val="0000FF"/>
      <w:u w:val="single"/>
    </w:rPr>
  </w:style>
  <w:style w:type="table" w:customStyle="1" w:styleId="TableGrid1">
    <w:name w:val="Table Grid1"/>
    <w:basedOn w:val="TableNormal"/>
    <w:next w:val="TableGrid"/>
    <w:uiPriority w:val="59"/>
    <w:rsid w:val="00293DC5"/>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75F8"/>
    <w:rPr>
      <w:color w:val="808080"/>
    </w:rPr>
  </w:style>
  <w:style w:type="character" w:customStyle="1" w:styleId="BodyTextChar">
    <w:name w:val="Body Text Char"/>
    <w:basedOn w:val="DefaultParagraphFont"/>
    <w:link w:val="BodyText"/>
    <w:rsid w:val="0022602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84F"/>
    <w:pPr>
      <w:widowControl w:val="0"/>
    </w:pPr>
    <w:rPr>
      <w:sz w:val="24"/>
    </w:rPr>
  </w:style>
  <w:style w:type="paragraph" w:styleId="Heading1">
    <w:name w:val="heading 1"/>
    <w:basedOn w:val="Normal"/>
    <w:next w:val="Normal"/>
    <w:qFormat/>
    <w:rsid w:val="0085584F"/>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b/>
    </w:rPr>
  </w:style>
  <w:style w:type="paragraph" w:styleId="Heading2">
    <w:name w:val="heading 2"/>
    <w:basedOn w:val="Normal"/>
    <w:next w:val="Normal"/>
    <w:qFormat/>
    <w:rsid w:val="0085584F"/>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outlineLvl w:val="1"/>
    </w:pPr>
    <w:rPr>
      <w:b/>
    </w:rPr>
  </w:style>
  <w:style w:type="paragraph" w:styleId="Heading3">
    <w:name w:val="heading 3"/>
    <w:basedOn w:val="Normal"/>
    <w:next w:val="Normal"/>
    <w:qFormat/>
    <w:rsid w:val="0085584F"/>
    <w:pPr>
      <w:keepNext/>
      <w:widowControl/>
      <w:tabs>
        <w:tab w:val="left" w:pos="1260"/>
      </w:tabs>
      <w:spacing w:line="360" w:lineRule="auto"/>
      <w:ind w:left="540" w:hanging="540"/>
      <w:jc w:val="center"/>
      <w:outlineLvl w:val="2"/>
    </w:pPr>
    <w:rPr>
      <w:b/>
    </w:rPr>
  </w:style>
  <w:style w:type="paragraph" w:styleId="Heading4">
    <w:name w:val="heading 4"/>
    <w:basedOn w:val="Normal"/>
    <w:next w:val="Normal"/>
    <w:qFormat/>
    <w:rsid w:val="0085584F"/>
    <w:pPr>
      <w:keepNext/>
      <w:tabs>
        <w:tab w:val="left" w:pos="1260"/>
      </w:tabs>
      <w:spacing w:line="480" w:lineRule="auto"/>
      <w:ind w:firstLine="720"/>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5584F"/>
    <w:rPr>
      <w:rFonts w:cs="Times New Roman"/>
    </w:rPr>
  </w:style>
  <w:style w:type="character" w:styleId="PageNumber">
    <w:name w:val="page number"/>
    <w:rsid w:val="0085584F"/>
    <w:rPr>
      <w:rFonts w:ascii="Times New Roman" w:hAnsi="Times New Roman" w:cs="Times New Roman"/>
      <w:sz w:val="24"/>
    </w:rPr>
  </w:style>
  <w:style w:type="paragraph" w:styleId="Header">
    <w:name w:val="header"/>
    <w:basedOn w:val="Normal"/>
    <w:link w:val="HeaderChar"/>
    <w:uiPriority w:val="99"/>
    <w:rsid w:val="0085584F"/>
    <w:pPr>
      <w:tabs>
        <w:tab w:val="center" w:pos="4320"/>
        <w:tab w:val="right" w:pos="8640"/>
      </w:tabs>
    </w:pPr>
  </w:style>
  <w:style w:type="paragraph" w:styleId="Footer">
    <w:name w:val="footer"/>
    <w:basedOn w:val="Normal"/>
    <w:rsid w:val="0085584F"/>
    <w:pPr>
      <w:tabs>
        <w:tab w:val="center" w:pos="4320"/>
        <w:tab w:val="right" w:pos="8640"/>
      </w:tabs>
    </w:pPr>
  </w:style>
  <w:style w:type="paragraph" w:styleId="BodyTextIndent">
    <w:name w:val="Body Text Indent"/>
    <w:basedOn w:val="Normal"/>
    <w:link w:val="BodyTextIndentChar"/>
    <w:rsid w:val="0085584F"/>
    <w:pPr>
      <w:widowControl/>
      <w:tabs>
        <w:tab w:val="left" w:pos="0"/>
        <w:tab w:val="left" w:pos="720"/>
        <w:tab w:val="left" w:pos="4320"/>
        <w:tab w:val="left" w:pos="5040"/>
        <w:tab w:val="left" w:pos="5760"/>
        <w:tab w:val="left" w:pos="6480"/>
        <w:tab w:val="left" w:pos="7200"/>
        <w:tab w:val="left" w:pos="7920"/>
      </w:tabs>
      <w:spacing w:line="480" w:lineRule="auto"/>
      <w:jc w:val="both"/>
    </w:pPr>
  </w:style>
  <w:style w:type="paragraph" w:styleId="BodyTextIndent3">
    <w:name w:val="Body Text Indent 3"/>
    <w:basedOn w:val="Normal"/>
    <w:rsid w:val="0085584F"/>
    <w:pPr>
      <w:widowControl/>
      <w:tabs>
        <w:tab w:val="left" w:pos="1260"/>
      </w:tabs>
      <w:ind w:left="720" w:hanging="720"/>
      <w:jc w:val="both"/>
    </w:pPr>
  </w:style>
  <w:style w:type="paragraph" w:styleId="FootnoteText">
    <w:name w:val="footnote text"/>
    <w:basedOn w:val="Normal"/>
    <w:link w:val="FootnoteTextChar"/>
    <w:rsid w:val="0085584F"/>
    <w:rPr>
      <w:sz w:val="20"/>
    </w:rPr>
  </w:style>
  <w:style w:type="paragraph" w:styleId="BodyText">
    <w:name w:val="Body Text"/>
    <w:basedOn w:val="Normal"/>
    <w:link w:val="BodyTextChar"/>
    <w:rsid w:val="0085584F"/>
    <w:pPr>
      <w:widowControl/>
    </w:pPr>
  </w:style>
  <w:style w:type="character" w:styleId="LineNumber">
    <w:name w:val="line number"/>
    <w:rsid w:val="0085584F"/>
    <w:rPr>
      <w:rFonts w:cs="Times New Roman"/>
    </w:rPr>
  </w:style>
  <w:style w:type="paragraph" w:styleId="BodyTextIndent2">
    <w:name w:val="Body Text Indent 2"/>
    <w:basedOn w:val="Normal"/>
    <w:rsid w:val="0085584F"/>
    <w:pPr>
      <w:widowControl/>
      <w:tabs>
        <w:tab w:val="left" w:pos="1260"/>
      </w:tabs>
      <w:spacing w:line="360" w:lineRule="auto"/>
      <w:ind w:left="540" w:hanging="540"/>
      <w:jc w:val="both"/>
    </w:pPr>
  </w:style>
  <w:style w:type="paragraph" w:styleId="DocumentMap">
    <w:name w:val="Document Map"/>
    <w:basedOn w:val="Normal"/>
    <w:semiHidden/>
    <w:rsid w:val="0085584F"/>
    <w:pPr>
      <w:shd w:val="clear" w:color="auto" w:fill="000080"/>
    </w:pPr>
    <w:rPr>
      <w:rFonts w:ascii="Tahoma" w:hAnsi="Tahoma"/>
    </w:rPr>
  </w:style>
  <w:style w:type="paragraph" w:styleId="List2">
    <w:name w:val="List 2"/>
    <w:basedOn w:val="Normal"/>
    <w:rsid w:val="0085584F"/>
    <w:pPr>
      <w:ind w:left="720" w:hanging="360"/>
    </w:pPr>
  </w:style>
  <w:style w:type="paragraph" w:styleId="List3">
    <w:name w:val="List 3"/>
    <w:basedOn w:val="Normal"/>
    <w:rsid w:val="0085584F"/>
    <w:pPr>
      <w:ind w:left="1080" w:hanging="360"/>
    </w:pPr>
  </w:style>
  <w:style w:type="paragraph" w:styleId="Title">
    <w:name w:val="Title"/>
    <w:basedOn w:val="Normal"/>
    <w:qFormat/>
    <w:rsid w:val="0085584F"/>
    <w:pPr>
      <w:spacing w:before="240" w:after="60"/>
      <w:jc w:val="center"/>
      <w:outlineLvl w:val="0"/>
    </w:pPr>
    <w:rPr>
      <w:rFonts w:ascii="Arial" w:hAnsi="Arial" w:cs="Arial"/>
      <w:b/>
      <w:bCs/>
      <w:kern w:val="28"/>
      <w:sz w:val="32"/>
      <w:szCs w:val="32"/>
    </w:rPr>
  </w:style>
  <w:style w:type="paragraph" w:styleId="Subtitle">
    <w:name w:val="Subtitle"/>
    <w:basedOn w:val="Normal"/>
    <w:qFormat/>
    <w:rsid w:val="0085584F"/>
    <w:pPr>
      <w:spacing w:after="60"/>
      <w:jc w:val="center"/>
      <w:outlineLvl w:val="1"/>
    </w:pPr>
    <w:rPr>
      <w:rFonts w:ascii="Arial" w:hAnsi="Arial" w:cs="Arial"/>
      <w:szCs w:val="24"/>
    </w:rPr>
  </w:style>
  <w:style w:type="paragraph" w:styleId="NormalIndent">
    <w:name w:val="Normal Indent"/>
    <w:basedOn w:val="Normal"/>
    <w:rsid w:val="0085584F"/>
    <w:pPr>
      <w:ind w:left="720"/>
    </w:pPr>
  </w:style>
  <w:style w:type="paragraph" w:customStyle="1" w:styleId="ShortReturnAddress">
    <w:name w:val="Short Return Address"/>
    <w:basedOn w:val="Normal"/>
    <w:rsid w:val="0085584F"/>
  </w:style>
  <w:style w:type="paragraph" w:styleId="List">
    <w:name w:val="List"/>
    <w:basedOn w:val="Normal"/>
    <w:rsid w:val="0085584F"/>
    <w:pPr>
      <w:ind w:left="360" w:hanging="360"/>
    </w:pPr>
  </w:style>
  <w:style w:type="paragraph" w:customStyle="1" w:styleId="RomanHeader">
    <w:name w:val="Roman Header"/>
    <w:basedOn w:val="Normal"/>
    <w:rsid w:val="0085584F"/>
    <w:pPr>
      <w:widowControl/>
      <w:tabs>
        <w:tab w:val="left" w:pos="360"/>
      </w:tabs>
      <w:autoSpaceDE w:val="0"/>
      <w:autoSpaceDN w:val="0"/>
      <w:spacing w:line="360" w:lineRule="atLeast"/>
    </w:pPr>
    <w:rPr>
      <w:rFonts w:ascii="Times" w:hAnsi="Times"/>
      <w:szCs w:val="24"/>
    </w:rPr>
  </w:style>
  <w:style w:type="paragraph" w:customStyle="1" w:styleId="SubHeader">
    <w:name w:val="Sub Header"/>
    <w:basedOn w:val="Normal"/>
    <w:rsid w:val="0085584F"/>
    <w:pPr>
      <w:widowControl/>
      <w:tabs>
        <w:tab w:val="left" w:pos="360"/>
        <w:tab w:val="left" w:pos="900"/>
      </w:tabs>
      <w:autoSpaceDE w:val="0"/>
      <w:autoSpaceDN w:val="0"/>
      <w:spacing w:line="360" w:lineRule="atLeast"/>
    </w:pPr>
    <w:rPr>
      <w:rFonts w:ascii="Times" w:hAnsi="Times"/>
      <w:b/>
      <w:bCs/>
      <w:szCs w:val="24"/>
    </w:rPr>
  </w:style>
  <w:style w:type="paragraph" w:styleId="EndnoteText">
    <w:name w:val="endnote text"/>
    <w:basedOn w:val="Normal"/>
    <w:link w:val="EndnoteTextChar"/>
    <w:rsid w:val="0085584F"/>
    <w:rPr>
      <w:sz w:val="20"/>
    </w:rPr>
  </w:style>
  <w:style w:type="character" w:customStyle="1" w:styleId="EndnoteTextChar">
    <w:name w:val="Endnote Text Char"/>
    <w:basedOn w:val="DefaultParagraphFont"/>
    <w:link w:val="EndnoteText"/>
    <w:rsid w:val="0085584F"/>
  </w:style>
  <w:style w:type="character" w:styleId="EndnoteReference">
    <w:name w:val="endnote reference"/>
    <w:rsid w:val="0085584F"/>
    <w:rPr>
      <w:vertAlign w:val="superscript"/>
    </w:rPr>
  </w:style>
  <w:style w:type="character" w:customStyle="1" w:styleId="FootnoteTextChar">
    <w:name w:val="Footnote Text Char"/>
    <w:basedOn w:val="DefaultParagraphFont"/>
    <w:link w:val="FootnoteText"/>
    <w:rsid w:val="0085584F"/>
  </w:style>
  <w:style w:type="paragraph" w:styleId="ListParagraph">
    <w:name w:val="List Paragraph"/>
    <w:basedOn w:val="Normal"/>
    <w:uiPriority w:val="34"/>
    <w:qFormat/>
    <w:rsid w:val="0085584F"/>
    <w:pPr>
      <w:widowControl/>
      <w:ind w:left="720"/>
      <w:contextualSpacing/>
    </w:pPr>
    <w:rPr>
      <w:rFonts w:ascii="Calibri" w:eastAsia="Calibri" w:hAnsi="Calibri"/>
      <w:sz w:val="22"/>
      <w:szCs w:val="22"/>
    </w:rPr>
  </w:style>
  <w:style w:type="table" w:styleId="TableGrid">
    <w:name w:val="Table Grid"/>
    <w:basedOn w:val="TableNormal"/>
    <w:rsid w:val="008558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85584F"/>
    <w:rPr>
      <w:sz w:val="16"/>
      <w:szCs w:val="16"/>
    </w:rPr>
  </w:style>
  <w:style w:type="paragraph" w:styleId="CommentText">
    <w:name w:val="annotation text"/>
    <w:basedOn w:val="Normal"/>
    <w:link w:val="CommentTextChar"/>
    <w:rsid w:val="0085584F"/>
    <w:rPr>
      <w:sz w:val="20"/>
    </w:rPr>
  </w:style>
  <w:style w:type="character" w:customStyle="1" w:styleId="CommentTextChar">
    <w:name w:val="Comment Text Char"/>
    <w:basedOn w:val="DefaultParagraphFont"/>
    <w:link w:val="CommentText"/>
    <w:rsid w:val="0085584F"/>
  </w:style>
  <w:style w:type="paragraph" w:styleId="CommentSubject">
    <w:name w:val="annotation subject"/>
    <w:basedOn w:val="CommentText"/>
    <w:next w:val="CommentText"/>
    <w:link w:val="CommentSubjectChar"/>
    <w:rsid w:val="0085584F"/>
    <w:rPr>
      <w:b/>
      <w:bCs/>
    </w:rPr>
  </w:style>
  <w:style w:type="character" w:customStyle="1" w:styleId="CommentSubjectChar">
    <w:name w:val="Comment Subject Char"/>
    <w:link w:val="CommentSubject"/>
    <w:rsid w:val="0085584F"/>
    <w:rPr>
      <w:b/>
      <w:bCs/>
    </w:rPr>
  </w:style>
  <w:style w:type="paragraph" w:styleId="BalloonText">
    <w:name w:val="Balloon Text"/>
    <w:basedOn w:val="Normal"/>
    <w:link w:val="BalloonTextChar"/>
    <w:rsid w:val="0085584F"/>
    <w:rPr>
      <w:rFonts w:ascii="Tahoma" w:hAnsi="Tahoma"/>
      <w:sz w:val="16"/>
      <w:szCs w:val="16"/>
    </w:rPr>
  </w:style>
  <w:style w:type="character" w:customStyle="1" w:styleId="BalloonTextChar">
    <w:name w:val="Balloon Text Char"/>
    <w:link w:val="BalloonText"/>
    <w:rsid w:val="0085584F"/>
    <w:rPr>
      <w:rFonts w:ascii="Tahoma" w:hAnsi="Tahoma" w:cs="Tahoma"/>
      <w:sz w:val="16"/>
      <w:szCs w:val="16"/>
    </w:rPr>
  </w:style>
  <w:style w:type="paragraph" w:styleId="Revision">
    <w:name w:val="Revision"/>
    <w:hidden/>
    <w:uiPriority w:val="99"/>
    <w:semiHidden/>
    <w:rsid w:val="0085584F"/>
    <w:rPr>
      <w:sz w:val="24"/>
    </w:rPr>
  </w:style>
  <w:style w:type="character" w:customStyle="1" w:styleId="BodyTextIndentChar">
    <w:name w:val="Body Text Indent Char"/>
    <w:link w:val="BodyTextIndent"/>
    <w:rsid w:val="0085584F"/>
    <w:rPr>
      <w:sz w:val="24"/>
    </w:rPr>
  </w:style>
  <w:style w:type="paragraph" w:styleId="BodyText2">
    <w:name w:val="Body Text 2"/>
    <w:basedOn w:val="Normal"/>
    <w:link w:val="BodyText2Char"/>
    <w:rsid w:val="0085584F"/>
    <w:pPr>
      <w:spacing w:after="120" w:line="480" w:lineRule="auto"/>
    </w:pPr>
  </w:style>
  <w:style w:type="character" w:customStyle="1" w:styleId="BodyText2Char">
    <w:name w:val="Body Text 2 Char"/>
    <w:link w:val="BodyText2"/>
    <w:rsid w:val="0085584F"/>
    <w:rPr>
      <w:sz w:val="24"/>
    </w:rPr>
  </w:style>
  <w:style w:type="character" w:customStyle="1" w:styleId="HeaderChar">
    <w:name w:val="Header Char"/>
    <w:link w:val="Header"/>
    <w:uiPriority w:val="99"/>
    <w:rsid w:val="0085584F"/>
    <w:rPr>
      <w:sz w:val="24"/>
    </w:rPr>
  </w:style>
  <w:style w:type="character" w:customStyle="1" w:styleId="bumpedfont15">
    <w:name w:val="bumpedfont15"/>
    <w:basedOn w:val="DefaultParagraphFont"/>
    <w:rsid w:val="0085584F"/>
  </w:style>
  <w:style w:type="character" w:customStyle="1" w:styleId="cosearchterm">
    <w:name w:val="co_searchterm"/>
    <w:basedOn w:val="DefaultParagraphFont"/>
    <w:rsid w:val="004143EA"/>
  </w:style>
  <w:style w:type="character" w:customStyle="1" w:styleId="apple-converted-space">
    <w:name w:val="apple-converted-space"/>
    <w:basedOn w:val="DefaultParagraphFont"/>
    <w:rsid w:val="004143EA"/>
  </w:style>
  <w:style w:type="character" w:styleId="Hyperlink">
    <w:name w:val="Hyperlink"/>
    <w:basedOn w:val="DefaultParagraphFont"/>
    <w:uiPriority w:val="99"/>
    <w:semiHidden/>
    <w:unhideWhenUsed/>
    <w:rsid w:val="00862A8C"/>
    <w:rPr>
      <w:color w:val="0000FF"/>
      <w:u w:val="single"/>
    </w:rPr>
  </w:style>
  <w:style w:type="table" w:customStyle="1" w:styleId="TableGrid1">
    <w:name w:val="Table Grid1"/>
    <w:basedOn w:val="TableNormal"/>
    <w:next w:val="TableGrid"/>
    <w:uiPriority w:val="59"/>
    <w:rsid w:val="00293DC5"/>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75F8"/>
    <w:rPr>
      <w:color w:val="808080"/>
    </w:rPr>
  </w:style>
  <w:style w:type="character" w:customStyle="1" w:styleId="BodyTextChar">
    <w:name w:val="Body Text Char"/>
    <w:basedOn w:val="DefaultParagraphFont"/>
    <w:link w:val="BodyText"/>
    <w:rsid w:val="002260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000775">
      <w:bodyDiv w:val="1"/>
      <w:marLeft w:val="0"/>
      <w:marRight w:val="0"/>
      <w:marTop w:val="0"/>
      <w:marBottom w:val="0"/>
      <w:divBdr>
        <w:top w:val="none" w:sz="0" w:space="0" w:color="auto"/>
        <w:left w:val="none" w:sz="0" w:space="0" w:color="auto"/>
        <w:bottom w:val="none" w:sz="0" w:space="0" w:color="auto"/>
        <w:right w:val="none" w:sz="0" w:space="0" w:color="auto"/>
      </w:divBdr>
      <w:divsChild>
        <w:div w:id="1728072003">
          <w:marLeft w:val="0"/>
          <w:marRight w:val="0"/>
          <w:marTop w:val="0"/>
          <w:marBottom w:val="0"/>
          <w:divBdr>
            <w:top w:val="none" w:sz="0" w:space="0" w:color="auto"/>
            <w:left w:val="none" w:sz="0" w:space="0" w:color="auto"/>
            <w:bottom w:val="none" w:sz="0" w:space="0" w:color="auto"/>
            <w:right w:val="none" w:sz="0" w:space="0" w:color="auto"/>
          </w:divBdr>
        </w:div>
        <w:div w:id="653721999">
          <w:marLeft w:val="0"/>
          <w:marRight w:val="0"/>
          <w:marTop w:val="0"/>
          <w:marBottom w:val="0"/>
          <w:divBdr>
            <w:top w:val="none" w:sz="0" w:space="0" w:color="auto"/>
            <w:left w:val="none" w:sz="0" w:space="0" w:color="auto"/>
            <w:bottom w:val="none" w:sz="0" w:space="0" w:color="auto"/>
            <w:right w:val="none" w:sz="0" w:space="0" w:color="auto"/>
          </w:divBdr>
        </w:div>
        <w:div w:id="1229194246">
          <w:marLeft w:val="0"/>
          <w:marRight w:val="0"/>
          <w:marTop w:val="0"/>
          <w:marBottom w:val="0"/>
          <w:divBdr>
            <w:top w:val="none" w:sz="0" w:space="0" w:color="auto"/>
            <w:left w:val="none" w:sz="0" w:space="0" w:color="auto"/>
            <w:bottom w:val="none" w:sz="0" w:space="0" w:color="auto"/>
            <w:right w:val="none" w:sz="0" w:space="0" w:color="auto"/>
          </w:divBdr>
        </w:div>
        <w:div w:id="1550259851">
          <w:marLeft w:val="0"/>
          <w:marRight w:val="0"/>
          <w:marTop w:val="0"/>
          <w:marBottom w:val="0"/>
          <w:divBdr>
            <w:top w:val="none" w:sz="0" w:space="0" w:color="auto"/>
            <w:left w:val="none" w:sz="0" w:space="0" w:color="auto"/>
            <w:bottom w:val="none" w:sz="0" w:space="0" w:color="auto"/>
            <w:right w:val="none" w:sz="0" w:space="0" w:color="auto"/>
          </w:divBdr>
        </w:div>
        <w:div w:id="1738748128">
          <w:marLeft w:val="0"/>
          <w:marRight w:val="0"/>
          <w:marTop w:val="0"/>
          <w:marBottom w:val="0"/>
          <w:divBdr>
            <w:top w:val="none" w:sz="0" w:space="0" w:color="auto"/>
            <w:left w:val="none" w:sz="0" w:space="0" w:color="auto"/>
            <w:bottom w:val="none" w:sz="0" w:space="0" w:color="auto"/>
            <w:right w:val="none" w:sz="0" w:space="0" w:color="auto"/>
          </w:divBdr>
        </w:div>
        <w:div w:id="651905234">
          <w:marLeft w:val="0"/>
          <w:marRight w:val="0"/>
          <w:marTop w:val="0"/>
          <w:marBottom w:val="0"/>
          <w:divBdr>
            <w:top w:val="none" w:sz="0" w:space="0" w:color="auto"/>
            <w:left w:val="none" w:sz="0" w:space="0" w:color="auto"/>
            <w:bottom w:val="none" w:sz="0" w:space="0" w:color="auto"/>
            <w:right w:val="none" w:sz="0" w:space="0" w:color="auto"/>
          </w:divBdr>
        </w:div>
        <w:div w:id="1198858070">
          <w:marLeft w:val="0"/>
          <w:marRight w:val="0"/>
          <w:marTop w:val="0"/>
          <w:marBottom w:val="0"/>
          <w:divBdr>
            <w:top w:val="none" w:sz="0" w:space="0" w:color="auto"/>
            <w:left w:val="none" w:sz="0" w:space="0" w:color="auto"/>
            <w:bottom w:val="none" w:sz="0" w:space="0" w:color="auto"/>
            <w:right w:val="none" w:sz="0" w:space="0" w:color="auto"/>
          </w:divBdr>
        </w:div>
        <w:div w:id="1018654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4.xml"/><Relationship Id="rId42"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8.xml"/><Relationship Id="rId32"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5.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ntTable" Target="fontTable.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Stipulation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2016-09-30T07:00:00+00:00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64580-8E8D-44A6-BEBF-F93153F1DF98}"/>
</file>

<file path=customXml/itemProps2.xml><?xml version="1.0" encoding="utf-8"?>
<ds:datastoreItem xmlns:ds="http://schemas.openxmlformats.org/officeDocument/2006/customXml" ds:itemID="{04AAD260-DF9B-445A-BE47-B71FF6E2B937}">
  <ds:schemaRefs>
    <ds:schemaRef ds:uri="http://schemas.microsoft.com/sharepoint/v3/contenttype/forms"/>
  </ds:schemaRefs>
</ds:datastoreItem>
</file>

<file path=customXml/itemProps3.xml><?xml version="1.0" encoding="utf-8"?>
<ds:datastoreItem xmlns:ds="http://schemas.openxmlformats.org/officeDocument/2006/customXml" ds:itemID="{478A0E09-8184-409A-A94C-761474F37548}"/>
</file>

<file path=customXml/itemProps4.xml><?xml version="1.0" encoding="utf-8"?>
<ds:datastoreItem xmlns:ds="http://schemas.openxmlformats.org/officeDocument/2006/customXml" ds:itemID="{6DBE1907-EE52-4A91-A3DF-4AF32B58034C}">
  <ds:schemaRefs>
    <ds:schemaRef ds:uri="http://schemas.microsoft.com/office/2006/metadata/properties"/>
    <ds:schemaRef ds:uri="http://schemas.microsoft.com/office/infopath/2007/PartnerControls"/>
    <ds:schemaRef ds:uri="dc463f71-b30c-4ab2-9473-d307f9d35888"/>
  </ds:schemaRefs>
</ds:datastoreItem>
</file>

<file path=customXml/itemProps5.xml><?xml version="1.0" encoding="utf-8"?>
<ds:datastoreItem xmlns:ds="http://schemas.openxmlformats.org/officeDocument/2006/customXml" ds:itemID="{3F7934AD-29CF-4D60-9133-42F4B1FC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7451</Words>
  <Characters>42471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No Name</cp:lastModifiedBy>
  <cp:revision>9</cp:revision>
  <cp:lastPrinted>2016-09-30T21:43:00Z</cp:lastPrinted>
  <dcterms:created xsi:type="dcterms:W3CDTF">2016-09-28T18:10:00Z</dcterms:created>
  <dcterms:modified xsi:type="dcterms:W3CDTF">2016-09-30T21:52:00Z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ies>
</file>