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99" w:rsidRPr="00851B0F" w:rsidRDefault="0037063A" w:rsidP="005D089C">
      <w:pPr>
        <w:pStyle w:val="BodyTextIndent"/>
        <w:spacing w:before="0"/>
        <w:jc w:val="left"/>
        <w:rPr>
          <w:rFonts w:ascii="Times New Roman" w:hAnsi="Times New Roman"/>
          <w:b/>
        </w:rPr>
      </w:pPr>
      <w:r w:rsidRPr="00851B0F">
        <w:rPr>
          <w:rFonts w:ascii="Times New Roman" w:hAnsi="Times New Roman"/>
          <w:b/>
        </w:rPr>
        <w:t>Introduction</w:t>
      </w:r>
    </w:p>
    <w:p w:rsidR="00B81099" w:rsidRPr="00851B0F" w:rsidRDefault="0037063A" w:rsidP="005D089C">
      <w:pPr>
        <w:pStyle w:val="BodyTextIndent"/>
        <w:spacing w:before="0"/>
        <w:jc w:val="left"/>
        <w:rPr>
          <w:rFonts w:ascii="Times New Roman" w:hAnsi="Times New Roman"/>
          <w:b/>
        </w:rPr>
      </w:pPr>
      <w:r w:rsidRPr="00851B0F">
        <w:rPr>
          <w:rFonts w:ascii="Times New Roman" w:hAnsi="Times New Roman"/>
          <w:b/>
        </w:rPr>
        <w:t>Q.</w:t>
      </w:r>
      <w:r w:rsidRPr="00851B0F">
        <w:rPr>
          <w:rFonts w:ascii="Times New Roman" w:hAnsi="Times New Roman"/>
          <w:b/>
        </w:rPr>
        <w:tab/>
        <w:t>Please state your name, occupation, and business address.</w:t>
      </w:r>
    </w:p>
    <w:p w:rsidR="00B81099" w:rsidRPr="00851B0F" w:rsidRDefault="0037063A" w:rsidP="005D089C">
      <w:pPr>
        <w:pStyle w:val="BodyTextIndent"/>
        <w:spacing w:before="0"/>
        <w:jc w:val="left"/>
        <w:rPr>
          <w:rFonts w:ascii="Times New Roman" w:hAnsi="Times New Roman"/>
        </w:rPr>
      </w:pPr>
      <w:r w:rsidRPr="00851B0F">
        <w:rPr>
          <w:rFonts w:ascii="Times New Roman" w:hAnsi="Times New Roman"/>
        </w:rPr>
        <w:t>A.</w:t>
      </w:r>
      <w:r w:rsidRPr="00851B0F">
        <w:rPr>
          <w:rFonts w:ascii="Times New Roman" w:hAnsi="Times New Roman"/>
        </w:rPr>
        <w:tab/>
        <w:t>My name is Samuel C. Hadaway</w:t>
      </w:r>
      <w:r w:rsidR="00E8096B" w:rsidRPr="00851B0F">
        <w:rPr>
          <w:rFonts w:ascii="Times New Roman" w:hAnsi="Times New Roman"/>
        </w:rPr>
        <w:t xml:space="preserve">.  </w:t>
      </w:r>
      <w:r w:rsidRPr="00851B0F">
        <w:rPr>
          <w:rFonts w:ascii="Times New Roman" w:hAnsi="Times New Roman"/>
        </w:rPr>
        <w:t>I am a Principal in FINANCO, Inc., Financial Analysis Consultants, 3520 Executive Center Drive, Austin, Texas 78731.</w:t>
      </w:r>
    </w:p>
    <w:p w:rsidR="00B81099" w:rsidRPr="00851B0F" w:rsidRDefault="0037063A" w:rsidP="005D089C">
      <w:pPr>
        <w:pStyle w:val="BodyTextIndent"/>
        <w:spacing w:before="0"/>
        <w:jc w:val="left"/>
        <w:rPr>
          <w:rFonts w:ascii="Times New Roman" w:hAnsi="Times New Roman"/>
          <w:b/>
        </w:rPr>
      </w:pPr>
      <w:r w:rsidRPr="00851B0F">
        <w:rPr>
          <w:rFonts w:ascii="Times New Roman" w:hAnsi="Times New Roman"/>
          <w:b/>
        </w:rPr>
        <w:t>Q.</w:t>
      </w:r>
      <w:r w:rsidRPr="00851B0F">
        <w:rPr>
          <w:rFonts w:ascii="Times New Roman" w:hAnsi="Times New Roman"/>
          <w:b/>
        </w:rPr>
        <w:tab/>
        <w:t>On whose behalf are you testifying?</w:t>
      </w:r>
    </w:p>
    <w:p w:rsidR="00B81099" w:rsidRPr="00851B0F" w:rsidRDefault="0037063A" w:rsidP="005D089C">
      <w:pPr>
        <w:jc w:val="left"/>
        <w:rPr>
          <w:rFonts w:ascii="Times New Roman" w:hAnsi="Times New Roman"/>
        </w:rPr>
      </w:pPr>
      <w:r w:rsidRPr="00851B0F">
        <w:rPr>
          <w:rFonts w:ascii="Times New Roman" w:hAnsi="Times New Roman"/>
        </w:rPr>
        <w:t>A.</w:t>
      </w:r>
      <w:r w:rsidRPr="00851B0F">
        <w:rPr>
          <w:rFonts w:ascii="Times New Roman" w:hAnsi="Times New Roman"/>
        </w:rPr>
        <w:tab/>
      </w:r>
      <w:r w:rsidR="0097630F" w:rsidRPr="00851B0F">
        <w:rPr>
          <w:rFonts w:ascii="Times New Roman" w:hAnsi="Times New Roman"/>
        </w:rPr>
        <w:t>I am testifying on behalf of PacifiCorp</w:t>
      </w:r>
      <w:r w:rsidR="00321720" w:rsidRPr="00851B0F">
        <w:rPr>
          <w:rFonts w:ascii="Times New Roman" w:hAnsi="Times New Roman"/>
        </w:rPr>
        <w:t xml:space="preserve"> d/b/a Pacific Power &amp; Light Company</w:t>
      </w:r>
      <w:r w:rsidR="0097630F" w:rsidRPr="00851B0F">
        <w:rPr>
          <w:rFonts w:ascii="Times New Roman" w:hAnsi="Times New Roman"/>
        </w:rPr>
        <w:t xml:space="preserve"> (</w:t>
      </w:r>
      <w:r w:rsidR="007C10E0" w:rsidRPr="00851B0F">
        <w:rPr>
          <w:rFonts w:ascii="Times New Roman" w:hAnsi="Times New Roman"/>
        </w:rPr>
        <w:t xml:space="preserve">PacifiCorp or </w:t>
      </w:r>
      <w:r w:rsidR="0097630F" w:rsidRPr="00851B0F">
        <w:rPr>
          <w:rStyle w:val="LineNumber"/>
        </w:rPr>
        <w:t>Company)</w:t>
      </w:r>
      <w:r w:rsidR="0097630F" w:rsidRPr="00851B0F">
        <w:rPr>
          <w:rFonts w:ascii="Times New Roman" w:hAnsi="Times New Roman"/>
        </w:rPr>
        <w:t>.</w:t>
      </w:r>
    </w:p>
    <w:p w:rsidR="00B81099" w:rsidRPr="00851B0F" w:rsidRDefault="0037063A" w:rsidP="005D089C">
      <w:pPr>
        <w:pStyle w:val="BodyTextIndent"/>
        <w:spacing w:before="0"/>
        <w:jc w:val="left"/>
        <w:rPr>
          <w:rFonts w:ascii="Times New Roman" w:hAnsi="Times New Roman"/>
          <w:b/>
        </w:rPr>
      </w:pPr>
      <w:r w:rsidRPr="00851B0F">
        <w:rPr>
          <w:rFonts w:ascii="Times New Roman" w:hAnsi="Times New Roman"/>
          <w:b/>
        </w:rPr>
        <w:t>Q.</w:t>
      </w:r>
      <w:r w:rsidRPr="00851B0F">
        <w:rPr>
          <w:rFonts w:ascii="Times New Roman" w:hAnsi="Times New Roman"/>
          <w:b/>
        </w:rPr>
        <w:tab/>
        <w:t>Please desc</w:t>
      </w:r>
      <w:r w:rsidR="003D54BF" w:rsidRPr="00851B0F">
        <w:rPr>
          <w:rFonts w:ascii="Times New Roman" w:hAnsi="Times New Roman"/>
          <w:b/>
        </w:rPr>
        <w:t>ribe your education</w:t>
      </w:r>
      <w:r w:rsidRPr="00851B0F">
        <w:rPr>
          <w:rFonts w:ascii="Times New Roman" w:hAnsi="Times New Roman"/>
          <w:b/>
        </w:rPr>
        <w:t xml:space="preserve"> and professional experience.</w:t>
      </w:r>
    </w:p>
    <w:p w:rsidR="0097630F" w:rsidRPr="00851B0F" w:rsidRDefault="0037063A" w:rsidP="0097630F">
      <w:pPr>
        <w:pStyle w:val="BodyTextIndent"/>
        <w:spacing w:before="0"/>
        <w:jc w:val="left"/>
        <w:rPr>
          <w:rFonts w:ascii="Times New Roman" w:hAnsi="Times New Roman"/>
        </w:rPr>
      </w:pPr>
      <w:r w:rsidRPr="00851B0F">
        <w:rPr>
          <w:rFonts w:ascii="Times New Roman" w:hAnsi="Times New Roman"/>
        </w:rPr>
        <w:t>A.</w:t>
      </w:r>
      <w:r w:rsidRPr="00851B0F">
        <w:rPr>
          <w:rFonts w:ascii="Times New Roman" w:hAnsi="Times New Roman"/>
        </w:rPr>
        <w:tab/>
      </w:r>
      <w:r w:rsidR="0097630F" w:rsidRPr="00851B0F">
        <w:rPr>
          <w:rFonts w:ascii="Times New Roman" w:hAnsi="Times New Roman"/>
        </w:rPr>
        <w:t>I have a Bachelor</w:t>
      </w:r>
      <w:r w:rsidR="00823A67" w:rsidRPr="00851B0F">
        <w:rPr>
          <w:rFonts w:ascii="Times New Roman" w:hAnsi="Times New Roman"/>
        </w:rPr>
        <w:t>’</w:t>
      </w:r>
      <w:r w:rsidR="0097630F" w:rsidRPr="00851B0F">
        <w:rPr>
          <w:rFonts w:ascii="Times New Roman" w:hAnsi="Times New Roman"/>
        </w:rPr>
        <w:t>s degree in economics from Southern Methodist University, as well as MBA and Ph.D. degrees with concentrations in finance and economics from the University of Texas at Austin (UT Austin).  I am an owner and full-time employee of FINANCO, Inc.  FINANCO provides financial research concerning the cost of capital and financial condition for regulated companies</w:t>
      </w:r>
      <w:r w:rsidR="00823A67" w:rsidRPr="00851B0F">
        <w:rPr>
          <w:rFonts w:ascii="Times New Roman" w:hAnsi="Times New Roman"/>
        </w:rPr>
        <w:t>,</w:t>
      </w:r>
      <w:r w:rsidR="0097630F" w:rsidRPr="00851B0F">
        <w:rPr>
          <w:rFonts w:ascii="Times New Roman" w:hAnsi="Times New Roman"/>
        </w:rPr>
        <w:t xml:space="preserve"> as well as financial modeling and other economic studies in litigation support.  In addition to my work at FINANCO, I have served as an adjunct professor in the McCombs School of Business at UT Austin and in what is now the McCoy College of Business at Texas State University.  In my prior academic work, I taught economics and finance courses</w:t>
      </w:r>
      <w:r w:rsidR="00823A67" w:rsidRPr="00851B0F">
        <w:rPr>
          <w:rFonts w:ascii="Times New Roman" w:hAnsi="Times New Roman"/>
        </w:rPr>
        <w:t>,</w:t>
      </w:r>
      <w:r w:rsidR="0097630F" w:rsidRPr="00851B0F">
        <w:rPr>
          <w:rFonts w:ascii="Times New Roman" w:hAnsi="Times New Roman"/>
        </w:rPr>
        <w:t xml:space="preserve"> and I conducted research and directed graduate students in the areas of investments and capital market research.  I was previously Director of the Economic Research Division at the Public Utility Commission of Texas </w:t>
      </w:r>
      <w:r w:rsidR="003F7E09" w:rsidRPr="00851B0F">
        <w:rPr>
          <w:rFonts w:ascii="Times New Roman" w:hAnsi="Times New Roman"/>
        </w:rPr>
        <w:t xml:space="preserve">(Texas Commission), </w:t>
      </w:r>
      <w:r w:rsidR="0097630F" w:rsidRPr="00851B0F">
        <w:rPr>
          <w:rFonts w:ascii="Times New Roman" w:hAnsi="Times New Roman"/>
        </w:rPr>
        <w:t>where I supervised the Texas Commission</w:t>
      </w:r>
      <w:r w:rsidR="00823A67" w:rsidRPr="00851B0F">
        <w:rPr>
          <w:rFonts w:ascii="Times New Roman" w:hAnsi="Times New Roman"/>
        </w:rPr>
        <w:t>’</w:t>
      </w:r>
      <w:r w:rsidR="0097630F" w:rsidRPr="00851B0F">
        <w:rPr>
          <w:rFonts w:ascii="Times New Roman" w:hAnsi="Times New Roman"/>
        </w:rPr>
        <w:t>s finance, economics, and accounting staff, and served as the Texas Commission</w:t>
      </w:r>
      <w:r w:rsidR="00823A67" w:rsidRPr="00851B0F">
        <w:rPr>
          <w:rFonts w:ascii="Times New Roman" w:hAnsi="Times New Roman"/>
        </w:rPr>
        <w:t>’</w:t>
      </w:r>
      <w:r w:rsidR="0097630F" w:rsidRPr="00851B0F">
        <w:rPr>
          <w:rFonts w:ascii="Times New Roman" w:hAnsi="Times New Roman"/>
        </w:rPr>
        <w:t xml:space="preserve">s chief financial witness in electric and telephone rate cases.  I have taught courses at </w:t>
      </w:r>
      <w:r w:rsidR="0097630F" w:rsidRPr="00851B0F">
        <w:rPr>
          <w:rFonts w:ascii="Times New Roman" w:hAnsi="Times New Roman"/>
        </w:rPr>
        <w:lastRenderedPageBreak/>
        <w:t xml:space="preserve">various utility conferences on cost of capital, capital structure, utility financial condition, and cost allocation and rate design issues.  I have made presentations before the New York Society of Security Analysts, the National Rate of Return Analysts Forum, </w:t>
      </w:r>
      <w:r w:rsidR="00ED1F32" w:rsidRPr="00851B0F">
        <w:rPr>
          <w:rFonts w:ascii="Times New Roman" w:hAnsi="Times New Roman"/>
        </w:rPr>
        <w:t xml:space="preserve">the Society of </w:t>
      </w:r>
      <w:r w:rsidR="00A61B95" w:rsidRPr="00851B0F">
        <w:rPr>
          <w:rFonts w:ascii="Times New Roman" w:hAnsi="Times New Roman"/>
        </w:rPr>
        <w:t xml:space="preserve">Utility </w:t>
      </w:r>
      <w:r w:rsidR="00ED1F32" w:rsidRPr="00851B0F">
        <w:rPr>
          <w:rFonts w:ascii="Times New Roman" w:hAnsi="Times New Roman"/>
        </w:rPr>
        <w:t>Regulatory and Financial Analysts</w:t>
      </w:r>
      <w:r w:rsidR="00823A67" w:rsidRPr="00851B0F">
        <w:rPr>
          <w:rFonts w:ascii="Times New Roman" w:hAnsi="Times New Roman"/>
        </w:rPr>
        <w:t>,</w:t>
      </w:r>
      <w:r w:rsidR="00ED1F32" w:rsidRPr="00851B0F">
        <w:rPr>
          <w:rFonts w:ascii="Times New Roman" w:hAnsi="Times New Roman"/>
        </w:rPr>
        <w:t xml:space="preserve"> </w:t>
      </w:r>
      <w:r w:rsidR="0097630F" w:rsidRPr="00851B0F">
        <w:rPr>
          <w:rFonts w:ascii="Times New Roman" w:hAnsi="Times New Roman"/>
        </w:rPr>
        <w:t>and various other professional and legislative groups.  I have served as a vice president and on the board of directors of the Financial Management Association.</w:t>
      </w:r>
    </w:p>
    <w:p w:rsidR="0097630F" w:rsidRPr="00851B0F" w:rsidRDefault="0097630F" w:rsidP="0097630F">
      <w:pPr>
        <w:jc w:val="left"/>
        <w:rPr>
          <w:rFonts w:ascii="Times New Roman" w:hAnsi="Times New Roman"/>
        </w:rPr>
      </w:pPr>
      <w:r w:rsidRPr="00851B0F">
        <w:rPr>
          <w:rFonts w:ascii="Times New Roman" w:hAnsi="Times New Roman"/>
        </w:rPr>
        <w:tab/>
      </w:r>
      <w:r w:rsidRPr="00851B0F">
        <w:rPr>
          <w:rFonts w:ascii="Times New Roman" w:hAnsi="Times New Roman"/>
        </w:rPr>
        <w:tab/>
        <w:t>A list of my publications and</w:t>
      </w:r>
      <w:r w:rsidR="00823A67" w:rsidRPr="00851B0F">
        <w:rPr>
          <w:rFonts w:ascii="Times New Roman" w:hAnsi="Times New Roman"/>
        </w:rPr>
        <w:t xml:space="preserve"> previous</w:t>
      </w:r>
      <w:r w:rsidRPr="00851B0F">
        <w:rPr>
          <w:rFonts w:ascii="Times New Roman" w:hAnsi="Times New Roman"/>
        </w:rPr>
        <w:t xml:space="preserve"> testimony before various regulatory bodies and in state and federal courts is contained in my resume, which is included as Exhibit No.___(SCH-2).</w:t>
      </w:r>
    </w:p>
    <w:p w:rsidR="00C47AA6" w:rsidRPr="00851B0F" w:rsidRDefault="00C47AA6" w:rsidP="00ED1F32">
      <w:pPr>
        <w:pStyle w:val="Heading3"/>
        <w:keepNext w:val="0"/>
        <w:spacing w:before="0"/>
        <w:jc w:val="left"/>
        <w:rPr>
          <w:rFonts w:ascii="Times New Roman" w:hAnsi="Times New Roman"/>
          <w:u w:val="none"/>
        </w:rPr>
      </w:pPr>
      <w:r w:rsidRPr="00851B0F">
        <w:rPr>
          <w:rFonts w:ascii="Times New Roman" w:hAnsi="Times New Roman"/>
          <w:u w:val="none"/>
        </w:rPr>
        <w:t>Purpose of Testimony</w:t>
      </w:r>
    </w:p>
    <w:p w:rsidR="00B81099" w:rsidRPr="00851B0F" w:rsidRDefault="0037063A" w:rsidP="00E03B17">
      <w:pPr>
        <w:pStyle w:val="BodyTextIndent"/>
        <w:spacing w:before="0"/>
        <w:rPr>
          <w:rFonts w:ascii="Times New Roman" w:hAnsi="Times New Roman"/>
          <w:b/>
        </w:rPr>
      </w:pPr>
      <w:r w:rsidRPr="00851B0F">
        <w:rPr>
          <w:rFonts w:ascii="Times New Roman" w:hAnsi="Times New Roman"/>
          <w:b/>
        </w:rPr>
        <w:t>Q.</w:t>
      </w:r>
      <w:r w:rsidRPr="00851B0F">
        <w:rPr>
          <w:rFonts w:ascii="Times New Roman" w:hAnsi="Times New Roman"/>
          <w:b/>
        </w:rPr>
        <w:tab/>
        <w:t>What is the purpose of your testimony?</w:t>
      </w:r>
    </w:p>
    <w:p w:rsidR="00167998" w:rsidRPr="00851B0F" w:rsidRDefault="0037063A" w:rsidP="00167998">
      <w:pPr>
        <w:pStyle w:val="BodyTextIndent"/>
        <w:spacing w:before="0"/>
        <w:jc w:val="left"/>
        <w:rPr>
          <w:rFonts w:ascii="Times New Roman" w:hAnsi="Times New Roman"/>
        </w:rPr>
      </w:pPr>
      <w:r w:rsidRPr="00851B0F">
        <w:rPr>
          <w:rFonts w:ascii="Times New Roman" w:hAnsi="Times New Roman"/>
        </w:rPr>
        <w:t>A.</w:t>
      </w:r>
      <w:r w:rsidRPr="00851B0F">
        <w:rPr>
          <w:rFonts w:ascii="Times New Roman" w:hAnsi="Times New Roman"/>
        </w:rPr>
        <w:tab/>
        <w:t xml:space="preserve">The purpose of my testimony is to estimate </w:t>
      </w:r>
      <w:r w:rsidR="00321720" w:rsidRPr="00851B0F">
        <w:rPr>
          <w:rFonts w:ascii="Times New Roman" w:hAnsi="Times New Roman"/>
        </w:rPr>
        <w:t>the Company</w:t>
      </w:r>
      <w:r w:rsidR="00823A67" w:rsidRPr="00851B0F">
        <w:rPr>
          <w:rFonts w:ascii="Times New Roman" w:hAnsi="Times New Roman"/>
        </w:rPr>
        <w:t>’</w:t>
      </w:r>
      <w:r w:rsidR="00321720" w:rsidRPr="00851B0F">
        <w:rPr>
          <w:rFonts w:ascii="Times New Roman" w:hAnsi="Times New Roman"/>
        </w:rPr>
        <w:t xml:space="preserve">s </w:t>
      </w:r>
      <w:r w:rsidRPr="00851B0F">
        <w:rPr>
          <w:rFonts w:ascii="Times New Roman" w:hAnsi="Times New Roman"/>
        </w:rPr>
        <w:t>cost of equity capital.</w:t>
      </w:r>
    </w:p>
    <w:p w:rsidR="00B81099" w:rsidRPr="00851B0F" w:rsidRDefault="00886028" w:rsidP="00E03B17">
      <w:pPr>
        <w:rPr>
          <w:rFonts w:ascii="Times New Roman" w:hAnsi="Times New Roman"/>
          <w:b/>
        </w:rPr>
      </w:pPr>
      <w:r w:rsidRPr="00851B0F">
        <w:rPr>
          <w:rFonts w:ascii="Times New Roman" w:hAnsi="Times New Roman"/>
          <w:b/>
        </w:rPr>
        <w:t>Q.</w:t>
      </w:r>
      <w:r w:rsidRPr="00851B0F">
        <w:rPr>
          <w:rFonts w:ascii="Times New Roman" w:hAnsi="Times New Roman"/>
          <w:b/>
        </w:rPr>
        <w:tab/>
        <w:t>Please define the term “cost of equity capital”</w:t>
      </w:r>
      <w:r w:rsidR="00EC0853" w:rsidRPr="00851B0F">
        <w:rPr>
          <w:rFonts w:ascii="Times New Roman" w:hAnsi="Times New Roman"/>
          <w:b/>
        </w:rPr>
        <w:t xml:space="preserve"> (COE).</w:t>
      </w:r>
    </w:p>
    <w:p w:rsidR="00B81099" w:rsidRPr="00851B0F" w:rsidRDefault="0037063A" w:rsidP="005D089C">
      <w:pPr>
        <w:pStyle w:val="BodyTextIndent"/>
        <w:spacing w:before="0"/>
        <w:jc w:val="left"/>
        <w:rPr>
          <w:rFonts w:ascii="Times New Roman" w:hAnsi="Times New Roman"/>
        </w:rPr>
      </w:pPr>
      <w:r w:rsidRPr="00851B0F">
        <w:rPr>
          <w:rFonts w:ascii="Times New Roman" w:hAnsi="Times New Roman"/>
        </w:rPr>
        <w:t>A.</w:t>
      </w:r>
      <w:r w:rsidRPr="00851B0F">
        <w:rPr>
          <w:rFonts w:ascii="Times New Roman" w:hAnsi="Times New Roman"/>
        </w:rPr>
        <w:tab/>
        <w:t>COE is the rate of return that equity investors require or expect to receive from their investment</w:t>
      </w:r>
      <w:r w:rsidR="00ED1F32" w:rsidRPr="00851B0F">
        <w:rPr>
          <w:rFonts w:ascii="Times New Roman" w:hAnsi="Times New Roman"/>
        </w:rPr>
        <w:t>s</w:t>
      </w:r>
      <w:r w:rsidRPr="00851B0F">
        <w:rPr>
          <w:rFonts w:ascii="Times New Roman" w:hAnsi="Times New Roman"/>
        </w:rPr>
        <w:t xml:space="preserve"> in common stocks</w:t>
      </w:r>
      <w:r w:rsidR="00E8096B" w:rsidRPr="00851B0F">
        <w:rPr>
          <w:rFonts w:ascii="Times New Roman" w:hAnsi="Times New Roman"/>
        </w:rPr>
        <w:t xml:space="preserve">.  </w:t>
      </w:r>
      <w:r w:rsidRPr="00851B0F">
        <w:rPr>
          <w:rFonts w:ascii="Times New Roman" w:hAnsi="Times New Roman"/>
        </w:rPr>
        <w:t>Conceptually</w:t>
      </w:r>
      <w:r w:rsidR="00C63C70" w:rsidRPr="00851B0F">
        <w:rPr>
          <w:rFonts w:ascii="Times New Roman" w:hAnsi="Times New Roman"/>
        </w:rPr>
        <w:t>,</w:t>
      </w:r>
      <w:r w:rsidRPr="00851B0F">
        <w:rPr>
          <w:rFonts w:ascii="Times New Roman" w:hAnsi="Times New Roman"/>
        </w:rPr>
        <w:t xml:space="preserve"> COE is no different than the interest rate on debt or the cost of preferred stock</w:t>
      </w:r>
      <w:r w:rsidR="00E8096B" w:rsidRPr="00851B0F">
        <w:rPr>
          <w:rFonts w:ascii="Times New Roman" w:hAnsi="Times New Roman"/>
        </w:rPr>
        <w:t xml:space="preserve">.  </w:t>
      </w:r>
      <w:r w:rsidRPr="00851B0F">
        <w:rPr>
          <w:rFonts w:ascii="Times New Roman" w:hAnsi="Times New Roman"/>
        </w:rPr>
        <w:t>Equity investors expect a return on their capital commensurate with the risks they take and consistent with returns that might be available from other similar investments.</w:t>
      </w:r>
    </w:p>
    <w:p w:rsidR="00B81099" w:rsidRPr="00851B0F" w:rsidRDefault="0037063A" w:rsidP="005D089C">
      <w:pPr>
        <w:pStyle w:val="Heading3"/>
        <w:keepNext w:val="0"/>
        <w:spacing w:before="0"/>
        <w:jc w:val="left"/>
        <w:rPr>
          <w:rFonts w:ascii="Times New Roman" w:hAnsi="Times New Roman"/>
          <w:u w:val="none"/>
        </w:rPr>
      </w:pPr>
      <w:r w:rsidRPr="00851B0F">
        <w:rPr>
          <w:rFonts w:ascii="Times New Roman" w:hAnsi="Times New Roman"/>
          <w:u w:val="none"/>
        </w:rPr>
        <w:t>Q.</w:t>
      </w:r>
      <w:r w:rsidRPr="00851B0F">
        <w:rPr>
          <w:rFonts w:ascii="Times New Roman" w:hAnsi="Times New Roman"/>
          <w:u w:val="none"/>
        </w:rPr>
        <w:tab/>
        <w:t xml:space="preserve">Have you determined the COE for </w:t>
      </w:r>
      <w:r w:rsidR="00ED1F32" w:rsidRPr="00851B0F">
        <w:rPr>
          <w:rFonts w:ascii="Times New Roman" w:hAnsi="Times New Roman"/>
          <w:u w:val="none"/>
        </w:rPr>
        <w:t xml:space="preserve">a group of </w:t>
      </w:r>
      <w:r w:rsidRPr="00851B0F">
        <w:rPr>
          <w:rFonts w:ascii="Times New Roman" w:hAnsi="Times New Roman"/>
          <w:u w:val="none"/>
        </w:rPr>
        <w:t xml:space="preserve">utilities comparable to </w:t>
      </w:r>
      <w:r w:rsidR="00321720" w:rsidRPr="00851B0F">
        <w:rPr>
          <w:rFonts w:ascii="Times New Roman" w:hAnsi="Times New Roman"/>
          <w:u w:val="none"/>
        </w:rPr>
        <w:t>the Company</w:t>
      </w:r>
      <w:r w:rsidRPr="00851B0F">
        <w:rPr>
          <w:rFonts w:ascii="Times New Roman" w:hAnsi="Times New Roman"/>
          <w:u w:val="none"/>
        </w:rPr>
        <w:t>?</w:t>
      </w:r>
    </w:p>
    <w:p w:rsidR="00730B31" w:rsidRPr="00851B0F" w:rsidRDefault="0037063A" w:rsidP="00E35362">
      <w:pPr>
        <w:autoSpaceDE w:val="0"/>
        <w:autoSpaceDN w:val="0"/>
        <w:adjustRightInd w:val="0"/>
        <w:jc w:val="left"/>
        <w:rPr>
          <w:rFonts w:ascii="Times New Roman" w:hAnsi="Times New Roman"/>
        </w:rPr>
      </w:pPr>
      <w:r w:rsidRPr="00851B0F">
        <w:rPr>
          <w:rFonts w:ascii="Times New Roman" w:hAnsi="Times New Roman"/>
        </w:rPr>
        <w:t>A.</w:t>
      </w:r>
      <w:r w:rsidRPr="00851B0F">
        <w:rPr>
          <w:rFonts w:ascii="Times New Roman" w:hAnsi="Times New Roman"/>
        </w:rPr>
        <w:tab/>
        <w:t>Yes</w:t>
      </w:r>
      <w:r w:rsidR="00E8096B" w:rsidRPr="00851B0F">
        <w:rPr>
          <w:rFonts w:ascii="Times New Roman" w:hAnsi="Times New Roman"/>
        </w:rPr>
        <w:t xml:space="preserve">.  </w:t>
      </w:r>
      <w:r w:rsidRPr="00851B0F">
        <w:rPr>
          <w:rFonts w:ascii="Times New Roman" w:hAnsi="Times New Roman"/>
        </w:rPr>
        <w:t xml:space="preserve">I have </w:t>
      </w:r>
      <w:r w:rsidR="00ED1F32" w:rsidRPr="00851B0F">
        <w:rPr>
          <w:rFonts w:ascii="Times New Roman" w:hAnsi="Times New Roman"/>
        </w:rPr>
        <w:t xml:space="preserve">used a comparable company approach in my </w:t>
      </w:r>
      <w:r w:rsidRPr="00851B0F">
        <w:rPr>
          <w:rFonts w:ascii="Times New Roman" w:hAnsi="Times New Roman"/>
        </w:rPr>
        <w:t xml:space="preserve">discounted cash flow (DCF) </w:t>
      </w:r>
      <w:r w:rsidR="00ED1F32" w:rsidRPr="00851B0F">
        <w:rPr>
          <w:rFonts w:ascii="Times New Roman" w:hAnsi="Times New Roman"/>
        </w:rPr>
        <w:t>analysis</w:t>
      </w:r>
      <w:r w:rsidRPr="00851B0F">
        <w:rPr>
          <w:rFonts w:ascii="Times New Roman" w:hAnsi="Times New Roman"/>
        </w:rPr>
        <w:t xml:space="preserve"> to estimate COE for </w:t>
      </w:r>
      <w:r w:rsidR="00ED1F32" w:rsidRPr="00851B0F">
        <w:rPr>
          <w:rFonts w:ascii="Times New Roman" w:hAnsi="Times New Roman"/>
        </w:rPr>
        <w:t xml:space="preserve">a group of </w:t>
      </w:r>
      <w:r w:rsidRPr="00851B0F">
        <w:rPr>
          <w:rFonts w:ascii="Times New Roman" w:hAnsi="Times New Roman"/>
        </w:rPr>
        <w:t xml:space="preserve">utilities comparable to </w:t>
      </w:r>
      <w:r w:rsidR="00321720" w:rsidRPr="00851B0F">
        <w:rPr>
          <w:rFonts w:ascii="Times New Roman" w:hAnsi="Times New Roman"/>
        </w:rPr>
        <w:t>the Company</w:t>
      </w:r>
      <w:r w:rsidR="00AF05CC" w:rsidRPr="00851B0F">
        <w:rPr>
          <w:rFonts w:ascii="Times New Roman" w:hAnsi="Times New Roman"/>
        </w:rPr>
        <w:t>.</w:t>
      </w:r>
      <w:r w:rsidR="00C47AA6" w:rsidRPr="00851B0F">
        <w:rPr>
          <w:rFonts w:ascii="Times New Roman" w:hAnsi="Times New Roman"/>
        </w:rPr>
        <w:t xml:space="preserve"> </w:t>
      </w:r>
      <w:r w:rsidR="00AF05CC" w:rsidRPr="00851B0F">
        <w:rPr>
          <w:rFonts w:ascii="Times New Roman" w:hAnsi="Times New Roman"/>
        </w:rPr>
        <w:t xml:space="preserve"> </w:t>
      </w:r>
      <w:r w:rsidRPr="00851B0F">
        <w:rPr>
          <w:rFonts w:ascii="Times New Roman" w:hAnsi="Times New Roman"/>
        </w:rPr>
        <w:t>The results of that analysis indicate that the comparable group</w:t>
      </w:r>
      <w:r w:rsidR="00823A67" w:rsidRPr="00851B0F">
        <w:rPr>
          <w:rFonts w:ascii="Times New Roman" w:hAnsi="Times New Roman"/>
        </w:rPr>
        <w:t>’</w:t>
      </w:r>
      <w:r w:rsidRPr="00851B0F">
        <w:rPr>
          <w:rFonts w:ascii="Times New Roman" w:hAnsi="Times New Roman"/>
        </w:rPr>
        <w:t xml:space="preserve">s COE </w:t>
      </w:r>
      <w:r w:rsidRPr="00851B0F">
        <w:rPr>
          <w:rFonts w:ascii="Times New Roman" w:hAnsi="Times New Roman"/>
        </w:rPr>
        <w:lastRenderedPageBreak/>
        <w:t>is in the range of 9.</w:t>
      </w:r>
      <w:r w:rsidR="00131D72" w:rsidRPr="00851B0F">
        <w:rPr>
          <w:rFonts w:ascii="Times New Roman" w:hAnsi="Times New Roman"/>
        </w:rPr>
        <w:t>4</w:t>
      </w:r>
      <w:r w:rsidRPr="00851B0F">
        <w:rPr>
          <w:rFonts w:ascii="Times New Roman" w:hAnsi="Times New Roman"/>
        </w:rPr>
        <w:t xml:space="preserve"> percent to 10.</w:t>
      </w:r>
      <w:r w:rsidR="001B2296" w:rsidRPr="00851B0F">
        <w:rPr>
          <w:rFonts w:ascii="Times New Roman" w:hAnsi="Times New Roman"/>
        </w:rPr>
        <w:t>0</w:t>
      </w:r>
      <w:r w:rsidRPr="00851B0F">
        <w:rPr>
          <w:rFonts w:ascii="Times New Roman" w:hAnsi="Times New Roman"/>
        </w:rPr>
        <w:t xml:space="preserve"> percent</w:t>
      </w:r>
      <w:r w:rsidR="00E8096B" w:rsidRPr="00851B0F">
        <w:rPr>
          <w:rFonts w:ascii="Times New Roman" w:hAnsi="Times New Roman"/>
        </w:rPr>
        <w:t xml:space="preserve">.  </w:t>
      </w:r>
      <w:r w:rsidR="00241365" w:rsidRPr="00851B0F">
        <w:rPr>
          <w:rFonts w:ascii="Times New Roman" w:hAnsi="Times New Roman"/>
        </w:rPr>
        <w:t>The Commission should be aware</w:t>
      </w:r>
      <w:r w:rsidR="003D39B3" w:rsidRPr="00851B0F">
        <w:rPr>
          <w:rFonts w:ascii="Times New Roman" w:hAnsi="Times New Roman"/>
        </w:rPr>
        <w:t>, however,</w:t>
      </w:r>
      <w:r w:rsidR="00241365" w:rsidRPr="00851B0F">
        <w:rPr>
          <w:rFonts w:ascii="Times New Roman" w:hAnsi="Times New Roman"/>
        </w:rPr>
        <w:t xml:space="preserve"> that the results of DCF, equity risk premium</w:t>
      </w:r>
      <w:r w:rsidR="00EC0853" w:rsidRPr="00851B0F">
        <w:rPr>
          <w:rFonts w:ascii="Times New Roman" w:hAnsi="Times New Roman"/>
        </w:rPr>
        <w:t>,</w:t>
      </w:r>
      <w:r w:rsidR="00241365" w:rsidRPr="00851B0F">
        <w:rPr>
          <w:rFonts w:ascii="Times New Roman" w:hAnsi="Times New Roman"/>
        </w:rPr>
        <w:t xml:space="preserve"> and capital asset pricing models are all unduly influenced by the current, artificially low interest rate environment </w:t>
      </w:r>
      <w:r w:rsidR="002E66BF" w:rsidRPr="00851B0F">
        <w:rPr>
          <w:rFonts w:ascii="Times New Roman" w:hAnsi="Times New Roman"/>
        </w:rPr>
        <w:t xml:space="preserve">and low bond yields </w:t>
      </w:r>
      <w:r w:rsidRPr="00851B0F">
        <w:rPr>
          <w:rFonts w:ascii="Times New Roman" w:hAnsi="Times New Roman"/>
        </w:rPr>
        <w:t>caused by the federal government</w:t>
      </w:r>
      <w:r w:rsidR="00241365" w:rsidRPr="00851B0F">
        <w:rPr>
          <w:rFonts w:ascii="Times New Roman" w:hAnsi="Times New Roman"/>
        </w:rPr>
        <w:t xml:space="preserve">’s monetary policy.  The Commission should moderate the impact of these conditions </w:t>
      </w:r>
      <w:r w:rsidR="002E66BF" w:rsidRPr="00851B0F">
        <w:rPr>
          <w:rFonts w:ascii="Times New Roman" w:hAnsi="Times New Roman"/>
        </w:rPr>
        <w:t xml:space="preserve">to </w:t>
      </w:r>
      <w:r w:rsidR="00241365" w:rsidRPr="00851B0F">
        <w:rPr>
          <w:rFonts w:ascii="TimesNewRomanPSMT" w:hAnsi="TimesNewRomanPSMT" w:cs="TimesNewRomanPSMT"/>
          <w:szCs w:val="24"/>
        </w:rPr>
        <w:t>prevent either over- or under-earnings</w:t>
      </w:r>
      <w:r w:rsidR="002E66BF" w:rsidRPr="00851B0F">
        <w:rPr>
          <w:rFonts w:ascii="TimesNewRomanPSMT" w:hAnsi="TimesNewRomanPSMT" w:cs="TimesNewRomanPSMT"/>
          <w:szCs w:val="24"/>
        </w:rPr>
        <w:t>, and view both interest rates and bond yields over the longer term.</w:t>
      </w:r>
      <w:r w:rsidR="002E66BF" w:rsidRPr="00851B0F">
        <w:rPr>
          <w:rFonts w:ascii="Times New Roman" w:hAnsi="Times New Roman"/>
          <w:b/>
        </w:rPr>
        <w:t xml:space="preserve"> </w:t>
      </w:r>
      <w:r w:rsidR="00AB736C" w:rsidRPr="00851B0F">
        <w:rPr>
          <w:rFonts w:ascii="Times New Roman" w:hAnsi="Times New Roman"/>
          <w:b/>
        </w:rPr>
        <w:t xml:space="preserve"> </w:t>
      </w:r>
      <w:r w:rsidR="00241365" w:rsidRPr="00851B0F">
        <w:rPr>
          <w:rFonts w:ascii="Times New Roman" w:hAnsi="Times New Roman"/>
        </w:rPr>
        <w:t xml:space="preserve">To do so, the Commission should select an allowed return on common equity (ROE) at the higher end of the COE range. </w:t>
      </w:r>
      <w:r w:rsidR="00EC0853" w:rsidRPr="00851B0F">
        <w:rPr>
          <w:rFonts w:ascii="Times New Roman" w:hAnsi="Times New Roman"/>
        </w:rPr>
        <w:t xml:space="preserve"> </w:t>
      </w:r>
      <w:r w:rsidR="00FE02BB" w:rsidRPr="00851B0F">
        <w:rPr>
          <w:rFonts w:ascii="Times New Roman" w:hAnsi="Times New Roman"/>
        </w:rPr>
        <w:t xml:space="preserve">Equity investors rely on long-term market conditions and equity estimation </w:t>
      </w:r>
      <w:r w:rsidR="003D39B3" w:rsidRPr="00851B0F">
        <w:rPr>
          <w:rFonts w:ascii="Times New Roman" w:hAnsi="Times New Roman"/>
        </w:rPr>
        <w:t>techniques</w:t>
      </w:r>
      <w:r w:rsidR="00FE02BB" w:rsidRPr="00851B0F">
        <w:rPr>
          <w:rFonts w:ascii="Times New Roman" w:hAnsi="Times New Roman"/>
        </w:rPr>
        <w:t>, like the DCF model, require a long-term, equilibrium view, which is not reflected in the current environment</w:t>
      </w:r>
      <w:r w:rsidR="003D39B3" w:rsidRPr="00851B0F">
        <w:rPr>
          <w:rFonts w:ascii="Times New Roman" w:hAnsi="Times New Roman"/>
        </w:rPr>
        <w:t>.</w:t>
      </w:r>
    </w:p>
    <w:p w:rsidR="00E35362" w:rsidRPr="00851B0F" w:rsidRDefault="00241365" w:rsidP="00730B31">
      <w:pPr>
        <w:autoSpaceDE w:val="0"/>
        <w:autoSpaceDN w:val="0"/>
        <w:adjustRightInd w:val="0"/>
        <w:ind w:firstLine="720"/>
        <w:jc w:val="left"/>
        <w:rPr>
          <w:rFonts w:ascii="Times New Roman" w:hAnsi="Times New Roman"/>
        </w:rPr>
      </w:pPr>
      <w:r w:rsidRPr="00851B0F">
        <w:rPr>
          <w:rFonts w:ascii="Times New Roman" w:hAnsi="Times New Roman"/>
        </w:rPr>
        <w:t xml:space="preserve">Based on </w:t>
      </w:r>
      <w:r w:rsidR="00EC0853" w:rsidRPr="00851B0F">
        <w:rPr>
          <w:rFonts w:ascii="Times New Roman" w:hAnsi="Times New Roman"/>
        </w:rPr>
        <w:t xml:space="preserve">the </w:t>
      </w:r>
      <w:r w:rsidRPr="00851B0F">
        <w:rPr>
          <w:rFonts w:ascii="Times New Roman" w:hAnsi="Times New Roman"/>
        </w:rPr>
        <w:t>upper end of my DCF results and my further revie</w:t>
      </w:r>
      <w:r w:rsidR="00EC0853" w:rsidRPr="00851B0F">
        <w:rPr>
          <w:rFonts w:ascii="Times New Roman" w:hAnsi="Times New Roman"/>
        </w:rPr>
        <w:t>w of the other economic data, I </w:t>
      </w:r>
      <w:r w:rsidRPr="00851B0F">
        <w:rPr>
          <w:rFonts w:ascii="Times New Roman" w:hAnsi="Times New Roman"/>
        </w:rPr>
        <w:t xml:space="preserve">recommend that the allowed rate of return on </w:t>
      </w:r>
      <w:r w:rsidR="00EC0853" w:rsidRPr="00851B0F">
        <w:rPr>
          <w:rFonts w:ascii="Times New Roman" w:hAnsi="Times New Roman"/>
        </w:rPr>
        <w:t xml:space="preserve">equity (ROE) for </w:t>
      </w:r>
      <w:r w:rsidR="00730B31" w:rsidRPr="00851B0F">
        <w:rPr>
          <w:rFonts w:ascii="Times New Roman" w:hAnsi="Times New Roman"/>
        </w:rPr>
        <w:t xml:space="preserve">PacifiCorp be </w:t>
      </w:r>
      <w:r w:rsidRPr="00851B0F">
        <w:rPr>
          <w:rFonts w:ascii="Times New Roman" w:hAnsi="Times New Roman"/>
        </w:rPr>
        <w:t xml:space="preserve">set at 10.0 percent.  This compares favorably with the average allowed ROE for vertically integrated utilities </w:t>
      </w:r>
      <w:r w:rsidR="005031FE" w:rsidRPr="00851B0F">
        <w:rPr>
          <w:rFonts w:ascii="Times New Roman" w:hAnsi="Times New Roman"/>
        </w:rPr>
        <w:t>for</w:t>
      </w:r>
      <w:r w:rsidR="005031FE" w:rsidRPr="00851B0F">
        <w:rPr>
          <w:rFonts w:ascii="Times New Roman" w:hAnsi="Times New Roman" w:cs="Arial"/>
          <w:szCs w:val="24"/>
        </w:rPr>
        <w:t xml:space="preserve"> </w:t>
      </w:r>
      <w:r w:rsidR="005031FE" w:rsidRPr="00851B0F">
        <w:rPr>
          <w:rFonts w:ascii="Times New Roman" w:hAnsi="Times New Roman"/>
        </w:rPr>
        <w:t xml:space="preserve">the first three quarters of 2012 </w:t>
      </w:r>
      <w:r w:rsidRPr="00851B0F">
        <w:rPr>
          <w:rFonts w:ascii="Times New Roman" w:hAnsi="Times New Roman"/>
        </w:rPr>
        <w:t>of 10.05 percent.</w:t>
      </w:r>
      <w:r w:rsidR="006B082B" w:rsidRPr="00851B0F">
        <w:rPr>
          <w:rFonts w:ascii="Times New Roman" w:hAnsi="Times New Roman"/>
          <w:b/>
        </w:rPr>
        <w:t xml:space="preserve">  </w:t>
      </w:r>
      <w:r w:rsidR="00ED1F32" w:rsidRPr="00851B0F">
        <w:rPr>
          <w:rFonts w:ascii="Times New Roman" w:hAnsi="Times New Roman"/>
        </w:rPr>
        <w:t>While this re</w:t>
      </w:r>
      <w:r w:rsidR="008572AF" w:rsidRPr="00851B0F">
        <w:rPr>
          <w:rFonts w:ascii="Times New Roman" w:hAnsi="Times New Roman"/>
        </w:rPr>
        <w:t>quested ROE</w:t>
      </w:r>
      <w:r w:rsidR="00ED1F32" w:rsidRPr="00851B0F">
        <w:rPr>
          <w:rFonts w:ascii="Times New Roman" w:hAnsi="Times New Roman"/>
        </w:rPr>
        <w:t xml:space="preserve"> is above </w:t>
      </w:r>
      <w:r w:rsidR="000A3D3A" w:rsidRPr="00851B0F">
        <w:rPr>
          <w:rFonts w:ascii="Times New Roman" w:hAnsi="Times New Roman"/>
        </w:rPr>
        <w:t xml:space="preserve">the midpoint of </w:t>
      </w:r>
      <w:r w:rsidR="008572AF" w:rsidRPr="00851B0F">
        <w:rPr>
          <w:rFonts w:ascii="Times New Roman" w:hAnsi="Times New Roman"/>
        </w:rPr>
        <w:t xml:space="preserve">my quantitative </w:t>
      </w:r>
      <w:r w:rsidR="000A3D3A" w:rsidRPr="00851B0F">
        <w:rPr>
          <w:rFonts w:ascii="Times New Roman" w:hAnsi="Times New Roman"/>
        </w:rPr>
        <w:t>DCF</w:t>
      </w:r>
      <w:r w:rsidR="008572AF" w:rsidRPr="00851B0F">
        <w:rPr>
          <w:rFonts w:ascii="Times New Roman" w:hAnsi="Times New Roman"/>
        </w:rPr>
        <w:t xml:space="preserve"> results, under current market conditions and economic circumstances, I believe this</w:t>
      </w:r>
      <w:r w:rsidR="0037063A" w:rsidRPr="00851B0F">
        <w:rPr>
          <w:rFonts w:ascii="Times New Roman" w:hAnsi="Times New Roman"/>
        </w:rPr>
        <w:t xml:space="preserve"> is a reasonable ROE for establishing the Company</w:t>
      </w:r>
      <w:r w:rsidR="00823A67" w:rsidRPr="00851B0F">
        <w:rPr>
          <w:rFonts w:ascii="Times New Roman" w:hAnsi="Times New Roman"/>
        </w:rPr>
        <w:t>’</w:t>
      </w:r>
      <w:r w:rsidR="0037063A" w:rsidRPr="00851B0F">
        <w:rPr>
          <w:rFonts w:ascii="Times New Roman" w:hAnsi="Times New Roman"/>
        </w:rPr>
        <w:t>s rates at this time and should be authorized by the Commission.</w:t>
      </w:r>
    </w:p>
    <w:p w:rsidR="00B81099" w:rsidRPr="00851B0F" w:rsidRDefault="0037063A" w:rsidP="00E8096B">
      <w:pPr>
        <w:pStyle w:val="Heading3"/>
        <w:keepNext w:val="0"/>
        <w:widowControl w:val="0"/>
        <w:spacing w:before="0"/>
        <w:jc w:val="left"/>
        <w:rPr>
          <w:rFonts w:ascii="Times New Roman" w:hAnsi="Times New Roman"/>
          <w:u w:val="none"/>
        </w:rPr>
      </w:pPr>
      <w:r w:rsidRPr="00851B0F">
        <w:rPr>
          <w:rFonts w:ascii="Times New Roman" w:hAnsi="Times New Roman"/>
          <w:u w:val="none"/>
        </w:rPr>
        <w:t>Q.</w:t>
      </w:r>
      <w:r w:rsidRPr="00851B0F">
        <w:rPr>
          <w:rFonts w:ascii="Times New Roman" w:hAnsi="Times New Roman"/>
          <w:u w:val="none"/>
        </w:rPr>
        <w:tab/>
        <w:t>How is your analysis structured?</w:t>
      </w:r>
    </w:p>
    <w:p w:rsidR="00B81099" w:rsidRPr="00851B0F" w:rsidRDefault="0037063A" w:rsidP="00E8096B">
      <w:pPr>
        <w:pStyle w:val="Heading3"/>
        <w:keepNext w:val="0"/>
        <w:widowControl w:val="0"/>
        <w:spacing w:before="0"/>
        <w:jc w:val="left"/>
        <w:rPr>
          <w:rFonts w:ascii="Times New Roman" w:hAnsi="Times New Roman"/>
          <w:b w:val="0"/>
          <w:u w:val="none"/>
        </w:rPr>
      </w:pPr>
      <w:r w:rsidRPr="00851B0F">
        <w:rPr>
          <w:rFonts w:ascii="Times New Roman" w:hAnsi="Times New Roman"/>
          <w:b w:val="0"/>
          <w:u w:val="none"/>
        </w:rPr>
        <w:t>A.</w:t>
      </w:r>
      <w:r w:rsidRPr="00851B0F">
        <w:rPr>
          <w:rFonts w:ascii="Times New Roman" w:hAnsi="Times New Roman"/>
          <w:b w:val="0"/>
          <w:u w:val="none"/>
        </w:rPr>
        <w:tab/>
        <w:t xml:space="preserve">I apply </w:t>
      </w:r>
      <w:r w:rsidR="008572AF" w:rsidRPr="00851B0F">
        <w:rPr>
          <w:rFonts w:ascii="Times New Roman" w:hAnsi="Times New Roman"/>
          <w:b w:val="0"/>
          <w:u w:val="none"/>
        </w:rPr>
        <w:t xml:space="preserve">the DCF </w:t>
      </w:r>
      <w:r w:rsidR="00B640B9" w:rsidRPr="00851B0F">
        <w:rPr>
          <w:rFonts w:ascii="Times New Roman" w:hAnsi="Times New Roman"/>
          <w:b w:val="0"/>
          <w:u w:val="none"/>
        </w:rPr>
        <w:t>model</w:t>
      </w:r>
      <w:r w:rsidR="008572AF" w:rsidRPr="00851B0F">
        <w:rPr>
          <w:rFonts w:ascii="Times New Roman" w:hAnsi="Times New Roman"/>
          <w:b w:val="0"/>
          <w:u w:val="none"/>
        </w:rPr>
        <w:t xml:space="preserve"> to a 14-company group of vertically-integrated electric utilities with financial and operating characteristics similar to </w:t>
      </w:r>
      <w:r w:rsidR="00321720" w:rsidRPr="00851B0F">
        <w:rPr>
          <w:rFonts w:ascii="Times New Roman" w:hAnsi="Times New Roman"/>
          <w:b w:val="0"/>
          <w:u w:val="none"/>
        </w:rPr>
        <w:t>the Company</w:t>
      </w:r>
      <w:r w:rsidR="008572AF" w:rsidRPr="00851B0F">
        <w:rPr>
          <w:rFonts w:ascii="Times New Roman" w:hAnsi="Times New Roman"/>
          <w:b w:val="0"/>
          <w:u w:val="none"/>
        </w:rPr>
        <w:t>.</w:t>
      </w:r>
      <w:r w:rsidR="00E8096B" w:rsidRPr="00851B0F">
        <w:rPr>
          <w:rFonts w:ascii="Times New Roman" w:hAnsi="Times New Roman"/>
          <w:b w:val="0"/>
          <w:u w:val="none"/>
        </w:rPr>
        <w:t xml:space="preserve"> </w:t>
      </w:r>
      <w:r w:rsidR="00AF05CC" w:rsidRPr="00851B0F">
        <w:rPr>
          <w:rFonts w:ascii="Times New Roman" w:hAnsi="Times New Roman"/>
          <w:b w:val="0"/>
          <w:u w:val="none"/>
        </w:rPr>
        <w:t xml:space="preserve"> </w:t>
      </w:r>
      <w:r w:rsidR="00321720" w:rsidRPr="00851B0F">
        <w:rPr>
          <w:rFonts w:ascii="Times New Roman" w:hAnsi="Times New Roman"/>
          <w:b w:val="0"/>
          <w:u w:val="none"/>
        </w:rPr>
        <w:t>The Company</w:t>
      </w:r>
      <w:r w:rsidR="00823A67" w:rsidRPr="00851B0F">
        <w:rPr>
          <w:rFonts w:ascii="Times New Roman" w:hAnsi="Times New Roman"/>
          <w:b w:val="0"/>
          <w:u w:val="none"/>
        </w:rPr>
        <w:t>’</w:t>
      </w:r>
      <w:r w:rsidR="00321720" w:rsidRPr="00851B0F">
        <w:rPr>
          <w:rFonts w:ascii="Times New Roman" w:hAnsi="Times New Roman"/>
          <w:b w:val="0"/>
          <w:u w:val="none"/>
        </w:rPr>
        <w:t xml:space="preserve">s </w:t>
      </w:r>
      <w:r w:rsidRPr="00851B0F">
        <w:rPr>
          <w:rFonts w:ascii="Times New Roman" w:hAnsi="Times New Roman"/>
          <w:b w:val="0"/>
          <w:u w:val="none"/>
        </w:rPr>
        <w:t>COE cannot be estimated directly from its own market data because the Company is a wholly-owned subsidiary of MidAmerican Energy Holdings Company</w:t>
      </w:r>
      <w:r w:rsidR="00E8096B" w:rsidRPr="00851B0F">
        <w:rPr>
          <w:rFonts w:ascii="Times New Roman" w:hAnsi="Times New Roman"/>
          <w:b w:val="0"/>
          <w:u w:val="none"/>
        </w:rPr>
        <w:t xml:space="preserve">.  </w:t>
      </w:r>
      <w:r w:rsidRPr="00851B0F">
        <w:rPr>
          <w:rFonts w:ascii="Times New Roman" w:hAnsi="Times New Roman"/>
          <w:b w:val="0"/>
          <w:u w:val="none"/>
        </w:rPr>
        <w:t xml:space="preserve">As such, </w:t>
      </w:r>
      <w:r w:rsidR="00321720" w:rsidRPr="00851B0F">
        <w:rPr>
          <w:rFonts w:ascii="Times New Roman" w:hAnsi="Times New Roman"/>
          <w:b w:val="0"/>
          <w:u w:val="none"/>
        </w:rPr>
        <w:t xml:space="preserve">the Company </w:t>
      </w:r>
      <w:r w:rsidRPr="00851B0F">
        <w:rPr>
          <w:rFonts w:ascii="Times New Roman" w:hAnsi="Times New Roman"/>
          <w:b w:val="0"/>
          <w:u w:val="none"/>
        </w:rPr>
        <w:t>does not have publicly traded common stock or other independent market data that would be required to estimate its DCF cost directly</w:t>
      </w:r>
      <w:r w:rsidR="00AF05CC" w:rsidRPr="00851B0F">
        <w:rPr>
          <w:rFonts w:ascii="Times New Roman" w:hAnsi="Times New Roman"/>
          <w:b w:val="0"/>
          <w:u w:val="none"/>
        </w:rPr>
        <w:t>.</w:t>
      </w:r>
      <w:r w:rsidR="00E8096B" w:rsidRPr="00851B0F">
        <w:rPr>
          <w:rFonts w:ascii="Times New Roman" w:hAnsi="Times New Roman"/>
          <w:b w:val="0"/>
          <w:u w:val="none"/>
        </w:rPr>
        <w:t xml:space="preserve"> </w:t>
      </w:r>
      <w:r w:rsidR="00AF05CC" w:rsidRPr="00851B0F">
        <w:rPr>
          <w:rFonts w:ascii="Times New Roman" w:hAnsi="Times New Roman"/>
          <w:b w:val="0"/>
          <w:u w:val="none"/>
        </w:rPr>
        <w:t xml:space="preserve"> </w:t>
      </w:r>
      <w:r w:rsidRPr="00851B0F">
        <w:rPr>
          <w:rFonts w:ascii="Times New Roman" w:hAnsi="Times New Roman"/>
          <w:b w:val="0"/>
          <w:u w:val="none"/>
        </w:rPr>
        <w:t xml:space="preserve">Therefore, I begin my comparable company review with all the vertically-integrated electric utilities that are included in the </w:t>
      </w:r>
      <w:r w:rsidRPr="00851B0F">
        <w:rPr>
          <w:rFonts w:ascii="Times New Roman" w:hAnsi="Times New Roman"/>
          <w:b w:val="0"/>
          <w:i/>
          <w:u w:val="none"/>
        </w:rPr>
        <w:t>Value Line Investment Survey</w:t>
      </w:r>
      <w:r w:rsidRPr="00851B0F">
        <w:rPr>
          <w:rFonts w:ascii="Times New Roman" w:hAnsi="Times New Roman"/>
          <w:b w:val="0"/>
          <w:u w:val="none"/>
        </w:rPr>
        <w:t xml:space="preserve"> (Value Line)</w:t>
      </w:r>
      <w:r w:rsidR="00E8096B" w:rsidRPr="00851B0F">
        <w:rPr>
          <w:rFonts w:ascii="Times New Roman" w:hAnsi="Times New Roman"/>
          <w:b w:val="0"/>
          <w:u w:val="none"/>
        </w:rPr>
        <w:t xml:space="preserve">.  </w:t>
      </w:r>
      <w:r w:rsidRPr="00851B0F">
        <w:rPr>
          <w:rFonts w:ascii="Times New Roman" w:hAnsi="Times New Roman"/>
          <w:b w:val="0"/>
          <w:u w:val="none"/>
        </w:rPr>
        <w:t>Value Line is a widely-followed, reputable source of financial data that is often used by professional regulatory economists</w:t>
      </w:r>
      <w:r w:rsidR="00AF05CC" w:rsidRPr="00851B0F">
        <w:rPr>
          <w:rFonts w:ascii="Times New Roman" w:hAnsi="Times New Roman"/>
          <w:b w:val="0"/>
          <w:u w:val="none"/>
        </w:rPr>
        <w:t xml:space="preserve">. </w:t>
      </w:r>
      <w:r w:rsidR="00E8096B" w:rsidRPr="00851B0F">
        <w:rPr>
          <w:rFonts w:ascii="Times New Roman" w:hAnsi="Times New Roman"/>
          <w:b w:val="0"/>
          <w:u w:val="none"/>
        </w:rPr>
        <w:t xml:space="preserve"> </w:t>
      </w:r>
      <w:r w:rsidRPr="00851B0F">
        <w:rPr>
          <w:rFonts w:ascii="Times New Roman" w:hAnsi="Times New Roman"/>
          <w:b w:val="0"/>
          <w:u w:val="none"/>
        </w:rPr>
        <w:t>To improve the group</w:t>
      </w:r>
      <w:r w:rsidR="00823A67" w:rsidRPr="00851B0F">
        <w:rPr>
          <w:rFonts w:ascii="Times New Roman" w:hAnsi="Times New Roman"/>
          <w:b w:val="0"/>
          <w:u w:val="none"/>
        </w:rPr>
        <w:t>’</w:t>
      </w:r>
      <w:r w:rsidRPr="00851B0F">
        <w:rPr>
          <w:rFonts w:ascii="Times New Roman" w:hAnsi="Times New Roman"/>
          <w:b w:val="0"/>
          <w:u w:val="none"/>
        </w:rPr>
        <w:t xml:space="preserve">s comparability with </w:t>
      </w:r>
      <w:r w:rsidR="00321720" w:rsidRPr="00851B0F">
        <w:rPr>
          <w:rFonts w:ascii="Times New Roman" w:hAnsi="Times New Roman"/>
          <w:b w:val="0"/>
          <w:u w:val="none"/>
        </w:rPr>
        <w:t>the Company</w:t>
      </w:r>
      <w:r w:rsidRPr="00851B0F">
        <w:rPr>
          <w:rFonts w:ascii="Times New Roman" w:hAnsi="Times New Roman"/>
          <w:b w:val="0"/>
          <w:u w:val="none"/>
        </w:rPr>
        <w:t>, which has a senior secured bond rating of A from Standard &amp; Poor</w:t>
      </w:r>
      <w:r w:rsidR="00823A67" w:rsidRPr="00851B0F">
        <w:rPr>
          <w:rFonts w:ascii="Times New Roman" w:hAnsi="Times New Roman"/>
          <w:b w:val="0"/>
          <w:u w:val="none"/>
        </w:rPr>
        <w:t>’</w:t>
      </w:r>
      <w:r w:rsidRPr="00851B0F">
        <w:rPr>
          <w:rFonts w:ascii="Times New Roman" w:hAnsi="Times New Roman"/>
          <w:b w:val="0"/>
          <w:u w:val="none"/>
        </w:rPr>
        <w:t>s (S&amp;P) and A2 from Moody</w:t>
      </w:r>
      <w:r w:rsidR="00823A67" w:rsidRPr="00851B0F">
        <w:rPr>
          <w:rFonts w:ascii="Times New Roman" w:hAnsi="Times New Roman"/>
          <w:b w:val="0"/>
          <w:u w:val="none"/>
        </w:rPr>
        <w:t>’</w:t>
      </w:r>
      <w:r w:rsidRPr="00851B0F">
        <w:rPr>
          <w:rFonts w:ascii="Times New Roman" w:hAnsi="Times New Roman"/>
          <w:b w:val="0"/>
          <w:u w:val="none"/>
        </w:rPr>
        <w:t>s Investors Service (Moody</w:t>
      </w:r>
      <w:r w:rsidR="00823A67" w:rsidRPr="00851B0F">
        <w:rPr>
          <w:rFonts w:ascii="Times New Roman" w:hAnsi="Times New Roman"/>
          <w:b w:val="0"/>
          <w:u w:val="none"/>
        </w:rPr>
        <w:t>’</w:t>
      </w:r>
      <w:r w:rsidRPr="00851B0F">
        <w:rPr>
          <w:rFonts w:ascii="Times New Roman" w:hAnsi="Times New Roman"/>
          <w:b w:val="0"/>
          <w:u w:val="none"/>
        </w:rPr>
        <w:t>s), I restricted the group to integrated electric utilities with senior secured bond ratings of at least A- by S&amp;P or A3 by Moody</w:t>
      </w:r>
      <w:r w:rsidR="00823A67" w:rsidRPr="00851B0F">
        <w:rPr>
          <w:rFonts w:ascii="Times New Roman" w:hAnsi="Times New Roman"/>
          <w:b w:val="0"/>
          <w:u w:val="none"/>
        </w:rPr>
        <w:t>’</w:t>
      </w:r>
      <w:r w:rsidRPr="00851B0F">
        <w:rPr>
          <w:rFonts w:ascii="Times New Roman" w:hAnsi="Times New Roman"/>
          <w:b w:val="0"/>
          <w:u w:val="none"/>
        </w:rPr>
        <w:t>s</w:t>
      </w:r>
      <w:r w:rsidR="00E8096B" w:rsidRPr="00851B0F">
        <w:rPr>
          <w:rFonts w:ascii="Times New Roman" w:hAnsi="Times New Roman"/>
          <w:b w:val="0"/>
          <w:u w:val="none"/>
        </w:rPr>
        <w:t xml:space="preserve">.  </w:t>
      </w:r>
      <w:r w:rsidRPr="00851B0F">
        <w:rPr>
          <w:rFonts w:ascii="Times New Roman" w:hAnsi="Times New Roman"/>
          <w:b w:val="0"/>
          <w:u w:val="none"/>
        </w:rPr>
        <w:t xml:space="preserve">I also required </w:t>
      </w:r>
      <w:r w:rsidR="003F7E09" w:rsidRPr="00851B0F">
        <w:rPr>
          <w:rFonts w:ascii="Times New Roman" w:hAnsi="Times New Roman"/>
          <w:b w:val="0"/>
          <w:u w:val="none"/>
        </w:rPr>
        <w:t xml:space="preserve">that </w:t>
      </w:r>
      <w:r w:rsidRPr="00851B0F">
        <w:rPr>
          <w:rFonts w:ascii="Times New Roman" w:hAnsi="Times New Roman"/>
          <w:b w:val="0"/>
          <w:u w:val="none"/>
        </w:rPr>
        <w:t>the companies derive at least 70 percent of their revenues from regulated utility sales, to have consistent financial records not affected by recent mergers or restructuring, and to have a consistent dividend record with no dividend cuts or resumptions during the past two years</w:t>
      </w:r>
      <w:r w:rsidR="00E8096B" w:rsidRPr="00851B0F">
        <w:rPr>
          <w:rFonts w:ascii="Times New Roman" w:hAnsi="Times New Roman"/>
          <w:b w:val="0"/>
          <w:u w:val="none"/>
        </w:rPr>
        <w:t xml:space="preserve">.  </w:t>
      </w:r>
      <w:r w:rsidRPr="00851B0F">
        <w:rPr>
          <w:rFonts w:ascii="Times New Roman" w:hAnsi="Times New Roman"/>
          <w:b w:val="0"/>
          <w:u w:val="none"/>
        </w:rPr>
        <w:t xml:space="preserve">The fundamental characteristics and bond ratings of the 14 companies in my comparable group are presented in Exhibit </w:t>
      </w:r>
      <w:r w:rsidR="003F7E09" w:rsidRPr="00851B0F">
        <w:rPr>
          <w:rFonts w:ascii="Times New Roman" w:hAnsi="Times New Roman"/>
          <w:b w:val="0"/>
          <w:u w:val="none"/>
        </w:rPr>
        <w:t>No.___(SCH-3</w:t>
      </w:r>
      <w:r w:rsidRPr="00851B0F">
        <w:rPr>
          <w:rFonts w:ascii="Times New Roman" w:hAnsi="Times New Roman"/>
          <w:b w:val="0"/>
          <w:u w:val="none"/>
        </w:rPr>
        <w:t>).</w:t>
      </w:r>
    </w:p>
    <w:p w:rsidR="00167998" w:rsidRPr="00851B0F" w:rsidRDefault="0037063A" w:rsidP="00167998">
      <w:pPr>
        <w:pStyle w:val="Heading3"/>
        <w:keepNext w:val="0"/>
        <w:widowControl w:val="0"/>
        <w:spacing w:before="0"/>
        <w:jc w:val="left"/>
        <w:rPr>
          <w:rFonts w:ascii="Times New Roman" w:hAnsi="Times New Roman"/>
          <w:b w:val="0"/>
          <w:u w:val="none"/>
        </w:rPr>
      </w:pPr>
      <w:r w:rsidRPr="00851B0F">
        <w:rPr>
          <w:rFonts w:ascii="Times New Roman" w:hAnsi="Times New Roman"/>
          <w:b w:val="0"/>
          <w:u w:val="none"/>
        </w:rPr>
        <w:tab/>
      </w:r>
      <w:r w:rsidRPr="00851B0F">
        <w:rPr>
          <w:rFonts w:ascii="Times New Roman" w:hAnsi="Times New Roman"/>
          <w:b w:val="0"/>
          <w:u w:val="none"/>
        </w:rPr>
        <w:tab/>
        <w:t xml:space="preserve">In my risk premium analysis, I present </w:t>
      </w:r>
      <w:r w:rsidR="009F244E" w:rsidRPr="00851B0F">
        <w:rPr>
          <w:rFonts w:ascii="Times New Roman" w:hAnsi="Times New Roman"/>
          <w:b w:val="0"/>
          <w:u w:val="none"/>
        </w:rPr>
        <w:t xml:space="preserve">COE </w:t>
      </w:r>
      <w:r w:rsidRPr="00851B0F">
        <w:rPr>
          <w:rFonts w:ascii="Times New Roman" w:hAnsi="Times New Roman"/>
          <w:b w:val="0"/>
          <w:u w:val="none"/>
        </w:rPr>
        <w:t xml:space="preserve">estimates </w:t>
      </w:r>
      <w:r w:rsidR="009F244E" w:rsidRPr="00851B0F">
        <w:rPr>
          <w:rFonts w:ascii="Times New Roman" w:hAnsi="Times New Roman"/>
          <w:b w:val="0"/>
          <w:u w:val="none"/>
        </w:rPr>
        <w:t>based on</w:t>
      </w:r>
      <w:r w:rsidRPr="00851B0F">
        <w:rPr>
          <w:rFonts w:ascii="Times New Roman" w:hAnsi="Times New Roman"/>
          <w:b w:val="0"/>
          <w:u w:val="none"/>
        </w:rPr>
        <w:t xml:space="preserve"> both current and projected single-A utility bond yields</w:t>
      </w:r>
      <w:r w:rsidR="00E8096B" w:rsidRPr="00851B0F">
        <w:rPr>
          <w:rFonts w:ascii="Times New Roman" w:hAnsi="Times New Roman"/>
          <w:b w:val="0"/>
          <w:u w:val="none"/>
        </w:rPr>
        <w:t xml:space="preserve">.  </w:t>
      </w:r>
      <w:r w:rsidRPr="00851B0F">
        <w:rPr>
          <w:rFonts w:ascii="Times New Roman" w:hAnsi="Times New Roman"/>
          <w:b w:val="0"/>
          <w:u w:val="none"/>
        </w:rPr>
        <w:t>These rates are consistent with the Company</w:t>
      </w:r>
      <w:r w:rsidR="00823A67" w:rsidRPr="00851B0F">
        <w:rPr>
          <w:rFonts w:ascii="Times New Roman" w:hAnsi="Times New Roman"/>
          <w:b w:val="0"/>
          <w:u w:val="none"/>
        </w:rPr>
        <w:t>’</w:t>
      </w:r>
      <w:r w:rsidRPr="00851B0F">
        <w:rPr>
          <w:rFonts w:ascii="Times New Roman" w:hAnsi="Times New Roman"/>
          <w:b w:val="0"/>
          <w:u w:val="none"/>
        </w:rPr>
        <w:t>s single-A bond ratings and reflect both the current</w:t>
      </w:r>
      <w:r w:rsidR="008572AF" w:rsidRPr="00851B0F">
        <w:rPr>
          <w:rFonts w:ascii="Times New Roman" w:hAnsi="Times New Roman"/>
          <w:b w:val="0"/>
          <w:u w:val="none"/>
        </w:rPr>
        <w:t>ly low</w:t>
      </w:r>
      <w:r w:rsidR="001B2296" w:rsidRPr="00851B0F">
        <w:rPr>
          <w:rFonts w:ascii="Times New Roman" w:hAnsi="Times New Roman"/>
          <w:b w:val="0"/>
          <w:u w:val="none"/>
        </w:rPr>
        <w:t>,</w:t>
      </w:r>
      <w:r w:rsidRPr="00851B0F">
        <w:rPr>
          <w:rFonts w:ascii="Times New Roman" w:hAnsi="Times New Roman"/>
          <w:b w:val="0"/>
          <w:u w:val="none"/>
        </w:rPr>
        <w:t xml:space="preserve"> government</w:t>
      </w:r>
      <w:r w:rsidR="008572AF" w:rsidRPr="00851B0F">
        <w:rPr>
          <w:rFonts w:ascii="Times New Roman" w:hAnsi="Times New Roman"/>
          <w:b w:val="0"/>
          <w:u w:val="none"/>
        </w:rPr>
        <w:t>-induced</w:t>
      </w:r>
      <w:r w:rsidRPr="00851B0F">
        <w:rPr>
          <w:rFonts w:ascii="Times New Roman" w:hAnsi="Times New Roman"/>
          <w:b w:val="0"/>
          <w:u w:val="none"/>
        </w:rPr>
        <w:t xml:space="preserve"> interest rate environment and the </w:t>
      </w:r>
      <w:r w:rsidR="003D39B3" w:rsidRPr="00851B0F">
        <w:rPr>
          <w:rFonts w:ascii="Times New Roman" w:hAnsi="Times New Roman"/>
          <w:b w:val="0"/>
          <w:u w:val="none"/>
        </w:rPr>
        <w:t xml:space="preserve">resulting </w:t>
      </w:r>
      <w:r w:rsidR="008572AF" w:rsidRPr="00851B0F">
        <w:rPr>
          <w:rFonts w:ascii="Times New Roman" w:hAnsi="Times New Roman"/>
          <w:b w:val="0"/>
          <w:u w:val="none"/>
        </w:rPr>
        <w:t xml:space="preserve">relatively low interest </w:t>
      </w:r>
      <w:r w:rsidR="003D39B3" w:rsidRPr="00851B0F">
        <w:rPr>
          <w:rFonts w:ascii="Times New Roman" w:hAnsi="Times New Roman"/>
          <w:b w:val="0"/>
          <w:u w:val="none"/>
        </w:rPr>
        <w:t>forecasts for</w:t>
      </w:r>
      <w:r w:rsidR="008572AF" w:rsidRPr="00851B0F">
        <w:rPr>
          <w:rFonts w:ascii="Times New Roman" w:hAnsi="Times New Roman"/>
          <w:b w:val="0"/>
          <w:u w:val="none"/>
        </w:rPr>
        <w:t xml:space="preserve"> the next few years.</w:t>
      </w:r>
      <w:r w:rsidR="00E8096B" w:rsidRPr="00851B0F">
        <w:rPr>
          <w:rFonts w:ascii="Times New Roman" w:hAnsi="Times New Roman"/>
          <w:b w:val="0"/>
          <w:u w:val="none"/>
        </w:rPr>
        <w:t xml:space="preserve">  </w:t>
      </w:r>
      <w:r w:rsidRPr="00851B0F">
        <w:rPr>
          <w:rFonts w:ascii="Times New Roman" w:hAnsi="Times New Roman"/>
          <w:b w:val="0"/>
          <w:u w:val="none"/>
        </w:rPr>
        <w:t xml:space="preserve">As I will discuss later in this testimony, these risk premium estimates continue to be depressed by the </w:t>
      </w:r>
      <w:r w:rsidR="001B2296" w:rsidRPr="00851B0F">
        <w:rPr>
          <w:rFonts w:ascii="Times New Roman" w:hAnsi="Times New Roman"/>
          <w:b w:val="0"/>
          <w:u w:val="none"/>
        </w:rPr>
        <w:t>F</w:t>
      </w:r>
      <w:r w:rsidRPr="00851B0F">
        <w:rPr>
          <w:rFonts w:ascii="Times New Roman" w:hAnsi="Times New Roman"/>
          <w:b w:val="0"/>
          <w:u w:val="none"/>
        </w:rPr>
        <w:t xml:space="preserve">ederal </w:t>
      </w:r>
      <w:r w:rsidR="009F244E" w:rsidRPr="00851B0F">
        <w:rPr>
          <w:rFonts w:ascii="Times New Roman" w:hAnsi="Times New Roman"/>
          <w:b w:val="0"/>
          <w:u w:val="none"/>
        </w:rPr>
        <w:t>Reserve System</w:t>
      </w:r>
      <w:r w:rsidR="00823A67" w:rsidRPr="00851B0F">
        <w:rPr>
          <w:rFonts w:ascii="Times New Roman" w:hAnsi="Times New Roman"/>
          <w:b w:val="0"/>
          <w:u w:val="none"/>
        </w:rPr>
        <w:t>’</w:t>
      </w:r>
      <w:r w:rsidR="009F244E" w:rsidRPr="00851B0F">
        <w:rPr>
          <w:rFonts w:ascii="Times New Roman" w:hAnsi="Times New Roman"/>
          <w:b w:val="0"/>
          <w:u w:val="none"/>
        </w:rPr>
        <w:t xml:space="preserve">s (Fed) </w:t>
      </w:r>
      <w:r w:rsidRPr="00851B0F">
        <w:rPr>
          <w:rFonts w:ascii="Times New Roman" w:hAnsi="Times New Roman"/>
          <w:b w:val="0"/>
          <w:u w:val="none"/>
        </w:rPr>
        <w:t>stated intentions to keep interest rates low</w:t>
      </w:r>
      <w:r w:rsidR="00E8096B" w:rsidRPr="00851B0F">
        <w:rPr>
          <w:rFonts w:ascii="Times New Roman" w:hAnsi="Times New Roman"/>
          <w:b w:val="0"/>
          <w:u w:val="none"/>
        </w:rPr>
        <w:t xml:space="preserve">.  </w:t>
      </w:r>
      <w:r w:rsidRPr="00851B0F">
        <w:rPr>
          <w:rFonts w:ascii="Times New Roman" w:hAnsi="Times New Roman"/>
          <w:b w:val="0"/>
          <w:u w:val="none"/>
        </w:rPr>
        <w:t xml:space="preserve">For these reasons, </w:t>
      </w:r>
      <w:r w:rsidR="008572AF" w:rsidRPr="00851B0F">
        <w:rPr>
          <w:rFonts w:ascii="Times New Roman" w:hAnsi="Times New Roman"/>
          <w:b w:val="0"/>
          <w:u w:val="none"/>
        </w:rPr>
        <w:t xml:space="preserve">I do not believe that </w:t>
      </w:r>
      <w:r w:rsidRPr="00851B0F">
        <w:rPr>
          <w:rFonts w:ascii="Times New Roman" w:hAnsi="Times New Roman"/>
          <w:b w:val="0"/>
          <w:u w:val="none"/>
        </w:rPr>
        <w:t xml:space="preserve">the </w:t>
      </w:r>
      <w:r w:rsidR="001B2296" w:rsidRPr="00851B0F">
        <w:rPr>
          <w:rFonts w:ascii="Times New Roman" w:hAnsi="Times New Roman"/>
          <w:b w:val="0"/>
          <w:u w:val="none"/>
        </w:rPr>
        <w:t xml:space="preserve">lowest DCF </w:t>
      </w:r>
      <w:r w:rsidR="00B640B9" w:rsidRPr="00851B0F">
        <w:rPr>
          <w:rFonts w:ascii="Times New Roman" w:hAnsi="Times New Roman"/>
          <w:b w:val="0"/>
          <w:u w:val="none"/>
        </w:rPr>
        <w:t>or the</w:t>
      </w:r>
      <w:r w:rsidR="001B2296" w:rsidRPr="00851B0F">
        <w:rPr>
          <w:rFonts w:ascii="Times New Roman" w:hAnsi="Times New Roman"/>
          <w:b w:val="0"/>
          <w:u w:val="none"/>
        </w:rPr>
        <w:t xml:space="preserve"> </w:t>
      </w:r>
      <w:r w:rsidRPr="00851B0F">
        <w:rPr>
          <w:rFonts w:ascii="Times New Roman" w:hAnsi="Times New Roman"/>
          <w:b w:val="0"/>
          <w:u w:val="none"/>
        </w:rPr>
        <w:t>risk premium results are reasonable estimates of the Company</w:t>
      </w:r>
      <w:r w:rsidR="00823A67" w:rsidRPr="00851B0F">
        <w:rPr>
          <w:rFonts w:ascii="Times New Roman" w:hAnsi="Times New Roman"/>
          <w:b w:val="0"/>
          <w:u w:val="none"/>
        </w:rPr>
        <w:t>’</w:t>
      </w:r>
      <w:r w:rsidRPr="00851B0F">
        <w:rPr>
          <w:rFonts w:ascii="Times New Roman" w:hAnsi="Times New Roman"/>
          <w:b w:val="0"/>
          <w:u w:val="none"/>
        </w:rPr>
        <w:t>s market</w:t>
      </w:r>
      <w:r w:rsidR="00EC0853" w:rsidRPr="00851B0F">
        <w:rPr>
          <w:rFonts w:ascii="Times New Roman" w:hAnsi="Times New Roman"/>
          <w:b w:val="0"/>
          <w:u w:val="none"/>
        </w:rPr>
        <w:t>-</w:t>
      </w:r>
      <w:r w:rsidRPr="00851B0F">
        <w:rPr>
          <w:rFonts w:ascii="Times New Roman" w:hAnsi="Times New Roman"/>
          <w:b w:val="0"/>
          <w:u w:val="none"/>
        </w:rPr>
        <w:t>required COE</w:t>
      </w:r>
      <w:r w:rsidR="00E8096B" w:rsidRPr="00851B0F">
        <w:rPr>
          <w:rFonts w:ascii="Times New Roman" w:hAnsi="Times New Roman"/>
          <w:b w:val="0"/>
          <w:u w:val="none"/>
        </w:rPr>
        <w:t xml:space="preserve">.  </w:t>
      </w:r>
      <w:r w:rsidRPr="00851B0F">
        <w:rPr>
          <w:rFonts w:ascii="Times New Roman" w:hAnsi="Times New Roman"/>
          <w:b w:val="0"/>
          <w:u w:val="none"/>
        </w:rPr>
        <w:t>The data sources and the details of my COE studies are contained in Exhibit</w:t>
      </w:r>
      <w:r w:rsidR="001B2296" w:rsidRPr="00851B0F">
        <w:rPr>
          <w:rFonts w:ascii="Times New Roman" w:hAnsi="Times New Roman"/>
          <w:b w:val="0"/>
          <w:u w:val="none"/>
        </w:rPr>
        <w:t xml:space="preserve"> No.___(SCH-3</w:t>
      </w:r>
      <w:r w:rsidRPr="00851B0F">
        <w:rPr>
          <w:rFonts w:ascii="Times New Roman" w:hAnsi="Times New Roman"/>
          <w:b w:val="0"/>
          <w:u w:val="none"/>
        </w:rPr>
        <w:t xml:space="preserve">) through </w:t>
      </w:r>
      <w:r w:rsidR="001B2296" w:rsidRPr="00851B0F">
        <w:rPr>
          <w:rFonts w:ascii="Times New Roman" w:hAnsi="Times New Roman"/>
          <w:b w:val="0"/>
          <w:u w:val="none"/>
        </w:rPr>
        <w:t>Exhibit No.___(SCH-</w:t>
      </w:r>
      <w:r w:rsidR="00367E38" w:rsidRPr="00851B0F">
        <w:rPr>
          <w:rFonts w:ascii="Times New Roman" w:hAnsi="Times New Roman"/>
          <w:b w:val="0"/>
          <w:u w:val="none"/>
        </w:rPr>
        <w:t>8</w:t>
      </w:r>
      <w:r w:rsidRPr="00851B0F">
        <w:rPr>
          <w:rFonts w:ascii="Times New Roman" w:hAnsi="Times New Roman"/>
          <w:b w:val="0"/>
          <w:u w:val="none"/>
        </w:rPr>
        <w:t>).</w:t>
      </w:r>
    </w:p>
    <w:p w:rsidR="00B81099" w:rsidRPr="00851B0F" w:rsidRDefault="0037063A" w:rsidP="000A3D3A">
      <w:pPr>
        <w:pStyle w:val="BodyTextIndent"/>
        <w:keepNext/>
        <w:widowControl w:val="0"/>
        <w:spacing w:before="0"/>
        <w:rPr>
          <w:rFonts w:ascii="Times New Roman" w:hAnsi="Times New Roman"/>
          <w:b/>
        </w:rPr>
      </w:pPr>
      <w:r w:rsidRPr="00851B0F">
        <w:rPr>
          <w:rFonts w:ascii="Times New Roman" w:hAnsi="Times New Roman"/>
          <w:b/>
        </w:rPr>
        <w:t>Q.</w:t>
      </w:r>
      <w:r w:rsidRPr="00851B0F">
        <w:rPr>
          <w:rFonts w:ascii="Times New Roman" w:hAnsi="Times New Roman"/>
          <w:b/>
        </w:rPr>
        <w:tab/>
        <w:t>How is the remainder of your testimony organized?</w:t>
      </w:r>
    </w:p>
    <w:p w:rsidR="00B81099" w:rsidRPr="00851B0F" w:rsidRDefault="0037063A" w:rsidP="005D089C">
      <w:pPr>
        <w:pStyle w:val="BodyTextIndent"/>
        <w:spacing w:before="0"/>
        <w:jc w:val="left"/>
        <w:rPr>
          <w:rFonts w:ascii="Times New Roman" w:hAnsi="Times New Roman"/>
        </w:rPr>
      </w:pPr>
      <w:r w:rsidRPr="00851B0F">
        <w:rPr>
          <w:rFonts w:ascii="Times New Roman" w:hAnsi="Times New Roman"/>
        </w:rPr>
        <w:t>A.</w:t>
      </w:r>
      <w:r w:rsidRPr="00851B0F">
        <w:rPr>
          <w:rFonts w:ascii="Times New Roman" w:hAnsi="Times New Roman"/>
        </w:rPr>
        <w:tab/>
        <w:t>My testimony is divided into three additional sections</w:t>
      </w:r>
      <w:r w:rsidR="00E8096B" w:rsidRPr="00851B0F">
        <w:rPr>
          <w:rFonts w:ascii="Times New Roman" w:hAnsi="Times New Roman"/>
        </w:rPr>
        <w:t xml:space="preserve">.  </w:t>
      </w:r>
      <w:r w:rsidRPr="00851B0F">
        <w:rPr>
          <w:rFonts w:ascii="Times New Roman" w:hAnsi="Times New Roman"/>
        </w:rPr>
        <w:t>Following this introduction, I review general capital market costs and conditions and discuss recent developments in the electric utility industry that may affect the cost of capital</w:t>
      </w:r>
      <w:r w:rsidR="00E8096B" w:rsidRPr="00851B0F">
        <w:rPr>
          <w:rFonts w:ascii="Times New Roman" w:hAnsi="Times New Roman"/>
        </w:rPr>
        <w:t xml:space="preserve">.  </w:t>
      </w:r>
      <w:r w:rsidRPr="00851B0F">
        <w:rPr>
          <w:rFonts w:ascii="Times New Roman" w:hAnsi="Times New Roman"/>
        </w:rPr>
        <w:t xml:space="preserve">In the following section, I </w:t>
      </w:r>
      <w:r w:rsidR="00823A67" w:rsidRPr="00851B0F">
        <w:rPr>
          <w:rFonts w:ascii="Times New Roman" w:hAnsi="Times New Roman"/>
        </w:rPr>
        <w:t xml:space="preserve">discuss </w:t>
      </w:r>
      <w:r w:rsidRPr="00851B0F">
        <w:rPr>
          <w:rFonts w:ascii="Times New Roman" w:hAnsi="Times New Roman"/>
        </w:rPr>
        <w:t>various methods for estimating COE</w:t>
      </w:r>
      <w:r w:rsidR="00823A67" w:rsidRPr="00851B0F">
        <w:rPr>
          <w:rFonts w:ascii="Times New Roman" w:hAnsi="Times New Roman"/>
        </w:rPr>
        <w:t>, including</w:t>
      </w:r>
      <w:r w:rsidRPr="00851B0F">
        <w:rPr>
          <w:rFonts w:ascii="Times New Roman" w:hAnsi="Times New Roman"/>
        </w:rPr>
        <w:t xml:space="preserve"> comparable earnings methods, equity risk premium methods, and the </w:t>
      </w:r>
      <w:r w:rsidR="004A13A9">
        <w:rPr>
          <w:rFonts w:ascii="Times New Roman" w:hAnsi="Times New Roman"/>
        </w:rPr>
        <w:t>DCF</w:t>
      </w:r>
      <w:r w:rsidR="00E8096B" w:rsidRPr="00851B0F">
        <w:rPr>
          <w:rFonts w:ascii="Times New Roman" w:hAnsi="Times New Roman"/>
        </w:rPr>
        <w:t xml:space="preserve">.  </w:t>
      </w:r>
      <w:r w:rsidRPr="00851B0F">
        <w:rPr>
          <w:rFonts w:ascii="Times New Roman" w:hAnsi="Times New Roman"/>
        </w:rPr>
        <w:t xml:space="preserve">In the final section, I apply the DCF and risk premium models to estimate </w:t>
      </w:r>
      <w:r w:rsidR="00321720" w:rsidRPr="00851B0F">
        <w:rPr>
          <w:rFonts w:ascii="Times New Roman" w:hAnsi="Times New Roman"/>
        </w:rPr>
        <w:t>the Company</w:t>
      </w:r>
      <w:r w:rsidR="00823A67" w:rsidRPr="00851B0F">
        <w:rPr>
          <w:rFonts w:ascii="Times New Roman" w:hAnsi="Times New Roman"/>
        </w:rPr>
        <w:t>’</w:t>
      </w:r>
      <w:r w:rsidR="00321720" w:rsidRPr="00851B0F">
        <w:rPr>
          <w:rFonts w:ascii="Times New Roman" w:hAnsi="Times New Roman"/>
        </w:rPr>
        <w:t xml:space="preserve">s </w:t>
      </w:r>
      <w:r w:rsidR="001B2296" w:rsidRPr="00851B0F">
        <w:rPr>
          <w:rFonts w:ascii="Times New Roman" w:hAnsi="Times New Roman"/>
        </w:rPr>
        <w:t>COE</w:t>
      </w:r>
      <w:r w:rsidR="00823A67" w:rsidRPr="00851B0F">
        <w:rPr>
          <w:rFonts w:ascii="Times New Roman" w:hAnsi="Times New Roman"/>
        </w:rPr>
        <w:t>,</w:t>
      </w:r>
      <w:r w:rsidRPr="00851B0F">
        <w:rPr>
          <w:rFonts w:ascii="Times New Roman" w:hAnsi="Times New Roman"/>
        </w:rPr>
        <w:t xml:space="preserve"> I discuss the details of my COE studies</w:t>
      </w:r>
      <w:r w:rsidR="00823A67" w:rsidRPr="00851B0F">
        <w:rPr>
          <w:rFonts w:ascii="Times New Roman" w:hAnsi="Times New Roman"/>
        </w:rPr>
        <w:t>,</w:t>
      </w:r>
      <w:r w:rsidRPr="00851B0F">
        <w:rPr>
          <w:rFonts w:ascii="Times New Roman" w:hAnsi="Times New Roman"/>
        </w:rPr>
        <w:t xml:space="preserve"> and I </w:t>
      </w:r>
      <w:r w:rsidR="009F244E" w:rsidRPr="00851B0F">
        <w:rPr>
          <w:rFonts w:ascii="Times New Roman" w:hAnsi="Times New Roman"/>
        </w:rPr>
        <w:t>summarize my ROE recommendation</w:t>
      </w:r>
      <w:r w:rsidRPr="00851B0F">
        <w:rPr>
          <w:rFonts w:ascii="Times New Roman" w:hAnsi="Times New Roman"/>
        </w:rPr>
        <w:t>.</w:t>
      </w:r>
    </w:p>
    <w:p w:rsidR="00B81099" w:rsidRPr="00851B0F" w:rsidRDefault="0037063A" w:rsidP="008572AF">
      <w:pPr>
        <w:pStyle w:val="Heading5"/>
        <w:keepNext w:val="0"/>
        <w:keepLines w:val="0"/>
        <w:jc w:val="both"/>
        <w:rPr>
          <w:u w:val="none"/>
        </w:rPr>
      </w:pPr>
      <w:r w:rsidRPr="00851B0F">
        <w:rPr>
          <w:u w:val="none"/>
        </w:rPr>
        <w:t xml:space="preserve">Fundamental Factors </w:t>
      </w:r>
      <w:r w:rsidR="006443D1" w:rsidRPr="00851B0F">
        <w:rPr>
          <w:u w:val="none"/>
        </w:rPr>
        <w:t>t</w:t>
      </w:r>
      <w:r w:rsidRPr="00851B0F">
        <w:rPr>
          <w:u w:val="none"/>
        </w:rPr>
        <w:t>hat Affect the Cost of Equity</w:t>
      </w:r>
    </w:p>
    <w:p w:rsidR="00B81099" w:rsidRPr="00851B0F" w:rsidRDefault="0037063A" w:rsidP="008572AF">
      <w:pPr>
        <w:pStyle w:val="BodyTextIndent2"/>
        <w:spacing w:before="0"/>
        <w:rPr>
          <w:rFonts w:ascii="Times New Roman" w:hAnsi="Times New Roman"/>
        </w:rPr>
      </w:pPr>
      <w:r w:rsidRPr="00851B0F">
        <w:rPr>
          <w:rFonts w:ascii="Times New Roman" w:hAnsi="Times New Roman"/>
        </w:rPr>
        <w:t>Q.</w:t>
      </w:r>
      <w:r w:rsidRPr="00851B0F">
        <w:rPr>
          <w:rFonts w:ascii="Times New Roman" w:hAnsi="Times New Roman"/>
        </w:rPr>
        <w:tab/>
        <w:t>What is the current outlook for the U.S. economy?</w:t>
      </w:r>
    </w:p>
    <w:p w:rsidR="00167998" w:rsidRPr="00851B0F" w:rsidRDefault="0037063A" w:rsidP="00167998">
      <w:pPr>
        <w:jc w:val="left"/>
        <w:rPr>
          <w:rFonts w:ascii="Times New Roman" w:hAnsi="Times New Roman"/>
        </w:rPr>
      </w:pPr>
      <w:r w:rsidRPr="00851B0F">
        <w:rPr>
          <w:rFonts w:ascii="Times New Roman" w:hAnsi="Times New Roman"/>
        </w:rPr>
        <w:t>A.</w:t>
      </w:r>
      <w:r w:rsidRPr="00851B0F">
        <w:rPr>
          <w:rFonts w:ascii="Times New Roman" w:hAnsi="Times New Roman"/>
        </w:rPr>
        <w:tab/>
      </w:r>
      <w:r w:rsidRPr="00851B0F">
        <w:rPr>
          <w:rFonts w:ascii="Times New Roman" w:hAnsi="Times New Roman"/>
          <w:szCs w:val="24"/>
        </w:rPr>
        <w:t xml:space="preserve">Growth for the U.S. economy </w:t>
      </w:r>
      <w:r w:rsidR="009F244E" w:rsidRPr="00851B0F">
        <w:rPr>
          <w:rFonts w:ascii="Times New Roman" w:hAnsi="Times New Roman"/>
          <w:szCs w:val="24"/>
        </w:rPr>
        <w:t xml:space="preserve">is improving but </w:t>
      </w:r>
      <w:r w:rsidRPr="00851B0F">
        <w:rPr>
          <w:rFonts w:ascii="Times New Roman" w:hAnsi="Times New Roman"/>
          <w:szCs w:val="24"/>
        </w:rPr>
        <w:t>is expected to remain slow in the near term</w:t>
      </w:r>
      <w:r w:rsidR="00E8096B" w:rsidRPr="00851B0F">
        <w:rPr>
          <w:rFonts w:ascii="Times New Roman" w:hAnsi="Times New Roman"/>
          <w:szCs w:val="24"/>
        </w:rPr>
        <w:t xml:space="preserve">.  </w:t>
      </w:r>
      <w:r w:rsidRPr="00851B0F">
        <w:rPr>
          <w:rFonts w:ascii="Times New Roman" w:hAnsi="Times New Roman"/>
          <w:szCs w:val="24"/>
        </w:rPr>
        <w:t xml:space="preserve">While most economists expect </w:t>
      </w:r>
      <w:r w:rsidR="00AB099C" w:rsidRPr="00851B0F">
        <w:rPr>
          <w:rFonts w:ascii="Times New Roman" w:hAnsi="Times New Roman"/>
          <w:szCs w:val="24"/>
        </w:rPr>
        <w:t xml:space="preserve">the </w:t>
      </w:r>
      <w:r w:rsidRPr="00851B0F">
        <w:rPr>
          <w:rFonts w:ascii="Times New Roman" w:hAnsi="Times New Roman"/>
          <w:szCs w:val="24"/>
        </w:rPr>
        <w:t xml:space="preserve">growth </w:t>
      </w:r>
      <w:r w:rsidR="00AB099C" w:rsidRPr="00851B0F">
        <w:rPr>
          <w:rFonts w:ascii="Times New Roman" w:hAnsi="Times New Roman"/>
          <w:szCs w:val="24"/>
        </w:rPr>
        <w:t xml:space="preserve">rate </w:t>
      </w:r>
      <w:r w:rsidRPr="00851B0F">
        <w:rPr>
          <w:rFonts w:ascii="Times New Roman" w:hAnsi="Times New Roman"/>
          <w:szCs w:val="24"/>
        </w:rPr>
        <w:t xml:space="preserve">to </w:t>
      </w:r>
      <w:r w:rsidR="005D34CE" w:rsidRPr="00851B0F">
        <w:rPr>
          <w:rFonts w:ascii="Times New Roman" w:hAnsi="Times New Roman"/>
          <w:szCs w:val="24"/>
        </w:rPr>
        <w:t>be</w:t>
      </w:r>
      <w:r w:rsidRPr="00851B0F">
        <w:rPr>
          <w:rFonts w:ascii="Times New Roman" w:hAnsi="Times New Roman"/>
          <w:szCs w:val="24"/>
        </w:rPr>
        <w:t xml:space="preserve"> positive, unemployment is also expected to remain stubbornly high </w:t>
      </w:r>
      <w:r w:rsidR="005D34CE" w:rsidRPr="00851B0F">
        <w:rPr>
          <w:rFonts w:ascii="Times New Roman" w:hAnsi="Times New Roman"/>
          <w:szCs w:val="24"/>
        </w:rPr>
        <w:t>near</w:t>
      </w:r>
      <w:r w:rsidRPr="00851B0F">
        <w:rPr>
          <w:rFonts w:ascii="Times New Roman" w:hAnsi="Times New Roman"/>
          <w:szCs w:val="24"/>
        </w:rPr>
        <w:t xml:space="preserve"> the </w:t>
      </w:r>
      <w:r w:rsidR="00823A67" w:rsidRPr="00851B0F">
        <w:rPr>
          <w:rFonts w:ascii="Times New Roman" w:hAnsi="Times New Roman"/>
          <w:szCs w:val="24"/>
        </w:rPr>
        <w:t>eight</w:t>
      </w:r>
      <w:r w:rsidRPr="00851B0F">
        <w:rPr>
          <w:rFonts w:ascii="Times New Roman" w:hAnsi="Times New Roman"/>
          <w:szCs w:val="24"/>
        </w:rPr>
        <w:t xml:space="preserve"> percent range</w:t>
      </w:r>
      <w:r w:rsidR="00E8096B" w:rsidRPr="00851B0F">
        <w:rPr>
          <w:rFonts w:ascii="Times New Roman" w:hAnsi="Times New Roman"/>
          <w:szCs w:val="24"/>
        </w:rPr>
        <w:t xml:space="preserve">.  </w:t>
      </w:r>
      <w:r w:rsidRPr="00851B0F">
        <w:rPr>
          <w:rFonts w:ascii="Times New Roman" w:hAnsi="Times New Roman"/>
          <w:szCs w:val="24"/>
        </w:rPr>
        <w:t xml:space="preserve">Forecasts for </w:t>
      </w:r>
      <w:r w:rsidR="001B2296" w:rsidRPr="00851B0F">
        <w:rPr>
          <w:rFonts w:ascii="Times New Roman" w:hAnsi="Times New Roman"/>
          <w:szCs w:val="24"/>
        </w:rPr>
        <w:t>2013</w:t>
      </w:r>
      <w:r w:rsidRPr="00851B0F">
        <w:rPr>
          <w:rFonts w:ascii="Times New Roman" w:hAnsi="Times New Roman"/>
          <w:szCs w:val="24"/>
        </w:rPr>
        <w:t xml:space="preserve"> </w:t>
      </w:r>
      <w:r w:rsidR="005D34CE" w:rsidRPr="00851B0F">
        <w:rPr>
          <w:rFonts w:ascii="Times New Roman" w:hAnsi="Times New Roman"/>
          <w:szCs w:val="24"/>
        </w:rPr>
        <w:t xml:space="preserve">and beyond </w:t>
      </w:r>
      <w:r w:rsidRPr="00851B0F">
        <w:rPr>
          <w:rFonts w:ascii="Times New Roman" w:hAnsi="Times New Roman"/>
          <w:szCs w:val="24"/>
        </w:rPr>
        <w:t>indicate continuing recovery</w:t>
      </w:r>
      <w:r w:rsidR="009F244E" w:rsidRPr="00851B0F">
        <w:rPr>
          <w:rFonts w:ascii="Times New Roman" w:hAnsi="Times New Roman"/>
          <w:szCs w:val="24"/>
        </w:rPr>
        <w:t>,</w:t>
      </w:r>
      <w:r w:rsidRPr="00851B0F">
        <w:rPr>
          <w:rFonts w:ascii="Times New Roman" w:hAnsi="Times New Roman"/>
          <w:szCs w:val="24"/>
        </w:rPr>
        <w:t xml:space="preserve"> with new job creation a fundamental concern</w:t>
      </w:r>
      <w:r w:rsidR="00E8096B" w:rsidRPr="00851B0F">
        <w:rPr>
          <w:rFonts w:ascii="Times New Roman" w:hAnsi="Times New Roman"/>
          <w:szCs w:val="24"/>
        </w:rPr>
        <w:t xml:space="preserve">.  </w:t>
      </w:r>
      <w:r w:rsidR="00D01227" w:rsidRPr="00851B0F">
        <w:rPr>
          <w:rFonts w:ascii="Times New Roman" w:hAnsi="Times New Roman"/>
          <w:szCs w:val="24"/>
        </w:rPr>
        <w:t>Based on these conditions, the Fed has</w:t>
      </w:r>
      <w:r w:rsidR="006443D1" w:rsidRPr="00851B0F">
        <w:rPr>
          <w:rFonts w:ascii="Times New Roman" w:hAnsi="Times New Roman"/>
          <w:szCs w:val="24"/>
        </w:rPr>
        <w:t xml:space="preserve"> </w:t>
      </w:r>
      <w:r w:rsidR="00D01227" w:rsidRPr="00851B0F">
        <w:rPr>
          <w:rFonts w:ascii="Times New Roman" w:hAnsi="Times New Roman"/>
          <w:szCs w:val="24"/>
        </w:rPr>
        <w:t>announced its intention to keep interest rates at their current historically low levels</w:t>
      </w:r>
      <w:r w:rsidR="00C13ECB" w:rsidRPr="00851B0F">
        <w:rPr>
          <w:rFonts w:ascii="Times New Roman" w:hAnsi="Times New Roman"/>
          <w:szCs w:val="24"/>
        </w:rPr>
        <w:t>.</w:t>
      </w:r>
      <w:r w:rsidR="00117F09" w:rsidRPr="00851B0F">
        <w:rPr>
          <w:rStyle w:val="FootnoteReference"/>
          <w:szCs w:val="24"/>
        </w:rPr>
        <w:footnoteReference w:id="1"/>
      </w:r>
    </w:p>
    <w:p w:rsidR="00997B81" w:rsidRPr="00851B0F" w:rsidRDefault="0037063A">
      <w:pPr>
        <w:pStyle w:val="BodyTextIndent2"/>
        <w:keepNext/>
        <w:spacing w:before="0"/>
        <w:jc w:val="left"/>
        <w:rPr>
          <w:rFonts w:ascii="Times New Roman" w:hAnsi="Times New Roman"/>
        </w:rPr>
      </w:pPr>
      <w:r w:rsidRPr="00851B0F">
        <w:rPr>
          <w:rFonts w:ascii="Times New Roman" w:hAnsi="Times New Roman"/>
        </w:rPr>
        <w:t>Q.</w:t>
      </w:r>
      <w:r w:rsidRPr="00851B0F">
        <w:rPr>
          <w:rFonts w:ascii="Times New Roman" w:hAnsi="Times New Roman"/>
        </w:rPr>
        <w:tab/>
        <w:t xml:space="preserve">What has been the experience in the U.S. capital markets for the past </w:t>
      </w:r>
      <w:r w:rsidR="00AB099C" w:rsidRPr="00851B0F">
        <w:rPr>
          <w:rFonts w:ascii="Times New Roman" w:hAnsi="Times New Roman"/>
        </w:rPr>
        <w:t>ten</w:t>
      </w:r>
      <w:r w:rsidRPr="00851B0F">
        <w:rPr>
          <w:rFonts w:ascii="Times New Roman" w:hAnsi="Times New Roman"/>
        </w:rPr>
        <w:t xml:space="preserve"> years?</w:t>
      </w:r>
    </w:p>
    <w:p w:rsidR="00B81099" w:rsidRPr="00851B0F" w:rsidRDefault="0037063A" w:rsidP="00734C05">
      <w:pPr>
        <w:jc w:val="left"/>
        <w:rPr>
          <w:rFonts w:ascii="Times New Roman" w:hAnsi="Times New Roman"/>
        </w:rPr>
      </w:pPr>
      <w:r w:rsidRPr="00851B0F">
        <w:rPr>
          <w:rFonts w:ascii="Times New Roman" w:hAnsi="Times New Roman"/>
        </w:rPr>
        <w:t>A.</w:t>
      </w:r>
      <w:r w:rsidRPr="00851B0F">
        <w:rPr>
          <w:rFonts w:ascii="Times New Roman" w:hAnsi="Times New Roman"/>
          <w:b/>
        </w:rPr>
        <w:tab/>
      </w:r>
      <w:r w:rsidRPr="00851B0F">
        <w:rPr>
          <w:rFonts w:ascii="Times New Roman" w:hAnsi="Times New Roman"/>
        </w:rPr>
        <w:t xml:space="preserve">In Exhibit </w:t>
      </w:r>
      <w:r w:rsidR="005D34CE" w:rsidRPr="00851B0F">
        <w:rPr>
          <w:rFonts w:ascii="Times New Roman" w:hAnsi="Times New Roman"/>
        </w:rPr>
        <w:t>No.</w:t>
      </w:r>
      <w:r w:rsidRPr="00851B0F">
        <w:rPr>
          <w:rFonts w:ascii="Times New Roman" w:hAnsi="Times New Roman"/>
        </w:rPr>
        <w:t>___(SCH-</w:t>
      </w:r>
      <w:r w:rsidR="00625DB1" w:rsidRPr="00851B0F">
        <w:rPr>
          <w:rFonts w:ascii="Times New Roman" w:hAnsi="Times New Roman"/>
        </w:rPr>
        <w:t>4</w:t>
      </w:r>
      <w:r w:rsidRPr="00851B0F">
        <w:rPr>
          <w:rFonts w:ascii="Times New Roman" w:hAnsi="Times New Roman"/>
        </w:rPr>
        <w:t>), page 1, I provide a 10-year review of annual interest rates and rates of inflation</w:t>
      </w:r>
      <w:r w:rsidR="00E8096B" w:rsidRPr="00851B0F">
        <w:rPr>
          <w:rFonts w:ascii="Times New Roman" w:hAnsi="Times New Roman"/>
        </w:rPr>
        <w:t xml:space="preserve">.  </w:t>
      </w:r>
      <w:r w:rsidR="00AB099C" w:rsidRPr="00851B0F">
        <w:rPr>
          <w:rFonts w:ascii="Times New Roman" w:hAnsi="Times New Roman"/>
        </w:rPr>
        <w:t>Although corporate interest rates rose somewhat in the 2006</w:t>
      </w:r>
      <w:r w:rsidR="004A13A9">
        <w:rPr>
          <w:rFonts w:ascii="Times New Roman" w:hAnsi="Times New Roman"/>
        </w:rPr>
        <w:t>–</w:t>
      </w:r>
      <w:r w:rsidR="00AB099C" w:rsidRPr="00851B0F">
        <w:rPr>
          <w:rFonts w:ascii="Times New Roman" w:hAnsi="Times New Roman"/>
        </w:rPr>
        <w:t>2008 period, d</w:t>
      </w:r>
      <w:r w:rsidRPr="00851B0F">
        <w:rPr>
          <w:rFonts w:ascii="Times New Roman" w:hAnsi="Times New Roman"/>
        </w:rPr>
        <w:t xml:space="preserve">uring this time, interest rates and inflation </w:t>
      </w:r>
      <w:r w:rsidR="00AB099C" w:rsidRPr="00851B0F">
        <w:rPr>
          <w:rFonts w:ascii="Times New Roman" w:hAnsi="Times New Roman"/>
        </w:rPr>
        <w:t xml:space="preserve">have </w:t>
      </w:r>
      <w:r w:rsidRPr="00851B0F">
        <w:rPr>
          <w:rFonts w:ascii="Times New Roman" w:hAnsi="Times New Roman"/>
        </w:rPr>
        <w:t xml:space="preserve">generally </w:t>
      </w:r>
      <w:r w:rsidR="00AB099C" w:rsidRPr="00851B0F">
        <w:rPr>
          <w:rFonts w:ascii="Times New Roman" w:hAnsi="Times New Roman"/>
        </w:rPr>
        <w:t xml:space="preserve">declined to lower levels than existed in </w:t>
      </w:r>
      <w:r w:rsidRPr="00851B0F">
        <w:rPr>
          <w:rFonts w:ascii="Times New Roman" w:hAnsi="Times New Roman"/>
        </w:rPr>
        <w:t>the previous decade</w:t>
      </w:r>
      <w:r w:rsidR="00E8096B" w:rsidRPr="00851B0F">
        <w:rPr>
          <w:rFonts w:ascii="Times New Roman" w:hAnsi="Times New Roman"/>
        </w:rPr>
        <w:t xml:space="preserve">.  </w:t>
      </w:r>
      <w:r w:rsidRPr="00851B0F">
        <w:rPr>
          <w:rFonts w:ascii="Times New Roman" w:hAnsi="Times New Roman"/>
        </w:rPr>
        <w:t xml:space="preserve">Inflation, as measured by the Consumer Price Index (CPI), </w:t>
      </w:r>
      <w:r w:rsidR="00AB099C" w:rsidRPr="00851B0F">
        <w:rPr>
          <w:rFonts w:ascii="Times New Roman" w:hAnsi="Times New Roman"/>
        </w:rPr>
        <w:t xml:space="preserve">has </w:t>
      </w:r>
      <w:r w:rsidRPr="00851B0F">
        <w:rPr>
          <w:rFonts w:ascii="Times New Roman" w:hAnsi="Times New Roman"/>
        </w:rPr>
        <w:t xml:space="preserve">fluctuated between a low of zero percent (in 2008) and 4.1 percent </w:t>
      </w:r>
      <w:r w:rsidR="00AB099C" w:rsidRPr="00851B0F">
        <w:rPr>
          <w:rFonts w:ascii="Times New Roman" w:hAnsi="Times New Roman"/>
        </w:rPr>
        <w:t xml:space="preserve">in 2007 </w:t>
      </w:r>
      <w:r w:rsidRPr="00851B0F">
        <w:rPr>
          <w:rFonts w:ascii="Times New Roman" w:hAnsi="Times New Roman"/>
        </w:rPr>
        <w:t xml:space="preserve">(caused by the spike in energy costs that occurred in </w:t>
      </w:r>
      <w:r w:rsidR="00AB099C" w:rsidRPr="00851B0F">
        <w:rPr>
          <w:rFonts w:ascii="Times New Roman" w:hAnsi="Times New Roman"/>
        </w:rPr>
        <w:t>during that year</w:t>
      </w:r>
      <w:r w:rsidRPr="00851B0F">
        <w:rPr>
          <w:rFonts w:ascii="Times New Roman" w:hAnsi="Times New Roman"/>
        </w:rPr>
        <w:t>)</w:t>
      </w:r>
      <w:r w:rsidR="00E8096B" w:rsidRPr="00851B0F">
        <w:rPr>
          <w:rFonts w:ascii="Times New Roman" w:hAnsi="Times New Roman"/>
        </w:rPr>
        <w:t xml:space="preserve">.  </w:t>
      </w:r>
      <w:r w:rsidRPr="00851B0F">
        <w:rPr>
          <w:rFonts w:ascii="Times New Roman" w:hAnsi="Times New Roman"/>
        </w:rPr>
        <w:t>The decade</w:t>
      </w:r>
      <w:r w:rsidR="00823A67" w:rsidRPr="00851B0F">
        <w:rPr>
          <w:rFonts w:ascii="Times New Roman" w:hAnsi="Times New Roman"/>
        </w:rPr>
        <w:t>’</w:t>
      </w:r>
      <w:r w:rsidRPr="00851B0F">
        <w:rPr>
          <w:rFonts w:ascii="Times New Roman" w:hAnsi="Times New Roman"/>
        </w:rPr>
        <w:t xml:space="preserve">s average annual inflation rate (2.4 percent) was approximately 100 basis points lower than the longer-term average rate of the past 60 years (see Exhibit </w:t>
      </w:r>
      <w:r w:rsidR="005D34CE" w:rsidRPr="00851B0F">
        <w:rPr>
          <w:rFonts w:ascii="Times New Roman" w:hAnsi="Times New Roman"/>
        </w:rPr>
        <w:t>No.___(SCH-</w:t>
      </w:r>
      <w:r w:rsidR="00367E38" w:rsidRPr="00851B0F">
        <w:rPr>
          <w:rFonts w:ascii="Times New Roman" w:hAnsi="Times New Roman"/>
        </w:rPr>
        <w:t>6</w:t>
      </w:r>
      <w:r w:rsidRPr="00851B0F">
        <w:rPr>
          <w:rFonts w:ascii="Times New Roman" w:hAnsi="Times New Roman"/>
        </w:rPr>
        <w:t>)</w:t>
      </w:r>
      <w:r w:rsidR="006443D1" w:rsidRPr="00851B0F">
        <w:rPr>
          <w:rFonts w:ascii="Times New Roman" w:hAnsi="Times New Roman"/>
        </w:rPr>
        <w:t>)</w:t>
      </w:r>
      <w:r w:rsidR="00E8096B" w:rsidRPr="00851B0F">
        <w:rPr>
          <w:rFonts w:ascii="Times New Roman" w:hAnsi="Times New Roman"/>
        </w:rPr>
        <w:t xml:space="preserve">.  </w:t>
      </w:r>
      <w:r w:rsidRPr="00851B0F">
        <w:rPr>
          <w:rFonts w:ascii="Times New Roman" w:hAnsi="Times New Roman"/>
        </w:rPr>
        <w:t xml:space="preserve">Interest rates </w:t>
      </w:r>
      <w:r w:rsidR="00AB099C" w:rsidRPr="00851B0F">
        <w:rPr>
          <w:rFonts w:ascii="Times New Roman" w:hAnsi="Times New Roman"/>
        </w:rPr>
        <w:t xml:space="preserve">generally </w:t>
      </w:r>
      <w:r w:rsidRPr="00851B0F">
        <w:rPr>
          <w:rFonts w:ascii="Times New Roman" w:hAnsi="Times New Roman"/>
        </w:rPr>
        <w:t>declined over m</w:t>
      </w:r>
      <w:r w:rsidR="005D34CE" w:rsidRPr="00851B0F">
        <w:rPr>
          <w:rFonts w:ascii="Times New Roman" w:hAnsi="Times New Roman"/>
        </w:rPr>
        <w:t xml:space="preserve">ost of the period, with the 2011 </w:t>
      </w:r>
      <w:r w:rsidRPr="00851B0F">
        <w:rPr>
          <w:rFonts w:ascii="Times New Roman" w:hAnsi="Times New Roman"/>
        </w:rPr>
        <w:t xml:space="preserve">average utility rate at its lowest level in more than 30 years (see Exhibit </w:t>
      </w:r>
      <w:r w:rsidR="005D34CE" w:rsidRPr="00851B0F">
        <w:rPr>
          <w:rFonts w:ascii="Times New Roman" w:hAnsi="Times New Roman"/>
        </w:rPr>
        <w:t xml:space="preserve">No. </w:t>
      </w:r>
      <w:r w:rsidRPr="00851B0F">
        <w:rPr>
          <w:rFonts w:ascii="Times New Roman" w:hAnsi="Times New Roman"/>
        </w:rPr>
        <w:t>___(SCH-</w:t>
      </w:r>
      <w:r w:rsidR="000A3D3A" w:rsidRPr="00851B0F">
        <w:rPr>
          <w:rFonts w:ascii="Times New Roman" w:hAnsi="Times New Roman"/>
        </w:rPr>
        <w:t>8</w:t>
      </w:r>
      <w:r w:rsidRPr="00851B0F">
        <w:rPr>
          <w:rFonts w:ascii="Times New Roman" w:hAnsi="Times New Roman"/>
        </w:rPr>
        <w:t>), page 1).</w:t>
      </w:r>
    </w:p>
    <w:p w:rsidR="00B81099" w:rsidRPr="00851B0F" w:rsidRDefault="0037063A" w:rsidP="00734C05">
      <w:pPr>
        <w:jc w:val="left"/>
        <w:rPr>
          <w:rFonts w:ascii="Times New Roman" w:hAnsi="Times New Roman"/>
          <w:b/>
        </w:rPr>
      </w:pPr>
      <w:r w:rsidRPr="00851B0F">
        <w:rPr>
          <w:rFonts w:ascii="Times New Roman" w:hAnsi="Times New Roman"/>
          <w:b/>
        </w:rPr>
        <w:t>Q.</w:t>
      </w:r>
      <w:r w:rsidRPr="00851B0F">
        <w:rPr>
          <w:rFonts w:ascii="Times New Roman" w:hAnsi="Times New Roman"/>
          <w:b/>
        </w:rPr>
        <w:tab/>
        <w:t>What has been the more recent trend in long-term interest rates?</w:t>
      </w:r>
    </w:p>
    <w:p w:rsidR="00B81099" w:rsidRPr="00851B0F" w:rsidRDefault="0037063A" w:rsidP="00734C05">
      <w:pPr>
        <w:widowControl w:val="0"/>
        <w:jc w:val="left"/>
        <w:rPr>
          <w:rFonts w:ascii="Times New Roman" w:hAnsi="Times New Roman"/>
        </w:rPr>
      </w:pPr>
      <w:r w:rsidRPr="00851B0F">
        <w:rPr>
          <w:rFonts w:ascii="Times New Roman" w:hAnsi="Times New Roman"/>
        </w:rPr>
        <w:t>A.</w:t>
      </w:r>
      <w:r w:rsidRPr="00851B0F">
        <w:rPr>
          <w:rFonts w:ascii="Times New Roman" w:hAnsi="Times New Roman"/>
        </w:rPr>
        <w:tab/>
        <w:t xml:space="preserve">The month-by-month interest rate data for the </w:t>
      </w:r>
      <w:r w:rsidR="004A13A9">
        <w:rPr>
          <w:rFonts w:ascii="Times New Roman" w:hAnsi="Times New Roman"/>
        </w:rPr>
        <w:t>past three</w:t>
      </w:r>
      <w:r w:rsidR="00625DB1" w:rsidRPr="00851B0F">
        <w:rPr>
          <w:rFonts w:ascii="Times New Roman" w:hAnsi="Times New Roman"/>
        </w:rPr>
        <w:t xml:space="preserve"> years</w:t>
      </w:r>
      <w:r w:rsidRPr="00851B0F">
        <w:rPr>
          <w:rFonts w:ascii="Times New Roman" w:hAnsi="Times New Roman"/>
        </w:rPr>
        <w:t xml:space="preserve"> are presented in Exhibit </w:t>
      </w:r>
      <w:r w:rsidR="00625DB1" w:rsidRPr="00851B0F">
        <w:rPr>
          <w:rFonts w:ascii="Times New Roman" w:hAnsi="Times New Roman"/>
        </w:rPr>
        <w:t>No.</w:t>
      </w:r>
      <w:r w:rsidRPr="00851B0F">
        <w:rPr>
          <w:rFonts w:ascii="Times New Roman" w:hAnsi="Times New Roman"/>
        </w:rPr>
        <w:t>___(SCH-</w:t>
      </w:r>
      <w:r w:rsidR="00625DB1" w:rsidRPr="00851B0F">
        <w:rPr>
          <w:rFonts w:ascii="Times New Roman" w:hAnsi="Times New Roman"/>
        </w:rPr>
        <w:t>4</w:t>
      </w:r>
      <w:r w:rsidRPr="00851B0F">
        <w:rPr>
          <w:rFonts w:ascii="Times New Roman" w:hAnsi="Times New Roman"/>
        </w:rPr>
        <w:t>), page 2, and summarized below:</w:t>
      </w:r>
    </w:p>
    <w:p w:rsidR="00167998" w:rsidRPr="00851B0F" w:rsidRDefault="006D0EF3" w:rsidP="00167998">
      <w:pPr>
        <w:pStyle w:val="FootnoteText"/>
        <w:suppressLineNumbers/>
        <w:ind w:firstLine="720"/>
        <w:rPr>
          <w:sz w:val="24"/>
          <w:szCs w:val="24"/>
        </w:rPr>
      </w:pPr>
      <w:r w:rsidRPr="00851B0F">
        <w:rPr>
          <w:noProof/>
          <w:sz w:val="24"/>
          <w:szCs w:val="24"/>
        </w:rPr>
        <w:drawing>
          <wp:inline distT="0" distB="0" distL="0" distR="0">
            <wp:extent cx="4541520" cy="816102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541520" cy="8161020"/>
                    </a:xfrm>
                    <a:prstGeom prst="rect">
                      <a:avLst/>
                    </a:prstGeom>
                    <a:noFill/>
                    <a:ln w="9525">
                      <a:noFill/>
                      <a:miter lim="800000"/>
                      <a:headEnd/>
                      <a:tailEnd/>
                    </a:ln>
                  </pic:spPr>
                </pic:pic>
              </a:graphicData>
            </a:graphic>
          </wp:inline>
        </w:drawing>
      </w:r>
    </w:p>
    <w:p w:rsidR="00B73638" w:rsidRPr="00851B0F" w:rsidRDefault="0037063A" w:rsidP="005D34CE">
      <w:pPr>
        <w:pStyle w:val="FootnoteText"/>
        <w:ind w:firstLine="0"/>
        <w:rPr>
          <w:sz w:val="24"/>
          <w:szCs w:val="24"/>
        </w:rPr>
      </w:pPr>
      <w:r w:rsidRPr="00851B0F">
        <w:rPr>
          <w:sz w:val="24"/>
          <w:szCs w:val="24"/>
        </w:rPr>
        <w:t xml:space="preserve">The data in Table 1 track the steady </w:t>
      </w:r>
      <w:r w:rsidR="009F244E" w:rsidRPr="00851B0F">
        <w:rPr>
          <w:sz w:val="24"/>
          <w:szCs w:val="24"/>
        </w:rPr>
        <w:t>interest rate</w:t>
      </w:r>
      <w:r w:rsidRPr="00851B0F">
        <w:rPr>
          <w:sz w:val="24"/>
          <w:szCs w:val="24"/>
        </w:rPr>
        <w:t xml:space="preserve"> since 20</w:t>
      </w:r>
      <w:r w:rsidR="003E64BD" w:rsidRPr="00851B0F">
        <w:rPr>
          <w:sz w:val="24"/>
          <w:szCs w:val="24"/>
        </w:rPr>
        <w:t>10</w:t>
      </w:r>
      <w:r w:rsidR="00B0206D" w:rsidRPr="00851B0F">
        <w:rPr>
          <w:sz w:val="24"/>
          <w:szCs w:val="24"/>
        </w:rPr>
        <w:t>.</w:t>
      </w:r>
      <w:r w:rsidR="00E8096B" w:rsidRPr="00851B0F">
        <w:rPr>
          <w:sz w:val="24"/>
          <w:szCs w:val="24"/>
        </w:rPr>
        <w:t xml:space="preserve">  </w:t>
      </w:r>
      <w:r w:rsidRPr="00851B0F">
        <w:rPr>
          <w:sz w:val="24"/>
          <w:szCs w:val="24"/>
        </w:rPr>
        <w:t>The Fed</w:t>
      </w:r>
      <w:r w:rsidR="00823A67" w:rsidRPr="00851B0F">
        <w:rPr>
          <w:sz w:val="24"/>
          <w:szCs w:val="24"/>
        </w:rPr>
        <w:t>’</w:t>
      </w:r>
      <w:r w:rsidR="009F244E" w:rsidRPr="00851B0F">
        <w:rPr>
          <w:sz w:val="24"/>
          <w:szCs w:val="24"/>
        </w:rPr>
        <w:t>s</w:t>
      </w:r>
      <w:r w:rsidRPr="00851B0F">
        <w:rPr>
          <w:sz w:val="24"/>
          <w:szCs w:val="24"/>
        </w:rPr>
        <w:t xml:space="preserve"> continuing intervention in the financial markets</w:t>
      </w:r>
      <w:r w:rsidR="006443D1" w:rsidRPr="00851B0F">
        <w:rPr>
          <w:sz w:val="24"/>
          <w:szCs w:val="24"/>
        </w:rPr>
        <w:t>,</w:t>
      </w:r>
      <w:r w:rsidRPr="00851B0F">
        <w:rPr>
          <w:sz w:val="24"/>
          <w:szCs w:val="24"/>
        </w:rPr>
        <w:t xml:space="preserve"> and its efforts to keep short-term rates near zero and rates on longer-term U.S. Treasury bonds at historically low levels</w:t>
      </w:r>
      <w:r w:rsidR="006443D1" w:rsidRPr="00851B0F">
        <w:rPr>
          <w:sz w:val="24"/>
          <w:szCs w:val="24"/>
        </w:rPr>
        <w:t>,</w:t>
      </w:r>
      <w:r w:rsidRPr="00851B0F">
        <w:rPr>
          <w:sz w:val="24"/>
          <w:szCs w:val="24"/>
        </w:rPr>
        <w:t xml:space="preserve"> are affecting yields on high quality corporate debt as well</w:t>
      </w:r>
      <w:r w:rsidR="00E8096B" w:rsidRPr="00851B0F">
        <w:rPr>
          <w:sz w:val="24"/>
          <w:szCs w:val="24"/>
        </w:rPr>
        <w:t xml:space="preserve">.  </w:t>
      </w:r>
      <w:r w:rsidRPr="00851B0F">
        <w:rPr>
          <w:sz w:val="24"/>
          <w:szCs w:val="24"/>
        </w:rPr>
        <w:t xml:space="preserve">While the effects of these monetary policy efforts are not easily captured in financial models for estimating COE (models that assume market equilibrium exists), equity market turbulence and the resulting elevated level of risk aversion indicate that </w:t>
      </w:r>
      <w:r w:rsidR="00A96796" w:rsidRPr="00851B0F">
        <w:rPr>
          <w:sz w:val="24"/>
          <w:szCs w:val="24"/>
        </w:rPr>
        <w:t>the</w:t>
      </w:r>
      <w:r w:rsidRPr="00851B0F">
        <w:rPr>
          <w:sz w:val="24"/>
          <w:szCs w:val="24"/>
        </w:rPr>
        <w:t xml:space="preserve"> decline in COE has not been nearly as large as the decline in borrowing costs.</w:t>
      </w:r>
    </w:p>
    <w:p w:rsidR="00B81099" w:rsidRPr="00851B0F" w:rsidRDefault="0037063A" w:rsidP="00734C05">
      <w:pPr>
        <w:pStyle w:val="FootnoteText"/>
        <w:rPr>
          <w:b/>
          <w:sz w:val="24"/>
          <w:szCs w:val="24"/>
        </w:rPr>
      </w:pPr>
      <w:r w:rsidRPr="00851B0F">
        <w:rPr>
          <w:b/>
          <w:sz w:val="24"/>
          <w:szCs w:val="24"/>
        </w:rPr>
        <w:t>Q.</w:t>
      </w:r>
      <w:r w:rsidRPr="00851B0F">
        <w:rPr>
          <w:b/>
          <w:sz w:val="24"/>
          <w:szCs w:val="24"/>
        </w:rPr>
        <w:tab/>
        <w:t>Do the smaller spreads between yields on single-A utility bonds and U.S. Treasury bonds mean that the markets have fully recovered from the economic turmoil that resulted from the financial crisis?</w:t>
      </w:r>
    </w:p>
    <w:p w:rsidR="00B81099" w:rsidRPr="00851B0F" w:rsidRDefault="0037063A" w:rsidP="00734C05">
      <w:pPr>
        <w:pStyle w:val="FootnoteText"/>
        <w:rPr>
          <w:sz w:val="24"/>
          <w:szCs w:val="24"/>
        </w:rPr>
      </w:pPr>
      <w:r w:rsidRPr="00851B0F">
        <w:rPr>
          <w:sz w:val="24"/>
          <w:szCs w:val="24"/>
        </w:rPr>
        <w:t>A.</w:t>
      </w:r>
      <w:r w:rsidRPr="00851B0F">
        <w:rPr>
          <w:szCs w:val="24"/>
        </w:rPr>
        <w:tab/>
      </w:r>
      <w:r w:rsidRPr="00851B0F">
        <w:rPr>
          <w:sz w:val="24"/>
          <w:szCs w:val="24"/>
        </w:rPr>
        <w:t>No</w:t>
      </w:r>
      <w:r w:rsidR="00E8096B" w:rsidRPr="00851B0F">
        <w:rPr>
          <w:sz w:val="24"/>
          <w:szCs w:val="24"/>
        </w:rPr>
        <w:t xml:space="preserve">.  </w:t>
      </w:r>
      <w:r w:rsidR="00AB099C" w:rsidRPr="00851B0F">
        <w:rPr>
          <w:sz w:val="24"/>
          <w:szCs w:val="24"/>
        </w:rPr>
        <w:t xml:space="preserve">People have not forgotten that one-half of their retirement savings disappeared by early 2009, that housing prices fell precipitously, </w:t>
      </w:r>
      <w:r w:rsidR="00C22596" w:rsidRPr="00851B0F">
        <w:rPr>
          <w:sz w:val="24"/>
          <w:szCs w:val="24"/>
        </w:rPr>
        <w:t xml:space="preserve">and that unemployment rates have generally been </w:t>
      </w:r>
      <w:r w:rsidR="00A96796" w:rsidRPr="00851B0F">
        <w:rPr>
          <w:sz w:val="24"/>
          <w:szCs w:val="24"/>
        </w:rPr>
        <w:t>near</w:t>
      </w:r>
      <w:r w:rsidR="00C22596" w:rsidRPr="00851B0F">
        <w:rPr>
          <w:sz w:val="24"/>
          <w:szCs w:val="24"/>
        </w:rPr>
        <w:t xml:space="preserve"> </w:t>
      </w:r>
      <w:r w:rsidR="00823A67" w:rsidRPr="00851B0F">
        <w:rPr>
          <w:sz w:val="24"/>
          <w:szCs w:val="24"/>
        </w:rPr>
        <w:t>eight</w:t>
      </w:r>
      <w:r w:rsidR="00C22596" w:rsidRPr="00851B0F">
        <w:rPr>
          <w:sz w:val="24"/>
          <w:szCs w:val="24"/>
        </w:rPr>
        <w:t xml:space="preserve"> percent for the past four years.  </w:t>
      </w:r>
      <w:r w:rsidRPr="00851B0F">
        <w:rPr>
          <w:sz w:val="24"/>
          <w:szCs w:val="24"/>
        </w:rPr>
        <w:t>While markets have stabilized considerably from the conditions that existed in early 2009, investors remain concerned about high unemployment, large federal deficits, the Mideast turmoil, and European as well as domestic economic issues</w:t>
      </w:r>
      <w:r w:rsidR="00E8096B" w:rsidRPr="00851B0F">
        <w:rPr>
          <w:sz w:val="24"/>
          <w:szCs w:val="24"/>
        </w:rPr>
        <w:t xml:space="preserve">.  </w:t>
      </w:r>
      <w:r w:rsidRPr="00851B0F">
        <w:rPr>
          <w:sz w:val="24"/>
          <w:szCs w:val="24"/>
        </w:rPr>
        <w:t>These factors combined with sluggish growth in gross domestic product (GDP) continue to raise substantial equity market concerns and contribute to heightened investor risk aversion.</w:t>
      </w:r>
    </w:p>
    <w:p w:rsidR="00167998" w:rsidRPr="00851B0F" w:rsidRDefault="0037063A" w:rsidP="00167998">
      <w:pPr>
        <w:widowControl w:val="0"/>
        <w:jc w:val="left"/>
        <w:rPr>
          <w:rFonts w:ascii="Times New Roman" w:hAnsi="Times New Roman"/>
          <w:b/>
        </w:rPr>
      </w:pPr>
      <w:r w:rsidRPr="00851B0F">
        <w:rPr>
          <w:rFonts w:ascii="Times New Roman" w:hAnsi="Times New Roman"/>
          <w:b/>
        </w:rPr>
        <w:t>Q.</w:t>
      </w:r>
      <w:r w:rsidRPr="00851B0F">
        <w:rPr>
          <w:rFonts w:ascii="Times New Roman" w:hAnsi="Times New Roman"/>
          <w:b/>
        </w:rPr>
        <w:tab/>
        <w:t>What do forecasts for the economy and interest rates show for the coming year?</w:t>
      </w:r>
    </w:p>
    <w:p w:rsidR="00167998" w:rsidRPr="00851B0F" w:rsidRDefault="0037063A" w:rsidP="00167998">
      <w:pPr>
        <w:widowControl w:val="0"/>
        <w:jc w:val="left"/>
        <w:rPr>
          <w:rFonts w:ascii="Times New Roman" w:hAnsi="Times New Roman"/>
        </w:rPr>
      </w:pPr>
      <w:r w:rsidRPr="00851B0F">
        <w:rPr>
          <w:rFonts w:ascii="Times New Roman" w:hAnsi="Times New Roman"/>
          <w:bCs/>
        </w:rPr>
        <w:t>A.</w:t>
      </w:r>
      <w:r w:rsidRPr="00851B0F">
        <w:rPr>
          <w:rFonts w:ascii="Times New Roman" w:hAnsi="Times New Roman"/>
          <w:bCs/>
        </w:rPr>
        <w:tab/>
      </w:r>
      <w:r w:rsidR="00B0206D" w:rsidRPr="00851B0F">
        <w:rPr>
          <w:rFonts w:ascii="Times New Roman" w:hAnsi="Times New Roman"/>
        </w:rPr>
        <w:t>Interest rates are expected to increase moderately from their recent historical</w:t>
      </w:r>
      <w:r w:rsidR="00C22596" w:rsidRPr="00851B0F">
        <w:rPr>
          <w:rFonts w:ascii="Times New Roman" w:hAnsi="Times New Roman"/>
        </w:rPr>
        <w:t>ly low levels.  In Exhibit</w:t>
      </w:r>
      <w:r w:rsidR="00B0428D" w:rsidRPr="00851B0F">
        <w:rPr>
          <w:rFonts w:ascii="Times New Roman" w:hAnsi="Times New Roman"/>
        </w:rPr>
        <w:t xml:space="preserve"> No.__</w:t>
      </w:r>
      <w:r w:rsidR="00CC0FFD">
        <w:rPr>
          <w:rFonts w:ascii="Times New Roman" w:hAnsi="Times New Roman"/>
        </w:rPr>
        <w:t>_</w:t>
      </w:r>
      <w:r w:rsidR="00B0428D" w:rsidRPr="00851B0F">
        <w:rPr>
          <w:rFonts w:ascii="Times New Roman" w:hAnsi="Times New Roman"/>
        </w:rPr>
        <w:t>(</w:t>
      </w:r>
      <w:r w:rsidR="00C22596" w:rsidRPr="00851B0F">
        <w:rPr>
          <w:rFonts w:ascii="Times New Roman" w:hAnsi="Times New Roman"/>
        </w:rPr>
        <w:t>SCH-4</w:t>
      </w:r>
      <w:r w:rsidR="00B0428D" w:rsidRPr="00851B0F">
        <w:rPr>
          <w:rFonts w:ascii="Times New Roman" w:hAnsi="Times New Roman"/>
        </w:rPr>
        <w:t>)</w:t>
      </w:r>
      <w:r w:rsidR="00C22596" w:rsidRPr="00851B0F">
        <w:rPr>
          <w:rFonts w:ascii="Times New Roman" w:hAnsi="Times New Roman"/>
        </w:rPr>
        <w:t>, page 3</w:t>
      </w:r>
      <w:r w:rsidR="00B0206D" w:rsidRPr="00851B0F">
        <w:rPr>
          <w:rFonts w:ascii="Times New Roman" w:hAnsi="Times New Roman"/>
        </w:rPr>
        <w:t>, I provide Bloomberg</w:t>
      </w:r>
      <w:r w:rsidR="00823A67" w:rsidRPr="00851B0F">
        <w:rPr>
          <w:rFonts w:ascii="Times New Roman" w:hAnsi="Times New Roman"/>
        </w:rPr>
        <w:t>’</w:t>
      </w:r>
      <w:r w:rsidR="00B0206D" w:rsidRPr="00851B0F">
        <w:rPr>
          <w:rFonts w:ascii="Times New Roman" w:hAnsi="Times New Roman"/>
        </w:rPr>
        <w:t xml:space="preserve">s Forward Curve forecast for U.S. Treasury yields.  Table </w:t>
      </w:r>
      <w:r w:rsidR="00B0428D" w:rsidRPr="00851B0F">
        <w:rPr>
          <w:rFonts w:ascii="Times New Roman" w:hAnsi="Times New Roman"/>
        </w:rPr>
        <w:t xml:space="preserve">2 </w:t>
      </w:r>
      <w:r w:rsidR="00B0206D" w:rsidRPr="00851B0F">
        <w:rPr>
          <w:rFonts w:ascii="Times New Roman" w:hAnsi="Times New Roman"/>
        </w:rPr>
        <w:t>below summarizes the interest rate forecasts:</w:t>
      </w:r>
    </w:p>
    <w:p w:rsidR="00B0206D" w:rsidRPr="00851B0F" w:rsidRDefault="00B0206D" w:rsidP="00B0206D">
      <w:pPr>
        <w:keepNext/>
        <w:suppressLineNumbers/>
        <w:spacing w:line="240" w:lineRule="auto"/>
        <w:ind w:right="1080" w:firstLine="0"/>
        <w:jc w:val="center"/>
        <w:rPr>
          <w:rFonts w:ascii="Times New Roman" w:hAnsi="Times New Roman"/>
          <w:b/>
          <w:bCs/>
        </w:rPr>
      </w:pPr>
      <w:bookmarkStart w:id="0" w:name="OLE_LINK3"/>
      <w:bookmarkStart w:id="1" w:name="OLE_LINK4"/>
      <w:r w:rsidRPr="00851B0F">
        <w:rPr>
          <w:rFonts w:ascii="Times New Roman" w:hAnsi="Times New Roman"/>
          <w:b/>
          <w:bCs/>
        </w:rPr>
        <w:t xml:space="preserve">Table </w:t>
      </w:r>
      <w:r w:rsidR="00B0428D" w:rsidRPr="00851B0F">
        <w:rPr>
          <w:rFonts w:ascii="Times New Roman" w:hAnsi="Times New Roman"/>
          <w:b/>
          <w:bCs/>
        </w:rPr>
        <w:t>2</w:t>
      </w:r>
    </w:p>
    <w:bookmarkEnd w:id="0"/>
    <w:bookmarkEnd w:id="1"/>
    <w:p w:rsidR="00B0206D" w:rsidRPr="00851B0F" w:rsidRDefault="00B0206D" w:rsidP="00B0206D">
      <w:pPr>
        <w:keepNext/>
        <w:keepLines/>
        <w:suppressLineNumbers/>
        <w:spacing w:line="240" w:lineRule="auto"/>
        <w:ind w:right="1080" w:firstLine="0"/>
        <w:jc w:val="center"/>
        <w:rPr>
          <w:rFonts w:ascii="Times New Roman" w:hAnsi="Times New Roman"/>
          <w:b/>
          <w:bCs/>
        </w:rPr>
      </w:pPr>
      <w:r w:rsidRPr="00851B0F">
        <w:rPr>
          <w:rFonts w:ascii="Times New Roman" w:hAnsi="Times New Roman"/>
          <w:b/>
          <w:bCs/>
        </w:rPr>
        <w:t>Interest Rate Forecast</w:t>
      </w:r>
    </w:p>
    <w:p w:rsidR="00B0206D" w:rsidRPr="00851B0F" w:rsidRDefault="00B0206D" w:rsidP="00B0206D">
      <w:pPr>
        <w:keepNext/>
        <w:keepLines/>
        <w:suppressLineNumbers/>
        <w:tabs>
          <w:tab w:val="right" w:pos="3960"/>
          <w:tab w:val="right" w:pos="5040"/>
          <w:tab w:val="right" w:pos="6120"/>
          <w:tab w:val="right" w:pos="7290"/>
        </w:tabs>
        <w:spacing w:line="240" w:lineRule="auto"/>
        <w:ind w:firstLine="0"/>
        <w:rPr>
          <w:rFonts w:ascii="Times New Roman" w:hAnsi="Times New Roman"/>
          <w:bCs/>
          <w:u w:val="single"/>
          <w:lang w:val="it-IT"/>
        </w:rPr>
      </w:pPr>
      <w:r w:rsidRPr="00851B0F">
        <w:rPr>
          <w:rFonts w:ascii="Times New Roman" w:hAnsi="Times New Roman"/>
          <w:bCs/>
          <w:u w:val="single"/>
        </w:rPr>
        <w:tab/>
      </w:r>
      <w:r w:rsidR="006D0EF3" w:rsidRPr="00851B0F">
        <w:rPr>
          <w:rFonts w:ascii="Times New Roman" w:hAnsi="Times New Roman"/>
          <w:bCs/>
          <w:u w:val="single"/>
        </w:rPr>
        <w:t xml:space="preserve">Jan </w:t>
      </w:r>
      <w:r w:rsidRPr="00851B0F">
        <w:rPr>
          <w:rFonts w:ascii="Times New Roman" w:hAnsi="Times New Roman"/>
          <w:bCs/>
          <w:u w:val="single"/>
          <w:lang w:val="it-IT"/>
        </w:rPr>
        <w:t>201</w:t>
      </w:r>
      <w:r w:rsidR="006D0EF3" w:rsidRPr="00851B0F">
        <w:rPr>
          <w:rFonts w:ascii="Times New Roman" w:hAnsi="Times New Roman"/>
          <w:bCs/>
          <w:u w:val="single"/>
          <w:lang w:val="it-IT"/>
        </w:rPr>
        <w:t>3</w:t>
      </w:r>
      <w:r w:rsidRPr="00851B0F">
        <w:rPr>
          <w:rFonts w:ascii="Times New Roman" w:hAnsi="Times New Roman"/>
          <w:bCs/>
          <w:u w:val="single"/>
          <w:lang w:val="it-IT"/>
        </w:rPr>
        <w:tab/>
        <w:t>2013E</w:t>
      </w:r>
      <w:r w:rsidRPr="00851B0F">
        <w:rPr>
          <w:rFonts w:ascii="Times New Roman" w:hAnsi="Times New Roman"/>
          <w:bCs/>
          <w:u w:val="single"/>
          <w:lang w:val="it-IT"/>
        </w:rPr>
        <w:tab/>
        <w:t>2014E</w:t>
      </w:r>
      <w:r w:rsidRPr="00851B0F">
        <w:rPr>
          <w:rFonts w:ascii="Times New Roman" w:hAnsi="Times New Roman"/>
          <w:bCs/>
          <w:u w:val="single"/>
          <w:lang w:val="it-IT"/>
        </w:rPr>
        <w:tab/>
        <w:t>2015E</w:t>
      </w:r>
    </w:p>
    <w:p w:rsidR="00B0206D" w:rsidRPr="00851B0F" w:rsidRDefault="006D0EF3" w:rsidP="00B0206D">
      <w:pPr>
        <w:keepNext/>
        <w:keepLines/>
        <w:suppressLineNumbers/>
        <w:tabs>
          <w:tab w:val="right" w:pos="3690"/>
          <w:tab w:val="right" w:pos="4950"/>
          <w:tab w:val="right" w:pos="6120"/>
          <w:tab w:val="right" w:pos="7200"/>
        </w:tabs>
        <w:spacing w:line="240" w:lineRule="auto"/>
        <w:ind w:firstLine="0"/>
        <w:rPr>
          <w:rFonts w:ascii="Times New Roman" w:hAnsi="Times New Roman"/>
          <w:bCs/>
        </w:rPr>
      </w:pPr>
      <w:r w:rsidRPr="00851B0F">
        <w:rPr>
          <w:rFonts w:ascii="Times New Roman" w:hAnsi="Times New Roman"/>
          <w:bCs/>
        </w:rPr>
        <w:t>1-Yr. Treasuries</w:t>
      </w:r>
      <w:r w:rsidRPr="00851B0F">
        <w:rPr>
          <w:rFonts w:ascii="Times New Roman" w:hAnsi="Times New Roman"/>
          <w:bCs/>
        </w:rPr>
        <w:tab/>
        <w:t>0.1%</w:t>
      </w:r>
      <w:r w:rsidRPr="00851B0F">
        <w:rPr>
          <w:rFonts w:ascii="Times New Roman" w:hAnsi="Times New Roman"/>
          <w:bCs/>
        </w:rPr>
        <w:tab/>
        <w:t>0.4</w:t>
      </w:r>
      <w:r w:rsidR="00B0206D" w:rsidRPr="00851B0F">
        <w:rPr>
          <w:rFonts w:ascii="Times New Roman" w:hAnsi="Times New Roman"/>
          <w:bCs/>
        </w:rPr>
        <w:t>%</w:t>
      </w:r>
      <w:r w:rsidR="00B0206D" w:rsidRPr="00851B0F">
        <w:rPr>
          <w:rFonts w:ascii="Times New Roman" w:hAnsi="Times New Roman"/>
          <w:bCs/>
        </w:rPr>
        <w:tab/>
        <w:t>0.</w:t>
      </w:r>
      <w:r w:rsidRPr="00851B0F">
        <w:rPr>
          <w:rFonts w:ascii="Times New Roman" w:hAnsi="Times New Roman"/>
          <w:bCs/>
        </w:rPr>
        <w:t>7</w:t>
      </w:r>
      <w:r w:rsidR="00B0206D" w:rsidRPr="00851B0F">
        <w:rPr>
          <w:rFonts w:ascii="Times New Roman" w:hAnsi="Times New Roman"/>
          <w:bCs/>
        </w:rPr>
        <w:t>%</w:t>
      </w:r>
      <w:r w:rsidR="00B0206D" w:rsidRPr="00851B0F">
        <w:rPr>
          <w:rFonts w:ascii="Times New Roman" w:hAnsi="Times New Roman"/>
          <w:bCs/>
        </w:rPr>
        <w:tab/>
      </w:r>
      <w:r w:rsidRPr="00851B0F">
        <w:rPr>
          <w:rFonts w:ascii="Times New Roman" w:hAnsi="Times New Roman"/>
          <w:bCs/>
        </w:rPr>
        <w:t>1.2</w:t>
      </w:r>
      <w:r w:rsidR="00B0206D" w:rsidRPr="00851B0F">
        <w:rPr>
          <w:rFonts w:ascii="Times New Roman" w:hAnsi="Times New Roman"/>
          <w:bCs/>
        </w:rPr>
        <w:t>%</w:t>
      </w:r>
    </w:p>
    <w:p w:rsidR="00B0206D" w:rsidRPr="00851B0F" w:rsidRDefault="00B0206D" w:rsidP="00B0206D">
      <w:pPr>
        <w:keepNext/>
        <w:keepLines/>
        <w:suppressLineNumbers/>
        <w:tabs>
          <w:tab w:val="right" w:pos="3690"/>
          <w:tab w:val="right" w:pos="4950"/>
          <w:tab w:val="right" w:pos="6120"/>
          <w:tab w:val="right" w:pos="7200"/>
        </w:tabs>
        <w:spacing w:line="240" w:lineRule="auto"/>
        <w:ind w:firstLine="0"/>
        <w:rPr>
          <w:rFonts w:ascii="Times New Roman" w:hAnsi="Times New Roman"/>
          <w:bCs/>
        </w:rPr>
      </w:pPr>
      <w:r w:rsidRPr="00851B0F">
        <w:rPr>
          <w:rFonts w:ascii="Times New Roman" w:hAnsi="Times New Roman"/>
          <w:bCs/>
        </w:rPr>
        <w:t>10-Yr. Treasuries</w:t>
      </w:r>
      <w:r w:rsidRPr="00851B0F">
        <w:rPr>
          <w:rFonts w:ascii="Times New Roman" w:hAnsi="Times New Roman"/>
          <w:bCs/>
        </w:rPr>
        <w:tab/>
        <w:t>1.</w:t>
      </w:r>
      <w:r w:rsidR="006D0EF3" w:rsidRPr="00851B0F">
        <w:rPr>
          <w:rFonts w:ascii="Times New Roman" w:hAnsi="Times New Roman"/>
          <w:bCs/>
        </w:rPr>
        <w:t>9%</w:t>
      </w:r>
      <w:r w:rsidR="006D0EF3" w:rsidRPr="00851B0F">
        <w:rPr>
          <w:rFonts w:ascii="Times New Roman" w:hAnsi="Times New Roman"/>
          <w:bCs/>
        </w:rPr>
        <w:tab/>
        <w:t>2.2%</w:t>
      </w:r>
      <w:r w:rsidR="006D0EF3" w:rsidRPr="00851B0F">
        <w:rPr>
          <w:rFonts w:ascii="Times New Roman" w:hAnsi="Times New Roman"/>
          <w:bCs/>
        </w:rPr>
        <w:tab/>
        <w:t>2.4%</w:t>
      </w:r>
      <w:r w:rsidR="006D0EF3" w:rsidRPr="00851B0F">
        <w:rPr>
          <w:rFonts w:ascii="Times New Roman" w:hAnsi="Times New Roman"/>
          <w:bCs/>
        </w:rPr>
        <w:tab/>
        <w:t>2.7</w:t>
      </w:r>
      <w:r w:rsidRPr="00851B0F">
        <w:rPr>
          <w:rFonts w:ascii="Times New Roman" w:hAnsi="Times New Roman"/>
          <w:bCs/>
        </w:rPr>
        <w:t>%</w:t>
      </w:r>
    </w:p>
    <w:p w:rsidR="00B0206D" w:rsidRPr="00851B0F" w:rsidRDefault="006D0EF3" w:rsidP="00B0206D">
      <w:pPr>
        <w:keepNext/>
        <w:keepLines/>
        <w:suppressLineNumbers/>
        <w:tabs>
          <w:tab w:val="right" w:pos="3690"/>
          <w:tab w:val="right" w:pos="4950"/>
          <w:tab w:val="right" w:pos="6120"/>
          <w:tab w:val="right" w:pos="7200"/>
          <w:tab w:val="right" w:pos="7290"/>
        </w:tabs>
        <w:spacing w:line="240" w:lineRule="auto"/>
        <w:ind w:firstLine="0"/>
        <w:rPr>
          <w:rFonts w:ascii="Times New Roman" w:hAnsi="Times New Roman"/>
          <w:bCs/>
          <w:u w:val="single"/>
        </w:rPr>
      </w:pPr>
      <w:r w:rsidRPr="00851B0F">
        <w:rPr>
          <w:rFonts w:ascii="Times New Roman" w:hAnsi="Times New Roman"/>
          <w:bCs/>
          <w:u w:val="single"/>
        </w:rPr>
        <w:t>30-Yr. Treasuries</w:t>
      </w:r>
      <w:r w:rsidRPr="00851B0F">
        <w:rPr>
          <w:rFonts w:ascii="Times New Roman" w:hAnsi="Times New Roman"/>
          <w:bCs/>
          <w:u w:val="single"/>
        </w:rPr>
        <w:tab/>
        <w:t>3.1</w:t>
      </w:r>
      <w:r w:rsidR="00B0206D" w:rsidRPr="00851B0F">
        <w:rPr>
          <w:rFonts w:ascii="Times New Roman" w:hAnsi="Times New Roman"/>
          <w:bCs/>
          <w:u w:val="single"/>
        </w:rPr>
        <w:t>%</w:t>
      </w:r>
      <w:r w:rsidR="00B0206D" w:rsidRPr="00851B0F">
        <w:rPr>
          <w:rFonts w:ascii="Times New Roman" w:hAnsi="Times New Roman"/>
          <w:bCs/>
          <w:u w:val="single"/>
        </w:rPr>
        <w:tab/>
      </w:r>
      <w:r w:rsidRPr="00851B0F">
        <w:rPr>
          <w:rFonts w:ascii="Times New Roman" w:hAnsi="Times New Roman"/>
          <w:bCs/>
          <w:u w:val="single"/>
        </w:rPr>
        <w:t>3.2%</w:t>
      </w:r>
      <w:r w:rsidRPr="00851B0F">
        <w:rPr>
          <w:rFonts w:ascii="Times New Roman" w:hAnsi="Times New Roman"/>
          <w:bCs/>
          <w:u w:val="single"/>
        </w:rPr>
        <w:tab/>
        <w:t>3.4%</w:t>
      </w:r>
      <w:r w:rsidRPr="00851B0F">
        <w:rPr>
          <w:rFonts w:ascii="Times New Roman" w:hAnsi="Times New Roman"/>
          <w:bCs/>
          <w:u w:val="single"/>
        </w:rPr>
        <w:tab/>
        <w:t>3.5</w:t>
      </w:r>
      <w:r w:rsidR="00B0206D" w:rsidRPr="00851B0F">
        <w:rPr>
          <w:rFonts w:ascii="Times New Roman" w:hAnsi="Times New Roman"/>
          <w:bCs/>
          <w:u w:val="single"/>
        </w:rPr>
        <w:t>%</w:t>
      </w:r>
      <w:r w:rsidR="00B0206D" w:rsidRPr="00851B0F">
        <w:rPr>
          <w:rFonts w:ascii="Times New Roman" w:hAnsi="Times New Roman"/>
          <w:bCs/>
          <w:u w:val="single"/>
        </w:rPr>
        <w:tab/>
      </w:r>
    </w:p>
    <w:p w:rsidR="00B0206D" w:rsidRPr="00851B0F" w:rsidRDefault="00B0206D" w:rsidP="00B0206D">
      <w:pPr>
        <w:keepNext/>
        <w:keepLines/>
        <w:suppressLineNumbers/>
        <w:spacing w:line="240" w:lineRule="auto"/>
        <w:ind w:right="1350" w:firstLine="0"/>
        <w:rPr>
          <w:rFonts w:ascii="Times New Roman" w:hAnsi="Times New Roman"/>
          <w:bCs/>
          <w:sz w:val="22"/>
          <w:szCs w:val="22"/>
        </w:rPr>
      </w:pPr>
      <w:r w:rsidRPr="00851B0F">
        <w:rPr>
          <w:rFonts w:ascii="Times New Roman" w:hAnsi="Times New Roman"/>
          <w:bCs/>
          <w:sz w:val="22"/>
          <w:szCs w:val="22"/>
        </w:rPr>
        <w:t xml:space="preserve">Bloomberg U.S. Treasury Actives Curve, </w:t>
      </w:r>
      <w:r w:rsidR="006D0EF3" w:rsidRPr="00851B0F">
        <w:rPr>
          <w:rFonts w:ascii="Times New Roman" w:hAnsi="Times New Roman"/>
          <w:bCs/>
          <w:sz w:val="22"/>
          <w:szCs w:val="22"/>
        </w:rPr>
        <w:t>January 3, 2013</w:t>
      </w:r>
      <w:r w:rsidRPr="00851B0F">
        <w:rPr>
          <w:rFonts w:ascii="Times New Roman" w:hAnsi="Times New Roman"/>
          <w:bCs/>
          <w:sz w:val="22"/>
          <w:szCs w:val="22"/>
        </w:rPr>
        <w:t>.</w:t>
      </w:r>
    </w:p>
    <w:p w:rsidR="00B81099" w:rsidRPr="00851B0F" w:rsidRDefault="00B0206D" w:rsidP="00B0206D">
      <w:pPr>
        <w:widowControl w:val="0"/>
        <w:spacing w:before="240"/>
        <w:ind w:firstLine="0"/>
        <w:jc w:val="left"/>
        <w:rPr>
          <w:rFonts w:ascii="Times New Roman" w:hAnsi="Times New Roman"/>
        </w:rPr>
      </w:pPr>
      <w:r w:rsidRPr="00851B0F">
        <w:rPr>
          <w:rFonts w:ascii="Times New Roman" w:hAnsi="Times New Roman"/>
        </w:rPr>
        <w:t xml:space="preserve">These data show that long-term Treasury yields are expected to rise gradually over the next three years.  In this </w:t>
      </w:r>
      <w:r w:rsidR="009F244E" w:rsidRPr="00851B0F">
        <w:rPr>
          <w:rFonts w:ascii="Times New Roman" w:hAnsi="Times New Roman"/>
        </w:rPr>
        <w:t xml:space="preserve">low interest rate </w:t>
      </w:r>
      <w:r w:rsidRPr="00851B0F">
        <w:rPr>
          <w:rFonts w:ascii="Times New Roman" w:hAnsi="Times New Roman"/>
        </w:rPr>
        <w:t>environment</w:t>
      </w:r>
      <w:r w:rsidR="00C22596" w:rsidRPr="00851B0F">
        <w:rPr>
          <w:rFonts w:ascii="Times New Roman" w:hAnsi="Times New Roman"/>
        </w:rPr>
        <w:t xml:space="preserve">, </w:t>
      </w:r>
      <w:r w:rsidRPr="00851B0F">
        <w:rPr>
          <w:rFonts w:ascii="Times New Roman" w:hAnsi="Times New Roman"/>
        </w:rPr>
        <w:t xml:space="preserve">traditional cost of equity estimation models produce </w:t>
      </w:r>
      <w:r w:rsidR="00C22596" w:rsidRPr="00851B0F">
        <w:rPr>
          <w:rFonts w:ascii="Times New Roman" w:hAnsi="Times New Roman"/>
        </w:rPr>
        <w:t xml:space="preserve">low </w:t>
      </w:r>
      <w:r w:rsidR="00B75266" w:rsidRPr="00851B0F">
        <w:rPr>
          <w:rFonts w:ascii="Times New Roman" w:hAnsi="Times New Roman"/>
        </w:rPr>
        <w:t>C</w:t>
      </w:r>
      <w:r w:rsidRPr="00851B0F">
        <w:rPr>
          <w:rFonts w:ascii="Times New Roman" w:hAnsi="Times New Roman"/>
        </w:rPr>
        <w:t>OE estimates that do not reflect the continuing risk aversion that exists in the equity markets.</w:t>
      </w:r>
    </w:p>
    <w:p w:rsidR="00B81099" w:rsidRPr="00851B0F" w:rsidRDefault="0037063A" w:rsidP="00734C05">
      <w:pPr>
        <w:widowControl w:val="0"/>
        <w:jc w:val="left"/>
        <w:rPr>
          <w:rFonts w:ascii="Times New Roman" w:hAnsi="Times New Roman"/>
          <w:b/>
        </w:rPr>
      </w:pPr>
      <w:r w:rsidRPr="00851B0F">
        <w:rPr>
          <w:rFonts w:ascii="Times New Roman" w:hAnsi="Times New Roman"/>
          <w:b/>
        </w:rPr>
        <w:t>Q.</w:t>
      </w:r>
      <w:r w:rsidRPr="00851B0F">
        <w:rPr>
          <w:rFonts w:ascii="Times New Roman" w:hAnsi="Times New Roman"/>
          <w:b/>
        </w:rPr>
        <w:tab/>
        <w:t>How have utility stocks performed during the past several years?</w:t>
      </w:r>
    </w:p>
    <w:p w:rsidR="00167998" w:rsidRPr="00851B0F" w:rsidRDefault="005D34CE" w:rsidP="00167998">
      <w:pPr>
        <w:jc w:val="left"/>
        <w:rPr>
          <w:rFonts w:ascii="Times New Roman" w:hAnsi="Times New Roman"/>
        </w:rPr>
      </w:pPr>
      <w:r w:rsidRPr="00851B0F">
        <w:rPr>
          <w:rFonts w:ascii="Times New Roman" w:hAnsi="Times New Roman"/>
        </w:rPr>
        <w:t>A.</w:t>
      </w:r>
      <w:r w:rsidR="0037063A" w:rsidRPr="00851B0F">
        <w:rPr>
          <w:rFonts w:ascii="Times New Roman" w:hAnsi="Times New Roman"/>
        </w:rPr>
        <w:tab/>
      </w:r>
      <w:r w:rsidRPr="00851B0F">
        <w:rPr>
          <w:rFonts w:ascii="Times New Roman" w:hAnsi="Times New Roman"/>
        </w:rPr>
        <w:t>The government</w:t>
      </w:r>
      <w:r w:rsidR="00823A67" w:rsidRPr="00851B0F">
        <w:rPr>
          <w:rFonts w:ascii="Times New Roman" w:hAnsi="Times New Roman"/>
        </w:rPr>
        <w:t>’</w:t>
      </w:r>
      <w:r w:rsidRPr="00851B0F">
        <w:rPr>
          <w:rFonts w:ascii="Times New Roman" w:hAnsi="Times New Roman"/>
        </w:rPr>
        <w:t>s stated policy of intervening in the capital markets to keep interest rates low has disrupted normal supply and demand relationships.  Under these circumstances, dividend-paying stocks, like utilities, have become highly sought-after by income-seeking investors, pushing up prices and reducing the dividend yield percentage.  This sentiment is echoed in Value Line</w:t>
      </w:r>
      <w:r w:rsidR="00823A67" w:rsidRPr="00851B0F">
        <w:rPr>
          <w:rFonts w:ascii="Times New Roman" w:hAnsi="Times New Roman"/>
        </w:rPr>
        <w:t>’</w:t>
      </w:r>
      <w:r w:rsidRPr="00851B0F">
        <w:rPr>
          <w:rFonts w:ascii="Times New Roman" w:hAnsi="Times New Roman"/>
        </w:rPr>
        <w:t>s recent review of its Electric Utility Industry group:</w:t>
      </w:r>
    </w:p>
    <w:p w:rsidR="00997B81" w:rsidRPr="00851B0F" w:rsidRDefault="005D34CE">
      <w:pPr>
        <w:pStyle w:val="EntergyTestimony"/>
        <w:tabs>
          <w:tab w:val="left" w:pos="7830"/>
        </w:tabs>
        <w:spacing w:line="240" w:lineRule="auto"/>
        <w:ind w:left="1440" w:right="1170" w:firstLine="0"/>
        <w:jc w:val="left"/>
        <w:rPr>
          <w:rFonts w:ascii="Times New Roman" w:hAnsi="Times New Roman" w:cs="Times New Roman"/>
        </w:rPr>
      </w:pPr>
      <w:r w:rsidRPr="00851B0F">
        <w:rPr>
          <w:rFonts w:ascii="Times New Roman" w:hAnsi="Times New Roman" w:cs="Times New Roman"/>
        </w:rPr>
        <w:t>Electric utility issues usually trade at a bel</w:t>
      </w:r>
      <w:r w:rsidR="004A13A9">
        <w:rPr>
          <w:rFonts w:ascii="Times New Roman" w:hAnsi="Times New Roman" w:cs="Times New Roman"/>
        </w:rPr>
        <w:t>ow-market price-earnings ratio….</w:t>
      </w:r>
      <w:r w:rsidRPr="00851B0F">
        <w:rPr>
          <w:rFonts w:ascii="Times New Roman" w:hAnsi="Times New Roman" w:cs="Times New Roman"/>
        </w:rPr>
        <w:t>However, several utilities are now trading at a price-earnings ratio that is above the market</w:t>
      </w:r>
      <w:r w:rsidR="00823A67" w:rsidRPr="00851B0F">
        <w:rPr>
          <w:rFonts w:ascii="Times New Roman" w:hAnsi="Times New Roman" w:cs="Times New Roman"/>
        </w:rPr>
        <w:t>’</w:t>
      </w:r>
      <w:r w:rsidRPr="00851B0F">
        <w:rPr>
          <w:rFonts w:ascii="Times New Roman" w:hAnsi="Times New Roman" w:cs="Times New Roman"/>
        </w:rPr>
        <w:t xml:space="preserve">s. </w:t>
      </w:r>
      <w:r w:rsidR="00BA3C0C" w:rsidRPr="00851B0F">
        <w:rPr>
          <w:rFonts w:ascii="Times New Roman" w:hAnsi="Times New Roman" w:cs="Times New Roman"/>
        </w:rPr>
        <w:t xml:space="preserve"> </w:t>
      </w:r>
      <w:r w:rsidRPr="00851B0F">
        <w:rPr>
          <w:rFonts w:ascii="Times New Roman" w:hAnsi="Times New Roman" w:cs="Times New Roman"/>
        </w:rPr>
        <w:t xml:space="preserve">This is an indication of how expensively priced many of these equities have become. </w:t>
      </w:r>
      <w:r w:rsidR="00BA3C0C" w:rsidRPr="00851B0F">
        <w:rPr>
          <w:rFonts w:ascii="Times New Roman" w:hAnsi="Times New Roman" w:cs="Times New Roman"/>
        </w:rPr>
        <w:t xml:space="preserve"> </w:t>
      </w:r>
      <w:r w:rsidRPr="00851B0F">
        <w:rPr>
          <w:rFonts w:ascii="Times New Roman" w:hAnsi="Times New Roman" w:cs="Times New Roman"/>
        </w:rPr>
        <w:t>Another indication of their high valuation is the fact that many of them are trading within their 2015</w:t>
      </w:r>
      <w:r w:rsidR="004A13A9">
        <w:rPr>
          <w:rFonts w:ascii="Times New Roman" w:hAnsi="Times New Roman" w:cs="Times New Roman"/>
        </w:rPr>
        <w:t>–</w:t>
      </w:r>
      <w:r w:rsidRPr="00851B0F">
        <w:rPr>
          <w:rFonts w:ascii="Times New Roman" w:hAnsi="Times New Roman" w:cs="Times New Roman"/>
        </w:rPr>
        <w:t>2017 Target Price Range.</w:t>
      </w:r>
      <w:r w:rsidR="00117F09" w:rsidRPr="00851B0F">
        <w:rPr>
          <w:rStyle w:val="FootnoteReference"/>
        </w:rPr>
        <w:footnoteReference w:id="2"/>
      </w:r>
    </w:p>
    <w:p w:rsidR="00167998" w:rsidRPr="00851B0F" w:rsidRDefault="00D322AD" w:rsidP="00167998">
      <w:pPr>
        <w:spacing w:before="240"/>
        <w:ind w:firstLine="0"/>
        <w:jc w:val="left"/>
        <w:rPr>
          <w:rFonts w:ascii="Times New Roman" w:hAnsi="Times New Roman"/>
        </w:rPr>
      </w:pPr>
      <w:r w:rsidRPr="00851B0F">
        <w:rPr>
          <w:rFonts w:ascii="Times New Roman" w:hAnsi="Times New Roman"/>
          <w:szCs w:val="24"/>
        </w:rPr>
        <w:t>In this market environment, dividend oriented stocks, like utilities, have become relatively more attractive for income-oriented investors.  The resulting relatively better performance for utilities has produced lower dividen</w:t>
      </w:r>
      <w:r w:rsidR="004A13A9">
        <w:rPr>
          <w:rFonts w:ascii="Times New Roman" w:hAnsi="Times New Roman"/>
          <w:szCs w:val="24"/>
        </w:rPr>
        <w:t>d yields in the DCF model.  That is</w:t>
      </w:r>
      <w:r w:rsidRPr="00851B0F">
        <w:rPr>
          <w:rFonts w:ascii="Times New Roman" w:hAnsi="Times New Roman"/>
          <w:szCs w:val="24"/>
        </w:rPr>
        <w:t xml:space="preserve"> the DCF model results, with respect to dividend yields, do not reflect the overall market</w:t>
      </w:r>
      <w:r w:rsidR="00823A67" w:rsidRPr="00851B0F">
        <w:rPr>
          <w:rFonts w:ascii="Times New Roman" w:hAnsi="Times New Roman"/>
          <w:szCs w:val="24"/>
        </w:rPr>
        <w:t>’</w:t>
      </w:r>
      <w:r w:rsidRPr="00851B0F">
        <w:rPr>
          <w:rFonts w:ascii="Times New Roman" w:hAnsi="Times New Roman"/>
          <w:szCs w:val="24"/>
        </w:rPr>
        <w:t xml:space="preserve">s volatility and heightened risk aversion.  In the basic constant growth version of the model, the results are therefore negatively skewed by flight to safety and income-seeking investor behavior.  This anomaly makes it more difficult to interpret current DCF cost of equity estimates for utility companies.  </w:t>
      </w:r>
      <w:r w:rsidR="005D34CE" w:rsidRPr="00851B0F">
        <w:rPr>
          <w:rFonts w:ascii="Times New Roman" w:hAnsi="Times New Roman"/>
        </w:rPr>
        <w:t>Similarly, in the equity risk premium models, like the</w:t>
      </w:r>
      <w:r w:rsidR="000A3D3A" w:rsidRPr="00851B0F">
        <w:rPr>
          <w:rFonts w:ascii="Times New Roman" w:hAnsi="Times New Roman"/>
        </w:rPr>
        <w:t xml:space="preserve"> </w:t>
      </w:r>
      <w:r w:rsidR="004A13A9">
        <w:rPr>
          <w:rFonts w:ascii="Times New Roman" w:hAnsi="Times New Roman"/>
        </w:rPr>
        <w:t>Capital asset pricing model (CAPM)</w:t>
      </w:r>
      <w:r w:rsidR="005D34CE" w:rsidRPr="00851B0F">
        <w:rPr>
          <w:rFonts w:ascii="Times New Roman" w:hAnsi="Times New Roman"/>
        </w:rPr>
        <w:t xml:space="preserve">, artificially low interest rates directly reduce </w:t>
      </w:r>
      <w:r w:rsidR="00B75266" w:rsidRPr="00851B0F">
        <w:rPr>
          <w:rFonts w:ascii="Times New Roman" w:hAnsi="Times New Roman"/>
        </w:rPr>
        <w:t>C</w:t>
      </w:r>
      <w:r w:rsidR="005D34CE" w:rsidRPr="00851B0F">
        <w:rPr>
          <w:rFonts w:ascii="Times New Roman" w:hAnsi="Times New Roman"/>
        </w:rPr>
        <w:t xml:space="preserve">OE estimates.  The currently low dividend yields for utilities produce lower DCF estimates and low interest rates produce lower </w:t>
      </w:r>
      <w:r w:rsidR="00B75266" w:rsidRPr="00851B0F">
        <w:rPr>
          <w:rFonts w:ascii="Times New Roman" w:hAnsi="Times New Roman"/>
        </w:rPr>
        <w:t>C</w:t>
      </w:r>
      <w:r w:rsidR="005D34CE" w:rsidRPr="00851B0F">
        <w:rPr>
          <w:rFonts w:ascii="Times New Roman" w:hAnsi="Times New Roman"/>
        </w:rPr>
        <w:t>OE estimates from equity risk premium models.</w:t>
      </w:r>
    </w:p>
    <w:p w:rsidR="00B81099" w:rsidRPr="00851B0F" w:rsidRDefault="0037063A" w:rsidP="00734C05">
      <w:pPr>
        <w:jc w:val="left"/>
        <w:rPr>
          <w:rFonts w:ascii="Times New Roman" w:hAnsi="Times New Roman"/>
          <w:b/>
        </w:rPr>
      </w:pPr>
      <w:r w:rsidRPr="00851B0F">
        <w:rPr>
          <w:rFonts w:ascii="Times New Roman" w:hAnsi="Times New Roman"/>
          <w:b/>
        </w:rPr>
        <w:t>Q.</w:t>
      </w:r>
      <w:r w:rsidRPr="00851B0F">
        <w:rPr>
          <w:rFonts w:ascii="Times New Roman" w:hAnsi="Times New Roman"/>
          <w:b/>
        </w:rPr>
        <w:tab/>
        <w:t>What is the industry</w:t>
      </w:r>
      <w:r w:rsidR="00823A67" w:rsidRPr="00851B0F">
        <w:rPr>
          <w:rFonts w:ascii="Times New Roman" w:hAnsi="Times New Roman"/>
          <w:b/>
        </w:rPr>
        <w:t>’</w:t>
      </w:r>
      <w:r w:rsidRPr="00851B0F">
        <w:rPr>
          <w:rFonts w:ascii="Times New Roman" w:hAnsi="Times New Roman"/>
          <w:b/>
        </w:rPr>
        <w:t>s current fundamental position?</w:t>
      </w:r>
    </w:p>
    <w:p w:rsidR="00C22596" w:rsidRPr="00851B0F" w:rsidRDefault="0037063A" w:rsidP="00734C05">
      <w:pPr>
        <w:pStyle w:val="answer"/>
        <w:spacing w:line="480" w:lineRule="auto"/>
        <w:jc w:val="left"/>
        <w:rPr>
          <w:rFonts w:ascii="Times New Roman" w:hAnsi="Times New Roman"/>
        </w:rPr>
      </w:pPr>
      <w:r w:rsidRPr="00851B0F">
        <w:rPr>
          <w:rFonts w:ascii="Times New Roman" w:hAnsi="Times New Roman"/>
        </w:rPr>
        <w:t>A.</w:t>
      </w:r>
      <w:r w:rsidRPr="00851B0F">
        <w:rPr>
          <w:rFonts w:ascii="Times New Roman" w:hAnsi="Times New Roman"/>
        </w:rPr>
        <w:tab/>
        <w:t xml:space="preserve">The industry has seen significant volatility </w:t>
      </w:r>
      <w:r w:rsidR="00823A67" w:rsidRPr="00851B0F">
        <w:rPr>
          <w:rFonts w:ascii="Times New Roman" w:hAnsi="Times New Roman"/>
        </w:rPr>
        <w:t xml:space="preserve">in </w:t>
      </w:r>
      <w:r w:rsidRPr="00851B0F">
        <w:rPr>
          <w:rFonts w:ascii="Times New Roman" w:hAnsi="Times New Roman"/>
        </w:rPr>
        <w:t>both fundamental operating characteristics and the effects of the economy</w:t>
      </w:r>
      <w:r w:rsidR="00E8096B" w:rsidRPr="00851B0F">
        <w:rPr>
          <w:rFonts w:ascii="Times New Roman" w:hAnsi="Times New Roman"/>
        </w:rPr>
        <w:t xml:space="preserve">.  </w:t>
      </w:r>
      <w:r w:rsidR="000450D1" w:rsidRPr="00851B0F">
        <w:rPr>
          <w:rFonts w:ascii="Times New Roman" w:hAnsi="Times New Roman"/>
        </w:rPr>
        <w:t>Both reduced sales volumes from s</w:t>
      </w:r>
      <w:r w:rsidRPr="00851B0F">
        <w:rPr>
          <w:rFonts w:ascii="Times New Roman" w:hAnsi="Times New Roman"/>
        </w:rPr>
        <w:t>low economic growth and uncertain environmental rules have increased the difficulty of planning for future load requirements</w:t>
      </w:r>
      <w:r w:rsidR="00E8096B" w:rsidRPr="00851B0F">
        <w:rPr>
          <w:rFonts w:ascii="Times New Roman" w:hAnsi="Times New Roman"/>
        </w:rPr>
        <w:t xml:space="preserve">.  </w:t>
      </w:r>
      <w:r w:rsidR="00C22596" w:rsidRPr="00851B0F">
        <w:rPr>
          <w:rFonts w:ascii="Times New Roman" w:hAnsi="Times New Roman"/>
        </w:rPr>
        <w:t>Additionally, environmental issues are expected to require significant new capital investment.</w:t>
      </w:r>
    </w:p>
    <w:p w:rsidR="00C22596" w:rsidRPr="00851B0F" w:rsidRDefault="00C22596" w:rsidP="00C22596">
      <w:pPr>
        <w:autoSpaceDE w:val="0"/>
        <w:autoSpaceDN w:val="0"/>
        <w:adjustRightInd w:val="0"/>
        <w:ind w:right="720" w:firstLine="720"/>
        <w:jc w:val="left"/>
        <w:rPr>
          <w:rFonts w:ascii="Times New Roman" w:hAnsi="Times New Roman"/>
          <w:szCs w:val="19"/>
        </w:rPr>
      </w:pPr>
      <w:r w:rsidRPr="00851B0F">
        <w:rPr>
          <w:rFonts w:ascii="Times New Roman" w:hAnsi="Times New Roman"/>
          <w:szCs w:val="19"/>
        </w:rPr>
        <w:t>In the summary in its assessment of the Electric Utility Industry, Standard &amp; Poor</w:t>
      </w:r>
      <w:r w:rsidR="00823A67" w:rsidRPr="00851B0F">
        <w:rPr>
          <w:rFonts w:ascii="Times New Roman" w:hAnsi="Times New Roman"/>
          <w:szCs w:val="19"/>
        </w:rPr>
        <w:t>’</w:t>
      </w:r>
      <w:r w:rsidRPr="00851B0F">
        <w:rPr>
          <w:rFonts w:ascii="Times New Roman" w:hAnsi="Times New Roman"/>
          <w:szCs w:val="19"/>
        </w:rPr>
        <w:t>s provided perspective for investors</w:t>
      </w:r>
      <w:r w:rsidR="00823A67" w:rsidRPr="00851B0F">
        <w:rPr>
          <w:rFonts w:ascii="Times New Roman" w:hAnsi="Times New Roman"/>
          <w:szCs w:val="19"/>
        </w:rPr>
        <w:t>’</w:t>
      </w:r>
      <w:r w:rsidRPr="00851B0F">
        <w:rPr>
          <w:rFonts w:ascii="Times New Roman" w:hAnsi="Times New Roman"/>
          <w:szCs w:val="19"/>
        </w:rPr>
        <w:t xml:space="preserve"> concerns for 2012: </w:t>
      </w:r>
    </w:p>
    <w:p w:rsidR="00C22596" w:rsidRPr="00851B0F" w:rsidRDefault="00C22596" w:rsidP="00C22596">
      <w:pPr>
        <w:pStyle w:val="answer"/>
        <w:keepNext/>
        <w:spacing w:line="240" w:lineRule="auto"/>
        <w:ind w:left="1440" w:right="720" w:firstLine="0"/>
        <w:rPr>
          <w:rFonts w:ascii="Times New Roman" w:hAnsi="Times New Roman"/>
          <w:b/>
        </w:rPr>
      </w:pPr>
      <w:r w:rsidRPr="00851B0F">
        <w:rPr>
          <w:rFonts w:ascii="Times New Roman" w:hAnsi="Times New Roman"/>
          <w:b/>
        </w:rPr>
        <w:t>Standard &amp; Poor</w:t>
      </w:r>
      <w:r w:rsidR="00823A67" w:rsidRPr="00851B0F">
        <w:rPr>
          <w:rFonts w:ascii="Times New Roman" w:hAnsi="Times New Roman"/>
          <w:b/>
        </w:rPr>
        <w:t>’</w:t>
      </w:r>
      <w:r w:rsidRPr="00851B0F">
        <w:rPr>
          <w:rFonts w:ascii="Times New Roman" w:hAnsi="Times New Roman"/>
          <w:b/>
        </w:rPr>
        <w:t>s</w:t>
      </w:r>
    </w:p>
    <w:p w:rsidR="00167998" w:rsidRPr="00851B0F" w:rsidRDefault="00C22596" w:rsidP="00167998">
      <w:pPr>
        <w:pStyle w:val="answer"/>
        <w:spacing w:line="240" w:lineRule="auto"/>
        <w:ind w:left="1440" w:right="720" w:firstLine="0"/>
        <w:jc w:val="left"/>
        <w:rPr>
          <w:rFonts w:ascii="Times New Roman" w:hAnsi="Times New Roman"/>
          <w:b/>
        </w:rPr>
      </w:pPr>
      <w:r w:rsidRPr="00851B0F">
        <w:rPr>
          <w:rFonts w:ascii="Times New Roman" w:hAnsi="Times New Roman"/>
          <w:szCs w:val="24"/>
        </w:rPr>
        <w:t xml:space="preserve">Regulated U.S. electric utility companies will begin implementing Environmental Protection Agency (EPA) rules concerning carbon and other pollutants in 2012. </w:t>
      </w:r>
      <w:r w:rsidR="00BA3C0C" w:rsidRPr="00851B0F">
        <w:rPr>
          <w:rFonts w:ascii="Times New Roman" w:hAnsi="Times New Roman"/>
          <w:szCs w:val="24"/>
        </w:rPr>
        <w:t xml:space="preserve"> </w:t>
      </w:r>
      <w:r w:rsidRPr="00851B0F">
        <w:rPr>
          <w:rFonts w:ascii="Times New Roman" w:hAnsi="Times New Roman"/>
          <w:szCs w:val="24"/>
        </w:rPr>
        <w:t>Other challenges include the continued need for substantial capital spending, the potential for rate pressure in a slow growth period, and the changing global capital markets.</w:t>
      </w:r>
      <w:r w:rsidR="00117F09" w:rsidRPr="00851B0F">
        <w:rPr>
          <w:rStyle w:val="FootnoteReference"/>
          <w:szCs w:val="24"/>
        </w:rPr>
        <w:footnoteReference w:id="3"/>
      </w:r>
    </w:p>
    <w:p w:rsidR="00B81099" w:rsidRPr="00851B0F" w:rsidRDefault="0037063A" w:rsidP="00C22596">
      <w:pPr>
        <w:pStyle w:val="answer"/>
        <w:spacing w:before="240" w:line="480" w:lineRule="auto"/>
        <w:ind w:firstLine="720"/>
        <w:jc w:val="left"/>
        <w:rPr>
          <w:rFonts w:ascii="Times New Roman" w:hAnsi="Times New Roman"/>
        </w:rPr>
      </w:pPr>
      <w:r w:rsidRPr="00851B0F">
        <w:rPr>
          <w:rFonts w:ascii="Times New Roman" w:hAnsi="Times New Roman"/>
        </w:rPr>
        <w:t>In the equity markets, ongoing turmoil has increased investors</w:t>
      </w:r>
      <w:r w:rsidR="00823A67" w:rsidRPr="00851B0F">
        <w:rPr>
          <w:rFonts w:ascii="Times New Roman" w:hAnsi="Times New Roman"/>
        </w:rPr>
        <w:t>’</w:t>
      </w:r>
      <w:r w:rsidRPr="00851B0F">
        <w:rPr>
          <w:rFonts w:ascii="Times New Roman" w:hAnsi="Times New Roman"/>
        </w:rPr>
        <w:t xml:space="preserve"> preferences for safer, dividend paying companies</w:t>
      </w:r>
      <w:r w:rsidR="00E8096B" w:rsidRPr="00851B0F">
        <w:rPr>
          <w:rFonts w:ascii="Times New Roman" w:hAnsi="Times New Roman"/>
        </w:rPr>
        <w:t xml:space="preserve">.  </w:t>
      </w:r>
      <w:r w:rsidRPr="00851B0F">
        <w:rPr>
          <w:rFonts w:ascii="Times New Roman" w:hAnsi="Times New Roman"/>
        </w:rPr>
        <w:t>Value Line discusses this phenomenon and provides a warning of possible over</w:t>
      </w:r>
      <w:r w:rsidR="004A13A9">
        <w:rPr>
          <w:rFonts w:ascii="Times New Roman" w:hAnsi="Times New Roman"/>
        </w:rPr>
        <w:t>-</w:t>
      </w:r>
      <w:r w:rsidRPr="00851B0F">
        <w:rPr>
          <w:rFonts w:ascii="Times New Roman" w:hAnsi="Times New Roman"/>
        </w:rPr>
        <w:t>valuation in its recent Electric Utility update.</w:t>
      </w:r>
    </w:p>
    <w:p w:rsidR="00B81099" w:rsidRPr="00851B0F" w:rsidRDefault="0037063A" w:rsidP="0043344B">
      <w:pPr>
        <w:keepNext/>
        <w:autoSpaceDE w:val="0"/>
        <w:autoSpaceDN w:val="0"/>
        <w:adjustRightInd w:val="0"/>
        <w:spacing w:line="240" w:lineRule="auto"/>
        <w:ind w:left="1440" w:firstLine="0"/>
        <w:rPr>
          <w:rFonts w:ascii="Times New Roman" w:hAnsi="Times New Roman"/>
          <w:b/>
          <w:szCs w:val="19"/>
        </w:rPr>
      </w:pPr>
      <w:r w:rsidRPr="00851B0F">
        <w:rPr>
          <w:rFonts w:ascii="Times New Roman" w:hAnsi="Times New Roman"/>
          <w:b/>
          <w:szCs w:val="19"/>
        </w:rPr>
        <w:t>Value Line Investor Survey</w:t>
      </w:r>
    </w:p>
    <w:p w:rsidR="00167998" w:rsidRPr="00851B0F" w:rsidRDefault="003C2C6D" w:rsidP="00167998">
      <w:pPr>
        <w:autoSpaceDE w:val="0"/>
        <w:autoSpaceDN w:val="0"/>
        <w:adjustRightInd w:val="0"/>
        <w:spacing w:line="240" w:lineRule="auto"/>
        <w:ind w:left="1440" w:right="720" w:firstLine="0"/>
        <w:jc w:val="left"/>
        <w:rPr>
          <w:rFonts w:ascii="Times New Roman" w:hAnsi="Times New Roman"/>
          <w:szCs w:val="24"/>
        </w:rPr>
      </w:pPr>
      <w:r w:rsidRPr="00851B0F">
        <w:rPr>
          <w:rFonts w:ascii="Times New Roman" w:hAnsi="Times New Roman"/>
          <w:szCs w:val="24"/>
        </w:rPr>
        <w:t>The prices of many electric utility issues have risen to atypically high valuations.  Several utility stocks are trading at a premium to the market price-earnings ratio.  The vast majority have share prices that are within their</w:t>
      </w:r>
      <w:r w:rsidR="00CE7BF1" w:rsidRPr="00851B0F">
        <w:rPr>
          <w:rFonts w:ascii="Times New Roman" w:hAnsi="Times New Roman"/>
          <w:szCs w:val="24"/>
        </w:rPr>
        <w:t xml:space="preserve"> </w:t>
      </w:r>
      <w:r w:rsidRPr="00851B0F">
        <w:rPr>
          <w:rFonts w:ascii="Times New Roman" w:hAnsi="Times New Roman"/>
          <w:szCs w:val="24"/>
        </w:rPr>
        <w:t>2015</w:t>
      </w:r>
      <w:r w:rsidR="004A13A9">
        <w:rPr>
          <w:rFonts w:ascii="Times New Roman" w:hAnsi="Times New Roman"/>
          <w:szCs w:val="24"/>
        </w:rPr>
        <w:t>–</w:t>
      </w:r>
      <w:r w:rsidRPr="00851B0F">
        <w:rPr>
          <w:rFonts w:ascii="Times New Roman" w:hAnsi="Times New Roman"/>
          <w:szCs w:val="24"/>
        </w:rPr>
        <w:t xml:space="preserve">2017 Target Price Ranges. </w:t>
      </w:r>
      <w:r w:rsidR="00BA3C0C" w:rsidRPr="00851B0F">
        <w:rPr>
          <w:rFonts w:ascii="Times New Roman" w:hAnsi="Times New Roman"/>
          <w:szCs w:val="24"/>
        </w:rPr>
        <w:t xml:space="preserve"> </w:t>
      </w:r>
      <w:r w:rsidRPr="00851B0F">
        <w:rPr>
          <w:rFonts w:ascii="Times New Roman" w:hAnsi="Times New Roman"/>
          <w:szCs w:val="24"/>
        </w:rPr>
        <w:t xml:space="preserve">Thus, it has become hard to find attractive electric utility selections. </w:t>
      </w:r>
      <w:r w:rsidR="00BA3C0C" w:rsidRPr="00851B0F">
        <w:rPr>
          <w:rFonts w:ascii="Times New Roman" w:hAnsi="Times New Roman"/>
          <w:szCs w:val="24"/>
        </w:rPr>
        <w:t xml:space="preserve"> </w:t>
      </w:r>
      <w:r w:rsidRPr="00851B0F">
        <w:rPr>
          <w:rFonts w:ascii="Times New Roman" w:hAnsi="Times New Roman"/>
          <w:szCs w:val="24"/>
        </w:rPr>
        <w:t xml:space="preserve">In particular, we would avoid the shares of </w:t>
      </w:r>
      <w:r w:rsidRPr="00851B0F">
        <w:rPr>
          <w:rFonts w:ascii="Times New Roman" w:hAnsi="Times New Roman"/>
          <w:i/>
          <w:iCs/>
          <w:szCs w:val="24"/>
        </w:rPr>
        <w:t xml:space="preserve">PG&amp;E </w:t>
      </w:r>
      <w:r w:rsidRPr="00851B0F">
        <w:rPr>
          <w:rFonts w:ascii="Times New Roman" w:hAnsi="Times New Roman"/>
          <w:szCs w:val="24"/>
        </w:rPr>
        <w:t xml:space="preserve">and </w:t>
      </w:r>
      <w:r w:rsidRPr="00851B0F">
        <w:rPr>
          <w:rFonts w:ascii="Times New Roman" w:hAnsi="Times New Roman"/>
          <w:i/>
          <w:iCs/>
          <w:szCs w:val="24"/>
        </w:rPr>
        <w:t>Edison International</w:t>
      </w:r>
      <w:r w:rsidRPr="00851B0F">
        <w:rPr>
          <w:rFonts w:ascii="Times New Roman" w:hAnsi="Times New Roman"/>
          <w:szCs w:val="24"/>
        </w:rPr>
        <w:t>.</w:t>
      </w:r>
      <w:r w:rsidR="00117F09" w:rsidRPr="00851B0F">
        <w:rPr>
          <w:rStyle w:val="FootnoteReference"/>
          <w:szCs w:val="24"/>
        </w:rPr>
        <w:footnoteReference w:id="4"/>
      </w:r>
    </w:p>
    <w:p w:rsidR="00B81099" w:rsidRPr="00851B0F" w:rsidRDefault="0037063A" w:rsidP="00A96796">
      <w:pPr>
        <w:pStyle w:val="answer"/>
        <w:spacing w:before="240" w:line="480" w:lineRule="auto"/>
        <w:ind w:firstLine="0"/>
        <w:jc w:val="left"/>
        <w:rPr>
          <w:rFonts w:ascii="Times New Roman" w:hAnsi="Times New Roman"/>
        </w:rPr>
      </w:pPr>
      <w:r w:rsidRPr="00851B0F">
        <w:rPr>
          <w:rFonts w:ascii="Times New Roman" w:hAnsi="Times New Roman"/>
        </w:rPr>
        <w:t>Credit market gyrations and the volatility of utility shares demonstrate the increased uncertainties that utility investors face</w:t>
      </w:r>
      <w:r w:rsidR="00E8096B" w:rsidRPr="00851B0F">
        <w:rPr>
          <w:rFonts w:ascii="Times New Roman" w:hAnsi="Times New Roman"/>
        </w:rPr>
        <w:t xml:space="preserve">.  </w:t>
      </w:r>
      <w:r w:rsidRPr="00851B0F">
        <w:rPr>
          <w:rFonts w:ascii="Times New Roman" w:hAnsi="Times New Roman"/>
        </w:rPr>
        <w:t>These uncertainties translate into a higher cost of equity capital.</w:t>
      </w:r>
    </w:p>
    <w:p w:rsidR="00B81099" w:rsidRPr="00851B0F" w:rsidRDefault="0037063A" w:rsidP="00734C05">
      <w:pPr>
        <w:pStyle w:val="BodyTextIndent2"/>
        <w:widowControl w:val="0"/>
        <w:spacing w:before="0"/>
        <w:rPr>
          <w:rFonts w:ascii="Times New Roman" w:hAnsi="Times New Roman"/>
        </w:rPr>
      </w:pPr>
      <w:r w:rsidRPr="00851B0F">
        <w:rPr>
          <w:rFonts w:ascii="Times New Roman" w:hAnsi="Times New Roman"/>
        </w:rPr>
        <w:t>Q.</w:t>
      </w:r>
      <w:r w:rsidRPr="00851B0F">
        <w:rPr>
          <w:rFonts w:ascii="Times New Roman" w:hAnsi="Times New Roman"/>
        </w:rPr>
        <w:tab/>
        <w:t>How do capital market concerns and financial risk perceptions affect the cost of equity capital?</w:t>
      </w:r>
    </w:p>
    <w:p w:rsidR="00B81099" w:rsidRPr="00851B0F" w:rsidRDefault="0037063A" w:rsidP="00734C05">
      <w:pPr>
        <w:pStyle w:val="BodyTextIndent2"/>
        <w:widowControl w:val="0"/>
        <w:spacing w:before="0"/>
        <w:jc w:val="left"/>
        <w:rPr>
          <w:rFonts w:ascii="Times New Roman" w:hAnsi="Times New Roman"/>
          <w:b w:val="0"/>
        </w:rPr>
      </w:pPr>
      <w:r w:rsidRPr="00851B0F">
        <w:rPr>
          <w:rFonts w:ascii="Times New Roman" w:hAnsi="Times New Roman"/>
          <w:b w:val="0"/>
        </w:rPr>
        <w:t>A.</w:t>
      </w:r>
      <w:r w:rsidRPr="00851B0F">
        <w:rPr>
          <w:rFonts w:ascii="Times New Roman" w:hAnsi="Times New Roman"/>
          <w:b w:val="0"/>
        </w:rPr>
        <w:tab/>
        <w:t>As I discussed previously, equity investors respond to changing assessments of risk and financial prospects by changing the price they are willing to pay for a given security</w:t>
      </w:r>
      <w:r w:rsidR="00E8096B" w:rsidRPr="00851B0F">
        <w:rPr>
          <w:rFonts w:ascii="Times New Roman" w:hAnsi="Times New Roman"/>
          <w:b w:val="0"/>
        </w:rPr>
        <w:t xml:space="preserve">.  </w:t>
      </w:r>
      <w:r w:rsidRPr="00851B0F">
        <w:rPr>
          <w:rFonts w:ascii="Times New Roman" w:hAnsi="Times New Roman"/>
          <w:b w:val="0"/>
        </w:rPr>
        <w:t>When the risk perceptions increase or financial prospects decline, investors refuse to pay the previously existing market price for a company</w:t>
      </w:r>
      <w:r w:rsidR="00823A67" w:rsidRPr="00851B0F">
        <w:rPr>
          <w:rFonts w:ascii="Times New Roman" w:hAnsi="Times New Roman"/>
          <w:b w:val="0"/>
        </w:rPr>
        <w:t>’</w:t>
      </w:r>
      <w:r w:rsidRPr="00851B0F">
        <w:rPr>
          <w:rFonts w:ascii="Times New Roman" w:hAnsi="Times New Roman"/>
          <w:b w:val="0"/>
        </w:rPr>
        <w:t>s securities</w:t>
      </w:r>
      <w:r w:rsidR="00F94E72" w:rsidRPr="00851B0F">
        <w:rPr>
          <w:rFonts w:ascii="Times New Roman" w:hAnsi="Times New Roman"/>
          <w:b w:val="0"/>
        </w:rPr>
        <w:t>,</w:t>
      </w:r>
      <w:r w:rsidRPr="00851B0F">
        <w:rPr>
          <w:rFonts w:ascii="Times New Roman" w:hAnsi="Times New Roman"/>
          <w:b w:val="0"/>
        </w:rPr>
        <w:t xml:space="preserve"> and market supply and demand forces then establish a new lower price</w:t>
      </w:r>
      <w:r w:rsidR="00E8096B" w:rsidRPr="00851B0F">
        <w:rPr>
          <w:rFonts w:ascii="Times New Roman" w:hAnsi="Times New Roman"/>
          <w:b w:val="0"/>
        </w:rPr>
        <w:t xml:space="preserve">.  </w:t>
      </w:r>
      <w:r w:rsidRPr="00851B0F">
        <w:rPr>
          <w:rFonts w:ascii="Times New Roman" w:hAnsi="Times New Roman"/>
          <w:b w:val="0"/>
        </w:rPr>
        <w:t>The lower market price typically translates into a higher cost of capital through a higher dividend yield requirement</w:t>
      </w:r>
      <w:r w:rsidR="00F94E72" w:rsidRPr="00851B0F">
        <w:rPr>
          <w:rFonts w:ascii="Times New Roman" w:hAnsi="Times New Roman"/>
          <w:b w:val="0"/>
        </w:rPr>
        <w:t>,</w:t>
      </w:r>
      <w:r w:rsidRPr="00851B0F">
        <w:rPr>
          <w:rFonts w:ascii="Times New Roman" w:hAnsi="Times New Roman"/>
          <w:b w:val="0"/>
        </w:rPr>
        <w:t xml:space="preserve"> as well as the potential for increased capital gains if prospects improve</w:t>
      </w:r>
      <w:r w:rsidR="00E8096B" w:rsidRPr="00851B0F">
        <w:rPr>
          <w:rFonts w:ascii="Times New Roman" w:hAnsi="Times New Roman"/>
          <w:b w:val="0"/>
        </w:rPr>
        <w:t xml:space="preserve">.  </w:t>
      </w:r>
      <w:r w:rsidRPr="00851B0F">
        <w:rPr>
          <w:rFonts w:ascii="Times New Roman" w:hAnsi="Times New Roman"/>
          <w:b w:val="0"/>
        </w:rPr>
        <w:t>In addition to market losses for prior shareholders, the higher cost of capital is transmitted directly to the company by the need to earn a higher cost of capital on existing and new investments just to maintain the stock</w:t>
      </w:r>
      <w:r w:rsidR="00823A67" w:rsidRPr="00851B0F">
        <w:rPr>
          <w:rFonts w:ascii="Times New Roman" w:hAnsi="Times New Roman"/>
          <w:b w:val="0"/>
        </w:rPr>
        <w:t>’</w:t>
      </w:r>
      <w:r w:rsidRPr="00851B0F">
        <w:rPr>
          <w:rFonts w:ascii="Times New Roman" w:hAnsi="Times New Roman"/>
          <w:b w:val="0"/>
        </w:rPr>
        <w:t>s new lower price level and the reality that the firm must issue more shares to raise any given amount of capital for future investment</w:t>
      </w:r>
      <w:r w:rsidR="00E8096B" w:rsidRPr="00851B0F">
        <w:rPr>
          <w:rFonts w:ascii="Times New Roman" w:hAnsi="Times New Roman"/>
          <w:b w:val="0"/>
        </w:rPr>
        <w:t xml:space="preserve">.  </w:t>
      </w:r>
      <w:r w:rsidRPr="00851B0F">
        <w:rPr>
          <w:rFonts w:ascii="Times New Roman" w:hAnsi="Times New Roman"/>
          <w:b w:val="0"/>
        </w:rPr>
        <w:t>The additional shares also impose additional future dividend requirements and may reduce future earnings per share growth prospects if the proceeds of the share issuance are unable to earn their expected rate of return.</w:t>
      </w:r>
    </w:p>
    <w:p w:rsidR="00B81099" w:rsidRPr="00851B0F" w:rsidRDefault="0037063A" w:rsidP="00734C05">
      <w:pPr>
        <w:pStyle w:val="BodyTextIndent2"/>
        <w:spacing w:before="0"/>
        <w:jc w:val="left"/>
        <w:rPr>
          <w:rFonts w:ascii="Times New Roman" w:hAnsi="Times New Roman"/>
        </w:rPr>
      </w:pPr>
      <w:r w:rsidRPr="00851B0F">
        <w:rPr>
          <w:rFonts w:ascii="Times New Roman" w:hAnsi="Times New Roman"/>
        </w:rPr>
        <w:t>Q.</w:t>
      </w:r>
      <w:r w:rsidRPr="00851B0F">
        <w:rPr>
          <w:rFonts w:ascii="Times New Roman" w:hAnsi="Times New Roman"/>
        </w:rPr>
        <w:tab/>
        <w:t>How have regulatory commissions responded to these changing market and industry conditions?</w:t>
      </w:r>
    </w:p>
    <w:p w:rsidR="004D1887" w:rsidRPr="00851B0F" w:rsidRDefault="0037063A" w:rsidP="004D1887">
      <w:pPr>
        <w:autoSpaceDE w:val="0"/>
        <w:autoSpaceDN w:val="0"/>
        <w:adjustRightInd w:val="0"/>
        <w:rPr>
          <w:rFonts w:ascii="Times New Roman" w:hAnsi="Times New Roman"/>
        </w:rPr>
      </w:pPr>
      <w:r w:rsidRPr="00851B0F">
        <w:rPr>
          <w:rFonts w:ascii="Times New Roman" w:hAnsi="Times New Roman"/>
        </w:rPr>
        <w:t>A.</w:t>
      </w:r>
      <w:r w:rsidRPr="00851B0F">
        <w:rPr>
          <w:rFonts w:ascii="Times New Roman" w:hAnsi="Times New Roman"/>
        </w:rPr>
        <w:tab/>
      </w:r>
      <w:r w:rsidRPr="00851B0F">
        <w:rPr>
          <w:rFonts w:ascii="Times New Roman" w:hAnsi="Times New Roman" w:cs="Arial"/>
        </w:rPr>
        <w:t xml:space="preserve">Over the past five years, allowed ROEs </w:t>
      </w:r>
      <w:r w:rsidR="005C298E" w:rsidRPr="00851B0F">
        <w:rPr>
          <w:rFonts w:ascii="Times New Roman" w:hAnsi="Times New Roman" w:cs="Arial"/>
        </w:rPr>
        <w:t xml:space="preserve">for vertically-integrated utilities </w:t>
      </w:r>
      <w:r w:rsidRPr="00851B0F">
        <w:rPr>
          <w:rFonts w:ascii="Times New Roman" w:hAnsi="Times New Roman" w:cs="Arial"/>
        </w:rPr>
        <w:t>have averaged ab</w:t>
      </w:r>
      <w:r w:rsidR="00C22596" w:rsidRPr="00851B0F">
        <w:rPr>
          <w:rFonts w:ascii="Times New Roman" w:hAnsi="Times New Roman" w:cs="Arial"/>
        </w:rPr>
        <w:t>ove</w:t>
      </w:r>
      <w:r w:rsidRPr="00851B0F">
        <w:rPr>
          <w:rFonts w:ascii="Times New Roman" w:hAnsi="Times New Roman" w:cs="Arial"/>
        </w:rPr>
        <w:t xml:space="preserve"> 10 percent</w:t>
      </w:r>
      <w:r w:rsidR="00E8096B" w:rsidRPr="00851B0F">
        <w:rPr>
          <w:rFonts w:ascii="Times New Roman" w:hAnsi="Times New Roman" w:cs="Arial"/>
        </w:rPr>
        <w:t xml:space="preserve">.  </w:t>
      </w:r>
      <w:r w:rsidR="004D1887" w:rsidRPr="00851B0F">
        <w:rPr>
          <w:rFonts w:ascii="Times New Roman" w:hAnsi="Times New Roman"/>
        </w:rPr>
        <w:t xml:space="preserve">The quarterly averages are shown in Table </w:t>
      </w:r>
      <w:r w:rsidR="00B0428D" w:rsidRPr="00851B0F">
        <w:rPr>
          <w:rFonts w:ascii="Times New Roman" w:hAnsi="Times New Roman"/>
        </w:rPr>
        <w:t xml:space="preserve">3 </w:t>
      </w:r>
      <w:r w:rsidR="004D1887" w:rsidRPr="00851B0F">
        <w:rPr>
          <w:rFonts w:ascii="Times New Roman" w:hAnsi="Times New Roman"/>
        </w:rPr>
        <w:t>below:</w:t>
      </w:r>
    </w:p>
    <w:p w:rsidR="004D1887" w:rsidRPr="00851B0F" w:rsidRDefault="004D1887" w:rsidP="00A96796">
      <w:pPr>
        <w:pStyle w:val="BodyTextIndent2"/>
        <w:keepNext/>
        <w:suppressLineNumbers/>
        <w:tabs>
          <w:tab w:val="left" w:pos="720"/>
        </w:tabs>
        <w:spacing w:before="0" w:line="240" w:lineRule="auto"/>
        <w:ind w:right="360" w:firstLine="0"/>
        <w:jc w:val="center"/>
        <w:rPr>
          <w:rFonts w:ascii="Times New Roman" w:hAnsi="Times New Roman"/>
          <w:b w:val="0"/>
          <w:szCs w:val="24"/>
        </w:rPr>
      </w:pPr>
      <w:r w:rsidRPr="00851B0F">
        <w:rPr>
          <w:rFonts w:ascii="Times New Roman" w:hAnsi="Times New Roman"/>
          <w:szCs w:val="24"/>
        </w:rPr>
        <w:t xml:space="preserve">Table </w:t>
      </w:r>
      <w:r w:rsidR="00B0428D" w:rsidRPr="00851B0F">
        <w:rPr>
          <w:rFonts w:ascii="Times New Roman" w:hAnsi="Times New Roman"/>
          <w:szCs w:val="24"/>
        </w:rPr>
        <w:t>3</w:t>
      </w:r>
    </w:p>
    <w:p w:rsidR="004D1887" w:rsidRPr="00851B0F" w:rsidRDefault="004D1887" w:rsidP="00A96796">
      <w:pPr>
        <w:pStyle w:val="BodyTextIndent2"/>
        <w:keepNext/>
        <w:suppressLineNumbers/>
        <w:tabs>
          <w:tab w:val="left" w:pos="720"/>
          <w:tab w:val="right" w:pos="7560"/>
        </w:tabs>
        <w:spacing w:before="0" w:line="240" w:lineRule="auto"/>
        <w:ind w:right="360" w:firstLine="0"/>
        <w:jc w:val="center"/>
        <w:rPr>
          <w:rFonts w:ascii="Times New Roman" w:hAnsi="Times New Roman"/>
          <w:b w:val="0"/>
          <w:szCs w:val="24"/>
        </w:rPr>
      </w:pPr>
      <w:r w:rsidRPr="00851B0F">
        <w:rPr>
          <w:rFonts w:ascii="Times New Roman" w:hAnsi="Times New Roman"/>
          <w:szCs w:val="24"/>
        </w:rPr>
        <w:t>Authorized Equity Returns for Vertically-Integrated Electric Utilities</w:t>
      </w:r>
    </w:p>
    <w:p w:rsidR="004D1887" w:rsidRPr="00851B0F" w:rsidRDefault="004D1887" w:rsidP="004D1887">
      <w:pPr>
        <w:keepNext/>
        <w:keepLines/>
        <w:suppressLineNumbers/>
        <w:tabs>
          <w:tab w:val="left" w:pos="720"/>
          <w:tab w:val="right" w:pos="2160"/>
          <w:tab w:val="right" w:pos="3420"/>
          <w:tab w:val="right" w:pos="4770"/>
          <w:tab w:val="right" w:pos="6120"/>
          <w:tab w:val="right" w:pos="7380"/>
          <w:tab w:val="right" w:pos="8460"/>
          <w:tab w:val="right" w:pos="8640"/>
        </w:tabs>
        <w:spacing w:line="240" w:lineRule="auto"/>
        <w:ind w:right="360"/>
        <w:rPr>
          <w:rFonts w:ascii="Times New Roman" w:hAnsi="Times New Roman"/>
          <w:u w:val="single"/>
        </w:rPr>
      </w:pPr>
      <w:r w:rsidRPr="00851B0F">
        <w:rPr>
          <w:rFonts w:ascii="Times New Roman" w:hAnsi="Times New Roman"/>
        </w:rPr>
        <w:tab/>
      </w:r>
      <w:r w:rsidRPr="00851B0F">
        <w:rPr>
          <w:rFonts w:ascii="Times New Roman" w:hAnsi="Times New Roman"/>
          <w:u w:val="single"/>
        </w:rPr>
        <w:tab/>
      </w:r>
      <w:r w:rsidRPr="00851B0F">
        <w:rPr>
          <w:rFonts w:ascii="Times New Roman" w:hAnsi="Times New Roman"/>
          <w:u w:val="single"/>
        </w:rPr>
        <w:tab/>
        <w:t>2008</w:t>
      </w:r>
      <w:r w:rsidRPr="00851B0F">
        <w:rPr>
          <w:rFonts w:ascii="Times New Roman" w:hAnsi="Times New Roman"/>
          <w:u w:val="single"/>
        </w:rPr>
        <w:tab/>
        <w:t>2009</w:t>
      </w:r>
      <w:r w:rsidRPr="00851B0F">
        <w:rPr>
          <w:rFonts w:ascii="Times New Roman" w:hAnsi="Times New Roman"/>
          <w:u w:val="single"/>
        </w:rPr>
        <w:tab/>
        <w:t>2010</w:t>
      </w:r>
      <w:r w:rsidRPr="00851B0F">
        <w:rPr>
          <w:rFonts w:ascii="Times New Roman" w:hAnsi="Times New Roman"/>
          <w:u w:val="single"/>
        </w:rPr>
        <w:tab/>
        <w:t>2011</w:t>
      </w:r>
      <w:r w:rsidRPr="00851B0F">
        <w:rPr>
          <w:rFonts w:ascii="Times New Roman" w:hAnsi="Times New Roman"/>
          <w:u w:val="single"/>
        </w:rPr>
        <w:tab/>
        <w:t>2012</w:t>
      </w:r>
      <w:r w:rsidRPr="00851B0F">
        <w:rPr>
          <w:rFonts w:ascii="Times New Roman" w:hAnsi="Times New Roman"/>
          <w:u w:val="single"/>
        </w:rPr>
        <w:tab/>
      </w:r>
    </w:p>
    <w:p w:rsidR="004D1887" w:rsidRPr="00851B0F" w:rsidRDefault="004D1887" w:rsidP="004D1887">
      <w:pPr>
        <w:keepNext/>
        <w:keepLines/>
        <w:suppressLineNumbers/>
        <w:tabs>
          <w:tab w:val="left" w:pos="720"/>
          <w:tab w:val="right" w:pos="3600"/>
          <w:tab w:val="right" w:pos="4950"/>
          <w:tab w:val="right" w:pos="6300"/>
          <w:tab w:val="right" w:pos="7560"/>
          <w:tab w:val="right" w:pos="8640"/>
        </w:tabs>
        <w:spacing w:line="240" w:lineRule="auto"/>
        <w:ind w:right="360"/>
        <w:rPr>
          <w:rFonts w:ascii="Times New Roman" w:hAnsi="Times New Roman"/>
        </w:rPr>
      </w:pPr>
      <w:r w:rsidRPr="00851B0F">
        <w:rPr>
          <w:rFonts w:ascii="Times New Roman" w:hAnsi="Times New Roman"/>
        </w:rPr>
        <w:tab/>
        <w:t>1</w:t>
      </w:r>
      <w:r w:rsidRPr="00851B0F">
        <w:rPr>
          <w:rFonts w:ascii="Times New Roman" w:hAnsi="Times New Roman"/>
          <w:vertAlign w:val="superscript"/>
        </w:rPr>
        <w:t>st</w:t>
      </w:r>
      <w:r w:rsidRPr="00851B0F">
        <w:rPr>
          <w:rFonts w:ascii="Times New Roman" w:hAnsi="Times New Roman"/>
        </w:rPr>
        <w:t xml:space="preserve"> Quarter</w:t>
      </w:r>
      <w:r w:rsidRPr="00851B0F">
        <w:rPr>
          <w:rFonts w:ascii="Times New Roman" w:hAnsi="Times New Roman"/>
        </w:rPr>
        <w:tab/>
        <w:t>10.49%</w:t>
      </w:r>
      <w:r w:rsidRPr="00851B0F">
        <w:rPr>
          <w:rFonts w:ascii="Times New Roman" w:hAnsi="Times New Roman"/>
        </w:rPr>
        <w:tab/>
        <w:t>10.57%</w:t>
      </w:r>
      <w:r w:rsidRPr="00851B0F">
        <w:rPr>
          <w:rFonts w:ascii="Times New Roman" w:hAnsi="Times New Roman"/>
        </w:rPr>
        <w:tab/>
        <w:t>10.59%</w:t>
      </w:r>
      <w:r w:rsidRPr="00851B0F">
        <w:rPr>
          <w:rFonts w:ascii="Times New Roman" w:hAnsi="Times New Roman"/>
        </w:rPr>
        <w:tab/>
        <w:t>10.09%</w:t>
      </w:r>
      <w:r w:rsidRPr="00851B0F">
        <w:rPr>
          <w:rFonts w:ascii="Times New Roman" w:hAnsi="Times New Roman"/>
        </w:rPr>
        <w:tab/>
        <w:t>10.30%</w:t>
      </w:r>
    </w:p>
    <w:p w:rsidR="004D1887" w:rsidRPr="00851B0F" w:rsidRDefault="004D1887" w:rsidP="004D1887">
      <w:pPr>
        <w:keepNext/>
        <w:keepLines/>
        <w:suppressLineNumbers/>
        <w:tabs>
          <w:tab w:val="left" w:pos="720"/>
          <w:tab w:val="right" w:pos="3600"/>
          <w:tab w:val="right" w:pos="4950"/>
          <w:tab w:val="right" w:pos="6300"/>
          <w:tab w:val="right" w:pos="7560"/>
          <w:tab w:val="right" w:pos="8640"/>
        </w:tabs>
        <w:spacing w:line="240" w:lineRule="auto"/>
        <w:ind w:right="360"/>
        <w:rPr>
          <w:rFonts w:ascii="Times New Roman" w:hAnsi="Times New Roman"/>
        </w:rPr>
      </w:pPr>
      <w:r w:rsidRPr="00851B0F">
        <w:rPr>
          <w:rFonts w:ascii="Times New Roman" w:hAnsi="Times New Roman"/>
        </w:rPr>
        <w:tab/>
        <w:t>2</w:t>
      </w:r>
      <w:r w:rsidRPr="00851B0F">
        <w:rPr>
          <w:rFonts w:ascii="Times New Roman" w:hAnsi="Times New Roman"/>
          <w:vertAlign w:val="superscript"/>
        </w:rPr>
        <w:t>nd</w:t>
      </w:r>
      <w:r w:rsidRPr="00851B0F">
        <w:rPr>
          <w:rFonts w:ascii="Times New Roman" w:hAnsi="Times New Roman"/>
        </w:rPr>
        <w:t xml:space="preserve"> Quarter</w:t>
      </w:r>
      <w:r w:rsidRPr="00851B0F">
        <w:rPr>
          <w:rFonts w:ascii="Times New Roman" w:hAnsi="Times New Roman"/>
        </w:rPr>
        <w:tab/>
        <w:t>10.48%</w:t>
      </w:r>
      <w:r w:rsidRPr="00851B0F">
        <w:rPr>
          <w:rFonts w:ascii="Times New Roman" w:hAnsi="Times New Roman"/>
        </w:rPr>
        <w:tab/>
        <w:t>10.75%</w:t>
      </w:r>
      <w:r w:rsidRPr="00851B0F">
        <w:rPr>
          <w:rFonts w:ascii="Times New Roman" w:hAnsi="Times New Roman"/>
        </w:rPr>
        <w:tab/>
        <w:t>10.18%</w:t>
      </w:r>
      <w:r w:rsidRPr="00851B0F">
        <w:rPr>
          <w:rFonts w:ascii="Times New Roman" w:hAnsi="Times New Roman"/>
        </w:rPr>
        <w:tab/>
        <w:t>10.26%</w:t>
      </w:r>
      <w:r w:rsidRPr="00851B0F">
        <w:rPr>
          <w:rFonts w:ascii="Times New Roman" w:hAnsi="Times New Roman"/>
        </w:rPr>
        <w:tab/>
        <w:t>9.95%</w:t>
      </w:r>
    </w:p>
    <w:p w:rsidR="004D1887" w:rsidRPr="00851B0F" w:rsidRDefault="004D1887" w:rsidP="004D1887">
      <w:pPr>
        <w:keepNext/>
        <w:keepLines/>
        <w:suppressLineNumbers/>
        <w:tabs>
          <w:tab w:val="left" w:pos="720"/>
          <w:tab w:val="right" w:pos="3600"/>
          <w:tab w:val="right" w:pos="4950"/>
          <w:tab w:val="right" w:pos="6300"/>
          <w:tab w:val="right" w:pos="7560"/>
          <w:tab w:val="right" w:pos="8640"/>
        </w:tabs>
        <w:spacing w:line="240" w:lineRule="auto"/>
        <w:ind w:right="360"/>
        <w:rPr>
          <w:rFonts w:ascii="Times New Roman" w:hAnsi="Times New Roman"/>
        </w:rPr>
      </w:pPr>
      <w:r w:rsidRPr="00851B0F">
        <w:rPr>
          <w:rFonts w:ascii="Times New Roman" w:hAnsi="Times New Roman"/>
        </w:rPr>
        <w:tab/>
        <w:t>3</w:t>
      </w:r>
      <w:r w:rsidRPr="00851B0F">
        <w:rPr>
          <w:rFonts w:ascii="Times New Roman" w:hAnsi="Times New Roman"/>
          <w:vertAlign w:val="superscript"/>
        </w:rPr>
        <w:t>rd</w:t>
      </w:r>
      <w:r w:rsidRPr="00851B0F">
        <w:rPr>
          <w:rFonts w:ascii="Times New Roman" w:hAnsi="Times New Roman"/>
        </w:rPr>
        <w:t xml:space="preserve"> Quarter</w:t>
      </w:r>
      <w:r w:rsidRPr="00851B0F">
        <w:rPr>
          <w:rFonts w:ascii="Times New Roman" w:hAnsi="Times New Roman"/>
        </w:rPr>
        <w:tab/>
        <w:t>10.48%</w:t>
      </w:r>
      <w:r w:rsidRPr="00851B0F">
        <w:rPr>
          <w:rFonts w:ascii="Times New Roman" w:hAnsi="Times New Roman"/>
        </w:rPr>
        <w:tab/>
        <w:t>10.50%</w:t>
      </w:r>
      <w:r w:rsidRPr="00851B0F">
        <w:rPr>
          <w:rFonts w:ascii="Times New Roman" w:hAnsi="Times New Roman"/>
        </w:rPr>
        <w:tab/>
        <w:t>10.32%</w:t>
      </w:r>
      <w:r w:rsidRPr="00851B0F">
        <w:rPr>
          <w:rFonts w:ascii="Times New Roman" w:hAnsi="Times New Roman"/>
        </w:rPr>
        <w:tab/>
        <w:t>10.11%</w:t>
      </w:r>
      <w:r w:rsidRPr="00851B0F">
        <w:rPr>
          <w:rFonts w:ascii="Times New Roman" w:hAnsi="Times New Roman"/>
        </w:rPr>
        <w:tab/>
        <w:t>9.90%</w:t>
      </w:r>
    </w:p>
    <w:p w:rsidR="004D1887" w:rsidRPr="00851B0F" w:rsidRDefault="004D1887" w:rsidP="004D1887">
      <w:pPr>
        <w:keepNext/>
        <w:keepLines/>
        <w:suppressLineNumbers/>
        <w:tabs>
          <w:tab w:val="left" w:pos="720"/>
          <w:tab w:val="right" w:pos="3600"/>
          <w:tab w:val="right" w:pos="4950"/>
          <w:tab w:val="right" w:pos="6300"/>
          <w:tab w:val="right" w:pos="7560"/>
          <w:tab w:val="right" w:pos="8640"/>
        </w:tabs>
        <w:spacing w:line="240" w:lineRule="auto"/>
        <w:ind w:right="360"/>
        <w:rPr>
          <w:rFonts w:ascii="Times New Roman" w:hAnsi="Times New Roman"/>
          <w:u w:val="single"/>
        </w:rPr>
      </w:pPr>
      <w:r w:rsidRPr="00851B0F">
        <w:rPr>
          <w:rFonts w:ascii="Times New Roman" w:hAnsi="Times New Roman"/>
          <w:u w:val="single"/>
        </w:rPr>
        <w:tab/>
        <w:t>4</w:t>
      </w:r>
      <w:r w:rsidRPr="00851B0F">
        <w:rPr>
          <w:rFonts w:ascii="Times New Roman" w:hAnsi="Times New Roman"/>
          <w:u w:val="single"/>
          <w:vertAlign w:val="superscript"/>
        </w:rPr>
        <w:t>th</w:t>
      </w:r>
      <w:r w:rsidRPr="00851B0F">
        <w:rPr>
          <w:rFonts w:ascii="Times New Roman" w:hAnsi="Times New Roman"/>
          <w:u w:val="single"/>
        </w:rPr>
        <w:t xml:space="preserve"> Quarter</w:t>
      </w:r>
      <w:r w:rsidRPr="00851B0F">
        <w:rPr>
          <w:rFonts w:ascii="Times New Roman" w:hAnsi="Times New Roman"/>
          <w:u w:val="single"/>
        </w:rPr>
        <w:tab/>
        <w:t>10.38%</w:t>
      </w:r>
      <w:r w:rsidRPr="00851B0F">
        <w:rPr>
          <w:rFonts w:ascii="Times New Roman" w:hAnsi="Times New Roman"/>
          <w:u w:val="single"/>
        </w:rPr>
        <w:tab/>
        <w:t>10.59%</w:t>
      </w:r>
      <w:r w:rsidRPr="00851B0F">
        <w:rPr>
          <w:rFonts w:ascii="Times New Roman" w:hAnsi="Times New Roman"/>
          <w:u w:val="single"/>
        </w:rPr>
        <w:tab/>
        <w:t>10.32%</w:t>
      </w:r>
      <w:r w:rsidRPr="00851B0F">
        <w:rPr>
          <w:rFonts w:ascii="Times New Roman" w:hAnsi="Times New Roman"/>
          <w:u w:val="single"/>
        </w:rPr>
        <w:tab/>
        <w:t>10.39%</w:t>
      </w:r>
      <w:r w:rsidRPr="00851B0F">
        <w:rPr>
          <w:rFonts w:ascii="Times New Roman" w:hAnsi="Times New Roman"/>
          <w:u w:val="single"/>
        </w:rPr>
        <w:tab/>
      </w:r>
    </w:p>
    <w:p w:rsidR="004D1887" w:rsidRPr="00851B0F" w:rsidRDefault="004D1887" w:rsidP="004D1887">
      <w:pPr>
        <w:keepNext/>
        <w:keepLines/>
        <w:suppressLineNumbers/>
        <w:tabs>
          <w:tab w:val="left" w:pos="720"/>
          <w:tab w:val="left" w:pos="1170"/>
          <w:tab w:val="right" w:pos="2160"/>
          <w:tab w:val="right" w:pos="3600"/>
          <w:tab w:val="right" w:pos="4950"/>
          <w:tab w:val="right" w:pos="6300"/>
          <w:tab w:val="right" w:pos="7560"/>
          <w:tab w:val="right" w:pos="8640"/>
        </w:tabs>
        <w:spacing w:line="240" w:lineRule="auto"/>
        <w:ind w:right="360"/>
        <w:rPr>
          <w:rFonts w:ascii="Times New Roman" w:hAnsi="Times New Roman"/>
        </w:rPr>
      </w:pPr>
      <w:r w:rsidRPr="00851B0F">
        <w:rPr>
          <w:rFonts w:ascii="Times New Roman" w:hAnsi="Times New Roman"/>
        </w:rPr>
        <w:tab/>
        <w:t>Full Year Average</w:t>
      </w:r>
      <w:r w:rsidRPr="00851B0F">
        <w:rPr>
          <w:rFonts w:ascii="Times New Roman" w:hAnsi="Times New Roman"/>
        </w:rPr>
        <w:tab/>
        <w:t>10.45%</w:t>
      </w:r>
      <w:r w:rsidRPr="00851B0F">
        <w:rPr>
          <w:rFonts w:ascii="Times New Roman" w:hAnsi="Times New Roman"/>
        </w:rPr>
        <w:tab/>
        <w:t>10.63%</w:t>
      </w:r>
      <w:r w:rsidRPr="00851B0F">
        <w:rPr>
          <w:rFonts w:ascii="Times New Roman" w:hAnsi="Times New Roman"/>
        </w:rPr>
        <w:tab/>
        <w:t>10.38%</w:t>
      </w:r>
      <w:r w:rsidRPr="00851B0F">
        <w:rPr>
          <w:rFonts w:ascii="Times New Roman" w:hAnsi="Times New Roman"/>
        </w:rPr>
        <w:tab/>
        <w:t>10.24%</w:t>
      </w:r>
      <w:r w:rsidRPr="00851B0F">
        <w:rPr>
          <w:rFonts w:ascii="Times New Roman" w:hAnsi="Times New Roman"/>
        </w:rPr>
        <w:tab/>
        <w:t>10.</w:t>
      </w:r>
      <w:r w:rsidR="00B0428D" w:rsidRPr="00851B0F">
        <w:rPr>
          <w:rFonts w:ascii="Times New Roman" w:hAnsi="Times New Roman"/>
        </w:rPr>
        <w:t>05</w:t>
      </w:r>
      <w:r w:rsidRPr="00851B0F">
        <w:rPr>
          <w:rFonts w:ascii="Times New Roman" w:hAnsi="Times New Roman"/>
        </w:rPr>
        <w:t>%</w:t>
      </w:r>
    </w:p>
    <w:p w:rsidR="004D1887" w:rsidRPr="00851B0F" w:rsidRDefault="004D1887" w:rsidP="004E24FD">
      <w:pPr>
        <w:pStyle w:val="BodyTextIndent2"/>
        <w:keepNext/>
        <w:suppressLineNumbers/>
        <w:tabs>
          <w:tab w:val="left" w:pos="720"/>
        </w:tabs>
        <w:spacing w:before="120" w:line="240" w:lineRule="auto"/>
        <w:ind w:right="360"/>
        <w:jc w:val="left"/>
        <w:rPr>
          <w:rFonts w:ascii="Times New Roman" w:hAnsi="Times New Roman"/>
          <w:b w:val="0"/>
          <w:sz w:val="20"/>
        </w:rPr>
      </w:pPr>
      <w:r w:rsidRPr="00851B0F">
        <w:rPr>
          <w:rFonts w:ascii="Times New Roman" w:hAnsi="Times New Roman"/>
          <w:b w:val="0"/>
          <w:szCs w:val="24"/>
        </w:rPr>
        <w:tab/>
      </w:r>
      <w:r w:rsidR="00870EBE" w:rsidRPr="00851B0F">
        <w:rPr>
          <w:rFonts w:ascii="Times New Roman" w:hAnsi="Times New Roman"/>
          <w:b w:val="0"/>
          <w:sz w:val="20"/>
        </w:rPr>
        <w:t>Source:  Regulatory Focus, SNL Regulatory Research Associates, Major Rate Case Decisions, October 4; Exhibit No.___(SCH-5).</w:t>
      </w:r>
    </w:p>
    <w:p w:rsidR="00167998" w:rsidRPr="00851B0F" w:rsidRDefault="004D1887" w:rsidP="00167998">
      <w:pPr>
        <w:pStyle w:val="Heading3"/>
        <w:keepNext w:val="0"/>
        <w:ind w:firstLine="0"/>
        <w:jc w:val="left"/>
      </w:pPr>
      <w:r w:rsidRPr="00851B0F">
        <w:rPr>
          <w:rFonts w:ascii="Times New Roman" w:hAnsi="Times New Roman" w:cs="Arial"/>
          <w:b w:val="0"/>
          <w:u w:val="none"/>
        </w:rPr>
        <w:t xml:space="preserve">For integrated electrics, like </w:t>
      </w:r>
      <w:r w:rsidR="00321720" w:rsidRPr="00851B0F">
        <w:rPr>
          <w:rFonts w:ascii="Times New Roman" w:hAnsi="Times New Roman" w:cs="Arial"/>
          <w:b w:val="0"/>
          <w:u w:val="none"/>
        </w:rPr>
        <w:t>the Company</w:t>
      </w:r>
      <w:r w:rsidRPr="00851B0F">
        <w:rPr>
          <w:rFonts w:ascii="Times New Roman" w:hAnsi="Times New Roman" w:cs="Arial"/>
          <w:b w:val="0"/>
          <w:u w:val="none"/>
        </w:rPr>
        <w:t xml:space="preserve">, the </w:t>
      </w:r>
      <w:r w:rsidRPr="00851B0F">
        <w:rPr>
          <w:rFonts w:ascii="Times New Roman" w:hAnsi="Times New Roman" w:cs="Arial"/>
          <w:b w:val="0"/>
          <w:szCs w:val="24"/>
          <w:u w:val="none"/>
        </w:rPr>
        <w:t>average allowed rate for 2011 was 10.24 percen</w:t>
      </w:r>
      <w:r w:rsidR="005031FE" w:rsidRPr="00851B0F">
        <w:rPr>
          <w:rFonts w:ascii="Times New Roman" w:hAnsi="Times New Roman" w:cs="Arial"/>
          <w:b w:val="0"/>
          <w:szCs w:val="24"/>
          <w:u w:val="none"/>
        </w:rPr>
        <w:t>t,</w:t>
      </w:r>
      <w:r w:rsidRPr="00851B0F">
        <w:rPr>
          <w:rFonts w:ascii="Times New Roman" w:hAnsi="Times New Roman" w:cs="Arial"/>
          <w:b w:val="0"/>
          <w:szCs w:val="24"/>
          <w:u w:val="none"/>
        </w:rPr>
        <w:t xml:space="preserve"> and for the first </w:t>
      </w:r>
      <w:r w:rsidR="00F94E72" w:rsidRPr="00851B0F">
        <w:rPr>
          <w:rFonts w:ascii="Times New Roman" w:hAnsi="Times New Roman" w:cs="Arial"/>
          <w:b w:val="0"/>
          <w:szCs w:val="24"/>
          <w:u w:val="none"/>
        </w:rPr>
        <w:t>three</w:t>
      </w:r>
      <w:r w:rsidRPr="00851B0F">
        <w:rPr>
          <w:rFonts w:ascii="Times New Roman" w:hAnsi="Times New Roman" w:cs="Arial"/>
          <w:b w:val="0"/>
          <w:szCs w:val="24"/>
          <w:u w:val="none"/>
        </w:rPr>
        <w:t xml:space="preserve"> </w:t>
      </w:r>
      <w:r w:rsidR="00F94E72" w:rsidRPr="00851B0F">
        <w:rPr>
          <w:rFonts w:ascii="Times New Roman" w:hAnsi="Times New Roman" w:cs="Arial"/>
          <w:b w:val="0"/>
          <w:szCs w:val="24"/>
          <w:u w:val="none"/>
        </w:rPr>
        <w:t>q</w:t>
      </w:r>
      <w:r w:rsidRPr="00851B0F">
        <w:rPr>
          <w:rFonts w:ascii="Times New Roman" w:hAnsi="Times New Roman" w:cs="Arial"/>
          <w:b w:val="0"/>
          <w:szCs w:val="24"/>
          <w:u w:val="none"/>
        </w:rPr>
        <w:t>uarters of 2012 it was 10.</w:t>
      </w:r>
      <w:r w:rsidR="00B0428D" w:rsidRPr="00851B0F">
        <w:rPr>
          <w:rFonts w:ascii="Times New Roman" w:hAnsi="Times New Roman" w:cs="Arial"/>
          <w:b w:val="0"/>
          <w:szCs w:val="24"/>
          <w:u w:val="none"/>
        </w:rPr>
        <w:t xml:space="preserve">05 </w:t>
      </w:r>
      <w:r w:rsidRPr="00851B0F">
        <w:rPr>
          <w:rFonts w:ascii="Times New Roman" w:hAnsi="Times New Roman" w:cs="Arial"/>
          <w:b w:val="0"/>
          <w:szCs w:val="24"/>
          <w:u w:val="none"/>
        </w:rPr>
        <w:t>percent.</w:t>
      </w:r>
    </w:p>
    <w:p w:rsidR="00B81099" w:rsidRPr="00851B0F" w:rsidRDefault="0037063A" w:rsidP="00A96796">
      <w:pPr>
        <w:pStyle w:val="Heading3"/>
        <w:keepLines/>
        <w:spacing w:before="0"/>
        <w:jc w:val="left"/>
        <w:rPr>
          <w:rFonts w:ascii="Times New Roman" w:hAnsi="Times New Roman"/>
          <w:u w:val="none"/>
        </w:rPr>
      </w:pPr>
      <w:r w:rsidRPr="00851B0F">
        <w:rPr>
          <w:rFonts w:ascii="Times New Roman" w:hAnsi="Times New Roman"/>
          <w:u w:val="none"/>
        </w:rPr>
        <w:t>Estimating the Cost of Equity Capital</w:t>
      </w:r>
    </w:p>
    <w:p w:rsidR="00B81099" w:rsidRPr="00851B0F" w:rsidRDefault="0037063A" w:rsidP="00A96796">
      <w:pPr>
        <w:pStyle w:val="BodyTextIndent"/>
        <w:keepNext/>
        <w:keepLines/>
        <w:spacing w:before="0"/>
        <w:jc w:val="left"/>
        <w:rPr>
          <w:rFonts w:ascii="Times New Roman" w:hAnsi="Times New Roman"/>
          <w:b/>
        </w:rPr>
      </w:pPr>
      <w:r w:rsidRPr="00851B0F">
        <w:rPr>
          <w:rFonts w:ascii="Times New Roman" w:hAnsi="Times New Roman"/>
          <w:b/>
        </w:rPr>
        <w:t>Q.</w:t>
      </w:r>
      <w:r w:rsidRPr="00851B0F">
        <w:rPr>
          <w:rFonts w:ascii="Times New Roman" w:hAnsi="Times New Roman"/>
          <w:b/>
        </w:rPr>
        <w:tab/>
        <w:t>What is the purpose of this section of your testimony?</w:t>
      </w:r>
    </w:p>
    <w:p w:rsidR="00B81099" w:rsidRPr="00851B0F" w:rsidRDefault="0037063A" w:rsidP="00734C05">
      <w:pPr>
        <w:pStyle w:val="BodyTextIndent"/>
        <w:spacing w:before="0"/>
        <w:jc w:val="left"/>
        <w:rPr>
          <w:rFonts w:ascii="Times New Roman" w:hAnsi="Times New Roman"/>
        </w:rPr>
      </w:pPr>
      <w:r w:rsidRPr="00851B0F">
        <w:rPr>
          <w:rFonts w:ascii="Times New Roman" w:hAnsi="Times New Roman"/>
        </w:rPr>
        <w:t>A.</w:t>
      </w:r>
      <w:r w:rsidRPr="00851B0F">
        <w:rPr>
          <w:rFonts w:ascii="Times New Roman" w:hAnsi="Times New Roman"/>
        </w:rPr>
        <w:tab/>
        <w:t>The purpose of this section is to compare the strengths and weaknesses of several of the most widely used methods for estimating the COE</w:t>
      </w:r>
      <w:r w:rsidR="00E8096B" w:rsidRPr="00851B0F">
        <w:rPr>
          <w:rFonts w:ascii="Times New Roman" w:hAnsi="Times New Roman"/>
        </w:rPr>
        <w:t xml:space="preserve">.  </w:t>
      </w:r>
      <w:r w:rsidRPr="00851B0F">
        <w:rPr>
          <w:rFonts w:ascii="Times New Roman" w:hAnsi="Times New Roman"/>
        </w:rPr>
        <w:t>Estimating the COE is fundamentally a matter of informed judgment</w:t>
      </w:r>
      <w:r w:rsidR="00E8096B" w:rsidRPr="00851B0F">
        <w:rPr>
          <w:rFonts w:ascii="Times New Roman" w:hAnsi="Times New Roman"/>
        </w:rPr>
        <w:t xml:space="preserve">.  </w:t>
      </w:r>
      <w:r w:rsidRPr="00851B0F">
        <w:rPr>
          <w:rFonts w:ascii="Times New Roman" w:hAnsi="Times New Roman"/>
        </w:rPr>
        <w:t xml:space="preserve">The various models provide a concrete link to actual capital market data and assist with defining the various relationships that underlie the </w:t>
      </w:r>
      <w:r w:rsidR="00F94E72" w:rsidRPr="00851B0F">
        <w:rPr>
          <w:rFonts w:ascii="Times New Roman" w:hAnsi="Times New Roman"/>
        </w:rPr>
        <w:t xml:space="preserve">COE </w:t>
      </w:r>
      <w:r w:rsidRPr="00851B0F">
        <w:rPr>
          <w:rFonts w:ascii="Times New Roman" w:hAnsi="Times New Roman"/>
        </w:rPr>
        <w:t>estimation process</w:t>
      </w:r>
      <w:r w:rsidR="00E8096B" w:rsidRPr="00851B0F">
        <w:rPr>
          <w:rFonts w:ascii="Times New Roman" w:hAnsi="Times New Roman"/>
        </w:rPr>
        <w:t xml:space="preserve">.  </w:t>
      </w:r>
      <w:r w:rsidRPr="00851B0F">
        <w:rPr>
          <w:rFonts w:ascii="Times New Roman" w:hAnsi="Times New Roman"/>
        </w:rPr>
        <w:t xml:space="preserve">Please see Appendix </w:t>
      </w:r>
      <w:r w:rsidR="000A3D3A" w:rsidRPr="00851B0F">
        <w:rPr>
          <w:rFonts w:ascii="Times New Roman" w:hAnsi="Times New Roman"/>
        </w:rPr>
        <w:t>A</w:t>
      </w:r>
      <w:r w:rsidRPr="00851B0F">
        <w:rPr>
          <w:rFonts w:ascii="Times New Roman" w:hAnsi="Times New Roman"/>
        </w:rPr>
        <w:t xml:space="preserve"> for further technical discussion of the DCF an</w:t>
      </w:r>
      <w:r w:rsidR="004B2CE2" w:rsidRPr="00851B0F">
        <w:rPr>
          <w:rFonts w:ascii="Times New Roman" w:hAnsi="Times New Roman"/>
        </w:rPr>
        <w:t>d risk premium models.</w:t>
      </w:r>
    </w:p>
    <w:p w:rsidR="00B81099" w:rsidRPr="00851B0F" w:rsidRDefault="0037063A" w:rsidP="00734C05">
      <w:pPr>
        <w:pStyle w:val="BodyTextIndent"/>
        <w:widowControl w:val="0"/>
        <w:spacing w:before="0"/>
        <w:jc w:val="left"/>
        <w:rPr>
          <w:rFonts w:ascii="Times New Roman" w:hAnsi="Times New Roman"/>
          <w:b/>
        </w:rPr>
      </w:pPr>
      <w:r w:rsidRPr="00851B0F">
        <w:rPr>
          <w:rFonts w:ascii="Times New Roman" w:hAnsi="Times New Roman"/>
          <w:b/>
        </w:rPr>
        <w:t>Q.</w:t>
      </w:r>
      <w:r w:rsidRPr="00851B0F">
        <w:rPr>
          <w:rFonts w:ascii="Times New Roman" w:hAnsi="Times New Roman"/>
          <w:b/>
        </w:rPr>
        <w:tab/>
        <w:t xml:space="preserve">How is the fair rate of return in the regulatory process related to the estimated </w:t>
      </w:r>
      <w:r w:rsidR="00F94E72" w:rsidRPr="00851B0F">
        <w:rPr>
          <w:rFonts w:ascii="Times New Roman" w:hAnsi="Times New Roman"/>
          <w:b/>
        </w:rPr>
        <w:t>COE</w:t>
      </w:r>
      <w:r w:rsidRPr="00851B0F">
        <w:rPr>
          <w:rFonts w:ascii="Times New Roman" w:hAnsi="Times New Roman"/>
          <w:b/>
        </w:rPr>
        <w:t>?</w:t>
      </w:r>
    </w:p>
    <w:p w:rsidR="00B81099" w:rsidRPr="00851B0F" w:rsidRDefault="0037063A" w:rsidP="00734C05">
      <w:pPr>
        <w:widowControl w:val="0"/>
        <w:jc w:val="left"/>
        <w:rPr>
          <w:rFonts w:ascii="Times New Roman" w:hAnsi="Times New Roman"/>
        </w:rPr>
      </w:pPr>
      <w:r w:rsidRPr="00851B0F">
        <w:rPr>
          <w:rFonts w:ascii="Times New Roman" w:hAnsi="Times New Roman"/>
        </w:rPr>
        <w:t>A.</w:t>
      </w:r>
      <w:r w:rsidRPr="00851B0F">
        <w:rPr>
          <w:rFonts w:ascii="Times New Roman" w:hAnsi="Times New Roman"/>
        </w:rPr>
        <w:tab/>
        <w:t xml:space="preserve">The regulatory process is guided by fair rate of return principles established in the U.S. Supreme Court cases </w:t>
      </w:r>
      <w:r w:rsidRPr="00851B0F">
        <w:rPr>
          <w:rFonts w:ascii="Times New Roman" w:hAnsi="Times New Roman"/>
          <w:i/>
        </w:rPr>
        <w:t>Bluefield Water Works</w:t>
      </w:r>
      <w:r w:rsidRPr="00851B0F">
        <w:rPr>
          <w:rFonts w:ascii="Times New Roman" w:hAnsi="Times New Roman"/>
        </w:rPr>
        <w:t xml:space="preserve"> and </w:t>
      </w:r>
      <w:r w:rsidRPr="00851B0F">
        <w:rPr>
          <w:rFonts w:ascii="Times New Roman" w:hAnsi="Times New Roman"/>
          <w:i/>
        </w:rPr>
        <w:t>Hope Natural Gas</w:t>
      </w:r>
      <w:r w:rsidRPr="00851B0F">
        <w:rPr>
          <w:rFonts w:ascii="Times New Roman" w:hAnsi="Times New Roman"/>
        </w:rPr>
        <w:t>:</w:t>
      </w:r>
    </w:p>
    <w:p w:rsidR="00997B81" w:rsidRPr="00851B0F" w:rsidRDefault="0037063A">
      <w:pPr>
        <w:spacing w:line="240" w:lineRule="auto"/>
        <w:ind w:left="1440" w:right="720" w:firstLine="0"/>
        <w:jc w:val="left"/>
        <w:rPr>
          <w:rFonts w:ascii="Times New Roman" w:hAnsi="Times New Roman"/>
        </w:rPr>
      </w:pPr>
      <w:r w:rsidRPr="00851B0F">
        <w:rPr>
          <w:rFonts w:ascii="Times New Roman" w:hAnsi="Times New Roman"/>
        </w:rPr>
        <w:t>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w:t>
      </w:r>
      <w:r w:rsidR="00AF05CC" w:rsidRPr="00851B0F">
        <w:rPr>
          <w:rFonts w:ascii="Times New Roman" w:hAnsi="Times New Roman"/>
        </w:rPr>
        <w:t>.</w:t>
      </w:r>
      <w:r w:rsidR="00117F09" w:rsidRPr="00851B0F">
        <w:rPr>
          <w:rStyle w:val="FootnoteReference"/>
        </w:rPr>
        <w:footnoteReference w:id="5"/>
      </w:r>
    </w:p>
    <w:p w:rsidR="00B81099" w:rsidRPr="00851B0F" w:rsidRDefault="00B81099" w:rsidP="00E03B17">
      <w:pPr>
        <w:suppressLineNumbers/>
        <w:spacing w:line="240" w:lineRule="auto"/>
        <w:ind w:left="1440" w:right="720" w:firstLine="0"/>
        <w:rPr>
          <w:rFonts w:ascii="Times New Roman" w:hAnsi="Times New Roman"/>
        </w:rPr>
      </w:pPr>
    </w:p>
    <w:p w:rsidR="00997B81" w:rsidRPr="00851B0F" w:rsidRDefault="0037063A">
      <w:pPr>
        <w:spacing w:line="240" w:lineRule="auto"/>
        <w:ind w:left="1440" w:right="720"/>
        <w:jc w:val="left"/>
        <w:rPr>
          <w:rFonts w:ascii="Times New Roman" w:hAnsi="Times New Roman"/>
        </w:rPr>
      </w:pPr>
      <w:r w:rsidRPr="00851B0F">
        <w:rPr>
          <w:rFonts w:ascii="Times New Roman" w:hAnsi="Times New Roman"/>
        </w:rPr>
        <w:tab/>
        <w:t>From the investor or company point of view, it is important that there be enough revenue not only for operating expenses, but also for the capital costs of the business</w:t>
      </w:r>
      <w:r w:rsidR="00E8096B" w:rsidRPr="00851B0F">
        <w:rPr>
          <w:rFonts w:ascii="Times New Roman" w:hAnsi="Times New Roman"/>
        </w:rPr>
        <w:t xml:space="preserve">.  </w:t>
      </w:r>
      <w:r w:rsidRPr="00851B0F">
        <w:rPr>
          <w:rFonts w:ascii="Times New Roman" w:hAnsi="Times New Roman"/>
        </w:rPr>
        <w:t>These include service on the debt and dividends on the stock</w:t>
      </w:r>
      <w:r w:rsidR="00E8096B" w:rsidRPr="00851B0F">
        <w:rPr>
          <w:rFonts w:ascii="Times New Roman" w:hAnsi="Times New Roman"/>
        </w:rPr>
        <w:t xml:space="preserve">.  </w:t>
      </w:r>
      <w:r w:rsidRPr="00851B0F">
        <w:rPr>
          <w:rFonts w:ascii="Times New Roman" w:hAnsi="Times New Roman"/>
        </w:rPr>
        <w:t>By that standard the return to the equity owner should be commensurate with returns on investments in other enterprises having corresponding risks</w:t>
      </w:r>
      <w:r w:rsidR="00E8096B" w:rsidRPr="00851B0F">
        <w:rPr>
          <w:rFonts w:ascii="Times New Roman" w:hAnsi="Times New Roman"/>
        </w:rPr>
        <w:t xml:space="preserve">.  </w:t>
      </w:r>
      <w:r w:rsidRPr="00851B0F">
        <w:rPr>
          <w:rFonts w:ascii="Times New Roman" w:hAnsi="Times New Roman"/>
        </w:rPr>
        <w:t>That return, moreover, should be sufficient to assure confidence in the financial integrity of the enterprise, so as to maintain its credit and to attract capital</w:t>
      </w:r>
      <w:r w:rsidR="00AF05CC" w:rsidRPr="00851B0F">
        <w:rPr>
          <w:rFonts w:ascii="Times New Roman" w:hAnsi="Times New Roman"/>
        </w:rPr>
        <w:t>.</w:t>
      </w:r>
      <w:r w:rsidR="00117F09" w:rsidRPr="00851B0F">
        <w:rPr>
          <w:rStyle w:val="FootnoteReference"/>
        </w:rPr>
        <w:footnoteReference w:id="6"/>
      </w:r>
      <w:r w:rsidR="00AF05CC" w:rsidRPr="00851B0F">
        <w:rPr>
          <w:rFonts w:ascii="Times New Roman" w:hAnsi="Times New Roman"/>
        </w:rPr>
        <w:t xml:space="preserve"> </w:t>
      </w:r>
    </w:p>
    <w:p w:rsidR="00B81099" w:rsidRPr="00851B0F" w:rsidRDefault="0037063A" w:rsidP="00A96796">
      <w:pPr>
        <w:spacing w:before="240"/>
        <w:jc w:val="left"/>
        <w:rPr>
          <w:rFonts w:ascii="Times New Roman" w:hAnsi="Times New Roman"/>
        </w:rPr>
      </w:pPr>
      <w:r w:rsidRPr="00851B0F">
        <w:rPr>
          <w:rFonts w:ascii="Times New Roman" w:hAnsi="Times New Roman"/>
        </w:rPr>
        <w:tab/>
        <w:t>Based on these principles, the fair rate of return should closely parallel investor opportunity costs as discussed above</w:t>
      </w:r>
      <w:r w:rsidR="00E8096B" w:rsidRPr="00851B0F">
        <w:rPr>
          <w:rFonts w:ascii="Times New Roman" w:hAnsi="Times New Roman"/>
        </w:rPr>
        <w:t xml:space="preserve">.  </w:t>
      </w:r>
      <w:r w:rsidRPr="00851B0F">
        <w:rPr>
          <w:rFonts w:ascii="Times New Roman" w:hAnsi="Times New Roman"/>
        </w:rPr>
        <w:t>If a utility earns its market COE, neither its stockholders nor its customers should be disadvantaged.</w:t>
      </w:r>
    </w:p>
    <w:p w:rsidR="00B81099" w:rsidRPr="00851B0F" w:rsidRDefault="0037063A" w:rsidP="00734C05">
      <w:pPr>
        <w:widowControl w:val="0"/>
        <w:jc w:val="left"/>
        <w:rPr>
          <w:rFonts w:ascii="Times New Roman" w:hAnsi="Times New Roman"/>
          <w:b/>
        </w:rPr>
      </w:pPr>
      <w:r w:rsidRPr="00851B0F">
        <w:rPr>
          <w:rFonts w:ascii="Times New Roman" w:hAnsi="Times New Roman"/>
          <w:b/>
        </w:rPr>
        <w:t>Q.</w:t>
      </w:r>
      <w:r w:rsidRPr="00851B0F">
        <w:rPr>
          <w:rFonts w:ascii="Times New Roman" w:hAnsi="Times New Roman"/>
          <w:b/>
        </w:rPr>
        <w:tab/>
        <w:t>Please provide an overview of the</w:t>
      </w:r>
      <w:r w:rsidR="00F94E72" w:rsidRPr="00851B0F">
        <w:rPr>
          <w:rFonts w:ascii="Times New Roman" w:hAnsi="Times New Roman"/>
          <w:b/>
        </w:rPr>
        <w:t xml:space="preserve"> COE</w:t>
      </w:r>
      <w:r w:rsidRPr="00851B0F">
        <w:rPr>
          <w:rFonts w:ascii="Times New Roman" w:hAnsi="Times New Roman"/>
          <w:b/>
        </w:rPr>
        <w:t xml:space="preserve"> estimation process.</w:t>
      </w:r>
    </w:p>
    <w:p w:rsidR="00B81099" w:rsidRPr="00851B0F" w:rsidRDefault="0037063A" w:rsidP="00734C05">
      <w:pPr>
        <w:widowControl w:val="0"/>
        <w:jc w:val="left"/>
        <w:rPr>
          <w:rFonts w:ascii="Times New Roman" w:hAnsi="Times New Roman"/>
        </w:rPr>
      </w:pPr>
      <w:r w:rsidRPr="00851B0F">
        <w:rPr>
          <w:rFonts w:ascii="Times New Roman" w:hAnsi="Times New Roman"/>
        </w:rPr>
        <w:t>A.</w:t>
      </w:r>
      <w:r w:rsidRPr="00851B0F">
        <w:rPr>
          <w:rFonts w:ascii="Times New Roman" w:hAnsi="Times New Roman"/>
        </w:rPr>
        <w:tab/>
        <w:t>The COE is the rate of return that common stockholders expect, just as interest on bonds and dividends on preferred stock are the returns that investors in those securities expect</w:t>
      </w:r>
      <w:r w:rsidR="005C298E" w:rsidRPr="00851B0F">
        <w:rPr>
          <w:rFonts w:ascii="Times New Roman" w:hAnsi="Times New Roman"/>
        </w:rPr>
        <w:t xml:space="preserve"> over the long term</w:t>
      </w:r>
      <w:r w:rsidR="00E8096B" w:rsidRPr="00851B0F">
        <w:rPr>
          <w:rFonts w:ascii="Times New Roman" w:hAnsi="Times New Roman"/>
        </w:rPr>
        <w:t xml:space="preserve">.  </w:t>
      </w:r>
      <w:r w:rsidRPr="00851B0F">
        <w:rPr>
          <w:rFonts w:ascii="Times New Roman" w:hAnsi="Times New Roman"/>
        </w:rPr>
        <w:t>Unlike returns from debt and preferred stocks, however, the equity return is not directly observable in advance</w:t>
      </w:r>
      <w:r w:rsidR="00F94E72" w:rsidRPr="00851B0F">
        <w:rPr>
          <w:rFonts w:ascii="Times New Roman" w:hAnsi="Times New Roman"/>
        </w:rPr>
        <w:t>,</w:t>
      </w:r>
      <w:r w:rsidRPr="00851B0F">
        <w:rPr>
          <w:rFonts w:ascii="Times New Roman" w:hAnsi="Times New Roman"/>
        </w:rPr>
        <w:t xml:space="preserve"> and therefore it must be estimated or inferred from capital market data and trading activity.</w:t>
      </w:r>
    </w:p>
    <w:p w:rsidR="00B81099" w:rsidRPr="00851B0F" w:rsidRDefault="0037063A" w:rsidP="00734C05">
      <w:pPr>
        <w:widowControl w:val="0"/>
        <w:jc w:val="left"/>
        <w:rPr>
          <w:rFonts w:ascii="Times New Roman" w:hAnsi="Times New Roman"/>
        </w:rPr>
      </w:pPr>
      <w:r w:rsidRPr="00851B0F">
        <w:rPr>
          <w:rFonts w:ascii="Times New Roman" w:hAnsi="Times New Roman"/>
        </w:rPr>
        <w:tab/>
      </w:r>
      <w:r w:rsidRPr="00851B0F">
        <w:rPr>
          <w:rFonts w:ascii="Times New Roman" w:hAnsi="Times New Roman"/>
        </w:rPr>
        <w:tab/>
        <w:t>An example helps to illustrate the COE concept</w:t>
      </w:r>
      <w:r w:rsidR="00E8096B" w:rsidRPr="00851B0F">
        <w:rPr>
          <w:rFonts w:ascii="Times New Roman" w:hAnsi="Times New Roman"/>
        </w:rPr>
        <w:t xml:space="preserve">.  </w:t>
      </w:r>
      <w:r w:rsidRPr="00851B0F">
        <w:rPr>
          <w:rFonts w:ascii="Times New Roman" w:hAnsi="Times New Roman"/>
        </w:rPr>
        <w:t>Assume that an investor buys a share of common stock for $20 per share</w:t>
      </w:r>
      <w:r w:rsidR="00E8096B" w:rsidRPr="00851B0F">
        <w:rPr>
          <w:rFonts w:ascii="Times New Roman" w:hAnsi="Times New Roman"/>
        </w:rPr>
        <w:t xml:space="preserve">.  </w:t>
      </w:r>
      <w:r w:rsidRPr="00851B0F">
        <w:rPr>
          <w:rFonts w:ascii="Times New Roman" w:hAnsi="Times New Roman"/>
        </w:rPr>
        <w:t>If the stock</w:t>
      </w:r>
      <w:r w:rsidR="00823A67" w:rsidRPr="00851B0F">
        <w:rPr>
          <w:rFonts w:ascii="Times New Roman" w:hAnsi="Times New Roman"/>
        </w:rPr>
        <w:t>’</w:t>
      </w:r>
      <w:r w:rsidRPr="00851B0F">
        <w:rPr>
          <w:rFonts w:ascii="Times New Roman" w:hAnsi="Times New Roman"/>
        </w:rPr>
        <w:t>s expected dividend is $</w:t>
      </w:r>
      <w:r w:rsidR="005031FE" w:rsidRPr="00851B0F">
        <w:rPr>
          <w:rFonts w:ascii="Times New Roman" w:hAnsi="Times New Roman"/>
        </w:rPr>
        <w:t>0</w:t>
      </w:r>
      <w:r w:rsidRPr="00851B0F">
        <w:rPr>
          <w:rFonts w:ascii="Times New Roman" w:hAnsi="Times New Roman"/>
        </w:rPr>
        <w:t>.</w:t>
      </w:r>
      <w:r w:rsidR="003E16D0" w:rsidRPr="00851B0F">
        <w:rPr>
          <w:rFonts w:ascii="Times New Roman" w:hAnsi="Times New Roman"/>
        </w:rPr>
        <w:t>8</w:t>
      </w:r>
      <w:r w:rsidRPr="00851B0F">
        <w:rPr>
          <w:rFonts w:ascii="Times New Roman" w:hAnsi="Times New Roman"/>
        </w:rPr>
        <w:t>0</w:t>
      </w:r>
      <w:r w:rsidR="003E16D0" w:rsidRPr="00851B0F">
        <w:rPr>
          <w:rFonts w:ascii="Times New Roman" w:hAnsi="Times New Roman"/>
        </w:rPr>
        <w:t xml:space="preserve"> per share</w:t>
      </w:r>
      <w:r w:rsidRPr="00851B0F">
        <w:rPr>
          <w:rFonts w:ascii="Times New Roman" w:hAnsi="Times New Roman"/>
        </w:rPr>
        <w:t xml:space="preserve">, the expected dividend yield is </w:t>
      </w:r>
      <w:r w:rsidR="003E16D0" w:rsidRPr="00851B0F">
        <w:rPr>
          <w:rFonts w:ascii="Times New Roman" w:hAnsi="Times New Roman"/>
        </w:rPr>
        <w:t>4.0 percent ($</w:t>
      </w:r>
      <w:r w:rsidR="005031FE" w:rsidRPr="00851B0F">
        <w:rPr>
          <w:rFonts w:ascii="Times New Roman" w:hAnsi="Times New Roman"/>
        </w:rPr>
        <w:t>0</w:t>
      </w:r>
      <w:r w:rsidRPr="00851B0F">
        <w:rPr>
          <w:rFonts w:ascii="Times New Roman" w:hAnsi="Times New Roman"/>
        </w:rPr>
        <w:t>.</w:t>
      </w:r>
      <w:r w:rsidR="003E16D0" w:rsidRPr="00851B0F">
        <w:rPr>
          <w:rFonts w:ascii="Times New Roman" w:hAnsi="Times New Roman"/>
        </w:rPr>
        <w:t>8</w:t>
      </w:r>
      <w:r w:rsidRPr="00851B0F">
        <w:rPr>
          <w:rFonts w:ascii="Times New Roman" w:hAnsi="Times New Roman"/>
        </w:rPr>
        <w:t xml:space="preserve">0/$20 = </w:t>
      </w:r>
      <w:r w:rsidR="003E16D0" w:rsidRPr="00851B0F">
        <w:rPr>
          <w:rFonts w:ascii="Times New Roman" w:hAnsi="Times New Roman"/>
        </w:rPr>
        <w:t>4</w:t>
      </w:r>
      <w:r w:rsidRPr="00851B0F">
        <w:rPr>
          <w:rFonts w:ascii="Times New Roman" w:hAnsi="Times New Roman"/>
        </w:rPr>
        <w:t>.0</w:t>
      </w:r>
      <w:r w:rsidR="003E16D0" w:rsidRPr="00851B0F">
        <w:rPr>
          <w:rFonts w:ascii="Times New Roman" w:hAnsi="Times New Roman"/>
        </w:rPr>
        <w:t>%</w:t>
      </w:r>
      <w:r w:rsidRPr="00851B0F">
        <w:rPr>
          <w:rFonts w:ascii="Times New Roman" w:hAnsi="Times New Roman"/>
        </w:rPr>
        <w:t>)</w:t>
      </w:r>
      <w:r w:rsidR="00E8096B" w:rsidRPr="00851B0F">
        <w:rPr>
          <w:rFonts w:ascii="Times New Roman" w:hAnsi="Times New Roman"/>
        </w:rPr>
        <w:t xml:space="preserve">.  </w:t>
      </w:r>
      <w:r w:rsidRPr="00851B0F">
        <w:rPr>
          <w:rFonts w:ascii="Times New Roman" w:hAnsi="Times New Roman"/>
        </w:rPr>
        <w:t>If the stock price is also expected to increase to $21.</w:t>
      </w:r>
      <w:r w:rsidR="003E16D0" w:rsidRPr="00851B0F">
        <w:rPr>
          <w:rFonts w:ascii="Times New Roman" w:hAnsi="Times New Roman"/>
        </w:rPr>
        <w:t>25</w:t>
      </w:r>
      <w:r w:rsidRPr="00851B0F">
        <w:rPr>
          <w:rFonts w:ascii="Times New Roman" w:hAnsi="Times New Roman"/>
        </w:rPr>
        <w:t xml:space="preserve"> after one year, this </w:t>
      </w:r>
      <w:r w:rsidR="00F94E72" w:rsidRPr="00851B0F">
        <w:rPr>
          <w:rFonts w:ascii="Times New Roman" w:hAnsi="Times New Roman"/>
        </w:rPr>
        <w:t>$1</w:t>
      </w:r>
      <w:r w:rsidR="00A96796" w:rsidRPr="00851B0F">
        <w:rPr>
          <w:rFonts w:ascii="Times New Roman" w:hAnsi="Times New Roman"/>
        </w:rPr>
        <w:t>.</w:t>
      </w:r>
      <w:r w:rsidR="003E16D0" w:rsidRPr="00851B0F">
        <w:rPr>
          <w:rFonts w:ascii="Times New Roman" w:hAnsi="Times New Roman"/>
        </w:rPr>
        <w:t>25</w:t>
      </w:r>
      <w:r w:rsidRPr="00851B0F">
        <w:rPr>
          <w:rFonts w:ascii="Times New Roman" w:hAnsi="Times New Roman"/>
        </w:rPr>
        <w:t xml:space="preserve"> ex</w:t>
      </w:r>
      <w:r w:rsidR="00A96796" w:rsidRPr="00851B0F">
        <w:rPr>
          <w:rFonts w:ascii="Times New Roman" w:hAnsi="Times New Roman"/>
        </w:rPr>
        <w:t xml:space="preserve">pected gain adds an additional </w:t>
      </w:r>
      <w:r w:rsidR="003E16D0" w:rsidRPr="00851B0F">
        <w:rPr>
          <w:rFonts w:ascii="Times New Roman" w:hAnsi="Times New Roman"/>
        </w:rPr>
        <w:t>6.25</w:t>
      </w:r>
      <w:r w:rsidRPr="00851B0F">
        <w:rPr>
          <w:rFonts w:ascii="Times New Roman" w:hAnsi="Times New Roman"/>
        </w:rPr>
        <w:t xml:space="preserve"> percent to the exp</w:t>
      </w:r>
      <w:r w:rsidR="00A96796" w:rsidRPr="00851B0F">
        <w:rPr>
          <w:rFonts w:ascii="Times New Roman" w:hAnsi="Times New Roman"/>
        </w:rPr>
        <w:t>ected total rate of return ($1.</w:t>
      </w:r>
      <w:r w:rsidR="003E16D0" w:rsidRPr="00851B0F">
        <w:rPr>
          <w:rFonts w:ascii="Times New Roman" w:hAnsi="Times New Roman"/>
        </w:rPr>
        <w:t>25</w:t>
      </w:r>
      <w:r w:rsidRPr="00851B0F">
        <w:rPr>
          <w:rFonts w:ascii="Times New Roman" w:hAnsi="Times New Roman"/>
        </w:rPr>
        <w:t xml:space="preserve">/$20 = </w:t>
      </w:r>
      <w:r w:rsidR="003E16D0" w:rsidRPr="00851B0F">
        <w:rPr>
          <w:rFonts w:ascii="Times New Roman" w:hAnsi="Times New Roman"/>
        </w:rPr>
        <w:t>6.2</w:t>
      </w:r>
      <w:r w:rsidR="00A96796" w:rsidRPr="00851B0F">
        <w:rPr>
          <w:rFonts w:ascii="Times New Roman" w:hAnsi="Times New Roman"/>
        </w:rPr>
        <w:t>5</w:t>
      </w:r>
      <w:r w:rsidR="003E16D0" w:rsidRPr="00851B0F">
        <w:rPr>
          <w:rFonts w:ascii="Times New Roman" w:hAnsi="Times New Roman"/>
        </w:rPr>
        <w:t>%</w:t>
      </w:r>
      <w:r w:rsidRPr="00851B0F">
        <w:rPr>
          <w:rFonts w:ascii="Times New Roman" w:hAnsi="Times New Roman"/>
        </w:rPr>
        <w:t>)</w:t>
      </w:r>
      <w:r w:rsidR="00E8096B" w:rsidRPr="00851B0F">
        <w:rPr>
          <w:rFonts w:ascii="Times New Roman" w:hAnsi="Times New Roman"/>
        </w:rPr>
        <w:t xml:space="preserve">.  </w:t>
      </w:r>
      <w:r w:rsidRPr="00851B0F">
        <w:rPr>
          <w:rFonts w:ascii="Times New Roman" w:hAnsi="Times New Roman"/>
        </w:rPr>
        <w:t>Therefore, buying the stock at $20 per share, the inves</w:t>
      </w:r>
      <w:r w:rsidR="00A96796" w:rsidRPr="00851B0F">
        <w:rPr>
          <w:rFonts w:ascii="Times New Roman" w:hAnsi="Times New Roman"/>
        </w:rPr>
        <w:t>tor expects a total return of 10</w:t>
      </w:r>
      <w:r w:rsidRPr="00851B0F">
        <w:rPr>
          <w:rFonts w:ascii="Times New Roman" w:hAnsi="Times New Roman"/>
        </w:rPr>
        <w:t>.</w:t>
      </w:r>
      <w:r w:rsidR="003E16D0" w:rsidRPr="00851B0F">
        <w:rPr>
          <w:rFonts w:ascii="Times New Roman" w:hAnsi="Times New Roman"/>
        </w:rPr>
        <w:t>25</w:t>
      </w:r>
      <w:r w:rsidRPr="00851B0F">
        <w:rPr>
          <w:rFonts w:ascii="Times New Roman" w:hAnsi="Times New Roman"/>
        </w:rPr>
        <w:t xml:space="preserve"> percent: </w:t>
      </w:r>
      <w:r w:rsidR="003E16D0" w:rsidRPr="00851B0F">
        <w:rPr>
          <w:rFonts w:ascii="Times New Roman" w:hAnsi="Times New Roman"/>
        </w:rPr>
        <w:t>4</w:t>
      </w:r>
      <w:r w:rsidRPr="00851B0F">
        <w:rPr>
          <w:rFonts w:ascii="Times New Roman" w:hAnsi="Times New Roman"/>
        </w:rPr>
        <w:t xml:space="preserve">.0 percent dividend yield, plus </w:t>
      </w:r>
      <w:r w:rsidR="003E16D0" w:rsidRPr="00851B0F">
        <w:rPr>
          <w:rFonts w:ascii="Times New Roman" w:hAnsi="Times New Roman"/>
        </w:rPr>
        <w:t>6.25</w:t>
      </w:r>
      <w:r w:rsidRPr="00851B0F">
        <w:rPr>
          <w:rFonts w:ascii="Times New Roman" w:hAnsi="Times New Roman"/>
        </w:rPr>
        <w:t xml:space="preserve"> percent price appreciation</w:t>
      </w:r>
      <w:r w:rsidR="00E8096B" w:rsidRPr="00851B0F">
        <w:rPr>
          <w:rFonts w:ascii="Times New Roman" w:hAnsi="Times New Roman"/>
        </w:rPr>
        <w:t xml:space="preserve">.  </w:t>
      </w:r>
      <w:r w:rsidRPr="00851B0F">
        <w:rPr>
          <w:rFonts w:ascii="Times New Roman" w:hAnsi="Times New Roman"/>
        </w:rPr>
        <w:t>In this example, the total expected rate of return of 1</w:t>
      </w:r>
      <w:r w:rsidR="003E16D0" w:rsidRPr="00851B0F">
        <w:rPr>
          <w:rFonts w:ascii="Times New Roman" w:hAnsi="Times New Roman"/>
        </w:rPr>
        <w:t>0</w:t>
      </w:r>
      <w:r w:rsidRPr="00851B0F">
        <w:rPr>
          <w:rFonts w:ascii="Times New Roman" w:hAnsi="Times New Roman"/>
        </w:rPr>
        <w:t>.</w:t>
      </w:r>
      <w:r w:rsidR="003E16D0" w:rsidRPr="00851B0F">
        <w:rPr>
          <w:rFonts w:ascii="Times New Roman" w:hAnsi="Times New Roman"/>
        </w:rPr>
        <w:t>25</w:t>
      </w:r>
      <w:r w:rsidRPr="00851B0F">
        <w:rPr>
          <w:rFonts w:ascii="Times New Roman" w:hAnsi="Times New Roman"/>
        </w:rPr>
        <w:t xml:space="preserve"> percent is the appropriate measure of the </w:t>
      </w:r>
      <w:r w:rsidR="00F94E72" w:rsidRPr="00851B0F">
        <w:rPr>
          <w:rFonts w:ascii="Times New Roman" w:hAnsi="Times New Roman"/>
        </w:rPr>
        <w:t>COE</w:t>
      </w:r>
      <w:r w:rsidRPr="00851B0F">
        <w:rPr>
          <w:rFonts w:ascii="Times New Roman" w:hAnsi="Times New Roman"/>
        </w:rPr>
        <w:t>, because it is this rate of return that caused the investor to commit the $20 of equity capital in the first place</w:t>
      </w:r>
      <w:r w:rsidR="00E8096B" w:rsidRPr="00851B0F">
        <w:rPr>
          <w:rFonts w:ascii="Times New Roman" w:hAnsi="Times New Roman"/>
        </w:rPr>
        <w:t xml:space="preserve">.  </w:t>
      </w:r>
      <w:r w:rsidRPr="00851B0F">
        <w:rPr>
          <w:rFonts w:ascii="Times New Roman" w:hAnsi="Times New Roman"/>
        </w:rPr>
        <w:t>If the stock were riskier, or if expected returns from other investments were higher, investors would have required a higher rate of return from the stock, which would have resulted in a lower initial purchase price in market trading.</w:t>
      </w:r>
    </w:p>
    <w:p w:rsidR="00B81099" w:rsidRPr="00851B0F" w:rsidRDefault="0037063A" w:rsidP="00734C05">
      <w:pPr>
        <w:ind w:firstLine="0"/>
        <w:jc w:val="left"/>
        <w:rPr>
          <w:rFonts w:ascii="Times New Roman" w:hAnsi="Times New Roman"/>
        </w:rPr>
      </w:pPr>
      <w:r w:rsidRPr="00851B0F">
        <w:rPr>
          <w:rFonts w:ascii="Times New Roman" w:hAnsi="Times New Roman"/>
        </w:rPr>
        <w:tab/>
        <w:t>Each day market rates of return and prices change to reflect new investor expectations and requirements</w:t>
      </w:r>
      <w:r w:rsidR="00E8096B" w:rsidRPr="00851B0F">
        <w:rPr>
          <w:rFonts w:ascii="Times New Roman" w:hAnsi="Times New Roman"/>
        </w:rPr>
        <w:t xml:space="preserve">.  </w:t>
      </w:r>
      <w:r w:rsidRPr="00851B0F">
        <w:rPr>
          <w:rFonts w:ascii="Times New Roman" w:hAnsi="Times New Roman"/>
        </w:rPr>
        <w:t>For example, when interest rates on bonds and savings accounts rise, utility stock prices usually fall</w:t>
      </w:r>
      <w:r w:rsidR="00E8096B" w:rsidRPr="00851B0F">
        <w:rPr>
          <w:rFonts w:ascii="Times New Roman" w:hAnsi="Times New Roman"/>
        </w:rPr>
        <w:t xml:space="preserve">.  </w:t>
      </w:r>
      <w:r w:rsidRPr="00851B0F">
        <w:rPr>
          <w:rFonts w:ascii="Times New Roman" w:hAnsi="Times New Roman"/>
        </w:rPr>
        <w:t>This is true, at least in part, because higher interest rates on these alternative investments make utility stocks relatively less attractive, which causes utility stock prices to decline in market trading</w:t>
      </w:r>
      <w:r w:rsidR="00E8096B" w:rsidRPr="00851B0F">
        <w:rPr>
          <w:rFonts w:ascii="Times New Roman" w:hAnsi="Times New Roman"/>
        </w:rPr>
        <w:t xml:space="preserve">.  </w:t>
      </w:r>
      <w:r w:rsidRPr="00851B0F">
        <w:rPr>
          <w:rFonts w:ascii="Times New Roman" w:hAnsi="Times New Roman"/>
        </w:rPr>
        <w:t>This competitive market adjustment process is quick and continuous, so that market prices generally reflect investor expectations and the relative attractiveness of one investment versus another</w:t>
      </w:r>
      <w:r w:rsidR="00E8096B" w:rsidRPr="00851B0F">
        <w:rPr>
          <w:rFonts w:ascii="Times New Roman" w:hAnsi="Times New Roman"/>
        </w:rPr>
        <w:t xml:space="preserve">.  </w:t>
      </w:r>
      <w:r w:rsidR="00BB6511" w:rsidRPr="00851B0F">
        <w:rPr>
          <w:rFonts w:ascii="Times New Roman" w:hAnsi="Times New Roman"/>
        </w:rPr>
        <w:t xml:space="preserve">These continuous market adjustments are one reason that the COE for utilities should be viewed over the long-term.  </w:t>
      </w:r>
      <w:r w:rsidRPr="00851B0F">
        <w:rPr>
          <w:rFonts w:ascii="Times New Roman" w:hAnsi="Times New Roman"/>
        </w:rPr>
        <w:t>Therefore, to estimate the COE one must apply informed judgment about the relative risk of the company in question as well as knowledge about the risk and expected rate of return characteristics of other available investments.</w:t>
      </w:r>
    </w:p>
    <w:p w:rsidR="00B81099" w:rsidRPr="00851B0F" w:rsidRDefault="0037063A" w:rsidP="00734C05">
      <w:pPr>
        <w:pStyle w:val="BodyTextIndent"/>
        <w:spacing w:before="0"/>
        <w:jc w:val="left"/>
        <w:rPr>
          <w:rFonts w:ascii="Times New Roman" w:hAnsi="Times New Roman"/>
          <w:b/>
        </w:rPr>
      </w:pPr>
      <w:r w:rsidRPr="00851B0F">
        <w:rPr>
          <w:rFonts w:ascii="Times New Roman" w:hAnsi="Times New Roman"/>
          <w:b/>
        </w:rPr>
        <w:t>Q.</w:t>
      </w:r>
      <w:r w:rsidRPr="00851B0F">
        <w:rPr>
          <w:rFonts w:ascii="Times New Roman" w:hAnsi="Times New Roman"/>
          <w:b/>
        </w:rPr>
        <w:tab/>
        <w:t>How does the market account for risk differences among the various investments?</w:t>
      </w:r>
    </w:p>
    <w:p w:rsidR="00B81099" w:rsidRPr="00851B0F" w:rsidRDefault="0037063A" w:rsidP="00734C05">
      <w:pPr>
        <w:jc w:val="left"/>
        <w:rPr>
          <w:rFonts w:ascii="Times New Roman" w:hAnsi="Times New Roman"/>
        </w:rPr>
      </w:pPr>
      <w:r w:rsidRPr="00851B0F">
        <w:rPr>
          <w:rFonts w:ascii="Times New Roman" w:hAnsi="Times New Roman"/>
        </w:rPr>
        <w:t>A.</w:t>
      </w:r>
      <w:r w:rsidRPr="00851B0F">
        <w:rPr>
          <w:rFonts w:ascii="Times New Roman" w:hAnsi="Times New Roman"/>
        </w:rPr>
        <w:tab/>
        <w:t>Risk-return tradeoffs among capital market investments have been the subject of extensive financial research</w:t>
      </w:r>
      <w:r w:rsidR="00E8096B" w:rsidRPr="00851B0F">
        <w:rPr>
          <w:rFonts w:ascii="Times New Roman" w:hAnsi="Times New Roman"/>
        </w:rPr>
        <w:t xml:space="preserve">.  </w:t>
      </w:r>
      <w:r w:rsidRPr="00851B0F">
        <w:rPr>
          <w:rFonts w:ascii="Times New Roman" w:hAnsi="Times New Roman"/>
        </w:rPr>
        <w:t>Literally dozens of textbooks and hundreds of academic articles have addressed the issue</w:t>
      </w:r>
      <w:r w:rsidR="00E8096B" w:rsidRPr="00851B0F">
        <w:rPr>
          <w:rFonts w:ascii="Times New Roman" w:hAnsi="Times New Roman"/>
        </w:rPr>
        <w:t xml:space="preserve">.  </w:t>
      </w:r>
      <w:r w:rsidRPr="00851B0F">
        <w:rPr>
          <w:rFonts w:ascii="Times New Roman" w:hAnsi="Times New Roman"/>
        </w:rPr>
        <w:t xml:space="preserve">Generally, </w:t>
      </w:r>
      <w:r w:rsidR="00944695" w:rsidRPr="00851B0F">
        <w:rPr>
          <w:rFonts w:ascii="Times New Roman" w:hAnsi="Times New Roman"/>
        </w:rPr>
        <w:t xml:space="preserve">this </w:t>
      </w:r>
      <w:r w:rsidRPr="00851B0F">
        <w:rPr>
          <w:rFonts w:ascii="Times New Roman" w:hAnsi="Times New Roman"/>
        </w:rPr>
        <w:t>research confirms the common sense conclusion that investors will take additional risks only if they expect to receive a higher rate of return</w:t>
      </w:r>
      <w:r w:rsidR="00E8096B" w:rsidRPr="00851B0F">
        <w:rPr>
          <w:rFonts w:ascii="Times New Roman" w:hAnsi="Times New Roman"/>
        </w:rPr>
        <w:t xml:space="preserve">.  </w:t>
      </w:r>
      <w:r w:rsidRPr="00851B0F">
        <w:rPr>
          <w:rFonts w:ascii="Times New Roman" w:hAnsi="Times New Roman"/>
        </w:rPr>
        <w:t>Empirical tests consistently show that returns from low risk securities, such as U.S. Treasury bills, are the lowest; that returns from longer-term Treasury bonds and corporate bonds are increasingly higher as risks increase; and generally, returns from common stocks and other more risky investments are even higher</w:t>
      </w:r>
      <w:r w:rsidR="00E8096B" w:rsidRPr="00851B0F">
        <w:rPr>
          <w:rFonts w:ascii="Times New Roman" w:hAnsi="Times New Roman"/>
        </w:rPr>
        <w:t xml:space="preserve">.  </w:t>
      </w:r>
      <w:r w:rsidRPr="00851B0F">
        <w:rPr>
          <w:rFonts w:ascii="Times New Roman" w:hAnsi="Times New Roman"/>
        </w:rPr>
        <w:t xml:space="preserve">These observations provide a sound theoretical foundation for both the DCF and risk premium methods for estimating the </w:t>
      </w:r>
      <w:r w:rsidR="00944695" w:rsidRPr="00851B0F">
        <w:rPr>
          <w:rFonts w:ascii="Times New Roman" w:hAnsi="Times New Roman"/>
        </w:rPr>
        <w:t>COE</w:t>
      </w:r>
      <w:r w:rsidR="00E8096B" w:rsidRPr="00851B0F">
        <w:rPr>
          <w:rFonts w:ascii="Times New Roman" w:hAnsi="Times New Roman"/>
        </w:rPr>
        <w:t xml:space="preserve">.  </w:t>
      </w:r>
      <w:r w:rsidRPr="00851B0F">
        <w:rPr>
          <w:rFonts w:ascii="Times New Roman" w:hAnsi="Times New Roman"/>
        </w:rPr>
        <w:t>These methods attempt to capture the well</w:t>
      </w:r>
      <w:r w:rsidR="007113C8" w:rsidRPr="00851B0F">
        <w:rPr>
          <w:rFonts w:ascii="Times New Roman" w:hAnsi="Times New Roman"/>
        </w:rPr>
        <w:t>-</w:t>
      </w:r>
      <w:r w:rsidRPr="00851B0F">
        <w:rPr>
          <w:rFonts w:ascii="Times New Roman" w:hAnsi="Times New Roman"/>
        </w:rPr>
        <w:t>founded risk-return principle and explicitly measure investors</w:t>
      </w:r>
      <w:r w:rsidR="00823A67" w:rsidRPr="00851B0F">
        <w:rPr>
          <w:rFonts w:ascii="Times New Roman" w:hAnsi="Times New Roman"/>
        </w:rPr>
        <w:t>’</w:t>
      </w:r>
      <w:r w:rsidRPr="00851B0F">
        <w:rPr>
          <w:rFonts w:ascii="Times New Roman" w:hAnsi="Times New Roman"/>
        </w:rPr>
        <w:t xml:space="preserve"> rate of return requirements.</w:t>
      </w:r>
    </w:p>
    <w:p w:rsidR="00B81099" w:rsidRPr="00851B0F" w:rsidRDefault="0037063A" w:rsidP="00734C05">
      <w:pPr>
        <w:pStyle w:val="BodyTextIndent"/>
        <w:spacing w:before="0"/>
        <w:jc w:val="left"/>
        <w:rPr>
          <w:rFonts w:ascii="Times New Roman" w:hAnsi="Times New Roman"/>
          <w:b/>
        </w:rPr>
      </w:pPr>
      <w:r w:rsidRPr="00851B0F">
        <w:rPr>
          <w:rFonts w:ascii="Times New Roman" w:hAnsi="Times New Roman"/>
          <w:b/>
        </w:rPr>
        <w:t>Q.</w:t>
      </w:r>
      <w:r w:rsidRPr="00851B0F">
        <w:rPr>
          <w:rFonts w:ascii="Times New Roman" w:hAnsi="Times New Roman"/>
          <w:b/>
        </w:rPr>
        <w:tab/>
        <w:t>Can you illustrate the capital market risk-return principle that you just described?</w:t>
      </w:r>
    </w:p>
    <w:p w:rsidR="00B81099" w:rsidRPr="00851B0F" w:rsidRDefault="0037063A" w:rsidP="00734C05">
      <w:pPr>
        <w:pStyle w:val="BodyTextIndent"/>
        <w:spacing w:before="0"/>
        <w:jc w:val="left"/>
        <w:rPr>
          <w:rFonts w:ascii="Times New Roman" w:hAnsi="Times New Roman"/>
        </w:rPr>
      </w:pPr>
      <w:r w:rsidRPr="00851B0F">
        <w:rPr>
          <w:rFonts w:ascii="Times New Roman" w:hAnsi="Times New Roman"/>
        </w:rPr>
        <w:t>A.</w:t>
      </w:r>
      <w:r w:rsidRPr="00851B0F">
        <w:rPr>
          <w:rFonts w:ascii="Times New Roman" w:hAnsi="Times New Roman"/>
        </w:rPr>
        <w:tab/>
        <w:t>Yes</w:t>
      </w:r>
      <w:r w:rsidR="00E8096B" w:rsidRPr="00851B0F">
        <w:rPr>
          <w:rFonts w:ascii="Times New Roman" w:hAnsi="Times New Roman"/>
        </w:rPr>
        <w:t xml:space="preserve">.  </w:t>
      </w:r>
      <w:r w:rsidRPr="00851B0F">
        <w:rPr>
          <w:rFonts w:ascii="Times New Roman" w:hAnsi="Times New Roman"/>
        </w:rPr>
        <w:t>The following graph depicts the risk-return relationship that has become widely known as the Capital Market Line (CML)</w:t>
      </w:r>
      <w:r w:rsidR="00E8096B" w:rsidRPr="00851B0F">
        <w:rPr>
          <w:rFonts w:ascii="Times New Roman" w:hAnsi="Times New Roman"/>
        </w:rPr>
        <w:t xml:space="preserve">.  </w:t>
      </w:r>
      <w:r w:rsidRPr="00851B0F">
        <w:rPr>
          <w:rFonts w:ascii="Times New Roman" w:hAnsi="Times New Roman"/>
        </w:rPr>
        <w:t>The CML offers a graphical representation of the capital market risk-return principle</w:t>
      </w:r>
      <w:r w:rsidR="00E8096B" w:rsidRPr="00851B0F">
        <w:rPr>
          <w:rFonts w:ascii="Times New Roman" w:hAnsi="Times New Roman"/>
        </w:rPr>
        <w:t xml:space="preserve">.  </w:t>
      </w:r>
      <w:r w:rsidRPr="00851B0F">
        <w:rPr>
          <w:rFonts w:ascii="Times New Roman" w:hAnsi="Times New Roman"/>
        </w:rPr>
        <w:t>The graph is not meant to illustrate the actual expected rate of return for any particular investment, but merely to illustrate in a general way the risk-return relationship.</w:t>
      </w:r>
    </w:p>
    <w:p w:rsidR="00B81099" w:rsidRPr="00851B0F" w:rsidRDefault="0037063A" w:rsidP="00E03B17">
      <w:pPr>
        <w:framePr w:hSpace="187" w:wrap="around" w:vAnchor="text" w:hAnchor="page" w:x="2010" w:y="139"/>
        <w:ind w:left="180" w:firstLine="0"/>
        <w:rPr>
          <w:rFonts w:ascii="Times New Roman" w:hAnsi="Times New Roman"/>
        </w:rPr>
      </w:pPr>
      <w:r w:rsidRPr="00851B0F">
        <w:rPr>
          <w:rFonts w:ascii="Times New Roman" w:hAnsi="Times New Roman"/>
          <w:noProof/>
        </w:rPr>
        <w:drawing>
          <wp:inline distT="0" distB="0" distL="0" distR="0">
            <wp:extent cx="5240296" cy="37719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47770" cy="3777280"/>
                    </a:xfrm>
                    <a:prstGeom prst="rect">
                      <a:avLst/>
                    </a:prstGeom>
                    <a:noFill/>
                    <a:ln w="9525">
                      <a:noFill/>
                      <a:miter lim="800000"/>
                      <a:headEnd/>
                      <a:tailEnd/>
                    </a:ln>
                  </pic:spPr>
                </pic:pic>
              </a:graphicData>
            </a:graphic>
          </wp:inline>
        </w:drawing>
      </w:r>
    </w:p>
    <w:p w:rsidR="00B81099" w:rsidRPr="00851B0F" w:rsidRDefault="0037063A" w:rsidP="00734C05">
      <w:pPr>
        <w:ind w:firstLine="0"/>
        <w:jc w:val="left"/>
        <w:rPr>
          <w:rFonts w:ascii="Times New Roman" w:hAnsi="Times New Roman"/>
        </w:rPr>
      </w:pPr>
      <w:r w:rsidRPr="00851B0F">
        <w:rPr>
          <w:rFonts w:ascii="Times New Roman" w:hAnsi="Times New Roman"/>
        </w:rPr>
        <w:t>As a continuum, the CML can be viewed as an available opportunity set for investors</w:t>
      </w:r>
      <w:r w:rsidR="00E8096B" w:rsidRPr="00851B0F">
        <w:rPr>
          <w:rFonts w:ascii="Times New Roman" w:hAnsi="Times New Roman"/>
        </w:rPr>
        <w:t xml:space="preserve">.  </w:t>
      </w:r>
      <w:r w:rsidRPr="00851B0F">
        <w:rPr>
          <w:rFonts w:ascii="Times New Roman" w:hAnsi="Times New Roman"/>
        </w:rPr>
        <w:t>Those investors with low risk tolerance or investment objectives that mandate a low risk profile should invest in assets depicted in the lower left-hand portion of the graph</w:t>
      </w:r>
      <w:r w:rsidR="00E8096B" w:rsidRPr="00851B0F">
        <w:rPr>
          <w:rFonts w:ascii="Times New Roman" w:hAnsi="Times New Roman"/>
        </w:rPr>
        <w:t xml:space="preserve">.  </w:t>
      </w:r>
      <w:r w:rsidRPr="00851B0F">
        <w:rPr>
          <w:rFonts w:ascii="Times New Roman" w:hAnsi="Times New Roman"/>
        </w:rPr>
        <w:t>Investments in this area, such as Treasury bills and short-maturity, high quality corporate commercial paper, offer a high degree of investor certainty</w:t>
      </w:r>
      <w:r w:rsidR="00E8096B" w:rsidRPr="00851B0F">
        <w:rPr>
          <w:rFonts w:ascii="Times New Roman" w:hAnsi="Times New Roman"/>
        </w:rPr>
        <w:t xml:space="preserve">.  </w:t>
      </w:r>
      <w:r w:rsidRPr="00851B0F">
        <w:rPr>
          <w:rFonts w:ascii="Times New Roman" w:hAnsi="Times New Roman"/>
        </w:rPr>
        <w:t>Before considering the pote</w:t>
      </w:r>
      <w:r w:rsidR="00771D74">
        <w:rPr>
          <w:rFonts w:ascii="Times New Roman" w:hAnsi="Times New Roman"/>
        </w:rPr>
        <w:t>ntial effects of inflation, these types of</w:t>
      </w:r>
      <w:r w:rsidRPr="00851B0F">
        <w:rPr>
          <w:rFonts w:ascii="Times New Roman" w:hAnsi="Times New Roman"/>
        </w:rPr>
        <w:t xml:space="preserve"> assets are virtually risk-free.</w:t>
      </w:r>
    </w:p>
    <w:p w:rsidR="00B81099" w:rsidRPr="00851B0F" w:rsidRDefault="0037063A" w:rsidP="00734C05">
      <w:pPr>
        <w:jc w:val="left"/>
        <w:rPr>
          <w:rFonts w:ascii="Times New Roman" w:hAnsi="Times New Roman"/>
        </w:rPr>
      </w:pPr>
      <w:r w:rsidRPr="00851B0F">
        <w:rPr>
          <w:rFonts w:ascii="Times New Roman" w:hAnsi="Times New Roman"/>
        </w:rPr>
        <w:tab/>
      </w:r>
      <w:r w:rsidRPr="00851B0F">
        <w:rPr>
          <w:rFonts w:ascii="Times New Roman" w:hAnsi="Times New Roman"/>
        </w:rPr>
        <w:tab/>
        <w:t>Investment risks increase as one moves up and to the right along the CML</w:t>
      </w:r>
      <w:r w:rsidR="00E8096B" w:rsidRPr="00851B0F">
        <w:rPr>
          <w:rFonts w:ascii="Times New Roman" w:hAnsi="Times New Roman"/>
        </w:rPr>
        <w:t xml:space="preserve">.  </w:t>
      </w:r>
      <w:r w:rsidRPr="00851B0F">
        <w:rPr>
          <w:rFonts w:ascii="Times New Roman" w:hAnsi="Times New Roman"/>
        </w:rPr>
        <w:t>A higher degree of uncertainty exists about the level of investment value at any point in time and about the level of income payments that may be received</w:t>
      </w:r>
      <w:r w:rsidR="00E8096B" w:rsidRPr="00851B0F">
        <w:rPr>
          <w:rFonts w:ascii="Times New Roman" w:hAnsi="Times New Roman"/>
        </w:rPr>
        <w:t xml:space="preserve">.  </w:t>
      </w:r>
      <w:r w:rsidRPr="00851B0F">
        <w:rPr>
          <w:rFonts w:ascii="Times New Roman" w:hAnsi="Times New Roman"/>
        </w:rPr>
        <w:t>Among these investments, long-term bonds and preferred stocks, which offer priority claims to assets and income payments, are relatively low risk, but they are not risk-free</w:t>
      </w:r>
      <w:r w:rsidR="00E8096B" w:rsidRPr="00851B0F">
        <w:rPr>
          <w:rFonts w:ascii="Times New Roman" w:hAnsi="Times New Roman"/>
        </w:rPr>
        <w:t xml:space="preserve">.  </w:t>
      </w:r>
      <w:r w:rsidRPr="00851B0F">
        <w:rPr>
          <w:rFonts w:ascii="Times New Roman" w:hAnsi="Times New Roman"/>
        </w:rPr>
        <w:t>The market value of long-term bonds, even those issued by the U.S. Treasury, often fluctuates widely when government policies or other factors cause interest rates to change.</w:t>
      </w:r>
    </w:p>
    <w:p w:rsidR="00B81099" w:rsidRPr="00851B0F" w:rsidRDefault="0037063A" w:rsidP="00734C05">
      <w:pPr>
        <w:pStyle w:val="BodyTextIndent"/>
        <w:widowControl w:val="0"/>
        <w:spacing w:before="0"/>
        <w:jc w:val="left"/>
        <w:rPr>
          <w:rFonts w:ascii="Times New Roman" w:hAnsi="Times New Roman"/>
        </w:rPr>
      </w:pPr>
      <w:r w:rsidRPr="00851B0F">
        <w:rPr>
          <w:rFonts w:ascii="Times New Roman" w:hAnsi="Times New Roman"/>
        </w:rPr>
        <w:tab/>
      </w:r>
      <w:r w:rsidRPr="00851B0F">
        <w:rPr>
          <w:rFonts w:ascii="Times New Roman" w:hAnsi="Times New Roman"/>
        </w:rPr>
        <w:tab/>
        <w:t>Farther up the CML contin</w:t>
      </w:r>
      <w:r w:rsidR="00734C05" w:rsidRPr="00851B0F">
        <w:rPr>
          <w:rFonts w:ascii="Times New Roman" w:hAnsi="Times New Roman"/>
        </w:rPr>
        <w:t>u</w:t>
      </w:r>
      <w:r w:rsidRPr="00851B0F">
        <w:rPr>
          <w:rFonts w:ascii="Times New Roman" w:hAnsi="Times New Roman"/>
        </w:rPr>
        <w:t>um, common stocks are exposed to even more risk, depending on the nature of the underlying business and the financial strength of the issuing corporation</w:t>
      </w:r>
      <w:r w:rsidR="00E8096B" w:rsidRPr="00851B0F">
        <w:rPr>
          <w:rFonts w:ascii="Times New Roman" w:hAnsi="Times New Roman"/>
        </w:rPr>
        <w:t xml:space="preserve">.  </w:t>
      </w:r>
      <w:r w:rsidRPr="00851B0F">
        <w:rPr>
          <w:rFonts w:ascii="Times New Roman" w:hAnsi="Times New Roman"/>
        </w:rPr>
        <w:t xml:space="preserve">Common stock risks include market-wide factors, such as general changes in capital costs, </w:t>
      </w:r>
      <w:r w:rsidR="005031FE" w:rsidRPr="00851B0F">
        <w:rPr>
          <w:rFonts w:ascii="Times New Roman" w:hAnsi="Times New Roman"/>
        </w:rPr>
        <w:t xml:space="preserve">as well as industry and company </w:t>
      </w:r>
      <w:r w:rsidRPr="00851B0F">
        <w:rPr>
          <w:rFonts w:ascii="Times New Roman" w:hAnsi="Times New Roman"/>
        </w:rPr>
        <w:t>specific elements that may add further to the volatility of a given company</w:t>
      </w:r>
      <w:r w:rsidR="00823A67" w:rsidRPr="00851B0F">
        <w:rPr>
          <w:rFonts w:ascii="Times New Roman" w:hAnsi="Times New Roman"/>
        </w:rPr>
        <w:t>’</w:t>
      </w:r>
      <w:r w:rsidRPr="00851B0F">
        <w:rPr>
          <w:rFonts w:ascii="Times New Roman" w:hAnsi="Times New Roman"/>
        </w:rPr>
        <w:t>s performance</w:t>
      </w:r>
      <w:r w:rsidR="00E8096B" w:rsidRPr="00851B0F">
        <w:rPr>
          <w:rFonts w:ascii="Times New Roman" w:hAnsi="Times New Roman"/>
        </w:rPr>
        <w:t xml:space="preserve">.  </w:t>
      </w:r>
      <w:r w:rsidRPr="00851B0F">
        <w:rPr>
          <w:rFonts w:ascii="Times New Roman" w:hAnsi="Times New Roman"/>
        </w:rPr>
        <w:t>As I will illustrate in my risk premium analysis, common stocks typically are more volatile (have higher risk) than high quality bond investments</w:t>
      </w:r>
      <w:r w:rsidR="00944695" w:rsidRPr="00851B0F">
        <w:rPr>
          <w:rFonts w:ascii="Times New Roman" w:hAnsi="Times New Roman"/>
        </w:rPr>
        <w:t>,</w:t>
      </w:r>
      <w:r w:rsidRPr="00851B0F">
        <w:rPr>
          <w:rFonts w:ascii="Times New Roman" w:hAnsi="Times New Roman"/>
        </w:rPr>
        <w:t xml:space="preserve"> and</w:t>
      </w:r>
      <w:r w:rsidR="00944695" w:rsidRPr="00851B0F">
        <w:rPr>
          <w:rFonts w:ascii="Times New Roman" w:hAnsi="Times New Roman"/>
        </w:rPr>
        <w:t xml:space="preserve"> </w:t>
      </w:r>
      <w:r w:rsidRPr="00851B0F">
        <w:rPr>
          <w:rFonts w:ascii="Times New Roman" w:hAnsi="Times New Roman"/>
        </w:rPr>
        <w:t xml:space="preserve">they </w:t>
      </w:r>
      <w:r w:rsidR="00944695" w:rsidRPr="00851B0F">
        <w:rPr>
          <w:rFonts w:ascii="Times New Roman" w:hAnsi="Times New Roman"/>
        </w:rPr>
        <w:t xml:space="preserve">therefore </w:t>
      </w:r>
      <w:r w:rsidRPr="00851B0F">
        <w:rPr>
          <w:rFonts w:ascii="Times New Roman" w:hAnsi="Times New Roman"/>
        </w:rPr>
        <w:t>reside above and to the right of bonds on the CML graph</w:t>
      </w:r>
      <w:r w:rsidR="00E8096B" w:rsidRPr="00851B0F">
        <w:rPr>
          <w:rFonts w:ascii="Times New Roman" w:hAnsi="Times New Roman"/>
        </w:rPr>
        <w:t xml:space="preserve">.  </w:t>
      </w:r>
      <w:r w:rsidRPr="00851B0F">
        <w:rPr>
          <w:rFonts w:ascii="Times New Roman" w:hAnsi="Times New Roman"/>
        </w:rPr>
        <w:t>Other more speculative investments, such as stock options and commodity futures contracts, offer even higher risks (and higher potential returns)</w:t>
      </w:r>
      <w:r w:rsidR="00E8096B" w:rsidRPr="00851B0F">
        <w:rPr>
          <w:rFonts w:ascii="Times New Roman" w:hAnsi="Times New Roman"/>
        </w:rPr>
        <w:t xml:space="preserve">.  </w:t>
      </w:r>
      <w:r w:rsidR="00886028" w:rsidRPr="00851B0F">
        <w:rPr>
          <w:rFonts w:ascii="Times New Roman" w:hAnsi="Times New Roman"/>
        </w:rPr>
        <w:t>The CML</w:t>
      </w:r>
      <w:r w:rsidR="00823A67" w:rsidRPr="00851B0F">
        <w:rPr>
          <w:rFonts w:ascii="Times New Roman" w:hAnsi="Times New Roman"/>
        </w:rPr>
        <w:t>’</w:t>
      </w:r>
      <w:r w:rsidRPr="00851B0F">
        <w:rPr>
          <w:rFonts w:ascii="Times New Roman" w:hAnsi="Times New Roman"/>
        </w:rPr>
        <w:t>s depiction of the risk-return tradeoffs available in the capital markets provides a useful perspective for estimating investors</w:t>
      </w:r>
      <w:r w:rsidR="00823A67" w:rsidRPr="00851B0F">
        <w:rPr>
          <w:rFonts w:ascii="Times New Roman" w:hAnsi="Times New Roman"/>
        </w:rPr>
        <w:t>’</w:t>
      </w:r>
      <w:r w:rsidRPr="00851B0F">
        <w:rPr>
          <w:rFonts w:ascii="Times New Roman" w:hAnsi="Times New Roman"/>
        </w:rPr>
        <w:t xml:space="preserve"> required rates of return.</w:t>
      </w:r>
    </w:p>
    <w:p w:rsidR="00B81099" w:rsidRPr="00851B0F" w:rsidRDefault="0037063A" w:rsidP="00734C05">
      <w:pPr>
        <w:pStyle w:val="BodyTextIndent"/>
        <w:spacing w:before="0"/>
        <w:jc w:val="left"/>
        <w:rPr>
          <w:rFonts w:ascii="Times New Roman" w:hAnsi="Times New Roman"/>
          <w:b/>
        </w:rPr>
      </w:pPr>
      <w:r w:rsidRPr="00851B0F">
        <w:rPr>
          <w:rFonts w:ascii="Times New Roman" w:hAnsi="Times New Roman"/>
          <w:b/>
        </w:rPr>
        <w:t>Q.</w:t>
      </w:r>
      <w:r w:rsidRPr="00851B0F">
        <w:rPr>
          <w:rFonts w:ascii="Times New Roman" w:hAnsi="Times New Roman"/>
          <w:b/>
        </w:rPr>
        <w:tab/>
        <w:t>What specific methods and capital market data are used to evaluate the COE?</w:t>
      </w:r>
    </w:p>
    <w:p w:rsidR="00B81099" w:rsidRPr="00851B0F" w:rsidRDefault="0037063A" w:rsidP="00734C05">
      <w:pPr>
        <w:jc w:val="left"/>
        <w:rPr>
          <w:rFonts w:ascii="Times New Roman" w:hAnsi="Times New Roman"/>
        </w:rPr>
      </w:pPr>
      <w:r w:rsidRPr="00851B0F">
        <w:rPr>
          <w:rFonts w:ascii="Times New Roman" w:hAnsi="Times New Roman"/>
        </w:rPr>
        <w:t>A.</w:t>
      </w:r>
      <w:r w:rsidRPr="00851B0F">
        <w:rPr>
          <w:rFonts w:ascii="Times New Roman" w:hAnsi="Times New Roman"/>
        </w:rPr>
        <w:tab/>
        <w:t>Techniques for estimating the COE normally fall into three groups: comparable earnings methods, risk premium methods, and DCF methods</w:t>
      </w:r>
      <w:r w:rsidR="005031FE" w:rsidRPr="00851B0F">
        <w:rPr>
          <w:rFonts w:ascii="Times New Roman" w:hAnsi="Times New Roman"/>
        </w:rPr>
        <w:t>.</w:t>
      </w:r>
    </w:p>
    <w:p w:rsidR="00B81099" w:rsidRPr="00851B0F" w:rsidRDefault="0037063A" w:rsidP="00734C05">
      <w:pPr>
        <w:ind w:firstLine="720"/>
        <w:jc w:val="left"/>
        <w:rPr>
          <w:rFonts w:ascii="Times New Roman" w:hAnsi="Times New Roman"/>
        </w:rPr>
      </w:pPr>
      <w:r w:rsidRPr="00851B0F">
        <w:rPr>
          <w:rFonts w:ascii="Times New Roman" w:hAnsi="Times New Roman"/>
        </w:rPr>
        <w:t>The first set of estimation techniques, the comparable earnings methods, has evolved over time</w:t>
      </w:r>
      <w:r w:rsidR="00E8096B" w:rsidRPr="00851B0F">
        <w:rPr>
          <w:rFonts w:ascii="Times New Roman" w:hAnsi="Times New Roman"/>
        </w:rPr>
        <w:t xml:space="preserve">.  </w:t>
      </w:r>
      <w:r w:rsidRPr="00851B0F">
        <w:rPr>
          <w:rFonts w:ascii="Times New Roman" w:hAnsi="Times New Roman"/>
        </w:rPr>
        <w:t>The original comparable earnings methods were based on book accounting returns</w:t>
      </w:r>
      <w:r w:rsidR="00E8096B" w:rsidRPr="00851B0F">
        <w:rPr>
          <w:rFonts w:ascii="Times New Roman" w:hAnsi="Times New Roman"/>
        </w:rPr>
        <w:t xml:space="preserve">.  </w:t>
      </w:r>
      <w:r w:rsidRPr="00851B0F">
        <w:rPr>
          <w:rFonts w:ascii="Times New Roman" w:hAnsi="Times New Roman"/>
        </w:rPr>
        <w:t xml:space="preserve">This approach developed </w:t>
      </w:r>
      <w:r w:rsidR="00487DFF" w:rsidRPr="00851B0F">
        <w:rPr>
          <w:rFonts w:ascii="Times New Roman" w:hAnsi="Times New Roman"/>
        </w:rPr>
        <w:t>COE</w:t>
      </w:r>
      <w:r w:rsidRPr="00851B0F">
        <w:rPr>
          <w:rFonts w:ascii="Times New Roman" w:hAnsi="Times New Roman"/>
        </w:rPr>
        <w:t xml:space="preserve"> estimates by reviewing accounting returns for unregulated companies thought to have risks similar to those of the regulated company in question</w:t>
      </w:r>
      <w:r w:rsidR="00E8096B" w:rsidRPr="00851B0F">
        <w:rPr>
          <w:rFonts w:ascii="Times New Roman" w:hAnsi="Times New Roman"/>
        </w:rPr>
        <w:t xml:space="preserve">.  </w:t>
      </w:r>
      <w:r w:rsidRPr="00851B0F">
        <w:rPr>
          <w:rFonts w:ascii="Times New Roman" w:hAnsi="Times New Roman"/>
        </w:rPr>
        <w:t>These methods have generally been rejected because they assume that the unregulated group is earning its actual cost of capital, and that its equity book value is the same as its market value</w:t>
      </w:r>
      <w:r w:rsidR="00E8096B" w:rsidRPr="00851B0F">
        <w:rPr>
          <w:rFonts w:ascii="Times New Roman" w:hAnsi="Times New Roman"/>
        </w:rPr>
        <w:t xml:space="preserve">.  </w:t>
      </w:r>
      <w:r w:rsidRPr="00851B0F">
        <w:rPr>
          <w:rFonts w:ascii="Times New Roman" w:hAnsi="Times New Roman"/>
        </w:rPr>
        <w:t>In most situations these assumptions are not valid, and therefore accounting-based methods do not generally provide reliable COE estimates.</w:t>
      </w:r>
    </w:p>
    <w:p w:rsidR="00B81099" w:rsidRPr="00851B0F" w:rsidRDefault="0037063A" w:rsidP="00734C05">
      <w:pPr>
        <w:jc w:val="left"/>
        <w:rPr>
          <w:rFonts w:ascii="Times New Roman" w:hAnsi="Times New Roman"/>
        </w:rPr>
      </w:pPr>
      <w:r w:rsidRPr="00851B0F">
        <w:rPr>
          <w:rFonts w:ascii="Times New Roman" w:hAnsi="Times New Roman"/>
        </w:rPr>
        <w:tab/>
      </w:r>
      <w:r w:rsidRPr="00851B0F">
        <w:rPr>
          <w:rFonts w:ascii="Times New Roman" w:hAnsi="Times New Roman"/>
        </w:rPr>
        <w:tab/>
        <w:t>More recent comparable earnings methods are based on historical stock market returns rather than book accounting returns</w:t>
      </w:r>
      <w:r w:rsidR="00E8096B" w:rsidRPr="00851B0F">
        <w:rPr>
          <w:rFonts w:ascii="Times New Roman" w:hAnsi="Times New Roman"/>
        </w:rPr>
        <w:t xml:space="preserve">.  </w:t>
      </w:r>
      <w:r w:rsidRPr="00851B0F">
        <w:rPr>
          <w:rFonts w:ascii="Times New Roman" w:hAnsi="Times New Roman"/>
        </w:rPr>
        <w:t>While this approach has some merit, it too has been criticized because there can be no assurance that historical returns actually reflect current or future market requirements</w:t>
      </w:r>
      <w:r w:rsidR="00E8096B" w:rsidRPr="00851B0F">
        <w:rPr>
          <w:rFonts w:ascii="Times New Roman" w:hAnsi="Times New Roman"/>
        </w:rPr>
        <w:t xml:space="preserve">.  </w:t>
      </w:r>
      <w:r w:rsidRPr="00851B0F">
        <w:rPr>
          <w:rFonts w:ascii="Times New Roman" w:hAnsi="Times New Roman"/>
        </w:rPr>
        <w:t>Also, in practical application, earned market returns ten</w:t>
      </w:r>
      <w:r w:rsidR="00771D74">
        <w:rPr>
          <w:rFonts w:ascii="Times New Roman" w:hAnsi="Times New Roman"/>
        </w:rPr>
        <w:t xml:space="preserve">d to fluctuate widely from year </w:t>
      </w:r>
      <w:r w:rsidRPr="00851B0F">
        <w:rPr>
          <w:rFonts w:ascii="Times New Roman" w:hAnsi="Times New Roman"/>
        </w:rPr>
        <w:t>to</w:t>
      </w:r>
      <w:r w:rsidR="00771D74">
        <w:rPr>
          <w:rFonts w:ascii="Times New Roman" w:hAnsi="Times New Roman"/>
        </w:rPr>
        <w:t xml:space="preserve"> </w:t>
      </w:r>
      <w:r w:rsidRPr="00851B0F">
        <w:rPr>
          <w:rFonts w:ascii="Times New Roman" w:hAnsi="Times New Roman"/>
        </w:rPr>
        <w:t>year</w:t>
      </w:r>
      <w:r w:rsidR="00E8096B" w:rsidRPr="00851B0F">
        <w:rPr>
          <w:rFonts w:ascii="Times New Roman" w:hAnsi="Times New Roman"/>
        </w:rPr>
        <w:t xml:space="preserve">.  </w:t>
      </w:r>
      <w:r w:rsidRPr="00851B0F">
        <w:rPr>
          <w:rFonts w:ascii="Times New Roman" w:hAnsi="Times New Roman"/>
        </w:rPr>
        <w:t xml:space="preserve">For these reasons, a current COE estimate (based on the DCF model or a risk premium analysis) is usually required. </w:t>
      </w:r>
    </w:p>
    <w:p w:rsidR="00B81099" w:rsidRPr="00851B0F" w:rsidRDefault="0037063A" w:rsidP="00734C05">
      <w:pPr>
        <w:jc w:val="left"/>
        <w:rPr>
          <w:rFonts w:ascii="Times New Roman" w:hAnsi="Times New Roman"/>
        </w:rPr>
      </w:pPr>
      <w:r w:rsidRPr="00851B0F">
        <w:rPr>
          <w:rFonts w:ascii="Times New Roman" w:hAnsi="Times New Roman"/>
        </w:rPr>
        <w:tab/>
      </w:r>
      <w:r w:rsidRPr="00851B0F">
        <w:rPr>
          <w:rFonts w:ascii="Times New Roman" w:hAnsi="Times New Roman"/>
        </w:rPr>
        <w:tab/>
        <w:t>The second set of estimation techniques is grouped under the heading of risk premium methods</w:t>
      </w:r>
      <w:r w:rsidR="00E8096B" w:rsidRPr="00851B0F">
        <w:rPr>
          <w:rFonts w:ascii="Times New Roman" w:hAnsi="Times New Roman"/>
        </w:rPr>
        <w:t xml:space="preserve">.  </w:t>
      </w:r>
      <w:r w:rsidRPr="00851B0F">
        <w:rPr>
          <w:rFonts w:ascii="Times New Roman" w:hAnsi="Times New Roman"/>
        </w:rPr>
        <w:t>These methods begin with currently observable market returns, such as yields on government or corporate bonds, and add an increment to account for the additional equity risk</w:t>
      </w:r>
      <w:r w:rsidR="00E8096B" w:rsidRPr="00851B0F">
        <w:rPr>
          <w:rFonts w:ascii="Times New Roman" w:hAnsi="Times New Roman"/>
        </w:rPr>
        <w:t xml:space="preserve">.  </w:t>
      </w:r>
      <w:r w:rsidRPr="00851B0F">
        <w:rPr>
          <w:rFonts w:ascii="Times New Roman" w:hAnsi="Times New Roman"/>
        </w:rPr>
        <w:t>The CAPM and arbitrage pricing theory (APT) model are more sophisticated risk premium approaches</w:t>
      </w:r>
      <w:r w:rsidR="00E8096B" w:rsidRPr="00851B0F">
        <w:rPr>
          <w:rFonts w:ascii="Times New Roman" w:hAnsi="Times New Roman"/>
        </w:rPr>
        <w:t xml:space="preserve">.  </w:t>
      </w:r>
      <w:r w:rsidRPr="00851B0F">
        <w:rPr>
          <w:rFonts w:ascii="Times New Roman" w:hAnsi="Times New Roman"/>
        </w:rPr>
        <w:t xml:space="preserve">The CAPM and </w:t>
      </w:r>
      <w:smartTag w:uri="urn:schemas-microsoft-com:office:smarttags" w:element="stockticker">
        <w:r w:rsidRPr="00851B0F">
          <w:rPr>
            <w:rFonts w:ascii="Times New Roman" w:hAnsi="Times New Roman"/>
          </w:rPr>
          <w:t>APT</w:t>
        </w:r>
      </w:smartTag>
      <w:r w:rsidRPr="00851B0F">
        <w:rPr>
          <w:rFonts w:ascii="Times New Roman" w:hAnsi="Times New Roman"/>
        </w:rPr>
        <w:t xml:space="preserve"> methods estimate the COE directly by combining the </w:t>
      </w:r>
      <w:r w:rsidR="00886028" w:rsidRPr="00851B0F">
        <w:rPr>
          <w:rFonts w:ascii="Times New Roman" w:hAnsi="Times New Roman"/>
        </w:rPr>
        <w:t>“</w:t>
      </w:r>
      <w:r w:rsidRPr="00851B0F">
        <w:rPr>
          <w:rFonts w:ascii="Times New Roman" w:hAnsi="Times New Roman"/>
        </w:rPr>
        <w:t>risk-free</w:t>
      </w:r>
      <w:r w:rsidR="00886028" w:rsidRPr="00851B0F">
        <w:rPr>
          <w:rFonts w:ascii="Times New Roman" w:hAnsi="Times New Roman"/>
        </w:rPr>
        <w:t>”</w:t>
      </w:r>
      <w:r w:rsidRPr="00851B0F">
        <w:rPr>
          <w:rFonts w:ascii="Times New Roman" w:hAnsi="Times New Roman"/>
        </w:rPr>
        <w:t xml:space="preserve"> government bond rate with explicit risk measures to determine the risk premium required by the market</w:t>
      </w:r>
      <w:r w:rsidR="00E8096B" w:rsidRPr="00851B0F">
        <w:rPr>
          <w:rFonts w:ascii="Times New Roman" w:hAnsi="Times New Roman"/>
        </w:rPr>
        <w:t xml:space="preserve">.  </w:t>
      </w:r>
      <w:r w:rsidRPr="00851B0F">
        <w:rPr>
          <w:rFonts w:ascii="Times New Roman" w:hAnsi="Times New Roman"/>
        </w:rPr>
        <w:t>Although these more sophisticated methods are widely used in academic cost of capital research, their additional data requirements and their potentially questionable underlying assumptions have detracted from their use in m</w:t>
      </w:r>
      <w:r w:rsidR="003E16D0" w:rsidRPr="00851B0F">
        <w:rPr>
          <w:rFonts w:ascii="Times New Roman" w:hAnsi="Times New Roman"/>
        </w:rPr>
        <w:t>any</w:t>
      </w:r>
      <w:r w:rsidRPr="00851B0F">
        <w:rPr>
          <w:rFonts w:ascii="Times New Roman" w:hAnsi="Times New Roman"/>
        </w:rPr>
        <w:t xml:space="preserve"> regulatory jurisdictions</w:t>
      </w:r>
      <w:r w:rsidR="00E8096B" w:rsidRPr="00851B0F">
        <w:rPr>
          <w:rFonts w:ascii="Times New Roman" w:hAnsi="Times New Roman"/>
        </w:rPr>
        <w:t xml:space="preserve">.  </w:t>
      </w:r>
      <w:r w:rsidRPr="00851B0F">
        <w:rPr>
          <w:rFonts w:ascii="Times New Roman" w:hAnsi="Times New Roman"/>
        </w:rPr>
        <w:t>On the other hand, the basic risk premium methods generally provide a useful parallel approach with the DCF model and assure consistency with other capital market data in the equity cost estimation process.</w:t>
      </w:r>
    </w:p>
    <w:p w:rsidR="00B81099" w:rsidRPr="00851B0F" w:rsidRDefault="0037063A" w:rsidP="00734C05">
      <w:pPr>
        <w:jc w:val="left"/>
        <w:rPr>
          <w:rFonts w:ascii="Times New Roman" w:hAnsi="Times New Roman"/>
        </w:rPr>
      </w:pPr>
      <w:r w:rsidRPr="00851B0F">
        <w:rPr>
          <w:rFonts w:ascii="Times New Roman" w:hAnsi="Times New Roman"/>
        </w:rPr>
        <w:tab/>
      </w:r>
      <w:r w:rsidRPr="00851B0F">
        <w:rPr>
          <w:rFonts w:ascii="Times New Roman" w:hAnsi="Times New Roman"/>
        </w:rPr>
        <w:tab/>
        <w:t>The third set of estimation techniques, based on the DCF model, is the most widely used regulatory COE estimation method</w:t>
      </w:r>
      <w:r w:rsidR="00E8096B" w:rsidRPr="00851B0F">
        <w:rPr>
          <w:rFonts w:ascii="Times New Roman" w:hAnsi="Times New Roman"/>
        </w:rPr>
        <w:t xml:space="preserve">.  </w:t>
      </w:r>
      <w:r w:rsidRPr="00851B0F">
        <w:rPr>
          <w:rFonts w:ascii="Times New Roman" w:hAnsi="Times New Roman"/>
        </w:rPr>
        <w:t>Like the risk premium approach, the DCF model has a sound basis in theory, and many argue that it has the additional advantage of simplicity</w:t>
      </w:r>
      <w:r w:rsidR="00E8096B" w:rsidRPr="00851B0F">
        <w:rPr>
          <w:rFonts w:ascii="Times New Roman" w:hAnsi="Times New Roman"/>
        </w:rPr>
        <w:t xml:space="preserve">.  </w:t>
      </w:r>
      <w:r w:rsidRPr="00851B0F">
        <w:rPr>
          <w:rFonts w:ascii="Times New Roman" w:hAnsi="Times New Roman"/>
        </w:rPr>
        <w:t xml:space="preserve">I will describe the DCF model in detail below, </w:t>
      </w:r>
      <w:r w:rsidR="00B75266" w:rsidRPr="00851B0F">
        <w:rPr>
          <w:rFonts w:ascii="Times New Roman" w:hAnsi="Times New Roman"/>
        </w:rPr>
        <w:t>but in essence its estimate of C</w:t>
      </w:r>
      <w:r w:rsidRPr="00851B0F">
        <w:rPr>
          <w:rFonts w:ascii="Times New Roman" w:hAnsi="Times New Roman"/>
        </w:rPr>
        <w:t>OE is simply the sum of the expected dividend yield and the expected long-term dividend, earnings, or price growth rate (all of which are assumed to grow at the same rate)</w:t>
      </w:r>
      <w:r w:rsidR="00E8096B" w:rsidRPr="00851B0F">
        <w:rPr>
          <w:rFonts w:ascii="Times New Roman" w:hAnsi="Times New Roman"/>
        </w:rPr>
        <w:t xml:space="preserve">.  </w:t>
      </w:r>
      <w:r w:rsidRPr="00851B0F">
        <w:rPr>
          <w:rFonts w:ascii="Times New Roman" w:hAnsi="Times New Roman"/>
        </w:rPr>
        <w:t>While dividend yields are easy to obtain, estimating long-term growth is more difficult</w:t>
      </w:r>
      <w:r w:rsidR="00E8096B" w:rsidRPr="00851B0F">
        <w:rPr>
          <w:rFonts w:ascii="Times New Roman" w:hAnsi="Times New Roman"/>
        </w:rPr>
        <w:t xml:space="preserve">.  </w:t>
      </w:r>
      <w:r w:rsidRPr="00851B0F">
        <w:rPr>
          <w:rFonts w:ascii="Times New Roman" w:hAnsi="Times New Roman"/>
        </w:rPr>
        <w:t>Because the constant growth DCF model also requires very long-term growth estimates (technically to infinity), some argue that its application is too speculative to provide reliable results, resulting in the preference for the multistage growth DCF analysis.</w:t>
      </w:r>
    </w:p>
    <w:p w:rsidR="00B81099" w:rsidRPr="00851B0F" w:rsidRDefault="0037063A" w:rsidP="00734C05">
      <w:pPr>
        <w:pStyle w:val="BodyTextIndent"/>
        <w:spacing w:before="0"/>
        <w:jc w:val="left"/>
        <w:rPr>
          <w:rFonts w:ascii="Times New Roman" w:hAnsi="Times New Roman"/>
          <w:b/>
        </w:rPr>
      </w:pPr>
      <w:r w:rsidRPr="00851B0F">
        <w:rPr>
          <w:rFonts w:ascii="Times New Roman" w:hAnsi="Times New Roman"/>
          <w:b/>
        </w:rPr>
        <w:t>Q.</w:t>
      </w:r>
      <w:r w:rsidRPr="00851B0F">
        <w:rPr>
          <w:rFonts w:ascii="Times New Roman" w:hAnsi="Times New Roman"/>
          <w:b/>
        </w:rPr>
        <w:tab/>
        <w:t>Of the three estimation methods, which do you believe provides the most reliable results?</w:t>
      </w:r>
    </w:p>
    <w:p w:rsidR="00B81099" w:rsidRPr="00851B0F" w:rsidRDefault="0037063A" w:rsidP="00734C05">
      <w:pPr>
        <w:jc w:val="left"/>
        <w:rPr>
          <w:rFonts w:ascii="Times New Roman" w:hAnsi="Times New Roman"/>
        </w:rPr>
      </w:pPr>
      <w:r w:rsidRPr="00851B0F">
        <w:rPr>
          <w:rFonts w:ascii="Times New Roman" w:hAnsi="Times New Roman"/>
        </w:rPr>
        <w:t>A.</w:t>
      </w:r>
      <w:r w:rsidRPr="00851B0F">
        <w:rPr>
          <w:rFonts w:ascii="Times New Roman" w:hAnsi="Times New Roman"/>
        </w:rPr>
        <w:tab/>
        <w:t>From my experience, in periods of reasonable capital market equilibrium, a combination of DCF and the basic risk premium methods usually provide the most reliable approach</w:t>
      </w:r>
      <w:r w:rsidR="00E8096B" w:rsidRPr="00851B0F">
        <w:rPr>
          <w:rFonts w:ascii="Times New Roman" w:hAnsi="Times New Roman"/>
        </w:rPr>
        <w:t xml:space="preserve">.  </w:t>
      </w:r>
      <w:r w:rsidRPr="00851B0F">
        <w:rPr>
          <w:rFonts w:ascii="Times New Roman" w:hAnsi="Times New Roman"/>
        </w:rPr>
        <w:t>While the caveat about estimating long-term growth must be observed, the DCF model</w:t>
      </w:r>
      <w:r w:rsidR="00823A67" w:rsidRPr="00851B0F">
        <w:rPr>
          <w:rFonts w:ascii="Times New Roman" w:hAnsi="Times New Roman"/>
        </w:rPr>
        <w:t>’</w:t>
      </w:r>
      <w:r w:rsidRPr="00851B0F">
        <w:rPr>
          <w:rFonts w:ascii="Times New Roman" w:hAnsi="Times New Roman"/>
        </w:rPr>
        <w:t>s other inputs are readily obtainable, and the model</w:t>
      </w:r>
      <w:r w:rsidR="00823A67" w:rsidRPr="00851B0F">
        <w:rPr>
          <w:rFonts w:ascii="Times New Roman" w:hAnsi="Times New Roman"/>
        </w:rPr>
        <w:t>’</w:t>
      </w:r>
      <w:r w:rsidRPr="00851B0F">
        <w:rPr>
          <w:rFonts w:ascii="Times New Roman" w:hAnsi="Times New Roman"/>
        </w:rPr>
        <w:t>s results typically are consistent with equilibrium capital market behavior</w:t>
      </w:r>
      <w:r w:rsidR="00E8096B" w:rsidRPr="00851B0F">
        <w:rPr>
          <w:rFonts w:ascii="Times New Roman" w:hAnsi="Times New Roman"/>
        </w:rPr>
        <w:t xml:space="preserve">.  </w:t>
      </w:r>
      <w:r w:rsidRPr="00851B0F">
        <w:rPr>
          <w:rFonts w:ascii="Times New Roman" w:hAnsi="Times New Roman"/>
        </w:rPr>
        <w:t xml:space="preserve">The basic risk premium methods provide a parallel approach to the DCF model and </w:t>
      </w:r>
      <w:r w:rsidR="003E16D0" w:rsidRPr="00851B0F">
        <w:rPr>
          <w:rFonts w:ascii="Times New Roman" w:hAnsi="Times New Roman"/>
        </w:rPr>
        <w:t>would typically ensure</w:t>
      </w:r>
      <w:r w:rsidRPr="00851B0F">
        <w:rPr>
          <w:rFonts w:ascii="Times New Roman" w:hAnsi="Times New Roman"/>
        </w:rPr>
        <w:t xml:space="preserve"> that current market conditions are accurately reflected in the COE estimate</w:t>
      </w:r>
      <w:r w:rsidR="00E8096B" w:rsidRPr="00851B0F">
        <w:rPr>
          <w:rFonts w:ascii="Times New Roman" w:hAnsi="Times New Roman"/>
        </w:rPr>
        <w:t xml:space="preserve">.  </w:t>
      </w:r>
      <w:r w:rsidRPr="00851B0F">
        <w:rPr>
          <w:rFonts w:ascii="Times New Roman" w:hAnsi="Times New Roman"/>
        </w:rPr>
        <w:t xml:space="preserve">However, due to ongoing market turmoil and current government monetary policy, which I </w:t>
      </w:r>
      <w:r w:rsidR="003E16D0" w:rsidRPr="00851B0F">
        <w:rPr>
          <w:rFonts w:ascii="Times New Roman" w:hAnsi="Times New Roman"/>
        </w:rPr>
        <w:t xml:space="preserve">discussed </w:t>
      </w:r>
      <w:r w:rsidRPr="00851B0F">
        <w:rPr>
          <w:rFonts w:ascii="Times New Roman" w:hAnsi="Times New Roman"/>
        </w:rPr>
        <w:t xml:space="preserve">previously, </w:t>
      </w:r>
      <w:r w:rsidR="000A3D3A" w:rsidRPr="00851B0F">
        <w:rPr>
          <w:rFonts w:ascii="Times New Roman" w:hAnsi="Times New Roman"/>
        </w:rPr>
        <w:t>C</w:t>
      </w:r>
      <w:r w:rsidRPr="00851B0F">
        <w:rPr>
          <w:rFonts w:ascii="Times New Roman" w:hAnsi="Times New Roman"/>
        </w:rPr>
        <w:t>OE estimates obtained from all of these methods, especially equity risk premium method</w:t>
      </w:r>
      <w:r w:rsidR="003E16D0" w:rsidRPr="00851B0F">
        <w:rPr>
          <w:rFonts w:ascii="Times New Roman" w:hAnsi="Times New Roman"/>
        </w:rPr>
        <w:t>s</w:t>
      </w:r>
      <w:r w:rsidRPr="00851B0F">
        <w:rPr>
          <w:rFonts w:ascii="Times New Roman" w:hAnsi="Times New Roman"/>
        </w:rPr>
        <w:t xml:space="preserve">, </w:t>
      </w:r>
      <w:r w:rsidR="003141B7">
        <w:rPr>
          <w:rFonts w:ascii="Times New Roman" w:hAnsi="Times New Roman"/>
        </w:rPr>
        <w:t>are understated</w:t>
      </w:r>
      <w:r w:rsidRPr="00851B0F">
        <w:rPr>
          <w:rFonts w:ascii="Times New Roman" w:hAnsi="Times New Roman"/>
        </w:rPr>
        <w:t>.</w:t>
      </w:r>
    </w:p>
    <w:p w:rsidR="00B81099" w:rsidRPr="00851B0F" w:rsidRDefault="0037063A" w:rsidP="00C44BDD">
      <w:pPr>
        <w:pStyle w:val="Heading4"/>
        <w:keepNext w:val="0"/>
        <w:spacing w:before="0"/>
        <w:jc w:val="left"/>
        <w:rPr>
          <w:rFonts w:ascii="Times New Roman" w:hAnsi="Times New Roman"/>
        </w:rPr>
      </w:pPr>
      <w:r w:rsidRPr="00851B0F">
        <w:rPr>
          <w:rFonts w:ascii="Times New Roman" w:hAnsi="Times New Roman"/>
        </w:rPr>
        <w:t xml:space="preserve">Cost of Equity Capital for </w:t>
      </w:r>
      <w:r w:rsidR="00734C05" w:rsidRPr="00851B0F">
        <w:rPr>
          <w:rFonts w:ascii="Times New Roman" w:hAnsi="Times New Roman"/>
        </w:rPr>
        <w:t>PacifiCorp</w:t>
      </w:r>
    </w:p>
    <w:p w:rsidR="00B81099" w:rsidRPr="00851B0F" w:rsidRDefault="0037063A" w:rsidP="00C44BDD">
      <w:pPr>
        <w:pStyle w:val="Heading4"/>
        <w:keepNext w:val="0"/>
        <w:spacing w:before="0"/>
        <w:rPr>
          <w:rFonts w:ascii="Times New Roman" w:hAnsi="Times New Roman"/>
        </w:rPr>
      </w:pPr>
      <w:r w:rsidRPr="00851B0F">
        <w:rPr>
          <w:rFonts w:ascii="Times New Roman" w:hAnsi="Times New Roman"/>
        </w:rPr>
        <w:t>Q.</w:t>
      </w:r>
      <w:r w:rsidRPr="00851B0F">
        <w:rPr>
          <w:rFonts w:ascii="Times New Roman" w:hAnsi="Times New Roman"/>
        </w:rPr>
        <w:tab/>
        <w:t>What is the purpose of this section of your testimony?</w:t>
      </w:r>
    </w:p>
    <w:p w:rsidR="00167998" w:rsidRPr="00851B0F" w:rsidRDefault="0037063A" w:rsidP="00167998">
      <w:pPr>
        <w:pStyle w:val="Heading4"/>
        <w:keepNext w:val="0"/>
        <w:spacing w:before="0"/>
      </w:pPr>
      <w:r w:rsidRPr="00851B0F">
        <w:rPr>
          <w:rFonts w:ascii="Times New Roman" w:hAnsi="Times New Roman"/>
          <w:b w:val="0"/>
        </w:rPr>
        <w:t>A.</w:t>
      </w:r>
      <w:r w:rsidRPr="00851B0F">
        <w:rPr>
          <w:rFonts w:ascii="Times New Roman" w:hAnsi="Times New Roman"/>
          <w:b w:val="0"/>
        </w:rPr>
        <w:tab/>
        <w:t xml:space="preserve">The purpose of this section is to present my quantitative studies of the </w:t>
      </w:r>
      <w:r w:rsidR="00944695" w:rsidRPr="00851B0F">
        <w:rPr>
          <w:rFonts w:ascii="Times New Roman" w:hAnsi="Times New Roman"/>
          <w:b w:val="0"/>
        </w:rPr>
        <w:t>COE</w:t>
      </w:r>
      <w:r w:rsidRPr="00851B0F">
        <w:rPr>
          <w:rFonts w:ascii="Times New Roman" w:hAnsi="Times New Roman"/>
          <w:b w:val="0"/>
        </w:rPr>
        <w:t xml:space="preserve"> for </w:t>
      </w:r>
      <w:r w:rsidR="00321720" w:rsidRPr="00851B0F">
        <w:rPr>
          <w:rFonts w:ascii="Times New Roman" w:hAnsi="Times New Roman"/>
          <w:b w:val="0"/>
        </w:rPr>
        <w:t xml:space="preserve">the Company </w:t>
      </w:r>
      <w:r w:rsidRPr="00851B0F">
        <w:rPr>
          <w:rFonts w:ascii="Times New Roman" w:hAnsi="Times New Roman"/>
          <w:b w:val="0"/>
        </w:rPr>
        <w:t>and to discuss the details and results of my analysis.</w:t>
      </w:r>
    </w:p>
    <w:p w:rsidR="00B81099" w:rsidRPr="00851B0F" w:rsidRDefault="0037063A" w:rsidP="00734C05">
      <w:pPr>
        <w:pStyle w:val="Heading4"/>
        <w:keepNext w:val="0"/>
        <w:widowControl w:val="0"/>
        <w:spacing w:before="0"/>
        <w:jc w:val="left"/>
        <w:rPr>
          <w:rFonts w:ascii="Times New Roman" w:hAnsi="Times New Roman"/>
        </w:rPr>
      </w:pPr>
      <w:r w:rsidRPr="00851B0F">
        <w:rPr>
          <w:rFonts w:ascii="Times New Roman" w:hAnsi="Times New Roman"/>
        </w:rPr>
        <w:t>Q.</w:t>
      </w:r>
      <w:r w:rsidRPr="00851B0F">
        <w:rPr>
          <w:rFonts w:ascii="Times New Roman" w:hAnsi="Times New Roman"/>
        </w:rPr>
        <w:tab/>
        <w:t>How are your studies organized?</w:t>
      </w:r>
    </w:p>
    <w:p w:rsidR="00B81099" w:rsidRPr="00851B0F" w:rsidRDefault="0037063A" w:rsidP="00734C05">
      <w:pPr>
        <w:pStyle w:val="Heading4"/>
        <w:keepNext w:val="0"/>
        <w:widowControl w:val="0"/>
        <w:spacing w:before="0"/>
        <w:jc w:val="left"/>
        <w:rPr>
          <w:rFonts w:ascii="Times New Roman" w:hAnsi="Times New Roman"/>
          <w:b w:val="0"/>
        </w:rPr>
      </w:pPr>
      <w:r w:rsidRPr="00851B0F">
        <w:rPr>
          <w:rFonts w:ascii="Times New Roman" w:hAnsi="Times New Roman"/>
          <w:b w:val="0"/>
        </w:rPr>
        <w:t>A.</w:t>
      </w:r>
      <w:r w:rsidRPr="00851B0F">
        <w:rPr>
          <w:rFonts w:ascii="Times New Roman" w:hAnsi="Times New Roman"/>
          <w:b w:val="0"/>
        </w:rPr>
        <w:tab/>
        <w:t xml:space="preserve">In the first part of my analysis, I apply the DCF model to </w:t>
      </w:r>
      <w:r w:rsidR="00C44BDD" w:rsidRPr="00851B0F">
        <w:rPr>
          <w:rFonts w:ascii="Times New Roman" w:hAnsi="Times New Roman"/>
          <w:b w:val="0"/>
        </w:rPr>
        <w:t>the</w:t>
      </w:r>
      <w:r w:rsidRPr="00851B0F">
        <w:rPr>
          <w:rFonts w:ascii="Times New Roman" w:hAnsi="Times New Roman"/>
          <w:b w:val="0"/>
        </w:rPr>
        <w:t xml:space="preserve"> 14-company </w:t>
      </w:r>
      <w:r w:rsidR="00C44BDD" w:rsidRPr="00851B0F">
        <w:rPr>
          <w:rFonts w:ascii="Times New Roman" w:hAnsi="Times New Roman"/>
          <w:b w:val="0"/>
        </w:rPr>
        <w:t xml:space="preserve">comparable </w:t>
      </w:r>
      <w:r w:rsidRPr="00851B0F">
        <w:rPr>
          <w:rFonts w:ascii="Times New Roman" w:hAnsi="Times New Roman"/>
          <w:b w:val="0"/>
        </w:rPr>
        <w:t>group of electric utilities based on the selection criteria discussed previously</w:t>
      </w:r>
      <w:r w:rsidR="00E8096B" w:rsidRPr="00851B0F">
        <w:rPr>
          <w:rFonts w:ascii="Times New Roman" w:hAnsi="Times New Roman"/>
          <w:b w:val="0"/>
        </w:rPr>
        <w:t xml:space="preserve">.  </w:t>
      </w:r>
      <w:r w:rsidRPr="00851B0F">
        <w:rPr>
          <w:rFonts w:ascii="Times New Roman" w:hAnsi="Times New Roman"/>
          <w:b w:val="0"/>
        </w:rPr>
        <w:t xml:space="preserve">In the second part of my analysis, I apply </w:t>
      </w:r>
      <w:r w:rsidR="00C44BDD" w:rsidRPr="00851B0F">
        <w:rPr>
          <w:rFonts w:ascii="Times New Roman" w:hAnsi="Times New Roman"/>
          <w:b w:val="0"/>
        </w:rPr>
        <w:t xml:space="preserve">the </w:t>
      </w:r>
      <w:r w:rsidRPr="00851B0F">
        <w:rPr>
          <w:rFonts w:ascii="Times New Roman" w:hAnsi="Times New Roman"/>
          <w:b w:val="0"/>
        </w:rPr>
        <w:t>equity risk premium models and review projected economic conditions and projected capital costs for the coming year.</w:t>
      </w:r>
    </w:p>
    <w:p w:rsidR="00167998" w:rsidRPr="00851B0F" w:rsidRDefault="0037063A" w:rsidP="00167998">
      <w:pPr>
        <w:pStyle w:val="Heading4"/>
        <w:keepNext w:val="0"/>
        <w:spacing w:before="0"/>
        <w:jc w:val="left"/>
      </w:pPr>
      <w:r w:rsidRPr="00851B0F">
        <w:rPr>
          <w:rFonts w:ascii="Times New Roman" w:hAnsi="Times New Roman"/>
          <w:b w:val="0"/>
        </w:rPr>
        <w:tab/>
      </w:r>
      <w:r w:rsidRPr="00851B0F">
        <w:rPr>
          <w:rFonts w:ascii="Times New Roman" w:hAnsi="Times New Roman"/>
          <w:b w:val="0"/>
        </w:rPr>
        <w:tab/>
        <w:t>My DCF analysis is based on three versions of the DCF model</w:t>
      </w:r>
      <w:r w:rsidR="00E8096B" w:rsidRPr="00851B0F">
        <w:rPr>
          <w:rFonts w:ascii="Times New Roman" w:hAnsi="Times New Roman"/>
          <w:b w:val="0"/>
        </w:rPr>
        <w:t xml:space="preserve">.  </w:t>
      </w:r>
      <w:r w:rsidRPr="00851B0F">
        <w:rPr>
          <w:rFonts w:ascii="Times New Roman" w:hAnsi="Times New Roman"/>
          <w:b w:val="0"/>
        </w:rPr>
        <w:t>In the first version of the DCF model, I use the constant growth format with long-term expected growth based on analysts</w:t>
      </w:r>
      <w:r w:rsidR="00823A67" w:rsidRPr="00851B0F">
        <w:rPr>
          <w:rFonts w:ascii="Times New Roman" w:hAnsi="Times New Roman"/>
          <w:b w:val="0"/>
        </w:rPr>
        <w:t>’</w:t>
      </w:r>
      <w:r w:rsidRPr="00851B0F">
        <w:rPr>
          <w:rFonts w:ascii="Times New Roman" w:hAnsi="Times New Roman"/>
          <w:b w:val="0"/>
        </w:rPr>
        <w:t xml:space="preserve"> estimates of five-year utility earnings growth</w:t>
      </w:r>
      <w:r w:rsidR="00E8096B" w:rsidRPr="00851B0F">
        <w:rPr>
          <w:rFonts w:ascii="Times New Roman" w:hAnsi="Times New Roman"/>
          <w:b w:val="0"/>
        </w:rPr>
        <w:t xml:space="preserve">.  </w:t>
      </w:r>
      <w:r w:rsidRPr="00851B0F">
        <w:rPr>
          <w:rFonts w:ascii="Times New Roman" w:hAnsi="Times New Roman"/>
          <w:b w:val="0"/>
        </w:rPr>
        <w:t xml:space="preserve">While I endorse a longer-term growth estimation approach based on growth in </w:t>
      </w:r>
      <w:r w:rsidR="003E16D0" w:rsidRPr="00851B0F">
        <w:rPr>
          <w:rFonts w:ascii="Times New Roman" w:hAnsi="Times New Roman"/>
          <w:b w:val="0"/>
        </w:rPr>
        <w:t>nominal GDP</w:t>
      </w:r>
      <w:r w:rsidRPr="00851B0F">
        <w:rPr>
          <w:rFonts w:ascii="Times New Roman" w:hAnsi="Times New Roman"/>
          <w:b w:val="0"/>
        </w:rPr>
        <w:t>, I show the analyst growth rate DCF results because this is the approach that has traditionally been used by many regulators</w:t>
      </w:r>
      <w:r w:rsidR="00E8096B" w:rsidRPr="00851B0F">
        <w:rPr>
          <w:rFonts w:ascii="Times New Roman" w:hAnsi="Times New Roman"/>
          <w:b w:val="0"/>
        </w:rPr>
        <w:t xml:space="preserve">.  </w:t>
      </w:r>
      <w:r w:rsidRPr="00851B0F">
        <w:rPr>
          <w:rFonts w:ascii="Times New Roman" w:hAnsi="Times New Roman"/>
          <w:b w:val="0"/>
        </w:rPr>
        <w:t xml:space="preserve">In the second version of the DCF model, for the estimated growth rate, I use only the long-term estimated </w:t>
      </w:r>
      <w:smartTag w:uri="urn:schemas-microsoft-com:office:smarttags" w:element="stockticker">
        <w:r w:rsidRPr="00851B0F">
          <w:rPr>
            <w:rFonts w:ascii="Times New Roman" w:hAnsi="Times New Roman"/>
            <w:b w:val="0"/>
          </w:rPr>
          <w:t>GDP</w:t>
        </w:r>
      </w:smartTag>
      <w:r w:rsidRPr="00851B0F">
        <w:rPr>
          <w:rFonts w:ascii="Times New Roman" w:hAnsi="Times New Roman"/>
          <w:b w:val="0"/>
        </w:rPr>
        <w:t xml:space="preserve"> growth rate</w:t>
      </w:r>
      <w:r w:rsidR="00E8096B" w:rsidRPr="00851B0F">
        <w:rPr>
          <w:rFonts w:ascii="Times New Roman" w:hAnsi="Times New Roman"/>
          <w:b w:val="0"/>
        </w:rPr>
        <w:t xml:space="preserve">.  </w:t>
      </w:r>
      <w:r w:rsidRPr="00851B0F">
        <w:rPr>
          <w:rFonts w:ascii="Times New Roman" w:hAnsi="Times New Roman"/>
          <w:b w:val="0"/>
        </w:rPr>
        <w:t>Finally, in the third version of the DCF model, I use a two-stage growth approach, with stage one growth based on Value Line</w:t>
      </w:r>
      <w:r w:rsidR="00823A67" w:rsidRPr="00851B0F">
        <w:rPr>
          <w:rFonts w:ascii="Times New Roman" w:hAnsi="Times New Roman"/>
          <w:b w:val="0"/>
        </w:rPr>
        <w:t>’</w:t>
      </w:r>
      <w:r w:rsidRPr="00851B0F">
        <w:rPr>
          <w:rFonts w:ascii="Times New Roman" w:hAnsi="Times New Roman"/>
          <w:b w:val="0"/>
        </w:rPr>
        <w:t>s three-to-five-year dividend projections and stage two growth based on long-term projected GDP growth</w:t>
      </w:r>
      <w:r w:rsidR="00E8096B" w:rsidRPr="00851B0F">
        <w:rPr>
          <w:rFonts w:ascii="Times New Roman" w:hAnsi="Times New Roman"/>
          <w:b w:val="0"/>
        </w:rPr>
        <w:t xml:space="preserve">.  </w:t>
      </w:r>
      <w:r w:rsidRPr="00851B0F">
        <w:rPr>
          <w:rFonts w:ascii="Times New Roman" w:hAnsi="Times New Roman"/>
          <w:b w:val="0"/>
        </w:rPr>
        <w:t>The dividend yields in all three of the models are from Value Line</w:t>
      </w:r>
      <w:r w:rsidR="00823A67" w:rsidRPr="00851B0F">
        <w:rPr>
          <w:rFonts w:ascii="Times New Roman" w:hAnsi="Times New Roman"/>
          <w:b w:val="0"/>
        </w:rPr>
        <w:t>’</w:t>
      </w:r>
      <w:r w:rsidRPr="00851B0F">
        <w:rPr>
          <w:rFonts w:ascii="Times New Roman" w:hAnsi="Times New Roman"/>
          <w:b w:val="0"/>
        </w:rPr>
        <w:t>s projections of dividends for the coming year</w:t>
      </w:r>
      <w:r w:rsidR="00944695" w:rsidRPr="00851B0F">
        <w:rPr>
          <w:rFonts w:ascii="Times New Roman" w:hAnsi="Times New Roman"/>
          <w:b w:val="0"/>
        </w:rPr>
        <w:t>,</w:t>
      </w:r>
      <w:r w:rsidRPr="00851B0F">
        <w:rPr>
          <w:rFonts w:ascii="Times New Roman" w:hAnsi="Times New Roman"/>
          <w:b w:val="0"/>
        </w:rPr>
        <w:t xml:space="preserve"> and stock prices are from the three-month average for the months that correspond to the Value Line editions from which the underlying financial data are taken.</w:t>
      </w:r>
    </w:p>
    <w:p w:rsidR="00B81099" w:rsidRPr="00851B0F" w:rsidRDefault="0037063A" w:rsidP="00734C05">
      <w:pPr>
        <w:pStyle w:val="Heading4"/>
        <w:keepNext w:val="0"/>
        <w:widowControl w:val="0"/>
        <w:spacing w:before="0"/>
        <w:jc w:val="left"/>
        <w:rPr>
          <w:rFonts w:ascii="Times New Roman" w:hAnsi="Times New Roman"/>
        </w:rPr>
      </w:pPr>
      <w:r w:rsidRPr="00851B0F">
        <w:rPr>
          <w:rFonts w:ascii="Times New Roman" w:hAnsi="Times New Roman"/>
        </w:rPr>
        <w:t>Q.</w:t>
      </w:r>
      <w:r w:rsidRPr="00851B0F">
        <w:rPr>
          <w:rFonts w:ascii="Times New Roman" w:hAnsi="Times New Roman"/>
        </w:rPr>
        <w:tab/>
        <w:t xml:space="preserve">Why do you believe the long-term </w:t>
      </w:r>
      <w:smartTag w:uri="urn:schemas-microsoft-com:office:smarttags" w:element="stockticker">
        <w:r w:rsidRPr="00851B0F">
          <w:rPr>
            <w:rFonts w:ascii="Times New Roman" w:hAnsi="Times New Roman"/>
          </w:rPr>
          <w:t>GDP</w:t>
        </w:r>
      </w:smartTag>
      <w:r w:rsidRPr="00851B0F">
        <w:rPr>
          <w:rFonts w:ascii="Times New Roman" w:hAnsi="Times New Roman"/>
        </w:rPr>
        <w:t xml:space="preserve"> growth rate should be used to estimate long-term growth expectations in the DCF model?</w:t>
      </w:r>
    </w:p>
    <w:p w:rsidR="00B81099" w:rsidRPr="00851B0F" w:rsidRDefault="0037063A" w:rsidP="00734C05">
      <w:pPr>
        <w:pStyle w:val="Heading4"/>
        <w:keepNext w:val="0"/>
        <w:widowControl w:val="0"/>
        <w:spacing w:before="0"/>
        <w:jc w:val="left"/>
        <w:rPr>
          <w:rFonts w:ascii="Times New Roman" w:hAnsi="Times New Roman"/>
          <w:b w:val="0"/>
        </w:rPr>
      </w:pPr>
      <w:r w:rsidRPr="00851B0F">
        <w:rPr>
          <w:rFonts w:ascii="Times New Roman" w:hAnsi="Times New Roman"/>
          <w:b w:val="0"/>
        </w:rPr>
        <w:t>A.</w:t>
      </w:r>
      <w:r w:rsidRPr="00851B0F">
        <w:rPr>
          <w:rFonts w:ascii="Times New Roman" w:hAnsi="Times New Roman"/>
          <w:b w:val="0"/>
        </w:rPr>
        <w:tab/>
        <w:t xml:space="preserve">Growth in nominal </w:t>
      </w:r>
      <w:smartTag w:uri="urn:schemas-microsoft-com:office:smarttags" w:element="stockticker">
        <w:r w:rsidRPr="00851B0F">
          <w:rPr>
            <w:rFonts w:ascii="Times New Roman" w:hAnsi="Times New Roman"/>
            <w:b w:val="0"/>
          </w:rPr>
          <w:t>GDP</w:t>
        </w:r>
      </w:smartTag>
      <w:r w:rsidRPr="00851B0F">
        <w:rPr>
          <w:rFonts w:ascii="Times New Roman" w:hAnsi="Times New Roman"/>
          <w:b w:val="0"/>
        </w:rPr>
        <w:t xml:space="preserve"> (real </w:t>
      </w:r>
      <w:smartTag w:uri="urn:schemas-microsoft-com:office:smarttags" w:element="stockticker">
        <w:r w:rsidRPr="00851B0F">
          <w:rPr>
            <w:rFonts w:ascii="Times New Roman" w:hAnsi="Times New Roman"/>
            <w:b w:val="0"/>
          </w:rPr>
          <w:t>GDP</w:t>
        </w:r>
      </w:smartTag>
      <w:r w:rsidRPr="00851B0F">
        <w:rPr>
          <w:rFonts w:ascii="Times New Roman" w:hAnsi="Times New Roman"/>
          <w:b w:val="0"/>
        </w:rPr>
        <w:t xml:space="preserve"> plus inflation) is the most general measure of economic growth in the U.S. economy</w:t>
      </w:r>
      <w:r w:rsidR="00E8096B" w:rsidRPr="00851B0F">
        <w:rPr>
          <w:rFonts w:ascii="Times New Roman" w:hAnsi="Times New Roman"/>
          <w:b w:val="0"/>
        </w:rPr>
        <w:t xml:space="preserve">.  </w:t>
      </w:r>
      <w:r w:rsidRPr="00851B0F">
        <w:rPr>
          <w:rFonts w:ascii="Times New Roman" w:hAnsi="Times New Roman"/>
          <w:b w:val="0"/>
        </w:rPr>
        <w:t xml:space="preserve">For long time periods, such as those used in the Morningstar/Ibbotson Associates rate of return data, nominal </w:t>
      </w:r>
      <w:smartTag w:uri="urn:schemas-microsoft-com:office:smarttags" w:element="stockticker">
        <w:r w:rsidRPr="00851B0F">
          <w:rPr>
            <w:rFonts w:ascii="Times New Roman" w:hAnsi="Times New Roman"/>
            <w:b w:val="0"/>
          </w:rPr>
          <w:t>GDP</w:t>
        </w:r>
      </w:smartTag>
      <w:r w:rsidRPr="00851B0F">
        <w:rPr>
          <w:rFonts w:ascii="Times New Roman" w:hAnsi="Times New Roman"/>
          <w:b w:val="0"/>
        </w:rPr>
        <w:t xml:space="preserve"> growth has averaged between five percent and eight percent per year</w:t>
      </w:r>
      <w:r w:rsidR="00E8096B" w:rsidRPr="00851B0F">
        <w:rPr>
          <w:rFonts w:ascii="Times New Roman" w:hAnsi="Times New Roman"/>
          <w:b w:val="0"/>
        </w:rPr>
        <w:t xml:space="preserve">.  </w:t>
      </w:r>
      <w:r w:rsidRPr="00851B0F">
        <w:rPr>
          <w:rFonts w:ascii="Times New Roman" w:hAnsi="Times New Roman"/>
          <w:b w:val="0"/>
        </w:rPr>
        <w:t>From this observation, Professors Brigham and Houston offer the following observation concerning the appropriate long-term growth rate in the DCF Model:</w:t>
      </w:r>
    </w:p>
    <w:p w:rsidR="00997B81" w:rsidRPr="00851B0F" w:rsidRDefault="0037063A">
      <w:pPr>
        <w:pStyle w:val="Heading4"/>
        <w:keepLines/>
        <w:spacing w:before="0" w:line="240" w:lineRule="auto"/>
        <w:ind w:left="1440" w:right="720" w:firstLine="0"/>
        <w:jc w:val="left"/>
        <w:rPr>
          <w:rFonts w:ascii="Times New Roman" w:hAnsi="Times New Roman"/>
          <w:b w:val="0"/>
        </w:rPr>
      </w:pPr>
      <w:r w:rsidRPr="00851B0F">
        <w:rPr>
          <w:rFonts w:ascii="Times New Roman" w:hAnsi="Times New Roman"/>
          <w:b w:val="0"/>
        </w:rPr>
        <w:t xml:space="preserve">Expected growth rates vary somewhat among companies, but dividends for mature firms are often expected to grow in the future at about the same rate as nominal gross domestic product (real </w:t>
      </w:r>
      <w:smartTag w:uri="urn:schemas-microsoft-com:office:smarttags" w:element="stockticker">
        <w:r w:rsidRPr="00851B0F">
          <w:rPr>
            <w:rFonts w:ascii="Times New Roman" w:hAnsi="Times New Roman"/>
            <w:b w:val="0"/>
          </w:rPr>
          <w:t>GDP</w:t>
        </w:r>
      </w:smartTag>
      <w:r w:rsidRPr="00851B0F">
        <w:rPr>
          <w:rFonts w:ascii="Times New Roman" w:hAnsi="Times New Roman"/>
          <w:b w:val="0"/>
        </w:rPr>
        <w:t xml:space="preserve"> plus inflation)</w:t>
      </w:r>
      <w:r w:rsidR="00E8096B" w:rsidRPr="00851B0F">
        <w:rPr>
          <w:rFonts w:ascii="Times New Roman" w:hAnsi="Times New Roman"/>
          <w:b w:val="0"/>
        </w:rPr>
        <w:t xml:space="preserve">.  </w:t>
      </w:r>
      <w:r w:rsidRPr="00851B0F">
        <w:rPr>
          <w:rFonts w:ascii="Times New Roman" w:hAnsi="Times New Roman"/>
          <w:b w:val="0"/>
        </w:rPr>
        <w:t xml:space="preserve">On this basis, one might expect the dividend of an average, or </w:t>
      </w:r>
      <w:r w:rsidR="00886028" w:rsidRPr="00851B0F">
        <w:rPr>
          <w:rFonts w:ascii="Times New Roman" w:hAnsi="Times New Roman"/>
          <w:b w:val="0"/>
        </w:rPr>
        <w:t>“</w:t>
      </w:r>
      <w:r w:rsidRPr="00851B0F">
        <w:rPr>
          <w:rFonts w:ascii="Times New Roman" w:hAnsi="Times New Roman"/>
          <w:b w:val="0"/>
        </w:rPr>
        <w:t>normal,</w:t>
      </w:r>
      <w:r w:rsidR="00886028" w:rsidRPr="00851B0F">
        <w:rPr>
          <w:rFonts w:ascii="Times New Roman" w:hAnsi="Times New Roman"/>
          <w:b w:val="0"/>
        </w:rPr>
        <w:t>”</w:t>
      </w:r>
      <w:r w:rsidRPr="00851B0F">
        <w:rPr>
          <w:rFonts w:ascii="Times New Roman" w:hAnsi="Times New Roman"/>
          <w:b w:val="0"/>
        </w:rPr>
        <w:t xml:space="preserve"> company to grow at a rate of 5 to 8 percent a year.</w:t>
      </w:r>
      <w:r w:rsidR="00117F09" w:rsidRPr="00851B0F">
        <w:rPr>
          <w:rStyle w:val="FootnoteReference"/>
          <w:b w:val="0"/>
        </w:rPr>
        <w:footnoteReference w:id="7"/>
      </w:r>
    </w:p>
    <w:p w:rsidR="00B81099" w:rsidRPr="00851B0F" w:rsidRDefault="0037063A" w:rsidP="00734C05">
      <w:pPr>
        <w:pStyle w:val="Heading4"/>
        <w:keepNext w:val="0"/>
        <w:jc w:val="left"/>
        <w:rPr>
          <w:rFonts w:ascii="Times New Roman" w:hAnsi="Times New Roman"/>
          <w:b w:val="0"/>
        </w:rPr>
      </w:pPr>
      <w:r w:rsidRPr="00851B0F">
        <w:rPr>
          <w:rFonts w:ascii="Times New Roman" w:hAnsi="Times New Roman"/>
          <w:b w:val="0"/>
        </w:rPr>
        <w:tab/>
        <w:t xml:space="preserve">Other academic research on corporate growth rates offers similar conclusions about </w:t>
      </w:r>
      <w:smartTag w:uri="urn:schemas-microsoft-com:office:smarttags" w:element="stockticker">
        <w:r w:rsidRPr="00851B0F">
          <w:rPr>
            <w:rFonts w:ascii="Times New Roman" w:hAnsi="Times New Roman"/>
            <w:b w:val="0"/>
          </w:rPr>
          <w:t>GDP</w:t>
        </w:r>
      </w:smartTag>
      <w:r w:rsidRPr="00851B0F">
        <w:rPr>
          <w:rFonts w:ascii="Times New Roman" w:hAnsi="Times New Roman"/>
          <w:b w:val="0"/>
        </w:rPr>
        <w:t xml:space="preserve"> growth</w:t>
      </w:r>
      <w:r w:rsidR="005031FE" w:rsidRPr="00851B0F">
        <w:rPr>
          <w:rFonts w:ascii="Times New Roman" w:hAnsi="Times New Roman"/>
          <w:b w:val="0"/>
        </w:rPr>
        <w:t>,</w:t>
      </w:r>
      <w:r w:rsidRPr="00851B0F">
        <w:rPr>
          <w:rFonts w:ascii="Times New Roman" w:hAnsi="Times New Roman"/>
          <w:b w:val="0"/>
        </w:rPr>
        <w:t xml:space="preserve"> as well as concerns about the long-term adequacy of analysts</w:t>
      </w:r>
      <w:r w:rsidR="00823A67" w:rsidRPr="00851B0F">
        <w:rPr>
          <w:rFonts w:ascii="Times New Roman" w:hAnsi="Times New Roman"/>
          <w:b w:val="0"/>
        </w:rPr>
        <w:t>’</w:t>
      </w:r>
      <w:r w:rsidRPr="00851B0F">
        <w:rPr>
          <w:rFonts w:ascii="Times New Roman" w:hAnsi="Times New Roman"/>
          <w:b w:val="0"/>
        </w:rPr>
        <w:t xml:space="preserve"> forecasts: </w:t>
      </w:r>
    </w:p>
    <w:p w:rsidR="00997B81" w:rsidRPr="00851B0F" w:rsidRDefault="0037063A">
      <w:pPr>
        <w:pStyle w:val="Heading4"/>
        <w:keepNext w:val="0"/>
        <w:spacing w:before="0" w:line="240" w:lineRule="auto"/>
        <w:ind w:left="1440" w:right="720" w:firstLine="0"/>
        <w:jc w:val="left"/>
        <w:rPr>
          <w:rFonts w:ascii="Times New Roman" w:hAnsi="Times New Roman"/>
          <w:b w:val="0"/>
        </w:rPr>
      </w:pPr>
      <w:r w:rsidRPr="00851B0F">
        <w:rPr>
          <w:rFonts w:ascii="Times New Roman" w:hAnsi="Times New Roman"/>
          <w:b w:val="0"/>
        </w:rPr>
        <w:t>Our estimated median growth rate is reasonable when compared to the overall economy</w:t>
      </w:r>
      <w:r w:rsidR="00823A67" w:rsidRPr="00851B0F">
        <w:rPr>
          <w:rFonts w:ascii="Times New Roman" w:hAnsi="Times New Roman"/>
          <w:b w:val="0"/>
        </w:rPr>
        <w:t>’</w:t>
      </w:r>
      <w:r w:rsidRPr="00851B0F">
        <w:rPr>
          <w:rFonts w:ascii="Times New Roman" w:hAnsi="Times New Roman"/>
          <w:b w:val="0"/>
        </w:rPr>
        <w:t>s growth rate</w:t>
      </w:r>
      <w:r w:rsidR="00E8096B" w:rsidRPr="00851B0F">
        <w:rPr>
          <w:rFonts w:ascii="Times New Roman" w:hAnsi="Times New Roman"/>
          <w:b w:val="0"/>
        </w:rPr>
        <w:t xml:space="preserve">.  </w:t>
      </w:r>
      <w:r w:rsidRPr="00851B0F">
        <w:rPr>
          <w:rFonts w:ascii="Times New Roman" w:hAnsi="Times New Roman"/>
          <w:b w:val="0"/>
        </w:rPr>
        <w:t>On average over the sample period, the median growth rate over 10 years for income before extraordinary items is ab</w:t>
      </w:r>
      <w:r w:rsidR="00771D74">
        <w:rPr>
          <w:rFonts w:ascii="Times New Roman" w:hAnsi="Times New Roman"/>
          <w:b w:val="0"/>
        </w:rPr>
        <w:t>out 10 percent for all firms....</w:t>
      </w:r>
      <w:r w:rsidRPr="00851B0F">
        <w:rPr>
          <w:rFonts w:ascii="Times New Roman" w:hAnsi="Times New Roman"/>
          <w:b w:val="0"/>
        </w:rPr>
        <w:t>After deducting the dividend yield (the median yield is 2.5 percent per year), as well as inflation (which averages 4 percent per year over the sample period), the growth in real income before extraordinary items is roughly 3.5 percent per year</w:t>
      </w:r>
      <w:r w:rsidR="00E8096B" w:rsidRPr="00851B0F">
        <w:rPr>
          <w:rFonts w:ascii="Times New Roman" w:hAnsi="Times New Roman"/>
          <w:b w:val="0"/>
        </w:rPr>
        <w:t xml:space="preserve">.  </w:t>
      </w:r>
      <w:r w:rsidRPr="00851B0F">
        <w:rPr>
          <w:rFonts w:ascii="Times New Roman" w:hAnsi="Times New Roman"/>
          <w:b w:val="0"/>
        </w:rPr>
        <w:t>This is consistent with the historical growth rate in real gross domestic product, which has averaged about 3.4 percent per year over the period 1950-1998.</w:t>
      </w:r>
      <w:r w:rsidR="00117F09" w:rsidRPr="00851B0F">
        <w:rPr>
          <w:rStyle w:val="FootnoteReference"/>
          <w:b w:val="0"/>
        </w:rPr>
        <w:footnoteReference w:id="8"/>
      </w:r>
    </w:p>
    <w:p w:rsidR="00167998" w:rsidRPr="00851B0F" w:rsidRDefault="0037063A" w:rsidP="00167998">
      <w:pPr>
        <w:pStyle w:val="Heading4"/>
        <w:keepNext w:val="0"/>
        <w:widowControl w:val="0"/>
        <w:spacing w:line="240" w:lineRule="auto"/>
        <w:ind w:left="1440" w:right="720" w:firstLine="0"/>
        <w:jc w:val="left"/>
        <w:rPr>
          <w:rFonts w:ascii="Times New Roman" w:hAnsi="Times New Roman"/>
          <w:b w:val="0"/>
        </w:rPr>
      </w:pPr>
      <w:r w:rsidRPr="00851B0F">
        <w:rPr>
          <w:rFonts w:ascii="Times New Roman" w:hAnsi="Times New Roman"/>
          <w:b w:val="0"/>
        </w:rPr>
        <w:t>IBES long-term growth estimates are associated with realized growth in the immediate short-term future</w:t>
      </w:r>
      <w:r w:rsidR="00E8096B" w:rsidRPr="00851B0F">
        <w:rPr>
          <w:rFonts w:ascii="Times New Roman" w:hAnsi="Times New Roman"/>
          <w:b w:val="0"/>
        </w:rPr>
        <w:t xml:space="preserve">.  </w:t>
      </w:r>
      <w:r w:rsidRPr="00851B0F">
        <w:rPr>
          <w:rFonts w:ascii="Times New Roman" w:hAnsi="Times New Roman"/>
          <w:b w:val="0"/>
        </w:rPr>
        <w:t>Over long horizons, however, there is little forecastability in earnings, and analysts</w:t>
      </w:r>
      <w:r w:rsidR="00823A67" w:rsidRPr="00851B0F">
        <w:rPr>
          <w:rFonts w:ascii="Times New Roman" w:hAnsi="Times New Roman"/>
          <w:b w:val="0"/>
        </w:rPr>
        <w:t>’</w:t>
      </w:r>
      <w:r w:rsidRPr="00851B0F">
        <w:rPr>
          <w:rFonts w:ascii="Times New Roman" w:hAnsi="Times New Roman"/>
          <w:b w:val="0"/>
        </w:rPr>
        <w:t xml:space="preserve"> estimate</w:t>
      </w:r>
      <w:r w:rsidR="00771D74">
        <w:rPr>
          <w:rFonts w:ascii="Times New Roman" w:hAnsi="Times New Roman"/>
          <w:b w:val="0"/>
        </w:rPr>
        <w:t>s tend to be overly optimistic….</w:t>
      </w:r>
      <w:r w:rsidRPr="00851B0F">
        <w:rPr>
          <w:rFonts w:ascii="Times New Roman" w:hAnsi="Times New Roman"/>
          <w:b w:val="0"/>
        </w:rPr>
        <w:t>On the whole, the absence of predictability in growth fits in with the economic intuition that competitive pressures ultimately work to correct excessively high or excessively low profitability growth.</w:t>
      </w:r>
      <w:r w:rsidR="00117F09" w:rsidRPr="00851B0F">
        <w:rPr>
          <w:rStyle w:val="FootnoteReference"/>
          <w:b w:val="0"/>
        </w:rPr>
        <w:footnoteReference w:id="9"/>
      </w:r>
    </w:p>
    <w:p w:rsidR="00B81099" w:rsidRPr="00851B0F" w:rsidRDefault="0037063A" w:rsidP="00734C05">
      <w:pPr>
        <w:pStyle w:val="Heading4"/>
        <w:keepNext w:val="0"/>
        <w:jc w:val="left"/>
        <w:rPr>
          <w:rFonts w:ascii="Times New Roman" w:hAnsi="Times New Roman"/>
          <w:b w:val="0"/>
        </w:rPr>
      </w:pPr>
      <w:r w:rsidRPr="00851B0F">
        <w:rPr>
          <w:rFonts w:ascii="Times New Roman" w:hAnsi="Times New Roman"/>
          <w:b w:val="0"/>
        </w:rPr>
        <w:tab/>
        <w:t>These findings support the notion that long-term growth expectations are more closely predicted by broader measures of economic growth than by near-term analysts</w:t>
      </w:r>
      <w:r w:rsidR="00823A67" w:rsidRPr="00851B0F">
        <w:rPr>
          <w:rFonts w:ascii="Times New Roman" w:hAnsi="Times New Roman"/>
          <w:b w:val="0"/>
        </w:rPr>
        <w:t>’</w:t>
      </w:r>
      <w:r w:rsidRPr="00851B0F">
        <w:rPr>
          <w:rFonts w:ascii="Times New Roman" w:hAnsi="Times New Roman"/>
          <w:b w:val="0"/>
        </w:rPr>
        <w:t xml:space="preserve"> estimates</w:t>
      </w:r>
      <w:r w:rsidR="00E8096B" w:rsidRPr="00851B0F">
        <w:rPr>
          <w:rFonts w:ascii="Times New Roman" w:hAnsi="Times New Roman"/>
          <w:b w:val="0"/>
        </w:rPr>
        <w:t xml:space="preserve">.  </w:t>
      </w:r>
      <w:r w:rsidRPr="00851B0F">
        <w:rPr>
          <w:rFonts w:ascii="Times New Roman" w:hAnsi="Times New Roman"/>
          <w:b w:val="0"/>
        </w:rPr>
        <w:t xml:space="preserve">Especially for the very long-term growth rate requirements of the DCF model, the growth in nominal </w:t>
      </w:r>
      <w:smartTag w:uri="urn:schemas-microsoft-com:office:smarttags" w:element="stockticker">
        <w:r w:rsidRPr="00851B0F">
          <w:rPr>
            <w:rFonts w:ascii="Times New Roman" w:hAnsi="Times New Roman"/>
            <w:b w:val="0"/>
          </w:rPr>
          <w:t>GDP</w:t>
        </w:r>
      </w:smartTag>
      <w:r w:rsidRPr="00851B0F">
        <w:rPr>
          <w:rFonts w:ascii="Times New Roman" w:hAnsi="Times New Roman"/>
          <w:b w:val="0"/>
        </w:rPr>
        <w:t xml:space="preserve"> should be considered an important input.</w:t>
      </w:r>
    </w:p>
    <w:p w:rsidR="00B81099" w:rsidRPr="00851B0F" w:rsidRDefault="0037063A" w:rsidP="00734C05">
      <w:pPr>
        <w:pStyle w:val="Heading4"/>
        <w:keepNext w:val="0"/>
        <w:widowControl w:val="0"/>
        <w:spacing w:before="0"/>
        <w:jc w:val="left"/>
        <w:rPr>
          <w:rFonts w:ascii="Times New Roman" w:hAnsi="Times New Roman"/>
        </w:rPr>
      </w:pPr>
      <w:r w:rsidRPr="00851B0F">
        <w:rPr>
          <w:rFonts w:ascii="Times New Roman" w:hAnsi="Times New Roman"/>
        </w:rPr>
        <w:t>Q.</w:t>
      </w:r>
      <w:r w:rsidRPr="00851B0F">
        <w:rPr>
          <w:rFonts w:ascii="Times New Roman" w:hAnsi="Times New Roman"/>
        </w:rPr>
        <w:tab/>
        <w:t xml:space="preserve">How did you estimate the expected long-run </w:t>
      </w:r>
      <w:smartTag w:uri="urn:schemas-microsoft-com:office:smarttags" w:element="stockticker">
        <w:r w:rsidRPr="00851B0F">
          <w:rPr>
            <w:rFonts w:ascii="Times New Roman" w:hAnsi="Times New Roman"/>
          </w:rPr>
          <w:t>GDP</w:t>
        </w:r>
      </w:smartTag>
      <w:r w:rsidRPr="00851B0F">
        <w:rPr>
          <w:rFonts w:ascii="Times New Roman" w:hAnsi="Times New Roman"/>
        </w:rPr>
        <w:t xml:space="preserve"> growth rate?</w:t>
      </w:r>
    </w:p>
    <w:p w:rsidR="00B81099" w:rsidRPr="00851B0F" w:rsidRDefault="0037063A" w:rsidP="00734C05">
      <w:pPr>
        <w:pStyle w:val="Heading4"/>
        <w:keepNext w:val="0"/>
        <w:widowControl w:val="0"/>
        <w:spacing w:before="0"/>
        <w:jc w:val="left"/>
        <w:rPr>
          <w:rFonts w:ascii="Times New Roman" w:hAnsi="Times New Roman"/>
          <w:b w:val="0"/>
        </w:rPr>
      </w:pPr>
      <w:r w:rsidRPr="00851B0F">
        <w:rPr>
          <w:rFonts w:ascii="Times New Roman" w:hAnsi="Times New Roman"/>
          <w:b w:val="0"/>
        </w:rPr>
        <w:t>A.</w:t>
      </w:r>
      <w:r w:rsidRPr="00851B0F">
        <w:rPr>
          <w:rFonts w:ascii="Times New Roman" w:hAnsi="Times New Roman"/>
          <w:b w:val="0"/>
        </w:rPr>
        <w:tab/>
        <w:t xml:space="preserve">I developed my long-term </w:t>
      </w:r>
      <w:smartTag w:uri="urn:schemas-microsoft-com:office:smarttags" w:element="stockticker">
        <w:r w:rsidRPr="00851B0F">
          <w:rPr>
            <w:rFonts w:ascii="Times New Roman" w:hAnsi="Times New Roman"/>
            <w:b w:val="0"/>
          </w:rPr>
          <w:t>GDP</w:t>
        </w:r>
      </w:smartTag>
      <w:r w:rsidRPr="00851B0F">
        <w:rPr>
          <w:rFonts w:ascii="Times New Roman" w:hAnsi="Times New Roman"/>
          <w:b w:val="0"/>
        </w:rPr>
        <w:t xml:space="preserve"> growth forecast from nominal </w:t>
      </w:r>
      <w:smartTag w:uri="urn:schemas-microsoft-com:office:smarttags" w:element="stockticker">
        <w:r w:rsidRPr="00851B0F">
          <w:rPr>
            <w:rFonts w:ascii="Times New Roman" w:hAnsi="Times New Roman"/>
            <w:b w:val="0"/>
          </w:rPr>
          <w:t>GDP</w:t>
        </w:r>
      </w:smartTag>
      <w:r w:rsidRPr="00851B0F">
        <w:rPr>
          <w:rFonts w:ascii="Times New Roman" w:hAnsi="Times New Roman"/>
          <w:b w:val="0"/>
        </w:rPr>
        <w:t xml:space="preserve"> data contained in the St. Louis Federal Reserve Bank data base</w:t>
      </w:r>
      <w:r w:rsidR="00AF05CC" w:rsidRPr="00851B0F">
        <w:rPr>
          <w:rFonts w:ascii="Times New Roman" w:hAnsi="Times New Roman"/>
          <w:b w:val="0"/>
        </w:rPr>
        <w:t xml:space="preserve">. </w:t>
      </w:r>
      <w:r w:rsidR="00117F09" w:rsidRPr="00851B0F">
        <w:rPr>
          <w:rFonts w:ascii="Times New Roman" w:hAnsi="Times New Roman"/>
          <w:b w:val="0"/>
        </w:rPr>
        <w:t xml:space="preserve"> </w:t>
      </w:r>
      <w:r w:rsidRPr="00851B0F">
        <w:rPr>
          <w:rFonts w:ascii="Times New Roman" w:hAnsi="Times New Roman"/>
          <w:b w:val="0"/>
        </w:rPr>
        <w:t xml:space="preserve">That data for the period </w:t>
      </w:r>
      <w:r w:rsidR="00697DF8" w:rsidRPr="00851B0F">
        <w:rPr>
          <w:rFonts w:ascii="Times New Roman" w:hAnsi="Times New Roman"/>
          <w:b w:val="0"/>
        </w:rPr>
        <w:t xml:space="preserve">1951 </w:t>
      </w:r>
      <w:r w:rsidRPr="00851B0F">
        <w:rPr>
          <w:rFonts w:ascii="Times New Roman" w:hAnsi="Times New Roman"/>
          <w:b w:val="0"/>
        </w:rPr>
        <w:t xml:space="preserve">through </w:t>
      </w:r>
      <w:r w:rsidR="00697DF8" w:rsidRPr="00851B0F">
        <w:rPr>
          <w:rFonts w:ascii="Times New Roman" w:hAnsi="Times New Roman"/>
          <w:b w:val="0"/>
        </w:rPr>
        <w:t xml:space="preserve">2011 </w:t>
      </w:r>
      <w:r w:rsidRPr="00851B0F">
        <w:rPr>
          <w:rFonts w:ascii="Times New Roman" w:hAnsi="Times New Roman"/>
          <w:b w:val="0"/>
        </w:rPr>
        <w:t xml:space="preserve">are summarized in my Exhibit </w:t>
      </w:r>
      <w:r w:rsidR="00C44BDD" w:rsidRPr="00851B0F">
        <w:rPr>
          <w:rFonts w:ascii="Times New Roman" w:hAnsi="Times New Roman"/>
          <w:b w:val="0"/>
        </w:rPr>
        <w:t>No.___(SCH-6</w:t>
      </w:r>
      <w:r w:rsidRPr="00851B0F">
        <w:rPr>
          <w:rFonts w:ascii="Times New Roman" w:hAnsi="Times New Roman"/>
          <w:b w:val="0"/>
        </w:rPr>
        <w:t>)</w:t>
      </w:r>
      <w:r w:rsidR="00AF05CC" w:rsidRPr="00851B0F">
        <w:rPr>
          <w:rFonts w:ascii="Times New Roman" w:hAnsi="Times New Roman"/>
          <w:b w:val="0"/>
        </w:rPr>
        <w:t xml:space="preserve">. </w:t>
      </w:r>
      <w:r w:rsidR="00117F09" w:rsidRPr="00851B0F">
        <w:rPr>
          <w:rFonts w:ascii="Times New Roman" w:hAnsi="Times New Roman"/>
          <w:b w:val="0"/>
        </w:rPr>
        <w:t xml:space="preserve"> </w:t>
      </w:r>
      <w:r w:rsidRPr="00851B0F">
        <w:rPr>
          <w:rFonts w:ascii="Times New Roman" w:hAnsi="Times New Roman"/>
          <w:b w:val="0"/>
        </w:rPr>
        <w:t xml:space="preserve">As shown at the bottom of that exhibit, the </w:t>
      </w:r>
      <w:r w:rsidR="001E3B74" w:rsidRPr="00851B0F">
        <w:rPr>
          <w:rFonts w:ascii="Times New Roman" w:hAnsi="Times New Roman"/>
          <w:b w:val="0"/>
        </w:rPr>
        <w:t xml:space="preserve">60-year </w:t>
      </w:r>
      <w:r w:rsidRPr="00851B0F">
        <w:rPr>
          <w:rFonts w:ascii="Times New Roman" w:hAnsi="Times New Roman"/>
          <w:b w:val="0"/>
        </w:rPr>
        <w:t xml:space="preserve">average </w:t>
      </w:r>
      <w:r w:rsidR="001E3B74" w:rsidRPr="00851B0F">
        <w:rPr>
          <w:rFonts w:ascii="Times New Roman" w:hAnsi="Times New Roman"/>
          <w:b w:val="0"/>
        </w:rPr>
        <w:t xml:space="preserve">GDP growth rate </w:t>
      </w:r>
      <w:r w:rsidRPr="00851B0F">
        <w:rPr>
          <w:rFonts w:ascii="Times New Roman" w:hAnsi="Times New Roman"/>
          <w:b w:val="0"/>
        </w:rPr>
        <w:t>was 6.</w:t>
      </w:r>
      <w:r w:rsidR="001E3B74" w:rsidRPr="00851B0F">
        <w:rPr>
          <w:rFonts w:ascii="Times New Roman" w:hAnsi="Times New Roman"/>
          <w:b w:val="0"/>
        </w:rPr>
        <w:t>6</w:t>
      </w:r>
      <w:r w:rsidR="00117F09" w:rsidRPr="00851B0F">
        <w:rPr>
          <w:rFonts w:ascii="Times New Roman" w:hAnsi="Times New Roman"/>
          <w:b w:val="0"/>
        </w:rPr>
        <w:t> </w:t>
      </w:r>
      <w:r w:rsidRPr="00851B0F">
        <w:rPr>
          <w:rFonts w:ascii="Times New Roman" w:hAnsi="Times New Roman"/>
          <w:b w:val="0"/>
        </w:rPr>
        <w:t>percent</w:t>
      </w:r>
      <w:r w:rsidR="00AF05CC" w:rsidRPr="00851B0F">
        <w:rPr>
          <w:rFonts w:ascii="Times New Roman" w:hAnsi="Times New Roman"/>
          <w:b w:val="0"/>
        </w:rPr>
        <w:t xml:space="preserve">. </w:t>
      </w:r>
      <w:r w:rsidR="00E8096B" w:rsidRPr="00851B0F">
        <w:rPr>
          <w:rFonts w:ascii="Times New Roman" w:hAnsi="Times New Roman"/>
          <w:b w:val="0"/>
        </w:rPr>
        <w:t xml:space="preserve"> </w:t>
      </w:r>
      <w:r w:rsidRPr="00851B0F">
        <w:rPr>
          <w:rFonts w:ascii="Times New Roman" w:hAnsi="Times New Roman"/>
          <w:b w:val="0"/>
        </w:rPr>
        <w:t xml:space="preserve">The data also show, however, that after the early 1980s, lower inflation has resulted in lower nominal </w:t>
      </w:r>
      <w:smartTag w:uri="urn:schemas-microsoft-com:office:smarttags" w:element="stockticker">
        <w:r w:rsidRPr="00851B0F">
          <w:rPr>
            <w:rFonts w:ascii="Times New Roman" w:hAnsi="Times New Roman"/>
            <w:b w:val="0"/>
          </w:rPr>
          <w:t>GDP</w:t>
        </w:r>
      </w:smartTag>
      <w:r w:rsidRPr="00851B0F">
        <w:rPr>
          <w:rFonts w:ascii="Times New Roman" w:hAnsi="Times New Roman"/>
          <w:b w:val="0"/>
        </w:rPr>
        <w:t xml:space="preserve"> growth</w:t>
      </w:r>
      <w:r w:rsidR="00E8096B" w:rsidRPr="00851B0F">
        <w:rPr>
          <w:rFonts w:ascii="Times New Roman" w:hAnsi="Times New Roman"/>
          <w:b w:val="0"/>
        </w:rPr>
        <w:t xml:space="preserve">.  </w:t>
      </w:r>
      <w:r w:rsidRPr="00851B0F">
        <w:rPr>
          <w:rFonts w:ascii="Times New Roman" w:hAnsi="Times New Roman"/>
          <w:b w:val="0"/>
        </w:rPr>
        <w:t xml:space="preserve">For this reason I </w:t>
      </w:r>
      <w:r w:rsidR="001E3B74" w:rsidRPr="00851B0F">
        <w:rPr>
          <w:rFonts w:ascii="Times New Roman" w:hAnsi="Times New Roman"/>
          <w:b w:val="0"/>
        </w:rPr>
        <w:t xml:space="preserve">have </w:t>
      </w:r>
      <w:r w:rsidRPr="00851B0F">
        <w:rPr>
          <w:rFonts w:ascii="Times New Roman" w:hAnsi="Times New Roman"/>
          <w:b w:val="0"/>
        </w:rPr>
        <w:t>g</w:t>
      </w:r>
      <w:r w:rsidR="001E3B74" w:rsidRPr="00851B0F">
        <w:rPr>
          <w:rFonts w:ascii="Times New Roman" w:hAnsi="Times New Roman"/>
          <w:b w:val="0"/>
        </w:rPr>
        <w:t>iven</w:t>
      </w:r>
      <w:r w:rsidRPr="00851B0F">
        <w:rPr>
          <w:rFonts w:ascii="Times New Roman" w:hAnsi="Times New Roman"/>
          <w:b w:val="0"/>
        </w:rPr>
        <w:t xml:space="preserve"> more weight to the more recent years in my </w:t>
      </w:r>
      <w:smartTag w:uri="urn:schemas-microsoft-com:office:smarttags" w:element="stockticker">
        <w:r w:rsidRPr="00851B0F">
          <w:rPr>
            <w:rFonts w:ascii="Times New Roman" w:hAnsi="Times New Roman"/>
            <w:b w:val="0"/>
          </w:rPr>
          <w:t>GDP</w:t>
        </w:r>
      </w:smartTag>
      <w:r w:rsidRPr="00851B0F">
        <w:rPr>
          <w:rFonts w:ascii="Times New Roman" w:hAnsi="Times New Roman"/>
          <w:b w:val="0"/>
        </w:rPr>
        <w:t xml:space="preserve"> forecast</w:t>
      </w:r>
      <w:r w:rsidR="00E8096B" w:rsidRPr="00851B0F">
        <w:rPr>
          <w:rFonts w:ascii="Times New Roman" w:hAnsi="Times New Roman"/>
          <w:b w:val="0"/>
        </w:rPr>
        <w:t xml:space="preserve">.  </w:t>
      </w:r>
      <w:r w:rsidRPr="00851B0F">
        <w:rPr>
          <w:rFonts w:ascii="Times New Roman" w:hAnsi="Times New Roman"/>
          <w:b w:val="0"/>
        </w:rPr>
        <w:t xml:space="preserve">Based on this approach, my </w:t>
      </w:r>
      <w:r w:rsidR="001E3B74" w:rsidRPr="00851B0F">
        <w:rPr>
          <w:rFonts w:ascii="Times New Roman" w:hAnsi="Times New Roman"/>
          <w:b w:val="0"/>
        </w:rPr>
        <w:t>long-term</w:t>
      </w:r>
      <w:r w:rsidRPr="00851B0F">
        <w:rPr>
          <w:rFonts w:ascii="Times New Roman" w:hAnsi="Times New Roman"/>
          <w:b w:val="0"/>
        </w:rPr>
        <w:t xml:space="preserve">-term </w:t>
      </w:r>
      <w:smartTag w:uri="urn:schemas-microsoft-com:office:smarttags" w:element="stockticker">
        <w:r w:rsidRPr="00851B0F">
          <w:rPr>
            <w:rFonts w:ascii="Times New Roman" w:hAnsi="Times New Roman"/>
            <w:b w:val="0"/>
          </w:rPr>
          <w:t>GDP</w:t>
        </w:r>
      </w:smartTag>
      <w:r w:rsidRPr="00851B0F">
        <w:rPr>
          <w:rFonts w:ascii="Times New Roman" w:hAnsi="Times New Roman"/>
          <w:b w:val="0"/>
        </w:rPr>
        <w:t xml:space="preserve"> g</w:t>
      </w:r>
      <w:r w:rsidR="00C44BDD" w:rsidRPr="00851B0F">
        <w:rPr>
          <w:rFonts w:ascii="Times New Roman" w:hAnsi="Times New Roman"/>
          <w:b w:val="0"/>
        </w:rPr>
        <w:t xml:space="preserve">rowth </w:t>
      </w:r>
      <w:r w:rsidR="001E3B74" w:rsidRPr="00851B0F">
        <w:rPr>
          <w:rFonts w:ascii="Times New Roman" w:hAnsi="Times New Roman"/>
          <w:b w:val="0"/>
        </w:rPr>
        <w:t xml:space="preserve">rate forecast, </w:t>
      </w:r>
      <w:r w:rsidR="00C44BDD" w:rsidRPr="00851B0F">
        <w:rPr>
          <w:rFonts w:ascii="Times New Roman" w:hAnsi="Times New Roman"/>
          <w:b w:val="0"/>
        </w:rPr>
        <w:t>at 5.7</w:t>
      </w:r>
      <w:r w:rsidRPr="00851B0F">
        <w:rPr>
          <w:rFonts w:ascii="Times New Roman" w:hAnsi="Times New Roman"/>
          <w:b w:val="0"/>
        </w:rPr>
        <w:t xml:space="preserve"> percent</w:t>
      </w:r>
      <w:r w:rsidR="001E3B74" w:rsidRPr="00851B0F">
        <w:rPr>
          <w:rFonts w:ascii="Times New Roman" w:hAnsi="Times New Roman"/>
          <w:b w:val="0"/>
        </w:rPr>
        <w:t>,</w:t>
      </w:r>
      <w:r w:rsidRPr="00851B0F">
        <w:rPr>
          <w:rFonts w:ascii="Times New Roman" w:hAnsi="Times New Roman"/>
          <w:b w:val="0"/>
        </w:rPr>
        <w:t xml:space="preserve"> is almost 100 basis points lower than the long-term average </w:t>
      </w:r>
      <w:r w:rsidR="001E3B74" w:rsidRPr="00851B0F">
        <w:rPr>
          <w:rFonts w:ascii="Times New Roman" w:hAnsi="Times New Roman"/>
          <w:b w:val="0"/>
        </w:rPr>
        <w:t xml:space="preserve">6.6 percent </w:t>
      </w:r>
      <w:r w:rsidRPr="00851B0F">
        <w:rPr>
          <w:rFonts w:ascii="Times New Roman" w:hAnsi="Times New Roman"/>
          <w:b w:val="0"/>
        </w:rPr>
        <w:t>GDP growth rate.</w:t>
      </w:r>
    </w:p>
    <w:p w:rsidR="00B81099" w:rsidRPr="00851B0F" w:rsidRDefault="0037063A" w:rsidP="00734C05">
      <w:pPr>
        <w:jc w:val="left"/>
        <w:rPr>
          <w:rFonts w:ascii="Times New Roman" w:hAnsi="Times New Roman"/>
          <w:b/>
        </w:rPr>
      </w:pPr>
      <w:r w:rsidRPr="00851B0F">
        <w:rPr>
          <w:rFonts w:ascii="Times New Roman" w:hAnsi="Times New Roman"/>
          <w:b/>
        </w:rPr>
        <w:t>Q.</w:t>
      </w:r>
      <w:r w:rsidRPr="00851B0F">
        <w:rPr>
          <w:rFonts w:ascii="Times New Roman" w:hAnsi="Times New Roman"/>
          <w:b/>
        </w:rPr>
        <w:tab/>
        <w:t xml:space="preserve">Why do you believe your forecast of </w:t>
      </w:r>
      <w:smartTag w:uri="urn:schemas-microsoft-com:office:smarttags" w:element="stockticker">
        <w:r w:rsidRPr="00851B0F">
          <w:rPr>
            <w:rFonts w:ascii="Times New Roman" w:hAnsi="Times New Roman"/>
            <w:b/>
          </w:rPr>
          <w:t>GDP</w:t>
        </w:r>
      </w:smartTag>
      <w:r w:rsidRPr="00851B0F">
        <w:rPr>
          <w:rFonts w:ascii="Times New Roman" w:hAnsi="Times New Roman"/>
          <w:b/>
        </w:rPr>
        <w:t xml:space="preserve"> growth based on long-term historical data is appropriate in the DCF model?</w:t>
      </w:r>
    </w:p>
    <w:p w:rsidR="00B81099" w:rsidRPr="00851B0F" w:rsidRDefault="0037063A" w:rsidP="00734C05">
      <w:pPr>
        <w:widowControl w:val="0"/>
        <w:jc w:val="left"/>
        <w:rPr>
          <w:rFonts w:ascii="Times New Roman" w:hAnsi="Times New Roman"/>
        </w:rPr>
      </w:pPr>
      <w:r w:rsidRPr="00851B0F">
        <w:rPr>
          <w:rFonts w:ascii="Times New Roman" w:hAnsi="Times New Roman"/>
        </w:rPr>
        <w:t>A.</w:t>
      </w:r>
      <w:r w:rsidRPr="00851B0F">
        <w:rPr>
          <w:rFonts w:ascii="Times New Roman" w:hAnsi="Times New Roman"/>
        </w:rPr>
        <w:tab/>
        <w:t>There are at least three reasons</w:t>
      </w:r>
      <w:r w:rsidR="00E8096B" w:rsidRPr="00851B0F">
        <w:rPr>
          <w:rFonts w:ascii="Times New Roman" w:hAnsi="Times New Roman"/>
        </w:rPr>
        <w:t xml:space="preserve">.  </w:t>
      </w:r>
      <w:r w:rsidRPr="00851B0F">
        <w:rPr>
          <w:rFonts w:ascii="Times New Roman" w:hAnsi="Times New Roman"/>
        </w:rPr>
        <w:t>First, most econometric forecasts are derived from the trending of historical data or the use of weighted averages</w:t>
      </w:r>
      <w:r w:rsidR="00E8096B" w:rsidRPr="00851B0F">
        <w:rPr>
          <w:rFonts w:ascii="Times New Roman" w:hAnsi="Times New Roman"/>
        </w:rPr>
        <w:t xml:space="preserve">.  </w:t>
      </w:r>
      <w:r w:rsidRPr="00851B0F">
        <w:rPr>
          <w:rFonts w:ascii="Times New Roman" w:hAnsi="Times New Roman"/>
        </w:rPr>
        <w:t xml:space="preserve">This is the approach I have taken in Exhibit </w:t>
      </w:r>
      <w:r w:rsidR="00C44BDD" w:rsidRPr="00851B0F">
        <w:rPr>
          <w:rFonts w:ascii="Times New Roman" w:hAnsi="Times New Roman"/>
        </w:rPr>
        <w:t>No.___(SCH-6</w:t>
      </w:r>
      <w:r w:rsidRPr="00851B0F">
        <w:rPr>
          <w:rFonts w:ascii="Times New Roman" w:hAnsi="Times New Roman"/>
        </w:rPr>
        <w:t>)</w:t>
      </w:r>
      <w:r w:rsidR="00E8096B" w:rsidRPr="00851B0F">
        <w:rPr>
          <w:rFonts w:ascii="Times New Roman" w:hAnsi="Times New Roman"/>
        </w:rPr>
        <w:t xml:space="preserve">.  </w:t>
      </w:r>
      <w:r w:rsidRPr="00851B0F">
        <w:rPr>
          <w:rFonts w:ascii="Times New Roman" w:hAnsi="Times New Roman"/>
        </w:rPr>
        <w:t xml:space="preserve">The long-run historical average </w:t>
      </w:r>
      <w:smartTag w:uri="urn:schemas-microsoft-com:office:smarttags" w:element="stockticker">
        <w:r w:rsidRPr="00851B0F">
          <w:rPr>
            <w:rFonts w:ascii="Times New Roman" w:hAnsi="Times New Roman"/>
          </w:rPr>
          <w:t>GDP</w:t>
        </w:r>
      </w:smartTag>
      <w:r w:rsidRPr="00851B0F">
        <w:rPr>
          <w:rFonts w:ascii="Times New Roman" w:hAnsi="Times New Roman"/>
        </w:rPr>
        <w:t xml:space="preserve"> growth rate is 6.</w:t>
      </w:r>
      <w:r w:rsidR="001E3B74" w:rsidRPr="00851B0F">
        <w:rPr>
          <w:rFonts w:ascii="Times New Roman" w:hAnsi="Times New Roman"/>
        </w:rPr>
        <w:t>6</w:t>
      </w:r>
      <w:r w:rsidR="00697DF8" w:rsidRPr="00851B0F">
        <w:rPr>
          <w:rFonts w:ascii="Times New Roman" w:hAnsi="Times New Roman"/>
        </w:rPr>
        <w:t xml:space="preserve"> </w:t>
      </w:r>
      <w:r w:rsidRPr="00851B0F">
        <w:rPr>
          <w:rFonts w:ascii="Times New Roman" w:hAnsi="Times New Roman"/>
        </w:rPr>
        <w:t xml:space="preserve">percent, but my estimate of long-term </w:t>
      </w:r>
      <w:r w:rsidR="00C44BDD" w:rsidRPr="00851B0F">
        <w:rPr>
          <w:rFonts w:ascii="Times New Roman" w:hAnsi="Times New Roman"/>
        </w:rPr>
        <w:t>expected growth is lower, at 5.7</w:t>
      </w:r>
      <w:r w:rsidRPr="00851B0F">
        <w:rPr>
          <w:rFonts w:ascii="Times New Roman" w:hAnsi="Times New Roman"/>
        </w:rPr>
        <w:t xml:space="preserve"> percent</w:t>
      </w:r>
      <w:r w:rsidR="00E8096B" w:rsidRPr="00851B0F">
        <w:rPr>
          <w:rFonts w:ascii="Times New Roman" w:hAnsi="Times New Roman"/>
        </w:rPr>
        <w:t xml:space="preserve">.  </w:t>
      </w:r>
      <w:r w:rsidRPr="00851B0F">
        <w:rPr>
          <w:rFonts w:ascii="Times New Roman" w:hAnsi="Times New Roman"/>
        </w:rPr>
        <w:t>My forecast is lower because my forecasting method gives much more weight to the more recent 10- and 20-year periods.</w:t>
      </w:r>
    </w:p>
    <w:p w:rsidR="00B81099" w:rsidRPr="00851B0F" w:rsidRDefault="0037063A" w:rsidP="00734C05">
      <w:pPr>
        <w:widowControl w:val="0"/>
        <w:jc w:val="left"/>
        <w:rPr>
          <w:rFonts w:ascii="Times New Roman" w:hAnsi="Times New Roman"/>
        </w:rPr>
      </w:pPr>
      <w:r w:rsidRPr="00851B0F">
        <w:rPr>
          <w:rFonts w:ascii="Times New Roman" w:hAnsi="Times New Roman"/>
        </w:rPr>
        <w:tab/>
      </w:r>
      <w:r w:rsidRPr="00851B0F">
        <w:rPr>
          <w:rFonts w:ascii="Times New Roman" w:hAnsi="Times New Roman"/>
        </w:rPr>
        <w:tab/>
        <w:t>Second, some current</w:t>
      </w:r>
      <w:r w:rsidR="001E3B74" w:rsidRPr="00851B0F">
        <w:rPr>
          <w:rFonts w:ascii="Times New Roman" w:hAnsi="Times New Roman"/>
        </w:rPr>
        <w:t>, much</w:t>
      </w:r>
      <w:r w:rsidRPr="00851B0F">
        <w:rPr>
          <w:rFonts w:ascii="Times New Roman" w:hAnsi="Times New Roman"/>
        </w:rPr>
        <w:t xml:space="preserve"> lower </w:t>
      </w:r>
      <w:smartTag w:uri="urn:schemas-microsoft-com:office:smarttags" w:element="stockticker">
        <w:r w:rsidRPr="00851B0F">
          <w:rPr>
            <w:rFonts w:ascii="Times New Roman" w:hAnsi="Times New Roman"/>
          </w:rPr>
          <w:t>GDP</w:t>
        </w:r>
      </w:smartTag>
      <w:r w:rsidRPr="00851B0F">
        <w:rPr>
          <w:rFonts w:ascii="Times New Roman" w:hAnsi="Times New Roman"/>
        </w:rPr>
        <w:t xml:space="preserve"> growth forecasts likely understate </w:t>
      </w:r>
      <w:r w:rsidR="001E3B74" w:rsidRPr="00851B0F">
        <w:rPr>
          <w:rFonts w:ascii="Times New Roman" w:hAnsi="Times New Roman"/>
        </w:rPr>
        <w:t>the</w:t>
      </w:r>
      <w:r w:rsidRPr="00851B0F">
        <w:rPr>
          <w:rFonts w:ascii="Times New Roman" w:hAnsi="Times New Roman"/>
        </w:rPr>
        <w:t xml:space="preserve"> long growth rate expectations that are required in the DCF model</w:t>
      </w:r>
      <w:r w:rsidR="00E8096B" w:rsidRPr="00851B0F">
        <w:rPr>
          <w:rFonts w:ascii="Times New Roman" w:hAnsi="Times New Roman"/>
        </w:rPr>
        <w:t xml:space="preserve">.  </w:t>
      </w:r>
      <w:r w:rsidRPr="00851B0F">
        <w:rPr>
          <w:rFonts w:ascii="Times New Roman" w:hAnsi="Times New Roman"/>
        </w:rPr>
        <w:t>Many of th</w:t>
      </w:r>
      <w:r w:rsidR="001E3B74" w:rsidRPr="00851B0F">
        <w:rPr>
          <w:rFonts w:ascii="Times New Roman" w:hAnsi="Times New Roman"/>
        </w:rPr>
        <w:t>ese government</w:t>
      </w:r>
      <w:r w:rsidRPr="00851B0F">
        <w:rPr>
          <w:rFonts w:ascii="Times New Roman" w:hAnsi="Times New Roman"/>
        </w:rPr>
        <w:t xml:space="preserve"> forecasts are currently low because they are based on the assumption of permanently low inflation rates, in the range of two percent</w:t>
      </w:r>
      <w:r w:rsidR="00E8096B" w:rsidRPr="00851B0F">
        <w:rPr>
          <w:rFonts w:ascii="Times New Roman" w:hAnsi="Times New Roman"/>
        </w:rPr>
        <w:t xml:space="preserve">.  </w:t>
      </w:r>
      <w:r w:rsidRPr="00851B0F">
        <w:rPr>
          <w:rFonts w:ascii="Times New Roman" w:hAnsi="Times New Roman"/>
        </w:rPr>
        <w:t xml:space="preserve">As shown in my Exhibit </w:t>
      </w:r>
      <w:r w:rsidR="00C44BDD" w:rsidRPr="00851B0F">
        <w:rPr>
          <w:rFonts w:ascii="Times New Roman" w:hAnsi="Times New Roman"/>
        </w:rPr>
        <w:t>No.</w:t>
      </w:r>
      <w:r w:rsidRPr="00851B0F">
        <w:rPr>
          <w:rFonts w:ascii="Times New Roman" w:hAnsi="Times New Roman"/>
        </w:rPr>
        <w:t>___(S</w:t>
      </w:r>
      <w:r w:rsidR="00C44BDD" w:rsidRPr="00851B0F">
        <w:rPr>
          <w:rFonts w:ascii="Times New Roman" w:hAnsi="Times New Roman"/>
        </w:rPr>
        <w:t>CH-6</w:t>
      </w:r>
      <w:r w:rsidRPr="00851B0F">
        <w:rPr>
          <w:rFonts w:ascii="Times New Roman" w:hAnsi="Times New Roman"/>
        </w:rPr>
        <w:t>), the average long-term inflation rate measured by CPI has been over three percent in all but the most recent 10- and 20-year periods</w:t>
      </w:r>
      <w:r w:rsidR="00E8096B" w:rsidRPr="00851B0F">
        <w:rPr>
          <w:rFonts w:ascii="Times New Roman" w:hAnsi="Times New Roman"/>
        </w:rPr>
        <w:t xml:space="preserve">.  </w:t>
      </w:r>
      <w:r w:rsidRPr="00851B0F">
        <w:rPr>
          <w:rFonts w:ascii="Times New Roman" w:hAnsi="Times New Roman"/>
        </w:rPr>
        <w:t xml:space="preserve">Also, as shown in Exhibit </w:t>
      </w:r>
      <w:r w:rsidR="00C44BDD" w:rsidRPr="00851B0F">
        <w:rPr>
          <w:rFonts w:ascii="Times New Roman" w:hAnsi="Times New Roman"/>
        </w:rPr>
        <w:t>No.</w:t>
      </w:r>
      <w:r w:rsidRPr="00851B0F">
        <w:rPr>
          <w:rFonts w:ascii="Times New Roman" w:hAnsi="Times New Roman"/>
        </w:rPr>
        <w:t>___(SCH-</w:t>
      </w:r>
      <w:r w:rsidR="00697DF8" w:rsidRPr="00851B0F">
        <w:rPr>
          <w:rFonts w:ascii="Times New Roman" w:hAnsi="Times New Roman"/>
        </w:rPr>
        <w:t>4</w:t>
      </w:r>
      <w:r w:rsidRPr="00851B0F">
        <w:rPr>
          <w:rFonts w:ascii="Times New Roman" w:hAnsi="Times New Roman"/>
        </w:rPr>
        <w:t>), page 1, from December 2008 to December 2009, even with the continuing effects of the economic recession, the CPI increased by 2.8 percent</w:t>
      </w:r>
      <w:r w:rsidR="00BF3BA6" w:rsidRPr="00851B0F">
        <w:rPr>
          <w:rFonts w:ascii="Times New Roman" w:hAnsi="Times New Roman"/>
        </w:rPr>
        <w:t>,</w:t>
      </w:r>
      <w:r w:rsidRPr="00851B0F">
        <w:rPr>
          <w:rFonts w:ascii="Times New Roman" w:hAnsi="Times New Roman"/>
        </w:rPr>
        <w:t xml:space="preserve"> and in 2007 the CPI increased by over four percent</w:t>
      </w:r>
      <w:r w:rsidR="00E8096B" w:rsidRPr="00851B0F">
        <w:rPr>
          <w:rFonts w:ascii="Times New Roman" w:hAnsi="Times New Roman"/>
        </w:rPr>
        <w:t xml:space="preserve">.  </w:t>
      </w:r>
      <w:r w:rsidR="001E3B74" w:rsidRPr="00851B0F">
        <w:rPr>
          <w:rFonts w:ascii="Times New Roman" w:hAnsi="Times New Roman"/>
        </w:rPr>
        <w:t>L</w:t>
      </w:r>
      <w:r w:rsidRPr="00851B0F">
        <w:rPr>
          <w:rFonts w:ascii="Times New Roman" w:hAnsi="Times New Roman"/>
        </w:rPr>
        <w:t xml:space="preserve">ong-term </w:t>
      </w:r>
      <w:r w:rsidR="001E3B74" w:rsidRPr="00851B0F">
        <w:rPr>
          <w:rFonts w:ascii="Times New Roman" w:hAnsi="Times New Roman"/>
        </w:rPr>
        <w:t xml:space="preserve">estimated </w:t>
      </w:r>
      <w:r w:rsidRPr="00851B0F">
        <w:rPr>
          <w:rFonts w:ascii="Times New Roman" w:hAnsi="Times New Roman"/>
        </w:rPr>
        <w:t xml:space="preserve">inflation rates of two percent or less </w:t>
      </w:r>
      <w:r w:rsidR="001E3B74" w:rsidRPr="00851B0F">
        <w:rPr>
          <w:rFonts w:ascii="Times New Roman" w:hAnsi="Times New Roman"/>
        </w:rPr>
        <w:t xml:space="preserve">are </w:t>
      </w:r>
      <w:r w:rsidRPr="00851B0F">
        <w:rPr>
          <w:rFonts w:ascii="Times New Roman" w:hAnsi="Times New Roman"/>
        </w:rPr>
        <w:t>not consistent with reasonable long-term expectations for the U.S. economy</w:t>
      </w:r>
      <w:r w:rsidR="001E3B74" w:rsidRPr="00851B0F">
        <w:rPr>
          <w:rFonts w:ascii="Times New Roman" w:hAnsi="Times New Roman"/>
        </w:rPr>
        <w:t xml:space="preserve">, </w:t>
      </w:r>
      <w:r w:rsidRPr="00851B0F">
        <w:rPr>
          <w:rFonts w:ascii="Times New Roman" w:hAnsi="Times New Roman"/>
        </w:rPr>
        <w:t xml:space="preserve">or </w:t>
      </w:r>
      <w:r w:rsidR="001E3B74" w:rsidRPr="00851B0F">
        <w:rPr>
          <w:rFonts w:ascii="Times New Roman" w:hAnsi="Times New Roman"/>
        </w:rPr>
        <w:t xml:space="preserve">with </w:t>
      </w:r>
      <w:r w:rsidRPr="00851B0F">
        <w:rPr>
          <w:rFonts w:ascii="Times New Roman" w:hAnsi="Times New Roman"/>
        </w:rPr>
        <w:t>investors</w:t>
      </w:r>
      <w:r w:rsidR="00823A67" w:rsidRPr="00851B0F">
        <w:rPr>
          <w:rFonts w:ascii="Times New Roman" w:hAnsi="Times New Roman"/>
        </w:rPr>
        <w:t>’</w:t>
      </w:r>
      <w:r w:rsidRPr="00851B0F">
        <w:rPr>
          <w:rFonts w:ascii="Times New Roman" w:hAnsi="Times New Roman"/>
        </w:rPr>
        <w:t xml:space="preserve"> long-term experience.</w:t>
      </w:r>
    </w:p>
    <w:p w:rsidR="00B81099" w:rsidRPr="00851B0F" w:rsidRDefault="0037063A" w:rsidP="00734C05">
      <w:pPr>
        <w:widowControl w:val="0"/>
        <w:ind w:firstLine="720"/>
        <w:jc w:val="left"/>
        <w:rPr>
          <w:rFonts w:ascii="Times New Roman" w:hAnsi="Times New Roman"/>
        </w:rPr>
      </w:pPr>
      <w:r w:rsidRPr="00851B0F">
        <w:rPr>
          <w:rFonts w:ascii="Times New Roman" w:hAnsi="Times New Roman"/>
        </w:rPr>
        <w:t xml:space="preserve">Finally, the </w:t>
      </w:r>
      <w:r w:rsidR="001E3B74" w:rsidRPr="00851B0F">
        <w:rPr>
          <w:rFonts w:ascii="Times New Roman" w:hAnsi="Times New Roman"/>
        </w:rPr>
        <w:t>recent</w:t>
      </w:r>
      <w:r w:rsidRPr="00851B0F">
        <w:rPr>
          <w:rFonts w:ascii="Times New Roman" w:hAnsi="Times New Roman"/>
        </w:rPr>
        <w:t xml:space="preserve"> economic turmoil makes it even more important to consider longer-term economic data in the growth rate estimate</w:t>
      </w:r>
      <w:r w:rsidR="00E8096B" w:rsidRPr="00851B0F">
        <w:rPr>
          <w:rFonts w:ascii="Times New Roman" w:hAnsi="Times New Roman"/>
        </w:rPr>
        <w:t xml:space="preserve">.  </w:t>
      </w:r>
      <w:r w:rsidRPr="00851B0F">
        <w:rPr>
          <w:rFonts w:ascii="Times New Roman" w:hAnsi="Times New Roman"/>
        </w:rPr>
        <w:t xml:space="preserve">As discussed in the previous section, current near-term forecasts for both real </w:t>
      </w:r>
      <w:smartTag w:uri="urn:schemas-microsoft-com:office:smarttags" w:element="stockticker">
        <w:r w:rsidRPr="00851B0F">
          <w:rPr>
            <w:rFonts w:ascii="Times New Roman" w:hAnsi="Times New Roman"/>
          </w:rPr>
          <w:t>GDP</w:t>
        </w:r>
      </w:smartTag>
      <w:r w:rsidRPr="00851B0F">
        <w:rPr>
          <w:rFonts w:ascii="Times New Roman" w:hAnsi="Times New Roman"/>
        </w:rPr>
        <w:t xml:space="preserve"> and inflation are severely depressed</w:t>
      </w:r>
      <w:r w:rsidR="00E8096B" w:rsidRPr="00851B0F">
        <w:rPr>
          <w:rFonts w:ascii="Times New Roman" w:hAnsi="Times New Roman"/>
        </w:rPr>
        <w:t xml:space="preserve">.  </w:t>
      </w:r>
      <w:r w:rsidRPr="00851B0F">
        <w:rPr>
          <w:rFonts w:ascii="Times New Roman" w:hAnsi="Times New Roman"/>
        </w:rPr>
        <w:t xml:space="preserve">The longer-term forecasts of professional economists are also </w:t>
      </w:r>
      <w:r w:rsidR="001E3B74" w:rsidRPr="00851B0F">
        <w:rPr>
          <w:rFonts w:ascii="Times New Roman" w:hAnsi="Times New Roman"/>
        </w:rPr>
        <w:t>low because they generally follow the government forecasts.</w:t>
      </w:r>
      <w:r w:rsidR="00E8096B" w:rsidRPr="00851B0F">
        <w:rPr>
          <w:rFonts w:ascii="Times New Roman" w:hAnsi="Times New Roman"/>
        </w:rPr>
        <w:t xml:space="preserve">  </w:t>
      </w:r>
      <w:r w:rsidRPr="00851B0F">
        <w:rPr>
          <w:rFonts w:ascii="Times New Roman" w:hAnsi="Times New Roman"/>
        </w:rPr>
        <w:t>Under these circumstances, a longer-term balance is even more important</w:t>
      </w:r>
      <w:r w:rsidR="00E8096B" w:rsidRPr="00851B0F">
        <w:rPr>
          <w:rFonts w:ascii="Times New Roman" w:hAnsi="Times New Roman"/>
        </w:rPr>
        <w:t xml:space="preserve">.  </w:t>
      </w:r>
      <w:r w:rsidRPr="00851B0F">
        <w:rPr>
          <w:rFonts w:ascii="Times New Roman" w:hAnsi="Times New Roman"/>
        </w:rPr>
        <w:t>For all these reasons, while I present analysts</w:t>
      </w:r>
      <w:r w:rsidR="00823A67" w:rsidRPr="00851B0F">
        <w:rPr>
          <w:rFonts w:ascii="Times New Roman" w:hAnsi="Times New Roman"/>
        </w:rPr>
        <w:t>’</w:t>
      </w:r>
      <w:r w:rsidRPr="00851B0F">
        <w:rPr>
          <w:rFonts w:ascii="Times New Roman" w:hAnsi="Times New Roman"/>
        </w:rPr>
        <w:t xml:space="preserve"> </w:t>
      </w:r>
      <w:r w:rsidR="001E3B74" w:rsidRPr="00851B0F">
        <w:rPr>
          <w:rFonts w:ascii="Times New Roman" w:hAnsi="Times New Roman"/>
        </w:rPr>
        <w:t xml:space="preserve">growth rate </w:t>
      </w:r>
      <w:r w:rsidRPr="00851B0F">
        <w:rPr>
          <w:rFonts w:ascii="Times New Roman" w:hAnsi="Times New Roman"/>
        </w:rPr>
        <w:t xml:space="preserve">estimates, I believe it is </w:t>
      </w:r>
      <w:r w:rsidR="008B4078" w:rsidRPr="00851B0F">
        <w:rPr>
          <w:rFonts w:ascii="Times New Roman" w:hAnsi="Times New Roman"/>
        </w:rPr>
        <w:t xml:space="preserve">also important </w:t>
      </w:r>
      <w:r w:rsidRPr="00851B0F">
        <w:rPr>
          <w:rFonts w:ascii="Times New Roman" w:hAnsi="Times New Roman"/>
        </w:rPr>
        <w:t xml:space="preserve">to consider long-term </w:t>
      </w:r>
      <w:smartTag w:uri="urn:schemas-microsoft-com:office:smarttags" w:element="stockticker">
        <w:r w:rsidRPr="00851B0F">
          <w:rPr>
            <w:rFonts w:ascii="Times New Roman" w:hAnsi="Times New Roman"/>
          </w:rPr>
          <w:t>GDP</w:t>
        </w:r>
      </w:smartTag>
      <w:r w:rsidRPr="00851B0F">
        <w:rPr>
          <w:rFonts w:ascii="Times New Roman" w:hAnsi="Times New Roman"/>
        </w:rPr>
        <w:t xml:space="preserve"> growth in </w:t>
      </w:r>
      <w:r w:rsidR="008B4078" w:rsidRPr="00851B0F">
        <w:rPr>
          <w:rFonts w:ascii="Times New Roman" w:hAnsi="Times New Roman"/>
        </w:rPr>
        <w:t>the</w:t>
      </w:r>
      <w:r w:rsidRPr="00851B0F">
        <w:rPr>
          <w:rFonts w:ascii="Times New Roman" w:hAnsi="Times New Roman"/>
        </w:rPr>
        <w:t xml:space="preserve"> DCF growth rate</w:t>
      </w:r>
      <w:r w:rsidR="008B4078" w:rsidRPr="00851B0F">
        <w:rPr>
          <w:rFonts w:ascii="Times New Roman" w:hAnsi="Times New Roman"/>
        </w:rPr>
        <w:t xml:space="preserve"> estimate</w:t>
      </w:r>
      <w:r w:rsidRPr="00851B0F">
        <w:rPr>
          <w:rFonts w:ascii="Times New Roman" w:hAnsi="Times New Roman"/>
        </w:rPr>
        <w:t>.</w:t>
      </w:r>
    </w:p>
    <w:p w:rsidR="00B81099" w:rsidRPr="00851B0F" w:rsidRDefault="0037063A" w:rsidP="00734C05">
      <w:pPr>
        <w:pStyle w:val="BodyTextIndent"/>
        <w:spacing w:before="0"/>
        <w:jc w:val="left"/>
        <w:rPr>
          <w:rFonts w:ascii="Times New Roman" w:hAnsi="Times New Roman"/>
          <w:b/>
        </w:rPr>
      </w:pPr>
      <w:r w:rsidRPr="00851B0F">
        <w:rPr>
          <w:rFonts w:ascii="Times New Roman" w:hAnsi="Times New Roman"/>
          <w:b/>
        </w:rPr>
        <w:t>Q.</w:t>
      </w:r>
      <w:r w:rsidRPr="00851B0F">
        <w:rPr>
          <w:rFonts w:ascii="Times New Roman" w:hAnsi="Times New Roman"/>
          <w:b/>
        </w:rPr>
        <w:tab/>
        <w:t>Please summarize the results of your DCF analyses.</w:t>
      </w:r>
    </w:p>
    <w:p w:rsidR="00771D74" w:rsidRDefault="0037063A" w:rsidP="00734C05">
      <w:pPr>
        <w:pStyle w:val="BodyTextIndent"/>
        <w:spacing w:before="0"/>
        <w:jc w:val="left"/>
        <w:rPr>
          <w:rFonts w:ascii="Times New Roman" w:hAnsi="Times New Roman"/>
        </w:rPr>
      </w:pPr>
      <w:r w:rsidRPr="00851B0F">
        <w:rPr>
          <w:rFonts w:ascii="Times New Roman" w:hAnsi="Times New Roman"/>
        </w:rPr>
        <w:t>A.</w:t>
      </w:r>
      <w:r w:rsidRPr="00851B0F">
        <w:rPr>
          <w:rFonts w:ascii="Times New Roman" w:hAnsi="Times New Roman"/>
        </w:rPr>
        <w:tab/>
        <w:t xml:space="preserve">The DCF results for my comparable company group are presented in Exhibit </w:t>
      </w:r>
      <w:r w:rsidR="00734C05" w:rsidRPr="00851B0F">
        <w:rPr>
          <w:rFonts w:ascii="Times New Roman" w:hAnsi="Times New Roman"/>
        </w:rPr>
        <w:t>No.</w:t>
      </w:r>
      <w:r w:rsidRPr="00851B0F">
        <w:rPr>
          <w:rFonts w:ascii="Times New Roman" w:hAnsi="Times New Roman"/>
        </w:rPr>
        <w:t>___(SCH-</w:t>
      </w:r>
      <w:r w:rsidR="00C44BDD" w:rsidRPr="00851B0F">
        <w:rPr>
          <w:rFonts w:ascii="Times New Roman" w:hAnsi="Times New Roman"/>
        </w:rPr>
        <w:t>7</w:t>
      </w:r>
      <w:r w:rsidRPr="00851B0F">
        <w:rPr>
          <w:rFonts w:ascii="Times New Roman" w:hAnsi="Times New Roman"/>
        </w:rPr>
        <w:t>)</w:t>
      </w:r>
      <w:r w:rsidR="00E8096B" w:rsidRPr="00851B0F">
        <w:rPr>
          <w:rFonts w:ascii="Times New Roman" w:hAnsi="Times New Roman"/>
        </w:rPr>
        <w:t xml:space="preserve">.  </w:t>
      </w:r>
      <w:r w:rsidRPr="00851B0F">
        <w:rPr>
          <w:rFonts w:ascii="Times New Roman" w:hAnsi="Times New Roman"/>
        </w:rPr>
        <w:t xml:space="preserve">As shown in the first column of page 1 of that exhibit, the traditional constant growth model indicates a COE </w:t>
      </w:r>
      <w:r w:rsidR="003E64BD" w:rsidRPr="00851B0F">
        <w:rPr>
          <w:rFonts w:ascii="Times New Roman" w:hAnsi="Times New Roman"/>
        </w:rPr>
        <w:t xml:space="preserve">range </w:t>
      </w:r>
      <w:r w:rsidR="00131D72" w:rsidRPr="00851B0F">
        <w:rPr>
          <w:rFonts w:ascii="Times New Roman" w:hAnsi="Times New Roman"/>
        </w:rPr>
        <w:t>of</w:t>
      </w:r>
      <w:r w:rsidRPr="00851B0F">
        <w:rPr>
          <w:rFonts w:ascii="Times New Roman" w:hAnsi="Times New Roman"/>
        </w:rPr>
        <w:t xml:space="preserve"> </w:t>
      </w:r>
      <w:r w:rsidR="00C44BDD" w:rsidRPr="00851B0F">
        <w:rPr>
          <w:rFonts w:ascii="Times New Roman" w:hAnsi="Times New Roman"/>
        </w:rPr>
        <w:t>9.4</w:t>
      </w:r>
      <w:r w:rsidRPr="00851B0F">
        <w:rPr>
          <w:rFonts w:ascii="Times New Roman" w:hAnsi="Times New Roman"/>
        </w:rPr>
        <w:t xml:space="preserve"> percent</w:t>
      </w:r>
      <w:r w:rsidR="003E64BD" w:rsidRPr="00851B0F">
        <w:rPr>
          <w:rFonts w:ascii="Times New Roman" w:hAnsi="Times New Roman"/>
        </w:rPr>
        <w:t xml:space="preserve"> to 9.5 percent</w:t>
      </w:r>
      <w:r w:rsidR="00E8096B" w:rsidRPr="00851B0F">
        <w:rPr>
          <w:rFonts w:ascii="Times New Roman" w:hAnsi="Times New Roman"/>
        </w:rPr>
        <w:t xml:space="preserve">.  </w:t>
      </w:r>
      <w:r w:rsidRPr="00851B0F">
        <w:rPr>
          <w:rFonts w:ascii="Times New Roman" w:hAnsi="Times New Roman"/>
        </w:rPr>
        <w:t xml:space="preserve">In the second column of page 1, I recalculate the constant growth results with the growth rate based on long-term forecasted growth in </w:t>
      </w:r>
      <w:smartTag w:uri="urn:schemas-microsoft-com:office:smarttags" w:element="stockticker">
        <w:r w:rsidRPr="00851B0F">
          <w:rPr>
            <w:rFonts w:ascii="Times New Roman" w:hAnsi="Times New Roman"/>
          </w:rPr>
          <w:t>GDP</w:t>
        </w:r>
      </w:smartTag>
      <w:r w:rsidR="00E8096B" w:rsidRPr="00851B0F">
        <w:rPr>
          <w:rFonts w:ascii="Times New Roman" w:hAnsi="Times New Roman"/>
        </w:rPr>
        <w:t xml:space="preserve">.  </w:t>
      </w:r>
      <w:r w:rsidRPr="00851B0F">
        <w:rPr>
          <w:rFonts w:ascii="Times New Roman" w:hAnsi="Times New Roman"/>
        </w:rPr>
        <w:t xml:space="preserve">With the </w:t>
      </w:r>
      <w:smartTag w:uri="urn:schemas-microsoft-com:office:smarttags" w:element="stockticker">
        <w:r w:rsidRPr="00851B0F">
          <w:rPr>
            <w:rFonts w:ascii="Times New Roman" w:hAnsi="Times New Roman"/>
          </w:rPr>
          <w:t>GDP</w:t>
        </w:r>
      </w:smartTag>
      <w:r w:rsidRPr="00851B0F">
        <w:rPr>
          <w:rFonts w:ascii="Times New Roman" w:hAnsi="Times New Roman"/>
        </w:rPr>
        <w:t xml:space="preserve"> growth rate, the constant growth model indicates a cost of common equity </w:t>
      </w:r>
      <w:r w:rsidR="003E64BD" w:rsidRPr="00851B0F">
        <w:rPr>
          <w:rFonts w:ascii="Times New Roman" w:hAnsi="Times New Roman"/>
        </w:rPr>
        <w:t xml:space="preserve">range </w:t>
      </w:r>
      <w:r w:rsidRPr="00851B0F">
        <w:rPr>
          <w:rFonts w:ascii="Times New Roman" w:hAnsi="Times New Roman"/>
        </w:rPr>
        <w:t xml:space="preserve">of </w:t>
      </w:r>
      <w:r w:rsidR="003E64BD" w:rsidRPr="00851B0F">
        <w:rPr>
          <w:rFonts w:ascii="Times New Roman" w:hAnsi="Times New Roman"/>
        </w:rPr>
        <w:t xml:space="preserve">9.9 percent to </w:t>
      </w:r>
      <w:r w:rsidRPr="00851B0F">
        <w:rPr>
          <w:rFonts w:ascii="Times New Roman" w:hAnsi="Times New Roman"/>
        </w:rPr>
        <w:t>10.</w:t>
      </w:r>
      <w:r w:rsidR="00C44BDD" w:rsidRPr="00851B0F">
        <w:rPr>
          <w:rFonts w:ascii="Times New Roman" w:hAnsi="Times New Roman"/>
        </w:rPr>
        <w:t>0</w:t>
      </w:r>
      <w:r w:rsidRPr="00851B0F">
        <w:rPr>
          <w:rFonts w:ascii="Times New Roman" w:hAnsi="Times New Roman"/>
        </w:rPr>
        <w:t xml:space="preserve"> percent</w:t>
      </w:r>
      <w:r w:rsidR="00E8096B" w:rsidRPr="00851B0F">
        <w:rPr>
          <w:rFonts w:ascii="Times New Roman" w:hAnsi="Times New Roman"/>
        </w:rPr>
        <w:t xml:space="preserve">.  </w:t>
      </w:r>
      <w:r w:rsidRPr="00851B0F">
        <w:rPr>
          <w:rFonts w:ascii="Times New Roman" w:hAnsi="Times New Roman"/>
        </w:rPr>
        <w:t xml:space="preserve">Finally, in the third column of page 1, </w:t>
      </w:r>
    </w:p>
    <w:p w:rsidR="00771D74" w:rsidRDefault="0037063A" w:rsidP="00771D74">
      <w:pPr>
        <w:pStyle w:val="BodyTextIndent"/>
        <w:spacing w:before="0"/>
        <w:ind w:firstLine="0"/>
        <w:jc w:val="left"/>
        <w:rPr>
          <w:rFonts w:ascii="Times New Roman" w:hAnsi="Times New Roman"/>
        </w:rPr>
      </w:pPr>
      <w:r w:rsidRPr="00851B0F">
        <w:rPr>
          <w:rFonts w:ascii="Times New Roman" w:hAnsi="Times New Roman"/>
        </w:rPr>
        <w:t>I present the results from the multistage DCF model</w:t>
      </w:r>
      <w:r w:rsidR="00E8096B" w:rsidRPr="00851B0F">
        <w:rPr>
          <w:rFonts w:ascii="Times New Roman" w:hAnsi="Times New Roman"/>
        </w:rPr>
        <w:t xml:space="preserve">.  </w:t>
      </w:r>
      <w:r w:rsidRPr="00851B0F">
        <w:rPr>
          <w:rFonts w:ascii="Times New Roman" w:hAnsi="Times New Roman"/>
        </w:rPr>
        <w:t xml:space="preserve">The multistage model indicates a cost of common equity </w:t>
      </w:r>
      <w:r w:rsidR="00131D72" w:rsidRPr="00851B0F">
        <w:rPr>
          <w:rFonts w:ascii="Times New Roman" w:hAnsi="Times New Roman"/>
        </w:rPr>
        <w:t xml:space="preserve">range </w:t>
      </w:r>
      <w:r w:rsidRPr="00851B0F">
        <w:rPr>
          <w:rFonts w:ascii="Times New Roman" w:hAnsi="Times New Roman"/>
        </w:rPr>
        <w:t>of 9.</w:t>
      </w:r>
      <w:r w:rsidR="00C44BDD" w:rsidRPr="00851B0F">
        <w:rPr>
          <w:rFonts w:ascii="Times New Roman" w:hAnsi="Times New Roman"/>
        </w:rPr>
        <w:t>8</w:t>
      </w:r>
      <w:r w:rsidRPr="00851B0F">
        <w:rPr>
          <w:rFonts w:ascii="Times New Roman" w:hAnsi="Times New Roman"/>
        </w:rPr>
        <w:t xml:space="preserve"> percent</w:t>
      </w:r>
      <w:r w:rsidR="00131D72" w:rsidRPr="00851B0F">
        <w:rPr>
          <w:rFonts w:ascii="Times New Roman" w:hAnsi="Times New Roman"/>
        </w:rPr>
        <w:t xml:space="preserve"> to 9.9 percent</w:t>
      </w:r>
      <w:r w:rsidR="00E8096B" w:rsidRPr="00851B0F">
        <w:rPr>
          <w:rFonts w:ascii="Times New Roman" w:hAnsi="Times New Roman"/>
        </w:rPr>
        <w:t xml:space="preserve">.  </w:t>
      </w:r>
      <w:r w:rsidRPr="00851B0F">
        <w:rPr>
          <w:rFonts w:ascii="Times New Roman" w:hAnsi="Times New Roman"/>
        </w:rPr>
        <w:t>The results from the DCF model, therefore, indicate a cost of com</w:t>
      </w:r>
      <w:r w:rsidR="00C44BDD" w:rsidRPr="00851B0F">
        <w:rPr>
          <w:rFonts w:ascii="Times New Roman" w:hAnsi="Times New Roman"/>
        </w:rPr>
        <w:t xml:space="preserve">mon equity range of </w:t>
      </w:r>
    </w:p>
    <w:p w:rsidR="00B81099" w:rsidRPr="00851B0F" w:rsidRDefault="00C44BDD" w:rsidP="00771D74">
      <w:pPr>
        <w:pStyle w:val="BodyTextIndent"/>
        <w:spacing w:before="0"/>
        <w:ind w:firstLine="0"/>
        <w:jc w:val="left"/>
        <w:rPr>
          <w:rFonts w:ascii="Times New Roman" w:hAnsi="Times New Roman"/>
        </w:rPr>
      </w:pPr>
      <w:r w:rsidRPr="00851B0F">
        <w:rPr>
          <w:rFonts w:ascii="Times New Roman" w:hAnsi="Times New Roman"/>
        </w:rPr>
        <w:t>9.</w:t>
      </w:r>
      <w:r w:rsidR="00131D72" w:rsidRPr="00851B0F">
        <w:rPr>
          <w:rFonts w:ascii="Times New Roman" w:hAnsi="Times New Roman"/>
        </w:rPr>
        <w:t>4</w:t>
      </w:r>
      <w:r w:rsidR="00771D74">
        <w:rPr>
          <w:rFonts w:ascii="Times New Roman" w:hAnsi="Times New Roman"/>
        </w:rPr>
        <w:t xml:space="preserve"> </w:t>
      </w:r>
      <w:r w:rsidR="0037063A" w:rsidRPr="00851B0F">
        <w:rPr>
          <w:rFonts w:ascii="Times New Roman" w:hAnsi="Times New Roman"/>
        </w:rPr>
        <w:t>percent to 10.</w:t>
      </w:r>
      <w:r w:rsidRPr="00851B0F">
        <w:rPr>
          <w:rFonts w:ascii="Times New Roman" w:hAnsi="Times New Roman"/>
        </w:rPr>
        <w:t>0</w:t>
      </w:r>
      <w:r w:rsidR="0037063A" w:rsidRPr="00851B0F">
        <w:rPr>
          <w:rFonts w:ascii="Times New Roman" w:hAnsi="Times New Roman"/>
        </w:rPr>
        <w:t xml:space="preserve"> percent.</w:t>
      </w:r>
    </w:p>
    <w:p w:rsidR="00B81099" w:rsidRPr="00851B0F" w:rsidRDefault="0037063A" w:rsidP="00734C05">
      <w:pPr>
        <w:pStyle w:val="BodyTextIndent"/>
        <w:widowControl w:val="0"/>
        <w:spacing w:before="0"/>
        <w:jc w:val="left"/>
        <w:rPr>
          <w:rFonts w:ascii="Times New Roman" w:hAnsi="Times New Roman"/>
          <w:b/>
        </w:rPr>
      </w:pPr>
      <w:r w:rsidRPr="00851B0F">
        <w:rPr>
          <w:rFonts w:ascii="Times New Roman" w:hAnsi="Times New Roman"/>
          <w:b/>
        </w:rPr>
        <w:t>Q.</w:t>
      </w:r>
      <w:r w:rsidRPr="00851B0F">
        <w:rPr>
          <w:rFonts w:ascii="Times New Roman" w:hAnsi="Times New Roman"/>
          <w:b/>
        </w:rPr>
        <w:tab/>
        <w:t>What are the results of you</w:t>
      </w:r>
      <w:r w:rsidR="005D089C" w:rsidRPr="00851B0F">
        <w:rPr>
          <w:rFonts w:ascii="Times New Roman" w:hAnsi="Times New Roman"/>
          <w:b/>
        </w:rPr>
        <w:t>r</w:t>
      </w:r>
      <w:r w:rsidRPr="00851B0F">
        <w:rPr>
          <w:rFonts w:ascii="Times New Roman" w:hAnsi="Times New Roman"/>
          <w:b/>
        </w:rPr>
        <w:t xml:space="preserve"> basic equity risk premium studies?</w:t>
      </w:r>
    </w:p>
    <w:p w:rsidR="00B81099" w:rsidRPr="00851B0F" w:rsidRDefault="0037063A" w:rsidP="005D089C">
      <w:pPr>
        <w:pStyle w:val="BodyTextIndent"/>
        <w:widowControl w:val="0"/>
        <w:spacing w:before="0"/>
        <w:jc w:val="left"/>
        <w:rPr>
          <w:rFonts w:ascii="Times New Roman" w:hAnsi="Times New Roman"/>
        </w:rPr>
      </w:pPr>
      <w:r w:rsidRPr="00851B0F">
        <w:rPr>
          <w:rFonts w:ascii="Times New Roman" w:hAnsi="Times New Roman"/>
        </w:rPr>
        <w:t>A.</w:t>
      </w:r>
      <w:r w:rsidRPr="00851B0F">
        <w:rPr>
          <w:rFonts w:ascii="Times New Roman" w:hAnsi="Times New Roman"/>
        </w:rPr>
        <w:tab/>
        <w:t xml:space="preserve">The details and results of my basic equity risk premium studies are shown in my Exhibit </w:t>
      </w:r>
      <w:r w:rsidR="005D089C" w:rsidRPr="00851B0F">
        <w:rPr>
          <w:rFonts w:ascii="Times New Roman" w:hAnsi="Times New Roman"/>
        </w:rPr>
        <w:t>No.</w:t>
      </w:r>
      <w:r w:rsidRPr="00851B0F">
        <w:rPr>
          <w:rFonts w:ascii="Times New Roman" w:hAnsi="Times New Roman"/>
        </w:rPr>
        <w:t>___(SCH-</w:t>
      </w:r>
      <w:r w:rsidR="00C44BDD" w:rsidRPr="00851B0F">
        <w:rPr>
          <w:rFonts w:ascii="Times New Roman" w:hAnsi="Times New Roman"/>
        </w:rPr>
        <w:t>8</w:t>
      </w:r>
      <w:r w:rsidRPr="00851B0F">
        <w:rPr>
          <w:rFonts w:ascii="Times New Roman" w:hAnsi="Times New Roman"/>
        </w:rPr>
        <w:t>)</w:t>
      </w:r>
      <w:r w:rsidR="00E8096B" w:rsidRPr="00851B0F">
        <w:rPr>
          <w:rFonts w:ascii="Times New Roman" w:hAnsi="Times New Roman"/>
        </w:rPr>
        <w:t xml:space="preserve">.  </w:t>
      </w:r>
      <w:r w:rsidRPr="00851B0F">
        <w:rPr>
          <w:rFonts w:ascii="Times New Roman" w:hAnsi="Times New Roman"/>
        </w:rPr>
        <w:t>These studies indicate a cost of common equity range of 9.</w:t>
      </w:r>
      <w:r w:rsidR="003E3F34" w:rsidRPr="00851B0F">
        <w:rPr>
          <w:rFonts w:ascii="Times New Roman" w:hAnsi="Times New Roman"/>
        </w:rPr>
        <w:t>3</w:t>
      </w:r>
      <w:r w:rsidRPr="00851B0F">
        <w:rPr>
          <w:rFonts w:ascii="Times New Roman" w:hAnsi="Times New Roman"/>
        </w:rPr>
        <w:t xml:space="preserve"> percent to </w:t>
      </w:r>
      <w:r w:rsidR="00404903" w:rsidRPr="00851B0F">
        <w:rPr>
          <w:rFonts w:ascii="Times New Roman" w:hAnsi="Times New Roman"/>
        </w:rPr>
        <w:t>9.6</w:t>
      </w:r>
      <w:r w:rsidRPr="00851B0F">
        <w:rPr>
          <w:rFonts w:ascii="Times New Roman" w:hAnsi="Times New Roman"/>
        </w:rPr>
        <w:t xml:space="preserve"> percent</w:t>
      </w:r>
      <w:r w:rsidR="00E8096B" w:rsidRPr="00851B0F">
        <w:rPr>
          <w:rFonts w:ascii="Times New Roman" w:hAnsi="Times New Roman"/>
        </w:rPr>
        <w:t xml:space="preserve">.  </w:t>
      </w:r>
      <w:r w:rsidRPr="00851B0F">
        <w:rPr>
          <w:rFonts w:ascii="Times New Roman" w:hAnsi="Times New Roman"/>
        </w:rPr>
        <w:t>As note</w:t>
      </w:r>
      <w:r w:rsidR="005A17A2" w:rsidRPr="00851B0F">
        <w:rPr>
          <w:rFonts w:ascii="Times New Roman" w:hAnsi="Times New Roman"/>
        </w:rPr>
        <w:t>d</w:t>
      </w:r>
      <w:r w:rsidRPr="00851B0F">
        <w:rPr>
          <w:rFonts w:ascii="Times New Roman" w:hAnsi="Times New Roman"/>
        </w:rPr>
        <w:t xml:space="preserve"> previously, I discount the</w:t>
      </w:r>
      <w:r w:rsidR="00C44BDD" w:rsidRPr="00851B0F">
        <w:rPr>
          <w:rFonts w:ascii="Times New Roman" w:hAnsi="Times New Roman"/>
        </w:rPr>
        <w:t xml:space="preserve"> low end of my DCF </w:t>
      </w:r>
      <w:r w:rsidR="00131D72" w:rsidRPr="00851B0F">
        <w:rPr>
          <w:rFonts w:ascii="Times New Roman" w:hAnsi="Times New Roman"/>
        </w:rPr>
        <w:t>results</w:t>
      </w:r>
      <w:r w:rsidR="007134F0" w:rsidRPr="00851B0F">
        <w:rPr>
          <w:rFonts w:ascii="Times New Roman" w:hAnsi="Times New Roman"/>
        </w:rPr>
        <w:t>,</w:t>
      </w:r>
      <w:r w:rsidR="00131D72" w:rsidRPr="00851B0F">
        <w:rPr>
          <w:rFonts w:ascii="Times New Roman" w:hAnsi="Times New Roman"/>
        </w:rPr>
        <w:t xml:space="preserve"> as well as my</w:t>
      </w:r>
      <w:r w:rsidR="00C44BDD" w:rsidRPr="00851B0F">
        <w:rPr>
          <w:rFonts w:ascii="Times New Roman" w:hAnsi="Times New Roman"/>
        </w:rPr>
        <w:t xml:space="preserve"> </w:t>
      </w:r>
      <w:r w:rsidRPr="00851B0F">
        <w:rPr>
          <w:rFonts w:ascii="Times New Roman" w:hAnsi="Times New Roman"/>
        </w:rPr>
        <w:t xml:space="preserve">risk premium </w:t>
      </w:r>
      <w:r w:rsidR="00131D72" w:rsidRPr="00851B0F">
        <w:rPr>
          <w:rFonts w:ascii="Times New Roman" w:hAnsi="Times New Roman"/>
        </w:rPr>
        <w:t>estimates</w:t>
      </w:r>
      <w:r w:rsidR="007134F0" w:rsidRPr="00851B0F">
        <w:rPr>
          <w:rFonts w:ascii="Times New Roman" w:hAnsi="Times New Roman"/>
        </w:rPr>
        <w:t>,</w:t>
      </w:r>
      <w:r w:rsidRPr="00851B0F">
        <w:rPr>
          <w:rFonts w:ascii="Times New Roman" w:hAnsi="Times New Roman"/>
        </w:rPr>
        <w:t xml:space="preserve"> because they are directly affected by the government</w:t>
      </w:r>
      <w:r w:rsidR="00823A67" w:rsidRPr="00851B0F">
        <w:rPr>
          <w:rFonts w:ascii="Times New Roman" w:hAnsi="Times New Roman"/>
        </w:rPr>
        <w:t>’</w:t>
      </w:r>
      <w:r w:rsidRPr="00851B0F">
        <w:rPr>
          <w:rFonts w:ascii="Times New Roman" w:hAnsi="Times New Roman"/>
        </w:rPr>
        <w:t>s ongoing efforts to keep interest rates artificially low.</w:t>
      </w:r>
    </w:p>
    <w:p w:rsidR="00B81099" w:rsidRPr="00851B0F" w:rsidRDefault="0037063A" w:rsidP="005D089C">
      <w:pPr>
        <w:pStyle w:val="BodyTextIndent"/>
        <w:spacing w:before="0"/>
        <w:jc w:val="left"/>
        <w:rPr>
          <w:rFonts w:ascii="Times New Roman" w:hAnsi="Times New Roman"/>
          <w:b/>
        </w:rPr>
      </w:pPr>
      <w:r w:rsidRPr="00851B0F">
        <w:rPr>
          <w:rFonts w:ascii="Times New Roman" w:hAnsi="Times New Roman"/>
          <w:b/>
        </w:rPr>
        <w:t>Q.</w:t>
      </w:r>
      <w:r w:rsidRPr="00851B0F">
        <w:rPr>
          <w:rFonts w:ascii="Times New Roman" w:hAnsi="Times New Roman"/>
          <w:b/>
        </w:rPr>
        <w:tab/>
        <w:t>How are your basic equity risk premium studies structured?</w:t>
      </w:r>
    </w:p>
    <w:p w:rsidR="00997B81" w:rsidRPr="00851B0F" w:rsidRDefault="0037063A">
      <w:pPr>
        <w:pStyle w:val="BodyTextIndent"/>
        <w:spacing w:before="0"/>
        <w:jc w:val="left"/>
        <w:rPr>
          <w:rFonts w:ascii="Times New Roman" w:hAnsi="Times New Roman"/>
        </w:rPr>
      </w:pPr>
      <w:r w:rsidRPr="00851B0F">
        <w:rPr>
          <w:rFonts w:ascii="Times New Roman" w:hAnsi="Times New Roman"/>
        </w:rPr>
        <w:t>A.</w:t>
      </w:r>
      <w:r w:rsidRPr="00851B0F">
        <w:rPr>
          <w:rFonts w:ascii="Times New Roman" w:hAnsi="Times New Roman"/>
        </w:rPr>
        <w:tab/>
        <w:t>My basic equity risk premium studies are divided into two parts</w:t>
      </w:r>
      <w:r w:rsidR="00E8096B" w:rsidRPr="00851B0F">
        <w:rPr>
          <w:rFonts w:ascii="Times New Roman" w:hAnsi="Times New Roman"/>
        </w:rPr>
        <w:t xml:space="preserve">.  </w:t>
      </w:r>
      <w:r w:rsidRPr="00851B0F">
        <w:rPr>
          <w:rFonts w:ascii="Times New Roman" w:hAnsi="Times New Roman"/>
        </w:rPr>
        <w:t>First, I compare electric utility auth</w:t>
      </w:r>
      <w:r w:rsidR="00771D74">
        <w:rPr>
          <w:rFonts w:ascii="Times New Roman" w:hAnsi="Times New Roman"/>
        </w:rPr>
        <w:t>orized ROEs for the period 1980–</w:t>
      </w:r>
      <w:r w:rsidRPr="00851B0F">
        <w:rPr>
          <w:rFonts w:ascii="Times New Roman" w:hAnsi="Times New Roman"/>
        </w:rPr>
        <w:t>2011 to contemporaneous long-term utility interest rates</w:t>
      </w:r>
      <w:r w:rsidR="00E8096B" w:rsidRPr="00851B0F">
        <w:rPr>
          <w:rFonts w:ascii="Times New Roman" w:hAnsi="Times New Roman"/>
        </w:rPr>
        <w:t xml:space="preserve">.  </w:t>
      </w:r>
      <w:r w:rsidRPr="00851B0F">
        <w:rPr>
          <w:rFonts w:ascii="Times New Roman" w:hAnsi="Times New Roman"/>
        </w:rPr>
        <w:t>The differences between the average authorized ROEs and the average interest rate for each year is the indicated equity risk premium</w:t>
      </w:r>
      <w:r w:rsidR="00E8096B" w:rsidRPr="00851B0F">
        <w:rPr>
          <w:rFonts w:ascii="Times New Roman" w:hAnsi="Times New Roman"/>
        </w:rPr>
        <w:t xml:space="preserve">.  </w:t>
      </w:r>
      <w:r w:rsidRPr="00851B0F">
        <w:rPr>
          <w:rFonts w:ascii="Times New Roman" w:hAnsi="Times New Roman"/>
        </w:rPr>
        <w:t>I then add the indicated equity risk premium to the forecasted and current single-A utility bond interest rate to estimate the cost of common equity</w:t>
      </w:r>
      <w:r w:rsidR="00E8096B" w:rsidRPr="00851B0F">
        <w:rPr>
          <w:rFonts w:ascii="Times New Roman" w:hAnsi="Times New Roman"/>
        </w:rPr>
        <w:t xml:space="preserve">.  </w:t>
      </w:r>
      <w:r w:rsidRPr="00851B0F">
        <w:rPr>
          <w:rFonts w:ascii="Times New Roman" w:hAnsi="Times New Roman"/>
        </w:rPr>
        <w:t>Because there is a strong inverse relationship between equity risk premiums and interest rates (when interest rates are high, risk premiums are low and vice versa), further analysis is required to estimate the current equity risk premium level.</w:t>
      </w:r>
    </w:p>
    <w:p w:rsidR="00B81099" w:rsidRPr="00851B0F" w:rsidRDefault="0037063A" w:rsidP="005D089C">
      <w:pPr>
        <w:pStyle w:val="BodyTextIndent"/>
        <w:widowControl w:val="0"/>
        <w:spacing w:before="0"/>
        <w:jc w:val="left"/>
        <w:rPr>
          <w:rFonts w:ascii="Times New Roman" w:hAnsi="Times New Roman"/>
        </w:rPr>
      </w:pPr>
      <w:r w:rsidRPr="00851B0F">
        <w:rPr>
          <w:rFonts w:ascii="Times New Roman" w:hAnsi="Times New Roman"/>
        </w:rPr>
        <w:tab/>
      </w:r>
      <w:r w:rsidRPr="00851B0F">
        <w:rPr>
          <w:rFonts w:ascii="Times New Roman" w:hAnsi="Times New Roman"/>
        </w:rPr>
        <w:tab/>
        <w:t>The inverse relationship between equity risk premiums and interest rate levels is well documented in numerous, well-respected academic studies</w:t>
      </w:r>
      <w:r w:rsidR="00E8096B" w:rsidRPr="00851B0F">
        <w:rPr>
          <w:rFonts w:ascii="Times New Roman" w:hAnsi="Times New Roman"/>
        </w:rPr>
        <w:t xml:space="preserve">.  </w:t>
      </w:r>
      <w:r w:rsidRPr="00851B0F">
        <w:rPr>
          <w:rFonts w:ascii="Times New Roman" w:hAnsi="Times New Roman"/>
        </w:rPr>
        <w:t>These studies typically use regression analysis or other statistical methods to predict or measure the equity risk premium relationship under varying interest rate conditions</w:t>
      </w:r>
      <w:r w:rsidR="00E8096B" w:rsidRPr="00851B0F">
        <w:rPr>
          <w:rFonts w:ascii="Times New Roman" w:hAnsi="Times New Roman"/>
        </w:rPr>
        <w:t xml:space="preserve">.  </w:t>
      </w:r>
      <w:r w:rsidRPr="00851B0F">
        <w:rPr>
          <w:rFonts w:ascii="Times New Roman" w:hAnsi="Times New Roman"/>
        </w:rPr>
        <w:t xml:space="preserve">On page 3 of Exhibit </w:t>
      </w:r>
      <w:r w:rsidR="005D089C" w:rsidRPr="00851B0F">
        <w:rPr>
          <w:rFonts w:ascii="Times New Roman" w:hAnsi="Times New Roman"/>
        </w:rPr>
        <w:t>No.</w:t>
      </w:r>
      <w:r w:rsidRPr="00851B0F">
        <w:rPr>
          <w:rFonts w:ascii="Times New Roman" w:hAnsi="Times New Roman"/>
        </w:rPr>
        <w:t>___(SCH-</w:t>
      </w:r>
      <w:r w:rsidR="00C44BDD" w:rsidRPr="00851B0F">
        <w:rPr>
          <w:rFonts w:ascii="Times New Roman" w:hAnsi="Times New Roman"/>
        </w:rPr>
        <w:t>8</w:t>
      </w:r>
      <w:r w:rsidRPr="00851B0F">
        <w:rPr>
          <w:rFonts w:ascii="Times New Roman" w:hAnsi="Times New Roman"/>
        </w:rPr>
        <w:t>), I provide a regression analysis of the allowed annual equity risk premiums relative to interest rate levels</w:t>
      </w:r>
      <w:r w:rsidR="00E8096B" w:rsidRPr="00851B0F">
        <w:rPr>
          <w:rFonts w:ascii="Times New Roman" w:hAnsi="Times New Roman"/>
        </w:rPr>
        <w:t xml:space="preserve">.  </w:t>
      </w:r>
      <w:r w:rsidRPr="00851B0F">
        <w:rPr>
          <w:rFonts w:ascii="Times New Roman" w:hAnsi="Times New Roman"/>
        </w:rPr>
        <w:t>The negative and statistically significant regression coefficients confirm the inverse relationship between equity risk premiums and interest rates</w:t>
      </w:r>
      <w:r w:rsidR="00E8096B" w:rsidRPr="00851B0F">
        <w:rPr>
          <w:rFonts w:ascii="Times New Roman" w:hAnsi="Times New Roman"/>
        </w:rPr>
        <w:t xml:space="preserve">.  </w:t>
      </w:r>
      <w:r w:rsidRPr="00851B0F">
        <w:rPr>
          <w:rFonts w:ascii="Times New Roman" w:hAnsi="Times New Roman"/>
        </w:rPr>
        <w:t>This means that when interest rates rise by one percentage point, the COE increases, but by a smaller amount</w:t>
      </w:r>
      <w:r w:rsidR="00E8096B" w:rsidRPr="00851B0F">
        <w:rPr>
          <w:rFonts w:ascii="Times New Roman" w:hAnsi="Times New Roman"/>
        </w:rPr>
        <w:t xml:space="preserve">.  </w:t>
      </w:r>
      <w:r w:rsidRPr="00851B0F">
        <w:rPr>
          <w:rFonts w:ascii="Times New Roman" w:hAnsi="Times New Roman"/>
        </w:rPr>
        <w:t>Similarly, when interest rates decline by one percentage point, the COE will also decline but by less than one percentage point</w:t>
      </w:r>
      <w:r w:rsidR="00E8096B" w:rsidRPr="00851B0F">
        <w:rPr>
          <w:rFonts w:ascii="Times New Roman" w:hAnsi="Times New Roman"/>
        </w:rPr>
        <w:t xml:space="preserve">.  </w:t>
      </w:r>
      <w:r w:rsidRPr="00851B0F">
        <w:rPr>
          <w:rFonts w:ascii="Times New Roman" w:hAnsi="Times New Roman"/>
        </w:rPr>
        <w:t>I use this negative interest rate change coefficient in conjunction with current and forecasted interest rates to estimate the appropriate cost of common equity.</w:t>
      </w:r>
    </w:p>
    <w:p w:rsidR="00167998" w:rsidRPr="00851B0F" w:rsidRDefault="0037063A" w:rsidP="00167998">
      <w:pPr>
        <w:pStyle w:val="BodyTextIndent"/>
        <w:widowControl w:val="0"/>
        <w:spacing w:before="0"/>
        <w:jc w:val="left"/>
        <w:rPr>
          <w:rFonts w:ascii="Times New Roman" w:hAnsi="Times New Roman"/>
          <w:b/>
        </w:rPr>
      </w:pPr>
      <w:r w:rsidRPr="00851B0F">
        <w:rPr>
          <w:rFonts w:ascii="Times New Roman" w:hAnsi="Times New Roman"/>
          <w:b/>
        </w:rPr>
        <w:t>Q.</w:t>
      </w:r>
      <w:r w:rsidRPr="00851B0F">
        <w:rPr>
          <w:rFonts w:ascii="Times New Roman" w:hAnsi="Times New Roman"/>
          <w:b/>
        </w:rPr>
        <w:tab/>
        <w:t>Can you illustrate the inverse relationship between equity risk premiums and interest rates without using the statistical analysis described above?</w:t>
      </w:r>
    </w:p>
    <w:p w:rsidR="00167998" w:rsidRPr="00851B0F" w:rsidRDefault="0037063A" w:rsidP="00167998">
      <w:pPr>
        <w:pStyle w:val="BodyTextIndent"/>
        <w:widowControl w:val="0"/>
        <w:spacing w:before="0"/>
        <w:jc w:val="left"/>
        <w:rPr>
          <w:rFonts w:ascii="Times New Roman" w:hAnsi="Times New Roman"/>
        </w:rPr>
      </w:pPr>
      <w:r w:rsidRPr="00851B0F">
        <w:rPr>
          <w:rFonts w:ascii="Times New Roman" w:hAnsi="Times New Roman"/>
        </w:rPr>
        <w:t>A.</w:t>
      </w:r>
      <w:r w:rsidRPr="00851B0F">
        <w:rPr>
          <w:rFonts w:ascii="Times New Roman" w:hAnsi="Times New Roman"/>
        </w:rPr>
        <w:tab/>
        <w:t>Yes</w:t>
      </w:r>
      <w:r w:rsidR="00E8096B" w:rsidRPr="00851B0F">
        <w:rPr>
          <w:rFonts w:ascii="Times New Roman" w:hAnsi="Times New Roman"/>
        </w:rPr>
        <w:t xml:space="preserve">.  </w:t>
      </w:r>
      <w:r w:rsidRPr="00851B0F">
        <w:rPr>
          <w:rFonts w:ascii="Times New Roman" w:hAnsi="Times New Roman"/>
        </w:rPr>
        <w:t>Statistical analysis is often used, especially in academic research, to substantiate certain economic and financial relationships</w:t>
      </w:r>
      <w:r w:rsidR="00E8096B" w:rsidRPr="00851B0F">
        <w:rPr>
          <w:rFonts w:ascii="Times New Roman" w:hAnsi="Times New Roman"/>
        </w:rPr>
        <w:t xml:space="preserve">.  </w:t>
      </w:r>
      <w:r w:rsidRPr="00851B0F">
        <w:rPr>
          <w:rFonts w:ascii="Times New Roman" w:hAnsi="Times New Roman"/>
        </w:rPr>
        <w:t>For equity risk premium analysis, however, the fundamental issue can be observed by simply averaging the data for various time periods without further statistical analysis</w:t>
      </w:r>
      <w:r w:rsidR="00E8096B" w:rsidRPr="00851B0F">
        <w:rPr>
          <w:rFonts w:ascii="Times New Roman" w:hAnsi="Times New Roman"/>
        </w:rPr>
        <w:t xml:space="preserve">.  </w:t>
      </w:r>
      <w:r w:rsidRPr="00851B0F">
        <w:rPr>
          <w:rFonts w:ascii="Times New Roman" w:hAnsi="Times New Roman"/>
        </w:rPr>
        <w:t>The data in Table 4 below show average utility bond yields and equity risk premiums for each non-overlapping, five-y</w:t>
      </w:r>
      <w:r w:rsidR="004B2CE2" w:rsidRPr="00851B0F">
        <w:rPr>
          <w:rFonts w:ascii="Times New Roman" w:hAnsi="Times New Roman"/>
        </w:rPr>
        <w:t>ear period between 1980 and 2011</w:t>
      </w:r>
      <w:r w:rsidRPr="00851B0F">
        <w:rPr>
          <w:rFonts w:ascii="Times New Roman" w:hAnsi="Times New Roman"/>
        </w:rPr>
        <w:t>.</w:t>
      </w:r>
    </w:p>
    <w:tbl>
      <w:tblPr>
        <w:tblW w:w="6601" w:type="dxa"/>
        <w:jc w:val="center"/>
        <w:tblInd w:w="93" w:type="dxa"/>
        <w:tblLook w:val="04A0"/>
      </w:tblPr>
      <w:tblGrid>
        <w:gridCol w:w="276"/>
        <w:gridCol w:w="1854"/>
        <w:gridCol w:w="2166"/>
        <w:gridCol w:w="2029"/>
        <w:gridCol w:w="276"/>
      </w:tblGrid>
      <w:tr w:rsidR="00B81099" w:rsidRPr="00851B0F">
        <w:trPr>
          <w:trHeight w:val="315"/>
          <w:jc w:val="center"/>
        </w:trPr>
        <w:tc>
          <w:tcPr>
            <w:tcW w:w="6601" w:type="dxa"/>
            <w:gridSpan w:val="5"/>
            <w:tcBorders>
              <w:top w:val="nil"/>
              <w:left w:val="nil"/>
              <w:bottom w:val="nil"/>
              <w:right w:val="nil"/>
            </w:tcBorders>
            <w:shd w:val="clear" w:color="auto" w:fill="auto"/>
            <w:noWrap/>
            <w:vAlign w:val="bottom"/>
            <w:hideMark/>
          </w:tcPr>
          <w:p w:rsidR="00B81099" w:rsidRPr="00851B0F" w:rsidRDefault="0037063A" w:rsidP="0061511C">
            <w:pPr>
              <w:keepNext/>
              <w:keepLines/>
              <w:spacing w:line="240" w:lineRule="auto"/>
              <w:ind w:left="0" w:firstLine="0"/>
              <w:jc w:val="center"/>
              <w:rPr>
                <w:rFonts w:ascii="Times New Roman" w:hAnsi="Times New Roman"/>
                <w:b/>
                <w:bCs/>
                <w:szCs w:val="24"/>
                <w:lang w:eastAsia="ko-KR"/>
              </w:rPr>
            </w:pPr>
            <w:r w:rsidRPr="00851B0F">
              <w:rPr>
                <w:rFonts w:ascii="Times New Roman" w:hAnsi="Times New Roman"/>
                <w:b/>
                <w:bCs/>
                <w:szCs w:val="24"/>
                <w:lang w:eastAsia="ko-KR"/>
              </w:rPr>
              <w:t>Table 4</w:t>
            </w:r>
          </w:p>
        </w:tc>
      </w:tr>
      <w:tr w:rsidR="00B81099" w:rsidRPr="00851B0F">
        <w:trPr>
          <w:trHeight w:val="315"/>
          <w:jc w:val="center"/>
        </w:trPr>
        <w:tc>
          <w:tcPr>
            <w:tcW w:w="6601" w:type="dxa"/>
            <w:gridSpan w:val="5"/>
            <w:tcBorders>
              <w:top w:val="nil"/>
              <w:left w:val="nil"/>
              <w:bottom w:val="nil"/>
              <w:right w:val="nil"/>
            </w:tcBorders>
            <w:shd w:val="clear" w:color="auto" w:fill="auto"/>
            <w:noWrap/>
            <w:vAlign w:val="bottom"/>
            <w:hideMark/>
          </w:tcPr>
          <w:p w:rsidR="00B81099" w:rsidRPr="00851B0F" w:rsidRDefault="0037063A" w:rsidP="0061511C">
            <w:pPr>
              <w:keepNext/>
              <w:keepLines/>
              <w:spacing w:line="240" w:lineRule="auto"/>
              <w:ind w:left="0" w:firstLine="0"/>
              <w:jc w:val="center"/>
              <w:rPr>
                <w:rFonts w:ascii="Times New Roman" w:hAnsi="Times New Roman"/>
                <w:b/>
                <w:bCs/>
                <w:szCs w:val="24"/>
                <w:lang w:eastAsia="ko-KR"/>
              </w:rPr>
            </w:pPr>
            <w:r w:rsidRPr="00851B0F">
              <w:rPr>
                <w:rFonts w:ascii="Times New Roman" w:hAnsi="Times New Roman"/>
                <w:b/>
                <w:bCs/>
                <w:szCs w:val="24"/>
                <w:lang w:eastAsia="ko-KR"/>
              </w:rPr>
              <w:t>Average Five-Year Utility Bond Yields and Equity Risk Premiums</w:t>
            </w:r>
          </w:p>
        </w:tc>
      </w:tr>
      <w:tr w:rsidR="00B81099" w:rsidRPr="00851B0F">
        <w:trPr>
          <w:trHeight w:val="315"/>
          <w:jc w:val="center"/>
        </w:trPr>
        <w:tc>
          <w:tcPr>
            <w:tcW w:w="6601" w:type="dxa"/>
            <w:gridSpan w:val="5"/>
            <w:tcBorders>
              <w:top w:val="nil"/>
              <w:left w:val="nil"/>
              <w:bottom w:val="nil"/>
              <w:right w:val="nil"/>
            </w:tcBorders>
            <w:shd w:val="clear" w:color="auto" w:fill="auto"/>
            <w:noWrap/>
            <w:vAlign w:val="bottom"/>
            <w:hideMark/>
          </w:tcPr>
          <w:p w:rsidR="00B81099" w:rsidRPr="00851B0F" w:rsidRDefault="0037063A" w:rsidP="0061511C">
            <w:pPr>
              <w:keepNext/>
              <w:keepLines/>
              <w:spacing w:line="240" w:lineRule="auto"/>
              <w:ind w:left="0" w:firstLine="0"/>
              <w:jc w:val="center"/>
              <w:rPr>
                <w:rFonts w:ascii="Times New Roman" w:hAnsi="Times New Roman"/>
                <w:b/>
                <w:bCs/>
                <w:szCs w:val="24"/>
                <w:lang w:eastAsia="ko-KR"/>
              </w:rPr>
            </w:pPr>
            <w:r w:rsidRPr="00851B0F">
              <w:rPr>
                <w:rFonts w:ascii="Times New Roman" w:hAnsi="Times New Roman"/>
                <w:b/>
                <w:bCs/>
                <w:szCs w:val="24"/>
                <w:lang w:eastAsia="ko-KR"/>
              </w:rPr>
              <w:t>(1980-2011)</w:t>
            </w:r>
          </w:p>
        </w:tc>
      </w:tr>
      <w:tr w:rsidR="00B81099" w:rsidRPr="00851B0F">
        <w:trPr>
          <w:trHeight w:val="109"/>
          <w:jc w:val="center"/>
        </w:trPr>
        <w:tc>
          <w:tcPr>
            <w:tcW w:w="276"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 </w:t>
            </w:r>
          </w:p>
        </w:tc>
        <w:tc>
          <w:tcPr>
            <w:tcW w:w="1854"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 </w:t>
            </w:r>
          </w:p>
        </w:tc>
        <w:tc>
          <w:tcPr>
            <w:tcW w:w="2166"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 </w:t>
            </w:r>
          </w:p>
        </w:tc>
        <w:tc>
          <w:tcPr>
            <w:tcW w:w="2029"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 </w:t>
            </w:r>
          </w:p>
        </w:tc>
        <w:tc>
          <w:tcPr>
            <w:tcW w:w="276"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 </w:t>
            </w:r>
          </w:p>
        </w:tc>
      </w:tr>
      <w:tr w:rsidR="00B81099" w:rsidRPr="00851B0F">
        <w:trPr>
          <w:trHeight w:val="315"/>
          <w:jc w:val="center"/>
        </w:trPr>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c>
          <w:tcPr>
            <w:tcW w:w="1854"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c>
          <w:tcPr>
            <w:tcW w:w="2166"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Average</w:t>
            </w:r>
          </w:p>
        </w:tc>
        <w:tc>
          <w:tcPr>
            <w:tcW w:w="2029"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Average</w:t>
            </w:r>
          </w:p>
        </w:tc>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r>
      <w:tr w:rsidR="00B81099" w:rsidRPr="00851B0F">
        <w:trPr>
          <w:trHeight w:val="315"/>
          <w:jc w:val="center"/>
        </w:trPr>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c>
          <w:tcPr>
            <w:tcW w:w="1854"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c>
          <w:tcPr>
            <w:tcW w:w="2166"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Utility Bond</w:t>
            </w:r>
          </w:p>
        </w:tc>
        <w:tc>
          <w:tcPr>
            <w:tcW w:w="2029"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Equity Risk</w:t>
            </w:r>
          </w:p>
        </w:tc>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r>
      <w:tr w:rsidR="00B81099" w:rsidRPr="00851B0F">
        <w:trPr>
          <w:trHeight w:val="315"/>
          <w:jc w:val="center"/>
        </w:trPr>
        <w:tc>
          <w:tcPr>
            <w:tcW w:w="276"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 </w:t>
            </w:r>
          </w:p>
        </w:tc>
        <w:tc>
          <w:tcPr>
            <w:tcW w:w="1854"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Period</w:t>
            </w:r>
          </w:p>
        </w:tc>
        <w:tc>
          <w:tcPr>
            <w:tcW w:w="2166"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Interest Rate</w:t>
            </w:r>
          </w:p>
        </w:tc>
        <w:tc>
          <w:tcPr>
            <w:tcW w:w="2029"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Premium</w:t>
            </w:r>
          </w:p>
        </w:tc>
        <w:tc>
          <w:tcPr>
            <w:tcW w:w="276"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 </w:t>
            </w:r>
          </w:p>
        </w:tc>
      </w:tr>
      <w:tr w:rsidR="00B81099" w:rsidRPr="00851B0F">
        <w:trPr>
          <w:trHeight w:val="315"/>
          <w:jc w:val="center"/>
        </w:trPr>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c>
          <w:tcPr>
            <w:tcW w:w="1854"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1980-1986</w:t>
            </w:r>
          </w:p>
        </w:tc>
        <w:tc>
          <w:tcPr>
            <w:tcW w:w="2166"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13.31%</w:t>
            </w:r>
          </w:p>
        </w:tc>
        <w:tc>
          <w:tcPr>
            <w:tcW w:w="2029"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1.69%</w:t>
            </w:r>
          </w:p>
        </w:tc>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r>
      <w:tr w:rsidR="00B81099" w:rsidRPr="00851B0F">
        <w:trPr>
          <w:trHeight w:val="315"/>
          <w:jc w:val="center"/>
        </w:trPr>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c>
          <w:tcPr>
            <w:tcW w:w="1854"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1987-1991</w:t>
            </w:r>
          </w:p>
        </w:tc>
        <w:tc>
          <w:tcPr>
            <w:tcW w:w="2166"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9.81%</w:t>
            </w:r>
          </w:p>
        </w:tc>
        <w:tc>
          <w:tcPr>
            <w:tcW w:w="2029"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2.99%</w:t>
            </w:r>
          </w:p>
        </w:tc>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r>
      <w:tr w:rsidR="00B81099" w:rsidRPr="00851B0F">
        <w:trPr>
          <w:trHeight w:val="315"/>
          <w:jc w:val="center"/>
        </w:trPr>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c>
          <w:tcPr>
            <w:tcW w:w="1854"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1992-1996</w:t>
            </w:r>
          </w:p>
        </w:tc>
        <w:tc>
          <w:tcPr>
            <w:tcW w:w="2166"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8.02%</w:t>
            </w:r>
          </w:p>
        </w:tc>
        <w:tc>
          <w:tcPr>
            <w:tcW w:w="2029"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3.54%</w:t>
            </w:r>
          </w:p>
        </w:tc>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r>
      <w:tr w:rsidR="00B81099" w:rsidRPr="00851B0F">
        <w:trPr>
          <w:trHeight w:val="315"/>
          <w:jc w:val="center"/>
        </w:trPr>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c>
          <w:tcPr>
            <w:tcW w:w="1854"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1997-2001</w:t>
            </w:r>
          </w:p>
        </w:tc>
        <w:tc>
          <w:tcPr>
            <w:tcW w:w="2166"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7.61%</w:t>
            </w:r>
          </w:p>
        </w:tc>
        <w:tc>
          <w:tcPr>
            <w:tcW w:w="2029"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3.66%</w:t>
            </w:r>
          </w:p>
        </w:tc>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r>
      <w:tr w:rsidR="00B81099" w:rsidRPr="00851B0F">
        <w:trPr>
          <w:trHeight w:val="315"/>
          <w:jc w:val="center"/>
        </w:trPr>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c>
          <w:tcPr>
            <w:tcW w:w="1854"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2002-2006</w:t>
            </w:r>
          </w:p>
        </w:tc>
        <w:tc>
          <w:tcPr>
            <w:tcW w:w="2166"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6.42%</w:t>
            </w:r>
          </w:p>
        </w:tc>
        <w:tc>
          <w:tcPr>
            <w:tcW w:w="2029" w:type="dxa"/>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4.34%</w:t>
            </w:r>
          </w:p>
        </w:tc>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ascii="Times New Roman" w:hAnsi="Times New Roman"/>
                <w:szCs w:val="24"/>
                <w:lang w:eastAsia="ko-KR"/>
              </w:rPr>
            </w:pPr>
          </w:p>
        </w:tc>
      </w:tr>
      <w:tr w:rsidR="00B81099" w:rsidRPr="00851B0F">
        <w:trPr>
          <w:trHeight w:val="315"/>
          <w:jc w:val="center"/>
        </w:trPr>
        <w:tc>
          <w:tcPr>
            <w:tcW w:w="276"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 </w:t>
            </w:r>
          </w:p>
        </w:tc>
        <w:tc>
          <w:tcPr>
            <w:tcW w:w="1854"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2007-2011</w:t>
            </w:r>
          </w:p>
        </w:tc>
        <w:tc>
          <w:tcPr>
            <w:tcW w:w="2166"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5.95%</w:t>
            </w:r>
          </w:p>
        </w:tc>
        <w:tc>
          <w:tcPr>
            <w:tcW w:w="2029"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4.42%</w:t>
            </w:r>
          </w:p>
        </w:tc>
        <w:tc>
          <w:tcPr>
            <w:tcW w:w="276" w:type="dxa"/>
            <w:tcBorders>
              <w:top w:val="nil"/>
              <w:left w:val="nil"/>
              <w:bottom w:val="single" w:sz="4" w:space="0" w:color="auto"/>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Cs w:val="24"/>
                <w:lang w:eastAsia="ko-KR"/>
              </w:rPr>
            </w:pPr>
            <w:r w:rsidRPr="00851B0F">
              <w:rPr>
                <w:rFonts w:ascii="Times New Roman" w:hAnsi="Times New Roman"/>
                <w:szCs w:val="24"/>
                <w:lang w:eastAsia="ko-KR"/>
              </w:rPr>
              <w:t> </w:t>
            </w:r>
          </w:p>
        </w:tc>
      </w:tr>
      <w:tr w:rsidR="00B81099" w:rsidRPr="00851B0F">
        <w:trPr>
          <w:trHeight w:val="300"/>
          <w:jc w:val="center"/>
        </w:trPr>
        <w:tc>
          <w:tcPr>
            <w:tcW w:w="4296" w:type="dxa"/>
            <w:gridSpan w:val="3"/>
            <w:tcBorders>
              <w:top w:val="nil"/>
              <w:left w:val="nil"/>
              <w:bottom w:val="nil"/>
              <w:right w:val="nil"/>
            </w:tcBorders>
            <w:shd w:val="clear" w:color="auto" w:fill="auto"/>
            <w:noWrap/>
            <w:vAlign w:val="bottom"/>
            <w:hideMark/>
          </w:tcPr>
          <w:p w:rsidR="00B81099" w:rsidRPr="00851B0F" w:rsidRDefault="0037063A" w:rsidP="00E03B17">
            <w:pPr>
              <w:keepNext/>
              <w:keepLines/>
              <w:spacing w:line="240" w:lineRule="auto"/>
              <w:ind w:left="0" w:firstLine="0"/>
              <w:rPr>
                <w:rFonts w:ascii="Times New Roman" w:hAnsi="Times New Roman"/>
                <w:sz w:val="20"/>
                <w:lang w:eastAsia="ko-KR"/>
              </w:rPr>
            </w:pPr>
            <w:r w:rsidRPr="00851B0F">
              <w:rPr>
                <w:rFonts w:ascii="Times New Roman" w:hAnsi="Times New Roman"/>
                <w:sz w:val="20"/>
                <w:lang w:eastAsia="ko-KR"/>
              </w:rPr>
              <w:t xml:space="preserve">Source: Exhibit </w:t>
            </w:r>
            <w:r w:rsidR="00C44BDD" w:rsidRPr="00851B0F">
              <w:rPr>
                <w:rFonts w:ascii="Times New Roman" w:hAnsi="Times New Roman"/>
                <w:sz w:val="20"/>
                <w:lang w:eastAsia="ko-KR"/>
              </w:rPr>
              <w:t>No.___(SCH-8</w:t>
            </w:r>
            <w:r w:rsidRPr="00851B0F">
              <w:rPr>
                <w:rFonts w:ascii="Times New Roman" w:hAnsi="Times New Roman"/>
                <w:sz w:val="20"/>
                <w:lang w:eastAsia="ko-KR"/>
              </w:rPr>
              <w:t>), page 1.</w:t>
            </w:r>
          </w:p>
        </w:tc>
        <w:tc>
          <w:tcPr>
            <w:tcW w:w="2029"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cs="Arial"/>
                <w:szCs w:val="24"/>
                <w:lang w:eastAsia="ko-KR"/>
              </w:rPr>
            </w:pPr>
          </w:p>
        </w:tc>
        <w:tc>
          <w:tcPr>
            <w:tcW w:w="276" w:type="dxa"/>
            <w:tcBorders>
              <w:top w:val="nil"/>
              <w:left w:val="nil"/>
              <w:bottom w:val="nil"/>
              <w:right w:val="nil"/>
            </w:tcBorders>
            <w:shd w:val="clear" w:color="auto" w:fill="auto"/>
            <w:noWrap/>
            <w:vAlign w:val="bottom"/>
            <w:hideMark/>
          </w:tcPr>
          <w:p w:rsidR="00B81099" w:rsidRPr="00851B0F" w:rsidRDefault="00B81099" w:rsidP="00E03B17">
            <w:pPr>
              <w:keepNext/>
              <w:keepLines/>
              <w:spacing w:line="240" w:lineRule="auto"/>
              <w:ind w:left="0" w:firstLine="0"/>
              <w:rPr>
                <w:rFonts w:cs="Arial"/>
                <w:szCs w:val="24"/>
                <w:lang w:eastAsia="ko-KR"/>
              </w:rPr>
            </w:pPr>
          </w:p>
        </w:tc>
      </w:tr>
    </w:tbl>
    <w:p w:rsidR="00B81099" w:rsidRPr="00851B0F" w:rsidRDefault="0037063A" w:rsidP="008B4078">
      <w:pPr>
        <w:pStyle w:val="BodyTextIndent"/>
        <w:jc w:val="left"/>
        <w:rPr>
          <w:rFonts w:ascii="Times New Roman" w:hAnsi="Times New Roman"/>
        </w:rPr>
      </w:pPr>
      <w:r w:rsidRPr="00851B0F">
        <w:rPr>
          <w:rFonts w:ascii="Times New Roman" w:hAnsi="Times New Roman"/>
        </w:rPr>
        <w:tab/>
        <w:t>These data show that equity risk premiums have consistently increased as interest rates have declined, and that they were lower when interest rates were high</w:t>
      </w:r>
      <w:r w:rsidR="00E8096B" w:rsidRPr="00851B0F">
        <w:rPr>
          <w:rFonts w:ascii="Times New Roman" w:hAnsi="Times New Roman"/>
        </w:rPr>
        <w:t xml:space="preserve">.  </w:t>
      </w:r>
      <w:r w:rsidRPr="00851B0F">
        <w:rPr>
          <w:rFonts w:ascii="Times New Roman" w:hAnsi="Times New Roman"/>
        </w:rPr>
        <w:t>This result is a market-based reflection, which shows that required rates of return in the stock market do not move in lockstep with changes in interest rates</w:t>
      </w:r>
      <w:r w:rsidR="00E8096B" w:rsidRPr="00851B0F">
        <w:rPr>
          <w:rFonts w:ascii="Times New Roman" w:hAnsi="Times New Roman"/>
        </w:rPr>
        <w:t xml:space="preserve">.  </w:t>
      </w:r>
      <w:r w:rsidRPr="00851B0F">
        <w:rPr>
          <w:rFonts w:ascii="Times New Roman" w:hAnsi="Times New Roman"/>
        </w:rPr>
        <w:t>Because utilities must compete with other types of equity investments for capital, the COE for utilities does not change by as much as the observed changes in interest rates</w:t>
      </w:r>
      <w:r w:rsidR="00E8096B" w:rsidRPr="00851B0F">
        <w:rPr>
          <w:rFonts w:ascii="Times New Roman" w:hAnsi="Times New Roman"/>
        </w:rPr>
        <w:t xml:space="preserve">.  </w:t>
      </w:r>
      <w:r w:rsidRPr="00851B0F">
        <w:rPr>
          <w:rFonts w:ascii="Times New Roman" w:hAnsi="Times New Roman"/>
        </w:rPr>
        <w:t>Arguments that unadjusted, long-term average risk premiums can be used with current, historically low interest rates to estimate COE are mistaken</w:t>
      </w:r>
      <w:r w:rsidR="00E8096B" w:rsidRPr="00851B0F">
        <w:rPr>
          <w:rFonts w:ascii="Times New Roman" w:hAnsi="Times New Roman"/>
        </w:rPr>
        <w:t xml:space="preserve">.  </w:t>
      </w:r>
      <w:r w:rsidRPr="00851B0F">
        <w:rPr>
          <w:rFonts w:ascii="Times New Roman" w:hAnsi="Times New Roman"/>
        </w:rPr>
        <w:t>That approach to equity risk premium analysis will consistently understate the required rate of return.</w:t>
      </w:r>
    </w:p>
    <w:p w:rsidR="0075479C" w:rsidRPr="00851B0F" w:rsidRDefault="0075479C" w:rsidP="006D0EF3">
      <w:pPr>
        <w:pStyle w:val="BodyTextIndent"/>
        <w:spacing w:before="0"/>
        <w:jc w:val="left"/>
        <w:rPr>
          <w:rFonts w:ascii="Times New Roman" w:hAnsi="Times New Roman"/>
          <w:b/>
          <w:szCs w:val="24"/>
        </w:rPr>
      </w:pPr>
      <w:r w:rsidRPr="00851B0F" w:rsidDel="003A1FD5">
        <w:rPr>
          <w:rFonts w:ascii="Times New Roman" w:hAnsi="Times New Roman"/>
          <w:b/>
          <w:szCs w:val="24"/>
        </w:rPr>
        <w:t>Q.</w:t>
      </w:r>
      <w:r w:rsidRPr="00851B0F" w:rsidDel="003A1FD5">
        <w:rPr>
          <w:rFonts w:ascii="Times New Roman" w:hAnsi="Times New Roman"/>
          <w:b/>
          <w:szCs w:val="24"/>
        </w:rPr>
        <w:tab/>
        <w:t xml:space="preserve">Please explain why you </w:t>
      </w:r>
      <w:r w:rsidRPr="00851B0F">
        <w:rPr>
          <w:rFonts w:ascii="Times New Roman" w:hAnsi="Times New Roman"/>
          <w:b/>
          <w:szCs w:val="24"/>
        </w:rPr>
        <w:t xml:space="preserve">have not relied upon COE estimates </w:t>
      </w:r>
      <w:r w:rsidR="006D0EF3" w:rsidRPr="00851B0F">
        <w:rPr>
          <w:rFonts w:ascii="Times New Roman" w:hAnsi="Times New Roman"/>
          <w:b/>
          <w:szCs w:val="24"/>
        </w:rPr>
        <w:t>from</w:t>
      </w:r>
      <w:r w:rsidRPr="00851B0F">
        <w:rPr>
          <w:rFonts w:ascii="Times New Roman" w:hAnsi="Times New Roman"/>
          <w:b/>
          <w:szCs w:val="24"/>
        </w:rPr>
        <w:t xml:space="preserve"> the </w:t>
      </w:r>
      <w:r w:rsidRPr="00851B0F" w:rsidDel="003A1FD5">
        <w:rPr>
          <w:rFonts w:ascii="Times New Roman" w:hAnsi="Times New Roman"/>
          <w:b/>
          <w:szCs w:val="24"/>
        </w:rPr>
        <w:t>CAPM.</w:t>
      </w:r>
    </w:p>
    <w:p w:rsidR="0075479C" w:rsidRPr="00851B0F" w:rsidRDefault="0075479C" w:rsidP="0075479C">
      <w:pPr>
        <w:pStyle w:val="BodyTextIndent"/>
        <w:spacing w:before="0"/>
        <w:jc w:val="left"/>
        <w:rPr>
          <w:rFonts w:ascii="Times New Roman" w:hAnsi="Times New Roman"/>
          <w:szCs w:val="24"/>
        </w:rPr>
      </w:pPr>
      <w:r w:rsidRPr="00851B0F" w:rsidDel="003A1FD5">
        <w:rPr>
          <w:rFonts w:ascii="Times New Roman" w:hAnsi="Times New Roman"/>
          <w:szCs w:val="24"/>
        </w:rPr>
        <w:t>A.</w:t>
      </w:r>
      <w:r w:rsidRPr="00851B0F" w:rsidDel="003A1FD5">
        <w:rPr>
          <w:rFonts w:ascii="Times New Roman" w:hAnsi="Times New Roman"/>
          <w:szCs w:val="24"/>
        </w:rPr>
        <w:tab/>
      </w:r>
      <w:r w:rsidRPr="00851B0F">
        <w:rPr>
          <w:rFonts w:ascii="Times New Roman" w:hAnsi="Times New Roman"/>
          <w:szCs w:val="24"/>
        </w:rPr>
        <w:t>I have not relied upon the CAPM because, under current market conditions, the CAPM does not provide reliable estimates of the cost of equity.  This situation is caused by the U.S. Government’s intervention in the credit markets and the resulting artificially low U.S. Treasury bond interest rates that have resulted, as well as the recent market turmoil's effects on the CAPM’s other required inputs.</w:t>
      </w:r>
    </w:p>
    <w:p w:rsidR="0075479C" w:rsidRPr="00851B0F" w:rsidDel="003A1FD5" w:rsidRDefault="0075479C" w:rsidP="0075479C">
      <w:pPr>
        <w:pStyle w:val="BodyTextIndent"/>
        <w:spacing w:before="0"/>
        <w:ind w:firstLine="0"/>
        <w:rPr>
          <w:rFonts w:ascii="Times New Roman" w:hAnsi="Times New Roman"/>
          <w:szCs w:val="24"/>
        </w:rPr>
      </w:pPr>
      <w:r w:rsidRPr="00851B0F">
        <w:rPr>
          <w:rFonts w:ascii="Times New Roman" w:hAnsi="Times New Roman"/>
          <w:szCs w:val="24"/>
        </w:rPr>
        <w:t>The traditional CAPM estimate of C</w:t>
      </w:r>
      <w:r w:rsidRPr="00851B0F" w:rsidDel="003A1FD5">
        <w:rPr>
          <w:rFonts w:ascii="Times New Roman" w:hAnsi="Times New Roman"/>
          <w:szCs w:val="24"/>
        </w:rPr>
        <w:t>OE is calculated as:</w:t>
      </w:r>
    </w:p>
    <w:p w:rsidR="0075479C" w:rsidRPr="00851B0F" w:rsidDel="003A1FD5" w:rsidRDefault="0075479C" w:rsidP="0075479C">
      <w:pPr>
        <w:pStyle w:val="BodyTextIndent"/>
        <w:spacing w:before="0"/>
        <w:ind w:firstLine="720"/>
        <w:rPr>
          <w:rFonts w:ascii="Times New Roman" w:hAnsi="Times New Roman"/>
          <w:szCs w:val="24"/>
        </w:rPr>
      </w:pPr>
      <w:r w:rsidRPr="00851B0F">
        <w:rPr>
          <w:rFonts w:ascii="Times New Roman" w:hAnsi="Times New Roman"/>
          <w:szCs w:val="24"/>
        </w:rPr>
        <w:t>C</w:t>
      </w:r>
      <w:r w:rsidRPr="00851B0F" w:rsidDel="003A1FD5">
        <w:rPr>
          <w:rFonts w:ascii="Times New Roman" w:hAnsi="Times New Roman"/>
          <w:szCs w:val="24"/>
        </w:rPr>
        <w:t>OE = R</w:t>
      </w:r>
      <w:r w:rsidRPr="00851B0F" w:rsidDel="003A1FD5">
        <w:rPr>
          <w:rFonts w:ascii="Times New Roman" w:hAnsi="Times New Roman"/>
          <w:szCs w:val="24"/>
          <w:vertAlign w:val="subscript"/>
        </w:rPr>
        <w:t>f</w:t>
      </w:r>
      <w:r w:rsidRPr="00851B0F" w:rsidDel="003A1FD5">
        <w:rPr>
          <w:rFonts w:ascii="Times New Roman" w:hAnsi="Times New Roman"/>
          <w:szCs w:val="24"/>
        </w:rPr>
        <w:t xml:space="preserve"> + β[E(R</w:t>
      </w:r>
      <w:r w:rsidRPr="00851B0F" w:rsidDel="003A1FD5">
        <w:rPr>
          <w:rFonts w:ascii="Times New Roman" w:hAnsi="Times New Roman"/>
          <w:szCs w:val="24"/>
          <w:vertAlign w:val="subscript"/>
        </w:rPr>
        <w:t>m</w:t>
      </w:r>
      <w:r w:rsidRPr="00851B0F" w:rsidDel="003A1FD5">
        <w:rPr>
          <w:rFonts w:ascii="Times New Roman" w:hAnsi="Times New Roman"/>
          <w:szCs w:val="24"/>
        </w:rPr>
        <w:t>) – R</w:t>
      </w:r>
      <w:r w:rsidRPr="00851B0F" w:rsidDel="003A1FD5">
        <w:rPr>
          <w:rFonts w:ascii="Times New Roman" w:hAnsi="Times New Roman"/>
          <w:szCs w:val="24"/>
          <w:vertAlign w:val="subscript"/>
        </w:rPr>
        <w:t>f</w:t>
      </w:r>
      <w:r w:rsidRPr="00851B0F" w:rsidDel="003A1FD5">
        <w:rPr>
          <w:rFonts w:ascii="Times New Roman" w:hAnsi="Times New Roman"/>
          <w:szCs w:val="24"/>
        </w:rPr>
        <w:t>]</w:t>
      </w:r>
    </w:p>
    <w:p w:rsidR="0075479C" w:rsidRPr="00851B0F" w:rsidDel="003A1FD5" w:rsidRDefault="0075479C" w:rsidP="0075479C">
      <w:pPr>
        <w:pStyle w:val="BodyTextIndent"/>
        <w:spacing w:before="0"/>
        <w:ind w:firstLine="0"/>
        <w:rPr>
          <w:rFonts w:ascii="Times New Roman" w:hAnsi="Times New Roman"/>
          <w:szCs w:val="24"/>
        </w:rPr>
      </w:pPr>
      <w:r w:rsidRPr="00851B0F" w:rsidDel="003A1FD5">
        <w:rPr>
          <w:rFonts w:ascii="Times New Roman" w:hAnsi="Times New Roman"/>
          <w:szCs w:val="24"/>
        </w:rPr>
        <w:t xml:space="preserve">The </w:t>
      </w:r>
      <w:r w:rsidRPr="00851B0F">
        <w:rPr>
          <w:rFonts w:ascii="Times New Roman" w:hAnsi="Times New Roman"/>
          <w:szCs w:val="24"/>
        </w:rPr>
        <w:t xml:space="preserve">model’s </w:t>
      </w:r>
      <w:r w:rsidRPr="00851B0F" w:rsidDel="003A1FD5">
        <w:rPr>
          <w:rFonts w:ascii="Times New Roman" w:hAnsi="Times New Roman"/>
          <w:szCs w:val="24"/>
        </w:rPr>
        <w:t>three principal inputs</w:t>
      </w:r>
      <w:r w:rsidRPr="00851B0F">
        <w:rPr>
          <w:rFonts w:ascii="Times New Roman" w:hAnsi="Times New Roman"/>
          <w:szCs w:val="24"/>
        </w:rPr>
        <w:t xml:space="preserve"> are</w:t>
      </w:r>
      <w:r w:rsidRPr="00851B0F" w:rsidDel="003A1FD5">
        <w:rPr>
          <w:rFonts w:ascii="Times New Roman" w:hAnsi="Times New Roman"/>
          <w:szCs w:val="24"/>
        </w:rPr>
        <w:t>:</w:t>
      </w:r>
    </w:p>
    <w:p w:rsidR="0075479C" w:rsidRPr="00851B0F" w:rsidDel="003A1FD5" w:rsidRDefault="0075479C" w:rsidP="0075479C">
      <w:pPr>
        <w:pStyle w:val="BodyTextIndent"/>
        <w:spacing w:before="0"/>
        <w:ind w:left="1440"/>
        <w:rPr>
          <w:rFonts w:ascii="Times New Roman" w:hAnsi="Times New Roman"/>
          <w:szCs w:val="24"/>
        </w:rPr>
      </w:pPr>
      <w:r w:rsidRPr="00851B0F" w:rsidDel="003A1FD5">
        <w:rPr>
          <w:rFonts w:ascii="Times New Roman" w:hAnsi="Times New Roman"/>
          <w:szCs w:val="24"/>
        </w:rPr>
        <w:t>1)</w:t>
      </w:r>
      <w:r w:rsidRPr="00851B0F">
        <w:rPr>
          <w:rFonts w:ascii="Times New Roman" w:hAnsi="Times New Roman"/>
          <w:szCs w:val="24"/>
        </w:rPr>
        <w:tab/>
        <w:t>R</w:t>
      </w:r>
      <w:r w:rsidRPr="00851B0F">
        <w:rPr>
          <w:rFonts w:ascii="Times New Roman" w:hAnsi="Times New Roman"/>
          <w:szCs w:val="24"/>
          <w:vertAlign w:val="subscript"/>
        </w:rPr>
        <w:t>f</w:t>
      </w:r>
      <w:r w:rsidRPr="00851B0F">
        <w:rPr>
          <w:rFonts w:ascii="Times New Roman" w:hAnsi="Times New Roman"/>
          <w:szCs w:val="24"/>
        </w:rPr>
        <w:t xml:space="preserve"> (</w:t>
      </w:r>
      <w:r w:rsidRPr="00851B0F" w:rsidDel="003A1FD5">
        <w:rPr>
          <w:rFonts w:ascii="Times New Roman" w:hAnsi="Times New Roman"/>
          <w:szCs w:val="24"/>
        </w:rPr>
        <w:t>the risk-free interest rate</w:t>
      </w:r>
      <w:r w:rsidRPr="00851B0F">
        <w:rPr>
          <w:rFonts w:ascii="Times New Roman" w:hAnsi="Times New Roman"/>
          <w:szCs w:val="24"/>
        </w:rPr>
        <w:t>)</w:t>
      </w:r>
      <w:r w:rsidR="00CC0FFD">
        <w:rPr>
          <w:rFonts w:ascii="Times New Roman" w:hAnsi="Times New Roman"/>
          <w:szCs w:val="24"/>
        </w:rPr>
        <w:t>;</w:t>
      </w:r>
    </w:p>
    <w:p w:rsidR="0075479C" w:rsidRPr="00851B0F" w:rsidDel="003A1FD5" w:rsidRDefault="0075479C" w:rsidP="0075479C">
      <w:pPr>
        <w:pStyle w:val="BodyTextIndent"/>
        <w:spacing w:before="0" w:line="240" w:lineRule="auto"/>
        <w:ind w:left="1440"/>
        <w:jc w:val="left"/>
        <w:rPr>
          <w:rFonts w:ascii="Times New Roman" w:hAnsi="Times New Roman"/>
          <w:szCs w:val="24"/>
        </w:rPr>
      </w:pPr>
      <w:r w:rsidRPr="00851B0F" w:rsidDel="003A1FD5">
        <w:rPr>
          <w:rFonts w:ascii="Times New Roman" w:hAnsi="Times New Roman"/>
          <w:szCs w:val="24"/>
        </w:rPr>
        <w:t>2)</w:t>
      </w:r>
      <w:r w:rsidRPr="00851B0F">
        <w:rPr>
          <w:rFonts w:ascii="Times New Roman" w:hAnsi="Times New Roman"/>
          <w:szCs w:val="24"/>
        </w:rPr>
        <w:tab/>
      </w:r>
      <w:r w:rsidRPr="00851B0F" w:rsidDel="003A1FD5">
        <w:rPr>
          <w:rFonts w:ascii="Times New Roman" w:hAnsi="Times New Roman"/>
          <w:szCs w:val="24"/>
        </w:rPr>
        <w:t>E(R</w:t>
      </w:r>
      <w:r w:rsidRPr="00851B0F" w:rsidDel="003A1FD5">
        <w:rPr>
          <w:rFonts w:ascii="Times New Roman" w:hAnsi="Times New Roman"/>
          <w:szCs w:val="24"/>
          <w:vertAlign w:val="subscript"/>
        </w:rPr>
        <w:t>m</w:t>
      </w:r>
      <w:r w:rsidRPr="00851B0F" w:rsidDel="003A1FD5">
        <w:rPr>
          <w:rFonts w:ascii="Times New Roman" w:hAnsi="Times New Roman"/>
          <w:szCs w:val="24"/>
        </w:rPr>
        <w:t>) – R</w:t>
      </w:r>
      <w:r w:rsidRPr="00851B0F" w:rsidDel="003A1FD5">
        <w:rPr>
          <w:rFonts w:ascii="Times New Roman" w:hAnsi="Times New Roman"/>
          <w:szCs w:val="24"/>
          <w:vertAlign w:val="subscript"/>
        </w:rPr>
        <w:t>f</w:t>
      </w:r>
      <w:r w:rsidRPr="00851B0F" w:rsidDel="003A1FD5">
        <w:rPr>
          <w:rFonts w:ascii="Times New Roman" w:hAnsi="Times New Roman"/>
          <w:szCs w:val="24"/>
        </w:rPr>
        <w:t xml:space="preserve"> </w:t>
      </w:r>
      <w:r w:rsidRPr="00851B0F">
        <w:rPr>
          <w:rFonts w:ascii="Times New Roman" w:hAnsi="Times New Roman"/>
          <w:szCs w:val="24"/>
        </w:rPr>
        <w:t>(</w:t>
      </w:r>
      <w:r w:rsidRPr="00851B0F" w:rsidDel="003A1FD5">
        <w:rPr>
          <w:rFonts w:ascii="Times New Roman" w:hAnsi="Times New Roman"/>
          <w:szCs w:val="24"/>
        </w:rPr>
        <w:t>the market risk premium</w:t>
      </w:r>
      <w:r w:rsidRPr="00851B0F">
        <w:rPr>
          <w:rFonts w:ascii="Times New Roman" w:hAnsi="Times New Roman"/>
          <w:szCs w:val="24"/>
        </w:rPr>
        <w:t>, which is the expected return from the overall market minus</w:t>
      </w:r>
      <w:r w:rsidRPr="00851B0F" w:rsidDel="003A1FD5">
        <w:rPr>
          <w:rFonts w:ascii="Times New Roman" w:hAnsi="Times New Roman"/>
          <w:szCs w:val="24"/>
        </w:rPr>
        <w:t xml:space="preserve"> the risk-free rate; and</w:t>
      </w:r>
    </w:p>
    <w:p w:rsidR="0075479C" w:rsidRPr="00851B0F" w:rsidDel="003A1FD5" w:rsidRDefault="0075479C" w:rsidP="0075479C">
      <w:pPr>
        <w:pStyle w:val="BodyTextIndent"/>
        <w:ind w:left="1440"/>
        <w:rPr>
          <w:rFonts w:ascii="Times New Roman" w:hAnsi="Times New Roman"/>
          <w:szCs w:val="24"/>
        </w:rPr>
      </w:pPr>
      <w:r w:rsidRPr="00851B0F" w:rsidDel="003A1FD5">
        <w:rPr>
          <w:rFonts w:ascii="Times New Roman" w:hAnsi="Times New Roman"/>
          <w:szCs w:val="24"/>
        </w:rPr>
        <w:t>3)</w:t>
      </w:r>
      <w:r w:rsidRPr="00851B0F">
        <w:rPr>
          <w:rFonts w:ascii="Times New Roman" w:hAnsi="Times New Roman"/>
          <w:szCs w:val="24"/>
        </w:rPr>
        <w:tab/>
        <w:t>β or beta (</w:t>
      </w:r>
      <w:r w:rsidRPr="00851B0F" w:rsidDel="003A1FD5">
        <w:rPr>
          <w:rFonts w:ascii="Times New Roman" w:hAnsi="Times New Roman"/>
          <w:szCs w:val="24"/>
        </w:rPr>
        <w:t>a measure of market-related risk</w:t>
      </w:r>
      <w:r w:rsidRPr="00851B0F">
        <w:rPr>
          <w:rFonts w:ascii="Times New Roman" w:hAnsi="Times New Roman"/>
          <w:szCs w:val="24"/>
        </w:rPr>
        <w:t>)</w:t>
      </w:r>
      <w:r w:rsidRPr="00851B0F" w:rsidDel="003A1FD5">
        <w:rPr>
          <w:rFonts w:ascii="Times New Roman" w:hAnsi="Times New Roman"/>
          <w:szCs w:val="24"/>
        </w:rPr>
        <w:t>.</w:t>
      </w:r>
    </w:p>
    <w:p w:rsidR="0075479C" w:rsidRPr="00851B0F" w:rsidRDefault="0075479C" w:rsidP="0075479C">
      <w:pPr>
        <w:pStyle w:val="BodyTextIndent"/>
        <w:spacing w:before="0"/>
        <w:ind w:firstLine="0"/>
        <w:jc w:val="left"/>
        <w:rPr>
          <w:rFonts w:ascii="Times New Roman" w:hAnsi="Times New Roman"/>
          <w:szCs w:val="24"/>
        </w:rPr>
      </w:pPr>
      <w:r w:rsidRPr="00851B0F">
        <w:rPr>
          <w:rFonts w:ascii="Times New Roman" w:hAnsi="Times New Roman"/>
          <w:szCs w:val="24"/>
        </w:rPr>
        <w:t>U</w:t>
      </w:r>
      <w:r w:rsidRPr="00851B0F" w:rsidDel="003A1FD5">
        <w:rPr>
          <w:rFonts w:ascii="Times New Roman" w:hAnsi="Times New Roman"/>
          <w:szCs w:val="24"/>
        </w:rPr>
        <w:t>nder present market conditions, potentially all three of the CAPM</w:t>
      </w:r>
      <w:r w:rsidRPr="00851B0F">
        <w:rPr>
          <w:rFonts w:ascii="Times New Roman" w:hAnsi="Times New Roman"/>
          <w:szCs w:val="24"/>
        </w:rPr>
        <w:t>’</w:t>
      </w:r>
      <w:r w:rsidRPr="00851B0F" w:rsidDel="003A1FD5">
        <w:rPr>
          <w:rFonts w:ascii="Times New Roman" w:hAnsi="Times New Roman"/>
          <w:szCs w:val="24"/>
        </w:rPr>
        <w:t>s principal inputs tend to understate ROE.  The risk-free rate</w:t>
      </w:r>
      <w:r w:rsidRPr="00851B0F">
        <w:rPr>
          <w:rFonts w:ascii="Times New Roman" w:hAnsi="Times New Roman"/>
          <w:szCs w:val="24"/>
        </w:rPr>
        <w:t xml:space="preserve"> (</w:t>
      </w:r>
      <w:r w:rsidRPr="00851B0F" w:rsidDel="003A1FD5">
        <w:rPr>
          <w:rFonts w:ascii="Times New Roman" w:hAnsi="Times New Roman"/>
          <w:szCs w:val="24"/>
        </w:rPr>
        <w:t>R</w:t>
      </w:r>
      <w:r w:rsidRPr="00851B0F" w:rsidDel="003A1FD5">
        <w:rPr>
          <w:rFonts w:ascii="Times New Roman" w:hAnsi="Times New Roman"/>
          <w:szCs w:val="24"/>
          <w:vertAlign w:val="subscript"/>
        </w:rPr>
        <w:t>f</w:t>
      </w:r>
      <w:r w:rsidRPr="00851B0F">
        <w:rPr>
          <w:rFonts w:ascii="Times New Roman" w:hAnsi="Times New Roman"/>
          <w:szCs w:val="24"/>
        </w:rPr>
        <w:t>)</w:t>
      </w:r>
      <w:r w:rsidRPr="00851B0F" w:rsidDel="003A1FD5">
        <w:rPr>
          <w:rFonts w:ascii="Times New Roman" w:hAnsi="Times New Roman"/>
          <w:szCs w:val="24"/>
        </w:rPr>
        <w:t xml:space="preserve"> </w:t>
      </w:r>
      <w:r w:rsidRPr="00851B0F">
        <w:rPr>
          <w:rFonts w:ascii="Times New Roman" w:hAnsi="Times New Roman"/>
          <w:szCs w:val="24"/>
        </w:rPr>
        <w:t xml:space="preserve">is </w:t>
      </w:r>
      <w:r w:rsidRPr="00851B0F" w:rsidDel="003A1FD5">
        <w:rPr>
          <w:rFonts w:ascii="Times New Roman" w:hAnsi="Times New Roman"/>
          <w:szCs w:val="24"/>
        </w:rPr>
        <w:t>understated because the U.S. Treasury rates used for R</w:t>
      </w:r>
      <w:r w:rsidRPr="00851B0F" w:rsidDel="003A1FD5">
        <w:rPr>
          <w:rFonts w:ascii="Times New Roman" w:hAnsi="Times New Roman"/>
          <w:szCs w:val="24"/>
          <w:vertAlign w:val="subscript"/>
        </w:rPr>
        <w:t>f</w:t>
      </w:r>
      <w:r w:rsidRPr="00851B0F" w:rsidDel="003A1FD5">
        <w:rPr>
          <w:rFonts w:ascii="Times New Roman" w:hAnsi="Times New Roman"/>
          <w:szCs w:val="24"/>
        </w:rPr>
        <w:t xml:space="preserve"> are artificially low due to governmental credit market policies and investors</w:t>
      </w:r>
      <w:r w:rsidRPr="00851B0F">
        <w:rPr>
          <w:rFonts w:ascii="Times New Roman" w:hAnsi="Times New Roman"/>
          <w:szCs w:val="24"/>
        </w:rPr>
        <w:t>’ increased risk aversion</w:t>
      </w:r>
      <w:r w:rsidRPr="00851B0F" w:rsidDel="003A1FD5">
        <w:rPr>
          <w:rFonts w:ascii="Times New Roman" w:hAnsi="Times New Roman"/>
          <w:szCs w:val="24"/>
        </w:rPr>
        <w:t>.  The second input, the expected market risk premium [E(R</w:t>
      </w:r>
      <w:r w:rsidRPr="00851B0F" w:rsidDel="003A1FD5">
        <w:rPr>
          <w:rFonts w:ascii="Times New Roman" w:hAnsi="Times New Roman"/>
          <w:szCs w:val="24"/>
          <w:vertAlign w:val="subscript"/>
        </w:rPr>
        <w:t>m</w:t>
      </w:r>
      <w:r w:rsidRPr="00851B0F" w:rsidDel="003A1FD5">
        <w:rPr>
          <w:rFonts w:ascii="Times New Roman" w:hAnsi="Times New Roman"/>
          <w:szCs w:val="24"/>
        </w:rPr>
        <w:t>) – R</w:t>
      </w:r>
      <w:r w:rsidRPr="00851B0F" w:rsidDel="003A1FD5">
        <w:rPr>
          <w:rFonts w:ascii="Times New Roman" w:hAnsi="Times New Roman"/>
          <w:szCs w:val="24"/>
          <w:vertAlign w:val="subscript"/>
        </w:rPr>
        <w:t>f</w:t>
      </w:r>
      <w:r w:rsidRPr="00851B0F" w:rsidDel="003A1FD5">
        <w:rPr>
          <w:rFonts w:ascii="Times New Roman" w:hAnsi="Times New Roman"/>
          <w:szCs w:val="24"/>
        </w:rPr>
        <w:t>]</w:t>
      </w:r>
      <w:r w:rsidRPr="00851B0F">
        <w:rPr>
          <w:rFonts w:ascii="Times New Roman" w:hAnsi="Times New Roman"/>
          <w:szCs w:val="24"/>
        </w:rPr>
        <w:t>, when based on historical data,</w:t>
      </w:r>
      <w:r w:rsidRPr="00851B0F" w:rsidDel="003A1FD5">
        <w:rPr>
          <w:rFonts w:ascii="Times New Roman" w:hAnsi="Times New Roman"/>
          <w:szCs w:val="24"/>
        </w:rPr>
        <w:t xml:space="preserve"> </w:t>
      </w:r>
      <w:r w:rsidRPr="00851B0F">
        <w:rPr>
          <w:rFonts w:ascii="Times New Roman" w:hAnsi="Times New Roman"/>
          <w:szCs w:val="24"/>
        </w:rPr>
        <w:t>is</w:t>
      </w:r>
      <w:r w:rsidRPr="00851B0F" w:rsidDel="003A1FD5">
        <w:rPr>
          <w:rFonts w:ascii="Times New Roman" w:hAnsi="Times New Roman"/>
          <w:szCs w:val="24"/>
        </w:rPr>
        <w:t xml:space="preserve"> also understated</w:t>
      </w:r>
      <w:r w:rsidRPr="00851B0F">
        <w:rPr>
          <w:rFonts w:ascii="Times New Roman" w:hAnsi="Times New Roman"/>
          <w:szCs w:val="24"/>
        </w:rPr>
        <w:t xml:space="preserve"> because such data cannot reflect the height</w:t>
      </w:r>
      <w:r w:rsidR="00771D74">
        <w:rPr>
          <w:rFonts w:ascii="Times New Roman" w:hAnsi="Times New Roman"/>
          <w:szCs w:val="24"/>
        </w:rPr>
        <w:t>en</w:t>
      </w:r>
      <w:r w:rsidRPr="00851B0F">
        <w:rPr>
          <w:rFonts w:ascii="Times New Roman" w:hAnsi="Times New Roman"/>
          <w:szCs w:val="24"/>
        </w:rPr>
        <w:t xml:space="preserve">ed </w:t>
      </w:r>
      <w:r w:rsidR="00771D74">
        <w:rPr>
          <w:rFonts w:ascii="Times New Roman" w:hAnsi="Times New Roman"/>
          <w:szCs w:val="24"/>
        </w:rPr>
        <w:t xml:space="preserve">investor risk aversion that </w:t>
      </w:r>
      <w:r w:rsidRPr="00851B0F">
        <w:rPr>
          <w:rFonts w:ascii="Times New Roman" w:hAnsi="Times New Roman"/>
          <w:szCs w:val="24"/>
        </w:rPr>
        <w:t>resulted from the financial crisis or the current exceptionally low risk-free rate.</w:t>
      </w:r>
      <w:r w:rsidRPr="00851B0F" w:rsidDel="003A1FD5">
        <w:rPr>
          <w:rFonts w:ascii="Times New Roman" w:hAnsi="Times New Roman"/>
          <w:szCs w:val="24"/>
        </w:rPr>
        <w:t xml:space="preserve">  Finally, utility beta coefficients have </w:t>
      </w:r>
      <w:r w:rsidRPr="00851B0F">
        <w:rPr>
          <w:rFonts w:ascii="Times New Roman" w:hAnsi="Times New Roman"/>
          <w:szCs w:val="24"/>
        </w:rPr>
        <w:t xml:space="preserve">fluctuated in recent years because utility stocks first </w:t>
      </w:r>
      <w:r w:rsidRPr="00851B0F" w:rsidDel="003A1FD5">
        <w:rPr>
          <w:rFonts w:ascii="Times New Roman" w:hAnsi="Times New Roman"/>
          <w:szCs w:val="24"/>
        </w:rPr>
        <w:t>underperformed the broader market index during the market recovery</w:t>
      </w:r>
      <w:r w:rsidRPr="00851B0F">
        <w:rPr>
          <w:rFonts w:ascii="Times New Roman" w:hAnsi="Times New Roman"/>
          <w:szCs w:val="24"/>
        </w:rPr>
        <w:t xml:space="preserve"> and have recently outperformed the overall market</w:t>
      </w:r>
      <w:r w:rsidRPr="00851B0F" w:rsidDel="003A1FD5">
        <w:rPr>
          <w:rFonts w:ascii="Times New Roman" w:hAnsi="Times New Roman"/>
          <w:szCs w:val="24"/>
        </w:rPr>
        <w:t xml:space="preserve">.  All these factors </w:t>
      </w:r>
      <w:r w:rsidRPr="00851B0F">
        <w:rPr>
          <w:rFonts w:ascii="Times New Roman" w:hAnsi="Times New Roman"/>
          <w:szCs w:val="24"/>
        </w:rPr>
        <w:t>cause the CAPM to produce unreliable COE estimates.</w:t>
      </w:r>
    </w:p>
    <w:p w:rsidR="0075479C" w:rsidRPr="00851B0F" w:rsidRDefault="0075479C" w:rsidP="0075479C">
      <w:pPr>
        <w:pStyle w:val="BodyTextIndent"/>
        <w:spacing w:before="0"/>
        <w:jc w:val="left"/>
        <w:rPr>
          <w:rFonts w:ascii="Times New Roman" w:hAnsi="Times New Roman"/>
          <w:b/>
          <w:szCs w:val="24"/>
        </w:rPr>
      </w:pPr>
      <w:r w:rsidRPr="00851B0F">
        <w:rPr>
          <w:rFonts w:ascii="Times New Roman" w:hAnsi="Times New Roman"/>
          <w:b/>
          <w:szCs w:val="24"/>
        </w:rPr>
        <w:t>Q.</w:t>
      </w:r>
      <w:r w:rsidRPr="00851B0F">
        <w:rPr>
          <w:rFonts w:ascii="Times New Roman" w:hAnsi="Times New Roman"/>
          <w:b/>
          <w:szCs w:val="24"/>
        </w:rPr>
        <w:tab/>
        <w:t>Have you prepared a CAPM analysis that illustrates these points?</w:t>
      </w:r>
    </w:p>
    <w:p w:rsidR="00102DF2" w:rsidRDefault="0075479C" w:rsidP="0075479C">
      <w:pPr>
        <w:pStyle w:val="BodyTextIndent"/>
        <w:spacing w:before="0"/>
        <w:jc w:val="left"/>
        <w:rPr>
          <w:rFonts w:ascii="Times New Roman" w:hAnsi="Times New Roman"/>
          <w:szCs w:val="24"/>
        </w:rPr>
      </w:pPr>
      <w:r w:rsidRPr="00851B0F">
        <w:rPr>
          <w:rFonts w:ascii="Times New Roman" w:hAnsi="Times New Roman"/>
          <w:szCs w:val="24"/>
        </w:rPr>
        <w:t>A.</w:t>
      </w:r>
      <w:r w:rsidRPr="00851B0F">
        <w:rPr>
          <w:rFonts w:ascii="Times New Roman" w:hAnsi="Times New Roman"/>
          <w:szCs w:val="24"/>
        </w:rPr>
        <w:tab/>
        <w:t>Yes.  That analysis is contained in Exhibit No.___(SCH-9).  In my CAPM analysis, the risk-free rate (R</w:t>
      </w:r>
      <w:r w:rsidRPr="00851B0F">
        <w:rPr>
          <w:rFonts w:ascii="Times New Roman" w:hAnsi="Times New Roman"/>
          <w:szCs w:val="24"/>
          <w:vertAlign w:val="subscript"/>
        </w:rPr>
        <w:t>f</w:t>
      </w:r>
      <w:r w:rsidRPr="00851B0F">
        <w:rPr>
          <w:rFonts w:ascii="Times New Roman" w:hAnsi="Times New Roman"/>
          <w:szCs w:val="24"/>
        </w:rPr>
        <w:t xml:space="preserve">) is based on current and projected 30-year Treasury </w:t>
      </w:r>
    </w:p>
    <w:p w:rsidR="0075479C" w:rsidRPr="00851B0F" w:rsidDel="003A1FD5" w:rsidRDefault="00102DF2" w:rsidP="0075479C">
      <w:pPr>
        <w:pStyle w:val="BodyTextIndent"/>
        <w:spacing w:before="0"/>
        <w:jc w:val="left"/>
        <w:rPr>
          <w:rFonts w:ascii="Times New Roman" w:hAnsi="Times New Roman"/>
          <w:szCs w:val="24"/>
        </w:rPr>
      </w:pPr>
      <w:r>
        <w:rPr>
          <w:rFonts w:ascii="Times New Roman" w:hAnsi="Times New Roman"/>
          <w:szCs w:val="24"/>
        </w:rPr>
        <w:tab/>
      </w:r>
      <w:r w:rsidR="0075479C" w:rsidRPr="00851B0F">
        <w:rPr>
          <w:rFonts w:ascii="Times New Roman" w:hAnsi="Times New Roman"/>
          <w:szCs w:val="24"/>
        </w:rPr>
        <w:t>yields (2.8</w:t>
      </w:r>
      <w:r w:rsidR="006D0EF3" w:rsidRPr="00851B0F">
        <w:rPr>
          <w:rFonts w:ascii="Times New Roman" w:hAnsi="Times New Roman"/>
          <w:szCs w:val="24"/>
        </w:rPr>
        <w:t>6</w:t>
      </w:r>
      <w:r w:rsidR="00771D74">
        <w:rPr>
          <w:rFonts w:ascii="Times New Roman" w:hAnsi="Times New Roman"/>
          <w:szCs w:val="24"/>
        </w:rPr>
        <w:t>%–</w:t>
      </w:r>
      <w:r w:rsidR="0075479C" w:rsidRPr="00851B0F">
        <w:rPr>
          <w:rFonts w:ascii="Times New Roman" w:hAnsi="Times New Roman"/>
          <w:szCs w:val="24"/>
        </w:rPr>
        <w:t>3.39%), the market risk premium (Rm – Rf) is Ibbotson’s long-term</w:t>
      </w:r>
      <w:r w:rsidR="006D0EF3" w:rsidRPr="00851B0F">
        <w:rPr>
          <w:rFonts w:ascii="Times New Roman" w:hAnsi="Times New Roman"/>
          <w:szCs w:val="24"/>
        </w:rPr>
        <w:t>,</w:t>
      </w:r>
      <w:r w:rsidR="0075479C" w:rsidRPr="00851B0F">
        <w:rPr>
          <w:rFonts w:ascii="Times New Roman" w:hAnsi="Times New Roman"/>
          <w:szCs w:val="24"/>
        </w:rPr>
        <w:t xml:space="preserve"> large company (S&amp;P 500) risk premium (6.7%), and the betas are from Value Line for the companies in my comparable group (average </w:t>
      </w:r>
      <w:r w:rsidR="003D39B3" w:rsidRPr="00851B0F">
        <w:rPr>
          <w:rFonts w:ascii="Times New Roman" w:hAnsi="Times New Roman"/>
          <w:szCs w:val="24"/>
        </w:rPr>
        <w:t>beta 0.73).  From this analysis</w:t>
      </w:r>
      <w:r w:rsidR="0075479C" w:rsidRPr="00851B0F">
        <w:rPr>
          <w:rFonts w:ascii="Times New Roman" w:hAnsi="Times New Roman"/>
          <w:szCs w:val="24"/>
        </w:rPr>
        <w:t xml:space="preserve"> </w:t>
      </w:r>
      <w:r w:rsidR="003D39B3" w:rsidRPr="00851B0F">
        <w:rPr>
          <w:rFonts w:ascii="Times New Roman" w:hAnsi="Times New Roman"/>
          <w:szCs w:val="24"/>
        </w:rPr>
        <w:t xml:space="preserve">based on current Treasury bond yields, </w:t>
      </w:r>
      <w:r w:rsidR="0075479C" w:rsidRPr="00851B0F">
        <w:rPr>
          <w:rFonts w:ascii="Times New Roman" w:hAnsi="Times New Roman"/>
          <w:szCs w:val="24"/>
        </w:rPr>
        <w:t>the CAPM indicates a COE range of 7.</w:t>
      </w:r>
      <w:r w:rsidR="006D0EF3" w:rsidRPr="00851B0F">
        <w:rPr>
          <w:rFonts w:ascii="Times New Roman" w:hAnsi="Times New Roman"/>
          <w:szCs w:val="24"/>
        </w:rPr>
        <w:t>55</w:t>
      </w:r>
      <w:r w:rsidR="0075479C" w:rsidRPr="00851B0F">
        <w:rPr>
          <w:rFonts w:ascii="Times New Roman" w:hAnsi="Times New Roman"/>
          <w:szCs w:val="24"/>
        </w:rPr>
        <w:t xml:space="preserve"> percent to 7.7</w:t>
      </w:r>
      <w:r w:rsidR="006D0EF3" w:rsidRPr="00851B0F">
        <w:rPr>
          <w:rFonts w:ascii="Times New Roman" w:hAnsi="Times New Roman"/>
          <w:szCs w:val="24"/>
        </w:rPr>
        <w:t>2</w:t>
      </w:r>
      <w:r w:rsidR="0075479C" w:rsidRPr="00851B0F">
        <w:rPr>
          <w:rFonts w:ascii="Times New Roman" w:hAnsi="Times New Roman"/>
          <w:szCs w:val="24"/>
        </w:rPr>
        <w:t xml:space="preserve"> percent and</w:t>
      </w:r>
      <w:r w:rsidR="003D39B3" w:rsidRPr="00851B0F">
        <w:rPr>
          <w:rFonts w:ascii="Times New Roman" w:hAnsi="Times New Roman"/>
          <w:szCs w:val="24"/>
        </w:rPr>
        <w:t>, based on projected Treasury bond yields,</w:t>
      </w:r>
      <w:r w:rsidR="0075479C" w:rsidRPr="00851B0F">
        <w:rPr>
          <w:rFonts w:ascii="Times New Roman" w:hAnsi="Times New Roman"/>
          <w:szCs w:val="24"/>
        </w:rPr>
        <w:t xml:space="preserve"> 8.</w:t>
      </w:r>
      <w:r w:rsidR="006D0EF3" w:rsidRPr="00851B0F">
        <w:rPr>
          <w:rFonts w:ascii="Times New Roman" w:hAnsi="Times New Roman"/>
          <w:szCs w:val="24"/>
        </w:rPr>
        <w:t>08</w:t>
      </w:r>
      <w:r w:rsidR="0075479C" w:rsidRPr="00851B0F">
        <w:rPr>
          <w:rFonts w:ascii="Times New Roman" w:hAnsi="Times New Roman"/>
          <w:szCs w:val="24"/>
        </w:rPr>
        <w:t xml:space="preserve"> percent to 8.</w:t>
      </w:r>
      <w:r w:rsidR="006D0EF3" w:rsidRPr="00851B0F">
        <w:rPr>
          <w:rFonts w:ascii="Times New Roman" w:hAnsi="Times New Roman"/>
          <w:szCs w:val="24"/>
        </w:rPr>
        <w:t>25</w:t>
      </w:r>
      <w:r w:rsidR="0075479C" w:rsidRPr="00851B0F">
        <w:rPr>
          <w:rFonts w:ascii="Times New Roman" w:hAnsi="Times New Roman"/>
          <w:szCs w:val="24"/>
        </w:rPr>
        <w:t xml:space="preserve"> percent.  These results are generally 200 to 300 basis points below the average rates of return being allowed by state regulatory commissions for integrated electric utilities like PacifiCorp (see Table 3 above).  The CAPM estimates of COE are, therefore, below any sensible test of reasonableness and should not be included in the determination of the Company’s allowed ROE.</w:t>
      </w:r>
    </w:p>
    <w:p w:rsidR="00B81099" w:rsidRPr="00851B0F" w:rsidRDefault="0037063A" w:rsidP="005D089C">
      <w:pPr>
        <w:pStyle w:val="BodyTextIndent"/>
        <w:spacing w:before="0"/>
        <w:jc w:val="left"/>
        <w:rPr>
          <w:rFonts w:ascii="Times New Roman" w:hAnsi="Times New Roman"/>
          <w:b/>
        </w:rPr>
      </w:pPr>
      <w:r w:rsidRPr="00851B0F">
        <w:rPr>
          <w:rFonts w:ascii="Times New Roman" w:hAnsi="Times New Roman"/>
          <w:b/>
        </w:rPr>
        <w:t>Q.</w:t>
      </w:r>
      <w:r w:rsidRPr="00851B0F">
        <w:rPr>
          <w:rFonts w:ascii="Times New Roman" w:hAnsi="Times New Roman"/>
          <w:b/>
        </w:rPr>
        <w:tab/>
        <w:t>Please summarize the results of your COE analysis.</w:t>
      </w:r>
    </w:p>
    <w:p w:rsidR="00B81099" w:rsidRPr="00851B0F" w:rsidRDefault="0037063A" w:rsidP="005D089C">
      <w:pPr>
        <w:jc w:val="left"/>
        <w:rPr>
          <w:rFonts w:ascii="Times New Roman" w:hAnsi="Times New Roman"/>
        </w:rPr>
      </w:pPr>
      <w:r w:rsidRPr="00851B0F">
        <w:rPr>
          <w:rFonts w:ascii="Times New Roman" w:hAnsi="Times New Roman"/>
        </w:rPr>
        <w:t>A.</w:t>
      </w:r>
      <w:r w:rsidRPr="00851B0F">
        <w:rPr>
          <w:rFonts w:ascii="Times New Roman" w:hAnsi="Times New Roman"/>
        </w:rPr>
        <w:tab/>
        <w:t>Table 5 below summarizes my results:</w:t>
      </w:r>
    </w:p>
    <w:p w:rsidR="00B81099" w:rsidRPr="00851B0F" w:rsidRDefault="0037063A" w:rsidP="00E03B17">
      <w:pPr>
        <w:pStyle w:val="Heading6"/>
        <w:keepLines/>
        <w:suppressLineNumbers/>
        <w:tabs>
          <w:tab w:val="decimal" w:pos="4680"/>
          <w:tab w:val="right" w:pos="7902"/>
        </w:tabs>
        <w:spacing w:line="240" w:lineRule="auto"/>
        <w:rPr>
          <w:b/>
          <w:u w:val="none"/>
        </w:rPr>
      </w:pPr>
      <w:r w:rsidRPr="00851B0F">
        <w:rPr>
          <w:u w:val="none"/>
        </w:rPr>
        <w:tab/>
      </w:r>
      <w:r w:rsidRPr="00851B0F">
        <w:rPr>
          <w:b/>
          <w:u w:val="none"/>
        </w:rPr>
        <w:t>Table 5</w:t>
      </w:r>
    </w:p>
    <w:p w:rsidR="00B81099" w:rsidRPr="00851B0F" w:rsidRDefault="0037063A" w:rsidP="0061511C">
      <w:pPr>
        <w:pStyle w:val="Heading6"/>
        <w:keepLines/>
        <w:suppressLineNumbers/>
        <w:spacing w:line="240" w:lineRule="auto"/>
        <w:ind w:hanging="720"/>
        <w:jc w:val="center"/>
        <w:rPr>
          <w:b/>
          <w:u w:val="none"/>
        </w:rPr>
      </w:pPr>
      <w:r w:rsidRPr="00851B0F">
        <w:rPr>
          <w:b/>
          <w:u w:val="none"/>
        </w:rPr>
        <w:t>Summary of Cost of Equity Estimates</w:t>
      </w:r>
    </w:p>
    <w:p w:rsidR="00B81099" w:rsidRPr="00851B0F" w:rsidRDefault="0037063A" w:rsidP="00E03B17">
      <w:pPr>
        <w:keepNext/>
        <w:keepLines/>
        <w:suppressLineNumbers/>
        <w:spacing w:line="60" w:lineRule="exact"/>
        <w:rPr>
          <w:u w:val="single"/>
        </w:rPr>
      </w:pPr>
      <w:r w:rsidRPr="00851B0F">
        <w:tab/>
      </w:r>
      <w:r w:rsidRPr="00851B0F">
        <w:rPr>
          <w:u w:val="single"/>
        </w:rPr>
        <w:tab/>
      </w:r>
      <w:r w:rsidRPr="00851B0F">
        <w:rPr>
          <w:u w:val="single"/>
        </w:rPr>
        <w:tab/>
      </w:r>
      <w:r w:rsidRPr="00851B0F">
        <w:rPr>
          <w:u w:val="single"/>
        </w:rPr>
        <w:tab/>
      </w:r>
      <w:r w:rsidRPr="00851B0F">
        <w:rPr>
          <w:u w:val="single"/>
        </w:rPr>
        <w:tab/>
      </w:r>
      <w:r w:rsidRPr="00851B0F">
        <w:rPr>
          <w:u w:val="single"/>
        </w:rPr>
        <w:tab/>
      </w:r>
      <w:r w:rsidRPr="00851B0F">
        <w:rPr>
          <w:u w:val="single"/>
        </w:rPr>
        <w:tab/>
      </w:r>
      <w:r w:rsidRPr="00851B0F">
        <w:rPr>
          <w:u w:val="single"/>
        </w:rPr>
        <w:tab/>
      </w:r>
      <w:r w:rsidRPr="00851B0F">
        <w:rPr>
          <w:u w:val="single"/>
        </w:rPr>
        <w:tab/>
      </w:r>
      <w:r w:rsidRPr="00851B0F">
        <w:rPr>
          <w:u w:val="single"/>
        </w:rPr>
        <w:tab/>
      </w:r>
      <w:r w:rsidRPr="00851B0F">
        <w:rPr>
          <w:u w:val="single"/>
        </w:rPr>
        <w:tab/>
      </w:r>
    </w:p>
    <w:p w:rsidR="00B81099" w:rsidRPr="00851B0F" w:rsidRDefault="0037063A" w:rsidP="00E03B17">
      <w:pPr>
        <w:keepNext/>
        <w:keepLines/>
        <w:suppressLineNumbers/>
        <w:tabs>
          <w:tab w:val="right" w:pos="7920"/>
        </w:tabs>
        <w:spacing w:line="240" w:lineRule="auto"/>
        <w:rPr>
          <w:rFonts w:ascii="Times New Roman" w:hAnsi="Times New Roman"/>
          <w:u w:val="single"/>
        </w:rPr>
      </w:pPr>
      <w:r w:rsidRPr="00851B0F">
        <w:rPr>
          <w:rFonts w:ascii="Times New Roman" w:hAnsi="Times New Roman"/>
        </w:rPr>
        <w:tab/>
      </w:r>
      <w:r w:rsidRPr="00851B0F">
        <w:rPr>
          <w:rFonts w:ascii="Times New Roman" w:hAnsi="Times New Roman"/>
          <w:u w:val="single"/>
        </w:rPr>
        <w:t>DCF Analysis</w:t>
      </w:r>
      <w:r w:rsidRPr="00851B0F">
        <w:rPr>
          <w:rFonts w:ascii="Times New Roman" w:hAnsi="Times New Roman"/>
        </w:rPr>
        <w:tab/>
      </w:r>
      <w:r w:rsidRPr="00851B0F">
        <w:rPr>
          <w:rFonts w:ascii="Times New Roman" w:hAnsi="Times New Roman"/>
          <w:u w:val="single"/>
        </w:rPr>
        <w:t>Indicated Cost</w:t>
      </w:r>
    </w:p>
    <w:p w:rsidR="00B81099" w:rsidRPr="00851B0F" w:rsidRDefault="0037063A" w:rsidP="003E64BD">
      <w:pPr>
        <w:keepNext/>
        <w:keepLines/>
        <w:suppressLineNumbers/>
        <w:tabs>
          <w:tab w:val="right" w:pos="7920"/>
        </w:tabs>
        <w:spacing w:line="240" w:lineRule="auto"/>
        <w:rPr>
          <w:rFonts w:ascii="Times New Roman" w:hAnsi="Times New Roman"/>
        </w:rPr>
      </w:pPr>
      <w:r w:rsidRPr="00851B0F">
        <w:rPr>
          <w:rFonts w:ascii="Times New Roman" w:hAnsi="Times New Roman"/>
        </w:rPr>
        <w:tab/>
        <w:t>Consta</w:t>
      </w:r>
      <w:r w:rsidR="00C44BDD" w:rsidRPr="00851B0F">
        <w:rPr>
          <w:rFonts w:ascii="Times New Roman" w:hAnsi="Times New Roman"/>
        </w:rPr>
        <w:t>nt Growth (Analysts</w:t>
      </w:r>
      <w:r w:rsidR="00823A67" w:rsidRPr="00851B0F">
        <w:rPr>
          <w:rFonts w:ascii="Times New Roman" w:hAnsi="Times New Roman"/>
        </w:rPr>
        <w:t>’</w:t>
      </w:r>
      <w:r w:rsidR="00C44BDD" w:rsidRPr="00851B0F">
        <w:rPr>
          <w:rFonts w:ascii="Times New Roman" w:hAnsi="Times New Roman"/>
        </w:rPr>
        <w:t xml:space="preserve"> Growth)</w:t>
      </w:r>
      <w:r w:rsidR="00C44BDD" w:rsidRPr="00851B0F">
        <w:rPr>
          <w:rFonts w:ascii="Times New Roman" w:hAnsi="Times New Roman"/>
        </w:rPr>
        <w:tab/>
      </w:r>
      <w:r w:rsidR="006747A3" w:rsidRPr="00851B0F">
        <w:rPr>
          <w:rFonts w:ascii="Times New Roman" w:hAnsi="Times New Roman"/>
        </w:rPr>
        <w:t>9</w:t>
      </w:r>
      <w:r w:rsidRPr="00851B0F">
        <w:rPr>
          <w:rFonts w:ascii="Times New Roman" w:hAnsi="Times New Roman"/>
        </w:rPr>
        <w:t>.</w:t>
      </w:r>
      <w:r w:rsidR="00C44BDD" w:rsidRPr="00851B0F">
        <w:rPr>
          <w:rFonts w:ascii="Times New Roman" w:hAnsi="Times New Roman"/>
        </w:rPr>
        <w:t>4</w:t>
      </w:r>
      <w:r w:rsidR="00771D74">
        <w:rPr>
          <w:rFonts w:ascii="Times New Roman" w:hAnsi="Times New Roman"/>
        </w:rPr>
        <w:t>–</w:t>
      </w:r>
      <w:r w:rsidR="003E64BD" w:rsidRPr="00851B0F">
        <w:rPr>
          <w:rFonts w:ascii="Times New Roman" w:hAnsi="Times New Roman"/>
        </w:rPr>
        <w:t>9.5</w:t>
      </w:r>
      <w:r w:rsidRPr="00851B0F">
        <w:rPr>
          <w:rFonts w:ascii="Times New Roman" w:hAnsi="Times New Roman"/>
        </w:rPr>
        <w:t>%</w:t>
      </w:r>
    </w:p>
    <w:p w:rsidR="00B81099" w:rsidRPr="00851B0F" w:rsidRDefault="0037063A" w:rsidP="003E64BD">
      <w:pPr>
        <w:keepNext/>
        <w:keepLines/>
        <w:suppressLineNumbers/>
        <w:tabs>
          <w:tab w:val="right" w:pos="7920"/>
        </w:tabs>
        <w:spacing w:line="240" w:lineRule="auto"/>
        <w:rPr>
          <w:rFonts w:ascii="Times New Roman" w:hAnsi="Times New Roman"/>
        </w:rPr>
      </w:pPr>
      <w:r w:rsidRPr="00851B0F">
        <w:rPr>
          <w:rFonts w:ascii="Times New Roman" w:hAnsi="Times New Roman"/>
        </w:rPr>
        <w:tab/>
        <w:t>Constant Growth (</w:t>
      </w:r>
      <w:smartTag w:uri="urn:schemas-microsoft-com:office:smarttags" w:element="stockticker">
        <w:r w:rsidRPr="00851B0F">
          <w:rPr>
            <w:rFonts w:ascii="Times New Roman" w:hAnsi="Times New Roman"/>
          </w:rPr>
          <w:t>GDP</w:t>
        </w:r>
      </w:smartTag>
      <w:r w:rsidR="00C44BDD" w:rsidRPr="00851B0F">
        <w:rPr>
          <w:rFonts w:ascii="Times New Roman" w:hAnsi="Times New Roman"/>
        </w:rPr>
        <w:t xml:space="preserve"> Growth)</w:t>
      </w:r>
      <w:r w:rsidR="00C44BDD" w:rsidRPr="00851B0F">
        <w:rPr>
          <w:rFonts w:ascii="Times New Roman" w:hAnsi="Times New Roman"/>
        </w:rPr>
        <w:tab/>
      </w:r>
      <w:r w:rsidR="003E64BD" w:rsidRPr="00851B0F">
        <w:rPr>
          <w:rFonts w:ascii="Times New Roman" w:hAnsi="Times New Roman"/>
        </w:rPr>
        <w:t>9.9%</w:t>
      </w:r>
      <w:r w:rsidR="00771D74">
        <w:rPr>
          <w:rFonts w:ascii="Times New Roman" w:hAnsi="Times New Roman"/>
        </w:rPr>
        <w:t>–</w:t>
      </w:r>
      <w:r w:rsidR="00C44BDD" w:rsidRPr="00851B0F">
        <w:rPr>
          <w:rFonts w:ascii="Times New Roman" w:hAnsi="Times New Roman"/>
        </w:rPr>
        <w:t>10.0</w:t>
      </w:r>
      <w:r w:rsidRPr="00851B0F">
        <w:rPr>
          <w:rFonts w:ascii="Times New Roman" w:hAnsi="Times New Roman"/>
        </w:rPr>
        <w:t>%</w:t>
      </w:r>
    </w:p>
    <w:p w:rsidR="00B81099" w:rsidRPr="00851B0F" w:rsidRDefault="0037063A" w:rsidP="00131D72">
      <w:pPr>
        <w:keepNext/>
        <w:keepLines/>
        <w:suppressLineNumbers/>
        <w:tabs>
          <w:tab w:val="right" w:pos="7920"/>
        </w:tabs>
        <w:spacing w:line="240" w:lineRule="auto"/>
        <w:rPr>
          <w:rFonts w:ascii="Times New Roman" w:hAnsi="Times New Roman"/>
        </w:rPr>
      </w:pPr>
      <w:r w:rsidRPr="00851B0F">
        <w:rPr>
          <w:rFonts w:ascii="Times New Roman" w:hAnsi="Times New Roman"/>
        </w:rPr>
        <w:tab/>
        <w:t>Multistage Growth Model</w:t>
      </w:r>
      <w:r w:rsidRPr="00851B0F">
        <w:rPr>
          <w:rFonts w:ascii="Times New Roman" w:hAnsi="Times New Roman"/>
        </w:rPr>
        <w:tab/>
      </w:r>
      <w:r w:rsidR="00C44BDD" w:rsidRPr="00851B0F">
        <w:rPr>
          <w:rFonts w:ascii="Times New Roman" w:hAnsi="Times New Roman"/>
        </w:rPr>
        <w:t>9.8</w:t>
      </w:r>
      <w:r w:rsidRPr="00851B0F">
        <w:rPr>
          <w:rFonts w:ascii="Times New Roman" w:hAnsi="Times New Roman"/>
        </w:rPr>
        <w:t>%</w:t>
      </w:r>
      <w:r w:rsidR="00771D74">
        <w:rPr>
          <w:rFonts w:ascii="Times New Roman" w:hAnsi="Times New Roman"/>
        </w:rPr>
        <w:t>–</w:t>
      </w:r>
      <w:r w:rsidR="00131D72" w:rsidRPr="00851B0F">
        <w:rPr>
          <w:rFonts w:ascii="Times New Roman" w:hAnsi="Times New Roman"/>
        </w:rPr>
        <w:t>9.9%</w:t>
      </w:r>
    </w:p>
    <w:p w:rsidR="00B81099" w:rsidRPr="00851B0F" w:rsidRDefault="0037063A" w:rsidP="00E03B17">
      <w:pPr>
        <w:keepNext/>
        <w:keepLines/>
        <w:suppressLineNumbers/>
        <w:tabs>
          <w:tab w:val="right" w:pos="7920"/>
        </w:tabs>
        <w:spacing w:line="240" w:lineRule="auto"/>
        <w:rPr>
          <w:rFonts w:ascii="Times New Roman" w:hAnsi="Times New Roman"/>
        </w:rPr>
      </w:pPr>
      <w:r w:rsidRPr="00851B0F">
        <w:rPr>
          <w:rFonts w:ascii="Times New Roman" w:hAnsi="Times New Roman"/>
        </w:rPr>
        <w:tab/>
      </w:r>
      <w:r w:rsidR="00131D72" w:rsidRPr="00851B0F">
        <w:rPr>
          <w:rFonts w:ascii="Times New Roman" w:hAnsi="Times New Roman"/>
        </w:rPr>
        <w:t>Indicated</w:t>
      </w:r>
      <w:r w:rsidRPr="00851B0F">
        <w:rPr>
          <w:rFonts w:ascii="Times New Roman" w:hAnsi="Times New Roman"/>
        </w:rPr>
        <w:t xml:space="preserve"> DCF Range</w:t>
      </w:r>
      <w:r w:rsidRPr="00851B0F">
        <w:rPr>
          <w:rFonts w:ascii="Times New Roman" w:hAnsi="Times New Roman"/>
        </w:rPr>
        <w:tab/>
      </w:r>
      <w:r w:rsidR="00131D72" w:rsidRPr="00851B0F">
        <w:rPr>
          <w:rFonts w:ascii="Times New Roman" w:hAnsi="Times New Roman"/>
          <w:u w:val="double"/>
        </w:rPr>
        <w:t>9.4</w:t>
      </w:r>
      <w:r w:rsidRPr="00851B0F">
        <w:rPr>
          <w:rFonts w:ascii="Times New Roman" w:hAnsi="Times New Roman"/>
          <w:u w:val="double"/>
        </w:rPr>
        <w:t>%</w:t>
      </w:r>
      <w:r w:rsidR="00771D74">
        <w:rPr>
          <w:rFonts w:ascii="Times New Roman" w:hAnsi="Times New Roman"/>
          <w:u w:val="double"/>
        </w:rPr>
        <w:t>–</w:t>
      </w:r>
      <w:r w:rsidRPr="00851B0F">
        <w:rPr>
          <w:rFonts w:ascii="Times New Roman" w:hAnsi="Times New Roman"/>
          <w:u w:val="double"/>
        </w:rPr>
        <w:t>10.</w:t>
      </w:r>
      <w:r w:rsidR="00B21F3B" w:rsidRPr="00851B0F">
        <w:rPr>
          <w:rFonts w:ascii="Times New Roman" w:hAnsi="Times New Roman"/>
          <w:u w:val="double"/>
        </w:rPr>
        <w:t>0</w:t>
      </w:r>
      <w:r w:rsidRPr="00851B0F">
        <w:rPr>
          <w:rFonts w:ascii="Times New Roman" w:hAnsi="Times New Roman"/>
          <w:u w:val="double"/>
        </w:rPr>
        <w:t>%</w:t>
      </w:r>
    </w:p>
    <w:p w:rsidR="00B81099" w:rsidRPr="00851B0F" w:rsidRDefault="0037063A" w:rsidP="00B21F3B">
      <w:pPr>
        <w:keepNext/>
        <w:keepLines/>
        <w:suppressLineNumbers/>
        <w:tabs>
          <w:tab w:val="right" w:pos="7920"/>
        </w:tabs>
        <w:spacing w:before="120" w:line="240" w:lineRule="auto"/>
        <w:rPr>
          <w:rFonts w:ascii="Times New Roman" w:hAnsi="Times New Roman"/>
          <w:u w:val="single"/>
        </w:rPr>
      </w:pPr>
      <w:r w:rsidRPr="00851B0F">
        <w:tab/>
      </w:r>
      <w:r w:rsidRPr="00851B0F">
        <w:rPr>
          <w:rFonts w:ascii="Times New Roman" w:hAnsi="Times New Roman"/>
          <w:u w:val="single"/>
        </w:rPr>
        <w:t xml:space="preserve">Equity Risk Premium Analysis </w:t>
      </w:r>
      <w:r w:rsidRPr="00851B0F">
        <w:rPr>
          <w:rFonts w:ascii="Times New Roman" w:hAnsi="Times New Roman"/>
        </w:rPr>
        <w:tab/>
      </w:r>
      <w:r w:rsidRPr="00851B0F">
        <w:rPr>
          <w:rFonts w:ascii="Times New Roman" w:hAnsi="Times New Roman"/>
          <w:u w:val="single"/>
        </w:rPr>
        <w:t>Indicated Cost</w:t>
      </w:r>
    </w:p>
    <w:p w:rsidR="00B81099" w:rsidRPr="00851B0F" w:rsidRDefault="0037063A" w:rsidP="00E03B17">
      <w:pPr>
        <w:keepNext/>
        <w:keepLines/>
        <w:suppressLineNumbers/>
        <w:spacing w:line="240" w:lineRule="auto"/>
        <w:ind w:firstLine="0"/>
        <w:rPr>
          <w:rFonts w:ascii="Times New Roman" w:hAnsi="Times New Roman"/>
        </w:rPr>
      </w:pPr>
      <w:r w:rsidRPr="00851B0F">
        <w:rPr>
          <w:rFonts w:ascii="Times New Roman" w:hAnsi="Times New Roman"/>
        </w:rPr>
        <w:t>Forecast Utility Debt Yield+ Equity Risk Premium</w:t>
      </w:r>
    </w:p>
    <w:p w:rsidR="00B81099" w:rsidRPr="00851B0F" w:rsidRDefault="00B75266" w:rsidP="00E03B17">
      <w:pPr>
        <w:keepNext/>
        <w:keepLines/>
        <w:suppressLineNumbers/>
        <w:tabs>
          <w:tab w:val="left" w:pos="1440"/>
          <w:tab w:val="right" w:pos="7560"/>
        </w:tabs>
        <w:spacing w:line="240" w:lineRule="auto"/>
        <w:ind w:firstLine="0"/>
        <w:rPr>
          <w:rFonts w:ascii="Times New Roman" w:hAnsi="Times New Roman"/>
        </w:rPr>
      </w:pPr>
      <w:r w:rsidRPr="00851B0F">
        <w:rPr>
          <w:rFonts w:ascii="Times New Roman" w:hAnsi="Times New Roman"/>
        </w:rPr>
        <w:tab/>
        <w:t>Equity Risk Premium C</w:t>
      </w:r>
      <w:r w:rsidR="0037063A" w:rsidRPr="00851B0F">
        <w:rPr>
          <w:rFonts w:ascii="Times New Roman" w:hAnsi="Times New Roman"/>
        </w:rPr>
        <w:t>OE (4.</w:t>
      </w:r>
      <w:r w:rsidR="003E64BD" w:rsidRPr="00851B0F">
        <w:rPr>
          <w:rFonts w:ascii="Times New Roman" w:hAnsi="Times New Roman"/>
        </w:rPr>
        <w:t>45</w:t>
      </w:r>
      <w:r w:rsidR="0037063A" w:rsidRPr="00851B0F">
        <w:rPr>
          <w:rFonts w:ascii="Times New Roman" w:hAnsi="Times New Roman"/>
        </w:rPr>
        <w:t>% + 5.</w:t>
      </w:r>
      <w:r w:rsidR="003E64BD" w:rsidRPr="00851B0F">
        <w:rPr>
          <w:rFonts w:ascii="Times New Roman" w:hAnsi="Times New Roman"/>
        </w:rPr>
        <w:t>15</w:t>
      </w:r>
      <w:r w:rsidR="0037063A" w:rsidRPr="00851B0F">
        <w:rPr>
          <w:rFonts w:ascii="Times New Roman" w:hAnsi="Times New Roman"/>
        </w:rPr>
        <w:t>%)</w:t>
      </w:r>
      <w:r w:rsidR="0037063A" w:rsidRPr="00851B0F">
        <w:rPr>
          <w:rFonts w:ascii="Times New Roman" w:hAnsi="Times New Roman"/>
        </w:rPr>
        <w:tab/>
        <w:t>9.</w:t>
      </w:r>
      <w:r w:rsidR="003E64BD" w:rsidRPr="00851B0F">
        <w:rPr>
          <w:rFonts w:ascii="Times New Roman" w:hAnsi="Times New Roman"/>
        </w:rPr>
        <w:t>6</w:t>
      </w:r>
      <w:r w:rsidR="0037063A" w:rsidRPr="00851B0F">
        <w:rPr>
          <w:rFonts w:ascii="Times New Roman" w:hAnsi="Times New Roman"/>
        </w:rPr>
        <w:t>%</w:t>
      </w:r>
    </w:p>
    <w:p w:rsidR="00B81099" w:rsidRPr="00851B0F" w:rsidRDefault="0037063A" w:rsidP="00E03B17">
      <w:pPr>
        <w:keepNext/>
        <w:keepLines/>
        <w:suppressLineNumbers/>
        <w:tabs>
          <w:tab w:val="left" w:pos="1440"/>
          <w:tab w:val="right" w:pos="7560"/>
        </w:tabs>
        <w:spacing w:line="240" w:lineRule="auto"/>
        <w:ind w:firstLine="0"/>
        <w:rPr>
          <w:rFonts w:ascii="Times New Roman" w:hAnsi="Times New Roman"/>
        </w:rPr>
      </w:pPr>
      <w:r w:rsidRPr="00851B0F">
        <w:rPr>
          <w:rFonts w:ascii="Times New Roman" w:hAnsi="Times New Roman"/>
        </w:rPr>
        <w:t>Current Utility Debt + Equity Risk Premium</w:t>
      </w:r>
    </w:p>
    <w:p w:rsidR="00B81099" w:rsidRPr="00851B0F" w:rsidRDefault="00B75266" w:rsidP="00E03B17">
      <w:pPr>
        <w:keepNext/>
        <w:keepLines/>
        <w:suppressLineNumbers/>
        <w:tabs>
          <w:tab w:val="left" w:pos="1440"/>
          <w:tab w:val="right" w:pos="7560"/>
        </w:tabs>
        <w:spacing w:line="240" w:lineRule="auto"/>
        <w:ind w:firstLine="0"/>
        <w:rPr>
          <w:rFonts w:ascii="Times New Roman" w:hAnsi="Times New Roman"/>
        </w:rPr>
      </w:pPr>
      <w:r w:rsidRPr="00851B0F">
        <w:rPr>
          <w:rFonts w:ascii="Times New Roman" w:hAnsi="Times New Roman"/>
        </w:rPr>
        <w:tab/>
        <w:t>Equity Risk Premium C</w:t>
      </w:r>
      <w:r w:rsidR="0037063A" w:rsidRPr="00851B0F">
        <w:rPr>
          <w:rFonts w:ascii="Times New Roman" w:hAnsi="Times New Roman"/>
        </w:rPr>
        <w:t>OE (</w:t>
      </w:r>
      <w:r w:rsidR="00131D72" w:rsidRPr="00851B0F">
        <w:rPr>
          <w:rFonts w:ascii="Times New Roman" w:hAnsi="Times New Roman"/>
        </w:rPr>
        <w:t>3.92% + 5.37</w:t>
      </w:r>
      <w:r w:rsidR="00B21F3B" w:rsidRPr="00851B0F">
        <w:rPr>
          <w:rFonts w:ascii="Times New Roman" w:hAnsi="Times New Roman"/>
        </w:rPr>
        <w:t>%)</w:t>
      </w:r>
      <w:r w:rsidR="00B21F3B" w:rsidRPr="00851B0F">
        <w:rPr>
          <w:rFonts w:ascii="Times New Roman" w:hAnsi="Times New Roman"/>
        </w:rPr>
        <w:tab/>
        <w:t>9.3</w:t>
      </w:r>
      <w:r w:rsidR="0037063A" w:rsidRPr="00851B0F">
        <w:rPr>
          <w:rFonts w:ascii="Times New Roman" w:hAnsi="Times New Roman"/>
        </w:rPr>
        <w:t>%</w:t>
      </w:r>
    </w:p>
    <w:p w:rsidR="00B81099" w:rsidRPr="00851B0F" w:rsidRDefault="0037063A" w:rsidP="00E03B17">
      <w:pPr>
        <w:keepNext/>
        <w:keepLines/>
        <w:suppressLineNumbers/>
        <w:tabs>
          <w:tab w:val="left" w:pos="1440"/>
          <w:tab w:val="right" w:pos="7560"/>
        </w:tabs>
        <w:spacing w:line="120" w:lineRule="exact"/>
        <w:ind w:firstLine="0"/>
        <w:rPr>
          <w:rFonts w:ascii="Times New Roman" w:hAnsi="Times New Roman"/>
          <w:u w:val="single"/>
        </w:rPr>
      </w:pPr>
      <w:r w:rsidRPr="00851B0F">
        <w:rPr>
          <w:rFonts w:ascii="Times New Roman" w:hAnsi="Times New Roman"/>
          <w:u w:val="single"/>
        </w:rPr>
        <w:tab/>
      </w:r>
      <w:r w:rsidRPr="00851B0F">
        <w:rPr>
          <w:rFonts w:ascii="Times New Roman" w:hAnsi="Times New Roman"/>
          <w:u w:val="single"/>
        </w:rPr>
        <w:tab/>
      </w:r>
      <w:r w:rsidRPr="00851B0F">
        <w:rPr>
          <w:rFonts w:ascii="Times New Roman" w:hAnsi="Times New Roman"/>
          <w:u w:val="single"/>
        </w:rPr>
        <w:tab/>
      </w:r>
    </w:p>
    <w:p w:rsidR="00B81099" w:rsidRDefault="00C47AA6" w:rsidP="00B21F3B">
      <w:pPr>
        <w:keepLines/>
        <w:suppressLineNumbers/>
        <w:tabs>
          <w:tab w:val="left" w:pos="1440"/>
          <w:tab w:val="right" w:pos="7560"/>
        </w:tabs>
        <w:spacing w:line="240" w:lineRule="auto"/>
        <w:ind w:firstLine="0"/>
        <w:rPr>
          <w:rFonts w:ascii="Times New Roman" w:hAnsi="Times New Roman"/>
          <w:u w:val="single"/>
        </w:rPr>
      </w:pPr>
      <w:r w:rsidRPr="00851B0F">
        <w:rPr>
          <w:rFonts w:ascii="Times New Roman" w:hAnsi="Times New Roman"/>
          <w:u w:val="single"/>
        </w:rPr>
        <w:t>PacifiCorp</w:t>
      </w:r>
      <w:r w:rsidR="0037063A" w:rsidRPr="00851B0F">
        <w:rPr>
          <w:rFonts w:ascii="Times New Roman" w:hAnsi="Times New Roman"/>
          <w:u w:val="single"/>
        </w:rPr>
        <w:t xml:space="preserve"> Cost of Equity</w:t>
      </w:r>
      <w:r w:rsidR="0037063A" w:rsidRPr="00851B0F">
        <w:rPr>
          <w:rFonts w:ascii="Times New Roman" w:hAnsi="Times New Roman"/>
          <w:u w:val="single"/>
        </w:rPr>
        <w:tab/>
      </w:r>
      <w:r w:rsidR="000A3D3A" w:rsidRPr="00851B0F">
        <w:rPr>
          <w:rFonts w:ascii="Times New Roman" w:hAnsi="Times New Roman"/>
          <w:u w:val="single"/>
        </w:rPr>
        <w:t>10.0</w:t>
      </w:r>
      <w:r w:rsidR="0037063A" w:rsidRPr="00851B0F">
        <w:rPr>
          <w:rFonts w:ascii="Times New Roman" w:hAnsi="Times New Roman"/>
          <w:u w:val="single"/>
        </w:rPr>
        <w:t>%</w:t>
      </w:r>
      <w:r w:rsidR="0037063A" w:rsidRPr="00851B0F">
        <w:rPr>
          <w:rFonts w:ascii="Times New Roman" w:hAnsi="Times New Roman"/>
          <w:u w:val="single"/>
        </w:rPr>
        <w:tab/>
      </w:r>
    </w:p>
    <w:p w:rsidR="00477D30" w:rsidRDefault="00477D30" w:rsidP="00B21F3B">
      <w:pPr>
        <w:keepLines/>
        <w:suppressLineNumbers/>
        <w:tabs>
          <w:tab w:val="left" w:pos="1440"/>
          <w:tab w:val="right" w:pos="7560"/>
        </w:tabs>
        <w:spacing w:line="240" w:lineRule="auto"/>
        <w:ind w:firstLine="0"/>
        <w:rPr>
          <w:rFonts w:ascii="Times New Roman" w:hAnsi="Times New Roman"/>
          <w:u w:val="single"/>
        </w:rPr>
      </w:pPr>
    </w:p>
    <w:p w:rsidR="00477D30" w:rsidRDefault="00477D30" w:rsidP="00B21F3B">
      <w:pPr>
        <w:keepLines/>
        <w:suppressLineNumbers/>
        <w:tabs>
          <w:tab w:val="left" w:pos="1440"/>
          <w:tab w:val="right" w:pos="7560"/>
        </w:tabs>
        <w:spacing w:line="240" w:lineRule="auto"/>
        <w:ind w:firstLine="0"/>
        <w:rPr>
          <w:rFonts w:ascii="Times New Roman" w:hAnsi="Times New Roman"/>
          <w:u w:val="single"/>
        </w:rPr>
      </w:pPr>
    </w:p>
    <w:p w:rsidR="00477D30" w:rsidRDefault="00477D30" w:rsidP="00B21F3B">
      <w:pPr>
        <w:keepLines/>
        <w:suppressLineNumbers/>
        <w:tabs>
          <w:tab w:val="left" w:pos="1440"/>
          <w:tab w:val="right" w:pos="7560"/>
        </w:tabs>
        <w:spacing w:line="240" w:lineRule="auto"/>
        <w:ind w:firstLine="0"/>
        <w:rPr>
          <w:rFonts w:ascii="Times New Roman" w:hAnsi="Times New Roman"/>
          <w:u w:val="single"/>
        </w:rPr>
      </w:pPr>
    </w:p>
    <w:p w:rsidR="00477D30" w:rsidRPr="00851B0F" w:rsidRDefault="00477D30" w:rsidP="00B21F3B">
      <w:pPr>
        <w:keepLines/>
        <w:suppressLineNumbers/>
        <w:tabs>
          <w:tab w:val="left" w:pos="1440"/>
          <w:tab w:val="right" w:pos="7560"/>
        </w:tabs>
        <w:spacing w:line="240" w:lineRule="auto"/>
        <w:ind w:firstLine="0"/>
        <w:rPr>
          <w:rFonts w:ascii="Times New Roman" w:hAnsi="Times New Roman"/>
          <w:u w:val="single"/>
        </w:rPr>
      </w:pPr>
    </w:p>
    <w:p w:rsidR="00B81099" w:rsidRPr="00851B0F" w:rsidRDefault="0037063A" w:rsidP="005D089C">
      <w:pPr>
        <w:tabs>
          <w:tab w:val="right" w:pos="7920"/>
        </w:tabs>
        <w:spacing w:before="240"/>
        <w:jc w:val="left"/>
        <w:rPr>
          <w:rFonts w:ascii="Times New Roman" w:hAnsi="Times New Roman"/>
          <w:b/>
        </w:rPr>
      </w:pPr>
      <w:r w:rsidRPr="00851B0F">
        <w:rPr>
          <w:rFonts w:ascii="Times New Roman" w:hAnsi="Times New Roman"/>
          <w:b/>
        </w:rPr>
        <w:t>Q.</w:t>
      </w:r>
      <w:r w:rsidRPr="00851B0F">
        <w:rPr>
          <w:rFonts w:ascii="Times New Roman" w:hAnsi="Times New Roman"/>
          <w:b/>
        </w:rPr>
        <w:tab/>
        <w:t xml:space="preserve">How should these results be interpreted to determine a reasonable ROE upon which to base rates for </w:t>
      </w:r>
      <w:r w:rsidR="00321720" w:rsidRPr="00851B0F">
        <w:rPr>
          <w:rFonts w:ascii="Times New Roman" w:hAnsi="Times New Roman"/>
          <w:b/>
        </w:rPr>
        <w:t>the Company</w:t>
      </w:r>
      <w:r w:rsidRPr="00851B0F">
        <w:rPr>
          <w:rFonts w:ascii="Times New Roman" w:hAnsi="Times New Roman"/>
          <w:b/>
        </w:rPr>
        <w:t>?</w:t>
      </w:r>
    </w:p>
    <w:p w:rsidR="00167998" w:rsidRPr="00851B0F" w:rsidRDefault="0037063A" w:rsidP="00167998">
      <w:pPr>
        <w:pStyle w:val="BodyTextIndent"/>
        <w:spacing w:before="0"/>
        <w:jc w:val="left"/>
      </w:pPr>
      <w:r w:rsidRPr="00851B0F">
        <w:rPr>
          <w:rFonts w:ascii="Times New Roman" w:hAnsi="Times New Roman"/>
        </w:rPr>
        <w:t>A.</w:t>
      </w:r>
      <w:r w:rsidRPr="00851B0F">
        <w:rPr>
          <w:rFonts w:ascii="Times New Roman" w:hAnsi="Times New Roman"/>
        </w:rPr>
        <w:tab/>
        <w:t xml:space="preserve">The fair and reasonable ROE for </w:t>
      </w:r>
      <w:r w:rsidR="00321720" w:rsidRPr="00851B0F">
        <w:rPr>
          <w:rFonts w:ascii="Times New Roman" w:hAnsi="Times New Roman"/>
        </w:rPr>
        <w:t xml:space="preserve">the Company </w:t>
      </w:r>
      <w:r w:rsidR="00B21F3B" w:rsidRPr="00851B0F">
        <w:rPr>
          <w:rFonts w:ascii="Times New Roman" w:hAnsi="Times New Roman"/>
        </w:rPr>
        <w:t xml:space="preserve">is </w:t>
      </w:r>
      <w:r w:rsidR="000A3D3A" w:rsidRPr="00851B0F">
        <w:rPr>
          <w:rFonts w:ascii="Times New Roman" w:hAnsi="Times New Roman"/>
        </w:rPr>
        <w:t>10.0</w:t>
      </w:r>
      <w:r w:rsidRPr="00851B0F">
        <w:rPr>
          <w:rFonts w:ascii="Times New Roman" w:hAnsi="Times New Roman"/>
        </w:rPr>
        <w:t xml:space="preserve"> percent</w:t>
      </w:r>
      <w:r w:rsidR="00E8096B" w:rsidRPr="00851B0F">
        <w:rPr>
          <w:rFonts w:ascii="Times New Roman" w:hAnsi="Times New Roman"/>
        </w:rPr>
        <w:t xml:space="preserve">.  </w:t>
      </w:r>
      <w:r w:rsidRPr="00851B0F">
        <w:rPr>
          <w:rFonts w:ascii="Times New Roman" w:hAnsi="Times New Roman"/>
        </w:rPr>
        <w:t xml:space="preserve">This requested ROE, at the top of my DCF range, is appropriate given the </w:t>
      </w:r>
      <w:r w:rsidRPr="00851B0F">
        <w:rPr>
          <w:rFonts w:ascii="Times New Roman" w:hAnsi="Times New Roman"/>
          <w:bCs/>
          <w:szCs w:val="24"/>
        </w:rPr>
        <w:t>ongoing effects of U.S. and global economic turmoil on the equity market for utility shares</w:t>
      </w:r>
      <w:r w:rsidR="00E8096B" w:rsidRPr="00851B0F">
        <w:rPr>
          <w:rFonts w:ascii="Times New Roman" w:hAnsi="Times New Roman"/>
          <w:bCs/>
          <w:szCs w:val="24"/>
        </w:rPr>
        <w:t xml:space="preserve">.  </w:t>
      </w:r>
      <w:r w:rsidRPr="00851B0F">
        <w:rPr>
          <w:rFonts w:ascii="Times New Roman" w:hAnsi="Times New Roman"/>
        </w:rPr>
        <w:t>Recent market turmoil and the continuing effects on capital markets make it difficult to strictly interpret quantitative model estimates for the cost of equity</w:t>
      </w:r>
      <w:r w:rsidR="00E8096B" w:rsidRPr="00851B0F">
        <w:rPr>
          <w:rFonts w:ascii="Times New Roman" w:hAnsi="Times New Roman"/>
        </w:rPr>
        <w:t xml:space="preserve">.  </w:t>
      </w:r>
      <w:r w:rsidRPr="00851B0F">
        <w:rPr>
          <w:rFonts w:ascii="Times New Roman" w:hAnsi="Times New Roman"/>
        </w:rPr>
        <w:t xml:space="preserve">While corporate interest rates have dropped to record low levels and the DCF results have declined as utility dividend yields have dropped, equity market </w:t>
      </w:r>
      <w:r w:rsidR="008B4078" w:rsidRPr="00851B0F">
        <w:rPr>
          <w:rFonts w:ascii="Times New Roman" w:hAnsi="Times New Roman"/>
        </w:rPr>
        <w:t>risk aversion</w:t>
      </w:r>
      <w:r w:rsidRPr="00851B0F">
        <w:rPr>
          <w:rFonts w:ascii="Times New Roman" w:hAnsi="Times New Roman"/>
        </w:rPr>
        <w:t xml:space="preserve"> remains high</w:t>
      </w:r>
      <w:r w:rsidR="00E8096B" w:rsidRPr="00851B0F">
        <w:rPr>
          <w:rFonts w:ascii="Times New Roman" w:hAnsi="Times New Roman"/>
        </w:rPr>
        <w:t xml:space="preserve">.  </w:t>
      </w:r>
      <w:r w:rsidRPr="00851B0F">
        <w:rPr>
          <w:rFonts w:ascii="Times New Roman" w:hAnsi="Times New Roman"/>
        </w:rPr>
        <w:t>Under these conditions, use of a lower DCF range or equity risk premium estimates based strictly on historical risk premium relationships will understate the market cost of equity</w:t>
      </w:r>
      <w:r w:rsidR="00E8096B" w:rsidRPr="00851B0F">
        <w:rPr>
          <w:rFonts w:ascii="Times New Roman" w:hAnsi="Times New Roman"/>
        </w:rPr>
        <w:t xml:space="preserve">.  </w:t>
      </w:r>
      <w:r w:rsidRPr="00851B0F">
        <w:rPr>
          <w:rFonts w:ascii="Times New Roman" w:hAnsi="Times New Roman"/>
        </w:rPr>
        <w:t xml:space="preserve">Based on all these factors, a reasonable </w:t>
      </w:r>
      <w:r w:rsidR="00131D72" w:rsidRPr="00851B0F">
        <w:rPr>
          <w:rFonts w:ascii="Times New Roman" w:hAnsi="Times New Roman"/>
        </w:rPr>
        <w:t>ROE</w:t>
      </w:r>
      <w:r w:rsidRPr="00851B0F">
        <w:rPr>
          <w:rFonts w:ascii="Times New Roman" w:hAnsi="Times New Roman"/>
        </w:rPr>
        <w:t xml:space="preserve"> to be used for setting rates in this case</w:t>
      </w:r>
      <w:r w:rsidR="00131D72" w:rsidRPr="00851B0F">
        <w:rPr>
          <w:rFonts w:ascii="Times New Roman" w:hAnsi="Times New Roman"/>
        </w:rPr>
        <w:t xml:space="preserve"> is 10.0 percent</w:t>
      </w:r>
      <w:r w:rsidRPr="00851B0F">
        <w:rPr>
          <w:rFonts w:ascii="Times New Roman" w:hAnsi="Times New Roman"/>
        </w:rPr>
        <w:t>.</w:t>
      </w:r>
    </w:p>
    <w:p w:rsidR="00B81099" w:rsidRPr="00851B0F" w:rsidRDefault="0037063A" w:rsidP="005D089C">
      <w:pPr>
        <w:pStyle w:val="BodyTextIndent"/>
        <w:spacing w:before="0"/>
        <w:jc w:val="left"/>
        <w:rPr>
          <w:rStyle w:val="LineNumber"/>
          <w:b/>
        </w:rPr>
      </w:pPr>
      <w:r w:rsidRPr="00851B0F">
        <w:rPr>
          <w:rFonts w:ascii="Times New Roman" w:hAnsi="Times New Roman"/>
          <w:b/>
        </w:rPr>
        <w:t>Q.</w:t>
      </w:r>
      <w:r w:rsidRPr="00851B0F">
        <w:rPr>
          <w:rFonts w:ascii="Times New Roman" w:hAnsi="Times New Roman"/>
          <w:b/>
        </w:rPr>
        <w:tab/>
        <w:t>Does this conclude your direct testimony?</w:t>
      </w:r>
    </w:p>
    <w:p w:rsidR="00B81099" w:rsidRPr="00851B0F" w:rsidRDefault="008B4078" w:rsidP="005D089C">
      <w:pPr>
        <w:pStyle w:val="BodyTextIndent"/>
        <w:spacing w:before="0"/>
        <w:jc w:val="left"/>
        <w:rPr>
          <w:rFonts w:ascii="Times New Roman" w:hAnsi="Times New Roman"/>
        </w:rPr>
      </w:pPr>
      <w:r w:rsidRPr="00851B0F">
        <w:rPr>
          <w:rFonts w:ascii="Times New Roman" w:hAnsi="Times New Roman"/>
        </w:rPr>
        <w:t>A.</w:t>
      </w:r>
      <w:r w:rsidRPr="00851B0F">
        <w:rPr>
          <w:rFonts w:ascii="Times New Roman" w:hAnsi="Times New Roman"/>
        </w:rPr>
        <w:tab/>
        <w:t>Yes</w:t>
      </w:r>
      <w:r w:rsidR="0037063A" w:rsidRPr="00851B0F">
        <w:rPr>
          <w:rFonts w:ascii="Times New Roman" w:hAnsi="Times New Roman"/>
        </w:rPr>
        <w:t>.</w:t>
      </w:r>
    </w:p>
    <w:sectPr w:rsidR="00B81099" w:rsidRPr="00851B0F" w:rsidSect="000450D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D74" w:rsidRDefault="00771D74">
      <w:r>
        <w:separator/>
      </w:r>
    </w:p>
  </w:endnote>
  <w:endnote w:type="continuationSeparator" w:id="0">
    <w:p w:rsidR="00771D74" w:rsidRDefault="00771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1B" w:rsidRDefault="00206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74" w:rsidRDefault="00771D74">
    <w:pPr>
      <w:pStyle w:val="Footer"/>
      <w:spacing w:line="240" w:lineRule="auto"/>
      <w:ind w:right="-18"/>
      <w:rPr>
        <w:rFonts w:ascii="Times New Roman" w:hAnsi="Times New Roman"/>
      </w:rPr>
    </w:pPr>
    <w:r>
      <w:rPr>
        <w:rStyle w:val="PageNumber"/>
        <w:rFonts w:ascii="Times New Roman" w:hAnsi="Times New Roman"/>
      </w:rPr>
      <w:t>Direct Testimony of Samuel C. Hadaway</w:t>
    </w:r>
    <w:r>
      <w:rPr>
        <w:rStyle w:val="PageNumber"/>
        <w:rFonts w:ascii="Times New Roman" w:hAnsi="Times New Roman"/>
      </w:rPr>
      <w:tab/>
    </w:r>
    <w:r>
      <w:rPr>
        <w:rStyle w:val="PageNumber"/>
        <w:rFonts w:ascii="Times New Roman" w:hAnsi="Times New Roman"/>
      </w:rPr>
      <w:tab/>
      <w:t>Exhibit No.___(SCH-1T)</w:t>
    </w:r>
  </w:p>
  <w:p w:rsidR="00771D74" w:rsidRDefault="00771D74" w:rsidP="00167998">
    <w:pPr>
      <w:pStyle w:val="Footer"/>
      <w:spacing w:line="240" w:lineRule="auto"/>
      <w:jc w:val="right"/>
      <w:rPr>
        <w:rFonts w:ascii="Times New Roman" w:hAnsi="Times New Roman"/>
      </w:rPr>
    </w:pPr>
    <w:r>
      <w:rPr>
        <w:rFonts w:ascii="Times New Roman" w:hAnsi="Times New Roman"/>
      </w:rPr>
      <w:t xml:space="preserve">Page </w:t>
    </w:r>
    <w:r w:rsidR="004A3FEE" w:rsidRPr="007113C8">
      <w:rPr>
        <w:rFonts w:ascii="Times New Roman" w:hAnsi="Times New Roman"/>
      </w:rPr>
      <w:fldChar w:fldCharType="begin"/>
    </w:r>
    <w:r w:rsidRPr="007113C8">
      <w:rPr>
        <w:rFonts w:ascii="Times New Roman" w:hAnsi="Times New Roman"/>
      </w:rPr>
      <w:instrText xml:space="preserve"> PAGE   \* MERGEFORMAT </w:instrText>
    </w:r>
    <w:r w:rsidR="004A3FEE" w:rsidRPr="007113C8">
      <w:rPr>
        <w:rFonts w:ascii="Times New Roman" w:hAnsi="Times New Roman"/>
      </w:rPr>
      <w:fldChar w:fldCharType="separate"/>
    </w:r>
    <w:r w:rsidR="0020671B">
      <w:rPr>
        <w:rFonts w:ascii="Times New Roman" w:hAnsi="Times New Roman"/>
        <w:noProof/>
      </w:rPr>
      <w:t>1</w:t>
    </w:r>
    <w:r w:rsidR="004A3FEE" w:rsidRPr="007113C8">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1B" w:rsidRDefault="00206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D74" w:rsidRDefault="00771D74">
      <w:r>
        <w:separator/>
      </w:r>
    </w:p>
  </w:footnote>
  <w:footnote w:type="continuationSeparator" w:id="0">
    <w:p w:rsidR="00771D74" w:rsidRDefault="00771D74">
      <w:r>
        <w:continuationSeparator/>
      </w:r>
    </w:p>
  </w:footnote>
  <w:footnote w:id="1">
    <w:p w:rsidR="00771D74" w:rsidRPr="00B6586D" w:rsidRDefault="00771D74" w:rsidP="00117F09">
      <w:pPr>
        <w:keepNext/>
        <w:keepLines/>
        <w:autoSpaceDE w:val="0"/>
        <w:autoSpaceDN w:val="0"/>
        <w:adjustRightInd w:val="0"/>
        <w:spacing w:line="240" w:lineRule="auto"/>
        <w:ind w:left="0" w:firstLine="0"/>
        <w:jc w:val="left"/>
        <w:rPr>
          <w:rFonts w:ascii="Times New Roman" w:hAnsi="Times New Roman"/>
          <w:sz w:val="20"/>
        </w:rPr>
      </w:pPr>
      <w:r w:rsidRPr="00B6586D">
        <w:rPr>
          <w:rStyle w:val="FootnoteReference"/>
          <w:sz w:val="20"/>
        </w:rPr>
        <w:footnoteRef/>
      </w:r>
      <w:r w:rsidRPr="00B6586D">
        <w:rPr>
          <w:rFonts w:ascii="Times New Roman" w:hAnsi="Times New Roman"/>
          <w:sz w:val="20"/>
        </w:rPr>
        <w:t xml:space="preserve">On October 24, 2012 the Federal Open Market Committee of </w:t>
      </w:r>
      <w:r>
        <w:rPr>
          <w:rFonts w:ascii="Times New Roman" w:hAnsi="Times New Roman"/>
          <w:sz w:val="20"/>
        </w:rPr>
        <w:t xml:space="preserve">the </w:t>
      </w:r>
      <w:r w:rsidRPr="00B6586D">
        <w:rPr>
          <w:rFonts w:ascii="Times New Roman" w:hAnsi="Times New Roman"/>
          <w:sz w:val="20"/>
        </w:rPr>
        <w:t xml:space="preserve">Fed issued the following additional policy statement reiterating its commitment to Quantitative Easing 3 (QE3) and the continuation of Operation Twist: </w:t>
      </w:r>
    </w:p>
    <w:p w:rsidR="00771D74" w:rsidRPr="00A50EB0" w:rsidRDefault="00771D74" w:rsidP="00117F09">
      <w:pPr>
        <w:keepNext/>
        <w:keepLines/>
        <w:autoSpaceDE w:val="0"/>
        <w:autoSpaceDN w:val="0"/>
        <w:adjustRightInd w:val="0"/>
        <w:spacing w:line="240" w:lineRule="auto"/>
        <w:ind w:left="0" w:firstLine="0"/>
        <w:jc w:val="left"/>
        <w:rPr>
          <w:rFonts w:ascii="Times New Roman" w:hAnsi="Times New Roman"/>
          <w:sz w:val="20"/>
        </w:rPr>
      </w:pPr>
    </w:p>
    <w:p w:rsidR="00771D74" w:rsidRPr="00A50EB0" w:rsidRDefault="00771D74" w:rsidP="00117F09">
      <w:pPr>
        <w:keepNext/>
        <w:keepLines/>
        <w:tabs>
          <w:tab w:val="left" w:pos="7200"/>
        </w:tabs>
        <w:autoSpaceDE w:val="0"/>
        <w:autoSpaceDN w:val="0"/>
        <w:adjustRightInd w:val="0"/>
        <w:spacing w:line="240" w:lineRule="auto"/>
        <w:ind w:right="1440" w:firstLine="0"/>
        <w:jc w:val="left"/>
        <w:rPr>
          <w:rFonts w:ascii="Times New Roman" w:hAnsi="Times New Roman"/>
          <w:sz w:val="20"/>
        </w:rPr>
      </w:pPr>
      <w:r w:rsidRPr="00A50EB0">
        <w:rPr>
          <w:rFonts w:ascii="Times New Roman" w:hAnsi="Times New Roman"/>
          <w:sz w:val="20"/>
        </w:rPr>
        <w:t>Consistent with its statutory mandate, the Committee seeks to foster maximum employment and price stability. The Committee remains concerned that, without sufficient policy accommodation, economic growth might not be strong enough to generate sustained improvement in labor market conditions.  Furthermore, strains in global financial markets continue to pose significant downside risks to the economic outlook.  The Committee also anticipates that inflation over the medium term likely would run at or below its 2 percent objective.</w:t>
      </w:r>
    </w:p>
    <w:p w:rsidR="00771D74" w:rsidRPr="00A50EB0" w:rsidRDefault="00771D74" w:rsidP="00117F09">
      <w:pPr>
        <w:keepNext/>
        <w:keepLines/>
        <w:tabs>
          <w:tab w:val="left" w:pos="7200"/>
        </w:tabs>
        <w:autoSpaceDE w:val="0"/>
        <w:autoSpaceDN w:val="0"/>
        <w:adjustRightInd w:val="0"/>
        <w:spacing w:line="240" w:lineRule="auto"/>
        <w:ind w:right="1440" w:firstLine="0"/>
        <w:jc w:val="left"/>
        <w:rPr>
          <w:rFonts w:ascii="Times New Roman" w:hAnsi="Times New Roman"/>
          <w:sz w:val="20"/>
        </w:rPr>
      </w:pPr>
    </w:p>
    <w:p w:rsidR="00771D74" w:rsidRPr="00117F09" w:rsidRDefault="00771D74" w:rsidP="00117F09">
      <w:pPr>
        <w:keepNext/>
        <w:keepLines/>
        <w:tabs>
          <w:tab w:val="left" w:pos="7200"/>
        </w:tabs>
        <w:autoSpaceDE w:val="0"/>
        <w:autoSpaceDN w:val="0"/>
        <w:adjustRightInd w:val="0"/>
        <w:spacing w:line="240" w:lineRule="auto"/>
        <w:ind w:right="1440" w:firstLine="0"/>
        <w:jc w:val="left"/>
        <w:rPr>
          <w:rFonts w:ascii="Times New Roman" w:hAnsi="Times New Roman"/>
          <w:sz w:val="20"/>
        </w:rPr>
      </w:pPr>
      <w:r w:rsidRPr="00A50EB0">
        <w:rPr>
          <w:rFonts w:ascii="Times New Roman" w:hAnsi="Times New Roman"/>
          <w:sz w:val="20"/>
        </w:rPr>
        <w:t>To support a stronger economic recovery and to help ensure that inflation, over time, is at the rate most consistent with its dual mandate, the Committee will continue purchasing additional agency mortgage-backed securities at a pace of $40 billion per month.  The Committee also will continue through the end of the year its program to extend the average maturity of its holdings of Treasury securities, and it is maintaining its existing policy of reinvesting principal payments from its holdings of agency debt and agency mortgage-backed securities in agency mortgage-backed securities.  These actions, which together will increase the Committee’s holdings of longer-term securities by about $85 billion each month through the end of the year, should put downward pressure on longer-term interest rates, support mortgage markets, and help to make broader financial conditions more accommodative.</w:t>
      </w:r>
    </w:p>
  </w:footnote>
  <w:footnote w:id="2">
    <w:p w:rsidR="00771D74" w:rsidRDefault="00771D74" w:rsidP="00A50EB0">
      <w:pPr>
        <w:pStyle w:val="FootnoteText"/>
        <w:spacing w:line="240" w:lineRule="auto"/>
      </w:pPr>
      <w:r>
        <w:rPr>
          <w:rStyle w:val="FootnoteReference"/>
        </w:rPr>
        <w:footnoteRef/>
      </w:r>
      <w:r>
        <w:t xml:space="preserve"> </w:t>
      </w:r>
      <w:r w:rsidRPr="007113C8">
        <w:t xml:space="preserve">Value Line Investment Survey, Electric Utility (Central) Industry, September 21, 2012, p. </w:t>
      </w:r>
      <w:r w:rsidRPr="00167998">
        <w:t>901.</w:t>
      </w:r>
    </w:p>
  </w:footnote>
  <w:footnote w:id="3">
    <w:p w:rsidR="00771D74" w:rsidRDefault="00771D74" w:rsidP="00A50EB0">
      <w:pPr>
        <w:pStyle w:val="FootnoteText"/>
        <w:spacing w:line="240" w:lineRule="auto"/>
        <w:ind w:left="0" w:firstLine="0"/>
      </w:pPr>
      <w:r>
        <w:rPr>
          <w:rStyle w:val="FootnoteReference"/>
        </w:rPr>
        <w:footnoteRef/>
      </w:r>
      <w:r>
        <w:t xml:space="preserve"> The</w:t>
      </w:r>
      <w:r w:rsidRPr="00117F09">
        <w:t xml:space="preserve"> Top 10 Investor Questions for U.S. Regulated Electric Utilities In 2012,” Standard &amp; Poor’s Ratings Direct, January 3, 2012, p. 2.</w:t>
      </w:r>
    </w:p>
  </w:footnote>
  <w:footnote w:id="4">
    <w:p w:rsidR="00771D74" w:rsidRDefault="00771D74" w:rsidP="00A50EB0">
      <w:pPr>
        <w:pStyle w:val="FootnoteText"/>
        <w:spacing w:line="240" w:lineRule="auto"/>
      </w:pPr>
      <w:r>
        <w:rPr>
          <w:rStyle w:val="FootnoteReference"/>
        </w:rPr>
        <w:footnoteRef/>
      </w:r>
      <w:r>
        <w:t xml:space="preserve"> </w:t>
      </w:r>
      <w:r>
        <w:rPr>
          <w:i/>
        </w:rPr>
        <w:t xml:space="preserve">Value Line Investor Survey, </w:t>
      </w:r>
      <w:r>
        <w:t>November 2, 2012, p. 2235.</w:t>
      </w:r>
    </w:p>
  </w:footnote>
  <w:footnote w:id="5">
    <w:p w:rsidR="00771D74" w:rsidRDefault="00771D74" w:rsidP="00117F09">
      <w:pPr>
        <w:pStyle w:val="FootnoteText"/>
        <w:spacing w:line="240" w:lineRule="auto"/>
        <w:ind w:left="0" w:firstLine="0"/>
      </w:pPr>
      <w:r>
        <w:rPr>
          <w:rStyle w:val="FootnoteReference"/>
        </w:rPr>
        <w:footnoteRef/>
      </w:r>
      <w:r>
        <w:t xml:space="preserve"> </w:t>
      </w:r>
      <w:r>
        <w:rPr>
          <w:i/>
        </w:rPr>
        <w:t xml:space="preserve">Bluefield Water Works &amp; Improvement Company v. Public Service Commission of West Virginia, </w:t>
      </w:r>
      <w:r>
        <w:t>262 U.S. 679, 692–693 (1923).</w:t>
      </w:r>
    </w:p>
  </w:footnote>
  <w:footnote w:id="6">
    <w:p w:rsidR="00771D74" w:rsidRDefault="00771D74" w:rsidP="00117F09">
      <w:pPr>
        <w:pStyle w:val="FootnoteText"/>
        <w:spacing w:line="240" w:lineRule="auto"/>
        <w:ind w:left="0" w:firstLine="0"/>
      </w:pPr>
      <w:r>
        <w:rPr>
          <w:rStyle w:val="FootnoteReference"/>
        </w:rPr>
        <w:footnoteRef/>
      </w:r>
      <w:r>
        <w:t xml:space="preserve"> </w:t>
      </w:r>
      <w:r>
        <w:rPr>
          <w:i/>
        </w:rPr>
        <w:t xml:space="preserve">Federal Power Commission v. Hope Natural Gas Co., </w:t>
      </w:r>
      <w:r>
        <w:t>320 U.S. 591, 603 (1944).</w:t>
      </w:r>
    </w:p>
  </w:footnote>
  <w:footnote w:id="7">
    <w:p w:rsidR="00771D74" w:rsidRDefault="00771D74" w:rsidP="00A50EB0">
      <w:pPr>
        <w:pStyle w:val="FootnoteText"/>
        <w:spacing w:line="240" w:lineRule="auto"/>
        <w:ind w:left="0" w:firstLine="0"/>
      </w:pPr>
      <w:r>
        <w:rPr>
          <w:rStyle w:val="FootnoteReference"/>
        </w:rPr>
        <w:footnoteRef/>
      </w:r>
      <w:r>
        <w:t xml:space="preserve"> </w:t>
      </w:r>
      <w:r w:rsidRPr="00117F09">
        <w:t xml:space="preserve">Eugene F. Brigham and Joel F. Houston, </w:t>
      </w:r>
      <w:r w:rsidRPr="00117F09">
        <w:rPr>
          <w:i/>
        </w:rPr>
        <w:t>Fundamentals of Financial Management</w:t>
      </w:r>
      <w:r>
        <w:t>, 11th Ed. 2007, p.</w:t>
      </w:r>
      <w:r w:rsidRPr="00117F09">
        <w:t xml:space="preserve"> 298.</w:t>
      </w:r>
    </w:p>
  </w:footnote>
  <w:footnote w:id="8">
    <w:p w:rsidR="00771D74" w:rsidRDefault="00771D74" w:rsidP="00A50EB0">
      <w:pPr>
        <w:pStyle w:val="FootnoteText"/>
        <w:spacing w:line="240" w:lineRule="auto"/>
        <w:ind w:left="0" w:firstLine="0"/>
      </w:pPr>
      <w:r>
        <w:rPr>
          <w:rStyle w:val="FootnoteReference"/>
        </w:rPr>
        <w:footnoteRef/>
      </w:r>
      <w:r>
        <w:t xml:space="preserve"> Louis K. C. Chan, Jason Karceski, and Josef Lakonishok, “The Level and Persistence of Growth Rates,” The Journal of Finance, April 2003, p. 649.</w:t>
      </w:r>
    </w:p>
  </w:footnote>
  <w:footnote w:id="9">
    <w:p w:rsidR="00771D74" w:rsidRDefault="00771D74" w:rsidP="00A50EB0">
      <w:pPr>
        <w:pStyle w:val="FootnoteText"/>
        <w:spacing w:line="240" w:lineRule="auto"/>
      </w:pPr>
      <w:r>
        <w:rPr>
          <w:rStyle w:val="FootnoteReference"/>
        </w:rPr>
        <w:footnoteRef/>
      </w:r>
      <w:r>
        <w:t xml:space="preserve"> </w:t>
      </w:r>
      <w:r w:rsidRPr="00167998">
        <w:rPr>
          <w:i/>
        </w:rPr>
        <w:t xml:space="preserve">Id. </w:t>
      </w:r>
      <w:r>
        <w:t>at 683.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1B" w:rsidRDefault="002067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74" w:rsidRDefault="00771D74" w:rsidP="00167998">
    <w:pPr>
      <w:pStyle w:val="Header"/>
      <w:spacing w:line="240" w:lineRule="auto"/>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1B" w:rsidRDefault="002067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6C766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FBC8B3E6"/>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346A53E"/>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775A4E22"/>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734A4E9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62EFE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3F66B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7BAF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3282AF6"/>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60B2E3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E65B47"/>
    <w:multiLevelType w:val="singleLevel"/>
    <w:tmpl w:val="15E67F5E"/>
    <w:lvl w:ilvl="0">
      <w:start w:val="1"/>
      <w:numFmt w:val="upperLetter"/>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1">
    <w:nsid w:val="5ED67EA1"/>
    <w:multiLevelType w:val="singleLevel"/>
    <w:tmpl w:val="15E67F5E"/>
    <w:lvl w:ilvl="0">
      <w:start w:val="1"/>
      <w:numFmt w:val="upperLetter"/>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2">
    <w:nsid w:val="5FBD284D"/>
    <w:multiLevelType w:val="singleLevel"/>
    <w:tmpl w:val="15E67F5E"/>
    <w:lvl w:ilvl="0">
      <w:start w:val="1"/>
      <w:numFmt w:val="upperLetter"/>
      <w:lvlText w:val="%1. "/>
      <w:legacy w:legacy="1" w:legacySpace="0" w:legacyIndent="360"/>
      <w:lvlJc w:val="left"/>
      <w:pPr>
        <w:ind w:left="360" w:hanging="360"/>
      </w:pPr>
      <w:rPr>
        <w:rFonts w:ascii="Times New Roman" w:hAnsi="Times New Roman" w:cs="Times New Roman" w:hint="default"/>
        <w:b w:val="0"/>
        <w:i w:val="0"/>
        <w:sz w:val="24"/>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intFractionalCharacterWidth/>
  <w:embedSystemFonts/>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17409"/>
  </w:hdrShapeDefaults>
  <w:footnotePr>
    <w:footnote w:id="-1"/>
    <w:footnote w:id="0"/>
  </w:footnotePr>
  <w:endnotePr>
    <w:endnote w:id="-1"/>
    <w:endnote w:id="0"/>
  </w:endnotePr>
  <w:compat/>
  <w:rsids>
    <w:rsidRoot w:val="00B81099"/>
    <w:rsid w:val="00017CAA"/>
    <w:rsid w:val="000450D1"/>
    <w:rsid w:val="000701F2"/>
    <w:rsid w:val="00090425"/>
    <w:rsid w:val="000A1EB2"/>
    <w:rsid w:val="000A3D3A"/>
    <w:rsid w:val="000B4096"/>
    <w:rsid w:val="000C5583"/>
    <w:rsid w:val="00102DF2"/>
    <w:rsid w:val="00117F09"/>
    <w:rsid w:val="00131D72"/>
    <w:rsid w:val="00156E15"/>
    <w:rsid w:val="00167998"/>
    <w:rsid w:val="001735DC"/>
    <w:rsid w:val="00196890"/>
    <w:rsid w:val="001B1EB2"/>
    <w:rsid w:val="001B2296"/>
    <w:rsid w:val="001C2354"/>
    <w:rsid w:val="001E3B74"/>
    <w:rsid w:val="001F674C"/>
    <w:rsid w:val="0020671B"/>
    <w:rsid w:val="00230AA2"/>
    <w:rsid w:val="00241365"/>
    <w:rsid w:val="00243B97"/>
    <w:rsid w:val="002547D3"/>
    <w:rsid w:val="002700F9"/>
    <w:rsid w:val="0027619A"/>
    <w:rsid w:val="0028033B"/>
    <w:rsid w:val="002A2A6D"/>
    <w:rsid w:val="002D6994"/>
    <w:rsid w:val="002E66BF"/>
    <w:rsid w:val="003038FE"/>
    <w:rsid w:val="003141B7"/>
    <w:rsid w:val="0031541C"/>
    <w:rsid w:val="00321720"/>
    <w:rsid w:val="00322915"/>
    <w:rsid w:val="00334FB1"/>
    <w:rsid w:val="00367E38"/>
    <w:rsid w:val="0037063A"/>
    <w:rsid w:val="00373215"/>
    <w:rsid w:val="003A05DD"/>
    <w:rsid w:val="003C2C6D"/>
    <w:rsid w:val="003D39B3"/>
    <w:rsid w:val="003D54BF"/>
    <w:rsid w:val="003E16D0"/>
    <w:rsid w:val="003E3F34"/>
    <w:rsid w:val="003E4285"/>
    <w:rsid w:val="003E4DB9"/>
    <w:rsid w:val="003E64BD"/>
    <w:rsid w:val="003F7E09"/>
    <w:rsid w:val="00404903"/>
    <w:rsid w:val="00416E24"/>
    <w:rsid w:val="00425ED3"/>
    <w:rsid w:val="00432BB8"/>
    <w:rsid w:val="0043344B"/>
    <w:rsid w:val="00444D39"/>
    <w:rsid w:val="00477D30"/>
    <w:rsid w:val="00483CDA"/>
    <w:rsid w:val="00487DFF"/>
    <w:rsid w:val="004A13A9"/>
    <w:rsid w:val="004A3FEE"/>
    <w:rsid w:val="004B2CE2"/>
    <w:rsid w:val="004B47D3"/>
    <w:rsid w:val="004D1887"/>
    <w:rsid w:val="004D5004"/>
    <w:rsid w:val="004D6A30"/>
    <w:rsid w:val="004E2142"/>
    <w:rsid w:val="004E24FD"/>
    <w:rsid w:val="004E5F69"/>
    <w:rsid w:val="005031FE"/>
    <w:rsid w:val="0056721D"/>
    <w:rsid w:val="00583BD8"/>
    <w:rsid w:val="00586F1B"/>
    <w:rsid w:val="005A17A2"/>
    <w:rsid w:val="005C298E"/>
    <w:rsid w:val="005C531F"/>
    <w:rsid w:val="005D089C"/>
    <w:rsid w:val="005D34CE"/>
    <w:rsid w:val="005E0F8C"/>
    <w:rsid w:val="005F727C"/>
    <w:rsid w:val="00610F98"/>
    <w:rsid w:val="00612135"/>
    <w:rsid w:val="0061511C"/>
    <w:rsid w:val="0061541A"/>
    <w:rsid w:val="00625DB1"/>
    <w:rsid w:val="00636B3F"/>
    <w:rsid w:val="006443D1"/>
    <w:rsid w:val="006747A3"/>
    <w:rsid w:val="00693949"/>
    <w:rsid w:val="00697DF8"/>
    <w:rsid w:val="006B082B"/>
    <w:rsid w:val="006B495C"/>
    <w:rsid w:val="006C67AD"/>
    <w:rsid w:val="006D0EF3"/>
    <w:rsid w:val="006D34A4"/>
    <w:rsid w:val="007034AB"/>
    <w:rsid w:val="007113C8"/>
    <w:rsid w:val="007134F0"/>
    <w:rsid w:val="00720A23"/>
    <w:rsid w:val="00730B31"/>
    <w:rsid w:val="00732A50"/>
    <w:rsid w:val="00734C05"/>
    <w:rsid w:val="007530F1"/>
    <w:rsid w:val="0075479C"/>
    <w:rsid w:val="0076683D"/>
    <w:rsid w:val="00771D74"/>
    <w:rsid w:val="0078162E"/>
    <w:rsid w:val="00784714"/>
    <w:rsid w:val="00790BC3"/>
    <w:rsid w:val="007C10E0"/>
    <w:rsid w:val="00823A67"/>
    <w:rsid w:val="00851B0F"/>
    <w:rsid w:val="008572AF"/>
    <w:rsid w:val="00870EBE"/>
    <w:rsid w:val="00886028"/>
    <w:rsid w:val="008A51A8"/>
    <w:rsid w:val="008B4078"/>
    <w:rsid w:val="008C5FC1"/>
    <w:rsid w:val="0090736A"/>
    <w:rsid w:val="00923BD3"/>
    <w:rsid w:val="00944695"/>
    <w:rsid w:val="00956F3B"/>
    <w:rsid w:val="0097630F"/>
    <w:rsid w:val="009955F1"/>
    <w:rsid w:val="00997B81"/>
    <w:rsid w:val="009A7ECC"/>
    <w:rsid w:val="009D1E7F"/>
    <w:rsid w:val="009E205A"/>
    <w:rsid w:val="009E64A7"/>
    <w:rsid w:val="009F244E"/>
    <w:rsid w:val="009F78F2"/>
    <w:rsid w:val="00A22F09"/>
    <w:rsid w:val="00A35DBE"/>
    <w:rsid w:val="00A50EB0"/>
    <w:rsid w:val="00A5113F"/>
    <w:rsid w:val="00A56D5D"/>
    <w:rsid w:val="00A572F8"/>
    <w:rsid w:val="00A61B95"/>
    <w:rsid w:val="00A749D7"/>
    <w:rsid w:val="00A96796"/>
    <w:rsid w:val="00AB099C"/>
    <w:rsid w:val="00AB1933"/>
    <w:rsid w:val="00AB3622"/>
    <w:rsid w:val="00AB736C"/>
    <w:rsid w:val="00AC2170"/>
    <w:rsid w:val="00AD5B11"/>
    <w:rsid w:val="00AF05CC"/>
    <w:rsid w:val="00B0206D"/>
    <w:rsid w:val="00B0428D"/>
    <w:rsid w:val="00B21F3B"/>
    <w:rsid w:val="00B640B9"/>
    <w:rsid w:val="00B6586D"/>
    <w:rsid w:val="00B73638"/>
    <w:rsid w:val="00B75266"/>
    <w:rsid w:val="00B81099"/>
    <w:rsid w:val="00BA3C0C"/>
    <w:rsid w:val="00BA6261"/>
    <w:rsid w:val="00BB6511"/>
    <w:rsid w:val="00BC4A75"/>
    <w:rsid w:val="00BF07D1"/>
    <w:rsid w:val="00BF3BA6"/>
    <w:rsid w:val="00BF6997"/>
    <w:rsid w:val="00C13ECB"/>
    <w:rsid w:val="00C20970"/>
    <w:rsid w:val="00C22596"/>
    <w:rsid w:val="00C26381"/>
    <w:rsid w:val="00C35CE6"/>
    <w:rsid w:val="00C44BDD"/>
    <w:rsid w:val="00C47AA6"/>
    <w:rsid w:val="00C55BB3"/>
    <w:rsid w:val="00C63C70"/>
    <w:rsid w:val="00CB01C6"/>
    <w:rsid w:val="00CB1B57"/>
    <w:rsid w:val="00CC0FFD"/>
    <w:rsid w:val="00CD38D9"/>
    <w:rsid w:val="00CE521A"/>
    <w:rsid w:val="00CE7BF1"/>
    <w:rsid w:val="00D01227"/>
    <w:rsid w:val="00D10EE4"/>
    <w:rsid w:val="00D14C0F"/>
    <w:rsid w:val="00D31CA3"/>
    <w:rsid w:val="00D322AD"/>
    <w:rsid w:val="00D607C3"/>
    <w:rsid w:val="00D73428"/>
    <w:rsid w:val="00D77954"/>
    <w:rsid w:val="00DA65BD"/>
    <w:rsid w:val="00DE73DC"/>
    <w:rsid w:val="00DF268D"/>
    <w:rsid w:val="00DF2C43"/>
    <w:rsid w:val="00E03B17"/>
    <w:rsid w:val="00E35362"/>
    <w:rsid w:val="00E36290"/>
    <w:rsid w:val="00E36AA9"/>
    <w:rsid w:val="00E36EF7"/>
    <w:rsid w:val="00E53CFF"/>
    <w:rsid w:val="00E67D6D"/>
    <w:rsid w:val="00E704AF"/>
    <w:rsid w:val="00E714AC"/>
    <w:rsid w:val="00E8096B"/>
    <w:rsid w:val="00EA24EA"/>
    <w:rsid w:val="00EC0853"/>
    <w:rsid w:val="00ED1F32"/>
    <w:rsid w:val="00ED2BCD"/>
    <w:rsid w:val="00F0674E"/>
    <w:rsid w:val="00F73858"/>
    <w:rsid w:val="00F84411"/>
    <w:rsid w:val="00F94E72"/>
    <w:rsid w:val="00FB38E5"/>
    <w:rsid w:val="00FE02B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Title" w:locked="1" w:qFormat="1"/>
    <w:lsdException w:name="Default Paragraph Font" w:locked="1" w:uiPriority="1"/>
    <w:lsdException w:name="Subtitle" w:locked="1" w:qFormat="1"/>
    <w:lsdException w:name="Body Text Indent 2" w:locked="1"/>
    <w:lsdException w:name="Strong" w:locked="1" w:qFormat="1"/>
    <w:lsdException w:name="Emphasis" w:locked="1"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13C"/>
    <w:pPr>
      <w:spacing w:line="480" w:lineRule="auto"/>
      <w:ind w:left="720" w:hanging="720"/>
      <w:jc w:val="both"/>
    </w:pPr>
    <w:rPr>
      <w:rFonts w:ascii="Arial" w:hAnsi="Arial"/>
      <w:sz w:val="24"/>
    </w:rPr>
  </w:style>
  <w:style w:type="paragraph" w:styleId="Heading1">
    <w:name w:val="heading 1"/>
    <w:basedOn w:val="Normal"/>
    <w:next w:val="Normal"/>
    <w:qFormat/>
    <w:rsid w:val="009E01A1"/>
    <w:pPr>
      <w:keepNext/>
      <w:jc w:val="center"/>
      <w:outlineLvl w:val="0"/>
    </w:pPr>
    <w:rPr>
      <w:b/>
    </w:rPr>
  </w:style>
  <w:style w:type="paragraph" w:styleId="Heading2">
    <w:name w:val="heading 2"/>
    <w:basedOn w:val="Normal"/>
    <w:next w:val="Normal"/>
    <w:qFormat/>
    <w:rsid w:val="009E01A1"/>
    <w:pPr>
      <w:keepNext/>
      <w:jc w:val="center"/>
      <w:outlineLvl w:val="1"/>
    </w:pPr>
    <w:rPr>
      <w:u w:val="single"/>
    </w:rPr>
  </w:style>
  <w:style w:type="paragraph" w:styleId="Heading3">
    <w:name w:val="heading 3"/>
    <w:basedOn w:val="Normal"/>
    <w:next w:val="Normal"/>
    <w:qFormat/>
    <w:rsid w:val="009E01A1"/>
    <w:pPr>
      <w:keepNext/>
      <w:spacing w:before="240"/>
      <w:jc w:val="center"/>
      <w:outlineLvl w:val="2"/>
    </w:pPr>
    <w:rPr>
      <w:b/>
      <w:u w:val="single"/>
    </w:rPr>
  </w:style>
  <w:style w:type="paragraph" w:styleId="Heading4">
    <w:name w:val="heading 4"/>
    <w:basedOn w:val="Normal"/>
    <w:next w:val="Normal"/>
    <w:qFormat/>
    <w:rsid w:val="009E01A1"/>
    <w:pPr>
      <w:keepNext/>
      <w:spacing w:before="240"/>
      <w:outlineLvl w:val="3"/>
    </w:pPr>
    <w:rPr>
      <w:b/>
    </w:rPr>
  </w:style>
  <w:style w:type="paragraph" w:styleId="Heading5">
    <w:name w:val="heading 5"/>
    <w:basedOn w:val="Normal"/>
    <w:next w:val="Normal"/>
    <w:qFormat/>
    <w:rsid w:val="009E01A1"/>
    <w:pPr>
      <w:keepNext/>
      <w:keepLines/>
      <w:jc w:val="left"/>
      <w:outlineLvl w:val="4"/>
    </w:pPr>
    <w:rPr>
      <w:rFonts w:ascii="Times New Roman" w:hAnsi="Times New Roman"/>
      <w:b/>
      <w:u w:val="single"/>
    </w:rPr>
  </w:style>
  <w:style w:type="paragraph" w:styleId="Heading6">
    <w:name w:val="heading 6"/>
    <w:basedOn w:val="Normal"/>
    <w:next w:val="Normal"/>
    <w:qFormat/>
    <w:rsid w:val="009E01A1"/>
    <w:pPr>
      <w:keepNext/>
      <w:ind w:firstLine="0"/>
      <w:outlineLvl w:val="5"/>
    </w:pPr>
    <w:rPr>
      <w:rFonts w:ascii="Times New Roman" w:hAnsi="Times New Roman"/>
      <w:u w:val="single"/>
    </w:rPr>
  </w:style>
  <w:style w:type="paragraph" w:styleId="Heading7">
    <w:name w:val="heading 7"/>
    <w:basedOn w:val="Normal"/>
    <w:next w:val="Normal"/>
    <w:qFormat/>
    <w:rsid w:val="00E25A3B"/>
    <w:pPr>
      <w:spacing w:before="240" w:after="60"/>
      <w:outlineLvl w:val="6"/>
    </w:pPr>
    <w:rPr>
      <w:rFonts w:ascii="Times New Roman" w:hAnsi="Times New Roman"/>
      <w:szCs w:val="24"/>
    </w:rPr>
  </w:style>
  <w:style w:type="paragraph" w:styleId="Heading8">
    <w:name w:val="heading 8"/>
    <w:basedOn w:val="Normal"/>
    <w:next w:val="Normal"/>
    <w:qFormat/>
    <w:rsid w:val="00E25A3B"/>
    <w:pPr>
      <w:spacing w:before="240" w:after="60"/>
      <w:outlineLvl w:val="7"/>
    </w:pPr>
    <w:rPr>
      <w:rFonts w:ascii="Times New Roman" w:hAnsi="Times New Roman"/>
      <w:i/>
      <w:iCs/>
      <w:szCs w:val="24"/>
    </w:rPr>
  </w:style>
  <w:style w:type="paragraph" w:styleId="Heading9">
    <w:name w:val="heading 9"/>
    <w:basedOn w:val="Normal"/>
    <w:next w:val="Normal"/>
    <w:qFormat/>
    <w:rsid w:val="00E25A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Footnote Text Char Char Char Char Char Char Char Char Char"/>
    <w:basedOn w:val="Normal"/>
    <w:link w:val="FootnoteTextChar1"/>
    <w:semiHidden/>
    <w:rsid w:val="006D213C"/>
    <w:pPr>
      <w:jc w:val="left"/>
    </w:pPr>
    <w:rPr>
      <w:rFonts w:ascii="Times New Roman" w:hAnsi="Times New Roman"/>
      <w:sz w:val="20"/>
    </w:rPr>
  </w:style>
  <w:style w:type="paragraph" w:styleId="Header">
    <w:name w:val="header"/>
    <w:basedOn w:val="Normal"/>
    <w:link w:val="HeaderChar"/>
    <w:rsid w:val="009E01A1"/>
    <w:pPr>
      <w:tabs>
        <w:tab w:val="center" w:pos="4320"/>
        <w:tab w:val="right" w:pos="8640"/>
      </w:tabs>
      <w:jc w:val="left"/>
    </w:pPr>
  </w:style>
  <w:style w:type="paragraph" w:styleId="Footer">
    <w:name w:val="footer"/>
    <w:basedOn w:val="Normal"/>
    <w:link w:val="FooterChar"/>
    <w:rsid w:val="009E01A1"/>
    <w:pPr>
      <w:tabs>
        <w:tab w:val="center" w:pos="4320"/>
        <w:tab w:val="right" w:pos="8640"/>
      </w:tabs>
      <w:jc w:val="left"/>
    </w:pPr>
  </w:style>
  <w:style w:type="character" w:styleId="LineNumber">
    <w:name w:val="line number"/>
    <w:rsid w:val="009E01A1"/>
    <w:rPr>
      <w:rFonts w:ascii="Times New Roman" w:hAnsi="Times New Roman" w:cs="Times New Roman"/>
      <w:sz w:val="24"/>
    </w:rPr>
  </w:style>
  <w:style w:type="character" w:styleId="FootnoteReference">
    <w:name w:val="footnote reference"/>
    <w:semiHidden/>
    <w:rsid w:val="006D213C"/>
    <w:rPr>
      <w:rFonts w:ascii="Times New Roman" w:hAnsi="Times New Roman" w:cs="Times New Roman"/>
      <w:position w:val="6"/>
      <w:sz w:val="16"/>
    </w:rPr>
  </w:style>
  <w:style w:type="character" w:styleId="PageNumber">
    <w:name w:val="page number"/>
    <w:rsid w:val="009E01A1"/>
    <w:rPr>
      <w:rFonts w:cs="Times New Roman"/>
    </w:rPr>
  </w:style>
  <w:style w:type="paragraph" w:styleId="BodyTextIndent">
    <w:name w:val="Body Text Indent"/>
    <w:basedOn w:val="Normal"/>
    <w:rsid w:val="009E01A1"/>
    <w:pPr>
      <w:spacing w:before="240"/>
    </w:pPr>
  </w:style>
  <w:style w:type="paragraph" w:styleId="BlockText">
    <w:name w:val="Block Text"/>
    <w:basedOn w:val="Normal"/>
    <w:rsid w:val="009E01A1"/>
    <w:pPr>
      <w:ind w:right="-18"/>
    </w:pPr>
  </w:style>
  <w:style w:type="paragraph" w:styleId="BodyTextIndent2">
    <w:name w:val="Body Text Indent 2"/>
    <w:basedOn w:val="Normal"/>
    <w:link w:val="BodyTextIndent2Char"/>
    <w:rsid w:val="009E01A1"/>
    <w:pPr>
      <w:spacing w:before="240"/>
    </w:pPr>
    <w:rPr>
      <w:b/>
    </w:rPr>
  </w:style>
  <w:style w:type="paragraph" w:styleId="DocumentMap">
    <w:name w:val="Document Map"/>
    <w:basedOn w:val="Normal"/>
    <w:semiHidden/>
    <w:rsid w:val="009E01A1"/>
    <w:pPr>
      <w:shd w:val="clear" w:color="auto" w:fill="000080"/>
    </w:pPr>
    <w:rPr>
      <w:rFonts w:ascii="Tahoma" w:hAnsi="Tahoma"/>
    </w:rPr>
  </w:style>
  <w:style w:type="paragraph" w:styleId="BodyTextIndent3">
    <w:name w:val="Body Text Indent 3"/>
    <w:basedOn w:val="Normal"/>
    <w:rsid w:val="009E01A1"/>
    <w:pPr>
      <w:ind w:firstLine="720"/>
    </w:pPr>
  </w:style>
  <w:style w:type="paragraph" w:styleId="BalloonText">
    <w:name w:val="Balloon Text"/>
    <w:basedOn w:val="Normal"/>
    <w:semiHidden/>
    <w:rsid w:val="009E01A1"/>
    <w:rPr>
      <w:rFonts w:ascii="Tahoma" w:hAnsi="Tahoma" w:cs="Tahoma"/>
      <w:sz w:val="16"/>
      <w:szCs w:val="16"/>
    </w:rPr>
  </w:style>
  <w:style w:type="character" w:styleId="CommentReference">
    <w:name w:val="annotation reference"/>
    <w:semiHidden/>
    <w:rsid w:val="009E01A1"/>
    <w:rPr>
      <w:rFonts w:cs="Times New Roman"/>
      <w:sz w:val="16"/>
      <w:szCs w:val="16"/>
    </w:rPr>
  </w:style>
  <w:style w:type="paragraph" w:styleId="CommentText">
    <w:name w:val="annotation text"/>
    <w:basedOn w:val="Normal"/>
    <w:semiHidden/>
    <w:rsid w:val="009E01A1"/>
    <w:rPr>
      <w:sz w:val="20"/>
    </w:rPr>
  </w:style>
  <w:style w:type="paragraph" w:styleId="CommentSubject">
    <w:name w:val="annotation subject"/>
    <w:basedOn w:val="CommentText"/>
    <w:next w:val="CommentText"/>
    <w:semiHidden/>
    <w:rsid w:val="009E01A1"/>
    <w:rPr>
      <w:b/>
      <w:bCs/>
    </w:rPr>
  </w:style>
  <w:style w:type="character" w:styleId="Hyperlink">
    <w:name w:val="Hyperlink"/>
    <w:rsid w:val="009E01A1"/>
    <w:rPr>
      <w:rFonts w:cs="Times New Roman"/>
      <w:color w:val="0000FF"/>
      <w:u w:val="single"/>
    </w:rPr>
  </w:style>
  <w:style w:type="paragraph" w:styleId="Revision">
    <w:name w:val="Revision"/>
    <w:hidden/>
    <w:semiHidden/>
    <w:rsid w:val="009E01A1"/>
    <w:rPr>
      <w:rFonts w:ascii="Arial" w:hAnsi="Arial"/>
      <w:sz w:val="24"/>
    </w:rPr>
  </w:style>
  <w:style w:type="character" w:styleId="FollowedHyperlink">
    <w:name w:val="FollowedHyperlink"/>
    <w:semiHidden/>
    <w:rsid w:val="00120CB2"/>
    <w:rPr>
      <w:rFonts w:cs="Times New Roman"/>
      <w:color w:val="800080"/>
      <w:u w:val="single"/>
    </w:rPr>
  </w:style>
  <w:style w:type="paragraph" w:styleId="BodyText">
    <w:name w:val="Body Text"/>
    <w:basedOn w:val="Normal"/>
    <w:rsid w:val="00E25A3B"/>
    <w:pPr>
      <w:spacing w:after="120"/>
    </w:pPr>
  </w:style>
  <w:style w:type="paragraph" w:styleId="BodyText2">
    <w:name w:val="Body Text 2"/>
    <w:basedOn w:val="Normal"/>
    <w:rsid w:val="00E25A3B"/>
    <w:pPr>
      <w:spacing w:after="120"/>
    </w:pPr>
  </w:style>
  <w:style w:type="paragraph" w:styleId="BodyText3">
    <w:name w:val="Body Text 3"/>
    <w:basedOn w:val="Normal"/>
    <w:rsid w:val="00E25A3B"/>
    <w:pPr>
      <w:spacing w:after="120"/>
    </w:pPr>
    <w:rPr>
      <w:sz w:val="16"/>
      <w:szCs w:val="16"/>
    </w:rPr>
  </w:style>
  <w:style w:type="paragraph" w:styleId="BodyTextFirstIndent">
    <w:name w:val="Body Text First Indent"/>
    <w:basedOn w:val="BodyText"/>
    <w:rsid w:val="00E25A3B"/>
    <w:pPr>
      <w:ind w:firstLine="210"/>
    </w:pPr>
  </w:style>
  <w:style w:type="paragraph" w:styleId="BodyTextFirstIndent2">
    <w:name w:val="Body Text First Indent 2"/>
    <w:basedOn w:val="BodyTextIndent"/>
    <w:rsid w:val="00E25A3B"/>
    <w:pPr>
      <w:spacing w:before="0" w:after="120"/>
      <w:ind w:left="360" w:firstLine="210"/>
    </w:pPr>
  </w:style>
  <w:style w:type="paragraph" w:styleId="Caption">
    <w:name w:val="caption"/>
    <w:basedOn w:val="Normal"/>
    <w:next w:val="Normal"/>
    <w:qFormat/>
    <w:rsid w:val="00E25A3B"/>
    <w:pPr>
      <w:spacing w:before="120" w:after="120"/>
    </w:pPr>
    <w:rPr>
      <w:b/>
      <w:bCs/>
      <w:sz w:val="20"/>
    </w:rPr>
  </w:style>
  <w:style w:type="paragraph" w:styleId="Closing">
    <w:name w:val="Closing"/>
    <w:basedOn w:val="Normal"/>
    <w:rsid w:val="00E25A3B"/>
    <w:pPr>
      <w:ind w:left="4320"/>
    </w:pPr>
  </w:style>
  <w:style w:type="paragraph" w:styleId="Date">
    <w:name w:val="Date"/>
    <w:basedOn w:val="Normal"/>
    <w:next w:val="Normal"/>
    <w:rsid w:val="00E25A3B"/>
  </w:style>
  <w:style w:type="paragraph" w:styleId="E-mailSignature">
    <w:name w:val="E-mail Signature"/>
    <w:basedOn w:val="Normal"/>
    <w:rsid w:val="00E25A3B"/>
  </w:style>
  <w:style w:type="paragraph" w:styleId="EndnoteText">
    <w:name w:val="endnote text"/>
    <w:basedOn w:val="Normal"/>
    <w:semiHidden/>
    <w:rsid w:val="00E25A3B"/>
    <w:rPr>
      <w:sz w:val="20"/>
    </w:rPr>
  </w:style>
  <w:style w:type="paragraph" w:styleId="EnvelopeAddress">
    <w:name w:val="envelope address"/>
    <w:basedOn w:val="Normal"/>
    <w:rsid w:val="00E25A3B"/>
    <w:pPr>
      <w:framePr w:w="7920" w:h="1980" w:hRule="exact" w:hSpace="180" w:wrap="auto" w:hAnchor="page" w:xAlign="center" w:yAlign="bottom"/>
      <w:ind w:left="2880"/>
    </w:pPr>
    <w:rPr>
      <w:rFonts w:cs="Arial"/>
      <w:szCs w:val="24"/>
    </w:rPr>
  </w:style>
  <w:style w:type="paragraph" w:styleId="EnvelopeReturn">
    <w:name w:val="envelope return"/>
    <w:basedOn w:val="Normal"/>
    <w:rsid w:val="00E25A3B"/>
    <w:rPr>
      <w:rFonts w:cs="Arial"/>
      <w:sz w:val="20"/>
    </w:rPr>
  </w:style>
  <w:style w:type="paragraph" w:styleId="HTMLAddress">
    <w:name w:val="HTML Address"/>
    <w:basedOn w:val="Normal"/>
    <w:rsid w:val="00E25A3B"/>
    <w:rPr>
      <w:i/>
      <w:iCs/>
    </w:rPr>
  </w:style>
  <w:style w:type="paragraph" w:styleId="HTMLPreformatted">
    <w:name w:val="HTML Preformatted"/>
    <w:basedOn w:val="Normal"/>
    <w:rsid w:val="00E25A3B"/>
    <w:rPr>
      <w:rFonts w:ascii="Courier New" w:hAnsi="Courier New" w:cs="Courier New"/>
      <w:sz w:val="20"/>
    </w:rPr>
  </w:style>
  <w:style w:type="paragraph" w:styleId="Index1">
    <w:name w:val="index 1"/>
    <w:basedOn w:val="Normal"/>
    <w:next w:val="Normal"/>
    <w:autoRedefine/>
    <w:semiHidden/>
    <w:rsid w:val="00E25A3B"/>
    <w:pPr>
      <w:ind w:left="240" w:hanging="240"/>
    </w:pPr>
  </w:style>
  <w:style w:type="paragraph" w:styleId="Index2">
    <w:name w:val="index 2"/>
    <w:basedOn w:val="Normal"/>
    <w:next w:val="Normal"/>
    <w:autoRedefine/>
    <w:semiHidden/>
    <w:rsid w:val="00E25A3B"/>
    <w:pPr>
      <w:ind w:left="480" w:hanging="240"/>
    </w:pPr>
  </w:style>
  <w:style w:type="paragraph" w:styleId="Index3">
    <w:name w:val="index 3"/>
    <w:basedOn w:val="Normal"/>
    <w:next w:val="Normal"/>
    <w:autoRedefine/>
    <w:semiHidden/>
    <w:rsid w:val="00E25A3B"/>
    <w:pPr>
      <w:ind w:hanging="240"/>
    </w:pPr>
  </w:style>
  <w:style w:type="paragraph" w:styleId="Index4">
    <w:name w:val="index 4"/>
    <w:basedOn w:val="Normal"/>
    <w:next w:val="Normal"/>
    <w:autoRedefine/>
    <w:semiHidden/>
    <w:rsid w:val="00E25A3B"/>
    <w:pPr>
      <w:ind w:left="960" w:hanging="240"/>
    </w:pPr>
  </w:style>
  <w:style w:type="paragraph" w:styleId="Index5">
    <w:name w:val="index 5"/>
    <w:basedOn w:val="Normal"/>
    <w:next w:val="Normal"/>
    <w:autoRedefine/>
    <w:semiHidden/>
    <w:rsid w:val="00E25A3B"/>
    <w:pPr>
      <w:ind w:left="1200" w:hanging="240"/>
    </w:pPr>
  </w:style>
  <w:style w:type="paragraph" w:styleId="Index6">
    <w:name w:val="index 6"/>
    <w:basedOn w:val="Normal"/>
    <w:next w:val="Normal"/>
    <w:autoRedefine/>
    <w:semiHidden/>
    <w:rsid w:val="00E25A3B"/>
    <w:pPr>
      <w:ind w:left="1440" w:hanging="240"/>
    </w:pPr>
  </w:style>
  <w:style w:type="paragraph" w:styleId="Index7">
    <w:name w:val="index 7"/>
    <w:basedOn w:val="Normal"/>
    <w:next w:val="Normal"/>
    <w:autoRedefine/>
    <w:semiHidden/>
    <w:rsid w:val="00E25A3B"/>
    <w:pPr>
      <w:ind w:left="1680" w:hanging="240"/>
    </w:pPr>
  </w:style>
  <w:style w:type="paragraph" w:styleId="Index8">
    <w:name w:val="index 8"/>
    <w:basedOn w:val="Normal"/>
    <w:next w:val="Normal"/>
    <w:autoRedefine/>
    <w:semiHidden/>
    <w:rsid w:val="00E25A3B"/>
    <w:pPr>
      <w:ind w:left="1920" w:hanging="240"/>
    </w:pPr>
  </w:style>
  <w:style w:type="paragraph" w:styleId="Index9">
    <w:name w:val="index 9"/>
    <w:basedOn w:val="Normal"/>
    <w:next w:val="Normal"/>
    <w:autoRedefine/>
    <w:semiHidden/>
    <w:rsid w:val="00E25A3B"/>
    <w:pPr>
      <w:ind w:left="2160" w:hanging="240"/>
    </w:pPr>
  </w:style>
  <w:style w:type="paragraph" w:styleId="IndexHeading">
    <w:name w:val="index heading"/>
    <w:basedOn w:val="Normal"/>
    <w:next w:val="Index1"/>
    <w:semiHidden/>
    <w:rsid w:val="00E25A3B"/>
    <w:rPr>
      <w:rFonts w:cs="Arial"/>
      <w:b/>
      <w:bCs/>
    </w:rPr>
  </w:style>
  <w:style w:type="paragraph" w:styleId="List">
    <w:name w:val="List"/>
    <w:basedOn w:val="Normal"/>
    <w:rsid w:val="00E25A3B"/>
    <w:pPr>
      <w:ind w:left="360" w:hanging="360"/>
    </w:pPr>
  </w:style>
  <w:style w:type="paragraph" w:styleId="List2">
    <w:name w:val="List 2"/>
    <w:basedOn w:val="Normal"/>
    <w:rsid w:val="00E25A3B"/>
    <w:pPr>
      <w:ind w:hanging="360"/>
    </w:pPr>
  </w:style>
  <w:style w:type="paragraph" w:styleId="List3">
    <w:name w:val="List 3"/>
    <w:basedOn w:val="Normal"/>
    <w:rsid w:val="00E25A3B"/>
    <w:pPr>
      <w:ind w:left="1080" w:hanging="360"/>
    </w:pPr>
  </w:style>
  <w:style w:type="paragraph" w:styleId="List4">
    <w:name w:val="List 4"/>
    <w:basedOn w:val="Normal"/>
    <w:rsid w:val="00E25A3B"/>
    <w:pPr>
      <w:ind w:left="1440" w:hanging="360"/>
    </w:pPr>
  </w:style>
  <w:style w:type="paragraph" w:styleId="List5">
    <w:name w:val="List 5"/>
    <w:basedOn w:val="Normal"/>
    <w:rsid w:val="00E25A3B"/>
    <w:pPr>
      <w:ind w:left="1800" w:hanging="360"/>
    </w:pPr>
  </w:style>
  <w:style w:type="paragraph" w:styleId="ListBullet">
    <w:name w:val="List Bullet"/>
    <w:basedOn w:val="Normal"/>
    <w:autoRedefine/>
    <w:rsid w:val="00E25A3B"/>
    <w:pPr>
      <w:numPr>
        <w:numId w:val="14"/>
      </w:numPr>
    </w:pPr>
  </w:style>
  <w:style w:type="paragraph" w:styleId="ListBullet2">
    <w:name w:val="List Bullet 2"/>
    <w:basedOn w:val="Normal"/>
    <w:autoRedefine/>
    <w:rsid w:val="00E25A3B"/>
    <w:pPr>
      <w:numPr>
        <w:numId w:val="15"/>
      </w:numPr>
    </w:pPr>
  </w:style>
  <w:style w:type="paragraph" w:styleId="ListBullet3">
    <w:name w:val="List Bullet 3"/>
    <w:basedOn w:val="Normal"/>
    <w:autoRedefine/>
    <w:rsid w:val="00E25A3B"/>
    <w:pPr>
      <w:numPr>
        <w:numId w:val="16"/>
      </w:numPr>
    </w:pPr>
  </w:style>
  <w:style w:type="paragraph" w:styleId="ListBullet4">
    <w:name w:val="List Bullet 4"/>
    <w:basedOn w:val="Normal"/>
    <w:autoRedefine/>
    <w:rsid w:val="00E25A3B"/>
    <w:pPr>
      <w:numPr>
        <w:numId w:val="17"/>
      </w:numPr>
    </w:pPr>
  </w:style>
  <w:style w:type="paragraph" w:styleId="ListBullet5">
    <w:name w:val="List Bullet 5"/>
    <w:basedOn w:val="Normal"/>
    <w:autoRedefine/>
    <w:rsid w:val="00E25A3B"/>
    <w:pPr>
      <w:numPr>
        <w:numId w:val="18"/>
      </w:numPr>
    </w:pPr>
  </w:style>
  <w:style w:type="paragraph" w:styleId="ListContinue">
    <w:name w:val="List Continue"/>
    <w:basedOn w:val="Normal"/>
    <w:rsid w:val="00E25A3B"/>
    <w:pPr>
      <w:spacing w:after="120"/>
      <w:ind w:left="360"/>
    </w:pPr>
  </w:style>
  <w:style w:type="paragraph" w:styleId="ListContinue2">
    <w:name w:val="List Continue 2"/>
    <w:basedOn w:val="Normal"/>
    <w:rsid w:val="00E25A3B"/>
    <w:pPr>
      <w:spacing w:after="120"/>
    </w:pPr>
  </w:style>
  <w:style w:type="paragraph" w:styleId="ListContinue3">
    <w:name w:val="List Continue 3"/>
    <w:basedOn w:val="Normal"/>
    <w:rsid w:val="00E25A3B"/>
    <w:pPr>
      <w:spacing w:after="120"/>
      <w:ind w:left="1080"/>
    </w:pPr>
  </w:style>
  <w:style w:type="paragraph" w:styleId="ListContinue4">
    <w:name w:val="List Continue 4"/>
    <w:basedOn w:val="Normal"/>
    <w:rsid w:val="00E25A3B"/>
    <w:pPr>
      <w:spacing w:after="120"/>
      <w:ind w:left="1440"/>
    </w:pPr>
  </w:style>
  <w:style w:type="paragraph" w:styleId="ListContinue5">
    <w:name w:val="List Continue 5"/>
    <w:basedOn w:val="Normal"/>
    <w:rsid w:val="00E25A3B"/>
    <w:pPr>
      <w:spacing w:after="120"/>
      <w:ind w:left="1800"/>
    </w:pPr>
  </w:style>
  <w:style w:type="paragraph" w:styleId="ListNumber">
    <w:name w:val="List Number"/>
    <w:basedOn w:val="Normal"/>
    <w:rsid w:val="00E25A3B"/>
    <w:pPr>
      <w:numPr>
        <w:numId w:val="19"/>
      </w:numPr>
    </w:pPr>
  </w:style>
  <w:style w:type="paragraph" w:styleId="ListNumber2">
    <w:name w:val="List Number 2"/>
    <w:basedOn w:val="Normal"/>
    <w:rsid w:val="00E25A3B"/>
    <w:pPr>
      <w:numPr>
        <w:numId w:val="20"/>
      </w:numPr>
    </w:pPr>
  </w:style>
  <w:style w:type="paragraph" w:styleId="ListNumber3">
    <w:name w:val="List Number 3"/>
    <w:basedOn w:val="Normal"/>
    <w:rsid w:val="00E25A3B"/>
    <w:pPr>
      <w:numPr>
        <w:numId w:val="21"/>
      </w:numPr>
    </w:pPr>
  </w:style>
  <w:style w:type="paragraph" w:styleId="ListNumber4">
    <w:name w:val="List Number 4"/>
    <w:basedOn w:val="Normal"/>
    <w:rsid w:val="00E25A3B"/>
    <w:pPr>
      <w:numPr>
        <w:numId w:val="22"/>
      </w:numPr>
    </w:pPr>
  </w:style>
  <w:style w:type="paragraph" w:styleId="ListNumber5">
    <w:name w:val="List Number 5"/>
    <w:basedOn w:val="Normal"/>
    <w:rsid w:val="00E25A3B"/>
    <w:pPr>
      <w:numPr>
        <w:numId w:val="23"/>
      </w:numPr>
    </w:pPr>
  </w:style>
  <w:style w:type="paragraph" w:styleId="MacroText">
    <w:name w:val="macro"/>
    <w:semiHidden/>
    <w:rsid w:val="00E25A3B"/>
    <w:pPr>
      <w:tabs>
        <w:tab w:val="left" w:pos="480"/>
        <w:tab w:val="left" w:pos="960"/>
        <w:tab w:val="left" w:pos="1440"/>
        <w:tab w:val="left" w:pos="1920"/>
        <w:tab w:val="left" w:pos="2400"/>
        <w:tab w:val="left" w:pos="2880"/>
        <w:tab w:val="left" w:pos="3360"/>
        <w:tab w:val="left" w:pos="3840"/>
        <w:tab w:val="left" w:pos="4320"/>
      </w:tabs>
      <w:spacing w:line="480" w:lineRule="auto"/>
      <w:ind w:left="720" w:hanging="720"/>
      <w:jc w:val="both"/>
    </w:pPr>
    <w:rPr>
      <w:rFonts w:ascii="Courier New" w:hAnsi="Courier New" w:cs="Courier New"/>
    </w:rPr>
  </w:style>
  <w:style w:type="paragraph" w:styleId="MessageHeader">
    <w:name w:val="Message Header"/>
    <w:basedOn w:val="Normal"/>
    <w:rsid w:val="00E25A3B"/>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E25A3B"/>
    <w:rPr>
      <w:rFonts w:ascii="Times New Roman" w:hAnsi="Times New Roman"/>
      <w:szCs w:val="24"/>
    </w:rPr>
  </w:style>
  <w:style w:type="paragraph" w:styleId="NormalIndent">
    <w:name w:val="Normal Indent"/>
    <w:basedOn w:val="Normal"/>
    <w:rsid w:val="00E25A3B"/>
  </w:style>
  <w:style w:type="paragraph" w:styleId="NoteHeading">
    <w:name w:val="Note Heading"/>
    <w:basedOn w:val="Normal"/>
    <w:next w:val="Normal"/>
    <w:rsid w:val="00E25A3B"/>
  </w:style>
  <w:style w:type="paragraph" w:styleId="PlainText">
    <w:name w:val="Plain Text"/>
    <w:basedOn w:val="Normal"/>
    <w:rsid w:val="00E25A3B"/>
    <w:rPr>
      <w:rFonts w:ascii="Courier New" w:hAnsi="Courier New" w:cs="Courier New"/>
      <w:sz w:val="20"/>
    </w:rPr>
  </w:style>
  <w:style w:type="paragraph" w:styleId="Salutation">
    <w:name w:val="Salutation"/>
    <w:basedOn w:val="Normal"/>
    <w:next w:val="Normal"/>
    <w:rsid w:val="00E25A3B"/>
  </w:style>
  <w:style w:type="paragraph" w:styleId="Signature">
    <w:name w:val="Signature"/>
    <w:basedOn w:val="Normal"/>
    <w:rsid w:val="00E25A3B"/>
    <w:pPr>
      <w:ind w:left="4320"/>
    </w:pPr>
  </w:style>
  <w:style w:type="paragraph" w:styleId="Subtitle">
    <w:name w:val="Subtitle"/>
    <w:basedOn w:val="Normal"/>
    <w:qFormat/>
    <w:rsid w:val="00E25A3B"/>
    <w:pPr>
      <w:spacing w:after="60"/>
      <w:jc w:val="center"/>
      <w:outlineLvl w:val="1"/>
    </w:pPr>
    <w:rPr>
      <w:rFonts w:cs="Arial"/>
      <w:szCs w:val="24"/>
    </w:rPr>
  </w:style>
  <w:style w:type="paragraph" w:styleId="TableofAuthorities">
    <w:name w:val="table of authorities"/>
    <w:basedOn w:val="Normal"/>
    <w:next w:val="Normal"/>
    <w:semiHidden/>
    <w:rsid w:val="00E25A3B"/>
    <w:pPr>
      <w:ind w:left="240" w:hanging="240"/>
    </w:pPr>
  </w:style>
  <w:style w:type="paragraph" w:styleId="TableofFigures">
    <w:name w:val="table of figures"/>
    <w:basedOn w:val="Normal"/>
    <w:next w:val="Normal"/>
    <w:semiHidden/>
    <w:rsid w:val="00E25A3B"/>
    <w:pPr>
      <w:ind w:left="480" w:hanging="480"/>
    </w:pPr>
  </w:style>
  <w:style w:type="paragraph" w:styleId="Title">
    <w:name w:val="Title"/>
    <w:basedOn w:val="Normal"/>
    <w:qFormat/>
    <w:rsid w:val="00E25A3B"/>
    <w:pPr>
      <w:spacing w:before="240" w:after="60"/>
      <w:jc w:val="center"/>
      <w:outlineLvl w:val="0"/>
    </w:pPr>
    <w:rPr>
      <w:rFonts w:cs="Arial"/>
      <w:b/>
      <w:bCs/>
      <w:kern w:val="28"/>
      <w:sz w:val="32"/>
      <w:szCs w:val="32"/>
    </w:rPr>
  </w:style>
  <w:style w:type="paragraph" w:styleId="TOAHeading">
    <w:name w:val="toa heading"/>
    <w:basedOn w:val="Normal"/>
    <w:next w:val="Normal"/>
    <w:semiHidden/>
    <w:rsid w:val="00E25A3B"/>
    <w:pPr>
      <w:spacing w:before="120"/>
    </w:pPr>
    <w:rPr>
      <w:rFonts w:cs="Arial"/>
      <w:b/>
      <w:bCs/>
      <w:szCs w:val="24"/>
    </w:rPr>
  </w:style>
  <w:style w:type="paragraph" w:styleId="TOC1">
    <w:name w:val="toc 1"/>
    <w:basedOn w:val="Normal"/>
    <w:next w:val="Normal"/>
    <w:autoRedefine/>
    <w:semiHidden/>
    <w:rsid w:val="00E25A3B"/>
    <w:pPr>
      <w:ind w:left="0"/>
    </w:pPr>
  </w:style>
  <w:style w:type="paragraph" w:styleId="TOC2">
    <w:name w:val="toc 2"/>
    <w:basedOn w:val="Normal"/>
    <w:next w:val="Normal"/>
    <w:autoRedefine/>
    <w:semiHidden/>
    <w:rsid w:val="00E25A3B"/>
    <w:pPr>
      <w:ind w:left="240"/>
    </w:pPr>
  </w:style>
  <w:style w:type="paragraph" w:styleId="TOC3">
    <w:name w:val="toc 3"/>
    <w:basedOn w:val="Normal"/>
    <w:next w:val="Normal"/>
    <w:autoRedefine/>
    <w:semiHidden/>
    <w:rsid w:val="00E25A3B"/>
    <w:pPr>
      <w:ind w:left="480"/>
    </w:pPr>
  </w:style>
  <w:style w:type="paragraph" w:styleId="TOC4">
    <w:name w:val="toc 4"/>
    <w:basedOn w:val="Normal"/>
    <w:next w:val="Normal"/>
    <w:autoRedefine/>
    <w:semiHidden/>
    <w:rsid w:val="00E25A3B"/>
  </w:style>
  <w:style w:type="paragraph" w:styleId="TOC5">
    <w:name w:val="toc 5"/>
    <w:basedOn w:val="Normal"/>
    <w:next w:val="Normal"/>
    <w:autoRedefine/>
    <w:semiHidden/>
    <w:rsid w:val="00E25A3B"/>
    <w:pPr>
      <w:ind w:left="960"/>
    </w:pPr>
  </w:style>
  <w:style w:type="paragraph" w:styleId="TOC6">
    <w:name w:val="toc 6"/>
    <w:basedOn w:val="Normal"/>
    <w:next w:val="Normal"/>
    <w:autoRedefine/>
    <w:semiHidden/>
    <w:rsid w:val="00E25A3B"/>
    <w:pPr>
      <w:ind w:left="1200"/>
    </w:pPr>
  </w:style>
  <w:style w:type="paragraph" w:styleId="TOC7">
    <w:name w:val="toc 7"/>
    <w:basedOn w:val="Normal"/>
    <w:next w:val="Normal"/>
    <w:autoRedefine/>
    <w:semiHidden/>
    <w:rsid w:val="00E25A3B"/>
    <w:pPr>
      <w:ind w:left="1440"/>
    </w:pPr>
  </w:style>
  <w:style w:type="paragraph" w:styleId="TOC8">
    <w:name w:val="toc 8"/>
    <w:basedOn w:val="Normal"/>
    <w:next w:val="Normal"/>
    <w:autoRedefine/>
    <w:semiHidden/>
    <w:rsid w:val="00E25A3B"/>
    <w:pPr>
      <w:ind w:left="1680"/>
    </w:pPr>
  </w:style>
  <w:style w:type="paragraph" w:styleId="TOC9">
    <w:name w:val="toc 9"/>
    <w:basedOn w:val="Normal"/>
    <w:next w:val="Normal"/>
    <w:autoRedefine/>
    <w:semiHidden/>
    <w:rsid w:val="00E25A3B"/>
    <w:pPr>
      <w:ind w:left="1920"/>
    </w:pPr>
  </w:style>
  <w:style w:type="character" w:customStyle="1" w:styleId="HeaderChar">
    <w:name w:val="Header Char"/>
    <w:link w:val="Header"/>
    <w:locked/>
    <w:rsid w:val="005E4681"/>
    <w:rPr>
      <w:rFonts w:ascii="Arial" w:hAnsi="Arial" w:cs="Times New Roman"/>
      <w:sz w:val="24"/>
    </w:rPr>
  </w:style>
  <w:style w:type="character" w:customStyle="1" w:styleId="FooterChar">
    <w:name w:val="Footer Char"/>
    <w:link w:val="Footer"/>
    <w:locked/>
    <w:rsid w:val="00FE02E0"/>
    <w:rPr>
      <w:rFonts w:ascii="Arial" w:hAnsi="Arial" w:cs="Times New Roman"/>
      <w:sz w:val="24"/>
    </w:rPr>
  </w:style>
  <w:style w:type="paragraph" w:customStyle="1" w:styleId="answer">
    <w:name w:val="answer"/>
    <w:basedOn w:val="Normal"/>
    <w:link w:val="answerChar"/>
    <w:rsid w:val="009D442A"/>
    <w:pPr>
      <w:spacing w:line="540" w:lineRule="atLeast"/>
    </w:pPr>
  </w:style>
  <w:style w:type="character" w:customStyle="1" w:styleId="answerChar">
    <w:name w:val="answer Char"/>
    <w:link w:val="answer"/>
    <w:locked/>
    <w:rsid w:val="009D442A"/>
    <w:rPr>
      <w:rFonts w:ascii="Arial" w:hAnsi="Arial" w:cs="Times New Roman"/>
      <w:sz w:val="24"/>
    </w:rPr>
  </w:style>
  <w:style w:type="character" w:customStyle="1" w:styleId="FootnoteTextChar1">
    <w:name w:val="Footnote Text Char1"/>
    <w:aliases w:val="fn Char,Footnote Text Char Char,Footnote Text Char Char Char Char Char Char Char Char Char Char"/>
    <w:link w:val="FootnoteText"/>
    <w:semiHidden/>
    <w:locked/>
    <w:rsid w:val="006D213C"/>
  </w:style>
  <w:style w:type="character" w:customStyle="1" w:styleId="BodyTextIndent2Char">
    <w:name w:val="Body Text Indent 2 Char"/>
    <w:link w:val="BodyTextIndent2"/>
    <w:rsid w:val="00870EBE"/>
    <w:rPr>
      <w:rFonts w:ascii="Arial" w:hAnsi="Arial"/>
      <w:b/>
      <w:sz w:val="24"/>
    </w:rPr>
  </w:style>
  <w:style w:type="paragraph" w:customStyle="1" w:styleId="EntergyTestimony">
    <w:name w:val="Entergy Testimony"/>
    <w:basedOn w:val="Normal"/>
    <w:qFormat/>
    <w:rsid w:val="00C13ECB"/>
    <w:rPr>
      <w:rFonts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Title" w:locked="1" w:qFormat="1"/>
    <w:lsdException w:name="Default Paragraph Font" w:locked="1" w:uiPriority="1"/>
    <w:lsdException w:name="Subtitle" w:locked="1" w:qFormat="1"/>
    <w:lsdException w:name="Body Text Indent 2" w:locked="1"/>
    <w:lsdException w:name="Strong" w:locked="1" w:qFormat="1"/>
    <w:lsdException w:name="Emphasis" w:locked="1"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13C"/>
    <w:pPr>
      <w:spacing w:line="480" w:lineRule="auto"/>
      <w:ind w:left="720" w:hanging="720"/>
      <w:jc w:val="both"/>
    </w:pPr>
    <w:rPr>
      <w:rFonts w:ascii="Arial" w:hAnsi="Arial"/>
      <w:sz w:val="24"/>
    </w:rPr>
  </w:style>
  <w:style w:type="paragraph" w:styleId="Heading1">
    <w:name w:val="heading 1"/>
    <w:basedOn w:val="Normal"/>
    <w:next w:val="Normal"/>
    <w:qFormat/>
    <w:rsid w:val="009E01A1"/>
    <w:pPr>
      <w:keepNext/>
      <w:jc w:val="center"/>
      <w:outlineLvl w:val="0"/>
    </w:pPr>
    <w:rPr>
      <w:b/>
    </w:rPr>
  </w:style>
  <w:style w:type="paragraph" w:styleId="Heading2">
    <w:name w:val="heading 2"/>
    <w:basedOn w:val="Normal"/>
    <w:next w:val="Normal"/>
    <w:qFormat/>
    <w:rsid w:val="009E01A1"/>
    <w:pPr>
      <w:keepNext/>
      <w:jc w:val="center"/>
      <w:outlineLvl w:val="1"/>
    </w:pPr>
    <w:rPr>
      <w:u w:val="single"/>
    </w:rPr>
  </w:style>
  <w:style w:type="paragraph" w:styleId="Heading3">
    <w:name w:val="heading 3"/>
    <w:basedOn w:val="Normal"/>
    <w:next w:val="Normal"/>
    <w:qFormat/>
    <w:rsid w:val="009E01A1"/>
    <w:pPr>
      <w:keepNext/>
      <w:spacing w:before="240"/>
      <w:jc w:val="center"/>
      <w:outlineLvl w:val="2"/>
    </w:pPr>
    <w:rPr>
      <w:b/>
      <w:u w:val="single"/>
    </w:rPr>
  </w:style>
  <w:style w:type="paragraph" w:styleId="Heading4">
    <w:name w:val="heading 4"/>
    <w:basedOn w:val="Normal"/>
    <w:next w:val="Normal"/>
    <w:qFormat/>
    <w:rsid w:val="009E01A1"/>
    <w:pPr>
      <w:keepNext/>
      <w:spacing w:before="240"/>
      <w:outlineLvl w:val="3"/>
    </w:pPr>
    <w:rPr>
      <w:b/>
    </w:rPr>
  </w:style>
  <w:style w:type="paragraph" w:styleId="Heading5">
    <w:name w:val="heading 5"/>
    <w:basedOn w:val="Normal"/>
    <w:next w:val="Normal"/>
    <w:qFormat/>
    <w:rsid w:val="009E01A1"/>
    <w:pPr>
      <w:keepNext/>
      <w:keepLines/>
      <w:jc w:val="left"/>
      <w:outlineLvl w:val="4"/>
    </w:pPr>
    <w:rPr>
      <w:rFonts w:ascii="Times New Roman" w:hAnsi="Times New Roman"/>
      <w:b/>
      <w:u w:val="single"/>
    </w:rPr>
  </w:style>
  <w:style w:type="paragraph" w:styleId="Heading6">
    <w:name w:val="heading 6"/>
    <w:basedOn w:val="Normal"/>
    <w:next w:val="Normal"/>
    <w:qFormat/>
    <w:rsid w:val="009E01A1"/>
    <w:pPr>
      <w:keepNext/>
      <w:ind w:firstLine="0"/>
      <w:outlineLvl w:val="5"/>
    </w:pPr>
    <w:rPr>
      <w:rFonts w:ascii="Times New Roman" w:hAnsi="Times New Roman"/>
      <w:u w:val="single"/>
    </w:rPr>
  </w:style>
  <w:style w:type="paragraph" w:styleId="Heading7">
    <w:name w:val="heading 7"/>
    <w:basedOn w:val="Normal"/>
    <w:next w:val="Normal"/>
    <w:qFormat/>
    <w:rsid w:val="00E25A3B"/>
    <w:pPr>
      <w:spacing w:before="240" w:after="60"/>
      <w:outlineLvl w:val="6"/>
    </w:pPr>
    <w:rPr>
      <w:rFonts w:ascii="Times New Roman" w:hAnsi="Times New Roman"/>
      <w:szCs w:val="24"/>
    </w:rPr>
  </w:style>
  <w:style w:type="paragraph" w:styleId="Heading8">
    <w:name w:val="heading 8"/>
    <w:basedOn w:val="Normal"/>
    <w:next w:val="Normal"/>
    <w:qFormat/>
    <w:rsid w:val="00E25A3B"/>
    <w:pPr>
      <w:spacing w:before="240" w:after="60"/>
      <w:outlineLvl w:val="7"/>
    </w:pPr>
    <w:rPr>
      <w:rFonts w:ascii="Times New Roman" w:hAnsi="Times New Roman"/>
      <w:i/>
      <w:iCs/>
      <w:szCs w:val="24"/>
    </w:rPr>
  </w:style>
  <w:style w:type="paragraph" w:styleId="Heading9">
    <w:name w:val="heading 9"/>
    <w:basedOn w:val="Normal"/>
    <w:next w:val="Normal"/>
    <w:qFormat/>
    <w:rsid w:val="00E25A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Footnote Text Char Char Char Char Char Char Char Char Char"/>
    <w:basedOn w:val="Normal"/>
    <w:link w:val="FootnoteTextChar1"/>
    <w:semiHidden/>
    <w:rsid w:val="006D213C"/>
    <w:pPr>
      <w:jc w:val="left"/>
    </w:pPr>
    <w:rPr>
      <w:rFonts w:ascii="Times New Roman" w:hAnsi="Times New Roman"/>
      <w:sz w:val="20"/>
    </w:rPr>
  </w:style>
  <w:style w:type="paragraph" w:styleId="Header">
    <w:name w:val="header"/>
    <w:basedOn w:val="Normal"/>
    <w:link w:val="HeaderChar"/>
    <w:rsid w:val="009E01A1"/>
    <w:pPr>
      <w:tabs>
        <w:tab w:val="center" w:pos="4320"/>
        <w:tab w:val="right" w:pos="8640"/>
      </w:tabs>
      <w:jc w:val="left"/>
    </w:pPr>
  </w:style>
  <w:style w:type="paragraph" w:styleId="Footer">
    <w:name w:val="footer"/>
    <w:basedOn w:val="Normal"/>
    <w:link w:val="FooterChar"/>
    <w:rsid w:val="009E01A1"/>
    <w:pPr>
      <w:tabs>
        <w:tab w:val="center" w:pos="4320"/>
        <w:tab w:val="right" w:pos="8640"/>
      </w:tabs>
      <w:jc w:val="left"/>
    </w:pPr>
  </w:style>
  <w:style w:type="character" w:styleId="LineNumber">
    <w:name w:val="line number"/>
    <w:rsid w:val="009E01A1"/>
    <w:rPr>
      <w:rFonts w:ascii="Times New Roman" w:hAnsi="Times New Roman" w:cs="Times New Roman"/>
      <w:sz w:val="24"/>
    </w:rPr>
  </w:style>
  <w:style w:type="character" w:styleId="FootnoteReference">
    <w:name w:val="footnote reference"/>
    <w:semiHidden/>
    <w:rsid w:val="006D213C"/>
    <w:rPr>
      <w:rFonts w:ascii="Times New Roman" w:hAnsi="Times New Roman" w:cs="Times New Roman"/>
      <w:position w:val="6"/>
      <w:sz w:val="16"/>
    </w:rPr>
  </w:style>
  <w:style w:type="character" w:styleId="PageNumber">
    <w:name w:val="page number"/>
    <w:rsid w:val="009E01A1"/>
    <w:rPr>
      <w:rFonts w:cs="Times New Roman"/>
    </w:rPr>
  </w:style>
  <w:style w:type="paragraph" w:styleId="BodyTextIndent">
    <w:name w:val="Body Text Indent"/>
    <w:basedOn w:val="Normal"/>
    <w:rsid w:val="009E01A1"/>
    <w:pPr>
      <w:spacing w:before="240"/>
    </w:pPr>
  </w:style>
  <w:style w:type="paragraph" w:styleId="BlockText">
    <w:name w:val="Block Text"/>
    <w:basedOn w:val="Normal"/>
    <w:rsid w:val="009E01A1"/>
    <w:pPr>
      <w:ind w:right="-18"/>
    </w:pPr>
  </w:style>
  <w:style w:type="paragraph" w:styleId="BodyTextIndent2">
    <w:name w:val="Body Text Indent 2"/>
    <w:basedOn w:val="Normal"/>
    <w:link w:val="BodyTextIndent2Char"/>
    <w:rsid w:val="009E01A1"/>
    <w:pPr>
      <w:spacing w:before="240"/>
    </w:pPr>
    <w:rPr>
      <w:b/>
    </w:rPr>
  </w:style>
  <w:style w:type="paragraph" w:styleId="DocumentMap">
    <w:name w:val="Document Map"/>
    <w:basedOn w:val="Normal"/>
    <w:semiHidden/>
    <w:rsid w:val="009E01A1"/>
    <w:pPr>
      <w:shd w:val="clear" w:color="auto" w:fill="000080"/>
    </w:pPr>
    <w:rPr>
      <w:rFonts w:ascii="Tahoma" w:hAnsi="Tahoma"/>
    </w:rPr>
  </w:style>
  <w:style w:type="paragraph" w:styleId="BodyTextIndent3">
    <w:name w:val="Body Text Indent 3"/>
    <w:basedOn w:val="Normal"/>
    <w:rsid w:val="009E01A1"/>
    <w:pPr>
      <w:ind w:firstLine="720"/>
    </w:pPr>
  </w:style>
  <w:style w:type="paragraph" w:styleId="BalloonText">
    <w:name w:val="Balloon Text"/>
    <w:basedOn w:val="Normal"/>
    <w:semiHidden/>
    <w:rsid w:val="009E01A1"/>
    <w:rPr>
      <w:rFonts w:ascii="Tahoma" w:hAnsi="Tahoma" w:cs="Tahoma"/>
      <w:sz w:val="16"/>
      <w:szCs w:val="16"/>
    </w:rPr>
  </w:style>
  <w:style w:type="character" w:styleId="CommentReference">
    <w:name w:val="annotation reference"/>
    <w:semiHidden/>
    <w:rsid w:val="009E01A1"/>
    <w:rPr>
      <w:rFonts w:cs="Times New Roman"/>
      <w:sz w:val="16"/>
      <w:szCs w:val="16"/>
    </w:rPr>
  </w:style>
  <w:style w:type="paragraph" w:styleId="CommentText">
    <w:name w:val="annotation text"/>
    <w:basedOn w:val="Normal"/>
    <w:semiHidden/>
    <w:rsid w:val="009E01A1"/>
    <w:rPr>
      <w:sz w:val="20"/>
    </w:rPr>
  </w:style>
  <w:style w:type="paragraph" w:styleId="CommentSubject">
    <w:name w:val="annotation subject"/>
    <w:basedOn w:val="CommentText"/>
    <w:next w:val="CommentText"/>
    <w:semiHidden/>
    <w:rsid w:val="009E01A1"/>
    <w:rPr>
      <w:b/>
      <w:bCs/>
    </w:rPr>
  </w:style>
  <w:style w:type="character" w:styleId="Hyperlink">
    <w:name w:val="Hyperlink"/>
    <w:rsid w:val="009E01A1"/>
    <w:rPr>
      <w:rFonts w:cs="Times New Roman"/>
      <w:color w:val="0000FF"/>
      <w:u w:val="single"/>
    </w:rPr>
  </w:style>
  <w:style w:type="paragraph" w:styleId="Revision">
    <w:name w:val="Revision"/>
    <w:hidden/>
    <w:semiHidden/>
    <w:rsid w:val="009E01A1"/>
    <w:rPr>
      <w:rFonts w:ascii="Arial" w:hAnsi="Arial"/>
      <w:sz w:val="24"/>
    </w:rPr>
  </w:style>
  <w:style w:type="character" w:styleId="FollowedHyperlink">
    <w:name w:val="FollowedHyperlink"/>
    <w:semiHidden/>
    <w:rsid w:val="00120CB2"/>
    <w:rPr>
      <w:rFonts w:cs="Times New Roman"/>
      <w:color w:val="800080"/>
      <w:u w:val="single"/>
    </w:rPr>
  </w:style>
  <w:style w:type="paragraph" w:styleId="BodyText">
    <w:name w:val="Body Text"/>
    <w:basedOn w:val="Normal"/>
    <w:rsid w:val="00E25A3B"/>
    <w:pPr>
      <w:spacing w:after="120"/>
    </w:pPr>
  </w:style>
  <w:style w:type="paragraph" w:styleId="BodyText2">
    <w:name w:val="Body Text 2"/>
    <w:basedOn w:val="Normal"/>
    <w:rsid w:val="00E25A3B"/>
    <w:pPr>
      <w:spacing w:after="120"/>
    </w:pPr>
  </w:style>
  <w:style w:type="paragraph" w:styleId="BodyText3">
    <w:name w:val="Body Text 3"/>
    <w:basedOn w:val="Normal"/>
    <w:rsid w:val="00E25A3B"/>
    <w:pPr>
      <w:spacing w:after="120"/>
    </w:pPr>
    <w:rPr>
      <w:sz w:val="16"/>
      <w:szCs w:val="16"/>
    </w:rPr>
  </w:style>
  <w:style w:type="paragraph" w:styleId="BodyTextFirstIndent">
    <w:name w:val="Body Text First Indent"/>
    <w:basedOn w:val="BodyText"/>
    <w:rsid w:val="00E25A3B"/>
    <w:pPr>
      <w:ind w:firstLine="210"/>
    </w:pPr>
  </w:style>
  <w:style w:type="paragraph" w:styleId="BodyTextFirstIndent2">
    <w:name w:val="Body Text First Indent 2"/>
    <w:basedOn w:val="BodyTextIndent"/>
    <w:rsid w:val="00E25A3B"/>
    <w:pPr>
      <w:spacing w:before="0" w:after="120"/>
      <w:ind w:left="360" w:firstLine="210"/>
    </w:pPr>
  </w:style>
  <w:style w:type="paragraph" w:styleId="Caption">
    <w:name w:val="caption"/>
    <w:basedOn w:val="Normal"/>
    <w:next w:val="Normal"/>
    <w:qFormat/>
    <w:rsid w:val="00E25A3B"/>
    <w:pPr>
      <w:spacing w:before="120" w:after="120"/>
    </w:pPr>
    <w:rPr>
      <w:b/>
      <w:bCs/>
      <w:sz w:val="20"/>
    </w:rPr>
  </w:style>
  <w:style w:type="paragraph" w:styleId="Closing">
    <w:name w:val="Closing"/>
    <w:basedOn w:val="Normal"/>
    <w:rsid w:val="00E25A3B"/>
    <w:pPr>
      <w:ind w:left="4320"/>
    </w:pPr>
  </w:style>
  <w:style w:type="paragraph" w:styleId="Date">
    <w:name w:val="Date"/>
    <w:basedOn w:val="Normal"/>
    <w:next w:val="Normal"/>
    <w:rsid w:val="00E25A3B"/>
  </w:style>
  <w:style w:type="paragraph" w:styleId="E-mailSignature">
    <w:name w:val="E-mail Signature"/>
    <w:basedOn w:val="Normal"/>
    <w:rsid w:val="00E25A3B"/>
  </w:style>
  <w:style w:type="paragraph" w:styleId="EndnoteText">
    <w:name w:val="endnote text"/>
    <w:basedOn w:val="Normal"/>
    <w:semiHidden/>
    <w:rsid w:val="00E25A3B"/>
    <w:rPr>
      <w:sz w:val="20"/>
    </w:rPr>
  </w:style>
  <w:style w:type="paragraph" w:styleId="EnvelopeAddress">
    <w:name w:val="envelope address"/>
    <w:basedOn w:val="Normal"/>
    <w:rsid w:val="00E25A3B"/>
    <w:pPr>
      <w:framePr w:w="7920" w:h="1980" w:hRule="exact" w:hSpace="180" w:wrap="auto" w:hAnchor="page" w:xAlign="center" w:yAlign="bottom"/>
      <w:ind w:left="2880"/>
    </w:pPr>
    <w:rPr>
      <w:rFonts w:cs="Arial"/>
      <w:szCs w:val="24"/>
    </w:rPr>
  </w:style>
  <w:style w:type="paragraph" w:styleId="EnvelopeReturn">
    <w:name w:val="envelope return"/>
    <w:basedOn w:val="Normal"/>
    <w:rsid w:val="00E25A3B"/>
    <w:rPr>
      <w:rFonts w:cs="Arial"/>
      <w:sz w:val="20"/>
    </w:rPr>
  </w:style>
  <w:style w:type="paragraph" w:styleId="HTMLAddress">
    <w:name w:val="HTML Address"/>
    <w:basedOn w:val="Normal"/>
    <w:rsid w:val="00E25A3B"/>
    <w:rPr>
      <w:i/>
      <w:iCs/>
    </w:rPr>
  </w:style>
  <w:style w:type="paragraph" w:styleId="HTMLPreformatted">
    <w:name w:val="HTML Preformatted"/>
    <w:basedOn w:val="Normal"/>
    <w:rsid w:val="00E25A3B"/>
    <w:rPr>
      <w:rFonts w:ascii="Courier New" w:hAnsi="Courier New" w:cs="Courier New"/>
      <w:sz w:val="20"/>
    </w:rPr>
  </w:style>
  <w:style w:type="paragraph" w:styleId="Index1">
    <w:name w:val="index 1"/>
    <w:basedOn w:val="Normal"/>
    <w:next w:val="Normal"/>
    <w:autoRedefine/>
    <w:semiHidden/>
    <w:rsid w:val="00E25A3B"/>
    <w:pPr>
      <w:ind w:left="240" w:hanging="240"/>
    </w:pPr>
  </w:style>
  <w:style w:type="paragraph" w:styleId="Index2">
    <w:name w:val="index 2"/>
    <w:basedOn w:val="Normal"/>
    <w:next w:val="Normal"/>
    <w:autoRedefine/>
    <w:semiHidden/>
    <w:rsid w:val="00E25A3B"/>
    <w:pPr>
      <w:ind w:left="480" w:hanging="240"/>
    </w:pPr>
  </w:style>
  <w:style w:type="paragraph" w:styleId="Index3">
    <w:name w:val="index 3"/>
    <w:basedOn w:val="Normal"/>
    <w:next w:val="Normal"/>
    <w:autoRedefine/>
    <w:semiHidden/>
    <w:rsid w:val="00E25A3B"/>
    <w:pPr>
      <w:ind w:hanging="240"/>
    </w:pPr>
  </w:style>
  <w:style w:type="paragraph" w:styleId="Index4">
    <w:name w:val="index 4"/>
    <w:basedOn w:val="Normal"/>
    <w:next w:val="Normal"/>
    <w:autoRedefine/>
    <w:semiHidden/>
    <w:rsid w:val="00E25A3B"/>
    <w:pPr>
      <w:ind w:left="960" w:hanging="240"/>
    </w:pPr>
  </w:style>
  <w:style w:type="paragraph" w:styleId="Index5">
    <w:name w:val="index 5"/>
    <w:basedOn w:val="Normal"/>
    <w:next w:val="Normal"/>
    <w:autoRedefine/>
    <w:semiHidden/>
    <w:rsid w:val="00E25A3B"/>
    <w:pPr>
      <w:ind w:left="1200" w:hanging="240"/>
    </w:pPr>
  </w:style>
  <w:style w:type="paragraph" w:styleId="Index6">
    <w:name w:val="index 6"/>
    <w:basedOn w:val="Normal"/>
    <w:next w:val="Normal"/>
    <w:autoRedefine/>
    <w:semiHidden/>
    <w:rsid w:val="00E25A3B"/>
    <w:pPr>
      <w:ind w:left="1440" w:hanging="240"/>
    </w:pPr>
  </w:style>
  <w:style w:type="paragraph" w:styleId="Index7">
    <w:name w:val="index 7"/>
    <w:basedOn w:val="Normal"/>
    <w:next w:val="Normal"/>
    <w:autoRedefine/>
    <w:semiHidden/>
    <w:rsid w:val="00E25A3B"/>
    <w:pPr>
      <w:ind w:left="1680" w:hanging="240"/>
    </w:pPr>
  </w:style>
  <w:style w:type="paragraph" w:styleId="Index8">
    <w:name w:val="index 8"/>
    <w:basedOn w:val="Normal"/>
    <w:next w:val="Normal"/>
    <w:autoRedefine/>
    <w:semiHidden/>
    <w:rsid w:val="00E25A3B"/>
    <w:pPr>
      <w:ind w:left="1920" w:hanging="240"/>
    </w:pPr>
  </w:style>
  <w:style w:type="paragraph" w:styleId="Index9">
    <w:name w:val="index 9"/>
    <w:basedOn w:val="Normal"/>
    <w:next w:val="Normal"/>
    <w:autoRedefine/>
    <w:semiHidden/>
    <w:rsid w:val="00E25A3B"/>
    <w:pPr>
      <w:ind w:left="2160" w:hanging="240"/>
    </w:pPr>
  </w:style>
  <w:style w:type="paragraph" w:styleId="IndexHeading">
    <w:name w:val="index heading"/>
    <w:basedOn w:val="Normal"/>
    <w:next w:val="Index1"/>
    <w:semiHidden/>
    <w:rsid w:val="00E25A3B"/>
    <w:rPr>
      <w:rFonts w:cs="Arial"/>
      <w:b/>
      <w:bCs/>
    </w:rPr>
  </w:style>
  <w:style w:type="paragraph" w:styleId="List">
    <w:name w:val="List"/>
    <w:basedOn w:val="Normal"/>
    <w:rsid w:val="00E25A3B"/>
    <w:pPr>
      <w:ind w:left="360" w:hanging="360"/>
    </w:pPr>
  </w:style>
  <w:style w:type="paragraph" w:styleId="List2">
    <w:name w:val="List 2"/>
    <w:basedOn w:val="Normal"/>
    <w:rsid w:val="00E25A3B"/>
    <w:pPr>
      <w:ind w:hanging="360"/>
    </w:pPr>
  </w:style>
  <w:style w:type="paragraph" w:styleId="List3">
    <w:name w:val="List 3"/>
    <w:basedOn w:val="Normal"/>
    <w:rsid w:val="00E25A3B"/>
    <w:pPr>
      <w:ind w:left="1080" w:hanging="360"/>
    </w:pPr>
  </w:style>
  <w:style w:type="paragraph" w:styleId="List4">
    <w:name w:val="List 4"/>
    <w:basedOn w:val="Normal"/>
    <w:rsid w:val="00E25A3B"/>
    <w:pPr>
      <w:ind w:left="1440" w:hanging="360"/>
    </w:pPr>
  </w:style>
  <w:style w:type="paragraph" w:styleId="List5">
    <w:name w:val="List 5"/>
    <w:basedOn w:val="Normal"/>
    <w:rsid w:val="00E25A3B"/>
    <w:pPr>
      <w:ind w:left="1800" w:hanging="360"/>
    </w:pPr>
  </w:style>
  <w:style w:type="paragraph" w:styleId="ListBullet">
    <w:name w:val="List Bullet"/>
    <w:basedOn w:val="Normal"/>
    <w:autoRedefine/>
    <w:rsid w:val="00E25A3B"/>
    <w:pPr>
      <w:numPr>
        <w:numId w:val="14"/>
      </w:numPr>
    </w:pPr>
  </w:style>
  <w:style w:type="paragraph" w:styleId="ListBullet2">
    <w:name w:val="List Bullet 2"/>
    <w:basedOn w:val="Normal"/>
    <w:autoRedefine/>
    <w:rsid w:val="00E25A3B"/>
    <w:pPr>
      <w:numPr>
        <w:numId w:val="15"/>
      </w:numPr>
    </w:pPr>
  </w:style>
  <w:style w:type="paragraph" w:styleId="ListBullet3">
    <w:name w:val="List Bullet 3"/>
    <w:basedOn w:val="Normal"/>
    <w:autoRedefine/>
    <w:rsid w:val="00E25A3B"/>
    <w:pPr>
      <w:numPr>
        <w:numId w:val="16"/>
      </w:numPr>
    </w:pPr>
  </w:style>
  <w:style w:type="paragraph" w:styleId="ListBullet4">
    <w:name w:val="List Bullet 4"/>
    <w:basedOn w:val="Normal"/>
    <w:autoRedefine/>
    <w:rsid w:val="00E25A3B"/>
    <w:pPr>
      <w:numPr>
        <w:numId w:val="17"/>
      </w:numPr>
    </w:pPr>
  </w:style>
  <w:style w:type="paragraph" w:styleId="ListBullet5">
    <w:name w:val="List Bullet 5"/>
    <w:basedOn w:val="Normal"/>
    <w:autoRedefine/>
    <w:rsid w:val="00E25A3B"/>
    <w:pPr>
      <w:numPr>
        <w:numId w:val="18"/>
      </w:numPr>
    </w:pPr>
  </w:style>
  <w:style w:type="paragraph" w:styleId="ListContinue">
    <w:name w:val="List Continue"/>
    <w:basedOn w:val="Normal"/>
    <w:rsid w:val="00E25A3B"/>
    <w:pPr>
      <w:spacing w:after="120"/>
      <w:ind w:left="360"/>
    </w:pPr>
  </w:style>
  <w:style w:type="paragraph" w:styleId="ListContinue2">
    <w:name w:val="List Continue 2"/>
    <w:basedOn w:val="Normal"/>
    <w:rsid w:val="00E25A3B"/>
    <w:pPr>
      <w:spacing w:after="120"/>
    </w:pPr>
  </w:style>
  <w:style w:type="paragraph" w:styleId="ListContinue3">
    <w:name w:val="List Continue 3"/>
    <w:basedOn w:val="Normal"/>
    <w:rsid w:val="00E25A3B"/>
    <w:pPr>
      <w:spacing w:after="120"/>
      <w:ind w:left="1080"/>
    </w:pPr>
  </w:style>
  <w:style w:type="paragraph" w:styleId="ListContinue4">
    <w:name w:val="List Continue 4"/>
    <w:basedOn w:val="Normal"/>
    <w:rsid w:val="00E25A3B"/>
    <w:pPr>
      <w:spacing w:after="120"/>
      <w:ind w:left="1440"/>
    </w:pPr>
  </w:style>
  <w:style w:type="paragraph" w:styleId="ListContinue5">
    <w:name w:val="List Continue 5"/>
    <w:basedOn w:val="Normal"/>
    <w:rsid w:val="00E25A3B"/>
    <w:pPr>
      <w:spacing w:after="120"/>
      <w:ind w:left="1800"/>
    </w:pPr>
  </w:style>
  <w:style w:type="paragraph" w:styleId="ListNumber">
    <w:name w:val="List Number"/>
    <w:basedOn w:val="Normal"/>
    <w:rsid w:val="00E25A3B"/>
    <w:pPr>
      <w:numPr>
        <w:numId w:val="19"/>
      </w:numPr>
    </w:pPr>
  </w:style>
  <w:style w:type="paragraph" w:styleId="ListNumber2">
    <w:name w:val="List Number 2"/>
    <w:basedOn w:val="Normal"/>
    <w:rsid w:val="00E25A3B"/>
    <w:pPr>
      <w:numPr>
        <w:numId w:val="20"/>
      </w:numPr>
    </w:pPr>
  </w:style>
  <w:style w:type="paragraph" w:styleId="ListNumber3">
    <w:name w:val="List Number 3"/>
    <w:basedOn w:val="Normal"/>
    <w:rsid w:val="00E25A3B"/>
    <w:pPr>
      <w:numPr>
        <w:numId w:val="21"/>
      </w:numPr>
    </w:pPr>
  </w:style>
  <w:style w:type="paragraph" w:styleId="ListNumber4">
    <w:name w:val="List Number 4"/>
    <w:basedOn w:val="Normal"/>
    <w:rsid w:val="00E25A3B"/>
    <w:pPr>
      <w:numPr>
        <w:numId w:val="22"/>
      </w:numPr>
    </w:pPr>
  </w:style>
  <w:style w:type="paragraph" w:styleId="ListNumber5">
    <w:name w:val="List Number 5"/>
    <w:basedOn w:val="Normal"/>
    <w:rsid w:val="00E25A3B"/>
    <w:pPr>
      <w:numPr>
        <w:numId w:val="23"/>
      </w:numPr>
    </w:pPr>
  </w:style>
  <w:style w:type="paragraph" w:styleId="MacroText">
    <w:name w:val="macro"/>
    <w:semiHidden/>
    <w:rsid w:val="00E25A3B"/>
    <w:pPr>
      <w:tabs>
        <w:tab w:val="left" w:pos="480"/>
        <w:tab w:val="left" w:pos="960"/>
        <w:tab w:val="left" w:pos="1440"/>
        <w:tab w:val="left" w:pos="1920"/>
        <w:tab w:val="left" w:pos="2400"/>
        <w:tab w:val="left" w:pos="2880"/>
        <w:tab w:val="left" w:pos="3360"/>
        <w:tab w:val="left" w:pos="3840"/>
        <w:tab w:val="left" w:pos="4320"/>
      </w:tabs>
      <w:spacing w:line="480" w:lineRule="auto"/>
      <w:ind w:left="720" w:hanging="720"/>
      <w:jc w:val="both"/>
    </w:pPr>
    <w:rPr>
      <w:rFonts w:ascii="Courier New" w:hAnsi="Courier New" w:cs="Courier New"/>
    </w:rPr>
  </w:style>
  <w:style w:type="paragraph" w:styleId="MessageHeader">
    <w:name w:val="Message Header"/>
    <w:basedOn w:val="Normal"/>
    <w:rsid w:val="00E25A3B"/>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E25A3B"/>
    <w:rPr>
      <w:rFonts w:ascii="Times New Roman" w:hAnsi="Times New Roman"/>
      <w:szCs w:val="24"/>
    </w:rPr>
  </w:style>
  <w:style w:type="paragraph" w:styleId="NormalIndent">
    <w:name w:val="Normal Indent"/>
    <w:basedOn w:val="Normal"/>
    <w:rsid w:val="00E25A3B"/>
  </w:style>
  <w:style w:type="paragraph" w:styleId="NoteHeading">
    <w:name w:val="Note Heading"/>
    <w:basedOn w:val="Normal"/>
    <w:next w:val="Normal"/>
    <w:rsid w:val="00E25A3B"/>
  </w:style>
  <w:style w:type="paragraph" w:styleId="PlainText">
    <w:name w:val="Plain Text"/>
    <w:basedOn w:val="Normal"/>
    <w:rsid w:val="00E25A3B"/>
    <w:rPr>
      <w:rFonts w:ascii="Courier New" w:hAnsi="Courier New" w:cs="Courier New"/>
      <w:sz w:val="20"/>
    </w:rPr>
  </w:style>
  <w:style w:type="paragraph" w:styleId="Salutation">
    <w:name w:val="Salutation"/>
    <w:basedOn w:val="Normal"/>
    <w:next w:val="Normal"/>
    <w:rsid w:val="00E25A3B"/>
  </w:style>
  <w:style w:type="paragraph" w:styleId="Signature">
    <w:name w:val="Signature"/>
    <w:basedOn w:val="Normal"/>
    <w:rsid w:val="00E25A3B"/>
    <w:pPr>
      <w:ind w:left="4320"/>
    </w:pPr>
  </w:style>
  <w:style w:type="paragraph" w:styleId="Subtitle">
    <w:name w:val="Subtitle"/>
    <w:basedOn w:val="Normal"/>
    <w:qFormat/>
    <w:rsid w:val="00E25A3B"/>
    <w:pPr>
      <w:spacing w:after="60"/>
      <w:jc w:val="center"/>
      <w:outlineLvl w:val="1"/>
    </w:pPr>
    <w:rPr>
      <w:rFonts w:cs="Arial"/>
      <w:szCs w:val="24"/>
    </w:rPr>
  </w:style>
  <w:style w:type="paragraph" w:styleId="TableofAuthorities">
    <w:name w:val="table of authorities"/>
    <w:basedOn w:val="Normal"/>
    <w:next w:val="Normal"/>
    <w:semiHidden/>
    <w:rsid w:val="00E25A3B"/>
    <w:pPr>
      <w:ind w:left="240" w:hanging="240"/>
    </w:pPr>
  </w:style>
  <w:style w:type="paragraph" w:styleId="TableofFigures">
    <w:name w:val="table of figures"/>
    <w:basedOn w:val="Normal"/>
    <w:next w:val="Normal"/>
    <w:semiHidden/>
    <w:rsid w:val="00E25A3B"/>
    <w:pPr>
      <w:ind w:left="480" w:hanging="480"/>
    </w:pPr>
  </w:style>
  <w:style w:type="paragraph" w:styleId="Title">
    <w:name w:val="Title"/>
    <w:basedOn w:val="Normal"/>
    <w:qFormat/>
    <w:rsid w:val="00E25A3B"/>
    <w:pPr>
      <w:spacing w:before="240" w:after="60"/>
      <w:jc w:val="center"/>
      <w:outlineLvl w:val="0"/>
    </w:pPr>
    <w:rPr>
      <w:rFonts w:cs="Arial"/>
      <w:b/>
      <w:bCs/>
      <w:kern w:val="28"/>
      <w:sz w:val="32"/>
      <w:szCs w:val="32"/>
    </w:rPr>
  </w:style>
  <w:style w:type="paragraph" w:styleId="TOAHeading">
    <w:name w:val="toa heading"/>
    <w:basedOn w:val="Normal"/>
    <w:next w:val="Normal"/>
    <w:semiHidden/>
    <w:rsid w:val="00E25A3B"/>
    <w:pPr>
      <w:spacing w:before="120"/>
    </w:pPr>
    <w:rPr>
      <w:rFonts w:cs="Arial"/>
      <w:b/>
      <w:bCs/>
      <w:szCs w:val="24"/>
    </w:rPr>
  </w:style>
  <w:style w:type="paragraph" w:styleId="TOC1">
    <w:name w:val="toc 1"/>
    <w:basedOn w:val="Normal"/>
    <w:next w:val="Normal"/>
    <w:autoRedefine/>
    <w:semiHidden/>
    <w:rsid w:val="00E25A3B"/>
    <w:pPr>
      <w:ind w:left="0"/>
    </w:pPr>
  </w:style>
  <w:style w:type="paragraph" w:styleId="TOC2">
    <w:name w:val="toc 2"/>
    <w:basedOn w:val="Normal"/>
    <w:next w:val="Normal"/>
    <w:autoRedefine/>
    <w:semiHidden/>
    <w:rsid w:val="00E25A3B"/>
    <w:pPr>
      <w:ind w:left="240"/>
    </w:pPr>
  </w:style>
  <w:style w:type="paragraph" w:styleId="TOC3">
    <w:name w:val="toc 3"/>
    <w:basedOn w:val="Normal"/>
    <w:next w:val="Normal"/>
    <w:autoRedefine/>
    <w:semiHidden/>
    <w:rsid w:val="00E25A3B"/>
    <w:pPr>
      <w:ind w:left="480"/>
    </w:pPr>
  </w:style>
  <w:style w:type="paragraph" w:styleId="TOC4">
    <w:name w:val="toc 4"/>
    <w:basedOn w:val="Normal"/>
    <w:next w:val="Normal"/>
    <w:autoRedefine/>
    <w:semiHidden/>
    <w:rsid w:val="00E25A3B"/>
  </w:style>
  <w:style w:type="paragraph" w:styleId="TOC5">
    <w:name w:val="toc 5"/>
    <w:basedOn w:val="Normal"/>
    <w:next w:val="Normal"/>
    <w:autoRedefine/>
    <w:semiHidden/>
    <w:rsid w:val="00E25A3B"/>
    <w:pPr>
      <w:ind w:left="960"/>
    </w:pPr>
  </w:style>
  <w:style w:type="paragraph" w:styleId="TOC6">
    <w:name w:val="toc 6"/>
    <w:basedOn w:val="Normal"/>
    <w:next w:val="Normal"/>
    <w:autoRedefine/>
    <w:semiHidden/>
    <w:rsid w:val="00E25A3B"/>
    <w:pPr>
      <w:ind w:left="1200"/>
    </w:pPr>
  </w:style>
  <w:style w:type="paragraph" w:styleId="TOC7">
    <w:name w:val="toc 7"/>
    <w:basedOn w:val="Normal"/>
    <w:next w:val="Normal"/>
    <w:autoRedefine/>
    <w:semiHidden/>
    <w:rsid w:val="00E25A3B"/>
    <w:pPr>
      <w:ind w:left="1440"/>
    </w:pPr>
  </w:style>
  <w:style w:type="paragraph" w:styleId="TOC8">
    <w:name w:val="toc 8"/>
    <w:basedOn w:val="Normal"/>
    <w:next w:val="Normal"/>
    <w:autoRedefine/>
    <w:semiHidden/>
    <w:rsid w:val="00E25A3B"/>
    <w:pPr>
      <w:ind w:left="1680"/>
    </w:pPr>
  </w:style>
  <w:style w:type="paragraph" w:styleId="TOC9">
    <w:name w:val="toc 9"/>
    <w:basedOn w:val="Normal"/>
    <w:next w:val="Normal"/>
    <w:autoRedefine/>
    <w:semiHidden/>
    <w:rsid w:val="00E25A3B"/>
    <w:pPr>
      <w:ind w:left="1920"/>
    </w:pPr>
  </w:style>
  <w:style w:type="character" w:customStyle="1" w:styleId="HeaderChar">
    <w:name w:val="Header Char"/>
    <w:link w:val="Header"/>
    <w:locked/>
    <w:rsid w:val="005E4681"/>
    <w:rPr>
      <w:rFonts w:ascii="Arial" w:hAnsi="Arial" w:cs="Times New Roman"/>
      <w:sz w:val="24"/>
    </w:rPr>
  </w:style>
  <w:style w:type="character" w:customStyle="1" w:styleId="FooterChar">
    <w:name w:val="Footer Char"/>
    <w:link w:val="Footer"/>
    <w:locked/>
    <w:rsid w:val="00FE02E0"/>
    <w:rPr>
      <w:rFonts w:ascii="Arial" w:hAnsi="Arial" w:cs="Times New Roman"/>
      <w:sz w:val="24"/>
    </w:rPr>
  </w:style>
  <w:style w:type="paragraph" w:customStyle="1" w:styleId="answer">
    <w:name w:val="answer"/>
    <w:basedOn w:val="Normal"/>
    <w:link w:val="answerChar"/>
    <w:rsid w:val="009D442A"/>
    <w:pPr>
      <w:spacing w:line="540" w:lineRule="atLeast"/>
    </w:pPr>
  </w:style>
  <w:style w:type="character" w:customStyle="1" w:styleId="answerChar">
    <w:name w:val="answer Char"/>
    <w:link w:val="answer"/>
    <w:locked/>
    <w:rsid w:val="009D442A"/>
    <w:rPr>
      <w:rFonts w:ascii="Arial" w:hAnsi="Arial" w:cs="Times New Roman"/>
      <w:sz w:val="24"/>
    </w:rPr>
  </w:style>
  <w:style w:type="character" w:customStyle="1" w:styleId="FootnoteTextChar1">
    <w:name w:val="Footnote Text Char1"/>
    <w:aliases w:val="fn Char,Footnote Text Char Char,Footnote Text Char Char Char Char Char Char Char Char Char Char"/>
    <w:link w:val="FootnoteText"/>
    <w:semiHidden/>
    <w:locked/>
    <w:rsid w:val="006D213C"/>
  </w:style>
  <w:style w:type="character" w:customStyle="1" w:styleId="BodyTextIndent2Char">
    <w:name w:val="Body Text Indent 2 Char"/>
    <w:link w:val="BodyTextIndent2"/>
    <w:rPr>
      <w:rFonts w:ascii="Arial" w:hAnsi="Arial"/>
      <w:b/>
      <w:sz w:val="24"/>
    </w:rPr>
  </w:style>
  <w:style w:type="paragraph" w:customStyle="1" w:styleId="EntergyTestimony">
    <w:name w:val="Entergy Testimony"/>
    <w:basedOn w:val="Normal"/>
    <w:qFormat/>
    <w:rsid w:val="00C13ECB"/>
    <w:rPr>
      <w:rFonts w:cs="Arial"/>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72475419">
      <w:bodyDiv w:val="1"/>
      <w:marLeft w:val="0"/>
      <w:marRight w:val="0"/>
      <w:marTop w:val="0"/>
      <w:marBottom w:val="0"/>
      <w:divBdr>
        <w:top w:val="none" w:sz="0" w:space="0" w:color="auto"/>
        <w:left w:val="none" w:sz="0" w:space="0" w:color="auto"/>
        <w:bottom w:val="none" w:sz="0" w:space="0" w:color="auto"/>
        <w:right w:val="none" w:sz="0" w:space="0" w:color="auto"/>
      </w:divBdr>
    </w:div>
    <w:div w:id="1312103478">
      <w:bodyDiv w:val="1"/>
      <w:marLeft w:val="0"/>
      <w:marRight w:val="0"/>
      <w:marTop w:val="0"/>
      <w:marBottom w:val="0"/>
      <w:divBdr>
        <w:top w:val="none" w:sz="0" w:space="0" w:color="auto"/>
        <w:left w:val="none" w:sz="0" w:space="0" w:color="auto"/>
        <w:bottom w:val="none" w:sz="0" w:space="0" w:color="auto"/>
        <w:right w:val="none" w:sz="0" w:space="0" w:color="auto"/>
      </w:divBdr>
      <w:divsChild>
        <w:div w:id="224947983">
          <w:marLeft w:val="0"/>
          <w:marRight w:val="0"/>
          <w:marTop w:val="0"/>
          <w:marBottom w:val="0"/>
          <w:divBdr>
            <w:top w:val="none" w:sz="0" w:space="0" w:color="auto"/>
            <w:left w:val="none" w:sz="0" w:space="0" w:color="auto"/>
            <w:bottom w:val="none" w:sz="0" w:space="0" w:color="auto"/>
            <w:right w:val="none" w:sz="0" w:space="0" w:color="auto"/>
          </w:divBdr>
          <w:divsChild>
            <w:div w:id="560023561">
              <w:marLeft w:val="0"/>
              <w:marRight w:val="0"/>
              <w:marTop w:val="0"/>
              <w:marBottom w:val="0"/>
              <w:divBdr>
                <w:top w:val="none" w:sz="0" w:space="0" w:color="auto"/>
                <w:left w:val="none" w:sz="0" w:space="0" w:color="auto"/>
                <w:bottom w:val="none" w:sz="0" w:space="0" w:color="auto"/>
                <w:right w:val="none" w:sz="0" w:space="0" w:color="auto"/>
              </w:divBdr>
              <w:divsChild>
                <w:div w:id="295913658">
                  <w:marLeft w:val="0"/>
                  <w:marRight w:val="0"/>
                  <w:marTop w:val="0"/>
                  <w:marBottom w:val="0"/>
                  <w:divBdr>
                    <w:top w:val="none" w:sz="0" w:space="0" w:color="auto"/>
                    <w:left w:val="none" w:sz="0" w:space="0" w:color="auto"/>
                    <w:bottom w:val="none" w:sz="0" w:space="0" w:color="auto"/>
                    <w:right w:val="none" w:sz="0" w:space="0" w:color="auto"/>
                  </w:divBdr>
                  <w:divsChild>
                    <w:div w:id="1256749028">
                      <w:marLeft w:val="0"/>
                      <w:marRight w:val="0"/>
                      <w:marTop w:val="0"/>
                      <w:marBottom w:val="0"/>
                      <w:divBdr>
                        <w:top w:val="none" w:sz="0" w:space="0" w:color="auto"/>
                        <w:left w:val="none" w:sz="0" w:space="0" w:color="auto"/>
                        <w:bottom w:val="none" w:sz="0" w:space="0" w:color="auto"/>
                        <w:right w:val="none" w:sz="0" w:space="0" w:color="auto"/>
                      </w:divBdr>
                      <w:divsChild>
                        <w:div w:id="1327322934">
                          <w:marLeft w:val="0"/>
                          <w:marRight w:val="0"/>
                          <w:marTop w:val="0"/>
                          <w:marBottom w:val="0"/>
                          <w:divBdr>
                            <w:top w:val="none" w:sz="0" w:space="0" w:color="auto"/>
                            <w:left w:val="none" w:sz="0" w:space="0" w:color="auto"/>
                            <w:bottom w:val="none" w:sz="0" w:space="0" w:color="auto"/>
                            <w:right w:val="none" w:sz="0" w:space="0" w:color="auto"/>
                          </w:divBdr>
                          <w:divsChild>
                            <w:div w:id="364713910">
                              <w:marLeft w:val="0"/>
                              <w:marRight w:val="0"/>
                              <w:marTop w:val="0"/>
                              <w:marBottom w:val="0"/>
                              <w:divBdr>
                                <w:top w:val="none" w:sz="0" w:space="0" w:color="auto"/>
                                <w:left w:val="none" w:sz="0" w:space="0" w:color="auto"/>
                                <w:bottom w:val="none" w:sz="0" w:space="0" w:color="auto"/>
                                <w:right w:val="none" w:sz="0" w:space="0" w:color="auto"/>
                              </w:divBdr>
                            </w:div>
                            <w:div w:id="9853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556712">
      <w:bodyDiv w:val="1"/>
      <w:marLeft w:val="0"/>
      <w:marRight w:val="0"/>
      <w:marTop w:val="0"/>
      <w:marBottom w:val="0"/>
      <w:divBdr>
        <w:top w:val="none" w:sz="0" w:space="0" w:color="auto"/>
        <w:left w:val="none" w:sz="0" w:space="0" w:color="auto"/>
        <w:bottom w:val="none" w:sz="0" w:space="0" w:color="auto"/>
        <w:right w:val="none" w:sz="0" w:space="0" w:color="auto"/>
      </w:divBdr>
    </w:div>
    <w:div w:id="1623726994">
      <w:bodyDiv w:val="1"/>
      <w:marLeft w:val="0"/>
      <w:marRight w:val="0"/>
      <w:marTop w:val="0"/>
      <w:marBottom w:val="0"/>
      <w:divBdr>
        <w:top w:val="none" w:sz="0" w:space="0" w:color="auto"/>
        <w:left w:val="none" w:sz="0" w:space="0" w:color="auto"/>
        <w:bottom w:val="none" w:sz="0" w:space="0" w:color="auto"/>
        <w:right w:val="none" w:sz="0" w:space="0" w:color="auto"/>
      </w:divBdr>
    </w:div>
    <w:div w:id="16746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emf"/><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614AA-CCB3-4858-9208-8C43AA256BB7}"/>
</file>

<file path=customXml/itemProps2.xml><?xml version="1.0" encoding="utf-8"?>
<ds:datastoreItem xmlns:ds="http://schemas.openxmlformats.org/officeDocument/2006/customXml" ds:itemID="{642CFB98-16FC-4698-9964-C7B218BF8796}"/>
</file>

<file path=customXml/itemProps3.xml><?xml version="1.0" encoding="utf-8"?>
<ds:datastoreItem xmlns:ds="http://schemas.openxmlformats.org/officeDocument/2006/customXml" ds:itemID="{E9E7D398-6853-488A-9F4E-C37FB9A85636}"/>
</file>

<file path=customXml/itemProps4.xml><?xml version="1.0" encoding="utf-8"?>
<ds:datastoreItem xmlns:ds="http://schemas.openxmlformats.org/officeDocument/2006/customXml" ds:itemID="{9843391E-AE57-45A6-88DE-FECA76D8D189}"/>
</file>

<file path=docProps/app.xml><?xml version="1.0" encoding="utf-8"?>
<Properties xmlns="http://schemas.openxmlformats.org/officeDocument/2006/extended-properties" xmlns:vt="http://schemas.openxmlformats.org/officeDocument/2006/docPropsVTypes">
  <Template>Normal.dotm</Template>
  <TotalTime>0</TotalTime>
  <Pages>31</Pages>
  <Words>7195</Words>
  <Characters>38932</Characters>
  <Application>Microsoft Office Word</Application>
  <DocSecurity>0</DocSecurity>
  <Lines>324</Lines>
  <Paragraphs>92</Paragraphs>
  <ScaleCrop>false</ScaleCrop>
  <Company/>
  <LinksUpToDate>false</LinksUpToDate>
  <CharactersWithSpaces>46035</CharactersWithSpaces>
  <SharedDoc>false</SharedDoc>
  <HLinks>
    <vt:vector size="6" baseType="variant">
      <vt:variant>
        <vt:i4>3080246</vt:i4>
      </vt:variant>
      <vt:variant>
        <vt:i4>0</vt:i4>
      </vt:variant>
      <vt:variant>
        <vt:i4>0</vt:i4>
      </vt:variant>
      <vt:variant>
        <vt:i4>5</vt:i4>
      </vt:variant>
      <vt:variant>
        <vt:lpwstr>http://www.federalreserve.gov/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2013-01-09T21:32:00Z</dcterms:created>
  <dcterms:modified xsi:type="dcterms:W3CDTF">2013-01-09T21:33:00Z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