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E8" w:rsidRDefault="009072E8" w:rsidP="009072E8">
      <w:pPr>
        <w:pStyle w:val="Title"/>
        <w:jc w:val="left"/>
        <w:rPr>
          <w:rFonts w:ascii="Times New Roman" w:hAnsi="Times New Roman"/>
          <w:b w:val="0"/>
        </w:rPr>
      </w:pPr>
    </w:p>
    <w:p w:rsidR="004016BA" w:rsidRDefault="004016BA" w:rsidP="009072E8">
      <w:pPr>
        <w:pStyle w:val="Title"/>
        <w:jc w:val="left"/>
        <w:rPr>
          <w:rFonts w:ascii="Times New Roman" w:hAnsi="Times New Roman"/>
          <w:b w:val="0"/>
        </w:rPr>
      </w:pPr>
    </w:p>
    <w:p w:rsidR="004016BA" w:rsidRDefault="004016BA" w:rsidP="009072E8">
      <w:pPr>
        <w:pStyle w:val="Title"/>
        <w:jc w:val="left"/>
        <w:rPr>
          <w:rFonts w:ascii="Times New Roman" w:hAnsi="Times New Roman"/>
          <w:b w:val="0"/>
        </w:rPr>
      </w:pPr>
    </w:p>
    <w:p w:rsidR="004016BA" w:rsidRDefault="004016BA" w:rsidP="009072E8">
      <w:pPr>
        <w:pStyle w:val="Title"/>
        <w:jc w:val="left"/>
        <w:rPr>
          <w:rFonts w:ascii="Times New Roman" w:hAnsi="Times New Roman"/>
          <w:b w:val="0"/>
        </w:rPr>
      </w:pPr>
    </w:p>
    <w:p w:rsidR="009072E8" w:rsidRDefault="009072E8" w:rsidP="009072E8">
      <w:pPr>
        <w:pStyle w:val="Title"/>
        <w:jc w:val="left"/>
        <w:rPr>
          <w:rFonts w:ascii="Times New Roman" w:hAnsi="Times New Roman"/>
          <w:b w:val="0"/>
        </w:rPr>
      </w:pPr>
    </w:p>
    <w:p w:rsidR="009072E8" w:rsidRDefault="009072E8" w:rsidP="009072E8">
      <w:pPr>
        <w:pStyle w:val="Title"/>
        <w:jc w:val="left"/>
        <w:rPr>
          <w:rFonts w:ascii="Times New Roman" w:hAnsi="Times New Roman"/>
          <w:b w:val="0"/>
        </w:rPr>
      </w:pPr>
    </w:p>
    <w:p w:rsidR="009072E8" w:rsidRDefault="009072E8" w:rsidP="009072E8">
      <w:pPr>
        <w:pStyle w:val="Title"/>
        <w:jc w:val="left"/>
        <w:rPr>
          <w:rFonts w:ascii="Times New Roman" w:hAnsi="Times New Roman"/>
          <w:b w:val="0"/>
        </w:rPr>
      </w:pPr>
    </w:p>
    <w:p w:rsidR="00520D4D" w:rsidRPr="009072E8" w:rsidRDefault="00520D4D" w:rsidP="009072E8">
      <w:pPr>
        <w:pStyle w:val="Title"/>
        <w:rPr>
          <w:rFonts w:ascii="Times New Roman" w:hAnsi="Times New Roman"/>
          <w:b w:val="0"/>
        </w:rPr>
      </w:pPr>
      <w:r w:rsidRPr="009072E8">
        <w:rPr>
          <w:rFonts w:ascii="Times New Roman" w:hAnsi="Times New Roman"/>
          <w:b w:val="0"/>
        </w:rPr>
        <w:t>BEFORE THE WASHINGTON</w:t>
      </w:r>
      <w:r w:rsidR="009072E8">
        <w:rPr>
          <w:rFonts w:ascii="Times New Roman" w:hAnsi="Times New Roman"/>
          <w:b w:val="0"/>
        </w:rPr>
        <w:t xml:space="preserve"> </w:t>
      </w:r>
      <w:r w:rsidRPr="009072E8">
        <w:rPr>
          <w:rFonts w:ascii="Times New Roman" w:hAnsi="Times New Roman"/>
          <w:b w:val="0"/>
        </w:rPr>
        <w:t>UTILITIES AND TRANSPORTATION COMMISSION</w:t>
      </w:r>
    </w:p>
    <w:p w:rsidR="00520D4D" w:rsidRPr="009072E8" w:rsidRDefault="00520D4D" w:rsidP="009072E8">
      <w:pPr>
        <w:rPr>
          <w:szCs w:val="24"/>
        </w:rPr>
      </w:pPr>
    </w:p>
    <w:p w:rsidR="009072E8" w:rsidRPr="009072E8" w:rsidRDefault="009072E8" w:rsidP="009072E8">
      <w:pPr>
        <w:jc w:val="both"/>
        <w:rPr>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9072E8" w:rsidRPr="009072E8" w:rsidTr="00A43747">
        <w:tc>
          <w:tcPr>
            <w:tcW w:w="4590" w:type="dxa"/>
            <w:tcBorders>
              <w:top w:val="single" w:sz="6" w:space="0" w:color="FFFFFF"/>
              <w:left w:val="single" w:sz="6" w:space="0" w:color="FFFFFF"/>
              <w:bottom w:val="single" w:sz="7" w:space="0" w:color="000000"/>
              <w:right w:val="single" w:sz="6" w:space="0" w:color="FFFFFF"/>
            </w:tcBorders>
          </w:tcPr>
          <w:p w:rsidR="00B44254" w:rsidRPr="00B44254" w:rsidRDefault="00B44254" w:rsidP="00B44254">
            <w:pPr>
              <w:tabs>
                <w:tab w:val="left" w:pos="2160"/>
              </w:tabs>
              <w:spacing w:line="264" w:lineRule="auto"/>
              <w:rPr>
                <w:bCs/>
                <w:szCs w:val="24"/>
              </w:rPr>
            </w:pPr>
            <w:r w:rsidRPr="00B44254">
              <w:rPr>
                <w:bCs/>
                <w:szCs w:val="24"/>
              </w:rPr>
              <w:t>In the Matter of the Petition of</w:t>
            </w:r>
          </w:p>
          <w:p w:rsidR="00B44254" w:rsidRPr="00B44254" w:rsidRDefault="00B44254" w:rsidP="00B44254">
            <w:pPr>
              <w:tabs>
                <w:tab w:val="left" w:pos="2160"/>
              </w:tabs>
              <w:spacing w:line="264" w:lineRule="auto"/>
              <w:rPr>
                <w:bCs/>
                <w:szCs w:val="24"/>
              </w:rPr>
            </w:pPr>
          </w:p>
          <w:p w:rsidR="00B44254" w:rsidRPr="00B44254" w:rsidRDefault="00B44254" w:rsidP="00B44254">
            <w:pPr>
              <w:tabs>
                <w:tab w:val="left" w:pos="2160"/>
              </w:tabs>
              <w:spacing w:line="264" w:lineRule="auto"/>
              <w:rPr>
                <w:bCs/>
                <w:szCs w:val="24"/>
              </w:rPr>
            </w:pPr>
            <w:r w:rsidRPr="00B44254">
              <w:rPr>
                <w:bCs/>
                <w:szCs w:val="24"/>
              </w:rPr>
              <w:t>PUGET SOUND ENERGY, INC.,</w:t>
            </w:r>
          </w:p>
          <w:p w:rsidR="00B44254" w:rsidRPr="00B44254" w:rsidRDefault="00B44254" w:rsidP="00B44254">
            <w:pPr>
              <w:tabs>
                <w:tab w:val="left" w:pos="2160"/>
              </w:tabs>
              <w:spacing w:line="264" w:lineRule="auto"/>
              <w:rPr>
                <w:bCs/>
                <w:szCs w:val="24"/>
              </w:rPr>
            </w:pPr>
          </w:p>
          <w:p w:rsidR="009072E8" w:rsidRPr="00B44254" w:rsidRDefault="00B44254" w:rsidP="00B44254">
            <w:pPr>
              <w:spacing w:after="19"/>
              <w:rPr>
                <w:bCs/>
                <w:szCs w:val="24"/>
              </w:rPr>
            </w:pPr>
            <w:r w:rsidRPr="00B44254">
              <w:rPr>
                <w:bCs/>
                <w:szCs w:val="24"/>
              </w:rPr>
              <w:t>For Approval of a Power Purchase Agreement for Acquisition of Coal Transition Power, as Defined in RCW 80.80.010, and the Recovery of Related Acquisition Costs</w:t>
            </w:r>
          </w:p>
          <w:p w:rsidR="00B44254" w:rsidRPr="009072E8" w:rsidRDefault="00B44254" w:rsidP="00B44254">
            <w:pPr>
              <w:spacing w:after="19"/>
              <w:rPr>
                <w:szCs w:val="24"/>
              </w:rPr>
            </w:pPr>
          </w:p>
        </w:tc>
        <w:tc>
          <w:tcPr>
            <w:tcW w:w="4590" w:type="dxa"/>
            <w:tcBorders>
              <w:top w:val="single" w:sz="6" w:space="0" w:color="FFFFFF"/>
              <w:left w:val="single" w:sz="7" w:space="0" w:color="000000"/>
              <w:bottom w:val="single" w:sz="6" w:space="0" w:color="FFFFFF"/>
              <w:right w:val="single" w:sz="6" w:space="0" w:color="FFFFFF"/>
            </w:tcBorders>
          </w:tcPr>
          <w:p w:rsidR="009072E8" w:rsidRPr="009072E8" w:rsidRDefault="009072E8" w:rsidP="009072E8">
            <w:pPr>
              <w:tabs>
                <w:tab w:val="left" w:pos="2160"/>
              </w:tabs>
              <w:rPr>
                <w:bCs/>
                <w:szCs w:val="24"/>
              </w:rPr>
            </w:pPr>
            <w:r w:rsidRPr="009072E8">
              <w:rPr>
                <w:bCs/>
                <w:szCs w:val="24"/>
              </w:rPr>
              <w:t>DOCKET UE-121373</w:t>
            </w:r>
          </w:p>
          <w:p w:rsidR="009072E8" w:rsidRPr="009072E8" w:rsidRDefault="009072E8" w:rsidP="009072E8">
            <w:pPr>
              <w:tabs>
                <w:tab w:val="left" w:pos="2160"/>
              </w:tabs>
              <w:rPr>
                <w:bCs/>
                <w:szCs w:val="24"/>
              </w:rPr>
            </w:pPr>
          </w:p>
          <w:p w:rsidR="009072E8" w:rsidRPr="009072E8" w:rsidRDefault="009072E8" w:rsidP="009072E8">
            <w:pPr>
              <w:pStyle w:val="Header"/>
              <w:tabs>
                <w:tab w:val="left" w:pos="2160"/>
              </w:tabs>
              <w:rPr>
                <w:bCs/>
                <w:szCs w:val="24"/>
              </w:rPr>
            </w:pPr>
          </w:p>
          <w:p w:rsidR="009072E8" w:rsidRPr="009072E8" w:rsidRDefault="009072E8" w:rsidP="009072E8">
            <w:pPr>
              <w:tabs>
                <w:tab w:val="left" w:pos="2160"/>
              </w:tabs>
              <w:rPr>
                <w:bCs/>
                <w:szCs w:val="24"/>
              </w:rPr>
            </w:pPr>
            <w:r w:rsidRPr="009072E8">
              <w:rPr>
                <w:bCs/>
                <w:szCs w:val="24"/>
              </w:rPr>
              <w:t xml:space="preserve">COMMISSION STAFF’S RESPONSE TO PUGET SOUND ENERGY’S MOTIONS </w:t>
            </w:r>
            <w:r w:rsidR="001E05D1">
              <w:rPr>
                <w:bCs/>
                <w:szCs w:val="24"/>
              </w:rPr>
              <w:t xml:space="preserve">TO EXPEDITE CONSIDERATION OF PETITION AND FOR AMENDED PROTECTIVE ORDER WITH HIGHLY CONFIDENTIAL PROVISIONS </w:t>
            </w:r>
          </w:p>
          <w:p w:rsidR="009072E8" w:rsidRPr="009072E8" w:rsidRDefault="009072E8" w:rsidP="009072E8">
            <w:pPr>
              <w:spacing w:after="19"/>
              <w:ind w:left="720"/>
              <w:rPr>
                <w:szCs w:val="24"/>
              </w:rPr>
            </w:pPr>
            <w:bookmarkStart w:id="0" w:name="_GoBack"/>
            <w:bookmarkEnd w:id="0"/>
          </w:p>
        </w:tc>
      </w:tr>
    </w:tbl>
    <w:p w:rsidR="009072E8" w:rsidRDefault="009072E8" w:rsidP="009072E8">
      <w:pPr>
        <w:rPr>
          <w:szCs w:val="24"/>
        </w:rPr>
      </w:pPr>
    </w:p>
    <w:p w:rsidR="004016BA" w:rsidRPr="009072E8" w:rsidRDefault="004016BA" w:rsidP="009072E8">
      <w:pPr>
        <w:rPr>
          <w:szCs w:val="24"/>
        </w:rPr>
      </w:pPr>
    </w:p>
    <w:p w:rsidR="00594969" w:rsidRPr="009072E8" w:rsidRDefault="005053F1" w:rsidP="004D588E">
      <w:pPr>
        <w:pStyle w:val="Heading2"/>
        <w:numPr>
          <w:ilvl w:val="0"/>
          <w:numId w:val="16"/>
        </w:numPr>
        <w:rPr>
          <w:rFonts w:ascii="Times New Roman" w:hAnsi="Times New Roman"/>
        </w:rPr>
      </w:pPr>
      <w:r w:rsidRPr="009072E8">
        <w:rPr>
          <w:rFonts w:ascii="Times New Roman" w:hAnsi="Times New Roman"/>
        </w:rPr>
        <w:t>INTRODUCTION</w:t>
      </w:r>
    </w:p>
    <w:p w:rsidR="00782DEC" w:rsidRPr="009072E8" w:rsidRDefault="00782DEC" w:rsidP="00782DEC">
      <w:pPr>
        <w:rPr>
          <w:u w:val="single"/>
        </w:rPr>
      </w:pPr>
    </w:p>
    <w:p w:rsidR="00EF2D8F" w:rsidRPr="009072E8" w:rsidRDefault="00E14EE5" w:rsidP="004D588E">
      <w:pPr>
        <w:pStyle w:val="ListParagraph"/>
        <w:spacing w:line="480" w:lineRule="auto"/>
        <w:ind w:left="0" w:firstLine="720"/>
        <w:rPr>
          <w:szCs w:val="24"/>
        </w:rPr>
      </w:pPr>
      <w:r w:rsidRPr="009072E8">
        <w:rPr>
          <w:szCs w:val="24"/>
        </w:rPr>
        <w:t xml:space="preserve">On August 20, 2012, Puget Sound Energy, </w:t>
      </w:r>
      <w:r w:rsidR="009072E8" w:rsidRPr="009072E8">
        <w:rPr>
          <w:szCs w:val="24"/>
        </w:rPr>
        <w:t>Inc.</w:t>
      </w:r>
      <w:r w:rsidRPr="009072E8">
        <w:rPr>
          <w:szCs w:val="24"/>
        </w:rPr>
        <w:t xml:space="preserve"> (PSE or Company) filed</w:t>
      </w:r>
      <w:r w:rsidR="00F5777B">
        <w:rPr>
          <w:szCs w:val="24"/>
        </w:rPr>
        <w:t>, pursuant to RCW 80.04.570,</w:t>
      </w:r>
      <w:r w:rsidRPr="009072E8">
        <w:rPr>
          <w:szCs w:val="24"/>
        </w:rPr>
        <w:t xml:space="preserve"> a Petition for an </w:t>
      </w:r>
      <w:r w:rsidR="009072E8" w:rsidRPr="009072E8">
        <w:rPr>
          <w:szCs w:val="24"/>
        </w:rPr>
        <w:t>O</w:t>
      </w:r>
      <w:r w:rsidRPr="009072E8">
        <w:rPr>
          <w:szCs w:val="24"/>
        </w:rPr>
        <w:t>rder from the Washington Utilities and Transportation Commission (Commission)</w:t>
      </w:r>
      <w:r w:rsidR="00EF2D8F" w:rsidRPr="009072E8">
        <w:rPr>
          <w:szCs w:val="24"/>
        </w:rPr>
        <w:t xml:space="preserve">:  </w:t>
      </w:r>
    </w:p>
    <w:p w:rsidR="00EF2D8F" w:rsidRPr="009072E8" w:rsidRDefault="00EF2D8F" w:rsidP="004D588E">
      <w:pPr>
        <w:ind w:left="1440" w:hanging="720"/>
        <w:rPr>
          <w:szCs w:val="24"/>
        </w:rPr>
      </w:pPr>
      <w:r w:rsidRPr="009072E8">
        <w:rPr>
          <w:szCs w:val="24"/>
        </w:rPr>
        <w:t>1.</w:t>
      </w:r>
      <w:r w:rsidRPr="009072E8">
        <w:rPr>
          <w:szCs w:val="24"/>
        </w:rPr>
        <w:tab/>
        <w:t>A</w:t>
      </w:r>
      <w:r w:rsidR="00F731FA" w:rsidRPr="009072E8">
        <w:rPr>
          <w:szCs w:val="24"/>
        </w:rPr>
        <w:t>pproving a Coal Transition Power Purchase and Sale Agreemen</w:t>
      </w:r>
      <w:r w:rsidR="00EC6654" w:rsidRPr="009072E8">
        <w:rPr>
          <w:szCs w:val="24"/>
        </w:rPr>
        <w:t xml:space="preserve">t </w:t>
      </w:r>
      <w:r w:rsidR="00E00641">
        <w:rPr>
          <w:szCs w:val="24"/>
        </w:rPr>
        <w:t>(Coal Transition PPA</w:t>
      </w:r>
      <w:r w:rsidR="00F731FA" w:rsidRPr="009072E8">
        <w:rPr>
          <w:szCs w:val="24"/>
        </w:rPr>
        <w:t>) between PSE and TransAlta Centralia Generation LLC</w:t>
      </w:r>
      <w:r w:rsidR="00E00641">
        <w:rPr>
          <w:szCs w:val="24"/>
        </w:rPr>
        <w:t xml:space="preserve"> (TransAlta Centralia)</w:t>
      </w:r>
      <w:r w:rsidRPr="009072E8">
        <w:rPr>
          <w:szCs w:val="24"/>
        </w:rPr>
        <w:t>;</w:t>
      </w:r>
    </w:p>
    <w:p w:rsidR="00EF2D8F" w:rsidRPr="009072E8" w:rsidRDefault="00EF2D8F" w:rsidP="004D588E">
      <w:pPr>
        <w:pStyle w:val="ListParagraph"/>
        <w:ind w:left="1440" w:hanging="720"/>
        <w:rPr>
          <w:szCs w:val="24"/>
        </w:rPr>
      </w:pPr>
    </w:p>
    <w:p w:rsidR="00EF2D8F" w:rsidRPr="009072E8" w:rsidRDefault="00EF2D8F" w:rsidP="004D588E">
      <w:pPr>
        <w:ind w:firstLine="720"/>
        <w:rPr>
          <w:szCs w:val="24"/>
        </w:rPr>
      </w:pPr>
      <w:r w:rsidRPr="009072E8">
        <w:rPr>
          <w:szCs w:val="24"/>
        </w:rPr>
        <w:t>2</w:t>
      </w:r>
      <w:r w:rsidR="004D588E" w:rsidRPr="009072E8">
        <w:rPr>
          <w:szCs w:val="24"/>
        </w:rPr>
        <w:t>.</w:t>
      </w:r>
      <w:r w:rsidR="004D588E" w:rsidRPr="009072E8">
        <w:rPr>
          <w:szCs w:val="24"/>
        </w:rPr>
        <w:tab/>
      </w:r>
      <w:r w:rsidRPr="009072E8">
        <w:rPr>
          <w:szCs w:val="24"/>
        </w:rPr>
        <w:t>A</w:t>
      </w:r>
      <w:r w:rsidR="00F731FA" w:rsidRPr="009072E8">
        <w:rPr>
          <w:szCs w:val="24"/>
        </w:rPr>
        <w:t xml:space="preserve">pproving the equity component of the Coal Transition PPA; </w:t>
      </w:r>
    </w:p>
    <w:p w:rsidR="00EF2D8F" w:rsidRPr="009072E8" w:rsidRDefault="00EF2D8F" w:rsidP="004D588E">
      <w:pPr>
        <w:pStyle w:val="ListParagraph"/>
        <w:ind w:left="1440" w:hanging="720"/>
        <w:rPr>
          <w:szCs w:val="24"/>
        </w:rPr>
      </w:pPr>
    </w:p>
    <w:p w:rsidR="00EF2D8F" w:rsidRPr="009072E8" w:rsidRDefault="00EF2D8F" w:rsidP="004D588E">
      <w:pPr>
        <w:ind w:left="1440" w:hanging="720"/>
        <w:rPr>
          <w:szCs w:val="24"/>
        </w:rPr>
      </w:pPr>
      <w:r w:rsidRPr="009072E8">
        <w:rPr>
          <w:szCs w:val="24"/>
        </w:rPr>
        <w:t>3.</w:t>
      </w:r>
      <w:r w:rsidRPr="009072E8">
        <w:rPr>
          <w:szCs w:val="24"/>
        </w:rPr>
        <w:tab/>
        <w:t>A</w:t>
      </w:r>
      <w:r w:rsidR="00F731FA" w:rsidRPr="009072E8">
        <w:rPr>
          <w:szCs w:val="24"/>
        </w:rPr>
        <w:t>pproving deferral of certain costs associated with the Coal Transition PPA</w:t>
      </w:r>
      <w:r w:rsidR="00A43747">
        <w:rPr>
          <w:szCs w:val="24"/>
        </w:rPr>
        <w:t>,</w:t>
      </w:r>
      <w:r w:rsidR="00F731FA" w:rsidRPr="009072E8">
        <w:rPr>
          <w:szCs w:val="24"/>
        </w:rPr>
        <w:t xml:space="preserve"> with interest</w:t>
      </w:r>
      <w:r w:rsidR="00A43747">
        <w:rPr>
          <w:szCs w:val="24"/>
        </w:rPr>
        <w:t>,</w:t>
      </w:r>
      <w:r w:rsidR="00F731FA" w:rsidRPr="009072E8">
        <w:rPr>
          <w:szCs w:val="24"/>
        </w:rPr>
        <w:t xml:space="preserve"> throughout the entire term of the Coal Transition PPA including later volume and pricing changes; and </w:t>
      </w:r>
    </w:p>
    <w:p w:rsidR="00EF2D8F" w:rsidRPr="009072E8" w:rsidRDefault="00EF2D8F" w:rsidP="004D588E">
      <w:pPr>
        <w:pStyle w:val="ListParagraph"/>
        <w:ind w:left="1440" w:hanging="720"/>
        <w:rPr>
          <w:szCs w:val="24"/>
        </w:rPr>
      </w:pPr>
    </w:p>
    <w:p w:rsidR="00EF2D8F" w:rsidRPr="009072E8" w:rsidRDefault="00F731FA" w:rsidP="004D588E">
      <w:pPr>
        <w:ind w:left="1440" w:hanging="720"/>
        <w:rPr>
          <w:szCs w:val="24"/>
        </w:rPr>
      </w:pPr>
      <w:r w:rsidRPr="009072E8">
        <w:rPr>
          <w:szCs w:val="24"/>
        </w:rPr>
        <w:t>4</w:t>
      </w:r>
      <w:r w:rsidR="00EF2D8F" w:rsidRPr="009072E8">
        <w:rPr>
          <w:szCs w:val="24"/>
        </w:rPr>
        <w:t>.</w:t>
      </w:r>
      <w:r w:rsidRPr="009072E8">
        <w:rPr>
          <w:szCs w:val="24"/>
        </w:rPr>
        <w:t> </w:t>
      </w:r>
      <w:r w:rsidR="00EF2D8F" w:rsidRPr="009072E8">
        <w:rPr>
          <w:szCs w:val="24"/>
        </w:rPr>
        <w:tab/>
        <w:t>F</w:t>
      </w:r>
      <w:r w:rsidRPr="009072E8">
        <w:rPr>
          <w:szCs w:val="24"/>
        </w:rPr>
        <w:t xml:space="preserve">inding that the Coal Transition PPA is prudent, regardless of whether the term of the Coal Transition PPA terminates upon its expiration or is terminated prior to its expiration.  </w:t>
      </w:r>
    </w:p>
    <w:p w:rsidR="00EF2D8F" w:rsidRPr="009072E8" w:rsidRDefault="00EF2D8F" w:rsidP="004D588E">
      <w:pPr>
        <w:rPr>
          <w:szCs w:val="24"/>
        </w:rPr>
      </w:pPr>
    </w:p>
    <w:p w:rsidR="00594969" w:rsidRPr="009072E8" w:rsidRDefault="00F731FA" w:rsidP="004D588E">
      <w:pPr>
        <w:spacing w:line="480" w:lineRule="auto"/>
        <w:rPr>
          <w:szCs w:val="24"/>
        </w:rPr>
      </w:pPr>
      <w:r w:rsidRPr="009072E8">
        <w:rPr>
          <w:szCs w:val="24"/>
        </w:rPr>
        <w:lastRenderedPageBreak/>
        <w:t>In conjunction with the Petition, PSE filed a Motion to Expedite Consideration of the Petition and a Motion for Amended Protective Order with Highly Confidential Provisions</w:t>
      </w:r>
      <w:r w:rsidR="009072E8" w:rsidRPr="009072E8">
        <w:rPr>
          <w:szCs w:val="24"/>
        </w:rPr>
        <w:t xml:space="preserve">. </w:t>
      </w:r>
      <w:r w:rsidRPr="009072E8">
        <w:rPr>
          <w:szCs w:val="24"/>
        </w:rPr>
        <w:t xml:space="preserve"> </w:t>
      </w:r>
    </w:p>
    <w:p w:rsidR="00E14EE5" w:rsidRPr="009072E8" w:rsidRDefault="00EF2D8F" w:rsidP="00E14EE5">
      <w:pPr>
        <w:pStyle w:val="ListParagraph"/>
        <w:spacing w:line="480" w:lineRule="auto"/>
        <w:ind w:left="0" w:firstLine="720"/>
        <w:rPr>
          <w:szCs w:val="24"/>
        </w:rPr>
      </w:pPr>
      <w:r w:rsidRPr="009072E8">
        <w:rPr>
          <w:szCs w:val="24"/>
        </w:rPr>
        <w:t xml:space="preserve">The Commission </w:t>
      </w:r>
      <w:r w:rsidR="00E14EE5" w:rsidRPr="009072E8">
        <w:rPr>
          <w:szCs w:val="24"/>
        </w:rPr>
        <w:t>required responses to the motions in a</w:t>
      </w:r>
      <w:r w:rsidR="00F731FA" w:rsidRPr="009072E8">
        <w:rPr>
          <w:szCs w:val="24"/>
        </w:rPr>
        <w:t>dvance of a pre-hearing conference on September 7, 2012.  For the reasons set forth below, Commission Staff has no objection to the Motion for Amended Protective Order with Highly Confidential Provisions.  However, Commission Staff opposes the Motion to Expedite Consideration of the Petition</w:t>
      </w:r>
      <w:r w:rsidR="00406C15" w:rsidRPr="009072E8">
        <w:rPr>
          <w:szCs w:val="24"/>
        </w:rPr>
        <w:t>.</w:t>
      </w:r>
      <w:r w:rsidR="00AA2C10">
        <w:rPr>
          <w:rStyle w:val="FootnoteReference"/>
          <w:szCs w:val="24"/>
        </w:rPr>
        <w:footnoteReference w:id="1"/>
      </w:r>
    </w:p>
    <w:p w:rsidR="00594969" w:rsidRDefault="0095359E" w:rsidP="004016BA">
      <w:pPr>
        <w:pStyle w:val="ListParagraph"/>
        <w:numPr>
          <w:ilvl w:val="0"/>
          <w:numId w:val="16"/>
        </w:numPr>
        <w:jc w:val="center"/>
        <w:rPr>
          <w:b/>
        </w:rPr>
      </w:pPr>
      <w:r w:rsidRPr="0095359E">
        <w:rPr>
          <w:b/>
        </w:rPr>
        <w:t>STAFF’S RESPONSE TO MOTION FOR AMENDED PROTECTIVE ORDER WITH HIGHLY CONFIDENTIAL PROVISIONS</w:t>
      </w:r>
    </w:p>
    <w:p w:rsidR="004016BA" w:rsidRPr="004016BA" w:rsidRDefault="004016BA" w:rsidP="004016BA">
      <w:pPr>
        <w:spacing w:after="120"/>
        <w:rPr>
          <w:b/>
        </w:rPr>
      </w:pPr>
    </w:p>
    <w:p w:rsidR="00594969" w:rsidRPr="009072E8" w:rsidRDefault="005053F1" w:rsidP="004D588E">
      <w:pPr>
        <w:spacing w:line="480" w:lineRule="auto"/>
        <w:ind w:firstLine="720"/>
      </w:pPr>
      <w:r w:rsidRPr="009072E8">
        <w:t>Staff has confirmed that the Amended Protective Order with Highly Confidential Provisions</w:t>
      </w:r>
      <w:r w:rsidR="004D588E" w:rsidRPr="009072E8">
        <w:t>, as</w:t>
      </w:r>
      <w:r w:rsidR="00EF2D8F" w:rsidRPr="009072E8">
        <w:t xml:space="preserve"> proposed by the Company</w:t>
      </w:r>
      <w:r w:rsidR="004D588E" w:rsidRPr="009072E8">
        <w:t>,</w:t>
      </w:r>
      <w:r w:rsidRPr="009072E8">
        <w:t xml:space="preserve"> is identical to prot</w:t>
      </w:r>
      <w:r w:rsidR="00EF2D8F" w:rsidRPr="009072E8">
        <w:t xml:space="preserve">ective orders </w:t>
      </w:r>
      <w:r w:rsidRPr="009072E8">
        <w:t xml:space="preserve">the Commission has issued </w:t>
      </w:r>
      <w:r w:rsidR="004D588E" w:rsidRPr="009072E8">
        <w:t xml:space="preserve">previously </w:t>
      </w:r>
      <w:r w:rsidR="00EF2D8F" w:rsidRPr="009072E8">
        <w:t>in recent general rate cases of PSE</w:t>
      </w:r>
      <w:r w:rsidR="00A43747">
        <w:t xml:space="preserve"> where the acquisition </w:t>
      </w:r>
      <w:r w:rsidR="00917078">
        <w:t>of new generation resources was</w:t>
      </w:r>
      <w:r w:rsidR="00A43747">
        <w:t xml:space="preserve"> at issue</w:t>
      </w:r>
      <w:r w:rsidRPr="009072E8">
        <w:t>.  As is the case with thos</w:t>
      </w:r>
      <w:r w:rsidR="004D588E" w:rsidRPr="009072E8">
        <w:t>e prior cases</w:t>
      </w:r>
      <w:r w:rsidRPr="009072E8">
        <w:t xml:space="preserve">, </w:t>
      </w:r>
      <w:r w:rsidR="00EF2D8F" w:rsidRPr="009072E8">
        <w:t>the Company’s proposal in the current case will grant in</w:t>
      </w:r>
      <w:r w:rsidR="0095359E">
        <w:t>ternal</w:t>
      </w:r>
      <w:r w:rsidR="00EF2D8F" w:rsidRPr="009072E8">
        <w:t xml:space="preserve"> Commission Staff </w:t>
      </w:r>
      <w:r w:rsidRPr="009072E8">
        <w:t xml:space="preserve">the same access to highly confidential documents, </w:t>
      </w:r>
      <w:r w:rsidR="004D588E" w:rsidRPr="009072E8">
        <w:t>under the same conditions, as Staff</w:t>
      </w:r>
      <w:r w:rsidRPr="009072E8">
        <w:t xml:space="preserve"> has for less sensitive confidential documents.</w:t>
      </w:r>
      <w:r w:rsidR="00EC6654" w:rsidRPr="009072E8">
        <w:rPr>
          <w:rStyle w:val="FootnoteReference"/>
        </w:rPr>
        <w:footnoteReference w:id="2"/>
      </w:r>
    </w:p>
    <w:p w:rsidR="00594969" w:rsidRPr="009072E8" w:rsidRDefault="005053F1" w:rsidP="004D588E">
      <w:pPr>
        <w:spacing w:line="480" w:lineRule="auto"/>
        <w:ind w:firstLine="720"/>
      </w:pPr>
      <w:r w:rsidRPr="009072E8">
        <w:t xml:space="preserve">Therefore, Staff does not object to issuance of the requested </w:t>
      </w:r>
      <w:r w:rsidR="00F731FA" w:rsidRPr="009072E8">
        <w:t>Amended Protective Order with Highly Confidential Provisions</w:t>
      </w:r>
      <w:r w:rsidRPr="009072E8">
        <w:t>.  Staff reserves the right to contest the Company’s designation of any document as either highly confidential or confidential, o</w:t>
      </w:r>
      <w:r w:rsidR="00EF2D8F" w:rsidRPr="009072E8">
        <w:t>n</w:t>
      </w:r>
      <w:r w:rsidRPr="009072E8">
        <w:t xml:space="preserve"> a case by case basis as the need arise</w:t>
      </w:r>
      <w:r w:rsidR="00EF2D8F" w:rsidRPr="009072E8">
        <w:t>s</w:t>
      </w:r>
      <w:r w:rsidRPr="009072E8">
        <w:t>.</w:t>
      </w:r>
    </w:p>
    <w:p w:rsidR="005053F1" w:rsidRPr="009072E8" w:rsidRDefault="0095359E" w:rsidP="00F03570">
      <w:pPr>
        <w:pStyle w:val="ListParagraph"/>
        <w:keepNext/>
        <w:numPr>
          <w:ilvl w:val="0"/>
          <w:numId w:val="16"/>
        </w:numPr>
        <w:jc w:val="center"/>
      </w:pPr>
      <w:r w:rsidRPr="009072E8">
        <w:rPr>
          <w:b/>
        </w:rPr>
        <w:t>STAFF</w:t>
      </w:r>
      <w:r>
        <w:rPr>
          <w:b/>
        </w:rPr>
        <w:t>’S</w:t>
      </w:r>
      <w:r w:rsidRPr="009072E8">
        <w:rPr>
          <w:b/>
        </w:rPr>
        <w:t xml:space="preserve"> RESPONSE TO MOTION TO EXPEDITE CONSIDERATION OF PET</w:t>
      </w:r>
      <w:r>
        <w:rPr>
          <w:b/>
        </w:rPr>
        <w:t>ITION</w:t>
      </w:r>
    </w:p>
    <w:p w:rsidR="00594969" w:rsidRPr="009072E8" w:rsidRDefault="00594969" w:rsidP="00F03570">
      <w:pPr>
        <w:keepNext/>
      </w:pPr>
    </w:p>
    <w:p w:rsidR="00594969" w:rsidRPr="009072E8" w:rsidRDefault="004D588E" w:rsidP="004D588E">
      <w:pPr>
        <w:pStyle w:val="ListParagraph"/>
        <w:spacing w:line="480" w:lineRule="auto"/>
        <w:ind w:left="0" w:firstLine="720"/>
        <w:rPr>
          <w:snapToGrid w:val="0"/>
        </w:rPr>
      </w:pPr>
      <w:r w:rsidRPr="009072E8">
        <w:t>PSE ask</w:t>
      </w:r>
      <w:r w:rsidR="007D7956" w:rsidRPr="009072E8">
        <w:t xml:space="preserve">s </w:t>
      </w:r>
      <w:r w:rsidR="00BD0888" w:rsidRPr="009072E8">
        <w:t>the</w:t>
      </w:r>
      <w:r w:rsidR="007D7956" w:rsidRPr="009072E8">
        <w:t xml:space="preserve"> Commission </w:t>
      </w:r>
      <w:r w:rsidR="00BD0888" w:rsidRPr="009072E8">
        <w:t xml:space="preserve">to </w:t>
      </w:r>
      <w:r w:rsidR="00287280" w:rsidRPr="009072E8">
        <w:t>i</w:t>
      </w:r>
      <w:r w:rsidR="0095359E">
        <w:t>ssue a final O</w:t>
      </w:r>
      <w:r w:rsidR="006B254B" w:rsidRPr="009072E8">
        <w:t>rder in this proceeding no later than December 15, 2012</w:t>
      </w:r>
      <w:r w:rsidR="005A4EB4" w:rsidRPr="009072E8">
        <w:t>.</w:t>
      </w:r>
      <w:r w:rsidR="00BC411C" w:rsidRPr="009072E8">
        <w:t xml:space="preserve">  </w:t>
      </w:r>
      <w:r w:rsidR="00AF6A73" w:rsidRPr="009072E8">
        <w:t>T</w:t>
      </w:r>
      <w:r w:rsidR="00BD0888" w:rsidRPr="009072E8">
        <w:t xml:space="preserve">his proposal drastically accelerates </w:t>
      </w:r>
      <w:r w:rsidR="00F80E32" w:rsidRPr="009072E8">
        <w:t xml:space="preserve">by one-third </w:t>
      </w:r>
      <w:r w:rsidR="00BD0888" w:rsidRPr="009072E8">
        <w:t>the 180</w:t>
      </w:r>
      <w:r w:rsidR="000D5D70" w:rsidRPr="009072E8">
        <w:t>-</w:t>
      </w:r>
      <w:r w:rsidR="00BD0888" w:rsidRPr="009072E8">
        <w:t xml:space="preserve">day time </w:t>
      </w:r>
      <w:r w:rsidR="00BD0888" w:rsidRPr="009072E8">
        <w:lastRenderedPageBreak/>
        <w:t xml:space="preserve">frame </w:t>
      </w:r>
      <w:r w:rsidR="000D5D70" w:rsidRPr="009072E8">
        <w:t xml:space="preserve">allowed </w:t>
      </w:r>
      <w:r w:rsidR="00BD0888" w:rsidRPr="009072E8">
        <w:t>the Commission under RCW 80.04.570(3)</w:t>
      </w:r>
      <w:r w:rsidRPr="009072E8">
        <w:t>.  The 180-day time frame allowed by law</w:t>
      </w:r>
      <w:r w:rsidR="00BD0888" w:rsidRPr="009072E8">
        <w:t xml:space="preserve"> would</w:t>
      </w:r>
      <w:r w:rsidRPr="009072E8">
        <w:t xml:space="preserve"> </w:t>
      </w:r>
      <w:r w:rsidR="0095359E">
        <w:t>not require a Commission final O</w:t>
      </w:r>
      <w:r w:rsidR="00BD0888" w:rsidRPr="009072E8">
        <w:t>rder until February 1</w:t>
      </w:r>
      <w:r w:rsidR="00A43747">
        <w:t>6</w:t>
      </w:r>
      <w:r w:rsidR="00BD0888" w:rsidRPr="009072E8">
        <w:t xml:space="preserve">, 2013. </w:t>
      </w:r>
      <w:r w:rsidR="00AF6A73" w:rsidRPr="009072E8">
        <w:t xml:space="preserve"> </w:t>
      </w:r>
    </w:p>
    <w:p w:rsidR="00594969" w:rsidRPr="009072E8" w:rsidRDefault="009F4C41" w:rsidP="004016BA">
      <w:pPr>
        <w:pStyle w:val="ListParagraph"/>
        <w:keepNext/>
        <w:spacing w:line="288" w:lineRule="auto"/>
        <w:ind w:left="0" w:firstLine="720"/>
      </w:pPr>
      <w:r w:rsidRPr="009072E8">
        <w:t>PSE</w:t>
      </w:r>
      <w:r w:rsidR="00BD0888" w:rsidRPr="009072E8">
        <w:t xml:space="preserve"> justifies its request for expedited treatment </w:t>
      </w:r>
      <w:r w:rsidR="0095359E">
        <w:t>based on</w:t>
      </w:r>
      <w:r w:rsidR="00BD0888" w:rsidRPr="009072E8">
        <w:t xml:space="preserve"> the following reasons:</w:t>
      </w:r>
    </w:p>
    <w:p w:rsidR="00557936" w:rsidRPr="009072E8" w:rsidRDefault="00557936" w:rsidP="004016BA">
      <w:pPr>
        <w:pStyle w:val="ListParagraph"/>
        <w:keepNext/>
      </w:pPr>
    </w:p>
    <w:p w:rsidR="008D1D14" w:rsidRPr="009072E8" w:rsidRDefault="00C539F4" w:rsidP="004D588E">
      <w:pPr>
        <w:pStyle w:val="ListParagraph"/>
        <w:spacing w:before="120" w:after="120" w:line="288" w:lineRule="auto"/>
        <w:ind w:left="1440" w:hanging="720"/>
      </w:pPr>
      <w:r w:rsidRPr="009072E8">
        <w:t>1.</w:t>
      </w:r>
      <w:r w:rsidRPr="009072E8">
        <w:tab/>
      </w:r>
      <w:r w:rsidR="00557936" w:rsidRPr="009072E8">
        <w:t xml:space="preserve">All of the </w:t>
      </w:r>
      <w:r w:rsidR="00C978A5" w:rsidRPr="009072E8">
        <w:t xml:space="preserve">evidence </w:t>
      </w:r>
      <w:r w:rsidR="00557936" w:rsidRPr="009072E8">
        <w:t xml:space="preserve">necessary for the Commission to make its decision </w:t>
      </w:r>
      <w:r w:rsidR="00EC6654" w:rsidRPr="009072E8">
        <w:t xml:space="preserve">regarding the Coal Transition PPA </w:t>
      </w:r>
      <w:r w:rsidR="00557936" w:rsidRPr="009072E8">
        <w:t xml:space="preserve">has been provided in the </w:t>
      </w:r>
      <w:r w:rsidR="00EC6654" w:rsidRPr="009072E8">
        <w:t xml:space="preserve">Company’s </w:t>
      </w:r>
      <w:r w:rsidR="00557936" w:rsidRPr="009072E8">
        <w:t>pre-filed direct testimony</w:t>
      </w:r>
      <w:r w:rsidR="00EC6654" w:rsidRPr="009072E8">
        <w:t xml:space="preserve"> and exhibits</w:t>
      </w:r>
      <w:r w:rsidR="00C47129" w:rsidRPr="009072E8">
        <w:t xml:space="preserve">, </w:t>
      </w:r>
      <w:r w:rsidRPr="009072E8">
        <w:t>so there is no need for delay</w:t>
      </w:r>
      <w:r w:rsidR="00557936" w:rsidRPr="009072E8">
        <w:t>;</w:t>
      </w:r>
      <w:r w:rsidR="00BC411C" w:rsidRPr="009072E8">
        <w:t xml:space="preserve"> </w:t>
      </w:r>
    </w:p>
    <w:p w:rsidR="000D5D70" w:rsidRPr="009072E8" w:rsidRDefault="000D5D70" w:rsidP="004D588E">
      <w:pPr>
        <w:pStyle w:val="ListParagraph"/>
        <w:spacing w:before="120" w:after="120" w:line="288" w:lineRule="auto"/>
      </w:pPr>
    </w:p>
    <w:p w:rsidR="008D1D14" w:rsidRPr="009072E8" w:rsidRDefault="00C539F4" w:rsidP="004D588E">
      <w:pPr>
        <w:pStyle w:val="ListParagraph"/>
        <w:spacing w:before="120" w:after="120" w:line="288" w:lineRule="auto"/>
        <w:ind w:left="1440" w:hanging="720"/>
      </w:pPr>
      <w:r w:rsidRPr="009072E8">
        <w:t>2.</w:t>
      </w:r>
      <w:r w:rsidRPr="009072E8">
        <w:tab/>
      </w:r>
      <w:r w:rsidR="00C978A5" w:rsidRPr="009072E8">
        <w:t xml:space="preserve">PSE </w:t>
      </w:r>
      <w:r w:rsidR="00C47129" w:rsidRPr="009072E8">
        <w:t xml:space="preserve">requires an expedited </w:t>
      </w:r>
      <w:r w:rsidR="0095359E">
        <w:t>O</w:t>
      </w:r>
      <w:r w:rsidR="00C47129" w:rsidRPr="009072E8">
        <w:t xml:space="preserve">rder so it can </w:t>
      </w:r>
      <w:r w:rsidR="008D1D14" w:rsidRPr="009072E8">
        <w:t xml:space="preserve">have </w:t>
      </w:r>
      <w:r w:rsidR="0026362A" w:rsidRPr="009072E8">
        <w:t xml:space="preserve">certainty </w:t>
      </w:r>
      <w:r w:rsidR="008D1D14" w:rsidRPr="009072E8">
        <w:t>in</w:t>
      </w:r>
      <w:r w:rsidR="00C978A5" w:rsidRPr="009072E8">
        <w:t xml:space="preserve"> </w:t>
      </w:r>
      <w:r w:rsidR="008D1D14" w:rsidRPr="009072E8">
        <w:t xml:space="preserve">planning and </w:t>
      </w:r>
      <w:r w:rsidR="00C978A5" w:rsidRPr="009072E8">
        <w:t>meet</w:t>
      </w:r>
      <w:r w:rsidR="008D1D14" w:rsidRPr="009072E8">
        <w:t>ing</w:t>
      </w:r>
      <w:r w:rsidR="00C978A5" w:rsidRPr="009072E8">
        <w:t xml:space="preserve"> </w:t>
      </w:r>
      <w:r w:rsidR="00BC411C" w:rsidRPr="009072E8">
        <w:t xml:space="preserve">its </w:t>
      </w:r>
      <w:r w:rsidR="00C978A5" w:rsidRPr="009072E8">
        <w:t>capacity need</w:t>
      </w:r>
      <w:r w:rsidR="00C47129" w:rsidRPr="009072E8">
        <w:t>s</w:t>
      </w:r>
      <w:r w:rsidRPr="009072E8">
        <w:t xml:space="preserve"> during the t</w:t>
      </w:r>
      <w:r w:rsidR="000D5D70" w:rsidRPr="009072E8">
        <w:t>erm of the Coa</w:t>
      </w:r>
      <w:r w:rsidRPr="009072E8">
        <w:t>l Transition PPA</w:t>
      </w:r>
      <w:r w:rsidR="008D1D14" w:rsidRPr="009072E8">
        <w:t>;</w:t>
      </w:r>
      <w:r w:rsidR="00C47129" w:rsidRPr="009072E8">
        <w:t xml:space="preserve"> and </w:t>
      </w:r>
    </w:p>
    <w:p w:rsidR="00C539F4" w:rsidRPr="009072E8" w:rsidRDefault="00C539F4" w:rsidP="004D588E">
      <w:pPr>
        <w:pStyle w:val="ListParagraph"/>
        <w:spacing w:before="120" w:after="120" w:line="288" w:lineRule="auto"/>
      </w:pPr>
    </w:p>
    <w:p w:rsidR="009F4C41" w:rsidRPr="009072E8" w:rsidRDefault="00C539F4" w:rsidP="004D588E">
      <w:pPr>
        <w:pStyle w:val="ListParagraph"/>
        <w:spacing w:before="120" w:line="288" w:lineRule="auto"/>
        <w:ind w:left="1440" w:hanging="720"/>
      </w:pPr>
      <w:r w:rsidRPr="009072E8">
        <w:t>3.</w:t>
      </w:r>
      <w:r w:rsidRPr="009072E8">
        <w:tab/>
      </w:r>
      <w:r w:rsidR="00C47129" w:rsidRPr="009072E8">
        <w:t xml:space="preserve">TransAlta Centralia Generation LLC </w:t>
      </w:r>
      <w:r w:rsidRPr="009072E8">
        <w:t>would like an expedited decision so that it can proceed with its plan to mark</w:t>
      </w:r>
      <w:r w:rsidR="00C47129" w:rsidRPr="009072E8">
        <w:t xml:space="preserve">et </w:t>
      </w:r>
      <w:r w:rsidR="0026362A" w:rsidRPr="009072E8">
        <w:t xml:space="preserve">the balance of </w:t>
      </w:r>
      <w:r w:rsidR="00C47129" w:rsidRPr="009072E8">
        <w:t xml:space="preserve">power </w:t>
      </w:r>
      <w:r w:rsidRPr="009072E8">
        <w:t xml:space="preserve">from its </w:t>
      </w:r>
      <w:r w:rsidR="00C47129" w:rsidRPr="009072E8">
        <w:t>generation</w:t>
      </w:r>
      <w:r w:rsidRPr="009072E8">
        <w:t xml:space="preserve"> facility.</w:t>
      </w:r>
      <w:r w:rsidRPr="009072E8">
        <w:rPr>
          <w:rStyle w:val="FootnoteReference"/>
        </w:rPr>
        <w:footnoteReference w:id="3"/>
      </w:r>
      <w:r w:rsidRPr="009072E8">
        <w:t xml:space="preserve"> </w:t>
      </w:r>
      <w:r w:rsidR="0026362A" w:rsidRPr="009072E8">
        <w:t xml:space="preserve"> </w:t>
      </w:r>
    </w:p>
    <w:p w:rsidR="009F4C41" w:rsidRPr="009072E8" w:rsidRDefault="009F4C41" w:rsidP="00873D58">
      <w:pPr>
        <w:pStyle w:val="ListParagraph"/>
        <w:ind w:left="0"/>
      </w:pPr>
    </w:p>
    <w:p w:rsidR="00594969" w:rsidRPr="009072E8" w:rsidRDefault="0095359E" w:rsidP="004D588E">
      <w:pPr>
        <w:spacing w:line="480" w:lineRule="auto"/>
      </w:pPr>
      <w:r>
        <w:t>None of these reasons justif</w:t>
      </w:r>
      <w:r w:rsidR="004016BA">
        <w:t>ies</w:t>
      </w:r>
      <w:r w:rsidR="00F80E32" w:rsidRPr="009072E8">
        <w:t xml:space="preserve"> the </w:t>
      </w:r>
      <w:r w:rsidR="004D588E" w:rsidRPr="009072E8">
        <w:t xml:space="preserve">more </w:t>
      </w:r>
      <w:r w:rsidR="00F80E32" w:rsidRPr="009072E8">
        <w:t>expedited treatment requested by PSE.  The Commission should reject</w:t>
      </w:r>
      <w:r w:rsidR="004D588E" w:rsidRPr="009072E8">
        <w:t xml:space="preserve"> the Company’s attempt to diminish</w:t>
      </w:r>
      <w:r w:rsidR="00F80E32" w:rsidRPr="009072E8">
        <w:t xml:space="preserve"> the rights of other parties, especially given the complexity of the case and the novelty of the statutory framework under which the Company’s petition must be analyzed.</w:t>
      </w:r>
    </w:p>
    <w:p w:rsidR="00594969" w:rsidRPr="009072E8" w:rsidRDefault="00AA1393" w:rsidP="004D588E">
      <w:pPr>
        <w:pStyle w:val="ListParagraph"/>
        <w:spacing w:line="480" w:lineRule="auto"/>
        <w:ind w:left="0" w:firstLine="720"/>
      </w:pPr>
      <w:r>
        <w:t xml:space="preserve">First, </w:t>
      </w:r>
      <w:r w:rsidR="000D5D70" w:rsidRPr="009072E8">
        <w:t xml:space="preserve">Company documentation </w:t>
      </w:r>
      <w:r w:rsidR="004D588E" w:rsidRPr="009072E8">
        <w:t xml:space="preserve">upon which PSE </w:t>
      </w:r>
      <w:r w:rsidR="000D5D70" w:rsidRPr="009072E8">
        <w:t>made its decision to enter the Coal Transition PPA assumed full use of the 180-day statutory time</w:t>
      </w:r>
      <w:r w:rsidR="0095359E">
        <w:t xml:space="preserve"> </w:t>
      </w:r>
      <w:r>
        <w:t xml:space="preserve">frame and admitted expressly </w:t>
      </w:r>
      <w:r w:rsidR="000D5D70" w:rsidRPr="009072E8">
        <w:t xml:space="preserve">that </w:t>
      </w:r>
      <w:r>
        <w:t>that time frame already constitutes an</w:t>
      </w:r>
      <w:r w:rsidR="0095359E" w:rsidRPr="009072E8">
        <w:t xml:space="preserve"> </w:t>
      </w:r>
      <w:r w:rsidR="000D5D70" w:rsidRPr="009072E8">
        <w:t>“expedited” proceeding.</w:t>
      </w:r>
      <w:r w:rsidR="000D5D70" w:rsidRPr="009072E8">
        <w:rPr>
          <w:rStyle w:val="FootnoteReference"/>
        </w:rPr>
        <w:footnoteReference w:id="4"/>
      </w:r>
      <w:r w:rsidR="000D5D70" w:rsidRPr="009072E8">
        <w:t xml:space="preserve">  </w:t>
      </w:r>
      <w:r>
        <w:t>Clearly, PSE expecte</w:t>
      </w:r>
      <w:r w:rsidR="00F52AB2" w:rsidRPr="009072E8">
        <w:t xml:space="preserve">d the full </w:t>
      </w:r>
      <w:r w:rsidR="000D5D70" w:rsidRPr="009072E8">
        <w:t xml:space="preserve">180-day </w:t>
      </w:r>
      <w:r>
        <w:t>case schedule when</w:t>
      </w:r>
      <w:r w:rsidR="000D5D70" w:rsidRPr="009072E8">
        <w:t xml:space="preserve"> planning to meet its capacity needs during the term of the Coal Transition PPA.</w:t>
      </w:r>
      <w:r w:rsidR="00D40C20" w:rsidRPr="009072E8">
        <w:t xml:space="preserve">  It should not be heard to argue that an even more accelerated time</w:t>
      </w:r>
      <w:r w:rsidR="0095359E">
        <w:t xml:space="preserve"> </w:t>
      </w:r>
      <w:r w:rsidR="00D40C20" w:rsidRPr="009072E8">
        <w:t xml:space="preserve">frame is necessary for </w:t>
      </w:r>
      <w:r>
        <w:t>any purpose including resource planning</w:t>
      </w:r>
      <w:r w:rsidR="00D40C20" w:rsidRPr="009072E8">
        <w:t>.</w:t>
      </w:r>
    </w:p>
    <w:p w:rsidR="000D5D70" w:rsidRPr="009072E8" w:rsidRDefault="000D5D70" w:rsidP="004D588E">
      <w:pPr>
        <w:spacing w:line="480" w:lineRule="auto"/>
      </w:pPr>
      <w:r w:rsidRPr="009072E8">
        <w:tab/>
        <w:t xml:space="preserve">Second, when a petition for approval of any agreement for the purchase of coal transition power is filed with the Commission, the Commission is required to provide notice </w:t>
      </w:r>
      <w:r w:rsidRPr="009072E8">
        <w:lastRenderedPageBreak/>
        <w:t>to all potentially affected parties and to set the matter for hearing under</w:t>
      </w:r>
      <w:r w:rsidR="00F52AB2" w:rsidRPr="009072E8">
        <w:t xml:space="preserve"> the Administrative Procedure Act, </w:t>
      </w:r>
      <w:r w:rsidRPr="009072E8">
        <w:t>RCW 34.05.</w:t>
      </w:r>
      <w:r w:rsidRPr="009072E8">
        <w:rPr>
          <w:rStyle w:val="FootnoteReference"/>
        </w:rPr>
        <w:footnoteReference w:id="5"/>
      </w:r>
      <w:r w:rsidRPr="009072E8">
        <w:t xml:space="preserve">  </w:t>
      </w:r>
      <w:r w:rsidR="00F52AB2" w:rsidRPr="009072E8">
        <w:t>Clearly, the statu</w:t>
      </w:r>
      <w:r w:rsidR="00D40C20" w:rsidRPr="009072E8">
        <w:t>te requires a full airing of the</w:t>
      </w:r>
      <w:r w:rsidR="00F52AB2" w:rsidRPr="009072E8">
        <w:t xml:space="preserve"> issues </w:t>
      </w:r>
      <w:r w:rsidR="00D40C20" w:rsidRPr="009072E8">
        <w:t xml:space="preserve">raised by the petition, </w:t>
      </w:r>
      <w:r w:rsidR="00F52AB2" w:rsidRPr="009072E8">
        <w:t>with the participation of all interested parties that wish to participate.  It is insufficient, and, quite frankly,</w:t>
      </w:r>
      <w:r w:rsidR="0095359E">
        <w:t xml:space="preserve"> offensive </w:t>
      </w:r>
      <w:r w:rsidR="00F52AB2" w:rsidRPr="009072E8">
        <w:t>to those parties and the Commission itself, for the Company to suggest that a final decision can be made solely on the basis of the Company’s direc</w:t>
      </w:r>
      <w:r w:rsidR="00D40C20" w:rsidRPr="009072E8">
        <w:t xml:space="preserve">t evidence with, apparently, little or no need for discovery or carefully considered </w:t>
      </w:r>
      <w:r w:rsidR="00F52AB2" w:rsidRPr="009072E8">
        <w:t>respons</w:t>
      </w:r>
      <w:r w:rsidR="0095359E">
        <w:t>iv</w:t>
      </w:r>
      <w:r w:rsidR="00F52AB2" w:rsidRPr="009072E8">
        <w:t>e testimony from Commission Staff and other parties.</w:t>
      </w:r>
    </w:p>
    <w:p w:rsidR="000D5D70" w:rsidRPr="009072E8" w:rsidRDefault="00F52AB2" w:rsidP="004D588E">
      <w:pPr>
        <w:spacing w:line="480" w:lineRule="auto"/>
      </w:pPr>
      <w:r w:rsidRPr="009072E8">
        <w:tab/>
        <w:t>Third, the Coal Transition PPA is presented to the Commission for approval as a case of first impression under a new and untested statutory framework.  That statutory framework requires the Commission to make specific determinations that:</w:t>
      </w:r>
    </w:p>
    <w:p w:rsidR="00F52AB2" w:rsidRPr="009072E8" w:rsidRDefault="00F52AB2" w:rsidP="00D40C20">
      <w:pPr>
        <w:ind w:left="1440" w:hanging="720"/>
      </w:pPr>
      <w:r w:rsidRPr="009072E8">
        <w:t>1.</w:t>
      </w:r>
      <w:r w:rsidRPr="009072E8">
        <w:tab/>
        <w:t>The terms of the agreement provide adequate protection to ratepayers and to the company during the term of the agreement or in</w:t>
      </w:r>
      <w:r w:rsidR="00136200" w:rsidRPr="009072E8">
        <w:t xml:space="preserve"> the event of early termination;</w:t>
      </w:r>
    </w:p>
    <w:p w:rsidR="00136200" w:rsidRPr="009072E8" w:rsidRDefault="00136200" w:rsidP="00136200"/>
    <w:p w:rsidR="00F52AB2" w:rsidRPr="009072E8" w:rsidRDefault="00F52AB2" w:rsidP="00136200">
      <w:r w:rsidRPr="009072E8">
        <w:tab/>
        <w:t>2.</w:t>
      </w:r>
      <w:r w:rsidRPr="009072E8">
        <w:tab/>
        <w:t>The resource is needed by the company to serve its ratepayers</w:t>
      </w:r>
      <w:r w:rsidR="00136200" w:rsidRPr="009072E8">
        <w:t>; and</w:t>
      </w:r>
    </w:p>
    <w:p w:rsidR="00136200" w:rsidRPr="009072E8" w:rsidRDefault="00136200" w:rsidP="00136200"/>
    <w:p w:rsidR="00136200" w:rsidRPr="009072E8" w:rsidRDefault="00136200" w:rsidP="00D40C20">
      <w:pPr>
        <w:ind w:left="1440" w:hanging="720"/>
      </w:pPr>
      <w:r w:rsidRPr="009072E8">
        <w:t>3.</w:t>
      </w:r>
      <w:r w:rsidRPr="009072E8">
        <w:tab/>
        <w:t>The resource meets that need in a cost-effective manner under the lowest cost resource standards of RCW 19.280, including the cost of the agreement plus the equity component the company is allowed to earn on the agreement.</w:t>
      </w:r>
      <w:r w:rsidR="00EC55A4" w:rsidRPr="009072E8">
        <w:rPr>
          <w:rStyle w:val="FootnoteReference"/>
        </w:rPr>
        <w:footnoteReference w:id="6"/>
      </w:r>
    </w:p>
    <w:p w:rsidR="000D5D70" w:rsidRPr="009072E8" w:rsidRDefault="000D5D70" w:rsidP="004D588E">
      <w:pPr>
        <w:spacing w:line="288" w:lineRule="auto"/>
      </w:pPr>
    </w:p>
    <w:p w:rsidR="000D5D70" w:rsidRPr="009072E8" w:rsidRDefault="00136200" w:rsidP="004D588E">
      <w:pPr>
        <w:spacing w:line="480" w:lineRule="auto"/>
        <w:rPr>
          <w:b/>
        </w:rPr>
      </w:pPr>
      <w:r w:rsidRPr="009072E8">
        <w:t xml:space="preserve">The Commission also </w:t>
      </w:r>
      <w:r w:rsidR="0095359E">
        <w:t xml:space="preserve">is </w:t>
      </w:r>
      <w:r w:rsidRPr="009072E8">
        <w:t>required to consider the long-term econ</w:t>
      </w:r>
      <w:r w:rsidR="00D40C20" w:rsidRPr="009072E8">
        <w:t>omic risks and benefits to the C</w:t>
      </w:r>
      <w:r w:rsidRPr="009072E8">
        <w:t xml:space="preserve">ompany and ratepayers of the </w:t>
      </w:r>
      <w:r w:rsidR="00D40C20" w:rsidRPr="009072E8">
        <w:t>C</w:t>
      </w:r>
      <w:r w:rsidRPr="009072E8">
        <w:t xml:space="preserve">oal </w:t>
      </w:r>
      <w:r w:rsidR="00D40C20" w:rsidRPr="009072E8">
        <w:t>T</w:t>
      </w:r>
      <w:r w:rsidRPr="009072E8">
        <w:t xml:space="preserve">ransition </w:t>
      </w:r>
      <w:r w:rsidR="00D40C20" w:rsidRPr="009072E8">
        <w:t>PPA.</w:t>
      </w:r>
      <w:r w:rsidR="00EC55A4" w:rsidRPr="009072E8">
        <w:rPr>
          <w:rStyle w:val="FootnoteReference"/>
        </w:rPr>
        <w:footnoteReference w:id="7"/>
      </w:r>
      <w:r w:rsidRPr="009072E8">
        <w:t xml:space="preserve">  For purposes of determining the equity component that will be added to the Company’s revenue requirement, the Commission must consider </w:t>
      </w:r>
      <w:r w:rsidR="00EC55A4" w:rsidRPr="009072E8">
        <w:t xml:space="preserve">and determine </w:t>
      </w:r>
      <w:r w:rsidRPr="009072E8">
        <w:t>the cost of an equivalent plant defined as a least cost purchased or self-built electric generation facility with equivalent capacity</w:t>
      </w:r>
      <w:r w:rsidR="00EC55A4" w:rsidRPr="009072E8">
        <w:t>.</w:t>
      </w:r>
      <w:r w:rsidR="00EC55A4" w:rsidRPr="009072E8">
        <w:rPr>
          <w:rStyle w:val="FootnoteReference"/>
        </w:rPr>
        <w:footnoteReference w:id="8"/>
      </w:r>
    </w:p>
    <w:p w:rsidR="00D5010E" w:rsidRPr="009072E8" w:rsidRDefault="00EC55A4" w:rsidP="004D588E">
      <w:pPr>
        <w:spacing w:line="480" w:lineRule="auto"/>
      </w:pPr>
      <w:r w:rsidRPr="009072E8">
        <w:tab/>
      </w:r>
      <w:r w:rsidR="00834B8E" w:rsidRPr="009072E8">
        <w:t>Admittedly, some</w:t>
      </w:r>
      <w:r w:rsidRPr="009072E8">
        <w:t xml:space="preserve"> of these factors are part and parcel of any prudence</w:t>
      </w:r>
      <w:r w:rsidR="00D40C20" w:rsidRPr="009072E8">
        <w:t xml:space="preserve"> review of a</w:t>
      </w:r>
      <w:r w:rsidRPr="009072E8">
        <w:t xml:space="preserve"> new generation acquisition</w:t>
      </w:r>
      <w:r w:rsidR="00834B8E" w:rsidRPr="009072E8">
        <w:t>.  However, other factors</w:t>
      </w:r>
      <w:r w:rsidR="00CE3207" w:rsidRPr="009072E8">
        <w:t xml:space="preserve"> are </w:t>
      </w:r>
      <w:r w:rsidR="00D40C20" w:rsidRPr="009072E8">
        <w:t xml:space="preserve">just as clearly </w:t>
      </w:r>
      <w:r w:rsidR="00CE3207" w:rsidRPr="009072E8">
        <w:t xml:space="preserve">novel and add </w:t>
      </w:r>
      <w:r w:rsidR="00CE3207" w:rsidRPr="009072E8">
        <w:lastRenderedPageBreak/>
        <w:t xml:space="preserve">additional layers of complexity </w:t>
      </w:r>
      <w:r w:rsidR="00D40C20" w:rsidRPr="009072E8">
        <w:t>to</w:t>
      </w:r>
      <w:r w:rsidR="00CE3207" w:rsidRPr="009072E8">
        <w:t xml:space="preserve"> the typical prudence review.  Adding to the complexity of the case is the Company’s request for approval of deferred costs, with interest, over the entire term of the Coal Transition PPA.  It is neither reasonable nor wise for the Commission to expedite the case schedule on a faster track than the already expedited schedule allowed by statute.</w:t>
      </w:r>
      <w:r w:rsidR="00406C15" w:rsidRPr="009072E8">
        <w:t xml:space="preserve">  </w:t>
      </w:r>
      <w:r w:rsidR="00F5777B">
        <w:t>T</w:t>
      </w:r>
      <w:r w:rsidR="00406C15" w:rsidRPr="009072E8">
        <w:t xml:space="preserve">he planning interests of PSE </w:t>
      </w:r>
      <w:r w:rsidR="00F5777B">
        <w:t>and</w:t>
      </w:r>
      <w:r w:rsidR="00406C15" w:rsidRPr="009072E8">
        <w:t xml:space="preserve"> TransAlta should </w:t>
      </w:r>
      <w:r w:rsidR="00F5777B">
        <w:t xml:space="preserve">not </w:t>
      </w:r>
      <w:r w:rsidR="00406C15" w:rsidRPr="009072E8">
        <w:t>take precedence over the need for a reasoned decision by the Commission that will affect all of the Company’s ratepayers and the general public interest.</w:t>
      </w:r>
      <w:r w:rsidR="00F5777B">
        <w:rPr>
          <w:rStyle w:val="FootnoteReference"/>
        </w:rPr>
        <w:footnoteReference w:id="9"/>
      </w:r>
    </w:p>
    <w:p w:rsidR="00E74D28" w:rsidRPr="009072E8" w:rsidRDefault="00CE3207" w:rsidP="004D588E">
      <w:pPr>
        <w:spacing w:line="480" w:lineRule="auto"/>
      </w:pPr>
      <w:r w:rsidRPr="009072E8">
        <w:tab/>
        <w:t xml:space="preserve">Finally, the Company already is the beneficiary of the Power Cost Only Rate Case (PCORC) mechanism, which allows PSE to seek approval and recovery of new resource acquisitions on an accelerated basis.  </w:t>
      </w:r>
      <w:r w:rsidR="00E74D28" w:rsidRPr="009072E8">
        <w:t>The PCORC mechanism has been in place since the Company’s 2001 general rate case in Docket UE-110570.  However, the mechanism came up for review as part of a 2007 general rate case</w:t>
      </w:r>
      <w:r w:rsidR="00B850AD" w:rsidRPr="009072E8">
        <w:t xml:space="preserve">.  </w:t>
      </w:r>
      <w:r w:rsidR="004D588E" w:rsidRPr="009072E8">
        <w:t xml:space="preserve">There, </w:t>
      </w:r>
      <w:r w:rsidR="00B850AD" w:rsidRPr="009072E8">
        <w:t>Commission Staff proposed that the Commission extend</w:t>
      </w:r>
      <w:r w:rsidR="00E74D28" w:rsidRPr="009072E8">
        <w:t xml:space="preserve"> the expected procedural schedule </w:t>
      </w:r>
      <w:r w:rsidR="00B850AD" w:rsidRPr="009072E8">
        <w:t xml:space="preserve">of a PCORC </w:t>
      </w:r>
      <w:r w:rsidR="00E74D28" w:rsidRPr="009072E8">
        <w:t>from 5 to 6 months</w:t>
      </w:r>
      <w:r w:rsidR="00B850AD" w:rsidRPr="009072E8">
        <w:t xml:space="preserve">.  The Company </w:t>
      </w:r>
      <w:r w:rsidR="00B850AD" w:rsidRPr="009072E8">
        <w:rPr>
          <w:i/>
        </w:rPr>
        <w:t>agreed</w:t>
      </w:r>
      <w:r w:rsidR="00B850AD" w:rsidRPr="009072E8">
        <w:t xml:space="preserve"> with Staff’s proposed modification</w:t>
      </w:r>
      <w:r w:rsidR="00E74D28" w:rsidRPr="009072E8">
        <w:t>,</w:t>
      </w:r>
      <w:r w:rsidR="00B850AD" w:rsidRPr="009072E8">
        <w:rPr>
          <w:rStyle w:val="FootnoteReference"/>
        </w:rPr>
        <w:footnoteReference w:id="10"/>
      </w:r>
      <w:r w:rsidR="00E74D28" w:rsidRPr="009072E8">
        <w:t xml:space="preserve"> </w:t>
      </w:r>
      <w:r w:rsidR="00B850AD" w:rsidRPr="009072E8">
        <w:t xml:space="preserve">which the Commission approved, </w:t>
      </w:r>
      <w:r w:rsidR="00E74D28" w:rsidRPr="009072E8">
        <w:t>stating:</w:t>
      </w:r>
    </w:p>
    <w:p w:rsidR="00E74D28" w:rsidRPr="009072E8" w:rsidRDefault="00E74D28" w:rsidP="004D588E">
      <w:pPr>
        <w:spacing w:line="288" w:lineRule="auto"/>
        <w:ind w:left="720"/>
        <w:rPr>
          <w:szCs w:val="24"/>
        </w:rPr>
      </w:pPr>
      <w:r w:rsidRPr="009072E8">
        <w:rPr>
          <w:szCs w:val="24"/>
        </w:rPr>
        <w:t>We find that extending the contemplated period for completing a PCORC to six months strikes an appropriate balance by alleviating certain burdens the parties identified while maintaining the underlying goal of expedited power cost review.</w:t>
      </w:r>
      <w:r w:rsidRPr="009072E8">
        <w:rPr>
          <w:rStyle w:val="FootnoteReference"/>
          <w:szCs w:val="24"/>
        </w:rPr>
        <w:footnoteReference w:id="11"/>
      </w:r>
    </w:p>
    <w:p w:rsidR="00E74D28" w:rsidRPr="009072E8" w:rsidRDefault="00E74D28" w:rsidP="004D588E">
      <w:pPr>
        <w:spacing w:line="288" w:lineRule="auto"/>
        <w:ind w:left="720"/>
      </w:pPr>
    </w:p>
    <w:p w:rsidR="00CE3207" w:rsidRPr="009072E8" w:rsidRDefault="00B850AD" w:rsidP="004D588E">
      <w:pPr>
        <w:spacing w:line="480" w:lineRule="auto"/>
      </w:pPr>
      <w:r w:rsidRPr="009072E8">
        <w:tab/>
        <w:t xml:space="preserve">The </w:t>
      </w:r>
      <w:r w:rsidR="004D588E" w:rsidRPr="009072E8">
        <w:t xml:space="preserve">complexity </w:t>
      </w:r>
      <w:r w:rsidR="00D40C20" w:rsidRPr="009072E8">
        <w:t xml:space="preserve">and novelty </w:t>
      </w:r>
      <w:r w:rsidR="004D588E" w:rsidRPr="009072E8">
        <w:t xml:space="preserve">of the </w:t>
      </w:r>
      <w:r w:rsidRPr="009072E8">
        <w:t xml:space="preserve">issues presented by the </w:t>
      </w:r>
      <w:r w:rsidR="00D40C20" w:rsidRPr="009072E8">
        <w:t xml:space="preserve">Company’s </w:t>
      </w:r>
      <w:r w:rsidRPr="009072E8">
        <w:t xml:space="preserve">Coal Transition PPA </w:t>
      </w:r>
      <w:r w:rsidR="004D588E" w:rsidRPr="009072E8">
        <w:t>exceed</w:t>
      </w:r>
      <w:r w:rsidR="00D40C20" w:rsidRPr="009072E8">
        <w:t>s</w:t>
      </w:r>
      <w:r w:rsidR="004D588E" w:rsidRPr="009072E8">
        <w:t xml:space="preserve"> those presented by a </w:t>
      </w:r>
      <w:r w:rsidRPr="009072E8">
        <w:t xml:space="preserve">PCORC </w:t>
      </w:r>
      <w:r w:rsidR="004D588E" w:rsidRPr="009072E8">
        <w:t xml:space="preserve">request </w:t>
      </w:r>
      <w:r w:rsidRPr="009072E8">
        <w:t xml:space="preserve">for expedited review of </w:t>
      </w:r>
      <w:r w:rsidR="004D588E" w:rsidRPr="009072E8">
        <w:t xml:space="preserve">a </w:t>
      </w:r>
      <w:r w:rsidRPr="009072E8">
        <w:t xml:space="preserve">new </w:t>
      </w:r>
      <w:r w:rsidRPr="009072E8">
        <w:lastRenderedPageBreak/>
        <w:t>resource acquisition</w:t>
      </w:r>
      <w:r w:rsidR="004D588E" w:rsidRPr="009072E8">
        <w:t xml:space="preserve">.  It simply </w:t>
      </w:r>
      <w:r w:rsidR="0095359E" w:rsidRPr="009072E8">
        <w:t xml:space="preserve">is </w:t>
      </w:r>
      <w:r w:rsidR="004D588E" w:rsidRPr="009072E8">
        <w:t xml:space="preserve">not realistic for </w:t>
      </w:r>
      <w:r w:rsidR="008E549C">
        <w:t xml:space="preserve">Commission Staff and </w:t>
      </w:r>
      <w:r w:rsidR="004D588E" w:rsidRPr="009072E8">
        <w:t xml:space="preserve">the Commission to process </w:t>
      </w:r>
      <w:r w:rsidR="008E549C">
        <w:t>their</w:t>
      </w:r>
      <w:r w:rsidR="004D588E" w:rsidRPr="009072E8">
        <w:t xml:space="preserve"> review of the Coal </w:t>
      </w:r>
      <w:r w:rsidR="0095359E">
        <w:t xml:space="preserve">Transition PPA on a faster time </w:t>
      </w:r>
      <w:r w:rsidR="004D588E" w:rsidRPr="009072E8">
        <w:t>frame than a PCORC.</w:t>
      </w:r>
      <w:r w:rsidR="0095359E">
        <w:t xml:space="preserve">  Nor is such expedited and abbreviated treatment warranted.  </w:t>
      </w:r>
    </w:p>
    <w:p w:rsidR="00850D44" w:rsidRPr="009072E8" w:rsidRDefault="00D40C20" w:rsidP="00D40C20">
      <w:pPr>
        <w:spacing w:line="480" w:lineRule="auto"/>
        <w:rPr>
          <w:b/>
        </w:rPr>
      </w:pPr>
      <w:r w:rsidRPr="009072E8">
        <w:tab/>
        <w:t>For the reasons set forth above, the Commission should deny the Company’s Motion to Expedite Consideration of Petition.  The Commission should grant the Company’s Motion for Amended Protective Order with Highly Confidential Provisions.</w:t>
      </w:r>
    </w:p>
    <w:p w:rsidR="005A4EB4" w:rsidRDefault="005A4EB4" w:rsidP="00784E4D">
      <w:pPr>
        <w:ind w:firstLine="720"/>
      </w:pPr>
      <w:r>
        <w:t xml:space="preserve">DATED this </w:t>
      </w:r>
      <w:r w:rsidR="00F266D8">
        <w:t>5t</w:t>
      </w:r>
      <w:r>
        <w:t>h</w:t>
      </w:r>
      <w:r>
        <w:rPr>
          <w:vertAlign w:val="superscript"/>
        </w:rPr>
        <w:t xml:space="preserve"> </w:t>
      </w:r>
      <w:r w:rsidRPr="004A2910">
        <w:t>day of</w:t>
      </w:r>
      <w:r>
        <w:t xml:space="preserve"> </w:t>
      </w:r>
      <w:r w:rsidR="00F266D8">
        <w:t>September</w:t>
      </w:r>
      <w:r w:rsidRPr="004A2910">
        <w:t xml:space="preserve"> 20</w:t>
      </w:r>
      <w:r>
        <w:t>1</w:t>
      </w:r>
      <w:r w:rsidR="00F266D8">
        <w:t>2</w:t>
      </w:r>
      <w:r w:rsidRPr="004A2910">
        <w:t>.</w:t>
      </w:r>
      <w:r>
        <w:t xml:space="preserve">  </w:t>
      </w:r>
    </w:p>
    <w:p w:rsidR="005A4EB4" w:rsidRDefault="005A4EB4" w:rsidP="00784E4D">
      <w:pPr>
        <w:ind w:left="3600" w:firstLine="720"/>
      </w:pPr>
    </w:p>
    <w:p w:rsidR="005A4EB4" w:rsidRPr="004A2910" w:rsidRDefault="005A4EB4" w:rsidP="00784E4D">
      <w:pPr>
        <w:ind w:left="3600" w:firstLine="720"/>
      </w:pPr>
      <w:r>
        <w:t xml:space="preserve">Respectfully submitted, </w:t>
      </w:r>
    </w:p>
    <w:p w:rsidR="005A4EB4" w:rsidRPr="004A2910" w:rsidRDefault="005A4EB4" w:rsidP="00784E4D">
      <w:pPr>
        <w:pStyle w:val="BodyTextIndent2"/>
        <w:ind w:left="4320"/>
        <w:rPr>
          <w:rFonts w:ascii="Times New Roman" w:hAnsi="Times New Roman"/>
        </w:rPr>
      </w:pPr>
    </w:p>
    <w:p w:rsidR="005A4EB4" w:rsidRPr="004A2910" w:rsidRDefault="005A4EB4" w:rsidP="00784E4D">
      <w:pPr>
        <w:ind w:left="4320"/>
        <w:jc w:val="both"/>
      </w:pPr>
      <w:r w:rsidRPr="004A2910">
        <w:t>ROB</w:t>
      </w:r>
      <w:r>
        <w:t>ERT M.</w:t>
      </w:r>
      <w:r w:rsidRPr="004A2910">
        <w:t xml:space="preserve"> MCKENNA </w:t>
      </w:r>
    </w:p>
    <w:p w:rsidR="005A4EB4" w:rsidRPr="004A2910" w:rsidRDefault="005A4EB4" w:rsidP="00784E4D">
      <w:pPr>
        <w:ind w:left="4320"/>
        <w:jc w:val="both"/>
      </w:pPr>
      <w:r w:rsidRPr="004A2910">
        <w:t>Attorney General</w:t>
      </w:r>
    </w:p>
    <w:p w:rsidR="005A4EB4" w:rsidRDefault="005A4EB4" w:rsidP="00784E4D">
      <w:pPr>
        <w:ind w:left="4320"/>
        <w:jc w:val="both"/>
      </w:pPr>
    </w:p>
    <w:p w:rsidR="005A4EB4" w:rsidRDefault="005A4EB4" w:rsidP="00784E4D">
      <w:pPr>
        <w:ind w:left="4320"/>
        <w:jc w:val="both"/>
      </w:pPr>
    </w:p>
    <w:p w:rsidR="00B62A29" w:rsidRDefault="00B62A29" w:rsidP="00784E4D">
      <w:pPr>
        <w:ind w:left="4320"/>
        <w:jc w:val="both"/>
      </w:pPr>
    </w:p>
    <w:p w:rsidR="005A4EB4" w:rsidRPr="004A2910" w:rsidRDefault="005A4EB4" w:rsidP="00784E4D">
      <w:pPr>
        <w:ind w:left="4320"/>
        <w:jc w:val="both"/>
      </w:pPr>
      <w:r>
        <w:t>_____________</w:t>
      </w:r>
      <w:r w:rsidR="00306114">
        <w:t>_____________</w:t>
      </w:r>
      <w:r>
        <w:t>________</w:t>
      </w:r>
    </w:p>
    <w:p w:rsidR="0095359E" w:rsidRDefault="0095359E" w:rsidP="00A43A75">
      <w:pPr>
        <w:ind w:left="4320"/>
        <w:jc w:val="both"/>
      </w:pPr>
      <w:r>
        <w:t>ROBERT D. CEDARBAUM</w:t>
      </w:r>
    </w:p>
    <w:p w:rsidR="0095359E" w:rsidRDefault="0095359E" w:rsidP="00A43A75">
      <w:pPr>
        <w:ind w:left="4320"/>
        <w:jc w:val="both"/>
      </w:pPr>
      <w:r>
        <w:t xml:space="preserve">Assistant Attorney General </w:t>
      </w:r>
    </w:p>
    <w:p w:rsidR="00A43A75" w:rsidRDefault="00A43A75" w:rsidP="00A43A75">
      <w:pPr>
        <w:ind w:left="4320"/>
        <w:jc w:val="both"/>
      </w:pPr>
      <w:r>
        <w:t>SALLY BROWN</w:t>
      </w:r>
    </w:p>
    <w:p w:rsidR="005A4EB4" w:rsidRPr="004A2910" w:rsidRDefault="00A43A75" w:rsidP="00A43A75">
      <w:pPr>
        <w:ind w:left="4320"/>
        <w:jc w:val="both"/>
      </w:pPr>
      <w:r>
        <w:t>Senior Assistant Attorney General</w:t>
      </w:r>
    </w:p>
    <w:p w:rsidR="005A4EB4" w:rsidRDefault="005A4EB4" w:rsidP="00184437">
      <w:pPr>
        <w:ind w:left="4320"/>
        <w:jc w:val="both"/>
      </w:pPr>
      <w:r w:rsidRPr="004A2910">
        <w:t xml:space="preserve">Counsel for </w:t>
      </w:r>
      <w:r>
        <w:t xml:space="preserve">Staff of the </w:t>
      </w:r>
      <w:r w:rsidRPr="004A2910">
        <w:t>Washington Utilities and</w:t>
      </w:r>
      <w:r>
        <w:t xml:space="preserve"> Transportation Commission</w:t>
      </w:r>
    </w:p>
    <w:p w:rsidR="008D3A38" w:rsidRDefault="008D3A38" w:rsidP="00F03570">
      <w:pPr>
        <w:jc w:val="both"/>
      </w:pPr>
    </w:p>
    <w:sectPr w:rsidR="008D3A38" w:rsidSect="00B62A29">
      <w:footerReference w:type="default" r:id="rId9"/>
      <w:pgSz w:w="12240" w:h="15840"/>
      <w:pgMar w:top="1296" w:right="1440" w:bottom="1152"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41" w:rsidRDefault="00E00641" w:rsidP="00A13896">
      <w:r>
        <w:separator/>
      </w:r>
    </w:p>
  </w:endnote>
  <w:endnote w:type="continuationSeparator" w:id="0">
    <w:p w:rsidR="00E00641" w:rsidRDefault="00E00641" w:rsidP="00A1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41" w:rsidRPr="009072E8" w:rsidRDefault="00E00641">
    <w:pPr>
      <w:pStyle w:val="Footer"/>
      <w:rPr>
        <w:bCs/>
        <w:sz w:val="20"/>
      </w:rPr>
    </w:pPr>
  </w:p>
  <w:p w:rsidR="00E00641" w:rsidRPr="009072E8" w:rsidRDefault="00E00641">
    <w:pPr>
      <w:pStyle w:val="Footer"/>
      <w:rPr>
        <w:bCs/>
        <w:sz w:val="20"/>
      </w:rPr>
    </w:pPr>
    <w:r w:rsidRPr="009072E8">
      <w:rPr>
        <w:bCs/>
        <w:sz w:val="20"/>
      </w:rPr>
      <w:t xml:space="preserve">COMMISSION STAFF’S RESPONSE TO </w:t>
    </w:r>
  </w:p>
  <w:p w:rsidR="00E00641" w:rsidRPr="009072E8" w:rsidRDefault="00E00641">
    <w:pPr>
      <w:pStyle w:val="Footer"/>
      <w:rPr>
        <w:sz w:val="20"/>
      </w:rPr>
    </w:pPr>
    <w:r w:rsidRPr="009072E8">
      <w:rPr>
        <w:bCs/>
        <w:sz w:val="20"/>
      </w:rPr>
      <w:t xml:space="preserve">PUGET SOUND ENERGY’S MOTIONS - </w:t>
    </w:r>
    <w:r w:rsidRPr="009072E8">
      <w:rPr>
        <w:bCs/>
        <w:sz w:val="20"/>
      </w:rPr>
      <w:fldChar w:fldCharType="begin"/>
    </w:r>
    <w:r w:rsidRPr="009072E8">
      <w:rPr>
        <w:bCs/>
        <w:sz w:val="20"/>
      </w:rPr>
      <w:instrText xml:space="preserve"> PAGE   \* MERGEFORMAT </w:instrText>
    </w:r>
    <w:r w:rsidRPr="009072E8">
      <w:rPr>
        <w:bCs/>
        <w:sz w:val="20"/>
      </w:rPr>
      <w:fldChar w:fldCharType="separate"/>
    </w:r>
    <w:r w:rsidR="001E05D1">
      <w:rPr>
        <w:bCs/>
        <w:noProof/>
        <w:sz w:val="20"/>
      </w:rPr>
      <w:t>1</w:t>
    </w:r>
    <w:r w:rsidRPr="009072E8">
      <w:rPr>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41" w:rsidRDefault="00E00641" w:rsidP="00A13896">
      <w:r>
        <w:separator/>
      </w:r>
    </w:p>
  </w:footnote>
  <w:footnote w:type="continuationSeparator" w:id="0">
    <w:p w:rsidR="00E00641" w:rsidRDefault="00E00641" w:rsidP="00A13896">
      <w:r>
        <w:continuationSeparator/>
      </w:r>
    </w:p>
  </w:footnote>
  <w:footnote w:id="1">
    <w:p w:rsidR="00E00641" w:rsidRDefault="00E00641" w:rsidP="00F03570">
      <w:pPr>
        <w:pStyle w:val="FootnoteText"/>
        <w:ind w:right="-162"/>
      </w:pPr>
      <w:r>
        <w:rPr>
          <w:rStyle w:val="FootnoteReference"/>
        </w:rPr>
        <w:footnoteRef/>
      </w:r>
      <w:r>
        <w:t xml:space="preserve"> Public Counsel has reviewed the Staff position on both motions and supports Staff for the reasons stated herein.</w:t>
      </w:r>
    </w:p>
  </w:footnote>
  <w:footnote w:id="2">
    <w:p w:rsidR="00E00641" w:rsidRDefault="00E00641">
      <w:pPr>
        <w:pStyle w:val="FootnoteText"/>
      </w:pPr>
      <w:r>
        <w:rPr>
          <w:rStyle w:val="FootnoteReference"/>
        </w:rPr>
        <w:footnoteRef/>
      </w:r>
      <w:r>
        <w:t xml:space="preserve"> Motion for Protective Order with Highly Confidential Provisions, at ¶ 26 and Protective Order With “Highly Confidential” Provisions, at ¶ 15.</w:t>
      </w:r>
    </w:p>
  </w:footnote>
  <w:footnote w:id="3">
    <w:p w:rsidR="00E00641" w:rsidRDefault="00E00641">
      <w:pPr>
        <w:pStyle w:val="FootnoteText"/>
      </w:pPr>
      <w:r w:rsidRPr="00F5777B">
        <w:rPr>
          <w:rStyle w:val="FootnoteReference"/>
        </w:rPr>
        <w:footnoteRef/>
      </w:r>
      <w:r w:rsidRPr="00F5777B">
        <w:t xml:space="preserve"> Motion</w:t>
      </w:r>
      <w:r>
        <w:t xml:space="preserve"> to Expedite Consideration of Petition, at ¶ 4.</w:t>
      </w:r>
    </w:p>
  </w:footnote>
  <w:footnote w:id="4">
    <w:p w:rsidR="00E00641" w:rsidRDefault="00E00641" w:rsidP="000D5D70">
      <w:pPr>
        <w:pStyle w:val="FootnoteText"/>
      </w:pPr>
      <w:r>
        <w:rPr>
          <w:rStyle w:val="FootnoteReference"/>
        </w:rPr>
        <w:footnoteRef/>
      </w:r>
      <w:r>
        <w:t xml:space="preserve"> Exhibit RG-7HC, at 12.  This document contains the presentation and minutes of the Company’s Energy Management Committee (EMC) upon which the EMC approved and recommended to the Board of Directors that the Company enter the Coal Transition PPA.  Exhibit RG-1HCT, at 22:10-13 (Garratt).  This particular page has not been designated by PSE as highly confidential or confidential. </w:t>
      </w:r>
    </w:p>
  </w:footnote>
  <w:footnote w:id="5">
    <w:p w:rsidR="00E00641" w:rsidRDefault="00E00641">
      <w:pPr>
        <w:pStyle w:val="FootnoteText"/>
      </w:pPr>
      <w:r>
        <w:rPr>
          <w:rStyle w:val="FootnoteReference"/>
        </w:rPr>
        <w:footnoteRef/>
      </w:r>
      <w:r>
        <w:t xml:space="preserve"> RCW 80.04.570(3).</w:t>
      </w:r>
    </w:p>
  </w:footnote>
  <w:footnote w:id="6">
    <w:p w:rsidR="00E00641" w:rsidRDefault="00E00641">
      <w:pPr>
        <w:pStyle w:val="FootnoteText"/>
      </w:pPr>
      <w:r>
        <w:rPr>
          <w:rStyle w:val="FootnoteReference"/>
        </w:rPr>
        <w:footnoteRef/>
      </w:r>
      <w:r>
        <w:t xml:space="preserve"> RCW 80.04.570(4).</w:t>
      </w:r>
    </w:p>
  </w:footnote>
  <w:footnote w:id="7">
    <w:p w:rsidR="00E00641" w:rsidRDefault="00E00641">
      <w:pPr>
        <w:pStyle w:val="FootnoteText"/>
      </w:pPr>
      <w:r>
        <w:rPr>
          <w:rStyle w:val="FootnoteReference"/>
        </w:rPr>
        <w:footnoteRef/>
      </w:r>
      <w:r>
        <w:t xml:space="preserve"> </w:t>
      </w:r>
      <w:r w:rsidRPr="0095359E">
        <w:rPr>
          <w:i/>
        </w:rPr>
        <w:t>Id</w:t>
      </w:r>
      <w:r>
        <w:t>.</w:t>
      </w:r>
    </w:p>
  </w:footnote>
  <w:footnote w:id="8">
    <w:p w:rsidR="00E00641" w:rsidRDefault="00E00641">
      <w:pPr>
        <w:pStyle w:val="FootnoteText"/>
      </w:pPr>
      <w:r>
        <w:rPr>
          <w:rStyle w:val="FootnoteReference"/>
        </w:rPr>
        <w:footnoteRef/>
      </w:r>
      <w:r>
        <w:t xml:space="preserve"> RCW 80.04.570(6).</w:t>
      </w:r>
    </w:p>
  </w:footnote>
  <w:footnote w:id="9">
    <w:p w:rsidR="00E00641" w:rsidRDefault="00E00641">
      <w:pPr>
        <w:pStyle w:val="FootnoteText"/>
      </w:pPr>
      <w:r>
        <w:rPr>
          <w:rStyle w:val="FootnoteReference"/>
        </w:rPr>
        <w:footnoteRef/>
      </w:r>
      <w:r>
        <w:t xml:space="preserve"> The Company notes that Tra</w:t>
      </w:r>
      <w:r w:rsidR="007A43E0">
        <w:t>nsAlta Centralia may terminate the</w:t>
      </w:r>
      <w:r>
        <w:t xml:space="preserve"> Memorandum of Agreement executed </w:t>
      </w:r>
      <w:r w:rsidR="007A43E0">
        <w:t>on December 23, 2011</w:t>
      </w:r>
      <w:r w:rsidR="00951337">
        <w:t>,</w:t>
      </w:r>
      <w:r w:rsidR="007A43E0">
        <w:t xml:space="preserve"> </w:t>
      </w:r>
      <w:r>
        <w:t xml:space="preserve">by </w:t>
      </w:r>
      <w:r w:rsidR="007A43E0">
        <w:t xml:space="preserve">TransAlta Centralia and </w:t>
      </w:r>
      <w:r>
        <w:t xml:space="preserve">Governor Christine Gregoire on behalf of the State of Washington, if TransAlta Centralia has failed to negotiate and execute one or more power purchase agreements by December 15, 2012.  </w:t>
      </w:r>
      <w:r w:rsidRPr="00F5777B">
        <w:t>Motion</w:t>
      </w:r>
      <w:r>
        <w:t xml:space="preserve"> to Expedite Consideration of Petition, at ¶¶ 3-4.  The Coal Transition PPA between PSE and TransAlta Cent</w:t>
      </w:r>
      <w:r w:rsidR="007A43E0">
        <w:t xml:space="preserve">ralia forecloses such termination.  </w:t>
      </w:r>
      <w:r>
        <w:t>Thus, a Commission decision after December 15, 2012</w:t>
      </w:r>
      <w:r w:rsidR="007A43E0">
        <w:t>, will</w:t>
      </w:r>
      <w:r>
        <w:t xml:space="preserve"> </w:t>
      </w:r>
      <w:r w:rsidR="007A43E0">
        <w:t xml:space="preserve">not </w:t>
      </w:r>
      <w:r>
        <w:t>have any legal consequences that could jeopardize the Coal Transition PPA</w:t>
      </w:r>
      <w:r w:rsidR="007A43E0">
        <w:t xml:space="preserve"> if ultimately approved by the Commission</w:t>
      </w:r>
      <w:r>
        <w:t>.</w:t>
      </w:r>
    </w:p>
  </w:footnote>
  <w:footnote w:id="10">
    <w:p w:rsidR="00E00641" w:rsidRDefault="00E00641">
      <w:pPr>
        <w:pStyle w:val="FootnoteText"/>
      </w:pPr>
      <w:r>
        <w:rPr>
          <w:rStyle w:val="FootnoteReference"/>
        </w:rPr>
        <w:footnoteRef/>
      </w:r>
      <w:r>
        <w:t xml:space="preserve"> </w:t>
      </w:r>
      <w:r w:rsidRPr="001D31F9">
        <w:rPr>
          <w:i/>
        </w:rPr>
        <w:t>WUTC v. Puget Sound Energy, Inc</w:t>
      </w:r>
      <w:r>
        <w:t>., Docket UE-072300, Order 15, at ¶ 41 (January 15, 2009).</w:t>
      </w:r>
    </w:p>
  </w:footnote>
  <w:footnote w:id="11">
    <w:p w:rsidR="00E00641" w:rsidRDefault="00E00641">
      <w:pPr>
        <w:pStyle w:val="FootnoteText"/>
      </w:pPr>
      <w:r>
        <w:rPr>
          <w:rStyle w:val="FootnoteReference"/>
        </w:rPr>
        <w:footnoteRef/>
      </w:r>
      <w:r>
        <w:rPr>
          <w:i/>
        </w:rPr>
        <w:t xml:space="preserve"> Id</w:t>
      </w:r>
      <w:r>
        <w:t xml:space="preserve">., at ¶¶ 39-44.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8D3"/>
    <w:multiLevelType w:val="hybridMultilevel"/>
    <w:tmpl w:val="AFE43496"/>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AC43312"/>
    <w:multiLevelType w:val="hybridMultilevel"/>
    <w:tmpl w:val="10FE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68C3"/>
    <w:multiLevelType w:val="hybridMultilevel"/>
    <w:tmpl w:val="BF1E8EF2"/>
    <w:lvl w:ilvl="0" w:tplc="08C6F7A8">
      <w:start w:val="1"/>
      <w:numFmt w:val="decimal"/>
      <w:lvlText w:val="%1"/>
      <w:lvlJc w:val="left"/>
      <w:pPr>
        <w:ind w:hanging="720"/>
      </w:pPr>
      <w:rPr>
        <w:rFonts w:ascii="Times New Roman" w:hAnsi="Times New Roman" w:cs="Times New Roman" w:hint="default"/>
        <w:b w:val="0"/>
        <w:i/>
        <w:sz w:val="24"/>
      </w:rPr>
    </w:lvl>
    <w:lvl w:ilvl="1" w:tplc="04090001">
      <w:start w:val="1"/>
      <w:numFmt w:val="bullet"/>
      <w:lvlText w:val=""/>
      <w:lvlJc w:val="left"/>
      <w:pPr>
        <w:ind w:left="2160" w:hanging="360"/>
      </w:pPr>
      <w:rPr>
        <w:rFonts w:ascii="Symbol" w:hAnsi="Symbol" w:hint="default"/>
      </w:rPr>
    </w:lvl>
    <w:lvl w:ilvl="2" w:tplc="E8E4F5D4">
      <w:numFmt w:val="bullet"/>
      <w:lvlText w:val="•"/>
      <w:lvlJc w:val="left"/>
      <w:pPr>
        <w:ind w:left="3420" w:hanging="720"/>
      </w:pPr>
      <w:rPr>
        <w:rFonts w:ascii="Times New Roman" w:eastAsia="Calibri" w:hAnsi="Times New Roman"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88C47FE"/>
    <w:multiLevelType w:val="hybridMultilevel"/>
    <w:tmpl w:val="2F6E1888"/>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C6C752F"/>
    <w:multiLevelType w:val="hybridMultilevel"/>
    <w:tmpl w:val="A6A6DD30"/>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CC25AAA"/>
    <w:multiLevelType w:val="hybridMultilevel"/>
    <w:tmpl w:val="F4DC4E52"/>
    <w:lvl w:ilvl="0" w:tplc="08C6F7A8">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EC503EE"/>
    <w:multiLevelType w:val="hybridMultilevel"/>
    <w:tmpl w:val="1B3E681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C12759"/>
    <w:multiLevelType w:val="hybridMultilevel"/>
    <w:tmpl w:val="5ACEF4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93D7C25"/>
    <w:multiLevelType w:val="hybridMultilevel"/>
    <w:tmpl w:val="D7602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875462"/>
    <w:multiLevelType w:val="hybridMultilevel"/>
    <w:tmpl w:val="E0CC9310"/>
    <w:lvl w:ilvl="0" w:tplc="8D4CFDE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DB578BA"/>
    <w:multiLevelType w:val="hybridMultilevel"/>
    <w:tmpl w:val="7A546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1033D"/>
    <w:multiLevelType w:val="hybridMultilevel"/>
    <w:tmpl w:val="1942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EE471D"/>
    <w:multiLevelType w:val="hybridMultilevel"/>
    <w:tmpl w:val="6F604F3E"/>
    <w:lvl w:ilvl="0" w:tplc="CD721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E85746"/>
    <w:multiLevelType w:val="hybridMultilevel"/>
    <w:tmpl w:val="E3360B82"/>
    <w:lvl w:ilvl="0" w:tplc="E37836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62EC6"/>
    <w:multiLevelType w:val="hybridMultilevel"/>
    <w:tmpl w:val="38D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27714"/>
    <w:multiLevelType w:val="hybridMultilevel"/>
    <w:tmpl w:val="FCD0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9"/>
  </w:num>
  <w:num w:numId="7">
    <w:abstractNumId w:val="6"/>
  </w:num>
  <w:num w:numId="8">
    <w:abstractNumId w:val="14"/>
  </w:num>
  <w:num w:numId="9">
    <w:abstractNumId w:val="15"/>
  </w:num>
  <w:num w:numId="10">
    <w:abstractNumId w:val="7"/>
  </w:num>
  <w:num w:numId="11">
    <w:abstractNumId w:val="11"/>
  </w:num>
  <w:num w:numId="12">
    <w:abstractNumId w:val="10"/>
  </w:num>
  <w:num w:numId="13">
    <w:abstractNumId w:val="8"/>
  </w:num>
  <w:num w:numId="14">
    <w:abstractNumId w:val="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21"/>
    <w:rsid w:val="000044C7"/>
    <w:rsid w:val="000364F6"/>
    <w:rsid w:val="00052B1C"/>
    <w:rsid w:val="00056CC7"/>
    <w:rsid w:val="00057152"/>
    <w:rsid w:val="000578D2"/>
    <w:rsid w:val="00063DF5"/>
    <w:rsid w:val="00083AB3"/>
    <w:rsid w:val="00087DB4"/>
    <w:rsid w:val="00093C67"/>
    <w:rsid w:val="000C0374"/>
    <w:rsid w:val="000C7D2F"/>
    <w:rsid w:val="000D5D70"/>
    <w:rsid w:val="000D5E70"/>
    <w:rsid w:val="00101D12"/>
    <w:rsid w:val="00136200"/>
    <w:rsid w:val="00142CE0"/>
    <w:rsid w:val="00152D55"/>
    <w:rsid w:val="00184437"/>
    <w:rsid w:val="00194DDA"/>
    <w:rsid w:val="001963B3"/>
    <w:rsid w:val="001B4742"/>
    <w:rsid w:val="001C6305"/>
    <w:rsid w:val="001D1F31"/>
    <w:rsid w:val="001D555F"/>
    <w:rsid w:val="001D78AE"/>
    <w:rsid w:val="001E05D1"/>
    <w:rsid w:val="00221359"/>
    <w:rsid w:val="002217B8"/>
    <w:rsid w:val="00225ED4"/>
    <w:rsid w:val="00244718"/>
    <w:rsid w:val="0026362A"/>
    <w:rsid w:val="00283421"/>
    <w:rsid w:val="00285E99"/>
    <w:rsid w:val="00286DE4"/>
    <w:rsid w:val="00287280"/>
    <w:rsid w:val="00297D86"/>
    <w:rsid w:val="002C1115"/>
    <w:rsid w:val="002C1FE1"/>
    <w:rsid w:val="002D69D8"/>
    <w:rsid w:val="002E5690"/>
    <w:rsid w:val="002E6490"/>
    <w:rsid w:val="002F2B7B"/>
    <w:rsid w:val="002F45DD"/>
    <w:rsid w:val="00301640"/>
    <w:rsid w:val="00306114"/>
    <w:rsid w:val="00312BAD"/>
    <w:rsid w:val="00316D2B"/>
    <w:rsid w:val="00317F89"/>
    <w:rsid w:val="00333121"/>
    <w:rsid w:val="00341249"/>
    <w:rsid w:val="00350E7E"/>
    <w:rsid w:val="0035263F"/>
    <w:rsid w:val="0035594D"/>
    <w:rsid w:val="00364BC7"/>
    <w:rsid w:val="00382A5D"/>
    <w:rsid w:val="003C0BD6"/>
    <w:rsid w:val="003D2C20"/>
    <w:rsid w:val="004016BA"/>
    <w:rsid w:val="00404BDC"/>
    <w:rsid w:val="00406C15"/>
    <w:rsid w:val="00431C90"/>
    <w:rsid w:val="00436CEF"/>
    <w:rsid w:val="00437D02"/>
    <w:rsid w:val="00440E95"/>
    <w:rsid w:val="004430A6"/>
    <w:rsid w:val="00445996"/>
    <w:rsid w:val="004566FE"/>
    <w:rsid w:val="00466B44"/>
    <w:rsid w:val="00474931"/>
    <w:rsid w:val="00480450"/>
    <w:rsid w:val="00497A45"/>
    <w:rsid w:val="004A0AAD"/>
    <w:rsid w:val="004A2910"/>
    <w:rsid w:val="004A7663"/>
    <w:rsid w:val="004D588E"/>
    <w:rsid w:val="004F1AA2"/>
    <w:rsid w:val="005053F1"/>
    <w:rsid w:val="0051296E"/>
    <w:rsid w:val="00520D4D"/>
    <w:rsid w:val="00527F1F"/>
    <w:rsid w:val="00542B58"/>
    <w:rsid w:val="00556710"/>
    <w:rsid w:val="00557936"/>
    <w:rsid w:val="00570E14"/>
    <w:rsid w:val="00593201"/>
    <w:rsid w:val="00594969"/>
    <w:rsid w:val="00596BDF"/>
    <w:rsid w:val="005A0E4A"/>
    <w:rsid w:val="005A4EB4"/>
    <w:rsid w:val="005A701F"/>
    <w:rsid w:val="005B6924"/>
    <w:rsid w:val="005C25D5"/>
    <w:rsid w:val="005D1B28"/>
    <w:rsid w:val="005F239C"/>
    <w:rsid w:val="00612AA3"/>
    <w:rsid w:val="00616BC1"/>
    <w:rsid w:val="0062303E"/>
    <w:rsid w:val="00623457"/>
    <w:rsid w:val="00627286"/>
    <w:rsid w:val="00631EAF"/>
    <w:rsid w:val="00647283"/>
    <w:rsid w:val="00674ED6"/>
    <w:rsid w:val="006761ED"/>
    <w:rsid w:val="006A2DDF"/>
    <w:rsid w:val="006A73D9"/>
    <w:rsid w:val="006B254B"/>
    <w:rsid w:val="006B4CD5"/>
    <w:rsid w:val="006B7946"/>
    <w:rsid w:val="006C2197"/>
    <w:rsid w:val="006E4B34"/>
    <w:rsid w:val="00700A92"/>
    <w:rsid w:val="00700CBD"/>
    <w:rsid w:val="00714EDA"/>
    <w:rsid w:val="0073333D"/>
    <w:rsid w:val="00735944"/>
    <w:rsid w:val="00735ED1"/>
    <w:rsid w:val="00761F3A"/>
    <w:rsid w:val="0076555C"/>
    <w:rsid w:val="00766E01"/>
    <w:rsid w:val="00770AF8"/>
    <w:rsid w:val="007771E0"/>
    <w:rsid w:val="00782DEC"/>
    <w:rsid w:val="00784E4D"/>
    <w:rsid w:val="00790961"/>
    <w:rsid w:val="007A43E0"/>
    <w:rsid w:val="007B349A"/>
    <w:rsid w:val="007D612C"/>
    <w:rsid w:val="007D7956"/>
    <w:rsid w:val="00804AA7"/>
    <w:rsid w:val="00810C2A"/>
    <w:rsid w:val="0081510C"/>
    <w:rsid w:val="00834B8E"/>
    <w:rsid w:val="00845C47"/>
    <w:rsid w:val="00850D44"/>
    <w:rsid w:val="00850DEC"/>
    <w:rsid w:val="00856684"/>
    <w:rsid w:val="0086121F"/>
    <w:rsid w:val="0086281B"/>
    <w:rsid w:val="00871462"/>
    <w:rsid w:val="00872332"/>
    <w:rsid w:val="0087326E"/>
    <w:rsid w:val="00873D58"/>
    <w:rsid w:val="00897700"/>
    <w:rsid w:val="008A0835"/>
    <w:rsid w:val="008A088B"/>
    <w:rsid w:val="008A3530"/>
    <w:rsid w:val="008A7745"/>
    <w:rsid w:val="008B3A03"/>
    <w:rsid w:val="008D1625"/>
    <w:rsid w:val="008D1D14"/>
    <w:rsid w:val="008D3A38"/>
    <w:rsid w:val="008E549C"/>
    <w:rsid w:val="008E5B6C"/>
    <w:rsid w:val="008F4396"/>
    <w:rsid w:val="009004C7"/>
    <w:rsid w:val="009072E8"/>
    <w:rsid w:val="00910B5D"/>
    <w:rsid w:val="0091461C"/>
    <w:rsid w:val="00917078"/>
    <w:rsid w:val="009276B0"/>
    <w:rsid w:val="00937BBF"/>
    <w:rsid w:val="0094501C"/>
    <w:rsid w:val="00951337"/>
    <w:rsid w:val="0095359E"/>
    <w:rsid w:val="00970651"/>
    <w:rsid w:val="009852D6"/>
    <w:rsid w:val="009953A5"/>
    <w:rsid w:val="009A1961"/>
    <w:rsid w:val="009B3233"/>
    <w:rsid w:val="009C0F69"/>
    <w:rsid w:val="009C71F2"/>
    <w:rsid w:val="009F0E4E"/>
    <w:rsid w:val="009F4C41"/>
    <w:rsid w:val="00A068AD"/>
    <w:rsid w:val="00A13896"/>
    <w:rsid w:val="00A16EBE"/>
    <w:rsid w:val="00A43747"/>
    <w:rsid w:val="00A43A75"/>
    <w:rsid w:val="00A57C08"/>
    <w:rsid w:val="00A73C86"/>
    <w:rsid w:val="00A82C93"/>
    <w:rsid w:val="00A929C4"/>
    <w:rsid w:val="00AA1393"/>
    <w:rsid w:val="00AA2C10"/>
    <w:rsid w:val="00AB1D9A"/>
    <w:rsid w:val="00AB3E05"/>
    <w:rsid w:val="00AB6CDA"/>
    <w:rsid w:val="00AC55EA"/>
    <w:rsid w:val="00AD502D"/>
    <w:rsid w:val="00AF6A73"/>
    <w:rsid w:val="00B35601"/>
    <w:rsid w:val="00B44254"/>
    <w:rsid w:val="00B53F6E"/>
    <w:rsid w:val="00B60D17"/>
    <w:rsid w:val="00B62A29"/>
    <w:rsid w:val="00B73F60"/>
    <w:rsid w:val="00B75280"/>
    <w:rsid w:val="00B754B4"/>
    <w:rsid w:val="00B76B31"/>
    <w:rsid w:val="00B850AD"/>
    <w:rsid w:val="00B90AD8"/>
    <w:rsid w:val="00B9306B"/>
    <w:rsid w:val="00BC411C"/>
    <w:rsid w:val="00BC7220"/>
    <w:rsid w:val="00BD0888"/>
    <w:rsid w:val="00BE211B"/>
    <w:rsid w:val="00C15ABA"/>
    <w:rsid w:val="00C25544"/>
    <w:rsid w:val="00C47129"/>
    <w:rsid w:val="00C539F4"/>
    <w:rsid w:val="00C5550A"/>
    <w:rsid w:val="00C60FC6"/>
    <w:rsid w:val="00C67018"/>
    <w:rsid w:val="00C9691D"/>
    <w:rsid w:val="00C96D14"/>
    <w:rsid w:val="00C978A5"/>
    <w:rsid w:val="00CA1E1D"/>
    <w:rsid w:val="00CA6DAE"/>
    <w:rsid w:val="00CB1F51"/>
    <w:rsid w:val="00CC0EF9"/>
    <w:rsid w:val="00CC2EE9"/>
    <w:rsid w:val="00CC7015"/>
    <w:rsid w:val="00CD497A"/>
    <w:rsid w:val="00CE2F02"/>
    <w:rsid w:val="00CE3207"/>
    <w:rsid w:val="00CF155C"/>
    <w:rsid w:val="00CF2098"/>
    <w:rsid w:val="00CF514B"/>
    <w:rsid w:val="00CF763C"/>
    <w:rsid w:val="00D04B78"/>
    <w:rsid w:val="00D11BB3"/>
    <w:rsid w:val="00D276C3"/>
    <w:rsid w:val="00D3498D"/>
    <w:rsid w:val="00D40C20"/>
    <w:rsid w:val="00D46DB9"/>
    <w:rsid w:val="00D5010E"/>
    <w:rsid w:val="00D55F0D"/>
    <w:rsid w:val="00D713F1"/>
    <w:rsid w:val="00D72DF3"/>
    <w:rsid w:val="00D76344"/>
    <w:rsid w:val="00DA4181"/>
    <w:rsid w:val="00DB0E2E"/>
    <w:rsid w:val="00DB4C18"/>
    <w:rsid w:val="00DF52C7"/>
    <w:rsid w:val="00DF5C50"/>
    <w:rsid w:val="00E00641"/>
    <w:rsid w:val="00E01217"/>
    <w:rsid w:val="00E14EE5"/>
    <w:rsid w:val="00E56545"/>
    <w:rsid w:val="00E62C61"/>
    <w:rsid w:val="00E74D28"/>
    <w:rsid w:val="00EA5543"/>
    <w:rsid w:val="00EB0DA2"/>
    <w:rsid w:val="00EB4887"/>
    <w:rsid w:val="00EC55A4"/>
    <w:rsid w:val="00EC6654"/>
    <w:rsid w:val="00ED215A"/>
    <w:rsid w:val="00ED5B8B"/>
    <w:rsid w:val="00ED6F60"/>
    <w:rsid w:val="00EF27C0"/>
    <w:rsid w:val="00EF2D8F"/>
    <w:rsid w:val="00EF659D"/>
    <w:rsid w:val="00EF65AB"/>
    <w:rsid w:val="00F02C1A"/>
    <w:rsid w:val="00F03570"/>
    <w:rsid w:val="00F22224"/>
    <w:rsid w:val="00F266D8"/>
    <w:rsid w:val="00F3040F"/>
    <w:rsid w:val="00F52AB2"/>
    <w:rsid w:val="00F55BBF"/>
    <w:rsid w:val="00F5777B"/>
    <w:rsid w:val="00F67F8B"/>
    <w:rsid w:val="00F731FA"/>
    <w:rsid w:val="00F7706D"/>
    <w:rsid w:val="00F77F18"/>
    <w:rsid w:val="00F80E32"/>
    <w:rsid w:val="00F831EE"/>
    <w:rsid w:val="00F8551B"/>
    <w:rsid w:val="00F91F8A"/>
    <w:rsid w:val="00F95FB1"/>
    <w:rsid w:val="00FB12DE"/>
    <w:rsid w:val="00FC59D8"/>
    <w:rsid w:val="00FE041E"/>
    <w:rsid w:val="00FF19C1"/>
    <w:rsid w:val="00F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rPr>
      <w:sz w:val="24"/>
      <w:szCs w:val="20"/>
    </w:rPr>
  </w:style>
  <w:style w:type="paragraph" w:styleId="Heading2">
    <w:name w:val="heading 2"/>
    <w:basedOn w:val="Normal"/>
    <w:next w:val="Normal"/>
    <w:link w:val="Heading2Char"/>
    <w:qFormat/>
    <w:locked/>
    <w:rsid w:val="00520D4D"/>
    <w:pPr>
      <w:keepNext/>
      <w:jc w:val="center"/>
      <w:outlineLvl w:val="1"/>
    </w:pPr>
    <w:rPr>
      <w:rFonts w:ascii="Palatino Linotype" w:eastAsia="Times New Roman" w:hAnsi="Palatino Linotyp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13896"/>
    <w:rPr>
      <w:sz w:val="20"/>
    </w:rPr>
  </w:style>
  <w:style w:type="character" w:customStyle="1" w:styleId="FootnoteTextChar">
    <w:name w:val="Footnote Text Char"/>
    <w:basedOn w:val="DefaultParagraphFont"/>
    <w:link w:val="FootnoteText"/>
    <w:uiPriority w:val="99"/>
    <w:locked/>
    <w:rsid w:val="00A13896"/>
    <w:rPr>
      <w:rFonts w:cs="Times New Roman"/>
      <w:sz w:val="20"/>
    </w:rPr>
  </w:style>
  <w:style w:type="character" w:styleId="FootnoteReference">
    <w:name w:val="footnote reference"/>
    <w:basedOn w:val="DefaultParagraphFont"/>
    <w:uiPriority w:val="99"/>
    <w:rsid w:val="00A13896"/>
    <w:rPr>
      <w:rFonts w:cs="Times New Roman"/>
      <w:vertAlign w:val="superscript"/>
    </w:rPr>
  </w:style>
  <w:style w:type="paragraph" w:styleId="Title">
    <w:name w:val="Title"/>
    <w:basedOn w:val="Normal"/>
    <w:link w:val="TitleChar"/>
    <w:qFormat/>
    <w:rsid w:val="00784E4D"/>
    <w:pPr>
      <w:jc w:val="center"/>
    </w:pPr>
    <w:rPr>
      <w:rFonts w:ascii="Palatino Linotype" w:eastAsia="Times New Roman" w:hAnsi="Palatino Linotype"/>
      <w:b/>
      <w:bCs/>
      <w:szCs w:val="24"/>
    </w:rPr>
  </w:style>
  <w:style w:type="character" w:customStyle="1" w:styleId="TitleChar">
    <w:name w:val="Title Char"/>
    <w:basedOn w:val="DefaultParagraphFont"/>
    <w:link w:val="Title"/>
    <w:uiPriority w:val="99"/>
    <w:locked/>
    <w:rsid w:val="00784E4D"/>
    <w:rPr>
      <w:rFonts w:ascii="Palatino Linotype" w:hAnsi="Palatino Linotype" w:cs="Times New Roman"/>
      <w:b/>
      <w:bCs/>
      <w:sz w:val="24"/>
      <w:szCs w:val="24"/>
    </w:rPr>
  </w:style>
  <w:style w:type="paragraph" w:styleId="BodyTextIndent2">
    <w:name w:val="Body Text Indent 2"/>
    <w:basedOn w:val="Normal"/>
    <w:link w:val="BodyTextIndent2Char"/>
    <w:uiPriority w:val="99"/>
    <w:rsid w:val="00784E4D"/>
    <w:pPr>
      <w:ind w:left="686"/>
    </w:pPr>
    <w:rPr>
      <w:rFonts w:ascii="Palatino Linotype" w:eastAsia="Times New Roman" w:hAnsi="Palatino Linotype"/>
      <w:szCs w:val="24"/>
    </w:rPr>
  </w:style>
  <w:style w:type="character" w:customStyle="1" w:styleId="BodyTextIndent2Char">
    <w:name w:val="Body Text Indent 2 Char"/>
    <w:basedOn w:val="DefaultParagraphFont"/>
    <w:link w:val="BodyTextIndent2"/>
    <w:uiPriority w:val="99"/>
    <w:locked/>
    <w:rsid w:val="00784E4D"/>
    <w:rPr>
      <w:rFonts w:ascii="Palatino Linotype" w:hAnsi="Palatino Linotype" w:cs="Times New Roman"/>
      <w:sz w:val="24"/>
      <w:szCs w:val="24"/>
    </w:rPr>
  </w:style>
  <w:style w:type="paragraph" w:styleId="Header">
    <w:name w:val="header"/>
    <w:basedOn w:val="Normal"/>
    <w:link w:val="HeaderChar"/>
    <w:rsid w:val="00784E4D"/>
    <w:pPr>
      <w:tabs>
        <w:tab w:val="center" w:pos="4680"/>
        <w:tab w:val="right" w:pos="9360"/>
      </w:tabs>
    </w:pPr>
  </w:style>
  <w:style w:type="character" w:customStyle="1" w:styleId="HeaderChar">
    <w:name w:val="Header Char"/>
    <w:basedOn w:val="DefaultParagraphFont"/>
    <w:link w:val="Header"/>
    <w:uiPriority w:val="99"/>
    <w:semiHidden/>
    <w:locked/>
    <w:rsid w:val="00784E4D"/>
    <w:rPr>
      <w:rFonts w:cs="Times New Roman"/>
    </w:rPr>
  </w:style>
  <w:style w:type="paragraph" w:styleId="Footer">
    <w:name w:val="footer"/>
    <w:basedOn w:val="Normal"/>
    <w:link w:val="FooterChar"/>
    <w:uiPriority w:val="99"/>
    <w:semiHidden/>
    <w:rsid w:val="00784E4D"/>
    <w:pPr>
      <w:tabs>
        <w:tab w:val="center" w:pos="4680"/>
        <w:tab w:val="right" w:pos="9360"/>
      </w:tabs>
    </w:pPr>
  </w:style>
  <w:style w:type="character" w:customStyle="1" w:styleId="FooterChar">
    <w:name w:val="Footer Char"/>
    <w:basedOn w:val="DefaultParagraphFont"/>
    <w:link w:val="Footer"/>
    <w:uiPriority w:val="99"/>
    <w:semiHidden/>
    <w:locked/>
    <w:rsid w:val="00784E4D"/>
    <w:rPr>
      <w:rFonts w:cs="Times New Roman"/>
    </w:rPr>
  </w:style>
  <w:style w:type="paragraph" w:styleId="ListParagraph">
    <w:name w:val="List Paragraph"/>
    <w:basedOn w:val="Normal"/>
    <w:uiPriority w:val="34"/>
    <w:qFormat/>
    <w:rsid w:val="009C71F2"/>
    <w:pPr>
      <w:ind w:left="720"/>
      <w:contextualSpacing/>
    </w:pPr>
  </w:style>
  <w:style w:type="paragraph" w:styleId="BalloonText">
    <w:name w:val="Balloon Text"/>
    <w:basedOn w:val="Normal"/>
    <w:link w:val="BalloonTextChar"/>
    <w:uiPriority w:val="99"/>
    <w:semiHidden/>
    <w:rsid w:val="00FE04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41E"/>
    <w:rPr>
      <w:rFonts w:ascii="Tahoma" w:hAnsi="Tahoma" w:cs="Tahoma"/>
      <w:sz w:val="16"/>
      <w:szCs w:val="16"/>
    </w:rPr>
  </w:style>
  <w:style w:type="paragraph" w:styleId="Caption">
    <w:name w:val="caption"/>
    <w:basedOn w:val="Normal"/>
    <w:next w:val="Normal"/>
    <w:qFormat/>
    <w:locked/>
    <w:rsid w:val="00520D4D"/>
    <w:pPr>
      <w:widowControl w:val="0"/>
      <w:spacing w:line="240" w:lineRule="exact"/>
    </w:pPr>
    <w:rPr>
      <w:rFonts w:eastAsia="Times New Roman"/>
      <w:bCs/>
    </w:rPr>
  </w:style>
  <w:style w:type="character" w:customStyle="1" w:styleId="Heading2Char">
    <w:name w:val="Heading 2 Char"/>
    <w:basedOn w:val="DefaultParagraphFont"/>
    <w:link w:val="Heading2"/>
    <w:rsid w:val="00520D4D"/>
    <w:rPr>
      <w:rFonts w:ascii="Palatino Linotype" w:eastAsia="Times New Roman" w:hAnsi="Palatino Linotype"/>
      <w:b/>
      <w:bCs/>
      <w:sz w:val="24"/>
      <w:szCs w:val="24"/>
    </w:rPr>
  </w:style>
  <w:style w:type="table" w:styleId="TableGrid">
    <w:name w:val="Table Grid"/>
    <w:basedOn w:val="TableNormal"/>
    <w:locked/>
    <w:rsid w:val="00F2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wer">
    <w:name w:val="answer"/>
    <w:basedOn w:val="Normal"/>
    <w:link w:val="answerChar"/>
    <w:rsid w:val="00C67018"/>
    <w:pPr>
      <w:spacing w:before="120" w:after="120" w:line="480" w:lineRule="auto"/>
      <w:ind w:left="720" w:hanging="720"/>
    </w:pPr>
    <w:rPr>
      <w:rFonts w:eastAsia="SimSun"/>
      <w:szCs w:val="24"/>
      <w:lang w:eastAsia="zh-CN"/>
    </w:rPr>
  </w:style>
  <w:style w:type="character" w:customStyle="1" w:styleId="answerChar">
    <w:name w:val="answer Char"/>
    <w:link w:val="answer"/>
    <w:locked/>
    <w:rsid w:val="00C67018"/>
    <w:rPr>
      <w:rFonts w:eastAsia="SimSun"/>
      <w:sz w:val="24"/>
      <w:szCs w:val="24"/>
      <w:lang w:eastAsia="zh-CN"/>
    </w:rPr>
  </w:style>
  <w:style w:type="paragraph" w:customStyle="1" w:styleId="singlehanging2">
    <w:name w:val="single hanging2"/>
    <w:basedOn w:val="Normal"/>
    <w:rsid w:val="00C67018"/>
    <w:pPr>
      <w:spacing w:line="480" w:lineRule="atLeast"/>
      <w:ind w:left="1440" w:hanging="720"/>
    </w:pPr>
    <w:rPr>
      <w:rFonts w:eastAsia="Times New Roman"/>
      <w:szCs w:val="24"/>
    </w:rPr>
  </w:style>
  <w:style w:type="character" w:styleId="CommentReference">
    <w:name w:val="annotation reference"/>
    <w:basedOn w:val="DefaultParagraphFont"/>
    <w:uiPriority w:val="99"/>
    <w:semiHidden/>
    <w:unhideWhenUsed/>
    <w:rsid w:val="00BD0888"/>
    <w:rPr>
      <w:sz w:val="16"/>
      <w:szCs w:val="16"/>
    </w:rPr>
  </w:style>
  <w:style w:type="paragraph" w:styleId="CommentText">
    <w:name w:val="annotation text"/>
    <w:basedOn w:val="Normal"/>
    <w:link w:val="CommentTextChar"/>
    <w:uiPriority w:val="99"/>
    <w:semiHidden/>
    <w:unhideWhenUsed/>
    <w:rsid w:val="00BD0888"/>
    <w:rPr>
      <w:sz w:val="20"/>
    </w:rPr>
  </w:style>
  <w:style w:type="character" w:customStyle="1" w:styleId="CommentTextChar">
    <w:name w:val="Comment Text Char"/>
    <w:basedOn w:val="DefaultParagraphFont"/>
    <w:link w:val="CommentText"/>
    <w:uiPriority w:val="99"/>
    <w:semiHidden/>
    <w:rsid w:val="00BD0888"/>
    <w:rPr>
      <w:sz w:val="20"/>
      <w:szCs w:val="20"/>
    </w:rPr>
  </w:style>
  <w:style w:type="paragraph" w:styleId="CommentSubject">
    <w:name w:val="annotation subject"/>
    <w:basedOn w:val="CommentText"/>
    <w:next w:val="CommentText"/>
    <w:link w:val="CommentSubjectChar"/>
    <w:uiPriority w:val="99"/>
    <w:semiHidden/>
    <w:unhideWhenUsed/>
    <w:rsid w:val="00BD0888"/>
    <w:rPr>
      <w:b/>
      <w:bCs/>
    </w:rPr>
  </w:style>
  <w:style w:type="character" w:customStyle="1" w:styleId="CommentSubjectChar">
    <w:name w:val="Comment Subject Char"/>
    <w:basedOn w:val="CommentTextChar"/>
    <w:link w:val="CommentSubject"/>
    <w:uiPriority w:val="99"/>
    <w:semiHidden/>
    <w:rsid w:val="00BD088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rPr>
      <w:sz w:val="24"/>
      <w:szCs w:val="20"/>
    </w:rPr>
  </w:style>
  <w:style w:type="paragraph" w:styleId="Heading2">
    <w:name w:val="heading 2"/>
    <w:basedOn w:val="Normal"/>
    <w:next w:val="Normal"/>
    <w:link w:val="Heading2Char"/>
    <w:qFormat/>
    <w:locked/>
    <w:rsid w:val="00520D4D"/>
    <w:pPr>
      <w:keepNext/>
      <w:jc w:val="center"/>
      <w:outlineLvl w:val="1"/>
    </w:pPr>
    <w:rPr>
      <w:rFonts w:ascii="Palatino Linotype" w:eastAsia="Times New Roman" w:hAnsi="Palatino Linotyp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13896"/>
    <w:rPr>
      <w:sz w:val="20"/>
    </w:rPr>
  </w:style>
  <w:style w:type="character" w:customStyle="1" w:styleId="FootnoteTextChar">
    <w:name w:val="Footnote Text Char"/>
    <w:basedOn w:val="DefaultParagraphFont"/>
    <w:link w:val="FootnoteText"/>
    <w:uiPriority w:val="99"/>
    <w:locked/>
    <w:rsid w:val="00A13896"/>
    <w:rPr>
      <w:rFonts w:cs="Times New Roman"/>
      <w:sz w:val="20"/>
    </w:rPr>
  </w:style>
  <w:style w:type="character" w:styleId="FootnoteReference">
    <w:name w:val="footnote reference"/>
    <w:basedOn w:val="DefaultParagraphFont"/>
    <w:uiPriority w:val="99"/>
    <w:rsid w:val="00A13896"/>
    <w:rPr>
      <w:rFonts w:cs="Times New Roman"/>
      <w:vertAlign w:val="superscript"/>
    </w:rPr>
  </w:style>
  <w:style w:type="paragraph" w:styleId="Title">
    <w:name w:val="Title"/>
    <w:basedOn w:val="Normal"/>
    <w:link w:val="TitleChar"/>
    <w:qFormat/>
    <w:rsid w:val="00784E4D"/>
    <w:pPr>
      <w:jc w:val="center"/>
    </w:pPr>
    <w:rPr>
      <w:rFonts w:ascii="Palatino Linotype" w:eastAsia="Times New Roman" w:hAnsi="Palatino Linotype"/>
      <w:b/>
      <w:bCs/>
      <w:szCs w:val="24"/>
    </w:rPr>
  </w:style>
  <w:style w:type="character" w:customStyle="1" w:styleId="TitleChar">
    <w:name w:val="Title Char"/>
    <w:basedOn w:val="DefaultParagraphFont"/>
    <w:link w:val="Title"/>
    <w:uiPriority w:val="99"/>
    <w:locked/>
    <w:rsid w:val="00784E4D"/>
    <w:rPr>
      <w:rFonts w:ascii="Palatino Linotype" w:hAnsi="Palatino Linotype" w:cs="Times New Roman"/>
      <w:b/>
      <w:bCs/>
      <w:sz w:val="24"/>
      <w:szCs w:val="24"/>
    </w:rPr>
  </w:style>
  <w:style w:type="paragraph" w:styleId="BodyTextIndent2">
    <w:name w:val="Body Text Indent 2"/>
    <w:basedOn w:val="Normal"/>
    <w:link w:val="BodyTextIndent2Char"/>
    <w:uiPriority w:val="99"/>
    <w:rsid w:val="00784E4D"/>
    <w:pPr>
      <w:ind w:left="686"/>
    </w:pPr>
    <w:rPr>
      <w:rFonts w:ascii="Palatino Linotype" w:eastAsia="Times New Roman" w:hAnsi="Palatino Linotype"/>
      <w:szCs w:val="24"/>
    </w:rPr>
  </w:style>
  <w:style w:type="character" w:customStyle="1" w:styleId="BodyTextIndent2Char">
    <w:name w:val="Body Text Indent 2 Char"/>
    <w:basedOn w:val="DefaultParagraphFont"/>
    <w:link w:val="BodyTextIndent2"/>
    <w:uiPriority w:val="99"/>
    <w:locked/>
    <w:rsid w:val="00784E4D"/>
    <w:rPr>
      <w:rFonts w:ascii="Palatino Linotype" w:hAnsi="Palatino Linotype" w:cs="Times New Roman"/>
      <w:sz w:val="24"/>
      <w:szCs w:val="24"/>
    </w:rPr>
  </w:style>
  <w:style w:type="paragraph" w:styleId="Header">
    <w:name w:val="header"/>
    <w:basedOn w:val="Normal"/>
    <w:link w:val="HeaderChar"/>
    <w:rsid w:val="00784E4D"/>
    <w:pPr>
      <w:tabs>
        <w:tab w:val="center" w:pos="4680"/>
        <w:tab w:val="right" w:pos="9360"/>
      </w:tabs>
    </w:pPr>
  </w:style>
  <w:style w:type="character" w:customStyle="1" w:styleId="HeaderChar">
    <w:name w:val="Header Char"/>
    <w:basedOn w:val="DefaultParagraphFont"/>
    <w:link w:val="Header"/>
    <w:uiPriority w:val="99"/>
    <w:semiHidden/>
    <w:locked/>
    <w:rsid w:val="00784E4D"/>
    <w:rPr>
      <w:rFonts w:cs="Times New Roman"/>
    </w:rPr>
  </w:style>
  <w:style w:type="paragraph" w:styleId="Footer">
    <w:name w:val="footer"/>
    <w:basedOn w:val="Normal"/>
    <w:link w:val="FooterChar"/>
    <w:uiPriority w:val="99"/>
    <w:semiHidden/>
    <w:rsid w:val="00784E4D"/>
    <w:pPr>
      <w:tabs>
        <w:tab w:val="center" w:pos="4680"/>
        <w:tab w:val="right" w:pos="9360"/>
      </w:tabs>
    </w:pPr>
  </w:style>
  <w:style w:type="character" w:customStyle="1" w:styleId="FooterChar">
    <w:name w:val="Footer Char"/>
    <w:basedOn w:val="DefaultParagraphFont"/>
    <w:link w:val="Footer"/>
    <w:uiPriority w:val="99"/>
    <w:semiHidden/>
    <w:locked/>
    <w:rsid w:val="00784E4D"/>
    <w:rPr>
      <w:rFonts w:cs="Times New Roman"/>
    </w:rPr>
  </w:style>
  <w:style w:type="paragraph" w:styleId="ListParagraph">
    <w:name w:val="List Paragraph"/>
    <w:basedOn w:val="Normal"/>
    <w:uiPriority w:val="34"/>
    <w:qFormat/>
    <w:rsid w:val="009C71F2"/>
    <w:pPr>
      <w:ind w:left="720"/>
      <w:contextualSpacing/>
    </w:pPr>
  </w:style>
  <w:style w:type="paragraph" w:styleId="BalloonText">
    <w:name w:val="Balloon Text"/>
    <w:basedOn w:val="Normal"/>
    <w:link w:val="BalloonTextChar"/>
    <w:uiPriority w:val="99"/>
    <w:semiHidden/>
    <w:rsid w:val="00FE04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41E"/>
    <w:rPr>
      <w:rFonts w:ascii="Tahoma" w:hAnsi="Tahoma" w:cs="Tahoma"/>
      <w:sz w:val="16"/>
      <w:szCs w:val="16"/>
    </w:rPr>
  </w:style>
  <w:style w:type="paragraph" w:styleId="Caption">
    <w:name w:val="caption"/>
    <w:basedOn w:val="Normal"/>
    <w:next w:val="Normal"/>
    <w:qFormat/>
    <w:locked/>
    <w:rsid w:val="00520D4D"/>
    <w:pPr>
      <w:widowControl w:val="0"/>
      <w:spacing w:line="240" w:lineRule="exact"/>
    </w:pPr>
    <w:rPr>
      <w:rFonts w:eastAsia="Times New Roman"/>
      <w:bCs/>
    </w:rPr>
  </w:style>
  <w:style w:type="character" w:customStyle="1" w:styleId="Heading2Char">
    <w:name w:val="Heading 2 Char"/>
    <w:basedOn w:val="DefaultParagraphFont"/>
    <w:link w:val="Heading2"/>
    <w:rsid w:val="00520D4D"/>
    <w:rPr>
      <w:rFonts w:ascii="Palatino Linotype" w:eastAsia="Times New Roman" w:hAnsi="Palatino Linotype"/>
      <w:b/>
      <w:bCs/>
      <w:sz w:val="24"/>
      <w:szCs w:val="24"/>
    </w:rPr>
  </w:style>
  <w:style w:type="table" w:styleId="TableGrid">
    <w:name w:val="Table Grid"/>
    <w:basedOn w:val="TableNormal"/>
    <w:locked/>
    <w:rsid w:val="00F2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wer">
    <w:name w:val="answer"/>
    <w:basedOn w:val="Normal"/>
    <w:link w:val="answerChar"/>
    <w:rsid w:val="00C67018"/>
    <w:pPr>
      <w:spacing w:before="120" w:after="120" w:line="480" w:lineRule="auto"/>
      <w:ind w:left="720" w:hanging="720"/>
    </w:pPr>
    <w:rPr>
      <w:rFonts w:eastAsia="SimSun"/>
      <w:szCs w:val="24"/>
      <w:lang w:eastAsia="zh-CN"/>
    </w:rPr>
  </w:style>
  <w:style w:type="character" w:customStyle="1" w:styleId="answerChar">
    <w:name w:val="answer Char"/>
    <w:link w:val="answer"/>
    <w:locked/>
    <w:rsid w:val="00C67018"/>
    <w:rPr>
      <w:rFonts w:eastAsia="SimSun"/>
      <w:sz w:val="24"/>
      <w:szCs w:val="24"/>
      <w:lang w:eastAsia="zh-CN"/>
    </w:rPr>
  </w:style>
  <w:style w:type="paragraph" w:customStyle="1" w:styleId="singlehanging2">
    <w:name w:val="single hanging2"/>
    <w:basedOn w:val="Normal"/>
    <w:rsid w:val="00C67018"/>
    <w:pPr>
      <w:spacing w:line="480" w:lineRule="atLeast"/>
      <w:ind w:left="1440" w:hanging="720"/>
    </w:pPr>
    <w:rPr>
      <w:rFonts w:eastAsia="Times New Roman"/>
      <w:szCs w:val="24"/>
    </w:rPr>
  </w:style>
  <w:style w:type="character" w:styleId="CommentReference">
    <w:name w:val="annotation reference"/>
    <w:basedOn w:val="DefaultParagraphFont"/>
    <w:uiPriority w:val="99"/>
    <w:semiHidden/>
    <w:unhideWhenUsed/>
    <w:rsid w:val="00BD0888"/>
    <w:rPr>
      <w:sz w:val="16"/>
      <w:szCs w:val="16"/>
    </w:rPr>
  </w:style>
  <w:style w:type="paragraph" w:styleId="CommentText">
    <w:name w:val="annotation text"/>
    <w:basedOn w:val="Normal"/>
    <w:link w:val="CommentTextChar"/>
    <w:uiPriority w:val="99"/>
    <w:semiHidden/>
    <w:unhideWhenUsed/>
    <w:rsid w:val="00BD0888"/>
    <w:rPr>
      <w:sz w:val="20"/>
    </w:rPr>
  </w:style>
  <w:style w:type="character" w:customStyle="1" w:styleId="CommentTextChar">
    <w:name w:val="Comment Text Char"/>
    <w:basedOn w:val="DefaultParagraphFont"/>
    <w:link w:val="CommentText"/>
    <w:uiPriority w:val="99"/>
    <w:semiHidden/>
    <w:rsid w:val="00BD0888"/>
    <w:rPr>
      <w:sz w:val="20"/>
      <w:szCs w:val="20"/>
    </w:rPr>
  </w:style>
  <w:style w:type="paragraph" w:styleId="CommentSubject">
    <w:name w:val="annotation subject"/>
    <w:basedOn w:val="CommentText"/>
    <w:next w:val="CommentText"/>
    <w:link w:val="CommentSubjectChar"/>
    <w:uiPriority w:val="99"/>
    <w:semiHidden/>
    <w:unhideWhenUsed/>
    <w:rsid w:val="00BD0888"/>
    <w:rPr>
      <w:b/>
      <w:bCs/>
    </w:rPr>
  </w:style>
  <w:style w:type="character" w:customStyle="1" w:styleId="CommentSubjectChar">
    <w:name w:val="Comment Subject Char"/>
    <w:basedOn w:val="CommentTextChar"/>
    <w:link w:val="CommentSubject"/>
    <w:uiPriority w:val="99"/>
    <w:semiHidden/>
    <w:rsid w:val="00BD0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D9CEF-E81F-4E11-B1F9-F7DBD9AF2C3A}"/>
</file>

<file path=customXml/itemProps2.xml><?xml version="1.0" encoding="utf-8"?>
<ds:datastoreItem xmlns:ds="http://schemas.openxmlformats.org/officeDocument/2006/customXml" ds:itemID="{0F234B5D-48B6-4BB8-8175-AF48825EFE8B}"/>
</file>

<file path=customXml/itemProps3.xml><?xml version="1.0" encoding="utf-8"?>
<ds:datastoreItem xmlns:ds="http://schemas.openxmlformats.org/officeDocument/2006/customXml" ds:itemID="{29B07993-7124-4571-8D06-84C88FF608C5}"/>
</file>

<file path=customXml/itemProps4.xml><?xml version="1.0" encoding="utf-8"?>
<ds:datastoreItem xmlns:ds="http://schemas.openxmlformats.org/officeDocument/2006/customXml" ds:itemID="{0DDCBF50-BC72-4904-8F2F-95FFD34471C6}"/>
</file>

<file path=customXml/itemProps5.xml><?xml version="1.0" encoding="utf-8"?>
<ds:datastoreItem xmlns:ds="http://schemas.openxmlformats.org/officeDocument/2006/customXml" ds:itemID="{623F8320-1B1E-4442-9282-3274EACEEF49}"/>
</file>

<file path=docProps/app.xml><?xml version="1.0" encoding="utf-8"?>
<Properties xmlns="http://schemas.openxmlformats.org/officeDocument/2006/extended-properties" xmlns:vt="http://schemas.openxmlformats.org/officeDocument/2006/docPropsVTypes">
  <Template>Normal.dotm</Template>
  <TotalTime>2</TotalTime>
  <Pages>6</Pages>
  <Words>1398</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BEFORE THE WASHINGTON STATE UTILITIES AND TRANSPORTATION COMMISSION</vt:lpstr>
    </vt:vector>
  </TitlesOfParts>
  <Company>Washington Utilities and Transportation Commission</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 UTILITIES AND TRANSPORTATION COMMISSION</dc:title>
  <dc:creator>Don Trotter</dc:creator>
  <cp:lastModifiedBy>Krista Gross</cp:lastModifiedBy>
  <cp:revision>6</cp:revision>
  <cp:lastPrinted>2012-09-05T17:14:00Z</cp:lastPrinted>
  <dcterms:created xsi:type="dcterms:W3CDTF">2012-09-05T17:13:00Z</dcterms:created>
  <dcterms:modified xsi:type="dcterms:W3CDTF">2012-09-05T18:03:00Z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