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7F" w:rsidRDefault="001E127F" w:rsidP="001E127F">
      <w:pPr>
        <w:pStyle w:val="Title"/>
        <w:ind w:right="-360" w:hanging="360"/>
        <w:jc w:val="left"/>
        <w:rPr>
          <w:rFonts w:ascii="Times New Roman" w:hAnsi="Times New Roman"/>
          <w:b w:val="0"/>
        </w:rPr>
      </w:pPr>
    </w:p>
    <w:p w:rsidR="001E127F" w:rsidRDefault="001E127F" w:rsidP="001E127F">
      <w:pPr>
        <w:pStyle w:val="Title"/>
        <w:ind w:right="-360" w:hanging="360"/>
        <w:jc w:val="left"/>
        <w:rPr>
          <w:rFonts w:ascii="Times New Roman" w:hAnsi="Times New Roman"/>
          <w:b w:val="0"/>
        </w:rPr>
      </w:pPr>
    </w:p>
    <w:p w:rsidR="001E127F" w:rsidRDefault="001E127F" w:rsidP="001E127F">
      <w:pPr>
        <w:pStyle w:val="Title"/>
        <w:ind w:right="-360" w:hanging="360"/>
        <w:jc w:val="left"/>
        <w:rPr>
          <w:rFonts w:ascii="Times New Roman" w:hAnsi="Times New Roman"/>
          <w:b w:val="0"/>
        </w:rPr>
      </w:pPr>
    </w:p>
    <w:p w:rsidR="001E127F" w:rsidRDefault="001E127F" w:rsidP="001E127F">
      <w:pPr>
        <w:pStyle w:val="Title"/>
        <w:ind w:right="-360" w:hanging="360"/>
        <w:jc w:val="left"/>
        <w:rPr>
          <w:rFonts w:ascii="Times New Roman" w:hAnsi="Times New Roman"/>
          <w:b w:val="0"/>
        </w:rPr>
      </w:pPr>
    </w:p>
    <w:p w:rsidR="001E127F" w:rsidRDefault="001E127F" w:rsidP="001E127F">
      <w:pPr>
        <w:pStyle w:val="Title"/>
        <w:ind w:right="-360" w:hanging="360"/>
        <w:jc w:val="left"/>
        <w:rPr>
          <w:rFonts w:ascii="Times New Roman" w:hAnsi="Times New Roman"/>
          <w:b w:val="0"/>
        </w:rPr>
      </w:pPr>
    </w:p>
    <w:p w:rsidR="001E127F" w:rsidRPr="00D276C3" w:rsidRDefault="001E127F" w:rsidP="001E127F">
      <w:pPr>
        <w:pStyle w:val="Title"/>
        <w:ind w:right="-360" w:hanging="360"/>
        <w:rPr>
          <w:rFonts w:ascii="Times New Roman" w:hAnsi="Times New Roman"/>
          <w:b w:val="0"/>
        </w:rPr>
      </w:pPr>
      <w:r w:rsidRPr="00D276C3">
        <w:rPr>
          <w:rFonts w:ascii="Times New Roman" w:hAnsi="Times New Roman"/>
          <w:b w:val="0"/>
        </w:rPr>
        <w:t>BEFORE THE WASHINGTON STATE</w:t>
      </w:r>
      <w:r>
        <w:rPr>
          <w:rFonts w:ascii="Times New Roman" w:hAnsi="Times New Roman"/>
          <w:b w:val="0"/>
        </w:rPr>
        <w:t xml:space="preserve"> </w:t>
      </w:r>
      <w:r w:rsidRPr="00D276C3">
        <w:rPr>
          <w:rFonts w:ascii="Times New Roman" w:hAnsi="Times New Roman"/>
          <w:b w:val="0"/>
        </w:rPr>
        <w:t>UTILITIES AND TRANSPORTATION COMMISSION</w:t>
      </w:r>
    </w:p>
    <w:p w:rsidR="001E127F" w:rsidRDefault="001E127F" w:rsidP="001E127F">
      <w:pPr>
        <w:jc w:val="both"/>
      </w:pPr>
    </w:p>
    <w:p w:rsidR="005D1398" w:rsidRPr="004A2910" w:rsidRDefault="005D1398" w:rsidP="001E127F">
      <w:pPr>
        <w:jc w:val="both"/>
      </w:pPr>
    </w:p>
    <w:tbl>
      <w:tblPr>
        <w:tblW w:w="0" w:type="auto"/>
        <w:tblInd w:w="124" w:type="dxa"/>
        <w:tblLayout w:type="fixed"/>
        <w:tblCellMar>
          <w:left w:w="124" w:type="dxa"/>
          <w:right w:w="124" w:type="dxa"/>
        </w:tblCellMar>
        <w:tblLook w:val="0000"/>
      </w:tblPr>
      <w:tblGrid>
        <w:gridCol w:w="4590"/>
        <w:gridCol w:w="4590"/>
      </w:tblGrid>
      <w:tr w:rsidR="001E127F" w:rsidRPr="004A2910" w:rsidTr="00E6333E">
        <w:tc>
          <w:tcPr>
            <w:tcW w:w="4590" w:type="dxa"/>
            <w:tcBorders>
              <w:top w:val="single" w:sz="6" w:space="0" w:color="FFFFFF"/>
              <w:left w:val="single" w:sz="6" w:space="0" w:color="FFFFFF"/>
              <w:bottom w:val="single" w:sz="7" w:space="0" w:color="000000"/>
              <w:right w:val="single" w:sz="6" w:space="0" w:color="FFFFFF"/>
            </w:tcBorders>
          </w:tcPr>
          <w:p w:rsidR="001E127F" w:rsidRDefault="001E127F" w:rsidP="00E6333E">
            <w:pPr>
              <w:tabs>
                <w:tab w:val="left" w:pos="2160"/>
              </w:tabs>
              <w:rPr>
                <w:bCs/>
                <w:sz w:val="25"/>
                <w:szCs w:val="25"/>
              </w:rPr>
            </w:pPr>
            <w:r>
              <w:rPr>
                <w:bCs/>
                <w:sz w:val="25"/>
                <w:szCs w:val="25"/>
              </w:rPr>
              <w:t>KENNETH L. BINKLEY,</w:t>
            </w:r>
          </w:p>
          <w:p w:rsidR="001E127F" w:rsidRDefault="001E127F" w:rsidP="00E6333E">
            <w:pPr>
              <w:tabs>
                <w:tab w:val="left" w:pos="2160"/>
              </w:tabs>
              <w:rPr>
                <w:bCs/>
                <w:sz w:val="25"/>
                <w:szCs w:val="25"/>
              </w:rPr>
            </w:pPr>
          </w:p>
          <w:p w:rsidR="001E127F" w:rsidRDefault="001E127F" w:rsidP="00E6333E">
            <w:pPr>
              <w:tabs>
                <w:tab w:val="left" w:pos="2160"/>
              </w:tabs>
              <w:rPr>
                <w:bCs/>
                <w:sz w:val="25"/>
                <w:szCs w:val="25"/>
              </w:rPr>
            </w:pPr>
            <w:r>
              <w:rPr>
                <w:bCs/>
                <w:sz w:val="25"/>
                <w:szCs w:val="25"/>
              </w:rPr>
              <w:tab/>
              <w:t>Complainant,</w:t>
            </w:r>
          </w:p>
          <w:p w:rsidR="001E127F" w:rsidRDefault="001E127F" w:rsidP="00E6333E">
            <w:pPr>
              <w:tabs>
                <w:tab w:val="left" w:pos="2160"/>
              </w:tabs>
              <w:rPr>
                <w:sz w:val="25"/>
                <w:szCs w:val="25"/>
              </w:rPr>
            </w:pPr>
          </w:p>
          <w:p w:rsidR="001E127F" w:rsidRDefault="001E127F" w:rsidP="00E6333E">
            <w:pPr>
              <w:tabs>
                <w:tab w:val="left" w:pos="2160"/>
              </w:tabs>
              <w:rPr>
                <w:sz w:val="25"/>
                <w:szCs w:val="25"/>
              </w:rPr>
            </w:pPr>
            <w:r>
              <w:rPr>
                <w:sz w:val="25"/>
                <w:szCs w:val="25"/>
              </w:rPr>
              <w:t>v.</w:t>
            </w:r>
          </w:p>
          <w:p w:rsidR="001E127F" w:rsidRDefault="001E127F" w:rsidP="00E6333E">
            <w:pPr>
              <w:tabs>
                <w:tab w:val="left" w:pos="2160"/>
              </w:tabs>
              <w:rPr>
                <w:sz w:val="25"/>
                <w:szCs w:val="25"/>
              </w:rPr>
            </w:pPr>
          </w:p>
          <w:p w:rsidR="001E127F" w:rsidRDefault="001E127F" w:rsidP="00E6333E">
            <w:pPr>
              <w:tabs>
                <w:tab w:val="left" w:pos="2160"/>
              </w:tabs>
              <w:rPr>
                <w:sz w:val="25"/>
                <w:szCs w:val="25"/>
              </w:rPr>
            </w:pPr>
            <w:r>
              <w:rPr>
                <w:sz w:val="25"/>
                <w:szCs w:val="25"/>
              </w:rPr>
              <w:t>SALMON SHORES RV PARK AND PUGET SOUND ENERGY, INC.,</w:t>
            </w:r>
          </w:p>
          <w:p w:rsidR="001E127F" w:rsidRDefault="001E127F" w:rsidP="00E6333E">
            <w:pPr>
              <w:tabs>
                <w:tab w:val="left" w:pos="2160"/>
              </w:tabs>
              <w:rPr>
                <w:sz w:val="25"/>
                <w:szCs w:val="25"/>
              </w:rPr>
            </w:pPr>
          </w:p>
          <w:p w:rsidR="001E127F" w:rsidRPr="00D276C3" w:rsidRDefault="001E127F" w:rsidP="00E6333E">
            <w:pPr>
              <w:tabs>
                <w:tab w:val="left" w:pos="2160"/>
              </w:tabs>
              <w:rPr>
                <w:sz w:val="25"/>
                <w:szCs w:val="25"/>
              </w:rPr>
            </w:pPr>
            <w:r>
              <w:rPr>
                <w:sz w:val="25"/>
                <w:szCs w:val="25"/>
              </w:rPr>
              <w:tab/>
              <w:t>Respondents</w:t>
            </w:r>
            <w:r w:rsidRPr="00595D41">
              <w:t>.</w:t>
            </w:r>
          </w:p>
        </w:tc>
        <w:tc>
          <w:tcPr>
            <w:tcW w:w="4590" w:type="dxa"/>
            <w:tcBorders>
              <w:top w:val="single" w:sz="6" w:space="0" w:color="FFFFFF"/>
              <w:left w:val="single" w:sz="7" w:space="0" w:color="000000"/>
              <w:bottom w:val="single" w:sz="6" w:space="0" w:color="FFFFFF"/>
              <w:right w:val="single" w:sz="6" w:space="0" w:color="FFFFFF"/>
            </w:tcBorders>
          </w:tcPr>
          <w:p w:rsidR="001E127F" w:rsidRPr="004A2910" w:rsidRDefault="001E127F" w:rsidP="00E6333E">
            <w:pPr>
              <w:ind w:left="416"/>
            </w:pPr>
            <w:r>
              <w:t>DOCKET UE-091531</w:t>
            </w:r>
          </w:p>
          <w:p w:rsidR="001E127F" w:rsidRPr="004A2910" w:rsidRDefault="001E127F" w:rsidP="00E6333E">
            <w:pPr>
              <w:ind w:left="416"/>
            </w:pPr>
          </w:p>
          <w:p w:rsidR="001E127F" w:rsidRPr="004A2910" w:rsidRDefault="001E127F" w:rsidP="001E127F">
            <w:pPr>
              <w:ind w:left="416"/>
            </w:pPr>
            <w:r>
              <w:t>COMMISSION STAFF</w:t>
            </w:r>
            <w:r w:rsidR="00E6333E">
              <w:t>’S</w:t>
            </w:r>
            <w:r>
              <w:t xml:space="preserve"> PETITION FOR ADMINISTRATIVE REVIEW </w:t>
            </w:r>
          </w:p>
        </w:tc>
      </w:tr>
    </w:tbl>
    <w:p w:rsidR="00E87F9C" w:rsidRDefault="00E87F9C" w:rsidP="001E127F">
      <w:pPr>
        <w:spacing w:line="480" w:lineRule="auto"/>
      </w:pPr>
    </w:p>
    <w:p w:rsidR="00E87F9C" w:rsidRPr="00E87F9C" w:rsidRDefault="005D1398" w:rsidP="00E87F9C">
      <w:pPr>
        <w:pStyle w:val="ListParagraph"/>
        <w:numPr>
          <w:ilvl w:val="0"/>
          <w:numId w:val="6"/>
        </w:numPr>
        <w:spacing w:line="480" w:lineRule="auto"/>
        <w:jc w:val="center"/>
        <w:rPr>
          <w:b/>
        </w:rPr>
      </w:pPr>
      <w:r>
        <w:rPr>
          <w:b/>
        </w:rPr>
        <w:t>INTRODUCTION</w:t>
      </w:r>
    </w:p>
    <w:p w:rsidR="00182435" w:rsidRDefault="00B91734" w:rsidP="00247822">
      <w:pPr>
        <w:pStyle w:val="ListParagraph"/>
        <w:numPr>
          <w:ilvl w:val="0"/>
          <w:numId w:val="2"/>
        </w:numPr>
        <w:spacing w:line="480" w:lineRule="auto"/>
      </w:pPr>
      <w:r>
        <w:tab/>
      </w:r>
      <w:r w:rsidR="00DF273B">
        <w:t xml:space="preserve">The </w:t>
      </w:r>
      <w:r w:rsidR="00301A5C">
        <w:t>Initial Order</w:t>
      </w:r>
      <w:r w:rsidR="006804A7">
        <w:rPr>
          <w:rStyle w:val="FootnoteReference"/>
        </w:rPr>
        <w:footnoteReference w:id="1"/>
      </w:r>
      <w:r w:rsidR="00301A5C">
        <w:t xml:space="preserve"> applie</w:t>
      </w:r>
      <w:r w:rsidR="00ED7F60">
        <w:t>s</w:t>
      </w:r>
      <w:r w:rsidR="00301A5C">
        <w:t xml:space="preserve"> an “aggregate” test for determining whether a customer of Puget Sound Energy (PSE) ha</w:t>
      </w:r>
      <w:r w:rsidR="00146969">
        <w:t>s</w:t>
      </w:r>
      <w:r w:rsidR="00301A5C">
        <w:t xml:space="preserve"> “resold” electricity in violation of PSE’s tariff prohibition on resale.  Under that test, </w:t>
      </w:r>
      <w:r w:rsidR="005D1398">
        <w:t>a PSE landlord/customer violates th</w:t>
      </w:r>
      <w:r w:rsidR="00146969">
        <w:t>at</w:t>
      </w:r>
      <w:r w:rsidR="005D1398">
        <w:t xml:space="preserve"> resale prohibition </w:t>
      </w:r>
      <w:r w:rsidR="000C32E7">
        <w:t xml:space="preserve">only </w:t>
      </w:r>
      <w:r w:rsidR="00301A5C">
        <w:t xml:space="preserve">if </w:t>
      </w:r>
      <w:r w:rsidR="005D1398">
        <w:t>th</w:t>
      </w:r>
      <w:r w:rsidR="00E56EA3">
        <w:t>e</w:t>
      </w:r>
      <w:r w:rsidR="005D1398">
        <w:t xml:space="preserve"> landlord</w:t>
      </w:r>
      <w:r w:rsidR="00301A5C">
        <w:t xml:space="preserve"> </w:t>
      </w:r>
      <w:r w:rsidR="006C0A6F">
        <w:t xml:space="preserve">charges </w:t>
      </w:r>
      <w:r w:rsidR="00301A5C">
        <w:t xml:space="preserve">its tenants more in the aggregate than PSE charged that </w:t>
      </w:r>
      <w:r w:rsidR="005D1398">
        <w:t>landlord</w:t>
      </w:r>
      <w:r w:rsidR="00301A5C">
        <w:t xml:space="preserve"> for the same electricity.</w:t>
      </w:r>
      <w:r w:rsidR="00301A5C">
        <w:rPr>
          <w:rStyle w:val="FootnoteReference"/>
        </w:rPr>
        <w:footnoteReference w:id="2"/>
      </w:r>
    </w:p>
    <w:p w:rsidR="00E00512" w:rsidRDefault="00B91734" w:rsidP="00247822">
      <w:pPr>
        <w:pStyle w:val="ListParagraph"/>
        <w:numPr>
          <w:ilvl w:val="0"/>
          <w:numId w:val="2"/>
        </w:numPr>
        <w:spacing w:line="480" w:lineRule="auto"/>
      </w:pPr>
      <w:r>
        <w:tab/>
      </w:r>
      <w:r w:rsidR="00301A5C">
        <w:t xml:space="preserve">Staff </w:t>
      </w:r>
      <w:r w:rsidR="00022446">
        <w:t xml:space="preserve">considered recommending the </w:t>
      </w:r>
      <w:r w:rsidR="005D1398">
        <w:t xml:space="preserve">Commission adopt </w:t>
      </w:r>
      <w:r w:rsidR="00D969F3">
        <w:t xml:space="preserve">the </w:t>
      </w:r>
      <w:r w:rsidR="00301A5C">
        <w:t>aggregate test</w:t>
      </w:r>
      <w:r w:rsidR="00022446">
        <w:t>,</w:t>
      </w:r>
      <w:r w:rsidR="00301A5C">
        <w:t xml:space="preserve"> </w:t>
      </w:r>
      <w:r w:rsidR="00E6333E">
        <w:t xml:space="preserve">though in the end, Staff </w:t>
      </w:r>
      <w:r w:rsidR="00301A5C">
        <w:t xml:space="preserve">did not </w:t>
      </w:r>
      <w:r w:rsidR="00022446">
        <w:t>do so</w:t>
      </w:r>
      <w:r w:rsidR="00301A5C">
        <w:t xml:space="preserve">.  </w:t>
      </w:r>
      <w:r w:rsidR="00022446">
        <w:t xml:space="preserve">However, </w:t>
      </w:r>
      <w:r w:rsidR="005D1398">
        <w:t xml:space="preserve">and </w:t>
      </w:r>
      <w:r w:rsidR="00022446">
        <w:t>while n</w:t>
      </w:r>
      <w:r w:rsidR="00667E3D">
        <w:t>o test is perfect</w:t>
      </w:r>
      <w:r w:rsidR="00301A5C">
        <w:t>,</w:t>
      </w:r>
      <w:r w:rsidR="00022446">
        <w:rPr>
          <w:rStyle w:val="FootnoteReference"/>
        </w:rPr>
        <w:footnoteReference w:id="3"/>
      </w:r>
      <w:r w:rsidR="00301A5C">
        <w:t xml:space="preserve"> the aggregate test is </w:t>
      </w:r>
      <w:r w:rsidR="00301A5C">
        <w:lastRenderedPageBreak/>
        <w:t xml:space="preserve">simpler than the alternatives </w:t>
      </w:r>
      <w:r w:rsidR="00E6333E">
        <w:t xml:space="preserve">identified </w:t>
      </w:r>
      <w:r w:rsidR="00301A5C">
        <w:t xml:space="preserve">on this record, and it </w:t>
      </w:r>
      <w:r w:rsidR="000C32E7">
        <w:t xml:space="preserve">requires a very limited inquiry into </w:t>
      </w:r>
      <w:r w:rsidR="00022446">
        <w:t>the landlord/tenant relationship</w:t>
      </w:r>
      <w:r w:rsidR="0041389F">
        <w:t>,</w:t>
      </w:r>
      <w:r w:rsidR="00022446">
        <w:t xml:space="preserve"> over which the Commission has no jurisdiction.</w:t>
      </w:r>
      <w:r w:rsidR="00301A5C">
        <w:t xml:space="preserve">  </w:t>
      </w:r>
    </w:p>
    <w:p w:rsidR="00E56EA3" w:rsidRDefault="00E00512" w:rsidP="00247822">
      <w:pPr>
        <w:pStyle w:val="ListParagraph"/>
        <w:numPr>
          <w:ilvl w:val="0"/>
          <w:numId w:val="2"/>
        </w:numPr>
        <w:spacing w:line="480" w:lineRule="auto"/>
      </w:pPr>
      <w:r>
        <w:tab/>
      </w:r>
      <w:r w:rsidR="0041389F">
        <w:t xml:space="preserve">For these reasons, </w:t>
      </w:r>
      <w:r w:rsidR="00301A5C">
        <w:t xml:space="preserve">Staff takes no exception to the </w:t>
      </w:r>
      <w:r w:rsidR="007714ED">
        <w:t xml:space="preserve">Commission’s </w:t>
      </w:r>
      <w:r w:rsidR="00301A5C">
        <w:t>use of the aggregate test</w:t>
      </w:r>
      <w:r w:rsidR="007714ED">
        <w:t xml:space="preserve"> to evaluate “resale”</w:t>
      </w:r>
      <w:r w:rsidR="00D969F3">
        <w:t xml:space="preserve"> in the context of </w:t>
      </w:r>
      <w:r w:rsidR="00E50AA5">
        <w:t xml:space="preserve">determining whether a PSE customer violates the resale prohibition in PSE’s tariff, </w:t>
      </w:r>
      <w:r w:rsidR="007714ED">
        <w:t>in the absence of a contrary statute,</w:t>
      </w:r>
      <w:r w:rsidR="005D1398">
        <w:rPr>
          <w:rStyle w:val="FootnoteReference"/>
        </w:rPr>
        <w:footnoteReference w:id="4"/>
      </w:r>
      <w:r w:rsidR="007714ED">
        <w:t xml:space="preserve"> rule</w:t>
      </w:r>
      <w:r w:rsidR="00667E3D">
        <w:rPr>
          <w:rStyle w:val="FootnoteReference"/>
        </w:rPr>
        <w:footnoteReference w:id="5"/>
      </w:r>
      <w:r w:rsidR="007714ED">
        <w:t xml:space="preserve"> or tariff</w:t>
      </w:r>
      <w:r w:rsidR="00301A5C">
        <w:t>.</w:t>
      </w:r>
      <w:r w:rsidR="005D1398">
        <w:rPr>
          <w:rStyle w:val="FootnoteReference"/>
        </w:rPr>
        <w:footnoteReference w:id="6"/>
      </w:r>
      <w:r w:rsidR="00E6333E">
        <w:t xml:space="preserve">  </w:t>
      </w:r>
      <w:r>
        <w:t xml:space="preserve">It follows that </w:t>
      </w:r>
      <w:r w:rsidR="00E6333E">
        <w:t>Staff does not take exception to the result reached by the Initial Order</w:t>
      </w:r>
      <w:r w:rsidR="000C32E7">
        <w:t xml:space="preserve">, which is </w:t>
      </w:r>
      <w:r w:rsidR="006804A7">
        <w:t>dismissal of the Consumer Complaint</w:t>
      </w:r>
      <w:r w:rsidR="00E6333E">
        <w:t>.</w:t>
      </w:r>
      <w:r w:rsidR="00E50AA5">
        <w:rPr>
          <w:rStyle w:val="FootnoteReference"/>
        </w:rPr>
        <w:footnoteReference w:id="7"/>
      </w:r>
      <w:r w:rsidR="00E56EA3">
        <w:t xml:space="preserve">  </w:t>
      </w:r>
      <w:r w:rsidR="00301A5C">
        <w:t xml:space="preserve">However, </w:t>
      </w:r>
      <w:r w:rsidR="00CB4DE8">
        <w:t xml:space="preserve">because a Commission final order in this case will resolve an issue of first impression, Staff </w:t>
      </w:r>
      <w:r w:rsidR="006804A7">
        <w:t xml:space="preserve">seeks administrative review so the Commission can </w:t>
      </w:r>
      <w:r w:rsidR="0059489D">
        <w:t xml:space="preserve">refine </w:t>
      </w:r>
      <w:r w:rsidR="00CB4DE8">
        <w:t xml:space="preserve">the </w:t>
      </w:r>
      <w:r w:rsidR="0059489D">
        <w:t>decision</w:t>
      </w:r>
      <w:r w:rsidR="00CB4DE8">
        <w:t xml:space="preserve">.  </w:t>
      </w:r>
    </w:p>
    <w:p w:rsidR="00FA6E01" w:rsidRDefault="00E56EA3" w:rsidP="00247822">
      <w:pPr>
        <w:pStyle w:val="ListParagraph"/>
        <w:numPr>
          <w:ilvl w:val="0"/>
          <w:numId w:val="2"/>
        </w:numPr>
        <w:spacing w:line="480" w:lineRule="auto"/>
      </w:pPr>
      <w:r>
        <w:tab/>
      </w:r>
      <w:r w:rsidR="00CB4DE8">
        <w:t xml:space="preserve">As discussed in detail below, </w:t>
      </w:r>
      <w:r w:rsidR="00301A5C">
        <w:t xml:space="preserve">Staff </w:t>
      </w:r>
      <w:r>
        <w:t xml:space="preserve">seeks administrative review of the </w:t>
      </w:r>
      <w:r w:rsidR="00301A5C">
        <w:t>Initial Order</w:t>
      </w:r>
      <w:r w:rsidR="00E6333E">
        <w:t xml:space="preserve"> </w:t>
      </w:r>
      <w:r w:rsidR="00E87F9C">
        <w:t xml:space="preserve">regarding:  (1) </w:t>
      </w:r>
      <w:r w:rsidR="00E6333E">
        <w:t>the basis for Commission jurisdiction over entities that sell electricity</w:t>
      </w:r>
      <w:r w:rsidR="00667E3D">
        <w:t>, such as Salmon Shores</w:t>
      </w:r>
      <w:r w:rsidR="005D1398">
        <w:t xml:space="preserve"> RV Park (Salmon Shores)</w:t>
      </w:r>
      <w:r w:rsidR="00E87F9C">
        <w:t xml:space="preserve">; and (2) the </w:t>
      </w:r>
      <w:r w:rsidR="0059489D">
        <w:t xml:space="preserve">“rent inclusion” </w:t>
      </w:r>
      <w:r w:rsidR="00CB4DE8">
        <w:t>issue</w:t>
      </w:r>
      <w:r w:rsidR="0059489D">
        <w:t xml:space="preserve">, i.e., </w:t>
      </w:r>
      <w:r w:rsidR="00CB4DE8">
        <w:t>whether a PSE customer/</w:t>
      </w:r>
      <w:r w:rsidR="00E87F9C">
        <w:t xml:space="preserve">landlord </w:t>
      </w:r>
      <w:r w:rsidR="00CB4DE8">
        <w:t xml:space="preserve">may recover its </w:t>
      </w:r>
      <w:r w:rsidR="00E87F9C">
        <w:t xml:space="preserve">electricity costs through </w:t>
      </w:r>
      <w:r w:rsidR="00CB4DE8">
        <w:t xml:space="preserve">the </w:t>
      </w:r>
      <w:r w:rsidR="00E87F9C">
        <w:t>rent</w:t>
      </w:r>
      <w:r w:rsidR="00CB4DE8">
        <w:t xml:space="preserve"> it charges its tenants</w:t>
      </w:r>
      <w:r w:rsidR="00FF3B6F">
        <w:t>, without violating PSE’s resale prohibition</w:t>
      </w:r>
      <w:r w:rsidR="00301A5C">
        <w:t xml:space="preserve">.  </w:t>
      </w:r>
      <w:r w:rsidR="00E87F9C">
        <w:t xml:space="preserve">Staff also </w:t>
      </w:r>
      <w:r w:rsidR="0041389F">
        <w:t>recommends the Commission correct a</w:t>
      </w:r>
      <w:r w:rsidR="006C0A6F">
        <w:t>n apparent</w:t>
      </w:r>
      <w:r w:rsidR="0041389F">
        <w:t xml:space="preserve"> </w:t>
      </w:r>
      <w:r w:rsidR="00146969">
        <w:t xml:space="preserve">oversight </w:t>
      </w:r>
      <w:r w:rsidR="00E87F9C">
        <w:t>in the Initial Order</w:t>
      </w:r>
      <w:r w:rsidR="006C0A6F">
        <w:t>’s description of</w:t>
      </w:r>
      <w:r w:rsidR="00146969">
        <w:t xml:space="preserve"> party representati</w:t>
      </w:r>
      <w:r w:rsidR="006C0A6F">
        <w:t>ves</w:t>
      </w:r>
      <w:r w:rsidR="00E87F9C">
        <w:t>.</w:t>
      </w:r>
    </w:p>
    <w:p w:rsidR="00FA6E01" w:rsidRDefault="00FA6E01">
      <w:r>
        <w:br w:type="page"/>
      </w:r>
    </w:p>
    <w:p w:rsidR="00E87F9C" w:rsidRDefault="00E87F9C" w:rsidP="00E87F9C">
      <w:pPr>
        <w:pStyle w:val="ListParagraph"/>
        <w:numPr>
          <w:ilvl w:val="0"/>
          <w:numId w:val="6"/>
        </w:numPr>
        <w:spacing w:line="480" w:lineRule="auto"/>
        <w:jc w:val="center"/>
        <w:rPr>
          <w:b/>
        </w:rPr>
      </w:pPr>
      <w:r>
        <w:rPr>
          <w:b/>
        </w:rPr>
        <w:lastRenderedPageBreak/>
        <w:t>DISCUSSION</w:t>
      </w:r>
    </w:p>
    <w:p w:rsidR="007714ED" w:rsidRPr="00E87F9C" w:rsidRDefault="007714ED" w:rsidP="00CB4DE8">
      <w:pPr>
        <w:pStyle w:val="ListParagraph"/>
        <w:numPr>
          <w:ilvl w:val="0"/>
          <w:numId w:val="7"/>
        </w:numPr>
        <w:spacing w:line="480" w:lineRule="auto"/>
        <w:ind w:left="720" w:hanging="720"/>
        <w:rPr>
          <w:b/>
        </w:rPr>
      </w:pPr>
      <w:r w:rsidRPr="00E87F9C">
        <w:rPr>
          <w:b/>
        </w:rPr>
        <w:t>Nature of Commission Jurisdiction</w:t>
      </w:r>
    </w:p>
    <w:p w:rsidR="00507DE7" w:rsidRDefault="00B91734" w:rsidP="00247822">
      <w:pPr>
        <w:pStyle w:val="ListParagraph"/>
        <w:numPr>
          <w:ilvl w:val="0"/>
          <w:numId w:val="2"/>
        </w:numPr>
        <w:spacing w:line="480" w:lineRule="auto"/>
      </w:pPr>
      <w:r>
        <w:tab/>
      </w:r>
      <w:r w:rsidR="00507DE7">
        <w:t xml:space="preserve">The Initial Order </w:t>
      </w:r>
      <w:r w:rsidR="006804A7">
        <w:t xml:space="preserve">holds </w:t>
      </w:r>
      <w:r w:rsidR="00FF3B6F">
        <w:t xml:space="preserve">that </w:t>
      </w:r>
      <w:r w:rsidR="006804A7">
        <w:t xml:space="preserve">the </w:t>
      </w:r>
      <w:r w:rsidR="00507DE7">
        <w:t>Commission</w:t>
      </w:r>
      <w:r w:rsidR="006804A7">
        <w:t xml:space="preserve">’s regulatory </w:t>
      </w:r>
      <w:r w:rsidR="00507DE7">
        <w:t>jurisdiction over Salmon Shores</w:t>
      </w:r>
      <w:r w:rsidR="006804A7">
        <w:t xml:space="preserve"> depends on whether </w:t>
      </w:r>
      <w:r w:rsidR="00CB4DE8">
        <w:t xml:space="preserve">Salmon Shores </w:t>
      </w:r>
      <w:r w:rsidR="00507DE7">
        <w:t>s</w:t>
      </w:r>
      <w:r w:rsidR="006804A7">
        <w:t>ells</w:t>
      </w:r>
      <w:r w:rsidR="00507DE7">
        <w:t xml:space="preserve"> electricity at a profit</w:t>
      </w:r>
      <w:r w:rsidR="006804A7">
        <w:t>:</w:t>
      </w:r>
      <w:r w:rsidR="002105E8">
        <w:rPr>
          <w:rStyle w:val="FootnoteReference"/>
        </w:rPr>
        <w:footnoteReference w:id="8"/>
      </w:r>
      <w:r w:rsidR="00507DE7">
        <w:t xml:space="preserve">  “the Commissions’ regulatory authority is over private businesses that se</w:t>
      </w:r>
      <w:r w:rsidR="00E6333E">
        <w:t>ll</w:t>
      </w:r>
      <w:r w:rsidR="00507DE7">
        <w:t>, or resell, electricity for a profit.”</w:t>
      </w:r>
      <w:r w:rsidR="00507DE7">
        <w:rPr>
          <w:rStyle w:val="FootnoteReference"/>
        </w:rPr>
        <w:footnoteReference w:id="9"/>
      </w:r>
      <w:r w:rsidR="00507DE7">
        <w:t xml:space="preserve">  </w:t>
      </w:r>
    </w:p>
    <w:p w:rsidR="002105E8" w:rsidRDefault="00247822" w:rsidP="00247822">
      <w:pPr>
        <w:pStyle w:val="ListParagraph"/>
        <w:numPr>
          <w:ilvl w:val="0"/>
          <w:numId w:val="2"/>
        </w:numPr>
        <w:spacing w:line="480" w:lineRule="auto"/>
      </w:pPr>
      <w:r>
        <w:tab/>
      </w:r>
      <w:r w:rsidR="005C2B38">
        <w:t xml:space="preserve">However, </w:t>
      </w:r>
      <w:r w:rsidR="006804A7">
        <w:t xml:space="preserve">profit is not </w:t>
      </w:r>
      <w:r w:rsidR="00E56EA3">
        <w:t xml:space="preserve">a </w:t>
      </w:r>
      <w:r w:rsidR="002105E8">
        <w:t>jurisdiction</w:t>
      </w:r>
      <w:r w:rsidR="006804A7">
        <w:t xml:space="preserve">al </w:t>
      </w:r>
      <w:r w:rsidR="00E56EA3">
        <w:t>prerequisite</w:t>
      </w:r>
      <w:r w:rsidR="006804A7">
        <w:t xml:space="preserve"> for Commission regulation of </w:t>
      </w:r>
      <w:r w:rsidR="00146969">
        <w:t>electric companies</w:t>
      </w:r>
      <w:r w:rsidR="006804A7">
        <w:t xml:space="preserve">.  </w:t>
      </w:r>
      <w:r w:rsidR="005D1398">
        <w:t xml:space="preserve">First, </w:t>
      </w:r>
      <w:r w:rsidR="00146969">
        <w:t>no</w:t>
      </w:r>
      <w:r w:rsidR="005D1398">
        <w:t xml:space="preserve"> Commission statute </w:t>
      </w:r>
      <w:r w:rsidR="00272275">
        <w:t>prescribe</w:t>
      </w:r>
      <w:r w:rsidR="00146969">
        <w:t>s</w:t>
      </w:r>
      <w:r w:rsidR="00272275">
        <w:t xml:space="preserve"> </w:t>
      </w:r>
      <w:r w:rsidR="005D1398">
        <w:t xml:space="preserve">a </w:t>
      </w:r>
      <w:r w:rsidR="00272275">
        <w:t xml:space="preserve">profit </w:t>
      </w:r>
      <w:r w:rsidR="005D1398">
        <w:t>requirement.</w:t>
      </w:r>
      <w:r w:rsidR="00272275">
        <w:rPr>
          <w:rStyle w:val="FootnoteReference"/>
        </w:rPr>
        <w:footnoteReference w:id="10"/>
      </w:r>
      <w:r w:rsidR="005D1398">
        <w:t xml:space="preserve">  Second, </w:t>
      </w:r>
      <w:r w:rsidR="0083389B">
        <w:t>a</w:t>
      </w:r>
      <w:r w:rsidR="00272275">
        <w:t xml:space="preserve"> profit </w:t>
      </w:r>
      <w:r w:rsidR="00146969">
        <w:t>requirement</w:t>
      </w:r>
      <w:r w:rsidR="00272275">
        <w:t xml:space="preserve"> does not make sense.  For </w:t>
      </w:r>
      <w:r w:rsidR="005C2B38">
        <w:t xml:space="preserve">example, </w:t>
      </w:r>
      <w:r w:rsidR="00E56EA3">
        <w:t xml:space="preserve">PSE would not be removed from Commission regulatory jurisdiction if </w:t>
      </w:r>
      <w:r w:rsidR="003563D3">
        <w:t>PSE</w:t>
      </w:r>
      <w:r w:rsidR="00E56EA3">
        <w:t xml:space="preserve"> </w:t>
      </w:r>
      <w:r w:rsidR="002105E8">
        <w:t>fail</w:t>
      </w:r>
      <w:r w:rsidR="00667E3D">
        <w:t>ed</w:t>
      </w:r>
      <w:r w:rsidR="002105E8">
        <w:t xml:space="preserve"> to </w:t>
      </w:r>
      <w:r w:rsidR="00D969F3">
        <w:t xml:space="preserve">sell electricity for </w:t>
      </w:r>
      <w:r w:rsidR="00CB4DE8">
        <w:t>a profit</w:t>
      </w:r>
      <w:r w:rsidR="00E56EA3">
        <w:t>, such as during a severe drought or economic recession.</w:t>
      </w:r>
    </w:p>
    <w:p w:rsidR="008733E3" w:rsidRDefault="00247822" w:rsidP="00247822">
      <w:pPr>
        <w:pStyle w:val="ListParagraph"/>
        <w:numPr>
          <w:ilvl w:val="0"/>
          <w:numId w:val="2"/>
        </w:numPr>
        <w:spacing w:line="480" w:lineRule="auto"/>
      </w:pPr>
      <w:r>
        <w:tab/>
      </w:r>
      <w:r w:rsidR="00146969">
        <w:t>Th</w:t>
      </w:r>
      <w:r w:rsidR="00CB4DE8">
        <w:t xml:space="preserve">e </w:t>
      </w:r>
      <w:r w:rsidR="006804A7">
        <w:t xml:space="preserve">correct </w:t>
      </w:r>
      <w:r w:rsidR="00E56EA3">
        <w:t xml:space="preserve">legal </w:t>
      </w:r>
      <w:r w:rsidR="006804A7">
        <w:t xml:space="preserve">analysis is whether Salmon Shores meets the </w:t>
      </w:r>
      <w:r w:rsidR="004816AB">
        <w:t>definition</w:t>
      </w:r>
      <w:r w:rsidR="006804A7">
        <w:t xml:space="preserve"> of “electrical company”</w:t>
      </w:r>
      <w:r w:rsidR="004816AB">
        <w:t xml:space="preserve"> in RCW 80.04.010 and </w:t>
      </w:r>
      <w:r w:rsidR="00272275">
        <w:t xml:space="preserve">if so, </w:t>
      </w:r>
      <w:r w:rsidR="006804A7">
        <w:t xml:space="preserve">whether </w:t>
      </w:r>
      <w:r w:rsidR="00272275">
        <w:t xml:space="preserve">Salmon Shores also </w:t>
      </w:r>
      <w:r w:rsidR="006804A7">
        <w:t xml:space="preserve">it meets </w:t>
      </w:r>
      <w:r w:rsidR="004816AB">
        <w:t xml:space="preserve">the </w:t>
      </w:r>
      <w:r w:rsidR="00870160">
        <w:t xml:space="preserve">“devotion </w:t>
      </w:r>
      <w:r w:rsidR="00272275">
        <w:t xml:space="preserve">of property </w:t>
      </w:r>
      <w:r w:rsidR="00870160">
        <w:t xml:space="preserve">to public use” </w:t>
      </w:r>
      <w:r w:rsidR="006804A7">
        <w:t>test</w:t>
      </w:r>
      <w:r w:rsidR="00870160">
        <w:t xml:space="preserve"> </w:t>
      </w:r>
      <w:r w:rsidR="00272275">
        <w:t xml:space="preserve">enunciated by </w:t>
      </w:r>
      <w:r w:rsidR="00870160">
        <w:t xml:space="preserve">the </w:t>
      </w:r>
      <w:r w:rsidR="004816AB">
        <w:t>court</w:t>
      </w:r>
      <w:r w:rsidR="006804A7">
        <w:t>s</w:t>
      </w:r>
      <w:r w:rsidR="00272275">
        <w:t xml:space="preserve"> of this state</w:t>
      </w:r>
      <w:r w:rsidR="00507DE7">
        <w:t xml:space="preserve">.  </w:t>
      </w:r>
      <w:r w:rsidR="008733E3">
        <w:t xml:space="preserve">This is the analysis applied by the court in </w:t>
      </w:r>
      <w:r w:rsidR="008733E3" w:rsidRPr="00CB4DE8">
        <w:rPr>
          <w:i/>
        </w:rPr>
        <w:t>Inland Empire Rural Electrification, Inc. v. Department of Public Service</w:t>
      </w:r>
      <w:r w:rsidR="008733E3">
        <w:t>, 199 Wash. 527, 537, 92 P.2d 258 (1939) (</w:t>
      </w:r>
      <w:r w:rsidR="00803896" w:rsidRPr="00803896">
        <w:rPr>
          <w:i/>
        </w:rPr>
        <w:t>Inland Empire</w:t>
      </w:r>
      <w:r w:rsidR="008733E3">
        <w:t>)</w:t>
      </w:r>
      <w:r w:rsidR="008733E3" w:rsidRPr="00D969F3">
        <w:rPr>
          <w:i/>
        </w:rPr>
        <w:t xml:space="preserve"> </w:t>
      </w:r>
      <w:r w:rsidR="008733E3">
        <w:t xml:space="preserve">and </w:t>
      </w:r>
      <w:r w:rsidR="008733E3" w:rsidRPr="002A3D74">
        <w:rPr>
          <w:i/>
        </w:rPr>
        <w:t xml:space="preserve">West Valley Land </w:t>
      </w:r>
      <w:r w:rsidR="008733E3">
        <w:rPr>
          <w:i/>
        </w:rPr>
        <w:t xml:space="preserve">Co., Inc. </w:t>
      </w:r>
      <w:r w:rsidR="008733E3" w:rsidRPr="002A3D74">
        <w:rPr>
          <w:i/>
        </w:rPr>
        <w:t xml:space="preserve">v. Nob Hill Water Co., </w:t>
      </w:r>
      <w:r w:rsidR="008733E3">
        <w:t>107 Wn.2d 359, 365, 729 P.2d 42 (1986) (</w:t>
      </w:r>
      <w:r w:rsidR="008733E3">
        <w:rPr>
          <w:i/>
        </w:rPr>
        <w:t>Nob Hill</w:t>
      </w:r>
      <w:r w:rsidR="008733E3">
        <w:t>).</w:t>
      </w:r>
      <w:r w:rsidR="008733E3" w:rsidRPr="00E00512">
        <w:rPr>
          <w:rStyle w:val="FootnoteReference"/>
        </w:rPr>
        <w:footnoteReference w:id="11"/>
      </w:r>
      <w:r w:rsidR="008733E3">
        <w:t xml:space="preserve">  </w:t>
      </w:r>
    </w:p>
    <w:p w:rsidR="0041389F" w:rsidRDefault="008733E3" w:rsidP="00247822">
      <w:pPr>
        <w:pStyle w:val="ListParagraph"/>
        <w:numPr>
          <w:ilvl w:val="0"/>
          <w:numId w:val="2"/>
        </w:numPr>
        <w:spacing w:line="480" w:lineRule="auto"/>
      </w:pPr>
      <w:r>
        <w:lastRenderedPageBreak/>
        <w:tab/>
        <w:t xml:space="preserve">In </w:t>
      </w:r>
      <w:r w:rsidR="00143DE4" w:rsidRPr="00CB4DE8">
        <w:rPr>
          <w:i/>
        </w:rPr>
        <w:t>Inland Empire</w:t>
      </w:r>
      <w:r w:rsidR="00143DE4">
        <w:t xml:space="preserve">, the </w:t>
      </w:r>
      <w:r>
        <w:t xml:space="preserve">court </w:t>
      </w:r>
      <w:r w:rsidR="00E56EA3">
        <w:t>enunciated the legal test as follows</w:t>
      </w:r>
      <w:r w:rsidR="0041389F">
        <w:t>:</w:t>
      </w:r>
      <w:r w:rsidR="00143DE4">
        <w:t xml:space="preserve"> </w:t>
      </w:r>
    </w:p>
    <w:p w:rsidR="00D7019E" w:rsidRDefault="0041389F">
      <w:pPr>
        <w:pStyle w:val="ListParagraph"/>
        <w:spacing w:line="276" w:lineRule="auto"/>
      </w:pPr>
      <w:r>
        <w:t xml:space="preserve">a </w:t>
      </w:r>
      <w:r w:rsidR="00143DE4" w:rsidRPr="00ED7E76">
        <w:t>corporation becomes a public service corporation, subject to regulation by the department of public service, only when, and to the extent that, its business is dedic</w:t>
      </w:r>
      <w:r w:rsidR="00143DE4" w:rsidRPr="00E00512">
        <w:t xml:space="preserve">ated or devoted to a public use.  The test to </w:t>
      </w:r>
      <w:r w:rsidR="00143DE4" w:rsidRPr="006C0A6F">
        <w:t>be applied is whether or not the corporation holds itself out, expressly or impliedly, to supply its service or product for use either by the public as a class or by t</w:t>
      </w:r>
      <w:r w:rsidR="00777F38">
        <w:t>hat p</w:t>
      </w:r>
      <w:r w:rsidR="00703CD8">
        <w:t>ortion of it that can be served by the utility, or whethe</w:t>
      </w:r>
      <w:r w:rsidR="00143DE4" w:rsidRPr="00ED7E76">
        <w:t>r, on the contrary, it merely offers to serve only particular individuals of its own selection.</w:t>
      </w:r>
      <w:r w:rsidR="00272275">
        <w:rPr>
          <w:rStyle w:val="FootnoteReference"/>
        </w:rPr>
        <w:footnoteReference w:id="12"/>
      </w:r>
    </w:p>
    <w:p w:rsidR="00D7019E" w:rsidRDefault="00D7019E">
      <w:pPr>
        <w:pStyle w:val="ListParagraph"/>
        <w:spacing w:line="276" w:lineRule="auto"/>
      </w:pPr>
    </w:p>
    <w:p w:rsidR="0083389B" w:rsidRDefault="00E42BCB" w:rsidP="00247822">
      <w:pPr>
        <w:pStyle w:val="ListParagraph"/>
        <w:numPr>
          <w:ilvl w:val="0"/>
          <w:numId w:val="2"/>
        </w:numPr>
        <w:spacing w:line="480" w:lineRule="auto"/>
      </w:pPr>
      <w:r>
        <w:tab/>
      </w:r>
      <w:r w:rsidR="008733E3">
        <w:t xml:space="preserve">In </w:t>
      </w:r>
      <w:r w:rsidR="008733E3">
        <w:rPr>
          <w:i/>
        </w:rPr>
        <w:t xml:space="preserve">Nob Hill, </w:t>
      </w:r>
      <w:r>
        <w:t xml:space="preserve">the court </w:t>
      </w:r>
      <w:r w:rsidR="008733E3">
        <w:t>applied th</w:t>
      </w:r>
      <w:r w:rsidR="003563D3">
        <w:t>is</w:t>
      </w:r>
      <w:r w:rsidR="008733E3">
        <w:t xml:space="preserve"> </w:t>
      </w:r>
      <w:r w:rsidR="00E56EA3">
        <w:t>legal test</w:t>
      </w:r>
      <w:r w:rsidR="008733E3">
        <w:t xml:space="preserve"> to </w:t>
      </w:r>
      <w:r>
        <w:t xml:space="preserve">a non-profit water company </w:t>
      </w:r>
      <w:r w:rsidR="008733E3">
        <w:t>and held th</w:t>
      </w:r>
      <w:r w:rsidR="00E12AA6">
        <w:t>e</w:t>
      </w:r>
      <w:r w:rsidR="008733E3">
        <w:t xml:space="preserve"> company </w:t>
      </w:r>
      <w:r>
        <w:t>was not subject to Commission regulat</w:t>
      </w:r>
      <w:r w:rsidR="003563D3">
        <w:t>ory jurisdiction</w:t>
      </w:r>
      <w:r>
        <w:t xml:space="preserve"> because </w:t>
      </w:r>
      <w:r w:rsidR="0041389F">
        <w:t xml:space="preserve">it </w:t>
      </w:r>
      <w:r>
        <w:t>exclusively served homeowners association members:  “Nob Hill has chosen to serve particular individuals of its own selection, and does not serve the public as a class or that portion of it that could be served by Nob Hill.”</w:t>
      </w:r>
      <w:r w:rsidR="0083389B">
        <w:rPr>
          <w:rStyle w:val="FootnoteReference"/>
        </w:rPr>
        <w:footnoteReference w:id="13"/>
      </w:r>
      <w:r>
        <w:t xml:space="preserve">  </w:t>
      </w:r>
    </w:p>
    <w:p w:rsidR="00E42BCB" w:rsidRDefault="0083389B" w:rsidP="00247822">
      <w:pPr>
        <w:pStyle w:val="ListParagraph"/>
        <w:numPr>
          <w:ilvl w:val="0"/>
          <w:numId w:val="2"/>
        </w:numPr>
        <w:spacing w:line="480" w:lineRule="auto"/>
      </w:pPr>
      <w:r>
        <w:tab/>
      </w:r>
      <w:r w:rsidR="00D7019E">
        <w:t xml:space="preserve">To be sure, </w:t>
      </w:r>
      <w:r>
        <w:t>the</w:t>
      </w:r>
      <w:r w:rsidR="00E12AA6">
        <w:t xml:space="preserve"> </w:t>
      </w:r>
      <w:r>
        <w:rPr>
          <w:i/>
        </w:rPr>
        <w:t xml:space="preserve">Nob Hill </w:t>
      </w:r>
      <w:r w:rsidR="00803896" w:rsidRPr="00803896">
        <w:t xml:space="preserve">decision </w:t>
      </w:r>
      <w:r w:rsidR="007D3145">
        <w:t xml:space="preserve">considered </w:t>
      </w:r>
      <w:r>
        <w:t xml:space="preserve">the company’s </w:t>
      </w:r>
      <w:r w:rsidR="00E12AA6">
        <w:t xml:space="preserve">non-profit status </w:t>
      </w:r>
      <w:r w:rsidR="007D3145">
        <w:t>as an “additional” factor,</w:t>
      </w:r>
      <w:r w:rsidR="007D3145">
        <w:rPr>
          <w:rStyle w:val="FootnoteReference"/>
        </w:rPr>
        <w:footnoteReference w:id="14"/>
      </w:r>
      <w:r w:rsidR="007D3145">
        <w:t xml:space="preserve"> </w:t>
      </w:r>
      <w:r w:rsidR="00D7019E">
        <w:t xml:space="preserve">but </w:t>
      </w:r>
      <w:r w:rsidR="007D3145">
        <w:t>it did so in the context of Nob Hill’s status as a cooperative in which all members have a voice in the way the cooperative is operated.</w:t>
      </w:r>
      <w:r w:rsidR="007D3145">
        <w:rPr>
          <w:rStyle w:val="FootnoteReference"/>
        </w:rPr>
        <w:footnoteReference w:id="15"/>
      </w:r>
      <w:r w:rsidR="007D3145">
        <w:t xml:space="preserve">  Even if this “additional” fac</w:t>
      </w:r>
      <w:r>
        <w:t>t</w:t>
      </w:r>
      <w:r w:rsidR="007D3145">
        <w:t xml:space="preserve">or was not </w:t>
      </w:r>
      <w:r w:rsidR="007D3145" w:rsidRPr="007D3145">
        <w:rPr>
          <w:i/>
        </w:rPr>
        <w:t>dictum</w:t>
      </w:r>
      <w:r w:rsidR="007D3145">
        <w:t xml:space="preserve">, it does not apply here because Salmon Shores is </w:t>
      </w:r>
      <w:r w:rsidR="007D3145">
        <w:lastRenderedPageBreak/>
        <w:t xml:space="preserve">unquestionably a profit-seeking business </w:t>
      </w:r>
      <w:r>
        <w:t xml:space="preserve">whose </w:t>
      </w:r>
      <w:r w:rsidR="007D3145">
        <w:t xml:space="preserve">tenants have no voice in how that business is </w:t>
      </w:r>
      <w:r w:rsidR="00D7019E">
        <w:t>conducted</w:t>
      </w:r>
      <w:r w:rsidR="007D3145">
        <w:t>.</w:t>
      </w:r>
    </w:p>
    <w:p w:rsidR="00E6333E" w:rsidRPr="00DF273B" w:rsidRDefault="00E00512" w:rsidP="00247822">
      <w:pPr>
        <w:pStyle w:val="ListParagraph"/>
        <w:numPr>
          <w:ilvl w:val="0"/>
          <w:numId w:val="2"/>
        </w:numPr>
        <w:spacing w:line="480" w:lineRule="auto"/>
      </w:pPr>
      <w:r>
        <w:tab/>
      </w:r>
      <w:r w:rsidR="00E56EA3">
        <w:t xml:space="preserve">When the </w:t>
      </w:r>
      <w:r w:rsidR="00CB4DE8" w:rsidRPr="008733E3">
        <w:t>Commission appl</w:t>
      </w:r>
      <w:r w:rsidR="00E56EA3">
        <w:t>ies</w:t>
      </w:r>
      <w:r w:rsidR="00CB4DE8" w:rsidRPr="008733E3">
        <w:t xml:space="preserve"> the </w:t>
      </w:r>
      <w:r w:rsidR="00CA0599" w:rsidRPr="008733E3">
        <w:t xml:space="preserve">analysis </w:t>
      </w:r>
      <w:r w:rsidR="00CB4DE8" w:rsidRPr="008733E3">
        <w:t>the court</w:t>
      </w:r>
      <w:r w:rsidR="00E42BCB" w:rsidRPr="008733E3">
        <w:t xml:space="preserve"> applied in </w:t>
      </w:r>
      <w:r w:rsidR="00E42BCB" w:rsidRPr="008733E3">
        <w:rPr>
          <w:i/>
        </w:rPr>
        <w:t>Inland Empire</w:t>
      </w:r>
      <w:r w:rsidR="00803896" w:rsidRPr="00803896">
        <w:t xml:space="preserve"> </w:t>
      </w:r>
      <w:r w:rsidR="00E42BCB" w:rsidRPr="008733E3">
        <w:t>and</w:t>
      </w:r>
      <w:r w:rsidR="00E42BCB">
        <w:t xml:space="preserve"> </w:t>
      </w:r>
      <w:r w:rsidR="00E42BCB" w:rsidRPr="0059489D">
        <w:rPr>
          <w:i/>
        </w:rPr>
        <w:t>Nob Hill</w:t>
      </w:r>
      <w:r w:rsidR="00DE3578">
        <w:t>,</w:t>
      </w:r>
      <w:r w:rsidR="00EC1628">
        <w:t xml:space="preserve"> </w:t>
      </w:r>
      <w:r w:rsidR="00E56EA3">
        <w:t xml:space="preserve">it will </w:t>
      </w:r>
      <w:r w:rsidR="00EC1628">
        <w:t>reach the same result</w:t>
      </w:r>
      <w:r w:rsidR="00CA0599">
        <w:t xml:space="preserve">:  </w:t>
      </w:r>
      <w:r w:rsidR="00E42BCB">
        <w:t xml:space="preserve">Salmon Shores meets the </w:t>
      </w:r>
      <w:r w:rsidR="007354E6">
        <w:t xml:space="preserve">literal </w:t>
      </w:r>
      <w:r w:rsidR="00E42BCB">
        <w:t xml:space="preserve">definition of “electrical company” in RCW 80.04.010, because it “owns” and “operates” electric plant for hire in this state.  However, </w:t>
      </w:r>
      <w:r w:rsidR="009869F4">
        <w:t xml:space="preserve">there is no evidence </w:t>
      </w:r>
      <w:r w:rsidR="00E42BCB">
        <w:t>Salmon Shores devote</w:t>
      </w:r>
      <w:r w:rsidR="009869F4">
        <w:t>s</w:t>
      </w:r>
      <w:r w:rsidR="00E42BCB">
        <w:t xml:space="preserve"> its property to </w:t>
      </w:r>
      <w:r w:rsidR="00E42BCB" w:rsidRPr="006C0A6F">
        <w:t>public use, and it is for that reason, not a lack of profit</w:t>
      </w:r>
      <w:r w:rsidR="0083389B">
        <w:t xml:space="preserve"> off electricity sales</w:t>
      </w:r>
      <w:r w:rsidR="00E42BCB" w:rsidRPr="006C0A6F">
        <w:t xml:space="preserve">, that Salmon Shores is not subject to </w:t>
      </w:r>
      <w:r w:rsidR="00E42BCB">
        <w:t>Commission regulation as an electric utility.</w:t>
      </w:r>
      <w:r w:rsidR="00E6333E" w:rsidRPr="00DF273B">
        <w:t xml:space="preserve"> </w:t>
      </w:r>
    </w:p>
    <w:p w:rsidR="008528E0" w:rsidRDefault="00703CD8" w:rsidP="00247822">
      <w:pPr>
        <w:pStyle w:val="ListParagraph"/>
        <w:numPr>
          <w:ilvl w:val="0"/>
          <w:numId w:val="2"/>
        </w:numPr>
        <w:spacing w:line="480" w:lineRule="auto"/>
      </w:pPr>
      <w:r>
        <w:tab/>
      </w:r>
      <w:r w:rsidR="00334D80">
        <w:t>Therefore, t</w:t>
      </w:r>
      <w:r>
        <w:t>he Commission should amend the Initial Order’s jurisdictional analysis in Paragraph 20, last sentence, and Paragraph 30, secon</w:t>
      </w:r>
      <w:r w:rsidR="007D28BA">
        <w:t xml:space="preserve">d sentence, </w:t>
      </w:r>
      <w:r w:rsidR="008528E0">
        <w:t xml:space="preserve">to focus on </w:t>
      </w:r>
      <w:r w:rsidR="008746FF">
        <w:t xml:space="preserve">the </w:t>
      </w:r>
      <w:r w:rsidR="008528E0">
        <w:t xml:space="preserve">devotion </w:t>
      </w:r>
      <w:r w:rsidR="008746FF">
        <w:t xml:space="preserve">of property </w:t>
      </w:r>
      <w:r w:rsidR="008528E0">
        <w:t xml:space="preserve">to public use </w:t>
      </w:r>
      <w:r w:rsidR="008746FF">
        <w:t xml:space="preserve">issue </w:t>
      </w:r>
      <w:r w:rsidR="00E42BCB">
        <w:t xml:space="preserve">and not </w:t>
      </w:r>
      <w:r w:rsidR="008746FF">
        <w:t xml:space="preserve">on </w:t>
      </w:r>
      <w:r w:rsidR="00E42BCB">
        <w:t xml:space="preserve">whether </w:t>
      </w:r>
      <w:r w:rsidR="008746FF">
        <w:t>Salmon Shores s</w:t>
      </w:r>
      <w:r w:rsidR="00E56EA3">
        <w:t>ells</w:t>
      </w:r>
      <w:r w:rsidR="007B6C37">
        <w:t xml:space="preserve"> electricity </w:t>
      </w:r>
      <w:r w:rsidR="00D969F3">
        <w:t>for</w:t>
      </w:r>
      <w:r w:rsidR="008528E0">
        <w:t xml:space="preserve"> a profit.</w:t>
      </w:r>
      <w:r w:rsidR="00E6333E">
        <w:t xml:space="preserve">  The Commission should </w:t>
      </w:r>
      <w:r w:rsidR="00E00512">
        <w:t xml:space="preserve">also </w:t>
      </w:r>
      <w:r w:rsidR="00E6333E">
        <w:t>change Finding of Fact No. 3 to read:</w:t>
      </w:r>
    </w:p>
    <w:p w:rsidR="00E6333E" w:rsidRDefault="007D28BA" w:rsidP="007D28BA">
      <w:pPr>
        <w:pStyle w:val="ListParagraph"/>
      </w:pPr>
      <w:r>
        <w:t xml:space="preserve">Salmon Shores is not conducting business subject to Commission jurisdiction.  There is nothing in the record to suggest Salmon Shores has devoted its property to public use.  Therefore, the record does not demonstrate that Salmon Shores is a “public service company” for purposes of Title 80 RCW.  </w:t>
      </w:r>
    </w:p>
    <w:p w:rsidR="007D28BA" w:rsidRPr="00CB4DE8" w:rsidRDefault="007D28BA" w:rsidP="007D28BA">
      <w:pPr>
        <w:pStyle w:val="ListParagraph"/>
        <w:rPr>
          <w:b/>
        </w:rPr>
      </w:pPr>
    </w:p>
    <w:p w:rsidR="00301A5C" w:rsidRDefault="00F0020C" w:rsidP="00F0020C">
      <w:pPr>
        <w:tabs>
          <w:tab w:val="left" w:pos="90"/>
        </w:tabs>
        <w:spacing w:line="480" w:lineRule="auto"/>
      </w:pPr>
      <w:r>
        <w:rPr>
          <w:b/>
        </w:rPr>
        <w:t>B.</w:t>
      </w:r>
      <w:r>
        <w:rPr>
          <w:b/>
        </w:rPr>
        <w:tab/>
      </w:r>
      <w:r w:rsidR="0059489D" w:rsidRPr="00F0020C">
        <w:rPr>
          <w:b/>
        </w:rPr>
        <w:t>The Rent Inclusion Issue</w:t>
      </w:r>
    </w:p>
    <w:p w:rsidR="008746FF" w:rsidRDefault="00247822" w:rsidP="00072AFF">
      <w:pPr>
        <w:pStyle w:val="ListParagraph"/>
        <w:numPr>
          <w:ilvl w:val="0"/>
          <w:numId w:val="2"/>
        </w:numPr>
        <w:spacing w:line="480" w:lineRule="auto"/>
      </w:pPr>
      <w:r>
        <w:tab/>
      </w:r>
      <w:r w:rsidR="008746FF">
        <w:t>“R</w:t>
      </w:r>
      <w:r w:rsidR="007B3EEF">
        <w:t>ent inclusion</w:t>
      </w:r>
      <w:r w:rsidR="008746FF">
        <w:t xml:space="preserve">” refers to the situation where a landlord </w:t>
      </w:r>
      <w:r w:rsidR="007D3145">
        <w:t xml:space="preserve">provides </w:t>
      </w:r>
      <w:r w:rsidR="008746FF">
        <w:t xml:space="preserve">electricity service in </w:t>
      </w:r>
      <w:r w:rsidR="007D3145">
        <w:t xml:space="preserve">exchange for the </w:t>
      </w:r>
      <w:r w:rsidR="008746FF">
        <w:t>overall rent</w:t>
      </w:r>
      <w:r w:rsidR="007D3145">
        <w:t xml:space="preserve"> payment</w:t>
      </w:r>
      <w:r w:rsidR="008746FF">
        <w:t xml:space="preserve">, rather than as a separate charge.  The issue is </w:t>
      </w:r>
      <w:r w:rsidR="007B3EEF">
        <w:t xml:space="preserve">whether </w:t>
      </w:r>
      <w:r w:rsidR="00334D80">
        <w:t xml:space="preserve">a PSE customer/landlord complies with </w:t>
      </w:r>
      <w:r w:rsidR="007B3EEF">
        <w:t xml:space="preserve">PSE’s tariff resale prohibition </w:t>
      </w:r>
      <w:r w:rsidR="007D3145">
        <w:t xml:space="preserve">in that scenario.  </w:t>
      </w:r>
      <w:r w:rsidR="007B3EEF">
        <w:t xml:space="preserve">  </w:t>
      </w:r>
    </w:p>
    <w:p w:rsidR="007B3EEF" w:rsidRDefault="008746FF" w:rsidP="00072AFF">
      <w:pPr>
        <w:pStyle w:val="ListParagraph"/>
        <w:numPr>
          <w:ilvl w:val="0"/>
          <w:numId w:val="2"/>
        </w:numPr>
        <w:spacing w:line="480" w:lineRule="auto"/>
      </w:pPr>
      <w:r>
        <w:tab/>
      </w:r>
      <w:r w:rsidR="007D3145">
        <w:t xml:space="preserve">As a threshold matter, it is pertinent to note though </w:t>
      </w:r>
      <w:r>
        <w:t>S</w:t>
      </w:r>
      <w:r w:rsidR="007B3EEF">
        <w:t xml:space="preserve">taff raised the rent inclusion issue, that issue is not directly presented in this case, because Salmon Shores does not include electricity as part of the services covered by </w:t>
      </w:r>
      <w:r w:rsidR="006C0A6F">
        <w:t xml:space="preserve">the </w:t>
      </w:r>
      <w:r w:rsidR="007B3EEF">
        <w:t>rent</w:t>
      </w:r>
      <w:r w:rsidR="006C0A6F">
        <w:t>al rate</w:t>
      </w:r>
      <w:r w:rsidR="007B3EEF">
        <w:t xml:space="preserve">.  Therefore, the Commission could simply eliminate Paragraph 29 (including footnote 29) from the Initial </w:t>
      </w:r>
      <w:r w:rsidR="007B3EEF">
        <w:lastRenderedPageBreak/>
        <w:t>Order as not relevant to the issues at hand, and limit the “aggregate” test to the facts of this case</w:t>
      </w:r>
      <w:r>
        <w:t xml:space="preserve">, i.e., </w:t>
      </w:r>
      <w:r w:rsidR="007B3EEF">
        <w:t>discrete charges levied by a PSE customer/landlord on its tenants for electricity.</w:t>
      </w:r>
    </w:p>
    <w:p w:rsidR="007B3EEF" w:rsidRDefault="007B3EEF" w:rsidP="00072AFF">
      <w:pPr>
        <w:pStyle w:val="ListParagraph"/>
        <w:numPr>
          <w:ilvl w:val="0"/>
          <w:numId w:val="2"/>
        </w:numPr>
        <w:spacing w:line="480" w:lineRule="auto"/>
      </w:pPr>
      <w:r>
        <w:tab/>
      </w:r>
      <w:r w:rsidR="00E12AA6">
        <w:t>Alternatively</w:t>
      </w:r>
      <w:r w:rsidR="00E56EA3">
        <w:t>, if</w:t>
      </w:r>
      <w:r>
        <w:t xml:space="preserve"> the Commission decides to address the rent inclusion issue, it should </w:t>
      </w:r>
      <w:r w:rsidR="00334D80">
        <w:t xml:space="preserve">reject the analysis in the Initial Order and </w:t>
      </w:r>
      <w:r>
        <w:t>conclude that rent inclusion is not resale in violation of PSE’s tariff.</w:t>
      </w:r>
    </w:p>
    <w:p w:rsidR="00072AFF" w:rsidRPr="007F57D0" w:rsidDel="00072AFF" w:rsidRDefault="007B3EEF" w:rsidP="00072AFF">
      <w:pPr>
        <w:pStyle w:val="ListParagraph"/>
        <w:numPr>
          <w:ilvl w:val="0"/>
          <w:numId w:val="2"/>
        </w:numPr>
        <w:spacing w:line="480" w:lineRule="auto"/>
      </w:pPr>
      <w:r>
        <w:tab/>
      </w:r>
      <w:r w:rsidR="00072AFF">
        <w:t xml:space="preserve">Paragraph 29 of the </w:t>
      </w:r>
      <w:r w:rsidR="008528E0">
        <w:t xml:space="preserve">Initial Order </w:t>
      </w:r>
      <w:r>
        <w:t>contests</w:t>
      </w:r>
      <w:r w:rsidR="008528E0">
        <w:t xml:space="preserve"> Staff’s point that </w:t>
      </w:r>
      <w:r w:rsidR="008746FF">
        <w:t xml:space="preserve">rent inclusion is not </w:t>
      </w:r>
      <w:r w:rsidR="00072AFF">
        <w:t>resale</w:t>
      </w:r>
      <w:r w:rsidR="00A812F1">
        <w:t xml:space="preserve"> by</w:t>
      </w:r>
      <w:r w:rsidR="0041389F">
        <w:t xml:space="preserve"> reasoning </w:t>
      </w:r>
      <w:r>
        <w:t xml:space="preserve">that </w:t>
      </w:r>
      <w:r w:rsidR="00D4015B">
        <w:t>if a landlord imbedded electricity charges in rent, that</w:t>
      </w:r>
      <w:r w:rsidR="0059489D">
        <w:t xml:space="preserve"> </w:t>
      </w:r>
      <w:r w:rsidR="008528E0">
        <w:t xml:space="preserve">would </w:t>
      </w:r>
      <w:r w:rsidR="007B6C37">
        <w:t>“</w:t>
      </w:r>
      <w:r w:rsidR="008528E0">
        <w:t xml:space="preserve">lack </w:t>
      </w:r>
      <w:r w:rsidR="00334D80">
        <w:t xml:space="preserve">any </w:t>
      </w:r>
      <w:r w:rsidR="008528E0">
        <w:t>transparency</w:t>
      </w:r>
      <w:r w:rsidR="00334D80">
        <w:t xml:space="preserve"> at all,” “[t]enants would not have any idea how much electric use cost them each month, low use customers would effectively </w:t>
      </w:r>
      <w:r w:rsidR="00E56EA3">
        <w:t>subsidize high</w:t>
      </w:r>
      <w:r w:rsidR="00334D80">
        <w:t xml:space="preserve"> use customers, [and] there would be no incentive to conserve.”  A</w:t>
      </w:r>
      <w:r w:rsidR="00133268">
        <w:t xml:space="preserve">ccording to the Initial Oder, </w:t>
      </w:r>
      <w:r w:rsidR="00334D80">
        <w:t xml:space="preserve">this </w:t>
      </w:r>
      <w:r w:rsidR="008528E0">
        <w:t>c</w:t>
      </w:r>
      <w:r w:rsidR="008746FF">
        <w:t>annot</w:t>
      </w:r>
      <w:r w:rsidR="008528E0">
        <w:t xml:space="preserve"> be “square[d] with the Commission’s paramount interest in having tenants such as those at Salmon Shores not pay more for electric costs than what the </w:t>
      </w:r>
      <w:r w:rsidR="008528E0" w:rsidRPr="007F57D0">
        <w:t>landlord is charged by PSE.”</w:t>
      </w:r>
      <w:r w:rsidR="008528E0" w:rsidRPr="007F57D0">
        <w:rPr>
          <w:rStyle w:val="FootnoteReference"/>
        </w:rPr>
        <w:footnoteReference w:id="16"/>
      </w:r>
      <w:r w:rsidR="008528E0" w:rsidRPr="007F57D0">
        <w:t xml:space="preserve">  </w:t>
      </w:r>
    </w:p>
    <w:p w:rsidR="006C0A6F" w:rsidRDefault="00AA6E6F" w:rsidP="00ED7F60">
      <w:pPr>
        <w:pStyle w:val="ListParagraph"/>
        <w:numPr>
          <w:ilvl w:val="0"/>
          <w:numId w:val="2"/>
        </w:numPr>
        <w:spacing w:line="480" w:lineRule="auto"/>
      </w:pPr>
      <w:r>
        <w:tab/>
      </w:r>
      <w:r w:rsidR="00072AFF">
        <w:t>T</w:t>
      </w:r>
      <w:r w:rsidR="00CA0599">
        <w:t xml:space="preserve">he </w:t>
      </w:r>
      <w:r w:rsidR="00FF3B6F">
        <w:t xml:space="preserve">Commission should reject the </w:t>
      </w:r>
      <w:r w:rsidR="00072AFF">
        <w:t xml:space="preserve">rationale in </w:t>
      </w:r>
      <w:r w:rsidR="008530C3">
        <w:t xml:space="preserve">Paragraph </w:t>
      </w:r>
      <w:r>
        <w:t xml:space="preserve">29 </w:t>
      </w:r>
      <w:r w:rsidR="00FF3B6F">
        <w:t>as</w:t>
      </w:r>
      <w:r w:rsidR="00DF273B">
        <w:t xml:space="preserve"> </w:t>
      </w:r>
      <w:r w:rsidR="008530C3">
        <w:t>unr</w:t>
      </w:r>
      <w:r w:rsidR="00DF273B">
        <w:t>easonable</w:t>
      </w:r>
      <w:r w:rsidR="00ED7F60">
        <w:t xml:space="preserve">.  For example, </w:t>
      </w:r>
      <w:r w:rsidR="00072AFF">
        <w:t>Staff knows of no hotel that separately charges for electricity</w:t>
      </w:r>
      <w:r w:rsidR="00133268">
        <w:t xml:space="preserve"> when providing rooms to the public for compensation</w:t>
      </w:r>
      <w:r w:rsidR="00072AFF">
        <w:t xml:space="preserve">.  </w:t>
      </w:r>
      <w:r w:rsidR="007B3EEF">
        <w:t xml:space="preserve">But, </w:t>
      </w:r>
      <w:r w:rsidR="00072AFF">
        <w:t>if the Initial Order’s rationale</w:t>
      </w:r>
      <w:r w:rsidR="00ED7F60">
        <w:t xml:space="preserve"> </w:t>
      </w:r>
      <w:r w:rsidR="00072AFF">
        <w:t xml:space="preserve">were applied, the </w:t>
      </w:r>
      <w:r>
        <w:t xml:space="preserve">hotel </w:t>
      </w:r>
      <w:r w:rsidR="00072AFF">
        <w:t xml:space="preserve">would be required </w:t>
      </w:r>
      <w:r>
        <w:t>to charge an electricity fee separate from its room rate</w:t>
      </w:r>
      <w:r w:rsidR="00D4015B">
        <w:t xml:space="preserve">.  </w:t>
      </w:r>
      <w:r w:rsidR="00133268">
        <w:t>O</w:t>
      </w:r>
      <w:r w:rsidR="009869F4">
        <w:t>ther</w:t>
      </w:r>
      <w:r w:rsidR="00133268">
        <w:t>wise</w:t>
      </w:r>
      <w:r w:rsidR="00E56EA3">
        <w:t xml:space="preserve"> (</w:t>
      </w:r>
      <w:r w:rsidR="009869F4">
        <w:t>and t</w:t>
      </w:r>
      <w:r w:rsidR="00D4015B">
        <w:t>o paraphrase the Initial Order</w:t>
      </w:r>
      <w:r w:rsidR="00E56EA3">
        <w:t>)</w:t>
      </w:r>
      <w:r w:rsidR="00D4015B">
        <w:t>,</w:t>
      </w:r>
      <w:r>
        <w:t xml:space="preserve"> </w:t>
      </w:r>
      <w:r w:rsidR="009869F4">
        <w:t xml:space="preserve">if the hotel </w:t>
      </w:r>
      <w:r>
        <w:t>i</w:t>
      </w:r>
      <w:r w:rsidR="008746FF">
        <w:t>ncluded</w:t>
      </w:r>
      <w:r>
        <w:t xml:space="preserve"> </w:t>
      </w:r>
      <w:r w:rsidR="009869F4">
        <w:t>its</w:t>
      </w:r>
      <w:r>
        <w:t xml:space="preserve"> electric</w:t>
      </w:r>
      <w:r w:rsidR="00193871">
        <w:t>ity</w:t>
      </w:r>
      <w:r>
        <w:t xml:space="preserve"> cost in the room rate</w:t>
      </w:r>
      <w:r w:rsidR="00133268">
        <w:t>s</w:t>
      </w:r>
      <w:r w:rsidR="009869F4">
        <w:t>, that</w:t>
      </w:r>
      <w:r>
        <w:t xml:space="preserve"> would</w:t>
      </w:r>
      <w:r w:rsidR="00D4015B">
        <w:t xml:space="preserve"> </w:t>
      </w:r>
      <w:r>
        <w:t xml:space="preserve">lack transparency </w:t>
      </w:r>
      <w:r w:rsidR="007B6C37">
        <w:t>because hotel guest</w:t>
      </w:r>
      <w:r w:rsidR="00072AFF">
        <w:t>s</w:t>
      </w:r>
      <w:r w:rsidR="007B6C37">
        <w:t xml:space="preserve"> would not know how much the electricity is costing them, </w:t>
      </w:r>
      <w:r w:rsidR="00334D80">
        <w:t xml:space="preserve">they would have no idea how much their electric use cost, </w:t>
      </w:r>
      <w:r w:rsidR="007D3145">
        <w:t xml:space="preserve">low use hotel guests would subsidize high use hotel guests, </w:t>
      </w:r>
      <w:r w:rsidR="00334D80">
        <w:t xml:space="preserve">they would have no incentive to </w:t>
      </w:r>
      <w:r w:rsidR="00334D80">
        <w:lastRenderedPageBreak/>
        <w:t xml:space="preserve">conserve, and this </w:t>
      </w:r>
      <w:r w:rsidR="007B6C37">
        <w:t xml:space="preserve">would </w:t>
      </w:r>
      <w:r>
        <w:t xml:space="preserve">not square with the interest in having </w:t>
      </w:r>
      <w:r w:rsidR="007B6C37">
        <w:t xml:space="preserve">hotel </w:t>
      </w:r>
      <w:r>
        <w:t>patrons pay no more for electricity than what the utility charged the hotel.</w:t>
      </w:r>
      <w:r w:rsidR="00DF273B">
        <w:t xml:space="preserve">  </w:t>
      </w:r>
    </w:p>
    <w:p w:rsidR="00643706" w:rsidRDefault="006C0A6F" w:rsidP="00ED7F60">
      <w:pPr>
        <w:pStyle w:val="ListParagraph"/>
        <w:numPr>
          <w:ilvl w:val="0"/>
          <w:numId w:val="2"/>
        </w:numPr>
        <w:spacing w:line="480" w:lineRule="auto"/>
      </w:pPr>
      <w:r>
        <w:tab/>
      </w:r>
      <w:r w:rsidR="007B3EEF">
        <w:t xml:space="preserve">The same analysis would apply to </w:t>
      </w:r>
      <w:r w:rsidR="008746FF">
        <w:t xml:space="preserve">many </w:t>
      </w:r>
      <w:r w:rsidR="005D1398">
        <w:t xml:space="preserve">PSE customers, </w:t>
      </w:r>
      <w:r w:rsidR="00334D80">
        <w:t xml:space="preserve">be it </w:t>
      </w:r>
      <w:r w:rsidR="007B3EEF">
        <w:t xml:space="preserve">a movie theater, grocery store, or </w:t>
      </w:r>
      <w:r w:rsidR="007D3145">
        <w:t xml:space="preserve">any </w:t>
      </w:r>
      <w:r w:rsidR="007B3EEF">
        <w:t xml:space="preserve">other </w:t>
      </w:r>
      <w:r w:rsidR="00E56EA3">
        <w:t xml:space="preserve">business customer </w:t>
      </w:r>
      <w:r w:rsidR="007B3EEF">
        <w:t xml:space="preserve">that provides electricity </w:t>
      </w:r>
      <w:r w:rsidR="005D1398">
        <w:t xml:space="preserve">service as part of </w:t>
      </w:r>
      <w:r w:rsidR="0041389F">
        <w:t>the product or service it sells.</w:t>
      </w:r>
      <w:r w:rsidR="00334D80">
        <w:t xml:space="preserve">  Plainly, th</w:t>
      </w:r>
      <w:r w:rsidR="00133268">
        <w:t>e Initial Order</w:t>
      </w:r>
      <w:r>
        <w:t xml:space="preserve">’s rationale </w:t>
      </w:r>
      <w:r w:rsidR="008746FF">
        <w:t xml:space="preserve">on rent inclusion </w:t>
      </w:r>
      <w:r w:rsidR="00334D80">
        <w:t>is not reasonable</w:t>
      </w:r>
      <w:r w:rsidR="008746FF">
        <w:t>, and the Commission should reject it</w:t>
      </w:r>
      <w:r w:rsidR="000210E2">
        <w:t xml:space="preserve"> for that reason</w:t>
      </w:r>
      <w:r w:rsidR="00334D80">
        <w:t>.</w:t>
      </w:r>
      <w:r w:rsidR="00133268">
        <w:rPr>
          <w:rStyle w:val="FootnoteReference"/>
        </w:rPr>
        <w:footnoteReference w:id="17"/>
      </w:r>
    </w:p>
    <w:p w:rsidR="007D28BA" w:rsidRPr="00247822" w:rsidRDefault="009869F4" w:rsidP="00247822">
      <w:pPr>
        <w:pStyle w:val="ListParagraph"/>
        <w:numPr>
          <w:ilvl w:val="0"/>
          <w:numId w:val="2"/>
        </w:numPr>
        <w:spacing w:line="480" w:lineRule="auto"/>
        <w:rPr>
          <w:b/>
        </w:rPr>
      </w:pPr>
      <w:r>
        <w:tab/>
      </w:r>
      <w:r w:rsidR="007B3EEF">
        <w:t xml:space="preserve">In sum, </w:t>
      </w:r>
      <w:r w:rsidR="00072AFF">
        <w:t xml:space="preserve">the Commission </w:t>
      </w:r>
      <w:r w:rsidR="00D969F3">
        <w:t xml:space="preserve">should either </w:t>
      </w:r>
      <w:r w:rsidR="00133268">
        <w:t xml:space="preserve">delete Paragraph 29, </w:t>
      </w:r>
      <w:r w:rsidR="00D969F3">
        <w:t>or, if</w:t>
      </w:r>
      <w:r w:rsidR="00133268">
        <w:t xml:space="preserve"> the Commission opts to</w:t>
      </w:r>
      <w:r w:rsidR="00072AFF">
        <w:t xml:space="preserve"> </w:t>
      </w:r>
      <w:r w:rsidR="0041389F">
        <w:t xml:space="preserve">include </w:t>
      </w:r>
      <w:r w:rsidR="00072AFF">
        <w:t>the rent inclusion issue</w:t>
      </w:r>
      <w:r w:rsidR="0041389F">
        <w:t xml:space="preserve"> in its final order</w:t>
      </w:r>
      <w:r w:rsidR="00072AFF">
        <w:t xml:space="preserve">, </w:t>
      </w:r>
      <w:r w:rsidR="0041389F">
        <w:t xml:space="preserve">the Commission </w:t>
      </w:r>
      <w:r w:rsidR="00072AFF">
        <w:t xml:space="preserve">should </w:t>
      </w:r>
      <w:r w:rsidR="005D1398">
        <w:t xml:space="preserve">reject the </w:t>
      </w:r>
      <w:r w:rsidR="003563D3">
        <w:t>analysis</w:t>
      </w:r>
      <w:r w:rsidR="007D28BA">
        <w:t xml:space="preserve"> </w:t>
      </w:r>
      <w:r w:rsidR="00E87F9C">
        <w:t xml:space="preserve">in </w:t>
      </w:r>
      <w:r w:rsidR="00D4015B">
        <w:t>P</w:t>
      </w:r>
      <w:r w:rsidR="00E87F9C">
        <w:t xml:space="preserve">aragraph 29 </w:t>
      </w:r>
      <w:r w:rsidR="005D1398">
        <w:t xml:space="preserve">and add a discussion </w:t>
      </w:r>
      <w:r w:rsidR="007D28BA">
        <w:t>consistent with the foregoing analysis.</w:t>
      </w:r>
      <w:r w:rsidR="007B6C37">
        <w:t xml:space="preserve">  </w:t>
      </w:r>
      <w:r w:rsidR="00133268">
        <w:t>Under either option</w:t>
      </w:r>
      <w:r w:rsidR="00FF3B6F">
        <w:t xml:space="preserve">, </w:t>
      </w:r>
      <w:r w:rsidR="00E87F9C">
        <w:t>Staff offers no changes to the Initial Order’s findings of fact or conclusions of law</w:t>
      </w:r>
      <w:r w:rsidR="003563D3">
        <w:t>,</w:t>
      </w:r>
      <w:r w:rsidR="00E87F9C">
        <w:t xml:space="preserve"> because </w:t>
      </w:r>
      <w:r w:rsidR="007B6C37">
        <w:t>Paragraph 29</w:t>
      </w:r>
      <w:r w:rsidR="00E87F9C">
        <w:t xml:space="preserve"> </w:t>
      </w:r>
      <w:r w:rsidR="007B6C37">
        <w:t xml:space="preserve">does not appear to affect </w:t>
      </w:r>
      <w:r w:rsidR="0041389F">
        <w:t>them</w:t>
      </w:r>
      <w:r w:rsidR="00072AFF">
        <w:t>.</w:t>
      </w:r>
    </w:p>
    <w:p w:rsidR="00182435" w:rsidRPr="00F0020C" w:rsidRDefault="00F0020C" w:rsidP="00F0020C">
      <w:pPr>
        <w:spacing w:line="480" w:lineRule="auto"/>
        <w:rPr>
          <w:b/>
        </w:rPr>
      </w:pPr>
      <w:r>
        <w:rPr>
          <w:b/>
        </w:rPr>
        <w:t>C.</w:t>
      </w:r>
      <w:r>
        <w:rPr>
          <w:b/>
        </w:rPr>
        <w:tab/>
      </w:r>
      <w:r w:rsidR="00E6333E" w:rsidRPr="00F0020C">
        <w:rPr>
          <w:b/>
        </w:rPr>
        <w:t>Correction</w:t>
      </w:r>
    </w:p>
    <w:p w:rsidR="00FA6E01" w:rsidRDefault="00247822" w:rsidP="003832A6">
      <w:pPr>
        <w:pStyle w:val="ListParagraph"/>
        <w:numPr>
          <w:ilvl w:val="0"/>
          <w:numId w:val="2"/>
        </w:numPr>
        <w:spacing w:line="480" w:lineRule="auto"/>
      </w:pPr>
      <w:r>
        <w:tab/>
      </w:r>
      <w:r w:rsidR="00182435">
        <w:t xml:space="preserve">Paragraph 5 of the Initial Order, entitled “Party Representatives,” states Mr. Young appeared </w:t>
      </w:r>
      <w:r w:rsidR="00182435" w:rsidRPr="00B91734">
        <w:rPr>
          <w:i/>
        </w:rPr>
        <w:t>pro se</w:t>
      </w:r>
      <w:r w:rsidR="00182435">
        <w:t xml:space="preserve"> on behalf of Salmon Shores RV Park.  </w:t>
      </w:r>
      <w:r w:rsidR="00ED7F60">
        <w:t xml:space="preserve">The Commission should </w:t>
      </w:r>
      <w:r w:rsidR="00E56EA3">
        <w:t>correct</w:t>
      </w:r>
      <w:r w:rsidR="00ED7F60">
        <w:t xml:space="preserve"> Paragraph 5 to reflect the fact that Salmon Shores is represented by</w:t>
      </w:r>
      <w:r w:rsidR="00FF3B6F">
        <w:t xml:space="preserve"> </w:t>
      </w:r>
      <w:r w:rsidR="00182435">
        <w:t>Deric N. Young</w:t>
      </w:r>
      <w:r w:rsidR="007B6C37">
        <w:t>, attorney,</w:t>
      </w:r>
      <w:r w:rsidR="00182435">
        <w:t xml:space="preserve"> </w:t>
      </w:r>
      <w:r w:rsidR="00FF3B6F">
        <w:t xml:space="preserve">who </w:t>
      </w:r>
      <w:r w:rsidR="00182435">
        <w:t xml:space="preserve">filed a </w:t>
      </w:r>
      <w:r w:rsidR="007B6C37">
        <w:t>N</w:t>
      </w:r>
      <w:r w:rsidR="00182435">
        <w:t>otice of Appearance as counsel for Salmon Shores</w:t>
      </w:r>
      <w:r w:rsidR="00E00512">
        <w:t xml:space="preserve"> and</w:t>
      </w:r>
      <w:r w:rsidR="00D66052">
        <w:t xml:space="preserve"> a motion on Salmon Shores’ behalf</w:t>
      </w:r>
      <w:r w:rsidR="00182435">
        <w:t xml:space="preserve">.  </w:t>
      </w:r>
    </w:p>
    <w:p w:rsidR="00FA6E01" w:rsidRDefault="00FA6E01">
      <w:r>
        <w:br w:type="page"/>
      </w:r>
    </w:p>
    <w:p w:rsidR="00E87F9C" w:rsidRPr="00E87F9C" w:rsidRDefault="00E87F9C" w:rsidP="00E87F9C">
      <w:pPr>
        <w:pStyle w:val="ListParagraph"/>
        <w:numPr>
          <w:ilvl w:val="0"/>
          <w:numId w:val="6"/>
        </w:numPr>
        <w:spacing w:line="480" w:lineRule="auto"/>
        <w:jc w:val="center"/>
        <w:rPr>
          <w:b/>
        </w:rPr>
      </w:pPr>
      <w:r>
        <w:rPr>
          <w:b/>
        </w:rPr>
        <w:lastRenderedPageBreak/>
        <w:t>CONCLUSION</w:t>
      </w:r>
    </w:p>
    <w:p w:rsidR="003832A6" w:rsidRDefault="00E87F9C" w:rsidP="003832A6">
      <w:pPr>
        <w:pStyle w:val="ListParagraph"/>
        <w:numPr>
          <w:ilvl w:val="0"/>
          <w:numId w:val="2"/>
        </w:numPr>
        <w:spacing w:line="480" w:lineRule="auto"/>
      </w:pPr>
      <w:r>
        <w:tab/>
        <w:t>For the reasons stated above, the Commission should grant Staff’s Petition for Admin</w:t>
      </w:r>
      <w:r w:rsidR="00D4015B">
        <w:t>i</w:t>
      </w:r>
      <w:r>
        <w:t xml:space="preserve">strative Review and change the </w:t>
      </w:r>
      <w:r w:rsidR="00A812F1">
        <w:t xml:space="preserve">Initial Order in the manner Staff </w:t>
      </w:r>
      <w:r>
        <w:t>recommend</w:t>
      </w:r>
      <w:r w:rsidR="00A812F1">
        <w:t>s</w:t>
      </w:r>
      <w:r>
        <w:t xml:space="preserve"> in Paragraphs </w:t>
      </w:r>
      <w:r w:rsidR="00A812F1">
        <w:t>1</w:t>
      </w:r>
      <w:r w:rsidR="000210E2">
        <w:t>2</w:t>
      </w:r>
      <w:r w:rsidR="006C0A6F">
        <w:t>, 1</w:t>
      </w:r>
      <w:r w:rsidR="000210E2">
        <w:t>9</w:t>
      </w:r>
      <w:r w:rsidR="006C0A6F">
        <w:t xml:space="preserve">, and </w:t>
      </w:r>
      <w:r w:rsidR="000210E2">
        <w:t>20</w:t>
      </w:r>
      <w:r w:rsidR="003563D3">
        <w:t xml:space="preserve"> </w:t>
      </w:r>
      <w:r>
        <w:t>above.</w:t>
      </w:r>
    </w:p>
    <w:p w:rsidR="001E127F" w:rsidRDefault="001E127F" w:rsidP="001E127F">
      <w:r>
        <w:tab/>
        <w:t xml:space="preserve">DATED this </w:t>
      </w:r>
      <w:r w:rsidR="00F0020C">
        <w:t>10</w:t>
      </w:r>
      <w:r w:rsidR="00F0020C">
        <w:rPr>
          <w:vertAlign w:val="superscript"/>
        </w:rPr>
        <w:t xml:space="preserve">th </w:t>
      </w:r>
      <w:r w:rsidRPr="004A2910">
        <w:t>ay of</w:t>
      </w:r>
      <w:r>
        <w:t xml:space="preserve"> </w:t>
      </w:r>
      <w:r w:rsidR="004951CE">
        <w:t>June</w:t>
      </w:r>
      <w:r w:rsidRPr="004A2910">
        <w:t xml:space="preserve"> 20</w:t>
      </w:r>
      <w:r w:rsidR="004951CE">
        <w:t>1</w:t>
      </w:r>
      <w:r w:rsidRPr="004A2910">
        <w:t>0.</w:t>
      </w:r>
    </w:p>
    <w:p w:rsidR="001E127F" w:rsidRDefault="001E127F" w:rsidP="001E127F">
      <w:pPr>
        <w:ind w:left="4320"/>
      </w:pPr>
    </w:p>
    <w:p w:rsidR="001E127F" w:rsidRPr="004A2910" w:rsidRDefault="001E127F" w:rsidP="001E127F">
      <w:pPr>
        <w:ind w:left="4320"/>
      </w:pPr>
      <w:r>
        <w:t xml:space="preserve">Respectfully submitted, </w:t>
      </w:r>
    </w:p>
    <w:p w:rsidR="001E127F" w:rsidRPr="004A2910" w:rsidRDefault="001E127F" w:rsidP="001E127F">
      <w:pPr>
        <w:pStyle w:val="BodyTextIndent2"/>
        <w:ind w:left="4320"/>
        <w:rPr>
          <w:rFonts w:ascii="Times New Roman" w:hAnsi="Times New Roman"/>
        </w:rPr>
      </w:pPr>
    </w:p>
    <w:p w:rsidR="001E127F" w:rsidRPr="004A2910" w:rsidRDefault="001E127F" w:rsidP="001E127F">
      <w:pPr>
        <w:ind w:left="4320"/>
        <w:jc w:val="both"/>
      </w:pPr>
      <w:r w:rsidRPr="004A2910">
        <w:t>ROB</w:t>
      </w:r>
      <w:r>
        <w:t>ERT M.</w:t>
      </w:r>
      <w:r w:rsidRPr="004A2910">
        <w:t xml:space="preserve"> MCKENNA </w:t>
      </w:r>
    </w:p>
    <w:p w:rsidR="001E127F" w:rsidRPr="004A2910" w:rsidRDefault="001E127F" w:rsidP="001E127F">
      <w:pPr>
        <w:ind w:left="4320"/>
        <w:jc w:val="both"/>
      </w:pPr>
      <w:r w:rsidRPr="004A2910">
        <w:t>Attorney General</w:t>
      </w:r>
    </w:p>
    <w:p w:rsidR="001E127F" w:rsidRDefault="001E127F" w:rsidP="001E127F">
      <w:pPr>
        <w:ind w:left="4320"/>
        <w:jc w:val="both"/>
      </w:pPr>
    </w:p>
    <w:p w:rsidR="001E127F" w:rsidRPr="004A2910" w:rsidRDefault="001E127F" w:rsidP="001E127F">
      <w:pPr>
        <w:ind w:left="4320"/>
        <w:jc w:val="both"/>
      </w:pPr>
    </w:p>
    <w:p w:rsidR="001E127F" w:rsidRPr="004A2910" w:rsidRDefault="001E127F" w:rsidP="001E127F">
      <w:pPr>
        <w:ind w:left="4320"/>
        <w:jc w:val="both"/>
      </w:pPr>
      <w:r w:rsidRPr="004A2910">
        <w:t>______________________________</w:t>
      </w:r>
    </w:p>
    <w:p w:rsidR="001E127F" w:rsidRPr="004A2910" w:rsidRDefault="001E127F" w:rsidP="001E127F">
      <w:pPr>
        <w:ind w:left="4320"/>
        <w:jc w:val="both"/>
      </w:pPr>
      <w:r>
        <w:t>DONALD T. TROTTER</w:t>
      </w:r>
    </w:p>
    <w:p w:rsidR="001E127F" w:rsidRPr="004A2910" w:rsidRDefault="001E127F" w:rsidP="001E127F">
      <w:pPr>
        <w:ind w:left="4320"/>
        <w:jc w:val="both"/>
      </w:pPr>
      <w:r w:rsidRPr="004A2910">
        <w:t>Assistant Attorney General</w:t>
      </w:r>
    </w:p>
    <w:p w:rsidR="001E127F" w:rsidRPr="004A2910" w:rsidRDefault="001E127F" w:rsidP="001E127F">
      <w:pPr>
        <w:ind w:left="4320"/>
        <w:jc w:val="both"/>
      </w:pPr>
      <w:r w:rsidRPr="004A2910">
        <w:t>Coun</w:t>
      </w:r>
      <w:r w:rsidR="003832A6" w:rsidRPr="003832A6">
        <w:rPr>
          <w:b/>
        </w:rPr>
        <w:t>s</w:t>
      </w:r>
      <w:r w:rsidRPr="004A2910">
        <w:t>el for Washington Utilities and</w:t>
      </w:r>
    </w:p>
    <w:p w:rsidR="001E127F" w:rsidRPr="00ED215A" w:rsidRDefault="001E127F" w:rsidP="001E127F">
      <w:pPr>
        <w:ind w:left="4320"/>
        <w:jc w:val="both"/>
      </w:pPr>
      <w:r>
        <w:t>Transportation Commission Staff</w:t>
      </w:r>
    </w:p>
    <w:p w:rsidR="00182435" w:rsidRPr="00182435" w:rsidRDefault="00182435" w:rsidP="00182435"/>
    <w:sectPr w:rsidR="00182435" w:rsidRPr="00182435" w:rsidSect="004951CE">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010" w:rsidRDefault="00266010" w:rsidP="00301A5C">
      <w:r>
        <w:separator/>
      </w:r>
    </w:p>
  </w:endnote>
  <w:endnote w:type="continuationSeparator" w:id="0">
    <w:p w:rsidR="00266010" w:rsidRDefault="00266010" w:rsidP="00301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0C" w:rsidRPr="00F0020C" w:rsidRDefault="00F0020C">
    <w:pPr>
      <w:pStyle w:val="Footer"/>
      <w:rPr>
        <w:sz w:val="20"/>
      </w:rPr>
    </w:pPr>
  </w:p>
  <w:p w:rsidR="00F0020C" w:rsidRPr="00F0020C" w:rsidRDefault="00F0020C">
    <w:pPr>
      <w:pStyle w:val="Footer"/>
      <w:rPr>
        <w:sz w:val="20"/>
      </w:rPr>
    </w:pPr>
    <w:r w:rsidRPr="00F0020C">
      <w:rPr>
        <w:sz w:val="20"/>
      </w:rPr>
      <w:t xml:space="preserve">COMMISSION STAFF’S PETITION </w:t>
    </w:r>
  </w:p>
  <w:p w:rsidR="00F0020C" w:rsidRPr="00F0020C" w:rsidRDefault="00F0020C">
    <w:pPr>
      <w:pStyle w:val="Footer"/>
      <w:rPr>
        <w:sz w:val="20"/>
      </w:rPr>
    </w:pPr>
    <w:r w:rsidRPr="00F0020C">
      <w:rPr>
        <w:sz w:val="20"/>
      </w:rPr>
      <w:t xml:space="preserve">FOR ADMINISTRATIVE REVIEW - </w:t>
    </w:r>
    <w:r w:rsidRPr="00F0020C">
      <w:rPr>
        <w:sz w:val="20"/>
      </w:rPr>
      <w:fldChar w:fldCharType="begin"/>
    </w:r>
    <w:r w:rsidRPr="00F0020C">
      <w:rPr>
        <w:sz w:val="20"/>
      </w:rPr>
      <w:instrText xml:space="preserve"> PAGE   \* MERGEFORMAT </w:instrText>
    </w:r>
    <w:r w:rsidRPr="00F0020C">
      <w:rPr>
        <w:sz w:val="20"/>
      </w:rPr>
      <w:fldChar w:fldCharType="separate"/>
    </w:r>
    <w:r w:rsidR="00C36CB2">
      <w:rPr>
        <w:noProof/>
        <w:sz w:val="20"/>
      </w:rPr>
      <w:t>1</w:t>
    </w:r>
    <w:r w:rsidRPr="00F0020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010" w:rsidRDefault="00266010" w:rsidP="00301A5C">
      <w:r>
        <w:separator/>
      </w:r>
    </w:p>
  </w:footnote>
  <w:footnote w:type="continuationSeparator" w:id="0">
    <w:p w:rsidR="00266010" w:rsidRDefault="00266010" w:rsidP="00301A5C">
      <w:r>
        <w:continuationSeparator/>
      </w:r>
    </w:p>
  </w:footnote>
  <w:footnote w:id="1">
    <w:p w:rsidR="00D47093" w:rsidRDefault="00D47093">
      <w:pPr>
        <w:pStyle w:val="FootnoteText"/>
      </w:pPr>
      <w:r>
        <w:rPr>
          <w:rStyle w:val="FootnoteReference"/>
        </w:rPr>
        <w:footnoteRef/>
      </w:r>
      <w:r>
        <w:t xml:space="preserve"> Order 02, Initial Order, Docket UE-091531 (June 2, 2010).</w:t>
      </w:r>
    </w:p>
  </w:footnote>
  <w:footnote w:id="2">
    <w:p w:rsidR="00D47093" w:rsidRDefault="00D47093">
      <w:pPr>
        <w:pStyle w:val="FootnoteText"/>
      </w:pPr>
      <w:r>
        <w:rPr>
          <w:rStyle w:val="FootnoteReference"/>
        </w:rPr>
        <w:footnoteRef/>
      </w:r>
      <w:r>
        <w:t xml:space="preserve"> See, e.g., Initial Order at 9, ¶¶ 21-22.</w:t>
      </w:r>
    </w:p>
  </w:footnote>
  <w:footnote w:id="3">
    <w:p w:rsidR="00D47093" w:rsidRDefault="00D47093">
      <w:pPr>
        <w:pStyle w:val="FootnoteText"/>
      </w:pPr>
      <w:r>
        <w:rPr>
          <w:rStyle w:val="FootnoteReference"/>
        </w:rPr>
        <w:footnoteRef/>
      </w:r>
      <w:r>
        <w:t xml:space="preserve"> For example, the aggregate test would not prohibit a landlord from billing its tenants for electricity “on a per capita basis without regard to their individual levels of use.”  Initial Order at 12, ¶ 28.  Yet, per capita billing would suffer from some of the same infirmities the Initial Order used to critique Staff’s position on “rent inclusion,” e.g., the tenants would not necessarily know how much electricity they used, or how much it cost, low use customers would effectively subsidize high use customers, and tenants would have no (or at least a reduced) incentive to conserve.  </w:t>
      </w:r>
      <w:r>
        <w:rPr>
          <w:i/>
        </w:rPr>
        <w:t xml:space="preserve">See </w:t>
      </w:r>
      <w:r>
        <w:t xml:space="preserve">Initial Order at 13, ¶ 29.    </w:t>
      </w:r>
    </w:p>
  </w:footnote>
  <w:footnote w:id="4">
    <w:p w:rsidR="00D47093" w:rsidRDefault="00D47093">
      <w:pPr>
        <w:pStyle w:val="FootnoteText"/>
      </w:pPr>
      <w:r>
        <w:rPr>
          <w:rStyle w:val="FootnoteReference"/>
        </w:rPr>
        <w:footnoteRef/>
      </w:r>
      <w:r>
        <w:t xml:space="preserve"> Staff is aware of no Commission statute that directly addresses the resale issue.</w:t>
      </w:r>
    </w:p>
  </w:footnote>
  <w:footnote w:id="5">
    <w:p w:rsidR="00D47093" w:rsidRDefault="00D47093">
      <w:pPr>
        <w:pStyle w:val="FootnoteText"/>
      </w:pPr>
      <w:r>
        <w:rPr>
          <w:rStyle w:val="FootnoteReference"/>
        </w:rPr>
        <w:footnoteRef/>
      </w:r>
      <w:r>
        <w:t xml:space="preserve"> Staff plans to raise the resale definition issue for Commission consideration in a future rulemaking.</w:t>
      </w:r>
    </w:p>
  </w:footnote>
  <w:footnote w:id="6">
    <w:p w:rsidR="00D47093" w:rsidRDefault="00D47093">
      <w:pPr>
        <w:pStyle w:val="FootnoteText"/>
      </w:pPr>
      <w:r>
        <w:rPr>
          <w:rStyle w:val="FootnoteReference"/>
        </w:rPr>
        <w:footnoteRef/>
      </w:r>
      <w:r>
        <w:t xml:space="preserve"> The Commission’s final order in this docket may inspire future tariff amendments to clarify resale prohibitions.</w:t>
      </w:r>
    </w:p>
  </w:footnote>
  <w:footnote w:id="7">
    <w:p w:rsidR="00D47093" w:rsidRPr="00D7019E" w:rsidRDefault="00D47093">
      <w:pPr>
        <w:pStyle w:val="FootnoteText"/>
      </w:pPr>
      <w:r>
        <w:rPr>
          <w:rStyle w:val="FootnoteReference"/>
        </w:rPr>
        <w:footnoteRef/>
      </w:r>
      <w:r>
        <w:t xml:space="preserve"> Staff concludes, as did the Initial Order, that Salmon Shores’ billing methodology did not result in electricity charges to tenants being greater, in the aggregate, than the amount PSE charged Salmon Shores.  </w:t>
      </w:r>
      <w:r>
        <w:rPr>
          <w:i/>
        </w:rPr>
        <w:t xml:space="preserve">See </w:t>
      </w:r>
      <w:r>
        <w:t>Commission Staff’s Response to Puget Sound Energy’s Motion for Summary Determination (May 24, 2010) at 4, ¶ 12-13 (analysis of Exhibit 1 shows Salmon Shores charged its tenants $2,060.84 in the aggregate ($1,440.78 + $620.06) which is less than what PSE charged Salmon Shores ($2,243.38)).</w:t>
      </w:r>
    </w:p>
  </w:footnote>
  <w:footnote w:id="8">
    <w:p w:rsidR="00D47093" w:rsidRDefault="00D47093" w:rsidP="002105E8">
      <w:pPr>
        <w:pStyle w:val="FootnoteText"/>
      </w:pPr>
      <w:r>
        <w:rPr>
          <w:rStyle w:val="FootnoteReference"/>
        </w:rPr>
        <w:footnoteRef/>
      </w:r>
      <w:r>
        <w:t xml:space="preserve"> As noted at the outset, Staff can agree with the Initial Order’s use of the “aggregate” test to determine when service is “resold.”  However, that is an issue of tariff interpretation, i.e., the Commission should interpret the term “resold” to mean “resold at a profit,” measured in the aggregate.  It is a separate legal question whether profit is a prerequisite for Commission regulatory jurisdiction over Salmon Shores.  </w:t>
      </w:r>
    </w:p>
  </w:footnote>
  <w:footnote w:id="9">
    <w:p w:rsidR="00D47093" w:rsidRPr="006804A7" w:rsidRDefault="00D47093" w:rsidP="00507DE7">
      <w:pPr>
        <w:pStyle w:val="FootnoteText"/>
      </w:pPr>
      <w:r>
        <w:rPr>
          <w:rStyle w:val="FootnoteReference"/>
        </w:rPr>
        <w:footnoteRef/>
      </w:r>
      <w:r>
        <w:t xml:space="preserve"> Initial Order at 9, ¶ 20.  The Initial Order reiterates this holding at 13, ¶ 30: </w:t>
      </w:r>
      <w:r>
        <w:rPr>
          <w:i/>
        </w:rPr>
        <w:t xml:space="preserve"> </w:t>
      </w:r>
      <w:r>
        <w:t>“the Commission determines that Salmon Shores has not, and is not, reselling electricity.  It therefore is merely a PSE customer and not a public service company subject to the Commission’s jurisdiction.”  The Initial Order a</w:t>
      </w:r>
      <w:r w:rsidR="00BF1565">
        <w:t>t 15, ¶ 37 (Finding of Fact No. </w:t>
      </w:r>
      <w:r>
        <w:t>3) implements this analysis: “[Salmon Shores] is not a ‘public service company’ or an ‘electrical company’ as those terms are defined in RCW 80.04.010 and as those terms are otherwise used in Title 80 RCW.”</w:t>
      </w:r>
    </w:p>
  </w:footnote>
  <w:footnote w:id="10">
    <w:p w:rsidR="00D47093" w:rsidRDefault="00D47093">
      <w:pPr>
        <w:pStyle w:val="FootnoteText"/>
      </w:pPr>
      <w:r>
        <w:rPr>
          <w:rStyle w:val="FootnoteReference"/>
        </w:rPr>
        <w:footnoteRef/>
      </w:r>
      <w:r>
        <w:t xml:space="preserve"> The Initial Order does not cite any specific statutory language to support the profit requirement.  At pages 8-9, Paragraph 20, the Initial Order refers to Commission regulation of “public service companies,” and to the definition of “electrical companies” in RCW 80.04.010, but neither of those terms explicitly contains a profit element. </w:t>
      </w:r>
    </w:p>
  </w:footnote>
  <w:footnote w:id="11">
    <w:p w:rsidR="00D47093" w:rsidRDefault="00D47093" w:rsidP="008733E3">
      <w:pPr>
        <w:pStyle w:val="FootnoteText"/>
      </w:pPr>
      <w:r>
        <w:rPr>
          <w:rStyle w:val="FootnoteReference"/>
        </w:rPr>
        <w:footnoteRef/>
      </w:r>
      <w:r>
        <w:t xml:space="preserve"> </w:t>
      </w:r>
      <w:r>
        <w:rPr>
          <w:i/>
        </w:rPr>
        <w:t xml:space="preserve">Inland Empire, </w:t>
      </w:r>
      <w:r>
        <w:t xml:space="preserve">199 Wash. at 534-35: “It is apparent that, upon a literal interpretation of the definitions [of electrical company], respondent would come within the scope of the regulatory provisions of the [statute]. … However, the question … is whether, despite these literal definitions, respondent </w:t>
      </w:r>
      <w:r w:rsidRPr="00F37926">
        <w:rPr>
          <w:i/>
        </w:rPr>
        <w:t>is</w:t>
      </w:r>
      <w:r>
        <w:t xml:space="preserve">, in fact and law, a </w:t>
      </w:r>
      <w:r w:rsidRPr="00F37926">
        <w:rPr>
          <w:i/>
        </w:rPr>
        <w:t>public service corporation</w:t>
      </w:r>
      <w:r>
        <w:t xml:space="preserve"> within the purview of the public service commission law.”  (Emphasis in original).  </w:t>
      </w:r>
      <w:r w:rsidRPr="002A3D74">
        <w:rPr>
          <w:i/>
        </w:rPr>
        <w:t>Nob Hill</w:t>
      </w:r>
      <w:r>
        <w:rPr>
          <w:i/>
        </w:rPr>
        <w:t xml:space="preserve">, </w:t>
      </w:r>
      <w:r>
        <w:t xml:space="preserve">107 Wn.2d at 364: “Under a literal application of the definitions set forth in RCW 80.04., Nob Hill would come within the scope of the regulatory provisions of RCW 80.04.”  In each case, the company at issue failed the “devotion of property to public use” test and was held not subject to Commission jurisdiction.  </w:t>
      </w:r>
    </w:p>
    <w:p w:rsidR="00D47093" w:rsidRPr="009D79B8" w:rsidRDefault="00D47093" w:rsidP="008733E3">
      <w:pPr>
        <w:pStyle w:val="FootnoteText"/>
      </w:pPr>
      <w:r>
        <w:tab/>
        <w:t>Staff addressed these cases in its Motion on Behalf of Commission Staff to Dismiss Complaint as to Salmon Shores RV Park (April 28, 2010) at 2-3, ¶¶ 3-5.</w:t>
      </w:r>
    </w:p>
  </w:footnote>
  <w:footnote w:id="12">
    <w:p w:rsidR="00D47093" w:rsidRPr="008530C3" w:rsidRDefault="00D47093" w:rsidP="00272275">
      <w:pPr>
        <w:pStyle w:val="FootnoteText"/>
        <w:rPr>
          <w:i/>
        </w:rPr>
      </w:pPr>
      <w:r>
        <w:rPr>
          <w:rStyle w:val="FootnoteReference"/>
        </w:rPr>
        <w:footnoteRef/>
      </w:r>
      <w:r>
        <w:t xml:space="preserve"> This “dedication of property to public use” test is applied by the large majority of courts who have addressed the issue.  </w:t>
      </w:r>
      <w:r>
        <w:rPr>
          <w:i/>
        </w:rPr>
        <w:t xml:space="preserve">See </w:t>
      </w:r>
      <w:r>
        <w:t xml:space="preserve">Phillip E. Hassman, Annotation, </w:t>
      </w:r>
      <w:r>
        <w:rPr>
          <w:i/>
        </w:rPr>
        <w:t>Landlord Supplying Electricity, Gas, Water, or Similar Facility to Tenant as Subject to Utility Regulation</w:t>
      </w:r>
      <w:r>
        <w:t>, 73 A.L.R. 3d 1204</w:t>
      </w:r>
      <w:r>
        <w:rPr>
          <w:i/>
        </w:rPr>
        <w:t xml:space="preserve"> </w:t>
      </w:r>
      <w:r>
        <w:t>(1977 &amp; Supp. 2010).</w:t>
      </w:r>
    </w:p>
  </w:footnote>
  <w:footnote w:id="13">
    <w:p w:rsidR="00D47093" w:rsidRPr="00E42BCB" w:rsidRDefault="00D47093" w:rsidP="0083389B">
      <w:pPr>
        <w:pStyle w:val="ListParagraph"/>
        <w:ind w:left="0"/>
        <w:rPr>
          <w:sz w:val="20"/>
        </w:rPr>
      </w:pPr>
      <w:r>
        <w:rPr>
          <w:rStyle w:val="FootnoteReference"/>
        </w:rPr>
        <w:footnoteRef/>
      </w:r>
      <w:r w:rsidRPr="00E42BCB">
        <w:rPr>
          <w:sz w:val="20"/>
        </w:rPr>
        <w:t xml:space="preserve"> </w:t>
      </w:r>
      <w:r>
        <w:rPr>
          <w:sz w:val="20"/>
        </w:rPr>
        <w:t xml:space="preserve">The </w:t>
      </w:r>
      <w:r w:rsidRPr="00E42BCB">
        <w:rPr>
          <w:sz w:val="20"/>
        </w:rPr>
        <w:t xml:space="preserve">other case Staff analyzed </w:t>
      </w:r>
      <w:r>
        <w:rPr>
          <w:sz w:val="20"/>
        </w:rPr>
        <w:t xml:space="preserve">in its April 28, 2010, Motion to Dismiss </w:t>
      </w:r>
      <w:r w:rsidRPr="00E42BCB">
        <w:rPr>
          <w:sz w:val="20"/>
        </w:rPr>
        <w:t xml:space="preserve">was a court decision virtually on all fours to the present case:  </w:t>
      </w:r>
      <w:r w:rsidRPr="00E42BCB">
        <w:rPr>
          <w:i/>
          <w:sz w:val="20"/>
        </w:rPr>
        <w:t>Drexelbrook Associates v. Pennsylvania Public Utility Commission</w:t>
      </w:r>
      <w:r w:rsidRPr="00E42BCB">
        <w:rPr>
          <w:sz w:val="20"/>
        </w:rPr>
        <w:t>, 212 A.2d 237 (Penn. 1965).  In that case, the Pennsylvania court ruled a landlord would not become subject to the Pennsylvania commission’s regulation if it purchased utility facilities from a regulated utility, with the intent of becoming a wholesale customer of the utility and then reselling utility services to tenants.  The court reasoned that the landlord would not meet the “service to the public” element of Pennsylvania’s statutory definition of a regulated utility, and thus would not be subject to regulation by the Pennsylvania commission</w:t>
      </w:r>
      <w:r>
        <w:rPr>
          <w:sz w:val="20"/>
        </w:rPr>
        <w:t>:</w:t>
      </w:r>
      <w:r w:rsidRPr="00E42BCB">
        <w:rPr>
          <w:sz w:val="20"/>
        </w:rPr>
        <w:t xml:space="preserve"> “those to be served consist only of a special class of persons – those to be selected as tenants – and not a class open to the indefinite public.  Such persons clearly constitute a defined, privileged, and limited group and the proposed service to them would be private in nature.”</w:t>
      </w:r>
      <w:r>
        <w:rPr>
          <w:sz w:val="20"/>
        </w:rPr>
        <w:t xml:space="preserve">  212 A.2d at 240.</w:t>
      </w:r>
    </w:p>
  </w:footnote>
  <w:footnote w:id="14">
    <w:p w:rsidR="00D47093" w:rsidRDefault="00D47093">
      <w:pPr>
        <w:pStyle w:val="FootnoteText"/>
      </w:pPr>
      <w:r>
        <w:rPr>
          <w:rStyle w:val="FootnoteReference"/>
        </w:rPr>
        <w:footnoteRef/>
      </w:r>
      <w:r>
        <w:t xml:space="preserve"> 107 Wn.2d at 367.</w:t>
      </w:r>
    </w:p>
  </w:footnote>
  <w:footnote w:id="15">
    <w:p w:rsidR="00D47093" w:rsidRDefault="00D47093">
      <w:pPr>
        <w:pStyle w:val="FootnoteText"/>
      </w:pPr>
      <w:r>
        <w:rPr>
          <w:rStyle w:val="FootnoteReference"/>
        </w:rPr>
        <w:footnoteRef/>
      </w:r>
      <w:r>
        <w:t xml:space="preserve"> 107 Wn.2d at 368.</w:t>
      </w:r>
    </w:p>
  </w:footnote>
  <w:footnote w:id="16">
    <w:p w:rsidR="00D47093" w:rsidRDefault="00D47093" w:rsidP="00DE3578">
      <w:pPr>
        <w:pStyle w:val="ListParagraph"/>
        <w:ind w:left="0"/>
      </w:pPr>
      <w:r w:rsidRPr="00072AFF">
        <w:rPr>
          <w:rStyle w:val="FootnoteReference"/>
          <w:sz w:val="20"/>
        </w:rPr>
        <w:footnoteRef/>
      </w:r>
      <w:r w:rsidRPr="00072AFF">
        <w:rPr>
          <w:sz w:val="20"/>
        </w:rPr>
        <w:t xml:space="preserve"> Initial Order at 13, ¶ 29.  In footnote 29, the Initial Order provides an example of a landlord raising rent by the average charge it made to tenant’s for electricity, and concludes this cannot be reconciled by “Staff’s approach of translating the extra rent charge into a per-kWh rate for electricity …”</w:t>
      </w:r>
      <w:r>
        <w:rPr>
          <w:sz w:val="20"/>
        </w:rPr>
        <w:t xml:space="preserve">  F</w:t>
      </w:r>
      <w:r w:rsidRPr="00072AFF">
        <w:rPr>
          <w:sz w:val="20"/>
        </w:rPr>
        <w:t xml:space="preserve">ootnote 29 of the Initial Order is technically correct:  the example in that footnote cannot be reconciled with the approach Staff advanced in its prior pleading, even though Staff did not characterize </w:t>
      </w:r>
      <w:r>
        <w:rPr>
          <w:sz w:val="20"/>
        </w:rPr>
        <w:t xml:space="preserve">(and does not consider) </w:t>
      </w:r>
      <w:r w:rsidRPr="00072AFF">
        <w:rPr>
          <w:sz w:val="20"/>
        </w:rPr>
        <w:t xml:space="preserve">the Energy Availability Charge (EAC) as an “extra rent charge.”  </w:t>
      </w:r>
      <w:r>
        <w:rPr>
          <w:sz w:val="20"/>
        </w:rPr>
        <w:t>However, a</w:t>
      </w:r>
      <w:r w:rsidRPr="00072AFF">
        <w:rPr>
          <w:sz w:val="20"/>
        </w:rPr>
        <w:t xml:space="preserve">s we noted at the outset of this pleading, Staff </w:t>
      </w:r>
      <w:r>
        <w:rPr>
          <w:sz w:val="20"/>
        </w:rPr>
        <w:t xml:space="preserve">has abandoned the prior test and </w:t>
      </w:r>
      <w:r w:rsidRPr="00072AFF">
        <w:rPr>
          <w:sz w:val="20"/>
        </w:rPr>
        <w:t>is now amenable to the “aggregate” test adopted and applied by the Initial Order.</w:t>
      </w:r>
    </w:p>
  </w:footnote>
  <w:footnote w:id="17">
    <w:p w:rsidR="00D47093" w:rsidRDefault="00D47093">
      <w:pPr>
        <w:pStyle w:val="FootnoteText"/>
      </w:pPr>
      <w:r>
        <w:rPr>
          <w:rStyle w:val="FootnoteReference"/>
        </w:rPr>
        <w:footnoteRef/>
      </w:r>
      <w:r>
        <w:t xml:space="preserve"> The Commission could reject the Initial Order’s analysis regarding rent inclusion for the additional reason that it would be highly impractical, if not impossible to implement.  Consider the situation in which a PSE customer included all services (including utilities) in its rent or other charges for the product or service it sells to its own customers.  One of that PSE customer’s own customers complains, alleging the PSE customer is reselling electricity for profit.  It would be virtually impossible for PSE or the Commission to discern whether the overall charge for the product or service includes a “profit” on the sale of electricity.  First, PSE or the Commission would have to conduct an extensive audit of the PSE customer’s revenues and costs.  Second, if the PSE customer made a profit overall, we would then have to figure out whether any of that profit is attributable to electricity, or some other factor.  Staff doubts PSE and the Commission could ever successfully resolve that sort of complaint on its merits, absent a complex allocation analysis.  Thus, even if the Initial Order’s position on rent inclusion were reasonable in theory, it would be virtually impossible to implement.  Staff located no court or commission decision in which rent inclusion constituted unlawful resale of electricity.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6792"/>
    <w:multiLevelType w:val="hybridMultilevel"/>
    <w:tmpl w:val="2ED40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317049"/>
    <w:multiLevelType w:val="hybridMultilevel"/>
    <w:tmpl w:val="2EFE53A6"/>
    <w:lvl w:ilvl="0" w:tplc="16EE2E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940C1D"/>
    <w:multiLevelType w:val="hybridMultilevel"/>
    <w:tmpl w:val="C4B4BD08"/>
    <w:lvl w:ilvl="0" w:tplc="D054B5F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42BD6"/>
    <w:multiLevelType w:val="hybridMultilevel"/>
    <w:tmpl w:val="B2340614"/>
    <w:lvl w:ilvl="0" w:tplc="D054B5F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3D12A1"/>
    <w:multiLevelType w:val="hybridMultilevel"/>
    <w:tmpl w:val="F99A280E"/>
    <w:lvl w:ilvl="0" w:tplc="436C16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516246"/>
    <w:multiLevelType w:val="hybridMultilevel"/>
    <w:tmpl w:val="D754318A"/>
    <w:lvl w:ilvl="0" w:tplc="A2D688BA">
      <w:start w:val="1"/>
      <w:numFmt w:val="decimal"/>
      <w:lvlText w:val="%1"/>
      <w:lvlJc w:val="left"/>
      <w:pPr>
        <w:ind w:left="360" w:hanging="360"/>
      </w:pPr>
      <w:rPr>
        <w:rFonts w:ascii="Times New Roman" w:hAnsi="Times New Roman"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AE641C0"/>
    <w:multiLevelType w:val="hybridMultilevel"/>
    <w:tmpl w:val="A69298F2"/>
    <w:lvl w:ilvl="0" w:tplc="D054B5F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characterSpacingControl w:val="doNotCompress"/>
  <w:footnotePr>
    <w:footnote w:id="-1"/>
    <w:footnote w:id="0"/>
  </w:footnotePr>
  <w:endnotePr>
    <w:endnote w:id="-1"/>
    <w:endnote w:id="0"/>
  </w:endnotePr>
  <w:compat/>
  <w:rsids>
    <w:rsidRoot w:val="00182435"/>
    <w:rsid w:val="000210E2"/>
    <w:rsid w:val="00022446"/>
    <w:rsid w:val="00072AFF"/>
    <w:rsid w:val="000A1D19"/>
    <w:rsid w:val="000C32E7"/>
    <w:rsid w:val="000F4CF2"/>
    <w:rsid w:val="00133268"/>
    <w:rsid w:val="0014014E"/>
    <w:rsid w:val="00143DE4"/>
    <w:rsid w:val="00146969"/>
    <w:rsid w:val="00182435"/>
    <w:rsid w:val="00193871"/>
    <w:rsid w:val="001E127F"/>
    <w:rsid w:val="002105E8"/>
    <w:rsid w:val="00247822"/>
    <w:rsid w:val="00266010"/>
    <w:rsid w:val="00272275"/>
    <w:rsid w:val="002F5E99"/>
    <w:rsid w:val="00301A5C"/>
    <w:rsid w:val="00312BAD"/>
    <w:rsid w:val="00334D80"/>
    <w:rsid w:val="003563D3"/>
    <w:rsid w:val="003832A6"/>
    <w:rsid w:val="00387A0F"/>
    <w:rsid w:val="003B57A3"/>
    <w:rsid w:val="0041389F"/>
    <w:rsid w:val="004816AB"/>
    <w:rsid w:val="004951CE"/>
    <w:rsid w:val="00507DE7"/>
    <w:rsid w:val="00587946"/>
    <w:rsid w:val="0059489D"/>
    <w:rsid w:val="005C2B38"/>
    <w:rsid w:val="005D1398"/>
    <w:rsid w:val="00616BC1"/>
    <w:rsid w:val="00625F7A"/>
    <w:rsid w:val="00643706"/>
    <w:rsid w:val="00667E3D"/>
    <w:rsid w:val="006804A7"/>
    <w:rsid w:val="006C0A6F"/>
    <w:rsid w:val="006E0E3E"/>
    <w:rsid w:val="00703CD8"/>
    <w:rsid w:val="00721A0D"/>
    <w:rsid w:val="007354E6"/>
    <w:rsid w:val="007714ED"/>
    <w:rsid w:val="00777F38"/>
    <w:rsid w:val="007B3EEF"/>
    <w:rsid w:val="007B6C37"/>
    <w:rsid w:val="007D28BA"/>
    <w:rsid w:val="007D3145"/>
    <w:rsid w:val="007F57D0"/>
    <w:rsid w:val="00803896"/>
    <w:rsid w:val="00821E5D"/>
    <w:rsid w:val="0083389B"/>
    <w:rsid w:val="008528E0"/>
    <w:rsid w:val="008530C3"/>
    <w:rsid w:val="00870160"/>
    <w:rsid w:val="008733E3"/>
    <w:rsid w:val="008746FF"/>
    <w:rsid w:val="008D6242"/>
    <w:rsid w:val="009852D6"/>
    <w:rsid w:val="009869F4"/>
    <w:rsid w:val="00A11EBB"/>
    <w:rsid w:val="00A812F1"/>
    <w:rsid w:val="00AA6E6F"/>
    <w:rsid w:val="00B337F9"/>
    <w:rsid w:val="00B44994"/>
    <w:rsid w:val="00B91734"/>
    <w:rsid w:val="00BF1565"/>
    <w:rsid w:val="00C36CB2"/>
    <w:rsid w:val="00C519A5"/>
    <w:rsid w:val="00CA0599"/>
    <w:rsid w:val="00CB1F51"/>
    <w:rsid w:val="00CB4DE8"/>
    <w:rsid w:val="00D12FFE"/>
    <w:rsid w:val="00D4015B"/>
    <w:rsid w:val="00D47093"/>
    <w:rsid w:val="00D66052"/>
    <w:rsid w:val="00D7019E"/>
    <w:rsid w:val="00D969F3"/>
    <w:rsid w:val="00DD7E33"/>
    <w:rsid w:val="00DE3578"/>
    <w:rsid w:val="00DF273B"/>
    <w:rsid w:val="00E00512"/>
    <w:rsid w:val="00E12AA6"/>
    <w:rsid w:val="00E42BCB"/>
    <w:rsid w:val="00E50AA5"/>
    <w:rsid w:val="00E56EA3"/>
    <w:rsid w:val="00E6333E"/>
    <w:rsid w:val="00E75F00"/>
    <w:rsid w:val="00E87F9C"/>
    <w:rsid w:val="00EC1628"/>
    <w:rsid w:val="00ED7F60"/>
    <w:rsid w:val="00F0020C"/>
    <w:rsid w:val="00F150CF"/>
    <w:rsid w:val="00F42C34"/>
    <w:rsid w:val="00FA6E01"/>
    <w:rsid w:val="00FF3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435"/>
    <w:rPr>
      <w:rFonts w:eastAsia="Calibri"/>
      <w:szCs w:val="22"/>
    </w:rPr>
  </w:style>
  <w:style w:type="paragraph" w:styleId="FootnoteText">
    <w:name w:val="footnote text"/>
    <w:basedOn w:val="Normal"/>
    <w:link w:val="FootnoteTextChar"/>
    <w:uiPriority w:val="99"/>
    <w:semiHidden/>
    <w:unhideWhenUsed/>
    <w:rsid w:val="00301A5C"/>
    <w:rPr>
      <w:sz w:val="20"/>
    </w:rPr>
  </w:style>
  <w:style w:type="character" w:customStyle="1" w:styleId="FootnoteTextChar">
    <w:name w:val="Footnote Text Char"/>
    <w:basedOn w:val="DefaultParagraphFont"/>
    <w:link w:val="FootnoteText"/>
    <w:uiPriority w:val="99"/>
    <w:semiHidden/>
    <w:rsid w:val="00301A5C"/>
    <w:rPr>
      <w:sz w:val="20"/>
    </w:rPr>
  </w:style>
  <w:style w:type="character" w:styleId="FootnoteReference">
    <w:name w:val="footnote reference"/>
    <w:basedOn w:val="DefaultParagraphFont"/>
    <w:uiPriority w:val="99"/>
    <w:semiHidden/>
    <w:unhideWhenUsed/>
    <w:rsid w:val="00301A5C"/>
    <w:rPr>
      <w:vertAlign w:val="superscript"/>
    </w:rPr>
  </w:style>
  <w:style w:type="paragraph" w:styleId="Title">
    <w:name w:val="Title"/>
    <w:basedOn w:val="Normal"/>
    <w:link w:val="TitleChar"/>
    <w:qFormat/>
    <w:rsid w:val="001E127F"/>
    <w:pPr>
      <w:jc w:val="center"/>
    </w:pPr>
    <w:rPr>
      <w:rFonts w:ascii="Palatino Linotype" w:eastAsia="Times New Roman" w:hAnsi="Palatino Linotype"/>
      <w:b/>
      <w:bCs/>
      <w:szCs w:val="24"/>
    </w:rPr>
  </w:style>
  <w:style w:type="character" w:customStyle="1" w:styleId="TitleChar">
    <w:name w:val="Title Char"/>
    <w:basedOn w:val="DefaultParagraphFont"/>
    <w:link w:val="Title"/>
    <w:rsid w:val="001E127F"/>
    <w:rPr>
      <w:rFonts w:ascii="Palatino Linotype" w:eastAsia="Times New Roman" w:hAnsi="Palatino Linotype"/>
      <w:b/>
      <w:bCs/>
      <w:szCs w:val="24"/>
    </w:rPr>
  </w:style>
  <w:style w:type="paragraph" w:styleId="BodyTextIndent2">
    <w:name w:val="Body Text Indent 2"/>
    <w:basedOn w:val="Normal"/>
    <w:link w:val="BodyTextIndent2Char"/>
    <w:rsid w:val="001E127F"/>
    <w:pPr>
      <w:ind w:left="686"/>
    </w:pPr>
    <w:rPr>
      <w:rFonts w:ascii="Palatino Linotype" w:eastAsia="Times New Roman" w:hAnsi="Palatino Linotype"/>
      <w:szCs w:val="24"/>
    </w:rPr>
  </w:style>
  <w:style w:type="character" w:customStyle="1" w:styleId="BodyTextIndent2Char">
    <w:name w:val="Body Text Indent 2 Char"/>
    <w:basedOn w:val="DefaultParagraphFont"/>
    <w:link w:val="BodyTextIndent2"/>
    <w:rsid w:val="001E127F"/>
    <w:rPr>
      <w:rFonts w:ascii="Palatino Linotype" w:eastAsia="Times New Roman" w:hAnsi="Palatino Linotype"/>
      <w:szCs w:val="24"/>
    </w:rPr>
  </w:style>
  <w:style w:type="paragraph" w:styleId="ListParagraph">
    <w:name w:val="List Paragraph"/>
    <w:basedOn w:val="Normal"/>
    <w:uiPriority w:val="34"/>
    <w:qFormat/>
    <w:rsid w:val="00B91734"/>
    <w:pPr>
      <w:ind w:left="720"/>
      <w:contextualSpacing/>
    </w:pPr>
  </w:style>
  <w:style w:type="paragraph" w:styleId="BalloonText">
    <w:name w:val="Balloon Text"/>
    <w:basedOn w:val="Normal"/>
    <w:link w:val="BalloonTextChar"/>
    <w:uiPriority w:val="99"/>
    <w:semiHidden/>
    <w:unhideWhenUsed/>
    <w:rsid w:val="00AA6E6F"/>
    <w:rPr>
      <w:rFonts w:ascii="Tahoma" w:hAnsi="Tahoma" w:cs="Tahoma"/>
      <w:sz w:val="16"/>
      <w:szCs w:val="16"/>
    </w:rPr>
  </w:style>
  <w:style w:type="character" w:customStyle="1" w:styleId="BalloonTextChar">
    <w:name w:val="Balloon Text Char"/>
    <w:basedOn w:val="DefaultParagraphFont"/>
    <w:link w:val="BalloonText"/>
    <w:uiPriority w:val="99"/>
    <w:semiHidden/>
    <w:rsid w:val="00AA6E6F"/>
    <w:rPr>
      <w:rFonts w:ascii="Tahoma" w:hAnsi="Tahoma" w:cs="Tahoma"/>
      <w:sz w:val="16"/>
      <w:szCs w:val="16"/>
    </w:rPr>
  </w:style>
  <w:style w:type="paragraph" w:styleId="Header">
    <w:name w:val="header"/>
    <w:basedOn w:val="Normal"/>
    <w:link w:val="HeaderChar"/>
    <w:uiPriority w:val="99"/>
    <w:semiHidden/>
    <w:unhideWhenUsed/>
    <w:rsid w:val="00F0020C"/>
    <w:pPr>
      <w:tabs>
        <w:tab w:val="center" w:pos="4680"/>
        <w:tab w:val="right" w:pos="9360"/>
      </w:tabs>
    </w:pPr>
  </w:style>
  <w:style w:type="character" w:customStyle="1" w:styleId="HeaderChar">
    <w:name w:val="Header Char"/>
    <w:basedOn w:val="DefaultParagraphFont"/>
    <w:link w:val="Header"/>
    <w:uiPriority w:val="99"/>
    <w:semiHidden/>
    <w:rsid w:val="00F0020C"/>
  </w:style>
  <w:style w:type="paragraph" w:styleId="Footer">
    <w:name w:val="footer"/>
    <w:basedOn w:val="Normal"/>
    <w:link w:val="FooterChar"/>
    <w:uiPriority w:val="99"/>
    <w:semiHidden/>
    <w:unhideWhenUsed/>
    <w:rsid w:val="00F0020C"/>
    <w:pPr>
      <w:tabs>
        <w:tab w:val="center" w:pos="4680"/>
        <w:tab w:val="right" w:pos="9360"/>
      </w:tabs>
    </w:pPr>
  </w:style>
  <w:style w:type="character" w:customStyle="1" w:styleId="FooterChar">
    <w:name w:val="Footer Char"/>
    <w:basedOn w:val="DefaultParagraphFont"/>
    <w:link w:val="Footer"/>
    <w:uiPriority w:val="99"/>
    <w:semiHidden/>
    <w:rsid w:val="00F002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2009-09-14T07:00:00+00:00</OpenedDate>
    <Date1 xmlns="dc463f71-b30c-4ab2-9473-d307f9d35888">2010-06-10T07:00:00+00:00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091531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F9F4016E74264D89E301FE540D18D2" ma:contentTypeVersion="131" ma:contentTypeDescription="" ma:contentTypeScope="" ma:versionID="0e3a4e1ebd4e509945a4e2ccff184a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63266A5-862D-4194-BA47-A953C69E00AE}"/>
</file>

<file path=customXml/itemProps2.xml><?xml version="1.0" encoding="utf-8"?>
<ds:datastoreItem xmlns:ds="http://schemas.openxmlformats.org/officeDocument/2006/customXml" ds:itemID="{5AF1F783-0B90-4238-BC8E-6B0761E008DA}"/>
</file>

<file path=customXml/itemProps3.xml><?xml version="1.0" encoding="utf-8"?>
<ds:datastoreItem xmlns:ds="http://schemas.openxmlformats.org/officeDocument/2006/customXml" ds:itemID="{D0B779F4-1D8A-4223-A358-053B5A873607}"/>
</file>

<file path=customXml/itemProps4.xml><?xml version="1.0" encoding="utf-8"?>
<ds:datastoreItem xmlns:ds="http://schemas.openxmlformats.org/officeDocument/2006/customXml" ds:itemID="{3AF0695E-DEFF-45DC-A8A9-8898F4E2629E}"/>
</file>

<file path=customXml/itemProps5.xml><?xml version="1.0" encoding="utf-8"?>
<ds:datastoreItem xmlns:ds="http://schemas.openxmlformats.org/officeDocument/2006/customXml" ds:itemID="{BD14ED65-9A84-4673-8D96-8AC1C84C699D}"/>
</file>

<file path=docProps/app.xml><?xml version="1.0" encoding="utf-8"?>
<Properties xmlns="http://schemas.openxmlformats.org/officeDocument/2006/extended-properties" xmlns:vt="http://schemas.openxmlformats.org/officeDocument/2006/docPropsVTypes">
  <Template>Normal.dotm</Template>
  <TotalTime>17</TotalTime>
  <Pages>8</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Trotter</dc:creator>
  <cp:keywords/>
  <dc:description/>
  <cp:lastModifiedBy>Krista Gross</cp:lastModifiedBy>
  <cp:revision>4</cp:revision>
  <cp:lastPrinted>2010-06-09T23:06:00Z</cp:lastPrinted>
  <dcterms:created xsi:type="dcterms:W3CDTF">2010-06-09T22:37:00Z</dcterms:created>
  <dcterms:modified xsi:type="dcterms:W3CDTF">2010-06-09T23:06:00Z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0x0101006E56B4D1795A2E4DB2F0B01679ED314A00FEF9F4016E74264D89E301FE540D18D2</vt:lpwstr>
  </property>
  <property fmtid="{D5CDD505-2E9C-101B-9397-08002B2CF9AE}" pid="3" name="_docset_NoMedatataSyncRequired">
    <vt:lpwstr>False</vt:lpwstr>
  </property>
</Properties>
</file>