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F5" w:rsidRDefault="004033F5" w:rsidP="00307C21">
      <w:pPr>
        <w:rPr>
          <w:b/>
          <w:szCs w:val="24"/>
          <w:highlight w:val="yellow"/>
        </w:rPr>
      </w:pPr>
    </w:p>
    <w:p w:rsidR="00307C21" w:rsidRDefault="00307C21" w:rsidP="00307C21">
      <w:pPr>
        <w:ind w:hanging="180"/>
        <w:jc w:val="center"/>
        <w:rPr>
          <w:b/>
          <w:szCs w:val="24"/>
        </w:rPr>
      </w:pPr>
      <w:r w:rsidRPr="009A65A6">
        <w:rPr>
          <w:b/>
          <w:szCs w:val="24"/>
        </w:rPr>
        <w:t>BEFORE THE</w:t>
      </w:r>
    </w:p>
    <w:p w:rsidR="00307C21" w:rsidRDefault="00307C21" w:rsidP="00307C21">
      <w:pPr>
        <w:ind w:hanging="180"/>
        <w:jc w:val="center"/>
        <w:rPr>
          <w:b/>
          <w:szCs w:val="24"/>
        </w:rPr>
      </w:pPr>
    </w:p>
    <w:p w:rsidR="00307C21" w:rsidRPr="009A65A6" w:rsidRDefault="00307C21" w:rsidP="00307C21">
      <w:pPr>
        <w:ind w:hanging="180"/>
        <w:jc w:val="center"/>
        <w:rPr>
          <w:b/>
          <w:szCs w:val="24"/>
        </w:rPr>
      </w:pPr>
      <w:r w:rsidRPr="009A65A6">
        <w:rPr>
          <w:b/>
          <w:szCs w:val="24"/>
        </w:rPr>
        <w:t>WASHINGTON UTILITIES AND TRANSPORTATION COMMISSION</w:t>
      </w:r>
    </w:p>
    <w:p w:rsidR="00307C21" w:rsidRPr="009A65A6" w:rsidRDefault="00307C21" w:rsidP="00307C21">
      <w:pPr>
        <w:jc w:val="center"/>
        <w:rPr>
          <w:szCs w:val="24"/>
        </w:rPr>
      </w:pPr>
      <w:r w:rsidRPr="009A65A6">
        <w:rPr>
          <w:szCs w:val="24"/>
        </w:rPr>
        <w:t xml:space="preserve">  </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360"/>
        <w:gridCol w:w="4608"/>
      </w:tblGrid>
      <w:tr w:rsidR="00307C21" w:rsidRPr="009A65A6" w:rsidTr="00EF437D">
        <w:tc>
          <w:tcPr>
            <w:tcW w:w="4950" w:type="dxa"/>
            <w:tcBorders>
              <w:top w:val="nil"/>
              <w:left w:val="nil"/>
              <w:bottom w:val="single" w:sz="4" w:space="0" w:color="auto"/>
              <w:right w:val="nil"/>
            </w:tcBorders>
          </w:tcPr>
          <w:p w:rsidR="00307C21" w:rsidRPr="002B2D17" w:rsidRDefault="00307C21" w:rsidP="00EF437D">
            <w:pPr>
              <w:tabs>
                <w:tab w:val="left" w:pos="2160"/>
              </w:tabs>
              <w:rPr>
                <w:szCs w:val="24"/>
              </w:rPr>
            </w:pPr>
            <w:r w:rsidRPr="002B2D17">
              <w:rPr>
                <w:szCs w:val="24"/>
              </w:rPr>
              <w:t>WASHINGTON UTILITIES AND TRANSPORTATION COMMISSION,</w:t>
            </w:r>
          </w:p>
          <w:p w:rsidR="00307C21" w:rsidRPr="002B2D17" w:rsidRDefault="00307C21" w:rsidP="00EF437D">
            <w:pPr>
              <w:tabs>
                <w:tab w:val="left" w:pos="2160"/>
              </w:tabs>
              <w:rPr>
                <w:szCs w:val="24"/>
              </w:rPr>
            </w:pPr>
          </w:p>
          <w:p w:rsidR="00307C21" w:rsidRPr="002B2D17" w:rsidRDefault="00307C21" w:rsidP="00EF437D">
            <w:pPr>
              <w:tabs>
                <w:tab w:val="left" w:pos="2160"/>
              </w:tabs>
              <w:rPr>
                <w:szCs w:val="24"/>
              </w:rPr>
            </w:pPr>
            <w:r w:rsidRPr="002B2D17">
              <w:rPr>
                <w:szCs w:val="24"/>
              </w:rPr>
              <w:tab/>
              <w:t>Complainant,</w:t>
            </w:r>
          </w:p>
          <w:p w:rsidR="00307C21" w:rsidRPr="002B2D17" w:rsidRDefault="00307C21" w:rsidP="00EF437D">
            <w:pPr>
              <w:tabs>
                <w:tab w:val="left" w:pos="2160"/>
              </w:tabs>
              <w:rPr>
                <w:szCs w:val="24"/>
              </w:rPr>
            </w:pPr>
          </w:p>
          <w:p w:rsidR="00307C21" w:rsidRPr="002B2D17" w:rsidRDefault="00307C21" w:rsidP="00EF437D">
            <w:pPr>
              <w:tabs>
                <w:tab w:val="left" w:pos="2168"/>
              </w:tabs>
              <w:rPr>
                <w:szCs w:val="24"/>
              </w:rPr>
            </w:pPr>
            <w:r w:rsidRPr="002B2D17">
              <w:rPr>
                <w:szCs w:val="24"/>
              </w:rPr>
              <w:t>v.</w:t>
            </w:r>
          </w:p>
          <w:p w:rsidR="00307C21" w:rsidRPr="002B2D17" w:rsidRDefault="00307C21" w:rsidP="00EF437D">
            <w:pPr>
              <w:tabs>
                <w:tab w:val="left" w:pos="2168"/>
              </w:tabs>
              <w:rPr>
                <w:szCs w:val="24"/>
              </w:rPr>
            </w:pPr>
          </w:p>
          <w:p w:rsidR="00307C21" w:rsidRPr="002B2D17" w:rsidRDefault="00307C21" w:rsidP="00EF437D">
            <w:pPr>
              <w:tabs>
                <w:tab w:val="left" w:pos="2160"/>
              </w:tabs>
              <w:rPr>
                <w:szCs w:val="24"/>
              </w:rPr>
            </w:pPr>
            <w:r w:rsidRPr="002B2D17">
              <w:rPr>
                <w:szCs w:val="24"/>
              </w:rPr>
              <w:t xml:space="preserve">PACIFICORP D/B/A PACIFIC POWER &amp; LIGHT COMPANY, </w:t>
            </w:r>
          </w:p>
          <w:p w:rsidR="00307C21" w:rsidRPr="002B2D17" w:rsidRDefault="00307C21" w:rsidP="00EF437D">
            <w:pPr>
              <w:tabs>
                <w:tab w:val="left" w:pos="2160"/>
              </w:tabs>
              <w:rPr>
                <w:szCs w:val="24"/>
              </w:rPr>
            </w:pPr>
          </w:p>
          <w:p w:rsidR="00307C21" w:rsidRPr="002B2D17" w:rsidRDefault="00307C21" w:rsidP="00EF437D">
            <w:pPr>
              <w:rPr>
                <w:szCs w:val="24"/>
              </w:rPr>
            </w:pPr>
            <w:r w:rsidRPr="002B2D17">
              <w:rPr>
                <w:szCs w:val="24"/>
              </w:rPr>
              <w:tab/>
            </w:r>
            <w:r>
              <w:rPr>
                <w:szCs w:val="24"/>
              </w:rPr>
              <w:t xml:space="preserve">                        </w:t>
            </w:r>
            <w:r w:rsidRPr="002B2D17">
              <w:rPr>
                <w:szCs w:val="24"/>
              </w:rPr>
              <w:t>Respondent.</w:t>
            </w:r>
          </w:p>
          <w:p w:rsidR="00307C21" w:rsidRPr="002B2D17" w:rsidRDefault="00307C21" w:rsidP="00EF437D">
            <w:pPr>
              <w:rPr>
                <w:szCs w:val="24"/>
              </w:rPr>
            </w:pPr>
            <w:r w:rsidRPr="002B2D17">
              <w:rPr>
                <w:szCs w:val="24"/>
              </w:rPr>
              <w:t>___________________________________</w:t>
            </w:r>
            <w:r>
              <w:rPr>
                <w:szCs w:val="24"/>
              </w:rPr>
              <w:t>___</w:t>
            </w:r>
          </w:p>
          <w:p w:rsidR="00307C21" w:rsidRPr="002B2D17" w:rsidRDefault="00307C21" w:rsidP="00EF437D">
            <w:pPr>
              <w:rPr>
                <w:szCs w:val="24"/>
              </w:rPr>
            </w:pPr>
          </w:p>
          <w:p w:rsidR="00307C21" w:rsidRPr="002B2D17" w:rsidRDefault="00307C21" w:rsidP="00EF437D">
            <w:pPr>
              <w:rPr>
                <w:szCs w:val="24"/>
              </w:rPr>
            </w:pPr>
            <w:r w:rsidRPr="002B2D17">
              <w:rPr>
                <w:szCs w:val="24"/>
              </w:rPr>
              <w:t>In the Matter of the Petition of</w:t>
            </w:r>
          </w:p>
          <w:p w:rsidR="00307C21" w:rsidRPr="002B2D17" w:rsidRDefault="00307C21" w:rsidP="00EF437D">
            <w:pPr>
              <w:rPr>
                <w:szCs w:val="24"/>
              </w:rPr>
            </w:pPr>
          </w:p>
          <w:p w:rsidR="00307C21" w:rsidRPr="002B2D17" w:rsidRDefault="00307C21" w:rsidP="00EF437D">
            <w:pPr>
              <w:rPr>
                <w:szCs w:val="24"/>
              </w:rPr>
            </w:pPr>
            <w:r w:rsidRPr="002B2D17">
              <w:rPr>
                <w:szCs w:val="24"/>
              </w:rPr>
              <w:t>PACIFIC POWER &amp; LIGHT</w:t>
            </w:r>
          </w:p>
          <w:p w:rsidR="00307C21" w:rsidRPr="002B2D17" w:rsidRDefault="00307C21" w:rsidP="00EF437D">
            <w:pPr>
              <w:rPr>
                <w:szCs w:val="24"/>
              </w:rPr>
            </w:pPr>
            <w:r w:rsidRPr="002B2D17">
              <w:rPr>
                <w:szCs w:val="24"/>
              </w:rPr>
              <w:t>COMPANY,</w:t>
            </w:r>
          </w:p>
          <w:p w:rsidR="00307C21" w:rsidRPr="002B2D17" w:rsidRDefault="00307C21" w:rsidP="00EF437D">
            <w:pPr>
              <w:rPr>
                <w:szCs w:val="24"/>
              </w:rPr>
            </w:pPr>
          </w:p>
          <w:p w:rsidR="00307C21" w:rsidRPr="002B2D17" w:rsidRDefault="00307C21" w:rsidP="00EF437D">
            <w:pPr>
              <w:rPr>
                <w:szCs w:val="24"/>
              </w:rPr>
            </w:pPr>
            <w:r w:rsidRPr="002B2D17">
              <w:rPr>
                <w:szCs w:val="24"/>
              </w:rPr>
              <w:t>For an Order Approving Deferral of</w:t>
            </w:r>
          </w:p>
          <w:p w:rsidR="00307C21" w:rsidRPr="002B2D17" w:rsidRDefault="00307C21" w:rsidP="00EF437D">
            <w:pPr>
              <w:rPr>
                <w:szCs w:val="24"/>
              </w:rPr>
            </w:pPr>
            <w:r w:rsidRPr="002B2D17">
              <w:rPr>
                <w:szCs w:val="24"/>
              </w:rPr>
              <w:t>Costs Related to Colstrip Outage</w:t>
            </w:r>
          </w:p>
          <w:p w:rsidR="00307C21" w:rsidRPr="002B2D17" w:rsidRDefault="00307C21" w:rsidP="00EF437D">
            <w:pPr>
              <w:rPr>
                <w:szCs w:val="24"/>
              </w:rPr>
            </w:pPr>
            <w:r w:rsidRPr="002B2D17">
              <w:rPr>
                <w:szCs w:val="24"/>
              </w:rPr>
              <w:t>___________________________________</w:t>
            </w:r>
            <w:r>
              <w:rPr>
                <w:szCs w:val="24"/>
              </w:rPr>
              <w:t>___</w:t>
            </w:r>
          </w:p>
          <w:p w:rsidR="00307C21" w:rsidRPr="002B2D17" w:rsidRDefault="00307C21" w:rsidP="00EF437D">
            <w:pPr>
              <w:rPr>
                <w:szCs w:val="24"/>
              </w:rPr>
            </w:pPr>
          </w:p>
          <w:p w:rsidR="00307C21" w:rsidRPr="002B2D17" w:rsidRDefault="00307C21" w:rsidP="00EF437D">
            <w:pPr>
              <w:rPr>
                <w:szCs w:val="24"/>
              </w:rPr>
            </w:pPr>
            <w:r w:rsidRPr="002B2D17">
              <w:rPr>
                <w:szCs w:val="24"/>
              </w:rPr>
              <w:t>In the Matter of the Petition of</w:t>
            </w:r>
          </w:p>
          <w:p w:rsidR="00307C21" w:rsidRPr="002B2D17" w:rsidRDefault="00307C21" w:rsidP="00EF437D">
            <w:pPr>
              <w:rPr>
                <w:szCs w:val="24"/>
              </w:rPr>
            </w:pPr>
          </w:p>
          <w:p w:rsidR="00307C21" w:rsidRPr="002B2D17" w:rsidRDefault="00307C21" w:rsidP="00EF437D">
            <w:pPr>
              <w:rPr>
                <w:szCs w:val="24"/>
              </w:rPr>
            </w:pPr>
            <w:r w:rsidRPr="002B2D17">
              <w:rPr>
                <w:szCs w:val="24"/>
              </w:rPr>
              <w:t>PACIFIC POWER &amp; LIGHT</w:t>
            </w:r>
          </w:p>
          <w:p w:rsidR="00307C21" w:rsidRPr="002B2D17" w:rsidRDefault="00307C21" w:rsidP="00EF437D">
            <w:pPr>
              <w:rPr>
                <w:szCs w:val="24"/>
              </w:rPr>
            </w:pPr>
            <w:r w:rsidRPr="002B2D17">
              <w:rPr>
                <w:szCs w:val="24"/>
              </w:rPr>
              <w:t>COMPANY,</w:t>
            </w:r>
          </w:p>
          <w:p w:rsidR="00307C21" w:rsidRPr="002B2D17" w:rsidRDefault="00307C21" w:rsidP="00EF437D">
            <w:pPr>
              <w:rPr>
                <w:szCs w:val="24"/>
              </w:rPr>
            </w:pPr>
          </w:p>
          <w:p w:rsidR="00307C21" w:rsidRPr="002B2D17" w:rsidRDefault="00307C21" w:rsidP="00EF437D">
            <w:pPr>
              <w:rPr>
                <w:szCs w:val="24"/>
              </w:rPr>
            </w:pPr>
            <w:r w:rsidRPr="002B2D17">
              <w:rPr>
                <w:szCs w:val="24"/>
              </w:rPr>
              <w:t>For an Order Approving Deferral of</w:t>
            </w:r>
          </w:p>
          <w:p w:rsidR="00307C21" w:rsidRPr="002B2D17" w:rsidRDefault="00307C21" w:rsidP="00EF437D">
            <w:pPr>
              <w:rPr>
                <w:szCs w:val="24"/>
              </w:rPr>
            </w:pPr>
            <w:r w:rsidRPr="002B2D17">
              <w:rPr>
                <w:szCs w:val="24"/>
              </w:rPr>
              <w:t>Costs Related to Declining Hydro</w:t>
            </w:r>
          </w:p>
          <w:p w:rsidR="00307C21" w:rsidRPr="002B2D17" w:rsidRDefault="00307C21" w:rsidP="00EF437D">
            <w:pPr>
              <w:rPr>
                <w:szCs w:val="24"/>
              </w:rPr>
            </w:pPr>
            <w:r w:rsidRPr="002B2D17">
              <w:rPr>
                <w:szCs w:val="24"/>
              </w:rPr>
              <w:t>Generation</w:t>
            </w:r>
          </w:p>
        </w:tc>
        <w:tc>
          <w:tcPr>
            <w:tcW w:w="360" w:type="dxa"/>
            <w:tcBorders>
              <w:top w:val="nil"/>
              <w:left w:val="nil"/>
              <w:bottom w:val="nil"/>
              <w:right w:val="nil"/>
            </w:tcBorders>
          </w:tcPr>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p w:rsidR="00307C21" w:rsidRPr="002B2D17" w:rsidRDefault="00307C21" w:rsidP="00EF437D">
            <w:pPr>
              <w:ind w:left="72"/>
            </w:pPr>
            <w:r w:rsidRPr="002B2D17">
              <w:t>)</w:t>
            </w:r>
          </w:p>
        </w:tc>
        <w:tc>
          <w:tcPr>
            <w:tcW w:w="4608" w:type="dxa"/>
            <w:tcBorders>
              <w:top w:val="nil"/>
              <w:left w:val="nil"/>
              <w:bottom w:val="nil"/>
              <w:right w:val="nil"/>
            </w:tcBorders>
          </w:tcPr>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r w:rsidRPr="004E7987">
              <w:t xml:space="preserve">DOCKET NOS. UE-140762 and </w:t>
            </w:r>
          </w:p>
          <w:p w:rsidR="00307C21" w:rsidRPr="004E7987" w:rsidRDefault="00307C21" w:rsidP="00EF437D">
            <w:r w:rsidRPr="004E7987">
              <w:t xml:space="preserve">UE-140617 </w:t>
            </w:r>
            <w:r w:rsidRPr="004E7987">
              <w:rPr>
                <w:i/>
              </w:rPr>
              <w:t>(consolidated)</w:t>
            </w:r>
          </w:p>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r>
              <w:t>DOCKET NO</w:t>
            </w:r>
            <w:r w:rsidRPr="004E7987">
              <w:t xml:space="preserve">. UE-131384 </w:t>
            </w:r>
          </w:p>
          <w:p w:rsidR="00307C21" w:rsidRPr="004E7987" w:rsidRDefault="00307C21" w:rsidP="00EF437D">
            <w:r w:rsidRPr="004E7987">
              <w:rPr>
                <w:i/>
              </w:rPr>
              <w:t>(consolidated)</w:t>
            </w:r>
          </w:p>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p w:rsidR="00307C21" w:rsidRPr="004E7987" w:rsidRDefault="00307C21" w:rsidP="00EF437D">
            <w:r>
              <w:t>DOCKET NO</w:t>
            </w:r>
            <w:r w:rsidRPr="004E7987">
              <w:t xml:space="preserve">. UE-140094 </w:t>
            </w:r>
          </w:p>
          <w:p w:rsidR="00307C21" w:rsidRPr="004E7987" w:rsidRDefault="00307C21" w:rsidP="00EF437D">
            <w:r w:rsidRPr="004E7987">
              <w:rPr>
                <w:i/>
              </w:rPr>
              <w:t>(consolidated)</w:t>
            </w:r>
          </w:p>
          <w:p w:rsidR="00307C21" w:rsidRPr="004E7987" w:rsidRDefault="00307C21" w:rsidP="00EF437D">
            <w:pPr>
              <w:ind w:left="410"/>
            </w:pPr>
          </w:p>
          <w:p w:rsidR="00307C21" w:rsidRPr="004E7987" w:rsidRDefault="00307C21" w:rsidP="00EF437D">
            <w:pPr>
              <w:ind w:left="410"/>
            </w:pPr>
          </w:p>
        </w:tc>
      </w:tr>
    </w:tbl>
    <w:p w:rsidR="00307C21" w:rsidRPr="009A65A6" w:rsidRDefault="00307C21" w:rsidP="00307C21">
      <w:pPr>
        <w:jc w:val="both"/>
        <w:rPr>
          <w:szCs w:val="24"/>
        </w:rPr>
      </w:pPr>
    </w:p>
    <w:p w:rsidR="00307C21" w:rsidRPr="009A65A6" w:rsidRDefault="00307C21" w:rsidP="00307C21">
      <w:pPr>
        <w:jc w:val="both"/>
        <w:rPr>
          <w:szCs w:val="24"/>
        </w:rPr>
      </w:pPr>
    </w:p>
    <w:p w:rsidR="00307C21" w:rsidRPr="009A65A6" w:rsidRDefault="00307C21" w:rsidP="00307C21">
      <w:pPr>
        <w:jc w:val="center"/>
        <w:rPr>
          <w:b/>
          <w:bCs/>
          <w:szCs w:val="24"/>
        </w:rPr>
      </w:pPr>
      <w:r>
        <w:rPr>
          <w:b/>
          <w:bCs/>
        </w:rPr>
        <w:t>CROSS-ANSWERING</w:t>
      </w:r>
      <w:r w:rsidRPr="009A65A6">
        <w:rPr>
          <w:b/>
          <w:bCs/>
        </w:rPr>
        <w:t xml:space="preserve"> TESTIMONY </w:t>
      </w:r>
      <w:r w:rsidRPr="009A65A6">
        <w:rPr>
          <w:b/>
          <w:bCs/>
          <w:szCs w:val="24"/>
        </w:rPr>
        <w:t xml:space="preserve">OF </w:t>
      </w:r>
      <w:r>
        <w:rPr>
          <w:b/>
          <w:szCs w:val="24"/>
        </w:rPr>
        <w:t>ROBERT R. STEPHENS</w:t>
      </w:r>
    </w:p>
    <w:p w:rsidR="00307C21" w:rsidRPr="009A65A6" w:rsidRDefault="00307C21" w:rsidP="00307C21"/>
    <w:p w:rsidR="00307C21" w:rsidRPr="009A65A6" w:rsidRDefault="00307C21" w:rsidP="00307C21">
      <w:pPr>
        <w:jc w:val="center"/>
        <w:rPr>
          <w:b/>
          <w:bCs/>
        </w:rPr>
      </w:pPr>
      <w:r w:rsidRPr="009A65A6">
        <w:rPr>
          <w:b/>
          <w:bCs/>
        </w:rPr>
        <w:t>ON BEHALF OF</w:t>
      </w:r>
    </w:p>
    <w:p w:rsidR="00307C21" w:rsidRPr="009A65A6" w:rsidRDefault="00307C21" w:rsidP="00307C21"/>
    <w:p w:rsidR="00307C21" w:rsidRPr="009A65A6" w:rsidRDefault="00307C21" w:rsidP="00307C21">
      <w:pPr>
        <w:jc w:val="center"/>
        <w:rPr>
          <w:szCs w:val="24"/>
        </w:rPr>
      </w:pPr>
      <w:r w:rsidRPr="009A65A6">
        <w:rPr>
          <w:b/>
          <w:bCs/>
        </w:rPr>
        <w:t>BOISE WHITE PAPER, L.L.C.</w:t>
      </w:r>
    </w:p>
    <w:p w:rsidR="00307C21" w:rsidRPr="009A65A6" w:rsidRDefault="00307C21" w:rsidP="00307C21">
      <w:pPr>
        <w:jc w:val="center"/>
        <w:rPr>
          <w:szCs w:val="24"/>
        </w:rPr>
      </w:pPr>
    </w:p>
    <w:p w:rsidR="00307C21" w:rsidRPr="009A65A6" w:rsidRDefault="00307C21" w:rsidP="00307C21">
      <w:pPr>
        <w:jc w:val="center"/>
        <w:rPr>
          <w:szCs w:val="24"/>
        </w:rPr>
      </w:pPr>
    </w:p>
    <w:p w:rsidR="00307C21" w:rsidRPr="009A65A6" w:rsidRDefault="00307C21" w:rsidP="00307C21">
      <w:pPr>
        <w:jc w:val="center"/>
        <w:rPr>
          <w:b/>
          <w:szCs w:val="24"/>
        </w:rPr>
      </w:pPr>
      <w:r>
        <w:rPr>
          <w:b/>
          <w:szCs w:val="24"/>
        </w:rPr>
        <w:t>November 14, 2014</w:t>
      </w:r>
    </w:p>
    <w:p w:rsidR="00307C21" w:rsidRPr="009A65A6" w:rsidRDefault="00307C21" w:rsidP="00307C21">
      <w:pPr>
        <w:jc w:val="center"/>
        <w:rPr>
          <w:szCs w:val="24"/>
        </w:rPr>
      </w:pPr>
    </w:p>
    <w:p w:rsidR="00307C21" w:rsidRPr="009A65A6" w:rsidRDefault="00307C21" w:rsidP="00307C21">
      <w:pPr>
        <w:spacing w:line="480" w:lineRule="auto"/>
        <w:jc w:val="both"/>
        <w:rPr>
          <w:b/>
          <w:szCs w:val="24"/>
        </w:rPr>
        <w:sectPr w:rsidR="00307C21" w:rsidRPr="009A65A6" w:rsidSect="00753D0F">
          <w:headerReference w:type="default" r:id="rId9"/>
          <w:type w:val="continuous"/>
          <w:pgSz w:w="12240" w:h="15840" w:code="1"/>
          <w:pgMar w:top="1440" w:right="1440" w:bottom="1440" w:left="1728" w:header="576" w:footer="576" w:gutter="0"/>
          <w:pgNumType w:start="1"/>
          <w:cols w:space="720"/>
          <w:docGrid w:linePitch="299"/>
        </w:sectPr>
      </w:pPr>
    </w:p>
    <w:p w:rsidR="00307C21" w:rsidRPr="009A65A6" w:rsidRDefault="00307C21" w:rsidP="00307C21">
      <w:pPr>
        <w:spacing w:line="480" w:lineRule="auto"/>
        <w:ind w:left="720" w:hanging="720"/>
        <w:rPr>
          <w:b/>
          <w:szCs w:val="24"/>
        </w:rPr>
      </w:pPr>
      <w:r w:rsidRPr="009A65A6">
        <w:rPr>
          <w:b/>
          <w:szCs w:val="24"/>
        </w:rPr>
        <w:lastRenderedPageBreak/>
        <w:t>Q.</w:t>
      </w:r>
      <w:r w:rsidRPr="009A65A6">
        <w:rPr>
          <w:b/>
          <w:szCs w:val="24"/>
        </w:rPr>
        <w:tab/>
        <w:t>PLEASE STATE YOUR NAME AND BUSINESS ADDRESS.</w:t>
      </w:r>
    </w:p>
    <w:p w:rsidR="00307C21" w:rsidRPr="009A65A6" w:rsidRDefault="00307C21" w:rsidP="00307C21">
      <w:pPr>
        <w:spacing w:line="480" w:lineRule="auto"/>
        <w:ind w:left="720" w:hanging="720"/>
        <w:rPr>
          <w:szCs w:val="24"/>
        </w:rPr>
      </w:pPr>
      <w:r w:rsidRPr="006D1D8D">
        <w:rPr>
          <w:szCs w:val="24"/>
        </w:rPr>
        <w:t>A.</w:t>
      </w:r>
      <w:r w:rsidRPr="009A65A6">
        <w:rPr>
          <w:szCs w:val="24"/>
        </w:rPr>
        <w:tab/>
      </w:r>
      <w:r>
        <w:rPr>
          <w:szCs w:val="24"/>
        </w:rPr>
        <w:t>Robert R. Stephens</w:t>
      </w:r>
      <w:r w:rsidRPr="009A65A6">
        <w:rPr>
          <w:szCs w:val="24"/>
        </w:rPr>
        <w:t>.  My business address is 16690 Swingley Ridge Road, Suite 140, Chesterfield, MO 63017.</w:t>
      </w:r>
    </w:p>
    <w:p w:rsidR="00307C21" w:rsidRPr="00D74363" w:rsidRDefault="00307C21" w:rsidP="00307C21">
      <w:pPr>
        <w:spacing w:after="240"/>
        <w:ind w:left="720" w:hanging="720"/>
        <w:jc w:val="both"/>
        <w:rPr>
          <w:b/>
          <w:szCs w:val="24"/>
        </w:rPr>
      </w:pPr>
      <w:r w:rsidRPr="00D74363">
        <w:rPr>
          <w:b/>
          <w:szCs w:val="24"/>
        </w:rPr>
        <w:t>Q.</w:t>
      </w:r>
      <w:r w:rsidRPr="00D74363">
        <w:rPr>
          <w:b/>
          <w:szCs w:val="24"/>
        </w:rPr>
        <w:tab/>
      </w:r>
      <w:r>
        <w:rPr>
          <w:b/>
          <w:szCs w:val="24"/>
        </w:rPr>
        <w:t>ARE YOU THE SAME ROBERT R. STEPHENS WHO PREVIOUSLY FILED RESPONSIVE TESTIMONY IN THIS PROCEEDING ON BEHALF OF BOISE WHITE PAPER, L.L.C (“BOISE”)</w:t>
      </w:r>
      <w:r w:rsidRPr="00D74363">
        <w:rPr>
          <w:b/>
          <w:szCs w:val="24"/>
        </w:rPr>
        <w:t xml:space="preserve">?  </w:t>
      </w:r>
    </w:p>
    <w:p w:rsidR="00307C21" w:rsidRDefault="00307C21" w:rsidP="00307C21">
      <w:pPr>
        <w:spacing w:after="240"/>
        <w:ind w:left="720" w:hanging="720"/>
        <w:rPr>
          <w:szCs w:val="24"/>
        </w:rPr>
      </w:pPr>
      <w:r w:rsidRPr="00EF437D">
        <w:rPr>
          <w:szCs w:val="24"/>
        </w:rPr>
        <w:t>A.</w:t>
      </w:r>
      <w:r w:rsidRPr="00D74363">
        <w:rPr>
          <w:szCs w:val="24"/>
        </w:rPr>
        <w:tab/>
      </w:r>
      <w:r>
        <w:rPr>
          <w:szCs w:val="24"/>
        </w:rPr>
        <w:t>Yes.</w:t>
      </w:r>
    </w:p>
    <w:p w:rsidR="00307C21" w:rsidRDefault="00307C21" w:rsidP="00307C21">
      <w:pPr>
        <w:ind w:left="720" w:hanging="720"/>
        <w:rPr>
          <w:b/>
        </w:rPr>
      </w:pPr>
      <w:r>
        <w:rPr>
          <w:b/>
          <w:szCs w:val="24"/>
        </w:rPr>
        <w:t>Q.</w:t>
      </w:r>
      <w:r>
        <w:tab/>
      </w:r>
      <w:r w:rsidRPr="00EC1210">
        <w:rPr>
          <w:b/>
        </w:rPr>
        <w:t>ARE YOU SPONSORING ANY EXHIBITS IN CONNECTION WITH THIS TESTIMONY?</w:t>
      </w:r>
    </w:p>
    <w:p w:rsidR="00307C21" w:rsidRPr="00EC1210" w:rsidRDefault="00307C21" w:rsidP="00307C21">
      <w:pPr>
        <w:suppressLineNumbers/>
        <w:ind w:left="720" w:hanging="720"/>
        <w:rPr>
          <w:b/>
        </w:rPr>
      </w:pPr>
    </w:p>
    <w:p w:rsidR="00307C21" w:rsidRPr="00EC1210" w:rsidRDefault="00307C21" w:rsidP="00307C21">
      <w:pPr>
        <w:spacing w:line="480" w:lineRule="auto"/>
        <w:ind w:left="720" w:hanging="720"/>
        <w:rPr>
          <w:b/>
        </w:rPr>
      </w:pPr>
      <w:r w:rsidRPr="006D1D8D">
        <w:rPr>
          <w:szCs w:val="24"/>
        </w:rPr>
        <w:t>A.</w:t>
      </w:r>
      <w:r>
        <w:tab/>
        <w:t>Yes.  I am sponsoring Exhibit No.___(RRS-10).</w:t>
      </w:r>
    </w:p>
    <w:p w:rsidR="00307C21" w:rsidRPr="00272C05" w:rsidRDefault="00307C21" w:rsidP="00307C21">
      <w:pPr>
        <w:spacing w:after="240"/>
        <w:ind w:left="720" w:hanging="720"/>
        <w:rPr>
          <w:b/>
          <w:szCs w:val="24"/>
        </w:rPr>
      </w:pPr>
      <w:r w:rsidRPr="00272C05">
        <w:rPr>
          <w:b/>
          <w:szCs w:val="24"/>
        </w:rPr>
        <w:t>Q.</w:t>
      </w:r>
      <w:r w:rsidRPr="00272C05">
        <w:rPr>
          <w:b/>
          <w:szCs w:val="24"/>
        </w:rPr>
        <w:tab/>
        <w:t xml:space="preserve">WHAT IS THE </w:t>
      </w:r>
      <w:r>
        <w:rPr>
          <w:b/>
          <w:szCs w:val="24"/>
        </w:rPr>
        <w:t>PURPOSE</w:t>
      </w:r>
      <w:r w:rsidRPr="00272C05">
        <w:rPr>
          <w:b/>
          <w:szCs w:val="24"/>
        </w:rPr>
        <w:t xml:space="preserve"> OF YOUR </w:t>
      </w:r>
      <w:r>
        <w:rPr>
          <w:b/>
          <w:szCs w:val="24"/>
        </w:rPr>
        <w:t xml:space="preserve">CROSS-ANSWERING </w:t>
      </w:r>
      <w:r w:rsidRPr="00272C05">
        <w:rPr>
          <w:b/>
          <w:szCs w:val="24"/>
        </w:rPr>
        <w:t>TESTIMONY?</w:t>
      </w:r>
    </w:p>
    <w:p w:rsidR="00307C21" w:rsidRDefault="00307C21" w:rsidP="00307C21">
      <w:pPr>
        <w:spacing w:line="480" w:lineRule="auto"/>
        <w:ind w:left="720" w:hanging="720"/>
        <w:rPr>
          <w:szCs w:val="24"/>
        </w:rPr>
      </w:pPr>
      <w:bookmarkStart w:id="0" w:name="_Toc392680466"/>
      <w:bookmarkStart w:id="1" w:name="_Toc399930650"/>
      <w:bookmarkStart w:id="2" w:name="_Toc399930758"/>
      <w:bookmarkStart w:id="3" w:name="_Toc400007260"/>
      <w:r w:rsidRPr="006D1D8D">
        <w:rPr>
          <w:szCs w:val="24"/>
        </w:rPr>
        <w:t>A.</w:t>
      </w:r>
      <w:r w:rsidRPr="00272C05">
        <w:rPr>
          <w:szCs w:val="24"/>
        </w:rPr>
        <w:tab/>
      </w:r>
      <w:bookmarkStart w:id="4" w:name="_Toc392680467"/>
      <w:bookmarkStart w:id="5" w:name="_Toc399930651"/>
      <w:bookmarkStart w:id="6" w:name="_Toc399930759"/>
      <w:bookmarkStart w:id="7" w:name="_Toc400007261"/>
      <w:bookmarkEnd w:id="0"/>
      <w:bookmarkEnd w:id="1"/>
      <w:bookmarkEnd w:id="2"/>
      <w:bookmarkEnd w:id="3"/>
      <w:r>
        <w:rPr>
          <w:szCs w:val="24"/>
        </w:rPr>
        <w:t xml:space="preserve">I will respond to the Testimony of </w:t>
      </w:r>
      <w:r w:rsidRPr="00FB4979">
        <w:rPr>
          <w:szCs w:val="24"/>
        </w:rPr>
        <w:t>Jeremy B. Twitchell</w:t>
      </w:r>
      <w:r>
        <w:rPr>
          <w:szCs w:val="24"/>
        </w:rPr>
        <w:t xml:space="preserve"> of the Staff of the Washington Utilities and Transportation Commission (“Staff”) and the Direct Testimony of Glenn A. Watkins, on behalf of Public Counsel</w:t>
      </w:r>
      <w:r w:rsidR="002F4C96">
        <w:rPr>
          <w:szCs w:val="24"/>
        </w:rPr>
        <w:t xml:space="preserve"> on the issues of cost of service and revenue allocations</w:t>
      </w:r>
      <w:r>
        <w:rPr>
          <w:szCs w:val="24"/>
        </w:rPr>
        <w:t xml:space="preserve">.  </w:t>
      </w:r>
    </w:p>
    <w:p w:rsidR="00307C21" w:rsidRDefault="00307C21" w:rsidP="00307C21">
      <w:pPr>
        <w:spacing w:line="480" w:lineRule="auto"/>
        <w:ind w:left="720" w:hanging="720"/>
      </w:pPr>
      <w:r>
        <w:tab/>
      </w:r>
      <w:r>
        <w:tab/>
        <w:t>The fact that I do not address any particular issue should not be interpreted as tacit approval of any position taken by any party in this case.</w:t>
      </w:r>
      <w:bookmarkEnd w:id="4"/>
      <w:bookmarkEnd w:id="5"/>
      <w:bookmarkEnd w:id="6"/>
      <w:bookmarkEnd w:id="7"/>
    </w:p>
    <w:p w:rsidR="00307C21" w:rsidRDefault="00307C21" w:rsidP="00307C21">
      <w:pPr>
        <w:spacing w:after="240"/>
        <w:ind w:left="720" w:hanging="720"/>
        <w:rPr>
          <w:b/>
        </w:rPr>
      </w:pPr>
      <w:r>
        <w:rPr>
          <w:b/>
        </w:rPr>
        <w:t>Q.</w:t>
      </w:r>
      <w:r>
        <w:rPr>
          <w:b/>
        </w:rPr>
        <w:tab/>
        <w:t>DOES THE TESTIMONY OF EITHER OF THESE WITNESSES OR ANY OTHER WITNESSES IN THIS CASE CAUSE YOU TO CHANGE ANY OF YOUR RECOMMENDATIONS SET FORTH IN YOUR RESPONSIVE TESTIMONY?</w:t>
      </w:r>
    </w:p>
    <w:p w:rsidR="00307C21" w:rsidRDefault="00307C21" w:rsidP="00307C21">
      <w:pPr>
        <w:spacing w:line="480" w:lineRule="auto"/>
        <w:ind w:left="720" w:hanging="720"/>
      </w:pPr>
      <w:r>
        <w:t>A.</w:t>
      </w:r>
      <w:r>
        <w:tab/>
        <w:t xml:space="preserve">No.  </w:t>
      </w:r>
    </w:p>
    <w:p w:rsidR="00307C21" w:rsidRPr="006C7618" w:rsidRDefault="00307C21" w:rsidP="00543CC0">
      <w:pPr>
        <w:suppressLineNumbers/>
        <w:spacing w:line="480" w:lineRule="auto"/>
        <w:ind w:left="720" w:hanging="720"/>
      </w:pPr>
      <w:r>
        <w:br w:type="page"/>
      </w:r>
    </w:p>
    <w:p w:rsidR="00307C21" w:rsidRDefault="00307C21" w:rsidP="00307C21">
      <w:pPr>
        <w:pStyle w:val="Heading1"/>
      </w:pPr>
      <w:r>
        <w:lastRenderedPageBreak/>
        <w:t>Response to Staff Witness Twitchell</w:t>
      </w:r>
    </w:p>
    <w:p w:rsidR="00307C21" w:rsidRDefault="00307C21" w:rsidP="00307C21">
      <w:pPr>
        <w:spacing w:after="240"/>
        <w:ind w:left="720" w:hanging="720"/>
        <w:rPr>
          <w:b/>
        </w:rPr>
      </w:pPr>
      <w:r>
        <w:rPr>
          <w:b/>
        </w:rPr>
        <w:t>Q.</w:t>
      </w:r>
      <w:r>
        <w:rPr>
          <w:b/>
        </w:rPr>
        <w:tab/>
        <w:t>HAVE YOU REVIEWED THE TESTIMONY OF STAFF WITNESS TWITCHELL AS IT RELATES TO THE ISSUES THAT YOU ADDRESSED IN YOUR RESPONSIVE TESTIMONY?</w:t>
      </w:r>
    </w:p>
    <w:p w:rsidR="00307C21" w:rsidRDefault="00307C21" w:rsidP="00307C21">
      <w:pPr>
        <w:spacing w:line="480" w:lineRule="auto"/>
        <w:ind w:left="720" w:hanging="720"/>
      </w:pPr>
      <w:r>
        <w:t>A.</w:t>
      </w:r>
      <w:r>
        <w:tab/>
        <w:t xml:space="preserve">Yes, I have.  Mr. Twitchell addresses cost of service and revenue allocation at pages 14-22 of his testimony.  </w:t>
      </w:r>
    </w:p>
    <w:p w:rsidR="00307C21" w:rsidRDefault="00307C21" w:rsidP="00307C21">
      <w:pPr>
        <w:spacing w:after="240"/>
        <w:ind w:left="720" w:hanging="720"/>
        <w:rPr>
          <w:b/>
        </w:rPr>
      </w:pPr>
      <w:r>
        <w:rPr>
          <w:b/>
        </w:rPr>
        <w:t>Q.</w:t>
      </w:r>
      <w:r>
        <w:rPr>
          <w:b/>
        </w:rPr>
        <w:tab/>
        <w:t>AT PAGES 14 AND 15, MR. TWITCHELL EXPRESSES HIS SUPPORT FOR USING THE SYSTEM DIVERSIFIED LOAD FACTOR (“SDLF”) METHODOLOGY TO CLASSIFY COSTS AS DEMAND-RELATED OR ENERGY-RELATED INSTEAD OF A METHODOLOGY PREVIOUSLY SUPPORTED BY STAFF THAT WOULD CLASSIFY COSTS BY THE TOP 100 WINTER HOURS AND TOP 100 SUMMER HOURS OF SYSTEM DEMAND (200 CP METHOD).  HOW DO YOU RESPOND?</w:t>
      </w:r>
    </w:p>
    <w:p w:rsidR="00307C21" w:rsidRDefault="00307C21" w:rsidP="00307C21">
      <w:pPr>
        <w:spacing w:line="480" w:lineRule="auto"/>
        <w:ind w:left="720" w:hanging="720"/>
      </w:pPr>
      <w:r>
        <w:t>A.</w:t>
      </w:r>
      <w:r>
        <w:tab/>
        <w:t xml:space="preserve">As I explained at pages 16-18 of my responsive testimony, I do not agree with the Peak Credit or load factor method used to classify a production cost between demand and energy components.  I will not repeat that discussion here.  To its credit, Staff </w:t>
      </w:r>
      <w:r w:rsidR="002F4C96">
        <w:t>no longer supports</w:t>
      </w:r>
      <w:r>
        <w:t xml:space="preserve"> its recommendation in the previous general rate case to develop the classification percentages using the 200 CP </w:t>
      </w:r>
      <w:proofErr w:type="gramStart"/>
      <w:r>
        <w:t>method</w:t>
      </w:r>
      <w:proofErr w:type="gramEnd"/>
      <w:r>
        <w:t>.</w:t>
      </w:r>
    </w:p>
    <w:p w:rsidR="00307C21" w:rsidRPr="00646A40" w:rsidRDefault="00307C21" w:rsidP="00307C21">
      <w:pPr>
        <w:spacing w:line="480" w:lineRule="auto"/>
        <w:ind w:left="720" w:hanging="720"/>
      </w:pPr>
      <w:r>
        <w:tab/>
      </w:r>
      <w:r>
        <w:tab/>
        <w:t>In addition, I find noteworthy Mr. Twitchell’s comment in this section that “the consumption patterns of low-load factor customers is a major driver of the system peak demand that the Company must meet.”</w:t>
      </w:r>
      <w:r w:rsidRPr="00646A40">
        <w:rPr>
          <w:rStyle w:val="FootnoteReference"/>
          <w:u w:val="single"/>
        </w:rPr>
        <w:footnoteReference w:id="1"/>
      </w:r>
      <w:r w:rsidRPr="00646A40">
        <w:rPr>
          <w:vertAlign w:val="superscript"/>
        </w:rPr>
        <w:t>/</w:t>
      </w:r>
      <w:r w:rsidR="00543CC0">
        <w:t xml:space="preserve">  </w:t>
      </w:r>
      <w:r>
        <w:t xml:space="preserve">He goes on to acknowledge that capturing the demands that these customers impose on the system yields more appropriate cost classification.  In effect, Staff acknowledges that demand is the primary cost driver for production investment, which is consistent with my testimony, and is in opposition to the minority demand classification approach (only 43%) used by PacifiCorp and supported by Staff.  </w:t>
      </w:r>
    </w:p>
    <w:p w:rsidR="00307C21" w:rsidRDefault="00307C21" w:rsidP="00307C21">
      <w:pPr>
        <w:spacing w:after="240"/>
        <w:ind w:left="720" w:hanging="720"/>
        <w:rPr>
          <w:b/>
        </w:rPr>
      </w:pPr>
      <w:r>
        <w:rPr>
          <w:b/>
        </w:rPr>
        <w:lastRenderedPageBreak/>
        <w:t>Q.</w:t>
      </w:r>
      <w:r>
        <w:rPr>
          <w:b/>
        </w:rPr>
        <w:tab/>
        <w:t>AT PAGES 15-19, MR. TWITCHELL RECOMMENDS THAT PACIFICORP APPLY A NEW ALLOCATION FACTOR TO ITS RENEWABLE, NON-DISPATCHABLE GENERATION (“NDG”) SOURCES.  HOW DO YOU RESPOND?</w:t>
      </w:r>
    </w:p>
    <w:p w:rsidR="00307C21" w:rsidRPr="00E80C0D" w:rsidRDefault="00307C21" w:rsidP="00307C21">
      <w:pPr>
        <w:spacing w:line="480" w:lineRule="auto"/>
        <w:ind w:left="720" w:hanging="720"/>
      </w:pPr>
      <w:r>
        <w:t>A.</w:t>
      </w:r>
      <w:r>
        <w:tab/>
      </w:r>
      <w:r w:rsidR="002F4C96">
        <w:t>A</w:t>
      </w:r>
      <w:r>
        <w:t xml:space="preserve">s Mr. Twitchell </w:t>
      </w:r>
      <w:r w:rsidR="00EF437D">
        <w:t xml:space="preserve">correctly </w:t>
      </w:r>
      <w:r>
        <w:t>notes, PacifiCorp did not apply the Staff proposed NDG factor in its cost of service study because the allocation factor that it uses for generation facilities “recognizes the combined nature of (generation) resources that are designed to meet peak load and supply the energy needs of its customers.”</w:t>
      </w:r>
      <w:r w:rsidRPr="00CE6494">
        <w:rPr>
          <w:rStyle w:val="FootnoteReference"/>
          <w:u w:val="single"/>
        </w:rPr>
        <w:footnoteReference w:id="2"/>
      </w:r>
      <w:r w:rsidRPr="00CE6494">
        <w:rPr>
          <w:vertAlign w:val="superscript"/>
        </w:rPr>
        <w:t>/</w:t>
      </w:r>
      <w:r w:rsidR="00543CC0">
        <w:t xml:space="preserve">  </w:t>
      </w:r>
      <w:r>
        <w:t>Yet, Mr. Twitchell claims that the NDG allocation factor more accurately reflects how wind-related expenses are imposed on the Company’s system and claims that a new NDG allocation factor will produce more accurate rates now and in the future.</w:t>
      </w:r>
      <w:r w:rsidRPr="005F5435">
        <w:rPr>
          <w:rStyle w:val="FootnoteReference"/>
          <w:u w:val="single"/>
        </w:rPr>
        <w:footnoteReference w:id="3"/>
      </w:r>
      <w:r w:rsidRPr="005F5435">
        <w:rPr>
          <w:vertAlign w:val="superscript"/>
        </w:rPr>
        <w:t>/</w:t>
      </w:r>
      <w:r>
        <w:rPr>
          <w:vertAlign w:val="superscript"/>
        </w:rPr>
        <w:t xml:space="preserve"> </w:t>
      </w:r>
    </w:p>
    <w:p w:rsidR="00307C21" w:rsidRDefault="00307C21" w:rsidP="00307C21">
      <w:pPr>
        <w:spacing w:line="480" w:lineRule="auto"/>
        <w:ind w:left="720" w:hanging="720"/>
      </w:pPr>
      <w:r w:rsidRPr="00E80C0D">
        <w:tab/>
      </w:r>
      <w:r w:rsidRPr="00E80C0D">
        <w:tab/>
        <w:t xml:space="preserve">I agree with </w:t>
      </w:r>
      <w:r>
        <w:t>PacifiCorp’s rationale for not singling out wind resources for a different allocation factor from other generating resources.  As Mr. Twitchell acknowledges, PacifiCorp claims that this would alter the dynamic of the current allocation and</w:t>
      </w:r>
      <w:r w:rsidR="00EF437D">
        <w:t xml:space="preserve"> would</w:t>
      </w:r>
      <w:r>
        <w:t xml:space="preserve"> require PacifiCorp to reassess the way it classifies all of its generation resources in the western control area.</w:t>
      </w:r>
      <w:r w:rsidRPr="00E80C0D">
        <w:rPr>
          <w:rStyle w:val="FootnoteReference"/>
          <w:u w:val="single"/>
        </w:rPr>
        <w:footnoteReference w:id="4"/>
      </w:r>
      <w:r w:rsidRPr="00E80C0D">
        <w:rPr>
          <w:vertAlign w:val="superscript"/>
        </w:rPr>
        <w:t>/</w:t>
      </w:r>
      <w:r>
        <w:t xml:space="preserve">  I agree.</w:t>
      </w:r>
    </w:p>
    <w:p w:rsidR="00307C21" w:rsidRDefault="00307C21" w:rsidP="00307C21">
      <w:pPr>
        <w:spacing w:line="480" w:lineRule="auto"/>
        <w:ind w:left="720" w:hanging="720"/>
      </w:pPr>
      <w:r>
        <w:tab/>
      </w:r>
      <w:r>
        <w:tab/>
        <w:t xml:space="preserve">There is no solid rationale for singling out a particular generation resource for different allocation while lumping together all remaining generation resources, and Mr. Twitchell does not even attempt to provide a rationale.  Indeed, were PacifiCorp to establish allocation factors in the same manner that Mr. Twitchell proposes for non-NDG resources, this would likely modify the allocation of generating plant significantly.  </w:t>
      </w:r>
    </w:p>
    <w:p w:rsidR="00307C21" w:rsidRDefault="00307C21" w:rsidP="00307C21">
      <w:pPr>
        <w:spacing w:line="480" w:lineRule="auto"/>
        <w:ind w:left="720" w:hanging="720"/>
        <w:rPr>
          <w:b/>
        </w:rPr>
      </w:pPr>
      <w:r>
        <w:rPr>
          <w:b/>
        </w:rPr>
        <w:lastRenderedPageBreak/>
        <w:t>Q.</w:t>
      </w:r>
      <w:r>
        <w:rPr>
          <w:b/>
        </w:rPr>
        <w:tab/>
        <w:t>PLEASE EXPLAIN.</w:t>
      </w:r>
    </w:p>
    <w:p w:rsidR="00307C21" w:rsidRDefault="00307C21" w:rsidP="00307C21">
      <w:pPr>
        <w:spacing w:line="480" w:lineRule="auto"/>
        <w:ind w:left="720" w:hanging="720"/>
      </w:pPr>
      <w:r>
        <w:t>A.</w:t>
      </w:r>
      <w:r>
        <w:tab/>
        <w:t>According to Mr. Twitchell’s testimony, Staff’s recommended allocation factor</w:t>
      </w:r>
      <w:r w:rsidR="005F0293">
        <w:t xml:space="preserve">, </w:t>
      </w:r>
      <w:r w:rsidR="00EF437D">
        <w:t>18.1%</w:t>
      </w:r>
      <w:r w:rsidR="005F0293">
        <w:t>,</w:t>
      </w:r>
      <w:r>
        <w:t xml:space="preserve"> would allocate wind generation costs on a demand factor equal to the expectation of the wind resources’ contribution at the system peak.</w:t>
      </w:r>
      <w:r w:rsidRPr="005805F5">
        <w:rPr>
          <w:rStyle w:val="FootnoteReference"/>
          <w:u w:val="single"/>
        </w:rPr>
        <w:footnoteReference w:id="5"/>
      </w:r>
      <w:r w:rsidRPr="005805F5">
        <w:rPr>
          <w:vertAlign w:val="superscript"/>
        </w:rPr>
        <w:t>/</w:t>
      </w:r>
      <w:r>
        <w:t xml:space="preserve"> If this standard, </w:t>
      </w:r>
      <w:r w:rsidR="00524BED" w:rsidRPr="00524BED">
        <w:rPr>
          <w:u w:val="single"/>
        </w:rPr>
        <w:t>i.e.</w:t>
      </w:r>
      <w:r>
        <w:t xml:space="preserve">, demand allocation based on the percentage availability at the time of system peak, were to be applied to other generation resources, one would expect the percentages for other, more reliable units to be </w:t>
      </w:r>
      <w:r w:rsidR="00EF437D">
        <w:t>over</w:t>
      </w:r>
      <w:r>
        <w:t xml:space="preserve"> 90%, since these resources are expected to be fully, or nearly fully, available at the time of system peak.  That is, utilities plan their generation to be available at the time of system peak and, although it is never guaranteed that 100% of the capacity will be available, the forced outage rates of base load and intermediate generating units tends to be below 10%.</w:t>
      </w:r>
      <w:r w:rsidRPr="005805F5">
        <w:rPr>
          <w:rStyle w:val="FootnoteReference"/>
          <w:u w:val="single"/>
        </w:rPr>
        <w:footnoteReference w:id="6"/>
      </w:r>
      <w:r w:rsidRPr="005805F5">
        <w:rPr>
          <w:vertAlign w:val="superscript"/>
        </w:rPr>
        <w:t>/</w:t>
      </w:r>
      <w:r>
        <w:t xml:space="preserve">  Thus, for these units, the demand classification would be over 90%.  Yet, Staff apparently supports the PacifiCorp Peak Credit, or load factor classification method, which essentially would allocate only 43% of generation costs on the basis of demand.  Staff does not explain its rationale for its inconsistent treatment between NDG resources and the remaining resources, or its support for allocating 43% of costs on the basis of demand.</w:t>
      </w:r>
    </w:p>
    <w:p w:rsidR="00307C21" w:rsidRDefault="00307C21" w:rsidP="00307C21">
      <w:pPr>
        <w:suppressLineNumbers/>
      </w:pPr>
      <w:r>
        <w:br w:type="page"/>
      </w:r>
    </w:p>
    <w:p w:rsidR="00307C21" w:rsidRDefault="00307C21" w:rsidP="00307C21">
      <w:pPr>
        <w:suppressLineNumbers/>
        <w:spacing w:line="480" w:lineRule="auto"/>
        <w:ind w:left="720" w:hanging="720"/>
      </w:pPr>
    </w:p>
    <w:p w:rsidR="00307C21" w:rsidRDefault="00307C21" w:rsidP="00307C21">
      <w:pPr>
        <w:spacing w:after="240"/>
        <w:ind w:left="720" w:hanging="720"/>
        <w:rPr>
          <w:b/>
        </w:rPr>
      </w:pPr>
      <w:r>
        <w:rPr>
          <w:b/>
        </w:rPr>
        <w:t>Q.</w:t>
      </w:r>
      <w:r>
        <w:rPr>
          <w:b/>
        </w:rPr>
        <w:tab/>
        <w:t>AT PAGE 16 OF HIS TESTIMONY, MR. TWITCHELL INDICATES THAT STAFF’S PROPOSED NDG ALLOCATION FACTOR WOULD ADDRESS A MISMATCH BETWEEN HOW THE COMPANY RECOVERS ITS WIND RESOURCES COSTS AND HOW IT PASSES BACK FEDERAL TAX CREDITS GENERATED BY THOSE RESOURCES TO CUSTOMERS.  HOW DO YOU RESPOND?</w:t>
      </w:r>
    </w:p>
    <w:p w:rsidR="00307C21" w:rsidRPr="006C7618" w:rsidRDefault="00307C21" w:rsidP="00307C21">
      <w:pPr>
        <w:spacing w:line="480" w:lineRule="auto"/>
        <w:ind w:left="720" w:hanging="720"/>
      </w:pPr>
      <w:r>
        <w:t>A.</w:t>
      </w:r>
      <w:r>
        <w:tab/>
        <w:t xml:space="preserve">If Staff has a problem with this perceived mismatch, then it should propose a method for addressing the mismatch through the returning of tax credits, rather than disturbing the balance of allocating generation costs through Staff’s proposed allocation method.  </w:t>
      </w:r>
    </w:p>
    <w:p w:rsidR="00307C21" w:rsidRDefault="00307C21" w:rsidP="00307C21">
      <w:pPr>
        <w:spacing w:line="480" w:lineRule="auto"/>
        <w:ind w:left="720" w:hanging="720"/>
        <w:rPr>
          <w:b/>
        </w:rPr>
      </w:pPr>
      <w:r>
        <w:rPr>
          <w:b/>
        </w:rPr>
        <w:t>Q.</w:t>
      </w:r>
      <w:r>
        <w:rPr>
          <w:b/>
        </w:rPr>
        <w:tab/>
        <w:t>HAS STAFF CONSIDERED SUCH A CHANGE?</w:t>
      </w:r>
    </w:p>
    <w:p w:rsidR="00307C21" w:rsidRPr="006C7618" w:rsidRDefault="00307C21" w:rsidP="00307C21">
      <w:pPr>
        <w:spacing w:line="480" w:lineRule="auto"/>
        <w:ind w:left="720" w:hanging="720"/>
        <w:rPr>
          <w:b/>
        </w:rPr>
      </w:pPr>
      <w:r>
        <w:t>A.</w:t>
      </w:r>
      <w:r>
        <w:tab/>
        <w:t>Boise asked Staff this question in a data request.  Staff indicated in its response that it has not done so.</w:t>
      </w:r>
      <w:r w:rsidR="008B3F6D" w:rsidRPr="00CE6494">
        <w:rPr>
          <w:rStyle w:val="FootnoteReference"/>
          <w:u w:val="single"/>
        </w:rPr>
        <w:footnoteReference w:id="7"/>
      </w:r>
      <w:r w:rsidR="008B3F6D" w:rsidRPr="00CE6494">
        <w:rPr>
          <w:vertAlign w:val="superscript"/>
        </w:rPr>
        <w:t>/</w:t>
      </w:r>
    </w:p>
    <w:p w:rsidR="00307C21" w:rsidRDefault="00307C21" w:rsidP="00307C21">
      <w:pPr>
        <w:ind w:left="720" w:hanging="720"/>
        <w:rPr>
          <w:b/>
        </w:rPr>
      </w:pPr>
      <w:r>
        <w:rPr>
          <w:b/>
        </w:rPr>
        <w:t>Q.</w:t>
      </w:r>
      <w:r>
        <w:rPr>
          <w:b/>
        </w:rPr>
        <w:tab/>
        <w:t>AT PAGES 19-20, MR. TWITCHELL DESCRIBES STAFF’S RECOMMENDATION TO ASSIGN THE COSTS OF THE COMPANY’S CORPORATE ACCOUNT MANAGERS TO THE INDUSTRIAL CUSTOMER CLASSES THAT THOSE ACCOUNT MANAGERS SERVE.  HOW DO YOU RESPOND?</w:t>
      </w:r>
    </w:p>
    <w:p w:rsidR="00307C21" w:rsidRDefault="00307C21" w:rsidP="00307C21">
      <w:pPr>
        <w:suppressLineNumbers/>
        <w:ind w:left="720" w:hanging="720"/>
        <w:rPr>
          <w:b/>
        </w:rPr>
      </w:pPr>
    </w:p>
    <w:p w:rsidR="00307C21" w:rsidRDefault="00307C21" w:rsidP="00307C21">
      <w:pPr>
        <w:spacing w:line="480" w:lineRule="auto"/>
        <w:ind w:left="720" w:hanging="720"/>
      </w:pPr>
      <w:r>
        <w:t>A.</w:t>
      </w:r>
      <w:r>
        <w:tab/>
        <w:t xml:space="preserve">I </w:t>
      </w:r>
      <w:r w:rsidR="002F4C96">
        <w:t xml:space="preserve">strongly </w:t>
      </w:r>
      <w:r>
        <w:t xml:space="preserve">recommend against this change.  While I do not disagree with Mr. Twitchell’s statement that large customers are the only ones who benefit from these particular account managers, it appears that he is being one sided in his application here.  Specifically, he does not appear to have taken into account utility support personnel that may benefit customers other than industrial customers and allocate those costs in a symmetrical manner.  In addition, I agree with PacifiCorp’s observation that isolating individual cost drivers to specific types of customers within the uniform system of accounts can be complex and burdensome and, essentially, is not justified in this case because of the minimal impact. </w:t>
      </w:r>
    </w:p>
    <w:p w:rsidR="00307C21" w:rsidRDefault="00307C21" w:rsidP="00307C21">
      <w:pPr>
        <w:spacing w:line="480" w:lineRule="auto"/>
        <w:ind w:left="720" w:firstLine="720"/>
      </w:pPr>
      <w:r>
        <w:lastRenderedPageBreak/>
        <w:t xml:space="preserve">Also, though Mr. Twitchell has not acknowledged it, there may be off-setting assignments, if this type of analysis was performed for other cost accounts, which could more than nullify Staff’s proposed adjustment.  </w:t>
      </w:r>
      <w:r w:rsidR="00A321D7">
        <w:t>Nowhere in his testimony does Mr. Twitchell address cost causation issues associated</w:t>
      </w:r>
      <w:r w:rsidR="001C0029">
        <w:t xml:space="preserve"> with the Company’s call center or</w:t>
      </w:r>
      <w:r w:rsidR="00A321D7">
        <w:t xml:space="preserve"> other account representatives, which are funded by industrial customers without commensurate benefits.  </w:t>
      </w:r>
      <w:r>
        <w:t>Unless Staff is willing to look at each and every individual cost account and accurately perform a direct assignment like it is proposing for this particular cost item (if that is even possible), then Mr. Twitchell’s proposal should be rejected.</w:t>
      </w:r>
      <w:r w:rsidR="002F4C96">
        <w:t xml:space="preserve">  </w:t>
      </w:r>
      <w:r w:rsidR="001C0029">
        <w:t>Further</w:t>
      </w:r>
      <w:r w:rsidR="002F4C96" w:rsidRPr="001C0029">
        <w:t xml:space="preserve">, to single out one customer </w:t>
      </w:r>
      <w:r w:rsidR="00A321D7" w:rsidRPr="001C0029">
        <w:t xml:space="preserve">class </w:t>
      </w:r>
      <w:r w:rsidR="002F4C96" w:rsidRPr="001C0029">
        <w:t xml:space="preserve">for this approach </w:t>
      </w:r>
      <w:r w:rsidR="001C0029">
        <w:t>may be</w:t>
      </w:r>
      <w:r w:rsidR="002F4C96" w:rsidRPr="001C0029">
        <w:t xml:space="preserve"> discriminatory.</w:t>
      </w:r>
      <w:r w:rsidR="00A321D7">
        <w:t xml:space="preserve">  </w:t>
      </w:r>
    </w:p>
    <w:p w:rsidR="00307C21" w:rsidRDefault="00307C21" w:rsidP="00307C21">
      <w:pPr>
        <w:spacing w:after="240"/>
        <w:ind w:left="720" w:hanging="720"/>
        <w:rPr>
          <w:b/>
        </w:rPr>
      </w:pPr>
      <w:r>
        <w:rPr>
          <w:b/>
        </w:rPr>
        <w:t>Q.</w:t>
      </w:r>
      <w:r>
        <w:rPr>
          <w:b/>
        </w:rPr>
        <w:tab/>
        <w:t>HAVE YOU REVIEWED STAFF’S TESTIMONY AS IT RELATES TO REVENUE ALLOCATION?</w:t>
      </w:r>
    </w:p>
    <w:p w:rsidR="00307C21" w:rsidRDefault="00307C21" w:rsidP="00307C21">
      <w:pPr>
        <w:spacing w:line="480" w:lineRule="auto"/>
        <w:ind w:left="720" w:hanging="720"/>
      </w:pPr>
      <w:r>
        <w:t>A.</w:t>
      </w:r>
      <w:r>
        <w:tab/>
        <w:t>Yes, I have.  Mr. Twitchell addresses this at pages 21-22 of his testimony.  Staff provides a proposed revenue allocation, based on Staff’s proposed 2.41% increase overall for PacifiCorp.  According to Mr. Twitchell, Staff’s proposal would impose 1.5 times the</w:t>
      </w:r>
      <w:r w:rsidR="00823872">
        <w:t xml:space="preserve"> system average</w:t>
      </w:r>
      <w:r>
        <w:t xml:space="preserve"> increase on the Residential and Schedule 48T-Dedicated Facilities classes.  </w:t>
      </w:r>
    </w:p>
    <w:p w:rsidR="00307C21" w:rsidRDefault="00307C21" w:rsidP="00307C21">
      <w:pPr>
        <w:spacing w:line="480" w:lineRule="auto"/>
        <w:ind w:left="720" w:hanging="720"/>
        <w:rPr>
          <w:b/>
        </w:rPr>
      </w:pPr>
      <w:r>
        <w:rPr>
          <w:b/>
        </w:rPr>
        <w:t xml:space="preserve">Q. </w:t>
      </w:r>
      <w:r>
        <w:rPr>
          <w:b/>
        </w:rPr>
        <w:tab/>
        <w:t>DO YOU HAVE A CONCERN WITH STAFF’S APPROACH?</w:t>
      </w:r>
    </w:p>
    <w:p w:rsidR="00307C21" w:rsidRDefault="00307C21" w:rsidP="00307C21">
      <w:pPr>
        <w:spacing w:line="480" w:lineRule="auto"/>
        <w:ind w:left="720" w:hanging="720"/>
      </w:pPr>
      <w:r>
        <w:t>A.</w:t>
      </w:r>
      <w:r>
        <w:tab/>
        <w:t>Yes, I do.  Staff’s approach is not well</w:t>
      </w:r>
      <w:r w:rsidR="002F4C96">
        <w:t>-</w:t>
      </w:r>
      <w:r>
        <w:t xml:space="preserve">defined for application to increases at levels other than Staff’s proposal.  For example, the 1.5 times </w:t>
      </w:r>
      <w:r w:rsidR="00823872">
        <w:t xml:space="preserve">system </w:t>
      </w:r>
      <w:r>
        <w:t xml:space="preserve">average increase cap could be onerous and disruptive for some classes, if PacifiCorp is granted a larger increase than Staff’s recommended 2.41%.  </w:t>
      </w:r>
      <w:r w:rsidR="00823872">
        <w:t>Hence, Staff’s proposed mitigation factor (which will mitigat</w:t>
      </w:r>
      <w:r w:rsidR="00CD476E">
        <w:t>e</w:t>
      </w:r>
      <w:r w:rsidR="00823872">
        <w:t xml:space="preserve"> the impacts on class increases while still making movement toward cost of service) may not be appropriate if a higher system average increase is </w:t>
      </w:r>
      <w:r w:rsidR="00823872">
        <w:lastRenderedPageBreak/>
        <w:t xml:space="preserve">approved.  </w:t>
      </w:r>
      <w:r>
        <w:t xml:space="preserve">As I indicated in my direct testimony, PacifiCorp’s proposal is a much more moderate </w:t>
      </w:r>
      <w:r w:rsidR="00823872">
        <w:t xml:space="preserve">mitigation factor </w:t>
      </w:r>
      <w:r>
        <w:t>of 1.12 times system average increase.  PacifiCorp’s proposal definitely will better promote gradualism and avoidance of rate shock</w:t>
      </w:r>
      <w:r w:rsidR="00823872">
        <w:t xml:space="preserve"> at its proposed 8.5% system average increase</w:t>
      </w:r>
      <w:r>
        <w:t>.  If PacifiCorp were to receive</w:t>
      </w:r>
      <w:r w:rsidR="00CD476E">
        <w:t xml:space="preserve"> something near</w:t>
      </w:r>
      <w:r>
        <w:t xml:space="preserve"> the full 8.5% increase that it requested, </w:t>
      </w:r>
      <w:r w:rsidR="00823872">
        <w:t>then</w:t>
      </w:r>
      <w:r>
        <w:t xml:space="preserve"> Staff’s</w:t>
      </w:r>
      <w:r w:rsidR="00823872">
        <w:t xml:space="preserve"> proposed</w:t>
      </w:r>
      <w:r>
        <w:t xml:space="preserve"> 1.5 times </w:t>
      </w:r>
      <w:r w:rsidR="00823872">
        <w:t xml:space="preserve">mitigation factor </w:t>
      </w:r>
      <w:r w:rsidR="00CD476E">
        <w:t xml:space="preserve">could </w:t>
      </w:r>
      <w:r>
        <w:t xml:space="preserve">result in </w:t>
      </w:r>
      <w:r w:rsidR="00823872">
        <w:t>high return</w:t>
      </w:r>
      <w:r w:rsidR="00CD476E">
        <w:t>s</w:t>
      </w:r>
      <w:r w:rsidR="00823872">
        <w:t xml:space="preserve"> </w:t>
      </w:r>
      <w:r w:rsidR="00CD476E">
        <w:t>for</w:t>
      </w:r>
      <w:r w:rsidR="00823872">
        <w:t xml:space="preserve"> some</w:t>
      </w:r>
      <w:r>
        <w:t xml:space="preserve"> classes that Staff has identified receiving a </w:t>
      </w:r>
      <w:r w:rsidR="00823872">
        <w:t>12.75</w:t>
      </w:r>
      <w:r>
        <w:t>% increase, which is large</w:t>
      </w:r>
      <w:r w:rsidR="002F4C96">
        <w:t xml:space="preserve"> and may constitute rate shock</w:t>
      </w:r>
      <w:r>
        <w:t xml:space="preserve">. </w:t>
      </w:r>
    </w:p>
    <w:p w:rsidR="00307C21" w:rsidRDefault="00307C21" w:rsidP="00307C21">
      <w:pPr>
        <w:spacing w:after="240"/>
        <w:ind w:left="720" w:hanging="720"/>
        <w:rPr>
          <w:b/>
        </w:rPr>
      </w:pPr>
      <w:r>
        <w:rPr>
          <w:b/>
        </w:rPr>
        <w:t>Q.</w:t>
      </w:r>
      <w:r>
        <w:rPr>
          <w:b/>
        </w:rPr>
        <w:tab/>
      </w:r>
      <w:r w:rsidR="00823872">
        <w:rPr>
          <w:b/>
        </w:rPr>
        <w:t xml:space="preserve">WHY DO YOU SAY THAT </w:t>
      </w:r>
      <w:r>
        <w:rPr>
          <w:b/>
        </w:rPr>
        <w:t xml:space="preserve">STAFF’S 1.5 TIMES SYSTEM AVERAGE INCREASE </w:t>
      </w:r>
      <w:r w:rsidR="00823872">
        <w:rPr>
          <w:b/>
        </w:rPr>
        <w:t xml:space="preserve">MITIGATION FACTOR </w:t>
      </w:r>
      <w:r>
        <w:rPr>
          <w:b/>
        </w:rPr>
        <w:t xml:space="preserve">PROPOSAL </w:t>
      </w:r>
      <w:r w:rsidR="00823872">
        <w:rPr>
          <w:b/>
        </w:rPr>
        <w:t>IS NOT WELL</w:t>
      </w:r>
      <w:r w:rsidR="002F4C96">
        <w:rPr>
          <w:b/>
        </w:rPr>
        <w:t>-</w:t>
      </w:r>
      <w:r w:rsidR="00823872">
        <w:rPr>
          <w:b/>
        </w:rPr>
        <w:t xml:space="preserve">DEFINED </w:t>
      </w:r>
      <w:r>
        <w:rPr>
          <w:b/>
        </w:rPr>
        <w:t>FOR PERCENTAGE INCREASES OTHER THAN THE 2.41%?</w:t>
      </w:r>
    </w:p>
    <w:p w:rsidR="00307C21" w:rsidRDefault="00307C21" w:rsidP="00307C21">
      <w:pPr>
        <w:spacing w:line="480" w:lineRule="auto"/>
        <w:ind w:left="720" w:hanging="720"/>
      </w:pPr>
      <w:r>
        <w:t>A.</w:t>
      </w:r>
      <w:r>
        <w:tab/>
        <w:t>Apparently Staff would modify its criteria somewhat, depending on the increase level.  However, Staff’s allocation scheme is not predictable.  Boise asked Staff for its revenue allocation proposal at different overall increases, in</w:t>
      </w:r>
      <w:r w:rsidR="00C637D2">
        <w:t xml:space="preserve"> Boise DR</w:t>
      </w:r>
      <w:r>
        <w:t xml:space="preserve"> 5.  Staff’s response to that data request </w:t>
      </w:r>
      <w:r w:rsidR="00754640">
        <w:t xml:space="preserve">is </w:t>
      </w:r>
      <w:r>
        <w:t xml:space="preserve">attached </w:t>
      </w:r>
      <w:r w:rsidR="00524BED" w:rsidRPr="002826E1">
        <w:t>in</w:t>
      </w:r>
      <w:r w:rsidR="005B60E9">
        <w:t xml:space="preserve"> </w:t>
      </w:r>
      <w:r w:rsidRPr="00785380">
        <w:t>Exhibit No. ___(RRS-10)</w:t>
      </w:r>
      <w:r>
        <w:t>.</w:t>
      </w:r>
    </w:p>
    <w:p w:rsidR="00307C21" w:rsidRDefault="00307C21" w:rsidP="00307C21">
      <w:pPr>
        <w:spacing w:line="480" w:lineRule="auto"/>
        <w:ind w:left="720" w:hanging="720"/>
      </w:pPr>
      <w:r>
        <w:tab/>
      </w:r>
      <w:r>
        <w:tab/>
      </w:r>
      <w:proofErr w:type="gramStart"/>
      <w:r>
        <w:t xml:space="preserve">As </w:t>
      </w:r>
      <w:r w:rsidR="00524BED" w:rsidRPr="002826E1">
        <w:t>Staff’s response in</w:t>
      </w:r>
      <w:r w:rsidR="005B60E9">
        <w:t xml:space="preserve"> </w:t>
      </w:r>
      <w:r w:rsidRPr="00785380">
        <w:t>Exhibit No.</w:t>
      </w:r>
      <w:proofErr w:type="gramEnd"/>
      <w:r w:rsidRPr="00785380">
        <w:t xml:space="preserve"> ___(RRS-10)</w:t>
      </w:r>
      <w:r>
        <w:t xml:space="preserve"> shows, Staff was asked for its proposed revenue allocation under PacifiCorp system average increase scenarios of a 0% increase, 5% increase and 8.5% (PacifiCorp’s requested increase).  Using the Schedule 48T-Dedicated Facilities as an example, Table 1 below shows Staff’s recommendation for the class percentage increase and multiple of the system average increase for the three scenarios in Staff’s response, along with Staff’s recommended increase </w:t>
      </w:r>
      <w:r w:rsidR="00823872">
        <w:t>at</w:t>
      </w:r>
      <w:r>
        <w:t xml:space="preserve"> 2.41%</w:t>
      </w:r>
      <w:r w:rsidR="00823872">
        <w:t xml:space="preserve"> system average increase</w:t>
      </w:r>
      <w:r>
        <w:t xml:space="preserve">.  </w:t>
      </w:r>
    </w:p>
    <w:tbl>
      <w:tblPr>
        <w:tblStyle w:val="TableGrid"/>
        <w:tblW w:w="0" w:type="auto"/>
        <w:jc w:val="center"/>
        <w:tblInd w:w="720" w:type="dxa"/>
        <w:tblBorders>
          <w:insideH w:val="none" w:sz="0" w:space="0" w:color="auto"/>
          <w:insideV w:val="none" w:sz="0" w:space="0" w:color="auto"/>
        </w:tblBorders>
        <w:tblLook w:val="04A0" w:firstRow="1" w:lastRow="0" w:firstColumn="1" w:lastColumn="0" w:noHBand="0" w:noVBand="1"/>
      </w:tblPr>
      <w:tblGrid>
        <w:gridCol w:w="2178"/>
        <w:gridCol w:w="2340"/>
        <w:gridCol w:w="2160"/>
      </w:tblGrid>
      <w:tr w:rsidR="00307C21" w:rsidTr="00EF437D">
        <w:trPr>
          <w:jc w:val="center"/>
        </w:trPr>
        <w:tc>
          <w:tcPr>
            <w:tcW w:w="6678" w:type="dxa"/>
            <w:gridSpan w:val="3"/>
          </w:tcPr>
          <w:p w:rsidR="00307C21" w:rsidRDefault="00307C21" w:rsidP="00EF437D">
            <w:pPr>
              <w:keepNext/>
              <w:jc w:val="center"/>
              <w:rPr>
                <w:b/>
              </w:rPr>
            </w:pPr>
          </w:p>
          <w:p w:rsidR="00307C21" w:rsidRDefault="00307C21" w:rsidP="00EF437D">
            <w:pPr>
              <w:keepNext/>
              <w:jc w:val="center"/>
              <w:rPr>
                <w:b/>
              </w:rPr>
            </w:pPr>
            <w:r>
              <w:rPr>
                <w:b/>
              </w:rPr>
              <w:t>TABLE 1</w:t>
            </w:r>
          </w:p>
          <w:p w:rsidR="00307C21" w:rsidRDefault="00307C21" w:rsidP="00EF437D">
            <w:pPr>
              <w:keepNext/>
              <w:jc w:val="center"/>
              <w:rPr>
                <w:b/>
              </w:rPr>
            </w:pPr>
          </w:p>
          <w:p w:rsidR="00307C21" w:rsidRDefault="00307C21" w:rsidP="00EF437D">
            <w:pPr>
              <w:keepNext/>
              <w:jc w:val="center"/>
              <w:rPr>
                <w:b/>
              </w:rPr>
            </w:pPr>
            <w:r>
              <w:rPr>
                <w:b/>
              </w:rPr>
              <w:t>Staff’s Proposed Increases to</w:t>
            </w:r>
          </w:p>
          <w:p w:rsidR="00307C21" w:rsidRDefault="00307C21" w:rsidP="00EF437D">
            <w:pPr>
              <w:keepNext/>
              <w:jc w:val="center"/>
              <w:rPr>
                <w:b/>
                <w:u w:val="single"/>
              </w:rPr>
            </w:pPr>
            <w:r>
              <w:rPr>
                <w:b/>
              </w:rPr>
              <w:t xml:space="preserve"> Schedule 48T-Dedicated Facilities</w:t>
            </w:r>
            <w:r w:rsidRPr="007F05D7">
              <w:rPr>
                <w:b/>
              </w:rPr>
              <w:t> Class</w:t>
            </w:r>
          </w:p>
          <w:p w:rsidR="00307C21" w:rsidRPr="00820449" w:rsidRDefault="00307C21" w:rsidP="00EF437D">
            <w:pPr>
              <w:keepNext/>
              <w:jc w:val="center"/>
              <w:rPr>
                <w:b/>
                <w:u w:val="single"/>
              </w:rPr>
            </w:pPr>
            <w:r w:rsidRPr="00820449">
              <w:rPr>
                <w:b/>
                <w:u w:val="single"/>
              </w:rPr>
              <w:t xml:space="preserve"> Under Various Overall Increase Scenarios</w:t>
            </w:r>
            <w:r>
              <w:rPr>
                <w:b/>
                <w:u w:val="single"/>
              </w:rPr>
              <w:t>     </w:t>
            </w:r>
          </w:p>
          <w:p w:rsidR="00307C21" w:rsidRPr="00820449" w:rsidRDefault="00307C21" w:rsidP="00EF437D">
            <w:pPr>
              <w:keepNext/>
              <w:jc w:val="center"/>
              <w:rPr>
                <w:b/>
              </w:rPr>
            </w:pPr>
          </w:p>
        </w:tc>
      </w:tr>
      <w:tr w:rsidR="00307C21" w:rsidTr="00EF437D">
        <w:trPr>
          <w:jc w:val="center"/>
        </w:trPr>
        <w:tc>
          <w:tcPr>
            <w:tcW w:w="2178" w:type="dxa"/>
          </w:tcPr>
          <w:p w:rsidR="00307C21" w:rsidRDefault="00307C21" w:rsidP="00EF437D">
            <w:pPr>
              <w:keepNext/>
              <w:jc w:val="center"/>
              <w:rPr>
                <w:b/>
              </w:rPr>
            </w:pPr>
          </w:p>
          <w:p w:rsidR="00307C21" w:rsidRPr="00820449" w:rsidRDefault="00307C21" w:rsidP="00EF437D">
            <w:pPr>
              <w:keepNext/>
              <w:jc w:val="center"/>
              <w:rPr>
                <w:b/>
              </w:rPr>
            </w:pPr>
            <w:r>
              <w:rPr>
                <w:b/>
              </w:rPr>
              <w:t xml:space="preserve">Overall Percentage </w:t>
            </w:r>
            <w:r>
              <w:rPr>
                <w:b/>
                <w:u w:val="single"/>
              </w:rPr>
              <w:t>  </w:t>
            </w:r>
            <w:r w:rsidRPr="00820449">
              <w:rPr>
                <w:b/>
                <w:u w:val="single"/>
              </w:rPr>
              <w:t>Increase</w:t>
            </w:r>
            <w:r>
              <w:rPr>
                <w:b/>
                <w:u w:val="single"/>
              </w:rPr>
              <w:t>  </w:t>
            </w:r>
          </w:p>
        </w:tc>
        <w:tc>
          <w:tcPr>
            <w:tcW w:w="2340" w:type="dxa"/>
          </w:tcPr>
          <w:p w:rsidR="00307C21" w:rsidRDefault="00307C21" w:rsidP="00EF437D">
            <w:pPr>
              <w:keepNext/>
              <w:jc w:val="center"/>
              <w:rPr>
                <w:b/>
              </w:rPr>
            </w:pPr>
            <w:r>
              <w:rPr>
                <w:b/>
              </w:rPr>
              <w:t>Staff’s Proposed Increase for Schedule 48T-</w:t>
            </w:r>
            <w:r w:rsidRPr="00820449">
              <w:rPr>
                <w:b/>
                <w:u w:val="single"/>
              </w:rPr>
              <w:t>Dedicated Facilities</w:t>
            </w:r>
          </w:p>
          <w:p w:rsidR="00307C21" w:rsidRPr="00820449" w:rsidRDefault="00307C21" w:rsidP="00EF437D">
            <w:pPr>
              <w:keepNext/>
              <w:jc w:val="center"/>
              <w:rPr>
                <w:b/>
              </w:rPr>
            </w:pPr>
          </w:p>
        </w:tc>
        <w:tc>
          <w:tcPr>
            <w:tcW w:w="2160" w:type="dxa"/>
          </w:tcPr>
          <w:p w:rsidR="00307C21" w:rsidRDefault="00307C21" w:rsidP="00EF437D">
            <w:pPr>
              <w:keepNext/>
              <w:jc w:val="center"/>
              <w:rPr>
                <w:b/>
              </w:rPr>
            </w:pPr>
          </w:p>
          <w:p w:rsidR="00307C21" w:rsidRPr="00820449" w:rsidRDefault="00307C21" w:rsidP="00EF437D">
            <w:pPr>
              <w:keepNext/>
              <w:jc w:val="center"/>
              <w:rPr>
                <w:b/>
              </w:rPr>
            </w:pPr>
            <w:r>
              <w:rPr>
                <w:b/>
              </w:rPr>
              <w:t xml:space="preserve">Multiple of Overall Percent </w:t>
            </w:r>
            <w:r>
              <w:rPr>
                <w:b/>
                <w:u w:val="single"/>
              </w:rPr>
              <w:t>      </w:t>
            </w:r>
            <w:r w:rsidRPr="00820449">
              <w:rPr>
                <w:b/>
                <w:u w:val="single"/>
              </w:rPr>
              <w:t>Increase</w:t>
            </w:r>
            <w:r>
              <w:rPr>
                <w:b/>
                <w:u w:val="single"/>
              </w:rPr>
              <w:t>      </w:t>
            </w:r>
          </w:p>
        </w:tc>
      </w:tr>
      <w:tr w:rsidR="00307C21" w:rsidTr="00EF437D">
        <w:trPr>
          <w:jc w:val="center"/>
        </w:trPr>
        <w:tc>
          <w:tcPr>
            <w:tcW w:w="2178" w:type="dxa"/>
          </w:tcPr>
          <w:p w:rsidR="00307C21" w:rsidRDefault="00307C21" w:rsidP="00EF437D">
            <w:pPr>
              <w:keepNext/>
              <w:tabs>
                <w:tab w:val="right" w:pos="765"/>
              </w:tabs>
              <w:jc w:val="center"/>
            </w:pPr>
            <w:r>
              <w:tab/>
              <w:t>0%</w:t>
            </w:r>
          </w:p>
        </w:tc>
        <w:tc>
          <w:tcPr>
            <w:tcW w:w="2340" w:type="dxa"/>
          </w:tcPr>
          <w:p w:rsidR="00307C21" w:rsidRDefault="00307C21" w:rsidP="00EF437D">
            <w:pPr>
              <w:keepNext/>
              <w:tabs>
                <w:tab w:val="right" w:pos="1407"/>
              </w:tabs>
            </w:pPr>
            <w:r>
              <w:tab/>
              <w:t>1.76%</w:t>
            </w:r>
          </w:p>
        </w:tc>
        <w:tc>
          <w:tcPr>
            <w:tcW w:w="2160" w:type="dxa"/>
          </w:tcPr>
          <w:p w:rsidR="00307C21" w:rsidRDefault="00307C21" w:rsidP="00EF437D">
            <w:pPr>
              <w:keepNext/>
              <w:tabs>
                <w:tab w:val="right" w:pos="1242"/>
              </w:tabs>
            </w:pPr>
            <w:r>
              <w:tab/>
              <w:t>Infinite</w:t>
            </w:r>
          </w:p>
        </w:tc>
      </w:tr>
      <w:tr w:rsidR="00307C21" w:rsidTr="00EF437D">
        <w:trPr>
          <w:jc w:val="center"/>
        </w:trPr>
        <w:tc>
          <w:tcPr>
            <w:tcW w:w="2178" w:type="dxa"/>
          </w:tcPr>
          <w:p w:rsidR="00307C21" w:rsidRDefault="00307C21" w:rsidP="00EF437D">
            <w:pPr>
              <w:keepNext/>
              <w:tabs>
                <w:tab w:val="right" w:pos="765"/>
              </w:tabs>
              <w:jc w:val="center"/>
            </w:pPr>
            <w:r>
              <w:tab/>
              <w:t>2.41%</w:t>
            </w:r>
          </w:p>
        </w:tc>
        <w:tc>
          <w:tcPr>
            <w:tcW w:w="2340" w:type="dxa"/>
          </w:tcPr>
          <w:p w:rsidR="00307C21" w:rsidRDefault="00307C21" w:rsidP="00EF437D">
            <w:pPr>
              <w:keepNext/>
              <w:tabs>
                <w:tab w:val="right" w:pos="1407"/>
              </w:tabs>
            </w:pPr>
            <w:r>
              <w:tab/>
              <w:t>3.62%</w:t>
            </w:r>
          </w:p>
        </w:tc>
        <w:tc>
          <w:tcPr>
            <w:tcW w:w="2160" w:type="dxa"/>
          </w:tcPr>
          <w:p w:rsidR="00307C21" w:rsidRDefault="00307C21" w:rsidP="00EF437D">
            <w:pPr>
              <w:keepNext/>
              <w:tabs>
                <w:tab w:val="right" w:pos="1242"/>
              </w:tabs>
            </w:pPr>
            <w:r>
              <w:tab/>
              <w:t>1.50x</w:t>
            </w:r>
          </w:p>
        </w:tc>
      </w:tr>
      <w:tr w:rsidR="00307C21" w:rsidTr="00EF437D">
        <w:trPr>
          <w:jc w:val="center"/>
        </w:trPr>
        <w:tc>
          <w:tcPr>
            <w:tcW w:w="2178" w:type="dxa"/>
          </w:tcPr>
          <w:p w:rsidR="00307C21" w:rsidRDefault="00307C21" w:rsidP="00EF437D">
            <w:pPr>
              <w:keepNext/>
              <w:tabs>
                <w:tab w:val="right" w:pos="765"/>
              </w:tabs>
              <w:jc w:val="center"/>
            </w:pPr>
            <w:r>
              <w:tab/>
              <w:t>5.00%</w:t>
            </w:r>
          </w:p>
        </w:tc>
        <w:tc>
          <w:tcPr>
            <w:tcW w:w="2340" w:type="dxa"/>
          </w:tcPr>
          <w:p w:rsidR="00307C21" w:rsidRDefault="00307C21" w:rsidP="00EF437D">
            <w:pPr>
              <w:keepNext/>
              <w:tabs>
                <w:tab w:val="right" w:pos="1407"/>
              </w:tabs>
            </w:pPr>
            <w:r>
              <w:tab/>
              <w:t>7.50%</w:t>
            </w:r>
          </w:p>
        </w:tc>
        <w:tc>
          <w:tcPr>
            <w:tcW w:w="2160" w:type="dxa"/>
          </w:tcPr>
          <w:p w:rsidR="00307C21" w:rsidRDefault="00307C21" w:rsidP="00EF437D">
            <w:pPr>
              <w:keepNext/>
              <w:tabs>
                <w:tab w:val="right" w:pos="1242"/>
              </w:tabs>
            </w:pPr>
            <w:r>
              <w:tab/>
              <w:t>1.50x</w:t>
            </w:r>
          </w:p>
        </w:tc>
      </w:tr>
      <w:tr w:rsidR="00307C21" w:rsidTr="00EF437D">
        <w:trPr>
          <w:jc w:val="center"/>
        </w:trPr>
        <w:tc>
          <w:tcPr>
            <w:tcW w:w="2178" w:type="dxa"/>
          </w:tcPr>
          <w:p w:rsidR="00307C21" w:rsidRDefault="00307C21" w:rsidP="00EF437D">
            <w:pPr>
              <w:keepNext/>
              <w:tabs>
                <w:tab w:val="right" w:pos="765"/>
              </w:tabs>
              <w:jc w:val="center"/>
            </w:pPr>
            <w:r>
              <w:tab/>
              <w:t>8.50%</w:t>
            </w:r>
          </w:p>
        </w:tc>
        <w:tc>
          <w:tcPr>
            <w:tcW w:w="2340" w:type="dxa"/>
          </w:tcPr>
          <w:p w:rsidR="00307C21" w:rsidRDefault="00307C21" w:rsidP="00EF437D">
            <w:pPr>
              <w:keepNext/>
              <w:tabs>
                <w:tab w:val="right" w:pos="1407"/>
              </w:tabs>
            </w:pPr>
            <w:r>
              <w:tab/>
              <w:t>10.63%</w:t>
            </w:r>
          </w:p>
        </w:tc>
        <w:tc>
          <w:tcPr>
            <w:tcW w:w="2160" w:type="dxa"/>
          </w:tcPr>
          <w:p w:rsidR="00307C21" w:rsidRDefault="00307C21" w:rsidP="00EF437D">
            <w:pPr>
              <w:keepNext/>
              <w:tabs>
                <w:tab w:val="right" w:pos="1242"/>
              </w:tabs>
            </w:pPr>
            <w:r>
              <w:tab/>
              <w:t>1.25x</w:t>
            </w:r>
          </w:p>
        </w:tc>
      </w:tr>
    </w:tbl>
    <w:p w:rsidR="00307C21" w:rsidRDefault="00307C21" w:rsidP="00307C21">
      <w:pPr>
        <w:suppressLineNumbers/>
        <w:spacing w:line="480" w:lineRule="auto"/>
        <w:ind w:left="720" w:hanging="720"/>
      </w:pPr>
    </w:p>
    <w:p w:rsidR="00307C21" w:rsidRDefault="00307C21" w:rsidP="00307C21">
      <w:pPr>
        <w:spacing w:line="480" w:lineRule="auto"/>
        <w:ind w:left="720" w:hanging="720"/>
      </w:pPr>
      <w:r>
        <w:tab/>
        <w:t>Thus, as Table 1 indicates, Staff’s proposal is subjective, and somewhat unpredictable, in terms of the relationship to overall percentage increase.  Apparently, for some level of increase between 5% and 8.5%, Staff would modify its cap from 1.5% to 1.25%, but it is impossible to know how, and at what level, that change might occur.</w:t>
      </w:r>
    </w:p>
    <w:p w:rsidR="00307C21" w:rsidRDefault="00307C21" w:rsidP="00307C21">
      <w:pPr>
        <w:spacing w:line="480" w:lineRule="auto"/>
        <w:ind w:left="720" w:firstLine="720"/>
      </w:pPr>
      <w:r>
        <w:t xml:space="preserve">In addition to providing a greater level of protection against rate shock and promoting gradualism, the revenue allocation that I recommended in my responsive testimony at pages 31-32 is also more predictable, for various levels of system average increase.  I recommend that it be adopted and Staff’s proposal be rejected.  </w:t>
      </w:r>
    </w:p>
    <w:p w:rsidR="00307C21" w:rsidRDefault="00307C21" w:rsidP="00307C21">
      <w:pPr>
        <w:pStyle w:val="Heading1"/>
      </w:pPr>
      <w:r>
        <w:t>Response to Public Counsel Witness Watkins</w:t>
      </w:r>
    </w:p>
    <w:p w:rsidR="00307C21" w:rsidRDefault="00307C21" w:rsidP="00307C21">
      <w:pPr>
        <w:spacing w:after="240"/>
        <w:ind w:left="720" w:hanging="720"/>
        <w:rPr>
          <w:b/>
        </w:rPr>
      </w:pPr>
      <w:r>
        <w:rPr>
          <w:b/>
        </w:rPr>
        <w:t>Q.</w:t>
      </w:r>
      <w:r>
        <w:rPr>
          <w:b/>
        </w:rPr>
        <w:tab/>
        <w:t>HAVE YOU REVIEWED THE TESTIMONY OF PUBLIC COUNSEL WITNESS WATKINS AS IT RELATES TO THE ISSUES THAT YOU ADDRESSED IN YOUR RESPONSIVE TESTIMONY?</w:t>
      </w:r>
    </w:p>
    <w:p w:rsidR="00307C21" w:rsidRDefault="00307C21" w:rsidP="00307C21">
      <w:pPr>
        <w:spacing w:line="480" w:lineRule="auto"/>
        <w:ind w:left="720" w:hanging="720"/>
      </w:pPr>
      <w:r>
        <w:t>A.</w:t>
      </w:r>
      <w:r>
        <w:tab/>
        <w:t xml:space="preserve">Yes, I have.  Mr. Watkins addresses class cost of service and revenue allocation on pages 2-15 of his direct testimony.  </w:t>
      </w:r>
    </w:p>
    <w:p w:rsidR="00543CC0" w:rsidRDefault="00543CC0" w:rsidP="00543CC0">
      <w:pPr>
        <w:suppressLineNumbers/>
        <w:spacing w:line="480" w:lineRule="auto"/>
        <w:ind w:left="720" w:hanging="720"/>
      </w:pPr>
    </w:p>
    <w:p w:rsidR="00307C21" w:rsidRDefault="00307C21" w:rsidP="00307C21">
      <w:pPr>
        <w:spacing w:after="240"/>
        <w:ind w:left="720" w:hanging="720"/>
        <w:rPr>
          <w:b/>
        </w:rPr>
      </w:pPr>
      <w:r>
        <w:rPr>
          <w:b/>
        </w:rPr>
        <w:lastRenderedPageBreak/>
        <w:t>Q.</w:t>
      </w:r>
      <w:r>
        <w:rPr>
          <w:b/>
        </w:rPr>
        <w:tab/>
        <w:t>IN BACKGROUND DISCUSSION REGARDING THE MULTIPLE GENERATION ALLOCATION METHODS THAT EXIST FOR THE ELECTRIC INDUSTRY, MR. WATKINS POSES THE FOLLOWING HYPOTHETICAL:</w:t>
      </w:r>
    </w:p>
    <w:p w:rsidR="00307C21" w:rsidRDefault="00307C21" w:rsidP="00307C21">
      <w:pPr>
        <w:ind w:left="1440" w:right="1440"/>
        <w:jc w:val="both"/>
        <w:rPr>
          <w:b/>
        </w:rPr>
      </w:pPr>
      <w:r>
        <w:rPr>
          <w:b/>
        </w:rPr>
        <w:t>IF ALL CUSTOMER CLASSES USED ELECTRICITY AT A CONSTANT RATE THROUGHOUT THE YEAR, THERE WOULD BE NO DISAGREEMENT AS TO THE PROPER ASSIGNMEN</w:t>
      </w:r>
      <w:r w:rsidR="00603CCA">
        <w:rPr>
          <w:b/>
        </w:rPr>
        <w:t xml:space="preserve">T OF GENERATION-RELATED COSTS. </w:t>
      </w:r>
      <w:r>
        <w:rPr>
          <w:b/>
        </w:rPr>
        <w:t>ALL ANALYSTS WOULD AGREE THAT ENERGY USAGE IN TERMS O</w:t>
      </w:r>
      <w:r w:rsidR="00603CCA">
        <w:rPr>
          <w:b/>
        </w:rPr>
        <w:t xml:space="preserve">F KWH WOULD BE THE PROPER </w:t>
      </w:r>
      <w:r>
        <w:rPr>
          <w:b/>
        </w:rPr>
        <w:t>APPROACH TO REFLECT COST CAUSATION AND COST INCIDENCE.</w:t>
      </w:r>
      <w:r w:rsidRPr="00015851">
        <w:rPr>
          <w:rStyle w:val="FootnoteReference"/>
          <w:b/>
          <w:u w:val="single"/>
        </w:rPr>
        <w:footnoteReference w:id="8"/>
      </w:r>
      <w:r w:rsidRPr="00015851">
        <w:rPr>
          <w:b/>
          <w:vertAlign w:val="superscript"/>
        </w:rPr>
        <w:t>/</w:t>
      </w:r>
    </w:p>
    <w:p w:rsidR="00307C21" w:rsidRDefault="00307C21" w:rsidP="00307C21">
      <w:pPr>
        <w:suppressLineNumbers/>
        <w:ind w:left="1440" w:right="720"/>
        <w:rPr>
          <w:b/>
        </w:rPr>
      </w:pPr>
    </w:p>
    <w:p w:rsidR="00307C21" w:rsidRPr="003E1405" w:rsidRDefault="00307C21" w:rsidP="00307C21">
      <w:pPr>
        <w:spacing w:after="240"/>
        <w:ind w:left="720" w:hanging="720"/>
        <w:rPr>
          <w:b/>
        </w:rPr>
      </w:pPr>
      <w:r>
        <w:rPr>
          <w:b/>
        </w:rPr>
        <w:tab/>
        <w:t>HOW DO YOU RESPOND?</w:t>
      </w:r>
    </w:p>
    <w:p w:rsidR="00307C21" w:rsidRDefault="00307C21" w:rsidP="00307C21">
      <w:pPr>
        <w:spacing w:line="480" w:lineRule="auto"/>
        <w:ind w:left="720" w:hanging="720"/>
      </w:pPr>
      <w:r>
        <w:t>A.</w:t>
      </w:r>
      <w:r>
        <w:tab/>
        <w:t xml:space="preserve">Mr. Watkins’ hypothetical is misleading and his conclusion is wrong.  Under his hypothetical, if all customer classes used electricity at a constant rate throughout the year, then their </w:t>
      </w:r>
      <w:r w:rsidRPr="00712A46">
        <w:rPr>
          <w:u w:val="single"/>
        </w:rPr>
        <w:t>demands</w:t>
      </w:r>
      <w:r>
        <w:t xml:space="preserve"> would be equivalent each hour as well as their energy.  Thus, analysts could equally agree that </w:t>
      </w:r>
      <w:r w:rsidRPr="008A2466">
        <w:rPr>
          <w:u w:val="single"/>
        </w:rPr>
        <w:t>demand</w:t>
      </w:r>
      <w:r>
        <w:t xml:space="preserve"> usage in terms of kW would be the proper approach to reflect cost causation and cost incidence.  His hypothetical is of no determinative value.  </w:t>
      </w:r>
    </w:p>
    <w:p w:rsidR="00307C21" w:rsidRDefault="00307C21" w:rsidP="00307C21">
      <w:pPr>
        <w:ind w:left="720" w:hanging="720"/>
        <w:rPr>
          <w:b/>
        </w:rPr>
      </w:pPr>
      <w:r>
        <w:rPr>
          <w:b/>
        </w:rPr>
        <w:t>Q.</w:t>
      </w:r>
      <w:r>
        <w:rPr>
          <w:b/>
        </w:rPr>
        <w:tab/>
        <w:t>MR. WATKINS GOES ON TO DISCUSS A “DISTINCT ENERGY/CAPACITY TRADE-OFF” RELATING TO GENERATION COSTS.</w:t>
      </w:r>
      <w:r w:rsidRPr="00FC2128">
        <w:rPr>
          <w:rStyle w:val="FootnoteReference"/>
          <w:b/>
          <w:u w:val="single"/>
        </w:rPr>
        <w:footnoteReference w:id="9"/>
      </w:r>
      <w:r w:rsidRPr="00FC2128">
        <w:rPr>
          <w:b/>
          <w:vertAlign w:val="superscript"/>
        </w:rPr>
        <w:t>/</w:t>
      </w:r>
      <w:r>
        <w:rPr>
          <w:b/>
        </w:rPr>
        <w:t xml:space="preserve">  HOW DO YOU RESPOND?</w:t>
      </w:r>
    </w:p>
    <w:p w:rsidR="00307C21" w:rsidRDefault="00307C21" w:rsidP="00307C21">
      <w:pPr>
        <w:suppressLineNumbers/>
        <w:ind w:left="720" w:hanging="720"/>
        <w:rPr>
          <w:b/>
        </w:rPr>
      </w:pPr>
    </w:p>
    <w:p w:rsidR="00307C21" w:rsidRDefault="00307C21" w:rsidP="00307C21">
      <w:pPr>
        <w:spacing w:line="480" w:lineRule="auto"/>
        <w:ind w:left="720" w:hanging="720"/>
      </w:pPr>
      <w:r>
        <w:t>A.</w:t>
      </w:r>
      <w:r>
        <w:tab/>
        <w:t xml:space="preserve">In this passage, Mr. Watkins makes note of the fact that PacifiCorp experiences periods of much higher demand during certain times of the year and across various hours of the day.  That is to say, there is both peak and off-peak usage on the system.  However, despite Mr. Watkins’ ultimate claim, this does </w:t>
      </w:r>
      <w:r w:rsidRPr="000538EA">
        <w:t>not disqualify</w:t>
      </w:r>
      <w:r>
        <w:t xml:space="preserve"> the use of system peak demand responsibility for allocating production costs.  Indeed, one of the </w:t>
      </w:r>
      <w:r>
        <w:lastRenderedPageBreak/>
        <w:t>major writings on establishing utility rates</w:t>
      </w:r>
      <w:r w:rsidR="00AC220F" w:rsidRPr="00AC220F">
        <w:rPr>
          <w:rStyle w:val="FootnoteReference"/>
          <w:u w:val="single"/>
        </w:rPr>
        <w:footnoteReference w:id="10"/>
      </w:r>
      <w:r w:rsidR="00C21A7F">
        <w:rPr>
          <w:vertAlign w:val="superscript"/>
        </w:rPr>
        <w:t>/</w:t>
      </w:r>
      <w:r>
        <w:t xml:space="preserve"> expresses “qualified support for the system-peak responsibility principle,” rather than Peak and Average or another hybrid approach for allocating the types of joint costs to which Mr. Watkins refers.  As Bonbright, </w:t>
      </w:r>
      <w:r w:rsidRPr="00CD59C0">
        <w:rPr>
          <w:i/>
        </w:rPr>
        <w:t>et al.</w:t>
      </w:r>
      <w:r>
        <w:t>, explain:</w:t>
      </w:r>
    </w:p>
    <w:p w:rsidR="00307C21" w:rsidRDefault="00307C21" w:rsidP="00307C21">
      <w:pPr>
        <w:ind w:left="1440" w:right="1440"/>
        <w:jc w:val="both"/>
      </w:pPr>
      <w:r>
        <w:t>The continued presence of peaks and valleys in public utility utilization gives qualified support to the system peak responsibility principle of capacity</w:t>
      </w:r>
      <w:r w:rsidR="003C4D00">
        <w:t>-</w:t>
      </w:r>
      <w:r>
        <w:t>cost allocation.  Regardless of the reason for the persistence of peaks and valleys in the load curves of utility systems, as long as they persist they raise the problem of cost imputation as between on-peak and off-peak service.  This problem is soluble under familiar principles of joint-cost imputation subject to a number of simplifying assumptions.  The reason why it is soluble, despite the general principle that joint</w:t>
      </w:r>
      <w:r w:rsidR="003C4D00">
        <w:t xml:space="preserve"> </w:t>
      </w:r>
      <w:r>
        <w:t xml:space="preserve">costs are </w:t>
      </w:r>
      <w:proofErr w:type="spellStart"/>
      <w:r>
        <w:t>unallocable</w:t>
      </w:r>
      <w:proofErr w:type="spellEnd"/>
      <w:r>
        <w:t xml:space="preserve"> costs from the standpoint of cost analysis, is that we now have </w:t>
      </w:r>
      <w:r w:rsidR="00CD476E">
        <w:t xml:space="preserve">that </w:t>
      </w:r>
      <w:r>
        <w:t xml:space="preserve">limiting case of joint production in which one of two products, the </w:t>
      </w:r>
      <w:r w:rsidRPr="004E3E3D">
        <w:rPr>
          <w:u w:val="single"/>
        </w:rPr>
        <w:t>off-peak service, is a byproduct</w:t>
      </w:r>
      <w:r>
        <w:t xml:space="preserve"> in the strict</w:t>
      </w:r>
      <w:r w:rsidR="00CD476E">
        <w:t>est</w:t>
      </w:r>
      <w:r>
        <w:t xml:space="preserve"> sense of that term</w:t>
      </w:r>
      <w:r w:rsidR="00CD476E">
        <w:t>,</w:t>
      </w:r>
      <w:r>
        <w:t xml:space="preserve"> whereas the other product, the peak-time service, is the main product. Under this condition, </w:t>
      </w:r>
      <w:r w:rsidRPr="008A2466">
        <w:rPr>
          <w:u w:val="single"/>
        </w:rPr>
        <w:t>no longer does the increase in capacity costs incurred in order to increase the output of the main product have to its credit any useful accomplishment in enhancing the further output of the byproduct</w:t>
      </w:r>
      <w:r>
        <w:t>.  For the plant is already redundant with respect to the byproduct.  Hence, at the margin, the byproduct is costless save for its separable costs (energy costs and possible customer costs), and the main product is chargeable with the entire incremental capacity costs.  Whether or not the byproduct should nevertheless be sold at a profit over incremental cost, in order to help cover the company’s total revenue requirements, is a problem of ratemaking, not a problem of cost analysis.</w:t>
      </w:r>
      <w:r w:rsidRPr="000538EA">
        <w:rPr>
          <w:rStyle w:val="FootnoteReference"/>
          <w:u w:val="single"/>
        </w:rPr>
        <w:footnoteReference w:id="11"/>
      </w:r>
      <w:r w:rsidRPr="000538EA">
        <w:rPr>
          <w:vertAlign w:val="superscript"/>
        </w:rPr>
        <w:t>/</w:t>
      </w:r>
      <w:r>
        <w:t xml:space="preserve">  </w:t>
      </w:r>
    </w:p>
    <w:p w:rsidR="00307C21" w:rsidRDefault="00307C21" w:rsidP="00307C21">
      <w:pPr>
        <w:suppressLineNumbers/>
        <w:ind w:right="720"/>
        <w:jc w:val="both"/>
      </w:pPr>
    </w:p>
    <w:p w:rsidR="00603CCA" w:rsidRDefault="00603CCA" w:rsidP="00307C21">
      <w:pPr>
        <w:suppressLineNumbers/>
        <w:ind w:right="720"/>
        <w:jc w:val="both"/>
      </w:pPr>
    </w:p>
    <w:p w:rsidR="00603CCA" w:rsidRDefault="00603CCA" w:rsidP="00307C21">
      <w:pPr>
        <w:suppressLineNumbers/>
        <w:ind w:right="720"/>
        <w:jc w:val="both"/>
      </w:pPr>
    </w:p>
    <w:p w:rsidR="00603CCA" w:rsidRDefault="00603CCA" w:rsidP="00307C21">
      <w:pPr>
        <w:suppressLineNumbers/>
        <w:ind w:right="720"/>
        <w:jc w:val="both"/>
      </w:pPr>
    </w:p>
    <w:p w:rsidR="00603CCA" w:rsidRDefault="00603CCA" w:rsidP="00307C21">
      <w:pPr>
        <w:suppressLineNumbers/>
        <w:ind w:right="720"/>
        <w:jc w:val="both"/>
      </w:pPr>
    </w:p>
    <w:p w:rsidR="00603CCA" w:rsidRDefault="00603CCA" w:rsidP="00307C21">
      <w:pPr>
        <w:suppressLineNumbers/>
        <w:ind w:right="720"/>
        <w:jc w:val="both"/>
      </w:pPr>
    </w:p>
    <w:p w:rsidR="00603CCA" w:rsidRDefault="00603CCA" w:rsidP="00307C21">
      <w:pPr>
        <w:suppressLineNumbers/>
        <w:ind w:right="720"/>
        <w:jc w:val="both"/>
      </w:pPr>
    </w:p>
    <w:p w:rsidR="00307C21" w:rsidRDefault="00307C21" w:rsidP="00307C21">
      <w:pPr>
        <w:spacing w:after="240"/>
        <w:ind w:left="720" w:hanging="720"/>
        <w:rPr>
          <w:b/>
        </w:rPr>
      </w:pPr>
      <w:r>
        <w:rPr>
          <w:b/>
        </w:rPr>
        <w:lastRenderedPageBreak/>
        <w:t>Q.</w:t>
      </w:r>
      <w:r>
        <w:rPr>
          <w:b/>
        </w:rPr>
        <w:tab/>
        <w:t xml:space="preserve">AT PAGES 8-9 OF HIS TESTIMONY, MR. WATKINS SEEKS TO DISTINGUISH BETWEEN THE PEAK AND AVERAGE AND PEAK CREDIT METHODS, WHICH HE ATTRIBUTES TO PACIFICORP IN THE CURRENT AND IN PRIOR CASES, RESPECTIVELY.  PLEASE COMMENT ON THIS DISCUSSION.  </w:t>
      </w:r>
    </w:p>
    <w:p w:rsidR="00307C21" w:rsidRDefault="00307C21" w:rsidP="00307C21">
      <w:pPr>
        <w:spacing w:line="480" w:lineRule="auto"/>
        <w:ind w:left="720" w:hanging="720"/>
      </w:pPr>
      <w:r>
        <w:t>A.</w:t>
      </w:r>
      <w:r>
        <w:tab/>
        <w:t xml:space="preserve">Mr. Watkins indicates that the Peak Credit method is known as the Equivalent Peaker method in other jurisdictions.  He then goes on to discuss the foundation of the Peak Credit methodology as lying within the short run marginal cost theory, and points out that the Peak and Average method is dedicated to embedded or historical costs. </w:t>
      </w:r>
    </w:p>
    <w:p w:rsidR="00BE27D3" w:rsidRDefault="00307C21" w:rsidP="00307C21">
      <w:pPr>
        <w:spacing w:line="480" w:lineRule="auto"/>
        <w:ind w:left="720" w:hanging="720"/>
        <w:rPr>
          <w:b/>
        </w:rPr>
      </w:pPr>
      <w:r>
        <w:tab/>
      </w:r>
      <w:r>
        <w:tab/>
        <w:t xml:space="preserve">Despite this discussion, Mr. Watkins ultimately supports the Peak and Average method as a reasonable approach to allocating PacifiCorp’s costs across its retail classes, with </w:t>
      </w:r>
      <w:r w:rsidR="00346AA0">
        <w:t>a caveat</w:t>
      </w:r>
      <w:r>
        <w:t>.</w:t>
      </w:r>
      <w:r w:rsidR="00AC220F" w:rsidRPr="00AC220F">
        <w:rPr>
          <w:rStyle w:val="FootnoteReference"/>
          <w:u w:val="single"/>
        </w:rPr>
        <w:footnoteReference w:id="12"/>
      </w:r>
      <w:proofErr w:type="gramStart"/>
      <w:r w:rsidR="00C21A7F">
        <w:rPr>
          <w:vertAlign w:val="superscript"/>
        </w:rPr>
        <w:t>/</w:t>
      </w:r>
      <w:r w:rsidR="00374F81">
        <w:t xml:space="preserve">  Mr</w:t>
      </w:r>
      <w:proofErr w:type="gramEnd"/>
      <w:r w:rsidR="00374F81">
        <w:t>. Watkins’ characterizations are without merit for the reasons I offered in my responsive testimony.</w:t>
      </w:r>
      <w:r w:rsidRPr="007B02C4">
        <w:rPr>
          <w:rStyle w:val="FootnoteReference"/>
          <w:u w:val="single"/>
        </w:rPr>
        <w:footnoteReference w:id="13"/>
      </w:r>
      <w:r w:rsidRPr="007B02C4">
        <w:rPr>
          <w:vertAlign w:val="superscript"/>
        </w:rPr>
        <w:t>/</w:t>
      </w:r>
    </w:p>
    <w:p w:rsidR="00307C21" w:rsidRPr="00BE27D3" w:rsidRDefault="00307C21" w:rsidP="00307C21">
      <w:pPr>
        <w:spacing w:line="480" w:lineRule="auto"/>
        <w:ind w:left="720" w:hanging="720"/>
      </w:pPr>
      <w:r>
        <w:rPr>
          <w:b/>
        </w:rPr>
        <w:t>Q.</w:t>
      </w:r>
      <w:r>
        <w:rPr>
          <w:b/>
        </w:rPr>
        <w:tab/>
        <w:t xml:space="preserve">WHAT </w:t>
      </w:r>
      <w:r w:rsidR="00346AA0">
        <w:rPr>
          <w:b/>
        </w:rPr>
        <w:t>IS THE CAVEAT</w:t>
      </w:r>
      <w:bookmarkStart w:id="8" w:name="_GoBack"/>
      <w:bookmarkEnd w:id="8"/>
      <w:r>
        <w:rPr>
          <w:b/>
        </w:rPr>
        <w:t xml:space="preserve"> MENTIONED BY MR. WATKINS?</w:t>
      </w:r>
    </w:p>
    <w:p w:rsidR="00E41A73" w:rsidRDefault="00307C21" w:rsidP="00307C21">
      <w:pPr>
        <w:spacing w:line="480" w:lineRule="auto"/>
        <w:ind w:left="720" w:hanging="720"/>
      </w:pPr>
      <w:r>
        <w:t>A.</w:t>
      </w:r>
      <w:r>
        <w:tab/>
        <w:t>Mr. Watkins complains of the use of a single coincident peak for determining the load factor which is used in calculating the classification percentages under the Peak and Average method.  He believes that use of this measure is too unstable and is not “forward-looking.”</w:t>
      </w:r>
      <w:r w:rsidRPr="00CD59C0">
        <w:rPr>
          <w:rStyle w:val="FootnoteReference"/>
          <w:u w:val="single"/>
        </w:rPr>
        <w:footnoteReference w:id="14"/>
      </w:r>
      <w:r>
        <w:rPr>
          <w:vertAlign w:val="superscript"/>
        </w:rPr>
        <w:t>/</w:t>
      </w:r>
      <w:r>
        <w:t xml:space="preserve">  Ultimately, he advocates, and performs calculations, using a demand classification ratio of 30%, rather than 43% used by PacifiCorp.</w:t>
      </w:r>
      <w:r w:rsidRPr="00CD59C0">
        <w:rPr>
          <w:rStyle w:val="FootnoteReference"/>
          <w:u w:val="single"/>
        </w:rPr>
        <w:footnoteReference w:id="15"/>
      </w:r>
      <w:r>
        <w:rPr>
          <w:vertAlign w:val="superscript"/>
        </w:rPr>
        <w:t>/</w:t>
      </w:r>
      <w:r>
        <w:t xml:space="preserve">  </w:t>
      </w:r>
    </w:p>
    <w:p w:rsidR="00543814" w:rsidRPr="006C7618" w:rsidRDefault="00E41A73" w:rsidP="00603CCA">
      <w:pPr>
        <w:spacing w:line="480" w:lineRule="auto"/>
        <w:ind w:left="720" w:hanging="720"/>
      </w:pPr>
      <w:r>
        <w:tab/>
      </w:r>
      <w:r>
        <w:tab/>
      </w:r>
      <w:r w:rsidR="00307C21">
        <w:t xml:space="preserve">In my opinion, this use of an even lower demand classification makes PacifiCorp’s already suspect approach quite egregious.  As indicated in my responsive </w:t>
      </w:r>
      <w:r w:rsidR="00307C21">
        <w:lastRenderedPageBreak/>
        <w:t>testimony, the production plant costs should be classified as demand related and allocated using 4 coincident peaks.</w:t>
      </w:r>
    </w:p>
    <w:p w:rsidR="00307C21" w:rsidRDefault="00307C21" w:rsidP="00307C21">
      <w:pPr>
        <w:spacing w:after="240"/>
        <w:ind w:left="720" w:hanging="720"/>
        <w:rPr>
          <w:b/>
        </w:rPr>
      </w:pPr>
      <w:r>
        <w:rPr>
          <w:b/>
        </w:rPr>
        <w:t>Q.</w:t>
      </w:r>
      <w:r>
        <w:rPr>
          <w:b/>
        </w:rPr>
        <w:tab/>
        <w:t>DOES MR. WATKINS ADDRESS THE THREE STAFF RECOMMENDED COST OF SERVICE CHANGES FROM THE 2013 RATE CASE?</w:t>
      </w:r>
    </w:p>
    <w:p w:rsidR="00307C21" w:rsidRDefault="00307C21" w:rsidP="00307C21">
      <w:pPr>
        <w:spacing w:line="480" w:lineRule="auto"/>
        <w:ind w:left="720" w:hanging="720"/>
      </w:pPr>
      <w:r>
        <w:t>A.</w:t>
      </w:r>
      <w:r>
        <w:tab/>
        <w:t>Yes, he does.</w:t>
      </w:r>
      <w:r w:rsidRPr="002B6915">
        <w:rPr>
          <w:rStyle w:val="FootnoteReference"/>
          <w:u w:val="single"/>
        </w:rPr>
        <w:footnoteReference w:id="16"/>
      </w:r>
      <w:r w:rsidRPr="002B6915">
        <w:rPr>
          <w:vertAlign w:val="superscript"/>
        </w:rPr>
        <w:t>/</w:t>
      </w:r>
      <w:r>
        <w:t xml:space="preserve">  With respect to classifying generation and transmission costs based on 200 hours of peak load, he agrees with PacifiCorp and ultimately with Staff and </w:t>
      </w:r>
      <w:r w:rsidR="00E41A73">
        <w:t>me</w:t>
      </w:r>
      <w:r>
        <w:t xml:space="preserve"> that the 200 hours should </w:t>
      </w:r>
      <w:r>
        <w:rPr>
          <w:u w:val="single"/>
        </w:rPr>
        <w:t>not</w:t>
      </w:r>
      <w:r>
        <w:t xml:space="preserve"> be used.  Thus, to my knowledge, no party has advocated such use in this case.  </w:t>
      </w:r>
    </w:p>
    <w:p w:rsidR="00307C21" w:rsidRDefault="00307C21" w:rsidP="00307C21">
      <w:pPr>
        <w:spacing w:line="480" w:lineRule="auto"/>
        <w:ind w:left="720" w:hanging="720"/>
      </w:pPr>
      <w:r>
        <w:tab/>
      </w:r>
      <w:r>
        <w:tab/>
        <w:t xml:space="preserve">With respect to developing separate classification percentages for NDG (solar and wind resources) he concurs with PacifiCorp, and ultimately with me, that it is inappropriate to single out this one type of generating resource.  This leaves Staff as the sole advocate of such an approach, which I have addressed hereinabove.  </w:t>
      </w:r>
    </w:p>
    <w:p w:rsidR="00307C21" w:rsidRDefault="00307C21" w:rsidP="00307C21">
      <w:pPr>
        <w:spacing w:line="480" w:lineRule="auto"/>
        <w:ind w:left="720" w:hanging="720"/>
      </w:pPr>
      <w:r>
        <w:tab/>
      </w:r>
      <w:r>
        <w:tab/>
        <w:t>With respect to the third recommendation regarding the direct assignment of large account ma</w:t>
      </w:r>
      <w:r w:rsidR="00822C64">
        <w:t>nager expenses to Schedule 48T-Dedicated Facilities</w:t>
      </w:r>
      <w:r>
        <w:t xml:space="preserve"> customers, Mr. Watkins recommends that for </w:t>
      </w:r>
      <w:r w:rsidRPr="008B040C">
        <w:rPr>
          <w:u w:val="single"/>
        </w:rPr>
        <w:t>future</w:t>
      </w:r>
      <w:r>
        <w:t xml:space="preserve"> cost of service studies, the Company adopt such recommendation.  I addressed my opposition to this approach in my response to Staff hereinabove.  </w:t>
      </w:r>
    </w:p>
    <w:p w:rsidR="00307C21" w:rsidRDefault="00307C21" w:rsidP="00307C21">
      <w:pPr>
        <w:spacing w:line="480" w:lineRule="auto"/>
        <w:ind w:left="720" w:hanging="720"/>
        <w:rPr>
          <w:b/>
        </w:rPr>
      </w:pPr>
      <w:r>
        <w:rPr>
          <w:b/>
        </w:rPr>
        <w:t>Q.</w:t>
      </w:r>
      <w:r>
        <w:rPr>
          <w:b/>
        </w:rPr>
        <w:tab/>
        <w:t>HOW DOES MR. WATKINS ADDRESS REVENUE ALLOCATION?</w:t>
      </w:r>
    </w:p>
    <w:p w:rsidR="00307C21" w:rsidRPr="008B040C" w:rsidRDefault="00307C21" w:rsidP="00307C21">
      <w:pPr>
        <w:spacing w:line="480" w:lineRule="auto"/>
        <w:ind w:left="720" w:hanging="720"/>
      </w:pPr>
      <w:r>
        <w:t>A.</w:t>
      </w:r>
      <w:r>
        <w:tab/>
        <w:t>As indicated at pages 16-17 of his direct testimony, Mr. Watkins essentially agrees with PacifiCorp’s proposed rate spread approach, whereby classes that are providing a return index of less than 100% essentially receive an increase of as much as 1</w:t>
      </w:r>
      <w:r w:rsidR="00E41A73">
        <w:t>.</w:t>
      </w:r>
      <w:r>
        <w:t>12 times the system average increase.  He goes on to indicate that should the Commission authorize an overall increase less than PacifiCorp’s requested increase</w:t>
      </w:r>
      <w:r w:rsidR="00E41A73">
        <w:t>,</w:t>
      </w:r>
      <w:r>
        <w:t xml:space="preserve"> the </w:t>
      </w:r>
      <w:r w:rsidR="00E41A73">
        <w:t xml:space="preserve">mitigation </w:t>
      </w:r>
      <w:r w:rsidR="00E41A73">
        <w:lastRenderedPageBreak/>
        <w:t xml:space="preserve">factor </w:t>
      </w:r>
      <w:r>
        <w:t xml:space="preserve"> should be scaled back in a proportional manner.  Thus, I believe that he, PacifiCorp and I are in an agreement in that regard.  Staff’s proposal is the outlier and is addressed hereinabove.</w:t>
      </w:r>
    </w:p>
    <w:p w:rsidR="00307C21" w:rsidRPr="00664DB6" w:rsidRDefault="00307C21" w:rsidP="00307C21">
      <w:pPr>
        <w:spacing w:line="480" w:lineRule="auto"/>
        <w:ind w:left="720" w:hanging="720"/>
        <w:rPr>
          <w:b/>
        </w:rPr>
      </w:pPr>
      <w:r w:rsidRPr="00664DB6">
        <w:rPr>
          <w:b/>
        </w:rPr>
        <w:t>Q.</w:t>
      </w:r>
      <w:r w:rsidRPr="00664DB6">
        <w:rPr>
          <w:b/>
        </w:rPr>
        <w:tab/>
        <w:t>DOES THIS CONCLUDE YOUR CROSS-ANSWERING TESTIMONY?</w:t>
      </w:r>
    </w:p>
    <w:p w:rsidR="00307C21" w:rsidRPr="00664DB6" w:rsidRDefault="00307C21" w:rsidP="00307C21">
      <w:pPr>
        <w:tabs>
          <w:tab w:val="left" w:pos="720"/>
          <w:tab w:val="left" w:pos="1440"/>
          <w:tab w:val="left" w:pos="2415"/>
        </w:tabs>
        <w:spacing w:line="480" w:lineRule="auto"/>
        <w:ind w:left="720" w:hanging="720"/>
      </w:pPr>
      <w:r w:rsidRPr="00664DB6">
        <w:t>A.</w:t>
      </w:r>
      <w:r w:rsidRPr="00664DB6">
        <w:tab/>
        <w:t xml:space="preserve">Yes, it does. </w:t>
      </w:r>
      <w:r w:rsidRPr="00664DB6">
        <w:tab/>
      </w:r>
    </w:p>
    <w:p w:rsidR="00557ADF" w:rsidRPr="00307C21" w:rsidRDefault="00557ADF" w:rsidP="00307C21">
      <w:pPr>
        <w:suppressLineNumbers/>
        <w:tabs>
          <w:tab w:val="left" w:pos="1440"/>
          <w:tab w:val="left" w:pos="5472"/>
        </w:tabs>
        <w:spacing w:line="480" w:lineRule="auto"/>
        <w:ind w:left="720" w:hanging="720"/>
        <w:rPr>
          <w:sz w:val="12"/>
          <w:szCs w:val="12"/>
        </w:rPr>
      </w:pPr>
    </w:p>
    <w:sectPr w:rsidR="00557ADF" w:rsidRPr="00307C21" w:rsidSect="00EC55F2">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16" w:rsidRDefault="00DD5E16">
      <w:r>
        <w:separator/>
      </w:r>
    </w:p>
  </w:endnote>
  <w:endnote w:type="continuationSeparator" w:id="0">
    <w:p w:rsidR="00DD5E16" w:rsidRDefault="00D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16" w:rsidRDefault="00DD5E16" w:rsidP="00D2206D">
    <w:pPr>
      <w:pStyle w:val="Footer"/>
      <w:tabs>
        <w:tab w:val="clear" w:pos="8640"/>
        <w:tab w:val="right" w:pos="9334"/>
      </w:tabs>
    </w:pPr>
    <w:r>
      <w:t>Robert R. Stephens Cross-Answering Testimony</w:t>
    </w:r>
    <w:r>
      <w:tab/>
    </w:r>
    <w:r w:rsidRPr="00F56E3F">
      <w:t>Exhibit No.___(</w:t>
    </w:r>
    <w:r>
      <w:t>RRS</w:t>
    </w:r>
    <w:r w:rsidRPr="00F56E3F">
      <w:t>-</w:t>
    </w:r>
    <w:r>
      <w:t>9</w:t>
    </w:r>
    <w:r w:rsidRPr="00F56E3F">
      <w:t>T)</w:t>
    </w:r>
  </w:p>
  <w:p w:rsidR="00DD5E16" w:rsidRPr="00991BFC" w:rsidRDefault="00DD5E16" w:rsidP="00D2206D">
    <w:pPr>
      <w:pStyle w:val="Footer"/>
      <w:tabs>
        <w:tab w:val="clear" w:pos="8640"/>
        <w:tab w:val="right" w:pos="9334"/>
      </w:tabs>
    </w:pPr>
    <w:r w:rsidRPr="00281A7F">
      <w:t>Docket No</w:t>
    </w:r>
    <w:r>
      <w:t>s</w:t>
    </w:r>
    <w:r w:rsidRPr="00281A7F">
      <w:t>. UE-</w:t>
    </w:r>
    <w:r>
      <w:rPr>
        <w:smallCaps/>
        <w:szCs w:val="24"/>
      </w:rPr>
      <w:t xml:space="preserve">140762 </w:t>
    </w:r>
    <w:r>
      <w:rPr>
        <w:i/>
        <w:szCs w:val="24"/>
      </w:rPr>
      <w:t>et al.</w:t>
    </w:r>
    <w:r>
      <w:tab/>
    </w:r>
    <w:r>
      <w:tab/>
      <w:t xml:space="preserve">Page </w:t>
    </w:r>
    <w:r w:rsidR="00F03D3B">
      <w:rPr>
        <w:rStyle w:val="PageNumber"/>
      </w:rPr>
      <w:fldChar w:fldCharType="begin"/>
    </w:r>
    <w:r>
      <w:rPr>
        <w:rStyle w:val="PageNumber"/>
      </w:rPr>
      <w:instrText xml:space="preserve"> PAGE </w:instrText>
    </w:r>
    <w:r w:rsidR="00F03D3B">
      <w:rPr>
        <w:rStyle w:val="PageNumber"/>
      </w:rPr>
      <w:fldChar w:fldCharType="separate"/>
    </w:r>
    <w:r w:rsidR="00152AD3">
      <w:rPr>
        <w:rStyle w:val="PageNumber"/>
        <w:noProof/>
      </w:rPr>
      <w:t>1</w:t>
    </w:r>
    <w:r w:rsidR="00F03D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16" w:rsidRDefault="00DD5E16">
      <w:r>
        <w:separator/>
      </w:r>
    </w:p>
  </w:footnote>
  <w:footnote w:type="continuationSeparator" w:id="0">
    <w:p w:rsidR="00DD5E16" w:rsidRDefault="00DD5E16">
      <w:r>
        <w:continuationSeparator/>
      </w:r>
    </w:p>
  </w:footnote>
  <w:footnote w:id="1">
    <w:p w:rsidR="00DD5E16" w:rsidRPr="00646A40" w:rsidRDefault="00DD5E16" w:rsidP="00307C21">
      <w:pPr>
        <w:pStyle w:val="FootnoteText"/>
        <w:jc w:val="left"/>
        <w:rPr>
          <w:sz w:val="20"/>
        </w:rPr>
      </w:pPr>
      <w:r w:rsidRPr="00646A40">
        <w:rPr>
          <w:rStyle w:val="FootnoteReference"/>
          <w:u w:val="single"/>
        </w:rPr>
        <w:footnoteRef/>
      </w:r>
      <w:r w:rsidRPr="00646A40">
        <w:rPr>
          <w:vertAlign w:val="superscript"/>
        </w:rPr>
        <w:t>/</w:t>
      </w:r>
      <w:r>
        <w:tab/>
      </w:r>
      <w:r w:rsidR="00C637D2">
        <w:rPr>
          <w:sz w:val="20"/>
        </w:rPr>
        <w:t>Exhibit No.__</w:t>
      </w:r>
      <w:proofErr w:type="gramStart"/>
      <w:r w:rsidR="00C637D2">
        <w:rPr>
          <w:sz w:val="20"/>
        </w:rPr>
        <w:t>_</w:t>
      </w:r>
      <w:r>
        <w:rPr>
          <w:sz w:val="20"/>
        </w:rPr>
        <w:t>(</w:t>
      </w:r>
      <w:proofErr w:type="gramEnd"/>
      <w:r>
        <w:rPr>
          <w:sz w:val="20"/>
        </w:rPr>
        <w:t>JBT-1T) at 15.</w:t>
      </w:r>
    </w:p>
  </w:footnote>
  <w:footnote w:id="2">
    <w:p w:rsidR="00DD5E16" w:rsidRDefault="00DD5E16" w:rsidP="00307C21">
      <w:pPr>
        <w:pStyle w:val="FootnoteText"/>
        <w:jc w:val="left"/>
        <w:rPr>
          <w:sz w:val="20"/>
        </w:rPr>
      </w:pPr>
      <w:r w:rsidRPr="00CE6494">
        <w:rPr>
          <w:rStyle w:val="FootnoteReference"/>
          <w:u w:val="single"/>
        </w:rPr>
        <w:footnoteRef/>
      </w:r>
      <w:r w:rsidRPr="00CE6494">
        <w:rPr>
          <w:vertAlign w:val="superscript"/>
        </w:rPr>
        <w:t>/</w:t>
      </w:r>
      <w:r>
        <w:tab/>
      </w:r>
      <w:r w:rsidRPr="00CE6494">
        <w:rPr>
          <w:sz w:val="20"/>
        </w:rPr>
        <w:t>Exhibit No.</w:t>
      </w:r>
      <w:r>
        <w:rPr>
          <w:sz w:val="20"/>
        </w:rPr>
        <w:t>___(</w:t>
      </w:r>
      <w:r w:rsidRPr="00CE6494">
        <w:rPr>
          <w:sz w:val="20"/>
        </w:rPr>
        <w:t>JBT-1T</w:t>
      </w:r>
      <w:r>
        <w:rPr>
          <w:sz w:val="20"/>
        </w:rPr>
        <w:t>)</w:t>
      </w:r>
      <w:r w:rsidR="00C637D2">
        <w:rPr>
          <w:sz w:val="20"/>
        </w:rPr>
        <w:t xml:space="preserve"> at</w:t>
      </w:r>
      <w:r w:rsidRPr="00CE6494">
        <w:rPr>
          <w:sz w:val="20"/>
        </w:rPr>
        <w:t xml:space="preserve"> 17 </w:t>
      </w:r>
      <w:r>
        <w:rPr>
          <w:sz w:val="20"/>
        </w:rPr>
        <w:t>(</w:t>
      </w:r>
      <w:r w:rsidRPr="00C637D2">
        <w:rPr>
          <w:sz w:val="20"/>
          <w:u w:val="single"/>
        </w:rPr>
        <w:t>citing</w:t>
      </w:r>
      <w:r w:rsidRPr="00CE6494">
        <w:rPr>
          <w:sz w:val="20"/>
        </w:rPr>
        <w:t xml:space="preserve"> PacifiCorp witness Joelle R. Steward testimony, </w:t>
      </w:r>
    </w:p>
    <w:p w:rsidR="00DD5E16" w:rsidRPr="00CE6494" w:rsidRDefault="00DD5E16" w:rsidP="00307C21">
      <w:pPr>
        <w:pStyle w:val="FootnoteText"/>
        <w:jc w:val="left"/>
        <w:rPr>
          <w:sz w:val="20"/>
        </w:rPr>
      </w:pPr>
      <w:r>
        <w:rPr>
          <w:sz w:val="20"/>
        </w:rPr>
        <w:tab/>
        <w:t>Exhibit No.___</w:t>
      </w:r>
      <w:r w:rsidRPr="00CE6494">
        <w:rPr>
          <w:sz w:val="20"/>
        </w:rPr>
        <w:t>(JRS-1T) at 12</w:t>
      </w:r>
      <w:r>
        <w:rPr>
          <w:sz w:val="20"/>
        </w:rPr>
        <w:t>)</w:t>
      </w:r>
      <w:r w:rsidRPr="00CE6494">
        <w:rPr>
          <w:sz w:val="20"/>
        </w:rPr>
        <w:t>.</w:t>
      </w:r>
    </w:p>
  </w:footnote>
  <w:footnote w:id="3">
    <w:p w:rsidR="00DD5E16" w:rsidRPr="005F5435" w:rsidRDefault="00DD5E16" w:rsidP="00307C21">
      <w:pPr>
        <w:pStyle w:val="FootnoteText"/>
        <w:jc w:val="left"/>
      </w:pPr>
      <w:r w:rsidRPr="005F5435">
        <w:rPr>
          <w:rStyle w:val="FootnoteReference"/>
          <w:u w:val="single"/>
        </w:rPr>
        <w:footnoteRef/>
      </w:r>
      <w:r w:rsidRPr="005F5435">
        <w:rPr>
          <w:vertAlign w:val="superscript"/>
        </w:rPr>
        <w:t>/</w:t>
      </w:r>
      <w:r>
        <w:tab/>
      </w:r>
      <w:r w:rsidRPr="00543814">
        <w:rPr>
          <w:sz w:val="20"/>
          <w:u w:val="single"/>
        </w:rPr>
        <w:t>Id.</w:t>
      </w:r>
      <w:r>
        <w:rPr>
          <w:sz w:val="20"/>
        </w:rPr>
        <w:t xml:space="preserve"> at 17.</w:t>
      </w:r>
    </w:p>
  </w:footnote>
  <w:footnote w:id="4">
    <w:p w:rsidR="00DD5E16" w:rsidRPr="00E80C0D" w:rsidRDefault="00DD5E16" w:rsidP="00307C21">
      <w:pPr>
        <w:pStyle w:val="FootnoteText"/>
        <w:jc w:val="left"/>
        <w:rPr>
          <w:i/>
        </w:rPr>
      </w:pPr>
      <w:r w:rsidRPr="00E80C0D">
        <w:rPr>
          <w:rStyle w:val="FootnoteReference"/>
          <w:u w:val="single"/>
        </w:rPr>
        <w:footnoteRef/>
      </w:r>
      <w:r w:rsidRPr="00E80C0D">
        <w:rPr>
          <w:vertAlign w:val="superscript"/>
        </w:rPr>
        <w:t>/</w:t>
      </w:r>
      <w:r>
        <w:tab/>
      </w:r>
      <w:r w:rsidRPr="00CD59C0">
        <w:rPr>
          <w:sz w:val="20"/>
          <w:u w:val="single"/>
        </w:rPr>
        <w:t>Id.</w:t>
      </w:r>
    </w:p>
  </w:footnote>
  <w:footnote w:id="5">
    <w:p w:rsidR="00DD5E16" w:rsidRPr="005805F5" w:rsidRDefault="00DD5E16" w:rsidP="00307C21">
      <w:pPr>
        <w:pStyle w:val="FootnoteText"/>
        <w:jc w:val="left"/>
      </w:pPr>
      <w:r w:rsidRPr="005805F5">
        <w:rPr>
          <w:rStyle w:val="FootnoteReference"/>
          <w:u w:val="single"/>
        </w:rPr>
        <w:footnoteRef/>
      </w:r>
      <w:r w:rsidRPr="005805F5">
        <w:rPr>
          <w:vertAlign w:val="superscript"/>
        </w:rPr>
        <w:t>/</w:t>
      </w:r>
      <w:r w:rsidRPr="005805F5">
        <w:rPr>
          <w:sz w:val="20"/>
        </w:rPr>
        <w:tab/>
      </w:r>
      <w:r w:rsidRPr="00CD59C0">
        <w:rPr>
          <w:sz w:val="20"/>
          <w:u w:val="single"/>
        </w:rPr>
        <w:t>Id.</w:t>
      </w:r>
      <w:r>
        <w:rPr>
          <w:sz w:val="20"/>
        </w:rPr>
        <w:t xml:space="preserve"> at 15-16.  </w:t>
      </w:r>
      <w:r w:rsidRPr="005805F5">
        <w:rPr>
          <w:sz w:val="20"/>
        </w:rPr>
        <w:t>Staff’s previous demand factor of 4.2%</w:t>
      </w:r>
      <w:r>
        <w:rPr>
          <w:sz w:val="20"/>
        </w:rPr>
        <w:t xml:space="preserve"> has been updated to 18.1% based on information </w:t>
      </w:r>
      <w:r>
        <w:rPr>
          <w:sz w:val="20"/>
        </w:rPr>
        <w:tab/>
        <w:t>from the 2015 Integrated Resource Plan.</w:t>
      </w:r>
    </w:p>
  </w:footnote>
  <w:footnote w:id="6">
    <w:p w:rsidR="00DD5E16" w:rsidRDefault="00DD5E16" w:rsidP="00307C21">
      <w:pPr>
        <w:ind w:left="720" w:hanging="720"/>
      </w:pPr>
      <w:r w:rsidRPr="005805F5">
        <w:rPr>
          <w:rStyle w:val="FootnoteReference"/>
          <w:u w:val="single"/>
        </w:rPr>
        <w:footnoteRef/>
      </w:r>
      <w:r w:rsidRPr="005805F5">
        <w:rPr>
          <w:vertAlign w:val="superscript"/>
        </w:rPr>
        <w:t>/</w:t>
      </w:r>
      <w:r>
        <w:tab/>
      </w:r>
      <w:r w:rsidRPr="005805F5">
        <w:rPr>
          <w:sz w:val="20"/>
        </w:rPr>
        <w:t xml:space="preserve">For example, the North American Electric Reliability Corporation (“NERC”) shows that for the period 2009-2013, the </w:t>
      </w:r>
      <w:r>
        <w:rPr>
          <w:sz w:val="20"/>
        </w:rPr>
        <w:t>Equivalent Forced Outage Rate-Demand</w:t>
      </w:r>
      <w:r w:rsidRPr="005805F5">
        <w:rPr>
          <w:sz w:val="20"/>
        </w:rPr>
        <w:t xml:space="preserve"> </w:t>
      </w:r>
      <w:r>
        <w:rPr>
          <w:sz w:val="20"/>
        </w:rPr>
        <w:t>(“</w:t>
      </w:r>
      <w:proofErr w:type="spellStart"/>
      <w:r>
        <w:rPr>
          <w:sz w:val="20"/>
        </w:rPr>
        <w:t>EFORd</w:t>
      </w:r>
      <w:proofErr w:type="spellEnd"/>
      <w:r>
        <w:rPr>
          <w:sz w:val="20"/>
        </w:rPr>
        <w:t xml:space="preserve">”) </w:t>
      </w:r>
      <w:r w:rsidRPr="005805F5">
        <w:rPr>
          <w:sz w:val="20"/>
        </w:rPr>
        <w:t>was less than 8</w:t>
      </w:r>
      <w:r>
        <w:rPr>
          <w:sz w:val="20"/>
        </w:rPr>
        <w:t>.5</w:t>
      </w:r>
      <w:r w:rsidRPr="005805F5">
        <w:rPr>
          <w:sz w:val="20"/>
        </w:rPr>
        <w:t xml:space="preserve">% for fossil units, all fuel types.  This information can be found </w:t>
      </w:r>
      <w:r>
        <w:rPr>
          <w:sz w:val="20"/>
        </w:rPr>
        <w:t xml:space="preserve">in NERC’s 2013 Generating Unit Statistical Brochure </w:t>
      </w:r>
      <w:r w:rsidRPr="005805F5">
        <w:rPr>
          <w:sz w:val="20"/>
        </w:rPr>
        <w:t>at the following website</w:t>
      </w:r>
      <w:r>
        <w:rPr>
          <w:sz w:val="20"/>
        </w:rPr>
        <w:t>:</w:t>
      </w:r>
      <w:r w:rsidRPr="005805F5">
        <w:rPr>
          <w:sz w:val="20"/>
        </w:rPr>
        <w:t xml:space="preserve"> </w:t>
      </w:r>
      <w:hyperlink r:id="rId1" w:history="1">
        <w:r w:rsidRPr="005805F5">
          <w:rPr>
            <w:rStyle w:val="Hyperlink"/>
            <w:sz w:val="20"/>
          </w:rPr>
          <w:t>http://www.nerc.com/pa/RAPA/gads/Pages/Reports.aspx</w:t>
        </w:r>
      </w:hyperlink>
      <w:r>
        <w:rPr>
          <w:sz w:val="20"/>
        </w:rPr>
        <w:t>.</w:t>
      </w:r>
    </w:p>
    <w:p w:rsidR="00DD5E16" w:rsidRPr="005805F5" w:rsidRDefault="00DD5E16" w:rsidP="00307C21">
      <w:pPr>
        <w:pStyle w:val="FootnoteText"/>
        <w:rPr>
          <w:sz w:val="20"/>
        </w:rPr>
      </w:pPr>
    </w:p>
  </w:footnote>
  <w:footnote w:id="7">
    <w:p w:rsidR="00DD5E16" w:rsidRPr="00CE6494" w:rsidRDefault="00DD5E16" w:rsidP="008B3F6D">
      <w:pPr>
        <w:pStyle w:val="FootnoteText"/>
        <w:jc w:val="left"/>
        <w:rPr>
          <w:sz w:val="20"/>
        </w:rPr>
      </w:pPr>
      <w:r w:rsidRPr="00CE6494">
        <w:rPr>
          <w:rStyle w:val="FootnoteReference"/>
          <w:u w:val="single"/>
        </w:rPr>
        <w:footnoteRef/>
      </w:r>
      <w:r w:rsidRPr="00CE6494">
        <w:rPr>
          <w:vertAlign w:val="superscript"/>
        </w:rPr>
        <w:t>/</w:t>
      </w:r>
      <w:r>
        <w:tab/>
      </w:r>
      <w:r w:rsidRPr="00CE6494">
        <w:rPr>
          <w:sz w:val="20"/>
        </w:rPr>
        <w:t>Exhibit No.</w:t>
      </w:r>
      <w:r>
        <w:rPr>
          <w:sz w:val="20"/>
        </w:rPr>
        <w:t>___(RRS-10) (Staff’s Response to Boise Data Request (“DR”) 3)</w:t>
      </w:r>
      <w:r w:rsidRPr="00CE6494">
        <w:rPr>
          <w:sz w:val="20"/>
        </w:rPr>
        <w:t>.</w:t>
      </w:r>
    </w:p>
  </w:footnote>
  <w:footnote w:id="8">
    <w:p w:rsidR="00DD5E16" w:rsidRPr="00015851" w:rsidRDefault="00DD5E16" w:rsidP="00307C21">
      <w:pPr>
        <w:pStyle w:val="FootnoteText"/>
        <w:jc w:val="left"/>
      </w:pPr>
      <w:r w:rsidRPr="00015851">
        <w:rPr>
          <w:rStyle w:val="FootnoteReference"/>
          <w:u w:val="single"/>
        </w:rPr>
        <w:footnoteRef/>
      </w:r>
      <w:r w:rsidRPr="00015851">
        <w:rPr>
          <w:vertAlign w:val="superscript"/>
        </w:rPr>
        <w:t>/</w:t>
      </w:r>
      <w:r>
        <w:tab/>
        <w:t>Exhibit No.__</w:t>
      </w:r>
      <w:proofErr w:type="gramStart"/>
      <w:r>
        <w:t>_(</w:t>
      </w:r>
      <w:proofErr w:type="gramEnd"/>
      <w:r>
        <w:t xml:space="preserve">GAW-1T) at </w:t>
      </w:r>
      <w:r w:rsidR="00CF2A0C">
        <w:t>7</w:t>
      </w:r>
      <w:r>
        <w:t>.</w:t>
      </w:r>
    </w:p>
  </w:footnote>
  <w:footnote w:id="9">
    <w:p w:rsidR="00DD5E16" w:rsidRPr="00FC2128" w:rsidRDefault="00DD5E16" w:rsidP="00307C21">
      <w:pPr>
        <w:pStyle w:val="FootnoteText"/>
        <w:rPr>
          <w:u w:val="single"/>
        </w:rPr>
      </w:pPr>
      <w:r w:rsidRPr="00FC2128">
        <w:rPr>
          <w:rStyle w:val="FootnoteReference"/>
          <w:u w:val="single"/>
        </w:rPr>
        <w:footnoteRef/>
      </w:r>
      <w:r w:rsidRPr="00FC2128">
        <w:rPr>
          <w:vertAlign w:val="superscript"/>
        </w:rPr>
        <w:t>/</w:t>
      </w:r>
      <w:r>
        <w:tab/>
      </w:r>
      <w:r w:rsidRPr="00543CC0">
        <w:rPr>
          <w:u w:val="single"/>
        </w:rPr>
        <w:t>Id.</w:t>
      </w:r>
      <w:r>
        <w:t xml:space="preserve"> </w:t>
      </w:r>
    </w:p>
  </w:footnote>
  <w:footnote w:id="10">
    <w:p w:rsidR="00DD5E16" w:rsidRPr="00AC220F" w:rsidRDefault="00DD5E16" w:rsidP="00AC220F">
      <w:pPr>
        <w:pStyle w:val="FootnoteText"/>
        <w:jc w:val="left"/>
        <w:rPr>
          <w:u w:val="single"/>
        </w:rPr>
      </w:pPr>
      <w:r w:rsidRPr="00AC220F">
        <w:rPr>
          <w:rStyle w:val="FootnoteReference"/>
          <w:u w:val="single"/>
        </w:rPr>
        <w:footnoteRef/>
      </w:r>
      <w:r>
        <w:rPr>
          <w:vertAlign w:val="superscript"/>
        </w:rPr>
        <w:t>/</w:t>
      </w:r>
      <w:r>
        <w:tab/>
        <w:t>And one cited by Mr. Watkins (</w:t>
      </w:r>
      <w:r w:rsidR="00C637D2">
        <w:rPr>
          <w:u w:val="single"/>
        </w:rPr>
        <w:t>i</w:t>
      </w:r>
      <w:r w:rsidRPr="00543CC0">
        <w:rPr>
          <w:u w:val="single"/>
        </w:rPr>
        <w:t>d.</w:t>
      </w:r>
      <w:r>
        <w:t xml:space="preserve"> at 6).</w:t>
      </w:r>
      <w:r w:rsidRPr="00AC220F">
        <w:rPr>
          <w:u w:val="single"/>
        </w:rPr>
        <w:t xml:space="preserve"> </w:t>
      </w:r>
    </w:p>
  </w:footnote>
  <w:footnote w:id="11">
    <w:p w:rsidR="00DD5E16" w:rsidRDefault="00DD5E16">
      <w:pPr>
        <w:pStyle w:val="FootnoteText"/>
        <w:ind w:left="720" w:hanging="720"/>
        <w:jc w:val="left"/>
        <w:rPr>
          <w:u w:val="single"/>
        </w:rPr>
      </w:pPr>
      <w:r w:rsidRPr="000538EA">
        <w:rPr>
          <w:rStyle w:val="FootnoteReference"/>
          <w:u w:val="single"/>
        </w:rPr>
        <w:footnoteRef/>
      </w:r>
      <w:r w:rsidRPr="000538EA">
        <w:rPr>
          <w:vertAlign w:val="superscript"/>
        </w:rPr>
        <w:t>/</w:t>
      </w:r>
      <w:r>
        <w:tab/>
        <w:t xml:space="preserve">James C. Bondbright, </w:t>
      </w:r>
      <w:r w:rsidRPr="00CD59C0">
        <w:rPr>
          <w:i/>
        </w:rPr>
        <w:t>et. al.</w:t>
      </w:r>
      <w:r>
        <w:t xml:space="preserve">, </w:t>
      </w:r>
      <w:r w:rsidRPr="00CD59C0">
        <w:rPr>
          <w:u w:val="single"/>
        </w:rPr>
        <w:t>Principles of Public Utility Rates</w:t>
      </w:r>
      <w:r w:rsidR="00C637D2">
        <w:t xml:space="preserve"> 504</w:t>
      </w:r>
      <w:r>
        <w:rPr>
          <w:i/>
        </w:rPr>
        <w:t xml:space="preserve"> </w:t>
      </w:r>
      <w:r w:rsidR="00C637D2">
        <w:t>(2d ed. 1988)</w:t>
      </w:r>
      <w:r>
        <w:t xml:space="preserve"> (emphasis added).   </w:t>
      </w:r>
      <w:r w:rsidRPr="000538EA">
        <w:rPr>
          <w:u w:val="single"/>
        </w:rPr>
        <w:t xml:space="preserve"> </w:t>
      </w:r>
    </w:p>
  </w:footnote>
  <w:footnote w:id="12">
    <w:p w:rsidR="00DD5E16" w:rsidRPr="00AC220F" w:rsidRDefault="00DD5E16" w:rsidP="00AC220F">
      <w:pPr>
        <w:pStyle w:val="FootnoteText"/>
        <w:jc w:val="left"/>
        <w:rPr>
          <w:u w:val="single"/>
        </w:rPr>
      </w:pPr>
      <w:r w:rsidRPr="00AC220F">
        <w:rPr>
          <w:rStyle w:val="FootnoteReference"/>
          <w:u w:val="single"/>
        </w:rPr>
        <w:footnoteRef/>
      </w:r>
      <w:r>
        <w:rPr>
          <w:vertAlign w:val="superscript"/>
        </w:rPr>
        <w:t>/</w:t>
      </w:r>
      <w:r>
        <w:tab/>
        <w:t>Exhibit No.___ (GAW-1T) at 10.</w:t>
      </w:r>
      <w:r w:rsidRPr="00AC220F">
        <w:rPr>
          <w:u w:val="single"/>
        </w:rPr>
        <w:t xml:space="preserve"> </w:t>
      </w:r>
    </w:p>
  </w:footnote>
  <w:footnote w:id="13">
    <w:p w:rsidR="00DD5E16" w:rsidRPr="007B02C4" w:rsidRDefault="00DD5E16" w:rsidP="00307C21">
      <w:pPr>
        <w:pStyle w:val="FootnoteText"/>
        <w:jc w:val="left"/>
        <w:rPr>
          <w:u w:val="single"/>
        </w:rPr>
      </w:pPr>
      <w:r w:rsidRPr="007B02C4">
        <w:rPr>
          <w:rStyle w:val="FootnoteReference"/>
          <w:u w:val="single"/>
        </w:rPr>
        <w:footnoteRef/>
      </w:r>
      <w:r w:rsidRPr="007B02C4">
        <w:rPr>
          <w:vertAlign w:val="superscript"/>
        </w:rPr>
        <w:t>/</w:t>
      </w:r>
      <w:r>
        <w:tab/>
        <w:t xml:space="preserve">Exhibit No. ___(RRS-1T) at 16-18.  However, I refer to it as “Peak Credit,” conforming to </w:t>
      </w:r>
      <w:r>
        <w:tab/>
        <w:t>PacifiCorp’s nomenclature.</w:t>
      </w:r>
      <w:r w:rsidRPr="007B02C4">
        <w:rPr>
          <w:u w:val="single"/>
        </w:rPr>
        <w:t xml:space="preserve"> </w:t>
      </w:r>
    </w:p>
  </w:footnote>
  <w:footnote w:id="14">
    <w:p w:rsidR="00DD5E16" w:rsidRPr="00CD476E" w:rsidRDefault="00DD5E16" w:rsidP="00307C21">
      <w:pPr>
        <w:pStyle w:val="FootnoteText"/>
        <w:rPr>
          <w:u w:val="single"/>
          <w:vertAlign w:val="superscript"/>
        </w:rPr>
      </w:pPr>
      <w:r w:rsidRPr="00CD59C0">
        <w:rPr>
          <w:rStyle w:val="FootnoteReference"/>
          <w:u w:val="single"/>
        </w:rPr>
        <w:footnoteRef/>
      </w:r>
      <w:r w:rsidRPr="0005255D">
        <w:rPr>
          <w:vertAlign w:val="superscript"/>
        </w:rPr>
        <w:t>/</w:t>
      </w:r>
      <w:r w:rsidRPr="0005255D">
        <w:rPr>
          <w:vertAlign w:val="superscript"/>
        </w:rPr>
        <w:tab/>
      </w:r>
      <w:r>
        <w:t>Exhibit No.___ (GAW-1T) at 9.</w:t>
      </w:r>
    </w:p>
  </w:footnote>
  <w:footnote w:id="15">
    <w:p w:rsidR="00DD5E16" w:rsidRPr="004F20B8" w:rsidRDefault="00DD5E16" w:rsidP="00307C21">
      <w:pPr>
        <w:pStyle w:val="FootnoteText"/>
        <w:rPr>
          <w:u w:val="single"/>
          <w:vertAlign w:val="superscript"/>
        </w:rPr>
      </w:pPr>
      <w:r w:rsidRPr="004F20B8">
        <w:rPr>
          <w:rStyle w:val="FootnoteReference"/>
          <w:u w:val="single"/>
        </w:rPr>
        <w:footnoteRef/>
      </w:r>
      <w:r w:rsidRPr="004F20B8">
        <w:rPr>
          <w:vertAlign w:val="superscript"/>
        </w:rPr>
        <w:t>/</w:t>
      </w:r>
      <w:r w:rsidRPr="004F20B8">
        <w:rPr>
          <w:vertAlign w:val="superscript"/>
        </w:rPr>
        <w:tab/>
      </w:r>
      <w:r w:rsidRPr="00543CC0">
        <w:rPr>
          <w:u w:val="single"/>
        </w:rPr>
        <w:t>Id.</w:t>
      </w:r>
      <w:r>
        <w:t xml:space="preserve"> at 13.</w:t>
      </w:r>
    </w:p>
  </w:footnote>
  <w:footnote w:id="16">
    <w:p w:rsidR="00DD5E16" w:rsidRPr="002B6915" w:rsidRDefault="00DD5E16" w:rsidP="00307C21">
      <w:pPr>
        <w:pStyle w:val="FootnoteText"/>
        <w:jc w:val="left"/>
        <w:rPr>
          <w:u w:val="single"/>
        </w:rPr>
      </w:pPr>
      <w:r w:rsidRPr="002B6915">
        <w:rPr>
          <w:rStyle w:val="FootnoteReference"/>
          <w:u w:val="single"/>
        </w:rPr>
        <w:footnoteRef/>
      </w:r>
      <w:r w:rsidRPr="002B6915">
        <w:rPr>
          <w:vertAlign w:val="superscript"/>
        </w:rPr>
        <w:t>/</w:t>
      </w:r>
      <w:r>
        <w:tab/>
      </w:r>
      <w:r w:rsidRPr="00543CC0">
        <w:rPr>
          <w:u w:val="single"/>
        </w:rPr>
        <w:t>Id.</w:t>
      </w:r>
      <w:r>
        <w:t xml:space="preserve"> at 14-15.</w:t>
      </w:r>
      <w:r w:rsidRPr="002B6915">
        <w:rPr>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16" w:rsidRPr="002A7A33" w:rsidRDefault="00DD5E16" w:rsidP="00753D0F">
    <w:pPr>
      <w:autoSpaceDE w:val="0"/>
      <w:autoSpaceDN w:val="0"/>
      <w:adjustRightInd w:val="0"/>
      <w:jc w:val="right"/>
      <w:rPr>
        <w:bCs/>
        <w:szCs w:val="24"/>
      </w:rPr>
    </w:pPr>
    <w:r w:rsidRPr="002A7A33">
      <w:rPr>
        <w:bCs/>
        <w:szCs w:val="24"/>
      </w:rPr>
      <w:t>Exhibit No.___(RRS-</w:t>
    </w:r>
    <w:r>
      <w:rPr>
        <w:bCs/>
        <w:szCs w:val="24"/>
      </w:rPr>
      <w:t>9T</w:t>
    </w:r>
    <w:r w:rsidRPr="002A7A33">
      <w:rPr>
        <w:bCs/>
        <w:szCs w:val="24"/>
      </w:rPr>
      <w:t>)</w:t>
    </w:r>
  </w:p>
  <w:p w:rsidR="00DD5E16" w:rsidRPr="002A7A33" w:rsidRDefault="00DD5E16" w:rsidP="006D1265">
    <w:pPr>
      <w:jc w:val="right"/>
      <w:rPr>
        <w:szCs w:val="24"/>
      </w:rPr>
    </w:pPr>
    <w:r w:rsidRPr="002A7A33">
      <w:rPr>
        <w:szCs w:val="24"/>
      </w:rPr>
      <w:t>Docket No</w:t>
    </w:r>
    <w:r>
      <w:rPr>
        <w:szCs w:val="24"/>
      </w:rPr>
      <w:t>s</w:t>
    </w:r>
    <w:r w:rsidRPr="002A7A33">
      <w:rPr>
        <w:szCs w:val="24"/>
      </w:rPr>
      <w:t xml:space="preserve">. </w:t>
    </w:r>
    <w:r w:rsidRPr="002A7A33">
      <w:rPr>
        <w:smallCaps/>
        <w:szCs w:val="24"/>
      </w:rPr>
      <w:t xml:space="preserve">UE-140762 </w:t>
    </w:r>
    <w:r w:rsidRPr="002A7A33">
      <w:rPr>
        <w:i/>
        <w:szCs w:val="24"/>
      </w:rPr>
      <w:t>et al.</w:t>
    </w:r>
  </w:p>
  <w:p w:rsidR="00DD5E16" w:rsidRDefault="00DD5E16" w:rsidP="00753D0F">
    <w:pPr>
      <w:pStyle w:val="Header"/>
      <w:jc w:val="right"/>
      <w:rPr>
        <w:bCs/>
        <w:szCs w:val="24"/>
      </w:rPr>
    </w:pPr>
    <w:r w:rsidRPr="002A7A33">
      <w:rPr>
        <w:bCs/>
        <w:szCs w:val="24"/>
      </w:rPr>
      <w:t>Witness:  Robert R. Stephens</w:t>
    </w:r>
  </w:p>
  <w:p w:rsidR="00DD5E16" w:rsidRPr="002A7A33" w:rsidRDefault="00DD5E16" w:rsidP="00753D0F">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984"/>
    <w:multiLevelType w:val="hybridMultilevel"/>
    <w:tmpl w:val="2A264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7E7740"/>
    <w:multiLevelType w:val="hybridMultilevel"/>
    <w:tmpl w:val="226006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0A05EC5"/>
    <w:multiLevelType w:val="hybridMultilevel"/>
    <w:tmpl w:val="BBBA866A"/>
    <w:lvl w:ilvl="0" w:tplc="FC2CDADC">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E575C"/>
    <w:multiLevelType w:val="hybridMultilevel"/>
    <w:tmpl w:val="42FE7E2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nsid w:val="273132E9"/>
    <w:multiLevelType w:val="hybridMultilevel"/>
    <w:tmpl w:val="C98202C6"/>
    <w:lvl w:ilvl="0" w:tplc="41FCE3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A14D60"/>
    <w:multiLevelType w:val="hybridMultilevel"/>
    <w:tmpl w:val="3C480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61C691C"/>
    <w:multiLevelType w:val="hybridMultilevel"/>
    <w:tmpl w:val="4EF4554E"/>
    <w:lvl w:ilvl="0" w:tplc="F85CABAC">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3"/>
  </w:num>
  <w:num w:numId="6">
    <w:abstractNumId w:val="4"/>
  </w:num>
  <w:num w:numId="7">
    <w:abstractNumId w:val="1"/>
  </w:num>
  <w:num w:numId="8">
    <w:abstractNumId w:val="9"/>
  </w:num>
  <w:num w:numId="9">
    <w:abstractNumId w:val="0"/>
  </w:num>
  <w:num w:numId="10">
    <w:abstractNumId w:val="1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121BF1"/>
    <w:rsid w:val="000022BD"/>
    <w:rsid w:val="000034A9"/>
    <w:rsid w:val="00004BF4"/>
    <w:rsid w:val="0000532D"/>
    <w:rsid w:val="00006E97"/>
    <w:rsid w:val="000110B1"/>
    <w:rsid w:val="000126CE"/>
    <w:rsid w:val="00013608"/>
    <w:rsid w:val="00014A78"/>
    <w:rsid w:val="0001550A"/>
    <w:rsid w:val="00015851"/>
    <w:rsid w:val="0002116E"/>
    <w:rsid w:val="00022285"/>
    <w:rsid w:val="00023EC8"/>
    <w:rsid w:val="00024CA2"/>
    <w:rsid w:val="000253FE"/>
    <w:rsid w:val="00027B33"/>
    <w:rsid w:val="000301F5"/>
    <w:rsid w:val="00031A31"/>
    <w:rsid w:val="000334CF"/>
    <w:rsid w:val="00033C0C"/>
    <w:rsid w:val="0003739B"/>
    <w:rsid w:val="00041AC6"/>
    <w:rsid w:val="00041D4D"/>
    <w:rsid w:val="000421AC"/>
    <w:rsid w:val="000429CA"/>
    <w:rsid w:val="000449A1"/>
    <w:rsid w:val="00046407"/>
    <w:rsid w:val="00046D59"/>
    <w:rsid w:val="00050084"/>
    <w:rsid w:val="000538EA"/>
    <w:rsid w:val="00060172"/>
    <w:rsid w:val="0006394A"/>
    <w:rsid w:val="00063AEC"/>
    <w:rsid w:val="00063FA0"/>
    <w:rsid w:val="00064A6A"/>
    <w:rsid w:val="00066413"/>
    <w:rsid w:val="00066567"/>
    <w:rsid w:val="00066CC3"/>
    <w:rsid w:val="00067847"/>
    <w:rsid w:val="00070A57"/>
    <w:rsid w:val="00073B23"/>
    <w:rsid w:val="00073B8E"/>
    <w:rsid w:val="00076ED4"/>
    <w:rsid w:val="00076FA4"/>
    <w:rsid w:val="000770A5"/>
    <w:rsid w:val="00080DBD"/>
    <w:rsid w:val="00084158"/>
    <w:rsid w:val="000862BD"/>
    <w:rsid w:val="000943FE"/>
    <w:rsid w:val="000969E9"/>
    <w:rsid w:val="00096B90"/>
    <w:rsid w:val="00096C2E"/>
    <w:rsid w:val="00096EF0"/>
    <w:rsid w:val="000977FD"/>
    <w:rsid w:val="000A3C7D"/>
    <w:rsid w:val="000A44A7"/>
    <w:rsid w:val="000A4C68"/>
    <w:rsid w:val="000B5F10"/>
    <w:rsid w:val="000B69A7"/>
    <w:rsid w:val="000B7ED9"/>
    <w:rsid w:val="000C0895"/>
    <w:rsid w:val="000C0FC1"/>
    <w:rsid w:val="000C1076"/>
    <w:rsid w:val="000C1657"/>
    <w:rsid w:val="000C1D2C"/>
    <w:rsid w:val="000C284B"/>
    <w:rsid w:val="000C2A9F"/>
    <w:rsid w:val="000C64AC"/>
    <w:rsid w:val="000C6971"/>
    <w:rsid w:val="000D043E"/>
    <w:rsid w:val="000D0E5D"/>
    <w:rsid w:val="000D14B8"/>
    <w:rsid w:val="000D2716"/>
    <w:rsid w:val="000D3230"/>
    <w:rsid w:val="000D4F2A"/>
    <w:rsid w:val="000D4FFC"/>
    <w:rsid w:val="000D6214"/>
    <w:rsid w:val="000E15F6"/>
    <w:rsid w:val="000E308F"/>
    <w:rsid w:val="000E3145"/>
    <w:rsid w:val="000E42C0"/>
    <w:rsid w:val="000E42F8"/>
    <w:rsid w:val="000E4B6C"/>
    <w:rsid w:val="000E522A"/>
    <w:rsid w:val="000E5964"/>
    <w:rsid w:val="000E60BC"/>
    <w:rsid w:val="000E68DB"/>
    <w:rsid w:val="000F12D4"/>
    <w:rsid w:val="000F1DB8"/>
    <w:rsid w:val="000F27DE"/>
    <w:rsid w:val="000F51A1"/>
    <w:rsid w:val="000F6598"/>
    <w:rsid w:val="000F73A0"/>
    <w:rsid w:val="001040AD"/>
    <w:rsid w:val="00104448"/>
    <w:rsid w:val="001045B5"/>
    <w:rsid w:val="001051FB"/>
    <w:rsid w:val="00105875"/>
    <w:rsid w:val="00105F26"/>
    <w:rsid w:val="00107039"/>
    <w:rsid w:val="00107DFD"/>
    <w:rsid w:val="0011173E"/>
    <w:rsid w:val="001144D6"/>
    <w:rsid w:val="00115F2E"/>
    <w:rsid w:val="00116AA7"/>
    <w:rsid w:val="001201AA"/>
    <w:rsid w:val="0012091F"/>
    <w:rsid w:val="00121BF1"/>
    <w:rsid w:val="001230FC"/>
    <w:rsid w:val="001241BA"/>
    <w:rsid w:val="001253F1"/>
    <w:rsid w:val="0012546F"/>
    <w:rsid w:val="0012657D"/>
    <w:rsid w:val="00126580"/>
    <w:rsid w:val="00130E42"/>
    <w:rsid w:val="001355E6"/>
    <w:rsid w:val="00140E8D"/>
    <w:rsid w:val="001416E9"/>
    <w:rsid w:val="00142476"/>
    <w:rsid w:val="00143FE2"/>
    <w:rsid w:val="00144AB1"/>
    <w:rsid w:val="001461D0"/>
    <w:rsid w:val="00147DC5"/>
    <w:rsid w:val="00151F1E"/>
    <w:rsid w:val="00152858"/>
    <w:rsid w:val="0015295A"/>
    <w:rsid w:val="00152AD3"/>
    <w:rsid w:val="00154D85"/>
    <w:rsid w:val="00157B76"/>
    <w:rsid w:val="00163114"/>
    <w:rsid w:val="00163B3D"/>
    <w:rsid w:val="0016471E"/>
    <w:rsid w:val="001656B0"/>
    <w:rsid w:val="00170472"/>
    <w:rsid w:val="00170C7C"/>
    <w:rsid w:val="0017299D"/>
    <w:rsid w:val="00174CBE"/>
    <w:rsid w:val="001758CD"/>
    <w:rsid w:val="0017655A"/>
    <w:rsid w:val="00180CA3"/>
    <w:rsid w:val="00181712"/>
    <w:rsid w:val="00181E7D"/>
    <w:rsid w:val="001821CC"/>
    <w:rsid w:val="00182388"/>
    <w:rsid w:val="001850E5"/>
    <w:rsid w:val="00185E3B"/>
    <w:rsid w:val="0018749C"/>
    <w:rsid w:val="001A11BF"/>
    <w:rsid w:val="001A1C99"/>
    <w:rsid w:val="001A608D"/>
    <w:rsid w:val="001A6AC0"/>
    <w:rsid w:val="001A79E7"/>
    <w:rsid w:val="001B029C"/>
    <w:rsid w:val="001B0704"/>
    <w:rsid w:val="001B1A59"/>
    <w:rsid w:val="001B1F4B"/>
    <w:rsid w:val="001B7457"/>
    <w:rsid w:val="001B7C13"/>
    <w:rsid w:val="001C0029"/>
    <w:rsid w:val="001C0138"/>
    <w:rsid w:val="001C081C"/>
    <w:rsid w:val="001C3750"/>
    <w:rsid w:val="001C37E7"/>
    <w:rsid w:val="001C45C9"/>
    <w:rsid w:val="001C481F"/>
    <w:rsid w:val="001C562D"/>
    <w:rsid w:val="001D05E7"/>
    <w:rsid w:val="001D160B"/>
    <w:rsid w:val="001D459E"/>
    <w:rsid w:val="001D5404"/>
    <w:rsid w:val="001D5E19"/>
    <w:rsid w:val="001D70D0"/>
    <w:rsid w:val="001E37D1"/>
    <w:rsid w:val="001E4694"/>
    <w:rsid w:val="001E6CCC"/>
    <w:rsid w:val="001F08C1"/>
    <w:rsid w:val="001F1A34"/>
    <w:rsid w:val="001F35BF"/>
    <w:rsid w:val="001F40C9"/>
    <w:rsid w:val="001F7B6B"/>
    <w:rsid w:val="0020050D"/>
    <w:rsid w:val="00202322"/>
    <w:rsid w:val="002031AE"/>
    <w:rsid w:val="00204F67"/>
    <w:rsid w:val="002062DF"/>
    <w:rsid w:val="00210D55"/>
    <w:rsid w:val="00211147"/>
    <w:rsid w:val="00211193"/>
    <w:rsid w:val="00211C98"/>
    <w:rsid w:val="002121B1"/>
    <w:rsid w:val="0021555D"/>
    <w:rsid w:val="00215678"/>
    <w:rsid w:val="00216A3D"/>
    <w:rsid w:val="00216BAD"/>
    <w:rsid w:val="00222E1F"/>
    <w:rsid w:val="00225A3D"/>
    <w:rsid w:val="00226401"/>
    <w:rsid w:val="00227670"/>
    <w:rsid w:val="0023000D"/>
    <w:rsid w:val="00230F5E"/>
    <w:rsid w:val="00231307"/>
    <w:rsid w:val="00231B6A"/>
    <w:rsid w:val="00231CF2"/>
    <w:rsid w:val="00234189"/>
    <w:rsid w:val="002343B6"/>
    <w:rsid w:val="00234B6A"/>
    <w:rsid w:val="00234ED7"/>
    <w:rsid w:val="00235A1C"/>
    <w:rsid w:val="00236398"/>
    <w:rsid w:val="00236A43"/>
    <w:rsid w:val="00240CD4"/>
    <w:rsid w:val="00241926"/>
    <w:rsid w:val="00241C4D"/>
    <w:rsid w:val="0024255B"/>
    <w:rsid w:val="00244186"/>
    <w:rsid w:val="00244D4F"/>
    <w:rsid w:val="0024505E"/>
    <w:rsid w:val="00247FA9"/>
    <w:rsid w:val="00250AC2"/>
    <w:rsid w:val="00250B6B"/>
    <w:rsid w:val="00251C42"/>
    <w:rsid w:val="00252ED8"/>
    <w:rsid w:val="002544E0"/>
    <w:rsid w:val="00254E81"/>
    <w:rsid w:val="002550AC"/>
    <w:rsid w:val="00255332"/>
    <w:rsid w:val="00257BA5"/>
    <w:rsid w:val="00260ADD"/>
    <w:rsid w:val="00263852"/>
    <w:rsid w:val="00263A3E"/>
    <w:rsid w:val="00264B02"/>
    <w:rsid w:val="00264EDF"/>
    <w:rsid w:val="00266BF3"/>
    <w:rsid w:val="00270FAB"/>
    <w:rsid w:val="002733DF"/>
    <w:rsid w:val="002744D7"/>
    <w:rsid w:val="002765CD"/>
    <w:rsid w:val="002766AD"/>
    <w:rsid w:val="002771E6"/>
    <w:rsid w:val="00281A7F"/>
    <w:rsid w:val="002826E1"/>
    <w:rsid w:val="002827FA"/>
    <w:rsid w:val="00283FF2"/>
    <w:rsid w:val="00284125"/>
    <w:rsid w:val="002842BB"/>
    <w:rsid w:val="00284611"/>
    <w:rsid w:val="0028549C"/>
    <w:rsid w:val="00285BB9"/>
    <w:rsid w:val="00290269"/>
    <w:rsid w:val="002905EB"/>
    <w:rsid w:val="0029252B"/>
    <w:rsid w:val="00294464"/>
    <w:rsid w:val="00294717"/>
    <w:rsid w:val="00294892"/>
    <w:rsid w:val="002952AD"/>
    <w:rsid w:val="00295F64"/>
    <w:rsid w:val="0029691A"/>
    <w:rsid w:val="002A2971"/>
    <w:rsid w:val="002A543F"/>
    <w:rsid w:val="002B05BD"/>
    <w:rsid w:val="002B4228"/>
    <w:rsid w:val="002B4477"/>
    <w:rsid w:val="002B570A"/>
    <w:rsid w:val="002B58C8"/>
    <w:rsid w:val="002B6915"/>
    <w:rsid w:val="002C1879"/>
    <w:rsid w:val="002C1949"/>
    <w:rsid w:val="002C1BB6"/>
    <w:rsid w:val="002C2096"/>
    <w:rsid w:val="002C25A5"/>
    <w:rsid w:val="002C2F6D"/>
    <w:rsid w:val="002C3B3D"/>
    <w:rsid w:val="002C3BE4"/>
    <w:rsid w:val="002C4FE6"/>
    <w:rsid w:val="002C4FF8"/>
    <w:rsid w:val="002C6B38"/>
    <w:rsid w:val="002D232E"/>
    <w:rsid w:val="002D4A16"/>
    <w:rsid w:val="002E1189"/>
    <w:rsid w:val="002E12A1"/>
    <w:rsid w:val="002E16E7"/>
    <w:rsid w:val="002E3903"/>
    <w:rsid w:val="002E4467"/>
    <w:rsid w:val="002E5F74"/>
    <w:rsid w:val="002F0DD4"/>
    <w:rsid w:val="002F165E"/>
    <w:rsid w:val="002F223E"/>
    <w:rsid w:val="002F2C51"/>
    <w:rsid w:val="002F333C"/>
    <w:rsid w:val="002F379F"/>
    <w:rsid w:val="002F4C96"/>
    <w:rsid w:val="002F50D7"/>
    <w:rsid w:val="002F5592"/>
    <w:rsid w:val="002F5BB5"/>
    <w:rsid w:val="00301858"/>
    <w:rsid w:val="00301B51"/>
    <w:rsid w:val="00302251"/>
    <w:rsid w:val="00302DE5"/>
    <w:rsid w:val="00307C21"/>
    <w:rsid w:val="00307F2C"/>
    <w:rsid w:val="003105B6"/>
    <w:rsid w:val="00310E66"/>
    <w:rsid w:val="003115DA"/>
    <w:rsid w:val="00311A37"/>
    <w:rsid w:val="00315C2D"/>
    <w:rsid w:val="00315C3F"/>
    <w:rsid w:val="00321743"/>
    <w:rsid w:val="0032262E"/>
    <w:rsid w:val="0032277A"/>
    <w:rsid w:val="00322CFE"/>
    <w:rsid w:val="00322FA3"/>
    <w:rsid w:val="00324443"/>
    <w:rsid w:val="003267C5"/>
    <w:rsid w:val="00331A87"/>
    <w:rsid w:val="00332A35"/>
    <w:rsid w:val="00334611"/>
    <w:rsid w:val="00334D52"/>
    <w:rsid w:val="00336B65"/>
    <w:rsid w:val="00336BED"/>
    <w:rsid w:val="003419D6"/>
    <w:rsid w:val="003424C3"/>
    <w:rsid w:val="003434FD"/>
    <w:rsid w:val="00344445"/>
    <w:rsid w:val="00345A47"/>
    <w:rsid w:val="00346AA0"/>
    <w:rsid w:val="003475B7"/>
    <w:rsid w:val="00354042"/>
    <w:rsid w:val="003543A0"/>
    <w:rsid w:val="003566F9"/>
    <w:rsid w:val="00356764"/>
    <w:rsid w:val="00357474"/>
    <w:rsid w:val="003617D8"/>
    <w:rsid w:val="00363A74"/>
    <w:rsid w:val="00365E08"/>
    <w:rsid w:val="0037148D"/>
    <w:rsid w:val="00372202"/>
    <w:rsid w:val="00372B27"/>
    <w:rsid w:val="00373BAE"/>
    <w:rsid w:val="00374F81"/>
    <w:rsid w:val="00381423"/>
    <w:rsid w:val="00382EA1"/>
    <w:rsid w:val="00383F1E"/>
    <w:rsid w:val="003866AF"/>
    <w:rsid w:val="00386D7A"/>
    <w:rsid w:val="003910AA"/>
    <w:rsid w:val="0039356F"/>
    <w:rsid w:val="003936EA"/>
    <w:rsid w:val="003962BB"/>
    <w:rsid w:val="0039726B"/>
    <w:rsid w:val="003974A8"/>
    <w:rsid w:val="00397BA1"/>
    <w:rsid w:val="003A0812"/>
    <w:rsid w:val="003A1672"/>
    <w:rsid w:val="003A20E3"/>
    <w:rsid w:val="003A29D2"/>
    <w:rsid w:val="003A4068"/>
    <w:rsid w:val="003A4431"/>
    <w:rsid w:val="003A6670"/>
    <w:rsid w:val="003B2B34"/>
    <w:rsid w:val="003B45BA"/>
    <w:rsid w:val="003B46AE"/>
    <w:rsid w:val="003B5D57"/>
    <w:rsid w:val="003C0219"/>
    <w:rsid w:val="003C0A83"/>
    <w:rsid w:val="003C0E1F"/>
    <w:rsid w:val="003C2BC7"/>
    <w:rsid w:val="003C4D00"/>
    <w:rsid w:val="003C5B2B"/>
    <w:rsid w:val="003C65D0"/>
    <w:rsid w:val="003C67D1"/>
    <w:rsid w:val="003C69CC"/>
    <w:rsid w:val="003C7DC9"/>
    <w:rsid w:val="003D0340"/>
    <w:rsid w:val="003D2D58"/>
    <w:rsid w:val="003D4951"/>
    <w:rsid w:val="003E1405"/>
    <w:rsid w:val="003E32DA"/>
    <w:rsid w:val="003E7A5E"/>
    <w:rsid w:val="003F0EE7"/>
    <w:rsid w:val="003F1B92"/>
    <w:rsid w:val="003F1FEE"/>
    <w:rsid w:val="003F233F"/>
    <w:rsid w:val="003F55A5"/>
    <w:rsid w:val="003F6197"/>
    <w:rsid w:val="003F771D"/>
    <w:rsid w:val="003F7D37"/>
    <w:rsid w:val="004019C6"/>
    <w:rsid w:val="004033F5"/>
    <w:rsid w:val="004043EB"/>
    <w:rsid w:val="00404A02"/>
    <w:rsid w:val="00404DEE"/>
    <w:rsid w:val="00406E81"/>
    <w:rsid w:val="004119CB"/>
    <w:rsid w:val="00411AA1"/>
    <w:rsid w:val="004128F2"/>
    <w:rsid w:val="00413425"/>
    <w:rsid w:val="004155A4"/>
    <w:rsid w:val="00415664"/>
    <w:rsid w:val="00415B1D"/>
    <w:rsid w:val="00417BC8"/>
    <w:rsid w:val="004205B1"/>
    <w:rsid w:val="00420939"/>
    <w:rsid w:val="00421D23"/>
    <w:rsid w:val="00421E22"/>
    <w:rsid w:val="0042210F"/>
    <w:rsid w:val="004222BB"/>
    <w:rsid w:val="00422DAF"/>
    <w:rsid w:val="00423750"/>
    <w:rsid w:val="0042417C"/>
    <w:rsid w:val="004242B3"/>
    <w:rsid w:val="00424742"/>
    <w:rsid w:val="004254CE"/>
    <w:rsid w:val="0042598E"/>
    <w:rsid w:val="004301D9"/>
    <w:rsid w:val="004340A9"/>
    <w:rsid w:val="0043576F"/>
    <w:rsid w:val="0043697D"/>
    <w:rsid w:val="00436CDA"/>
    <w:rsid w:val="004372FB"/>
    <w:rsid w:val="004379A1"/>
    <w:rsid w:val="00441F18"/>
    <w:rsid w:val="00443E5D"/>
    <w:rsid w:val="00444E91"/>
    <w:rsid w:val="0045119D"/>
    <w:rsid w:val="0045429C"/>
    <w:rsid w:val="00455105"/>
    <w:rsid w:val="00455214"/>
    <w:rsid w:val="0045591A"/>
    <w:rsid w:val="00457268"/>
    <w:rsid w:val="0045734D"/>
    <w:rsid w:val="00457E6F"/>
    <w:rsid w:val="004629A9"/>
    <w:rsid w:val="00462F92"/>
    <w:rsid w:val="004649CC"/>
    <w:rsid w:val="00470136"/>
    <w:rsid w:val="00470670"/>
    <w:rsid w:val="00471277"/>
    <w:rsid w:val="00473780"/>
    <w:rsid w:val="00473923"/>
    <w:rsid w:val="00473A6A"/>
    <w:rsid w:val="00474C77"/>
    <w:rsid w:val="004752FF"/>
    <w:rsid w:val="00475419"/>
    <w:rsid w:val="0047559A"/>
    <w:rsid w:val="00477134"/>
    <w:rsid w:val="00481D37"/>
    <w:rsid w:val="00483185"/>
    <w:rsid w:val="0048322B"/>
    <w:rsid w:val="00483C15"/>
    <w:rsid w:val="00484BDC"/>
    <w:rsid w:val="00484D6A"/>
    <w:rsid w:val="00487205"/>
    <w:rsid w:val="00494C65"/>
    <w:rsid w:val="00495AED"/>
    <w:rsid w:val="00497AA6"/>
    <w:rsid w:val="00497E38"/>
    <w:rsid w:val="004A0D86"/>
    <w:rsid w:val="004B36E1"/>
    <w:rsid w:val="004B3A0F"/>
    <w:rsid w:val="004B6C04"/>
    <w:rsid w:val="004C0C5B"/>
    <w:rsid w:val="004C2CCA"/>
    <w:rsid w:val="004D1915"/>
    <w:rsid w:val="004D4365"/>
    <w:rsid w:val="004D683E"/>
    <w:rsid w:val="004D6D68"/>
    <w:rsid w:val="004E0CB5"/>
    <w:rsid w:val="004E22F8"/>
    <w:rsid w:val="004E3E3D"/>
    <w:rsid w:val="004E6122"/>
    <w:rsid w:val="004E752A"/>
    <w:rsid w:val="004E7987"/>
    <w:rsid w:val="004F1219"/>
    <w:rsid w:val="004F1A6B"/>
    <w:rsid w:val="004F1D96"/>
    <w:rsid w:val="004F294B"/>
    <w:rsid w:val="004F2DE6"/>
    <w:rsid w:val="004F316F"/>
    <w:rsid w:val="004F3AF9"/>
    <w:rsid w:val="004F425E"/>
    <w:rsid w:val="004F50D2"/>
    <w:rsid w:val="004F5778"/>
    <w:rsid w:val="004F6C54"/>
    <w:rsid w:val="004F79FB"/>
    <w:rsid w:val="004F7C8F"/>
    <w:rsid w:val="0050003F"/>
    <w:rsid w:val="00500546"/>
    <w:rsid w:val="0050080E"/>
    <w:rsid w:val="005009E0"/>
    <w:rsid w:val="00501699"/>
    <w:rsid w:val="00503686"/>
    <w:rsid w:val="0050371E"/>
    <w:rsid w:val="00506294"/>
    <w:rsid w:val="00507F9B"/>
    <w:rsid w:val="00511A5B"/>
    <w:rsid w:val="00514834"/>
    <w:rsid w:val="0051705B"/>
    <w:rsid w:val="005200CF"/>
    <w:rsid w:val="0052082D"/>
    <w:rsid w:val="00524BED"/>
    <w:rsid w:val="00527080"/>
    <w:rsid w:val="005270CB"/>
    <w:rsid w:val="005275CD"/>
    <w:rsid w:val="00531932"/>
    <w:rsid w:val="00531BD5"/>
    <w:rsid w:val="0053202C"/>
    <w:rsid w:val="00532222"/>
    <w:rsid w:val="00532D3C"/>
    <w:rsid w:val="00541F0E"/>
    <w:rsid w:val="00542144"/>
    <w:rsid w:val="005421C3"/>
    <w:rsid w:val="00542A26"/>
    <w:rsid w:val="00542F55"/>
    <w:rsid w:val="005433C3"/>
    <w:rsid w:val="00543814"/>
    <w:rsid w:val="00543CC0"/>
    <w:rsid w:val="00546745"/>
    <w:rsid w:val="00547BAB"/>
    <w:rsid w:val="00553D97"/>
    <w:rsid w:val="005556F9"/>
    <w:rsid w:val="00557ADF"/>
    <w:rsid w:val="005631C7"/>
    <w:rsid w:val="0056484A"/>
    <w:rsid w:val="00564B73"/>
    <w:rsid w:val="00564D64"/>
    <w:rsid w:val="00565AAC"/>
    <w:rsid w:val="0056729A"/>
    <w:rsid w:val="005718CF"/>
    <w:rsid w:val="0057219B"/>
    <w:rsid w:val="0057328F"/>
    <w:rsid w:val="00576C99"/>
    <w:rsid w:val="005805F5"/>
    <w:rsid w:val="00583E02"/>
    <w:rsid w:val="0058492D"/>
    <w:rsid w:val="005907D3"/>
    <w:rsid w:val="005916B8"/>
    <w:rsid w:val="00591D22"/>
    <w:rsid w:val="00592B4F"/>
    <w:rsid w:val="005934EB"/>
    <w:rsid w:val="005940EF"/>
    <w:rsid w:val="0059455A"/>
    <w:rsid w:val="0059644E"/>
    <w:rsid w:val="005A0550"/>
    <w:rsid w:val="005A2A47"/>
    <w:rsid w:val="005A2EFB"/>
    <w:rsid w:val="005A7717"/>
    <w:rsid w:val="005A784D"/>
    <w:rsid w:val="005B0394"/>
    <w:rsid w:val="005B1F0B"/>
    <w:rsid w:val="005B23F3"/>
    <w:rsid w:val="005B3C76"/>
    <w:rsid w:val="005B60E9"/>
    <w:rsid w:val="005B720A"/>
    <w:rsid w:val="005B732E"/>
    <w:rsid w:val="005C34DE"/>
    <w:rsid w:val="005C3502"/>
    <w:rsid w:val="005C3FCC"/>
    <w:rsid w:val="005C4261"/>
    <w:rsid w:val="005C7703"/>
    <w:rsid w:val="005D2275"/>
    <w:rsid w:val="005D3373"/>
    <w:rsid w:val="005D39B4"/>
    <w:rsid w:val="005D6439"/>
    <w:rsid w:val="005D6897"/>
    <w:rsid w:val="005E1DDD"/>
    <w:rsid w:val="005E1EFA"/>
    <w:rsid w:val="005E58EC"/>
    <w:rsid w:val="005E7BE4"/>
    <w:rsid w:val="005F0106"/>
    <w:rsid w:val="005F0293"/>
    <w:rsid w:val="005F2F3D"/>
    <w:rsid w:val="005F3C58"/>
    <w:rsid w:val="005F4BAC"/>
    <w:rsid w:val="005F5435"/>
    <w:rsid w:val="005F611D"/>
    <w:rsid w:val="005F7F10"/>
    <w:rsid w:val="00601830"/>
    <w:rsid w:val="00602527"/>
    <w:rsid w:val="006036BA"/>
    <w:rsid w:val="00603C60"/>
    <w:rsid w:val="00603CCA"/>
    <w:rsid w:val="00607705"/>
    <w:rsid w:val="006126D0"/>
    <w:rsid w:val="00613D2D"/>
    <w:rsid w:val="00613F98"/>
    <w:rsid w:val="00614560"/>
    <w:rsid w:val="0061521C"/>
    <w:rsid w:val="006166B1"/>
    <w:rsid w:val="00616E74"/>
    <w:rsid w:val="0062074A"/>
    <w:rsid w:val="00620E63"/>
    <w:rsid w:val="00620F85"/>
    <w:rsid w:val="006214CF"/>
    <w:rsid w:val="00621A71"/>
    <w:rsid w:val="006248A6"/>
    <w:rsid w:val="006263C7"/>
    <w:rsid w:val="0062648E"/>
    <w:rsid w:val="00631BC5"/>
    <w:rsid w:val="00632B54"/>
    <w:rsid w:val="0063642C"/>
    <w:rsid w:val="00641E25"/>
    <w:rsid w:val="00641EF8"/>
    <w:rsid w:val="006448B4"/>
    <w:rsid w:val="0064499A"/>
    <w:rsid w:val="006457D3"/>
    <w:rsid w:val="00646A40"/>
    <w:rsid w:val="006504A5"/>
    <w:rsid w:val="00651966"/>
    <w:rsid w:val="00655031"/>
    <w:rsid w:val="00657B74"/>
    <w:rsid w:val="006604CB"/>
    <w:rsid w:val="00662C8F"/>
    <w:rsid w:val="0066324C"/>
    <w:rsid w:val="00664DB6"/>
    <w:rsid w:val="00667EBF"/>
    <w:rsid w:val="006730B3"/>
    <w:rsid w:val="00674534"/>
    <w:rsid w:val="006746B1"/>
    <w:rsid w:val="00675B85"/>
    <w:rsid w:val="00675E28"/>
    <w:rsid w:val="00681195"/>
    <w:rsid w:val="0068781A"/>
    <w:rsid w:val="006920F5"/>
    <w:rsid w:val="00693904"/>
    <w:rsid w:val="00695963"/>
    <w:rsid w:val="0069645A"/>
    <w:rsid w:val="006973D6"/>
    <w:rsid w:val="006A1B00"/>
    <w:rsid w:val="006A74CC"/>
    <w:rsid w:val="006B029F"/>
    <w:rsid w:val="006B0B27"/>
    <w:rsid w:val="006B407C"/>
    <w:rsid w:val="006B4863"/>
    <w:rsid w:val="006B50B4"/>
    <w:rsid w:val="006C0343"/>
    <w:rsid w:val="006C2A91"/>
    <w:rsid w:val="006C52FC"/>
    <w:rsid w:val="006C6304"/>
    <w:rsid w:val="006D1265"/>
    <w:rsid w:val="006D2426"/>
    <w:rsid w:val="006D5948"/>
    <w:rsid w:val="006D7F63"/>
    <w:rsid w:val="006E0D76"/>
    <w:rsid w:val="006E11D4"/>
    <w:rsid w:val="006E2818"/>
    <w:rsid w:val="006E36D0"/>
    <w:rsid w:val="006E46A1"/>
    <w:rsid w:val="006E4A40"/>
    <w:rsid w:val="006E53E9"/>
    <w:rsid w:val="006E6473"/>
    <w:rsid w:val="006E6880"/>
    <w:rsid w:val="006F06BC"/>
    <w:rsid w:val="006F1548"/>
    <w:rsid w:val="006F2C6A"/>
    <w:rsid w:val="006F42E5"/>
    <w:rsid w:val="00700732"/>
    <w:rsid w:val="00702216"/>
    <w:rsid w:val="0070241B"/>
    <w:rsid w:val="00706C58"/>
    <w:rsid w:val="00712813"/>
    <w:rsid w:val="007130E0"/>
    <w:rsid w:val="00716509"/>
    <w:rsid w:val="00717F6A"/>
    <w:rsid w:val="00721059"/>
    <w:rsid w:val="00723243"/>
    <w:rsid w:val="00724858"/>
    <w:rsid w:val="00727706"/>
    <w:rsid w:val="00730FEB"/>
    <w:rsid w:val="0073121C"/>
    <w:rsid w:val="00731502"/>
    <w:rsid w:val="00731DA1"/>
    <w:rsid w:val="007326B5"/>
    <w:rsid w:val="00732851"/>
    <w:rsid w:val="007338D3"/>
    <w:rsid w:val="0073620E"/>
    <w:rsid w:val="0073661C"/>
    <w:rsid w:val="007406EE"/>
    <w:rsid w:val="007426C3"/>
    <w:rsid w:val="007431D6"/>
    <w:rsid w:val="00743DAC"/>
    <w:rsid w:val="00744F67"/>
    <w:rsid w:val="00747E63"/>
    <w:rsid w:val="00751DB5"/>
    <w:rsid w:val="00751F52"/>
    <w:rsid w:val="00753603"/>
    <w:rsid w:val="00753D0F"/>
    <w:rsid w:val="00754640"/>
    <w:rsid w:val="00757F3C"/>
    <w:rsid w:val="00762468"/>
    <w:rsid w:val="00763A30"/>
    <w:rsid w:val="00763A93"/>
    <w:rsid w:val="00764172"/>
    <w:rsid w:val="00764DE6"/>
    <w:rsid w:val="007727E6"/>
    <w:rsid w:val="0077356B"/>
    <w:rsid w:val="00774BDC"/>
    <w:rsid w:val="00775BB5"/>
    <w:rsid w:val="00777D50"/>
    <w:rsid w:val="00780708"/>
    <w:rsid w:val="007812C3"/>
    <w:rsid w:val="00781379"/>
    <w:rsid w:val="00781F32"/>
    <w:rsid w:val="007843B9"/>
    <w:rsid w:val="00785380"/>
    <w:rsid w:val="007856A0"/>
    <w:rsid w:val="0078784D"/>
    <w:rsid w:val="00793441"/>
    <w:rsid w:val="007979EF"/>
    <w:rsid w:val="00797C38"/>
    <w:rsid w:val="007A0B29"/>
    <w:rsid w:val="007A34CF"/>
    <w:rsid w:val="007A376A"/>
    <w:rsid w:val="007A3BA2"/>
    <w:rsid w:val="007A3C42"/>
    <w:rsid w:val="007A5405"/>
    <w:rsid w:val="007A585C"/>
    <w:rsid w:val="007A5C6C"/>
    <w:rsid w:val="007B02C4"/>
    <w:rsid w:val="007B0B04"/>
    <w:rsid w:val="007B0F14"/>
    <w:rsid w:val="007B1FE2"/>
    <w:rsid w:val="007B2423"/>
    <w:rsid w:val="007B2AF5"/>
    <w:rsid w:val="007B359C"/>
    <w:rsid w:val="007B3DB4"/>
    <w:rsid w:val="007B49B1"/>
    <w:rsid w:val="007C0E7D"/>
    <w:rsid w:val="007C2945"/>
    <w:rsid w:val="007C3452"/>
    <w:rsid w:val="007C4EF0"/>
    <w:rsid w:val="007C5603"/>
    <w:rsid w:val="007D29F7"/>
    <w:rsid w:val="007D446E"/>
    <w:rsid w:val="007D7A89"/>
    <w:rsid w:val="007E03A0"/>
    <w:rsid w:val="007E2ACC"/>
    <w:rsid w:val="007E37D0"/>
    <w:rsid w:val="007E4F23"/>
    <w:rsid w:val="007E5D10"/>
    <w:rsid w:val="007E5D2C"/>
    <w:rsid w:val="007E675B"/>
    <w:rsid w:val="007E7F02"/>
    <w:rsid w:val="007F209F"/>
    <w:rsid w:val="007F371F"/>
    <w:rsid w:val="007F3EA6"/>
    <w:rsid w:val="007F71D3"/>
    <w:rsid w:val="00800167"/>
    <w:rsid w:val="008006A8"/>
    <w:rsid w:val="00801997"/>
    <w:rsid w:val="008019F3"/>
    <w:rsid w:val="008040B5"/>
    <w:rsid w:val="00806D23"/>
    <w:rsid w:val="00807AA7"/>
    <w:rsid w:val="00813E38"/>
    <w:rsid w:val="00815C43"/>
    <w:rsid w:val="0081671E"/>
    <w:rsid w:val="00817585"/>
    <w:rsid w:val="00817CF8"/>
    <w:rsid w:val="00820449"/>
    <w:rsid w:val="00821F78"/>
    <w:rsid w:val="00822605"/>
    <w:rsid w:val="00822C64"/>
    <w:rsid w:val="00823872"/>
    <w:rsid w:val="00823EB2"/>
    <w:rsid w:val="00824132"/>
    <w:rsid w:val="00826EF7"/>
    <w:rsid w:val="008273A2"/>
    <w:rsid w:val="008273AB"/>
    <w:rsid w:val="00831744"/>
    <w:rsid w:val="008323BC"/>
    <w:rsid w:val="00833301"/>
    <w:rsid w:val="008333F3"/>
    <w:rsid w:val="00834D27"/>
    <w:rsid w:val="00835B46"/>
    <w:rsid w:val="008415F6"/>
    <w:rsid w:val="00841C0F"/>
    <w:rsid w:val="00842591"/>
    <w:rsid w:val="008426CC"/>
    <w:rsid w:val="00843B87"/>
    <w:rsid w:val="0084551C"/>
    <w:rsid w:val="0084683B"/>
    <w:rsid w:val="00847675"/>
    <w:rsid w:val="00851B9A"/>
    <w:rsid w:val="00852CF7"/>
    <w:rsid w:val="00853224"/>
    <w:rsid w:val="0085391E"/>
    <w:rsid w:val="00853981"/>
    <w:rsid w:val="00854ABB"/>
    <w:rsid w:val="00855E3A"/>
    <w:rsid w:val="008563D8"/>
    <w:rsid w:val="00864297"/>
    <w:rsid w:val="0086454C"/>
    <w:rsid w:val="0087036B"/>
    <w:rsid w:val="0087047B"/>
    <w:rsid w:val="008735EB"/>
    <w:rsid w:val="00873AB7"/>
    <w:rsid w:val="00874178"/>
    <w:rsid w:val="008741F2"/>
    <w:rsid w:val="008743C9"/>
    <w:rsid w:val="008762B1"/>
    <w:rsid w:val="00876ACF"/>
    <w:rsid w:val="00880502"/>
    <w:rsid w:val="00881D3B"/>
    <w:rsid w:val="00884018"/>
    <w:rsid w:val="008841DF"/>
    <w:rsid w:val="008856AC"/>
    <w:rsid w:val="008905D9"/>
    <w:rsid w:val="00892904"/>
    <w:rsid w:val="008940C2"/>
    <w:rsid w:val="00894E57"/>
    <w:rsid w:val="00896271"/>
    <w:rsid w:val="00896829"/>
    <w:rsid w:val="00896E52"/>
    <w:rsid w:val="008A0107"/>
    <w:rsid w:val="008A2466"/>
    <w:rsid w:val="008A27A9"/>
    <w:rsid w:val="008A2ED6"/>
    <w:rsid w:val="008A3FF4"/>
    <w:rsid w:val="008A6CB3"/>
    <w:rsid w:val="008A76EC"/>
    <w:rsid w:val="008B040C"/>
    <w:rsid w:val="008B0FD8"/>
    <w:rsid w:val="008B14F0"/>
    <w:rsid w:val="008B3826"/>
    <w:rsid w:val="008B3F6D"/>
    <w:rsid w:val="008B4F60"/>
    <w:rsid w:val="008B51B4"/>
    <w:rsid w:val="008B5C38"/>
    <w:rsid w:val="008B748A"/>
    <w:rsid w:val="008B760B"/>
    <w:rsid w:val="008C05A6"/>
    <w:rsid w:val="008C0C80"/>
    <w:rsid w:val="008C1711"/>
    <w:rsid w:val="008C1FA1"/>
    <w:rsid w:val="008C3AEA"/>
    <w:rsid w:val="008C3EAD"/>
    <w:rsid w:val="008C504B"/>
    <w:rsid w:val="008C6D63"/>
    <w:rsid w:val="008D12E5"/>
    <w:rsid w:val="008D2E33"/>
    <w:rsid w:val="008D404C"/>
    <w:rsid w:val="008D45A3"/>
    <w:rsid w:val="008D5A51"/>
    <w:rsid w:val="008D6A67"/>
    <w:rsid w:val="008E04C6"/>
    <w:rsid w:val="008E2354"/>
    <w:rsid w:val="008E2379"/>
    <w:rsid w:val="008E2F69"/>
    <w:rsid w:val="008E5410"/>
    <w:rsid w:val="008E5A70"/>
    <w:rsid w:val="008E621F"/>
    <w:rsid w:val="008E663F"/>
    <w:rsid w:val="008F069C"/>
    <w:rsid w:val="008F1D63"/>
    <w:rsid w:val="008F39C5"/>
    <w:rsid w:val="008F4422"/>
    <w:rsid w:val="00900310"/>
    <w:rsid w:val="009005E7"/>
    <w:rsid w:val="00901323"/>
    <w:rsid w:val="009014D7"/>
    <w:rsid w:val="00903918"/>
    <w:rsid w:val="009056EC"/>
    <w:rsid w:val="00907A5E"/>
    <w:rsid w:val="00910B43"/>
    <w:rsid w:val="00911F5D"/>
    <w:rsid w:val="00913877"/>
    <w:rsid w:val="00914812"/>
    <w:rsid w:val="00916942"/>
    <w:rsid w:val="00917FAE"/>
    <w:rsid w:val="00920039"/>
    <w:rsid w:val="009248B9"/>
    <w:rsid w:val="00924973"/>
    <w:rsid w:val="009273F8"/>
    <w:rsid w:val="00933DF8"/>
    <w:rsid w:val="00936E31"/>
    <w:rsid w:val="0093734A"/>
    <w:rsid w:val="0093740C"/>
    <w:rsid w:val="00940BD5"/>
    <w:rsid w:val="00941F80"/>
    <w:rsid w:val="0094513F"/>
    <w:rsid w:val="009456FB"/>
    <w:rsid w:val="009457BB"/>
    <w:rsid w:val="00947689"/>
    <w:rsid w:val="00953349"/>
    <w:rsid w:val="00953BFB"/>
    <w:rsid w:val="00954460"/>
    <w:rsid w:val="00954A4D"/>
    <w:rsid w:val="009568AE"/>
    <w:rsid w:val="00960195"/>
    <w:rsid w:val="00960784"/>
    <w:rsid w:val="0096089A"/>
    <w:rsid w:val="00960A81"/>
    <w:rsid w:val="0096731C"/>
    <w:rsid w:val="00967574"/>
    <w:rsid w:val="00967CC6"/>
    <w:rsid w:val="0097036D"/>
    <w:rsid w:val="009716B2"/>
    <w:rsid w:val="00971A6F"/>
    <w:rsid w:val="0097676B"/>
    <w:rsid w:val="009767B5"/>
    <w:rsid w:val="0098023B"/>
    <w:rsid w:val="00982FBC"/>
    <w:rsid w:val="00991099"/>
    <w:rsid w:val="00991BFC"/>
    <w:rsid w:val="00992F80"/>
    <w:rsid w:val="00993072"/>
    <w:rsid w:val="009972CF"/>
    <w:rsid w:val="00997D97"/>
    <w:rsid w:val="009A4098"/>
    <w:rsid w:val="009A6086"/>
    <w:rsid w:val="009A65A6"/>
    <w:rsid w:val="009A6C84"/>
    <w:rsid w:val="009A7C68"/>
    <w:rsid w:val="009B0A37"/>
    <w:rsid w:val="009B172B"/>
    <w:rsid w:val="009B22CB"/>
    <w:rsid w:val="009B47B7"/>
    <w:rsid w:val="009B4D10"/>
    <w:rsid w:val="009B7111"/>
    <w:rsid w:val="009C2836"/>
    <w:rsid w:val="009C40E5"/>
    <w:rsid w:val="009C45FB"/>
    <w:rsid w:val="009C4EC1"/>
    <w:rsid w:val="009C6523"/>
    <w:rsid w:val="009D297B"/>
    <w:rsid w:val="009D64FA"/>
    <w:rsid w:val="009D7203"/>
    <w:rsid w:val="009E03EC"/>
    <w:rsid w:val="009E1629"/>
    <w:rsid w:val="009E56CB"/>
    <w:rsid w:val="009E5B6F"/>
    <w:rsid w:val="009E5F50"/>
    <w:rsid w:val="009E6622"/>
    <w:rsid w:val="009E77A8"/>
    <w:rsid w:val="009E7C7B"/>
    <w:rsid w:val="009F1533"/>
    <w:rsid w:val="009F1AA1"/>
    <w:rsid w:val="009F4DF5"/>
    <w:rsid w:val="009F786B"/>
    <w:rsid w:val="00A06A93"/>
    <w:rsid w:val="00A07D8B"/>
    <w:rsid w:val="00A120D2"/>
    <w:rsid w:val="00A16C00"/>
    <w:rsid w:val="00A21B5C"/>
    <w:rsid w:val="00A221DC"/>
    <w:rsid w:val="00A24270"/>
    <w:rsid w:val="00A24BF3"/>
    <w:rsid w:val="00A24D03"/>
    <w:rsid w:val="00A26394"/>
    <w:rsid w:val="00A2685E"/>
    <w:rsid w:val="00A31B8B"/>
    <w:rsid w:val="00A321D7"/>
    <w:rsid w:val="00A35644"/>
    <w:rsid w:val="00A367D0"/>
    <w:rsid w:val="00A36809"/>
    <w:rsid w:val="00A410CA"/>
    <w:rsid w:val="00A41DA1"/>
    <w:rsid w:val="00A42251"/>
    <w:rsid w:val="00A4231E"/>
    <w:rsid w:val="00A42C10"/>
    <w:rsid w:val="00A4381A"/>
    <w:rsid w:val="00A455B8"/>
    <w:rsid w:val="00A47D77"/>
    <w:rsid w:val="00A531E8"/>
    <w:rsid w:val="00A54370"/>
    <w:rsid w:val="00A653A2"/>
    <w:rsid w:val="00A6585F"/>
    <w:rsid w:val="00A67D99"/>
    <w:rsid w:val="00A706E8"/>
    <w:rsid w:val="00A71C5A"/>
    <w:rsid w:val="00A75142"/>
    <w:rsid w:val="00A75579"/>
    <w:rsid w:val="00A80EF1"/>
    <w:rsid w:val="00A81632"/>
    <w:rsid w:val="00A82809"/>
    <w:rsid w:val="00A8358A"/>
    <w:rsid w:val="00A83707"/>
    <w:rsid w:val="00A90BC3"/>
    <w:rsid w:val="00A91578"/>
    <w:rsid w:val="00A91F29"/>
    <w:rsid w:val="00A922BE"/>
    <w:rsid w:val="00A966C2"/>
    <w:rsid w:val="00AA020A"/>
    <w:rsid w:val="00AA26D2"/>
    <w:rsid w:val="00AA394F"/>
    <w:rsid w:val="00AA48F3"/>
    <w:rsid w:val="00AA5286"/>
    <w:rsid w:val="00AA59D4"/>
    <w:rsid w:val="00AA59D5"/>
    <w:rsid w:val="00AB0AEB"/>
    <w:rsid w:val="00AB1D13"/>
    <w:rsid w:val="00AB218B"/>
    <w:rsid w:val="00AB21EB"/>
    <w:rsid w:val="00AB3C9F"/>
    <w:rsid w:val="00AB425A"/>
    <w:rsid w:val="00AB43B7"/>
    <w:rsid w:val="00AB475B"/>
    <w:rsid w:val="00AB56A8"/>
    <w:rsid w:val="00AB5A16"/>
    <w:rsid w:val="00AB69C4"/>
    <w:rsid w:val="00AC02DC"/>
    <w:rsid w:val="00AC08DA"/>
    <w:rsid w:val="00AC18BD"/>
    <w:rsid w:val="00AC220F"/>
    <w:rsid w:val="00AC371B"/>
    <w:rsid w:val="00AC434E"/>
    <w:rsid w:val="00AC4EDD"/>
    <w:rsid w:val="00AC668D"/>
    <w:rsid w:val="00AC66D0"/>
    <w:rsid w:val="00AC6BDD"/>
    <w:rsid w:val="00AC70C4"/>
    <w:rsid w:val="00AD01BB"/>
    <w:rsid w:val="00AD0BA4"/>
    <w:rsid w:val="00AD2F02"/>
    <w:rsid w:val="00AD3548"/>
    <w:rsid w:val="00AD3B72"/>
    <w:rsid w:val="00AD587B"/>
    <w:rsid w:val="00AE0EC7"/>
    <w:rsid w:val="00AE1418"/>
    <w:rsid w:val="00AE23BF"/>
    <w:rsid w:val="00AE28F1"/>
    <w:rsid w:val="00AE3B1F"/>
    <w:rsid w:val="00AE480C"/>
    <w:rsid w:val="00AE5D1B"/>
    <w:rsid w:val="00AF0064"/>
    <w:rsid w:val="00AF4996"/>
    <w:rsid w:val="00AF4ECF"/>
    <w:rsid w:val="00AF5365"/>
    <w:rsid w:val="00B01801"/>
    <w:rsid w:val="00B01D50"/>
    <w:rsid w:val="00B0264E"/>
    <w:rsid w:val="00B035E0"/>
    <w:rsid w:val="00B07071"/>
    <w:rsid w:val="00B07ACE"/>
    <w:rsid w:val="00B07F78"/>
    <w:rsid w:val="00B10181"/>
    <w:rsid w:val="00B11D48"/>
    <w:rsid w:val="00B13769"/>
    <w:rsid w:val="00B15804"/>
    <w:rsid w:val="00B15B46"/>
    <w:rsid w:val="00B16A81"/>
    <w:rsid w:val="00B3064F"/>
    <w:rsid w:val="00B30C1F"/>
    <w:rsid w:val="00B32CC6"/>
    <w:rsid w:val="00B32F70"/>
    <w:rsid w:val="00B33E77"/>
    <w:rsid w:val="00B35C12"/>
    <w:rsid w:val="00B403D7"/>
    <w:rsid w:val="00B40B86"/>
    <w:rsid w:val="00B424B1"/>
    <w:rsid w:val="00B4361F"/>
    <w:rsid w:val="00B44752"/>
    <w:rsid w:val="00B478C5"/>
    <w:rsid w:val="00B511F8"/>
    <w:rsid w:val="00B53440"/>
    <w:rsid w:val="00B56240"/>
    <w:rsid w:val="00B601BF"/>
    <w:rsid w:val="00B626F8"/>
    <w:rsid w:val="00B63732"/>
    <w:rsid w:val="00B65117"/>
    <w:rsid w:val="00B65C02"/>
    <w:rsid w:val="00B67B6E"/>
    <w:rsid w:val="00B72601"/>
    <w:rsid w:val="00B72BCD"/>
    <w:rsid w:val="00B7324B"/>
    <w:rsid w:val="00B74E67"/>
    <w:rsid w:val="00B81049"/>
    <w:rsid w:val="00B81731"/>
    <w:rsid w:val="00B8361D"/>
    <w:rsid w:val="00B844A5"/>
    <w:rsid w:val="00B86F30"/>
    <w:rsid w:val="00B87354"/>
    <w:rsid w:val="00B91161"/>
    <w:rsid w:val="00B914C2"/>
    <w:rsid w:val="00B91704"/>
    <w:rsid w:val="00B91708"/>
    <w:rsid w:val="00B91DFF"/>
    <w:rsid w:val="00B92510"/>
    <w:rsid w:val="00B92EEB"/>
    <w:rsid w:val="00B93A45"/>
    <w:rsid w:val="00B948C1"/>
    <w:rsid w:val="00B94B6B"/>
    <w:rsid w:val="00B96685"/>
    <w:rsid w:val="00B971F3"/>
    <w:rsid w:val="00B97991"/>
    <w:rsid w:val="00BA07FF"/>
    <w:rsid w:val="00BA2190"/>
    <w:rsid w:val="00BA5566"/>
    <w:rsid w:val="00BA7392"/>
    <w:rsid w:val="00BA7701"/>
    <w:rsid w:val="00BA79AC"/>
    <w:rsid w:val="00BB23A5"/>
    <w:rsid w:val="00BB32E2"/>
    <w:rsid w:val="00BB4445"/>
    <w:rsid w:val="00BB4A1F"/>
    <w:rsid w:val="00BB6C24"/>
    <w:rsid w:val="00BC4605"/>
    <w:rsid w:val="00BC7AB7"/>
    <w:rsid w:val="00BD08BA"/>
    <w:rsid w:val="00BD32CD"/>
    <w:rsid w:val="00BD4AF0"/>
    <w:rsid w:val="00BD4F84"/>
    <w:rsid w:val="00BD5FD0"/>
    <w:rsid w:val="00BD6B4A"/>
    <w:rsid w:val="00BE0ACD"/>
    <w:rsid w:val="00BE0EDC"/>
    <w:rsid w:val="00BE1CCF"/>
    <w:rsid w:val="00BE27D3"/>
    <w:rsid w:val="00BE2BCE"/>
    <w:rsid w:val="00BE2E5C"/>
    <w:rsid w:val="00BE6C6B"/>
    <w:rsid w:val="00BE783F"/>
    <w:rsid w:val="00BF2685"/>
    <w:rsid w:val="00BF3C7E"/>
    <w:rsid w:val="00BF3F42"/>
    <w:rsid w:val="00BF5C8E"/>
    <w:rsid w:val="00BF60CD"/>
    <w:rsid w:val="00BF7B17"/>
    <w:rsid w:val="00C007B4"/>
    <w:rsid w:val="00C00C7D"/>
    <w:rsid w:val="00C02629"/>
    <w:rsid w:val="00C04AC0"/>
    <w:rsid w:val="00C07486"/>
    <w:rsid w:val="00C11362"/>
    <w:rsid w:val="00C15D13"/>
    <w:rsid w:val="00C17331"/>
    <w:rsid w:val="00C21A7F"/>
    <w:rsid w:val="00C22D16"/>
    <w:rsid w:val="00C2506E"/>
    <w:rsid w:val="00C25199"/>
    <w:rsid w:val="00C25956"/>
    <w:rsid w:val="00C310C9"/>
    <w:rsid w:val="00C31ABF"/>
    <w:rsid w:val="00C3340A"/>
    <w:rsid w:val="00C34055"/>
    <w:rsid w:val="00C408F9"/>
    <w:rsid w:val="00C46954"/>
    <w:rsid w:val="00C5275E"/>
    <w:rsid w:val="00C52BB4"/>
    <w:rsid w:val="00C535B0"/>
    <w:rsid w:val="00C539F3"/>
    <w:rsid w:val="00C556AA"/>
    <w:rsid w:val="00C5691C"/>
    <w:rsid w:val="00C56FBF"/>
    <w:rsid w:val="00C57A3A"/>
    <w:rsid w:val="00C601D5"/>
    <w:rsid w:val="00C63347"/>
    <w:rsid w:val="00C6338D"/>
    <w:rsid w:val="00C633F9"/>
    <w:rsid w:val="00C63518"/>
    <w:rsid w:val="00C637D2"/>
    <w:rsid w:val="00C643D3"/>
    <w:rsid w:val="00C6452E"/>
    <w:rsid w:val="00C64979"/>
    <w:rsid w:val="00C64EF4"/>
    <w:rsid w:val="00C662AF"/>
    <w:rsid w:val="00C746D3"/>
    <w:rsid w:val="00C75294"/>
    <w:rsid w:val="00C759A1"/>
    <w:rsid w:val="00C77D87"/>
    <w:rsid w:val="00C839B6"/>
    <w:rsid w:val="00C83E8E"/>
    <w:rsid w:val="00C84C14"/>
    <w:rsid w:val="00C85B80"/>
    <w:rsid w:val="00C875CE"/>
    <w:rsid w:val="00C90F81"/>
    <w:rsid w:val="00C91D3A"/>
    <w:rsid w:val="00C96212"/>
    <w:rsid w:val="00C9630B"/>
    <w:rsid w:val="00C96900"/>
    <w:rsid w:val="00CA08DF"/>
    <w:rsid w:val="00CA0DAC"/>
    <w:rsid w:val="00CA1D49"/>
    <w:rsid w:val="00CA24FA"/>
    <w:rsid w:val="00CA2849"/>
    <w:rsid w:val="00CA65C4"/>
    <w:rsid w:val="00CA7776"/>
    <w:rsid w:val="00CA7B5A"/>
    <w:rsid w:val="00CA7E6D"/>
    <w:rsid w:val="00CB1095"/>
    <w:rsid w:val="00CB23C5"/>
    <w:rsid w:val="00CB3E0F"/>
    <w:rsid w:val="00CB4C98"/>
    <w:rsid w:val="00CB4D9E"/>
    <w:rsid w:val="00CB727F"/>
    <w:rsid w:val="00CC0521"/>
    <w:rsid w:val="00CC16EE"/>
    <w:rsid w:val="00CC1C6B"/>
    <w:rsid w:val="00CC6967"/>
    <w:rsid w:val="00CD0D81"/>
    <w:rsid w:val="00CD3175"/>
    <w:rsid w:val="00CD3886"/>
    <w:rsid w:val="00CD476E"/>
    <w:rsid w:val="00CE0740"/>
    <w:rsid w:val="00CE1741"/>
    <w:rsid w:val="00CE27A5"/>
    <w:rsid w:val="00CE3F4A"/>
    <w:rsid w:val="00CE5869"/>
    <w:rsid w:val="00CE6494"/>
    <w:rsid w:val="00CE7209"/>
    <w:rsid w:val="00CF01F4"/>
    <w:rsid w:val="00CF0537"/>
    <w:rsid w:val="00CF0A2C"/>
    <w:rsid w:val="00CF0EB8"/>
    <w:rsid w:val="00CF2A0C"/>
    <w:rsid w:val="00CF3FF9"/>
    <w:rsid w:val="00CF457A"/>
    <w:rsid w:val="00CF5B33"/>
    <w:rsid w:val="00CF70CA"/>
    <w:rsid w:val="00CF73BA"/>
    <w:rsid w:val="00D031A9"/>
    <w:rsid w:val="00D04579"/>
    <w:rsid w:val="00D0512C"/>
    <w:rsid w:val="00D05706"/>
    <w:rsid w:val="00D06376"/>
    <w:rsid w:val="00D06C56"/>
    <w:rsid w:val="00D0771D"/>
    <w:rsid w:val="00D07AEB"/>
    <w:rsid w:val="00D1363D"/>
    <w:rsid w:val="00D2206D"/>
    <w:rsid w:val="00D224F3"/>
    <w:rsid w:val="00D23F46"/>
    <w:rsid w:val="00D248F8"/>
    <w:rsid w:val="00D24ACB"/>
    <w:rsid w:val="00D25B13"/>
    <w:rsid w:val="00D3278D"/>
    <w:rsid w:val="00D32F40"/>
    <w:rsid w:val="00D34B0D"/>
    <w:rsid w:val="00D35C8A"/>
    <w:rsid w:val="00D41826"/>
    <w:rsid w:val="00D42767"/>
    <w:rsid w:val="00D455BB"/>
    <w:rsid w:val="00D4630C"/>
    <w:rsid w:val="00D508B2"/>
    <w:rsid w:val="00D50943"/>
    <w:rsid w:val="00D52050"/>
    <w:rsid w:val="00D53345"/>
    <w:rsid w:val="00D5346F"/>
    <w:rsid w:val="00D54AD3"/>
    <w:rsid w:val="00D57FE1"/>
    <w:rsid w:val="00D624F6"/>
    <w:rsid w:val="00D6284A"/>
    <w:rsid w:val="00D643D1"/>
    <w:rsid w:val="00D651F2"/>
    <w:rsid w:val="00D65DA0"/>
    <w:rsid w:val="00D67BF4"/>
    <w:rsid w:val="00D74363"/>
    <w:rsid w:val="00D76058"/>
    <w:rsid w:val="00D7653A"/>
    <w:rsid w:val="00D76B02"/>
    <w:rsid w:val="00D76CA8"/>
    <w:rsid w:val="00D77389"/>
    <w:rsid w:val="00D77E76"/>
    <w:rsid w:val="00D84E22"/>
    <w:rsid w:val="00D8609D"/>
    <w:rsid w:val="00D86F6B"/>
    <w:rsid w:val="00D872F8"/>
    <w:rsid w:val="00D903EC"/>
    <w:rsid w:val="00D9127F"/>
    <w:rsid w:val="00D916A4"/>
    <w:rsid w:val="00D92EEB"/>
    <w:rsid w:val="00D93C20"/>
    <w:rsid w:val="00D9510E"/>
    <w:rsid w:val="00D9552F"/>
    <w:rsid w:val="00D95B9B"/>
    <w:rsid w:val="00D95E75"/>
    <w:rsid w:val="00D9632C"/>
    <w:rsid w:val="00DA111F"/>
    <w:rsid w:val="00DA4AE2"/>
    <w:rsid w:val="00DA4BBC"/>
    <w:rsid w:val="00DA544E"/>
    <w:rsid w:val="00DA6795"/>
    <w:rsid w:val="00DB01B5"/>
    <w:rsid w:val="00DB1C65"/>
    <w:rsid w:val="00DB25CA"/>
    <w:rsid w:val="00DB41A0"/>
    <w:rsid w:val="00DB50A3"/>
    <w:rsid w:val="00DB5507"/>
    <w:rsid w:val="00DB562A"/>
    <w:rsid w:val="00DB5699"/>
    <w:rsid w:val="00DB5F6E"/>
    <w:rsid w:val="00DB6581"/>
    <w:rsid w:val="00DC0EAB"/>
    <w:rsid w:val="00DC2AB2"/>
    <w:rsid w:val="00DC7893"/>
    <w:rsid w:val="00DD030D"/>
    <w:rsid w:val="00DD21C2"/>
    <w:rsid w:val="00DD2A7E"/>
    <w:rsid w:val="00DD47F9"/>
    <w:rsid w:val="00DD5E16"/>
    <w:rsid w:val="00DD615E"/>
    <w:rsid w:val="00DD70E2"/>
    <w:rsid w:val="00DD789F"/>
    <w:rsid w:val="00DE09B5"/>
    <w:rsid w:val="00DE0E7B"/>
    <w:rsid w:val="00DE1C2E"/>
    <w:rsid w:val="00DE353B"/>
    <w:rsid w:val="00DE3E72"/>
    <w:rsid w:val="00DE6384"/>
    <w:rsid w:val="00DE6F6E"/>
    <w:rsid w:val="00DE7E26"/>
    <w:rsid w:val="00DE7F6D"/>
    <w:rsid w:val="00DF04E0"/>
    <w:rsid w:val="00DF05C9"/>
    <w:rsid w:val="00DF141A"/>
    <w:rsid w:val="00DF2953"/>
    <w:rsid w:val="00DF2BCC"/>
    <w:rsid w:val="00DF3E15"/>
    <w:rsid w:val="00DF4DDD"/>
    <w:rsid w:val="00DF75CE"/>
    <w:rsid w:val="00E003A7"/>
    <w:rsid w:val="00E00AD6"/>
    <w:rsid w:val="00E010BF"/>
    <w:rsid w:val="00E052F4"/>
    <w:rsid w:val="00E06E5A"/>
    <w:rsid w:val="00E1027A"/>
    <w:rsid w:val="00E10FE8"/>
    <w:rsid w:val="00E12EBF"/>
    <w:rsid w:val="00E15E86"/>
    <w:rsid w:val="00E1613D"/>
    <w:rsid w:val="00E17CF1"/>
    <w:rsid w:val="00E2200B"/>
    <w:rsid w:val="00E238C8"/>
    <w:rsid w:val="00E262E4"/>
    <w:rsid w:val="00E2649E"/>
    <w:rsid w:val="00E26879"/>
    <w:rsid w:val="00E268DD"/>
    <w:rsid w:val="00E2797B"/>
    <w:rsid w:val="00E27CE8"/>
    <w:rsid w:val="00E3196A"/>
    <w:rsid w:val="00E33381"/>
    <w:rsid w:val="00E37137"/>
    <w:rsid w:val="00E41A73"/>
    <w:rsid w:val="00E41B3E"/>
    <w:rsid w:val="00E4206A"/>
    <w:rsid w:val="00E435D8"/>
    <w:rsid w:val="00E43C32"/>
    <w:rsid w:val="00E45B2D"/>
    <w:rsid w:val="00E47E35"/>
    <w:rsid w:val="00E52977"/>
    <w:rsid w:val="00E60F8E"/>
    <w:rsid w:val="00E61893"/>
    <w:rsid w:val="00E6236A"/>
    <w:rsid w:val="00E667DB"/>
    <w:rsid w:val="00E66D3D"/>
    <w:rsid w:val="00E677C3"/>
    <w:rsid w:val="00E67A62"/>
    <w:rsid w:val="00E70107"/>
    <w:rsid w:val="00E71DC7"/>
    <w:rsid w:val="00E7362C"/>
    <w:rsid w:val="00E73773"/>
    <w:rsid w:val="00E74400"/>
    <w:rsid w:val="00E74B2D"/>
    <w:rsid w:val="00E752E3"/>
    <w:rsid w:val="00E766F9"/>
    <w:rsid w:val="00E76BAE"/>
    <w:rsid w:val="00E77244"/>
    <w:rsid w:val="00E774D1"/>
    <w:rsid w:val="00E774F1"/>
    <w:rsid w:val="00E778C7"/>
    <w:rsid w:val="00E77D8A"/>
    <w:rsid w:val="00E80C0D"/>
    <w:rsid w:val="00E8158E"/>
    <w:rsid w:val="00E81FFB"/>
    <w:rsid w:val="00E8688B"/>
    <w:rsid w:val="00E87A3D"/>
    <w:rsid w:val="00E910C7"/>
    <w:rsid w:val="00E947EA"/>
    <w:rsid w:val="00E95021"/>
    <w:rsid w:val="00E970B2"/>
    <w:rsid w:val="00E9768F"/>
    <w:rsid w:val="00E977FE"/>
    <w:rsid w:val="00E97F01"/>
    <w:rsid w:val="00EA2FDE"/>
    <w:rsid w:val="00EA7976"/>
    <w:rsid w:val="00EB5EDE"/>
    <w:rsid w:val="00EC1210"/>
    <w:rsid w:val="00EC210A"/>
    <w:rsid w:val="00EC4083"/>
    <w:rsid w:val="00EC55F2"/>
    <w:rsid w:val="00EC5946"/>
    <w:rsid w:val="00EC68C3"/>
    <w:rsid w:val="00ED01F7"/>
    <w:rsid w:val="00ED036A"/>
    <w:rsid w:val="00ED27E7"/>
    <w:rsid w:val="00ED2AA3"/>
    <w:rsid w:val="00ED317F"/>
    <w:rsid w:val="00ED379A"/>
    <w:rsid w:val="00ED587B"/>
    <w:rsid w:val="00ED7511"/>
    <w:rsid w:val="00ED7818"/>
    <w:rsid w:val="00ED7B4C"/>
    <w:rsid w:val="00EE2AB4"/>
    <w:rsid w:val="00EF1892"/>
    <w:rsid w:val="00EF1A0F"/>
    <w:rsid w:val="00EF1CC9"/>
    <w:rsid w:val="00EF437D"/>
    <w:rsid w:val="00EF58FC"/>
    <w:rsid w:val="00EF7191"/>
    <w:rsid w:val="00EF7A05"/>
    <w:rsid w:val="00F0200E"/>
    <w:rsid w:val="00F03D3B"/>
    <w:rsid w:val="00F04C45"/>
    <w:rsid w:val="00F050AF"/>
    <w:rsid w:val="00F07A42"/>
    <w:rsid w:val="00F107F5"/>
    <w:rsid w:val="00F10FA1"/>
    <w:rsid w:val="00F14AF4"/>
    <w:rsid w:val="00F15080"/>
    <w:rsid w:val="00F1599B"/>
    <w:rsid w:val="00F15C9A"/>
    <w:rsid w:val="00F16E13"/>
    <w:rsid w:val="00F174FB"/>
    <w:rsid w:val="00F20033"/>
    <w:rsid w:val="00F21809"/>
    <w:rsid w:val="00F249A7"/>
    <w:rsid w:val="00F25BF9"/>
    <w:rsid w:val="00F25E98"/>
    <w:rsid w:val="00F26624"/>
    <w:rsid w:val="00F26DD7"/>
    <w:rsid w:val="00F271B6"/>
    <w:rsid w:val="00F27ED5"/>
    <w:rsid w:val="00F3180A"/>
    <w:rsid w:val="00F3234C"/>
    <w:rsid w:val="00F351FC"/>
    <w:rsid w:val="00F3610B"/>
    <w:rsid w:val="00F43EDF"/>
    <w:rsid w:val="00F44A3D"/>
    <w:rsid w:val="00F45713"/>
    <w:rsid w:val="00F46747"/>
    <w:rsid w:val="00F46FA8"/>
    <w:rsid w:val="00F47F26"/>
    <w:rsid w:val="00F514CF"/>
    <w:rsid w:val="00F52C4D"/>
    <w:rsid w:val="00F54401"/>
    <w:rsid w:val="00F546B3"/>
    <w:rsid w:val="00F56E3F"/>
    <w:rsid w:val="00F575CC"/>
    <w:rsid w:val="00F5778A"/>
    <w:rsid w:val="00F644B3"/>
    <w:rsid w:val="00F647DD"/>
    <w:rsid w:val="00F664C9"/>
    <w:rsid w:val="00F66624"/>
    <w:rsid w:val="00F7175C"/>
    <w:rsid w:val="00F7431B"/>
    <w:rsid w:val="00F805B4"/>
    <w:rsid w:val="00F83C1C"/>
    <w:rsid w:val="00F85603"/>
    <w:rsid w:val="00F85748"/>
    <w:rsid w:val="00F86327"/>
    <w:rsid w:val="00F86C58"/>
    <w:rsid w:val="00F90958"/>
    <w:rsid w:val="00F916CB"/>
    <w:rsid w:val="00F93A6E"/>
    <w:rsid w:val="00F949CF"/>
    <w:rsid w:val="00F96491"/>
    <w:rsid w:val="00F96889"/>
    <w:rsid w:val="00FA06C8"/>
    <w:rsid w:val="00FB1B9B"/>
    <w:rsid w:val="00FB3665"/>
    <w:rsid w:val="00FB4979"/>
    <w:rsid w:val="00FB55C9"/>
    <w:rsid w:val="00FB5BAF"/>
    <w:rsid w:val="00FB7278"/>
    <w:rsid w:val="00FB7635"/>
    <w:rsid w:val="00FC0077"/>
    <w:rsid w:val="00FC0E9B"/>
    <w:rsid w:val="00FC2128"/>
    <w:rsid w:val="00FC2394"/>
    <w:rsid w:val="00FC289A"/>
    <w:rsid w:val="00FC45F8"/>
    <w:rsid w:val="00FC722B"/>
    <w:rsid w:val="00FD03C1"/>
    <w:rsid w:val="00FD0AE1"/>
    <w:rsid w:val="00FD108E"/>
    <w:rsid w:val="00FD17E7"/>
    <w:rsid w:val="00FD4166"/>
    <w:rsid w:val="00FD66E6"/>
    <w:rsid w:val="00FD7C94"/>
    <w:rsid w:val="00FE25EB"/>
    <w:rsid w:val="00FE3BC8"/>
    <w:rsid w:val="00FE5DC7"/>
    <w:rsid w:val="00FE65B0"/>
    <w:rsid w:val="00FE67EB"/>
    <w:rsid w:val="00FE7A8D"/>
    <w:rsid w:val="00FF04CD"/>
    <w:rsid w:val="00FF136C"/>
    <w:rsid w:val="00FF2515"/>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F"/>
    <w:rPr>
      <w:sz w:val="24"/>
    </w:rPr>
  </w:style>
  <w:style w:type="paragraph" w:styleId="Heading1">
    <w:name w:val="heading 1"/>
    <w:basedOn w:val="Normal"/>
    <w:next w:val="Normal"/>
    <w:link w:val="Heading1Char"/>
    <w:autoRedefine/>
    <w:qFormat/>
    <w:rsid w:val="00FB4979"/>
    <w:pPr>
      <w:keepNext/>
      <w:spacing w:line="480" w:lineRule="auto"/>
      <w:outlineLvl w:val="0"/>
    </w:pPr>
    <w:rPr>
      <w:b/>
      <w:szCs w:val="26"/>
    </w:rPr>
  </w:style>
  <w:style w:type="paragraph" w:styleId="Heading2">
    <w:name w:val="heading 2"/>
    <w:basedOn w:val="Normal"/>
    <w:next w:val="Normal"/>
    <w:link w:val="Heading2Char"/>
    <w:qFormat/>
    <w:rsid w:val="00662C8F"/>
    <w:pPr>
      <w:keepNext/>
      <w:spacing w:before="240" w:line="480" w:lineRule="auto"/>
      <w:outlineLvl w:val="1"/>
    </w:pPr>
    <w:rPr>
      <w:b/>
      <w:bCs/>
      <w:i/>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B1C65"/>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DB1C65"/>
    <w:pPr>
      <w:keepNext/>
      <w:keepLines/>
      <w:tabs>
        <w:tab w:val="left" w:pos="728"/>
      </w:tabs>
      <w:ind w:left="720" w:hanging="720"/>
      <w:jc w:val="center"/>
      <w:outlineLvl w:val="5"/>
    </w:pPr>
    <w:rPr>
      <w:rFonts w:cs="Arial"/>
      <w:b/>
      <w:bCs/>
      <w:szCs w:val="24"/>
    </w:rPr>
  </w:style>
  <w:style w:type="paragraph" w:styleId="Heading7">
    <w:name w:val="heading 7"/>
    <w:basedOn w:val="Normal"/>
    <w:next w:val="Normal"/>
    <w:link w:val="Heading7Char"/>
    <w:qFormat/>
    <w:rsid w:val="00DB1C65"/>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rPr>
  </w:style>
  <w:style w:type="paragraph" w:styleId="Heading9">
    <w:name w:val="heading 9"/>
    <w:basedOn w:val="Normal"/>
    <w:next w:val="Normal"/>
    <w:link w:val="Heading9Char"/>
    <w:qFormat/>
    <w:rsid w:val="00DB1C6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C65"/>
    <w:pPr>
      <w:tabs>
        <w:tab w:val="center" w:pos="4320"/>
        <w:tab w:val="right" w:pos="8640"/>
      </w:tabs>
    </w:pPr>
  </w:style>
  <w:style w:type="paragraph" w:styleId="Footer">
    <w:name w:val="footer"/>
    <w:basedOn w:val="Normal"/>
    <w:link w:val="FooterChar"/>
    <w:rsid w:val="00DB1C65"/>
    <w:pPr>
      <w:tabs>
        <w:tab w:val="center" w:pos="4320"/>
        <w:tab w:val="right" w:pos="8640"/>
      </w:tabs>
    </w:pPr>
  </w:style>
  <w:style w:type="paragraph" w:styleId="Title">
    <w:name w:val="Title"/>
    <w:basedOn w:val="Normal"/>
    <w:link w:val="TitleChar"/>
    <w:qFormat/>
    <w:rsid w:val="00DB1C65"/>
    <w:pPr>
      <w:jc w:val="center"/>
    </w:pPr>
    <w:rPr>
      <w:b/>
    </w:rPr>
  </w:style>
  <w:style w:type="paragraph" w:styleId="BodyText">
    <w:name w:val="Body Text"/>
    <w:basedOn w:val="Normal"/>
    <w:link w:val="BodyTextChar"/>
    <w:semiHidden/>
    <w:rsid w:val="00DB1C65"/>
    <w:pPr>
      <w:spacing w:line="480" w:lineRule="auto"/>
    </w:pPr>
    <w:rPr>
      <w:b/>
      <w:caps/>
    </w:rPr>
  </w:style>
  <w:style w:type="paragraph" w:customStyle="1" w:styleId="TestimonyQ">
    <w:name w:val="Testimony Q"/>
    <w:basedOn w:val="Normal"/>
    <w:rsid w:val="00DB1C65"/>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DB1C65"/>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DB1C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DB1C65"/>
    <w:pPr>
      <w:spacing w:line="480" w:lineRule="auto"/>
      <w:ind w:left="720" w:hanging="720"/>
      <w:jc w:val="both"/>
    </w:pPr>
  </w:style>
  <w:style w:type="character" w:styleId="PageNumber">
    <w:name w:val="page number"/>
    <w:basedOn w:val="DefaultParagraphFont"/>
    <w:semiHidden/>
    <w:rsid w:val="00DB1C65"/>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DB1C65"/>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D916A4"/>
    <w:pPr>
      <w:jc w:val="both"/>
    </w:pPr>
    <w:rPr>
      <w:sz w:val="22"/>
    </w:r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662C8F"/>
    <w:rPr>
      <w:b/>
      <w:bCs/>
      <w:i/>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B4979"/>
    <w:rPr>
      <w:b/>
      <w:sz w:val="24"/>
      <w:szCs w:val="26"/>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916A4"/>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C83E8E"/>
    <w:pPr>
      <w:keepNext/>
      <w:keepLines/>
      <w:overflowPunct w:val="0"/>
      <w:autoSpaceDE w:val="0"/>
      <w:autoSpaceDN w:val="0"/>
      <w:adjustRightInd w:val="0"/>
      <w:spacing w:before="120" w:after="120"/>
      <w:ind w:left="720" w:hanging="720"/>
      <w:jc w:val="both"/>
      <w:textAlignment w:val="baseline"/>
    </w:pPr>
    <w:rPr>
      <w:b/>
      <w:spacing w:val="10"/>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rPr>
  </w:style>
  <w:style w:type="paragraph" w:styleId="TOC1">
    <w:name w:val="toc 1"/>
    <w:basedOn w:val="Normal"/>
    <w:next w:val="Normal"/>
    <w:autoRedefine/>
    <w:uiPriority w:val="39"/>
    <w:qFormat/>
    <w:rsid w:val="00BE783F"/>
    <w:pPr>
      <w:widowControl w:val="0"/>
      <w:suppressLineNumbers/>
      <w:tabs>
        <w:tab w:val="left" w:pos="720"/>
        <w:tab w:val="left" w:pos="1000"/>
        <w:tab w:val="left" w:pos="1440"/>
        <w:tab w:val="right" w:leader="dot" w:pos="9062"/>
      </w:tabs>
      <w:autoSpaceDE w:val="0"/>
      <w:autoSpaceDN w:val="0"/>
    </w:pPr>
    <w:rPr>
      <w:rFonts w:cs="Arial"/>
      <w:bCs/>
      <w:noProof/>
    </w:rPr>
  </w:style>
  <w:style w:type="paragraph" w:styleId="TOC2">
    <w:name w:val="toc 2"/>
    <w:basedOn w:val="Normal"/>
    <w:next w:val="Normal"/>
    <w:autoRedefine/>
    <w:uiPriority w:val="39"/>
    <w:qFormat/>
    <w:rsid w:val="000F27DE"/>
    <w:pPr>
      <w:widowControl w:val="0"/>
      <w:suppressLineNumbers/>
      <w:tabs>
        <w:tab w:val="left" w:pos="720"/>
        <w:tab w:val="right" w:leader="dot" w:pos="9062"/>
      </w:tabs>
      <w:autoSpaceDE w:val="0"/>
      <w:autoSpaceDN w:val="0"/>
      <w:ind w:left="270"/>
    </w:pPr>
    <w:rPr>
      <w:rFonts w:cs="Courier New"/>
    </w:rPr>
  </w:style>
  <w:style w:type="paragraph" w:styleId="TOC3">
    <w:name w:val="toc 3"/>
    <w:basedOn w:val="Normal"/>
    <w:next w:val="Normal"/>
    <w:autoRedefine/>
    <w:qFormat/>
    <w:rsid w:val="002F333C"/>
    <w:pPr>
      <w:widowControl w:val="0"/>
      <w:suppressLineNumbers/>
      <w:tabs>
        <w:tab w:val="left" w:pos="450"/>
        <w:tab w:val="left" w:pos="900"/>
        <w:tab w:val="right" w:leader="dot" w:pos="9062"/>
      </w:tabs>
      <w:autoSpaceDE w:val="0"/>
      <w:autoSpaceDN w:val="0"/>
      <w:spacing w:line="480" w:lineRule="auto"/>
    </w:pPr>
    <w:rPr>
      <w:rFonts w:cs="Courier New"/>
    </w:rPr>
  </w:style>
  <w:style w:type="paragraph" w:styleId="TOC4">
    <w:name w:val="toc 4"/>
    <w:basedOn w:val="Normal"/>
    <w:next w:val="Normal"/>
    <w:autoRedefine/>
    <w:semiHidden/>
    <w:qFormat/>
    <w:rsid w:val="006604CB"/>
    <w:pPr>
      <w:widowControl w:val="0"/>
      <w:autoSpaceDE w:val="0"/>
      <w:autoSpaceDN w:val="0"/>
      <w:ind w:left="600"/>
    </w:pPr>
    <w:rPr>
      <w:rFonts w:cs="Courier New"/>
    </w:rPr>
  </w:style>
  <w:style w:type="paragraph" w:styleId="TOC5">
    <w:name w:val="toc 5"/>
    <w:basedOn w:val="Normal"/>
    <w:next w:val="Normal"/>
    <w:autoRedefine/>
    <w:semiHidden/>
    <w:qFormat/>
    <w:rsid w:val="006604CB"/>
    <w:pPr>
      <w:widowControl w:val="0"/>
      <w:autoSpaceDE w:val="0"/>
      <w:autoSpaceDN w:val="0"/>
      <w:ind w:left="800"/>
    </w:pPr>
    <w:rPr>
      <w:rFonts w:cs="Courier New"/>
    </w:rPr>
  </w:style>
  <w:style w:type="paragraph" w:styleId="TOC6">
    <w:name w:val="toc 6"/>
    <w:basedOn w:val="Normal"/>
    <w:next w:val="Normal"/>
    <w:autoRedefine/>
    <w:semiHidden/>
    <w:qFormat/>
    <w:rsid w:val="006604CB"/>
    <w:pPr>
      <w:widowControl w:val="0"/>
      <w:autoSpaceDE w:val="0"/>
      <w:autoSpaceDN w:val="0"/>
      <w:ind w:left="1000"/>
    </w:pPr>
    <w:rPr>
      <w:rFonts w:cs="Courier New"/>
    </w:rPr>
  </w:style>
  <w:style w:type="paragraph" w:styleId="TOC7">
    <w:name w:val="toc 7"/>
    <w:basedOn w:val="Normal"/>
    <w:next w:val="Normal"/>
    <w:autoRedefine/>
    <w:semiHidden/>
    <w:qFormat/>
    <w:rsid w:val="006604CB"/>
    <w:pPr>
      <w:widowControl w:val="0"/>
      <w:autoSpaceDE w:val="0"/>
      <w:autoSpaceDN w:val="0"/>
      <w:ind w:left="1200"/>
    </w:pPr>
    <w:rPr>
      <w:rFonts w:cs="Courier New"/>
    </w:rPr>
  </w:style>
  <w:style w:type="paragraph" w:styleId="TOC8">
    <w:name w:val="toc 8"/>
    <w:basedOn w:val="Normal"/>
    <w:next w:val="Normal"/>
    <w:autoRedefine/>
    <w:semiHidden/>
    <w:qFormat/>
    <w:rsid w:val="006604CB"/>
    <w:pPr>
      <w:widowControl w:val="0"/>
      <w:autoSpaceDE w:val="0"/>
      <w:autoSpaceDN w:val="0"/>
      <w:ind w:left="1400"/>
    </w:pPr>
    <w:rPr>
      <w:rFonts w:cs="Courier New"/>
    </w:rPr>
  </w:style>
  <w:style w:type="paragraph" w:styleId="TOC9">
    <w:name w:val="toc 9"/>
    <w:basedOn w:val="Normal"/>
    <w:next w:val="Normal"/>
    <w:autoRedefine/>
    <w:semiHidden/>
    <w:qFormat/>
    <w:rsid w:val="006604CB"/>
    <w:pPr>
      <w:widowControl w:val="0"/>
      <w:autoSpaceDE w:val="0"/>
      <w:autoSpaceDN w:val="0"/>
      <w:ind w:left="1600"/>
    </w:pPr>
    <w:rPr>
      <w:rFonts w:cs="Courier New"/>
    </w:rPr>
  </w:style>
  <w:style w:type="paragraph" w:styleId="BodyText3">
    <w:name w:val="Body Text 3"/>
    <w:basedOn w:val="BodyText"/>
    <w:link w:val="BodyText3Char"/>
    <w:semiHidden/>
    <w:rsid w:val="006604CB"/>
    <w:pPr>
      <w:spacing w:before="240"/>
      <w:ind w:left="720"/>
      <w:jc w:val="both"/>
    </w:pPr>
    <w:rPr>
      <w:b w:val="0"/>
      <w:caps w:val="0"/>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character" w:customStyle="1" w:styleId="Heading6Char">
    <w:name w:val="Heading 6 Char"/>
    <w:basedOn w:val="DefaultParagraphFont"/>
    <w:link w:val="Heading6"/>
    <w:rsid w:val="00960A81"/>
    <w:rPr>
      <w:rFonts w:cs="Arial"/>
      <w:b/>
      <w:bCs/>
      <w:sz w:val="24"/>
      <w:szCs w:val="24"/>
    </w:rPr>
  </w:style>
  <w:style w:type="character" w:customStyle="1" w:styleId="Heading7Char">
    <w:name w:val="Heading 7 Char"/>
    <w:basedOn w:val="DefaultParagraphFont"/>
    <w:link w:val="Heading7"/>
    <w:rsid w:val="00960A81"/>
    <w:rPr>
      <w:b/>
      <w:bCs/>
      <w:sz w:val="24"/>
      <w:u w:val="single"/>
    </w:rPr>
  </w:style>
  <w:style w:type="character" w:customStyle="1" w:styleId="Heading9Char">
    <w:name w:val="Heading 9 Char"/>
    <w:basedOn w:val="DefaultParagraphFont"/>
    <w:link w:val="Heading9"/>
    <w:rsid w:val="00960A81"/>
    <w:rPr>
      <w:b/>
      <w:bCs/>
      <w:sz w:val="24"/>
    </w:rPr>
  </w:style>
  <w:style w:type="paragraph" w:customStyle="1" w:styleId="a">
    <w:name w:val="_"/>
    <w:basedOn w:val="Normal"/>
    <w:rsid w:val="00506294"/>
    <w:pPr>
      <w:widowControl w:val="0"/>
      <w:autoSpaceDE w:val="0"/>
      <w:autoSpaceDN w:val="0"/>
      <w:adjustRightInd w:val="0"/>
      <w:ind w:left="2880" w:hanging="720"/>
    </w:pPr>
    <w:rPr>
      <w:sz w:val="20"/>
      <w:szCs w:val="24"/>
    </w:rPr>
  </w:style>
  <w:style w:type="character" w:customStyle="1" w:styleId="DocID">
    <w:name w:val="DocID"/>
    <w:rsid w:val="00506294"/>
    <w:rPr>
      <w:sz w:val="16"/>
    </w:rPr>
  </w:style>
  <w:style w:type="paragraph" w:customStyle="1" w:styleId="DocIDPara">
    <w:name w:val="DocIDPara"/>
    <w:rsid w:val="00506294"/>
  </w:style>
  <w:style w:type="paragraph" w:customStyle="1" w:styleId="StyleJustified">
    <w:name w:val="Style Justified"/>
    <w:basedOn w:val="Normal"/>
    <w:rsid w:val="00506294"/>
    <w:pPr>
      <w:spacing w:line="480" w:lineRule="auto"/>
      <w:jc w:val="both"/>
    </w:pPr>
  </w:style>
  <w:style w:type="character" w:customStyle="1" w:styleId="zzmpTrailerItem">
    <w:name w:val="zzmpTrailerItem"/>
    <w:rsid w:val="00506294"/>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506294"/>
    <w:rPr>
      <w:b/>
      <w:bCs/>
      <w:i w:val="0"/>
      <w:iCs w:val="0"/>
    </w:rPr>
  </w:style>
  <w:style w:type="paragraph" w:styleId="BlockText">
    <w:name w:val="Block Text"/>
    <w:basedOn w:val="Normal"/>
    <w:semiHidden/>
    <w:rsid w:val="00506294"/>
    <w:pPr>
      <w:autoSpaceDE w:val="0"/>
      <w:autoSpaceDN w:val="0"/>
      <w:adjustRightInd w:val="0"/>
      <w:ind w:left="1440" w:right="720"/>
    </w:pPr>
  </w:style>
  <w:style w:type="character" w:styleId="FollowedHyperlink">
    <w:name w:val="FollowedHyperlink"/>
    <w:basedOn w:val="DefaultParagraphFont"/>
    <w:uiPriority w:val="99"/>
    <w:semiHidden/>
    <w:unhideWhenUsed/>
    <w:rsid w:val="00A71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03229180">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RAPA/gads/Pages/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887C1C-0EEB-446A-9FD1-F2A427736116}"/>
</file>

<file path=customXml/itemProps2.xml><?xml version="1.0" encoding="utf-8"?>
<ds:datastoreItem xmlns:ds="http://schemas.openxmlformats.org/officeDocument/2006/customXml" ds:itemID="{2B537C46-887E-4106-9E4B-DC865937A7F7}"/>
</file>

<file path=customXml/itemProps3.xml><?xml version="1.0" encoding="utf-8"?>
<ds:datastoreItem xmlns:ds="http://schemas.openxmlformats.org/officeDocument/2006/customXml" ds:itemID="{DF5FE8D5-D47C-44CE-AD1E-4B447D1A97B4}"/>
</file>

<file path=customXml/itemProps4.xml><?xml version="1.0" encoding="utf-8"?>
<ds:datastoreItem xmlns:ds="http://schemas.openxmlformats.org/officeDocument/2006/customXml" ds:itemID="{A47A5831-CFBB-436D-A99E-9640116C08B1}"/>
</file>

<file path=customXml/itemProps5.xml><?xml version="1.0" encoding="utf-8"?>
<ds:datastoreItem xmlns:ds="http://schemas.openxmlformats.org/officeDocument/2006/customXml" ds:itemID="{AE092B74-04E7-475F-AE63-7E5D07227A90}"/>
</file>

<file path=docProps/app.xml><?xml version="1.0" encoding="utf-8"?>
<Properties xmlns="http://schemas.openxmlformats.org/officeDocument/2006/extended-properties" xmlns:vt="http://schemas.openxmlformats.org/officeDocument/2006/docPropsVTypes">
  <Template>Normal</Template>
  <TotalTime>48</TotalTime>
  <Pages>14</Pages>
  <Words>3062</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19647</CharactersWithSpaces>
  <SharedDoc>false</SharedDoc>
  <HLinks>
    <vt:vector size="6" baseType="variant">
      <vt:variant>
        <vt:i4>7405603</vt:i4>
      </vt:variant>
      <vt:variant>
        <vt:i4>0</vt:i4>
      </vt:variant>
      <vt:variant>
        <vt:i4>0</vt:i4>
      </vt:variant>
      <vt:variant>
        <vt:i4>5</vt:i4>
      </vt:variant>
      <vt:variant>
        <vt:lpwstr>http://www.nerc.com/pa/RAPA/gads/Pages/Reports.aspx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10</cp:revision>
  <cp:lastPrinted>2014-11-10T22:23:00Z</cp:lastPrinted>
  <dcterms:created xsi:type="dcterms:W3CDTF">2014-11-12T19:42:00Z</dcterms:created>
  <dcterms:modified xsi:type="dcterms:W3CDTF">2014-11-13T17:29:00Z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