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Default="00FC6660" w:rsidP="00D76CEF">
      <w:pPr>
        <w:ind w:firstLine="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</w:p>
    <w:p w:rsidR="00630A9D" w:rsidRPr="00475190" w:rsidRDefault="00630A9D" w:rsidP="00D76CEF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7071F1">
        <w:rPr>
          <w:sz w:val="22"/>
          <w:szCs w:val="22"/>
        </w:rPr>
        <w:t xml:space="preserve">U.S. </w:t>
      </w:r>
      <w:r w:rsidR="00CA34BD">
        <w:rPr>
          <w:sz w:val="22"/>
          <w:szCs w:val="22"/>
        </w:rPr>
        <w:t>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F2083C" w:rsidRPr="00D35EB0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143ADF" w:rsidRDefault="00F2083C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F2083C" w:rsidRDefault="00F2083C" w:rsidP="00736420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Sally Brown</w:t>
            </w:r>
            <w:r>
              <w:rPr>
                <w:sz w:val="22"/>
                <w:szCs w:val="22"/>
              </w:rPr>
              <w:br/>
              <w:t>Brett Shearer</w:t>
            </w:r>
            <w:r>
              <w:rPr>
                <w:sz w:val="22"/>
                <w:szCs w:val="22"/>
              </w:rPr>
              <w:br/>
              <w:t>Jeff Roberson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sbrown@utc.wa.gov</w:t>
            </w:r>
          </w:p>
          <w:p w:rsidR="00F2083C" w:rsidRDefault="00F2083C" w:rsidP="00736420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bshearer@utc.wa.gov</w:t>
            </w:r>
            <w:r>
              <w:rPr>
                <w:rStyle w:val="Hyperlink"/>
                <w:sz w:val="22"/>
                <w:szCs w:val="22"/>
                <w:lang w:val="fr-FR"/>
              </w:rPr>
              <w:br/>
            </w:r>
            <w:r w:rsidRPr="00D35EB0">
              <w:rPr>
                <w:sz w:val="22"/>
                <w:szCs w:val="22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jroberso@utc.wa.gov</w:t>
            </w:r>
          </w:p>
          <w:p w:rsidR="00F2083C" w:rsidRPr="00D35EB0" w:rsidRDefault="00F2083C" w:rsidP="00D1318A">
            <w:pPr>
              <w:pStyle w:val="plain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CA34BD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Lisa W. Gafken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>
              <w:rPr>
                <w:sz w:val="22"/>
                <w:szCs w:val="22"/>
              </w:rPr>
              <w:br/>
              <w:t>Publ</w:t>
            </w:r>
            <w:r w:rsidRPr="00D35EB0">
              <w:rPr>
                <w:sz w:val="22"/>
                <w:szCs w:val="22"/>
              </w:rPr>
              <w:t>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 xml:space="preserve">(206) </w:t>
            </w:r>
            <w:r>
              <w:rPr>
                <w:sz w:val="22"/>
                <w:szCs w:val="22"/>
              </w:rPr>
              <w:t>464-6595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lang w:val="fr-FR"/>
              </w:rPr>
              <w:t>lisa.gafken@atg.wa.gov</w:t>
            </w:r>
          </w:p>
        </w:tc>
      </w:tr>
      <w:tr w:rsidR="00065848" w:rsidRPr="002E2C8F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>Attorneys for NWIGU</w:t>
            </w:r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  <w:t>Cable Huston</w:t>
            </w:r>
            <w:r>
              <w:rPr>
                <w:sz w:val="22"/>
                <w:szCs w:val="22"/>
                <w:lang w:val="fr-FR"/>
              </w:rPr>
              <w:br/>
              <w:t>1001 SW Fifth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cstokes@cablehuston.com</w:t>
            </w:r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tbrooks@cablehuston.com</w:t>
            </w:r>
          </w:p>
          <w:p w:rsidR="00065848" w:rsidRPr="000B4919" w:rsidRDefault="00065848" w:rsidP="007007E4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  <w:t>Executive Director</w:t>
            </w:r>
            <w:r>
              <w:rPr>
                <w:sz w:val="22"/>
                <w:szCs w:val="22"/>
                <w:lang w:val="fr-FR"/>
              </w:rPr>
              <w:br/>
              <w:t>Northwest Industrial Gas Users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efinklea@nwigu.org</w:t>
            </w:r>
          </w:p>
        </w:tc>
      </w:tr>
      <w:tr w:rsidR="00F2083C" w:rsidRPr="002E2C8F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u w:val="single"/>
              </w:rPr>
              <w:t>Industrial Customers of Northwest Utilities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br/>
            </w:r>
            <w:r w:rsidRPr="005F7CBF">
              <w:rPr>
                <w:sz w:val="22"/>
                <w:szCs w:val="22"/>
                <w:lang w:val="fr-FR"/>
              </w:rPr>
              <w:t>Tyler C. Pepple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Davison Van Cleve PC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333 SW Taylor St., Ste. 400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Portland, OR 97204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Phone:</w:t>
            </w:r>
            <w:r>
              <w:rPr>
                <w:sz w:val="22"/>
                <w:szCs w:val="22"/>
                <w:lang w:val="fr-FR"/>
              </w:rPr>
              <w:tab/>
            </w:r>
            <w:r w:rsidRPr="005F7CBF">
              <w:rPr>
                <w:sz w:val="22"/>
                <w:szCs w:val="22"/>
                <w:lang w:val="fr-FR"/>
              </w:rPr>
              <w:t>503.241.7242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Fax:</w:t>
            </w:r>
            <w:r>
              <w:rPr>
                <w:sz w:val="22"/>
                <w:szCs w:val="22"/>
                <w:lang w:val="fr-FR"/>
              </w:rPr>
              <w:tab/>
            </w:r>
            <w:r w:rsidRPr="005F7CBF">
              <w:rPr>
                <w:sz w:val="22"/>
                <w:szCs w:val="22"/>
                <w:lang w:val="fr-FR"/>
              </w:rPr>
              <w:t>503.241.8160</w:t>
            </w:r>
          </w:p>
          <w:p w:rsidR="00F2083C" w:rsidRPr="002E2C8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Email: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tcp@dvclaw.com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2E2C8F" w:rsidRDefault="00F2083C" w:rsidP="005F7CBF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</w:tr>
    </w:tbl>
    <w:p w:rsidR="007C5440" w:rsidRDefault="00FC6660" w:rsidP="007C5440">
      <w:pPr>
        <w:spacing w:before="240" w:after="240" w:line="240" w:lineRule="auto"/>
        <w:ind w:firstLine="0"/>
        <w:rPr>
          <w:sz w:val="22"/>
          <w:szCs w:val="22"/>
        </w:rPr>
      </w:pPr>
      <w:r w:rsidRPr="00763961">
        <w:rPr>
          <w:sz w:val="22"/>
          <w:szCs w:val="22"/>
        </w:rPr>
        <w:t xml:space="preserve">Dated in Bellevue this </w:t>
      </w:r>
      <w:r w:rsidR="005F7CBF">
        <w:rPr>
          <w:sz w:val="22"/>
          <w:szCs w:val="22"/>
        </w:rPr>
        <w:t>1st</w:t>
      </w:r>
      <w:r w:rsidR="00F955D6" w:rsidRPr="00763961">
        <w:rPr>
          <w:sz w:val="22"/>
          <w:szCs w:val="22"/>
        </w:rPr>
        <w:t xml:space="preserve"> </w:t>
      </w:r>
      <w:r w:rsidRPr="00763961">
        <w:rPr>
          <w:sz w:val="22"/>
          <w:szCs w:val="22"/>
        </w:rPr>
        <w:t xml:space="preserve">day of </w:t>
      </w:r>
      <w:r w:rsidR="005F7CBF">
        <w:rPr>
          <w:sz w:val="22"/>
          <w:szCs w:val="22"/>
        </w:rPr>
        <w:t>September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Pr="001878FD" w:rsidRDefault="00C3086E" w:rsidP="00C3086E">
      <w:pPr>
        <w:tabs>
          <w:tab w:val="right" w:pos="7920"/>
        </w:tabs>
        <w:spacing w:before="960" w:after="240" w:line="240" w:lineRule="auto"/>
        <w:ind w:left="4320" w:firstLine="0"/>
        <w:rPr>
          <w:sz w:val="22"/>
          <w:szCs w:val="22"/>
        </w:rPr>
      </w:pPr>
      <w:r w:rsidRPr="00C3086E">
        <w:rPr>
          <w:i/>
          <w:noProof/>
          <w:sz w:val="22"/>
          <w:szCs w:val="22"/>
          <w:u w:val="single"/>
        </w:rPr>
        <w:t>/s/ Cindy Main</w:t>
      </w:r>
      <w:r>
        <w:rPr>
          <w:noProof/>
          <w:sz w:val="22"/>
          <w:szCs w:val="22"/>
          <w:u w:val="single"/>
        </w:rPr>
        <w:tab/>
      </w:r>
      <w:r w:rsidR="005F7CBF" w:rsidRPr="005F7CBF">
        <w:rPr>
          <w:sz w:val="22"/>
          <w:szCs w:val="22"/>
          <w:u w:val="single"/>
        </w:rPr>
        <w:br/>
      </w:r>
      <w:r w:rsidR="007071F1">
        <w:rPr>
          <w:sz w:val="22"/>
          <w:szCs w:val="22"/>
        </w:rPr>
        <w:t>Cindy Main</w:t>
      </w:r>
    </w:p>
    <w:sectPr w:rsidR="00934143" w:rsidRPr="001878FD" w:rsidSect="00D76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79" w:rsidRDefault="00641B79">
      <w:r>
        <w:separator/>
      </w:r>
    </w:p>
  </w:endnote>
  <w:endnote w:type="continuationSeparator" w:id="0">
    <w:p w:rsidR="00641B79" w:rsidRDefault="006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3F7BE6" w:rsidRDefault="003F7BE6" w:rsidP="003F7BE6">
    <w:pPr>
      <w:pStyle w:val="Footer"/>
      <w:spacing w:line="200" w:lineRule="exact"/>
    </w:pPr>
    <w:r w:rsidRPr="003F7BE6">
      <w:rPr>
        <w:rStyle w:val="zzmpTrailerItem"/>
      </w:rPr>
      <w:t>07771-0232/132586404.1</w:t>
    </w:r>
    <w:r w:rsidRPr="003F7BE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79" w:rsidRDefault="00641B79">
      <w:r>
        <w:separator/>
      </w:r>
    </w:p>
  </w:footnote>
  <w:footnote w:type="continuationSeparator" w:id="0">
    <w:p w:rsidR="00641B79" w:rsidRDefault="0064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F6"/>
    <w:rsid w:val="0000301F"/>
    <w:rsid w:val="00004786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240C3"/>
    <w:rsid w:val="0023236D"/>
    <w:rsid w:val="00233C77"/>
    <w:rsid w:val="002426B4"/>
    <w:rsid w:val="00251958"/>
    <w:rsid w:val="00253138"/>
    <w:rsid w:val="00254D76"/>
    <w:rsid w:val="00266DF1"/>
    <w:rsid w:val="00267A5C"/>
    <w:rsid w:val="0027060D"/>
    <w:rsid w:val="00275080"/>
    <w:rsid w:val="00276A2A"/>
    <w:rsid w:val="002902EC"/>
    <w:rsid w:val="002965F6"/>
    <w:rsid w:val="002A6975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3F7BE6"/>
    <w:rsid w:val="00402A9E"/>
    <w:rsid w:val="004041B1"/>
    <w:rsid w:val="0040687F"/>
    <w:rsid w:val="004068CF"/>
    <w:rsid w:val="00415A59"/>
    <w:rsid w:val="00422B3F"/>
    <w:rsid w:val="00426CF8"/>
    <w:rsid w:val="0044131B"/>
    <w:rsid w:val="00443687"/>
    <w:rsid w:val="00443705"/>
    <w:rsid w:val="00457450"/>
    <w:rsid w:val="00470052"/>
    <w:rsid w:val="0048271C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57F09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3011"/>
    <w:rsid w:val="005E4368"/>
    <w:rsid w:val="005E7DFF"/>
    <w:rsid w:val="005F10F6"/>
    <w:rsid w:val="005F7CBF"/>
    <w:rsid w:val="00604F35"/>
    <w:rsid w:val="00611809"/>
    <w:rsid w:val="006141EC"/>
    <w:rsid w:val="006231D6"/>
    <w:rsid w:val="00623576"/>
    <w:rsid w:val="00630A9D"/>
    <w:rsid w:val="00632994"/>
    <w:rsid w:val="00636602"/>
    <w:rsid w:val="00640562"/>
    <w:rsid w:val="00640F4D"/>
    <w:rsid w:val="00641B79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071F1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C4A95"/>
    <w:rsid w:val="007C5440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3D07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A4A5D"/>
    <w:rsid w:val="009C3922"/>
    <w:rsid w:val="009D23E7"/>
    <w:rsid w:val="009D6B8F"/>
    <w:rsid w:val="009E03AA"/>
    <w:rsid w:val="009E72EC"/>
    <w:rsid w:val="009F1996"/>
    <w:rsid w:val="009F2300"/>
    <w:rsid w:val="009F3C8F"/>
    <w:rsid w:val="009F55F0"/>
    <w:rsid w:val="009F5C98"/>
    <w:rsid w:val="00A007C9"/>
    <w:rsid w:val="00A02FC9"/>
    <w:rsid w:val="00A0528C"/>
    <w:rsid w:val="00A062FE"/>
    <w:rsid w:val="00A06FEC"/>
    <w:rsid w:val="00A157AD"/>
    <w:rsid w:val="00A20F90"/>
    <w:rsid w:val="00A2393B"/>
    <w:rsid w:val="00A23F4C"/>
    <w:rsid w:val="00A23FDD"/>
    <w:rsid w:val="00A26159"/>
    <w:rsid w:val="00A27B65"/>
    <w:rsid w:val="00A35E0E"/>
    <w:rsid w:val="00A4068B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01E48"/>
    <w:rsid w:val="00C1101F"/>
    <w:rsid w:val="00C11F6F"/>
    <w:rsid w:val="00C15ADE"/>
    <w:rsid w:val="00C208D7"/>
    <w:rsid w:val="00C20F9F"/>
    <w:rsid w:val="00C3052F"/>
    <w:rsid w:val="00C3086E"/>
    <w:rsid w:val="00C36D1E"/>
    <w:rsid w:val="00C5766C"/>
    <w:rsid w:val="00C6093A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7500C"/>
    <w:rsid w:val="00D76CEF"/>
    <w:rsid w:val="00D80D71"/>
    <w:rsid w:val="00D83B82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1BC0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664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2083C"/>
    <w:rsid w:val="00F31C78"/>
    <w:rsid w:val="00F3559B"/>
    <w:rsid w:val="00F4424F"/>
    <w:rsid w:val="00F57AD3"/>
    <w:rsid w:val="00F57FF5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3F7B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3F7B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68A99C-4553-4BE0-9962-F6D8FD695E74}"/>
</file>

<file path=customXml/itemProps2.xml><?xml version="1.0" encoding="utf-8"?>
<ds:datastoreItem xmlns:ds="http://schemas.openxmlformats.org/officeDocument/2006/customXml" ds:itemID="{91046332-3DD1-4A70-95FF-60377838C6E1}"/>
</file>

<file path=customXml/itemProps3.xml><?xml version="1.0" encoding="utf-8"?>
<ds:datastoreItem xmlns:ds="http://schemas.openxmlformats.org/officeDocument/2006/customXml" ds:itemID="{D2EE02A2-908E-41E9-925B-0545B8B0480E}"/>
</file>

<file path=customXml/itemProps4.xml><?xml version="1.0" encoding="utf-8"?>
<ds:datastoreItem xmlns:ds="http://schemas.openxmlformats.org/officeDocument/2006/customXml" ds:itemID="{77FFF738-3CBD-4B39-827B-A4A90616342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1192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/>
  <LinksUpToDate>false</LinksUpToDate>
  <CharactersWithSpaces>1379</CharactersWithSpaces>
  <SharedDoc>false</SharedDoc>
  <HyperlinkBase/>
  <HLinks>
    <vt:vector size="36" baseType="variant">
      <vt:variant>
        <vt:i4>6291526</vt:i4>
      </vt:variant>
      <vt:variant>
        <vt:i4>15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7077970</vt:i4>
      </vt:variant>
      <vt:variant>
        <vt:i4>12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9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mailto:jroberso@utc.wa.gov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