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B30350">
        <w:t>11</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B30350">
        <w:t>11</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board of directors, a member of </w:t>
      </w:r>
      <w:proofErr w:type="spellStart"/>
      <w:r w:rsidRPr="00345A0E">
        <w:t>ReliOn</w:t>
      </w:r>
      <w:proofErr w:type="spellEnd"/>
      <w:r w:rsidRPr="00345A0E">
        <w:t xml:space="preserve"> board of directors,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Seattle Branch board of directors.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lastRenderedPageBreak/>
        <w:t>Q.</w:t>
      </w:r>
      <w:r w:rsidRPr="00345A0E">
        <w:rPr>
          <w:rFonts w:ascii="Times New Roman" w:hAnsi="Times New Roman" w:cs="Times New Roman"/>
          <w:b/>
          <w:bCs/>
        </w:rPr>
        <w:tab/>
        <w:t>What is the scope of your testimony in this proceeding?</w:t>
      </w:r>
    </w:p>
    <w:p w:rsidR="003F6A1E" w:rsidRPr="00345A0E"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3F6A1E" w:rsidRPr="00345A0E">
        <w:rPr>
          <w:rFonts w:ascii="Times New Roman" w:hAnsi="Times New Roman" w:cs="Times New Roman"/>
        </w:rPr>
        <w:t>In my testimony, I will first explain why Avista is r</w:t>
      </w:r>
      <w:r w:rsidR="006D374E" w:rsidRPr="00345A0E">
        <w:rPr>
          <w:rFonts w:ascii="Times New Roman" w:hAnsi="Times New Roman" w:cs="Times New Roman"/>
        </w:rPr>
        <w:t>equesting another rate increase in this case.</w:t>
      </w:r>
      <w:r w:rsidR="0025203F" w:rsidRPr="00345A0E">
        <w:rPr>
          <w:rFonts w:ascii="Times New Roman" w:hAnsi="Times New Roman" w:cs="Times New Roman"/>
        </w:rPr>
        <w:t xml:space="preserve">  </w:t>
      </w:r>
      <w:r w:rsidR="007C115F" w:rsidRPr="00345A0E">
        <w:rPr>
          <w:rFonts w:ascii="Times New Roman" w:hAnsi="Times New Roman" w:cs="Times New Roman"/>
        </w:rPr>
        <w:t>I will explain that much</w:t>
      </w:r>
      <w:r w:rsidR="002C3F66" w:rsidRPr="00345A0E">
        <w:rPr>
          <w:rFonts w:ascii="Times New Roman" w:hAnsi="Times New Roman" w:cs="Times New Roman"/>
        </w:rPr>
        <w:t xml:space="preserve"> of our need for rate relief is driven primarily by</w:t>
      </w:r>
      <w:r w:rsidR="00E030AC" w:rsidRPr="00345A0E">
        <w:rPr>
          <w:rFonts w:ascii="Times New Roman" w:hAnsi="Times New Roman" w:cs="Times New Roman"/>
        </w:rPr>
        <w:t xml:space="preserve"> the</w:t>
      </w:r>
      <w:r w:rsidR="007C115F" w:rsidRPr="00345A0E">
        <w:rPr>
          <w:rFonts w:ascii="Times New Roman" w:hAnsi="Times New Roman" w:cs="Times New Roman"/>
        </w:rPr>
        <w:t xml:space="preserve"> increased cost</w:t>
      </w:r>
      <w:r w:rsidR="007F2636">
        <w:rPr>
          <w:rFonts w:ascii="Times New Roman" w:hAnsi="Times New Roman" w:cs="Times New Roman"/>
        </w:rPr>
        <w:t>s</w:t>
      </w:r>
      <w:r w:rsidR="007C115F" w:rsidRPr="00345A0E">
        <w:rPr>
          <w:rFonts w:ascii="Times New Roman" w:hAnsi="Times New Roman" w:cs="Times New Roman"/>
        </w:rPr>
        <w:t xml:space="preserve"> associated with the</w:t>
      </w:r>
      <w:r w:rsidR="00E030AC" w:rsidRPr="00345A0E">
        <w:rPr>
          <w:rFonts w:ascii="Times New Roman" w:hAnsi="Times New Roman" w:cs="Times New Roman"/>
        </w:rPr>
        <w:t xml:space="preserve"> need to expand</w:t>
      </w:r>
      <w:r w:rsidR="006D374E" w:rsidRPr="00345A0E">
        <w:rPr>
          <w:rFonts w:ascii="Times New Roman" w:hAnsi="Times New Roman" w:cs="Times New Roman"/>
        </w:rPr>
        <w:t xml:space="preserve"> and replace our</w:t>
      </w:r>
      <w:r w:rsidR="00714885" w:rsidRPr="00345A0E">
        <w:rPr>
          <w:rFonts w:ascii="Times New Roman" w:hAnsi="Times New Roman" w:cs="Times New Roman"/>
        </w:rPr>
        <w:t xml:space="preserve"> aging utili</w:t>
      </w:r>
      <w:r w:rsidR="007C115F" w:rsidRPr="00345A0E">
        <w:rPr>
          <w:rFonts w:ascii="Times New Roman" w:hAnsi="Times New Roman" w:cs="Times New Roman"/>
        </w:rPr>
        <w:t>ty infrastructure, and our obligation to reliably serve customers.</w:t>
      </w:r>
      <w:r w:rsidR="00EA22D6" w:rsidRPr="00345A0E">
        <w:rPr>
          <w:rFonts w:ascii="Times New Roman" w:hAnsi="Times New Roman" w:cs="Times New Roman"/>
        </w:rPr>
        <w:t xml:space="preserve">  As a</w:t>
      </w:r>
      <w:r w:rsidR="00714885" w:rsidRPr="00345A0E">
        <w:rPr>
          <w:rFonts w:ascii="Times New Roman" w:hAnsi="Times New Roman" w:cs="Times New Roman"/>
        </w:rPr>
        <w:t xml:space="preserve"> regulated company, we operate under </w:t>
      </w:r>
      <w:r w:rsidR="002C3F66" w:rsidRPr="00345A0E">
        <w:rPr>
          <w:rFonts w:ascii="Times New Roman" w:hAnsi="Times New Roman" w:cs="Times New Roman"/>
        </w:rPr>
        <w:t xml:space="preserve">state and federal mandates that obligate us to serve every customer that requests service, and to serve them reliably.  Although we continue to make changes to our business to operate more efficiently, it is simply not possible to cut costs enough to offset the increased costs </w:t>
      </w:r>
      <w:r w:rsidR="00714885" w:rsidRPr="00345A0E">
        <w:rPr>
          <w:rFonts w:ascii="Times New Roman" w:hAnsi="Times New Roman" w:cs="Times New Roman"/>
        </w:rPr>
        <w:t xml:space="preserve">to </w:t>
      </w:r>
      <w:r w:rsidR="000F2C14" w:rsidRPr="00345A0E">
        <w:rPr>
          <w:rFonts w:ascii="Times New Roman" w:hAnsi="Times New Roman" w:cs="Times New Roman"/>
        </w:rPr>
        <w:t>expand</w:t>
      </w:r>
      <w:r w:rsidR="002C3F66" w:rsidRPr="00345A0E">
        <w:rPr>
          <w:rFonts w:ascii="Times New Roman" w:hAnsi="Times New Roman" w:cs="Times New Roman"/>
        </w:rPr>
        <w:t xml:space="preserve"> and r</w:t>
      </w:r>
      <w:r w:rsidR="004B579B" w:rsidRPr="00345A0E">
        <w:rPr>
          <w:rFonts w:ascii="Times New Roman" w:hAnsi="Times New Roman" w:cs="Times New Roman"/>
        </w:rPr>
        <w:t>eplace our aging infrastructu</w:t>
      </w:r>
      <w:r w:rsidR="007C115F" w:rsidRPr="00345A0E">
        <w:rPr>
          <w:rFonts w:ascii="Times New Roman" w:hAnsi="Times New Roman" w:cs="Times New Roman"/>
        </w:rPr>
        <w:t>re to comply with our obligation to serve</w:t>
      </w:r>
      <w:r w:rsidR="004B579B" w:rsidRPr="00345A0E">
        <w:rPr>
          <w:rFonts w:ascii="Times New Roman" w:hAnsi="Times New Roman" w:cs="Times New Roman"/>
        </w:rPr>
        <w:t>.</w:t>
      </w:r>
    </w:p>
    <w:p w:rsidR="0084260C" w:rsidRPr="00345A0E" w:rsidRDefault="00A8480A"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My testimony</w:t>
      </w:r>
      <w:r w:rsidR="00373324" w:rsidRPr="00345A0E">
        <w:rPr>
          <w:rFonts w:ascii="Times New Roman" w:hAnsi="Times New Roman" w:cs="Times New Roman"/>
        </w:rPr>
        <w:t xml:space="preserve"> will provide an overview of Avista Corporation.  I will also summarize the Company’s </w:t>
      </w:r>
      <w:r w:rsidR="00435FE9" w:rsidRPr="00345A0E">
        <w:rPr>
          <w:rFonts w:ascii="Times New Roman" w:hAnsi="Times New Roman" w:cs="Times New Roman"/>
        </w:rPr>
        <w:t xml:space="preserve">specific electric and natural gas </w:t>
      </w:r>
      <w:r w:rsidR="00373324" w:rsidRPr="00345A0E">
        <w:rPr>
          <w:rFonts w:ascii="Times New Roman" w:hAnsi="Times New Roman" w:cs="Times New Roman"/>
        </w:rPr>
        <w:t>rate requests in this filing,</w:t>
      </w:r>
      <w:r w:rsidR="008C6A22" w:rsidRPr="00345A0E">
        <w:rPr>
          <w:rFonts w:ascii="Times New Roman" w:hAnsi="Times New Roman" w:cs="Times New Roman"/>
        </w:rPr>
        <w:t xml:space="preserve"> and</w:t>
      </w:r>
      <w:r w:rsidR="00373324" w:rsidRPr="00345A0E">
        <w:rPr>
          <w:rFonts w:ascii="Times New Roman" w:hAnsi="Times New Roman" w:cs="Times New Roman"/>
        </w:rPr>
        <w:t xml:space="preserve"> the primary factors driving the Company’s ne</w:t>
      </w:r>
      <w:r w:rsidR="00766A75" w:rsidRPr="00345A0E">
        <w:rPr>
          <w:rFonts w:ascii="Times New Roman" w:hAnsi="Times New Roman" w:cs="Times New Roman"/>
        </w:rPr>
        <w:t>ed for general rate relief</w:t>
      </w:r>
      <w:r w:rsidR="0029491E" w:rsidRPr="00345A0E">
        <w:rPr>
          <w:rFonts w:ascii="Times New Roman" w:hAnsi="Times New Roman" w:cs="Times New Roman"/>
        </w:rPr>
        <w:t>.</w:t>
      </w:r>
      <w:r w:rsidR="00AA764D" w:rsidRPr="00345A0E">
        <w:rPr>
          <w:rFonts w:ascii="Times New Roman" w:hAnsi="Times New Roman" w:cs="Times New Roman"/>
        </w:rPr>
        <w:t xml:space="preserve">  </w:t>
      </w:r>
      <w:r w:rsidR="008C6A22" w:rsidRPr="00345A0E">
        <w:rPr>
          <w:rFonts w:ascii="Times New Roman" w:hAnsi="Times New Roman" w:cs="Times New Roman"/>
        </w:rPr>
        <w:t xml:space="preserve">I will also discuss </w:t>
      </w:r>
      <w:r w:rsidR="0084260C" w:rsidRPr="00345A0E">
        <w:rPr>
          <w:rFonts w:ascii="Times New Roman" w:hAnsi="Times New Roman" w:cs="Times New Roman"/>
        </w:rPr>
        <w:t xml:space="preserve">some of the measures we have taken to cut costs, as well as initiatives to increase operating efficiencies in an effort to mitigate </w:t>
      </w:r>
      <w:r w:rsidR="00C16325" w:rsidRPr="00345A0E">
        <w:rPr>
          <w:rFonts w:ascii="Times New Roman" w:hAnsi="Times New Roman" w:cs="Times New Roman"/>
        </w:rPr>
        <w:t>future</w:t>
      </w:r>
      <w:r w:rsidR="0084260C" w:rsidRPr="00345A0E">
        <w:rPr>
          <w:rFonts w:ascii="Times New Roman" w:hAnsi="Times New Roman" w:cs="Times New Roman"/>
        </w:rPr>
        <w:t xml:space="preserve"> cost increase</w:t>
      </w:r>
      <w:r w:rsidR="00464F14" w:rsidRPr="00345A0E">
        <w:rPr>
          <w:rFonts w:ascii="Times New Roman" w:hAnsi="Times New Roman" w:cs="Times New Roman"/>
        </w:rPr>
        <w:t>s</w:t>
      </w:r>
      <w:r w:rsidR="00302034" w:rsidRPr="00345A0E">
        <w:rPr>
          <w:rFonts w:ascii="Times New Roman" w:hAnsi="Times New Roman" w:cs="Times New Roman"/>
        </w:rPr>
        <w:t>.  I will</w:t>
      </w:r>
      <w:r w:rsidR="0084260C" w:rsidRPr="00345A0E">
        <w:rPr>
          <w:rFonts w:ascii="Times New Roman" w:hAnsi="Times New Roman" w:cs="Times New Roman"/>
        </w:rPr>
        <w:t xml:space="preserve"> briefly explain the Company's cu</w:t>
      </w:r>
      <w:r w:rsidR="00DB623D" w:rsidRPr="00345A0E">
        <w:rPr>
          <w:rFonts w:ascii="Times New Roman" w:hAnsi="Times New Roman" w:cs="Times New Roman"/>
        </w:rPr>
        <w:t>stomer support programs</w:t>
      </w:r>
      <w:r w:rsidR="0084260C" w:rsidRPr="00345A0E">
        <w:rPr>
          <w:rFonts w:ascii="Times New Roman" w:hAnsi="Times New Roman" w:cs="Times New Roman"/>
        </w:rPr>
        <w:t xml:space="preserve"> in</w:t>
      </w:r>
      <w:r w:rsidR="00464F14" w:rsidRPr="00345A0E">
        <w:rPr>
          <w:rFonts w:ascii="Times New Roman" w:hAnsi="Times New Roman" w:cs="Times New Roman"/>
        </w:rPr>
        <w:t xml:space="preserve"> place to assist our customers, as well as </w:t>
      </w:r>
      <w:r w:rsidR="00302034" w:rsidRPr="00345A0E">
        <w:rPr>
          <w:rFonts w:ascii="Times New Roman" w:hAnsi="Times New Roman" w:cs="Times New Roman"/>
        </w:rPr>
        <w:t xml:space="preserve">our communications initiatives to help customers better understand the changes in costs that are causing our rates to </w:t>
      </w:r>
      <w:r w:rsidR="00E840E7" w:rsidRPr="00345A0E">
        <w:rPr>
          <w:rFonts w:ascii="Times New Roman" w:hAnsi="Times New Roman" w:cs="Times New Roman"/>
        </w:rPr>
        <w:t>increase</w:t>
      </w:r>
      <w:r w:rsidR="00302034" w:rsidRPr="00345A0E">
        <w:rPr>
          <w:rFonts w:ascii="Times New Roman" w:hAnsi="Times New Roman" w:cs="Times New Roman"/>
        </w:rPr>
        <w:t>.</w:t>
      </w:r>
    </w:p>
    <w:p w:rsidR="00CF6F9A" w:rsidRPr="00345A0E"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Finally, I will introduce each of the other witnesses providing testimony on the Company’s behalf.</w:t>
      </w: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3C6918" w:rsidRPr="00345A0E">
        <w:t>Why Is Avista</w:t>
      </w:r>
      <w:r w:rsidR="00667A06" w:rsidRPr="00345A0E">
        <w:t xml:space="preserve"> Requesting</w:t>
      </w:r>
      <w:r w:rsidRPr="00345A0E">
        <w:t xml:space="preserve"> Another Rate Increase</w:t>
      </w:r>
      <w:r w:rsidR="00A6468C" w:rsidRPr="00345A0E">
        <w:tab/>
      </w:r>
      <w:r w:rsidR="00152F63" w:rsidRPr="00345A0E">
        <w:t>3</w:t>
      </w:r>
      <w:r w:rsidR="00A6468C" w:rsidRPr="00345A0E">
        <w:tab/>
      </w:r>
    </w:p>
    <w:p w:rsidR="00941F88" w:rsidRPr="00345A0E" w:rsidRDefault="00A64A3A" w:rsidP="00E6170B">
      <w:pPr>
        <w:tabs>
          <w:tab w:val="left" w:pos="0"/>
          <w:tab w:val="left" w:pos="7920"/>
        </w:tabs>
        <w:spacing w:line="360" w:lineRule="auto"/>
        <w:ind w:left="1440" w:right="-173" w:hanging="720"/>
        <w:jc w:val="both"/>
      </w:pPr>
      <w:r w:rsidRPr="00345A0E">
        <w:t>I</w:t>
      </w:r>
      <w:r w:rsidR="00A6468C" w:rsidRPr="00345A0E">
        <w:t>I</w:t>
      </w:r>
      <w:r w:rsidRPr="00345A0E">
        <w:t>I.</w:t>
      </w:r>
      <w:r w:rsidRPr="00345A0E">
        <w:tab/>
      </w:r>
      <w:r w:rsidR="00D82DD8">
        <w:t>Overview of Avista</w:t>
      </w:r>
      <w:r w:rsidR="00D82DD8">
        <w:tab/>
        <w:t>10</w:t>
      </w:r>
      <w:r w:rsidR="00941F88" w:rsidRPr="00345A0E">
        <w:tab/>
      </w:r>
    </w:p>
    <w:p w:rsidR="00A00C13" w:rsidRPr="00345A0E" w:rsidRDefault="00A6468C" w:rsidP="00E6170B">
      <w:pPr>
        <w:tabs>
          <w:tab w:val="left" w:pos="0"/>
          <w:tab w:val="left" w:pos="7920"/>
        </w:tabs>
        <w:spacing w:line="360" w:lineRule="auto"/>
        <w:ind w:left="1440" w:right="-173" w:hanging="720"/>
        <w:jc w:val="both"/>
      </w:pPr>
      <w:r w:rsidRPr="00345A0E">
        <w:t>IV</w:t>
      </w:r>
      <w:r w:rsidR="00A00C13" w:rsidRPr="00345A0E">
        <w:t>.</w:t>
      </w:r>
      <w:r w:rsidR="00A00C13" w:rsidRPr="00345A0E">
        <w:tab/>
      </w:r>
      <w:r w:rsidR="00373324" w:rsidRPr="00345A0E">
        <w:t xml:space="preserve">Summary of </w:t>
      </w:r>
      <w:r w:rsidR="002E4EE5" w:rsidRPr="00345A0E">
        <w:t>Rate Requests</w:t>
      </w:r>
      <w:r w:rsidR="002E4EE5" w:rsidRPr="00345A0E">
        <w:tab/>
      </w:r>
      <w:r w:rsidR="00A666A7">
        <w:t>13</w:t>
      </w:r>
    </w:p>
    <w:p w:rsidR="00941F88" w:rsidRPr="00345A0E" w:rsidRDefault="00941F88" w:rsidP="006F78EB">
      <w:pPr>
        <w:tabs>
          <w:tab w:val="left" w:pos="0"/>
          <w:tab w:val="left" w:pos="7920"/>
        </w:tabs>
        <w:spacing w:line="360" w:lineRule="auto"/>
        <w:ind w:left="1440" w:hanging="720"/>
        <w:jc w:val="both"/>
      </w:pPr>
      <w:r w:rsidRPr="00345A0E">
        <w:t>V.</w:t>
      </w:r>
      <w:r w:rsidRPr="00345A0E">
        <w:tab/>
      </w:r>
      <w:r w:rsidR="002E4EE5" w:rsidRPr="00345A0E">
        <w:t>Cost Management</w:t>
      </w:r>
      <w:r w:rsidR="007945A0" w:rsidRPr="00345A0E">
        <w:t xml:space="preserve"> and Efficiencies</w:t>
      </w:r>
      <w:r w:rsidR="007945A0" w:rsidRPr="00345A0E">
        <w:tab/>
      </w:r>
      <w:r w:rsidR="00D82DD8">
        <w:t>18</w:t>
      </w:r>
      <w:r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00A00C13" w:rsidRPr="00345A0E">
        <w:t>I</w:t>
      </w:r>
      <w:r w:rsidRPr="00345A0E">
        <w:t>.</w:t>
      </w:r>
      <w:r w:rsidRPr="00345A0E">
        <w:tab/>
      </w:r>
      <w:r w:rsidR="00D82DD8">
        <w:t>Communications with Customers</w:t>
      </w:r>
      <w:r w:rsidR="00D82DD8">
        <w:tab/>
        <w:t>20</w:t>
      </w:r>
    </w:p>
    <w:p w:rsidR="00941F88" w:rsidRPr="00345A0E" w:rsidRDefault="005D29B3" w:rsidP="00E6170B">
      <w:pPr>
        <w:tabs>
          <w:tab w:val="left" w:pos="0"/>
          <w:tab w:val="left" w:pos="7920"/>
        </w:tabs>
        <w:spacing w:line="360" w:lineRule="auto"/>
        <w:ind w:left="1440" w:right="-324" w:hanging="720"/>
        <w:jc w:val="both"/>
      </w:pPr>
      <w:r w:rsidRPr="00345A0E">
        <w:t>VII.</w:t>
      </w:r>
      <w:r w:rsidR="00CC23A5" w:rsidRPr="00345A0E">
        <w:tab/>
      </w:r>
      <w:r w:rsidR="00D82DD8">
        <w:t>Customer Satisfaction</w:t>
      </w:r>
      <w:r w:rsidR="00D82DD8">
        <w:tab/>
        <w:t>22</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t>VI</w:t>
      </w:r>
      <w:r w:rsidR="005D29B3" w:rsidRPr="00345A0E">
        <w:t>I</w:t>
      </w:r>
      <w:r w:rsidR="00A00C13" w:rsidRPr="00345A0E">
        <w:t>I</w:t>
      </w:r>
      <w:r w:rsidRPr="00345A0E">
        <w:t>.</w:t>
      </w:r>
      <w:r w:rsidRPr="00345A0E">
        <w:tab/>
      </w:r>
      <w:r w:rsidR="00D82DD8">
        <w:t>Customer Support Programs</w:t>
      </w:r>
      <w:r w:rsidR="00D82DD8">
        <w:tab/>
        <w:t>23</w:t>
      </w:r>
      <w:r w:rsidR="002E4EE5" w:rsidRPr="00345A0E">
        <w:tab/>
        <w:t xml:space="preserve">  </w:t>
      </w:r>
      <w:r w:rsidRPr="00345A0E">
        <w:tab/>
        <w:t xml:space="preserve">  </w:t>
      </w:r>
    </w:p>
    <w:p w:rsidR="00941F88" w:rsidRPr="00345A0E" w:rsidRDefault="005D29B3" w:rsidP="00E6170B">
      <w:pPr>
        <w:tabs>
          <w:tab w:val="left" w:pos="0"/>
          <w:tab w:val="left" w:pos="7200"/>
        </w:tabs>
        <w:spacing w:line="360" w:lineRule="auto"/>
        <w:ind w:left="1440" w:right="-173" w:hanging="720"/>
        <w:jc w:val="both"/>
      </w:pPr>
      <w:r w:rsidRPr="00345A0E">
        <w:t>IX</w:t>
      </w:r>
      <w:r w:rsidR="00941F88" w:rsidRPr="00345A0E">
        <w:t>.</w:t>
      </w:r>
      <w:r w:rsidR="00941F88" w:rsidRPr="00345A0E">
        <w:tab/>
        <w:t>Other Company Witnesses</w:t>
      </w:r>
      <w:r w:rsidR="00941F88" w:rsidRPr="00345A0E">
        <w:tab/>
        <w:t xml:space="preserve">   </w:t>
      </w:r>
      <w:r w:rsidR="00941F88" w:rsidRPr="00345A0E">
        <w:tab/>
      </w:r>
      <w:r w:rsidR="00D82DD8">
        <w:t>25</w:t>
      </w:r>
    </w:p>
    <w:p w:rsidR="00B2507F" w:rsidRPr="00345A0E" w:rsidRDefault="00B2507F">
      <w:pPr>
        <w:tabs>
          <w:tab w:val="left" w:pos="0"/>
          <w:tab w:val="left" w:pos="7200"/>
        </w:tabs>
        <w:ind w:left="1440" w:right="-173" w:hanging="720"/>
        <w:jc w:val="both"/>
      </w:pPr>
    </w:p>
    <w:p w:rsidR="00D56969" w:rsidRPr="00345A0E" w:rsidRDefault="00B2507F" w:rsidP="00941F88">
      <w:pPr>
        <w:tabs>
          <w:tab w:val="left" w:pos="0"/>
          <w:tab w:val="left" w:pos="7200"/>
        </w:tabs>
        <w:ind w:left="1440" w:right="-173" w:hanging="720"/>
        <w:jc w:val="both"/>
      </w:pPr>
      <w:r w:rsidRPr="00345A0E">
        <w:tab/>
      </w:r>
      <w:r w:rsidRPr="00345A0E">
        <w:tab/>
      </w:r>
      <w:r w:rsidRPr="00345A0E">
        <w:tab/>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Are you sponsoring any exhibits in this proceeding?</w:t>
      </w:r>
    </w:p>
    <w:p w:rsidR="002D0300" w:rsidRPr="00345A0E" w:rsidRDefault="00941F88" w:rsidP="004E2678">
      <w:pPr>
        <w:tabs>
          <w:tab w:val="left" w:pos="0"/>
        </w:tabs>
        <w:spacing w:line="480" w:lineRule="auto"/>
        <w:ind w:firstLine="720"/>
        <w:jc w:val="both"/>
      </w:pPr>
      <w:r w:rsidRPr="00345A0E">
        <w:t>A.</w:t>
      </w:r>
      <w:r w:rsidRPr="00345A0E">
        <w:tab/>
        <w:t>Yes.  I am sponsoring Exhibit No.</w:t>
      </w:r>
      <w:r w:rsidR="00CE4599" w:rsidRPr="00345A0E">
        <w:t>__</w:t>
      </w:r>
      <w:r w:rsidR="00A378DA" w:rsidRPr="00345A0E">
        <w:t>_</w:t>
      </w:r>
      <w:r w:rsidR="00CE4599" w:rsidRPr="00345A0E">
        <w:t>(</w:t>
      </w:r>
      <w:r w:rsidRPr="00345A0E">
        <w:t>SLM-2</w:t>
      </w:r>
      <w:r w:rsidR="00CE4599" w:rsidRPr="00345A0E">
        <w:t>)</w:t>
      </w:r>
      <w:r w:rsidRPr="00345A0E">
        <w:t xml:space="preserve">, pages 1 </w:t>
      </w:r>
      <w:r w:rsidR="00373324" w:rsidRPr="00345A0E">
        <w:t>and</w:t>
      </w:r>
      <w:r w:rsidRPr="00345A0E">
        <w:t xml:space="preserve"> 2.  Page 1 is a diagram of Avista’s corporate structure; and page 2 includes a map showing Avista’s electric and n</w:t>
      </w:r>
      <w:r w:rsidR="00257191" w:rsidRPr="00345A0E">
        <w:t>atural gas service areas.  This exhibit was</w:t>
      </w:r>
      <w:r w:rsidRPr="00345A0E">
        <w:t xml:space="preserve"> prepared under my direction.</w:t>
      </w:r>
    </w:p>
    <w:p w:rsidR="005D66FF" w:rsidRPr="00345A0E" w:rsidRDefault="005D66FF" w:rsidP="004E2678">
      <w:pPr>
        <w:tabs>
          <w:tab w:val="left" w:pos="0"/>
        </w:tabs>
        <w:spacing w:line="480" w:lineRule="auto"/>
        <w:ind w:firstLine="720"/>
        <w:jc w:val="both"/>
        <w:rPr>
          <w:b/>
        </w:rPr>
      </w:pPr>
      <w:r w:rsidRPr="00345A0E">
        <w:rPr>
          <w:b/>
        </w:rPr>
        <w:t>Q.</w:t>
      </w:r>
      <w:r w:rsidRPr="00345A0E">
        <w:rPr>
          <w:b/>
        </w:rPr>
        <w:tab/>
        <w:t xml:space="preserve">What are the rate increases requested by Avista in this filing?  </w:t>
      </w:r>
    </w:p>
    <w:p w:rsidR="003C552E" w:rsidRDefault="005D66FF" w:rsidP="00AE5D7A">
      <w:pPr>
        <w:tabs>
          <w:tab w:val="left" w:pos="0"/>
        </w:tabs>
        <w:spacing w:line="480" w:lineRule="auto"/>
        <w:ind w:firstLine="720"/>
        <w:jc w:val="both"/>
      </w:pPr>
      <w:r w:rsidRPr="00345A0E">
        <w:t>A.</w:t>
      </w:r>
      <w:r w:rsidRPr="00345A0E">
        <w:tab/>
        <w:t xml:space="preserve">Avista is requesting an overall electric </w:t>
      </w:r>
      <w:r w:rsidR="00C16325" w:rsidRPr="00376BBC">
        <w:t>billed</w:t>
      </w:r>
      <w:r w:rsidR="00C16325" w:rsidRPr="00345A0E">
        <w:t xml:space="preserve"> </w:t>
      </w:r>
      <w:r w:rsidRPr="00345A0E">
        <w:t xml:space="preserve">rate increase of </w:t>
      </w:r>
      <w:r w:rsidR="00A666A7">
        <w:t>8.7</w:t>
      </w:r>
      <w:r w:rsidRPr="00345A0E">
        <w:t xml:space="preserve">%, and a natural gas </w:t>
      </w:r>
      <w:r w:rsidR="00C16325" w:rsidRPr="00376BBC">
        <w:t>billed</w:t>
      </w:r>
      <w:r w:rsidR="00C16325" w:rsidRPr="00345A0E">
        <w:t xml:space="preserve"> </w:t>
      </w:r>
      <w:r w:rsidRPr="00345A0E">
        <w:t xml:space="preserve">rate increase of </w:t>
      </w:r>
      <w:r w:rsidR="00A666A7">
        <w:t>4.0</w:t>
      </w:r>
      <w:r w:rsidRPr="00345A0E">
        <w:t>%.</w:t>
      </w:r>
    </w:p>
    <w:p w:rsidR="00345A0E" w:rsidRPr="00345A0E" w:rsidRDefault="00345A0E" w:rsidP="00AE5D7A">
      <w:pPr>
        <w:tabs>
          <w:tab w:val="left" w:pos="0"/>
        </w:tabs>
        <w:spacing w:line="480" w:lineRule="auto"/>
        <w:ind w:firstLine="720"/>
        <w:jc w:val="both"/>
      </w:pPr>
    </w:p>
    <w:p w:rsidR="003C552E" w:rsidRPr="00345A0E" w:rsidRDefault="0028414F" w:rsidP="003C552E">
      <w:pPr>
        <w:pStyle w:val="Heading5"/>
        <w:rPr>
          <w:rStyle w:val="PageNumber"/>
          <w:u w:val="single"/>
        </w:rPr>
      </w:pPr>
      <w:r w:rsidRPr="00345A0E">
        <w:rPr>
          <w:rStyle w:val="PageNumber"/>
          <w:u w:val="single"/>
        </w:rPr>
        <w:t>II.  WHY IS AVISTA</w:t>
      </w:r>
      <w:r w:rsidR="002335D4" w:rsidRPr="00345A0E">
        <w:rPr>
          <w:rStyle w:val="PageNumber"/>
          <w:u w:val="single"/>
        </w:rPr>
        <w:t xml:space="preserve"> REQUESTING ANOTHER RATE INCREASE</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964E15" w:rsidRPr="00345A0E">
        <w:rPr>
          <w:rFonts w:ascii="Times New Roman" w:hAnsi="Times New Roman" w:cs="Times New Roman"/>
          <w:b/>
          <w:bCs/>
        </w:rPr>
        <w:t>Why is</w:t>
      </w:r>
      <w:r w:rsidR="003E2FAE" w:rsidRPr="00345A0E">
        <w:rPr>
          <w:rFonts w:ascii="Times New Roman" w:hAnsi="Times New Roman" w:cs="Times New Roman"/>
          <w:b/>
          <w:bCs/>
        </w:rPr>
        <w:t xml:space="preserve"> Avista requesting another rate increase</w:t>
      </w:r>
      <w:r w:rsidRPr="00345A0E">
        <w:rPr>
          <w:rFonts w:ascii="Times New Roman" w:hAnsi="Times New Roman" w:cs="Times New Roman"/>
          <w:b/>
          <w:bCs/>
        </w:rPr>
        <w:t xml:space="preserve"> following the recent increases that were approved effective December 1, 2010?</w:t>
      </w:r>
    </w:p>
    <w:p w:rsidR="003836E7" w:rsidRPr="00345A0E" w:rsidRDefault="00B337EB" w:rsidP="004E2678">
      <w:pPr>
        <w:tabs>
          <w:tab w:val="left" w:pos="0"/>
        </w:tabs>
        <w:spacing w:line="480" w:lineRule="auto"/>
        <w:ind w:firstLine="720"/>
        <w:jc w:val="both"/>
      </w:pPr>
      <w:r w:rsidRPr="00345A0E">
        <w:rPr>
          <w:bCs/>
        </w:rPr>
        <w:t>A.</w:t>
      </w:r>
      <w:r w:rsidRPr="00345A0E">
        <w:rPr>
          <w:bCs/>
        </w:rPr>
        <w:tab/>
      </w:r>
      <w:r w:rsidR="00792BF1" w:rsidRPr="00345A0E">
        <w:rPr>
          <w:bCs/>
        </w:rPr>
        <w:t>As</w:t>
      </w:r>
      <w:r w:rsidR="00BE3B11" w:rsidRPr="00345A0E">
        <w:t xml:space="preserve"> a regulated monopoly </w:t>
      </w:r>
      <w:r w:rsidR="003836E7" w:rsidRPr="00345A0E">
        <w:t xml:space="preserve">there are two major requirements that </w:t>
      </w:r>
      <w:r w:rsidR="00792BF1" w:rsidRPr="00345A0E">
        <w:t>are having</w:t>
      </w:r>
      <w:r w:rsidR="003836E7" w:rsidRPr="00345A0E">
        <w:t xml:space="preserve"> a significant effect on the need to change </w:t>
      </w:r>
      <w:r w:rsidR="00792BF1" w:rsidRPr="00345A0E">
        <w:t xml:space="preserve">retail </w:t>
      </w:r>
      <w:r w:rsidR="003836E7" w:rsidRPr="00345A0E">
        <w:t>rates</w:t>
      </w:r>
      <w:r w:rsidR="00792BF1" w:rsidRPr="00345A0E">
        <w:t xml:space="preserve">: </w:t>
      </w:r>
      <w:r w:rsidR="0026105D" w:rsidRPr="00345A0E">
        <w:t xml:space="preserve"> 1) Avista has an obligation to </w:t>
      </w:r>
      <w:r w:rsidR="00792BF1" w:rsidRPr="00345A0E">
        <w:t xml:space="preserve">safely and </w:t>
      </w:r>
      <w:r w:rsidR="00792BF1" w:rsidRPr="00345A0E">
        <w:lastRenderedPageBreak/>
        <w:t>reliably serve every customer that requests service,</w:t>
      </w:r>
      <w:r w:rsidR="0026105D" w:rsidRPr="00345A0E">
        <w:t xml:space="preserve"> and 2) </w:t>
      </w:r>
      <w:r w:rsidR="00792BF1" w:rsidRPr="00345A0E">
        <w:t xml:space="preserve">the costs associated with replacing our aging infrastructure </w:t>
      </w:r>
      <w:r w:rsidR="0038612F">
        <w:t xml:space="preserve">are </w:t>
      </w:r>
      <w:r w:rsidR="00792BF1" w:rsidRPr="00345A0E">
        <w:t>substantial.</w:t>
      </w:r>
    </w:p>
    <w:p w:rsidR="00FC2BA8" w:rsidRPr="00345A0E" w:rsidRDefault="00FC2BA8" w:rsidP="004E2678">
      <w:pPr>
        <w:tabs>
          <w:tab w:val="left" w:pos="0"/>
        </w:tabs>
        <w:spacing w:line="360" w:lineRule="auto"/>
        <w:ind w:firstLine="720"/>
        <w:jc w:val="both"/>
        <w:rPr>
          <w:b/>
        </w:rPr>
      </w:pPr>
      <w:r w:rsidRPr="00345A0E">
        <w:rPr>
          <w:b/>
        </w:rPr>
        <w:t>Q.</w:t>
      </w:r>
      <w:r w:rsidRPr="00345A0E">
        <w:rPr>
          <w:b/>
        </w:rPr>
        <w:tab/>
        <w:t xml:space="preserve">How does the “obligation to serve” create a need to increase rates? </w:t>
      </w:r>
    </w:p>
    <w:p w:rsidR="006C4780" w:rsidRPr="00345A0E" w:rsidRDefault="000C52C9" w:rsidP="004E2678">
      <w:pPr>
        <w:tabs>
          <w:tab w:val="left" w:pos="0"/>
        </w:tabs>
        <w:spacing w:line="480" w:lineRule="auto"/>
        <w:ind w:firstLine="720"/>
        <w:jc w:val="both"/>
      </w:pPr>
      <w:r w:rsidRPr="00345A0E">
        <w:t>A.</w:t>
      </w:r>
      <w:r w:rsidR="00FC2BA8" w:rsidRPr="00345A0E">
        <w:tab/>
      </w:r>
      <w:r w:rsidR="005D4D3D" w:rsidRPr="00345A0E">
        <w:t>A</w:t>
      </w:r>
      <w:r w:rsidR="006B22BC" w:rsidRPr="00345A0E">
        <w:t>vista has a legal obligation to provide safe and</w:t>
      </w:r>
      <w:r w:rsidR="006C4780" w:rsidRPr="00345A0E">
        <w:t xml:space="preserve"> reliable service to</w:t>
      </w:r>
      <w:r w:rsidR="005D4D3D" w:rsidRPr="00345A0E">
        <w:t xml:space="preserve"> every customer that requests electric or natural gas service from the </w:t>
      </w:r>
      <w:r w:rsidR="001E554A" w:rsidRPr="00345A0E">
        <w:t>Company.  When a new customer wants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p>
    <w:p w:rsidR="006C4780" w:rsidRPr="00345A0E" w:rsidRDefault="00833B02"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W</w:t>
      </w:r>
      <w:r w:rsidR="006C4780" w:rsidRPr="00345A0E">
        <w:rPr>
          <w:rFonts w:ascii="Times New Roman" w:hAnsi="Times New Roman" w:cs="Times New Roman"/>
        </w:rPr>
        <w:t>e occasionally receive comments from some of our customers to the effect that Avista should cut its costs, and “tigh</w:t>
      </w:r>
      <w:r w:rsidR="006B22BC" w:rsidRPr="00345A0E">
        <w:rPr>
          <w:rFonts w:ascii="Times New Roman" w:hAnsi="Times New Roman" w:cs="Times New Roman"/>
        </w:rPr>
        <w:t>ten its belt</w:t>
      </w:r>
      <w:r w:rsidR="006C4780" w:rsidRPr="00345A0E">
        <w:rPr>
          <w:rFonts w:ascii="Times New Roman" w:hAnsi="Times New Roman" w:cs="Times New Roman"/>
        </w:rPr>
        <w:t>” like other businesses are having to do in these difficult economic circumstances, and keep retail rates the same.  We hear those comments and take them to heart,</w:t>
      </w:r>
      <w:r w:rsidR="00D54AED" w:rsidRPr="00345A0E">
        <w:rPr>
          <w:rFonts w:ascii="Times New Roman" w:hAnsi="Times New Roman" w:cs="Times New Roman"/>
        </w:rPr>
        <w:t xml:space="preserve"> and have taken steps to do so.  B</w:t>
      </w:r>
      <w:r w:rsidR="006C4780" w:rsidRPr="00345A0E">
        <w:rPr>
          <w:rFonts w:ascii="Times New Roman" w:hAnsi="Times New Roman" w:cs="Times New Roman"/>
        </w:rPr>
        <w:t>ut</w:t>
      </w:r>
      <w:r w:rsidR="00D56E76" w:rsidRPr="00345A0E">
        <w:rPr>
          <w:rFonts w:ascii="Times New Roman" w:hAnsi="Times New Roman" w:cs="Times New Roman"/>
        </w:rPr>
        <w:t xml:space="preserve"> at the same time</w:t>
      </w:r>
      <w:r w:rsidR="006C4780" w:rsidRPr="00345A0E">
        <w:rPr>
          <w:rFonts w:ascii="Times New Roman" w:hAnsi="Times New Roman" w:cs="Times New Roman"/>
        </w:rPr>
        <w:t xml:space="preserve"> </w:t>
      </w:r>
      <w:r w:rsidR="006C4780" w:rsidRPr="00345A0E">
        <w:rPr>
          <w:rFonts w:ascii="Times New Roman" w:hAnsi="Times New Roman" w:cs="Times New Roman"/>
          <w:u w:val="single"/>
        </w:rPr>
        <w:t>we are not like other businesses</w:t>
      </w:r>
      <w:r w:rsidR="006C4780" w:rsidRPr="00345A0E">
        <w:rPr>
          <w:rFonts w:ascii="Times New Roman" w:hAnsi="Times New Roman" w:cs="Times New Roman"/>
        </w:rPr>
        <w:t xml:space="preserve">.  Without the obligation to serve, we could consider refusing to hook up some new customers, </w:t>
      </w:r>
      <w:r w:rsidR="00673255" w:rsidRPr="00345A0E">
        <w:rPr>
          <w:rFonts w:ascii="Times New Roman" w:hAnsi="Times New Roman" w:cs="Times New Roman"/>
        </w:rPr>
        <w:t>because it could avoid an</w:t>
      </w:r>
      <w:r w:rsidR="006C4780" w:rsidRPr="00345A0E">
        <w:rPr>
          <w:rFonts w:ascii="Times New Roman" w:hAnsi="Times New Roman" w:cs="Times New Roman"/>
        </w:rPr>
        <w:t xml:space="preserve"> increase in costs to our existing customers.  Without an obligation to serve, we could consider no longer serving some of the more remote, more costly areas to provide service, which would allow us to avoid further investment, and reduce labor and other </w:t>
      </w:r>
      <w:r w:rsidR="00D14478" w:rsidRPr="00345A0E">
        <w:rPr>
          <w:rFonts w:ascii="Times New Roman" w:hAnsi="Times New Roman" w:cs="Times New Roman"/>
        </w:rPr>
        <w:t xml:space="preserve">operating </w:t>
      </w:r>
      <w:r w:rsidR="006C4780" w:rsidRPr="00345A0E">
        <w:rPr>
          <w:rFonts w:ascii="Times New Roman" w:hAnsi="Times New Roman" w:cs="Times New Roman"/>
        </w:rPr>
        <w:t xml:space="preserve">costs.  Unregulated businesses have the opportunity to shut </w:t>
      </w:r>
      <w:r w:rsidR="00912B4C" w:rsidRPr="00345A0E">
        <w:rPr>
          <w:rFonts w:ascii="Times New Roman" w:hAnsi="Times New Roman" w:cs="Times New Roman"/>
        </w:rPr>
        <w:t>down aging facilities or</w:t>
      </w:r>
      <w:r w:rsidR="006C4780" w:rsidRPr="00345A0E">
        <w:rPr>
          <w:rFonts w:ascii="Times New Roman" w:hAnsi="Times New Roman" w:cs="Times New Roman"/>
        </w:rPr>
        <w:t xml:space="preserve"> under-producing retail outlets, eliminate product li</w:t>
      </w:r>
      <w:r w:rsidR="005D23E8" w:rsidRPr="00345A0E">
        <w:rPr>
          <w:rFonts w:ascii="Times New Roman" w:hAnsi="Times New Roman" w:cs="Times New Roman"/>
        </w:rPr>
        <w:t>nes, and cut back on investment</w:t>
      </w:r>
      <w:r w:rsidR="006C4780" w:rsidRPr="00345A0E">
        <w:rPr>
          <w:rFonts w:ascii="Times New Roman" w:hAnsi="Times New Roman" w:cs="Times New Roman"/>
        </w:rPr>
        <w:t xml:space="preserve"> </w:t>
      </w:r>
      <w:r w:rsidR="005D23E8" w:rsidRPr="00345A0E">
        <w:rPr>
          <w:rFonts w:ascii="Times New Roman" w:hAnsi="Times New Roman" w:cs="Times New Roman"/>
        </w:rPr>
        <w:t xml:space="preserve">and </w:t>
      </w:r>
      <w:r w:rsidR="006C4780" w:rsidRPr="00345A0E">
        <w:rPr>
          <w:rFonts w:ascii="Times New Roman" w:hAnsi="Times New Roman" w:cs="Times New Roman"/>
        </w:rPr>
        <w:t>main</w:t>
      </w:r>
      <w:r w:rsidR="005D23E8" w:rsidRPr="00345A0E">
        <w:rPr>
          <w:rFonts w:ascii="Times New Roman" w:hAnsi="Times New Roman" w:cs="Times New Roman"/>
        </w:rPr>
        <w:t>tenance.  We do not.</w:t>
      </w:r>
    </w:p>
    <w:p w:rsidR="00833B02" w:rsidRPr="00345A0E" w:rsidRDefault="006C4780" w:rsidP="004E2678">
      <w:pPr>
        <w:tabs>
          <w:tab w:val="left" w:pos="0"/>
        </w:tabs>
        <w:spacing w:line="480" w:lineRule="auto"/>
        <w:ind w:firstLine="720"/>
        <w:jc w:val="both"/>
      </w:pPr>
      <w:r w:rsidRPr="00345A0E">
        <w:t>Please don’t misunderstand my point -- we do have opportunities to cut back on investment a</w:t>
      </w:r>
      <w:r w:rsidR="00210CB0" w:rsidRPr="00345A0E">
        <w:t>nd operating costs, and we have where prudent to do so.</w:t>
      </w:r>
      <w:r w:rsidRPr="00345A0E">
        <w:t xml:space="preserve">  I will address that later in my testimony.  But those opportunities are limited by our obligation to safely and reliably serve </w:t>
      </w:r>
      <w:r w:rsidRPr="00345A0E">
        <w:lastRenderedPageBreak/>
        <w:t>all custome</w:t>
      </w:r>
      <w:r w:rsidR="00833B02" w:rsidRPr="00345A0E">
        <w:t>rs</w:t>
      </w:r>
      <w:r w:rsidR="007F2C25" w:rsidRPr="00345A0E">
        <w:t>, and our obligation to comply with numerous mandatory state and federal requirements.</w:t>
      </w:r>
      <w:r w:rsidR="00833B02" w:rsidRPr="00345A0E">
        <w:t xml:space="preserve"> We simply don’t have the choice to say no to new customers, no to maintaining a safe, reliable system, and no to mandatory requirements.  Although we have taken measures to ensure that the costs that we incur represent the most cost-effective and reliable way to continue to serve our customers, we continue to experience significant increases in costs.</w:t>
      </w:r>
    </w:p>
    <w:p w:rsidR="00833B02" w:rsidRPr="00345A0E" w:rsidRDefault="0006616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 xml:space="preserve">How does </w:t>
      </w:r>
      <w:r w:rsidR="00BE3AD6" w:rsidRPr="00345A0E">
        <w:rPr>
          <w:rFonts w:ascii="Times New Roman" w:hAnsi="Times New Roman" w:cs="Times New Roman"/>
          <w:b/>
        </w:rPr>
        <w:t>Avista’s need to replace its aging infrastructure create a need to change retail rates</w:t>
      </w:r>
      <w:r w:rsidRPr="00345A0E">
        <w:rPr>
          <w:rFonts w:ascii="Times New Roman" w:hAnsi="Times New Roman" w:cs="Times New Roman"/>
          <w:b/>
        </w:rPr>
        <w:t>?</w:t>
      </w:r>
    </w:p>
    <w:p w:rsidR="0011787F" w:rsidRPr="00345A0E"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 prices customers are paying now for transformers, distribution poles, substations, and transmission lines, among other facilities, are based on the cost to install those facilities</w:t>
      </w:r>
      <w:r w:rsidR="002A56E8" w:rsidRPr="00345A0E">
        <w:rPr>
          <w:rFonts w:ascii="Times New Roman" w:hAnsi="Times New Roman" w:cs="Times New Roman"/>
        </w:rPr>
        <w:t xml:space="preserve">, in some cases, </w:t>
      </w:r>
      <w:r w:rsidR="005630E6" w:rsidRPr="00345A0E">
        <w:rPr>
          <w:rFonts w:ascii="Times New Roman" w:hAnsi="Times New Roman" w:cs="Times New Roman"/>
        </w:rPr>
        <w:t>40, 50, a</w:t>
      </w:r>
      <w:r w:rsidR="002A56E8" w:rsidRPr="00345A0E">
        <w:rPr>
          <w:rFonts w:ascii="Times New Roman" w:hAnsi="Times New Roman" w:cs="Times New Roman"/>
        </w:rPr>
        <w:t>nd even</w:t>
      </w:r>
      <w:r w:rsidR="0038612F">
        <w:rPr>
          <w:rFonts w:ascii="Times New Roman" w:hAnsi="Times New Roman" w:cs="Times New Roman"/>
        </w:rPr>
        <w:t xml:space="preserve"> 60 </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times more expensive than those facilities installed years ago.  In order for us to continue to meet our obligation to provide reliable service, we must replace this aging infrastructure over time.  When we replace</w:t>
      </w:r>
      <w:r w:rsidR="0011787F" w:rsidRPr="00345A0E">
        <w:rPr>
          <w:rFonts w:ascii="Times New Roman" w:hAnsi="Times New Roman" w:cs="Times New Roman"/>
        </w:rPr>
        <w:t xml:space="preserve"> the old equipment with new, it results in increased costs, which leads to the need to increase rates to cover those costs.</w:t>
      </w:r>
    </w:p>
    <w:p w:rsidR="008A4318" w:rsidRDefault="007F2636" w:rsidP="004E2678">
      <w:pPr>
        <w:pStyle w:val="TestBody"/>
        <w:spacing w:line="480" w:lineRule="auto"/>
        <w:ind w:left="0" w:firstLine="720"/>
        <w:rPr>
          <w:rFonts w:ascii="Times New Roman" w:hAnsi="Times New Roman" w:cs="Times New Roman"/>
        </w:rPr>
      </w:pPr>
      <w:r w:rsidRPr="007F2636">
        <w:rPr>
          <w:rFonts w:ascii="Times New Roman" w:hAnsi="Times New Roman" w:cs="Times New Roman"/>
        </w:rPr>
        <w:t>Using the Handy-Whitman Index Manual</w:t>
      </w:r>
      <w:r w:rsidRPr="007F2636">
        <w:rPr>
          <w:rStyle w:val="FootnoteReference"/>
          <w:rFonts w:ascii="Times New Roman" w:hAnsi="Times New Roman"/>
        </w:rPr>
        <w:footnoteReference w:id="1"/>
      </w:r>
      <w:r w:rsidRPr="007F2636">
        <w:rPr>
          <w:rFonts w:ascii="Times New Roman" w:hAnsi="Times New Roman" w:cs="Times New Roman"/>
        </w:rPr>
        <w:t xml:space="preserve">, the Company analyzed several major categories of plant.  </w:t>
      </w:r>
      <w:r>
        <w:rPr>
          <w:rFonts w:ascii="Times New Roman" w:hAnsi="Times New Roman" w:cs="Times New Roman"/>
        </w:rPr>
        <w:t>The following chart</w:t>
      </w:r>
      <w:r w:rsidRPr="007F2636">
        <w:rPr>
          <w:rFonts w:ascii="Times New Roman" w:hAnsi="Times New Roman" w:cs="Times New Roman"/>
        </w:rPr>
        <w:t xml:space="preserve"> show</w:t>
      </w:r>
      <w:r>
        <w:rPr>
          <w:rFonts w:ascii="Times New Roman" w:hAnsi="Times New Roman" w:cs="Times New Roman"/>
        </w:rPr>
        <w:t>s</w:t>
      </w:r>
      <w:r w:rsidRPr="007F2636">
        <w:rPr>
          <w:rFonts w:ascii="Times New Roman" w:hAnsi="Times New Roman" w:cs="Times New Roman"/>
        </w:rPr>
        <w:t xml:space="preserve"> what </w:t>
      </w:r>
      <w:r>
        <w:rPr>
          <w:rFonts w:ascii="Times New Roman" w:hAnsi="Times New Roman" w:cs="Times New Roman"/>
        </w:rPr>
        <w:t>distribution equipment</w:t>
      </w:r>
      <w:r w:rsidRPr="007F2636">
        <w:rPr>
          <w:rFonts w:ascii="Times New Roman" w:hAnsi="Times New Roman" w:cs="Times New Roman"/>
        </w:rPr>
        <w:t xml:space="preserve"> cost</w:t>
      </w:r>
      <w:r>
        <w:rPr>
          <w:rFonts w:ascii="Times New Roman" w:hAnsi="Times New Roman" w:cs="Times New Roman"/>
        </w:rPr>
        <w:t>s have been</w:t>
      </w:r>
      <w:r w:rsidRPr="007F2636">
        <w:rPr>
          <w:rFonts w:ascii="Times New Roman" w:hAnsi="Times New Roman" w:cs="Times New Roman"/>
        </w:rPr>
        <w:t xml:space="preserve"> historically on a relative scale.  For example, distribution poles fifty years ago would cost 9% of the current replacement cost. </w:t>
      </w:r>
      <w:r>
        <w:rPr>
          <w:rFonts w:ascii="Times New Roman" w:hAnsi="Times New Roman" w:cs="Times New Roman"/>
        </w:rPr>
        <w:t xml:space="preserve"> The chart</w:t>
      </w:r>
      <w:r w:rsidRPr="007F2636">
        <w:rPr>
          <w:rFonts w:ascii="Times New Roman" w:hAnsi="Times New Roman" w:cs="Times New Roman"/>
        </w:rPr>
        <w:t xml:space="preserve"> show</w:t>
      </w:r>
      <w:r>
        <w:rPr>
          <w:rFonts w:ascii="Times New Roman" w:hAnsi="Times New Roman" w:cs="Times New Roman"/>
        </w:rPr>
        <w:t>s</w:t>
      </w:r>
      <w:r w:rsidRPr="007F2636">
        <w:rPr>
          <w:rFonts w:ascii="Times New Roman" w:hAnsi="Times New Roman" w:cs="Times New Roman"/>
        </w:rPr>
        <w:t xml:space="preserve"> that the cost of the same equipment and facilities </w:t>
      </w:r>
      <w:r w:rsidRPr="007F2636">
        <w:rPr>
          <w:rFonts w:ascii="Times New Roman" w:hAnsi="Times New Roman" w:cs="Times New Roman"/>
        </w:rPr>
        <w:lastRenderedPageBreak/>
        <w:t>that are being adde</w:t>
      </w:r>
      <w:r w:rsidR="0038612F">
        <w:rPr>
          <w:rFonts w:ascii="Times New Roman" w:hAnsi="Times New Roman" w:cs="Times New Roman"/>
        </w:rPr>
        <w:t>d today are many</w:t>
      </w:r>
      <w:r w:rsidRPr="007F2636">
        <w:rPr>
          <w:rFonts w:ascii="Times New Roman" w:hAnsi="Times New Roman" w:cs="Times New Roman"/>
        </w:rPr>
        <w:t xml:space="preserve"> times more expensive than those facilities installed in the past.</w:t>
      </w:r>
      <w:r w:rsidR="008A4318" w:rsidRPr="007F2636">
        <w:rPr>
          <w:rFonts w:ascii="Times New Roman" w:hAnsi="Times New Roman" w:cs="Times New Roman"/>
        </w:rPr>
        <w:t xml:space="preserve"> </w:t>
      </w:r>
    </w:p>
    <w:p w:rsidR="00D2672E" w:rsidRDefault="00D2672E" w:rsidP="00D2672E">
      <w:pPr>
        <w:pStyle w:val="TestBody"/>
        <w:spacing w:line="240" w:lineRule="auto"/>
        <w:ind w:left="0" w:firstLine="720"/>
        <w:rPr>
          <w:rFonts w:ascii="Times New Roman" w:hAnsi="Times New Roman" w:cs="Times New Roman"/>
          <w:b/>
          <w:u w:val="single"/>
        </w:rPr>
      </w:pPr>
    </w:p>
    <w:p w:rsidR="0038612F" w:rsidRPr="0038612F" w:rsidRDefault="00D2672E" w:rsidP="004E2678">
      <w:pPr>
        <w:pStyle w:val="TestBody"/>
        <w:spacing w:line="480" w:lineRule="auto"/>
        <w:ind w:left="0" w:firstLine="72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672576" behindDoc="1" locked="0" layoutInCell="1" allowOverlap="1">
            <wp:simplePos x="0" y="0"/>
            <wp:positionH relativeFrom="column">
              <wp:posOffset>259080</wp:posOffset>
            </wp:positionH>
            <wp:positionV relativeFrom="paragraph">
              <wp:posOffset>329565</wp:posOffset>
            </wp:positionV>
            <wp:extent cx="5876925" cy="4267200"/>
            <wp:effectExtent l="19050" t="0" r="9525"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876925" cy="4267200"/>
                    </a:xfrm>
                    <a:prstGeom prst="rect">
                      <a:avLst/>
                    </a:prstGeom>
                    <a:noFill/>
                    <a:ln w="9525">
                      <a:noFill/>
                      <a:miter lim="800000"/>
                      <a:headEnd/>
                      <a:tailEnd/>
                    </a:ln>
                  </pic:spPr>
                </pic:pic>
              </a:graphicData>
            </a:graphic>
          </wp:anchor>
        </w:drawing>
      </w:r>
      <w:r w:rsidR="0038612F" w:rsidRPr="0038612F">
        <w:rPr>
          <w:rFonts w:ascii="Times New Roman" w:hAnsi="Times New Roman" w:cs="Times New Roman"/>
          <w:b/>
          <w:u w:val="single"/>
        </w:rPr>
        <w:t>Illustration No. 1:</w:t>
      </w:r>
    </w:p>
    <w:p w:rsidR="008A4318" w:rsidRDefault="008A4318" w:rsidP="00C42B5D">
      <w:pPr>
        <w:pStyle w:val="TestBody"/>
        <w:spacing w:line="480" w:lineRule="auto"/>
        <w:ind w:left="0" w:firstLine="720"/>
      </w:pPr>
    </w:p>
    <w:p w:rsidR="008A4318" w:rsidRDefault="008A4318" w:rsidP="00316C92">
      <w:pPr>
        <w:pStyle w:val="TestBody"/>
        <w:spacing w:line="480" w:lineRule="auto"/>
        <w:ind w:left="0" w:right="-180" w:firstLine="720"/>
      </w:pPr>
    </w:p>
    <w:p w:rsidR="008A4318" w:rsidRDefault="008A4318" w:rsidP="00316C92">
      <w:pPr>
        <w:pStyle w:val="TestBody"/>
        <w:spacing w:line="480" w:lineRule="auto"/>
        <w:ind w:left="0" w:right="-180" w:firstLine="720"/>
      </w:pPr>
    </w:p>
    <w:p w:rsidR="00C16325" w:rsidRDefault="00C16325" w:rsidP="00316C92">
      <w:pPr>
        <w:pStyle w:val="TestBody"/>
        <w:spacing w:line="480" w:lineRule="auto"/>
        <w:ind w:left="0" w:right="-180" w:firstLine="720"/>
      </w:pPr>
    </w:p>
    <w:p w:rsidR="00B86612" w:rsidRDefault="00B86612" w:rsidP="00316C92">
      <w:pPr>
        <w:pStyle w:val="TestBody"/>
        <w:spacing w:line="480" w:lineRule="auto"/>
        <w:ind w:left="0" w:right="-180" w:firstLine="720"/>
      </w:pPr>
    </w:p>
    <w:p w:rsidR="00B86612" w:rsidRDefault="00B86612" w:rsidP="00316C92">
      <w:pPr>
        <w:pStyle w:val="TestBody"/>
        <w:spacing w:line="480" w:lineRule="auto"/>
        <w:ind w:left="0" w:right="-18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E14C5E" w:rsidRDefault="00E14C5E" w:rsidP="00E14C5E">
      <w:pPr>
        <w:pStyle w:val="TestBody"/>
        <w:spacing w:line="480" w:lineRule="auto"/>
        <w:ind w:left="0" w:firstLine="0"/>
      </w:pPr>
    </w:p>
    <w:p w:rsidR="000B3950" w:rsidRPr="00345A0E" w:rsidRDefault="008763A5" w:rsidP="004E2678">
      <w:pPr>
        <w:pStyle w:val="TestBody"/>
        <w:spacing w:line="480" w:lineRule="auto"/>
        <w:ind w:left="0" w:firstLine="720"/>
        <w:rPr>
          <w:rFonts w:ascii="Times New Roman" w:hAnsi="Times New Roman" w:cs="Times New Roman"/>
        </w:rPr>
      </w:pPr>
      <w:r>
        <w:rPr>
          <w:rFonts w:ascii="Times New Roman" w:hAnsi="Times New Roman" w:cs="Times New Roman"/>
        </w:rPr>
        <w:t xml:space="preserve">Company witness </w:t>
      </w:r>
      <w:r w:rsidR="00316C92" w:rsidRPr="00345A0E">
        <w:rPr>
          <w:rFonts w:ascii="Times New Roman" w:hAnsi="Times New Roman" w:cs="Times New Roman"/>
        </w:rPr>
        <w:t>Mr. DeFelice provides additional details related to the significant increase in the cost of utility materials and equipment in recent years.</w:t>
      </w:r>
    </w:p>
    <w:p w:rsidR="00684902" w:rsidRPr="00345A0E" w:rsidRDefault="00684902"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Can you give a sense for the scope of the</w:t>
      </w:r>
      <w:r w:rsidR="00396D66" w:rsidRPr="00345A0E">
        <w:rPr>
          <w:rFonts w:ascii="Times New Roman" w:hAnsi="Times New Roman" w:cs="Times New Roman"/>
          <w:b/>
        </w:rPr>
        <w:t xml:space="preserve"> investment necessary to replace the utility infrastructure over time</w:t>
      </w:r>
      <w:r w:rsidRPr="00345A0E">
        <w:rPr>
          <w:rFonts w:ascii="Times New Roman" w:hAnsi="Times New Roman" w:cs="Times New Roman"/>
          <w:b/>
        </w:rPr>
        <w:t>?</w:t>
      </w:r>
    </w:p>
    <w:p w:rsidR="00E6170B" w:rsidRDefault="00684902" w:rsidP="00E14C5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4425A4" w:rsidRPr="00345A0E">
        <w:rPr>
          <w:rFonts w:ascii="Times New Roman" w:hAnsi="Times New Roman" w:cs="Times New Roman"/>
        </w:rPr>
        <w:t>Yes.</w:t>
      </w:r>
      <w:r w:rsidR="00F753B6" w:rsidRPr="00345A0E">
        <w:rPr>
          <w:rFonts w:ascii="Times New Roman" w:hAnsi="Times New Roman" w:cs="Times New Roman"/>
        </w:rPr>
        <w:t xml:space="preserve">  For illustrative purposes, w</w:t>
      </w:r>
      <w:r w:rsidRPr="00345A0E">
        <w:rPr>
          <w:rFonts w:ascii="Times New Roman" w:hAnsi="Times New Roman" w:cs="Times New Roman"/>
        </w:rPr>
        <w:t xml:space="preserve">e have over 240,000 distribution poles and 34,500 transmission </w:t>
      </w:r>
      <w:r w:rsidR="00606D9C">
        <w:rPr>
          <w:rFonts w:ascii="Times New Roman" w:hAnsi="Times New Roman" w:cs="Times New Roman"/>
        </w:rPr>
        <w:t xml:space="preserve">wood and steel </w:t>
      </w:r>
      <w:r w:rsidRPr="00345A0E">
        <w:rPr>
          <w:rFonts w:ascii="Times New Roman" w:hAnsi="Times New Roman" w:cs="Times New Roman"/>
        </w:rPr>
        <w:t xml:space="preserve">poles in our electric system.  </w:t>
      </w:r>
      <w:r w:rsidR="004425A4" w:rsidRPr="00345A0E">
        <w:rPr>
          <w:rFonts w:ascii="Times New Roman" w:hAnsi="Times New Roman" w:cs="Times New Roman"/>
        </w:rPr>
        <w:t xml:space="preserve">If, as an example, we were to </w:t>
      </w:r>
      <w:r w:rsidR="004425A4" w:rsidRPr="00345A0E">
        <w:rPr>
          <w:rFonts w:ascii="Times New Roman" w:hAnsi="Times New Roman" w:cs="Times New Roman"/>
        </w:rPr>
        <w:lastRenderedPageBreak/>
        <w:t xml:space="preserve">replace our distribution poles on a fifty-year cycle, it would require us to replace approximately </w:t>
      </w:r>
      <w:r w:rsidR="004554A4" w:rsidRPr="00345A0E">
        <w:rPr>
          <w:rFonts w:ascii="Times New Roman" w:hAnsi="Times New Roman" w:cs="Times New Roman"/>
        </w:rPr>
        <w:t xml:space="preserve">4,800 poles every year.  </w:t>
      </w:r>
      <w:r w:rsidR="00376BBC">
        <w:rPr>
          <w:rFonts w:ascii="Times New Roman" w:hAnsi="Times New Roman" w:cs="Times New Roman"/>
        </w:rPr>
        <w:t>T</w:t>
      </w:r>
      <w:r w:rsidRPr="00345A0E">
        <w:rPr>
          <w:rFonts w:ascii="Times New Roman" w:hAnsi="Times New Roman" w:cs="Times New Roman"/>
        </w:rPr>
        <w:t>he distribution pole and transformer shown below are pre-19</w:t>
      </w:r>
      <w:r w:rsidR="00915FC3" w:rsidRPr="00345A0E">
        <w:rPr>
          <w:rFonts w:ascii="Times New Roman" w:hAnsi="Times New Roman" w:cs="Times New Roman"/>
        </w:rPr>
        <w:t>50</w:t>
      </w:r>
      <w:r w:rsidRPr="00345A0E">
        <w:rPr>
          <w:rFonts w:ascii="Times New Roman" w:hAnsi="Times New Roman" w:cs="Times New Roman"/>
        </w:rPr>
        <w:t xml:space="preserve">, and the pole has deteriorated to the point where it needs to be replaced.  </w:t>
      </w:r>
    </w:p>
    <w:p w:rsidR="0038612F" w:rsidRPr="0038612F" w:rsidRDefault="0038612F" w:rsidP="00E14C5E">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2:</w:t>
      </w:r>
    </w:p>
    <w:p w:rsidR="00CD69C6" w:rsidRDefault="00461BFE" w:rsidP="00684902">
      <w:pPr>
        <w:pStyle w:val="TestBody"/>
        <w:spacing w:line="480" w:lineRule="auto"/>
        <w:ind w:left="0" w:right="-180" w:firstLine="720"/>
      </w:pPr>
      <w:r>
        <w:rPr>
          <w:noProof/>
        </w:rPr>
        <w:drawing>
          <wp:anchor distT="0" distB="0" distL="114300" distR="114300" simplePos="0" relativeHeight="251663360" behindDoc="1" locked="0" layoutInCell="1" allowOverlap="1">
            <wp:simplePos x="0" y="0"/>
            <wp:positionH relativeFrom="column">
              <wp:posOffset>1049655</wp:posOffset>
            </wp:positionH>
            <wp:positionV relativeFrom="paragraph">
              <wp:posOffset>133350</wp:posOffset>
            </wp:positionV>
            <wp:extent cx="3709670" cy="2781300"/>
            <wp:effectExtent l="19050" t="0" r="5080" b="0"/>
            <wp:wrapNone/>
            <wp:docPr id="1" name="Picture 0" descr="Transformer 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er 1947.JPG"/>
                    <pic:cNvPicPr/>
                  </pic:nvPicPr>
                  <pic:blipFill>
                    <a:blip r:embed="rId13" cstate="print"/>
                    <a:stretch>
                      <a:fillRect/>
                    </a:stretch>
                  </pic:blipFill>
                  <pic:spPr>
                    <a:xfrm>
                      <a:off x="0" y="0"/>
                      <a:ext cx="3709670" cy="2781300"/>
                    </a:xfrm>
                    <a:prstGeom prst="rect">
                      <a:avLst/>
                    </a:prstGeom>
                  </pic:spPr>
                </pic:pic>
              </a:graphicData>
            </a:graphic>
          </wp:anchor>
        </w:drawing>
      </w: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Pr="00EC6F09" w:rsidRDefault="00915FC3" w:rsidP="00E6170B">
      <w:pPr>
        <w:pStyle w:val="TestBody"/>
        <w:spacing w:line="480" w:lineRule="auto"/>
        <w:ind w:left="0" w:right="-180" w:firstLine="0"/>
      </w:pPr>
    </w:p>
    <w:p w:rsidR="00E6170B" w:rsidRDefault="00E6170B" w:rsidP="00935F9F">
      <w:pPr>
        <w:spacing w:line="480" w:lineRule="auto"/>
        <w:ind w:right="-180" w:firstLine="720"/>
        <w:jc w:val="both"/>
        <w:rPr>
          <w:rFonts w:ascii="Palatino" w:hAnsi="Palatino"/>
        </w:rPr>
      </w:pPr>
    </w:p>
    <w:p w:rsidR="00E6170B" w:rsidRDefault="00E6170B" w:rsidP="00935F9F">
      <w:pPr>
        <w:spacing w:line="480" w:lineRule="auto"/>
        <w:ind w:right="-180" w:firstLine="720"/>
        <w:jc w:val="both"/>
        <w:rPr>
          <w:rFonts w:ascii="Palatino" w:hAnsi="Palatino"/>
        </w:rPr>
      </w:pPr>
    </w:p>
    <w:p w:rsidR="00935F9F" w:rsidRPr="00345A0E" w:rsidRDefault="004102BD" w:rsidP="004E2678">
      <w:pPr>
        <w:spacing w:line="480" w:lineRule="auto"/>
        <w:ind w:firstLine="720"/>
        <w:jc w:val="both"/>
      </w:pPr>
      <w:r w:rsidRPr="00345A0E">
        <w:t xml:space="preserve">We have many of these on our system and they must be replaced.  </w:t>
      </w:r>
      <w:r w:rsidR="00ED4C37" w:rsidRPr="00345A0E">
        <w:t xml:space="preserve">The replacement of distribution poles represents a fraction of the infrastructure that needs to be replaced each year.  </w:t>
      </w:r>
      <w:r w:rsidR="00935F9F" w:rsidRPr="00345A0E">
        <w:t xml:space="preserve">In the next five years, our relatively small Company will </w:t>
      </w:r>
      <w:r w:rsidR="00506F0F">
        <w:t xml:space="preserve">need to spend approximately $1.2 </w:t>
      </w:r>
      <w:r w:rsidR="00935F9F" w:rsidRPr="00345A0E">
        <w:t>billion of capital on utility facilities and other requirements</w:t>
      </w:r>
      <w:r w:rsidR="00E14C5E">
        <w:t xml:space="preserve">.  </w:t>
      </w:r>
      <w:r w:rsidR="00506F0F">
        <w:t>This $1.2</w:t>
      </w:r>
      <w:r w:rsidR="00935F9F" w:rsidRPr="00345A0E">
        <w:t xml:space="preserve"> billion represents </w:t>
      </w:r>
      <w:r w:rsidR="00A666A7">
        <w:t xml:space="preserve">approximately </w:t>
      </w:r>
      <w:r w:rsidR="00506F0F">
        <w:t>57</w:t>
      </w:r>
      <w:r w:rsidR="00935F9F" w:rsidRPr="00345A0E">
        <w:t xml:space="preserve">% of the current rate base of approximately $2.1 billion </w:t>
      </w:r>
      <w:r w:rsidR="0038612F">
        <w:t xml:space="preserve">dedicated to </w:t>
      </w:r>
      <w:r w:rsidR="00935F9F" w:rsidRPr="00345A0E">
        <w:t xml:space="preserve">serving customers today.  Utility equipment and facilities are big and expensive, and the required investment in new facilities is one of the major reasons that we need an increase in retail rates.  </w:t>
      </w:r>
    </w:p>
    <w:p w:rsidR="00684902" w:rsidRPr="00345A0E" w:rsidRDefault="00684902"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Does</w:t>
      </w:r>
      <w:r w:rsidR="009C637D" w:rsidRPr="00345A0E">
        <w:rPr>
          <w:rFonts w:ascii="Times New Roman" w:hAnsi="Times New Roman" w:cs="Times New Roman"/>
          <w:b/>
        </w:rPr>
        <w:t>n’t</w:t>
      </w:r>
      <w:r w:rsidRPr="00345A0E">
        <w:rPr>
          <w:rFonts w:ascii="Times New Roman" w:hAnsi="Times New Roman" w:cs="Times New Roman"/>
          <w:b/>
        </w:rPr>
        <w:t xml:space="preserve"> the level of depreciation each year cover the cost to replace these facilities?</w:t>
      </w:r>
    </w:p>
    <w:p w:rsidR="00C63A9A" w:rsidRPr="00345A0E" w:rsidRDefault="00684902"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A.</w:t>
      </w:r>
      <w:r w:rsidRPr="00345A0E">
        <w:rPr>
          <w:rFonts w:ascii="Times New Roman" w:hAnsi="Times New Roman" w:cs="Times New Roman"/>
        </w:rPr>
        <w:tab/>
        <w:t>No.  Some of</w:t>
      </w:r>
      <w:r w:rsidR="0078728C" w:rsidRPr="00345A0E">
        <w:rPr>
          <w:rFonts w:ascii="Times New Roman" w:hAnsi="Times New Roman" w:cs="Times New Roman"/>
        </w:rPr>
        <w:t xml:space="preserve"> our customers suggest</w:t>
      </w:r>
      <w:r w:rsidRPr="00345A0E">
        <w:rPr>
          <w:rFonts w:ascii="Times New Roman" w:hAnsi="Times New Roman" w:cs="Times New Roman"/>
        </w:rPr>
        <w:t xml:space="preserve"> that we set aside dollars every year to replace these facilities over time – and we do.  That is what depreciation is for.  The level of annual depreciation dollars built into retail rates is available to the Company to replace aging facilities over time.  However, </w:t>
      </w:r>
      <w:r w:rsidR="00F753B6" w:rsidRPr="00345A0E">
        <w:rPr>
          <w:rFonts w:ascii="Times New Roman" w:hAnsi="Times New Roman" w:cs="Times New Roman"/>
        </w:rPr>
        <w:t xml:space="preserve">as I explained above, </w:t>
      </w:r>
      <w:r w:rsidR="0078728C" w:rsidRPr="00345A0E">
        <w:rPr>
          <w:rFonts w:ascii="Times New Roman" w:hAnsi="Times New Roman" w:cs="Times New Roman"/>
        </w:rPr>
        <w:t>because</w:t>
      </w:r>
      <w:r w:rsidRPr="00345A0E">
        <w:rPr>
          <w:rFonts w:ascii="Times New Roman" w:hAnsi="Times New Roman" w:cs="Times New Roman"/>
        </w:rPr>
        <w:t xml:space="preserve"> the annual depreciation is based on the </w:t>
      </w:r>
      <w:r w:rsidRPr="00345A0E">
        <w:rPr>
          <w:rFonts w:ascii="Times New Roman" w:hAnsi="Times New Roman" w:cs="Times New Roman"/>
          <w:u w:val="single"/>
        </w:rPr>
        <w:t>actual historical co</w:t>
      </w:r>
      <w:r w:rsidR="0078728C" w:rsidRPr="00345A0E">
        <w:rPr>
          <w:rFonts w:ascii="Times New Roman" w:hAnsi="Times New Roman" w:cs="Times New Roman"/>
          <w:u w:val="single"/>
        </w:rPr>
        <w:t>sts</w:t>
      </w:r>
      <w:r w:rsidR="0078728C" w:rsidRPr="00345A0E">
        <w:rPr>
          <w:rFonts w:ascii="Times New Roman" w:hAnsi="Times New Roman" w:cs="Times New Roman"/>
        </w:rPr>
        <w:t xml:space="preserve"> of our electric </w:t>
      </w:r>
      <w:r w:rsidR="00FA5E63" w:rsidRPr="00345A0E">
        <w:rPr>
          <w:rFonts w:ascii="Times New Roman" w:hAnsi="Times New Roman" w:cs="Times New Roman"/>
        </w:rPr>
        <w:t>system</w:t>
      </w:r>
      <w:r w:rsidR="0078728C" w:rsidRPr="00345A0E">
        <w:rPr>
          <w:rFonts w:ascii="Times New Roman" w:hAnsi="Times New Roman" w:cs="Times New Roman"/>
        </w:rPr>
        <w:t xml:space="preserve"> and the cost of </w:t>
      </w:r>
      <w:r w:rsidR="00A96876" w:rsidRPr="00345A0E">
        <w:rPr>
          <w:rFonts w:ascii="Times New Roman" w:hAnsi="Times New Roman" w:cs="Times New Roman"/>
        </w:rPr>
        <w:t>those</w:t>
      </w:r>
      <w:r w:rsidRPr="00345A0E">
        <w:rPr>
          <w:rFonts w:ascii="Times New Roman" w:hAnsi="Times New Roman" w:cs="Times New Roman"/>
        </w:rPr>
        <w:t xml:space="preserve"> facilities decades ago </w:t>
      </w:r>
      <w:r w:rsidR="00FA5E63" w:rsidRPr="00345A0E">
        <w:rPr>
          <w:rFonts w:ascii="Times New Roman" w:hAnsi="Times New Roman" w:cs="Times New Roman"/>
        </w:rPr>
        <w:t>were orders</w:t>
      </w:r>
      <w:r w:rsidRPr="00345A0E">
        <w:rPr>
          <w:rFonts w:ascii="Times New Roman" w:hAnsi="Times New Roman" w:cs="Times New Roman"/>
        </w:rPr>
        <w:t xml:space="preserve"> of magnitude less than what it costs to build facilities today, the annual depreciation falls dramatically short of providing the funds necessary to replace facilities today.  Therefore, retail rate increases are necessary to cover the higher costs to replace facilities.</w:t>
      </w:r>
      <w:r w:rsidR="00166069" w:rsidRPr="00345A0E">
        <w:rPr>
          <w:rFonts w:ascii="Times New Roman" w:hAnsi="Times New Roman" w:cs="Times New Roman"/>
        </w:rPr>
        <w:t xml:space="preserve">  As Ms. Andrews explains in her testimony, over half of our rate increase request is based</w:t>
      </w:r>
      <w:r w:rsidR="00986436" w:rsidRPr="00345A0E">
        <w:rPr>
          <w:rFonts w:ascii="Times New Roman" w:hAnsi="Times New Roman" w:cs="Times New Roman"/>
        </w:rPr>
        <w:t xml:space="preserve"> on new capital investment and the return on</w:t>
      </w:r>
      <w:r w:rsidR="00166069" w:rsidRPr="00345A0E">
        <w:rPr>
          <w:rFonts w:ascii="Times New Roman" w:hAnsi="Times New Roman" w:cs="Times New Roman"/>
        </w:rPr>
        <w:t xml:space="preserve"> investment.</w:t>
      </w:r>
      <w:r w:rsidR="00C16325" w:rsidRPr="00345A0E">
        <w:rPr>
          <w:rFonts w:ascii="Times New Roman" w:hAnsi="Times New Roman" w:cs="Times New Roman"/>
        </w:rPr>
        <w:t xml:space="preserve"> </w:t>
      </w:r>
      <w:r w:rsidR="00A666A7">
        <w:rPr>
          <w:rFonts w:ascii="Times New Roman" w:hAnsi="Times New Roman" w:cs="Times New Roman"/>
        </w:rPr>
        <w:t xml:space="preserve"> </w:t>
      </w:r>
      <w:r w:rsidR="00376BBC">
        <w:rPr>
          <w:rFonts w:ascii="Times New Roman" w:hAnsi="Times New Roman" w:cs="Times New Roman"/>
        </w:rPr>
        <w:t>G</w:t>
      </w:r>
      <w:r w:rsidR="00C16325" w:rsidRPr="00345A0E">
        <w:rPr>
          <w:rFonts w:ascii="Times New Roman" w:hAnsi="Times New Roman" w:cs="Times New Roman"/>
        </w:rPr>
        <w:t xml:space="preserve">ross plant in service included in this case increased by approximately $130.8 million </w:t>
      </w:r>
      <w:r w:rsidR="00CA6CF3" w:rsidRPr="00345A0E">
        <w:rPr>
          <w:rFonts w:ascii="Times New Roman" w:hAnsi="Times New Roman" w:cs="Times New Roman"/>
        </w:rPr>
        <w:t xml:space="preserve">(Washington share) </w:t>
      </w:r>
      <w:r w:rsidR="00C16325" w:rsidRPr="00345A0E">
        <w:rPr>
          <w:rFonts w:ascii="Times New Roman" w:hAnsi="Times New Roman" w:cs="Times New Roman"/>
        </w:rPr>
        <w:t>compared to that currently included in rates.</w:t>
      </w:r>
    </w:p>
    <w:p w:rsidR="00C16325" w:rsidRPr="00345A0E" w:rsidRDefault="00BD223A"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E14C5E">
        <w:rPr>
          <w:rFonts w:ascii="Times New Roman" w:hAnsi="Times New Roman" w:cs="Times New Roman"/>
          <w:b/>
        </w:rPr>
        <w:t>Is the Company experiencing</w:t>
      </w:r>
      <w:r w:rsidR="00C16325" w:rsidRPr="00345A0E">
        <w:rPr>
          <w:rFonts w:ascii="Times New Roman" w:hAnsi="Times New Roman" w:cs="Times New Roman"/>
          <w:b/>
        </w:rPr>
        <w:t xml:space="preserve"> increases in other cost categories </w:t>
      </w:r>
      <w:r w:rsidR="00B94E63" w:rsidRPr="00345A0E">
        <w:rPr>
          <w:rFonts w:ascii="Times New Roman" w:hAnsi="Times New Roman" w:cs="Times New Roman"/>
          <w:b/>
        </w:rPr>
        <w:t>such as O&amp;M and A&amp;G costs</w:t>
      </w:r>
      <w:r w:rsidR="00E14C5E">
        <w:rPr>
          <w:rFonts w:ascii="Times New Roman" w:hAnsi="Times New Roman" w:cs="Times New Roman"/>
          <w:b/>
        </w:rPr>
        <w:t>?</w:t>
      </w:r>
    </w:p>
    <w:p w:rsidR="00B47460" w:rsidRPr="00345A0E" w:rsidRDefault="00C16325" w:rsidP="009B3015">
      <w:pPr>
        <w:suppressAutoHyphens/>
        <w:spacing w:line="480" w:lineRule="auto"/>
        <w:ind w:firstLine="720"/>
        <w:jc w:val="both"/>
      </w:pPr>
      <w:r w:rsidRPr="00345A0E">
        <w:t>A.</w:t>
      </w:r>
      <w:r w:rsidRPr="00345A0E">
        <w:tab/>
      </w:r>
      <w:r w:rsidR="00BD223A" w:rsidRPr="00345A0E">
        <w:t xml:space="preserve">Yes.  A number of expense items have increased since the </w:t>
      </w:r>
      <w:r w:rsidR="009F7230" w:rsidRPr="00345A0E">
        <w:t xml:space="preserve">Company’s </w:t>
      </w:r>
      <w:r w:rsidR="00BD223A" w:rsidRPr="00345A0E">
        <w:t xml:space="preserve">last </w:t>
      </w:r>
      <w:r w:rsidR="009F7230" w:rsidRPr="00345A0E">
        <w:t xml:space="preserve">general </w:t>
      </w:r>
      <w:r w:rsidR="00BD223A" w:rsidRPr="00345A0E">
        <w:t>rate case.  In particular, the Company pro formed in the increased costs associated with electric distribution vegetation management costs of $2.1 million</w:t>
      </w:r>
      <w:r w:rsidR="0038612F">
        <w:t>,</w:t>
      </w:r>
      <w:r w:rsidR="00BD223A" w:rsidRPr="00345A0E">
        <w:t xml:space="preserve"> as discussed by </w:t>
      </w:r>
      <w:r w:rsidR="008763A5">
        <w:t xml:space="preserve">Company witness </w:t>
      </w:r>
      <w:r w:rsidR="00BD223A" w:rsidRPr="00345A0E">
        <w:t xml:space="preserve">Mr. Kinney.  </w:t>
      </w:r>
      <w:r w:rsidR="009B3015">
        <w:t>These additive costs are necessary to keep the trees out of our power lines.  We are also experiencing increased labor and medical expenses.</w:t>
      </w:r>
    </w:p>
    <w:p w:rsidR="00684902" w:rsidRPr="00345A0E" w:rsidRDefault="003A17B8" w:rsidP="004E2678">
      <w:pPr>
        <w:spacing w:line="480" w:lineRule="auto"/>
        <w:ind w:firstLine="720"/>
        <w:jc w:val="both"/>
        <w:rPr>
          <w:b/>
        </w:rPr>
      </w:pPr>
      <w:r w:rsidRPr="00345A0E">
        <w:rPr>
          <w:b/>
        </w:rPr>
        <w:t>Q.</w:t>
      </w:r>
      <w:r w:rsidRPr="00345A0E">
        <w:rPr>
          <w:b/>
        </w:rPr>
        <w:tab/>
        <w:t>Why has</w:t>
      </w:r>
      <w:r w:rsidR="004D5A63" w:rsidRPr="00345A0E">
        <w:rPr>
          <w:b/>
        </w:rPr>
        <w:t xml:space="preserve"> it</w:t>
      </w:r>
      <w:r w:rsidR="00344C37" w:rsidRPr="00345A0E">
        <w:rPr>
          <w:b/>
        </w:rPr>
        <w:t xml:space="preserve"> </w:t>
      </w:r>
      <w:r w:rsidRPr="00345A0E">
        <w:rPr>
          <w:b/>
        </w:rPr>
        <w:t xml:space="preserve">been </w:t>
      </w:r>
      <w:r w:rsidR="00344C37" w:rsidRPr="00345A0E">
        <w:rPr>
          <w:b/>
        </w:rPr>
        <w:t>necessary for Avista to request</w:t>
      </w:r>
      <w:r w:rsidRPr="00345A0E">
        <w:rPr>
          <w:b/>
        </w:rPr>
        <w:t xml:space="preserve"> a</w:t>
      </w:r>
      <w:r w:rsidR="004D5A63" w:rsidRPr="00345A0E">
        <w:rPr>
          <w:b/>
        </w:rPr>
        <w:t xml:space="preserve"> rate increase</w:t>
      </w:r>
      <w:r w:rsidRPr="00345A0E">
        <w:rPr>
          <w:b/>
        </w:rPr>
        <w:t xml:space="preserve"> each</w:t>
      </w:r>
      <w:r w:rsidR="00287D52" w:rsidRPr="00345A0E">
        <w:rPr>
          <w:b/>
        </w:rPr>
        <w:t xml:space="preserve"> year</w:t>
      </w:r>
      <w:r w:rsidRPr="00345A0E">
        <w:rPr>
          <w:b/>
        </w:rPr>
        <w:t xml:space="preserve"> for a number of years</w:t>
      </w:r>
      <w:r w:rsidR="00287D52" w:rsidRPr="00345A0E">
        <w:rPr>
          <w:b/>
        </w:rPr>
        <w:t>?</w:t>
      </w:r>
    </w:p>
    <w:p w:rsidR="006E2371" w:rsidRPr="00345A0E" w:rsidRDefault="00287D52" w:rsidP="004E2678">
      <w:pPr>
        <w:spacing w:line="480" w:lineRule="auto"/>
        <w:ind w:firstLine="720"/>
        <w:jc w:val="both"/>
      </w:pPr>
      <w:r w:rsidRPr="00345A0E">
        <w:t>A.</w:t>
      </w:r>
      <w:r w:rsidRPr="00345A0E">
        <w:tab/>
        <w:t>The current ratemaking process does not al</w:t>
      </w:r>
      <w:r w:rsidR="00081FCE" w:rsidRPr="00345A0E">
        <w:t>low costs beyond th</w:t>
      </w:r>
      <w:r w:rsidR="006B1E37" w:rsidRPr="00345A0E">
        <w:t>e next</w:t>
      </w:r>
      <w:r w:rsidR="00081FCE" w:rsidRPr="00345A0E">
        <w:t xml:space="preserve"> year to be included in rates</w:t>
      </w:r>
      <w:r w:rsidRPr="00345A0E">
        <w:t xml:space="preserve">.  In addition, processing a rate request in Washington </w:t>
      </w:r>
      <w:r w:rsidR="000074E5" w:rsidRPr="00345A0E">
        <w:t>can take up to</w:t>
      </w:r>
      <w:r w:rsidRPr="00345A0E">
        <w:t xml:space="preserve"> eleven </w:t>
      </w:r>
      <w:r w:rsidRPr="00345A0E">
        <w:lastRenderedPageBreak/>
        <w:t>months, which means the only way to recover increasing costs to serve customers is to file a new rate request every year.</w:t>
      </w:r>
      <w:r w:rsidR="000216E4" w:rsidRPr="00345A0E">
        <w:t xml:space="preserve">  </w:t>
      </w:r>
    </w:p>
    <w:p w:rsidR="00B01A98" w:rsidRPr="00345A0E" w:rsidRDefault="00B01A98" w:rsidP="004E2678">
      <w:pPr>
        <w:tabs>
          <w:tab w:val="left" w:pos="0"/>
        </w:tabs>
        <w:spacing w:line="480" w:lineRule="auto"/>
        <w:ind w:firstLine="720"/>
        <w:jc w:val="both"/>
        <w:rPr>
          <w:bCs/>
        </w:rPr>
      </w:pPr>
      <w:r w:rsidRPr="00345A0E">
        <w:t xml:space="preserve">Since it is simply not possible to cuts costs enough to fully offset other cost increases and the costs associated with new plant investment, we have no choice but to request rate increases on a regular basis.  </w:t>
      </w:r>
      <w:r w:rsidR="00C63A9A" w:rsidRPr="00345A0E">
        <w:rPr>
          <w:bCs/>
        </w:rPr>
        <w:t>Avista is not alone in that regard; o</w:t>
      </w:r>
      <w:r w:rsidRPr="00345A0E">
        <w:rPr>
          <w:bCs/>
        </w:rPr>
        <w:t xml:space="preserve">ther electric utilities, whether publicly-owned or investor-owned like Avista, are also increasing their rates on a more regular basis, and this will likely continue into the near future.  </w:t>
      </w:r>
    </w:p>
    <w:p w:rsidR="00B01A98" w:rsidRPr="00C53E6C" w:rsidRDefault="00B01A98" w:rsidP="00C53E6C">
      <w:pPr>
        <w:tabs>
          <w:tab w:val="left" w:pos="0"/>
        </w:tabs>
        <w:spacing w:line="480" w:lineRule="auto"/>
        <w:ind w:firstLine="720"/>
        <w:jc w:val="both"/>
        <w:rPr>
          <w:bCs/>
        </w:rPr>
      </w:pPr>
      <w:r w:rsidRPr="00345A0E">
        <w:rPr>
          <w:bCs/>
        </w:rPr>
        <w:t>The table below identifies recent rate increases for utilities in the Pacific Northwest that have either already occurred, or proposals that are currently pending.</w:t>
      </w:r>
    </w:p>
    <w:p w:rsidR="00461BFE" w:rsidRDefault="00376BBC" w:rsidP="00B01A98">
      <w:pPr>
        <w:spacing w:line="480" w:lineRule="auto"/>
        <w:ind w:right="-180" w:firstLine="720"/>
        <w:jc w:val="center"/>
      </w:pPr>
      <w:r w:rsidRPr="00376BBC">
        <w:rPr>
          <w:noProof/>
        </w:rPr>
        <w:drawing>
          <wp:anchor distT="0" distB="0" distL="114300" distR="114300" simplePos="0" relativeHeight="251675648" behindDoc="1" locked="0" layoutInCell="1" allowOverlap="1">
            <wp:simplePos x="0" y="0"/>
            <wp:positionH relativeFrom="column">
              <wp:posOffset>173355</wp:posOffset>
            </wp:positionH>
            <wp:positionV relativeFrom="paragraph">
              <wp:posOffset>-1905</wp:posOffset>
            </wp:positionV>
            <wp:extent cx="5905500" cy="481012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05500" cy="4810125"/>
                    </a:xfrm>
                    <a:prstGeom prst="rect">
                      <a:avLst/>
                    </a:prstGeom>
                    <a:noFill/>
                    <a:ln w="9525">
                      <a:noFill/>
                      <a:miter lim="800000"/>
                      <a:headEnd/>
                      <a:tailEnd/>
                    </a:ln>
                  </pic:spPr>
                </pic:pic>
              </a:graphicData>
            </a:graphic>
          </wp:anchor>
        </w:drawing>
      </w: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FF39E5" w:rsidRDefault="00FF39E5" w:rsidP="00D2672E">
      <w:pPr>
        <w:spacing w:line="480" w:lineRule="auto"/>
        <w:jc w:val="both"/>
      </w:pPr>
    </w:p>
    <w:p w:rsidR="00C63A9A" w:rsidRPr="00345A0E" w:rsidRDefault="009B00AD" w:rsidP="004E2678">
      <w:pPr>
        <w:spacing w:line="480" w:lineRule="auto"/>
        <w:ind w:firstLine="720"/>
        <w:jc w:val="both"/>
      </w:pPr>
      <w:r w:rsidRPr="00345A0E">
        <w:lastRenderedPageBreak/>
        <w:t xml:space="preserve">Mr. Thies, in his testimony, explains that even though we have filed rate cases each year for a number of years, our actual earned return on equity in Washington has been well below the return the Commission has determined to be reasonable.  What that means is we have been </w:t>
      </w:r>
      <w:r w:rsidR="00D2672E">
        <w:t>unable to include</w:t>
      </w:r>
      <w:r w:rsidR="00EE2D93" w:rsidRPr="00345A0E">
        <w:t xml:space="preserve"> in retail rates the costs to serve custome</w:t>
      </w:r>
      <w:r w:rsidR="00694CC9" w:rsidRPr="00345A0E">
        <w:t>rs in Washington for that one upcoming year.</w:t>
      </w:r>
      <w:r w:rsidR="009106AE" w:rsidRPr="00345A0E">
        <w:t xml:space="preserve">  </w:t>
      </w:r>
      <w:r w:rsidR="00C63A9A" w:rsidRPr="00345A0E">
        <w:t>The bar chart below shows the actual earned return on equity for Avista’s Washington electric and natural gas utility operations, as compare</w:t>
      </w:r>
      <w:r w:rsidR="0093338C">
        <w:t>d</w:t>
      </w:r>
      <w:r w:rsidR="00C63A9A" w:rsidRPr="00345A0E">
        <w:t xml:space="preserve"> to the retu</w:t>
      </w:r>
      <w:r w:rsidR="00E67BB5" w:rsidRPr="00345A0E">
        <w:t xml:space="preserve">rn on equity authorized by the </w:t>
      </w:r>
      <w:r w:rsidR="00C63A9A" w:rsidRPr="00345A0E">
        <w:t>UTC.</w:t>
      </w:r>
    </w:p>
    <w:p w:rsidR="008D0320" w:rsidRPr="00345A0E" w:rsidRDefault="002D1F02" w:rsidP="00633245">
      <w:pPr>
        <w:spacing w:line="480" w:lineRule="auto"/>
        <w:ind w:right="-180" w:firstLine="720"/>
        <w:jc w:val="both"/>
      </w:pPr>
      <w:r w:rsidRPr="002D1F02">
        <w:drawing>
          <wp:anchor distT="0" distB="0" distL="114300" distR="114300" simplePos="0" relativeHeight="251676672" behindDoc="1" locked="0" layoutInCell="1" allowOverlap="1">
            <wp:simplePos x="0" y="0"/>
            <wp:positionH relativeFrom="column">
              <wp:posOffset>478155</wp:posOffset>
            </wp:positionH>
            <wp:positionV relativeFrom="paragraph">
              <wp:posOffset>3810</wp:posOffset>
            </wp:positionV>
            <wp:extent cx="4686300" cy="29146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86300" cy="2914650"/>
                    </a:xfrm>
                    <a:prstGeom prst="rect">
                      <a:avLst/>
                    </a:prstGeom>
                    <a:noFill/>
                    <a:ln w="9525">
                      <a:noFill/>
                      <a:miter lim="800000"/>
                      <a:headEnd/>
                      <a:tailEnd/>
                    </a:ln>
                  </pic:spPr>
                </pic:pic>
              </a:graphicData>
            </a:graphic>
          </wp:anchor>
        </w:drawing>
      </w:r>
    </w:p>
    <w:p w:rsidR="00C63A9A" w:rsidRPr="00345A0E" w:rsidRDefault="00C63A9A" w:rsidP="00A666A7">
      <w:pPr>
        <w:spacing w:line="480" w:lineRule="auto"/>
        <w:ind w:right="-180"/>
        <w:jc w:val="both"/>
      </w:pPr>
    </w:p>
    <w:p w:rsidR="00C63A9A" w:rsidRPr="00345A0E" w:rsidRDefault="00C63A9A"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Default="008D0320" w:rsidP="00633245">
      <w:pPr>
        <w:spacing w:line="480" w:lineRule="auto"/>
        <w:ind w:right="-180" w:firstLine="720"/>
        <w:jc w:val="both"/>
      </w:pPr>
    </w:p>
    <w:p w:rsidR="008D0320" w:rsidRPr="00345A0E" w:rsidRDefault="008D0320" w:rsidP="0093338C">
      <w:pPr>
        <w:spacing w:line="480" w:lineRule="auto"/>
        <w:ind w:right="-180"/>
        <w:jc w:val="both"/>
      </w:pPr>
    </w:p>
    <w:p w:rsidR="000B3950" w:rsidRPr="00345A0E" w:rsidRDefault="000B3950" w:rsidP="00E6170B">
      <w:pPr>
        <w:spacing w:line="480" w:lineRule="auto"/>
        <w:ind w:right="-180"/>
        <w:jc w:val="both"/>
      </w:pPr>
    </w:p>
    <w:p w:rsidR="00933C4E" w:rsidRPr="00345A0E" w:rsidRDefault="00D2672E" w:rsidP="00A666A7">
      <w:pPr>
        <w:spacing w:line="480" w:lineRule="auto"/>
        <w:ind w:firstLine="720"/>
        <w:jc w:val="both"/>
      </w:pPr>
      <w:r>
        <w:t>D</w:t>
      </w:r>
      <w:r w:rsidR="009106AE" w:rsidRPr="00345A0E">
        <w:t>elay</w:t>
      </w:r>
      <w:r>
        <w:t>s</w:t>
      </w:r>
      <w:r w:rsidR="009106AE" w:rsidRPr="00345A0E">
        <w:t xml:space="preserve"> in filing </w:t>
      </w:r>
      <w:r>
        <w:t xml:space="preserve">or processing </w:t>
      </w:r>
      <w:r w:rsidR="009106AE" w:rsidRPr="00345A0E">
        <w:t xml:space="preserve">a rate case </w:t>
      </w:r>
      <w:r>
        <w:t>can cause</w:t>
      </w:r>
      <w:r w:rsidR="009106AE" w:rsidRPr="00345A0E">
        <w:t xml:space="preserve"> our </w:t>
      </w:r>
      <w:r w:rsidR="00933C4E" w:rsidRPr="00345A0E">
        <w:t>actu</w:t>
      </w:r>
      <w:r>
        <w:t>al earned return to drop, erode</w:t>
      </w:r>
      <w:r w:rsidR="00933C4E" w:rsidRPr="00345A0E">
        <w:t xml:space="preserve"> our financial strength, and compromises our ability to raise capital on reasonable terms.</w:t>
      </w:r>
    </w:p>
    <w:p w:rsidR="00DB2CD7" w:rsidRPr="00345A0E" w:rsidRDefault="00DB2CD7" w:rsidP="00DB2CD7">
      <w:pPr>
        <w:tabs>
          <w:tab w:val="left" w:pos="0"/>
        </w:tabs>
        <w:spacing w:line="480" w:lineRule="auto"/>
        <w:ind w:right="36" w:firstLine="720"/>
        <w:jc w:val="center"/>
        <w:rPr>
          <w:b/>
          <w:bCs/>
          <w:u w:val="single"/>
        </w:rPr>
      </w:pPr>
      <w:r w:rsidRPr="00345A0E">
        <w:rPr>
          <w:b/>
          <w:bCs/>
          <w:u w:val="single"/>
        </w:rPr>
        <w:t>I</w:t>
      </w:r>
      <w:r w:rsidR="0002365B" w:rsidRPr="00345A0E">
        <w:rPr>
          <w:b/>
          <w:bCs/>
          <w:u w:val="single"/>
        </w:rPr>
        <w:t>I</w:t>
      </w:r>
      <w:r w:rsidR="00884B46" w:rsidRPr="00345A0E">
        <w:rPr>
          <w:b/>
          <w:bCs/>
          <w:u w:val="single"/>
        </w:rPr>
        <w:t>I</w:t>
      </w:r>
      <w:r w:rsidRPr="00345A0E">
        <w:rPr>
          <w:b/>
          <w:bCs/>
          <w:u w:val="single"/>
        </w:rPr>
        <w:t>. OVERVIEW OF AVISTA</w:t>
      </w:r>
    </w:p>
    <w:p w:rsidR="00DB2CD7" w:rsidRPr="00345A0E" w:rsidRDefault="00DB2CD7" w:rsidP="00DB2CD7">
      <w:pPr>
        <w:pStyle w:val="TestBody"/>
        <w:spacing w:line="480" w:lineRule="auto"/>
        <w:ind w:left="0" w:right="-115"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describe Avista’s current business focus for the utility and subsidiary operations.</w:t>
      </w:r>
    </w:p>
    <w:p w:rsidR="001863C9" w:rsidRPr="00345A0E" w:rsidRDefault="00DB2CD7" w:rsidP="001863C9">
      <w:pPr>
        <w:spacing w:after="120" w:line="480" w:lineRule="auto"/>
        <w:ind w:firstLine="720"/>
        <w:jc w:val="both"/>
        <w:textAlignment w:val="center"/>
      </w:pPr>
      <w:r w:rsidRPr="00345A0E">
        <w:t>A.</w:t>
      </w:r>
      <w:r w:rsidRPr="00345A0E">
        <w:tab/>
        <w:t xml:space="preserve">Our strategy continues to focus on our energy and utility-related businesses, with our primary emphasis on the electric and natural gas utility business.  There are four distinct </w:t>
      </w:r>
      <w:r w:rsidRPr="00345A0E">
        <w:lastRenderedPageBreak/>
        <w:t xml:space="preserve">components to our business focus for the utility, which we have referred to as the four legs of a stool, with each leg representing customers, employees, the communities we serve, and our financial investors.  For the stool to be level, each of these legs must be in balance by having the proper emphasis.  This means we must maintain a strong utility business by delivering efficient, reliable and </w:t>
      </w:r>
      <w:r w:rsidR="00373324" w:rsidRPr="00345A0E">
        <w:t>high quality service at a reasonable price</w:t>
      </w:r>
      <w:r w:rsidRPr="00345A0E">
        <w:t xml:space="preserve"> to our customers and the communities we serve, and provide the opportunity for sustained employment for our employee</w:t>
      </w:r>
      <w:r w:rsidR="00766985" w:rsidRPr="00345A0E">
        <w:t>s, while providing a reasonable</w:t>
      </w:r>
      <w:r w:rsidRPr="00345A0E">
        <w:t xml:space="preserve"> return to our investors.</w:t>
      </w:r>
      <w:r w:rsidR="001863C9" w:rsidRPr="00345A0E">
        <w:t xml:space="preserve"> </w:t>
      </w:r>
    </w:p>
    <w:p w:rsidR="00DB2CD7" w:rsidRPr="00345A0E" w:rsidRDefault="00DB2CD7" w:rsidP="00DB2CD7">
      <w:pPr>
        <w:pStyle w:val="TestBody"/>
        <w:spacing w:line="480" w:lineRule="auto"/>
        <w:ind w:left="0" w:right="-115"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briefly describe Avista’s subsidiary businesses.</w:t>
      </w:r>
    </w:p>
    <w:p w:rsidR="00DB2CD7" w:rsidRPr="00345A0E" w:rsidRDefault="00DB2CD7"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Avista Corp.’s primary subsidiary is the information and technology business, Advantage IQ, described below, which is headquartered in Spokane, Washington. A diagram of Avista’s corporate structure is provided on page 1 of Exhibit No. ___(SLM-2).</w:t>
      </w:r>
    </w:p>
    <w:p w:rsidR="00DB2CD7" w:rsidRPr="00345A0E" w:rsidRDefault="00DB2CD7" w:rsidP="00C42B5D">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provide an overview of Advantage IQ.</w:t>
      </w:r>
    </w:p>
    <w:p w:rsidR="00915FC3" w:rsidRPr="00345A0E" w:rsidRDefault="00DB2CD7" w:rsidP="00A666A7">
      <w:pPr>
        <w:pStyle w:val="NormalWeb"/>
        <w:spacing w:before="90" w:beforeAutospacing="0" w:after="0" w:afterAutospacing="0" w:line="480" w:lineRule="auto"/>
        <w:ind w:firstLine="720"/>
        <w:jc w:val="both"/>
      </w:pPr>
      <w:bookmarkStart w:id="1" w:name="OLE_LINK1"/>
      <w:r w:rsidRPr="00345A0E">
        <w:t>A.</w:t>
      </w:r>
      <w:r w:rsidRPr="00345A0E">
        <w:tab/>
      </w:r>
      <w:r w:rsidR="00915FC3" w:rsidRPr="00345A0E">
        <w:rPr>
          <w:color w:val="000000"/>
        </w:rPr>
        <w:t xml:space="preserve">Advantage IQ provides utility expense management and energy management solutions to multi-site companies across North America. </w:t>
      </w:r>
      <w:r w:rsidR="00915FC3" w:rsidRPr="00345A0E">
        <w:t xml:space="preserve">Avista currently holds a 75.75% share in Advantage IQ, which is held under Avista Capital. </w:t>
      </w:r>
    </w:p>
    <w:p w:rsidR="0048100A" w:rsidRPr="00345A0E" w:rsidRDefault="00915FC3" w:rsidP="0048100A">
      <w:pPr>
        <w:pStyle w:val="NormalWeb"/>
        <w:spacing w:before="90" w:beforeAutospacing="0" w:after="0" w:afterAutospacing="0" w:line="480" w:lineRule="auto"/>
        <w:ind w:firstLine="720"/>
        <w:jc w:val="both"/>
        <w:rPr>
          <w:color w:val="000000"/>
        </w:rPr>
      </w:pPr>
      <w:r w:rsidRPr="00345A0E">
        <w:rPr>
          <w:color w:val="000000"/>
        </w:rPr>
        <w:t xml:space="preserve">Advantage IQ’s invoice processing, auditing and payment services, coupled with energy procurement, comprehensive reporting and advanced analysis, provide the critical data clients need to balance the financial, social and environmental aspects of doing business. </w:t>
      </w:r>
      <w:r w:rsidRPr="00345A0E">
        <w:t>Customers include, CSK Auto, Jack in the Box, Staples, and Big Lots, to name a few.</w:t>
      </w:r>
    </w:p>
    <w:p w:rsidR="00915FC3" w:rsidRPr="00345A0E" w:rsidRDefault="00915FC3" w:rsidP="0048100A">
      <w:pPr>
        <w:pStyle w:val="NormalWeb"/>
        <w:spacing w:before="90" w:beforeAutospacing="0" w:after="0" w:afterAutospacing="0" w:line="480" w:lineRule="auto"/>
        <w:ind w:firstLine="720"/>
        <w:jc w:val="both"/>
        <w:rPr>
          <w:color w:val="000000"/>
        </w:rPr>
      </w:pPr>
      <w:r w:rsidRPr="00345A0E">
        <w:rPr>
          <w:color w:val="000000"/>
        </w:rPr>
        <w:t xml:space="preserve">As part of the expense management services, Advantage IQ analyzes and audits invoices, then presents consolidated bills on-line, and processes payments. Information gathered from </w:t>
      </w:r>
      <w:r w:rsidRPr="00345A0E">
        <w:rPr>
          <w:color w:val="000000"/>
        </w:rPr>
        <w:lastRenderedPageBreak/>
        <w:t xml:space="preserve">invoices, </w:t>
      </w:r>
      <w:r w:rsidR="00376BBC">
        <w:rPr>
          <w:color w:val="000000"/>
        </w:rPr>
        <w:t xml:space="preserve">service </w:t>
      </w:r>
      <w:r w:rsidRPr="00345A0E">
        <w:rPr>
          <w:color w:val="000000"/>
        </w:rPr>
        <w:t xml:space="preserve">providers and other customer-specific data allows Advantage IQ to provide its clients with in-depth analytical support, real-time reporting and consulting services. </w:t>
      </w:r>
    </w:p>
    <w:p w:rsidR="00345A0E" w:rsidRPr="0093338C" w:rsidRDefault="00915FC3" w:rsidP="0093338C">
      <w:pPr>
        <w:pStyle w:val="TestBody"/>
        <w:spacing w:line="480" w:lineRule="auto"/>
        <w:ind w:left="0" w:firstLine="720"/>
        <w:rPr>
          <w:rFonts w:ascii="Times New Roman" w:hAnsi="Times New Roman" w:cs="Times New Roman"/>
        </w:rPr>
      </w:pPr>
      <w:r w:rsidRPr="00345A0E">
        <w:rPr>
          <w:rFonts w:ascii="Times New Roman" w:hAnsi="Times New Roman" w:cs="Times New Roman"/>
          <w:color w:val="000000"/>
        </w:rPr>
        <w:t>Advantage IQ also provides comprehensive energy efficiency program management services to utilities across North America. As part of these management services, Advantage IQ helps utilities develop and execute energy efficiency programs with a complete turn-key solution</w:t>
      </w:r>
      <w:r w:rsidRPr="00345A0E">
        <w:rPr>
          <w:rFonts w:ascii="Times New Roman" w:hAnsi="Times New Roman" w:cs="Times New Roman"/>
          <w:color w:val="000000"/>
          <w:sz w:val="20"/>
          <w:szCs w:val="20"/>
        </w:rPr>
        <w:t xml:space="preserve">. </w:t>
      </w:r>
      <w:bookmarkEnd w:id="1"/>
    </w:p>
    <w:p w:rsidR="00DB2CD7" w:rsidRPr="00345A0E" w:rsidRDefault="00345A0E" w:rsidP="004E2678">
      <w:pPr>
        <w:tabs>
          <w:tab w:val="left" w:pos="0"/>
        </w:tabs>
        <w:spacing w:line="480" w:lineRule="auto"/>
        <w:jc w:val="both"/>
      </w:pPr>
      <w:r>
        <w:tab/>
      </w:r>
      <w:r w:rsidR="00DB2CD7" w:rsidRPr="00345A0E">
        <w:rPr>
          <w:b/>
          <w:bCs/>
        </w:rPr>
        <w:t>Q.</w:t>
      </w:r>
      <w:r w:rsidR="00DB2CD7" w:rsidRPr="00345A0E">
        <w:rPr>
          <w:b/>
          <w:bCs/>
        </w:rPr>
        <w:tab/>
        <w:t>Please briefly describe Avista Utilities.</w:t>
      </w:r>
    </w:p>
    <w:p w:rsidR="00DB2CD7" w:rsidRPr="00345A0E" w:rsidRDefault="00DB2CD7" w:rsidP="004E2678">
      <w:pPr>
        <w:tabs>
          <w:tab w:val="left" w:pos="0"/>
        </w:tabs>
        <w:adjustRightInd w:val="0"/>
        <w:spacing w:line="480" w:lineRule="auto"/>
        <w:ind w:firstLine="720"/>
        <w:jc w:val="both"/>
      </w:pPr>
      <w:r w:rsidRPr="00345A0E">
        <w:t>A.</w:t>
      </w:r>
      <w:r w:rsidRPr="00345A0E">
        <w:tab/>
        <w:t>Avista Utilities provides electric and natural gas service within a 26,000 square mile area of eastern Washington and northern Idaho</w:t>
      </w:r>
      <w:r w:rsidR="00376BBC">
        <w:rPr>
          <w:rStyle w:val="FootnoteReference"/>
        </w:rPr>
        <w:footnoteReference w:id="2"/>
      </w:r>
      <w:r w:rsidRPr="00345A0E">
        <w:t xml:space="preserve">. Of the Company’s </w:t>
      </w:r>
      <w:r w:rsidR="00E5362A" w:rsidRPr="00345A0E">
        <w:t>358,982</w:t>
      </w:r>
      <w:r w:rsidRPr="00345A0E">
        <w:t xml:space="preserve"> electric and </w:t>
      </w:r>
      <w:r w:rsidR="00E5362A" w:rsidRPr="00345A0E">
        <w:t>319,141</w:t>
      </w:r>
      <w:r w:rsidRPr="00345A0E">
        <w:t xml:space="preserve"> natural gas customers (as of Decembe</w:t>
      </w:r>
      <w:r w:rsidR="00BF237D" w:rsidRPr="00345A0E">
        <w:t>r 31, 2010</w:t>
      </w:r>
      <w:r w:rsidR="008E41F4" w:rsidRPr="00345A0E">
        <w:t xml:space="preserve">), </w:t>
      </w:r>
      <w:r w:rsidR="00E5362A" w:rsidRPr="00345A0E">
        <w:t>235,820</w:t>
      </w:r>
      <w:r w:rsidR="008E41F4" w:rsidRPr="00345A0E">
        <w:t xml:space="preserve"> and </w:t>
      </w:r>
      <w:r w:rsidR="00E5362A" w:rsidRPr="00345A0E">
        <w:t>148,247</w:t>
      </w:r>
      <w:r w:rsidRPr="00345A0E">
        <w:t>, respectively, were Washington customers. The Company, headquartered in Spokane, also provides natural gas distribution service in southwestern and northeastern Oregon.  A map showing Avista’s electric and natural gas service areas is provided on page 2 of Exhibit No. ___(SLM-2).</w:t>
      </w:r>
    </w:p>
    <w:p w:rsidR="00DB2CD7" w:rsidRPr="00345A0E" w:rsidRDefault="00E5362A" w:rsidP="004E2678">
      <w:pPr>
        <w:tabs>
          <w:tab w:val="left" w:pos="0"/>
        </w:tabs>
        <w:adjustRightInd w:val="0"/>
        <w:spacing w:line="480" w:lineRule="auto"/>
        <w:ind w:firstLine="720"/>
        <w:jc w:val="both"/>
      </w:pPr>
      <w:r w:rsidRPr="00345A0E">
        <w:t xml:space="preserve"> As of December 31, 2010</w:t>
      </w:r>
      <w:r w:rsidR="00DB2CD7" w:rsidRPr="00345A0E">
        <w:t>, Avista Utilities had total assets (electric and natural gas) of approximately $</w:t>
      </w:r>
      <w:r w:rsidR="000F36F5" w:rsidRPr="00345A0E">
        <w:t>3.9</w:t>
      </w:r>
      <w:r w:rsidR="00DB2CD7" w:rsidRPr="00345A0E">
        <w:t xml:space="preserve"> billion</w:t>
      </w:r>
      <w:r w:rsidR="00DB2CD7" w:rsidRPr="00345A0E">
        <w:rPr>
          <w:color w:val="FF0000"/>
        </w:rPr>
        <w:t xml:space="preserve"> </w:t>
      </w:r>
      <w:r w:rsidR="00DB2CD7" w:rsidRPr="00345A0E">
        <w:t>(on a system basis), with electric retail revenues of $</w:t>
      </w:r>
      <w:r w:rsidR="000F36F5" w:rsidRPr="00345A0E">
        <w:t>683</w:t>
      </w:r>
      <w:r w:rsidR="00DB2CD7" w:rsidRPr="00345A0E">
        <w:t xml:space="preserve"> million</w:t>
      </w:r>
      <w:r w:rsidR="00DB2CD7" w:rsidRPr="00345A0E">
        <w:rPr>
          <w:color w:val="FF0000"/>
        </w:rPr>
        <w:t xml:space="preserve"> </w:t>
      </w:r>
      <w:r w:rsidR="00DB2CD7" w:rsidRPr="00345A0E">
        <w:t>(system) and natural gas retail revenues of $</w:t>
      </w:r>
      <w:r w:rsidR="0089143B" w:rsidRPr="00345A0E">
        <w:t>314</w:t>
      </w:r>
      <w:r w:rsidR="00DB2CD7" w:rsidRPr="00345A0E">
        <w:t xml:space="preserve"> millio</w:t>
      </w:r>
      <w:r w:rsidRPr="00345A0E">
        <w:t>n (system).  As of December 2010</w:t>
      </w:r>
      <w:r w:rsidR="00DB2CD7" w:rsidRPr="00345A0E">
        <w:t>, the Utility had 1,5</w:t>
      </w:r>
      <w:r w:rsidR="0089143B" w:rsidRPr="00345A0E">
        <w:t>54</w:t>
      </w:r>
      <w:r w:rsidR="00DB2CD7" w:rsidRPr="00345A0E">
        <w:rPr>
          <w:color w:val="FF0000"/>
        </w:rPr>
        <w:t xml:space="preserve"> </w:t>
      </w:r>
      <w:r w:rsidR="00DB2CD7" w:rsidRPr="00345A0E">
        <w:t xml:space="preserve">full-time employees. </w:t>
      </w:r>
    </w:p>
    <w:p w:rsidR="00CC66E7" w:rsidRPr="00345A0E" w:rsidRDefault="00DB2CD7" w:rsidP="004E2678">
      <w:pPr>
        <w:tabs>
          <w:tab w:val="left" w:pos="0"/>
        </w:tabs>
        <w:adjustRightInd w:val="0"/>
        <w:spacing w:line="480" w:lineRule="auto"/>
        <w:ind w:firstLine="720"/>
        <w:jc w:val="both"/>
      </w:pPr>
      <w:r w:rsidRPr="00345A0E">
        <w:t>Avista has a long history of innovation and environmental stewardship.  At the turn of the 20</w:t>
      </w:r>
      <w:r w:rsidRPr="00345A0E">
        <w:rPr>
          <w:vertAlign w:val="superscript"/>
        </w:rPr>
        <w:t>th</w:t>
      </w:r>
      <w:r w:rsidRPr="00345A0E">
        <w:t xml:space="preserve"> century, the Company built its first renewable hydro</w:t>
      </w:r>
      <w:r w:rsidR="00AA3972" w:rsidRPr="00345A0E">
        <w:t>-electric</w:t>
      </w:r>
      <w:r w:rsidRPr="00345A0E">
        <w:t xml:space="preserve"> generation plant on the banks of the Spokane River.  In the 1980’s, Avista developed an award-winning biomass plant (Kettle Falls) that generates energy from wood-waste. </w:t>
      </w:r>
    </w:p>
    <w:p w:rsidR="00393FBD" w:rsidRDefault="00393FBD" w:rsidP="00393FBD">
      <w:pPr>
        <w:tabs>
          <w:tab w:val="left" w:pos="0"/>
        </w:tabs>
        <w:adjustRightInd w:val="0"/>
        <w:spacing w:line="480" w:lineRule="auto"/>
        <w:ind w:firstLine="720"/>
        <w:jc w:val="both"/>
      </w:pPr>
    </w:p>
    <w:p w:rsidR="00376BBC" w:rsidRDefault="00376BBC" w:rsidP="00393FBD">
      <w:pPr>
        <w:tabs>
          <w:tab w:val="left" w:pos="0"/>
        </w:tabs>
        <w:adjustRightInd w:val="0"/>
        <w:spacing w:line="480" w:lineRule="auto"/>
        <w:ind w:firstLine="720"/>
        <w:jc w:val="both"/>
      </w:pPr>
    </w:p>
    <w:p w:rsidR="00DB2CD7" w:rsidRPr="00345A0E" w:rsidRDefault="00DB2CD7" w:rsidP="00DB2CD7">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lastRenderedPageBreak/>
        <w:t>I</w:t>
      </w:r>
      <w:r w:rsidR="00CC66E7" w:rsidRPr="00345A0E">
        <w:rPr>
          <w:rFonts w:ascii="Times New Roman" w:hAnsi="Times New Roman" w:cs="Times New Roman"/>
          <w:b/>
          <w:bCs/>
          <w:u w:val="single"/>
        </w:rPr>
        <w:t>V</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4E2678">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DB2CD7" w:rsidRPr="00345A0E" w:rsidRDefault="00DB2CD7" w:rsidP="004E2678">
      <w:pPr>
        <w:tabs>
          <w:tab w:val="left" w:pos="0"/>
        </w:tabs>
        <w:spacing w:line="480" w:lineRule="auto"/>
        <w:ind w:firstLine="720"/>
        <w:jc w:val="both"/>
      </w:pPr>
      <w:r w:rsidRPr="00345A0E">
        <w:t>A.</w:t>
      </w:r>
      <w:r w:rsidRPr="00345A0E">
        <w:tab/>
        <w:t>Avista is proposing an increase in electric b</w:t>
      </w:r>
      <w:r w:rsidR="00E02974" w:rsidRPr="00345A0E">
        <w:t>illed</w:t>
      </w:r>
      <w:r w:rsidRPr="00345A0E">
        <w:t xml:space="preserve"> retail rates of </w:t>
      </w:r>
      <w:r w:rsidR="000F36F5" w:rsidRPr="00345A0E">
        <w:t>$38.3</w:t>
      </w:r>
      <w:r w:rsidRPr="00345A0E">
        <w:t xml:space="preserve"> million or </w:t>
      </w:r>
      <w:r w:rsidR="00A666A7">
        <w:t>8.7</w:t>
      </w:r>
      <w:r w:rsidRPr="00345A0E">
        <w:t xml:space="preserve">%.  The Company’s request is based on a proposed rate of return of </w:t>
      </w:r>
      <w:r w:rsidR="001A7695" w:rsidRPr="00345A0E">
        <w:t>8.2</w:t>
      </w:r>
      <w:r w:rsidRPr="00345A0E">
        <w:t xml:space="preserve">3% with a common equity ratio of </w:t>
      </w:r>
      <w:r w:rsidR="001A7695" w:rsidRPr="00345A0E">
        <w:t>48.04</w:t>
      </w:r>
      <w:r w:rsidR="00E02974" w:rsidRPr="00345A0E">
        <w:t>% and a</w:t>
      </w:r>
      <w:r w:rsidRPr="00345A0E">
        <w:t xml:space="preserve"> 10.9% return on equity.    </w:t>
      </w:r>
      <w:r w:rsidRPr="00345A0E">
        <w:rPr>
          <w:bCs/>
          <w:highlight w:val="lightGray"/>
        </w:rPr>
        <w:t xml:space="preserve">  </w:t>
      </w:r>
    </w:p>
    <w:p w:rsidR="00B55C69" w:rsidRPr="00345A0E" w:rsidRDefault="00DB2CD7" w:rsidP="00345A0E">
      <w:pPr>
        <w:tabs>
          <w:tab w:val="left" w:pos="0"/>
          <w:tab w:val="left" w:pos="720"/>
          <w:tab w:val="left" w:pos="6030"/>
        </w:tabs>
        <w:spacing w:line="480" w:lineRule="auto"/>
        <w:ind w:firstLine="720"/>
        <w:jc w:val="both"/>
      </w:pPr>
      <w:r w:rsidRPr="00345A0E">
        <w:rPr>
          <w:bCs/>
        </w:rPr>
        <w:t xml:space="preserve">Mr. Ehrbar will provide details related to rate spread and rate design.  </w:t>
      </w:r>
      <w:r w:rsidRPr="00345A0E">
        <w:t>The proposed rate spread for the increase to each electric customer class is shown in the illustration below.</w:t>
      </w:r>
    </w:p>
    <w:p w:rsidR="00B55C69" w:rsidRPr="00345A0E" w:rsidRDefault="00D2672E" w:rsidP="00B55C69">
      <w:pPr>
        <w:tabs>
          <w:tab w:val="left" w:pos="0"/>
        </w:tabs>
        <w:ind w:right="-173" w:firstLine="720"/>
        <w:jc w:val="both"/>
        <w:rPr>
          <w:b/>
          <w:bCs/>
          <w:u w:val="single"/>
        </w:rPr>
      </w:pPr>
      <w:r>
        <w:rPr>
          <w:b/>
          <w:bCs/>
          <w:u w:val="single"/>
        </w:rPr>
        <w:t>Illustration No. 3</w:t>
      </w:r>
      <w:r w:rsidR="00DB2CD7" w:rsidRPr="00345A0E">
        <w:rPr>
          <w:b/>
          <w:bCs/>
          <w:u w:val="single"/>
        </w:rPr>
        <w:t>:</w:t>
      </w:r>
    </w:p>
    <w:p w:rsidR="00DB2CD7" w:rsidRPr="00345A0E" w:rsidRDefault="00DB2CD7" w:rsidP="00B55C69">
      <w:pPr>
        <w:tabs>
          <w:tab w:val="left" w:pos="0"/>
        </w:tabs>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5A272F" w:rsidRPr="00345A0E">
        <w:rPr>
          <w:u w:val="single"/>
        </w:rPr>
        <w:t xml:space="preserve">Proposed </w:t>
      </w:r>
      <w:r w:rsidRPr="00345A0E">
        <w:rPr>
          <w:u w:val="single"/>
        </w:rPr>
        <w:t>Increase</w:t>
      </w:r>
    </w:p>
    <w:p w:rsidR="00DB2CD7" w:rsidRPr="00345A0E" w:rsidRDefault="00DB2CD7" w:rsidP="00B55C69">
      <w:pPr>
        <w:pStyle w:val="BodyText2"/>
        <w:tabs>
          <w:tab w:val="left" w:pos="0"/>
          <w:tab w:val="left" w:pos="7200"/>
        </w:tabs>
        <w:spacing w:line="360" w:lineRule="auto"/>
        <w:ind w:left="720" w:right="-144"/>
        <w:jc w:val="both"/>
        <w:rPr>
          <w:bCs/>
        </w:rPr>
      </w:pPr>
      <w:r w:rsidRPr="00345A0E">
        <w:rPr>
          <w:bCs/>
        </w:rPr>
        <w:t>Residential Service Schedule 1</w:t>
      </w:r>
      <w:r w:rsidRPr="00345A0E">
        <w:rPr>
          <w:bCs/>
        </w:rPr>
        <w:tab/>
      </w:r>
      <w:r w:rsidR="00CA7319" w:rsidRPr="00345A0E">
        <w:rPr>
          <w:bCs/>
        </w:rPr>
        <w:t>9.1</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General Service Schedules 11 &amp; 12</w:t>
      </w:r>
      <w:r w:rsidRPr="00345A0E">
        <w:rPr>
          <w:bCs/>
        </w:rPr>
        <w:tab/>
      </w:r>
      <w:r w:rsidR="00CA7319" w:rsidRPr="00345A0E">
        <w:rPr>
          <w:bCs/>
        </w:rPr>
        <w:t>8.4</w:t>
      </w:r>
      <w:r w:rsidR="00B55C69" w:rsidRPr="00345A0E">
        <w:rPr>
          <w:bCs/>
        </w:rPr>
        <w:t>%</w:t>
      </w:r>
      <w:r w:rsidR="00B55C69" w:rsidRPr="00345A0E">
        <w:rPr>
          <w:bCs/>
        </w:rPr>
        <w:tab/>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Large General Service Schedules 21 &amp; 22</w:t>
      </w:r>
      <w:r w:rsidRPr="00345A0E">
        <w:rPr>
          <w:bCs/>
        </w:rPr>
        <w:tab/>
      </w:r>
      <w:r w:rsidR="00CA7319" w:rsidRPr="00345A0E">
        <w:rPr>
          <w:bCs/>
        </w:rPr>
        <w:t>8.7</w:t>
      </w:r>
      <w:r w:rsidRPr="00345A0E">
        <w:rPr>
          <w:bCs/>
        </w:rPr>
        <w:t>%</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Extra Large General Service Schedule 25</w:t>
      </w:r>
      <w:r w:rsidRPr="00345A0E">
        <w:rPr>
          <w:bCs/>
        </w:rPr>
        <w:tab/>
      </w:r>
      <w:r w:rsidR="00CA7319" w:rsidRPr="00345A0E">
        <w:rPr>
          <w:bCs/>
        </w:rPr>
        <w:t>7.5</w:t>
      </w:r>
      <w:r w:rsidRPr="00345A0E">
        <w:rPr>
          <w:bCs/>
        </w:rPr>
        <w:t>%</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Pumping Service Schedules 31 &amp; 32</w:t>
      </w:r>
      <w:r w:rsidRPr="00345A0E">
        <w:rPr>
          <w:bCs/>
        </w:rPr>
        <w:tab/>
      </w:r>
      <w:r w:rsidR="00CA7319" w:rsidRPr="00345A0E">
        <w:rPr>
          <w:bCs/>
        </w:rPr>
        <w:t>9.1</w:t>
      </w:r>
      <w:r w:rsidRPr="00345A0E">
        <w:rPr>
          <w:bCs/>
        </w:rPr>
        <w:t>%</w:t>
      </w:r>
      <w:r w:rsidRPr="00345A0E">
        <w:rPr>
          <w:bCs/>
        </w:rPr>
        <w:tab/>
      </w:r>
      <w:r w:rsidR="00B55C69" w:rsidRPr="00345A0E">
        <w:rPr>
          <w:bCs/>
        </w:rPr>
        <w:t xml:space="preserve">  </w:t>
      </w:r>
    </w:p>
    <w:p w:rsidR="00DB2CD7" w:rsidRPr="00345A0E" w:rsidRDefault="00DB2CD7" w:rsidP="00B55C69">
      <w:pPr>
        <w:pStyle w:val="BodyText2"/>
        <w:tabs>
          <w:tab w:val="left" w:pos="0"/>
          <w:tab w:val="left" w:pos="1440"/>
          <w:tab w:val="left" w:pos="7200"/>
        </w:tabs>
        <w:spacing w:line="360" w:lineRule="auto"/>
        <w:ind w:left="720" w:right="43"/>
        <w:jc w:val="both"/>
      </w:pPr>
      <w:r w:rsidRPr="00345A0E">
        <w:t>Street</w:t>
      </w:r>
      <w:r w:rsidR="00E02974" w:rsidRPr="00345A0E">
        <w:t xml:space="preserve"> &amp; Area Lighting Schedules 41-48</w:t>
      </w:r>
      <w:r w:rsidRPr="00345A0E">
        <w:tab/>
      </w:r>
      <w:r w:rsidR="00CA7319" w:rsidRPr="00345A0E">
        <w:rPr>
          <w:u w:val="single"/>
        </w:rPr>
        <w:t>8.6</w:t>
      </w:r>
      <w:r w:rsidRPr="00345A0E">
        <w:rPr>
          <w:u w:val="single"/>
        </w:rPr>
        <w:t>%</w:t>
      </w:r>
      <w:r w:rsidRPr="00345A0E">
        <w:t xml:space="preserve">  </w:t>
      </w:r>
      <w:r w:rsidRPr="00345A0E">
        <w:tab/>
      </w:r>
      <w:r w:rsidR="00B55C69" w:rsidRPr="00345A0E">
        <w:t xml:space="preserve">   </w:t>
      </w:r>
    </w:p>
    <w:p w:rsidR="00DB2CD7" w:rsidRPr="00345A0E" w:rsidRDefault="00DB2CD7" w:rsidP="00DC2A72">
      <w:pPr>
        <w:pStyle w:val="BodyText2"/>
        <w:tabs>
          <w:tab w:val="left" w:pos="0"/>
          <w:tab w:val="left" w:pos="1440"/>
          <w:tab w:val="left" w:pos="7200"/>
        </w:tabs>
        <w:spacing w:line="240" w:lineRule="auto"/>
        <w:ind w:left="720" w:right="43"/>
        <w:jc w:val="both"/>
      </w:pPr>
      <w:r w:rsidRPr="00345A0E">
        <w:rPr>
          <w:b/>
        </w:rPr>
        <w:t>Overall Increase</w:t>
      </w:r>
      <w:r w:rsidRPr="00345A0E">
        <w:tab/>
      </w:r>
      <w:r w:rsidR="00CA7319" w:rsidRPr="00345A0E">
        <w:rPr>
          <w:b/>
        </w:rPr>
        <w:t>8.7</w:t>
      </w:r>
      <w:r w:rsidRPr="00345A0E">
        <w:rPr>
          <w:b/>
        </w:rPr>
        <w:t>%</w:t>
      </w:r>
      <w:r w:rsidRPr="00345A0E">
        <w:tab/>
      </w:r>
      <w:r w:rsidR="00B55C69" w:rsidRPr="00345A0E">
        <w:t xml:space="preserve">   </w:t>
      </w:r>
      <w:r w:rsidRPr="00345A0E">
        <w:tab/>
        <w:t xml:space="preserve">         </w:t>
      </w:r>
      <w:r w:rsidRPr="00345A0E">
        <w:tab/>
        <w:t xml:space="preserve">      </w:t>
      </w:r>
    </w:p>
    <w:p w:rsidR="00393FBD" w:rsidRPr="00345A0E" w:rsidRDefault="00393FBD" w:rsidP="00DC2A72">
      <w:pPr>
        <w:pStyle w:val="BodyText2"/>
        <w:tabs>
          <w:tab w:val="left" w:pos="0"/>
          <w:tab w:val="left" w:pos="1440"/>
          <w:tab w:val="left" w:pos="7200"/>
        </w:tabs>
        <w:spacing w:line="240" w:lineRule="auto"/>
        <w:ind w:left="720" w:right="43"/>
        <w:jc w:val="both"/>
      </w:pPr>
    </w:p>
    <w:p w:rsidR="00DB2CD7" w:rsidRPr="00345A0E" w:rsidRDefault="00DB2CD7" w:rsidP="00DB2CD7">
      <w:pPr>
        <w:tabs>
          <w:tab w:val="left" w:pos="0"/>
        </w:tabs>
        <w:spacing w:line="480" w:lineRule="auto"/>
        <w:ind w:right="-173" w:firstLine="720"/>
        <w:jc w:val="both"/>
        <w:rPr>
          <w:b/>
          <w:bCs/>
        </w:rPr>
      </w:pPr>
      <w:r w:rsidRPr="00345A0E">
        <w:rPr>
          <w:b/>
          <w:bCs/>
        </w:rPr>
        <w:t>Q.</w:t>
      </w:r>
      <w:r w:rsidRPr="00345A0E">
        <w:rPr>
          <w:b/>
          <w:bCs/>
        </w:rPr>
        <w:tab/>
        <w:t xml:space="preserve">What is Avista’s </w:t>
      </w:r>
      <w:r w:rsidRPr="00345A0E">
        <w:rPr>
          <w:b/>
          <w:bCs/>
          <w:u w:val="single"/>
        </w:rPr>
        <w:t>natural gas</w:t>
      </w:r>
      <w:r w:rsidRPr="00345A0E">
        <w:rPr>
          <w:b/>
          <w:bCs/>
        </w:rPr>
        <w:t xml:space="preserve"> rate request in this filing?</w:t>
      </w:r>
    </w:p>
    <w:p w:rsidR="007479FA" w:rsidRPr="00345A0E" w:rsidRDefault="00DB2CD7" w:rsidP="00345A0E">
      <w:pPr>
        <w:pStyle w:val="BodyText2"/>
        <w:tabs>
          <w:tab w:val="left" w:pos="0"/>
          <w:tab w:val="left" w:pos="720"/>
          <w:tab w:val="left" w:pos="1440"/>
          <w:tab w:val="left" w:pos="6030"/>
        </w:tabs>
        <w:jc w:val="both"/>
      </w:pPr>
      <w:r w:rsidRPr="00345A0E">
        <w:tab/>
        <w:t>A.</w:t>
      </w:r>
      <w:r w:rsidRPr="00345A0E">
        <w:tab/>
        <w:t>With regard to natural gas, the Company is requesting an increase of $</w:t>
      </w:r>
      <w:r w:rsidR="001A7695" w:rsidRPr="00345A0E">
        <w:t>6.2</w:t>
      </w:r>
      <w:r w:rsidRPr="00345A0E">
        <w:t xml:space="preserve"> million or </w:t>
      </w:r>
      <w:r w:rsidR="001A7695" w:rsidRPr="00345A0E">
        <w:t>4</w:t>
      </w:r>
      <w:r w:rsidR="00692C49" w:rsidRPr="00345A0E">
        <w:t>.0</w:t>
      </w:r>
      <w:r w:rsidRPr="00345A0E">
        <w:t>%</w:t>
      </w:r>
      <w:r w:rsidR="0011128D" w:rsidRPr="00345A0E">
        <w:t xml:space="preserve"> of billed rates</w:t>
      </w:r>
      <w:r w:rsidRPr="00345A0E">
        <w:t xml:space="preserve">.  As with the electric increase, the Company’s request is based on a proposed rate of return of </w:t>
      </w:r>
      <w:r w:rsidR="001A7695" w:rsidRPr="00345A0E">
        <w:t>8.2</w:t>
      </w:r>
      <w:r w:rsidRPr="00345A0E">
        <w:t xml:space="preserve">3% with a common equity ratio of </w:t>
      </w:r>
      <w:r w:rsidR="001A7695" w:rsidRPr="00345A0E">
        <w:t>48.04</w:t>
      </w:r>
      <w:r w:rsidRPr="00345A0E">
        <w:t>% and a 10.9% return on equity.  The proposed rate spread for each natural gas customer class is shown in the i</w:t>
      </w:r>
      <w:r w:rsidR="00393FBD" w:rsidRPr="00345A0E">
        <w:t>llustration below:</w:t>
      </w:r>
    </w:p>
    <w:p w:rsidR="00DB2CD7" w:rsidRPr="00345A0E" w:rsidRDefault="00D2672E" w:rsidP="00DB2CD7">
      <w:pPr>
        <w:tabs>
          <w:tab w:val="left" w:pos="0"/>
        </w:tabs>
        <w:ind w:right="-173" w:firstLine="720"/>
        <w:jc w:val="both"/>
        <w:rPr>
          <w:b/>
          <w:bCs/>
          <w:u w:val="single"/>
        </w:rPr>
      </w:pPr>
      <w:r>
        <w:rPr>
          <w:b/>
          <w:bCs/>
          <w:u w:val="single"/>
        </w:rPr>
        <w:lastRenderedPageBreak/>
        <w:t>Illustration No. 4</w:t>
      </w:r>
      <w:r w:rsidR="00DB2CD7" w:rsidRPr="00345A0E">
        <w:rPr>
          <w:b/>
          <w:bCs/>
          <w:u w:val="single"/>
        </w:rPr>
        <w:t>:</w:t>
      </w:r>
    </w:p>
    <w:p w:rsidR="00DB2CD7" w:rsidRPr="00345A0E" w:rsidRDefault="00DB2CD7" w:rsidP="00B55C69">
      <w:pPr>
        <w:tabs>
          <w:tab w:val="left" w:pos="0"/>
        </w:tabs>
        <w:ind w:right="-173"/>
      </w:pPr>
      <w:r w:rsidRPr="00345A0E">
        <w:tab/>
      </w:r>
      <w:r w:rsidRPr="00345A0E">
        <w:tab/>
      </w:r>
      <w:r w:rsidRPr="00345A0E">
        <w:tab/>
      </w:r>
      <w:r w:rsidRPr="00345A0E">
        <w:tab/>
      </w:r>
      <w:r w:rsidRPr="00345A0E">
        <w:tab/>
      </w:r>
      <w:r w:rsidRPr="00345A0E">
        <w:tab/>
      </w:r>
      <w:r w:rsidRPr="00345A0E">
        <w:tab/>
      </w:r>
      <w:r w:rsidRPr="00345A0E">
        <w:tab/>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5A272F" w:rsidRPr="00345A0E">
        <w:rPr>
          <w:u w:val="single"/>
        </w:rPr>
        <w:t xml:space="preserve">Proposed </w:t>
      </w:r>
      <w:r w:rsidRPr="00345A0E">
        <w:rPr>
          <w:u w:val="single"/>
        </w:rPr>
        <w:t>Increase</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CA7319" w:rsidRPr="00345A0E">
        <w:rPr>
          <w:rFonts w:ascii="Times New Roman" w:hAnsi="Times New Roman" w:cs="Times New Roman"/>
        </w:rPr>
        <w:t>5.1</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CA7319" w:rsidRPr="00345A0E">
        <w:rPr>
          <w:rFonts w:ascii="Times New Roman" w:hAnsi="Times New Roman" w:cs="Times New Roman"/>
        </w:rPr>
        <w:t>1.1</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CA7319" w:rsidRPr="00345A0E">
        <w:rPr>
          <w:rFonts w:ascii="Times New Roman" w:hAnsi="Times New Roman" w:cs="Times New Roman"/>
        </w:rPr>
        <w:t>1.5</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CA7319" w:rsidRPr="00345A0E">
        <w:rPr>
          <w:rFonts w:ascii="Times New Roman" w:hAnsi="Times New Roman" w:cs="Times New Roman"/>
        </w:rPr>
        <w:t>1.9</w:t>
      </w:r>
      <w:r w:rsidRPr="00345A0E">
        <w:rPr>
          <w:rFonts w:ascii="Times New Roman" w:hAnsi="Times New Roman" w:cs="Times New Roman"/>
        </w:rPr>
        <w:t>%</w:t>
      </w:r>
    </w:p>
    <w:p w:rsidR="00DB2CD7" w:rsidRPr="00345A0E" w:rsidRDefault="00DB2CD7" w:rsidP="00DB2CD7">
      <w:pPr>
        <w:pStyle w:val="TestBody"/>
        <w:widowControl w:val="0"/>
        <w:tabs>
          <w:tab w:val="left" w:pos="1880"/>
          <w:tab w:val="left" w:pos="2520"/>
          <w:tab w:val="decimal" w:pos="7776"/>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(excluding natural gas costs)</w:t>
      </w:r>
      <w:r w:rsidRPr="00345A0E">
        <w:rPr>
          <w:rFonts w:ascii="Times New Roman" w:hAnsi="Times New Roman" w:cs="Times New Roman"/>
        </w:rPr>
        <w:tab/>
      </w:r>
      <w:r w:rsidR="00CA7319" w:rsidRPr="00345A0E">
        <w:rPr>
          <w:rFonts w:ascii="Times New Roman" w:hAnsi="Times New Roman" w:cs="Times New Roman"/>
          <w:u w:val="single"/>
        </w:rPr>
        <w:t>4.4</w:t>
      </w:r>
      <w:r w:rsidRPr="00345A0E">
        <w:rPr>
          <w:rFonts w:ascii="Times New Roman" w:hAnsi="Times New Roman" w:cs="Times New Roman"/>
          <w:u w:val="single"/>
        </w:rPr>
        <w:t>%</w:t>
      </w:r>
    </w:p>
    <w:p w:rsidR="00393FBD" w:rsidRPr="00345A0E" w:rsidRDefault="00DB2CD7" w:rsidP="00345A0E">
      <w:pPr>
        <w:pStyle w:val="BodyText2"/>
        <w:tabs>
          <w:tab w:val="left" w:pos="0"/>
          <w:tab w:val="left" w:pos="1440"/>
          <w:tab w:val="decimal" w:pos="7380"/>
        </w:tabs>
        <w:spacing w:line="360" w:lineRule="auto"/>
        <w:ind w:left="720" w:right="36"/>
        <w:rPr>
          <w:b/>
        </w:rPr>
      </w:pPr>
      <w:r w:rsidRPr="00345A0E">
        <w:rPr>
          <w:b/>
        </w:rPr>
        <w:tab/>
        <w:t>Overall Increase</w:t>
      </w:r>
      <w:r w:rsidRPr="00345A0E">
        <w:rPr>
          <w:b/>
        </w:rPr>
        <w:tab/>
      </w:r>
      <w:r w:rsidR="00CA7319" w:rsidRPr="00345A0E">
        <w:rPr>
          <w:b/>
        </w:rPr>
        <w:t>4.0</w:t>
      </w:r>
      <w:r w:rsidR="00471010" w:rsidRPr="00345A0E">
        <w:rPr>
          <w:b/>
        </w:rPr>
        <w:t>%</w:t>
      </w: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causing the Company’s request for an </w:t>
      </w:r>
      <w:r w:rsidRPr="00345A0E">
        <w:rPr>
          <w:b/>
          <w:bCs/>
          <w:u w:val="single"/>
        </w:rPr>
        <w:t>electric rate increase</w:t>
      </w:r>
      <w:r w:rsidRPr="00345A0E">
        <w:rPr>
          <w:b/>
          <w:bCs/>
        </w:rPr>
        <w:t xml:space="preserve"> in this filing?</w:t>
      </w:r>
    </w:p>
    <w:p w:rsidR="00C40A8F" w:rsidRPr="00345A0E" w:rsidRDefault="00DB2CD7" w:rsidP="004E2678">
      <w:pPr>
        <w:pStyle w:val="BodyText2"/>
        <w:ind w:firstLine="720"/>
        <w:jc w:val="both"/>
      </w:pPr>
      <w:r w:rsidRPr="00345A0E">
        <w:t>A.</w:t>
      </w:r>
      <w:r w:rsidRPr="00345A0E">
        <w:tab/>
        <w:t xml:space="preserve">The Company’s electric general rate </w:t>
      </w:r>
      <w:r w:rsidR="0011128D" w:rsidRPr="00345A0E">
        <w:t xml:space="preserve">case is based on </w:t>
      </w:r>
      <w:r w:rsidR="00D2672E">
        <w:t xml:space="preserve">a </w:t>
      </w:r>
      <w:r w:rsidR="0011128D" w:rsidRPr="00345A0E">
        <w:t>12-</w:t>
      </w:r>
      <w:r w:rsidR="00E5362A" w:rsidRPr="00345A0E">
        <w:t>months ending December 31, 2010</w:t>
      </w:r>
      <w:r w:rsidR="00F75452" w:rsidRPr="00345A0E">
        <w:t xml:space="preserve"> test period</w:t>
      </w:r>
      <w:r w:rsidRPr="00345A0E">
        <w:t xml:space="preserve">, </w:t>
      </w:r>
      <w:r w:rsidR="00E5362A" w:rsidRPr="00345A0E">
        <w:t>and a January 1, 2012 through December 31, 2012</w:t>
      </w:r>
      <w:r w:rsidRPr="00345A0E">
        <w:t xml:space="preserve"> pro</w:t>
      </w:r>
      <w:r w:rsidR="00C22AA8" w:rsidRPr="00345A0E">
        <w:t xml:space="preserve"> </w:t>
      </w:r>
      <w:r w:rsidRPr="00345A0E">
        <w:t xml:space="preserve">forma </w:t>
      </w:r>
      <w:r w:rsidR="009B3015">
        <w:t xml:space="preserve">rate </w:t>
      </w:r>
      <w:r w:rsidRPr="00345A0E">
        <w:t>period.</w:t>
      </w:r>
      <w:r w:rsidR="0011128D" w:rsidRPr="00345A0E">
        <w:t xml:space="preserve">  </w:t>
      </w:r>
      <w:r w:rsidR="000F36F5" w:rsidRPr="00345A0E">
        <w:t>T</w:t>
      </w:r>
      <w:r w:rsidRPr="00345A0E">
        <w:t>he Company’s electric request is driven primarily by</w:t>
      </w:r>
      <w:r w:rsidR="00C40A8F" w:rsidRPr="00345A0E">
        <w:t xml:space="preserve"> </w:t>
      </w:r>
      <w:r w:rsidR="00FF39E5">
        <w:t>three</w:t>
      </w:r>
      <w:r w:rsidR="000F36F5" w:rsidRPr="00345A0E">
        <w:t xml:space="preserve"> components or segm</w:t>
      </w:r>
      <w:r w:rsidR="00D2672E">
        <w:t>ents shown in Illustration No. 5</w:t>
      </w:r>
      <w:r w:rsidR="000F36F5" w:rsidRPr="00345A0E">
        <w:t xml:space="preserve"> below. </w:t>
      </w:r>
    </w:p>
    <w:p w:rsidR="000F36F5" w:rsidRPr="00345A0E" w:rsidRDefault="000F36F5" w:rsidP="000F36F5">
      <w:pPr>
        <w:suppressAutoHyphens/>
        <w:spacing w:line="480" w:lineRule="auto"/>
        <w:ind w:firstLine="720"/>
        <w:jc w:val="both"/>
      </w:pPr>
      <w:r w:rsidRPr="00345A0E">
        <w:t>The first segment, representing increases in Net Plant Investment</w:t>
      </w:r>
      <w:r w:rsidR="009B3015">
        <w:t xml:space="preserve"> and return on investment</w:t>
      </w:r>
      <w:r w:rsidR="00FF39E5">
        <w:t>, comprises approximately 64</w:t>
      </w:r>
      <w:r w:rsidRPr="00345A0E">
        <w:t xml:space="preserve">% of the overall request, and is due </w:t>
      </w:r>
      <w:r w:rsidR="009B3015">
        <w:t xml:space="preserve">primarily </w:t>
      </w:r>
      <w:r w:rsidRPr="00345A0E">
        <w:t xml:space="preserve">to an increase </w:t>
      </w:r>
      <w:r w:rsidR="009B3015">
        <w:t xml:space="preserve">of approximately $71.7 million </w:t>
      </w:r>
      <w:r w:rsidRPr="00345A0E">
        <w:t xml:space="preserve">in net rate base for the Washington jurisdiction.  </w:t>
      </w:r>
    </w:p>
    <w:p w:rsidR="000F36F5" w:rsidRPr="00345A0E" w:rsidRDefault="000F36F5" w:rsidP="00FF39E5">
      <w:pPr>
        <w:suppressAutoHyphens/>
        <w:spacing w:line="480" w:lineRule="auto"/>
        <w:ind w:firstLine="720"/>
        <w:jc w:val="both"/>
      </w:pPr>
      <w:r w:rsidRPr="00345A0E">
        <w:t>The ne</w:t>
      </w:r>
      <w:r w:rsidR="00FF39E5">
        <w:t xml:space="preserve">xt two segments, </w:t>
      </w:r>
      <w:r w:rsidR="00D2672E">
        <w:t xml:space="preserve">each </w:t>
      </w:r>
      <w:r w:rsidR="00FF39E5">
        <w:t>representing 18</w:t>
      </w:r>
      <w:r w:rsidRPr="00345A0E">
        <w:t xml:space="preserve">% of the Company’s overall request, includes the increases in Production and Transmission Expense, related to increases in net power supply and transmission expenditures, and the Distribution, O&amp;M and A&amp;G Expense. This latter segment includes increases to all other operating categories, such as distribution expenses, including increases in vegetation management expenses, and administrative and general expenses, such as increases in employee medical costs. </w:t>
      </w:r>
    </w:p>
    <w:p w:rsidR="00393FBD" w:rsidRPr="00EC6F09" w:rsidRDefault="00393FBD" w:rsidP="00345A0E">
      <w:pPr>
        <w:adjustRightInd w:val="0"/>
        <w:spacing w:before="100" w:after="100" w:line="480" w:lineRule="auto"/>
        <w:jc w:val="both"/>
        <w:rPr>
          <w:rFonts w:ascii="Palatino" w:hAnsi="Palatino"/>
          <w:b/>
          <w:u w:val="single"/>
        </w:rPr>
      </w:pPr>
      <w:r w:rsidRPr="00EC6F09">
        <w:rPr>
          <w:rFonts w:ascii="Palatino" w:hAnsi="Palatino"/>
          <w:b/>
          <w:u w:val="single"/>
        </w:rPr>
        <w:lastRenderedPageBreak/>
        <w:t>Illus</w:t>
      </w:r>
      <w:r w:rsidR="00D2672E">
        <w:rPr>
          <w:rFonts w:ascii="Palatino" w:hAnsi="Palatino"/>
          <w:b/>
          <w:u w:val="single"/>
        </w:rPr>
        <w:t>tration No. 5</w:t>
      </w:r>
      <w:r w:rsidRPr="00EC6F09">
        <w:rPr>
          <w:rFonts w:ascii="Palatino" w:hAnsi="Palatino"/>
          <w:b/>
          <w:u w:val="single"/>
        </w:rPr>
        <w:t>:</w:t>
      </w:r>
    </w:p>
    <w:p w:rsidR="00E6170B" w:rsidRDefault="009A44ED" w:rsidP="00AF5602">
      <w:pPr>
        <w:pStyle w:val="BodyTextIndent2"/>
        <w:tabs>
          <w:tab w:val="left" w:pos="1440"/>
        </w:tabs>
        <w:ind w:left="0" w:right="-173" w:firstLine="0"/>
        <w:rPr>
          <w:rFonts w:ascii="Palatino" w:hAnsi="Palatino"/>
        </w:rPr>
      </w:pPr>
      <w:r w:rsidRPr="009A44ED">
        <w:rPr>
          <w:noProof/>
        </w:rPr>
        <w:drawing>
          <wp:anchor distT="0" distB="0" distL="114300" distR="114300" simplePos="0" relativeHeight="251674624" behindDoc="1" locked="0" layoutInCell="1" allowOverlap="1">
            <wp:simplePos x="0" y="0"/>
            <wp:positionH relativeFrom="column">
              <wp:posOffset>20955</wp:posOffset>
            </wp:positionH>
            <wp:positionV relativeFrom="paragraph">
              <wp:posOffset>2540</wp:posOffset>
            </wp:positionV>
            <wp:extent cx="5934266" cy="4562475"/>
            <wp:effectExtent l="19050" t="0" r="9334"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934266" cy="4562475"/>
                    </a:xfrm>
                    <a:prstGeom prst="rect">
                      <a:avLst/>
                    </a:prstGeom>
                    <a:noFill/>
                    <a:ln w="9525">
                      <a:noFill/>
                      <a:miter lim="800000"/>
                      <a:headEnd/>
                      <a:tailEnd/>
                    </a:ln>
                  </pic:spPr>
                </pic:pic>
              </a:graphicData>
            </a:graphic>
          </wp:anchor>
        </w:drawing>
      </w:r>
    </w:p>
    <w:p w:rsidR="00E6170B" w:rsidRDefault="00E6170B"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FD2317" w:rsidRDefault="00FD2317" w:rsidP="00AF5602">
      <w:pPr>
        <w:pStyle w:val="BodyTextIndent2"/>
        <w:tabs>
          <w:tab w:val="left" w:pos="1440"/>
        </w:tabs>
        <w:ind w:left="0" w:right="-173" w:firstLine="0"/>
        <w:rPr>
          <w:rFonts w:ascii="Palatino" w:hAnsi="Palatino"/>
        </w:rPr>
      </w:pPr>
    </w:p>
    <w:p w:rsidR="00FD2317" w:rsidRDefault="00FD2317" w:rsidP="00AF5602">
      <w:pPr>
        <w:pStyle w:val="BodyTextIndent2"/>
        <w:tabs>
          <w:tab w:val="left" w:pos="1440"/>
        </w:tabs>
        <w:ind w:left="0" w:right="-173" w:firstLine="0"/>
        <w:rPr>
          <w:rFonts w:ascii="Palatino" w:hAnsi="Palatino"/>
        </w:rPr>
      </w:pPr>
    </w:p>
    <w:p w:rsidR="00DB2CD7" w:rsidRPr="00345A0E" w:rsidRDefault="00DB2CD7" w:rsidP="00DB2CD7">
      <w:pPr>
        <w:pStyle w:val="BodyTextIndent2"/>
        <w:tabs>
          <w:tab w:val="left" w:pos="1440"/>
        </w:tabs>
        <w:ind w:left="0" w:right="-173" w:firstLine="720"/>
      </w:pPr>
      <w:r w:rsidRPr="00345A0E">
        <w:t>Later witnesses provide details explaining these changes in costs.</w:t>
      </w: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driving the Company’s request for a </w:t>
      </w:r>
      <w:r w:rsidRPr="00345A0E">
        <w:rPr>
          <w:b/>
          <w:bCs/>
          <w:u w:val="single"/>
        </w:rPr>
        <w:t>natural gas rate</w:t>
      </w:r>
      <w:r w:rsidRPr="00345A0E">
        <w:rPr>
          <w:b/>
          <w:bCs/>
        </w:rPr>
        <w:t xml:space="preserve"> increase?</w:t>
      </w:r>
    </w:p>
    <w:p w:rsidR="00DB2CD7" w:rsidRPr="00345A0E" w:rsidRDefault="00DB2CD7" w:rsidP="004E2678">
      <w:pPr>
        <w:tabs>
          <w:tab w:val="left" w:pos="0"/>
          <w:tab w:val="left" w:pos="1440"/>
        </w:tabs>
        <w:spacing w:line="480" w:lineRule="auto"/>
        <w:ind w:firstLine="720"/>
        <w:jc w:val="both"/>
      </w:pPr>
      <w:r w:rsidRPr="00345A0E">
        <w:t>A.</w:t>
      </w:r>
      <w:r w:rsidRPr="00345A0E">
        <w:tab/>
      </w:r>
      <w:r w:rsidR="000F36F5" w:rsidRPr="00345A0E">
        <w:t xml:space="preserve">The Company’s natural gas request is driven by changes in various operating cost components, mainly distribution operation and maintenance and administrative and general expenditures.  In addition, over 24% (or $1.5 million) of the overall increase in requested revenue requirement is due to the additional Jackson Prairie storage facility inventory and O&amp;M </w:t>
      </w:r>
      <w:r w:rsidR="000F36F5" w:rsidRPr="00345A0E">
        <w:lastRenderedPageBreak/>
        <w:t xml:space="preserve">expense </w:t>
      </w:r>
      <w:r w:rsidR="003F060B">
        <w:t>received by</w:t>
      </w:r>
      <w:r w:rsidR="000F36F5" w:rsidRPr="00345A0E">
        <w:t xml:space="preserve"> the Utility on May 1, 2011.  Company witness Mr. Christie discusses this project in further detail within his testimony.</w:t>
      </w:r>
      <w:r w:rsidRPr="00345A0E">
        <w:t xml:space="preserve">  </w:t>
      </w: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48349D" w:rsidRPr="00345A0E">
        <w:t xml:space="preserve"> (other than the adjustment for JP Storage explained above).</w:t>
      </w:r>
      <w:r w:rsidRPr="00345A0E">
        <w:t xml:space="preserve">  Changes in natural gas costs are addressed in the a</w:t>
      </w:r>
      <w:r w:rsidR="0048349D" w:rsidRPr="00345A0E">
        <w:t>nnual PGA</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C12733" w:rsidRPr="00345A0E" w:rsidRDefault="002F02BE"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9C2767" w:rsidRPr="00345A0E">
        <w:rPr>
          <w:rFonts w:ascii="Times New Roman" w:hAnsi="Times New Roman" w:cs="Times New Roman"/>
        </w:rPr>
        <w:t>Edison Electric Institute periodically prepares a comparison of residential electric bills for investor-owned utilities across the country</w:t>
      </w:r>
      <w:r w:rsidR="008E4745" w:rsidRPr="00345A0E">
        <w:rPr>
          <w:rFonts w:ascii="Times New Roman" w:hAnsi="Times New Roman" w:cs="Times New Roman"/>
        </w:rPr>
        <w:t xml:space="preserve">.  </w:t>
      </w:r>
      <w:r w:rsidR="007346CE" w:rsidRPr="00345A0E">
        <w:rPr>
          <w:rFonts w:ascii="Times New Roman" w:hAnsi="Times New Roman" w:cs="Times New Roman"/>
        </w:rPr>
        <w:t>T</w:t>
      </w:r>
      <w:r w:rsidR="009C2767" w:rsidRPr="00345A0E">
        <w:rPr>
          <w:rFonts w:ascii="Times New Roman" w:hAnsi="Times New Roman" w:cs="Times New Roman"/>
        </w:rPr>
        <w:t>he chart below provides a comparison of an Avista c</w:t>
      </w:r>
      <w:r w:rsidR="00CB2F32" w:rsidRPr="00345A0E">
        <w:rPr>
          <w:rFonts w:ascii="Times New Roman" w:hAnsi="Times New Roman" w:cs="Times New Roman"/>
        </w:rPr>
        <w:t>ustomer</w:t>
      </w:r>
      <w:r w:rsidR="00D2672E">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B2F32" w:rsidRPr="00345A0E">
        <w:rPr>
          <w:rFonts w:ascii="Times New Roman" w:hAnsi="Times New Roman" w:cs="Times New Roman"/>
        </w:rPr>
        <w:t>country</w:t>
      </w:r>
      <w:r w:rsidR="005B39FC" w:rsidRPr="00345A0E">
        <w:rPr>
          <w:rFonts w:ascii="Times New Roman" w:hAnsi="Times New Roman" w:cs="Times New Roman"/>
        </w:rPr>
        <w:t>.</w:t>
      </w:r>
      <w:r w:rsidR="00F85941" w:rsidRPr="00345A0E">
        <w:rPr>
          <w:rFonts w:ascii="Times New Roman" w:hAnsi="Times New Roman" w:cs="Times New Roman"/>
        </w:rPr>
        <w:t xml:space="preserve">  </w:t>
      </w: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45A0E" w:rsidRDefault="00345A0E" w:rsidP="00393FBD">
      <w:pPr>
        <w:pStyle w:val="TestBody"/>
        <w:spacing w:line="480" w:lineRule="auto"/>
        <w:ind w:left="0" w:right="-115" w:firstLine="0"/>
        <w:jc w:val="center"/>
        <w:rPr>
          <w:b/>
          <w:bCs/>
        </w:rPr>
      </w:pPr>
    </w:p>
    <w:p w:rsidR="00B67D99" w:rsidRDefault="00B67D99" w:rsidP="0048100A">
      <w:pPr>
        <w:pStyle w:val="TestBody"/>
        <w:spacing w:line="240" w:lineRule="auto"/>
        <w:ind w:left="0" w:right="-115" w:firstLine="0"/>
        <w:jc w:val="center"/>
        <w:rPr>
          <w:b/>
          <w:bCs/>
        </w:rPr>
      </w:pPr>
    </w:p>
    <w:p w:rsidR="00B67D99" w:rsidRDefault="00B67D99" w:rsidP="0048100A">
      <w:pPr>
        <w:pStyle w:val="TestBody"/>
        <w:spacing w:line="240" w:lineRule="auto"/>
        <w:ind w:left="0" w:right="-115" w:firstLine="0"/>
        <w:jc w:val="center"/>
        <w:rPr>
          <w:b/>
          <w:bCs/>
        </w:rPr>
      </w:pPr>
    </w:p>
    <w:p w:rsidR="00B67D99" w:rsidRPr="00B67D99" w:rsidRDefault="00B67D99" w:rsidP="00B67D99">
      <w:pPr>
        <w:pStyle w:val="TestBody"/>
        <w:spacing w:line="240" w:lineRule="auto"/>
        <w:ind w:left="0" w:right="-115" w:firstLine="0"/>
        <w:jc w:val="left"/>
        <w:rPr>
          <w:b/>
          <w:bCs/>
          <w:u w:val="single"/>
        </w:rPr>
      </w:pPr>
      <w:r w:rsidRPr="00B67D99">
        <w:rPr>
          <w:b/>
          <w:bCs/>
          <w:u w:val="single"/>
        </w:rPr>
        <w:lastRenderedPageBreak/>
        <w:t>Illustration No. 6</w:t>
      </w:r>
    </w:p>
    <w:p w:rsidR="0048100A" w:rsidRPr="0048100A" w:rsidRDefault="0048100A" w:rsidP="0048100A">
      <w:pPr>
        <w:pStyle w:val="TestBody"/>
        <w:spacing w:line="240" w:lineRule="auto"/>
        <w:ind w:left="0" w:right="-115" w:firstLine="0"/>
        <w:jc w:val="center"/>
      </w:pPr>
      <w:r w:rsidRPr="0048100A">
        <w:rPr>
          <w:b/>
          <w:bCs/>
        </w:rPr>
        <w:t>Average Residential Monthly Electric Bill</w:t>
      </w:r>
      <w:r w:rsidRPr="0048100A">
        <w:rPr>
          <w:b/>
          <w:bCs/>
        </w:rPr>
        <w:br/>
        <w:t>1,000 Kilowatt-Hours per Month</w:t>
      </w:r>
      <w:r w:rsidRPr="0048100A">
        <w:rPr>
          <w:b/>
          <w:bCs/>
        </w:rPr>
        <w:br/>
        <w:t>January 2011</w:t>
      </w:r>
    </w:p>
    <w:p w:rsidR="0048100A" w:rsidRDefault="0048100A" w:rsidP="0048100A">
      <w:pPr>
        <w:pStyle w:val="TestBody"/>
        <w:spacing w:line="480" w:lineRule="auto"/>
        <w:ind w:left="0" w:right="-115" w:firstLine="720"/>
        <w:jc w:val="center"/>
      </w:pPr>
      <w:r w:rsidRPr="0048100A">
        <w:rPr>
          <w:noProof/>
        </w:rPr>
        <w:drawing>
          <wp:anchor distT="0" distB="0" distL="114300" distR="114300" simplePos="0" relativeHeight="251665408" behindDoc="0" locked="0" layoutInCell="1" allowOverlap="1">
            <wp:simplePos x="0" y="0"/>
            <wp:positionH relativeFrom="column">
              <wp:posOffset>278130</wp:posOffset>
            </wp:positionH>
            <wp:positionV relativeFrom="paragraph">
              <wp:posOffset>-2540</wp:posOffset>
            </wp:positionV>
            <wp:extent cx="5638800" cy="6048375"/>
            <wp:effectExtent l="19050" t="0" r="0" b="0"/>
            <wp:wrapNone/>
            <wp:docPr id="10"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a:stretch>
                      <a:fillRect/>
                    </a:stretch>
                  </pic:blipFill>
                  <pic:spPr bwMode="auto">
                    <a:xfrm>
                      <a:off x="0" y="0"/>
                      <a:ext cx="5638800" cy="6048375"/>
                    </a:xfrm>
                    <a:prstGeom prst="rect">
                      <a:avLst/>
                    </a:prstGeom>
                    <a:noFill/>
                    <a:ln w="9525">
                      <a:noFill/>
                      <a:miter lim="800000"/>
                      <a:headEnd/>
                      <a:tailEnd/>
                    </a:ln>
                    <a:effectLst/>
                  </pic:spPr>
                </pic:pic>
              </a:graphicData>
            </a:graphic>
          </wp:anchor>
        </w:drawing>
      </w: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DC2A72" w:rsidRDefault="00DC2A72" w:rsidP="0048100A">
      <w:pPr>
        <w:pStyle w:val="TestBody"/>
        <w:spacing w:line="480" w:lineRule="auto"/>
        <w:ind w:left="0" w:right="-115" w:firstLine="720"/>
        <w:jc w:val="center"/>
      </w:pPr>
    </w:p>
    <w:p w:rsidR="0048100A" w:rsidRDefault="0048100A" w:rsidP="00471010">
      <w:pPr>
        <w:pStyle w:val="TestBody"/>
        <w:spacing w:line="480" w:lineRule="auto"/>
        <w:ind w:left="0" w:right="-115" w:firstLine="0"/>
      </w:pPr>
    </w:p>
    <w:p w:rsidR="00393FBD" w:rsidRDefault="00393FBD" w:rsidP="004E2678">
      <w:pPr>
        <w:pStyle w:val="TestBody"/>
        <w:spacing w:line="480" w:lineRule="auto"/>
        <w:ind w:left="0" w:firstLine="720"/>
      </w:pPr>
    </w:p>
    <w:p w:rsidR="003A5D15" w:rsidRPr="00345A0E" w:rsidRDefault="008F1D6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w:t>
      </w:r>
      <w:r w:rsidR="00583F77" w:rsidRPr="00345A0E">
        <w:rPr>
          <w:rFonts w:ascii="Times New Roman" w:hAnsi="Times New Roman" w:cs="Times New Roman"/>
        </w:rPr>
        <w:lastRenderedPageBreak/>
        <w:t xml:space="preserve">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p>
    <w:p w:rsidR="00CD652A" w:rsidRPr="00345A0E" w:rsidRDefault="0039178D"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Our low rates </w:t>
      </w:r>
      <w:r w:rsidR="009B3015">
        <w:rPr>
          <w:rFonts w:ascii="Times New Roman" w:hAnsi="Times New Roman" w:cs="Times New Roman"/>
        </w:rPr>
        <w:t>are</w:t>
      </w:r>
      <w:r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Pr="00345A0E">
        <w:rPr>
          <w:rFonts w:ascii="Times New Roman" w:hAnsi="Times New Roman" w:cs="Times New Roman"/>
        </w:rPr>
        <w:t xml:space="preserve"> its cost</w:t>
      </w:r>
      <w:r w:rsidR="00BC4F4B" w:rsidRPr="00345A0E">
        <w:rPr>
          <w:rFonts w:ascii="Times New Roman" w:hAnsi="Times New Roman" w:cs="Times New Roman"/>
        </w:rPr>
        <w:t>s</w:t>
      </w:r>
      <w:r w:rsidRPr="00345A0E">
        <w:rPr>
          <w:rFonts w:ascii="Times New Roman" w:hAnsi="Times New Roman" w:cs="Times New Roman"/>
        </w:rPr>
        <w:t>, in order to keep retail rates as low as reasonably possible.</w:t>
      </w:r>
    </w:p>
    <w:p w:rsidR="00941F88" w:rsidRPr="00345A0E" w:rsidRDefault="00C71722" w:rsidP="00941F88">
      <w:pPr>
        <w:pStyle w:val="BodyText2"/>
        <w:ind w:firstLine="720"/>
        <w:jc w:val="center"/>
        <w:rPr>
          <w:b/>
          <w:bCs/>
          <w:u w:val="single"/>
        </w:rPr>
      </w:pPr>
      <w:r w:rsidRPr="00345A0E">
        <w:rPr>
          <w:b/>
          <w:bCs/>
          <w:u w:val="single"/>
        </w:rPr>
        <w:t>V</w:t>
      </w:r>
      <w:r w:rsidR="00941F88" w:rsidRPr="00345A0E">
        <w:rPr>
          <w:b/>
          <w:bCs/>
          <w:u w:val="single"/>
        </w:rPr>
        <w:t>. COST MANAGEMENT AND EFFICIENCIES</w:t>
      </w:r>
    </w:p>
    <w:p w:rsidR="00D35E77" w:rsidRPr="00345A0E" w:rsidRDefault="00AF5602" w:rsidP="004E2678">
      <w:pPr>
        <w:pStyle w:val="BodyText2"/>
        <w:ind w:firstLine="720"/>
        <w:jc w:val="both"/>
        <w:rPr>
          <w:b/>
          <w:bCs/>
        </w:rPr>
      </w:pPr>
      <w:r w:rsidRPr="00345A0E">
        <w:rPr>
          <w:b/>
          <w:bCs/>
        </w:rPr>
        <w:t>Q.</w:t>
      </w:r>
      <w:r w:rsidRPr="00345A0E">
        <w:rPr>
          <w:b/>
          <w:bCs/>
        </w:rPr>
        <w:tab/>
      </w:r>
      <w:r w:rsidR="00D35E77" w:rsidRPr="00345A0E">
        <w:rPr>
          <w:b/>
          <w:bCs/>
        </w:rPr>
        <w:t>Is Avista continuing to pay particular attention to controlling its costs in order to mitigate the level of price increases to its customers?</w:t>
      </w:r>
    </w:p>
    <w:p w:rsidR="00E26AB7" w:rsidRPr="00345A0E" w:rsidRDefault="00D35E77" w:rsidP="00DC2A72">
      <w:pPr>
        <w:pStyle w:val="BodyText2"/>
        <w:ind w:firstLine="720"/>
        <w:jc w:val="both"/>
      </w:pPr>
      <w:r w:rsidRPr="00345A0E">
        <w:rPr>
          <w:bCs/>
        </w:rPr>
        <w:t>A.</w:t>
      </w:r>
      <w:r w:rsidRPr="00345A0E">
        <w:rPr>
          <w:bCs/>
        </w:rPr>
        <w:tab/>
        <w:t xml:space="preserve">Yes.  </w:t>
      </w:r>
      <w:r w:rsidR="004D7C20" w:rsidRPr="00345A0E">
        <w:rPr>
          <w:bCs/>
        </w:rPr>
        <w:t xml:space="preserve">In the last couple of years we have </w:t>
      </w:r>
      <w:r w:rsidR="00B67D99">
        <w:rPr>
          <w:bCs/>
        </w:rPr>
        <w:t>renewed</w:t>
      </w:r>
      <w:r w:rsidR="004D7C20" w:rsidRPr="00345A0E">
        <w:rPr>
          <w:bCs/>
        </w:rPr>
        <w:t xml:space="preserve"> our efforts to control our</w:t>
      </w:r>
      <w:r w:rsidR="008C7277" w:rsidRPr="00345A0E">
        <w:rPr>
          <w:bCs/>
        </w:rPr>
        <w:t xml:space="preserve"> costs and improve efficiency, while continuing to </w:t>
      </w:r>
      <w:r w:rsidR="00912D5D" w:rsidRPr="00345A0E">
        <w:rPr>
          <w:bCs/>
        </w:rPr>
        <w:t xml:space="preserve">meet our </w:t>
      </w:r>
      <w:r w:rsidR="00C562F0" w:rsidRPr="00345A0E">
        <w:rPr>
          <w:bCs/>
        </w:rPr>
        <w:t>reliability and environmental compliance requirements, and preserving a high level of customer satisfaction.</w:t>
      </w:r>
      <w:r w:rsidR="00C562F0" w:rsidRPr="00345A0E">
        <w:t xml:space="preserve">  </w:t>
      </w:r>
      <w:r w:rsidR="008D0320" w:rsidRPr="00345A0E">
        <w:t>We are focused on long-term sustainable savings to continuously improve our service to customers and manage costs into the future.</w:t>
      </w:r>
    </w:p>
    <w:p w:rsidR="00471010" w:rsidRPr="00345A0E" w:rsidRDefault="00C562F0" w:rsidP="00393FBD">
      <w:pPr>
        <w:pStyle w:val="BodyText2"/>
        <w:ind w:firstLine="720"/>
        <w:jc w:val="both"/>
      </w:pPr>
      <w:r w:rsidRPr="00345A0E">
        <w:t xml:space="preserve">Some of the measures from the last couple of years that we are continuing </w:t>
      </w:r>
      <w:r w:rsidR="00154345" w:rsidRPr="00345A0E">
        <w:t>are briefly explained below, as well as a number of more recent initiatives.</w:t>
      </w:r>
      <w:r w:rsidRPr="00345A0E">
        <w:t xml:space="preserve">  </w:t>
      </w:r>
    </w:p>
    <w:p w:rsidR="00C562F0" w:rsidRPr="00345A0E" w:rsidRDefault="00C562F0" w:rsidP="00C562F0">
      <w:pPr>
        <w:tabs>
          <w:tab w:val="left" w:pos="6480"/>
        </w:tabs>
        <w:ind w:left="720"/>
        <w:jc w:val="both"/>
        <w:rPr>
          <w:b/>
          <w:bCs/>
          <w:u w:val="single"/>
        </w:rPr>
      </w:pPr>
      <w:r w:rsidRPr="00345A0E">
        <w:rPr>
          <w:b/>
          <w:bCs/>
          <w:u w:val="single"/>
        </w:rPr>
        <w:t>Hiring Restriction</w:t>
      </w:r>
    </w:p>
    <w:p w:rsidR="00C562F0" w:rsidRPr="00345A0E" w:rsidRDefault="00C562F0" w:rsidP="00C562F0">
      <w:pPr>
        <w:ind w:left="720"/>
        <w:jc w:val="both"/>
      </w:pPr>
      <w:r w:rsidRPr="00345A0E">
        <w:t>The Company continues to operate under a hiring restriction which requires approval by the Chairman/President/CEO,</w:t>
      </w:r>
      <w:r w:rsidR="009C4A0C" w:rsidRPr="00345A0E">
        <w:t xml:space="preserve"> President of the Utility,</w:t>
      </w:r>
      <w:r w:rsidRPr="00345A0E">
        <w:t xml:space="preserve"> the CFO, and the Sr. VP for Human Resources for all replacement or new hire positions.  </w:t>
      </w:r>
    </w:p>
    <w:p w:rsidR="00C562F0" w:rsidRPr="00345A0E" w:rsidRDefault="00C562F0" w:rsidP="00C562F0">
      <w:pPr>
        <w:jc w:val="both"/>
      </w:pPr>
    </w:p>
    <w:p w:rsidR="0072343B" w:rsidRPr="00345A0E" w:rsidRDefault="00C562F0" w:rsidP="009C4A0C">
      <w:pPr>
        <w:tabs>
          <w:tab w:val="left" w:pos="6480"/>
        </w:tabs>
        <w:ind w:left="720"/>
        <w:jc w:val="both"/>
        <w:rPr>
          <w:b/>
          <w:bCs/>
          <w:u w:val="single"/>
        </w:rPr>
      </w:pPr>
      <w:r w:rsidRPr="00345A0E">
        <w:rPr>
          <w:b/>
          <w:bCs/>
          <w:u w:val="single"/>
        </w:rPr>
        <w:t>Limitations on Capital Spending</w:t>
      </w:r>
    </w:p>
    <w:p w:rsidR="00C562F0" w:rsidRPr="00345A0E" w:rsidRDefault="009C4A0C" w:rsidP="00C562F0">
      <w:pPr>
        <w:ind w:left="720"/>
        <w:jc w:val="both"/>
        <w:rPr>
          <w:bCs/>
        </w:rPr>
      </w:pPr>
      <w:r w:rsidRPr="00345A0E">
        <w:rPr>
          <w:bCs/>
        </w:rPr>
        <w:t>Avista approved a lower capital budget than was requested by the Company’s Engineering and Operations personnel. The original capital projects request for</w:t>
      </w:r>
      <w:r w:rsidR="0093338C">
        <w:rPr>
          <w:bCs/>
        </w:rPr>
        <w:t xml:space="preserve"> approval in 2011</w:t>
      </w:r>
      <w:r w:rsidRPr="00345A0E">
        <w:rPr>
          <w:bCs/>
        </w:rPr>
        <w:t xml:space="preserve"> consisted of projects totaling over $2</w:t>
      </w:r>
      <w:r w:rsidR="0093338C">
        <w:rPr>
          <w:bCs/>
        </w:rPr>
        <w:t>92</w:t>
      </w:r>
      <w:r w:rsidRPr="00345A0E">
        <w:rPr>
          <w:bCs/>
        </w:rPr>
        <w:t xml:space="preserve"> million. The Capital Prioritization Committee reduced the lis</w:t>
      </w:r>
      <w:r w:rsidR="0093338C">
        <w:rPr>
          <w:bCs/>
        </w:rPr>
        <w:t>t of recommended projects by $62</w:t>
      </w:r>
      <w:r w:rsidRPr="00345A0E">
        <w:rPr>
          <w:bCs/>
        </w:rPr>
        <w:t xml:space="preserve"> mill</w:t>
      </w:r>
      <w:r w:rsidR="0093338C">
        <w:rPr>
          <w:bCs/>
        </w:rPr>
        <w:t>ion to the $23</w:t>
      </w:r>
      <w:r w:rsidRPr="00345A0E">
        <w:rPr>
          <w:bCs/>
        </w:rPr>
        <w:t>0 million capital budget approved by the Board (excluding Stimulus Projects</w:t>
      </w:r>
      <w:r w:rsidRPr="00345A0E">
        <w:rPr>
          <w:rStyle w:val="FootnoteReference"/>
          <w:bCs/>
        </w:rPr>
        <w:footnoteReference w:id="4"/>
      </w:r>
      <w:r w:rsidRPr="00345A0E">
        <w:rPr>
          <w:bCs/>
        </w:rPr>
        <w:t xml:space="preserve">). In addition, the </w:t>
      </w:r>
      <w:r w:rsidRPr="00345A0E">
        <w:rPr>
          <w:bCs/>
        </w:rPr>
        <w:lastRenderedPageBreak/>
        <w:t xml:space="preserve">Company prioritized O &amp; M facility maintenance and improvement projects and removed projects that could be delayed without safety or operational concerns. </w:t>
      </w:r>
    </w:p>
    <w:p w:rsidR="00B45A91" w:rsidRPr="00345A0E" w:rsidRDefault="00B45A91" w:rsidP="00E00382">
      <w:pPr>
        <w:jc w:val="both"/>
        <w:rPr>
          <w:bCs/>
        </w:rPr>
      </w:pPr>
    </w:p>
    <w:p w:rsidR="00912D5D" w:rsidRPr="00345A0E" w:rsidRDefault="004522EC" w:rsidP="00912D5D">
      <w:pPr>
        <w:tabs>
          <w:tab w:val="left" w:pos="6480"/>
        </w:tabs>
        <w:ind w:left="720"/>
        <w:jc w:val="both"/>
        <w:rPr>
          <w:b/>
          <w:bCs/>
          <w:u w:val="single"/>
        </w:rPr>
      </w:pPr>
      <w:r w:rsidRPr="00345A0E">
        <w:rPr>
          <w:b/>
          <w:bCs/>
          <w:u w:val="single"/>
        </w:rPr>
        <w:t>Reduced Pension Benefit for New Hires</w:t>
      </w:r>
    </w:p>
    <w:p w:rsidR="00C562F0" w:rsidRPr="00345A0E" w:rsidRDefault="004522EC" w:rsidP="00F04D25">
      <w:pPr>
        <w:ind w:left="720"/>
        <w:jc w:val="both"/>
      </w:pPr>
      <w:r w:rsidRPr="00345A0E">
        <w:t>As part of the new contract negotiated with Avista</w:t>
      </w:r>
      <w:r w:rsidR="00261273" w:rsidRPr="00345A0E">
        <w:t>’s</w:t>
      </w:r>
      <w:r w:rsidRPr="00345A0E">
        <w:t xml:space="preserve"> bargaining unit employees, the Defined Benefit Pension Plan’s benefit formula was reduced by approximately 28%</w:t>
      </w:r>
      <w:r w:rsidR="00B15794" w:rsidRPr="00345A0E">
        <w:t xml:space="preserve"> for all bargaining unit new hires, effective January 1, 2011.  </w:t>
      </w:r>
      <w:r w:rsidR="00E24E23" w:rsidRPr="00345A0E">
        <w:t xml:space="preserve">This change was </w:t>
      </w:r>
      <w:r w:rsidR="00B67D99">
        <w:t xml:space="preserve">earlier </w:t>
      </w:r>
      <w:r w:rsidR="00E24E23" w:rsidRPr="00345A0E">
        <w:t>made for non-bargaining unit employees effective January 1, 2006.</w:t>
      </w:r>
    </w:p>
    <w:p w:rsidR="00F04D25" w:rsidRPr="00345A0E" w:rsidRDefault="00F04D25" w:rsidP="008D0320">
      <w:pPr>
        <w:jc w:val="both"/>
      </w:pPr>
    </w:p>
    <w:p w:rsidR="00154345" w:rsidRPr="00345A0E" w:rsidRDefault="009E5277" w:rsidP="00154345">
      <w:pPr>
        <w:ind w:left="720"/>
        <w:jc w:val="both"/>
        <w:rPr>
          <w:b/>
          <w:bCs/>
          <w:u w:val="single"/>
        </w:rPr>
      </w:pPr>
      <w:r w:rsidRPr="00345A0E">
        <w:rPr>
          <w:b/>
          <w:bCs/>
          <w:u w:val="single"/>
        </w:rPr>
        <w:t>Refinance Long Term Debt</w:t>
      </w:r>
    </w:p>
    <w:p w:rsidR="00221386" w:rsidRPr="00345A0E" w:rsidRDefault="0048100A" w:rsidP="00154345">
      <w:pPr>
        <w:ind w:left="720"/>
        <w:jc w:val="both"/>
      </w:pPr>
      <w:r w:rsidRPr="00345A0E">
        <w:t>As explained by Company w</w:t>
      </w:r>
      <w:r w:rsidR="00221386" w:rsidRPr="00345A0E">
        <w:t>itness Mr. Thies, the Company has reduced its overall cost of debt to 5.61% in December 2010, from approximately 6.5% in 2008, due primarily to issuing the following deb</w:t>
      </w:r>
      <w:r w:rsidR="003F060B">
        <w:t>t, some of which represents an early redemption of higher-cost debt to take advantage of historically low interest rates:</w:t>
      </w:r>
    </w:p>
    <w:p w:rsidR="00221386" w:rsidRPr="00345A0E" w:rsidRDefault="00221386" w:rsidP="00154345">
      <w:pPr>
        <w:ind w:left="720"/>
        <w:jc w:val="both"/>
      </w:pPr>
    </w:p>
    <w:p w:rsidR="00221386" w:rsidRPr="00345A0E" w:rsidRDefault="00221386" w:rsidP="00221386">
      <w:pPr>
        <w:pStyle w:val="BodyText2"/>
        <w:numPr>
          <w:ilvl w:val="0"/>
          <w:numId w:val="41"/>
        </w:numPr>
        <w:spacing w:after="0" w:line="240" w:lineRule="auto"/>
        <w:jc w:val="both"/>
      </w:pPr>
      <w:r w:rsidRPr="00345A0E">
        <w:t xml:space="preserve">September 2009: </w:t>
      </w:r>
    </w:p>
    <w:p w:rsidR="00221386" w:rsidRPr="00345A0E" w:rsidRDefault="00221386" w:rsidP="00221386">
      <w:pPr>
        <w:pStyle w:val="BodyText2"/>
        <w:spacing w:after="0" w:line="240" w:lineRule="auto"/>
        <w:ind w:left="1800"/>
        <w:jc w:val="both"/>
      </w:pPr>
      <w:r w:rsidRPr="00345A0E">
        <w:t xml:space="preserve">$250 million of secured debt at a coupon of 5.125% due in 2022 </w:t>
      </w:r>
    </w:p>
    <w:p w:rsidR="00221386" w:rsidRPr="00345A0E" w:rsidRDefault="00221386" w:rsidP="00221386">
      <w:pPr>
        <w:pStyle w:val="BodyText2"/>
        <w:numPr>
          <w:ilvl w:val="0"/>
          <w:numId w:val="41"/>
        </w:numPr>
        <w:spacing w:after="0" w:line="240" w:lineRule="auto"/>
        <w:jc w:val="both"/>
      </w:pPr>
      <w:r w:rsidRPr="00345A0E">
        <w:t xml:space="preserve">December 2010:  </w:t>
      </w:r>
    </w:p>
    <w:p w:rsidR="00221386" w:rsidRPr="00345A0E" w:rsidRDefault="00221386" w:rsidP="00221386">
      <w:pPr>
        <w:pStyle w:val="BodyText2"/>
        <w:spacing w:after="0" w:line="240" w:lineRule="auto"/>
        <w:ind w:left="1800"/>
        <w:jc w:val="both"/>
      </w:pPr>
      <w:r w:rsidRPr="00345A0E">
        <w:t xml:space="preserve">$52.0 million of secured debt at a coupon of 3.89% due in 2020 </w:t>
      </w:r>
    </w:p>
    <w:p w:rsidR="00221386" w:rsidRPr="00345A0E" w:rsidRDefault="00221386" w:rsidP="00221386">
      <w:pPr>
        <w:pStyle w:val="BodyText2"/>
        <w:spacing w:after="0" w:line="240" w:lineRule="auto"/>
        <w:ind w:left="1800"/>
        <w:jc w:val="both"/>
      </w:pPr>
      <w:r w:rsidRPr="00345A0E">
        <w:t xml:space="preserve">$35.0 million of secured debt at a coupon of 5.55% due in 2040 </w:t>
      </w:r>
    </w:p>
    <w:p w:rsidR="00221386" w:rsidRPr="00345A0E" w:rsidRDefault="00221386" w:rsidP="00221386">
      <w:pPr>
        <w:ind w:left="1080" w:firstLine="720"/>
        <w:jc w:val="both"/>
      </w:pPr>
      <w:r w:rsidRPr="00345A0E">
        <w:t>$50.0 million of secured debt at a coupon of 1.68% due in 2013</w:t>
      </w:r>
    </w:p>
    <w:p w:rsidR="00B454F0" w:rsidRPr="00345A0E" w:rsidRDefault="00221386" w:rsidP="003F060B">
      <w:pPr>
        <w:ind w:left="720"/>
        <w:jc w:val="both"/>
      </w:pPr>
      <w:r w:rsidRPr="00345A0E">
        <w:t xml:space="preserve"> </w:t>
      </w:r>
    </w:p>
    <w:p w:rsidR="00B454F0" w:rsidRPr="00345A0E" w:rsidRDefault="00AE52A4" w:rsidP="00B454F0">
      <w:pPr>
        <w:ind w:left="720"/>
        <w:jc w:val="both"/>
        <w:rPr>
          <w:b/>
          <w:bCs/>
          <w:u w:val="single"/>
        </w:rPr>
      </w:pPr>
      <w:r w:rsidRPr="00345A0E">
        <w:rPr>
          <w:b/>
          <w:bCs/>
          <w:u w:val="single"/>
        </w:rPr>
        <w:t>Performance Excellence Initiative</w:t>
      </w:r>
    </w:p>
    <w:p w:rsidR="00154345" w:rsidRPr="00345A0E" w:rsidRDefault="002165CE" w:rsidP="00DC2A72">
      <w:pPr>
        <w:ind w:left="720"/>
        <w:jc w:val="both"/>
      </w:pPr>
      <w:r w:rsidRPr="00345A0E">
        <w:t xml:space="preserve">In May 2010, the Company enlisted the help of Booz </w:t>
      </w:r>
      <w:r w:rsidR="005D4993" w:rsidRPr="00345A0E">
        <w:t>&amp; Company to work with us on what we are calling Performance Excellence</w:t>
      </w:r>
      <w:r w:rsidRPr="00345A0E">
        <w:t xml:space="preserve">. They brought with them industry knowledge, expertise and a </w:t>
      </w:r>
      <w:hyperlink r:id="rId18" w:history="1">
        <w:r w:rsidRPr="00345A0E">
          <w:t>phased-approach</w:t>
        </w:r>
      </w:hyperlink>
      <w:r w:rsidR="009D0921" w:rsidRPr="00345A0E">
        <w:t xml:space="preserve">.  Phase 1 involved assessing and identifying Avista’s </w:t>
      </w:r>
      <w:hyperlink r:id="rId19" w:history="1">
        <w:r w:rsidR="003F060B">
          <w:t>top</w:t>
        </w:r>
        <w:r w:rsidR="009D0921" w:rsidRPr="00345A0E">
          <w:t xml:space="preserve"> opportunities</w:t>
        </w:r>
      </w:hyperlink>
      <w:r w:rsidR="009D0921" w:rsidRPr="00345A0E">
        <w:t xml:space="preserve"> </w:t>
      </w:r>
      <w:r w:rsidRPr="00345A0E">
        <w:t>to better align our resources so we can run our business more efficiently</w:t>
      </w:r>
      <w:r w:rsidR="009D0921" w:rsidRPr="00345A0E">
        <w:t xml:space="preserve">, and be better prepared to meet customers’ future needs for energy and energy information.  </w:t>
      </w:r>
      <w:r w:rsidR="005D4993" w:rsidRPr="00345A0E">
        <w:t>In</w:t>
      </w:r>
      <w:r w:rsidRPr="00345A0E">
        <w:t xml:space="preserve"> </w:t>
      </w:r>
      <w:hyperlink r:id="rId20" w:history="1">
        <w:r w:rsidRPr="00345A0E">
          <w:t>Phase 2</w:t>
        </w:r>
      </w:hyperlink>
      <w:r w:rsidRPr="00345A0E">
        <w:t xml:space="preserve"> we </w:t>
      </w:r>
      <w:r w:rsidR="005D4993" w:rsidRPr="00345A0E">
        <w:t>are designing</w:t>
      </w:r>
      <w:r w:rsidRPr="00345A0E">
        <w:t xml:space="preserve"> processes</w:t>
      </w:r>
      <w:r w:rsidR="00591B43" w:rsidRPr="00345A0E">
        <w:t xml:space="preserve"> to capture these opportunities, and</w:t>
      </w:r>
      <w:r w:rsidR="005D4993" w:rsidRPr="00345A0E">
        <w:t xml:space="preserve"> are still early in the implementation phase</w:t>
      </w:r>
      <w:r w:rsidR="007347B5" w:rsidRPr="00345A0E">
        <w:t xml:space="preserve">.  </w:t>
      </w:r>
    </w:p>
    <w:p w:rsidR="007347B5" w:rsidRPr="00345A0E" w:rsidRDefault="007347B5" w:rsidP="00DC2A72">
      <w:pPr>
        <w:ind w:left="720"/>
        <w:jc w:val="both"/>
      </w:pPr>
    </w:p>
    <w:p w:rsidR="00154345" w:rsidRPr="00345A0E" w:rsidRDefault="007347B5" w:rsidP="00D773B1">
      <w:pPr>
        <w:ind w:left="720"/>
        <w:jc w:val="both"/>
      </w:pPr>
      <w:r w:rsidRPr="00345A0E">
        <w:t xml:space="preserve">Through the </w:t>
      </w:r>
      <w:r w:rsidR="00C07ED2" w:rsidRPr="00345A0E">
        <w:t xml:space="preserve">initial </w:t>
      </w:r>
      <w:r w:rsidRPr="00345A0E">
        <w:t>assessment phase we discovered that many of our processes were already efficient, but the outside, third-party, best practices perspectives brought in by Booz &amp; Company has provided us the opportunity to identify areas where we can fine-tune our pr</w:t>
      </w:r>
      <w:r w:rsidR="006C0F2C" w:rsidRPr="00345A0E">
        <w:t>actices and further mitigate increased costs</w:t>
      </w:r>
      <w:r w:rsidRPr="00345A0E">
        <w:t xml:space="preserve"> to</w:t>
      </w:r>
      <w:r w:rsidR="006C0F2C" w:rsidRPr="00345A0E">
        <w:t xml:space="preserve"> our</w:t>
      </w:r>
      <w:r w:rsidRPr="00345A0E">
        <w:t xml:space="preserve"> customers.  One example is in our Supp</w:t>
      </w:r>
      <w:r w:rsidR="00EA428E" w:rsidRPr="00345A0E">
        <w:t xml:space="preserve">ly Chain.  Each year we spend over $5 million on transformers.  </w:t>
      </w:r>
      <w:r w:rsidR="00081F59" w:rsidRPr="00345A0E">
        <w:t>This year we changed our transformer bidding process, which included revisiting how we buy transforme</w:t>
      </w:r>
      <w:r w:rsidR="00F61FE8" w:rsidRPr="00345A0E">
        <w:t>rs, made changes to the</w:t>
      </w:r>
      <w:r w:rsidR="00081F59" w:rsidRPr="00345A0E">
        <w:t xml:space="preserve"> suppliers we use, how contracts are structured, as well as the volume of transformers we buy at one time.</w:t>
      </w:r>
      <w:r w:rsidR="00002688" w:rsidRPr="00345A0E">
        <w:t xml:space="preserve">  We estimate that these changes </w:t>
      </w:r>
      <w:r w:rsidR="00F61FE8" w:rsidRPr="00345A0E">
        <w:t xml:space="preserve">alone </w:t>
      </w:r>
      <w:r w:rsidR="00002688" w:rsidRPr="00345A0E">
        <w:t>will allow us to save approximately $2 million</w:t>
      </w:r>
      <w:r w:rsidR="000F4F3B" w:rsidRPr="00345A0E">
        <w:t xml:space="preserve"> in capital costs</w:t>
      </w:r>
      <w:r w:rsidR="00002688" w:rsidRPr="00345A0E">
        <w:t xml:space="preserve"> per year on transformers for the next three years.  </w:t>
      </w:r>
      <w:r w:rsidR="00F61FE8" w:rsidRPr="00345A0E">
        <w:t xml:space="preserve">This savings will enable our available capital dollars to replace </w:t>
      </w:r>
      <w:r w:rsidR="00B67D99">
        <w:t>other</w:t>
      </w:r>
      <w:r w:rsidR="00F61FE8" w:rsidRPr="00345A0E">
        <w:t xml:space="preserve"> utility infrastructure</w:t>
      </w:r>
      <w:r w:rsidR="00D232A5" w:rsidRPr="00345A0E">
        <w:t xml:space="preserve"> on a </w:t>
      </w:r>
      <w:r w:rsidR="005C47C1">
        <w:t>more timely</w:t>
      </w:r>
      <w:r w:rsidR="00D232A5" w:rsidRPr="00345A0E">
        <w:t xml:space="preserve"> basis</w:t>
      </w:r>
      <w:r w:rsidR="00F61FE8" w:rsidRPr="00345A0E">
        <w:t xml:space="preserve"> than would otherwise occur.</w:t>
      </w:r>
    </w:p>
    <w:p w:rsidR="004E6BDF" w:rsidRPr="00345A0E" w:rsidRDefault="005C47C1" w:rsidP="007479FA">
      <w:pPr>
        <w:tabs>
          <w:tab w:val="left" w:pos="0"/>
        </w:tabs>
        <w:spacing w:line="480" w:lineRule="auto"/>
        <w:ind w:firstLine="720"/>
        <w:jc w:val="both"/>
      </w:pPr>
      <w:r>
        <w:lastRenderedPageBreak/>
        <w:t>We recognize</w:t>
      </w:r>
      <w:r w:rsidR="00154345" w:rsidRPr="00345A0E">
        <w:t xml:space="preserve"> that our proposed rate increases will result in energy bills that will be more difficult for some of our customers to pay.  I can assure you that we are not just sitting on the sidelines as our c</w:t>
      </w:r>
      <w:r w:rsidR="009C0D29" w:rsidRPr="00345A0E">
        <w:t>osts go up, as evidenced by the</w:t>
      </w:r>
      <w:r w:rsidR="00154345" w:rsidRPr="00345A0E">
        <w:t xml:space="preserve"> measures </w:t>
      </w:r>
      <w:r w:rsidR="009C0D29" w:rsidRPr="00345A0E">
        <w:t xml:space="preserve">described above </w:t>
      </w:r>
      <w:r w:rsidR="00154345" w:rsidRPr="00345A0E">
        <w:t xml:space="preserve">and others explained by Mr. Kopczynski. </w:t>
      </w:r>
    </w:p>
    <w:p w:rsidR="00BD176C" w:rsidRPr="00345A0E" w:rsidRDefault="00BD176C" w:rsidP="00BD176C">
      <w:pPr>
        <w:tabs>
          <w:tab w:val="left" w:pos="0"/>
        </w:tabs>
        <w:spacing w:line="480" w:lineRule="auto"/>
        <w:ind w:right="36" w:firstLine="720"/>
        <w:jc w:val="center"/>
        <w:rPr>
          <w:b/>
          <w:u w:val="single"/>
        </w:rPr>
      </w:pPr>
      <w:r w:rsidRPr="00345A0E">
        <w:rPr>
          <w:b/>
          <w:u w:val="single"/>
        </w:rPr>
        <w:t>V</w:t>
      </w:r>
      <w:r w:rsidR="00A71771" w:rsidRPr="00345A0E">
        <w:rPr>
          <w:b/>
          <w:u w:val="single"/>
        </w:rPr>
        <w:t>I</w:t>
      </w:r>
      <w:r w:rsidRPr="00345A0E">
        <w:rPr>
          <w:b/>
          <w:u w:val="single"/>
        </w:rPr>
        <w:t>.  COMMUNICATIONS WITH CUSTOMERS</w:t>
      </w:r>
    </w:p>
    <w:p w:rsidR="0076522B" w:rsidRPr="00345A0E" w:rsidRDefault="00215261" w:rsidP="0076522B">
      <w:pPr>
        <w:tabs>
          <w:tab w:val="left" w:pos="0"/>
        </w:tabs>
        <w:spacing w:line="480" w:lineRule="auto"/>
        <w:ind w:right="36"/>
        <w:rPr>
          <w:b/>
          <w:bCs/>
        </w:rPr>
      </w:pPr>
      <w:r w:rsidRPr="00345A0E">
        <w:rPr>
          <w:b/>
          <w:bCs/>
        </w:rPr>
        <w:tab/>
        <w:t>Q.</w:t>
      </w:r>
      <w:r w:rsidRPr="00345A0E">
        <w:rPr>
          <w:b/>
          <w:bCs/>
        </w:rPr>
        <w:tab/>
        <w:t>How is</w:t>
      </w:r>
      <w:r w:rsidR="0076522B" w:rsidRPr="00345A0E">
        <w:rPr>
          <w:b/>
          <w:bCs/>
        </w:rPr>
        <w:t xml:space="preserve"> Avista communicating with its customer</w:t>
      </w:r>
      <w:r w:rsidR="00827320" w:rsidRPr="00345A0E">
        <w:rPr>
          <w:b/>
          <w:bCs/>
        </w:rPr>
        <w:t>s to explain what is driving</w:t>
      </w:r>
      <w:r w:rsidR="0076522B" w:rsidRPr="00345A0E">
        <w:rPr>
          <w:b/>
          <w:bCs/>
        </w:rPr>
        <w:t xml:space="preserve"> increase</w:t>
      </w:r>
      <w:r w:rsidR="00827320" w:rsidRPr="00345A0E">
        <w:rPr>
          <w:b/>
          <w:bCs/>
        </w:rPr>
        <w:t>d</w:t>
      </w:r>
      <w:r w:rsidR="0076522B" w:rsidRPr="00345A0E">
        <w:rPr>
          <w:b/>
          <w:bCs/>
        </w:rPr>
        <w:t xml:space="preserve"> costs</w:t>
      </w:r>
      <w:r w:rsidR="00827320" w:rsidRPr="00345A0E">
        <w:rPr>
          <w:b/>
          <w:bCs/>
        </w:rPr>
        <w:t xml:space="preserve"> for the Company</w:t>
      </w:r>
      <w:r w:rsidR="0076522B" w:rsidRPr="00345A0E">
        <w:rPr>
          <w:b/>
          <w:bCs/>
        </w:rPr>
        <w:t xml:space="preserve">? </w:t>
      </w:r>
    </w:p>
    <w:p w:rsidR="00E1200E" w:rsidRPr="00345A0E" w:rsidRDefault="00215261" w:rsidP="00DC2A72">
      <w:pPr>
        <w:tabs>
          <w:tab w:val="left" w:pos="0"/>
        </w:tabs>
        <w:spacing w:line="480" w:lineRule="auto"/>
        <w:ind w:firstLine="720"/>
        <w:jc w:val="both"/>
      </w:pPr>
      <w:r w:rsidRPr="00345A0E">
        <w:t>A.</w:t>
      </w:r>
      <w:r w:rsidRPr="00345A0E">
        <w:tab/>
      </w:r>
      <w:r w:rsidR="00E1200E" w:rsidRPr="00345A0E">
        <w:t>The Company proactively communicates with its customers in a numb</w:t>
      </w:r>
      <w:r w:rsidR="007216E1" w:rsidRPr="00345A0E">
        <w:t>er of ways:  electronic</w:t>
      </w:r>
      <w:r w:rsidR="00E1200E" w:rsidRPr="00345A0E">
        <w:t xml:space="preserve"> communications on issues of importance to them, customer forums, one-on-one customer interactions through field personnel and account representatives, bill inserts, 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environmental mitigation, </w:t>
      </w:r>
      <w:r w:rsidR="00C6695D" w:rsidRPr="00345A0E">
        <w:t xml:space="preserve">and </w:t>
      </w:r>
      <w:r w:rsidR="00E1200E" w:rsidRPr="00345A0E">
        <w:t xml:space="preserve">infrastructure investment and generation constraints, all of which have led to higher costs for our customers.  </w:t>
      </w:r>
    </w:p>
    <w:p w:rsidR="00E1200E" w:rsidRPr="00345A0E" w:rsidRDefault="00E1200E" w:rsidP="00DC2A72">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E1200E" w:rsidRPr="00345A0E" w:rsidRDefault="00E1200E" w:rsidP="00DC2A72">
      <w:pPr>
        <w:tabs>
          <w:tab w:val="left" w:pos="0"/>
        </w:tabs>
        <w:spacing w:line="480" w:lineRule="auto"/>
        <w:ind w:firstLine="720"/>
        <w:jc w:val="both"/>
        <w:rPr>
          <w:bCs/>
        </w:rPr>
      </w:pPr>
      <w:r w:rsidRPr="00345A0E">
        <w:t>That’s why we are continuing to build on our communications efforts begun in 2009, so that customers receive information directly from us on issues important to them.  We are also continuing t</w:t>
      </w:r>
      <w:r w:rsidR="00C6695D" w:rsidRPr="00345A0E">
        <w:t>o engage</w:t>
      </w:r>
      <w:r w:rsidRPr="00345A0E">
        <w:t xml:space="preserve"> employee</w:t>
      </w:r>
      <w:r w:rsidR="00C6695D" w:rsidRPr="00345A0E">
        <w:t>s</w:t>
      </w:r>
      <w:r w:rsidRPr="00345A0E">
        <w:t xml:space="preserve"> in the Company in our efforts to more directly communicate with customers.</w:t>
      </w:r>
    </w:p>
    <w:p w:rsidR="00E1200E" w:rsidRPr="00345A0E" w:rsidRDefault="00E1200E" w:rsidP="00DC2A72">
      <w:pPr>
        <w:tabs>
          <w:tab w:val="left" w:pos="0"/>
        </w:tabs>
        <w:spacing w:line="480" w:lineRule="auto"/>
        <w:ind w:firstLine="720"/>
        <w:rPr>
          <w:b/>
        </w:rPr>
      </w:pPr>
      <w:r w:rsidRPr="00345A0E">
        <w:rPr>
          <w:b/>
        </w:rPr>
        <w:t>Q.</w:t>
      </w:r>
      <w:r w:rsidRPr="00345A0E">
        <w:rPr>
          <w:b/>
        </w:rPr>
        <w:tab/>
        <w:t>How has the Company stepped-up communications with its customers?</w:t>
      </w:r>
    </w:p>
    <w:p w:rsidR="00E1200E" w:rsidRPr="00345A0E" w:rsidRDefault="00E1200E" w:rsidP="00DC2A72">
      <w:pPr>
        <w:tabs>
          <w:tab w:val="left" w:pos="0"/>
        </w:tabs>
        <w:spacing w:line="480" w:lineRule="auto"/>
        <w:ind w:firstLine="720"/>
        <w:jc w:val="both"/>
      </w:pPr>
      <w:r w:rsidRPr="00345A0E">
        <w:lastRenderedPageBreak/>
        <w:t>A.</w:t>
      </w:r>
      <w:r w:rsidRPr="00345A0E">
        <w:tab/>
        <w:t>One of the important principles in our intensified outreach is to meet cus</w:t>
      </w:r>
      <w:r w:rsidR="00D773B1">
        <w:t xml:space="preserve">tomers where they gather.  Our </w:t>
      </w:r>
      <w:r w:rsidRPr="00345A0E">
        <w:t>customer conversation uses traditional and non-traditional communication chann</w:t>
      </w:r>
      <w:r w:rsidR="00B67D99">
        <w:t>els including print, radio, web</w:t>
      </w:r>
      <w:r w:rsidRPr="00345A0E">
        <w:t>site, face-to-face listening posts, newsletters, videos, social media, emails, and one-on-one and group presentations.</w:t>
      </w:r>
    </w:p>
    <w:p w:rsidR="00E1200E" w:rsidRPr="00345A0E" w:rsidRDefault="00E1200E" w:rsidP="00DC2A72">
      <w:pPr>
        <w:tabs>
          <w:tab w:val="left" w:pos="0"/>
        </w:tabs>
        <w:spacing w:line="480" w:lineRule="auto"/>
        <w:ind w:firstLine="720"/>
        <w:jc w:val="both"/>
      </w:pPr>
      <w:r w:rsidRPr="00345A0E">
        <w:t xml:space="preserve">One important customer segment that we target are those customers who gather online.  We are continuing to focus on our social media program with the Avista blog as our foundation.  We also communicate on Twitter and in online discussion forums when appropriate.  For customers who want a more private online conversation, we offer customers a conversation email account to make sure they were comfortable having this new conversation with us.  </w:t>
      </w:r>
    </w:p>
    <w:p w:rsidR="00E1200E" w:rsidRPr="00345A0E" w:rsidRDefault="00E1200E" w:rsidP="00DC2A72">
      <w:pPr>
        <w:tabs>
          <w:tab w:val="left" w:pos="0"/>
        </w:tabs>
        <w:spacing w:line="480" w:lineRule="auto"/>
        <w:ind w:firstLine="720"/>
        <w:jc w:val="both"/>
      </w:pPr>
      <w:r w:rsidRPr="00345A0E">
        <w:t xml:space="preserve">A cornerstone of our enhanced customer communication is an enhanced rates section of the Company’s web site at </w:t>
      </w:r>
      <w:hyperlink r:id="rId21" w:history="1">
        <w:r w:rsidRPr="00345A0E">
          <w:rPr>
            <w:rStyle w:val="Hyperlink"/>
          </w:rPr>
          <w:t>www.avistautilities.com</w:t>
        </w:r>
      </w:hyperlink>
      <w:r w:rsidRPr="00345A0E">
        <w:t xml:space="preserve">. </w:t>
      </w:r>
      <w:r w:rsidR="006856E8" w:rsidRPr="00345A0E">
        <w:t xml:space="preserve"> </w:t>
      </w:r>
      <w:proofErr w:type="spellStart"/>
      <w:r w:rsidRPr="00345A0E">
        <w:t>There</w:t>
      </w:r>
      <w:proofErr w:type="spellEnd"/>
      <w:r w:rsidRPr="00345A0E">
        <w:t xml:space="preserve"> customers can view a video on how rates are set, including the regulatory process,  view other videos on the components of current general rate requests, and access additional information on general rate requests. Our employees provide excellent customer service, and this focus on communicating with our customers includes providing them messaging and new tools to make is easier to have conversations about Avista with friends, family and customers.  We are finding that once a customer talks with one of our employees and has the opportunity to voice their concerns and receive answers to their questions, their satisfaction level increases significantly.  </w:t>
      </w:r>
      <w:r w:rsidRPr="00345A0E">
        <w:rPr>
          <w:bCs/>
        </w:rPr>
        <w:t xml:space="preserve">We’re </w:t>
      </w:r>
      <w:r w:rsidRPr="00345A0E">
        <w:t xml:space="preserve">listening to our customers’ point-of-view and sharing ours about energy issues that directly affect us all.  </w:t>
      </w:r>
    </w:p>
    <w:p w:rsidR="00393FBD" w:rsidRPr="00345A0E" w:rsidRDefault="00E1200E" w:rsidP="00C42B5D">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Also, we are continuing to build understanding on how </w:t>
      </w:r>
      <w:r w:rsidRPr="00345A0E">
        <w:lastRenderedPageBreak/>
        <w:t>decisions today, specifically in areas such as energy efficiency, sustainability, reliability and renewable energy</w:t>
      </w:r>
      <w:r w:rsidR="005C47C1">
        <w:t>,</w:t>
      </w:r>
      <w:r w:rsidRPr="00345A0E">
        <w:t xml:space="preserve"> will affect our energy future.</w:t>
      </w:r>
    </w:p>
    <w:p w:rsidR="00C6695D" w:rsidRPr="00345A0E" w:rsidRDefault="00C6695D" w:rsidP="00DC2A72">
      <w:pPr>
        <w:tabs>
          <w:tab w:val="left" w:pos="0"/>
        </w:tabs>
        <w:spacing w:line="480" w:lineRule="auto"/>
        <w:ind w:firstLine="720"/>
        <w:jc w:val="center"/>
        <w:rPr>
          <w:b/>
          <w:u w:val="single"/>
        </w:rPr>
      </w:pPr>
      <w:r w:rsidRPr="00345A0E">
        <w:rPr>
          <w:b/>
          <w:u w:val="single"/>
        </w:rPr>
        <w:t>VII.  CUSTOMER SATISFACTION</w:t>
      </w:r>
    </w:p>
    <w:p w:rsidR="00495AAC" w:rsidRPr="00345A0E" w:rsidRDefault="00495AAC" w:rsidP="00DC2A72">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495AAC" w:rsidRPr="00345A0E" w:rsidRDefault="00FD655A" w:rsidP="00DC2A72">
      <w:pPr>
        <w:autoSpaceDE/>
        <w:autoSpaceDN/>
        <w:spacing w:line="480" w:lineRule="auto"/>
        <w:ind w:firstLine="720"/>
        <w:jc w:val="both"/>
        <w:rPr>
          <w:bCs/>
        </w:rPr>
      </w:pPr>
      <w:r w:rsidRPr="00345A0E">
        <w:rPr>
          <w:bCs/>
        </w:rPr>
        <w:t>A.</w:t>
      </w:r>
      <w:r w:rsidRPr="00345A0E">
        <w:rPr>
          <w:bCs/>
        </w:rPr>
        <w:tab/>
      </w:r>
      <w:r w:rsidR="00495AAC" w:rsidRPr="00345A0E">
        <w:rPr>
          <w:bCs/>
        </w:rPr>
        <w:t>I am pleased with the dedication of Avista Utilities’ employees and their commitment to provide quality service to our customers.  While we continue to maintain tight controls on capital and O&amp;M budgets, our customer service surveys indicate that customer satisfaction remains high.  Our recent first quarter 2011 customer survey results show an overall customer satisfaction rating of 93% in our Washington, Idaho, and Oregon operating divisions.  This rating reflects a positive experience for the majority of customers who have contacted Avista related to the customer service they received. These results can be achieved only with very committed and competent employees.</w:t>
      </w:r>
    </w:p>
    <w:p w:rsidR="00495AAC" w:rsidRPr="00345A0E" w:rsidRDefault="00495AAC" w:rsidP="00DC2A72">
      <w:pPr>
        <w:pStyle w:val="BodyText"/>
        <w:spacing w:line="480" w:lineRule="auto"/>
        <w:ind w:firstLine="720"/>
        <w:jc w:val="both"/>
        <w:rPr>
          <w:b w:val="0"/>
        </w:rPr>
      </w:pPr>
      <w:r w:rsidRPr="00345A0E">
        <w:rPr>
          <w:b w:val="0"/>
          <w:bCs w:val="0"/>
        </w:rPr>
        <w:t xml:space="preserve">In September 2010, </w:t>
      </w:r>
      <w:r w:rsidR="00AD7D7D" w:rsidRPr="00345A0E">
        <w:rPr>
          <w:b w:val="0"/>
        </w:rPr>
        <w:t>J.D. Power and Associates</w:t>
      </w:r>
      <w:r w:rsidR="00775B1E">
        <w:rPr>
          <w:rStyle w:val="FootnoteReference"/>
          <w:b w:val="0"/>
        </w:rPr>
        <w:footnoteReference w:id="5"/>
      </w:r>
      <w:r w:rsidR="00AD7D7D" w:rsidRPr="00345A0E">
        <w:rPr>
          <w:b w:val="0"/>
        </w:rPr>
        <w:t xml:space="preserve"> ranked Avista “Highest in Customer Satisfaction with Residential Natural Gas Service in the Western U.S. among Mid-Sized Utilities in a Tie.”</w:t>
      </w:r>
      <w:r w:rsidRPr="00345A0E">
        <w:rPr>
          <w:b w:val="0"/>
        </w:rPr>
        <w:t xml:space="preserve"> Avista’s</w:t>
      </w:r>
      <w:r w:rsidR="00B00AB3" w:rsidRPr="00345A0E">
        <w:rPr>
          <w:b w:val="0"/>
        </w:rPr>
        <w:t xml:space="preserve"> score of 654 placed the Company</w:t>
      </w:r>
      <w:r w:rsidRPr="00345A0E">
        <w:rPr>
          <w:b w:val="0"/>
        </w:rPr>
        <w:t xml:space="preserve"> highest in the segment, tied with Boise-based Intermountain Gas Company. The segment average score on this stud</w:t>
      </w:r>
      <w:r w:rsidR="00B00AB3" w:rsidRPr="00345A0E">
        <w:rPr>
          <w:b w:val="0"/>
        </w:rPr>
        <w:t>y was 629.  T</w:t>
      </w:r>
      <w:r w:rsidRPr="00345A0E">
        <w:rPr>
          <w:b w:val="0"/>
        </w:rPr>
        <w:t>he study surveys customer satisfaction across a number of factors, including billing and payment, price, corporate citizenship, communications, customer service and field service.</w:t>
      </w:r>
    </w:p>
    <w:p w:rsidR="00C6695D" w:rsidRPr="00345A0E" w:rsidRDefault="00495AAC" w:rsidP="003C285B">
      <w:pPr>
        <w:autoSpaceDE/>
        <w:autoSpaceDN/>
        <w:spacing w:line="480" w:lineRule="auto"/>
        <w:ind w:firstLine="720"/>
        <w:jc w:val="both"/>
      </w:pPr>
      <w:r w:rsidRPr="00345A0E">
        <w:t xml:space="preserve">I believe we achieved this award because the Company has been listening closely and doing the right things to serve our customers well, as affirmed by the J.D. Power and Associates </w:t>
      </w:r>
      <w:r w:rsidRPr="00345A0E">
        <w:lastRenderedPageBreak/>
        <w:t>2010 study. Achieving the highest ranking was a wonderful recognition of our dedicated employees who are making the difference.</w:t>
      </w:r>
    </w:p>
    <w:p w:rsidR="00941F88" w:rsidRPr="00345A0E" w:rsidRDefault="00941F88" w:rsidP="00941F88">
      <w:pPr>
        <w:tabs>
          <w:tab w:val="left" w:pos="0"/>
        </w:tabs>
        <w:spacing w:line="480" w:lineRule="auto"/>
        <w:ind w:right="36" w:firstLine="720"/>
        <w:jc w:val="center"/>
        <w:rPr>
          <w:b/>
          <w:u w:val="single"/>
        </w:rPr>
      </w:pPr>
      <w:r w:rsidRPr="00345A0E">
        <w:rPr>
          <w:b/>
          <w:u w:val="single"/>
        </w:rPr>
        <w:t>V</w:t>
      </w:r>
      <w:r w:rsidR="00C71722" w:rsidRPr="00345A0E">
        <w:rPr>
          <w:b/>
          <w:u w:val="single"/>
        </w:rPr>
        <w:t>I</w:t>
      </w:r>
      <w:r w:rsidR="00A71771" w:rsidRPr="00345A0E">
        <w:rPr>
          <w:b/>
          <w:u w:val="single"/>
        </w:rPr>
        <w:t>I</w:t>
      </w:r>
      <w:r w:rsidR="00345A0E">
        <w:rPr>
          <w:b/>
          <w:u w:val="single"/>
        </w:rPr>
        <w:t>I</w:t>
      </w:r>
      <w:r w:rsidRPr="00345A0E">
        <w:rPr>
          <w:b/>
          <w:u w:val="single"/>
        </w:rPr>
        <w:t>.  CUSTOMER SUPPORT PROGRAMS</w:t>
      </w:r>
    </w:p>
    <w:p w:rsidR="00941F88" w:rsidRPr="00345A0E" w:rsidRDefault="00941F88" w:rsidP="00941F88">
      <w:pPr>
        <w:pStyle w:val="TestBody"/>
        <w:spacing w:line="480" w:lineRule="auto"/>
        <w:ind w:left="0" w:right="-115"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What is Avista doing to assist customers with their energy bills?</w:t>
      </w:r>
    </w:p>
    <w:p w:rsidR="00727733" w:rsidRPr="00345A0E" w:rsidRDefault="00941F88" w:rsidP="00727733">
      <w:pPr>
        <w:spacing w:line="480" w:lineRule="auto"/>
        <w:ind w:firstLine="720"/>
        <w:jc w:val="both"/>
      </w:pPr>
      <w:r w:rsidRPr="00345A0E">
        <w:t>A.</w:t>
      </w:r>
      <w:r w:rsidRPr="00345A0E">
        <w:tab/>
      </w:r>
      <w:r w:rsidR="00727733" w:rsidRPr="00345A0E">
        <w:t>More than 600,000 customers in three states rely on Avista for the</w:t>
      </w:r>
      <w:r w:rsidR="00EB5429" w:rsidRPr="00345A0E">
        <w:t>ir</w:t>
      </w:r>
      <w:r w:rsidR="00727733" w:rsidRPr="00345A0E">
        <w:t xml:space="preserve"> electricity and natural gas. </w:t>
      </w:r>
      <w:r w:rsidR="00EB5429" w:rsidRPr="00345A0E">
        <w:t xml:space="preserve"> </w:t>
      </w:r>
      <w:r w:rsidR="00727733" w:rsidRPr="00345A0E">
        <w:t xml:space="preserve">One of the challenging aspects of the utility business is to collect on bills from those least able to pay. In the past two years, this challenge has broadened with the serious economic impact the national recession has had on </w:t>
      </w:r>
      <w:r w:rsidR="00EE5FE5" w:rsidRPr="00345A0E">
        <w:t xml:space="preserve">individuals and </w:t>
      </w:r>
      <w:r w:rsidR="00727733" w:rsidRPr="00345A0E">
        <w:t>businesses. Federal energy assistance for those in need is supplemented with</w:t>
      </w:r>
      <w:r w:rsidR="001B3713" w:rsidRPr="00345A0E">
        <w:t xml:space="preserve"> Avista’s Low Income Rate</w:t>
      </w:r>
      <w:r w:rsidR="00727733" w:rsidRPr="00345A0E">
        <w:t xml:space="preserve"> Assistance Program (LIRAP) and Project Share, an emergency energy assistance program funded through Avista, its employees and customer donations. </w:t>
      </w:r>
      <w:r w:rsidR="00EE5FE5" w:rsidRPr="00345A0E">
        <w:t xml:space="preserve">  </w:t>
      </w:r>
      <w:r w:rsidR="00727733" w:rsidRPr="00345A0E">
        <w:t xml:space="preserve">A 2009 study </w:t>
      </w:r>
      <w:r w:rsidR="00EE5FE5" w:rsidRPr="00345A0E">
        <w:t xml:space="preserve">conducted by </w:t>
      </w:r>
      <w:r w:rsidR="00AD7D7D" w:rsidRPr="00345A0E">
        <w:rPr>
          <w:bCs/>
        </w:rPr>
        <w:t>the Institute for Public Policy and Economic Analysis at Eastern Washington University</w:t>
      </w:r>
      <w:r w:rsidR="00775B1E">
        <w:rPr>
          <w:rStyle w:val="FootnoteReference"/>
          <w:bCs/>
        </w:rPr>
        <w:footnoteReference w:id="6"/>
      </w:r>
      <w:r w:rsidR="00EE5FE5" w:rsidRPr="00345A0E">
        <w:t xml:space="preserve"> </w:t>
      </w:r>
      <w:r w:rsidR="00727733" w:rsidRPr="00345A0E">
        <w:t xml:space="preserve">revealed that an estimated 30 percent of </w:t>
      </w:r>
      <w:r w:rsidR="00EE5FE5" w:rsidRPr="00345A0E">
        <w:t xml:space="preserve">Avista’s </w:t>
      </w:r>
      <w:r w:rsidR="00727733" w:rsidRPr="00345A0E">
        <w:t xml:space="preserve">eligible low income households received energy assistance grants, significantly higher than the national average of 16 percent. </w:t>
      </w:r>
    </w:p>
    <w:p w:rsidR="00727733" w:rsidRPr="00345A0E" w:rsidRDefault="00727733" w:rsidP="001B3713">
      <w:pPr>
        <w:spacing w:line="480" w:lineRule="auto"/>
        <w:ind w:firstLine="720"/>
        <w:jc w:val="both"/>
      </w:pPr>
      <w:r w:rsidRPr="00345A0E">
        <w:t xml:space="preserve">But one-time, annual grants alone are not </w:t>
      </w:r>
      <w:r w:rsidR="00914AEE" w:rsidRPr="00345A0E">
        <w:t xml:space="preserve">enough to meet the </w:t>
      </w:r>
      <w:r w:rsidRPr="00345A0E">
        <w:t>long-term challenges faced by those living on limited incomes.</w:t>
      </w:r>
      <w:r w:rsidR="001B3713" w:rsidRPr="00345A0E">
        <w:t xml:space="preserve">  </w:t>
      </w:r>
      <w:r w:rsidR="00362593" w:rsidRPr="00345A0E">
        <w:t>In 2010</w:t>
      </w:r>
      <w:r w:rsidRPr="00345A0E">
        <w:t xml:space="preserve"> Avista initiated and hosted two Energy Fairs– one in Spokane, Washington, and one in Coeur d’Alene, Idaho. The fairs provided information and demonstrations on energy assistance, energy efficiency and home weatherization to limited income families and senior citizens. But the fairs went beyond the business focus of helping customers pay their utility bill. They provided an opportunity for attendees to learn about employment opportunities, earned income tax credits, child care options, community college </w:t>
      </w:r>
      <w:r w:rsidRPr="00345A0E">
        <w:lastRenderedPageBreak/>
        <w:t xml:space="preserve">offerings and other community resources. Nearly 700 </w:t>
      </w:r>
      <w:r w:rsidR="001B3713" w:rsidRPr="00345A0E">
        <w:t xml:space="preserve">people attended the two fairs.  </w:t>
      </w:r>
      <w:r w:rsidRPr="00345A0E">
        <w:t xml:space="preserve">The Energy Fairs </w:t>
      </w:r>
      <w:r w:rsidR="001B3713" w:rsidRPr="00345A0E">
        <w:t>provided</w:t>
      </w:r>
      <w:r w:rsidRPr="00345A0E">
        <w:t xml:space="preserve"> a convenient environment for customers to learn about billing options and energy assistance, while offering them tips and tools to use to help manage their limited financial resources.</w:t>
      </w:r>
    </w:p>
    <w:p w:rsidR="00941F88" w:rsidRPr="00345A0E" w:rsidRDefault="00727733" w:rsidP="00DC2A72">
      <w:pPr>
        <w:pStyle w:val="TestBody"/>
        <w:spacing w:line="480" w:lineRule="auto"/>
        <w:ind w:left="0" w:firstLine="720"/>
        <w:rPr>
          <w:rFonts w:ascii="Times New Roman" w:hAnsi="Times New Roman" w:cs="Times New Roman"/>
        </w:rPr>
      </w:pPr>
      <w:r w:rsidRPr="00345A0E">
        <w:rPr>
          <w:rFonts w:ascii="Times New Roman" w:eastAsia="Calibri" w:hAnsi="Times New Roman" w:cs="Times New Roman"/>
          <w:bCs/>
        </w:rPr>
        <w:t xml:space="preserve">In the 2009/2010 heating season 26,751 Washington customers received </w:t>
      </w:r>
      <w:r w:rsidR="00D773B1">
        <w:rPr>
          <w:rFonts w:ascii="Times New Roman" w:eastAsia="Calibri" w:hAnsi="Times New Roman" w:cs="Times New Roman"/>
          <w:bCs/>
        </w:rPr>
        <w:t xml:space="preserve">approximately </w:t>
      </w:r>
      <w:r w:rsidRPr="00345A0E">
        <w:rPr>
          <w:rFonts w:ascii="Times New Roman" w:eastAsia="Calibri" w:hAnsi="Times New Roman" w:cs="Times New Roman"/>
          <w:bCs/>
        </w:rPr>
        <w:t>$</w:t>
      </w:r>
      <w:r w:rsidR="00E90F0F" w:rsidRPr="00345A0E">
        <w:rPr>
          <w:rFonts w:ascii="Times New Roman" w:eastAsia="Calibri" w:hAnsi="Times New Roman" w:cs="Times New Roman"/>
          <w:bCs/>
        </w:rPr>
        <w:t>11.1 million</w:t>
      </w:r>
      <w:r w:rsidRPr="00345A0E">
        <w:rPr>
          <w:rFonts w:ascii="Times New Roman" w:eastAsia="Calibri" w:hAnsi="Times New Roman" w:cs="Times New Roman"/>
          <w:bCs/>
        </w:rPr>
        <w:t xml:space="preserve"> in various forms of energy assistance (Federal LIHEAP program, </w:t>
      </w:r>
      <w:r w:rsidR="00AD7D7D" w:rsidRPr="00345A0E">
        <w:rPr>
          <w:rFonts w:ascii="Times New Roman" w:eastAsia="Calibri" w:hAnsi="Times New Roman" w:cs="Times New Roman"/>
          <w:bCs/>
        </w:rPr>
        <w:t>LIRAP</w:t>
      </w:r>
      <w:r w:rsidR="003F29D9" w:rsidRPr="00345A0E">
        <w:rPr>
          <w:rFonts w:ascii="Times New Roman" w:eastAsia="Calibri" w:hAnsi="Times New Roman" w:cs="Times New Roman"/>
          <w:bCs/>
        </w:rPr>
        <w:t xml:space="preserve">, </w:t>
      </w:r>
      <w:r w:rsidRPr="00345A0E">
        <w:rPr>
          <w:rFonts w:ascii="Times New Roman" w:eastAsia="Calibri" w:hAnsi="Times New Roman" w:cs="Times New Roman"/>
          <w:bCs/>
        </w:rPr>
        <w:t>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C83B33" w:rsidRPr="00345A0E">
        <w:t>4.5</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 to pay energy bills. In the 200</w:t>
      </w:r>
      <w:r w:rsidR="00C83B33" w:rsidRPr="00345A0E">
        <w:t>9/2010</w:t>
      </w:r>
      <w:r w:rsidR="002431F2" w:rsidRPr="00345A0E">
        <w:t xml:space="preserve"> </w:t>
      </w:r>
      <w:r w:rsidRPr="00345A0E">
        <w:t xml:space="preserve">heating period for example, the </w:t>
      </w:r>
      <w:r w:rsidR="00967309" w:rsidRPr="00345A0E">
        <w:t>LIRAP funds supplied</w:t>
      </w:r>
      <w:r w:rsidRPr="00345A0E">
        <w:t xml:space="preserve"> close to </w:t>
      </w:r>
      <w:r w:rsidR="00C83B33" w:rsidRPr="00345A0E">
        <w:t>10,529</w:t>
      </w:r>
      <w:r w:rsidRPr="00345A0E">
        <w:t xml:space="preserve"> grants to our customers.</w:t>
      </w:r>
    </w:p>
    <w:p w:rsidR="000A0B30" w:rsidRPr="00345A0E" w:rsidRDefault="000A0B30" w:rsidP="00DC2A72">
      <w:pPr>
        <w:ind w:left="1080" w:hanging="360"/>
        <w:jc w:val="both"/>
      </w:pPr>
    </w:p>
    <w:p w:rsidR="000A0B30" w:rsidRPr="00345A0E" w:rsidRDefault="00257191" w:rsidP="00DC2A72">
      <w:pPr>
        <w:ind w:left="1080" w:hanging="360"/>
        <w:jc w:val="both"/>
      </w:pPr>
      <w:r w:rsidRPr="00345A0E">
        <w:t>2</w:t>
      </w:r>
      <w:r w:rsidR="00941F88" w:rsidRPr="00345A0E">
        <w:t>.</w:t>
      </w:r>
      <w:r w:rsidR="00941F88" w:rsidRPr="00345A0E">
        <w:tab/>
      </w:r>
      <w:r w:rsidR="00941F88" w:rsidRPr="00345A0E">
        <w:rPr>
          <w:b/>
        </w:rPr>
        <w:t xml:space="preserve">Increased </w:t>
      </w:r>
      <w:r w:rsidR="00EB3212" w:rsidRPr="00345A0E">
        <w:rPr>
          <w:b/>
        </w:rPr>
        <w:t>Demand-Side Management (</w:t>
      </w:r>
      <w:r w:rsidR="00941F88" w:rsidRPr="00345A0E">
        <w:rPr>
          <w:b/>
        </w:rPr>
        <w:t>DSM</w:t>
      </w:r>
      <w:r w:rsidR="00EB3212" w:rsidRPr="00345A0E">
        <w:rPr>
          <w:b/>
        </w:rPr>
        <w:t>)</w:t>
      </w:r>
      <w:r w:rsidR="00941F88" w:rsidRPr="00345A0E">
        <w:rPr>
          <w:b/>
        </w:rPr>
        <w:t xml:space="preserve"> Programs and Funding.  </w:t>
      </w:r>
      <w:r w:rsidR="00941F88" w:rsidRPr="00345A0E">
        <w:t xml:space="preserve">In </w:t>
      </w:r>
      <w:r w:rsidR="000A0B30" w:rsidRPr="00345A0E">
        <w:t>January</w:t>
      </w:r>
      <w:r w:rsidR="002431F2" w:rsidRPr="00345A0E">
        <w:t xml:space="preserve"> 2009</w:t>
      </w:r>
      <w:r w:rsidR="00941F88" w:rsidRPr="00345A0E">
        <w:t xml:space="preserve"> Avista proposed, and the </w:t>
      </w:r>
      <w:r w:rsidR="000A0B30" w:rsidRPr="00345A0E">
        <w:t>UTC</w:t>
      </w:r>
      <w:r w:rsidR="00941F88" w:rsidRPr="00345A0E">
        <w:t xml:space="preserve"> approved, modifications to the Company’s energy efficiency program offerings.  The modifications further broadened the </w:t>
      </w:r>
      <w:r w:rsidR="00EB3212" w:rsidRPr="00345A0E">
        <w:t xml:space="preserve">DSM </w:t>
      </w:r>
      <w:r w:rsidR="00941F88" w:rsidRPr="00345A0E">
        <w:t>technical and financial support Avista provides to its customers, and provides customers with increased opportunity to manage their energy bills.  In 2008 Avista also launched the award-winning “Every Little Bit” energy efficiency promotional campaign which integrates all of the Company’s energy efficiency programs into one location.</w:t>
      </w:r>
    </w:p>
    <w:p w:rsidR="00941F88" w:rsidRPr="00345A0E" w:rsidRDefault="00941F88" w:rsidP="00DC2A72">
      <w:pPr>
        <w:ind w:left="1080" w:hanging="360"/>
        <w:jc w:val="both"/>
      </w:pPr>
    </w:p>
    <w:p w:rsidR="00941F88" w:rsidRPr="00345A0E" w:rsidRDefault="00257191" w:rsidP="00DC2A72">
      <w:pPr>
        <w:tabs>
          <w:tab w:val="left" w:pos="0"/>
        </w:tabs>
        <w:ind w:left="1080" w:hanging="360"/>
        <w:jc w:val="both"/>
        <w:rPr>
          <w:b/>
          <w:bCs/>
        </w:rPr>
      </w:pPr>
      <w:r w:rsidRPr="00345A0E">
        <w:t>3</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In addition to the customer and employee contributions </w:t>
      </w:r>
      <w:r w:rsidR="00C83B33" w:rsidRPr="00345A0E">
        <w:t>in 2010</w:t>
      </w:r>
      <w:r w:rsidR="00967309" w:rsidRPr="00345A0E">
        <w:t xml:space="preserve"> </w:t>
      </w:r>
      <w:r w:rsidR="00941F88" w:rsidRPr="00345A0E">
        <w:t>of $</w:t>
      </w:r>
      <w:r w:rsidR="00C83B33" w:rsidRPr="00345A0E">
        <w:t>316,6</w:t>
      </w:r>
      <w:r w:rsidR="00C13843" w:rsidRPr="00345A0E">
        <w:t xml:space="preserve">00 </w:t>
      </w:r>
      <w:r w:rsidR="00941F88" w:rsidRPr="00345A0E">
        <w:t xml:space="preserve">in </w:t>
      </w:r>
      <w:r w:rsidR="005A44AB" w:rsidRPr="00345A0E">
        <w:t>Washington</w:t>
      </w:r>
      <w:r w:rsidR="00941F88" w:rsidRPr="00345A0E">
        <w:t xml:space="preserve">, </w:t>
      </w:r>
      <w:r w:rsidR="00C91CB7" w:rsidRPr="00345A0E">
        <w:t>the Company</w:t>
      </w:r>
      <w:r w:rsidR="00941F88" w:rsidRPr="00345A0E">
        <w:t xml:space="preserve"> </w:t>
      </w:r>
      <w:r w:rsidR="00EB3212" w:rsidRPr="00345A0E">
        <w:t xml:space="preserve">also </w:t>
      </w:r>
      <w:r w:rsidR="00941F88" w:rsidRPr="00345A0E">
        <w:t>contributed $</w:t>
      </w:r>
      <w:r w:rsidR="00C83B33" w:rsidRPr="00345A0E">
        <w:t>282,274</w:t>
      </w:r>
      <w:r w:rsidR="00941F88" w:rsidRPr="00345A0E">
        <w:t xml:space="preserve"> </w:t>
      </w:r>
      <w:r w:rsidR="00EB3212" w:rsidRPr="00345A0E">
        <w:t>(</w:t>
      </w:r>
      <w:r w:rsidR="005A44AB" w:rsidRPr="00345A0E">
        <w:t>Washington</w:t>
      </w:r>
      <w:r w:rsidR="00EB3212" w:rsidRPr="00345A0E">
        <w:t>’s share)</w:t>
      </w:r>
      <w:r w:rsidR="00941F88" w:rsidRPr="00345A0E">
        <w:t xml:space="preserve"> to the </w:t>
      </w:r>
      <w:r w:rsidR="00EB3212" w:rsidRPr="00345A0E">
        <w:t>program</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257191" w:rsidP="00DC2A72">
      <w:pPr>
        <w:tabs>
          <w:tab w:val="left" w:pos="0"/>
        </w:tabs>
        <w:ind w:left="1080" w:hanging="360"/>
        <w:jc w:val="both"/>
      </w:pPr>
      <w:r w:rsidRPr="00345A0E">
        <w:t>4</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941F88" w:rsidRPr="00345A0E" w:rsidRDefault="005F1D31" w:rsidP="00DC2A72">
      <w:pPr>
        <w:tabs>
          <w:tab w:val="left" w:pos="0"/>
        </w:tabs>
        <w:ind w:left="1080" w:hanging="360"/>
        <w:jc w:val="both"/>
      </w:pPr>
      <w:r w:rsidRPr="00345A0E">
        <w:lastRenderedPageBreak/>
        <w:t>5</w:t>
      </w:r>
      <w:r w:rsidR="00941F88" w:rsidRPr="00345A0E">
        <w:t>.</w:t>
      </w:r>
      <w:r w:rsidR="00941F88" w:rsidRPr="00345A0E">
        <w:tab/>
      </w:r>
      <w:r w:rsidR="00941F88" w:rsidRPr="00345A0E">
        <w:rPr>
          <w:b/>
        </w:rPr>
        <w:t>CARES Program.</w:t>
      </w:r>
      <w:r w:rsidR="00941F88" w:rsidRPr="00345A0E">
        <w:t xml:space="preserve">  Customer Assistance Referral and Evaluation Services provides assistance to special-needs customers through access to specially trained (CARES) representatives who provide referrals to area agencies and churches for help with housing, utilities, medical assistance, etc.  </w:t>
      </w:r>
    </w:p>
    <w:p w:rsidR="00941F88" w:rsidRPr="00345A0E" w:rsidRDefault="00941F88" w:rsidP="00DC2A72">
      <w:pPr>
        <w:tabs>
          <w:tab w:val="left" w:pos="0"/>
        </w:tabs>
        <w:ind w:left="1080" w:hanging="360"/>
        <w:jc w:val="both"/>
        <w:rPr>
          <w:u w:val="single"/>
        </w:rPr>
      </w:pPr>
    </w:p>
    <w:p w:rsidR="004C1C5E" w:rsidRPr="00345A0E" w:rsidRDefault="00DF5562" w:rsidP="00345A0E">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2C7E28">
        <w:t xml:space="preserve">Company witness </w:t>
      </w:r>
      <w:r w:rsidR="00941F88" w:rsidRPr="00345A0E">
        <w:t>Mr. Kopczynski provides additional detail in his testimony concerning these and other programs designed to assist customers.</w:t>
      </w:r>
    </w:p>
    <w:p w:rsidR="00650860" w:rsidRPr="00345A0E" w:rsidRDefault="00345A0E" w:rsidP="00650860">
      <w:pPr>
        <w:pStyle w:val="BodyTextIndent3"/>
        <w:tabs>
          <w:tab w:val="left" w:pos="720"/>
        </w:tabs>
        <w:ind w:right="-180" w:firstLine="0"/>
        <w:jc w:val="center"/>
        <w:rPr>
          <w:u w:val="single"/>
        </w:rPr>
      </w:pPr>
      <w:r>
        <w:rPr>
          <w:u w:val="single"/>
        </w:rPr>
        <w:t>IX</w:t>
      </w:r>
      <w:r w:rsidR="00650860" w:rsidRPr="00345A0E">
        <w:rPr>
          <w:u w:val="single"/>
        </w:rPr>
        <w:t>.  OTHER COMPANY WITNESSES</w:t>
      </w:r>
    </w:p>
    <w:p w:rsidR="00650860" w:rsidRPr="00345A0E"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93338C" w:rsidRPr="00C50C02" w:rsidRDefault="00650860" w:rsidP="00775B1E">
      <w:pPr>
        <w:pStyle w:val="BodyText2"/>
        <w:ind w:firstLine="720"/>
        <w:jc w:val="both"/>
      </w:pPr>
      <w:r w:rsidRPr="00345A0E">
        <w:rPr>
          <w:u w:val="single"/>
        </w:rPr>
        <w:t>Mr. Mark Thies</w:t>
      </w:r>
      <w:r w:rsidRPr="00345A0E">
        <w:t xml:space="preserve">, Senior Vice President and Chief Financial Officer will </w:t>
      </w:r>
      <w:r w:rsidR="0093338C">
        <w:t>provide</w:t>
      </w:r>
      <w:r w:rsidRPr="00345A0E">
        <w:t xml:space="preserve">, among other things, </w:t>
      </w:r>
      <w:r w:rsidR="0093338C">
        <w:t xml:space="preserve">a </w:t>
      </w:r>
      <w:r w:rsidR="0093338C" w:rsidRPr="00C50C02">
        <w:t xml:space="preserve">financial overview of the Company and will explain the overall rate of return proposed by the Company in this filing for its electric and natural gas operations.  The proposed rate of return is derived from Avista’s </w:t>
      </w:r>
      <w:r w:rsidR="0093338C">
        <w:t>total cost of debt including long-term and short-term debt,</w:t>
      </w:r>
      <w:r w:rsidR="0093338C" w:rsidRPr="00C50C02">
        <w:t xml:space="preserve"> and common equity, weighted in proportion to the proposed capital structure. </w:t>
      </w:r>
      <w:r w:rsidR="0093338C">
        <w:t>He</w:t>
      </w:r>
      <w:r w:rsidR="0093338C" w:rsidRPr="00C50C02">
        <w:t xml:space="preserve"> will address the proposed capital structure, as well as the proposed cost of </w:t>
      </w:r>
      <w:r w:rsidR="0093338C">
        <w:t xml:space="preserve">total </w:t>
      </w:r>
      <w:r w:rsidR="0093338C" w:rsidRPr="00C50C02">
        <w:t xml:space="preserve">debt and equity in this filing.    </w:t>
      </w:r>
    </w:p>
    <w:p w:rsidR="0093338C" w:rsidRPr="00C50C02" w:rsidRDefault="0093338C" w:rsidP="00A666A7">
      <w:pPr>
        <w:pStyle w:val="BodyText2"/>
        <w:ind w:firstLine="720"/>
        <w:jc w:val="both"/>
      </w:pPr>
      <w:r>
        <w:t>In brief, he</w:t>
      </w:r>
      <w:r w:rsidRPr="00C50C02">
        <w:t xml:space="preserve"> will provide information that shows: </w:t>
      </w:r>
    </w:p>
    <w:p w:rsidR="0093338C" w:rsidRPr="00C50C02" w:rsidRDefault="0093338C" w:rsidP="00A666A7">
      <w:pPr>
        <w:numPr>
          <w:ilvl w:val="0"/>
          <w:numId w:val="15"/>
        </w:numPr>
        <w:jc w:val="both"/>
      </w:pPr>
      <w:r w:rsidRPr="00C50C02">
        <w:t>Avista’s plans call for significant capital expenditure</w:t>
      </w:r>
      <w:r w:rsidR="00775B1E">
        <w:t>s</w:t>
      </w:r>
      <w:r w:rsidRPr="00C50C02">
        <w:t xml:space="preserve"> for the utility over the next two years to assure reliability in serving </w:t>
      </w:r>
      <w:r>
        <w:t>our customers and meeting customer growth</w:t>
      </w:r>
      <w:r w:rsidRPr="0085421D">
        <w:t>.  Capital expenditures of approximately $</w:t>
      </w:r>
      <w:r>
        <w:t>4</w:t>
      </w:r>
      <w:r w:rsidR="00506F0F">
        <w:t>82</w:t>
      </w:r>
      <w:r w:rsidRPr="0085421D">
        <w:t xml:space="preserve"> million</w:t>
      </w:r>
      <w:r>
        <w:t xml:space="preserve"> </w:t>
      </w:r>
      <w:r w:rsidRPr="0085421D">
        <w:t>are planned for 201</w:t>
      </w:r>
      <w:r>
        <w:t>1</w:t>
      </w:r>
      <w:r w:rsidRPr="0085421D">
        <w:t>-201</w:t>
      </w:r>
      <w:r>
        <w:t>2</w:t>
      </w:r>
      <w:r w:rsidRPr="0085421D">
        <w:t xml:space="preserve"> for customer growth, investment in generation upgrades</w:t>
      </w:r>
      <w:r>
        <w:t xml:space="preserve"> and</w:t>
      </w:r>
      <w:r w:rsidRPr="0085421D">
        <w:t xml:space="preserve"> transmission and distribution facilities</w:t>
      </w:r>
      <w:r>
        <w:t>,</w:t>
      </w:r>
      <w:r w:rsidRPr="0085421D">
        <w:t xml:space="preserve"> as well as necessary maintenance and replacements of our natural gas utility systems.</w:t>
      </w:r>
      <w:r>
        <w:t xml:space="preserve">  Capital expenditures of approximately $</w:t>
      </w:r>
      <w:r w:rsidR="00506F0F">
        <w:t>1.2</w:t>
      </w:r>
      <w:r>
        <w:t xml:space="preserve"> billion are planned for the five year period ending December 31, 2015.</w:t>
      </w:r>
      <w:r w:rsidRPr="00C50C02">
        <w:t xml:space="preserve">  Avista needs adequate cash flow from operations to fund </w:t>
      </w:r>
      <w:r w:rsidRPr="00C50C02">
        <w:lastRenderedPageBreak/>
        <w:t xml:space="preserve">these requirements, together with access to capital from external sources under reasonable terms. </w:t>
      </w:r>
    </w:p>
    <w:p w:rsidR="0093338C" w:rsidRPr="00C50C02" w:rsidRDefault="0093338C" w:rsidP="00A666A7">
      <w:pPr>
        <w:tabs>
          <w:tab w:val="num" w:pos="720"/>
        </w:tabs>
        <w:ind w:left="720" w:hanging="360"/>
        <w:jc w:val="both"/>
      </w:pPr>
    </w:p>
    <w:p w:rsidR="0093338C" w:rsidRDefault="0093338C" w:rsidP="00A666A7">
      <w:pPr>
        <w:numPr>
          <w:ilvl w:val="0"/>
          <w:numId w:val="16"/>
        </w:numPr>
        <w:tabs>
          <w:tab w:val="clear" w:pos="1440"/>
          <w:tab w:val="num" w:pos="720"/>
        </w:tabs>
        <w:ind w:left="720"/>
        <w:jc w:val="both"/>
      </w:pPr>
      <w:r w:rsidRPr="00C50C02">
        <w:t>Avista’s corporate credit rating from Standard &amp; Poor’s</w:t>
      </w:r>
      <w:r>
        <w:t xml:space="preserve"> (S&amp;P)</w:t>
      </w:r>
      <w:r w:rsidRPr="00C50C02">
        <w:t xml:space="preserve"> is currently BBB and Baa</w:t>
      </w:r>
      <w:r>
        <w:t>2</w:t>
      </w:r>
      <w:r w:rsidRPr="00C50C02">
        <w:t xml:space="preserve"> from Moody’s</w:t>
      </w:r>
      <w:r>
        <w:t xml:space="preserve"> Investors Service (Moody’s)</w:t>
      </w:r>
      <w:r w:rsidRPr="00C50C02">
        <w:t xml:space="preserve">. Avista </w:t>
      </w:r>
      <w:r>
        <w:t>must</w:t>
      </w:r>
      <w:r w:rsidRPr="00C50C02">
        <w:t xml:space="preserve"> operate at a level that will support a </w:t>
      </w:r>
      <w:r>
        <w:t>solid</w:t>
      </w:r>
      <w:r w:rsidRPr="00C50C02">
        <w:t xml:space="preserve"> investment grade corporate credit rating, meaning “BBB” or “BBB+”, in order to access capital markets at reasonable rates, which will decrease long-term </w:t>
      </w:r>
      <w:r>
        <w:t xml:space="preserve">borrowing </w:t>
      </w:r>
      <w:r w:rsidRPr="00C50C02">
        <w:t xml:space="preserve">costs to customers. </w:t>
      </w:r>
      <w:r>
        <w:t xml:space="preserve">In March 2011, S&amp;P upgraded Avista’s Corporate Credit Rating to BBB from BBB- and Moody’s </w:t>
      </w:r>
      <w:r w:rsidRPr="0065165D">
        <w:t>upgraded</w:t>
      </w:r>
      <w:r>
        <w:t xml:space="preserve"> Avista’s Corporate Credit Rating to Baa2 from Baa3. 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93338C" w:rsidRDefault="0093338C" w:rsidP="00A666A7">
      <w:pPr>
        <w:ind w:left="720"/>
        <w:jc w:val="both"/>
      </w:pPr>
    </w:p>
    <w:p w:rsidR="00650860" w:rsidRPr="0093338C" w:rsidRDefault="0093338C" w:rsidP="00A666A7">
      <w:pPr>
        <w:numPr>
          <w:ilvl w:val="0"/>
          <w:numId w:val="16"/>
        </w:numPr>
        <w:tabs>
          <w:tab w:val="clear" w:pos="1440"/>
          <w:tab w:val="num" w:pos="720"/>
        </w:tabs>
        <w:ind w:left="720"/>
        <w:jc w:val="both"/>
      </w:pPr>
      <w:r w:rsidRPr="00355F58">
        <w:t xml:space="preserve">The Company </w:t>
      </w:r>
      <w:r>
        <w:t>is</w:t>
      </w:r>
      <w:r w:rsidRPr="00355F58">
        <w:t xml:space="preserve"> propos</w:t>
      </w:r>
      <w:r>
        <w:t>ing</w:t>
      </w:r>
      <w:r w:rsidRPr="00355F58">
        <w:t xml:space="preserve"> an overall rate of return of </w:t>
      </w:r>
      <w:r>
        <w:t>8.23</w:t>
      </w:r>
      <w:r w:rsidRPr="00355F58">
        <w:t>%, including a 48.</w:t>
      </w:r>
      <w:r>
        <w:t>04</w:t>
      </w:r>
      <w:r w:rsidRPr="00355F58">
        <w:t>% equity ratio and a 1</w:t>
      </w:r>
      <w:r>
        <w:t>0</w:t>
      </w:r>
      <w:r w:rsidRPr="00355F58">
        <w:t>.</w:t>
      </w:r>
      <w:r>
        <w:t>90</w:t>
      </w:r>
      <w:r w:rsidRPr="00355F58">
        <w:t xml:space="preserve">% return on equity.  </w:t>
      </w:r>
      <w:r>
        <w:t xml:space="preserve">Our proforma </w:t>
      </w:r>
      <w:r w:rsidRPr="00355F58">
        <w:t>cost of debt is 5.</w:t>
      </w:r>
      <w:r>
        <w:t>76%.</w:t>
      </w:r>
      <w:r w:rsidR="00650860" w:rsidRPr="00345A0E">
        <w:t xml:space="preserve">  </w:t>
      </w:r>
    </w:p>
    <w:p w:rsidR="0093338C" w:rsidRDefault="0093338C" w:rsidP="00747C11">
      <w:pPr>
        <w:pStyle w:val="TestBody"/>
        <w:spacing w:line="480" w:lineRule="auto"/>
        <w:ind w:left="0" w:firstLine="720"/>
        <w:rPr>
          <w:rFonts w:ascii="Times New Roman" w:hAnsi="Times New Roman" w:cs="Times New Roman"/>
          <w:u w:val="single"/>
        </w:rPr>
      </w:pP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Dr. William E. Avera,</w:t>
      </w:r>
      <w:r w:rsidR="0093338C">
        <w:rPr>
          <w:rFonts w:ascii="Times New Roman" w:hAnsi="Times New Roman" w:cs="Times New Roman"/>
        </w:rPr>
        <w:t xml:space="preserve"> as</w:t>
      </w:r>
      <w:r w:rsidRPr="00345A0E">
        <w:rPr>
          <w:rFonts w:ascii="Times New Roman" w:hAnsi="Times New Roman" w:cs="Times New Roman"/>
        </w:rPr>
        <w:t xml:space="preserve"> President of Financial Concepts and Applications (FINCAP), Inc., has been retained to present testimony with respect to the Company’s cost of common equity.  He concludes that:</w:t>
      </w:r>
    </w:p>
    <w:p w:rsidR="009B4B08" w:rsidRPr="00345A0E" w:rsidRDefault="009B4B08" w:rsidP="009B4B08">
      <w:pPr>
        <w:numPr>
          <w:ilvl w:val="0"/>
          <w:numId w:val="36"/>
        </w:numPr>
        <w:spacing w:before="120" w:after="120"/>
        <w:ind w:left="1080"/>
        <w:jc w:val="both"/>
      </w:pPr>
      <w:r w:rsidRPr="00345A0E">
        <w:t xml:space="preserve">In order to reflect the risks and prospects associated with Avista’s jurisdictional utility operations, </w:t>
      </w:r>
      <w:r w:rsidR="00BC67C3" w:rsidRPr="00345A0E">
        <w:t>his</w:t>
      </w:r>
      <w:r w:rsidRPr="00345A0E">
        <w:t xml:space="preserve"> analyses focused on a proxy group of </w:t>
      </w:r>
      <w:r w:rsidR="003F060B">
        <w:t>twenty-eight</w:t>
      </w:r>
      <w:r w:rsidRPr="00345A0E">
        <w:t xml:space="preserve"> other utilities with comparable investment risks.  Consistent with the fact that utilities must compete for capital with fir</w:t>
      </w:r>
      <w:r w:rsidR="00BC67C3" w:rsidRPr="00345A0E">
        <w:t>ms outside their own industry, he also references</w:t>
      </w:r>
      <w:r w:rsidRPr="00345A0E">
        <w:t xml:space="preserve"> a proxy group of comparable risk companies in the non-utility sector of the economy;</w:t>
      </w:r>
    </w:p>
    <w:p w:rsidR="00200E5B" w:rsidRPr="00345A0E" w:rsidRDefault="00200E5B" w:rsidP="009B4B08">
      <w:pPr>
        <w:numPr>
          <w:ilvl w:val="0"/>
          <w:numId w:val="36"/>
        </w:numPr>
        <w:spacing w:before="120" w:after="120"/>
        <w:ind w:left="1080"/>
        <w:jc w:val="both"/>
      </w:pPr>
      <w:r w:rsidRPr="00345A0E">
        <w:t xml:space="preserve">Because investors’ required return on equity is unobservable and no single method </w:t>
      </w:r>
      <w:r w:rsidR="00747C11">
        <w:t>should be viewed in isolation, he</w:t>
      </w:r>
      <w:r w:rsidRPr="00345A0E">
        <w:t xml:space="preserve"> applied both the DCF and CAPM methods, as well as the expected earnings approach, to estimate a fair ROE for Avista;</w:t>
      </w:r>
    </w:p>
    <w:p w:rsidR="00200E5B" w:rsidRPr="00345A0E" w:rsidRDefault="00200E5B" w:rsidP="00DC2A72">
      <w:pPr>
        <w:numPr>
          <w:ilvl w:val="0"/>
          <w:numId w:val="17"/>
        </w:numPr>
        <w:tabs>
          <w:tab w:val="clear" w:pos="720"/>
        </w:tabs>
        <w:autoSpaceDE/>
        <w:autoSpaceDN/>
        <w:ind w:left="1080"/>
        <w:jc w:val="both"/>
      </w:pPr>
      <w:r w:rsidRPr="00345A0E">
        <w:t>Based on the results of these analyses, and giving less weight to extremes at the h</w:t>
      </w:r>
      <w:r w:rsidR="00747C11">
        <w:t>igh and low ends of the range, he</w:t>
      </w:r>
      <w:r w:rsidRPr="00345A0E">
        <w:t xml:space="preserve"> concluded that the cost of equity for the proxy groups of utilities and non-utility companies is in the </w:t>
      </w:r>
      <w:r w:rsidRPr="00A666A7">
        <w:rPr>
          <w:bCs/>
        </w:rPr>
        <w:t>10.3 percent to 11.3 percent</w:t>
      </w:r>
      <w:r w:rsidRPr="00345A0E">
        <w:t xml:space="preserve"> range, or </w:t>
      </w:r>
      <w:r w:rsidRPr="00A666A7">
        <w:rPr>
          <w:bCs/>
        </w:rPr>
        <w:t>10.45 percent to 11.45 percent</w:t>
      </w:r>
      <w:r w:rsidRPr="00345A0E">
        <w:t xml:space="preserve"> after incorporating an adjustment to account for the impact of common equity flotation costs; and,</w:t>
      </w:r>
    </w:p>
    <w:p w:rsidR="00650860" w:rsidRPr="00D773B1" w:rsidRDefault="00747C11" w:rsidP="00D773B1">
      <w:pPr>
        <w:numPr>
          <w:ilvl w:val="0"/>
          <w:numId w:val="17"/>
        </w:numPr>
        <w:tabs>
          <w:tab w:val="clear" w:pos="720"/>
        </w:tabs>
        <w:spacing w:before="120" w:after="120"/>
        <w:ind w:left="1080"/>
        <w:jc w:val="both"/>
        <w:rPr>
          <w:iCs/>
        </w:rPr>
      </w:pPr>
      <w:r w:rsidRPr="00747C11">
        <w:rPr>
          <w:iCs/>
        </w:rPr>
        <w:t xml:space="preserve">As reflected in the testimony of </w:t>
      </w:r>
      <w:r>
        <w:rPr>
          <w:rFonts w:cs="Arial"/>
        </w:rPr>
        <w:t>Mr.</w:t>
      </w:r>
      <w:r w:rsidRPr="00747C11">
        <w:rPr>
          <w:iCs/>
        </w:rPr>
        <w:t xml:space="preserve"> Thies, Avista is requesting a fair ROE of 10.9 </w:t>
      </w:r>
      <w:r w:rsidRPr="00747C11">
        <w:t>percent</w:t>
      </w:r>
      <w:r w:rsidRPr="00747C11">
        <w:rPr>
          <w:iCs/>
        </w:rPr>
        <w:t xml:space="preserve">, which is essentially equal to the midpoint of </w:t>
      </w:r>
      <w:r w:rsidR="003F060B">
        <w:rPr>
          <w:iCs/>
        </w:rPr>
        <w:t xml:space="preserve">Dr. </w:t>
      </w:r>
      <w:proofErr w:type="spellStart"/>
      <w:r w:rsidR="003F060B">
        <w:rPr>
          <w:iCs/>
        </w:rPr>
        <w:t>Avera’s</w:t>
      </w:r>
      <w:proofErr w:type="spellEnd"/>
      <w:r w:rsidRPr="00747C11">
        <w:rPr>
          <w:iCs/>
        </w:rPr>
        <w:t xml:space="preserve"> recommended range.  </w:t>
      </w:r>
      <w:r w:rsidRPr="00747C11">
        <w:t xml:space="preserve">Considering capital market expectations, the exposures faced by Avista, and the economic requirements necessary to maintain financial integrity and support additional capital investment even under adverse circumstances, it is </w:t>
      </w:r>
      <w:r>
        <w:t>his</w:t>
      </w:r>
      <w:r w:rsidRPr="00747C11">
        <w:t xml:space="preserve"> opinion that 10.9 percent represents a fair and reasonable ROE for Avista.</w:t>
      </w:r>
    </w:p>
    <w:p w:rsidR="0017613F" w:rsidRPr="00345A0E" w:rsidRDefault="00A07D8B" w:rsidP="0017613F">
      <w:pPr>
        <w:adjustRightInd w:val="0"/>
        <w:spacing w:line="480" w:lineRule="auto"/>
        <w:ind w:firstLine="720"/>
        <w:jc w:val="both"/>
      </w:pPr>
      <w:r w:rsidRPr="00345A0E">
        <w:rPr>
          <w:u w:val="single"/>
        </w:rPr>
        <w:lastRenderedPageBreak/>
        <w:t xml:space="preserve">Mr. </w:t>
      </w:r>
      <w:r w:rsidR="00FB0F25" w:rsidRPr="00345A0E">
        <w:rPr>
          <w:u w:val="single"/>
        </w:rPr>
        <w:t>Robert Lafferty</w:t>
      </w:r>
      <w:r w:rsidRPr="00345A0E">
        <w:t xml:space="preserve">, </w:t>
      </w:r>
      <w:r w:rsidR="00FB0F25" w:rsidRPr="00345A0E">
        <w:t>Director</w:t>
      </w:r>
      <w:r w:rsidRPr="00345A0E">
        <w:t xml:space="preserve"> of </w:t>
      </w:r>
      <w:r w:rsidR="00FB0F25" w:rsidRPr="00345A0E">
        <w:t>Power Supp</w:t>
      </w:r>
      <w:r w:rsidR="005E7469" w:rsidRPr="00345A0E">
        <w:t>l</w:t>
      </w:r>
      <w:r w:rsidR="00FB0F25" w:rsidRPr="00345A0E">
        <w:t>y</w:t>
      </w:r>
      <w:r w:rsidRPr="00345A0E">
        <w:t xml:space="preserve">, </w:t>
      </w:r>
      <w:r w:rsidR="000444E1" w:rsidRPr="00345A0E">
        <w:t>will provide an overview of Avista’s resource planning and power supply operations.  This includes summaries of the Company’s generation resources, the current and future load and resource position, future resource plans, and an update on the Company’s plans regarding the acquisition of new renewable resources.  As part of an overview of the Company’s risk management policy, he will provide an update on the Company’s hedging practices.  He will address hydroelectric and thermal project upgrades, followed by an update on recent developments regarding hydro licensing.</w:t>
      </w:r>
    </w:p>
    <w:p w:rsidR="00650860" w:rsidRPr="0017613F"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xml:space="preserve">, Manager of Resource Planning &amp; Power Supply Analyses, </w:t>
      </w:r>
      <w:r w:rsidR="000444E1" w:rsidRPr="00345A0E">
        <w:rPr>
          <w:rFonts w:ascii="Times New Roman" w:hAnsi="Times New Roman" w:cs="Times New Roman"/>
        </w:rPr>
        <w:t>will describe the Company’s use of the AURORA</w:t>
      </w:r>
      <w:r w:rsidR="000444E1" w:rsidRPr="00345A0E">
        <w:rPr>
          <w:rFonts w:ascii="Times New Roman" w:hAnsi="Times New Roman" w:cs="Times New Roman"/>
          <w:vertAlign w:val="subscript"/>
        </w:rPr>
        <w:t>XMP</w:t>
      </w:r>
      <w:r w:rsidR="000444E1"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Finally, he will present the modeling results provided to Company witness Mr. Johnson for his power supply pro forma adjustment calculations.</w:t>
      </w:r>
    </w:p>
    <w:p w:rsidR="00747C11"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will </w:t>
      </w:r>
      <w:r w:rsidR="000444E1" w:rsidRPr="00345A0E">
        <w:rPr>
          <w:rFonts w:ascii="Times New Roman" w:hAnsi="Times New Roman" w:cs="Times New Roman"/>
        </w:rPr>
        <w:t>identify and explain the proposed normalizing and pro forma adjustments to the January 2010 through December 2010 test period power supply revenues and expenses, and describe the proposed level of authorized expense and retail revenue credit for Energy Recovery Mechanism (ERM) purposes, using the pro forma costs proposed by the Company in this filing.  His testimony also shows the change in power supply expense incorporating the Energy Efficiency Load Adjustment proposed by the Company in this case.</w:t>
      </w:r>
      <w:r w:rsidRPr="00345A0E">
        <w:rPr>
          <w:rFonts w:ascii="Times New Roman" w:hAnsi="Times New Roman" w:cs="Times New Roman"/>
        </w:rPr>
        <w:t xml:space="preserve">  </w:t>
      </w:r>
    </w:p>
    <w:p w:rsidR="00D773B1" w:rsidRPr="00747C11" w:rsidRDefault="00D773B1"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lastRenderedPageBreak/>
        <w:t>Mr. Kevin Christie,</w:t>
      </w:r>
      <w:r w:rsidRPr="00345A0E">
        <w:rPr>
          <w:rFonts w:ascii="Times New Roman" w:hAnsi="Times New Roman" w:cs="Times New Roman"/>
        </w:rPr>
        <w:t xml:space="preserve"> Director of Gas Supply, will describe Avista’s natural gas procurement planning process, provide an overview of the Jackson Prairie natural gas storage facility, and discuss how the Company uses Jackson Prairie for balancing on behalf of our Local Distribution Company (LDC) customers.</w:t>
      </w: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Don Kopczynski</w:t>
      </w:r>
      <w:r w:rsidRPr="00345A0E">
        <w:rPr>
          <w:rFonts w:ascii="Times New Roman" w:hAnsi="Times New Roman" w:cs="Times New Roman"/>
        </w:rPr>
        <w:t xml:space="preserve">, Vice President of </w:t>
      </w:r>
      <w:r w:rsidR="003F060B">
        <w:rPr>
          <w:rFonts w:ascii="Times New Roman" w:hAnsi="Times New Roman" w:cs="Times New Roman"/>
        </w:rPr>
        <w:t>Customer Solutions</w:t>
      </w:r>
      <w:r w:rsidRPr="00345A0E">
        <w:rPr>
          <w:rFonts w:ascii="Times New Roman" w:hAnsi="Times New Roman" w:cs="Times New Roman"/>
        </w:rPr>
        <w:t>, will describe Avista’s electric and natural gas energy delivery facilities and operations, and recent efforts to increase efficiency and improve customer service.  Mr. Kopczynski describes:</w:t>
      </w:r>
    </w:p>
    <w:p w:rsidR="00650860" w:rsidRPr="00345A0E" w:rsidRDefault="00650860" w:rsidP="00DC2A72">
      <w:pPr>
        <w:pStyle w:val="TestBody"/>
        <w:numPr>
          <w:ilvl w:val="0"/>
          <w:numId w:val="3"/>
        </w:numPr>
        <w:tabs>
          <w:tab w:val="num" w:pos="2160"/>
        </w:tabs>
        <w:spacing w:line="240" w:lineRule="auto"/>
        <w:ind w:hanging="360"/>
        <w:rPr>
          <w:rFonts w:ascii="Times New Roman" w:hAnsi="Times New Roman" w:cs="Times New Roman"/>
        </w:rPr>
      </w:pPr>
      <w:r w:rsidRPr="00345A0E">
        <w:rPr>
          <w:rFonts w:ascii="Times New Roman" w:hAnsi="Times New Roman" w:cs="Times New Roman"/>
        </w:rPr>
        <w:t xml:space="preserve">Avista’s customer service programs such as </w:t>
      </w:r>
      <w:r w:rsidR="009C0BA1" w:rsidRPr="00345A0E">
        <w:rPr>
          <w:rFonts w:ascii="Times New Roman" w:hAnsi="Times New Roman" w:cs="Times New Roman"/>
        </w:rPr>
        <w:t xml:space="preserve">the Low-Income Rate Assistance Program (LIRAP), </w:t>
      </w:r>
      <w:r w:rsidRPr="00345A0E">
        <w:rPr>
          <w:rFonts w:ascii="Times New Roman" w:hAnsi="Times New Roman" w:cs="Times New Roman"/>
        </w:rPr>
        <w:t>energy efficiency, Project Share, CARES program, Senior Outreach Program, and payment plans.  Some of these programs will serve to mitigate the impact on customers of the proposed rate increase.</w:t>
      </w:r>
    </w:p>
    <w:p w:rsidR="00650860" w:rsidRPr="00345A0E" w:rsidRDefault="00650860" w:rsidP="00DC2A72">
      <w:pPr>
        <w:pStyle w:val="TestBody"/>
        <w:numPr>
          <w:ilvl w:val="0"/>
          <w:numId w:val="3"/>
        </w:numPr>
        <w:tabs>
          <w:tab w:val="num" w:pos="2160"/>
        </w:tabs>
        <w:spacing w:line="240" w:lineRule="auto"/>
        <w:ind w:hanging="360"/>
        <w:rPr>
          <w:rFonts w:ascii="Times New Roman" w:hAnsi="Times New Roman" w:cs="Times New Roman"/>
        </w:rPr>
      </w:pPr>
      <w:r w:rsidRPr="00345A0E">
        <w:rPr>
          <w:rFonts w:ascii="Times New Roman" w:hAnsi="Times New Roman" w:cs="Times New Roman"/>
        </w:rPr>
        <w:t xml:space="preserve">The Company’s multi-faceted effort to increase customer service automation, including replacement and upgrade of the new </w:t>
      </w:r>
      <w:r w:rsidR="000E4D52" w:rsidRPr="00345A0E">
        <w:rPr>
          <w:rFonts w:ascii="Times New Roman" w:hAnsi="Times New Roman" w:cs="Times New Roman"/>
        </w:rPr>
        <w:t>Enterprise Voice Portal (EVP)</w:t>
      </w:r>
      <w:r w:rsidRPr="00345A0E">
        <w:rPr>
          <w:rFonts w:ascii="Times New Roman" w:hAnsi="Times New Roman" w:cs="Times New Roman"/>
        </w:rPr>
        <w:t xml:space="preserve"> system.</w:t>
      </w:r>
    </w:p>
    <w:p w:rsidR="00747C11" w:rsidRPr="00345A0E" w:rsidRDefault="00747C11" w:rsidP="0017613F">
      <w:pPr>
        <w:pStyle w:val="TestBody"/>
        <w:tabs>
          <w:tab w:val="num" w:pos="2160"/>
        </w:tabs>
        <w:spacing w:line="360" w:lineRule="auto"/>
        <w:ind w:left="0" w:firstLine="0"/>
        <w:rPr>
          <w:rFonts w:ascii="Times New Roman" w:hAnsi="Times New Roman" w:cs="Times New Roman"/>
        </w:rPr>
      </w:pPr>
    </w:p>
    <w:p w:rsidR="00345A0E" w:rsidRDefault="00650860" w:rsidP="0017613F">
      <w:pPr>
        <w:pStyle w:val="TestBody"/>
        <w:spacing w:line="480" w:lineRule="auto"/>
        <w:ind w:left="-90" w:firstLine="810"/>
        <w:rPr>
          <w:rFonts w:ascii="Times New Roman" w:hAnsi="Times New Roman" w:cs="Times New Roman"/>
        </w:rPr>
      </w:pPr>
      <w:r w:rsidRPr="00345A0E">
        <w:rPr>
          <w:rFonts w:ascii="Times New Roman" w:hAnsi="Times New Roman" w:cs="Times New Roman"/>
          <w:u w:val="single"/>
        </w:rPr>
        <w:t>Mr. Scott Kinney</w:t>
      </w:r>
      <w:r w:rsidRPr="00345A0E">
        <w:rPr>
          <w:rFonts w:ascii="Times New Roman" w:hAnsi="Times New Roman" w:cs="Times New Roman"/>
        </w:rPr>
        <w:t xml:space="preserve">, Director, Transmission Operations, will discuss the electric transmission and distribution </w:t>
      </w:r>
      <w:r w:rsidR="000E4D52" w:rsidRPr="00345A0E">
        <w:rPr>
          <w:rFonts w:ascii="Times New Roman" w:hAnsi="Times New Roman" w:cs="Times New Roman"/>
        </w:rPr>
        <w:t xml:space="preserve">capital </w:t>
      </w:r>
      <w:r w:rsidRPr="00345A0E">
        <w:rPr>
          <w:rFonts w:ascii="Times New Roman" w:hAnsi="Times New Roman" w:cs="Times New Roman"/>
        </w:rPr>
        <w:t>investments included in this case, and presents the Company’s pro forma period transmission revenues and expenses.  In addition, he describes the Company’s Asset Management Program</w:t>
      </w:r>
      <w:r w:rsidR="006870E8" w:rsidRPr="00345A0E">
        <w:rPr>
          <w:rFonts w:ascii="Times New Roman" w:hAnsi="Times New Roman" w:cs="Times New Roman"/>
        </w:rPr>
        <w:t xml:space="preserve"> (including the additional vegetation management expenses included in the Company’s case)</w:t>
      </w:r>
      <w:r w:rsidRPr="00345A0E">
        <w:rPr>
          <w:rFonts w:ascii="Times New Roman" w:hAnsi="Times New Roman" w:cs="Times New Roman"/>
        </w:rPr>
        <w:t xml:space="preserve">.  </w:t>
      </w:r>
    </w:p>
    <w:p w:rsidR="00D773B1" w:rsidRPr="00345A0E" w:rsidRDefault="00D773B1" w:rsidP="00D773B1">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Ms. Elizabeth Andrews</w:t>
      </w:r>
      <w:r w:rsidRPr="00345A0E">
        <w:rPr>
          <w:rFonts w:ascii="Times New Roman" w:hAnsi="Times New Roman" w:cs="Times New Roman"/>
        </w:rPr>
        <w:t>, Manager of Revenue Requirements, will discuss the Company’s overall revenue requirement proposals.  In addition, her testimony generally provides accounting and financial data in support of the Company's need for the proposed increase in rates.  She sponsors:</w:t>
      </w:r>
    </w:p>
    <w:p w:rsidR="00D773B1" w:rsidRPr="00345A0E" w:rsidRDefault="00D773B1" w:rsidP="00D773B1">
      <w:pPr>
        <w:numPr>
          <w:ilvl w:val="0"/>
          <w:numId w:val="12"/>
        </w:numPr>
        <w:tabs>
          <w:tab w:val="left" w:pos="720"/>
        </w:tabs>
        <w:ind w:left="1512" w:right="-187"/>
        <w:jc w:val="both"/>
      </w:pPr>
      <w:r w:rsidRPr="00345A0E">
        <w:t>Electric and natural gas revenue requirement calculations.</w:t>
      </w:r>
    </w:p>
    <w:p w:rsidR="00D773B1" w:rsidRPr="00345A0E" w:rsidRDefault="00D773B1" w:rsidP="00D773B1">
      <w:pPr>
        <w:numPr>
          <w:ilvl w:val="0"/>
          <w:numId w:val="12"/>
        </w:numPr>
        <w:tabs>
          <w:tab w:val="left" w:pos="720"/>
        </w:tabs>
        <w:ind w:left="1512" w:right="-187"/>
        <w:jc w:val="both"/>
      </w:pPr>
      <w:r w:rsidRPr="00345A0E">
        <w:t>Electric and natural gas results of operations.</w:t>
      </w:r>
    </w:p>
    <w:p w:rsidR="00D773B1" w:rsidRPr="00345A0E" w:rsidRDefault="00D773B1" w:rsidP="00D773B1">
      <w:pPr>
        <w:numPr>
          <w:ilvl w:val="0"/>
          <w:numId w:val="12"/>
        </w:numPr>
        <w:tabs>
          <w:tab w:val="left" w:pos="720"/>
        </w:tabs>
        <w:ind w:left="1512" w:right="-187"/>
        <w:jc w:val="both"/>
      </w:pPr>
      <w:r w:rsidRPr="00345A0E">
        <w:t>Pro forma operating results including expense and rate base adjustments.</w:t>
      </w:r>
    </w:p>
    <w:p w:rsidR="00D773B1" w:rsidRPr="0017613F" w:rsidRDefault="00D773B1" w:rsidP="00D773B1">
      <w:pPr>
        <w:numPr>
          <w:ilvl w:val="0"/>
          <w:numId w:val="12"/>
        </w:numPr>
        <w:tabs>
          <w:tab w:val="left" w:pos="720"/>
        </w:tabs>
        <w:ind w:left="1512" w:right="-187"/>
        <w:jc w:val="both"/>
      </w:pPr>
      <w:r w:rsidRPr="00345A0E">
        <w:t>System and jurisdictional allocations.</w:t>
      </w:r>
    </w:p>
    <w:p w:rsidR="00D773B1" w:rsidRDefault="00D773B1" w:rsidP="00D773B1">
      <w:pPr>
        <w:pStyle w:val="TestBody"/>
        <w:spacing w:line="480" w:lineRule="auto"/>
        <w:ind w:left="0" w:right="-187" w:firstLine="720"/>
        <w:rPr>
          <w:rFonts w:ascii="Times New Roman" w:hAnsi="Times New Roman" w:cs="Times New Roman"/>
        </w:rPr>
      </w:pPr>
    </w:p>
    <w:p w:rsidR="00D773B1" w:rsidRPr="00345A0E" w:rsidRDefault="00D773B1" w:rsidP="00D773B1">
      <w:pPr>
        <w:pStyle w:val="TestBody"/>
        <w:spacing w:line="480" w:lineRule="auto"/>
        <w:ind w:left="-90" w:firstLine="810"/>
        <w:rPr>
          <w:rFonts w:ascii="Times New Roman" w:hAnsi="Times New Roman" w:cs="Times New Roman"/>
        </w:rPr>
      </w:pPr>
      <w:r>
        <w:rPr>
          <w:rFonts w:ascii="Times New Roman" w:hAnsi="Times New Roman" w:cs="Times New Roman"/>
        </w:rPr>
        <w:t>In addition, she will explain the Company’s request for deferred accounting treatment of major changes in generation plant O&amp;M costs, and the Company’s compliance with certain requirements as Ordered by the Commission in Order No. 7, Docket Nos. UE-100467 and UG-100468.</w:t>
      </w:r>
    </w:p>
    <w:p w:rsidR="00650860" w:rsidRPr="00345A0E" w:rsidRDefault="00650860" w:rsidP="00DC2A72">
      <w:pPr>
        <w:spacing w:line="480" w:lineRule="auto"/>
        <w:ind w:firstLine="720"/>
        <w:jc w:val="both"/>
      </w:pPr>
      <w:r w:rsidRPr="00345A0E">
        <w:rPr>
          <w:u w:val="single"/>
        </w:rPr>
        <w:t>Mr. Dave DeFelice</w:t>
      </w:r>
      <w:r w:rsidRPr="00345A0E">
        <w:t xml:space="preserve">, Senior Business Analyst, </w:t>
      </w:r>
      <w:r w:rsidR="000444E1" w:rsidRPr="00345A0E">
        <w:t>will cover the Company’s proposed restating and pro forma adjustments for capital investments in utility plant for the 2010 test period.</w:t>
      </w:r>
      <w:r w:rsidRPr="00345A0E">
        <w:t xml:space="preserve">  Mr. DeFelice explains:</w:t>
      </w:r>
    </w:p>
    <w:p w:rsidR="00650860" w:rsidRPr="00345A0E" w:rsidRDefault="00650860" w:rsidP="00DC2A72">
      <w:pPr>
        <w:pStyle w:val="TestBody"/>
        <w:numPr>
          <w:ilvl w:val="0"/>
          <w:numId w:val="19"/>
        </w:numPr>
        <w:spacing w:line="240" w:lineRule="auto"/>
        <w:rPr>
          <w:rFonts w:ascii="Times New Roman" w:hAnsi="Times New Roman" w:cs="Times New Roman"/>
        </w:rPr>
      </w:pPr>
      <w:r w:rsidRPr="00345A0E">
        <w:rPr>
          <w:rFonts w:ascii="Times New Roman" w:hAnsi="Times New Roman" w:cs="Times New Roman"/>
        </w:rPr>
        <w:t>The rising cost of essential materials specific to the utility industry is causing significant increases in capital project funding requirements.</w:t>
      </w:r>
    </w:p>
    <w:p w:rsidR="0017613F" w:rsidRDefault="00650860" w:rsidP="00350ED0">
      <w:pPr>
        <w:pStyle w:val="TestBody"/>
        <w:numPr>
          <w:ilvl w:val="0"/>
          <w:numId w:val="19"/>
        </w:numPr>
        <w:spacing w:line="240" w:lineRule="auto"/>
        <w:rPr>
          <w:rFonts w:ascii="Times New Roman" w:hAnsi="Times New Roman" w:cs="Times New Roman"/>
        </w:rPr>
      </w:pPr>
      <w:r w:rsidRPr="00345A0E">
        <w:rPr>
          <w:rFonts w:ascii="Times New Roman" w:hAnsi="Times New Roman" w:cs="Times New Roman"/>
        </w:rPr>
        <w:t xml:space="preserve">These costs must be pro formed </w:t>
      </w:r>
      <w:r w:rsidR="006C4E47" w:rsidRPr="00345A0E">
        <w:rPr>
          <w:rFonts w:ascii="Times New Roman" w:hAnsi="Times New Roman" w:cs="Times New Roman"/>
        </w:rPr>
        <w:t xml:space="preserve">into the </w:t>
      </w:r>
      <w:r w:rsidRPr="00345A0E">
        <w:rPr>
          <w:rFonts w:ascii="Times New Roman" w:hAnsi="Times New Roman" w:cs="Times New Roman"/>
        </w:rPr>
        <w:t>test-year in order to allow necessary recovery of our costs to serve customers.</w:t>
      </w:r>
    </w:p>
    <w:p w:rsidR="003F060B" w:rsidRPr="00350ED0" w:rsidRDefault="003F060B" w:rsidP="003F060B">
      <w:pPr>
        <w:pStyle w:val="TestBody"/>
        <w:spacing w:line="240" w:lineRule="auto"/>
        <w:ind w:left="1440" w:firstLine="0"/>
        <w:rPr>
          <w:rFonts w:ascii="Times New Roman" w:hAnsi="Times New Roman" w:cs="Times New Roman"/>
        </w:rPr>
      </w:pPr>
    </w:p>
    <w:p w:rsidR="00747C11" w:rsidRPr="0017613F" w:rsidRDefault="00A8204C" w:rsidP="0017613F">
      <w:pPr>
        <w:pStyle w:val="TestBody"/>
        <w:spacing w:line="480" w:lineRule="auto"/>
        <w:ind w:left="0" w:firstLine="720"/>
        <w:rPr>
          <w:rFonts w:ascii="Times New Roman" w:hAnsi="Times New Roman" w:cs="Times New Roman"/>
          <w:bCs/>
          <w:color w:val="000000"/>
        </w:rPr>
      </w:pPr>
      <w:r w:rsidRPr="00345A0E">
        <w:rPr>
          <w:rFonts w:ascii="Times New Roman" w:hAnsi="Times New Roman" w:cs="Times New Roman"/>
          <w:u w:val="single"/>
        </w:rPr>
        <w:t>Ms. Karen Feltes,</w:t>
      </w:r>
      <w:r w:rsidRPr="00345A0E">
        <w:rPr>
          <w:rFonts w:ascii="Times New Roman" w:hAnsi="Times New Roman" w:cs="Times New Roman"/>
        </w:rPr>
        <w:t xml:space="preserve"> Senior Vice-President, </w:t>
      </w:r>
      <w:r w:rsidR="00F60F9B" w:rsidRPr="00345A0E">
        <w:rPr>
          <w:rFonts w:ascii="Times New Roman" w:hAnsi="Times New Roman" w:cs="Times New Roman"/>
        </w:rPr>
        <w:t>Human Resources and Corporate Secretary</w:t>
      </w:r>
      <w:r w:rsidR="00775B1E">
        <w:rPr>
          <w:rFonts w:ascii="Times New Roman" w:hAnsi="Times New Roman" w:cs="Times New Roman"/>
        </w:rPr>
        <w:t>,</w:t>
      </w:r>
      <w:r w:rsidR="00F60F9B" w:rsidRPr="00345A0E">
        <w:rPr>
          <w:rFonts w:ascii="Times New Roman" w:hAnsi="Times New Roman" w:cs="Times New Roman"/>
        </w:rPr>
        <w:t xml:space="preserve"> will discuss</w:t>
      </w:r>
      <w:r w:rsidR="006870E8" w:rsidRPr="00345A0E">
        <w:rPr>
          <w:rFonts w:ascii="Times New Roman" w:hAnsi="Times New Roman" w:cs="Times New Roman"/>
          <w:bCs/>
          <w:color w:val="000000"/>
        </w:rPr>
        <w:t xml:space="preserve"> Avista Corporation’s Compensation Program</w:t>
      </w:r>
      <w:r w:rsidR="00BC67C3" w:rsidRPr="00345A0E">
        <w:rPr>
          <w:rFonts w:ascii="Times New Roman" w:hAnsi="Times New Roman" w:cs="Times New Roman"/>
          <w:bCs/>
          <w:color w:val="000000"/>
        </w:rPr>
        <w:t>s and</w:t>
      </w:r>
      <w:r w:rsidR="006870E8" w:rsidRPr="00345A0E">
        <w:rPr>
          <w:rFonts w:ascii="Times New Roman" w:hAnsi="Times New Roman" w:cs="Times New Roman"/>
          <w:bCs/>
          <w:color w:val="000000"/>
        </w:rPr>
        <w:t xml:space="preserve"> employee benefits</w:t>
      </w:r>
      <w:r w:rsidR="00BC67C3" w:rsidRPr="00345A0E">
        <w:rPr>
          <w:rFonts w:ascii="Times New Roman" w:hAnsi="Times New Roman" w:cs="Times New Roman"/>
          <w:bCs/>
          <w:color w:val="000000"/>
        </w:rPr>
        <w:t>.</w:t>
      </w:r>
      <w:r w:rsidR="006870E8" w:rsidRPr="00345A0E">
        <w:rPr>
          <w:rFonts w:ascii="Times New Roman" w:hAnsi="Times New Roman" w:cs="Times New Roman"/>
          <w:bCs/>
          <w:color w:val="000000"/>
        </w:rPr>
        <w:t xml:space="preserve"> </w:t>
      </w:r>
      <w:r w:rsidR="00BC67C3" w:rsidRPr="00345A0E">
        <w:rPr>
          <w:rFonts w:ascii="Times New Roman" w:hAnsi="Times New Roman" w:cs="Times New Roman"/>
          <w:bCs/>
          <w:color w:val="000000"/>
        </w:rPr>
        <w:t>In addition, she will describe Avista’s employee incentive plan and</w:t>
      </w:r>
      <w:r w:rsidR="006870E8" w:rsidRPr="00345A0E">
        <w:rPr>
          <w:rFonts w:ascii="Times New Roman" w:hAnsi="Times New Roman" w:cs="Times New Roman"/>
          <w:bCs/>
          <w:color w:val="000000"/>
        </w:rPr>
        <w:t xml:space="preserve"> why the costs associated with Avista’s employee incentive plan</w:t>
      </w:r>
      <w:r w:rsidR="00BC67C3" w:rsidRPr="00345A0E">
        <w:rPr>
          <w:rFonts w:ascii="Times New Roman" w:hAnsi="Times New Roman" w:cs="Times New Roman"/>
          <w:bCs/>
          <w:color w:val="000000"/>
        </w:rPr>
        <w:t>,</w:t>
      </w:r>
      <w:r w:rsidR="006870E8" w:rsidRPr="00345A0E">
        <w:rPr>
          <w:rFonts w:ascii="Times New Roman" w:hAnsi="Times New Roman" w:cs="Times New Roman"/>
          <w:bCs/>
          <w:color w:val="000000"/>
        </w:rPr>
        <w:t xml:space="preserve"> as part of the total compensation for employees</w:t>
      </w:r>
      <w:r w:rsidR="00BC67C3" w:rsidRPr="00345A0E">
        <w:rPr>
          <w:rFonts w:ascii="Times New Roman" w:hAnsi="Times New Roman" w:cs="Times New Roman"/>
          <w:bCs/>
          <w:color w:val="000000"/>
        </w:rPr>
        <w:t>, are appropriate to include in utility customer rates</w:t>
      </w:r>
      <w:r w:rsidR="006870E8" w:rsidRPr="00345A0E">
        <w:rPr>
          <w:rFonts w:ascii="Times New Roman" w:hAnsi="Times New Roman" w:cs="Times New Roman"/>
          <w:bCs/>
          <w:color w:val="000000"/>
        </w:rPr>
        <w:t>.</w:t>
      </w:r>
    </w:p>
    <w:p w:rsidR="00D20439" w:rsidRPr="00345A0E" w:rsidRDefault="00D20439" w:rsidP="00DC2A72">
      <w:pPr>
        <w:adjustRightInd w:val="0"/>
        <w:spacing w:line="480" w:lineRule="auto"/>
        <w:ind w:firstLine="720"/>
        <w:jc w:val="both"/>
      </w:pPr>
      <w:r w:rsidRPr="00345A0E">
        <w:rPr>
          <w:u w:val="single"/>
        </w:rPr>
        <w:t>Ms. Tara Knox,</w:t>
      </w:r>
      <w:r w:rsidRPr="00345A0E">
        <w:t xml:space="preserve"> Senior Regulatory Analyst, sponsors </w:t>
      </w:r>
      <w:r w:rsidR="000444E1" w:rsidRPr="00345A0E">
        <w:rPr>
          <w:rStyle w:val="LineNumber"/>
        </w:rPr>
        <w:t>the Company’s electric and natural gas cost of service studies performed for this proceeding.  Additionally, she is sponsoring the electric and natural gas revenue normalization adjustments to the test year results of operations and the proposed retail revenue credit rate to be used in the Energy Recovery Mechanism.</w:t>
      </w:r>
      <w:r w:rsidRPr="00345A0E">
        <w:t xml:space="preserve">  Ms. Knox</w:t>
      </w:r>
      <w:r w:rsidR="00D37DAF" w:rsidRPr="00345A0E">
        <w:t>’s</w:t>
      </w:r>
      <w:r w:rsidRPr="00345A0E">
        <w:t xml:space="preserve"> studies indicate:</w:t>
      </w:r>
    </w:p>
    <w:p w:rsidR="00D20439" w:rsidRDefault="00D20439" w:rsidP="00DC2A72">
      <w:pPr>
        <w:numPr>
          <w:ilvl w:val="0"/>
          <w:numId w:val="32"/>
        </w:numPr>
        <w:adjustRightInd w:val="0"/>
        <w:jc w:val="both"/>
      </w:pPr>
      <w:r w:rsidRPr="00345A0E">
        <w:t xml:space="preserve">Electric residential service, extra large general service, and pumping service schedules are earning less than the overall rate of return under present rates, while general service, large general service and the street and area lighting </w:t>
      </w:r>
      <w:r w:rsidRPr="00345A0E">
        <w:lastRenderedPageBreak/>
        <w:t xml:space="preserve">service schedules are earning more than the overall rate of return under present rates. </w:t>
      </w:r>
    </w:p>
    <w:p w:rsidR="002C7E28" w:rsidRPr="00345A0E" w:rsidRDefault="002C7E28" w:rsidP="002C7E28">
      <w:pPr>
        <w:adjustRightInd w:val="0"/>
        <w:ind w:left="1507"/>
        <w:jc w:val="both"/>
      </w:pPr>
    </w:p>
    <w:p w:rsidR="00B55C69" w:rsidRDefault="00D20439" w:rsidP="0017613F">
      <w:pPr>
        <w:numPr>
          <w:ilvl w:val="0"/>
          <w:numId w:val="32"/>
        </w:numPr>
        <w:adjustRightInd w:val="0"/>
        <w:jc w:val="both"/>
      </w:pPr>
      <w:r w:rsidRPr="00345A0E">
        <w:t xml:space="preserve">Natural Gas </w:t>
      </w:r>
      <w:r w:rsidR="000341C4" w:rsidRPr="00345A0E">
        <w:t xml:space="preserve">residential </w:t>
      </w:r>
      <w:r w:rsidR="00B55C69" w:rsidRPr="00345A0E">
        <w:t xml:space="preserve">service schedule is earning slightly less </w:t>
      </w:r>
      <w:r w:rsidRPr="00345A0E">
        <w:t xml:space="preserve">than the overall rate of return at present rates, and </w:t>
      </w:r>
      <w:r w:rsidR="000341C4" w:rsidRPr="00345A0E">
        <w:t>small firm, large firm</w:t>
      </w:r>
      <w:r w:rsidR="00B55C69" w:rsidRPr="00345A0E">
        <w:t>, interruptible,</w:t>
      </w:r>
      <w:r w:rsidR="000341C4" w:rsidRPr="00345A0E">
        <w:t xml:space="preserve"> and transportation service schedules</w:t>
      </w:r>
      <w:r w:rsidRPr="00345A0E">
        <w:t xml:space="preserve"> are earning </w:t>
      </w:r>
      <w:r w:rsidR="00B55C69" w:rsidRPr="00345A0E">
        <w:t xml:space="preserve">slightly </w:t>
      </w:r>
      <w:r w:rsidRPr="00345A0E">
        <w:t>more than the overall rate of return.</w:t>
      </w:r>
    </w:p>
    <w:p w:rsidR="0017613F" w:rsidRDefault="0017613F" w:rsidP="0017613F">
      <w:pPr>
        <w:pStyle w:val="ListParagraph"/>
      </w:pPr>
    </w:p>
    <w:p w:rsidR="0017613F" w:rsidRPr="00345A0E" w:rsidRDefault="0017613F" w:rsidP="0017613F">
      <w:pPr>
        <w:adjustRightInd w:val="0"/>
        <w:jc w:val="both"/>
      </w:pP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 xml:space="preserve">Mr. </w:t>
      </w:r>
      <w:r w:rsidR="00A8204C" w:rsidRPr="00345A0E">
        <w:rPr>
          <w:rFonts w:ascii="Times New Roman" w:hAnsi="Times New Roman" w:cs="Times New Roman"/>
          <w:u w:val="single"/>
        </w:rPr>
        <w:t>Patrick Ehrbar</w:t>
      </w:r>
      <w:r w:rsidRPr="00345A0E">
        <w:rPr>
          <w:rFonts w:ascii="Times New Roman" w:hAnsi="Times New Roman" w:cs="Times New Roman"/>
        </w:rPr>
        <w:t xml:space="preserve">, Manager of </w:t>
      </w:r>
      <w:r w:rsidR="00F60F9B" w:rsidRPr="00345A0E">
        <w:rPr>
          <w:rFonts w:ascii="Times New Roman" w:hAnsi="Times New Roman" w:cs="Times New Roman"/>
        </w:rPr>
        <w:t>Rates</w:t>
      </w:r>
      <w:r w:rsidR="00A8204C" w:rsidRPr="00345A0E">
        <w:rPr>
          <w:rFonts w:ascii="Times New Roman" w:hAnsi="Times New Roman" w:cs="Times New Roman"/>
        </w:rPr>
        <w:t xml:space="preserve"> and Tariffs</w:t>
      </w:r>
      <w:r w:rsidRPr="00345A0E">
        <w:rPr>
          <w:rFonts w:ascii="Times New Roman" w:hAnsi="Times New Roman" w:cs="Times New Roman"/>
        </w:rPr>
        <w:t>, discusses the spread of the proposed annual revenue changes among the Company’s general service schedules</w:t>
      </w:r>
      <w:r w:rsidR="003F060B">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650860" w:rsidRDefault="00650860" w:rsidP="00DC2A72">
      <w:pPr>
        <w:numPr>
          <w:ilvl w:val="0"/>
          <w:numId w:val="26"/>
        </w:numPr>
        <w:adjustRightInd w:val="0"/>
        <w:ind w:left="1440" w:hanging="360"/>
        <w:jc w:val="both"/>
      </w:pPr>
      <w:r w:rsidRPr="00345A0E">
        <w:t xml:space="preserve">The proposed increase in electric </w:t>
      </w:r>
      <w:r w:rsidR="00D32F87" w:rsidRPr="00345A0E">
        <w:t>base</w:t>
      </w:r>
      <w:r w:rsidRPr="00345A0E">
        <w:t xml:space="preserve"> rates is </w:t>
      </w:r>
      <w:r w:rsidR="00CA7319" w:rsidRPr="00345A0E">
        <w:t>9.1</w:t>
      </w:r>
      <w:r w:rsidRPr="00345A0E">
        <w:t>%, which consists of an increase in electric base retail r</w:t>
      </w:r>
      <w:r w:rsidR="003F060B">
        <w:t>evenues</w:t>
      </w:r>
      <w:r w:rsidRPr="00345A0E">
        <w:t xml:space="preserve"> of $</w:t>
      </w:r>
      <w:r w:rsidR="00CA7319" w:rsidRPr="00345A0E">
        <w:t>38.3</w:t>
      </w:r>
      <w:r w:rsidRPr="00345A0E">
        <w:t xml:space="preserve"> </w:t>
      </w:r>
      <w:r w:rsidR="00B14CEB" w:rsidRPr="00345A0E">
        <w:t>million</w:t>
      </w:r>
      <w:r w:rsidR="00F47E45" w:rsidRPr="00345A0E">
        <w:t>.</w:t>
      </w:r>
      <w:r w:rsidRPr="00345A0E">
        <w:t xml:space="preserve"> </w:t>
      </w:r>
    </w:p>
    <w:p w:rsidR="002C7E28" w:rsidRPr="00345A0E" w:rsidRDefault="002C7E28" w:rsidP="002C7E28">
      <w:pPr>
        <w:adjustRightInd w:val="0"/>
        <w:ind w:left="1440"/>
        <w:jc w:val="both"/>
      </w:pPr>
    </w:p>
    <w:p w:rsidR="00650860" w:rsidRDefault="00650860" w:rsidP="00DC2A72">
      <w:pPr>
        <w:numPr>
          <w:ilvl w:val="2"/>
          <w:numId w:val="26"/>
        </w:numPr>
        <w:adjustRightInd w:val="0"/>
        <w:ind w:left="1440" w:hanging="360"/>
        <w:jc w:val="both"/>
      </w:pPr>
      <w:r w:rsidRPr="00345A0E">
        <w:t xml:space="preserve">The monthly bill for a residential </w:t>
      </w:r>
      <w:r w:rsidR="00F47E45" w:rsidRPr="00345A0E">
        <w:t xml:space="preserve">customer using an average of </w:t>
      </w:r>
      <w:r w:rsidR="00A666A7">
        <w:t>977</w:t>
      </w:r>
      <w:r w:rsidRPr="00345A0E">
        <w:t xml:space="preserve"> kWhs per month would increase from $</w:t>
      </w:r>
      <w:r w:rsidR="00CA7319" w:rsidRPr="00345A0E">
        <w:t>77.01</w:t>
      </w:r>
      <w:r w:rsidRPr="00345A0E">
        <w:t xml:space="preserve"> to $</w:t>
      </w:r>
      <w:r w:rsidR="00CA7319" w:rsidRPr="00345A0E">
        <w:t>84.14</w:t>
      </w:r>
      <w:r w:rsidRPr="00345A0E">
        <w:t xml:space="preserve"> per month, an increase of $</w:t>
      </w:r>
      <w:r w:rsidR="00CA7319" w:rsidRPr="00345A0E">
        <w:t>7.13</w:t>
      </w:r>
      <w:r w:rsidRPr="00345A0E">
        <w:t xml:space="preserve"> or </w:t>
      </w:r>
      <w:r w:rsidR="00CA7319" w:rsidRPr="00345A0E">
        <w:t>9.3</w:t>
      </w:r>
      <w:r w:rsidRPr="00345A0E">
        <w:t>%.  This includes the proposed increase in the monthly basic or customer charge from $</w:t>
      </w:r>
      <w:r w:rsidR="00B14CEB" w:rsidRPr="00345A0E">
        <w:t>6.00</w:t>
      </w:r>
      <w:r w:rsidRPr="00345A0E">
        <w:t xml:space="preserve"> to $</w:t>
      </w:r>
      <w:r w:rsidR="00CA7319" w:rsidRPr="00345A0E">
        <w:t>9</w:t>
      </w:r>
      <w:r w:rsidR="00F47E45" w:rsidRPr="00345A0E">
        <w:t>.00</w:t>
      </w:r>
    </w:p>
    <w:p w:rsidR="002C7E28" w:rsidRPr="00345A0E" w:rsidRDefault="002C7E28" w:rsidP="002C7E28">
      <w:pPr>
        <w:adjustRightInd w:val="0"/>
        <w:ind w:left="1440"/>
        <w:jc w:val="both"/>
      </w:pPr>
    </w:p>
    <w:p w:rsidR="00D37DAF" w:rsidRDefault="00650860" w:rsidP="00DC2A72">
      <w:pPr>
        <w:numPr>
          <w:ilvl w:val="0"/>
          <w:numId w:val="26"/>
        </w:numPr>
        <w:adjustRightInd w:val="0"/>
        <w:ind w:left="1440" w:hanging="360"/>
        <w:jc w:val="both"/>
      </w:pPr>
      <w:r w:rsidRPr="00345A0E">
        <w:t xml:space="preserve">The proposed natural gas annual revenue increase </w:t>
      </w:r>
      <w:r w:rsidR="00D32F87" w:rsidRPr="00345A0E">
        <w:t xml:space="preserve">in base rates </w:t>
      </w:r>
      <w:r w:rsidRPr="00345A0E">
        <w:t>is $</w:t>
      </w:r>
      <w:r w:rsidR="00CA7319" w:rsidRPr="00345A0E">
        <w:t>6.2</w:t>
      </w:r>
      <w:r w:rsidRPr="00345A0E">
        <w:t xml:space="preserve"> million, or </w:t>
      </w:r>
      <w:r w:rsidR="00CA7319" w:rsidRPr="00345A0E">
        <w:t>4.0</w:t>
      </w:r>
      <w:r w:rsidRPr="00345A0E">
        <w:t xml:space="preserve">%.  </w:t>
      </w:r>
    </w:p>
    <w:p w:rsidR="002C7E28" w:rsidRPr="00345A0E" w:rsidRDefault="002C7E28" w:rsidP="002C7E28">
      <w:pPr>
        <w:adjustRightInd w:val="0"/>
        <w:ind w:left="1440"/>
        <w:jc w:val="both"/>
      </w:pPr>
    </w:p>
    <w:p w:rsidR="007A228C" w:rsidRPr="00345A0E" w:rsidRDefault="00650860" w:rsidP="00DC2A72">
      <w:pPr>
        <w:numPr>
          <w:ilvl w:val="0"/>
          <w:numId w:val="26"/>
        </w:numPr>
        <w:adjustRightInd w:val="0"/>
        <w:ind w:left="1440" w:hanging="360"/>
        <w:jc w:val="both"/>
      </w:pPr>
      <w:r w:rsidRPr="00345A0E">
        <w:t>The monthly bill for a resident</w:t>
      </w:r>
      <w:r w:rsidR="00F47E45" w:rsidRPr="00345A0E">
        <w:t xml:space="preserve">ial customer using </w:t>
      </w:r>
      <w:r w:rsidR="00A666A7">
        <w:t>67</w:t>
      </w:r>
      <w:r w:rsidRPr="00345A0E">
        <w:t xml:space="preserve"> therms per month would increase from $</w:t>
      </w:r>
      <w:r w:rsidR="00CA7319" w:rsidRPr="00345A0E">
        <w:t>63.45</w:t>
      </w:r>
      <w:r w:rsidRPr="00345A0E">
        <w:t xml:space="preserve"> to $</w:t>
      </w:r>
      <w:r w:rsidR="00CA7319" w:rsidRPr="00345A0E">
        <w:t>66.71</w:t>
      </w:r>
      <w:r w:rsidRPr="00345A0E">
        <w:t xml:space="preserve"> per month, an increase of $</w:t>
      </w:r>
      <w:r w:rsidR="00CA7319" w:rsidRPr="00345A0E">
        <w:t>3.26</w:t>
      </w:r>
      <w:r w:rsidRPr="00345A0E">
        <w:t xml:space="preserve"> or </w:t>
      </w:r>
      <w:r w:rsidR="00CA7319" w:rsidRPr="00345A0E">
        <w:t>5.1</w:t>
      </w:r>
      <w:r w:rsidRPr="00345A0E">
        <w:t>%.  This includes the proposed increase in the monthly basic or customer charge from $</w:t>
      </w:r>
      <w:r w:rsidR="00B14CEB" w:rsidRPr="00345A0E">
        <w:t>6.00</w:t>
      </w:r>
      <w:r w:rsidRPr="00345A0E">
        <w:t xml:space="preserve"> to $</w:t>
      </w:r>
      <w:r w:rsidR="00CA7319" w:rsidRPr="00345A0E">
        <w:t>9</w:t>
      </w:r>
      <w:r w:rsidR="00F47E45" w:rsidRPr="00345A0E">
        <w:t>.00</w:t>
      </w:r>
      <w:r w:rsidRPr="00345A0E">
        <w:t>.</w:t>
      </w:r>
    </w:p>
    <w:p w:rsidR="00BA571A" w:rsidRPr="00345A0E" w:rsidRDefault="00BA571A" w:rsidP="00BA571A">
      <w:pPr>
        <w:adjustRightInd w:val="0"/>
        <w:ind w:left="1440" w:right="-180"/>
        <w:jc w:val="both"/>
      </w:pPr>
    </w:p>
    <w:p w:rsidR="00747C11" w:rsidRPr="00345A0E" w:rsidRDefault="00B55C69" w:rsidP="0017613F">
      <w:pPr>
        <w:adjustRightInd w:val="0"/>
        <w:spacing w:line="480" w:lineRule="auto"/>
        <w:ind w:firstLine="720"/>
        <w:jc w:val="both"/>
      </w:pPr>
      <w:r w:rsidRPr="00345A0E">
        <w:t>In addition, he will provide further information related to the Company’s proposed Energy Efficiency Load Adjustment, and provides an overview demonstrating how the Company met the requirements from the Settlement Stipulation approved in Docket Nos. UE-100467 and UG-100468.</w:t>
      </w:r>
    </w:p>
    <w:p w:rsidR="00747C11" w:rsidRPr="00345A0E"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Bruce Folsom</w:t>
      </w:r>
      <w:r w:rsidRPr="00345A0E">
        <w:rPr>
          <w:rFonts w:ascii="Times New Roman" w:hAnsi="Times New Roman" w:cs="Times New Roman"/>
        </w:rPr>
        <w:t xml:space="preserve">, Senior Manager of Demand Side Management, </w:t>
      </w:r>
      <w:r w:rsidR="0050448B" w:rsidRPr="00345A0E">
        <w:rPr>
          <w:rFonts w:ascii="Times New Roman" w:hAnsi="Times New Roman" w:cs="Times New Roman"/>
        </w:rPr>
        <w:t xml:space="preserve">will report on the status of </w:t>
      </w:r>
      <w:r w:rsidR="00775B1E">
        <w:rPr>
          <w:rFonts w:ascii="Times New Roman" w:hAnsi="Times New Roman" w:cs="Times New Roman"/>
        </w:rPr>
        <w:t>requirements</w:t>
      </w:r>
      <w:r w:rsidR="0050448B" w:rsidRPr="00345A0E">
        <w:rPr>
          <w:rFonts w:ascii="Times New Roman" w:hAnsi="Times New Roman" w:cs="Times New Roman"/>
        </w:rPr>
        <w:t xml:space="preserve"> relative to energy efficiency, </w:t>
      </w:r>
      <w:r w:rsidR="00775B1E">
        <w:rPr>
          <w:rFonts w:ascii="Times New Roman" w:hAnsi="Times New Roman" w:cs="Times New Roman"/>
        </w:rPr>
        <w:t xml:space="preserve">resulting </w:t>
      </w:r>
      <w:r w:rsidR="0050448B" w:rsidRPr="00345A0E">
        <w:rPr>
          <w:rFonts w:ascii="Times New Roman" w:hAnsi="Times New Roman" w:cs="Times New Roman"/>
        </w:rPr>
        <w:t xml:space="preserve">from the Company’s two previous general rate cases.  This is preceded by a brief overview of the Company’s DSM programs and </w:t>
      </w:r>
      <w:r w:rsidR="0050448B" w:rsidRPr="00345A0E">
        <w:rPr>
          <w:rFonts w:ascii="Times New Roman" w:hAnsi="Times New Roman" w:cs="Times New Roman"/>
        </w:rPr>
        <w:lastRenderedPageBreak/>
        <w:t xml:space="preserve">recent results, including compliance with the conservation component of “I-937” (codified as RCW </w:t>
      </w:r>
      <w:r w:rsidR="00A666A7">
        <w:rPr>
          <w:rFonts w:ascii="Times New Roman" w:hAnsi="Times New Roman" w:cs="Times New Roman"/>
        </w:rPr>
        <w:t xml:space="preserve">Chapter </w:t>
      </w:r>
      <w:r w:rsidR="0050448B" w:rsidRPr="00345A0E">
        <w:rPr>
          <w:rFonts w:ascii="Times New Roman" w:hAnsi="Times New Roman" w:cs="Times New Roman"/>
        </w:rPr>
        <w:t xml:space="preserve">19.285 and WAC </w:t>
      </w:r>
      <w:r w:rsidR="00A666A7">
        <w:rPr>
          <w:rFonts w:ascii="Times New Roman" w:hAnsi="Times New Roman" w:cs="Times New Roman"/>
        </w:rPr>
        <w:t xml:space="preserve">Chapter </w:t>
      </w:r>
      <w:r w:rsidR="0050448B" w:rsidRPr="00345A0E">
        <w:rPr>
          <w:rFonts w:ascii="Times New Roman" w:hAnsi="Times New Roman" w:cs="Times New Roman"/>
        </w:rPr>
        <w:t xml:space="preserve">480-109).  He will also describe </w:t>
      </w:r>
      <w:r w:rsidR="00775B1E">
        <w:rPr>
          <w:rFonts w:ascii="Times New Roman" w:hAnsi="Times New Roman" w:cs="Times New Roman"/>
        </w:rPr>
        <w:t>the process for</w:t>
      </w:r>
      <w:r w:rsidR="0050448B" w:rsidRPr="00345A0E">
        <w:rPr>
          <w:rFonts w:ascii="Times New Roman" w:hAnsi="Times New Roman" w:cs="Times New Roman"/>
        </w:rPr>
        <w:t xml:space="preserve"> Commission review of DSM expenditures through annual tariff rider filings.</w:t>
      </w:r>
    </w:p>
    <w:p w:rsidR="00650860" w:rsidRPr="00345A0E" w:rsidRDefault="00650860" w:rsidP="00650860">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345A0E" w:rsidRDefault="00650860" w:rsidP="00CE4599">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r w:rsidR="00B2507F" w:rsidRPr="00345A0E">
        <w:rPr>
          <w:rStyle w:val="LineNumber"/>
          <w:b w:val="0"/>
          <w:bCs w:val="0"/>
        </w:rPr>
        <w:t>.</w:t>
      </w:r>
    </w:p>
    <w:sectPr w:rsidR="00B2507F" w:rsidRPr="00345A0E" w:rsidSect="00694F8A">
      <w:pgSz w:w="12240" w:h="15840" w:code="1"/>
      <w:pgMar w:top="1440" w:right="1008" w:bottom="180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BC" w:rsidRDefault="00376BBC">
      <w:r>
        <w:separator/>
      </w:r>
    </w:p>
  </w:endnote>
  <w:endnote w:type="continuationSeparator" w:id="0">
    <w:p w:rsidR="00376BBC" w:rsidRDefault="00376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Scott L. Morris</w:t>
    </w:r>
    <w:r>
      <w:rPr>
        <w:rFonts w:ascii="Palatino Linotype" w:hAnsi="Palatino Linotype" w:cs="Palatino Linotype"/>
        <w:sz w:val="20"/>
        <w:szCs w:val="20"/>
      </w:rPr>
      <w:tab/>
    </w:r>
  </w:p>
  <w:p w:rsidR="00376BBC" w:rsidRDefault="00376BBC">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Avista Corporation</w:t>
    </w:r>
  </w:p>
  <w:p w:rsidR="00376BBC" w:rsidRDefault="00376BBC">
    <w:pPr>
      <w:pStyle w:val="Footer"/>
      <w:tabs>
        <w:tab w:val="clear" w:pos="4320"/>
        <w:tab w:val="clear" w:pos="8640"/>
        <w:tab w:val="left" w:pos="180"/>
        <w:tab w:val="right" w:pos="9360"/>
      </w:tabs>
      <w:rPr>
        <w:rStyle w:val="PageNumber"/>
        <w:rFonts w:ascii="Palatino Linotype" w:hAnsi="Palatino Linotype" w:cs="Palatino Linotype"/>
        <w:sz w:val="20"/>
        <w:szCs w:val="20"/>
      </w:rPr>
    </w:pPr>
    <w:r>
      <w:rPr>
        <w:rFonts w:ascii="Palatino Linotype" w:hAnsi="Palatino Linotype" w:cs="Palatino Linotype"/>
        <w:sz w:val="20"/>
        <w:szCs w:val="20"/>
      </w:rPr>
      <w:t>Docket Nos. UE-11___ and UG-11___</w:t>
    </w:r>
    <w:r>
      <w:rPr>
        <w:rFonts w:ascii="Palatino Linotype" w:hAnsi="Palatino Linotype" w:cs="Palatino Linotype"/>
        <w:sz w:val="20"/>
        <w:szCs w:val="20"/>
      </w:rPr>
      <w:tab/>
      <w:t xml:space="preserve">Page </w:t>
    </w:r>
    <w:r w:rsidR="001667DF">
      <w:rPr>
        <w:rStyle w:val="PageNumber"/>
        <w:rFonts w:ascii="Palatino Linotype" w:hAnsi="Palatino Linotype" w:cs="Palatino Linotype"/>
        <w:sz w:val="20"/>
        <w:szCs w:val="20"/>
      </w:rPr>
      <w:fldChar w:fldCharType="begin"/>
    </w:r>
    <w:r>
      <w:rPr>
        <w:rStyle w:val="PageNumber"/>
        <w:rFonts w:ascii="Palatino Linotype" w:hAnsi="Palatino Linotype" w:cs="Palatino Linotype"/>
        <w:sz w:val="20"/>
        <w:szCs w:val="20"/>
      </w:rPr>
      <w:instrText xml:space="preserve"> PAGE </w:instrText>
    </w:r>
    <w:r w:rsidR="001667DF">
      <w:rPr>
        <w:rStyle w:val="PageNumber"/>
        <w:rFonts w:ascii="Palatino Linotype" w:hAnsi="Palatino Linotype" w:cs="Palatino Linotype"/>
        <w:sz w:val="20"/>
        <w:szCs w:val="20"/>
      </w:rPr>
      <w:fldChar w:fldCharType="separate"/>
    </w:r>
    <w:r w:rsidR="002D1F02">
      <w:rPr>
        <w:rStyle w:val="PageNumber"/>
        <w:rFonts w:ascii="Palatino Linotype" w:hAnsi="Palatino Linotype" w:cs="Palatino Linotype"/>
        <w:noProof/>
        <w:sz w:val="20"/>
        <w:szCs w:val="20"/>
      </w:rPr>
      <w:t>10</w:t>
    </w:r>
    <w:r w:rsidR="001667DF">
      <w:rPr>
        <w:rStyle w:val="PageNumber"/>
        <w:rFonts w:ascii="Palatino Linotype" w:hAnsi="Palatino Linotype" w:cs="Palatino Linotype"/>
        <w:sz w:val="20"/>
        <w:szCs w:val="20"/>
      </w:rPr>
      <w:fldChar w:fldCharType="end"/>
    </w:r>
  </w:p>
  <w:p w:rsidR="00376BBC" w:rsidRDefault="00376BBC">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BC" w:rsidRDefault="00376BBC">
      <w:r>
        <w:separator/>
      </w:r>
    </w:p>
  </w:footnote>
  <w:footnote w:type="continuationSeparator" w:id="0">
    <w:p w:rsidR="00376BBC" w:rsidRDefault="00376BBC">
      <w:r>
        <w:continuationSeparator/>
      </w:r>
    </w:p>
  </w:footnote>
  <w:footnote w:id="1">
    <w:p w:rsidR="00376BBC" w:rsidRDefault="00376BBC" w:rsidP="00A666A7">
      <w:pPr>
        <w:pStyle w:val="FootnoteText"/>
        <w:jc w:val="both"/>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w:t>
      </w:r>
      <w:r>
        <w:t>e, Maryland</w:t>
      </w:r>
      <w:r w:rsidRPr="00207776">
        <w:t>.</w:t>
      </w:r>
      <w:r>
        <w:t xml:space="preserve">  </w:t>
      </w:r>
      <w:r w:rsidRPr="00573311">
        <w:t>The Handy-Whitman Indexes of Public Utility Construction Costs show the level of costs for different types of utility</w:t>
      </w:r>
      <w:r>
        <w:t xml:space="preserve"> construction.  Separate indices</w:t>
      </w:r>
      <w:r w:rsidRPr="00573311">
        <w:t xml:space="preserve"> are maintained for general items of construction, such as reinforced concrete, and specific items of material or equipment, such a</w:t>
      </w:r>
      <w:r>
        <w:t>s pipe or turbo-generators.  Han</w:t>
      </w:r>
      <w:r w:rsidRPr="00573311">
        <w:t xml:space="preserve">dy-Whitman Index numbers are used to trend earlier valuations and original cost at prices prevailing at a certain date. </w:t>
      </w:r>
    </w:p>
  </w:footnote>
  <w:footnote w:id="2">
    <w:p w:rsidR="00376BBC" w:rsidRDefault="00376BBC">
      <w:pPr>
        <w:pStyle w:val="FootnoteText"/>
      </w:pPr>
      <w:r>
        <w:rPr>
          <w:rStyle w:val="FootnoteReference"/>
        </w:rPr>
        <w:footnoteRef/>
      </w:r>
      <w:r>
        <w:t xml:space="preserve"> Avista also serves approximately 20 retail electric customers in western Montana.</w:t>
      </w:r>
    </w:p>
  </w:footnote>
  <w:footnote w:id="3">
    <w:p w:rsidR="00376BBC" w:rsidRDefault="00376BBC" w:rsidP="00A666A7">
      <w:pPr>
        <w:pStyle w:val="FootnoteText"/>
        <w:jc w:val="both"/>
      </w:pPr>
      <w:r>
        <w:rPr>
          <w:rStyle w:val="FootnoteReference"/>
        </w:rPr>
        <w:footnoteRef/>
      </w:r>
      <w:r>
        <w:t xml:space="preserve"> </w:t>
      </w:r>
      <w:r w:rsidRPr="00C3434B">
        <w:t>Based on a residential customer’s usage of 1,000 kWh per month.</w:t>
      </w:r>
    </w:p>
  </w:footnote>
  <w:footnote w:id="4">
    <w:p w:rsidR="00376BBC" w:rsidRPr="009007DF" w:rsidRDefault="00376BBC" w:rsidP="00A666A7">
      <w:pPr>
        <w:pStyle w:val="FootnoteText"/>
        <w:jc w:val="both"/>
      </w:pPr>
      <w:r w:rsidRPr="009007DF">
        <w:rPr>
          <w:rStyle w:val="FootnoteReference"/>
        </w:rPr>
        <w:footnoteRef/>
      </w:r>
      <w:r w:rsidRPr="009007DF">
        <w:t xml:space="preserve"> Avista was awarded </w:t>
      </w:r>
      <w:r w:rsidRPr="009007DF">
        <w:rPr>
          <w:rFonts w:eastAsia="Calibri"/>
        </w:rPr>
        <w:t>matching grant</w:t>
      </w:r>
      <w:r w:rsidRPr="009007DF">
        <w:t>s</w:t>
      </w:r>
      <w:r w:rsidRPr="009007DF">
        <w:rPr>
          <w:rFonts w:eastAsia="Calibri"/>
        </w:rPr>
        <w:t xml:space="preserve"> from the U.S. Department of Energy for two “Smart Grid” projects. One project will upgrade portions of the utility’s electric distribution system to smart grid standards</w:t>
      </w:r>
      <w:r w:rsidRPr="009007DF">
        <w:t xml:space="preserve"> in Spokane, Washington and the other project is a demonstration project in Pullman,</w:t>
      </w:r>
      <w:r w:rsidRPr="00846A7A">
        <w:rPr>
          <w:rFonts w:ascii="Palatino" w:hAnsi="Palatino" w:cs="Arial"/>
        </w:rPr>
        <w:t xml:space="preserve"> Washington that involves automation </w:t>
      </w:r>
      <w:r w:rsidRPr="009007DF">
        <w:t>of many parts of the electric distribution system using advanced metering, enhanced utility communication and other elements of smart grid technologies.</w:t>
      </w:r>
    </w:p>
  </w:footnote>
  <w:footnote w:id="5">
    <w:p w:rsidR="00376BBC" w:rsidRPr="00775B1E" w:rsidRDefault="00376BBC" w:rsidP="00775B1E">
      <w:pPr>
        <w:rPr>
          <w:sz w:val="20"/>
          <w:szCs w:val="20"/>
        </w:rPr>
      </w:pPr>
      <w:r w:rsidRPr="00775B1E">
        <w:rPr>
          <w:rStyle w:val="FootnoteReference"/>
          <w:sz w:val="20"/>
          <w:szCs w:val="20"/>
        </w:rPr>
        <w:footnoteRef/>
      </w:r>
      <w:r w:rsidRPr="00775B1E">
        <w:rPr>
          <w:sz w:val="20"/>
          <w:szCs w:val="20"/>
        </w:rPr>
        <w:t xml:space="preserve"> </w:t>
      </w:r>
      <w:hyperlink r:id="rId1" w:history="1">
        <w:r w:rsidRPr="00775B1E">
          <w:rPr>
            <w:rStyle w:val="Hyperlink"/>
            <w:sz w:val="20"/>
            <w:szCs w:val="20"/>
          </w:rPr>
          <w:t>http://www.jdpower.com/news/pressRelease.aspx?ID=2010168</w:t>
        </w:r>
      </w:hyperlink>
    </w:p>
    <w:p w:rsidR="00376BBC" w:rsidRDefault="00376BBC">
      <w:pPr>
        <w:pStyle w:val="FootnoteText"/>
      </w:pPr>
    </w:p>
  </w:footnote>
  <w:footnote w:id="6">
    <w:p w:rsidR="00376BBC" w:rsidRDefault="00376BBC" w:rsidP="00775B1E">
      <w:pPr>
        <w:pStyle w:val="FootnoteText"/>
      </w:pPr>
      <w:r>
        <w:rPr>
          <w:rStyle w:val="FootnoteReference"/>
        </w:rPr>
        <w:footnoteRef/>
      </w:r>
      <w:r>
        <w:t xml:space="preserve"> “Assessing Heating Assistance Programs in Spokane County”, Institute for Public Policy &amp; Economic Analysis (Grant Forsyth, PhD, D. Patrick Jones, PhD, and Mark Wagner). January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Header"/>
      <w:jc w:val="right"/>
      <w:rPr>
        <w:rFonts w:ascii="Palatino Linotype" w:hAnsi="Palatino Linotype" w:cs="Palatino Linotype"/>
      </w:rPr>
    </w:pPr>
    <w:r>
      <w:rPr>
        <w:rFonts w:ascii="Palatino Linotype" w:hAnsi="Palatino Linotype" w:cs="Palatino Linotype"/>
      </w:rPr>
      <w:t>Exhibit No. ___(SLM-1T)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rsidP="003F735A">
    <w:pPr>
      <w:pStyle w:val="Header"/>
      <w:jc w:val="center"/>
    </w:pPr>
    <w:r>
      <w:t xml:space="preserve">                                                                                                                 Exhibit No. __(SLM-1T)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4">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34"/>
  </w:num>
  <w:num w:numId="5">
    <w:abstractNumId w:val="24"/>
  </w:num>
  <w:num w:numId="6">
    <w:abstractNumId w:val="22"/>
  </w:num>
  <w:num w:numId="7">
    <w:abstractNumId w:val="35"/>
  </w:num>
  <w:num w:numId="8">
    <w:abstractNumId w:val="31"/>
  </w:num>
  <w:num w:numId="9">
    <w:abstractNumId w:val="3"/>
  </w:num>
  <w:num w:numId="10">
    <w:abstractNumId w:val="25"/>
  </w:num>
  <w:num w:numId="11">
    <w:abstractNumId w:val="30"/>
  </w:num>
  <w:num w:numId="12">
    <w:abstractNumId w:val="10"/>
  </w:num>
  <w:num w:numId="13">
    <w:abstractNumId w:val="17"/>
  </w:num>
  <w:num w:numId="14">
    <w:abstractNumId w:val="32"/>
  </w:num>
  <w:num w:numId="15">
    <w:abstractNumId w:val="5"/>
  </w:num>
  <w:num w:numId="16">
    <w:abstractNumId w:val="7"/>
  </w:num>
  <w:num w:numId="17">
    <w:abstractNumId w:val="0"/>
  </w:num>
  <w:num w:numId="18">
    <w:abstractNumId w:val="38"/>
  </w:num>
  <w:num w:numId="19">
    <w:abstractNumId w:val="18"/>
  </w:num>
  <w:num w:numId="20">
    <w:abstractNumId w:val="28"/>
  </w:num>
  <w:num w:numId="21">
    <w:abstractNumId w:val="39"/>
  </w:num>
  <w:num w:numId="22">
    <w:abstractNumId w:val="33"/>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16"/>
  </w:num>
  <w:num w:numId="26">
    <w:abstractNumId w:val="2"/>
  </w:num>
  <w:num w:numId="27">
    <w:abstractNumId w:val="8"/>
  </w:num>
  <w:num w:numId="28">
    <w:abstractNumId w:val="11"/>
  </w:num>
  <w:num w:numId="29">
    <w:abstractNumId w:val="40"/>
  </w:num>
  <w:num w:numId="30">
    <w:abstractNumId w:val="4"/>
  </w:num>
  <w:num w:numId="31">
    <w:abstractNumId w:val="37"/>
  </w:num>
  <w:num w:numId="32">
    <w:abstractNumId w:val="13"/>
  </w:num>
  <w:num w:numId="33">
    <w:abstractNumId w:val="29"/>
  </w:num>
  <w:num w:numId="34">
    <w:abstractNumId w:val="20"/>
  </w:num>
  <w:num w:numId="35">
    <w:abstractNumId w:val="6"/>
  </w:num>
  <w:num w:numId="36">
    <w:abstractNumId w:val="36"/>
  </w:num>
  <w:num w:numId="37">
    <w:abstractNumId w:val="15"/>
  </w:num>
  <w:num w:numId="38">
    <w:abstractNumId w:val="9"/>
  </w:num>
  <w:num w:numId="39">
    <w:abstractNumId w:val="41"/>
  </w:num>
  <w:num w:numId="40">
    <w:abstractNumId w:val="26"/>
  </w:num>
  <w:num w:numId="41">
    <w:abstractNumId w:val="1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41"/>
  </w:hdrShapeDefaults>
  <w:footnotePr>
    <w:footnote w:id="-1"/>
    <w:footnote w:id="0"/>
  </w:footnotePr>
  <w:endnotePr>
    <w:endnote w:id="-1"/>
    <w:endnote w:id="0"/>
  </w:endnotePr>
  <w:compat/>
  <w:rsids>
    <w:rsidRoot w:val="00E03EA4"/>
    <w:rsid w:val="00001850"/>
    <w:rsid w:val="00002688"/>
    <w:rsid w:val="0000281C"/>
    <w:rsid w:val="00002BCB"/>
    <w:rsid w:val="00005B44"/>
    <w:rsid w:val="000074E5"/>
    <w:rsid w:val="00010E3C"/>
    <w:rsid w:val="00011A4B"/>
    <w:rsid w:val="00013290"/>
    <w:rsid w:val="00013884"/>
    <w:rsid w:val="00013D7A"/>
    <w:rsid w:val="00015BD1"/>
    <w:rsid w:val="00020B56"/>
    <w:rsid w:val="000216E4"/>
    <w:rsid w:val="0002365B"/>
    <w:rsid w:val="0002580B"/>
    <w:rsid w:val="00026D24"/>
    <w:rsid w:val="00026F28"/>
    <w:rsid w:val="000320DE"/>
    <w:rsid w:val="0003290F"/>
    <w:rsid w:val="00032FBB"/>
    <w:rsid w:val="000341C4"/>
    <w:rsid w:val="0003426E"/>
    <w:rsid w:val="00035AB3"/>
    <w:rsid w:val="0003685F"/>
    <w:rsid w:val="00036E2C"/>
    <w:rsid w:val="000444E1"/>
    <w:rsid w:val="00045C35"/>
    <w:rsid w:val="0004621B"/>
    <w:rsid w:val="00051974"/>
    <w:rsid w:val="00052271"/>
    <w:rsid w:val="000552E6"/>
    <w:rsid w:val="0005695E"/>
    <w:rsid w:val="00061193"/>
    <w:rsid w:val="0006412E"/>
    <w:rsid w:val="00064447"/>
    <w:rsid w:val="00064BD8"/>
    <w:rsid w:val="00064F77"/>
    <w:rsid w:val="0006562A"/>
    <w:rsid w:val="00065D80"/>
    <w:rsid w:val="00066160"/>
    <w:rsid w:val="00067A87"/>
    <w:rsid w:val="00067C89"/>
    <w:rsid w:val="000709C9"/>
    <w:rsid w:val="00072049"/>
    <w:rsid w:val="00073922"/>
    <w:rsid w:val="00074B67"/>
    <w:rsid w:val="000758EE"/>
    <w:rsid w:val="000817E7"/>
    <w:rsid w:val="00081F59"/>
    <w:rsid w:val="00081FCE"/>
    <w:rsid w:val="00085AEA"/>
    <w:rsid w:val="0008766E"/>
    <w:rsid w:val="0009118C"/>
    <w:rsid w:val="000915B9"/>
    <w:rsid w:val="000924ED"/>
    <w:rsid w:val="00094191"/>
    <w:rsid w:val="00094335"/>
    <w:rsid w:val="000975A2"/>
    <w:rsid w:val="000A0314"/>
    <w:rsid w:val="000A0B30"/>
    <w:rsid w:val="000A1191"/>
    <w:rsid w:val="000A1509"/>
    <w:rsid w:val="000A18EF"/>
    <w:rsid w:val="000A2179"/>
    <w:rsid w:val="000A238B"/>
    <w:rsid w:val="000A529B"/>
    <w:rsid w:val="000A7C4B"/>
    <w:rsid w:val="000A7D83"/>
    <w:rsid w:val="000B02A5"/>
    <w:rsid w:val="000B2A62"/>
    <w:rsid w:val="000B3950"/>
    <w:rsid w:val="000B7094"/>
    <w:rsid w:val="000B738D"/>
    <w:rsid w:val="000C1218"/>
    <w:rsid w:val="000C1A34"/>
    <w:rsid w:val="000C2DCA"/>
    <w:rsid w:val="000C3ACC"/>
    <w:rsid w:val="000C52C9"/>
    <w:rsid w:val="000C6B37"/>
    <w:rsid w:val="000C6BED"/>
    <w:rsid w:val="000C6D7D"/>
    <w:rsid w:val="000C7C27"/>
    <w:rsid w:val="000D03F4"/>
    <w:rsid w:val="000D2F13"/>
    <w:rsid w:val="000D30D0"/>
    <w:rsid w:val="000D37F2"/>
    <w:rsid w:val="000D3E2F"/>
    <w:rsid w:val="000E4D52"/>
    <w:rsid w:val="000E7497"/>
    <w:rsid w:val="000E7583"/>
    <w:rsid w:val="000F2C14"/>
    <w:rsid w:val="000F36F5"/>
    <w:rsid w:val="000F39B6"/>
    <w:rsid w:val="000F4F3B"/>
    <w:rsid w:val="000F5918"/>
    <w:rsid w:val="0010111D"/>
    <w:rsid w:val="00101320"/>
    <w:rsid w:val="001025D7"/>
    <w:rsid w:val="00103FBA"/>
    <w:rsid w:val="00104B88"/>
    <w:rsid w:val="00105107"/>
    <w:rsid w:val="00105A8B"/>
    <w:rsid w:val="0010641C"/>
    <w:rsid w:val="0011128D"/>
    <w:rsid w:val="0011194E"/>
    <w:rsid w:val="001124CF"/>
    <w:rsid w:val="00113CBD"/>
    <w:rsid w:val="00115972"/>
    <w:rsid w:val="00116BB0"/>
    <w:rsid w:val="00116D7B"/>
    <w:rsid w:val="0011787F"/>
    <w:rsid w:val="00120362"/>
    <w:rsid w:val="001203BE"/>
    <w:rsid w:val="00120A58"/>
    <w:rsid w:val="0012136E"/>
    <w:rsid w:val="0012190D"/>
    <w:rsid w:val="00123806"/>
    <w:rsid w:val="00123F43"/>
    <w:rsid w:val="00126F6E"/>
    <w:rsid w:val="00127D98"/>
    <w:rsid w:val="001345B7"/>
    <w:rsid w:val="00135805"/>
    <w:rsid w:val="00135D1E"/>
    <w:rsid w:val="00137A2C"/>
    <w:rsid w:val="0014018D"/>
    <w:rsid w:val="0014350A"/>
    <w:rsid w:val="00143626"/>
    <w:rsid w:val="00146FEC"/>
    <w:rsid w:val="0015093E"/>
    <w:rsid w:val="00151845"/>
    <w:rsid w:val="00151995"/>
    <w:rsid w:val="00152F63"/>
    <w:rsid w:val="00154345"/>
    <w:rsid w:val="0015476A"/>
    <w:rsid w:val="00157594"/>
    <w:rsid w:val="00160984"/>
    <w:rsid w:val="00160B7F"/>
    <w:rsid w:val="00165326"/>
    <w:rsid w:val="00165A01"/>
    <w:rsid w:val="00166069"/>
    <w:rsid w:val="001662F9"/>
    <w:rsid w:val="0016631C"/>
    <w:rsid w:val="001667DF"/>
    <w:rsid w:val="001717E4"/>
    <w:rsid w:val="00172582"/>
    <w:rsid w:val="001725CF"/>
    <w:rsid w:val="00175758"/>
    <w:rsid w:val="00175C89"/>
    <w:rsid w:val="0017613F"/>
    <w:rsid w:val="00177567"/>
    <w:rsid w:val="0018042B"/>
    <w:rsid w:val="00181014"/>
    <w:rsid w:val="0018126B"/>
    <w:rsid w:val="001859BB"/>
    <w:rsid w:val="00185F44"/>
    <w:rsid w:val="001863C9"/>
    <w:rsid w:val="00187190"/>
    <w:rsid w:val="00187A5E"/>
    <w:rsid w:val="00190726"/>
    <w:rsid w:val="00190EEA"/>
    <w:rsid w:val="0019127A"/>
    <w:rsid w:val="00194825"/>
    <w:rsid w:val="00194CEA"/>
    <w:rsid w:val="0019568A"/>
    <w:rsid w:val="001A0B81"/>
    <w:rsid w:val="001A1234"/>
    <w:rsid w:val="001A1D99"/>
    <w:rsid w:val="001A2220"/>
    <w:rsid w:val="001A2759"/>
    <w:rsid w:val="001A464A"/>
    <w:rsid w:val="001A61FE"/>
    <w:rsid w:val="001A7695"/>
    <w:rsid w:val="001B05FB"/>
    <w:rsid w:val="001B3713"/>
    <w:rsid w:val="001B409C"/>
    <w:rsid w:val="001B62E8"/>
    <w:rsid w:val="001B74B7"/>
    <w:rsid w:val="001B74F9"/>
    <w:rsid w:val="001B7DBB"/>
    <w:rsid w:val="001B7E95"/>
    <w:rsid w:val="001C02AB"/>
    <w:rsid w:val="001C0D1A"/>
    <w:rsid w:val="001C2A05"/>
    <w:rsid w:val="001C5B26"/>
    <w:rsid w:val="001C7C22"/>
    <w:rsid w:val="001D50D5"/>
    <w:rsid w:val="001D56FF"/>
    <w:rsid w:val="001D603B"/>
    <w:rsid w:val="001D6724"/>
    <w:rsid w:val="001D68A9"/>
    <w:rsid w:val="001D6BE9"/>
    <w:rsid w:val="001E0A3A"/>
    <w:rsid w:val="001E1478"/>
    <w:rsid w:val="001E1D20"/>
    <w:rsid w:val="001E35E1"/>
    <w:rsid w:val="001E37CD"/>
    <w:rsid w:val="001E3DF9"/>
    <w:rsid w:val="001E554A"/>
    <w:rsid w:val="001E5CE3"/>
    <w:rsid w:val="001E6C44"/>
    <w:rsid w:val="001F2726"/>
    <w:rsid w:val="001F3AFB"/>
    <w:rsid w:val="001F630E"/>
    <w:rsid w:val="00200E5B"/>
    <w:rsid w:val="00203726"/>
    <w:rsid w:val="00205AC5"/>
    <w:rsid w:val="00206109"/>
    <w:rsid w:val="0020661D"/>
    <w:rsid w:val="00207CFA"/>
    <w:rsid w:val="0021045F"/>
    <w:rsid w:val="00210CB0"/>
    <w:rsid w:val="00212FB7"/>
    <w:rsid w:val="00215261"/>
    <w:rsid w:val="00215A6E"/>
    <w:rsid w:val="002165CE"/>
    <w:rsid w:val="00216CAC"/>
    <w:rsid w:val="00217A5C"/>
    <w:rsid w:val="002207D1"/>
    <w:rsid w:val="00221386"/>
    <w:rsid w:val="00221E85"/>
    <w:rsid w:val="002254A8"/>
    <w:rsid w:val="00225B27"/>
    <w:rsid w:val="00225D46"/>
    <w:rsid w:val="002268EB"/>
    <w:rsid w:val="00230AC8"/>
    <w:rsid w:val="002335D4"/>
    <w:rsid w:val="002411D5"/>
    <w:rsid w:val="002414B0"/>
    <w:rsid w:val="00242D70"/>
    <w:rsid w:val="002431F2"/>
    <w:rsid w:val="00244AD4"/>
    <w:rsid w:val="00246068"/>
    <w:rsid w:val="002515AB"/>
    <w:rsid w:val="00251D6F"/>
    <w:rsid w:val="0025203F"/>
    <w:rsid w:val="0025214A"/>
    <w:rsid w:val="0025285F"/>
    <w:rsid w:val="002529A7"/>
    <w:rsid w:val="00253016"/>
    <w:rsid w:val="002534B9"/>
    <w:rsid w:val="00254398"/>
    <w:rsid w:val="00255AF0"/>
    <w:rsid w:val="00257191"/>
    <w:rsid w:val="00257215"/>
    <w:rsid w:val="00257958"/>
    <w:rsid w:val="002600DD"/>
    <w:rsid w:val="00260330"/>
    <w:rsid w:val="00260893"/>
    <w:rsid w:val="0026105D"/>
    <w:rsid w:val="00261273"/>
    <w:rsid w:val="00261ABA"/>
    <w:rsid w:val="00261BC7"/>
    <w:rsid w:val="00262998"/>
    <w:rsid w:val="0026394E"/>
    <w:rsid w:val="002649C2"/>
    <w:rsid w:val="00266524"/>
    <w:rsid w:val="00270DE2"/>
    <w:rsid w:val="00271376"/>
    <w:rsid w:val="00271E19"/>
    <w:rsid w:val="00273334"/>
    <w:rsid w:val="00273C2D"/>
    <w:rsid w:val="00273E3A"/>
    <w:rsid w:val="00275730"/>
    <w:rsid w:val="00275F09"/>
    <w:rsid w:val="0027621F"/>
    <w:rsid w:val="00277E10"/>
    <w:rsid w:val="0028325C"/>
    <w:rsid w:val="0028359A"/>
    <w:rsid w:val="0028414F"/>
    <w:rsid w:val="00284D9E"/>
    <w:rsid w:val="00285D28"/>
    <w:rsid w:val="00286C4C"/>
    <w:rsid w:val="00287A73"/>
    <w:rsid w:val="00287D52"/>
    <w:rsid w:val="00292B8E"/>
    <w:rsid w:val="0029491E"/>
    <w:rsid w:val="002960E5"/>
    <w:rsid w:val="002A09FF"/>
    <w:rsid w:val="002A27CD"/>
    <w:rsid w:val="002A3411"/>
    <w:rsid w:val="002A56E8"/>
    <w:rsid w:val="002B023D"/>
    <w:rsid w:val="002B0727"/>
    <w:rsid w:val="002B0C6C"/>
    <w:rsid w:val="002B0D1D"/>
    <w:rsid w:val="002B120F"/>
    <w:rsid w:val="002B12E9"/>
    <w:rsid w:val="002B2505"/>
    <w:rsid w:val="002B4CA2"/>
    <w:rsid w:val="002B55CF"/>
    <w:rsid w:val="002C17F1"/>
    <w:rsid w:val="002C35B0"/>
    <w:rsid w:val="002C3F66"/>
    <w:rsid w:val="002C4719"/>
    <w:rsid w:val="002C55DF"/>
    <w:rsid w:val="002C7E28"/>
    <w:rsid w:val="002D0090"/>
    <w:rsid w:val="002D0300"/>
    <w:rsid w:val="002D1C06"/>
    <w:rsid w:val="002D1F02"/>
    <w:rsid w:val="002D2384"/>
    <w:rsid w:val="002D2A35"/>
    <w:rsid w:val="002D3210"/>
    <w:rsid w:val="002D42BD"/>
    <w:rsid w:val="002D6705"/>
    <w:rsid w:val="002E35B7"/>
    <w:rsid w:val="002E4EE5"/>
    <w:rsid w:val="002E5102"/>
    <w:rsid w:val="002E5598"/>
    <w:rsid w:val="002E75F0"/>
    <w:rsid w:val="002F02BE"/>
    <w:rsid w:val="002F4F9F"/>
    <w:rsid w:val="002F52DA"/>
    <w:rsid w:val="002F64E5"/>
    <w:rsid w:val="00302034"/>
    <w:rsid w:val="00302239"/>
    <w:rsid w:val="00302887"/>
    <w:rsid w:val="00303EBA"/>
    <w:rsid w:val="00304179"/>
    <w:rsid w:val="003043B1"/>
    <w:rsid w:val="00304F27"/>
    <w:rsid w:val="0030541C"/>
    <w:rsid w:val="00305E49"/>
    <w:rsid w:val="003062D9"/>
    <w:rsid w:val="003066D0"/>
    <w:rsid w:val="00306E8D"/>
    <w:rsid w:val="0031035E"/>
    <w:rsid w:val="00310E4E"/>
    <w:rsid w:val="00313413"/>
    <w:rsid w:val="00313A19"/>
    <w:rsid w:val="003151F9"/>
    <w:rsid w:val="00316C92"/>
    <w:rsid w:val="00322B8D"/>
    <w:rsid w:val="003252D2"/>
    <w:rsid w:val="0032560F"/>
    <w:rsid w:val="00326386"/>
    <w:rsid w:val="00327810"/>
    <w:rsid w:val="00330D9C"/>
    <w:rsid w:val="00331157"/>
    <w:rsid w:val="00332925"/>
    <w:rsid w:val="003330CB"/>
    <w:rsid w:val="00333591"/>
    <w:rsid w:val="00334616"/>
    <w:rsid w:val="00336C95"/>
    <w:rsid w:val="00340873"/>
    <w:rsid w:val="00340C67"/>
    <w:rsid w:val="00341565"/>
    <w:rsid w:val="0034268E"/>
    <w:rsid w:val="00344830"/>
    <w:rsid w:val="00344C16"/>
    <w:rsid w:val="00344C37"/>
    <w:rsid w:val="003458BC"/>
    <w:rsid w:val="00345A0E"/>
    <w:rsid w:val="00346981"/>
    <w:rsid w:val="0034777A"/>
    <w:rsid w:val="00350B5D"/>
    <w:rsid w:val="00350ED0"/>
    <w:rsid w:val="003510DB"/>
    <w:rsid w:val="003528D9"/>
    <w:rsid w:val="0035399E"/>
    <w:rsid w:val="00357C01"/>
    <w:rsid w:val="00361CC4"/>
    <w:rsid w:val="00362593"/>
    <w:rsid w:val="00363D31"/>
    <w:rsid w:val="00366FD4"/>
    <w:rsid w:val="00370D6A"/>
    <w:rsid w:val="003715B4"/>
    <w:rsid w:val="00372277"/>
    <w:rsid w:val="00373324"/>
    <w:rsid w:val="00373949"/>
    <w:rsid w:val="00373BBE"/>
    <w:rsid w:val="00374CAC"/>
    <w:rsid w:val="00376BBC"/>
    <w:rsid w:val="00376E98"/>
    <w:rsid w:val="003777E4"/>
    <w:rsid w:val="00377AF7"/>
    <w:rsid w:val="00377E25"/>
    <w:rsid w:val="00382C2C"/>
    <w:rsid w:val="003836E7"/>
    <w:rsid w:val="00384CBD"/>
    <w:rsid w:val="00384EED"/>
    <w:rsid w:val="00385B19"/>
    <w:rsid w:val="0038612F"/>
    <w:rsid w:val="0039093B"/>
    <w:rsid w:val="0039178D"/>
    <w:rsid w:val="003923DB"/>
    <w:rsid w:val="003923F0"/>
    <w:rsid w:val="0039288C"/>
    <w:rsid w:val="00392AF6"/>
    <w:rsid w:val="00393328"/>
    <w:rsid w:val="00393FBD"/>
    <w:rsid w:val="00395B27"/>
    <w:rsid w:val="00395CCB"/>
    <w:rsid w:val="00396D66"/>
    <w:rsid w:val="0039700C"/>
    <w:rsid w:val="003A17B8"/>
    <w:rsid w:val="003A18C1"/>
    <w:rsid w:val="003A197A"/>
    <w:rsid w:val="003A1E6D"/>
    <w:rsid w:val="003A3108"/>
    <w:rsid w:val="003A3177"/>
    <w:rsid w:val="003A3576"/>
    <w:rsid w:val="003A3CCF"/>
    <w:rsid w:val="003A461B"/>
    <w:rsid w:val="003A488D"/>
    <w:rsid w:val="003A5ABE"/>
    <w:rsid w:val="003A5D15"/>
    <w:rsid w:val="003B0CE8"/>
    <w:rsid w:val="003B28F0"/>
    <w:rsid w:val="003B3FB3"/>
    <w:rsid w:val="003B588D"/>
    <w:rsid w:val="003B72D4"/>
    <w:rsid w:val="003B7E08"/>
    <w:rsid w:val="003C0167"/>
    <w:rsid w:val="003C062D"/>
    <w:rsid w:val="003C285B"/>
    <w:rsid w:val="003C32B6"/>
    <w:rsid w:val="003C3990"/>
    <w:rsid w:val="003C552E"/>
    <w:rsid w:val="003C6918"/>
    <w:rsid w:val="003C7D54"/>
    <w:rsid w:val="003D0DA7"/>
    <w:rsid w:val="003D129D"/>
    <w:rsid w:val="003D3A8E"/>
    <w:rsid w:val="003D4C21"/>
    <w:rsid w:val="003D5C55"/>
    <w:rsid w:val="003D6F54"/>
    <w:rsid w:val="003D708E"/>
    <w:rsid w:val="003E1A95"/>
    <w:rsid w:val="003E2FAE"/>
    <w:rsid w:val="003E4470"/>
    <w:rsid w:val="003E6ABD"/>
    <w:rsid w:val="003E74EC"/>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2907"/>
    <w:rsid w:val="004059DC"/>
    <w:rsid w:val="00406FE7"/>
    <w:rsid w:val="00407180"/>
    <w:rsid w:val="004102BD"/>
    <w:rsid w:val="00411547"/>
    <w:rsid w:val="00411C69"/>
    <w:rsid w:val="00412EB9"/>
    <w:rsid w:val="00413046"/>
    <w:rsid w:val="004159EE"/>
    <w:rsid w:val="00417CEF"/>
    <w:rsid w:val="0042152E"/>
    <w:rsid w:val="00425772"/>
    <w:rsid w:val="00426220"/>
    <w:rsid w:val="00427852"/>
    <w:rsid w:val="00433C85"/>
    <w:rsid w:val="00435FE9"/>
    <w:rsid w:val="00436836"/>
    <w:rsid w:val="00437561"/>
    <w:rsid w:val="004405BF"/>
    <w:rsid w:val="0044200B"/>
    <w:rsid w:val="004425A4"/>
    <w:rsid w:val="004464F0"/>
    <w:rsid w:val="00447BF9"/>
    <w:rsid w:val="00451CFA"/>
    <w:rsid w:val="004522EC"/>
    <w:rsid w:val="00453428"/>
    <w:rsid w:val="00454601"/>
    <w:rsid w:val="004554A4"/>
    <w:rsid w:val="00455FC0"/>
    <w:rsid w:val="00456986"/>
    <w:rsid w:val="004613E1"/>
    <w:rsid w:val="00461519"/>
    <w:rsid w:val="00461BFE"/>
    <w:rsid w:val="0046480D"/>
    <w:rsid w:val="00464984"/>
    <w:rsid w:val="00464F14"/>
    <w:rsid w:val="00464FCC"/>
    <w:rsid w:val="00467B6B"/>
    <w:rsid w:val="00471010"/>
    <w:rsid w:val="004728F6"/>
    <w:rsid w:val="0047437B"/>
    <w:rsid w:val="004748F6"/>
    <w:rsid w:val="00475CB7"/>
    <w:rsid w:val="00475D7A"/>
    <w:rsid w:val="00480322"/>
    <w:rsid w:val="0048100A"/>
    <w:rsid w:val="004815C9"/>
    <w:rsid w:val="00481B8B"/>
    <w:rsid w:val="00481CD3"/>
    <w:rsid w:val="0048349D"/>
    <w:rsid w:val="0048688A"/>
    <w:rsid w:val="00487BA6"/>
    <w:rsid w:val="00491F14"/>
    <w:rsid w:val="00491FD8"/>
    <w:rsid w:val="0049283B"/>
    <w:rsid w:val="00493210"/>
    <w:rsid w:val="00493E35"/>
    <w:rsid w:val="00494F36"/>
    <w:rsid w:val="00495AAC"/>
    <w:rsid w:val="004A1C96"/>
    <w:rsid w:val="004A44FD"/>
    <w:rsid w:val="004B00C0"/>
    <w:rsid w:val="004B4E1A"/>
    <w:rsid w:val="004B547B"/>
    <w:rsid w:val="004B579B"/>
    <w:rsid w:val="004B6061"/>
    <w:rsid w:val="004C0A77"/>
    <w:rsid w:val="004C1C5E"/>
    <w:rsid w:val="004C263D"/>
    <w:rsid w:val="004C421D"/>
    <w:rsid w:val="004C4FA0"/>
    <w:rsid w:val="004C527B"/>
    <w:rsid w:val="004C6FE1"/>
    <w:rsid w:val="004D0529"/>
    <w:rsid w:val="004D05EB"/>
    <w:rsid w:val="004D1216"/>
    <w:rsid w:val="004D5A63"/>
    <w:rsid w:val="004D5B7A"/>
    <w:rsid w:val="004D6D89"/>
    <w:rsid w:val="004D7C20"/>
    <w:rsid w:val="004E2678"/>
    <w:rsid w:val="004E4F68"/>
    <w:rsid w:val="004E56AC"/>
    <w:rsid w:val="004E5D63"/>
    <w:rsid w:val="004E63F6"/>
    <w:rsid w:val="004E6911"/>
    <w:rsid w:val="004E6BDF"/>
    <w:rsid w:val="004E7CD9"/>
    <w:rsid w:val="004F1C34"/>
    <w:rsid w:val="004F2CDA"/>
    <w:rsid w:val="004F311C"/>
    <w:rsid w:val="004F3954"/>
    <w:rsid w:val="004F554E"/>
    <w:rsid w:val="004F6083"/>
    <w:rsid w:val="00502FAA"/>
    <w:rsid w:val="005034AD"/>
    <w:rsid w:val="005043AB"/>
    <w:rsid w:val="0050448B"/>
    <w:rsid w:val="005050CF"/>
    <w:rsid w:val="00506F0F"/>
    <w:rsid w:val="00510485"/>
    <w:rsid w:val="00511570"/>
    <w:rsid w:val="00511745"/>
    <w:rsid w:val="005124E7"/>
    <w:rsid w:val="00515A9A"/>
    <w:rsid w:val="00516EE7"/>
    <w:rsid w:val="00521E30"/>
    <w:rsid w:val="0052309F"/>
    <w:rsid w:val="00524215"/>
    <w:rsid w:val="00524EA8"/>
    <w:rsid w:val="0052556E"/>
    <w:rsid w:val="00525A7D"/>
    <w:rsid w:val="00530062"/>
    <w:rsid w:val="00530338"/>
    <w:rsid w:val="005308D9"/>
    <w:rsid w:val="00531D52"/>
    <w:rsid w:val="00532E22"/>
    <w:rsid w:val="0053301B"/>
    <w:rsid w:val="0053389C"/>
    <w:rsid w:val="005371F8"/>
    <w:rsid w:val="005403C3"/>
    <w:rsid w:val="00541DB1"/>
    <w:rsid w:val="005420BC"/>
    <w:rsid w:val="005427E8"/>
    <w:rsid w:val="00543995"/>
    <w:rsid w:val="00544819"/>
    <w:rsid w:val="00547039"/>
    <w:rsid w:val="00551B85"/>
    <w:rsid w:val="00552659"/>
    <w:rsid w:val="00552830"/>
    <w:rsid w:val="0055311C"/>
    <w:rsid w:val="005548D2"/>
    <w:rsid w:val="00554DCA"/>
    <w:rsid w:val="005576F3"/>
    <w:rsid w:val="00557C77"/>
    <w:rsid w:val="00557CE5"/>
    <w:rsid w:val="00557F69"/>
    <w:rsid w:val="005630E6"/>
    <w:rsid w:val="00563D3A"/>
    <w:rsid w:val="00563ED8"/>
    <w:rsid w:val="00566152"/>
    <w:rsid w:val="00567BB9"/>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2B9D"/>
    <w:rsid w:val="0059321E"/>
    <w:rsid w:val="00593C55"/>
    <w:rsid w:val="005949C4"/>
    <w:rsid w:val="00594DF1"/>
    <w:rsid w:val="00596273"/>
    <w:rsid w:val="005964F0"/>
    <w:rsid w:val="005A1D1D"/>
    <w:rsid w:val="005A2076"/>
    <w:rsid w:val="005A272F"/>
    <w:rsid w:val="005A2982"/>
    <w:rsid w:val="005A30F3"/>
    <w:rsid w:val="005A342A"/>
    <w:rsid w:val="005A36A7"/>
    <w:rsid w:val="005A39F0"/>
    <w:rsid w:val="005A3AF1"/>
    <w:rsid w:val="005A433B"/>
    <w:rsid w:val="005A44AB"/>
    <w:rsid w:val="005A4AE7"/>
    <w:rsid w:val="005A51B9"/>
    <w:rsid w:val="005A61BA"/>
    <w:rsid w:val="005A6C5B"/>
    <w:rsid w:val="005A7D5C"/>
    <w:rsid w:val="005B39FC"/>
    <w:rsid w:val="005C1C59"/>
    <w:rsid w:val="005C285D"/>
    <w:rsid w:val="005C35BD"/>
    <w:rsid w:val="005C3A5C"/>
    <w:rsid w:val="005C40A7"/>
    <w:rsid w:val="005C432C"/>
    <w:rsid w:val="005C47C1"/>
    <w:rsid w:val="005C483E"/>
    <w:rsid w:val="005C51A2"/>
    <w:rsid w:val="005C5E4B"/>
    <w:rsid w:val="005C63F5"/>
    <w:rsid w:val="005C79C6"/>
    <w:rsid w:val="005D0FAC"/>
    <w:rsid w:val="005D23E8"/>
    <w:rsid w:val="005D2682"/>
    <w:rsid w:val="005D29B3"/>
    <w:rsid w:val="005D3B39"/>
    <w:rsid w:val="005D4993"/>
    <w:rsid w:val="005D4D3D"/>
    <w:rsid w:val="005D552E"/>
    <w:rsid w:val="005D55FF"/>
    <w:rsid w:val="005D66FF"/>
    <w:rsid w:val="005E0679"/>
    <w:rsid w:val="005E346B"/>
    <w:rsid w:val="005E5477"/>
    <w:rsid w:val="005E6010"/>
    <w:rsid w:val="005E63A8"/>
    <w:rsid w:val="005E73AC"/>
    <w:rsid w:val="005E7469"/>
    <w:rsid w:val="005E7611"/>
    <w:rsid w:val="005E7F17"/>
    <w:rsid w:val="005F17EB"/>
    <w:rsid w:val="005F1D31"/>
    <w:rsid w:val="005F3B39"/>
    <w:rsid w:val="005F4D5A"/>
    <w:rsid w:val="005F5723"/>
    <w:rsid w:val="005F6BD6"/>
    <w:rsid w:val="005F798A"/>
    <w:rsid w:val="006007FB"/>
    <w:rsid w:val="006024E5"/>
    <w:rsid w:val="0060406B"/>
    <w:rsid w:val="006041C0"/>
    <w:rsid w:val="00604EEF"/>
    <w:rsid w:val="00606D9C"/>
    <w:rsid w:val="00607670"/>
    <w:rsid w:val="0061089A"/>
    <w:rsid w:val="00610AED"/>
    <w:rsid w:val="00613880"/>
    <w:rsid w:val="006161C9"/>
    <w:rsid w:val="00617380"/>
    <w:rsid w:val="006179DC"/>
    <w:rsid w:val="006224CB"/>
    <w:rsid w:val="006237B2"/>
    <w:rsid w:val="00625196"/>
    <w:rsid w:val="006252C5"/>
    <w:rsid w:val="00627D1E"/>
    <w:rsid w:val="00633245"/>
    <w:rsid w:val="00634CFD"/>
    <w:rsid w:val="00637E32"/>
    <w:rsid w:val="00640CE9"/>
    <w:rsid w:val="00640ECF"/>
    <w:rsid w:val="0064272A"/>
    <w:rsid w:val="0064477A"/>
    <w:rsid w:val="00645F98"/>
    <w:rsid w:val="00650860"/>
    <w:rsid w:val="0065631E"/>
    <w:rsid w:val="00657763"/>
    <w:rsid w:val="0066160E"/>
    <w:rsid w:val="00662589"/>
    <w:rsid w:val="00663031"/>
    <w:rsid w:val="00664571"/>
    <w:rsid w:val="00666055"/>
    <w:rsid w:val="00666BF0"/>
    <w:rsid w:val="006671FB"/>
    <w:rsid w:val="00667A06"/>
    <w:rsid w:val="006700EE"/>
    <w:rsid w:val="006717B2"/>
    <w:rsid w:val="00672A34"/>
    <w:rsid w:val="00672E72"/>
    <w:rsid w:val="00673255"/>
    <w:rsid w:val="006774AF"/>
    <w:rsid w:val="00677956"/>
    <w:rsid w:val="00680128"/>
    <w:rsid w:val="0068120B"/>
    <w:rsid w:val="0068283A"/>
    <w:rsid w:val="00683192"/>
    <w:rsid w:val="00684902"/>
    <w:rsid w:val="0068527C"/>
    <w:rsid w:val="006856E8"/>
    <w:rsid w:val="006870E8"/>
    <w:rsid w:val="00687EF9"/>
    <w:rsid w:val="00691871"/>
    <w:rsid w:val="00691AF4"/>
    <w:rsid w:val="00692C49"/>
    <w:rsid w:val="00694CC9"/>
    <w:rsid w:val="00694F8A"/>
    <w:rsid w:val="006951EC"/>
    <w:rsid w:val="00696A28"/>
    <w:rsid w:val="00696DCC"/>
    <w:rsid w:val="00697D0F"/>
    <w:rsid w:val="006A43A9"/>
    <w:rsid w:val="006A5C73"/>
    <w:rsid w:val="006A6D45"/>
    <w:rsid w:val="006A6F20"/>
    <w:rsid w:val="006B19EC"/>
    <w:rsid w:val="006B1E37"/>
    <w:rsid w:val="006B22BC"/>
    <w:rsid w:val="006B2C1E"/>
    <w:rsid w:val="006B3F94"/>
    <w:rsid w:val="006B7596"/>
    <w:rsid w:val="006C0F2C"/>
    <w:rsid w:val="006C1FBE"/>
    <w:rsid w:val="006C3EDC"/>
    <w:rsid w:val="006C4780"/>
    <w:rsid w:val="006C4E47"/>
    <w:rsid w:val="006D153D"/>
    <w:rsid w:val="006D166D"/>
    <w:rsid w:val="006D18D3"/>
    <w:rsid w:val="006D374E"/>
    <w:rsid w:val="006D7897"/>
    <w:rsid w:val="006E166F"/>
    <w:rsid w:val="006E2371"/>
    <w:rsid w:val="006E23B5"/>
    <w:rsid w:val="006E329F"/>
    <w:rsid w:val="006E35A0"/>
    <w:rsid w:val="006E570B"/>
    <w:rsid w:val="006E613A"/>
    <w:rsid w:val="006E6F31"/>
    <w:rsid w:val="006E7B9C"/>
    <w:rsid w:val="006F0F5A"/>
    <w:rsid w:val="006F0FF5"/>
    <w:rsid w:val="006F1D4A"/>
    <w:rsid w:val="006F410F"/>
    <w:rsid w:val="006F4B35"/>
    <w:rsid w:val="006F560B"/>
    <w:rsid w:val="006F6EAD"/>
    <w:rsid w:val="006F77D1"/>
    <w:rsid w:val="006F78EB"/>
    <w:rsid w:val="007045D4"/>
    <w:rsid w:val="00704933"/>
    <w:rsid w:val="007060C2"/>
    <w:rsid w:val="007078A1"/>
    <w:rsid w:val="00710090"/>
    <w:rsid w:val="00710C33"/>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343B"/>
    <w:rsid w:val="007234B3"/>
    <w:rsid w:val="00724011"/>
    <w:rsid w:val="00724163"/>
    <w:rsid w:val="00727693"/>
    <w:rsid w:val="00727733"/>
    <w:rsid w:val="00730CE3"/>
    <w:rsid w:val="0073180B"/>
    <w:rsid w:val="007335CD"/>
    <w:rsid w:val="007346CE"/>
    <w:rsid w:val="007347B5"/>
    <w:rsid w:val="00735037"/>
    <w:rsid w:val="007366FF"/>
    <w:rsid w:val="00737607"/>
    <w:rsid w:val="00740C81"/>
    <w:rsid w:val="0074154C"/>
    <w:rsid w:val="00742B63"/>
    <w:rsid w:val="007444F6"/>
    <w:rsid w:val="007479FA"/>
    <w:rsid w:val="00747C11"/>
    <w:rsid w:val="007515BD"/>
    <w:rsid w:val="007547D5"/>
    <w:rsid w:val="007563B1"/>
    <w:rsid w:val="007565A0"/>
    <w:rsid w:val="00756C03"/>
    <w:rsid w:val="00760C9F"/>
    <w:rsid w:val="0076214F"/>
    <w:rsid w:val="00762300"/>
    <w:rsid w:val="007625FD"/>
    <w:rsid w:val="007635D6"/>
    <w:rsid w:val="0076522B"/>
    <w:rsid w:val="00766985"/>
    <w:rsid w:val="00766A75"/>
    <w:rsid w:val="0076799E"/>
    <w:rsid w:val="007679C3"/>
    <w:rsid w:val="00767A6D"/>
    <w:rsid w:val="00767CF7"/>
    <w:rsid w:val="00770E8C"/>
    <w:rsid w:val="00771308"/>
    <w:rsid w:val="00771F29"/>
    <w:rsid w:val="007731F7"/>
    <w:rsid w:val="007735B5"/>
    <w:rsid w:val="00775094"/>
    <w:rsid w:val="00775B1E"/>
    <w:rsid w:val="0077612F"/>
    <w:rsid w:val="00777871"/>
    <w:rsid w:val="00777991"/>
    <w:rsid w:val="0078215B"/>
    <w:rsid w:val="00782781"/>
    <w:rsid w:val="00782A0D"/>
    <w:rsid w:val="00783DD1"/>
    <w:rsid w:val="007853F9"/>
    <w:rsid w:val="00786EEC"/>
    <w:rsid w:val="0078728C"/>
    <w:rsid w:val="007906CF"/>
    <w:rsid w:val="00792BF1"/>
    <w:rsid w:val="007945A0"/>
    <w:rsid w:val="0079743F"/>
    <w:rsid w:val="00797E51"/>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ED7"/>
    <w:rsid w:val="007B7648"/>
    <w:rsid w:val="007B7A5F"/>
    <w:rsid w:val="007C115F"/>
    <w:rsid w:val="007C1F77"/>
    <w:rsid w:val="007D1975"/>
    <w:rsid w:val="007D25A8"/>
    <w:rsid w:val="007D4073"/>
    <w:rsid w:val="007E0655"/>
    <w:rsid w:val="007E353F"/>
    <w:rsid w:val="007E5E7B"/>
    <w:rsid w:val="007E699B"/>
    <w:rsid w:val="007E6BF8"/>
    <w:rsid w:val="007F0840"/>
    <w:rsid w:val="007F1407"/>
    <w:rsid w:val="007F2636"/>
    <w:rsid w:val="007F2C25"/>
    <w:rsid w:val="007F2F1E"/>
    <w:rsid w:val="007F3D1B"/>
    <w:rsid w:val="007F634B"/>
    <w:rsid w:val="00800270"/>
    <w:rsid w:val="0080108C"/>
    <w:rsid w:val="008023EA"/>
    <w:rsid w:val="008056F5"/>
    <w:rsid w:val="00807C22"/>
    <w:rsid w:val="00810734"/>
    <w:rsid w:val="0081090C"/>
    <w:rsid w:val="00811DDC"/>
    <w:rsid w:val="00812415"/>
    <w:rsid w:val="008129EE"/>
    <w:rsid w:val="00812EE7"/>
    <w:rsid w:val="0081398D"/>
    <w:rsid w:val="00813F60"/>
    <w:rsid w:val="00815DD3"/>
    <w:rsid w:val="00817206"/>
    <w:rsid w:val="008218FA"/>
    <w:rsid w:val="00823025"/>
    <w:rsid w:val="008235B6"/>
    <w:rsid w:val="0082486A"/>
    <w:rsid w:val="008254AF"/>
    <w:rsid w:val="00826842"/>
    <w:rsid w:val="00826D26"/>
    <w:rsid w:val="00827320"/>
    <w:rsid w:val="00831955"/>
    <w:rsid w:val="00832542"/>
    <w:rsid w:val="00833508"/>
    <w:rsid w:val="00833B02"/>
    <w:rsid w:val="0083408F"/>
    <w:rsid w:val="00834D23"/>
    <w:rsid w:val="00835481"/>
    <w:rsid w:val="008358C6"/>
    <w:rsid w:val="00835EED"/>
    <w:rsid w:val="0083618E"/>
    <w:rsid w:val="0083638B"/>
    <w:rsid w:val="00836EAC"/>
    <w:rsid w:val="0084031D"/>
    <w:rsid w:val="0084260C"/>
    <w:rsid w:val="00842AF1"/>
    <w:rsid w:val="008431DC"/>
    <w:rsid w:val="008458F5"/>
    <w:rsid w:val="00846652"/>
    <w:rsid w:val="008467FF"/>
    <w:rsid w:val="00846A7A"/>
    <w:rsid w:val="008474F0"/>
    <w:rsid w:val="00850C9A"/>
    <w:rsid w:val="008516A8"/>
    <w:rsid w:val="00856659"/>
    <w:rsid w:val="00857D52"/>
    <w:rsid w:val="0086075F"/>
    <w:rsid w:val="008609DC"/>
    <w:rsid w:val="00860F5D"/>
    <w:rsid w:val="008616A1"/>
    <w:rsid w:val="008623AB"/>
    <w:rsid w:val="00864494"/>
    <w:rsid w:val="00864AE1"/>
    <w:rsid w:val="00864FA4"/>
    <w:rsid w:val="00865EFF"/>
    <w:rsid w:val="00866583"/>
    <w:rsid w:val="00867EF0"/>
    <w:rsid w:val="00872530"/>
    <w:rsid w:val="00872967"/>
    <w:rsid w:val="00873CB1"/>
    <w:rsid w:val="00874DDD"/>
    <w:rsid w:val="0087592A"/>
    <w:rsid w:val="008763A5"/>
    <w:rsid w:val="00876438"/>
    <w:rsid w:val="0087706D"/>
    <w:rsid w:val="00884106"/>
    <w:rsid w:val="00884B46"/>
    <w:rsid w:val="00884EBE"/>
    <w:rsid w:val="008873CE"/>
    <w:rsid w:val="00887748"/>
    <w:rsid w:val="00887A2D"/>
    <w:rsid w:val="00887B1E"/>
    <w:rsid w:val="00890B5D"/>
    <w:rsid w:val="0089143B"/>
    <w:rsid w:val="00893B74"/>
    <w:rsid w:val="00893CA7"/>
    <w:rsid w:val="00894111"/>
    <w:rsid w:val="008949A7"/>
    <w:rsid w:val="00896363"/>
    <w:rsid w:val="00897141"/>
    <w:rsid w:val="008A06D3"/>
    <w:rsid w:val="008A1E51"/>
    <w:rsid w:val="008A20B3"/>
    <w:rsid w:val="008A4318"/>
    <w:rsid w:val="008A4F19"/>
    <w:rsid w:val="008A5839"/>
    <w:rsid w:val="008A798F"/>
    <w:rsid w:val="008B14F4"/>
    <w:rsid w:val="008B39E0"/>
    <w:rsid w:val="008B6308"/>
    <w:rsid w:val="008B6D79"/>
    <w:rsid w:val="008B724F"/>
    <w:rsid w:val="008C0141"/>
    <w:rsid w:val="008C0B0C"/>
    <w:rsid w:val="008C318A"/>
    <w:rsid w:val="008C53D4"/>
    <w:rsid w:val="008C5B1C"/>
    <w:rsid w:val="008C69ED"/>
    <w:rsid w:val="008C6A22"/>
    <w:rsid w:val="008C7277"/>
    <w:rsid w:val="008C750D"/>
    <w:rsid w:val="008D0320"/>
    <w:rsid w:val="008D13EA"/>
    <w:rsid w:val="008D17B0"/>
    <w:rsid w:val="008D2524"/>
    <w:rsid w:val="008D4E84"/>
    <w:rsid w:val="008D6691"/>
    <w:rsid w:val="008D6D87"/>
    <w:rsid w:val="008E018F"/>
    <w:rsid w:val="008E3EF9"/>
    <w:rsid w:val="008E41F4"/>
    <w:rsid w:val="008E4200"/>
    <w:rsid w:val="008E4745"/>
    <w:rsid w:val="008E79C7"/>
    <w:rsid w:val="008F0794"/>
    <w:rsid w:val="008F11A4"/>
    <w:rsid w:val="008F1B3C"/>
    <w:rsid w:val="008F1D68"/>
    <w:rsid w:val="008F4226"/>
    <w:rsid w:val="008F52DF"/>
    <w:rsid w:val="008F5671"/>
    <w:rsid w:val="009007DF"/>
    <w:rsid w:val="009060C6"/>
    <w:rsid w:val="00906F46"/>
    <w:rsid w:val="009100CC"/>
    <w:rsid w:val="009102BB"/>
    <w:rsid w:val="009105E1"/>
    <w:rsid w:val="009106AE"/>
    <w:rsid w:val="0091254B"/>
    <w:rsid w:val="00912B4C"/>
    <w:rsid w:val="00912D5D"/>
    <w:rsid w:val="00912FBB"/>
    <w:rsid w:val="00913BC0"/>
    <w:rsid w:val="009143D0"/>
    <w:rsid w:val="00914AEE"/>
    <w:rsid w:val="00915AEC"/>
    <w:rsid w:val="00915DC6"/>
    <w:rsid w:val="00915FC3"/>
    <w:rsid w:val="00916136"/>
    <w:rsid w:val="00917D5A"/>
    <w:rsid w:val="00920EED"/>
    <w:rsid w:val="00921295"/>
    <w:rsid w:val="00922344"/>
    <w:rsid w:val="0092256E"/>
    <w:rsid w:val="00923765"/>
    <w:rsid w:val="00923CD8"/>
    <w:rsid w:val="00924382"/>
    <w:rsid w:val="0092677A"/>
    <w:rsid w:val="009312F5"/>
    <w:rsid w:val="0093338C"/>
    <w:rsid w:val="00933C4E"/>
    <w:rsid w:val="00935B82"/>
    <w:rsid w:val="00935C31"/>
    <w:rsid w:val="00935CB8"/>
    <w:rsid w:val="00935F9F"/>
    <w:rsid w:val="0093612A"/>
    <w:rsid w:val="00940545"/>
    <w:rsid w:val="009407EA"/>
    <w:rsid w:val="00941F88"/>
    <w:rsid w:val="00941FED"/>
    <w:rsid w:val="009426EA"/>
    <w:rsid w:val="0094313F"/>
    <w:rsid w:val="009469C5"/>
    <w:rsid w:val="00953828"/>
    <w:rsid w:val="00953D4F"/>
    <w:rsid w:val="00954A41"/>
    <w:rsid w:val="009550FB"/>
    <w:rsid w:val="00957B1C"/>
    <w:rsid w:val="00957B42"/>
    <w:rsid w:val="0096126E"/>
    <w:rsid w:val="00962FB9"/>
    <w:rsid w:val="00964E15"/>
    <w:rsid w:val="00965568"/>
    <w:rsid w:val="00966206"/>
    <w:rsid w:val="00966799"/>
    <w:rsid w:val="00967309"/>
    <w:rsid w:val="009705F0"/>
    <w:rsid w:val="00974B2D"/>
    <w:rsid w:val="00976277"/>
    <w:rsid w:val="00976EE4"/>
    <w:rsid w:val="009812F9"/>
    <w:rsid w:val="0098134D"/>
    <w:rsid w:val="00983256"/>
    <w:rsid w:val="00983531"/>
    <w:rsid w:val="0098438E"/>
    <w:rsid w:val="00985A35"/>
    <w:rsid w:val="00986436"/>
    <w:rsid w:val="0099067F"/>
    <w:rsid w:val="00992D22"/>
    <w:rsid w:val="00993B32"/>
    <w:rsid w:val="00993F79"/>
    <w:rsid w:val="0099651C"/>
    <w:rsid w:val="009977B6"/>
    <w:rsid w:val="009A1B66"/>
    <w:rsid w:val="009A3D4A"/>
    <w:rsid w:val="009A44ED"/>
    <w:rsid w:val="009B00AD"/>
    <w:rsid w:val="009B3015"/>
    <w:rsid w:val="009B4B08"/>
    <w:rsid w:val="009B6808"/>
    <w:rsid w:val="009C0BA1"/>
    <w:rsid w:val="009C0D29"/>
    <w:rsid w:val="009C2767"/>
    <w:rsid w:val="009C3494"/>
    <w:rsid w:val="009C44B2"/>
    <w:rsid w:val="009C44D4"/>
    <w:rsid w:val="009C4A0C"/>
    <w:rsid w:val="009C637D"/>
    <w:rsid w:val="009C6BE7"/>
    <w:rsid w:val="009D0921"/>
    <w:rsid w:val="009D141C"/>
    <w:rsid w:val="009D1547"/>
    <w:rsid w:val="009D1CCE"/>
    <w:rsid w:val="009D2902"/>
    <w:rsid w:val="009D50D1"/>
    <w:rsid w:val="009D61EC"/>
    <w:rsid w:val="009D7240"/>
    <w:rsid w:val="009E0896"/>
    <w:rsid w:val="009E14CB"/>
    <w:rsid w:val="009E2789"/>
    <w:rsid w:val="009E2905"/>
    <w:rsid w:val="009E2E35"/>
    <w:rsid w:val="009E3FAD"/>
    <w:rsid w:val="009E5277"/>
    <w:rsid w:val="009E5509"/>
    <w:rsid w:val="009E570E"/>
    <w:rsid w:val="009F07A7"/>
    <w:rsid w:val="009F0813"/>
    <w:rsid w:val="009F10CF"/>
    <w:rsid w:val="009F2C42"/>
    <w:rsid w:val="009F2DEC"/>
    <w:rsid w:val="009F4DB3"/>
    <w:rsid w:val="009F7230"/>
    <w:rsid w:val="00A00C13"/>
    <w:rsid w:val="00A01CAA"/>
    <w:rsid w:val="00A03AC8"/>
    <w:rsid w:val="00A07BB7"/>
    <w:rsid w:val="00A07D8B"/>
    <w:rsid w:val="00A10C12"/>
    <w:rsid w:val="00A128B0"/>
    <w:rsid w:val="00A12A2D"/>
    <w:rsid w:val="00A13069"/>
    <w:rsid w:val="00A1326A"/>
    <w:rsid w:val="00A13835"/>
    <w:rsid w:val="00A13A63"/>
    <w:rsid w:val="00A15C87"/>
    <w:rsid w:val="00A20CB5"/>
    <w:rsid w:val="00A2228B"/>
    <w:rsid w:val="00A224D3"/>
    <w:rsid w:val="00A237E2"/>
    <w:rsid w:val="00A2390B"/>
    <w:rsid w:val="00A24259"/>
    <w:rsid w:val="00A27262"/>
    <w:rsid w:val="00A275BD"/>
    <w:rsid w:val="00A305CC"/>
    <w:rsid w:val="00A30728"/>
    <w:rsid w:val="00A318F2"/>
    <w:rsid w:val="00A34739"/>
    <w:rsid w:val="00A366C8"/>
    <w:rsid w:val="00A36972"/>
    <w:rsid w:val="00A36CA9"/>
    <w:rsid w:val="00A378DA"/>
    <w:rsid w:val="00A41703"/>
    <w:rsid w:val="00A41950"/>
    <w:rsid w:val="00A42081"/>
    <w:rsid w:val="00A42442"/>
    <w:rsid w:val="00A4390F"/>
    <w:rsid w:val="00A4457D"/>
    <w:rsid w:val="00A46887"/>
    <w:rsid w:val="00A502BB"/>
    <w:rsid w:val="00A52557"/>
    <w:rsid w:val="00A52E18"/>
    <w:rsid w:val="00A536A4"/>
    <w:rsid w:val="00A53EEB"/>
    <w:rsid w:val="00A545FE"/>
    <w:rsid w:val="00A55259"/>
    <w:rsid w:val="00A615D0"/>
    <w:rsid w:val="00A62C67"/>
    <w:rsid w:val="00A63A4C"/>
    <w:rsid w:val="00A64272"/>
    <w:rsid w:val="00A6468C"/>
    <w:rsid w:val="00A64A3A"/>
    <w:rsid w:val="00A65DBB"/>
    <w:rsid w:val="00A666A7"/>
    <w:rsid w:val="00A67624"/>
    <w:rsid w:val="00A70A6C"/>
    <w:rsid w:val="00A71771"/>
    <w:rsid w:val="00A71D95"/>
    <w:rsid w:val="00A72F95"/>
    <w:rsid w:val="00A731E7"/>
    <w:rsid w:val="00A75867"/>
    <w:rsid w:val="00A75ABD"/>
    <w:rsid w:val="00A7644E"/>
    <w:rsid w:val="00A77A1E"/>
    <w:rsid w:val="00A81202"/>
    <w:rsid w:val="00A8204C"/>
    <w:rsid w:val="00A82105"/>
    <w:rsid w:val="00A82DBE"/>
    <w:rsid w:val="00A8315D"/>
    <w:rsid w:val="00A8324E"/>
    <w:rsid w:val="00A847E7"/>
    <w:rsid w:val="00A8480A"/>
    <w:rsid w:val="00A84A8A"/>
    <w:rsid w:val="00A86211"/>
    <w:rsid w:val="00A86C1B"/>
    <w:rsid w:val="00A86D7E"/>
    <w:rsid w:val="00A87EB9"/>
    <w:rsid w:val="00A87F8A"/>
    <w:rsid w:val="00A90D26"/>
    <w:rsid w:val="00A92DFE"/>
    <w:rsid w:val="00A964C5"/>
    <w:rsid w:val="00A96658"/>
    <w:rsid w:val="00A96876"/>
    <w:rsid w:val="00A975A7"/>
    <w:rsid w:val="00AA18B7"/>
    <w:rsid w:val="00AA1D23"/>
    <w:rsid w:val="00AA223C"/>
    <w:rsid w:val="00AA3972"/>
    <w:rsid w:val="00AA3BD3"/>
    <w:rsid w:val="00AA45A4"/>
    <w:rsid w:val="00AA764D"/>
    <w:rsid w:val="00AB0563"/>
    <w:rsid w:val="00AB1420"/>
    <w:rsid w:val="00AB683B"/>
    <w:rsid w:val="00AC0D22"/>
    <w:rsid w:val="00AC4898"/>
    <w:rsid w:val="00AC4B60"/>
    <w:rsid w:val="00AC5369"/>
    <w:rsid w:val="00AD01C8"/>
    <w:rsid w:val="00AD33F0"/>
    <w:rsid w:val="00AD363D"/>
    <w:rsid w:val="00AD3B05"/>
    <w:rsid w:val="00AD70A4"/>
    <w:rsid w:val="00AD7D7D"/>
    <w:rsid w:val="00AE07EF"/>
    <w:rsid w:val="00AE093E"/>
    <w:rsid w:val="00AE09B5"/>
    <w:rsid w:val="00AE30B7"/>
    <w:rsid w:val="00AE3211"/>
    <w:rsid w:val="00AE3BFC"/>
    <w:rsid w:val="00AE52A4"/>
    <w:rsid w:val="00AE5D7A"/>
    <w:rsid w:val="00AF2B14"/>
    <w:rsid w:val="00AF3353"/>
    <w:rsid w:val="00AF45EA"/>
    <w:rsid w:val="00AF5602"/>
    <w:rsid w:val="00AF7BE8"/>
    <w:rsid w:val="00AF7E74"/>
    <w:rsid w:val="00B00AB3"/>
    <w:rsid w:val="00B00E07"/>
    <w:rsid w:val="00B01A98"/>
    <w:rsid w:val="00B0227D"/>
    <w:rsid w:val="00B075C0"/>
    <w:rsid w:val="00B12F83"/>
    <w:rsid w:val="00B14C04"/>
    <w:rsid w:val="00B14CEB"/>
    <w:rsid w:val="00B14D1B"/>
    <w:rsid w:val="00B15794"/>
    <w:rsid w:val="00B163D2"/>
    <w:rsid w:val="00B16DF7"/>
    <w:rsid w:val="00B179DC"/>
    <w:rsid w:val="00B17E43"/>
    <w:rsid w:val="00B20596"/>
    <w:rsid w:val="00B20EB3"/>
    <w:rsid w:val="00B2221F"/>
    <w:rsid w:val="00B2507F"/>
    <w:rsid w:val="00B25D3F"/>
    <w:rsid w:val="00B265B4"/>
    <w:rsid w:val="00B27EEE"/>
    <w:rsid w:val="00B30350"/>
    <w:rsid w:val="00B30CEA"/>
    <w:rsid w:val="00B30E40"/>
    <w:rsid w:val="00B31942"/>
    <w:rsid w:val="00B31FF8"/>
    <w:rsid w:val="00B337EB"/>
    <w:rsid w:val="00B37E11"/>
    <w:rsid w:val="00B37E2C"/>
    <w:rsid w:val="00B40104"/>
    <w:rsid w:val="00B40950"/>
    <w:rsid w:val="00B415C3"/>
    <w:rsid w:val="00B417F5"/>
    <w:rsid w:val="00B438B7"/>
    <w:rsid w:val="00B44B36"/>
    <w:rsid w:val="00B44C85"/>
    <w:rsid w:val="00B454F0"/>
    <w:rsid w:val="00B459D9"/>
    <w:rsid w:val="00B45A91"/>
    <w:rsid w:val="00B4619C"/>
    <w:rsid w:val="00B466F5"/>
    <w:rsid w:val="00B47025"/>
    <w:rsid w:val="00B47460"/>
    <w:rsid w:val="00B50ABD"/>
    <w:rsid w:val="00B520AF"/>
    <w:rsid w:val="00B52CE4"/>
    <w:rsid w:val="00B55C69"/>
    <w:rsid w:val="00B57C30"/>
    <w:rsid w:val="00B624EE"/>
    <w:rsid w:val="00B626BA"/>
    <w:rsid w:val="00B66F9E"/>
    <w:rsid w:val="00B6752F"/>
    <w:rsid w:val="00B67D99"/>
    <w:rsid w:val="00B70576"/>
    <w:rsid w:val="00B71E0D"/>
    <w:rsid w:val="00B7604B"/>
    <w:rsid w:val="00B761F7"/>
    <w:rsid w:val="00B81400"/>
    <w:rsid w:val="00B83970"/>
    <w:rsid w:val="00B86612"/>
    <w:rsid w:val="00B86F77"/>
    <w:rsid w:val="00B910CB"/>
    <w:rsid w:val="00B91199"/>
    <w:rsid w:val="00B913B3"/>
    <w:rsid w:val="00B91581"/>
    <w:rsid w:val="00B94E63"/>
    <w:rsid w:val="00B94EF7"/>
    <w:rsid w:val="00B95D80"/>
    <w:rsid w:val="00B96F75"/>
    <w:rsid w:val="00B97303"/>
    <w:rsid w:val="00BA0CA0"/>
    <w:rsid w:val="00BA1301"/>
    <w:rsid w:val="00BA2C18"/>
    <w:rsid w:val="00BA48C4"/>
    <w:rsid w:val="00BA497C"/>
    <w:rsid w:val="00BA4D0E"/>
    <w:rsid w:val="00BA571A"/>
    <w:rsid w:val="00BA7499"/>
    <w:rsid w:val="00BB40EA"/>
    <w:rsid w:val="00BB59C2"/>
    <w:rsid w:val="00BB6934"/>
    <w:rsid w:val="00BB6E81"/>
    <w:rsid w:val="00BB6E8B"/>
    <w:rsid w:val="00BC1185"/>
    <w:rsid w:val="00BC2C78"/>
    <w:rsid w:val="00BC36DB"/>
    <w:rsid w:val="00BC49C7"/>
    <w:rsid w:val="00BC4F4B"/>
    <w:rsid w:val="00BC5AA2"/>
    <w:rsid w:val="00BC66D2"/>
    <w:rsid w:val="00BC67C3"/>
    <w:rsid w:val="00BC7088"/>
    <w:rsid w:val="00BC7FA7"/>
    <w:rsid w:val="00BD0D63"/>
    <w:rsid w:val="00BD176C"/>
    <w:rsid w:val="00BD223A"/>
    <w:rsid w:val="00BD6268"/>
    <w:rsid w:val="00BD7B1B"/>
    <w:rsid w:val="00BD7BB4"/>
    <w:rsid w:val="00BE012F"/>
    <w:rsid w:val="00BE0AC6"/>
    <w:rsid w:val="00BE0E74"/>
    <w:rsid w:val="00BE2934"/>
    <w:rsid w:val="00BE2CEE"/>
    <w:rsid w:val="00BE3197"/>
    <w:rsid w:val="00BE3AD6"/>
    <w:rsid w:val="00BE3B11"/>
    <w:rsid w:val="00BE63ED"/>
    <w:rsid w:val="00BF061A"/>
    <w:rsid w:val="00BF088D"/>
    <w:rsid w:val="00BF16E0"/>
    <w:rsid w:val="00BF19E6"/>
    <w:rsid w:val="00BF237D"/>
    <w:rsid w:val="00BF312A"/>
    <w:rsid w:val="00BF38B8"/>
    <w:rsid w:val="00BF3BD9"/>
    <w:rsid w:val="00BF3DBD"/>
    <w:rsid w:val="00BF3F55"/>
    <w:rsid w:val="00BF5A6C"/>
    <w:rsid w:val="00BF6EF3"/>
    <w:rsid w:val="00C0020A"/>
    <w:rsid w:val="00C00D4F"/>
    <w:rsid w:val="00C010D2"/>
    <w:rsid w:val="00C028F9"/>
    <w:rsid w:val="00C02FE8"/>
    <w:rsid w:val="00C04C94"/>
    <w:rsid w:val="00C05768"/>
    <w:rsid w:val="00C06DCB"/>
    <w:rsid w:val="00C06EF7"/>
    <w:rsid w:val="00C07796"/>
    <w:rsid w:val="00C07941"/>
    <w:rsid w:val="00C07ED2"/>
    <w:rsid w:val="00C11DF6"/>
    <w:rsid w:val="00C12733"/>
    <w:rsid w:val="00C13843"/>
    <w:rsid w:val="00C15895"/>
    <w:rsid w:val="00C15FAE"/>
    <w:rsid w:val="00C16325"/>
    <w:rsid w:val="00C16356"/>
    <w:rsid w:val="00C17BF4"/>
    <w:rsid w:val="00C206FC"/>
    <w:rsid w:val="00C214F4"/>
    <w:rsid w:val="00C21A6D"/>
    <w:rsid w:val="00C21B6D"/>
    <w:rsid w:val="00C2272E"/>
    <w:rsid w:val="00C22AA8"/>
    <w:rsid w:val="00C23179"/>
    <w:rsid w:val="00C303A4"/>
    <w:rsid w:val="00C3062F"/>
    <w:rsid w:val="00C30BDF"/>
    <w:rsid w:val="00C323C3"/>
    <w:rsid w:val="00C33241"/>
    <w:rsid w:val="00C33E47"/>
    <w:rsid w:val="00C3434B"/>
    <w:rsid w:val="00C372DF"/>
    <w:rsid w:val="00C40A8F"/>
    <w:rsid w:val="00C41E26"/>
    <w:rsid w:val="00C424DD"/>
    <w:rsid w:val="00C42962"/>
    <w:rsid w:val="00C42B5D"/>
    <w:rsid w:val="00C47FE1"/>
    <w:rsid w:val="00C517A9"/>
    <w:rsid w:val="00C519AF"/>
    <w:rsid w:val="00C52695"/>
    <w:rsid w:val="00C53E6C"/>
    <w:rsid w:val="00C54177"/>
    <w:rsid w:val="00C55AEE"/>
    <w:rsid w:val="00C55EED"/>
    <w:rsid w:val="00C562F0"/>
    <w:rsid w:val="00C56D58"/>
    <w:rsid w:val="00C57CD6"/>
    <w:rsid w:val="00C62F37"/>
    <w:rsid w:val="00C63A9A"/>
    <w:rsid w:val="00C651F6"/>
    <w:rsid w:val="00C6695D"/>
    <w:rsid w:val="00C71722"/>
    <w:rsid w:val="00C72F5C"/>
    <w:rsid w:val="00C73121"/>
    <w:rsid w:val="00C73BD1"/>
    <w:rsid w:val="00C7487B"/>
    <w:rsid w:val="00C77109"/>
    <w:rsid w:val="00C806DF"/>
    <w:rsid w:val="00C82D4B"/>
    <w:rsid w:val="00C83B33"/>
    <w:rsid w:val="00C85739"/>
    <w:rsid w:val="00C85D57"/>
    <w:rsid w:val="00C8631E"/>
    <w:rsid w:val="00C86431"/>
    <w:rsid w:val="00C91CB7"/>
    <w:rsid w:val="00C9312C"/>
    <w:rsid w:val="00C961A1"/>
    <w:rsid w:val="00C97185"/>
    <w:rsid w:val="00CA04FF"/>
    <w:rsid w:val="00CA25F9"/>
    <w:rsid w:val="00CA4577"/>
    <w:rsid w:val="00CA6CF3"/>
    <w:rsid w:val="00CA6F7A"/>
    <w:rsid w:val="00CA7319"/>
    <w:rsid w:val="00CA7418"/>
    <w:rsid w:val="00CB2590"/>
    <w:rsid w:val="00CB2F32"/>
    <w:rsid w:val="00CB370E"/>
    <w:rsid w:val="00CB5CAF"/>
    <w:rsid w:val="00CB6090"/>
    <w:rsid w:val="00CC0BCA"/>
    <w:rsid w:val="00CC23A5"/>
    <w:rsid w:val="00CC3D38"/>
    <w:rsid w:val="00CC5371"/>
    <w:rsid w:val="00CC5C24"/>
    <w:rsid w:val="00CC66E7"/>
    <w:rsid w:val="00CC6DBC"/>
    <w:rsid w:val="00CD06CE"/>
    <w:rsid w:val="00CD1B00"/>
    <w:rsid w:val="00CD4D1F"/>
    <w:rsid w:val="00CD652A"/>
    <w:rsid w:val="00CD69C6"/>
    <w:rsid w:val="00CE08CC"/>
    <w:rsid w:val="00CE4599"/>
    <w:rsid w:val="00CE5400"/>
    <w:rsid w:val="00CE570C"/>
    <w:rsid w:val="00CE5778"/>
    <w:rsid w:val="00CE6061"/>
    <w:rsid w:val="00CF2630"/>
    <w:rsid w:val="00CF2955"/>
    <w:rsid w:val="00CF4724"/>
    <w:rsid w:val="00CF609F"/>
    <w:rsid w:val="00CF6F9A"/>
    <w:rsid w:val="00CF7AD7"/>
    <w:rsid w:val="00D00C11"/>
    <w:rsid w:val="00D02FD4"/>
    <w:rsid w:val="00D04959"/>
    <w:rsid w:val="00D05B0A"/>
    <w:rsid w:val="00D05F03"/>
    <w:rsid w:val="00D07421"/>
    <w:rsid w:val="00D100D4"/>
    <w:rsid w:val="00D103EC"/>
    <w:rsid w:val="00D1283A"/>
    <w:rsid w:val="00D129F3"/>
    <w:rsid w:val="00D14478"/>
    <w:rsid w:val="00D161DA"/>
    <w:rsid w:val="00D16509"/>
    <w:rsid w:val="00D16755"/>
    <w:rsid w:val="00D17880"/>
    <w:rsid w:val="00D20143"/>
    <w:rsid w:val="00D20439"/>
    <w:rsid w:val="00D20FFC"/>
    <w:rsid w:val="00D21A38"/>
    <w:rsid w:val="00D22206"/>
    <w:rsid w:val="00D22523"/>
    <w:rsid w:val="00D232A5"/>
    <w:rsid w:val="00D23C80"/>
    <w:rsid w:val="00D25087"/>
    <w:rsid w:val="00D25FFB"/>
    <w:rsid w:val="00D2672E"/>
    <w:rsid w:val="00D2789F"/>
    <w:rsid w:val="00D316DA"/>
    <w:rsid w:val="00D32644"/>
    <w:rsid w:val="00D32F87"/>
    <w:rsid w:val="00D33EA7"/>
    <w:rsid w:val="00D35E77"/>
    <w:rsid w:val="00D361BD"/>
    <w:rsid w:val="00D36B23"/>
    <w:rsid w:val="00D376B3"/>
    <w:rsid w:val="00D37970"/>
    <w:rsid w:val="00D37DAF"/>
    <w:rsid w:val="00D425B9"/>
    <w:rsid w:val="00D425CF"/>
    <w:rsid w:val="00D43BB2"/>
    <w:rsid w:val="00D4466F"/>
    <w:rsid w:val="00D44A44"/>
    <w:rsid w:val="00D5196A"/>
    <w:rsid w:val="00D54AED"/>
    <w:rsid w:val="00D55044"/>
    <w:rsid w:val="00D5524F"/>
    <w:rsid w:val="00D56368"/>
    <w:rsid w:val="00D56969"/>
    <w:rsid w:val="00D56E76"/>
    <w:rsid w:val="00D6101D"/>
    <w:rsid w:val="00D619A5"/>
    <w:rsid w:val="00D64A3C"/>
    <w:rsid w:val="00D64BD4"/>
    <w:rsid w:val="00D65408"/>
    <w:rsid w:val="00D65F1D"/>
    <w:rsid w:val="00D673DF"/>
    <w:rsid w:val="00D71022"/>
    <w:rsid w:val="00D773B1"/>
    <w:rsid w:val="00D82339"/>
    <w:rsid w:val="00D82DD8"/>
    <w:rsid w:val="00D8350C"/>
    <w:rsid w:val="00D83E16"/>
    <w:rsid w:val="00D91EE0"/>
    <w:rsid w:val="00D9340C"/>
    <w:rsid w:val="00D943DA"/>
    <w:rsid w:val="00D9474E"/>
    <w:rsid w:val="00D96767"/>
    <w:rsid w:val="00D97035"/>
    <w:rsid w:val="00D9744F"/>
    <w:rsid w:val="00DA09A5"/>
    <w:rsid w:val="00DA0CA2"/>
    <w:rsid w:val="00DA13D3"/>
    <w:rsid w:val="00DA28DB"/>
    <w:rsid w:val="00DA3371"/>
    <w:rsid w:val="00DA579C"/>
    <w:rsid w:val="00DA76F2"/>
    <w:rsid w:val="00DB0F98"/>
    <w:rsid w:val="00DB1B7D"/>
    <w:rsid w:val="00DB225D"/>
    <w:rsid w:val="00DB2CD7"/>
    <w:rsid w:val="00DB33BE"/>
    <w:rsid w:val="00DB5799"/>
    <w:rsid w:val="00DB57A7"/>
    <w:rsid w:val="00DB623D"/>
    <w:rsid w:val="00DB6F58"/>
    <w:rsid w:val="00DB7706"/>
    <w:rsid w:val="00DB7B69"/>
    <w:rsid w:val="00DC285B"/>
    <w:rsid w:val="00DC2A72"/>
    <w:rsid w:val="00DC2AFC"/>
    <w:rsid w:val="00DC4891"/>
    <w:rsid w:val="00DC4BA9"/>
    <w:rsid w:val="00DC53A7"/>
    <w:rsid w:val="00DC68C4"/>
    <w:rsid w:val="00DD003E"/>
    <w:rsid w:val="00DD0C53"/>
    <w:rsid w:val="00DD73E6"/>
    <w:rsid w:val="00DE487D"/>
    <w:rsid w:val="00DE5C65"/>
    <w:rsid w:val="00DE6729"/>
    <w:rsid w:val="00DE693C"/>
    <w:rsid w:val="00DE6BF4"/>
    <w:rsid w:val="00DF035F"/>
    <w:rsid w:val="00DF161A"/>
    <w:rsid w:val="00DF1FF7"/>
    <w:rsid w:val="00DF3126"/>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6243"/>
    <w:rsid w:val="00E0629A"/>
    <w:rsid w:val="00E06547"/>
    <w:rsid w:val="00E10B38"/>
    <w:rsid w:val="00E1200E"/>
    <w:rsid w:val="00E120F2"/>
    <w:rsid w:val="00E12382"/>
    <w:rsid w:val="00E127EE"/>
    <w:rsid w:val="00E12FEF"/>
    <w:rsid w:val="00E14C5E"/>
    <w:rsid w:val="00E153E6"/>
    <w:rsid w:val="00E15F71"/>
    <w:rsid w:val="00E167E0"/>
    <w:rsid w:val="00E20964"/>
    <w:rsid w:val="00E21A68"/>
    <w:rsid w:val="00E22447"/>
    <w:rsid w:val="00E24852"/>
    <w:rsid w:val="00E24E23"/>
    <w:rsid w:val="00E25809"/>
    <w:rsid w:val="00E26144"/>
    <w:rsid w:val="00E2615B"/>
    <w:rsid w:val="00E26AB7"/>
    <w:rsid w:val="00E30B47"/>
    <w:rsid w:val="00E30C45"/>
    <w:rsid w:val="00E31632"/>
    <w:rsid w:val="00E327C5"/>
    <w:rsid w:val="00E34F1D"/>
    <w:rsid w:val="00E37535"/>
    <w:rsid w:val="00E41448"/>
    <w:rsid w:val="00E43C1D"/>
    <w:rsid w:val="00E467AC"/>
    <w:rsid w:val="00E46A12"/>
    <w:rsid w:val="00E522BC"/>
    <w:rsid w:val="00E53366"/>
    <w:rsid w:val="00E5362A"/>
    <w:rsid w:val="00E54786"/>
    <w:rsid w:val="00E54DE3"/>
    <w:rsid w:val="00E5638F"/>
    <w:rsid w:val="00E566D5"/>
    <w:rsid w:val="00E57CE0"/>
    <w:rsid w:val="00E6170B"/>
    <w:rsid w:val="00E64CC7"/>
    <w:rsid w:val="00E65645"/>
    <w:rsid w:val="00E65938"/>
    <w:rsid w:val="00E65FE8"/>
    <w:rsid w:val="00E67BB5"/>
    <w:rsid w:val="00E71231"/>
    <w:rsid w:val="00E715EE"/>
    <w:rsid w:val="00E71B8E"/>
    <w:rsid w:val="00E74803"/>
    <w:rsid w:val="00E74A64"/>
    <w:rsid w:val="00E805FC"/>
    <w:rsid w:val="00E80CC8"/>
    <w:rsid w:val="00E81262"/>
    <w:rsid w:val="00E82265"/>
    <w:rsid w:val="00E824D0"/>
    <w:rsid w:val="00E8304C"/>
    <w:rsid w:val="00E840E7"/>
    <w:rsid w:val="00E86ED0"/>
    <w:rsid w:val="00E87071"/>
    <w:rsid w:val="00E90676"/>
    <w:rsid w:val="00E90F0F"/>
    <w:rsid w:val="00E912D8"/>
    <w:rsid w:val="00E91D60"/>
    <w:rsid w:val="00E92F51"/>
    <w:rsid w:val="00E93078"/>
    <w:rsid w:val="00E939B4"/>
    <w:rsid w:val="00E93ECB"/>
    <w:rsid w:val="00E95296"/>
    <w:rsid w:val="00E9543B"/>
    <w:rsid w:val="00E9574A"/>
    <w:rsid w:val="00E95BFD"/>
    <w:rsid w:val="00E9633A"/>
    <w:rsid w:val="00E97530"/>
    <w:rsid w:val="00EA08E4"/>
    <w:rsid w:val="00EA1F84"/>
    <w:rsid w:val="00EA22D6"/>
    <w:rsid w:val="00EA2947"/>
    <w:rsid w:val="00EA428E"/>
    <w:rsid w:val="00EA4DC2"/>
    <w:rsid w:val="00EA5884"/>
    <w:rsid w:val="00EA7E84"/>
    <w:rsid w:val="00EA7F34"/>
    <w:rsid w:val="00EB1F13"/>
    <w:rsid w:val="00EB3212"/>
    <w:rsid w:val="00EB5429"/>
    <w:rsid w:val="00EB5BCC"/>
    <w:rsid w:val="00EB6DE5"/>
    <w:rsid w:val="00EC6BA9"/>
    <w:rsid w:val="00EC6F09"/>
    <w:rsid w:val="00ED143B"/>
    <w:rsid w:val="00ED475B"/>
    <w:rsid w:val="00ED47BA"/>
    <w:rsid w:val="00ED4C37"/>
    <w:rsid w:val="00ED7500"/>
    <w:rsid w:val="00ED77EF"/>
    <w:rsid w:val="00EE2D93"/>
    <w:rsid w:val="00EE3ED3"/>
    <w:rsid w:val="00EE5D6F"/>
    <w:rsid w:val="00EE5FE5"/>
    <w:rsid w:val="00EE69E5"/>
    <w:rsid w:val="00EF0E0C"/>
    <w:rsid w:val="00EF158D"/>
    <w:rsid w:val="00EF3561"/>
    <w:rsid w:val="00EF36DD"/>
    <w:rsid w:val="00EF51E8"/>
    <w:rsid w:val="00F00CA2"/>
    <w:rsid w:val="00F02BEA"/>
    <w:rsid w:val="00F0469B"/>
    <w:rsid w:val="00F04D25"/>
    <w:rsid w:val="00F0518B"/>
    <w:rsid w:val="00F05650"/>
    <w:rsid w:val="00F05AD0"/>
    <w:rsid w:val="00F065CB"/>
    <w:rsid w:val="00F067D8"/>
    <w:rsid w:val="00F11584"/>
    <w:rsid w:val="00F143A3"/>
    <w:rsid w:val="00F14CC2"/>
    <w:rsid w:val="00F1548A"/>
    <w:rsid w:val="00F172D3"/>
    <w:rsid w:val="00F201B4"/>
    <w:rsid w:val="00F203C1"/>
    <w:rsid w:val="00F20929"/>
    <w:rsid w:val="00F22AF0"/>
    <w:rsid w:val="00F2420D"/>
    <w:rsid w:val="00F2789F"/>
    <w:rsid w:val="00F35350"/>
    <w:rsid w:val="00F35F2B"/>
    <w:rsid w:val="00F37347"/>
    <w:rsid w:val="00F37AB6"/>
    <w:rsid w:val="00F412F0"/>
    <w:rsid w:val="00F43B7E"/>
    <w:rsid w:val="00F43F67"/>
    <w:rsid w:val="00F44588"/>
    <w:rsid w:val="00F44747"/>
    <w:rsid w:val="00F46CF4"/>
    <w:rsid w:val="00F47E45"/>
    <w:rsid w:val="00F5102E"/>
    <w:rsid w:val="00F52743"/>
    <w:rsid w:val="00F54D1B"/>
    <w:rsid w:val="00F56156"/>
    <w:rsid w:val="00F577A0"/>
    <w:rsid w:val="00F60144"/>
    <w:rsid w:val="00F6099A"/>
    <w:rsid w:val="00F60D8F"/>
    <w:rsid w:val="00F60F9B"/>
    <w:rsid w:val="00F61FE8"/>
    <w:rsid w:val="00F624A1"/>
    <w:rsid w:val="00F71FE4"/>
    <w:rsid w:val="00F71FE9"/>
    <w:rsid w:val="00F720BD"/>
    <w:rsid w:val="00F73A1E"/>
    <w:rsid w:val="00F74AD7"/>
    <w:rsid w:val="00F753B6"/>
    <w:rsid w:val="00F75452"/>
    <w:rsid w:val="00F761ED"/>
    <w:rsid w:val="00F77ED4"/>
    <w:rsid w:val="00F80804"/>
    <w:rsid w:val="00F8121A"/>
    <w:rsid w:val="00F85941"/>
    <w:rsid w:val="00F87025"/>
    <w:rsid w:val="00F8726E"/>
    <w:rsid w:val="00F914FA"/>
    <w:rsid w:val="00F92133"/>
    <w:rsid w:val="00F9682E"/>
    <w:rsid w:val="00F96A59"/>
    <w:rsid w:val="00FA02C5"/>
    <w:rsid w:val="00FA223C"/>
    <w:rsid w:val="00FA3DC8"/>
    <w:rsid w:val="00FA3DDF"/>
    <w:rsid w:val="00FA5E63"/>
    <w:rsid w:val="00FA5F0C"/>
    <w:rsid w:val="00FA6CF3"/>
    <w:rsid w:val="00FA7D52"/>
    <w:rsid w:val="00FB0E1A"/>
    <w:rsid w:val="00FB0E4B"/>
    <w:rsid w:val="00FB0F25"/>
    <w:rsid w:val="00FB1C25"/>
    <w:rsid w:val="00FB56F8"/>
    <w:rsid w:val="00FB6EBF"/>
    <w:rsid w:val="00FC2251"/>
    <w:rsid w:val="00FC2BA8"/>
    <w:rsid w:val="00FC355E"/>
    <w:rsid w:val="00FD012C"/>
    <w:rsid w:val="00FD0636"/>
    <w:rsid w:val="00FD2317"/>
    <w:rsid w:val="00FD4CF0"/>
    <w:rsid w:val="00FD4F16"/>
    <w:rsid w:val="00FD60BA"/>
    <w:rsid w:val="00FD655A"/>
    <w:rsid w:val="00FD794B"/>
    <w:rsid w:val="00FE1A96"/>
    <w:rsid w:val="00FE28E8"/>
    <w:rsid w:val="00FE3640"/>
    <w:rsid w:val="00FE385A"/>
    <w:rsid w:val="00FE482A"/>
    <w:rsid w:val="00FE5F2E"/>
    <w:rsid w:val="00FE76DD"/>
    <w:rsid w:val="00FF1A27"/>
    <w:rsid w:val="00FF281A"/>
    <w:rsid w:val="00FF3900"/>
    <w:rsid w:val="00FF39E5"/>
    <w:rsid w:val="00FF5194"/>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rsid w:val="001124CF"/>
    <w:rPr>
      <w:sz w:val="20"/>
      <w:szCs w:val="20"/>
    </w:rPr>
  </w:style>
  <w:style w:type="character" w:styleId="FootnoteReference">
    <w:name w:val="footnote reference"/>
    <w:basedOn w:val="DefaultParagraphFon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avanet.avistacorp.com/news/company/eview/2010/05-11-2010_EXTRA.asp"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vistautilities.com"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avanet.avistacorp.com/news/company/eview/2010/09-07-2010_EXTR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avanet.avistacorp.com/news/company/eview/2010/07-15-2010_EXTRA.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jdpower.com/news/pressRelease.aspx?ID=201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C60BB5-B3EE-4305-9558-063FF948199C}"/>
</file>

<file path=customXml/itemProps2.xml><?xml version="1.0" encoding="utf-8"?>
<ds:datastoreItem xmlns:ds="http://schemas.openxmlformats.org/officeDocument/2006/customXml" ds:itemID="{A72103A8-3D55-4437-858D-5EE2AE12EA79}"/>
</file>

<file path=customXml/itemProps3.xml><?xml version="1.0" encoding="utf-8"?>
<ds:datastoreItem xmlns:ds="http://schemas.openxmlformats.org/officeDocument/2006/customXml" ds:itemID="{B0576E75-872D-455A-BF45-20EC70342C83}"/>
</file>

<file path=customXml/itemProps4.xml><?xml version="1.0" encoding="utf-8"?>
<ds:datastoreItem xmlns:ds="http://schemas.openxmlformats.org/officeDocument/2006/customXml" ds:itemID="{165B13AD-CCBF-4D38-827C-120DFC3476A2}"/>
</file>

<file path=customXml/itemProps5.xml><?xml version="1.0" encoding="utf-8"?>
<ds:datastoreItem xmlns:ds="http://schemas.openxmlformats.org/officeDocument/2006/customXml" ds:itemID="{B5D142B5-44BB-41E1-8B97-E826BFFBEDA2}"/>
</file>

<file path=docProps/app.xml><?xml version="1.0" encoding="utf-8"?>
<Properties xmlns="http://schemas.openxmlformats.org/officeDocument/2006/extended-properties" xmlns:vt="http://schemas.openxmlformats.org/officeDocument/2006/docPropsVTypes">
  <Template>Normal.dotm</Template>
  <TotalTime>188</TotalTime>
  <Pages>32</Pages>
  <Words>7407</Words>
  <Characters>41227</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Patrick Ehrbar</cp:lastModifiedBy>
  <cp:revision>17</cp:revision>
  <cp:lastPrinted>2011-05-09T19:24:00Z</cp:lastPrinted>
  <dcterms:created xsi:type="dcterms:W3CDTF">2011-05-09T17:13:00Z</dcterms:created>
  <dcterms:modified xsi:type="dcterms:W3CDTF">2011-05-12T17:38:00Z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