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F7309" w14:textId="67C11F4F" w:rsidR="001313C8" w:rsidRPr="00D125E6" w:rsidRDefault="001313C8" w:rsidP="00BE2C41">
      <w:pPr>
        <w:spacing w:after="240"/>
        <w:jc w:val="center"/>
        <w:rPr>
          <w:rFonts w:ascii="Times New Roman" w:hAnsi="Times New Roman" w:cs="Times New Roman"/>
          <w:b/>
          <w:bCs/>
          <w:sz w:val="24"/>
          <w:szCs w:val="24"/>
        </w:rPr>
      </w:pPr>
      <w:r w:rsidRPr="00D125E6">
        <w:rPr>
          <w:rFonts w:ascii="Times New Roman" w:hAnsi="Times New Roman" w:cs="Times New Roman"/>
          <w:b/>
          <w:bCs/>
          <w:sz w:val="24"/>
          <w:szCs w:val="24"/>
        </w:rPr>
        <w:t>Docket UE-190698</w:t>
      </w:r>
      <w:r w:rsidR="00BE2C41">
        <w:rPr>
          <w:rFonts w:ascii="Times New Roman" w:hAnsi="Times New Roman" w:cs="Times New Roman"/>
          <w:b/>
          <w:bCs/>
          <w:sz w:val="24"/>
          <w:szCs w:val="24"/>
        </w:rPr>
        <w:t xml:space="preserve"> </w:t>
      </w:r>
    </w:p>
    <w:p w14:paraId="54BF7C76" w14:textId="65613DAE" w:rsidR="00BE2C41" w:rsidRDefault="00BE2C41" w:rsidP="00BE2C4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Submitted by </w:t>
      </w:r>
      <w:r w:rsidR="001313C8" w:rsidRPr="00D125E6">
        <w:rPr>
          <w:rFonts w:ascii="Times New Roman" w:hAnsi="Times New Roman" w:cs="Times New Roman"/>
          <w:b/>
          <w:bCs/>
          <w:sz w:val="24"/>
          <w:szCs w:val="24"/>
        </w:rPr>
        <w:t>Swan Lake North Hydro, LLC</w:t>
      </w:r>
      <w:r>
        <w:rPr>
          <w:rFonts w:ascii="Times New Roman" w:hAnsi="Times New Roman" w:cs="Times New Roman"/>
          <w:b/>
          <w:bCs/>
          <w:sz w:val="24"/>
          <w:szCs w:val="24"/>
        </w:rPr>
        <w:t xml:space="preserve">, </w:t>
      </w:r>
      <w:r w:rsidR="00012A49">
        <w:rPr>
          <w:rFonts w:ascii="Times New Roman" w:hAnsi="Times New Roman" w:cs="Times New Roman"/>
          <w:b/>
          <w:bCs/>
          <w:sz w:val="24"/>
          <w:szCs w:val="24"/>
        </w:rPr>
        <w:t>PUD #1 of Klickitat County</w:t>
      </w:r>
      <w:r>
        <w:rPr>
          <w:rFonts w:ascii="Times New Roman" w:hAnsi="Times New Roman" w:cs="Times New Roman"/>
          <w:b/>
          <w:bCs/>
          <w:sz w:val="24"/>
          <w:szCs w:val="24"/>
        </w:rPr>
        <w:t xml:space="preserve">, and </w:t>
      </w:r>
    </w:p>
    <w:p w14:paraId="4454AF28" w14:textId="799DD783" w:rsidR="00BE2C41" w:rsidRPr="00D125E6" w:rsidRDefault="00012A49" w:rsidP="00BE2C41">
      <w:pPr>
        <w:spacing w:after="240"/>
        <w:jc w:val="center"/>
        <w:rPr>
          <w:rFonts w:ascii="Times New Roman" w:hAnsi="Times New Roman" w:cs="Times New Roman"/>
          <w:b/>
          <w:bCs/>
          <w:sz w:val="24"/>
          <w:szCs w:val="24"/>
        </w:rPr>
      </w:pPr>
      <w:r>
        <w:rPr>
          <w:rFonts w:ascii="Times New Roman" w:hAnsi="Times New Roman" w:cs="Times New Roman"/>
          <w:b/>
          <w:bCs/>
          <w:sz w:val="24"/>
          <w:szCs w:val="24"/>
        </w:rPr>
        <w:t>Renewable Hydrogen Alliance</w:t>
      </w:r>
    </w:p>
    <w:p w14:paraId="08C66905" w14:textId="2D422806" w:rsidR="001313C8" w:rsidRPr="00182ED8" w:rsidRDefault="00D125E6" w:rsidP="00BE2C41">
      <w:pPr>
        <w:spacing w:after="0"/>
        <w:jc w:val="center"/>
        <w:rPr>
          <w:rFonts w:ascii="Times New Roman" w:hAnsi="Times New Roman" w:cs="Times New Roman"/>
          <w:b/>
          <w:sz w:val="24"/>
          <w:szCs w:val="24"/>
        </w:rPr>
      </w:pPr>
      <w:r w:rsidRPr="00182ED8">
        <w:rPr>
          <w:rFonts w:ascii="Times New Roman" w:hAnsi="Times New Roman" w:cs="Times New Roman"/>
          <w:b/>
          <w:sz w:val="24"/>
          <w:szCs w:val="24"/>
        </w:rPr>
        <w:t>December 20, 2019</w:t>
      </w:r>
    </w:p>
    <w:p w14:paraId="311E5F26" w14:textId="77777777" w:rsidR="00182ED8" w:rsidRDefault="00182ED8" w:rsidP="00BE2C41">
      <w:pPr>
        <w:spacing w:after="0"/>
        <w:jc w:val="center"/>
        <w:rPr>
          <w:rFonts w:ascii="Times New Roman" w:hAnsi="Times New Roman" w:cs="Times New Roman"/>
          <w:b/>
          <w:bCs/>
          <w:sz w:val="24"/>
          <w:szCs w:val="24"/>
        </w:rPr>
      </w:pPr>
    </w:p>
    <w:p w14:paraId="73C806D7" w14:textId="5F0DD7D8" w:rsidR="00BE2C41" w:rsidRDefault="001313C8" w:rsidP="00BE2C41">
      <w:pPr>
        <w:spacing w:after="0"/>
        <w:jc w:val="center"/>
        <w:rPr>
          <w:rFonts w:ascii="Times New Roman" w:hAnsi="Times New Roman" w:cs="Times New Roman"/>
          <w:b/>
          <w:bCs/>
          <w:sz w:val="24"/>
          <w:szCs w:val="24"/>
        </w:rPr>
      </w:pPr>
      <w:r w:rsidRPr="00D125E6">
        <w:rPr>
          <w:rFonts w:ascii="Times New Roman" w:hAnsi="Times New Roman" w:cs="Times New Roman"/>
          <w:b/>
          <w:bCs/>
          <w:sz w:val="24"/>
          <w:szCs w:val="24"/>
        </w:rPr>
        <w:t xml:space="preserve">In the Matter of Amending, Adopting, and Repealing WAC 480-100-238, </w:t>
      </w:r>
    </w:p>
    <w:p w14:paraId="3C4CA18D" w14:textId="1A9AEEE2" w:rsidR="001313C8" w:rsidRDefault="001313C8" w:rsidP="00BE2C41">
      <w:pPr>
        <w:spacing w:after="480"/>
        <w:jc w:val="center"/>
        <w:rPr>
          <w:rFonts w:ascii="Times New Roman" w:hAnsi="Times New Roman" w:cs="Times New Roman"/>
          <w:b/>
          <w:bCs/>
          <w:sz w:val="24"/>
          <w:szCs w:val="24"/>
        </w:rPr>
      </w:pPr>
      <w:r w:rsidRPr="00D125E6">
        <w:rPr>
          <w:rFonts w:ascii="Times New Roman" w:hAnsi="Times New Roman" w:cs="Times New Roman"/>
          <w:b/>
          <w:bCs/>
          <w:sz w:val="24"/>
          <w:szCs w:val="24"/>
        </w:rPr>
        <w:t>Relating to Integrated Resource Planning</w:t>
      </w:r>
    </w:p>
    <w:p w14:paraId="75CE2C92" w14:textId="71B1BC01" w:rsidR="00BE2C41" w:rsidRDefault="00EC1E3B" w:rsidP="007B4212">
      <w:pPr>
        <w:spacing w:after="240" w:line="276" w:lineRule="auto"/>
        <w:rPr>
          <w:rFonts w:ascii="Times New Roman" w:hAnsi="Times New Roman" w:cs="Times New Roman"/>
          <w:sz w:val="24"/>
          <w:szCs w:val="24"/>
        </w:rPr>
      </w:pPr>
      <w:r>
        <w:rPr>
          <w:rFonts w:ascii="Times New Roman" w:hAnsi="Times New Roman" w:cs="Times New Roman"/>
          <w:sz w:val="24"/>
          <w:szCs w:val="24"/>
        </w:rPr>
        <w:t>Swan Lake North Hydro, LLC, PUD #1 of Klickitat County, and Renewable Hydrogen Alliance, (t</w:t>
      </w:r>
      <w:r w:rsidR="00D125E6">
        <w:rPr>
          <w:rFonts w:ascii="Times New Roman" w:hAnsi="Times New Roman" w:cs="Times New Roman"/>
          <w:sz w:val="24"/>
          <w:szCs w:val="24"/>
        </w:rPr>
        <w:t xml:space="preserve">he </w:t>
      </w:r>
      <w:r>
        <w:rPr>
          <w:rFonts w:ascii="Times New Roman" w:hAnsi="Times New Roman" w:cs="Times New Roman"/>
          <w:sz w:val="24"/>
          <w:szCs w:val="24"/>
        </w:rPr>
        <w:t>“C</w:t>
      </w:r>
      <w:r w:rsidR="00D125E6">
        <w:rPr>
          <w:rFonts w:ascii="Times New Roman" w:hAnsi="Times New Roman" w:cs="Times New Roman"/>
          <w:sz w:val="24"/>
          <w:szCs w:val="24"/>
        </w:rPr>
        <w:t xml:space="preserve">ommenting </w:t>
      </w:r>
      <w:r>
        <w:rPr>
          <w:rFonts w:ascii="Times New Roman" w:hAnsi="Times New Roman" w:cs="Times New Roman"/>
          <w:sz w:val="24"/>
          <w:szCs w:val="24"/>
        </w:rPr>
        <w:t>P</w:t>
      </w:r>
      <w:r w:rsidR="00D125E6">
        <w:rPr>
          <w:rFonts w:ascii="Times New Roman" w:hAnsi="Times New Roman" w:cs="Times New Roman"/>
          <w:sz w:val="24"/>
          <w:szCs w:val="24"/>
        </w:rPr>
        <w:t>arties</w:t>
      </w:r>
      <w:r>
        <w:rPr>
          <w:rFonts w:ascii="Times New Roman" w:hAnsi="Times New Roman" w:cs="Times New Roman"/>
          <w:sz w:val="24"/>
          <w:szCs w:val="24"/>
        </w:rPr>
        <w:t>”)</w:t>
      </w:r>
      <w:r w:rsidR="00D125E6">
        <w:rPr>
          <w:rFonts w:ascii="Times New Roman" w:hAnsi="Times New Roman" w:cs="Times New Roman"/>
          <w:sz w:val="24"/>
          <w:szCs w:val="24"/>
        </w:rPr>
        <w:t xml:space="preserve"> </w:t>
      </w:r>
      <w:r>
        <w:rPr>
          <w:rFonts w:ascii="Times New Roman" w:hAnsi="Times New Roman" w:cs="Times New Roman"/>
          <w:sz w:val="24"/>
          <w:szCs w:val="24"/>
        </w:rPr>
        <w:t xml:space="preserve">submit these comments to the Utilities and Transportation Commission (the “Commission”) responding to the Notice of Opportunity to File Written Comments issued November 7, 2019 in the above-referenced docket.  The Commenting Parties </w:t>
      </w:r>
      <w:r w:rsidR="001313C8">
        <w:rPr>
          <w:rFonts w:ascii="Times New Roman" w:hAnsi="Times New Roman" w:cs="Times New Roman"/>
          <w:sz w:val="24"/>
          <w:szCs w:val="24"/>
        </w:rPr>
        <w:t>request</w:t>
      </w:r>
      <w:r>
        <w:rPr>
          <w:rFonts w:ascii="Times New Roman" w:hAnsi="Times New Roman" w:cs="Times New Roman"/>
          <w:sz w:val="24"/>
          <w:szCs w:val="24"/>
        </w:rPr>
        <w:t xml:space="preserve"> the Commission</w:t>
      </w:r>
      <w:r w:rsidR="001313C8">
        <w:rPr>
          <w:rFonts w:ascii="Times New Roman" w:hAnsi="Times New Roman" w:cs="Times New Roman"/>
          <w:sz w:val="24"/>
          <w:szCs w:val="24"/>
        </w:rPr>
        <w:t xml:space="preserve"> </w:t>
      </w:r>
      <w:r w:rsidR="00730AF8">
        <w:rPr>
          <w:rFonts w:ascii="Times New Roman" w:hAnsi="Times New Roman" w:cs="Times New Roman"/>
          <w:sz w:val="24"/>
          <w:szCs w:val="24"/>
        </w:rPr>
        <w:t>inclu</w:t>
      </w:r>
      <w:r>
        <w:rPr>
          <w:rFonts w:ascii="Times New Roman" w:hAnsi="Times New Roman" w:cs="Times New Roman"/>
          <w:sz w:val="24"/>
          <w:szCs w:val="24"/>
        </w:rPr>
        <w:t>de</w:t>
      </w:r>
      <w:r w:rsidR="00730AF8">
        <w:rPr>
          <w:rFonts w:ascii="Times New Roman" w:hAnsi="Times New Roman" w:cs="Times New Roman"/>
          <w:sz w:val="24"/>
          <w:szCs w:val="24"/>
        </w:rPr>
        <w:t xml:space="preserve"> in the “robust discussion”</w:t>
      </w:r>
      <w:r w:rsidR="001313C8">
        <w:rPr>
          <w:rFonts w:ascii="Times New Roman" w:hAnsi="Times New Roman" w:cs="Times New Roman"/>
          <w:sz w:val="24"/>
          <w:szCs w:val="24"/>
        </w:rPr>
        <w:t xml:space="preserve"> </w:t>
      </w:r>
      <w:r w:rsidR="00730AF8">
        <w:rPr>
          <w:rFonts w:ascii="Times New Roman" w:hAnsi="Times New Roman" w:cs="Times New Roman"/>
          <w:sz w:val="24"/>
          <w:szCs w:val="24"/>
        </w:rPr>
        <w:t xml:space="preserve">anticipated </w:t>
      </w:r>
      <w:r w:rsidR="00087BE8">
        <w:rPr>
          <w:rFonts w:ascii="Times New Roman" w:hAnsi="Times New Roman" w:cs="Times New Roman"/>
          <w:sz w:val="24"/>
          <w:szCs w:val="24"/>
        </w:rPr>
        <w:t xml:space="preserve">in this docket </w:t>
      </w:r>
      <w:r w:rsidR="001079AB">
        <w:rPr>
          <w:rFonts w:ascii="Times New Roman" w:hAnsi="Times New Roman" w:cs="Times New Roman"/>
          <w:sz w:val="24"/>
          <w:szCs w:val="24"/>
        </w:rPr>
        <w:t>the</w:t>
      </w:r>
      <w:r w:rsidR="0068416C">
        <w:rPr>
          <w:rFonts w:ascii="Times New Roman" w:hAnsi="Times New Roman" w:cs="Times New Roman"/>
          <w:sz w:val="24"/>
          <w:szCs w:val="24"/>
        </w:rPr>
        <w:t xml:space="preserve"> long-term</w:t>
      </w:r>
      <w:r w:rsidR="00730AF8">
        <w:rPr>
          <w:rFonts w:ascii="Times New Roman" w:hAnsi="Times New Roman" w:cs="Times New Roman"/>
          <w:sz w:val="24"/>
          <w:szCs w:val="24"/>
        </w:rPr>
        <w:t xml:space="preserve"> need </w:t>
      </w:r>
      <w:r>
        <w:rPr>
          <w:rFonts w:ascii="Times New Roman" w:hAnsi="Times New Roman" w:cs="Times New Roman"/>
          <w:sz w:val="24"/>
          <w:szCs w:val="24"/>
        </w:rPr>
        <w:t>for</w:t>
      </w:r>
      <w:r w:rsidR="0068416C">
        <w:rPr>
          <w:rFonts w:ascii="Times New Roman" w:hAnsi="Times New Roman" w:cs="Times New Roman"/>
          <w:sz w:val="24"/>
          <w:szCs w:val="24"/>
        </w:rPr>
        <w:t xml:space="preserve"> new</w:t>
      </w:r>
      <w:r>
        <w:rPr>
          <w:rFonts w:ascii="Times New Roman" w:hAnsi="Times New Roman" w:cs="Times New Roman"/>
          <w:sz w:val="24"/>
          <w:szCs w:val="24"/>
        </w:rPr>
        <w:t xml:space="preserve"> renewable capacity. </w:t>
      </w:r>
      <w:r w:rsidR="00087BE8">
        <w:rPr>
          <w:rFonts w:ascii="Times New Roman" w:hAnsi="Times New Roman" w:cs="Times New Roman"/>
          <w:sz w:val="24"/>
          <w:szCs w:val="24"/>
        </w:rPr>
        <w:t>The Commission should establish</w:t>
      </w:r>
      <w:r w:rsidR="004830A1">
        <w:rPr>
          <w:rFonts w:ascii="Times New Roman" w:hAnsi="Times New Roman" w:cs="Times New Roman"/>
          <w:sz w:val="24"/>
          <w:szCs w:val="24"/>
        </w:rPr>
        <w:t xml:space="preserve"> rule</w:t>
      </w:r>
      <w:r w:rsidR="00087BE8">
        <w:rPr>
          <w:rFonts w:ascii="Times New Roman" w:hAnsi="Times New Roman" w:cs="Times New Roman"/>
          <w:sz w:val="24"/>
          <w:szCs w:val="24"/>
        </w:rPr>
        <w:t>s</w:t>
      </w:r>
      <w:r w:rsidR="004830A1">
        <w:rPr>
          <w:rFonts w:ascii="Times New Roman" w:hAnsi="Times New Roman" w:cs="Times New Roman"/>
          <w:sz w:val="24"/>
          <w:szCs w:val="24"/>
        </w:rPr>
        <w:t xml:space="preserve"> th</w:t>
      </w:r>
      <w:r w:rsidR="00087BE8">
        <w:rPr>
          <w:rFonts w:ascii="Times New Roman" w:hAnsi="Times New Roman" w:cs="Times New Roman"/>
          <w:sz w:val="24"/>
          <w:szCs w:val="24"/>
        </w:rPr>
        <w:t>at create</w:t>
      </w:r>
      <w:r w:rsidR="004830A1">
        <w:rPr>
          <w:rFonts w:ascii="Times New Roman" w:hAnsi="Times New Roman" w:cs="Times New Roman"/>
          <w:sz w:val="24"/>
          <w:szCs w:val="24"/>
        </w:rPr>
        <w:t xml:space="preserve"> </w:t>
      </w:r>
      <w:r w:rsidR="00730AF8">
        <w:rPr>
          <w:rFonts w:ascii="Times New Roman" w:hAnsi="Times New Roman" w:cs="Times New Roman"/>
          <w:sz w:val="24"/>
          <w:szCs w:val="24"/>
        </w:rPr>
        <w:t>regulatory incentives</w:t>
      </w:r>
      <w:r w:rsidR="009843E3">
        <w:rPr>
          <w:rFonts w:ascii="Times New Roman" w:hAnsi="Times New Roman" w:cs="Times New Roman"/>
          <w:sz w:val="24"/>
          <w:szCs w:val="24"/>
        </w:rPr>
        <w:t xml:space="preserve"> and metrics</w:t>
      </w:r>
      <w:r w:rsidR="00730AF8">
        <w:rPr>
          <w:rFonts w:ascii="Times New Roman" w:hAnsi="Times New Roman" w:cs="Times New Roman"/>
          <w:sz w:val="24"/>
          <w:szCs w:val="24"/>
        </w:rPr>
        <w:t xml:space="preserve"> for replacing retiring thermal capacity with capacity that </w:t>
      </w:r>
      <w:r w:rsidR="004830A1">
        <w:rPr>
          <w:rFonts w:ascii="Times New Roman" w:hAnsi="Times New Roman" w:cs="Times New Roman"/>
          <w:sz w:val="24"/>
          <w:szCs w:val="24"/>
        </w:rPr>
        <w:t xml:space="preserve">can dispatch and </w:t>
      </w:r>
      <w:r w:rsidR="00730AF8">
        <w:rPr>
          <w:rFonts w:ascii="Times New Roman" w:hAnsi="Times New Roman" w:cs="Times New Roman"/>
          <w:sz w:val="24"/>
          <w:szCs w:val="24"/>
        </w:rPr>
        <w:t>generate electricity utilizing renewable resources</w:t>
      </w:r>
      <w:r w:rsidR="00087BE8">
        <w:rPr>
          <w:rFonts w:ascii="Times New Roman" w:hAnsi="Times New Roman" w:cs="Times New Roman"/>
          <w:sz w:val="24"/>
          <w:szCs w:val="24"/>
        </w:rPr>
        <w:t xml:space="preserve">, i.e. </w:t>
      </w:r>
      <w:r w:rsidR="00730AF8">
        <w:rPr>
          <w:rFonts w:ascii="Times New Roman" w:hAnsi="Times New Roman" w:cs="Times New Roman"/>
          <w:sz w:val="24"/>
          <w:szCs w:val="24"/>
        </w:rPr>
        <w:t>renewable capacity</w:t>
      </w:r>
      <w:r w:rsidR="00A92B64">
        <w:rPr>
          <w:rFonts w:ascii="Times New Roman" w:hAnsi="Times New Roman" w:cs="Times New Roman"/>
          <w:sz w:val="24"/>
          <w:szCs w:val="24"/>
        </w:rPr>
        <w:t xml:space="preserve"> before a capacity shortage is imminent</w:t>
      </w:r>
      <w:r w:rsidR="001079AB">
        <w:rPr>
          <w:rFonts w:ascii="Times New Roman" w:hAnsi="Times New Roman" w:cs="Times New Roman"/>
          <w:sz w:val="24"/>
          <w:szCs w:val="24"/>
        </w:rPr>
        <w:t>.</w:t>
      </w:r>
      <w:r w:rsidR="00087BE8">
        <w:rPr>
          <w:rFonts w:ascii="Times New Roman" w:hAnsi="Times New Roman" w:cs="Times New Roman"/>
          <w:sz w:val="24"/>
          <w:szCs w:val="24"/>
        </w:rPr>
        <w:t xml:space="preserve"> This will inevitably include the need to identify, plan for, analyze and value new renewable capacity</w:t>
      </w:r>
      <w:r w:rsidR="0068416C">
        <w:rPr>
          <w:rFonts w:ascii="Times New Roman" w:hAnsi="Times New Roman" w:cs="Times New Roman"/>
          <w:sz w:val="24"/>
          <w:szCs w:val="24"/>
        </w:rPr>
        <w:t>,</w:t>
      </w:r>
      <w:r w:rsidR="00087BE8">
        <w:rPr>
          <w:rFonts w:ascii="Times New Roman" w:hAnsi="Times New Roman" w:cs="Times New Roman"/>
          <w:sz w:val="24"/>
          <w:szCs w:val="24"/>
        </w:rPr>
        <w:t xml:space="preserve"> as well as </w:t>
      </w:r>
      <w:r w:rsidR="0068416C">
        <w:rPr>
          <w:rFonts w:ascii="Times New Roman" w:hAnsi="Times New Roman" w:cs="Times New Roman"/>
          <w:sz w:val="24"/>
          <w:szCs w:val="24"/>
        </w:rPr>
        <w:t xml:space="preserve">how to best </w:t>
      </w:r>
      <w:r w:rsidR="00087BE8">
        <w:rPr>
          <w:rFonts w:ascii="Times New Roman" w:hAnsi="Times New Roman" w:cs="Times New Roman"/>
          <w:sz w:val="24"/>
          <w:szCs w:val="24"/>
        </w:rPr>
        <w:t xml:space="preserve">determine the timing of need </w:t>
      </w:r>
      <w:r w:rsidR="0068416C">
        <w:rPr>
          <w:rFonts w:ascii="Times New Roman" w:hAnsi="Times New Roman" w:cs="Times New Roman"/>
          <w:sz w:val="24"/>
          <w:szCs w:val="24"/>
        </w:rPr>
        <w:t>considering unique</w:t>
      </w:r>
      <w:r w:rsidR="00087BE8">
        <w:rPr>
          <w:rFonts w:ascii="Times New Roman" w:hAnsi="Times New Roman" w:cs="Times New Roman"/>
          <w:sz w:val="24"/>
          <w:szCs w:val="24"/>
        </w:rPr>
        <w:t xml:space="preserve"> acquisition lead times</w:t>
      </w:r>
      <w:r w:rsidR="0068416C">
        <w:rPr>
          <w:rFonts w:ascii="Times New Roman" w:hAnsi="Times New Roman" w:cs="Times New Roman"/>
          <w:sz w:val="24"/>
          <w:szCs w:val="24"/>
        </w:rPr>
        <w:t>.</w:t>
      </w:r>
      <w:r w:rsidR="00556FFB">
        <w:rPr>
          <w:rFonts w:ascii="Times New Roman" w:hAnsi="Times New Roman" w:cs="Times New Roman"/>
          <w:sz w:val="24"/>
          <w:szCs w:val="24"/>
        </w:rPr>
        <w:t xml:space="preserve"> These comments provide an overview of current storage opportunities and regulatory hurdles relevant to the consideration of renewable capacity.   </w:t>
      </w:r>
    </w:p>
    <w:p w14:paraId="0D05A4D0" w14:textId="15F787E7" w:rsidR="009843E3" w:rsidRDefault="00087BE8" w:rsidP="007B4212">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6C6AC407" w14:textId="3FCB013F" w:rsidR="007B4212" w:rsidRDefault="00DC73C3" w:rsidP="00BE2C41">
      <w:pPr>
        <w:spacing w:after="240" w:line="276" w:lineRule="auto"/>
        <w:rPr>
          <w:rFonts w:ascii="Times New Roman" w:hAnsi="Times New Roman" w:cs="Times New Roman"/>
          <w:sz w:val="24"/>
          <w:szCs w:val="24"/>
        </w:rPr>
      </w:pPr>
      <w:r>
        <w:rPr>
          <w:rFonts w:ascii="Times New Roman" w:hAnsi="Times New Roman" w:cs="Times New Roman"/>
          <w:b/>
          <w:bCs/>
          <w:sz w:val="24"/>
          <w:szCs w:val="24"/>
        </w:rPr>
        <w:t xml:space="preserve">Statutory Requirement to Consider Storage and Renewable Capacity  </w:t>
      </w:r>
    </w:p>
    <w:p w14:paraId="52D75744" w14:textId="4A866B5F" w:rsidR="00506E4B" w:rsidRDefault="0056580D"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The 2019 Washington Legislature enacted </w:t>
      </w:r>
      <w:r w:rsidR="00730AF8">
        <w:rPr>
          <w:rFonts w:ascii="Times New Roman" w:hAnsi="Times New Roman" w:cs="Times New Roman"/>
          <w:sz w:val="24"/>
          <w:szCs w:val="24"/>
        </w:rPr>
        <w:t xml:space="preserve">RCW 19.405 </w:t>
      </w:r>
      <w:r w:rsidR="0029167D">
        <w:rPr>
          <w:rFonts w:ascii="Times New Roman" w:hAnsi="Times New Roman" w:cs="Times New Roman"/>
          <w:sz w:val="24"/>
          <w:szCs w:val="24"/>
        </w:rPr>
        <w:t>(“CETA”)</w:t>
      </w:r>
      <w:r w:rsidR="009843E3">
        <w:rPr>
          <w:rFonts w:ascii="Times New Roman" w:hAnsi="Times New Roman" w:cs="Times New Roman"/>
          <w:sz w:val="24"/>
          <w:szCs w:val="24"/>
        </w:rPr>
        <w:t xml:space="preserve">and </w:t>
      </w:r>
      <w:r>
        <w:rPr>
          <w:rFonts w:ascii="Times New Roman" w:hAnsi="Times New Roman" w:cs="Times New Roman"/>
          <w:sz w:val="24"/>
          <w:szCs w:val="24"/>
        </w:rPr>
        <w:t xml:space="preserve">changes to </w:t>
      </w:r>
      <w:r w:rsidR="009843E3">
        <w:rPr>
          <w:rFonts w:ascii="Times New Roman" w:hAnsi="Times New Roman" w:cs="Times New Roman"/>
          <w:sz w:val="24"/>
          <w:szCs w:val="24"/>
        </w:rPr>
        <w:t>RCW 19.280</w:t>
      </w:r>
      <w:r>
        <w:rPr>
          <w:rFonts w:ascii="Times New Roman" w:hAnsi="Times New Roman" w:cs="Times New Roman"/>
          <w:sz w:val="24"/>
          <w:szCs w:val="24"/>
        </w:rPr>
        <w:t>,</w:t>
      </w:r>
      <w:r w:rsidR="009843E3">
        <w:rPr>
          <w:rFonts w:ascii="Times New Roman" w:hAnsi="Times New Roman" w:cs="Times New Roman"/>
          <w:sz w:val="24"/>
          <w:szCs w:val="24"/>
        </w:rPr>
        <w:t xml:space="preserve"> </w:t>
      </w:r>
      <w:r>
        <w:rPr>
          <w:rFonts w:ascii="Times New Roman" w:hAnsi="Times New Roman" w:cs="Times New Roman"/>
          <w:sz w:val="24"/>
          <w:szCs w:val="24"/>
        </w:rPr>
        <w:t xml:space="preserve">which both directly and indirectly </w:t>
      </w:r>
      <w:r w:rsidR="00730AF8">
        <w:rPr>
          <w:rFonts w:ascii="Times New Roman" w:hAnsi="Times New Roman" w:cs="Times New Roman"/>
          <w:sz w:val="24"/>
          <w:szCs w:val="24"/>
        </w:rPr>
        <w:t>require</w:t>
      </w:r>
      <w:r w:rsidR="004830A1">
        <w:rPr>
          <w:rFonts w:ascii="Times New Roman" w:hAnsi="Times New Roman" w:cs="Times New Roman"/>
          <w:sz w:val="24"/>
          <w:szCs w:val="24"/>
        </w:rPr>
        <w:t xml:space="preserve"> addressing resource adequacy, reliability, </w:t>
      </w:r>
      <w:r w:rsidR="009843E3">
        <w:rPr>
          <w:rFonts w:ascii="Times New Roman" w:hAnsi="Times New Roman" w:cs="Times New Roman"/>
          <w:sz w:val="24"/>
          <w:szCs w:val="24"/>
        </w:rPr>
        <w:t xml:space="preserve">integration of renewables, </w:t>
      </w:r>
      <w:r w:rsidR="001079AB">
        <w:rPr>
          <w:rFonts w:ascii="Times New Roman" w:hAnsi="Times New Roman" w:cs="Times New Roman"/>
          <w:sz w:val="24"/>
          <w:szCs w:val="24"/>
        </w:rPr>
        <w:t xml:space="preserve">and </w:t>
      </w:r>
      <w:r w:rsidR="009843E3">
        <w:rPr>
          <w:rFonts w:ascii="Times New Roman" w:hAnsi="Times New Roman" w:cs="Times New Roman"/>
          <w:sz w:val="24"/>
          <w:szCs w:val="24"/>
        </w:rPr>
        <w:t xml:space="preserve">addressing of overgeneration events and metrics for this transition to clean energy. </w:t>
      </w:r>
      <w:r w:rsidR="00506E4B">
        <w:rPr>
          <w:rFonts w:ascii="Times New Roman" w:hAnsi="Times New Roman" w:cs="Times New Roman"/>
          <w:sz w:val="24"/>
          <w:szCs w:val="24"/>
        </w:rPr>
        <w:t>As the region plans to retire more and more thermal resources, regulatory incentives (and disincentives) may ultimately determine whether enough renewable capacity is available.</w:t>
      </w:r>
    </w:p>
    <w:p w14:paraId="7296AC2D" w14:textId="49CBBADB" w:rsidR="001079AB" w:rsidRDefault="009843E3" w:rsidP="00BE2C41">
      <w:pPr>
        <w:spacing w:after="240" w:line="276" w:lineRule="auto"/>
        <w:rPr>
          <w:rFonts w:ascii="Times New Roman" w:hAnsi="Times New Roman" w:cs="Times New Roman"/>
          <w:sz w:val="24"/>
          <w:szCs w:val="24"/>
        </w:rPr>
      </w:pP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and coincident with</w:t>
      </w:r>
      <w:r w:rsidR="004830A1">
        <w:rPr>
          <w:rFonts w:ascii="Times New Roman" w:hAnsi="Times New Roman" w:cs="Times New Roman"/>
          <w:sz w:val="24"/>
          <w:szCs w:val="24"/>
        </w:rPr>
        <w:t xml:space="preserve"> this </w:t>
      </w:r>
      <w:r>
        <w:rPr>
          <w:rFonts w:ascii="Times New Roman" w:hAnsi="Times New Roman" w:cs="Times New Roman"/>
          <w:sz w:val="24"/>
          <w:szCs w:val="24"/>
        </w:rPr>
        <w:t xml:space="preserve">required </w:t>
      </w:r>
      <w:r w:rsidR="004830A1">
        <w:rPr>
          <w:rFonts w:ascii="Times New Roman" w:hAnsi="Times New Roman" w:cs="Times New Roman"/>
          <w:sz w:val="24"/>
          <w:szCs w:val="24"/>
        </w:rPr>
        <w:t xml:space="preserve">retirement of thermal capacity will be the deployment and use of variable renewable resources to meet the </w:t>
      </w:r>
      <w:r w:rsidR="001079AB">
        <w:rPr>
          <w:rFonts w:ascii="Times New Roman" w:hAnsi="Times New Roman" w:cs="Times New Roman"/>
          <w:sz w:val="24"/>
          <w:szCs w:val="24"/>
        </w:rPr>
        <w:t xml:space="preserve">clean energy </w:t>
      </w:r>
      <w:r w:rsidR="004830A1">
        <w:rPr>
          <w:rFonts w:ascii="Times New Roman" w:hAnsi="Times New Roman" w:cs="Times New Roman"/>
          <w:sz w:val="24"/>
          <w:szCs w:val="24"/>
        </w:rPr>
        <w:t xml:space="preserve">goals of </w:t>
      </w:r>
      <w:r>
        <w:rPr>
          <w:rFonts w:ascii="Times New Roman" w:hAnsi="Times New Roman" w:cs="Times New Roman"/>
          <w:sz w:val="24"/>
          <w:szCs w:val="24"/>
        </w:rPr>
        <w:t>CETA</w:t>
      </w:r>
      <w:r w:rsidR="004830A1">
        <w:rPr>
          <w:rFonts w:ascii="Times New Roman" w:hAnsi="Times New Roman" w:cs="Times New Roman"/>
          <w:sz w:val="24"/>
          <w:szCs w:val="24"/>
        </w:rPr>
        <w:t>. In addition, CETA requires utilities to consider storage</w:t>
      </w:r>
      <w:r>
        <w:rPr>
          <w:rFonts w:ascii="Times New Roman" w:hAnsi="Times New Roman" w:cs="Times New Roman"/>
          <w:sz w:val="24"/>
          <w:szCs w:val="24"/>
        </w:rPr>
        <w:t>, both battery and pumped,</w:t>
      </w:r>
      <w:r w:rsidR="004830A1">
        <w:rPr>
          <w:rFonts w:ascii="Times New Roman" w:hAnsi="Times New Roman" w:cs="Times New Roman"/>
          <w:sz w:val="24"/>
          <w:szCs w:val="24"/>
        </w:rPr>
        <w:t xml:space="preserve"> in their resource planning. Storage, though not specifically called out as capacity, is the mechanism whereby variable renewable energy </w:t>
      </w:r>
      <w:r>
        <w:rPr>
          <w:rFonts w:ascii="Times New Roman" w:hAnsi="Times New Roman" w:cs="Times New Roman"/>
          <w:sz w:val="24"/>
          <w:szCs w:val="24"/>
        </w:rPr>
        <w:t>is</w:t>
      </w:r>
      <w:r w:rsidR="004830A1">
        <w:rPr>
          <w:rFonts w:ascii="Times New Roman" w:hAnsi="Times New Roman" w:cs="Times New Roman"/>
          <w:sz w:val="24"/>
          <w:szCs w:val="24"/>
        </w:rPr>
        <w:t xml:space="preserve"> converted to dispatchable renewable capacity. Inherent in this conversion </w:t>
      </w:r>
      <w:r w:rsidR="001079AB">
        <w:rPr>
          <w:rFonts w:ascii="Times New Roman" w:hAnsi="Times New Roman" w:cs="Times New Roman"/>
          <w:sz w:val="24"/>
          <w:szCs w:val="24"/>
        </w:rPr>
        <w:t xml:space="preserve">using conventional storage </w:t>
      </w:r>
      <w:r w:rsidR="004830A1">
        <w:rPr>
          <w:rFonts w:ascii="Times New Roman" w:hAnsi="Times New Roman" w:cs="Times New Roman"/>
          <w:sz w:val="24"/>
          <w:szCs w:val="24"/>
        </w:rPr>
        <w:t>is the use of</w:t>
      </w:r>
      <w:r w:rsidR="0068416C">
        <w:rPr>
          <w:rFonts w:ascii="Times New Roman" w:hAnsi="Times New Roman" w:cs="Times New Roman"/>
          <w:sz w:val="24"/>
          <w:szCs w:val="24"/>
        </w:rPr>
        <w:t xml:space="preserve"> </w:t>
      </w:r>
      <w:r w:rsidR="0029167D">
        <w:rPr>
          <w:rFonts w:ascii="Times New Roman" w:hAnsi="Times New Roman" w:cs="Times New Roman"/>
          <w:sz w:val="24"/>
          <w:szCs w:val="24"/>
        </w:rPr>
        <w:t>and</w:t>
      </w:r>
      <w:r w:rsidR="0068416C">
        <w:rPr>
          <w:rFonts w:ascii="Times New Roman" w:hAnsi="Times New Roman" w:cs="Times New Roman"/>
          <w:sz w:val="24"/>
          <w:szCs w:val="24"/>
        </w:rPr>
        <w:t xml:space="preserve"> </w:t>
      </w:r>
      <w:r w:rsidR="004830A1">
        <w:rPr>
          <w:rFonts w:ascii="Times New Roman" w:hAnsi="Times New Roman" w:cs="Times New Roman"/>
          <w:sz w:val="24"/>
          <w:szCs w:val="24"/>
        </w:rPr>
        <w:t xml:space="preserve">loss of electricity in </w:t>
      </w:r>
      <w:r w:rsidR="001079AB">
        <w:rPr>
          <w:rFonts w:ascii="Times New Roman" w:hAnsi="Times New Roman" w:cs="Times New Roman"/>
          <w:sz w:val="24"/>
          <w:szCs w:val="24"/>
        </w:rPr>
        <w:t>the</w:t>
      </w:r>
      <w:r w:rsidR="004830A1">
        <w:rPr>
          <w:rFonts w:ascii="Times New Roman" w:hAnsi="Times New Roman" w:cs="Times New Roman"/>
          <w:sz w:val="24"/>
          <w:szCs w:val="24"/>
        </w:rPr>
        <w:t xml:space="preserve"> cycling</w:t>
      </w:r>
      <w:r w:rsidR="001079AB">
        <w:rPr>
          <w:rFonts w:ascii="Times New Roman" w:hAnsi="Times New Roman" w:cs="Times New Roman"/>
          <w:sz w:val="24"/>
          <w:szCs w:val="24"/>
        </w:rPr>
        <w:t xml:space="preserve"> of energy</w:t>
      </w:r>
      <w:r w:rsidR="004830A1">
        <w:rPr>
          <w:rFonts w:ascii="Times New Roman" w:hAnsi="Times New Roman" w:cs="Times New Roman"/>
          <w:sz w:val="24"/>
          <w:szCs w:val="24"/>
        </w:rPr>
        <w:t xml:space="preserve"> through the storage process of pumping, charging or otherwise converting the electricity to </w:t>
      </w:r>
      <w:r w:rsidR="008F5AD7">
        <w:rPr>
          <w:rFonts w:ascii="Times New Roman" w:hAnsi="Times New Roman" w:cs="Times New Roman"/>
          <w:sz w:val="24"/>
          <w:szCs w:val="24"/>
        </w:rPr>
        <w:t xml:space="preserve">capacity and thus </w:t>
      </w:r>
      <w:r w:rsidR="004830A1">
        <w:rPr>
          <w:rFonts w:ascii="Times New Roman" w:hAnsi="Times New Roman" w:cs="Times New Roman"/>
          <w:sz w:val="24"/>
          <w:szCs w:val="24"/>
        </w:rPr>
        <w:t xml:space="preserve">dispatchability. </w:t>
      </w:r>
    </w:p>
    <w:p w14:paraId="50E5324C" w14:textId="4C5930E5" w:rsidR="008F5AD7" w:rsidRDefault="001079AB"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lastRenderedPageBreak/>
        <w:t>In addition, storage operations and technologies, and other methods of providing clean capacity</w:t>
      </w:r>
      <w:r w:rsidR="00F939D1">
        <w:rPr>
          <w:rFonts w:ascii="Times New Roman" w:hAnsi="Times New Roman" w:cs="Times New Roman"/>
          <w:sz w:val="24"/>
          <w:szCs w:val="24"/>
        </w:rPr>
        <w:t>,</w:t>
      </w:r>
      <w:r>
        <w:rPr>
          <w:rFonts w:ascii="Times New Roman" w:hAnsi="Times New Roman" w:cs="Times New Roman"/>
          <w:sz w:val="24"/>
          <w:szCs w:val="24"/>
        </w:rPr>
        <w:t xml:space="preserve"> currently on the margins, on the horizon, or as </w:t>
      </w:r>
      <w:r w:rsidR="00F939D1">
        <w:rPr>
          <w:rFonts w:ascii="Times New Roman" w:hAnsi="Times New Roman" w:cs="Times New Roman"/>
          <w:sz w:val="24"/>
          <w:szCs w:val="24"/>
        </w:rPr>
        <w:t xml:space="preserve">yet unknown and/or </w:t>
      </w:r>
      <w:r>
        <w:rPr>
          <w:rFonts w:ascii="Times New Roman" w:hAnsi="Times New Roman" w:cs="Times New Roman"/>
          <w:sz w:val="24"/>
          <w:szCs w:val="24"/>
        </w:rPr>
        <w:t xml:space="preserve">developed by market forces should be expected to emerge over the </w:t>
      </w:r>
      <w:r w:rsidR="00512BA4">
        <w:rPr>
          <w:rFonts w:ascii="Times New Roman" w:hAnsi="Times New Roman" w:cs="Times New Roman"/>
          <w:sz w:val="24"/>
          <w:szCs w:val="24"/>
        </w:rPr>
        <w:t>ten (</w:t>
      </w:r>
      <w:r>
        <w:rPr>
          <w:rFonts w:ascii="Times New Roman" w:hAnsi="Times New Roman" w:cs="Times New Roman"/>
          <w:sz w:val="24"/>
          <w:szCs w:val="24"/>
        </w:rPr>
        <w:t>10</w:t>
      </w:r>
      <w:r w:rsidR="00512BA4">
        <w:rPr>
          <w:rFonts w:ascii="Times New Roman" w:hAnsi="Times New Roman" w:cs="Times New Roman"/>
          <w:sz w:val="24"/>
          <w:szCs w:val="24"/>
        </w:rPr>
        <w:t>)</w:t>
      </w:r>
      <w:r>
        <w:rPr>
          <w:rFonts w:ascii="Times New Roman" w:hAnsi="Times New Roman" w:cs="Times New Roman"/>
          <w:sz w:val="24"/>
          <w:szCs w:val="24"/>
        </w:rPr>
        <w:t xml:space="preserve"> year planning horizon of the typical IRP and certainly over the </w:t>
      </w:r>
      <w:r w:rsidR="00512BA4">
        <w:rPr>
          <w:rFonts w:ascii="Times New Roman" w:hAnsi="Times New Roman" w:cs="Times New Roman"/>
          <w:sz w:val="24"/>
          <w:szCs w:val="24"/>
        </w:rPr>
        <w:t>twenty five (</w:t>
      </w:r>
      <w:r>
        <w:rPr>
          <w:rFonts w:ascii="Times New Roman" w:hAnsi="Times New Roman" w:cs="Times New Roman"/>
          <w:sz w:val="24"/>
          <w:szCs w:val="24"/>
        </w:rPr>
        <w:t>25</w:t>
      </w:r>
      <w:r w:rsidR="00512BA4">
        <w:rPr>
          <w:rFonts w:ascii="Times New Roman" w:hAnsi="Times New Roman" w:cs="Times New Roman"/>
          <w:sz w:val="24"/>
          <w:szCs w:val="24"/>
        </w:rPr>
        <w:t>)</w:t>
      </w:r>
      <w:r>
        <w:rPr>
          <w:rFonts w:ascii="Times New Roman" w:hAnsi="Times New Roman" w:cs="Times New Roman"/>
          <w:sz w:val="24"/>
          <w:szCs w:val="24"/>
        </w:rPr>
        <w:t xml:space="preserve"> year horizon of CETA. </w:t>
      </w:r>
    </w:p>
    <w:p w14:paraId="7BAE4E41" w14:textId="27CC4198" w:rsidR="00F939D1" w:rsidRDefault="00F939D1"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The majority of current and future renewable resources, typically wind and solar, will generate variable energy. While we have existing and developing regulatory and market mechanisms, such as Renewable Energy Credits (</w:t>
      </w:r>
      <w:r w:rsidR="00512BA4">
        <w:rPr>
          <w:rFonts w:ascii="Times New Roman" w:hAnsi="Times New Roman" w:cs="Times New Roman"/>
          <w:sz w:val="24"/>
          <w:szCs w:val="24"/>
        </w:rPr>
        <w:t>“</w:t>
      </w:r>
      <w:r>
        <w:rPr>
          <w:rFonts w:ascii="Times New Roman" w:hAnsi="Times New Roman" w:cs="Times New Roman"/>
          <w:sz w:val="24"/>
          <w:szCs w:val="24"/>
        </w:rPr>
        <w:t>RECs</w:t>
      </w:r>
      <w:r w:rsidR="00512BA4">
        <w:rPr>
          <w:rFonts w:ascii="Times New Roman" w:hAnsi="Times New Roman" w:cs="Times New Roman"/>
          <w:sz w:val="24"/>
          <w:szCs w:val="24"/>
        </w:rPr>
        <w:t>”</w:t>
      </w:r>
      <w:r>
        <w:rPr>
          <w:rFonts w:ascii="Times New Roman" w:hAnsi="Times New Roman" w:cs="Times New Roman"/>
          <w:sz w:val="24"/>
          <w:szCs w:val="24"/>
        </w:rPr>
        <w:t>)</w:t>
      </w:r>
      <w:r w:rsidR="00512BA4">
        <w:rPr>
          <w:rFonts w:ascii="Times New Roman" w:hAnsi="Times New Roman" w:cs="Times New Roman"/>
          <w:sz w:val="24"/>
          <w:szCs w:val="24"/>
        </w:rPr>
        <w:t xml:space="preserve">, </w:t>
      </w:r>
      <w:r>
        <w:rPr>
          <w:rFonts w:ascii="Times New Roman" w:hAnsi="Times New Roman" w:cs="Times New Roman"/>
          <w:sz w:val="24"/>
          <w:szCs w:val="24"/>
        </w:rPr>
        <w:t>the developing Energy Imbalance Market (</w:t>
      </w:r>
      <w:r w:rsidR="00512BA4">
        <w:rPr>
          <w:rFonts w:ascii="Times New Roman" w:hAnsi="Times New Roman" w:cs="Times New Roman"/>
          <w:sz w:val="24"/>
          <w:szCs w:val="24"/>
        </w:rPr>
        <w:t>“</w:t>
      </w:r>
      <w:r>
        <w:rPr>
          <w:rFonts w:ascii="Times New Roman" w:hAnsi="Times New Roman" w:cs="Times New Roman"/>
          <w:sz w:val="24"/>
          <w:szCs w:val="24"/>
        </w:rPr>
        <w:t>EIM</w:t>
      </w:r>
      <w:r w:rsidR="00512BA4">
        <w:rPr>
          <w:rFonts w:ascii="Times New Roman" w:hAnsi="Times New Roman" w:cs="Times New Roman"/>
          <w:sz w:val="24"/>
          <w:szCs w:val="24"/>
        </w:rPr>
        <w:t>”</w:t>
      </w:r>
      <w:r>
        <w:rPr>
          <w:rFonts w:ascii="Times New Roman" w:hAnsi="Times New Roman" w:cs="Times New Roman"/>
          <w:sz w:val="24"/>
          <w:szCs w:val="24"/>
        </w:rPr>
        <w:t>) and the Extended Day Ahead Market (</w:t>
      </w:r>
      <w:r w:rsidR="00512BA4">
        <w:rPr>
          <w:rFonts w:ascii="Times New Roman" w:hAnsi="Times New Roman" w:cs="Times New Roman"/>
          <w:sz w:val="24"/>
          <w:szCs w:val="24"/>
        </w:rPr>
        <w:t>“</w:t>
      </w:r>
      <w:r>
        <w:rPr>
          <w:rFonts w:ascii="Times New Roman" w:hAnsi="Times New Roman" w:cs="Times New Roman"/>
          <w:sz w:val="24"/>
          <w:szCs w:val="24"/>
        </w:rPr>
        <w:t>EDAM</w:t>
      </w:r>
      <w:r w:rsidR="00512BA4">
        <w:rPr>
          <w:rFonts w:ascii="Times New Roman" w:hAnsi="Times New Roman" w:cs="Times New Roman"/>
          <w:sz w:val="24"/>
          <w:szCs w:val="24"/>
        </w:rPr>
        <w:t>”</w:t>
      </w:r>
      <w:r>
        <w:rPr>
          <w:rFonts w:ascii="Times New Roman" w:hAnsi="Times New Roman" w:cs="Times New Roman"/>
          <w:sz w:val="24"/>
          <w:szCs w:val="24"/>
        </w:rPr>
        <w:t xml:space="preserve">) to address the variability of renewable </w:t>
      </w:r>
      <w:r w:rsidRPr="00E05CC0">
        <w:rPr>
          <w:rFonts w:ascii="Times New Roman" w:hAnsi="Times New Roman" w:cs="Times New Roman"/>
          <w:b/>
          <w:bCs/>
          <w:i/>
          <w:iCs/>
          <w:sz w:val="24"/>
          <w:szCs w:val="24"/>
        </w:rPr>
        <w:t>energy</w:t>
      </w:r>
      <w:r>
        <w:rPr>
          <w:rFonts w:ascii="Times New Roman" w:hAnsi="Times New Roman" w:cs="Times New Roman"/>
          <w:sz w:val="24"/>
          <w:szCs w:val="24"/>
        </w:rPr>
        <w:t xml:space="preserve">, we do not have similar mechanisms for planning for, providing value to, developing, or providing compliance mechanisms to credit investments in renewable </w:t>
      </w:r>
      <w:r w:rsidRPr="00BE2C41">
        <w:rPr>
          <w:rFonts w:ascii="Times New Roman" w:hAnsi="Times New Roman" w:cs="Times New Roman"/>
          <w:b/>
          <w:i/>
          <w:sz w:val="24"/>
          <w:szCs w:val="24"/>
        </w:rPr>
        <w:t>capacity</w:t>
      </w:r>
      <w:r>
        <w:rPr>
          <w:rFonts w:ascii="Times New Roman" w:hAnsi="Times New Roman" w:cs="Times New Roman"/>
          <w:sz w:val="24"/>
          <w:szCs w:val="24"/>
        </w:rPr>
        <w:t xml:space="preserve"> and associated dispatchable energy. </w:t>
      </w:r>
    </w:p>
    <w:p w14:paraId="49FED148" w14:textId="57C1A5F9" w:rsidR="00F939D1" w:rsidRDefault="00F939D1"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In Washington State, we have no renewable </w:t>
      </w:r>
      <w:r w:rsidRPr="0056580D">
        <w:rPr>
          <w:rFonts w:ascii="Times New Roman" w:hAnsi="Times New Roman" w:cs="Times New Roman"/>
          <w:i/>
          <w:iCs/>
          <w:sz w:val="24"/>
          <w:szCs w:val="24"/>
        </w:rPr>
        <w:t>capacity</w:t>
      </w:r>
      <w:r>
        <w:rPr>
          <w:rFonts w:ascii="Times New Roman" w:hAnsi="Times New Roman" w:cs="Times New Roman"/>
          <w:sz w:val="24"/>
          <w:szCs w:val="24"/>
        </w:rPr>
        <w:t xml:space="preserve"> credit and no organized capacity market, yet the need for additional capacity has been identified</w:t>
      </w:r>
      <w:r w:rsidR="0029167D">
        <w:rPr>
          <w:rFonts w:ascii="Times New Roman" w:hAnsi="Times New Roman" w:cs="Times New Roman"/>
          <w:sz w:val="24"/>
          <w:szCs w:val="24"/>
        </w:rPr>
        <w:t xml:space="preserve"> </w:t>
      </w:r>
      <w:proofErr w:type="spellStart"/>
      <w:r w:rsidR="0029167D">
        <w:rPr>
          <w:rFonts w:ascii="Times New Roman" w:hAnsi="Times New Roman" w:cs="Times New Roman"/>
          <w:sz w:val="24"/>
          <w:szCs w:val="24"/>
        </w:rPr>
        <w:t>and</w:t>
      </w:r>
      <w:r w:rsidR="00741CF3">
        <w:rPr>
          <w:rFonts w:ascii="Times New Roman" w:hAnsi="Times New Roman" w:cs="Times New Roman"/>
          <w:sz w:val="24"/>
          <w:szCs w:val="24"/>
        </w:rPr>
        <w:t>which</w:t>
      </w:r>
      <w:proofErr w:type="spellEnd"/>
      <w:r w:rsidR="00741CF3">
        <w:rPr>
          <w:rFonts w:ascii="Times New Roman" w:hAnsi="Times New Roman" w:cs="Times New Roman"/>
          <w:sz w:val="24"/>
          <w:szCs w:val="24"/>
        </w:rPr>
        <w:t xml:space="preserve"> must come</w:t>
      </w:r>
      <w:r>
        <w:rPr>
          <w:rFonts w:ascii="Times New Roman" w:hAnsi="Times New Roman" w:cs="Times New Roman"/>
          <w:sz w:val="24"/>
          <w:szCs w:val="24"/>
        </w:rPr>
        <w:t xml:space="preserve"> from renewable and non-emitting resources.</w:t>
      </w:r>
      <w:r w:rsidR="00512BA4">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That need is at least implicit in CETA, which requires retirement of thermal capacity and in the amendments to RCW 19.280 in enacting the Clean Energy Action Plan (</w:t>
      </w:r>
      <w:r w:rsidR="00512BA4">
        <w:rPr>
          <w:rFonts w:ascii="Times New Roman" w:hAnsi="Times New Roman" w:cs="Times New Roman"/>
          <w:sz w:val="24"/>
          <w:szCs w:val="24"/>
        </w:rPr>
        <w:t>“</w:t>
      </w:r>
      <w:r>
        <w:rPr>
          <w:rFonts w:ascii="Times New Roman" w:hAnsi="Times New Roman" w:cs="Times New Roman"/>
          <w:sz w:val="24"/>
          <w:szCs w:val="24"/>
        </w:rPr>
        <w:t>CEAP</w:t>
      </w:r>
      <w:r w:rsidR="00512BA4">
        <w:rPr>
          <w:rFonts w:ascii="Times New Roman" w:hAnsi="Times New Roman" w:cs="Times New Roman"/>
          <w:sz w:val="24"/>
          <w:szCs w:val="24"/>
        </w:rPr>
        <w:t>”</w:t>
      </w:r>
      <w:r>
        <w:rPr>
          <w:rFonts w:ascii="Times New Roman" w:hAnsi="Times New Roman" w:cs="Times New Roman"/>
          <w:sz w:val="24"/>
          <w:szCs w:val="24"/>
        </w:rPr>
        <w:t>) and Clean Energy Implementation Plan (</w:t>
      </w:r>
      <w:r w:rsidR="00512BA4">
        <w:rPr>
          <w:rFonts w:ascii="Times New Roman" w:hAnsi="Times New Roman" w:cs="Times New Roman"/>
          <w:sz w:val="24"/>
          <w:szCs w:val="24"/>
        </w:rPr>
        <w:t>“</w:t>
      </w:r>
      <w:r>
        <w:rPr>
          <w:rFonts w:ascii="Times New Roman" w:hAnsi="Times New Roman" w:cs="Times New Roman"/>
          <w:sz w:val="24"/>
          <w:szCs w:val="24"/>
        </w:rPr>
        <w:t>CEIP</w:t>
      </w:r>
      <w:r w:rsidR="00512BA4">
        <w:rPr>
          <w:rFonts w:ascii="Times New Roman" w:hAnsi="Times New Roman" w:cs="Times New Roman"/>
          <w:sz w:val="24"/>
          <w:szCs w:val="24"/>
        </w:rPr>
        <w:t>”</w:t>
      </w:r>
      <w:r>
        <w:rPr>
          <w:rFonts w:ascii="Times New Roman" w:hAnsi="Times New Roman" w:cs="Times New Roman"/>
          <w:sz w:val="24"/>
          <w:szCs w:val="24"/>
        </w:rPr>
        <w:t>).</w:t>
      </w:r>
    </w:p>
    <w:p w14:paraId="4E75D9BB" w14:textId="3E35A2E2" w:rsidR="00F939D1" w:rsidRDefault="00F939D1" w:rsidP="007B4212">
      <w:pPr>
        <w:spacing w:after="240" w:line="276" w:lineRule="auto"/>
        <w:rPr>
          <w:rFonts w:ascii="Times New Roman" w:hAnsi="Times New Roman" w:cs="Times New Roman"/>
          <w:sz w:val="24"/>
          <w:szCs w:val="24"/>
        </w:rPr>
      </w:pPr>
      <w:r>
        <w:rPr>
          <w:rFonts w:ascii="Times New Roman" w:hAnsi="Times New Roman" w:cs="Times New Roman"/>
          <w:sz w:val="24"/>
          <w:szCs w:val="24"/>
        </w:rPr>
        <w:t>To plan for and maintain reliability</w:t>
      </w:r>
      <w:r w:rsidR="00512BA4">
        <w:rPr>
          <w:rFonts w:ascii="Times New Roman" w:hAnsi="Times New Roman" w:cs="Times New Roman"/>
          <w:sz w:val="24"/>
          <w:szCs w:val="24"/>
        </w:rPr>
        <w:t>,</w:t>
      </w:r>
      <w:r w:rsidR="00512BA4">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resource adequacy,</w:t>
      </w:r>
      <w:r w:rsidR="00512BA4">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integration, flexibility, and operational integrity, </w:t>
      </w:r>
      <w:r w:rsidR="00512BA4">
        <w:rPr>
          <w:rFonts w:ascii="Times New Roman" w:hAnsi="Times New Roman" w:cs="Times New Roman"/>
          <w:sz w:val="24"/>
          <w:szCs w:val="24"/>
        </w:rPr>
        <w:t>the Commenting Parties submit</w:t>
      </w:r>
      <w:r>
        <w:rPr>
          <w:rFonts w:ascii="Times New Roman" w:hAnsi="Times New Roman" w:cs="Times New Roman"/>
          <w:sz w:val="24"/>
          <w:szCs w:val="24"/>
        </w:rPr>
        <w:t xml:space="preserve"> that the Integrated Resource Planning rules developed in this docket </w:t>
      </w:r>
      <w:r w:rsidR="00512BA4">
        <w:rPr>
          <w:rFonts w:ascii="Times New Roman" w:hAnsi="Times New Roman" w:cs="Times New Roman"/>
          <w:sz w:val="24"/>
          <w:szCs w:val="24"/>
        </w:rPr>
        <w:t xml:space="preserve">must </w:t>
      </w:r>
      <w:r>
        <w:rPr>
          <w:rFonts w:ascii="Times New Roman" w:hAnsi="Times New Roman" w:cs="Times New Roman"/>
          <w:sz w:val="24"/>
          <w:szCs w:val="24"/>
        </w:rPr>
        <w:t>recognize and address this coming capacity deficit.</w:t>
      </w:r>
    </w:p>
    <w:p w14:paraId="7D8C36DE" w14:textId="77777777" w:rsidR="00DC73C3" w:rsidRDefault="00DC73C3" w:rsidP="00BE2C41">
      <w:pPr>
        <w:spacing w:after="240" w:line="276" w:lineRule="auto"/>
        <w:rPr>
          <w:rFonts w:ascii="Times New Roman" w:hAnsi="Times New Roman" w:cs="Times New Roman"/>
          <w:sz w:val="24"/>
          <w:szCs w:val="24"/>
        </w:rPr>
      </w:pPr>
    </w:p>
    <w:p w14:paraId="2EAB698A" w14:textId="374F604E" w:rsidR="00513D30" w:rsidRPr="00513D30" w:rsidRDefault="00513D30" w:rsidP="00BE2C41">
      <w:pPr>
        <w:spacing w:after="240" w:line="276" w:lineRule="auto"/>
        <w:rPr>
          <w:rFonts w:ascii="Times New Roman" w:hAnsi="Times New Roman" w:cs="Times New Roman"/>
          <w:b/>
          <w:bCs/>
          <w:sz w:val="24"/>
          <w:szCs w:val="24"/>
        </w:rPr>
      </w:pPr>
      <w:r w:rsidRPr="00513D30">
        <w:rPr>
          <w:rFonts w:ascii="Times New Roman" w:hAnsi="Times New Roman" w:cs="Times New Roman"/>
          <w:b/>
          <w:bCs/>
          <w:sz w:val="24"/>
          <w:szCs w:val="24"/>
        </w:rPr>
        <w:t>Conventional Storage</w:t>
      </w:r>
      <w:r>
        <w:rPr>
          <w:rFonts w:ascii="Times New Roman" w:hAnsi="Times New Roman" w:cs="Times New Roman"/>
          <w:b/>
          <w:bCs/>
          <w:sz w:val="24"/>
          <w:szCs w:val="24"/>
        </w:rPr>
        <w:t xml:space="preserve"> and Lack of Market </w:t>
      </w:r>
      <w:r w:rsidR="00F05CCC">
        <w:rPr>
          <w:rFonts w:ascii="Times New Roman" w:hAnsi="Times New Roman" w:cs="Times New Roman"/>
          <w:b/>
          <w:bCs/>
          <w:sz w:val="24"/>
          <w:szCs w:val="24"/>
        </w:rPr>
        <w:t>and Regulatory Valuations and Metrics</w:t>
      </w:r>
    </w:p>
    <w:p w14:paraId="026C3AB6" w14:textId="2A114B7B" w:rsidR="00F939D1" w:rsidRDefault="00F939D1"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Conventional storage can be thought of as a process or facility that is “charged” through the input of energy, then “discharged” when that stored energy is needed. Examples include pumped storage and battery storage. That charging and discharging cycling comes at a net loss of energy in the conversion to capacity.</w:t>
      </w:r>
      <w:r w:rsidR="002314CE">
        <w:rPr>
          <w:rFonts w:ascii="Times New Roman" w:hAnsi="Times New Roman" w:cs="Times New Roman"/>
          <w:sz w:val="24"/>
          <w:szCs w:val="24"/>
        </w:rPr>
        <w:t xml:space="preserve"> The current regulatory regime does not account for these losses, but it should</w:t>
      </w:r>
      <w:r w:rsidR="0029167D">
        <w:rPr>
          <w:rFonts w:ascii="Times New Roman" w:hAnsi="Times New Roman" w:cs="Times New Roman"/>
          <w:sz w:val="24"/>
          <w:szCs w:val="24"/>
        </w:rPr>
        <w:t>, and in a manner that provides value to that conversion</w:t>
      </w:r>
      <w:r w:rsidR="002314CE">
        <w:rPr>
          <w:rFonts w:ascii="Times New Roman" w:hAnsi="Times New Roman" w:cs="Times New Roman"/>
          <w:sz w:val="24"/>
          <w:szCs w:val="24"/>
        </w:rPr>
        <w:t>.</w:t>
      </w:r>
    </w:p>
    <w:p w14:paraId="077FE105" w14:textId="6E9CED87" w:rsidR="002314CE" w:rsidRDefault="008F5AD7"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For </w:t>
      </w:r>
      <w:r w:rsidR="002314CE">
        <w:rPr>
          <w:rFonts w:ascii="Times New Roman" w:hAnsi="Times New Roman" w:cs="Times New Roman"/>
          <w:sz w:val="24"/>
          <w:szCs w:val="24"/>
        </w:rPr>
        <w:t>example,</w:t>
      </w:r>
      <w:r>
        <w:rPr>
          <w:rFonts w:ascii="Times New Roman" w:hAnsi="Times New Roman" w:cs="Times New Roman"/>
          <w:sz w:val="24"/>
          <w:szCs w:val="24"/>
        </w:rPr>
        <w:t xml:space="preserve"> in a hypothetical pumped storage project</w:t>
      </w:r>
      <w:r w:rsidR="005E428E">
        <w:rPr>
          <w:rFonts w:ascii="Times New Roman" w:hAnsi="Times New Roman" w:cs="Times New Roman"/>
          <w:sz w:val="24"/>
          <w:szCs w:val="24"/>
        </w:rPr>
        <w:t xml:space="preserve"> with an 80% efficiency cycling rate</w:t>
      </w:r>
      <w:r>
        <w:rPr>
          <w:rFonts w:ascii="Times New Roman" w:hAnsi="Times New Roman" w:cs="Times New Roman"/>
          <w:sz w:val="24"/>
          <w:szCs w:val="24"/>
        </w:rPr>
        <w:t xml:space="preserve">, </w:t>
      </w:r>
      <w:r w:rsidR="005E428E">
        <w:rPr>
          <w:rFonts w:ascii="Times New Roman" w:hAnsi="Times New Roman" w:cs="Times New Roman"/>
          <w:sz w:val="24"/>
          <w:szCs w:val="24"/>
        </w:rPr>
        <w:t xml:space="preserve">100 </w:t>
      </w:r>
      <w:r>
        <w:rPr>
          <w:rFonts w:ascii="Times New Roman" w:hAnsi="Times New Roman" w:cs="Times New Roman"/>
          <w:sz w:val="24"/>
          <w:szCs w:val="24"/>
        </w:rPr>
        <w:t xml:space="preserve"> megawatt-hour</w:t>
      </w:r>
      <w:r w:rsidR="009843E3">
        <w:rPr>
          <w:rFonts w:ascii="Times New Roman" w:hAnsi="Times New Roman" w:cs="Times New Roman"/>
          <w:sz w:val="24"/>
          <w:szCs w:val="24"/>
        </w:rPr>
        <w:t>s</w:t>
      </w:r>
      <w:r>
        <w:rPr>
          <w:rFonts w:ascii="Times New Roman" w:hAnsi="Times New Roman" w:cs="Times New Roman"/>
          <w:sz w:val="24"/>
          <w:szCs w:val="24"/>
        </w:rPr>
        <w:t xml:space="preserve"> of variable</w:t>
      </w:r>
      <w:r w:rsidR="005E428E">
        <w:rPr>
          <w:rFonts w:ascii="Times New Roman" w:hAnsi="Times New Roman" w:cs="Times New Roman"/>
          <w:sz w:val="24"/>
          <w:szCs w:val="24"/>
        </w:rPr>
        <w:t xml:space="preserve"> renewable energy</w:t>
      </w:r>
      <w:r>
        <w:rPr>
          <w:rFonts w:ascii="Times New Roman" w:hAnsi="Times New Roman" w:cs="Times New Roman"/>
          <w:sz w:val="24"/>
          <w:szCs w:val="24"/>
        </w:rPr>
        <w:t xml:space="preserve"> is used to pump</w:t>
      </w:r>
      <w:r w:rsidR="005E428E">
        <w:rPr>
          <w:rFonts w:ascii="Times New Roman" w:hAnsi="Times New Roman" w:cs="Times New Roman"/>
          <w:sz w:val="24"/>
          <w:szCs w:val="24"/>
        </w:rPr>
        <w:t xml:space="preserve"> a certain amount of water uphill, making that water available and dispatchable for generating renewable electricity. With 80% efficiency, 80 MWhs are available as dispatchable energy</w:t>
      </w:r>
      <w:r w:rsidR="002314CE">
        <w:rPr>
          <w:rFonts w:ascii="Times New Roman" w:hAnsi="Times New Roman" w:cs="Times New Roman"/>
          <w:sz w:val="24"/>
          <w:szCs w:val="24"/>
        </w:rPr>
        <w:t xml:space="preserve"> in this example</w:t>
      </w:r>
      <w:r w:rsidR="005E428E">
        <w:rPr>
          <w:rFonts w:ascii="Times New Roman" w:hAnsi="Times New Roman" w:cs="Times New Roman"/>
          <w:sz w:val="24"/>
          <w:szCs w:val="24"/>
        </w:rPr>
        <w:t xml:space="preserve">. </w:t>
      </w:r>
      <w:r>
        <w:rPr>
          <w:rFonts w:ascii="Times New Roman" w:hAnsi="Times New Roman" w:cs="Times New Roman"/>
          <w:sz w:val="24"/>
          <w:szCs w:val="24"/>
        </w:rPr>
        <w:t xml:space="preserve"> </w:t>
      </w:r>
      <w:r w:rsidR="005E428E">
        <w:rPr>
          <w:rFonts w:ascii="Times New Roman" w:hAnsi="Times New Roman" w:cs="Times New Roman"/>
          <w:sz w:val="24"/>
          <w:szCs w:val="24"/>
        </w:rPr>
        <w:t>Th</w:t>
      </w:r>
      <w:r w:rsidR="002314CE">
        <w:rPr>
          <w:rFonts w:ascii="Times New Roman" w:hAnsi="Times New Roman" w:cs="Times New Roman"/>
          <w:sz w:val="24"/>
          <w:szCs w:val="24"/>
        </w:rPr>
        <w:t>e</w:t>
      </w:r>
      <w:r w:rsidR="005E428E">
        <w:rPr>
          <w:rFonts w:ascii="Times New Roman" w:hAnsi="Times New Roman" w:cs="Times New Roman"/>
          <w:sz w:val="24"/>
          <w:szCs w:val="24"/>
        </w:rPr>
        <w:t xml:space="preserve"> 20% loss of </w:t>
      </w:r>
      <w:r w:rsidR="005E428E">
        <w:rPr>
          <w:rFonts w:ascii="Times New Roman" w:hAnsi="Times New Roman" w:cs="Times New Roman"/>
          <w:sz w:val="24"/>
          <w:szCs w:val="24"/>
        </w:rPr>
        <w:lastRenderedPageBreak/>
        <w:t xml:space="preserve">energy is </w:t>
      </w:r>
      <w:r w:rsidR="002314CE">
        <w:rPr>
          <w:rFonts w:ascii="Times New Roman" w:hAnsi="Times New Roman" w:cs="Times New Roman"/>
          <w:sz w:val="24"/>
          <w:szCs w:val="24"/>
        </w:rPr>
        <w:t xml:space="preserve">a </w:t>
      </w:r>
      <w:r w:rsidR="005E428E">
        <w:rPr>
          <w:rFonts w:ascii="Times New Roman" w:hAnsi="Times New Roman" w:cs="Times New Roman"/>
          <w:sz w:val="24"/>
          <w:szCs w:val="24"/>
        </w:rPr>
        <w:t xml:space="preserve">cost </w:t>
      </w:r>
      <w:r w:rsidR="009843E3">
        <w:rPr>
          <w:rFonts w:ascii="Times New Roman" w:hAnsi="Times New Roman" w:cs="Times New Roman"/>
          <w:sz w:val="24"/>
          <w:szCs w:val="24"/>
        </w:rPr>
        <w:t xml:space="preserve">(and benefit) </w:t>
      </w:r>
      <w:r w:rsidR="005E428E">
        <w:rPr>
          <w:rFonts w:ascii="Times New Roman" w:hAnsi="Times New Roman" w:cs="Times New Roman"/>
          <w:sz w:val="24"/>
          <w:szCs w:val="24"/>
        </w:rPr>
        <w:t xml:space="preserve">of converting variable energy to </w:t>
      </w:r>
      <w:r w:rsidR="00D2730C">
        <w:rPr>
          <w:rFonts w:ascii="Times New Roman" w:hAnsi="Times New Roman" w:cs="Times New Roman"/>
          <w:sz w:val="24"/>
          <w:szCs w:val="24"/>
        </w:rPr>
        <w:t>available dispatchable energy. The recovery of that 20 MWh</w:t>
      </w:r>
      <w:r w:rsidR="004830A1">
        <w:rPr>
          <w:rFonts w:ascii="Times New Roman" w:hAnsi="Times New Roman" w:cs="Times New Roman"/>
          <w:sz w:val="24"/>
          <w:szCs w:val="24"/>
        </w:rPr>
        <w:t xml:space="preserve"> </w:t>
      </w:r>
      <w:r w:rsidR="00D2730C">
        <w:rPr>
          <w:rFonts w:ascii="Times New Roman" w:hAnsi="Times New Roman" w:cs="Times New Roman"/>
          <w:sz w:val="24"/>
          <w:szCs w:val="24"/>
        </w:rPr>
        <w:t>requires adding 25% back</w:t>
      </w:r>
      <w:r w:rsidR="002314CE">
        <w:rPr>
          <w:rStyle w:val="FootnoteReference"/>
          <w:rFonts w:ascii="Times New Roman" w:hAnsi="Times New Roman" w:cs="Times New Roman"/>
          <w:sz w:val="24"/>
          <w:szCs w:val="24"/>
        </w:rPr>
        <w:footnoteReference w:id="4"/>
      </w:r>
      <w:r w:rsidR="00D2730C">
        <w:rPr>
          <w:rFonts w:ascii="Times New Roman" w:hAnsi="Times New Roman" w:cs="Times New Roman"/>
          <w:sz w:val="24"/>
          <w:szCs w:val="24"/>
        </w:rPr>
        <w:t xml:space="preserve">, </w:t>
      </w:r>
      <w:r w:rsidR="002314CE">
        <w:rPr>
          <w:rFonts w:ascii="Times New Roman" w:hAnsi="Times New Roman" w:cs="Times New Roman"/>
          <w:sz w:val="24"/>
          <w:szCs w:val="24"/>
        </w:rPr>
        <w:t xml:space="preserve">which is </w:t>
      </w:r>
      <w:r w:rsidR="009843E3">
        <w:rPr>
          <w:rFonts w:ascii="Times New Roman" w:hAnsi="Times New Roman" w:cs="Times New Roman"/>
          <w:sz w:val="24"/>
          <w:szCs w:val="24"/>
        </w:rPr>
        <w:t xml:space="preserve">the equivalent of </w:t>
      </w:r>
      <w:r w:rsidR="00D2730C">
        <w:rPr>
          <w:rFonts w:ascii="Times New Roman" w:hAnsi="Times New Roman" w:cs="Times New Roman"/>
          <w:sz w:val="24"/>
          <w:szCs w:val="24"/>
        </w:rPr>
        <w:t>adding 25% to the cost of that MWh</w:t>
      </w:r>
      <w:r w:rsidR="0029167D">
        <w:rPr>
          <w:rFonts w:ascii="Times New Roman" w:hAnsi="Times New Roman" w:cs="Times New Roman"/>
          <w:sz w:val="24"/>
          <w:szCs w:val="24"/>
        </w:rPr>
        <w:t xml:space="preserve"> when competing in the market for that energy at that time</w:t>
      </w:r>
      <w:r w:rsidR="009843E3">
        <w:rPr>
          <w:rFonts w:ascii="Times New Roman" w:hAnsi="Times New Roman" w:cs="Times New Roman"/>
          <w:sz w:val="24"/>
          <w:szCs w:val="24"/>
        </w:rPr>
        <w:t>.</w:t>
      </w:r>
      <w:r w:rsidR="00D2730C">
        <w:rPr>
          <w:rFonts w:ascii="Times New Roman" w:hAnsi="Times New Roman" w:cs="Times New Roman"/>
          <w:sz w:val="24"/>
          <w:szCs w:val="24"/>
        </w:rPr>
        <w:t xml:space="preserve"> </w:t>
      </w:r>
      <w:r w:rsidR="009843E3">
        <w:rPr>
          <w:rFonts w:ascii="Times New Roman" w:hAnsi="Times New Roman" w:cs="Times New Roman"/>
          <w:sz w:val="24"/>
          <w:szCs w:val="24"/>
        </w:rPr>
        <w:t>L</w:t>
      </w:r>
      <w:r w:rsidR="00D2730C">
        <w:rPr>
          <w:rFonts w:ascii="Times New Roman" w:hAnsi="Times New Roman" w:cs="Times New Roman"/>
          <w:sz w:val="24"/>
          <w:szCs w:val="24"/>
        </w:rPr>
        <w:t xml:space="preserve">ooked at another way, 1.25 MWhs </w:t>
      </w:r>
      <w:r w:rsidR="009843E3">
        <w:rPr>
          <w:rFonts w:ascii="Times New Roman" w:hAnsi="Times New Roman" w:cs="Times New Roman"/>
          <w:sz w:val="24"/>
          <w:szCs w:val="24"/>
        </w:rPr>
        <w:t xml:space="preserve">generated by a variable renewable resource </w:t>
      </w:r>
      <w:r w:rsidR="00D2730C">
        <w:rPr>
          <w:rFonts w:ascii="Times New Roman" w:hAnsi="Times New Roman" w:cs="Times New Roman"/>
          <w:sz w:val="24"/>
          <w:szCs w:val="24"/>
        </w:rPr>
        <w:t>would yield 1 MWh of dispatchable renewable energy. The</w:t>
      </w:r>
      <w:r w:rsidR="002314CE">
        <w:rPr>
          <w:rFonts w:ascii="Times New Roman" w:hAnsi="Times New Roman" w:cs="Times New Roman"/>
          <w:sz w:val="24"/>
          <w:szCs w:val="24"/>
        </w:rPr>
        <w:t>se</w:t>
      </w:r>
      <w:r w:rsidR="00D2730C">
        <w:rPr>
          <w:rFonts w:ascii="Times New Roman" w:hAnsi="Times New Roman" w:cs="Times New Roman"/>
          <w:sz w:val="24"/>
          <w:szCs w:val="24"/>
        </w:rPr>
        <w:t xml:space="preserve"> same assumptions and calculations </w:t>
      </w:r>
      <w:r w:rsidR="009F22AF">
        <w:rPr>
          <w:rFonts w:ascii="Times New Roman" w:hAnsi="Times New Roman" w:cs="Times New Roman"/>
          <w:sz w:val="24"/>
          <w:szCs w:val="24"/>
        </w:rPr>
        <w:t xml:space="preserve">for cycling efficiency </w:t>
      </w:r>
      <w:r w:rsidR="00D2730C">
        <w:rPr>
          <w:rFonts w:ascii="Times New Roman" w:hAnsi="Times New Roman" w:cs="Times New Roman"/>
          <w:sz w:val="24"/>
          <w:szCs w:val="24"/>
        </w:rPr>
        <w:t>would be relevant for battery storage.</w:t>
      </w:r>
      <w:r w:rsidR="00730AF8">
        <w:rPr>
          <w:rFonts w:ascii="Times New Roman" w:hAnsi="Times New Roman" w:cs="Times New Roman"/>
          <w:sz w:val="24"/>
          <w:szCs w:val="24"/>
        </w:rPr>
        <w:t xml:space="preserve"> </w:t>
      </w:r>
    </w:p>
    <w:p w14:paraId="5A6AC7A6" w14:textId="6AF49F5D" w:rsidR="002314CE" w:rsidRDefault="00506E4B"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The Commission should take action now, before a capacity shortage is imminent, because storage presents unique regulatory modeling concerns</w:t>
      </w:r>
      <w:r w:rsidR="00D0263B">
        <w:rPr>
          <w:rFonts w:ascii="Times New Roman" w:hAnsi="Times New Roman" w:cs="Times New Roman"/>
          <w:sz w:val="24"/>
          <w:szCs w:val="24"/>
        </w:rPr>
        <w:t xml:space="preserve"> that warrant careful consideration</w:t>
      </w:r>
      <w:r>
        <w:rPr>
          <w:rFonts w:ascii="Times New Roman" w:hAnsi="Times New Roman" w:cs="Times New Roman"/>
          <w:sz w:val="24"/>
          <w:szCs w:val="24"/>
        </w:rPr>
        <w:t>. For example, un</w:t>
      </w:r>
      <w:r w:rsidR="008A03DD">
        <w:rPr>
          <w:rFonts w:ascii="Times New Roman" w:hAnsi="Times New Roman" w:cs="Times New Roman"/>
          <w:sz w:val="24"/>
          <w:szCs w:val="24"/>
        </w:rPr>
        <w:t>like traditional generation</w:t>
      </w:r>
      <w:r>
        <w:rPr>
          <w:rFonts w:ascii="Times New Roman" w:hAnsi="Times New Roman" w:cs="Times New Roman"/>
          <w:sz w:val="24"/>
          <w:szCs w:val="24"/>
        </w:rPr>
        <w:t>,</w:t>
      </w:r>
      <w:r w:rsidR="008A03DD">
        <w:rPr>
          <w:rFonts w:ascii="Times New Roman" w:hAnsi="Times New Roman" w:cs="Times New Roman"/>
          <w:sz w:val="24"/>
          <w:szCs w:val="24"/>
        </w:rPr>
        <w:t xml:space="preserve"> storage can exist either behind the meter or in front of it, </w:t>
      </w:r>
      <w:r w:rsidR="0029167D">
        <w:rPr>
          <w:rFonts w:ascii="Times New Roman" w:hAnsi="Times New Roman" w:cs="Times New Roman"/>
          <w:sz w:val="24"/>
          <w:szCs w:val="24"/>
        </w:rPr>
        <w:t xml:space="preserve">and behind the utility or in front of it, </w:t>
      </w:r>
      <w:r w:rsidR="008A03DD">
        <w:rPr>
          <w:rFonts w:ascii="Times New Roman" w:hAnsi="Times New Roman" w:cs="Times New Roman"/>
          <w:sz w:val="24"/>
          <w:szCs w:val="24"/>
        </w:rPr>
        <w:t xml:space="preserve">which </w:t>
      </w:r>
      <w:r>
        <w:rPr>
          <w:rFonts w:ascii="Times New Roman" w:hAnsi="Times New Roman" w:cs="Times New Roman"/>
          <w:sz w:val="24"/>
          <w:szCs w:val="24"/>
        </w:rPr>
        <w:t xml:space="preserve">may </w:t>
      </w:r>
      <w:r w:rsidR="008A03DD">
        <w:rPr>
          <w:rFonts w:ascii="Times New Roman" w:hAnsi="Times New Roman" w:cs="Times New Roman"/>
          <w:sz w:val="24"/>
          <w:szCs w:val="24"/>
        </w:rPr>
        <w:t xml:space="preserve">make it difficult to establish a value for renewable capacity, especially long term. </w:t>
      </w:r>
      <w:r w:rsidR="00A92B64">
        <w:rPr>
          <w:rFonts w:ascii="Times New Roman" w:hAnsi="Times New Roman" w:cs="Times New Roman"/>
          <w:sz w:val="24"/>
          <w:szCs w:val="24"/>
        </w:rPr>
        <w:t>Thoughtful consideration of how CETA’s cost cap calculations</w:t>
      </w:r>
      <w:r>
        <w:rPr>
          <w:rFonts w:ascii="Times New Roman" w:hAnsi="Times New Roman" w:cs="Times New Roman"/>
          <w:sz w:val="24"/>
          <w:szCs w:val="24"/>
        </w:rPr>
        <w:t xml:space="preserve"> will be needed with respect to storage</w:t>
      </w:r>
      <w:r w:rsidR="00D0263B">
        <w:rPr>
          <w:rFonts w:ascii="Times New Roman" w:hAnsi="Times New Roman" w:cs="Times New Roman"/>
          <w:sz w:val="24"/>
          <w:szCs w:val="24"/>
        </w:rPr>
        <w:t>,</w:t>
      </w:r>
      <w:r>
        <w:rPr>
          <w:rFonts w:ascii="Times New Roman" w:hAnsi="Times New Roman" w:cs="Times New Roman"/>
          <w:sz w:val="24"/>
          <w:szCs w:val="24"/>
        </w:rPr>
        <w:t xml:space="preserve"> and how the losses described above are </w:t>
      </w:r>
      <w:r w:rsidR="00D0263B">
        <w:rPr>
          <w:rFonts w:ascii="Times New Roman" w:hAnsi="Times New Roman" w:cs="Times New Roman"/>
          <w:sz w:val="24"/>
          <w:szCs w:val="24"/>
        </w:rPr>
        <w:t>ultimately valued</w:t>
      </w:r>
      <w:r w:rsidR="002314CE">
        <w:rPr>
          <w:rFonts w:ascii="Times New Roman" w:hAnsi="Times New Roman" w:cs="Times New Roman"/>
          <w:sz w:val="24"/>
          <w:szCs w:val="24"/>
        </w:rPr>
        <w:t>.</w:t>
      </w:r>
      <w:r>
        <w:rPr>
          <w:rFonts w:ascii="Times New Roman" w:hAnsi="Times New Roman" w:cs="Times New Roman"/>
          <w:sz w:val="24"/>
          <w:szCs w:val="24"/>
        </w:rPr>
        <w:t xml:space="preserve"> For example, storage facilities may be taking very low cost, or even zero cost, renewable oversupply</w:t>
      </w:r>
      <w:r w:rsidR="0029167D">
        <w:rPr>
          <w:rFonts w:ascii="Times New Roman" w:hAnsi="Times New Roman" w:cs="Times New Roman"/>
          <w:sz w:val="24"/>
          <w:szCs w:val="24"/>
        </w:rPr>
        <w:t xml:space="preserve"> </w:t>
      </w:r>
      <w:r w:rsidR="00D0263B">
        <w:rPr>
          <w:rFonts w:ascii="Times New Roman" w:hAnsi="Times New Roman" w:cs="Times New Roman"/>
          <w:sz w:val="24"/>
          <w:szCs w:val="24"/>
        </w:rPr>
        <w:t>and</w:t>
      </w:r>
      <w:r>
        <w:rPr>
          <w:rFonts w:ascii="Times New Roman" w:hAnsi="Times New Roman" w:cs="Times New Roman"/>
          <w:sz w:val="24"/>
          <w:szCs w:val="24"/>
        </w:rPr>
        <w:t xml:space="preserve"> provid</w:t>
      </w:r>
      <w:r w:rsidR="00D0263B">
        <w:rPr>
          <w:rFonts w:ascii="Times New Roman" w:hAnsi="Times New Roman" w:cs="Times New Roman"/>
          <w:sz w:val="24"/>
          <w:szCs w:val="24"/>
        </w:rPr>
        <w:t>ing</w:t>
      </w:r>
      <w:r>
        <w:rPr>
          <w:rFonts w:ascii="Times New Roman" w:hAnsi="Times New Roman" w:cs="Times New Roman"/>
          <w:sz w:val="24"/>
          <w:szCs w:val="24"/>
        </w:rPr>
        <w:t xml:space="preserve"> a much higher value </w:t>
      </w:r>
      <w:r w:rsidR="00535593">
        <w:rPr>
          <w:rFonts w:ascii="Times New Roman" w:hAnsi="Times New Roman" w:cs="Times New Roman"/>
          <w:sz w:val="24"/>
          <w:szCs w:val="24"/>
        </w:rPr>
        <w:t xml:space="preserve">clean </w:t>
      </w:r>
      <w:r>
        <w:rPr>
          <w:rFonts w:ascii="Times New Roman" w:hAnsi="Times New Roman" w:cs="Times New Roman"/>
          <w:sz w:val="24"/>
          <w:szCs w:val="24"/>
        </w:rPr>
        <w:t xml:space="preserve">electricity </w:t>
      </w:r>
      <w:r w:rsidR="00177FED">
        <w:rPr>
          <w:rFonts w:ascii="Times New Roman" w:hAnsi="Times New Roman" w:cs="Times New Roman"/>
          <w:sz w:val="24"/>
          <w:szCs w:val="24"/>
        </w:rPr>
        <w:t xml:space="preserve">to compete with thermal electricity </w:t>
      </w:r>
      <w:r>
        <w:rPr>
          <w:rFonts w:ascii="Times New Roman" w:hAnsi="Times New Roman" w:cs="Times New Roman"/>
          <w:sz w:val="24"/>
          <w:szCs w:val="24"/>
        </w:rPr>
        <w:t>at peak times.</w:t>
      </w:r>
      <w:r w:rsidR="002314CE">
        <w:rPr>
          <w:rFonts w:ascii="Times New Roman" w:hAnsi="Times New Roman" w:cs="Times New Roman"/>
          <w:sz w:val="24"/>
          <w:szCs w:val="24"/>
        </w:rPr>
        <w:t xml:space="preserve"> </w:t>
      </w:r>
    </w:p>
    <w:p w14:paraId="6DEACE4D" w14:textId="77777777" w:rsidR="007B4212" w:rsidRDefault="007B4212" w:rsidP="007B4212">
      <w:pPr>
        <w:spacing w:after="240" w:line="276" w:lineRule="auto"/>
        <w:rPr>
          <w:rFonts w:ascii="Times New Roman" w:hAnsi="Times New Roman" w:cs="Times New Roman"/>
          <w:b/>
          <w:bCs/>
          <w:sz w:val="24"/>
          <w:szCs w:val="24"/>
        </w:rPr>
      </w:pPr>
    </w:p>
    <w:p w14:paraId="5BCF5E5D" w14:textId="4035E04D" w:rsidR="00513D30" w:rsidRPr="00F05CCC" w:rsidRDefault="00F05CCC" w:rsidP="00BE2C41">
      <w:pPr>
        <w:spacing w:after="240" w:line="276" w:lineRule="auto"/>
        <w:rPr>
          <w:rFonts w:ascii="Times New Roman" w:hAnsi="Times New Roman" w:cs="Times New Roman"/>
          <w:b/>
          <w:bCs/>
          <w:sz w:val="24"/>
          <w:szCs w:val="24"/>
        </w:rPr>
      </w:pPr>
      <w:r w:rsidRPr="00F05CCC">
        <w:rPr>
          <w:rFonts w:ascii="Times New Roman" w:hAnsi="Times New Roman" w:cs="Times New Roman"/>
          <w:b/>
          <w:bCs/>
          <w:sz w:val="24"/>
          <w:szCs w:val="24"/>
        </w:rPr>
        <w:t>Non-Conventional Storage</w:t>
      </w:r>
    </w:p>
    <w:p w14:paraId="2253AB07" w14:textId="2031058D" w:rsidR="00012A49" w:rsidRDefault="005F17A8"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Another</w:t>
      </w:r>
      <w:r w:rsidR="003A6272">
        <w:rPr>
          <w:rFonts w:ascii="Times New Roman" w:hAnsi="Times New Roman" w:cs="Times New Roman"/>
          <w:sz w:val="24"/>
          <w:szCs w:val="24"/>
        </w:rPr>
        <w:t xml:space="preserve"> method of storage</w:t>
      </w:r>
      <w:r>
        <w:rPr>
          <w:rFonts w:ascii="Times New Roman" w:hAnsi="Times New Roman" w:cs="Times New Roman"/>
          <w:sz w:val="24"/>
          <w:szCs w:val="24"/>
        </w:rPr>
        <w:t>, i.e. energy</w:t>
      </w:r>
      <w:r w:rsidR="003A6272">
        <w:rPr>
          <w:rFonts w:ascii="Times New Roman" w:hAnsi="Times New Roman" w:cs="Times New Roman"/>
          <w:sz w:val="24"/>
          <w:szCs w:val="24"/>
        </w:rPr>
        <w:t xml:space="preserve"> converted to renewable capacity that should </w:t>
      </w:r>
      <w:proofErr w:type="gramStart"/>
      <w:r w:rsidR="003A6272">
        <w:rPr>
          <w:rFonts w:ascii="Times New Roman" w:hAnsi="Times New Roman" w:cs="Times New Roman"/>
          <w:sz w:val="24"/>
          <w:szCs w:val="24"/>
        </w:rPr>
        <w:t>enter into</w:t>
      </w:r>
      <w:proofErr w:type="gramEnd"/>
      <w:r w:rsidR="003A6272">
        <w:rPr>
          <w:rFonts w:ascii="Times New Roman" w:hAnsi="Times New Roman" w:cs="Times New Roman"/>
          <w:sz w:val="24"/>
          <w:szCs w:val="24"/>
        </w:rPr>
        <w:t xml:space="preserve"> the “robust discussion” is the stor</w:t>
      </w:r>
      <w:r w:rsidR="002314CE">
        <w:rPr>
          <w:rFonts w:ascii="Times New Roman" w:hAnsi="Times New Roman" w:cs="Times New Roman"/>
          <w:sz w:val="24"/>
          <w:szCs w:val="24"/>
        </w:rPr>
        <w:t>ing</w:t>
      </w:r>
      <w:r w:rsidR="003A6272">
        <w:rPr>
          <w:rFonts w:ascii="Times New Roman" w:hAnsi="Times New Roman" w:cs="Times New Roman"/>
          <w:sz w:val="24"/>
          <w:szCs w:val="24"/>
        </w:rPr>
        <w:t xml:space="preserve"> of fuel for later use in generating renewable electricity from existing thermal generators. </w:t>
      </w:r>
      <w:r w:rsidR="009843E3">
        <w:rPr>
          <w:rFonts w:ascii="Times New Roman" w:hAnsi="Times New Roman" w:cs="Times New Roman"/>
          <w:sz w:val="24"/>
          <w:szCs w:val="24"/>
        </w:rPr>
        <w:t xml:space="preserve">Carbon neutral fuels </w:t>
      </w:r>
      <w:r w:rsidR="00F05CCC">
        <w:rPr>
          <w:rFonts w:ascii="Times New Roman" w:hAnsi="Times New Roman" w:cs="Times New Roman"/>
          <w:sz w:val="24"/>
          <w:szCs w:val="24"/>
        </w:rPr>
        <w:t xml:space="preserve">such as </w:t>
      </w:r>
      <w:r w:rsidR="003A6272">
        <w:rPr>
          <w:rFonts w:ascii="Times New Roman" w:hAnsi="Times New Roman" w:cs="Times New Roman"/>
          <w:sz w:val="24"/>
          <w:szCs w:val="24"/>
        </w:rPr>
        <w:t xml:space="preserve">renewable natural gas and renewable hydrogen can be produced and stored in underground storage facilities, such as Jackson Prairie, then pulled for later use </w:t>
      </w:r>
      <w:r w:rsidR="00012A49">
        <w:rPr>
          <w:rFonts w:ascii="Times New Roman" w:hAnsi="Times New Roman" w:cs="Times New Roman"/>
          <w:sz w:val="24"/>
          <w:szCs w:val="24"/>
        </w:rPr>
        <w:t xml:space="preserve">in thermal generators </w:t>
      </w:r>
      <w:r w:rsidR="003A6272">
        <w:rPr>
          <w:rFonts w:ascii="Times New Roman" w:hAnsi="Times New Roman" w:cs="Times New Roman"/>
          <w:sz w:val="24"/>
          <w:szCs w:val="24"/>
        </w:rPr>
        <w:t xml:space="preserve">for peaking or intermediate generation needs. </w:t>
      </w:r>
    </w:p>
    <w:p w14:paraId="751B1D44" w14:textId="772D2CB9" w:rsidR="003A6272" w:rsidRDefault="00F939D1"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Renewable hydrogen can </w:t>
      </w:r>
      <w:r w:rsidR="005F17A8">
        <w:rPr>
          <w:rFonts w:ascii="Times New Roman" w:hAnsi="Times New Roman" w:cs="Times New Roman"/>
          <w:sz w:val="24"/>
          <w:szCs w:val="24"/>
        </w:rPr>
        <w:t xml:space="preserve">also </w:t>
      </w:r>
      <w:r>
        <w:rPr>
          <w:rFonts w:ascii="Times New Roman" w:hAnsi="Times New Roman" w:cs="Times New Roman"/>
          <w:sz w:val="24"/>
          <w:szCs w:val="24"/>
        </w:rPr>
        <w:t xml:space="preserve">be produced in one location, then shipped by truck to another location and used in a fuel cell </w:t>
      </w:r>
      <w:r w:rsidR="00177FED">
        <w:rPr>
          <w:rFonts w:ascii="Times New Roman" w:hAnsi="Times New Roman" w:cs="Times New Roman"/>
          <w:i/>
          <w:sz w:val="24"/>
          <w:szCs w:val="24"/>
        </w:rPr>
        <w:t xml:space="preserve">effectively a </w:t>
      </w:r>
      <w:r w:rsidRPr="00BE2C41">
        <w:rPr>
          <w:rFonts w:ascii="Times New Roman" w:hAnsi="Times New Roman" w:cs="Times New Roman"/>
          <w:i/>
          <w:sz w:val="24"/>
          <w:szCs w:val="24"/>
        </w:rPr>
        <w:t>battery</w:t>
      </w:r>
      <w:r>
        <w:rPr>
          <w:rFonts w:ascii="Times New Roman" w:hAnsi="Times New Roman" w:cs="Times New Roman"/>
          <w:sz w:val="24"/>
          <w:szCs w:val="24"/>
        </w:rPr>
        <w:t xml:space="preserve"> to generate electricity remotely from where the </w:t>
      </w:r>
      <w:r w:rsidR="00012A49">
        <w:rPr>
          <w:rFonts w:ascii="Times New Roman" w:hAnsi="Times New Roman" w:cs="Times New Roman"/>
          <w:sz w:val="24"/>
          <w:szCs w:val="24"/>
        </w:rPr>
        <w:t xml:space="preserve">electric energy was </w:t>
      </w:r>
      <w:r w:rsidR="00012A49" w:rsidRPr="00BE2C41">
        <w:rPr>
          <w:rFonts w:ascii="Times New Roman" w:hAnsi="Times New Roman" w:cs="Times New Roman"/>
          <w:i/>
          <w:sz w:val="24"/>
          <w:szCs w:val="24"/>
        </w:rPr>
        <w:t>stored</w:t>
      </w:r>
      <w:r w:rsidR="00012A49">
        <w:rPr>
          <w:rFonts w:ascii="Times New Roman" w:hAnsi="Times New Roman" w:cs="Times New Roman"/>
          <w:sz w:val="24"/>
          <w:szCs w:val="24"/>
        </w:rPr>
        <w:t xml:space="preserve"> in the hydrogen</w:t>
      </w:r>
      <w:r w:rsidR="005F17A8">
        <w:rPr>
          <w:rFonts w:ascii="Times New Roman" w:hAnsi="Times New Roman" w:cs="Times New Roman"/>
          <w:sz w:val="24"/>
          <w:szCs w:val="24"/>
        </w:rPr>
        <w:t>.</w:t>
      </w:r>
    </w:p>
    <w:p w14:paraId="750815CB" w14:textId="1B19ABAC" w:rsidR="00D2730C" w:rsidRDefault="00D2730C"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Rather than treat the conversion of variable renewable energy to renewable capacity</w:t>
      </w:r>
      <w:r w:rsidR="005F17A8">
        <w:rPr>
          <w:rFonts w:ascii="Times New Roman" w:hAnsi="Times New Roman" w:cs="Times New Roman"/>
          <w:sz w:val="24"/>
          <w:szCs w:val="24"/>
        </w:rPr>
        <w:t xml:space="preserve"> as a loss of energy (thus a loss of value)</w:t>
      </w:r>
      <w:r>
        <w:rPr>
          <w:rFonts w:ascii="Times New Roman" w:hAnsi="Times New Roman" w:cs="Times New Roman"/>
          <w:sz w:val="24"/>
          <w:szCs w:val="24"/>
        </w:rPr>
        <w:t xml:space="preserve">, we are requesting that the “robust dialogue” </w:t>
      </w:r>
      <w:r w:rsidR="00DF0A06">
        <w:rPr>
          <w:rFonts w:ascii="Times New Roman" w:hAnsi="Times New Roman" w:cs="Times New Roman"/>
          <w:sz w:val="24"/>
          <w:szCs w:val="24"/>
        </w:rPr>
        <w:t xml:space="preserve">in this docket </w:t>
      </w:r>
      <w:r>
        <w:rPr>
          <w:rFonts w:ascii="Times New Roman" w:hAnsi="Times New Roman" w:cs="Times New Roman"/>
          <w:sz w:val="24"/>
          <w:szCs w:val="24"/>
        </w:rPr>
        <w:t xml:space="preserve">consider how </w:t>
      </w:r>
      <w:r w:rsidR="009F22AF">
        <w:rPr>
          <w:rFonts w:ascii="Times New Roman" w:hAnsi="Times New Roman" w:cs="Times New Roman"/>
          <w:sz w:val="24"/>
          <w:szCs w:val="24"/>
        </w:rPr>
        <w:t xml:space="preserve">these various storage opportunities and renewable capacity should </w:t>
      </w:r>
      <w:r w:rsidR="005F17A8">
        <w:rPr>
          <w:rFonts w:ascii="Times New Roman" w:hAnsi="Times New Roman" w:cs="Times New Roman"/>
          <w:sz w:val="24"/>
          <w:szCs w:val="24"/>
        </w:rPr>
        <w:t xml:space="preserve">be valued </w:t>
      </w:r>
      <w:r w:rsidR="00DF0A06">
        <w:rPr>
          <w:rFonts w:ascii="Times New Roman" w:hAnsi="Times New Roman" w:cs="Times New Roman"/>
          <w:sz w:val="24"/>
          <w:szCs w:val="24"/>
        </w:rPr>
        <w:t xml:space="preserve">as they </w:t>
      </w:r>
      <w:r w:rsidR="009F22AF">
        <w:rPr>
          <w:rFonts w:ascii="Times New Roman" w:hAnsi="Times New Roman" w:cs="Times New Roman"/>
          <w:sz w:val="24"/>
          <w:szCs w:val="24"/>
        </w:rPr>
        <w:t>bring value to the system in maintaining reliability and resource adequacy</w:t>
      </w:r>
      <w:r w:rsidR="00DF0A06">
        <w:rPr>
          <w:rFonts w:ascii="Times New Roman" w:hAnsi="Times New Roman" w:cs="Times New Roman"/>
          <w:sz w:val="24"/>
          <w:szCs w:val="24"/>
        </w:rPr>
        <w:t xml:space="preserve">, and allow for </w:t>
      </w:r>
      <w:r w:rsidR="009F22AF">
        <w:rPr>
          <w:rFonts w:ascii="Times New Roman" w:hAnsi="Times New Roman" w:cs="Times New Roman"/>
          <w:sz w:val="24"/>
          <w:szCs w:val="24"/>
        </w:rPr>
        <w:t>flexibility in operations</w:t>
      </w:r>
      <w:r w:rsidR="00DF0A06">
        <w:rPr>
          <w:rFonts w:ascii="Times New Roman" w:hAnsi="Times New Roman" w:cs="Times New Roman"/>
          <w:sz w:val="24"/>
          <w:szCs w:val="24"/>
        </w:rPr>
        <w:t>.</w:t>
      </w:r>
    </w:p>
    <w:p w14:paraId="472A35D2" w14:textId="0AE00707" w:rsidR="00012A49" w:rsidRDefault="00DF0A06"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A</w:t>
      </w:r>
      <w:r w:rsidR="00C94E37">
        <w:rPr>
          <w:rFonts w:ascii="Times New Roman" w:hAnsi="Times New Roman" w:cs="Times New Roman"/>
          <w:sz w:val="24"/>
          <w:szCs w:val="24"/>
        </w:rPr>
        <w:t>ddition</w:t>
      </w:r>
      <w:r>
        <w:rPr>
          <w:rFonts w:ascii="Times New Roman" w:hAnsi="Times New Roman" w:cs="Times New Roman"/>
          <w:sz w:val="24"/>
          <w:szCs w:val="24"/>
        </w:rPr>
        <w:t>ally</w:t>
      </w:r>
      <w:r w:rsidR="00C94E37">
        <w:rPr>
          <w:rFonts w:ascii="Times New Roman" w:hAnsi="Times New Roman" w:cs="Times New Roman"/>
          <w:sz w:val="24"/>
          <w:szCs w:val="24"/>
        </w:rPr>
        <w:t>, t</w:t>
      </w:r>
      <w:r w:rsidR="005F17A8">
        <w:rPr>
          <w:rFonts w:ascii="Times New Roman" w:hAnsi="Times New Roman" w:cs="Times New Roman"/>
          <w:sz w:val="24"/>
          <w:szCs w:val="24"/>
        </w:rPr>
        <w:t>he discussion of these types of energy conversions</w:t>
      </w:r>
      <w:r w:rsidR="00C94E37">
        <w:rPr>
          <w:rFonts w:ascii="Times New Roman" w:hAnsi="Times New Roman" w:cs="Times New Roman"/>
          <w:sz w:val="24"/>
          <w:szCs w:val="24"/>
        </w:rPr>
        <w:t xml:space="preserve"> from variable to dispatchable</w:t>
      </w:r>
      <w:r w:rsidR="005F17A8">
        <w:rPr>
          <w:rFonts w:ascii="Times New Roman" w:hAnsi="Times New Roman" w:cs="Times New Roman"/>
          <w:sz w:val="24"/>
          <w:szCs w:val="24"/>
        </w:rPr>
        <w:t xml:space="preserve"> should </w:t>
      </w:r>
      <w:r w:rsidR="00556FFB">
        <w:rPr>
          <w:rFonts w:ascii="Times New Roman" w:hAnsi="Times New Roman" w:cs="Times New Roman"/>
          <w:sz w:val="24"/>
          <w:szCs w:val="24"/>
        </w:rPr>
        <w:t xml:space="preserve">also </w:t>
      </w:r>
      <w:r w:rsidR="005F17A8">
        <w:rPr>
          <w:rFonts w:ascii="Times New Roman" w:hAnsi="Times New Roman" w:cs="Times New Roman"/>
          <w:sz w:val="24"/>
          <w:szCs w:val="24"/>
        </w:rPr>
        <w:t>include</w:t>
      </w:r>
      <w:r w:rsidR="00556FFB">
        <w:rPr>
          <w:rFonts w:ascii="Times New Roman" w:hAnsi="Times New Roman" w:cs="Times New Roman"/>
          <w:sz w:val="24"/>
          <w:szCs w:val="24"/>
        </w:rPr>
        <w:t xml:space="preserve"> </w:t>
      </w:r>
      <w:r>
        <w:rPr>
          <w:rFonts w:ascii="Times New Roman" w:hAnsi="Times New Roman" w:cs="Times New Roman"/>
          <w:sz w:val="24"/>
          <w:szCs w:val="24"/>
        </w:rPr>
        <w:t>the</w:t>
      </w:r>
      <w:r w:rsidR="005F17A8">
        <w:rPr>
          <w:rFonts w:ascii="Times New Roman" w:hAnsi="Times New Roman" w:cs="Times New Roman"/>
          <w:sz w:val="24"/>
          <w:szCs w:val="24"/>
        </w:rPr>
        <w:t xml:space="preserve"> valuation of REC</w:t>
      </w:r>
      <w:r w:rsidR="00C94E37">
        <w:rPr>
          <w:rFonts w:ascii="Times New Roman" w:hAnsi="Times New Roman" w:cs="Times New Roman"/>
          <w:sz w:val="24"/>
          <w:szCs w:val="24"/>
        </w:rPr>
        <w:t>s</w:t>
      </w:r>
      <w:r w:rsidR="005F17A8">
        <w:rPr>
          <w:rFonts w:ascii="Times New Roman" w:hAnsi="Times New Roman" w:cs="Times New Roman"/>
          <w:sz w:val="24"/>
          <w:szCs w:val="24"/>
        </w:rPr>
        <w:t xml:space="preserve"> </w:t>
      </w:r>
      <w:r w:rsidR="00C94E37">
        <w:rPr>
          <w:rFonts w:ascii="Times New Roman" w:hAnsi="Times New Roman" w:cs="Times New Roman"/>
          <w:sz w:val="24"/>
          <w:szCs w:val="24"/>
        </w:rPr>
        <w:t xml:space="preserve">and carbon credits </w:t>
      </w:r>
      <w:r w:rsidR="005F17A8">
        <w:rPr>
          <w:rFonts w:ascii="Times New Roman" w:hAnsi="Times New Roman" w:cs="Times New Roman"/>
          <w:sz w:val="24"/>
          <w:szCs w:val="24"/>
        </w:rPr>
        <w:t xml:space="preserve">that originate at </w:t>
      </w:r>
      <w:r>
        <w:rPr>
          <w:rFonts w:ascii="Times New Roman" w:hAnsi="Times New Roman" w:cs="Times New Roman"/>
          <w:sz w:val="24"/>
          <w:szCs w:val="24"/>
        </w:rPr>
        <w:t xml:space="preserve">an </w:t>
      </w:r>
      <w:r w:rsidR="005F17A8">
        <w:rPr>
          <w:rFonts w:ascii="Times New Roman" w:hAnsi="Times New Roman" w:cs="Times New Roman"/>
          <w:sz w:val="24"/>
          <w:szCs w:val="24"/>
        </w:rPr>
        <w:t xml:space="preserve">original source of electricity, but where the ultimate </w:t>
      </w:r>
      <w:r w:rsidR="00012A49">
        <w:rPr>
          <w:rFonts w:ascii="Times New Roman" w:hAnsi="Times New Roman" w:cs="Times New Roman"/>
          <w:sz w:val="24"/>
          <w:szCs w:val="24"/>
        </w:rPr>
        <w:t>energy</w:t>
      </w:r>
      <w:r w:rsidR="005F17A8">
        <w:rPr>
          <w:rFonts w:ascii="Times New Roman" w:hAnsi="Times New Roman" w:cs="Times New Roman"/>
          <w:sz w:val="24"/>
          <w:szCs w:val="24"/>
        </w:rPr>
        <w:t xml:space="preserve"> delivered is less</w:t>
      </w:r>
      <w:r w:rsidR="00012A49">
        <w:rPr>
          <w:rFonts w:ascii="Times New Roman" w:hAnsi="Times New Roman" w:cs="Times New Roman"/>
          <w:sz w:val="24"/>
          <w:szCs w:val="24"/>
        </w:rPr>
        <w:t xml:space="preserve"> than the amount generated</w:t>
      </w:r>
      <w:r w:rsidR="005F17A8">
        <w:rPr>
          <w:rFonts w:ascii="Times New Roman" w:hAnsi="Times New Roman" w:cs="Times New Roman"/>
          <w:sz w:val="24"/>
          <w:szCs w:val="24"/>
        </w:rPr>
        <w:t>,</w:t>
      </w:r>
      <w:r>
        <w:rPr>
          <w:rFonts w:ascii="Times New Roman" w:hAnsi="Times New Roman" w:cs="Times New Roman"/>
          <w:sz w:val="24"/>
          <w:szCs w:val="24"/>
        </w:rPr>
        <w:t xml:space="preserve"> </w:t>
      </w:r>
      <w:r w:rsidR="00556FFB">
        <w:rPr>
          <w:rFonts w:ascii="Times New Roman" w:hAnsi="Times New Roman" w:cs="Times New Roman"/>
          <w:sz w:val="24"/>
          <w:szCs w:val="24"/>
        </w:rPr>
        <w:t xml:space="preserve">because </w:t>
      </w:r>
      <w:r w:rsidR="00556FFB">
        <w:rPr>
          <w:rFonts w:ascii="Times New Roman" w:hAnsi="Times New Roman" w:cs="Times New Roman"/>
          <w:sz w:val="24"/>
          <w:szCs w:val="24"/>
        </w:rPr>
        <w:lastRenderedPageBreak/>
        <w:t xml:space="preserve">the </w:t>
      </w:r>
      <w:r w:rsidR="00012A49">
        <w:rPr>
          <w:rFonts w:ascii="Times New Roman" w:hAnsi="Times New Roman" w:cs="Times New Roman"/>
          <w:sz w:val="24"/>
          <w:szCs w:val="24"/>
        </w:rPr>
        <w:t>loss</w:t>
      </w:r>
      <w:r w:rsidR="005F17A8">
        <w:rPr>
          <w:rFonts w:ascii="Times New Roman" w:hAnsi="Times New Roman" w:cs="Times New Roman"/>
          <w:sz w:val="24"/>
          <w:szCs w:val="24"/>
        </w:rPr>
        <w:t xml:space="preserve"> has been converted from a variable MWh to a dispatchable MWh</w:t>
      </w:r>
      <w:r w:rsidR="00012A49">
        <w:rPr>
          <w:rFonts w:ascii="Times New Roman" w:hAnsi="Times New Roman" w:cs="Times New Roman"/>
          <w:sz w:val="24"/>
          <w:szCs w:val="24"/>
        </w:rPr>
        <w:t xml:space="preserve"> </w:t>
      </w:r>
      <w:r w:rsidR="00177FED">
        <w:rPr>
          <w:rFonts w:ascii="Times New Roman" w:hAnsi="Times New Roman" w:cs="Times New Roman"/>
          <w:sz w:val="24"/>
          <w:szCs w:val="24"/>
        </w:rPr>
        <w:t xml:space="preserve">a conversion </w:t>
      </w:r>
      <w:r w:rsidR="00556FFB">
        <w:rPr>
          <w:rFonts w:ascii="Times New Roman" w:hAnsi="Times New Roman" w:cs="Times New Roman"/>
          <w:sz w:val="24"/>
          <w:szCs w:val="24"/>
        </w:rPr>
        <w:t xml:space="preserve">that is </w:t>
      </w:r>
      <w:r w:rsidR="00012A49">
        <w:rPr>
          <w:rFonts w:ascii="Times New Roman" w:hAnsi="Times New Roman" w:cs="Times New Roman"/>
          <w:sz w:val="24"/>
          <w:szCs w:val="24"/>
        </w:rPr>
        <w:t>critical to the reliable operation of the system and maintaining resource adequacy.</w:t>
      </w:r>
    </w:p>
    <w:p w14:paraId="2174F26A" w14:textId="7EAAA923" w:rsidR="00BE2C41" w:rsidRDefault="00BE2C41" w:rsidP="00BE2C41">
      <w:pPr>
        <w:spacing w:after="240" w:line="276" w:lineRule="auto"/>
        <w:rPr>
          <w:rFonts w:ascii="Times New Roman" w:hAnsi="Times New Roman" w:cs="Times New Roman"/>
          <w:sz w:val="24"/>
          <w:szCs w:val="24"/>
        </w:rPr>
      </w:pPr>
      <w:r>
        <w:rPr>
          <w:rFonts w:ascii="Times New Roman" w:hAnsi="Times New Roman" w:cs="Times New Roman"/>
          <w:sz w:val="24"/>
          <w:szCs w:val="24"/>
        </w:rPr>
        <w:t>Dated this 20</w:t>
      </w:r>
      <w:r w:rsidRPr="00540484">
        <w:rPr>
          <w:rFonts w:ascii="Times New Roman" w:hAnsi="Times New Roman" w:cs="Times New Roman"/>
          <w:sz w:val="24"/>
          <w:szCs w:val="24"/>
          <w:vertAlign w:val="superscript"/>
        </w:rPr>
        <w:t>th</w:t>
      </w:r>
      <w:r>
        <w:rPr>
          <w:rFonts w:ascii="Times New Roman" w:hAnsi="Times New Roman" w:cs="Times New Roman"/>
          <w:sz w:val="24"/>
          <w:szCs w:val="24"/>
        </w:rPr>
        <w:t xml:space="preserve"> Day of December,</w:t>
      </w:r>
    </w:p>
    <w:p w14:paraId="21547968" w14:textId="77777777" w:rsidR="00012A49" w:rsidRDefault="00012A49" w:rsidP="005F17A8">
      <w:pPr>
        <w:spacing w:line="276" w:lineRule="auto"/>
        <w:rPr>
          <w:rFonts w:ascii="Times New Roman" w:hAnsi="Times New Roman" w:cs="Times New Roman"/>
          <w:sz w:val="24"/>
          <w:szCs w:val="24"/>
        </w:rPr>
      </w:pPr>
    </w:p>
    <w:p w14:paraId="7753BBD6" w14:textId="2EBB7101" w:rsidR="00012A49" w:rsidRDefault="00012A49" w:rsidP="00540484">
      <w:pPr>
        <w:keepNext/>
        <w:keepLines/>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Respectfully submitted,</w:t>
      </w:r>
    </w:p>
    <w:p w14:paraId="64AF94C2" w14:textId="1B910523" w:rsidR="00540484" w:rsidRDefault="005F17A8" w:rsidP="00540484">
      <w:pPr>
        <w:keepNext/>
        <w:keepLines/>
        <w:spacing w:line="276" w:lineRule="auto"/>
        <w:rPr>
          <w:rFonts w:ascii="Times New Roman" w:hAnsi="Times New Roman" w:cs="Times New Roman"/>
          <w:i/>
          <w:sz w:val="24"/>
          <w:szCs w:val="24"/>
        </w:rPr>
      </w:pPr>
      <w:r>
        <w:rPr>
          <w:rFonts w:ascii="Times New Roman" w:hAnsi="Times New Roman" w:cs="Times New Roman"/>
          <w:sz w:val="24"/>
          <w:szCs w:val="24"/>
        </w:rPr>
        <w:t xml:space="preserve"> </w:t>
      </w:r>
      <w:r w:rsidR="00540484">
        <w:rPr>
          <w:rFonts w:ascii="Times New Roman" w:hAnsi="Times New Roman" w:cs="Times New Roman"/>
          <w:sz w:val="24"/>
          <w:szCs w:val="24"/>
        </w:rPr>
        <w:tab/>
      </w:r>
      <w:r w:rsidR="00540484">
        <w:rPr>
          <w:rFonts w:ascii="Times New Roman" w:hAnsi="Times New Roman" w:cs="Times New Roman"/>
          <w:sz w:val="24"/>
          <w:szCs w:val="24"/>
        </w:rPr>
        <w:tab/>
        <w:t xml:space="preserve">/s/ </w:t>
      </w:r>
    </w:p>
    <w:p w14:paraId="758F54D5" w14:textId="77777777" w:rsidR="00540484" w:rsidRDefault="00540484" w:rsidP="00540484">
      <w:pPr>
        <w:keepNext/>
        <w:keepLines/>
        <w:spacing w:after="0" w:line="240" w:lineRule="auto"/>
        <w:ind w:left="1440"/>
        <w:rPr>
          <w:rFonts w:ascii="Times New Roman" w:hAnsi="Times New Roman" w:cs="Times New Roman"/>
          <w:sz w:val="24"/>
          <w:szCs w:val="24"/>
        </w:rPr>
      </w:pPr>
    </w:p>
    <w:p w14:paraId="77B071AE" w14:textId="77777777" w:rsidR="00540484" w:rsidRDefault="00540484" w:rsidP="00540484">
      <w:pPr>
        <w:keepNext/>
        <w:keepLines/>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Dave Warren </w:t>
      </w:r>
    </w:p>
    <w:p w14:paraId="5B59DC6F" w14:textId="77777777" w:rsidR="00540484" w:rsidRDefault="00540484" w:rsidP="00540484">
      <w:pPr>
        <w:keepNext/>
        <w:keepLines/>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Warren Group, LLC</w:t>
      </w:r>
    </w:p>
    <w:p w14:paraId="4EA4AAE1" w14:textId="2B1A38F8" w:rsidR="00540484" w:rsidRDefault="00540484" w:rsidP="00540484">
      <w:pPr>
        <w:keepNext/>
        <w:keepLines/>
        <w:spacing w:after="0" w:line="240" w:lineRule="auto"/>
        <w:ind w:left="1440"/>
        <w:rPr>
          <w:rFonts w:ascii="Times New Roman" w:hAnsi="Times New Roman" w:cs="Times New Roman"/>
          <w:sz w:val="24"/>
          <w:szCs w:val="24"/>
        </w:rPr>
      </w:pPr>
      <w:hyperlink r:id="rId7" w:history="1">
        <w:r w:rsidRPr="00755227">
          <w:rPr>
            <w:rStyle w:val="Hyperlink"/>
            <w:rFonts w:ascii="Times New Roman" w:hAnsi="Times New Roman" w:cs="Times New Roman"/>
            <w:sz w:val="24"/>
            <w:szCs w:val="24"/>
          </w:rPr>
          <w:t>dave@warren-group.net</w:t>
        </w:r>
      </w:hyperlink>
    </w:p>
    <w:p w14:paraId="0E53BB76" w14:textId="5A293CBF" w:rsidR="00540484" w:rsidRPr="00540484" w:rsidRDefault="00540484" w:rsidP="00B37546">
      <w:pPr>
        <w:keepNext/>
        <w:keepLines/>
        <w:spacing w:after="0" w:line="240" w:lineRule="auto"/>
        <w:ind w:left="1440"/>
        <w:rPr>
          <w:rFonts w:ascii="Times New Roman" w:hAnsi="Times New Roman" w:cs="Times New Roman"/>
          <w:sz w:val="32"/>
          <w:szCs w:val="32"/>
        </w:rPr>
      </w:pPr>
      <w:r>
        <w:rPr>
          <w:rFonts w:ascii="Times New Roman" w:hAnsi="Times New Roman" w:cs="Times New Roman"/>
          <w:sz w:val="24"/>
          <w:szCs w:val="24"/>
        </w:rPr>
        <w:t>360-951-</w:t>
      </w:r>
      <w:r w:rsidR="00B37546">
        <w:rPr>
          <w:rFonts w:ascii="Times New Roman" w:hAnsi="Times New Roman" w:cs="Times New Roman"/>
          <w:sz w:val="24"/>
          <w:szCs w:val="24"/>
        </w:rPr>
        <w:t>5551</w:t>
      </w:r>
    </w:p>
    <w:sectPr w:rsidR="00540484" w:rsidRPr="00540484" w:rsidSect="0054048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5C132" w14:textId="77777777" w:rsidR="009B29E1" w:rsidRDefault="009B29E1" w:rsidP="0056580D">
      <w:pPr>
        <w:spacing w:after="0" w:line="240" w:lineRule="auto"/>
      </w:pPr>
      <w:r>
        <w:separator/>
      </w:r>
    </w:p>
  </w:endnote>
  <w:endnote w:type="continuationSeparator" w:id="0">
    <w:p w14:paraId="5C77DD81" w14:textId="77777777" w:rsidR="009B29E1" w:rsidRDefault="009B29E1" w:rsidP="0056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734654"/>
      <w:docPartObj>
        <w:docPartGallery w:val="Page Numbers (Bottom of Page)"/>
        <w:docPartUnique/>
      </w:docPartObj>
    </w:sdtPr>
    <w:sdtEndPr>
      <w:rPr>
        <w:noProof/>
      </w:rPr>
    </w:sdtEndPr>
    <w:sdtContent>
      <w:p w14:paraId="284828B4" w14:textId="1D069B07" w:rsidR="00012A49" w:rsidRDefault="00012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6AF9A" w14:textId="77777777" w:rsidR="00012A49" w:rsidRDefault="0001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AC86C" w14:textId="77777777" w:rsidR="009B29E1" w:rsidRDefault="009B29E1" w:rsidP="0056580D">
      <w:pPr>
        <w:spacing w:after="0" w:line="240" w:lineRule="auto"/>
      </w:pPr>
      <w:r>
        <w:separator/>
      </w:r>
    </w:p>
  </w:footnote>
  <w:footnote w:type="continuationSeparator" w:id="0">
    <w:p w14:paraId="7300A6B4" w14:textId="77777777" w:rsidR="009B29E1" w:rsidRDefault="009B29E1" w:rsidP="0056580D">
      <w:pPr>
        <w:spacing w:after="0" w:line="240" w:lineRule="auto"/>
      </w:pPr>
      <w:r>
        <w:continuationSeparator/>
      </w:r>
    </w:p>
  </w:footnote>
  <w:footnote w:id="1">
    <w:p w14:paraId="63BCB12F" w14:textId="33B3C5F2" w:rsidR="00512BA4" w:rsidRDefault="00512BA4" w:rsidP="00512BA4">
      <w:pPr>
        <w:pStyle w:val="FootnoteText"/>
      </w:pPr>
      <w:r>
        <w:rPr>
          <w:rStyle w:val="FootnoteReference"/>
        </w:rPr>
        <w:footnoteRef/>
      </w:r>
      <w:r>
        <w:t xml:space="preserve"> </w:t>
      </w:r>
      <w:r>
        <w:tab/>
      </w:r>
      <w:r w:rsidR="00741CF3" w:rsidRPr="00BE2C41">
        <w:rPr>
          <w:rFonts w:ascii="Times New Roman" w:hAnsi="Times New Roman" w:cs="Times New Roman"/>
          <w:i/>
          <w:sz w:val="24"/>
          <w:szCs w:val="24"/>
        </w:rPr>
        <w:t>See, e.g.</w:t>
      </w:r>
      <w:r w:rsidR="00741CF3" w:rsidRPr="00BE2C41">
        <w:rPr>
          <w:rFonts w:ascii="Times New Roman" w:hAnsi="Times New Roman" w:cs="Times New Roman"/>
          <w:sz w:val="24"/>
          <w:szCs w:val="24"/>
        </w:rPr>
        <w:t>,</w:t>
      </w:r>
      <w:r w:rsidR="00BE2C41" w:rsidRPr="00BE2C41">
        <w:rPr>
          <w:rFonts w:ascii="Times New Roman" w:hAnsi="Times New Roman" w:cs="Times New Roman"/>
          <w:sz w:val="24"/>
          <w:szCs w:val="24"/>
        </w:rPr>
        <w:t xml:space="preserve"> Capacity Needs in the Pacific Northwest and California</w:t>
      </w:r>
      <w:r w:rsidR="00BE2C41">
        <w:rPr>
          <w:rFonts w:ascii="Times New Roman" w:hAnsi="Times New Roman" w:cs="Times New Roman"/>
          <w:sz w:val="24"/>
          <w:szCs w:val="24"/>
        </w:rPr>
        <w:t xml:space="preserve">, </w:t>
      </w:r>
      <w:proofErr w:type="spellStart"/>
      <w:r w:rsidR="00BE2C41" w:rsidRPr="00BE2C41">
        <w:rPr>
          <w:rFonts w:ascii="Times New Roman" w:hAnsi="Times New Roman" w:cs="Times New Roman"/>
          <w:smallCaps/>
          <w:sz w:val="24"/>
          <w:szCs w:val="24"/>
        </w:rPr>
        <w:t>Energy+Environmental</w:t>
      </w:r>
      <w:proofErr w:type="spellEnd"/>
      <w:r w:rsidR="00BE2C41" w:rsidRPr="00BE2C41">
        <w:rPr>
          <w:rFonts w:ascii="Times New Roman" w:hAnsi="Times New Roman" w:cs="Times New Roman"/>
          <w:smallCaps/>
          <w:sz w:val="24"/>
          <w:szCs w:val="24"/>
        </w:rPr>
        <w:t xml:space="preserve"> Economics </w:t>
      </w:r>
      <w:r w:rsidR="00BE2C41" w:rsidRPr="00BE2C41">
        <w:rPr>
          <w:rFonts w:ascii="Times New Roman" w:hAnsi="Times New Roman" w:cs="Times New Roman"/>
          <w:sz w:val="24"/>
          <w:szCs w:val="24"/>
        </w:rPr>
        <w:t xml:space="preserve">(Dec. 2019) </w:t>
      </w:r>
      <w:r w:rsidR="00540484">
        <w:rPr>
          <w:rFonts w:ascii="Times New Roman" w:hAnsi="Times New Roman" w:cs="Times New Roman"/>
          <w:sz w:val="24"/>
          <w:szCs w:val="24"/>
        </w:rPr>
        <w:t>(</w:t>
      </w:r>
      <w:r w:rsidR="00741CF3" w:rsidRPr="00BE2C41">
        <w:rPr>
          <w:rFonts w:ascii="Times New Roman" w:hAnsi="Times New Roman" w:cs="Times New Roman"/>
          <w:sz w:val="24"/>
          <w:szCs w:val="24"/>
        </w:rPr>
        <w:t>Atta</w:t>
      </w:r>
      <w:r w:rsidR="00BE2C41">
        <w:rPr>
          <w:rFonts w:ascii="Times New Roman" w:hAnsi="Times New Roman" w:cs="Times New Roman"/>
          <w:sz w:val="24"/>
          <w:szCs w:val="24"/>
        </w:rPr>
        <w:t>c</w:t>
      </w:r>
      <w:r w:rsidR="00741CF3" w:rsidRPr="00BE2C41">
        <w:rPr>
          <w:rFonts w:ascii="Times New Roman" w:hAnsi="Times New Roman" w:cs="Times New Roman"/>
          <w:sz w:val="24"/>
          <w:szCs w:val="24"/>
        </w:rPr>
        <w:t>hment A</w:t>
      </w:r>
      <w:r w:rsidR="00B37546">
        <w:rPr>
          <w:rFonts w:ascii="Times New Roman" w:hAnsi="Times New Roman" w:cs="Times New Roman"/>
          <w:sz w:val="24"/>
          <w:szCs w:val="24"/>
        </w:rPr>
        <w:t xml:space="preserve"> to email</w:t>
      </w:r>
      <w:r w:rsidR="00741CF3" w:rsidRPr="00BE2C41">
        <w:rPr>
          <w:rFonts w:ascii="Times New Roman" w:hAnsi="Times New Roman" w:cs="Times New Roman"/>
          <w:sz w:val="24"/>
          <w:szCs w:val="24"/>
        </w:rPr>
        <w:t>)</w:t>
      </w:r>
      <w:r w:rsidRPr="00BE2C41">
        <w:rPr>
          <w:rFonts w:ascii="Times New Roman" w:hAnsi="Times New Roman" w:cs="Times New Roman"/>
          <w:sz w:val="24"/>
          <w:szCs w:val="24"/>
        </w:rPr>
        <w:t xml:space="preserve">; </w:t>
      </w:r>
      <w:r w:rsidR="008B3020">
        <w:rPr>
          <w:rFonts w:ascii="Times New Roman" w:hAnsi="Times New Roman" w:cs="Times New Roman"/>
          <w:sz w:val="24"/>
          <w:szCs w:val="24"/>
        </w:rPr>
        <w:t>Western Flexibility Assessment</w:t>
      </w:r>
      <w:r w:rsidR="00FF1C30">
        <w:rPr>
          <w:rFonts w:ascii="Times New Roman" w:hAnsi="Times New Roman" w:cs="Times New Roman"/>
          <w:sz w:val="24"/>
          <w:szCs w:val="24"/>
        </w:rPr>
        <w:t xml:space="preserve">, </w:t>
      </w:r>
      <w:r w:rsidR="008B3020">
        <w:rPr>
          <w:rFonts w:ascii="Times New Roman" w:hAnsi="Times New Roman" w:cs="Times New Roman"/>
          <w:smallCaps/>
          <w:sz w:val="24"/>
          <w:szCs w:val="24"/>
        </w:rPr>
        <w:t xml:space="preserve">Energy Strategies </w:t>
      </w:r>
      <w:r w:rsidR="00FF1C30">
        <w:rPr>
          <w:rFonts w:ascii="Times New Roman" w:hAnsi="Times New Roman" w:cs="Times New Roman"/>
          <w:sz w:val="24"/>
          <w:szCs w:val="24"/>
        </w:rPr>
        <w:t>(</w:t>
      </w:r>
      <w:r w:rsidR="008B3020">
        <w:rPr>
          <w:rFonts w:ascii="Times New Roman" w:hAnsi="Times New Roman" w:cs="Times New Roman"/>
          <w:sz w:val="24"/>
          <w:szCs w:val="24"/>
        </w:rPr>
        <w:t xml:space="preserve">Dec. 11, 2019) </w:t>
      </w:r>
      <w:r w:rsidR="00FF1C30">
        <w:rPr>
          <w:rFonts w:ascii="Times New Roman" w:hAnsi="Times New Roman" w:cs="Times New Roman"/>
          <w:sz w:val="24"/>
          <w:szCs w:val="24"/>
        </w:rPr>
        <w:t>Attachment B</w:t>
      </w:r>
      <w:r w:rsidR="00B37546">
        <w:rPr>
          <w:rFonts w:ascii="Times New Roman" w:hAnsi="Times New Roman" w:cs="Times New Roman"/>
          <w:sz w:val="24"/>
          <w:szCs w:val="24"/>
        </w:rPr>
        <w:t xml:space="preserve"> to email</w:t>
      </w:r>
      <w:bookmarkStart w:id="0" w:name="_GoBack"/>
      <w:bookmarkEnd w:id="0"/>
      <w:r w:rsidR="00FF1C30">
        <w:rPr>
          <w:rFonts w:ascii="Times New Roman" w:hAnsi="Times New Roman" w:cs="Times New Roman"/>
          <w:sz w:val="24"/>
          <w:szCs w:val="24"/>
        </w:rPr>
        <w:t>)</w:t>
      </w:r>
      <w:r w:rsidRPr="00BE2C41">
        <w:rPr>
          <w:rFonts w:ascii="Times New Roman" w:hAnsi="Times New Roman" w:cs="Times New Roman"/>
          <w:sz w:val="24"/>
          <w:szCs w:val="24"/>
        </w:rPr>
        <w:t>.</w:t>
      </w:r>
    </w:p>
  </w:footnote>
  <w:footnote w:id="2">
    <w:p w14:paraId="6BE84691" w14:textId="1C40ED7C" w:rsidR="00512BA4" w:rsidRDefault="00512BA4">
      <w:pPr>
        <w:pStyle w:val="FootnoteText"/>
      </w:pPr>
      <w:r>
        <w:rPr>
          <w:rStyle w:val="FootnoteReference"/>
        </w:rPr>
        <w:footnoteRef/>
      </w:r>
      <w:r>
        <w:t xml:space="preserve"> </w:t>
      </w:r>
      <w:r>
        <w:tab/>
      </w:r>
      <w:r>
        <w:rPr>
          <w:rFonts w:ascii="Times New Roman" w:hAnsi="Times New Roman" w:cs="Times New Roman"/>
          <w:sz w:val="24"/>
          <w:szCs w:val="24"/>
        </w:rPr>
        <w:t>RCW 19.280, 19.405.</w:t>
      </w:r>
    </w:p>
  </w:footnote>
  <w:footnote w:id="3">
    <w:p w14:paraId="7D01E42E" w14:textId="047C5A07" w:rsidR="00512BA4" w:rsidRDefault="00512BA4">
      <w:pPr>
        <w:pStyle w:val="FootnoteText"/>
      </w:pPr>
      <w:r>
        <w:rPr>
          <w:rStyle w:val="FootnoteReference"/>
        </w:rPr>
        <w:footnoteRef/>
      </w:r>
      <w:r>
        <w:t xml:space="preserve"> </w:t>
      </w:r>
      <w:r>
        <w:tab/>
      </w:r>
      <w:r>
        <w:rPr>
          <w:rFonts w:ascii="Times New Roman" w:hAnsi="Times New Roman" w:cs="Times New Roman"/>
          <w:sz w:val="24"/>
          <w:szCs w:val="24"/>
        </w:rPr>
        <w:t>RCW 19.405; Draft WAC</w:t>
      </w:r>
      <w:r w:rsidR="00741CF3">
        <w:rPr>
          <w:rFonts w:ascii="Times New Roman" w:hAnsi="Times New Roman" w:cs="Times New Roman"/>
          <w:sz w:val="24"/>
          <w:szCs w:val="24"/>
        </w:rPr>
        <w:t xml:space="preserve"> 480-100-610,</w:t>
      </w:r>
      <w:r w:rsidR="00741CF3" w:rsidRPr="00741CF3">
        <w:rPr>
          <w:rFonts w:ascii="Times New Roman" w:hAnsi="Times New Roman" w:cs="Times New Roman"/>
          <w:sz w:val="24"/>
          <w:szCs w:val="24"/>
        </w:rPr>
        <w:t xml:space="preserve"> </w:t>
      </w:r>
      <w:r w:rsidR="00741CF3">
        <w:rPr>
          <w:rFonts w:ascii="Times New Roman" w:hAnsi="Times New Roman" w:cs="Times New Roman"/>
          <w:sz w:val="24"/>
          <w:szCs w:val="24"/>
        </w:rPr>
        <w:t>WAC 480-100-615, 480-100-620</w:t>
      </w:r>
      <w:r>
        <w:rPr>
          <w:rFonts w:ascii="Times New Roman" w:hAnsi="Times New Roman" w:cs="Times New Roman"/>
          <w:sz w:val="24"/>
          <w:szCs w:val="24"/>
        </w:rPr>
        <w:t>.</w:t>
      </w:r>
    </w:p>
  </w:footnote>
  <w:footnote w:id="4">
    <w:p w14:paraId="3DAA097E" w14:textId="3369215F" w:rsidR="002314CE" w:rsidRDefault="002314CE" w:rsidP="00FF1C30">
      <w:pPr>
        <w:pStyle w:val="FootnoteText"/>
        <w:spacing w:line="360" w:lineRule="auto"/>
      </w:pPr>
      <w:r w:rsidRPr="00FF1C30">
        <w:rPr>
          <w:rFonts w:ascii="Times New Roman" w:hAnsi="Times New Roman" w:cs="Times New Roman"/>
          <w:sz w:val="24"/>
          <w:szCs w:val="24"/>
        </w:rPr>
        <w:footnoteRef/>
      </w:r>
      <w:r w:rsidRPr="00FF1C30">
        <w:rPr>
          <w:rFonts w:ascii="Times New Roman" w:hAnsi="Times New Roman" w:cs="Times New Roman"/>
          <w:sz w:val="24"/>
          <w:szCs w:val="24"/>
        </w:rPr>
        <w:t xml:space="preserve"> </w:t>
      </w:r>
      <w:r w:rsidRPr="00FF1C30">
        <w:rPr>
          <w:rFonts w:ascii="Times New Roman" w:hAnsi="Times New Roman" w:cs="Times New Roman"/>
          <w:sz w:val="24"/>
          <w:szCs w:val="24"/>
        </w:rPr>
        <w:tab/>
        <w:t>20MWh</w:t>
      </w:r>
      <w:r w:rsidR="00FF1C30">
        <w:rPr>
          <w:rFonts w:ascii="Times New Roman" w:hAnsi="Times New Roman" w:cs="Times New Roman"/>
          <w:sz w:val="24"/>
          <w:szCs w:val="24"/>
        </w:rPr>
        <w:t xml:space="preserve"> / </w:t>
      </w:r>
      <w:r w:rsidRPr="00FF1C30">
        <w:rPr>
          <w:rFonts w:ascii="Times New Roman" w:hAnsi="Times New Roman" w:cs="Times New Roman"/>
          <w:sz w:val="24"/>
          <w:szCs w:val="24"/>
        </w:rPr>
        <w:t>80MWh</w:t>
      </w:r>
      <w:r w:rsidR="00FF1C30">
        <w:rPr>
          <w:rFonts w:ascii="Times New Roman" w:hAnsi="Times New Roman" w:cs="Times New Roman"/>
          <w:sz w:val="24"/>
          <w:szCs w:val="24"/>
        </w:rPr>
        <w:t xml:space="preserve"> =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70"/>
    <w:rsid w:val="00012A49"/>
    <w:rsid w:val="00087BE8"/>
    <w:rsid w:val="001079AB"/>
    <w:rsid w:val="001313C8"/>
    <w:rsid w:val="00177FED"/>
    <w:rsid w:val="00182ED8"/>
    <w:rsid w:val="001C1208"/>
    <w:rsid w:val="002314CE"/>
    <w:rsid w:val="0029167D"/>
    <w:rsid w:val="002D4526"/>
    <w:rsid w:val="003A6272"/>
    <w:rsid w:val="004830A1"/>
    <w:rsid w:val="00506E4B"/>
    <w:rsid w:val="00512BA4"/>
    <w:rsid w:val="005130CD"/>
    <w:rsid w:val="00513D30"/>
    <w:rsid w:val="00535593"/>
    <w:rsid w:val="00540484"/>
    <w:rsid w:val="00556FFB"/>
    <w:rsid w:val="0056580D"/>
    <w:rsid w:val="005E428E"/>
    <w:rsid w:val="005F17A8"/>
    <w:rsid w:val="0068416C"/>
    <w:rsid w:val="007041D1"/>
    <w:rsid w:val="00730AF8"/>
    <w:rsid w:val="00741CF3"/>
    <w:rsid w:val="00754B70"/>
    <w:rsid w:val="007B4212"/>
    <w:rsid w:val="008932E2"/>
    <w:rsid w:val="008A03DD"/>
    <w:rsid w:val="008B3020"/>
    <w:rsid w:val="008F5AD7"/>
    <w:rsid w:val="009843E3"/>
    <w:rsid w:val="009B29E1"/>
    <w:rsid w:val="009F22AF"/>
    <w:rsid w:val="00A92B64"/>
    <w:rsid w:val="00B158B3"/>
    <w:rsid w:val="00B37546"/>
    <w:rsid w:val="00BE2C41"/>
    <w:rsid w:val="00C94E37"/>
    <w:rsid w:val="00D0263B"/>
    <w:rsid w:val="00D125E6"/>
    <w:rsid w:val="00D2730C"/>
    <w:rsid w:val="00D44CF7"/>
    <w:rsid w:val="00D75FCE"/>
    <w:rsid w:val="00DC73C3"/>
    <w:rsid w:val="00DF0A06"/>
    <w:rsid w:val="00E05CC0"/>
    <w:rsid w:val="00EC1E3B"/>
    <w:rsid w:val="00F05CCC"/>
    <w:rsid w:val="00F80052"/>
    <w:rsid w:val="00F939D1"/>
    <w:rsid w:val="00FE4C61"/>
    <w:rsid w:val="00FF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699F"/>
  <w15:chartTrackingRefBased/>
  <w15:docId w15:val="{835F3A63-ABF5-49F9-8849-60AA3B1C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5FCE"/>
    <w:rPr>
      <w:sz w:val="16"/>
      <w:szCs w:val="16"/>
    </w:rPr>
  </w:style>
  <w:style w:type="paragraph" w:styleId="CommentText">
    <w:name w:val="annotation text"/>
    <w:basedOn w:val="Normal"/>
    <w:link w:val="CommentTextChar"/>
    <w:uiPriority w:val="99"/>
    <w:semiHidden/>
    <w:unhideWhenUsed/>
    <w:rsid w:val="00D75FCE"/>
    <w:pPr>
      <w:spacing w:line="240" w:lineRule="auto"/>
    </w:pPr>
    <w:rPr>
      <w:sz w:val="20"/>
      <w:szCs w:val="20"/>
    </w:rPr>
  </w:style>
  <w:style w:type="character" w:customStyle="1" w:styleId="CommentTextChar">
    <w:name w:val="Comment Text Char"/>
    <w:basedOn w:val="DefaultParagraphFont"/>
    <w:link w:val="CommentText"/>
    <w:uiPriority w:val="99"/>
    <w:semiHidden/>
    <w:rsid w:val="00D75FCE"/>
    <w:rPr>
      <w:sz w:val="20"/>
      <w:szCs w:val="20"/>
    </w:rPr>
  </w:style>
  <w:style w:type="paragraph" w:styleId="CommentSubject">
    <w:name w:val="annotation subject"/>
    <w:basedOn w:val="CommentText"/>
    <w:next w:val="CommentText"/>
    <w:link w:val="CommentSubjectChar"/>
    <w:uiPriority w:val="99"/>
    <w:semiHidden/>
    <w:unhideWhenUsed/>
    <w:rsid w:val="00D75FCE"/>
    <w:rPr>
      <w:b/>
      <w:bCs/>
    </w:rPr>
  </w:style>
  <w:style w:type="character" w:customStyle="1" w:styleId="CommentSubjectChar">
    <w:name w:val="Comment Subject Char"/>
    <w:basedOn w:val="CommentTextChar"/>
    <w:link w:val="CommentSubject"/>
    <w:uiPriority w:val="99"/>
    <w:semiHidden/>
    <w:rsid w:val="00D75FCE"/>
    <w:rPr>
      <w:b/>
      <w:bCs/>
      <w:sz w:val="20"/>
      <w:szCs w:val="20"/>
    </w:rPr>
  </w:style>
  <w:style w:type="paragraph" w:styleId="Revision">
    <w:name w:val="Revision"/>
    <w:hidden/>
    <w:uiPriority w:val="99"/>
    <w:semiHidden/>
    <w:rsid w:val="00D75FCE"/>
    <w:pPr>
      <w:spacing w:after="0" w:line="240" w:lineRule="auto"/>
    </w:pPr>
  </w:style>
  <w:style w:type="paragraph" w:styleId="BalloonText">
    <w:name w:val="Balloon Text"/>
    <w:basedOn w:val="Normal"/>
    <w:link w:val="BalloonTextChar"/>
    <w:uiPriority w:val="99"/>
    <w:semiHidden/>
    <w:unhideWhenUsed/>
    <w:rsid w:val="00D75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FCE"/>
    <w:rPr>
      <w:rFonts w:ascii="Segoe UI" w:hAnsi="Segoe UI" w:cs="Segoe UI"/>
      <w:sz w:val="18"/>
      <w:szCs w:val="18"/>
    </w:rPr>
  </w:style>
  <w:style w:type="paragraph" w:styleId="FootnoteText">
    <w:name w:val="footnote text"/>
    <w:basedOn w:val="Normal"/>
    <w:link w:val="FootnoteTextChar"/>
    <w:uiPriority w:val="99"/>
    <w:semiHidden/>
    <w:unhideWhenUsed/>
    <w:rsid w:val="00565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80D"/>
    <w:rPr>
      <w:sz w:val="20"/>
      <w:szCs w:val="20"/>
    </w:rPr>
  </w:style>
  <w:style w:type="character" w:styleId="FootnoteReference">
    <w:name w:val="footnote reference"/>
    <w:basedOn w:val="DefaultParagraphFont"/>
    <w:uiPriority w:val="99"/>
    <w:semiHidden/>
    <w:unhideWhenUsed/>
    <w:rsid w:val="0056580D"/>
    <w:rPr>
      <w:vertAlign w:val="superscript"/>
    </w:rPr>
  </w:style>
  <w:style w:type="paragraph" w:styleId="Header">
    <w:name w:val="header"/>
    <w:basedOn w:val="Normal"/>
    <w:link w:val="HeaderChar"/>
    <w:uiPriority w:val="99"/>
    <w:unhideWhenUsed/>
    <w:rsid w:val="00012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A49"/>
  </w:style>
  <w:style w:type="paragraph" w:styleId="Footer">
    <w:name w:val="footer"/>
    <w:basedOn w:val="Normal"/>
    <w:link w:val="FooterChar"/>
    <w:uiPriority w:val="99"/>
    <w:unhideWhenUsed/>
    <w:rsid w:val="00012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A49"/>
  </w:style>
  <w:style w:type="character" w:styleId="Hyperlink">
    <w:name w:val="Hyperlink"/>
    <w:basedOn w:val="DefaultParagraphFont"/>
    <w:uiPriority w:val="99"/>
    <w:unhideWhenUsed/>
    <w:rsid w:val="00540484"/>
    <w:rPr>
      <w:color w:val="0563C1" w:themeColor="hyperlink"/>
      <w:u w:val="single"/>
    </w:rPr>
  </w:style>
  <w:style w:type="character" w:styleId="UnresolvedMention">
    <w:name w:val="Unresolved Mention"/>
    <w:basedOn w:val="DefaultParagraphFont"/>
    <w:uiPriority w:val="99"/>
    <w:semiHidden/>
    <w:unhideWhenUsed/>
    <w:rsid w:val="00540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dave@warren-group.ne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AC39A6020C4B4B8974034686D4A183" ma:contentTypeVersion="56" ma:contentTypeDescription="" ma:contentTypeScope="" ma:versionID="d3d17aff294c958f4477f201cf25d5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2019-08-20T07:00:00+00:00</OpenedDate>
    <SignificantOrder xmlns="dc463f71-b30c-4ab2-9473-d307f9d35888">false</SignificantOrder>
    <Date1 xmlns="dc463f71-b30c-4ab2-9473-d307f9d35888">2019-12-23T08:00:00+00:00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IRP Rulemaking</Nickname>
    <DocketNumber xmlns="dc463f71-b30c-4ab2-9473-d307f9d35888">190698</DocketNumber>
    <DelegatedOrder xmlns="dc463f71-b30c-4ab2-9473-d307f9d35888">false</DelegatedOrder>
  </documentManagement>
</p:properties>
</file>

<file path=customXml/itemProps1.xml><?xml version="1.0" encoding="utf-8"?>
<ds:datastoreItem xmlns:ds="http://schemas.openxmlformats.org/officeDocument/2006/customXml" ds:itemID="{0CB6E019-F969-4484-9598-B6BEA577A502}">
  <ds:schemaRefs>
    <ds:schemaRef ds:uri="http://schemas.openxmlformats.org/officeDocument/2006/bibliography"/>
  </ds:schemaRefs>
</ds:datastoreItem>
</file>

<file path=customXml/itemProps2.xml><?xml version="1.0" encoding="utf-8"?>
<ds:datastoreItem xmlns:ds="http://schemas.openxmlformats.org/officeDocument/2006/customXml" ds:itemID="{6024CF12-17D1-423B-884D-F38D367DFF85}"/>
</file>

<file path=customXml/itemProps3.xml><?xml version="1.0" encoding="utf-8"?>
<ds:datastoreItem xmlns:ds="http://schemas.openxmlformats.org/officeDocument/2006/customXml" ds:itemID="{E44F281E-9545-4DCE-9CAA-086A7D8D3069}"/>
</file>

<file path=customXml/itemProps4.xml><?xml version="1.0" encoding="utf-8"?>
<ds:datastoreItem xmlns:ds="http://schemas.openxmlformats.org/officeDocument/2006/customXml" ds:itemID="{7A9DE2D3-2275-4DE3-8916-D4D48A94CA70}"/>
</file>

<file path=customXml/itemProps5.xml><?xml version="1.0" encoding="utf-8"?>
<ds:datastoreItem xmlns:ds="http://schemas.openxmlformats.org/officeDocument/2006/customXml" ds:itemID="{639CDC97-2461-4B66-9E8B-DCF9D784C074}"/>
</file>

<file path=docProps/app.xml><?xml version="1.0" encoding="utf-8"?>
<Properties xmlns="http://schemas.openxmlformats.org/officeDocument/2006/extended-properties" xmlns:vt="http://schemas.openxmlformats.org/officeDocument/2006/docPropsVTypes">
  <Template>Normal.dotm</Template>
  <TotalTime>8</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Warren</dc:creator>
  <cp:keywords/>
  <dc:description/>
  <cp:lastModifiedBy>Dave Warren</cp:lastModifiedBy>
  <cp:revision>2</cp:revision>
  <dcterms:created xsi:type="dcterms:W3CDTF">2019-12-21T01:00:00Z</dcterms:created>
  <dcterms:modified xsi:type="dcterms:W3CDTF">2019-12-21T01:00:00Z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0x0101006E56B4D1795A2E4DB2F0B01679ED314A0032AC39A6020C4B4B8974034686D4A183</vt:lpwstr>
  </property>
  <property fmtid="{D5CDD505-2E9C-101B-9397-08002B2CF9AE}" pid="3" name="_docset_NoMedatataSyncRequired">
    <vt:lpwstr>False</vt:lpwstr>
  </property>
  <property fmtid="{D5CDD505-2E9C-101B-9397-08002B2CF9AE}" pid="4" name="IsEFSEC">
    <vt:bool>false</vt:bool>
  </property>
</Properties>
</file>