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25073" w14:textId="77777777" w:rsidR="00BD6A2B" w:rsidRPr="0034696C" w:rsidRDefault="00BD6A2B" w:rsidP="00FA380F">
      <w:pPr>
        <w:spacing w:line="264" w:lineRule="auto"/>
        <w:jc w:val="center"/>
        <w:rPr>
          <w:b/>
          <w:bCs/>
          <w:sz w:val="24"/>
          <w:szCs w:val="24"/>
        </w:rPr>
      </w:pPr>
      <w:r w:rsidRPr="0034696C">
        <w:rPr>
          <w:b/>
          <w:bCs/>
          <w:sz w:val="24"/>
          <w:szCs w:val="24"/>
        </w:rPr>
        <w:t>BEFORE THE WASHINGTON</w:t>
      </w:r>
      <w:bookmarkStart w:id="0" w:name="_GoBack"/>
      <w:bookmarkEnd w:id="0"/>
    </w:p>
    <w:p w14:paraId="7C754263" w14:textId="77777777" w:rsidR="00BD6A2B" w:rsidRPr="0034696C" w:rsidRDefault="00BD6A2B" w:rsidP="00FA380F">
      <w:pPr>
        <w:spacing w:line="264" w:lineRule="auto"/>
        <w:jc w:val="center"/>
        <w:rPr>
          <w:b/>
          <w:bCs/>
          <w:sz w:val="24"/>
          <w:szCs w:val="24"/>
        </w:rPr>
      </w:pPr>
      <w:r w:rsidRPr="0034696C">
        <w:rPr>
          <w:b/>
          <w:bCs/>
          <w:sz w:val="24"/>
          <w:szCs w:val="24"/>
        </w:rPr>
        <w:t>UTILITIES AND TRANSPORTATION COMMISSION</w:t>
      </w:r>
    </w:p>
    <w:p w14:paraId="3980BE69" w14:textId="77777777" w:rsidR="00665E49" w:rsidRPr="0034696C" w:rsidRDefault="00665E49" w:rsidP="00481928">
      <w:pPr>
        <w:jc w:val="center"/>
        <w:rPr>
          <w:sz w:val="24"/>
          <w:szCs w:val="24"/>
        </w:rPr>
      </w:pPr>
    </w:p>
    <w:tbl>
      <w:tblPr>
        <w:tblW w:w="12860" w:type="dxa"/>
        <w:tblInd w:w="108" w:type="dxa"/>
        <w:tblLook w:val="01E0" w:firstRow="1" w:lastRow="1" w:firstColumn="1" w:lastColumn="1" w:noHBand="0" w:noVBand="0"/>
      </w:tblPr>
      <w:tblGrid>
        <w:gridCol w:w="4230"/>
        <w:gridCol w:w="236"/>
        <w:gridCol w:w="300"/>
        <w:gridCol w:w="8094"/>
      </w:tblGrid>
      <w:tr w:rsidR="0034696C" w:rsidRPr="0034696C" w14:paraId="450A8E61" w14:textId="77777777" w:rsidTr="0034696C">
        <w:trPr>
          <w:trHeight w:val="4030"/>
        </w:trPr>
        <w:tc>
          <w:tcPr>
            <w:tcW w:w="4230" w:type="dxa"/>
            <w:tcBorders>
              <w:bottom w:val="single" w:sz="4" w:space="0" w:color="auto"/>
            </w:tcBorders>
          </w:tcPr>
          <w:p w14:paraId="1B159218" w14:textId="77777777" w:rsidR="0034696C" w:rsidRPr="0034696C" w:rsidRDefault="0034696C" w:rsidP="00702700">
            <w:pPr>
              <w:spacing w:line="264" w:lineRule="auto"/>
              <w:rPr>
                <w:sz w:val="24"/>
                <w:szCs w:val="24"/>
              </w:rPr>
            </w:pPr>
            <w:r w:rsidRPr="0034696C">
              <w:rPr>
                <w:sz w:val="24"/>
                <w:szCs w:val="24"/>
              </w:rPr>
              <w:t>WASHINGTON UTILITIES AND TRANSPORTATION COMMISSION,</w:t>
            </w:r>
          </w:p>
          <w:p w14:paraId="2592754B" w14:textId="77777777" w:rsidR="0034696C" w:rsidRPr="0034696C" w:rsidRDefault="0034696C" w:rsidP="00702700">
            <w:pPr>
              <w:spacing w:line="264" w:lineRule="auto"/>
              <w:rPr>
                <w:sz w:val="24"/>
                <w:szCs w:val="24"/>
              </w:rPr>
            </w:pPr>
          </w:p>
          <w:p w14:paraId="7EAA782A" w14:textId="77777777" w:rsidR="0034696C" w:rsidRPr="0034696C" w:rsidRDefault="0034696C" w:rsidP="00702700">
            <w:pPr>
              <w:tabs>
                <w:tab w:val="left" w:pos="1800"/>
              </w:tabs>
              <w:spacing w:line="264" w:lineRule="auto"/>
              <w:rPr>
                <w:sz w:val="24"/>
                <w:szCs w:val="24"/>
              </w:rPr>
            </w:pPr>
            <w:r w:rsidRPr="0034696C">
              <w:rPr>
                <w:sz w:val="24"/>
                <w:szCs w:val="24"/>
              </w:rPr>
              <w:tab/>
              <w:t>Complainant,</w:t>
            </w:r>
          </w:p>
          <w:p w14:paraId="6CD0CCC1" w14:textId="77777777" w:rsidR="0034696C" w:rsidRPr="0034696C" w:rsidRDefault="0034696C" w:rsidP="00702700">
            <w:pPr>
              <w:spacing w:line="264" w:lineRule="auto"/>
              <w:rPr>
                <w:sz w:val="24"/>
                <w:szCs w:val="24"/>
              </w:rPr>
            </w:pPr>
          </w:p>
          <w:p w14:paraId="214BFEBA" w14:textId="77777777" w:rsidR="0034696C" w:rsidRPr="0034696C" w:rsidRDefault="0034696C" w:rsidP="00702700">
            <w:pPr>
              <w:spacing w:line="264" w:lineRule="auto"/>
              <w:rPr>
                <w:sz w:val="24"/>
                <w:szCs w:val="24"/>
              </w:rPr>
            </w:pPr>
            <w:proofErr w:type="gramStart"/>
            <w:r w:rsidRPr="0034696C">
              <w:rPr>
                <w:sz w:val="24"/>
                <w:szCs w:val="24"/>
              </w:rPr>
              <w:t>v</w:t>
            </w:r>
            <w:proofErr w:type="gramEnd"/>
            <w:r w:rsidRPr="0034696C">
              <w:rPr>
                <w:sz w:val="24"/>
                <w:szCs w:val="24"/>
              </w:rPr>
              <w:t>.</w:t>
            </w:r>
          </w:p>
          <w:p w14:paraId="7B77EDB9" w14:textId="77777777" w:rsidR="0034696C" w:rsidRPr="0034696C" w:rsidRDefault="0034696C" w:rsidP="00702700">
            <w:pPr>
              <w:spacing w:line="264" w:lineRule="auto"/>
              <w:jc w:val="center"/>
              <w:rPr>
                <w:sz w:val="24"/>
                <w:szCs w:val="24"/>
              </w:rPr>
            </w:pPr>
          </w:p>
          <w:p w14:paraId="42E7CF56" w14:textId="77777777" w:rsidR="0034696C" w:rsidRPr="0034696C" w:rsidRDefault="0034696C" w:rsidP="00702700">
            <w:pPr>
              <w:spacing w:line="264" w:lineRule="auto"/>
              <w:rPr>
                <w:sz w:val="24"/>
                <w:szCs w:val="24"/>
              </w:rPr>
            </w:pPr>
            <w:proofErr w:type="spellStart"/>
            <w:r w:rsidRPr="0034696C">
              <w:rPr>
                <w:sz w:val="24"/>
                <w:szCs w:val="24"/>
              </w:rPr>
              <w:t>AVISTA</w:t>
            </w:r>
            <w:proofErr w:type="spellEnd"/>
            <w:r w:rsidRPr="0034696C">
              <w:rPr>
                <w:sz w:val="24"/>
                <w:szCs w:val="24"/>
              </w:rPr>
              <w:t xml:space="preserve"> CORPORATION DBA </w:t>
            </w:r>
            <w:proofErr w:type="spellStart"/>
            <w:r w:rsidRPr="0034696C">
              <w:rPr>
                <w:sz w:val="24"/>
                <w:szCs w:val="24"/>
              </w:rPr>
              <w:t>AVISTA</w:t>
            </w:r>
            <w:proofErr w:type="spellEnd"/>
            <w:r w:rsidRPr="0034696C">
              <w:rPr>
                <w:sz w:val="24"/>
                <w:szCs w:val="24"/>
              </w:rPr>
              <w:t xml:space="preserve"> UTILITIES,</w:t>
            </w:r>
          </w:p>
          <w:p w14:paraId="5209FD45" w14:textId="77777777" w:rsidR="0034696C" w:rsidRPr="0034696C" w:rsidRDefault="0034696C" w:rsidP="00702700">
            <w:pPr>
              <w:spacing w:line="264" w:lineRule="auto"/>
              <w:jc w:val="center"/>
              <w:rPr>
                <w:sz w:val="24"/>
                <w:szCs w:val="24"/>
              </w:rPr>
            </w:pPr>
          </w:p>
          <w:p w14:paraId="6446108A" w14:textId="77777777" w:rsidR="0034696C" w:rsidRPr="0034696C" w:rsidRDefault="0034696C" w:rsidP="00702700">
            <w:pPr>
              <w:tabs>
                <w:tab w:val="left" w:pos="1800"/>
              </w:tabs>
              <w:spacing w:line="264" w:lineRule="auto"/>
              <w:rPr>
                <w:sz w:val="24"/>
                <w:szCs w:val="24"/>
              </w:rPr>
            </w:pPr>
            <w:r w:rsidRPr="0034696C">
              <w:rPr>
                <w:sz w:val="24"/>
                <w:szCs w:val="24"/>
              </w:rPr>
              <w:tab/>
              <w:t>Respondent.</w:t>
            </w:r>
          </w:p>
          <w:p w14:paraId="6EF55B1E" w14:textId="77777777" w:rsidR="0034696C" w:rsidRPr="0034696C" w:rsidRDefault="0034696C" w:rsidP="00702700">
            <w:pPr>
              <w:spacing w:line="264" w:lineRule="auto"/>
              <w:rPr>
                <w:sz w:val="24"/>
                <w:szCs w:val="24"/>
              </w:rPr>
            </w:pPr>
          </w:p>
        </w:tc>
        <w:tc>
          <w:tcPr>
            <w:tcW w:w="236" w:type="dxa"/>
            <w:tcBorders>
              <w:top w:val="nil"/>
              <w:bottom w:val="single" w:sz="4" w:space="0" w:color="auto"/>
              <w:right w:val="single" w:sz="4" w:space="0" w:color="auto"/>
            </w:tcBorders>
          </w:tcPr>
          <w:p w14:paraId="55B577B2" w14:textId="77777777" w:rsidR="0034696C" w:rsidRPr="0034696C" w:rsidRDefault="0034696C" w:rsidP="00702700">
            <w:pPr>
              <w:rPr>
                <w:sz w:val="24"/>
                <w:szCs w:val="24"/>
              </w:rPr>
            </w:pPr>
          </w:p>
        </w:tc>
        <w:tc>
          <w:tcPr>
            <w:tcW w:w="300" w:type="dxa"/>
          </w:tcPr>
          <w:p w14:paraId="2DBDD3C9" w14:textId="77777777" w:rsidR="0034696C" w:rsidRPr="0034696C" w:rsidRDefault="0034696C" w:rsidP="00702700">
            <w:pPr>
              <w:pStyle w:val="BodyText"/>
              <w:spacing w:after="0"/>
              <w:rPr>
                <w:sz w:val="24"/>
                <w:szCs w:val="24"/>
              </w:rPr>
            </w:pPr>
          </w:p>
        </w:tc>
        <w:tc>
          <w:tcPr>
            <w:tcW w:w="8094" w:type="dxa"/>
          </w:tcPr>
          <w:p w14:paraId="6672A3FA" w14:textId="77777777" w:rsidR="0034696C" w:rsidRPr="0034696C" w:rsidRDefault="0034696C" w:rsidP="0034696C">
            <w:pPr>
              <w:ind w:left="-122"/>
              <w:rPr>
                <w:sz w:val="24"/>
                <w:szCs w:val="24"/>
              </w:rPr>
            </w:pPr>
            <w:r w:rsidRPr="0034696C">
              <w:rPr>
                <w:sz w:val="24"/>
                <w:szCs w:val="24"/>
              </w:rPr>
              <w:t xml:space="preserve">DOCKET </w:t>
            </w:r>
            <w:proofErr w:type="spellStart"/>
            <w:r w:rsidRPr="0034696C">
              <w:rPr>
                <w:sz w:val="24"/>
                <w:szCs w:val="24"/>
              </w:rPr>
              <w:t>UE</w:t>
            </w:r>
            <w:proofErr w:type="spellEnd"/>
            <w:r w:rsidRPr="0034696C">
              <w:rPr>
                <w:sz w:val="24"/>
                <w:szCs w:val="24"/>
              </w:rPr>
              <w:t>-151148</w:t>
            </w:r>
            <w:r w:rsidRPr="0034696C">
              <w:rPr>
                <w:sz w:val="24"/>
                <w:szCs w:val="24"/>
              </w:rPr>
              <w:fldChar w:fldCharType="begin"/>
            </w:r>
            <w:r w:rsidRPr="0034696C">
              <w:rPr>
                <w:sz w:val="24"/>
                <w:szCs w:val="24"/>
              </w:rPr>
              <w:instrText xml:space="preserve"> ASK docket_no "Enter Docket Number using XX=XXXXXX Format</w:instrText>
            </w:r>
            <w:r w:rsidRPr="0034696C">
              <w:rPr>
                <w:sz w:val="24"/>
                <w:szCs w:val="24"/>
              </w:rPr>
              <w:fldChar w:fldCharType="separate"/>
            </w:r>
            <w:bookmarkStart w:id="1" w:name="docket_no"/>
            <w:r w:rsidRPr="0034696C">
              <w:rPr>
                <w:sz w:val="24"/>
                <w:szCs w:val="24"/>
              </w:rPr>
              <w:t>UE-130617</w:t>
            </w:r>
            <w:bookmarkEnd w:id="1"/>
            <w:r w:rsidRPr="0034696C">
              <w:rPr>
                <w:sz w:val="24"/>
                <w:szCs w:val="24"/>
              </w:rPr>
              <w:fldChar w:fldCharType="end"/>
            </w:r>
          </w:p>
          <w:p w14:paraId="5709A57B" w14:textId="77777777" w:rsidR="0034696C" w:rsidRPr="0034696C" w:rsidRDefault="0034696C" w:rsidP="0034696C">
            <w:pPr>
              <w:ind w:left="-122"/>
              <w:rPr>
                <w:sz w:val="24"/>
                <w:szCs w:val="24"/>
              </w:rPr>
            </w:pPr>
          </w:p>
          <w:p w14:paraId="281E3C99" w14:textId="77777777" w:rsidR="0034696C" w:rsidRPr="0034696C" w:rsidRDefault="0034696C" w:rsidP="0034696C">
            <w:pPr>
              <w:ind w:left="-122"/>
              <w:rPr>
                <w:sz w:val="24"/>
                <w:szCs w:val="24"/>
              </w:rPr>
            </w:pPr>
          </w:p>
          <w:p w14:paraId="2B07760D" w14:textId="77777777" w:rsidR="0034696C" w:rsidRPr="0034696C" w:rsidRDefault="0034696C" w:rsidP="0034696C">
            <w:pPr>
              <w:ind w:left="-122"/>
              <w:rPr>
                <w:sz w:val="24"/>
                <w:szCs w:val="24"/>
              </w:rPr>
            </w:pPr>
            <w:r w:rsidRPr="0034696C">
              <w:rPr>
                <w:sz w:val="24"/>
                <w:szCs w:val="24"/>
              </w:rPr>
              <w:fldChar w:fldCharType="begin"/>
            </w:r>
            <w:r w:rsidRPr="0034696C">
              <w:rPr>
                <w:sz w:val="24"/>
                <w:szCs w:val="24"/>
              </w:rPr>
              <w:instrText xml:space="preserve"> ASK num_revisions "Does this filing change more than one tariff sheet? (yes/no)" \* MERGEFORMAT </w:instrText>
            </w:r>
            <w:r w:rsidRPr="0034696C">
              <w:rPr>
                <w:sz w:val="24"/>
                <w:szCs w:val="24"/>
              </w:rPr>
              <w:fldChar w:fldCharType="separate"/>
            </w:r>
            <w:bookmarkStart w:id="2" w:name="num_revisions"/>
            <w:r w:rsidRPr="0034696C">
              <w:rPr>
                <w:sz w:val="24"/>
                <w:szCs w:val="24"/>
              </w:rPr>
              <w:t>No</w:t>
            </w:r>
            <w:bookmarkEnd w:id="2"/>
            <w:r w:rsidRPr="0034696C">
              <w:rPr>
                <w:sz w:val="24"/>
                <w:szCs w:val="24"/>
              </w:rPr>
              <w:fldChar w:fldCharType="end"/>
            </w:r>
          </w:p>
          <w:p w14:paraId="58489A9A" w14:textId="77777777" w:rsidR="0034696C" w:rsidRPr="0034696C" w:rsidRDefault="0034696C" w:rsidP="0034696C">
            <w:pPr>
              <w:ind w:left="-122"/>
              <w:rPr>
                <w:sz w:val="24"/>
                <w:szCs w:val="24"/>
              </w:rPr>
            </w:pPr>
            <w:r w:rsidRPr="0034696C">
              <w:rPr>
                <w:sz w:val="24"/>
                <w:szCs w:val="24"/>
              </w:rPr>
              <w:t xml:space="preserve">ORDER </w:t>
            </w:r>
            <w:r w:rsidRPr="0034696C">
              <w:rPr>
                <w:sz w:val="24"/>
                <w:szCs w:val="24"/>
              </w:rPr>
              <w:fldChar w:fldCharType="begin"/>
            </w:r>
            <w:r w:rsidRPr="0034696C">
              <w:rPr>
                <w:sz w:val="24"/>
                <w:szCs w:val="24"/>
              </w:rPr>
              <w:instrText xml:space="preserve"> ASK order_no "Enter Order Number"</w:instrText>
            </w:r>
            <w:r w:rsidRPr="0034696C">
              <w:rPr>
                <w:sz w:val="24"/>
                <w:szCs w:val="24"/>
              </w:rPr>
              <w:fldChar w:fldCharType="separate"/>
            </w:r>
            <w:bookmarkStart w:id="3" w:name="order_no"/>
            <w:r w:rsidRPr="0034696C">
              <w:rPr>
                <w:sz w:val="24"/>
                <w:szCs w:val="24"/>
              </w:rPr>
              <w:t>01</w:t>
            </w:r>
            <w:bookmarkEnd w:id="3"/>
            <w:r w:rsidRPr="0034696C">
              <w:rPr>
                <w:sz w:val="24"/>
                <w:szCs w:val="24"/>
              </w:rPr>
              <w:fldChar w:fldCharType="end"/>
            </w:r>
            <w:r w:rsidRPr="0034696C">
              <w:rPr>
                <w:sz w:val="24"/>
                <w:szCs w:val="24"/>
              </w:rPr>
              <w:t>04</w:t>
            </w:r>
          </w:p>
          <w:p w14:paraId="745FE387" w14:textId="77777777" w:rsidR="0034696C" w:rsidRPr="0034696C" w:rsidRDefault="0034696C" w:rsidP="0034696C">
            <w:pPr>
              <w:ind w:left="-122"/>
              <w:rPr>
                <w:sz w:val="24"/>
                <w:szCs w:val="24"/>
              </w:rPr>
            </w:pPr>
          </w:p>
          <w:p w14:paraId="1DA8AD3A" w14:textId="77777777" w:rsidR="0034696C" w:rsidRPr="0034696C" w:rsidRDefault="0034696C" w:rsidP="0034696C">
            <w:pPr>
              <w:ind w:left="-122"/>
              <w:rPr>
                <w:sz w:val="24"/>
                <w:szCs w:val="24"/>
              </w:rPr>
            </w:pPr>
          </w:p>
          <w:p w14:paraId="6B0A5539" w14:textId="77777777" w:rsidR="0034696C" w:rsidRPr="0034696C" w:rsidRDefault="0034696C" w:rsidP="0034696C">
            <w:pPr>
              <w:ind w:left="-122"/>
              <w:rPr>
                <w:sz w:val="24"/>
                <w:szCs w:val="24"/>
              </w:rPr>
            </w:pPr>
          </w:p>
          <w:p w14:paraId="06744CAB" w14:textId="77777777" w:rsidR="0034696C" w:rsidRPr="0034696C" w:rsidRDefault="0034696C" w:rsidP="0034696C">
            <w:pPr>
              <w:ind w:left="-122"/>
              <w:rPr>
                <w:sz w:val="24"/>
                <w:szCs w:val="24"/>
              </w:rPr>
            </w:pPr>
            <w:r w:rsidRPr="0034696C">
              <w:rPr>
                <w:sz w:val="24"/>
                <w:szCs w:val="24"/>
              </w:rPr>
              <w:t xml:space="preserve">FINAL ORDER CONDITIONALLY </w:t>
            </w:r>
          </w:p>
          <w:p w14:paraId="36ADF165" w14:textId="77777777" w:rsidR="0034696C" w:rsidRPr="0034696C" w:rsidRDefault="0034696C" w:rsidP="0034696C">
            <w:pPr>
              <w:ind w:left="-122"/>
              <w:rPr>
                <w:sz w:val="24"/>
                <w:szCs w:val="24"/>
              </w:rPr>
            </w:pPr>
            <w:r w:rsidRPr="0034696C">
              <w:rPr>
                <w:sz w:val="24"/>
                <w:szCs w:val="24"/>
              </w:rPr>
              <w:t xml:space="preserve">APPROVING AND ADOPTING </w:t>
            </w:r>
          </w:p>
          <w:p w14:paraId="4A128F26" w14:textId="77777777" w:rsidR="0034696C" w:rsidRPr="0034696C" w:rsidRDefault="0034696C" w:rsidP="0034696C">
            <w:pPr>
              <w:ind w:left="-122"/>
              <w:rPr>
                <w:sz w:val="24"/>
                <w:szCs w:val="24"/>
              </w:rPr>
            </w:pPr>
            <w:r w:rsidRPr="0034696C">
              <w:rPr>
                <w:sz w:val="24"/>
                <w:szCs w:val="24"/>
              </w:rPr>
              <w:t xml:space="preserve">SETTLEMENT AGREEMENT </w:t>
            </w:r>
          </w:p>
        </w:tc>
      </w:tr>
    </w:tbl>
    <w:p w14:paraId="4104F674" w14:textId="77777777" w:rsidR="00074E2B" w:rsidRPr="0034696C" w:rsidRDefault="00074E2B" w:rsidP="00BE2FE1">
      <w:pPr>
        <w:rPr>
          <w:bCs/>
          <w:sz w:val="24"/>
          <w:szCs w:val="24"/>
        </w:rPr>
      </w:pPr>
    </w:p>
    <w:p w14:paraId="766FAA76" w14:textId="77777777" w:rsidR="00AB558E" w:rsidRPr="0034696C" w:rsidRDefault="00844D13" w:rsidP="002C2CB9">
      <w:pPr>
        <w:numPr>
          <w:ilvl w:val="0"/>
          <w:numId w:val="14"/>
        </w:numPr>
        <w:spacing w:line="264" w:lineRule="auto"/>
        <w:ind w:hanging="720"/>
        <w:rPr>
          <w:sz w:val="24"/>
          <w:szCs w:val="24"/>
        </w:rPr>
      </w:pPr>
      <w:r w:rsidRPr="0034696C">
        <w:rPr>
          <w:b/>
          <w:sz w:val="24"/>
          <w:szCs w:val="24"/>
        </w:rPr>
        <w:t>PROCEEDING</w:t>
      </w:r>
      <w:r w:rsidR="00702700" w:rsidRPr="0034696C">
        <w:rPr>
          <w:b/>
          <w:sz w:val="24"/>
          <w:szCs w:val="24"/>
        </w:rPr>
        <w:t>.</w:t>
      </w:r>
      <w:r w:rsidRPr="0034696C">
        <w:rPr>
          <w:b/>
          <w:sz w:val="24"/>
          <w:szCs w:val="24"/>
        </w:rPr>
        <w:t xml:space="preserve">  </w:t>
      </w:r>
      <w:r w:rsidR="009D1773" w:rsidRPr="0034696C">
        <w:rPr>
          <w:sz w:val="24"/>
          <w:szCs w:val="24"/>
        </w:rPr>
        <w:t xml:space="preserve">On </w:t>
      </w:r>
      <w:r w:rsidR="00702700" w:rsidRPr="0034696C">
        <w:rPr>
          <w:sz w:val="24"/>
          <w:szCs w:val="24"/>
        </w:rPr>
        <w:t>May 29, 2015</w:t>
      </w:r>
      <w:r w:rsidR="009D1773" w:rsidRPr="0034696C">
        <w:rPr>
          <w:sz w:val="24"/>
          <w:szCs w:val="24"/>
        </w:rPr>
        <w:t xml:space="preserve">, </w:t>
      </w:r>
      <w:proofErr w:type="spellStart"/>
      <w:r w:rsidR="00702700" w:rsidRPr="0034696C">
        <w:rPr>
          <w:sz w:val="24"/>
          <w:szCs w:val="24"/>
        </w:rPr>
        <w:t>Avista</w:t>
      </w:r>
      <w:proofErr w:type="spellEnd"/>
      <w:r w:rsidR="00702700" w:rsidRPr="0034696C">
        <w:rPr>
          <w:sz w:val="24"/>
          <w:szCs w:val="24"/>
        </w:rPr>
        <w:t xml:space="preserve"> Corporation dba </w:t>
      </w:r>
      <w:proofErr w:type="spellStart"/>
      <w:r w:rsidR="00702700" w:rsidRPr="0034696C">
        <w:rPr>
          <w:sz w:val="24"/>
          <w:szCs w:val="24"/>
        </w:rPr>
        <w:t>Avista</w:t>
      </w:r>
      <w:proofErr w:type="spellEnd"/>
      <w:r w:rsidR="00702700" w:rsidRPr="0034696C">
        <w:rPr>
          <w:sz w:val="24"/>
          <w:szCs w:val="24"/>
        </w:rPr>
        <w:t xml:space="preserve"> Utilities</w:t>
      </w:r>
      <w:r w:rsidR="009D1773" w:rsidRPr="0034696C">
        <w:rPr>
          <w:sz w:val="24"/>
          <w:szCs w:val="24"/>
        </w:rPr>
        <w:t xml:space="preserve"> (</w:t>
      </w:r>
      <w:proofErr w:type="spellStart"/>
      <w:r w:rsidR="00702700" w:rsidRPr="0034696C">
        <w:rPr>
          <w:sz w:val="24"/>
          <w:szCs w:val="24"/>
        </w:rPr>
        <w:t>Avista</w:t>
      </w:r>
      <w:proofErr w:type="spellEnd"/>
      <w:r w:rsidR="009D1773" w:rsidRPr="0034696C">
        <w:rPr>
          <w:sz w:val="24"/>
          <w:szCs w:val="24"/>
        </w:rPr>
        <w:t xml:space="preserve"> or Company) filed with the Washington Utilities and Transportation Commission (Commission) </w:t>
      </w:r>
      <w:r w:rsidR="00B03C59" w:rsidRPr="0034696C">
        <w:rPr>
          <w:sz w:val="24"/>
          <w:szCs w:val="24"/>
        </w:rPr>
        <w:t xml:space="preserve">proposed tariff revisions to the Company’s tariff </w:t>
      </w:r>
      <w:proofErr w:type="spellStart"/>
      <w:r w:rsidR="00B03C59" w:rsidRPr="0034696C">
        <w:rPr>
          <w:sz w:val="24"/>
          <w:szCs w:val="24"/>
        </w:rPr>
        <w:t>WN</w:t>
      </w:r>
      <w:proofErr w:type="spellEnd"/>
      <w:r w:rsidR="00B03C59" w:rsidRPr="0034696C">
        <w:rPr>
          <w:sz w:val="24"/>
          <w:szCs w:val="24"/>
        </w:rPr>
        <w:t xml:space="preserve"> U-28</w:t>
      </w:r>
      <w:r w:rsidR="009D1773" w:rsidRPr="0034696C">
        <w:rPr>
          <w:sz w:val="24"/>
          <w:szCs w:val="24"/>
        </w:rPr>
        <w:t xml:space="preserve">. </w:t>
      </w:r>
      <w:proofErr w:type="spellStart"/>
      <w:r w:rsidR="00B03C59" w:rsidRPr="0034696C">
        <w:rPr>
          <w:sz w:val="24"/>
          <w:szCs w:val="24"/>
        </w:rPr>
        <w:t>Avista</w:t>
      </w:r>
      <w:proofErr w:type="spellEnd"/>
      <w:r w:rsidR="00B03C59" w:rsidRPr="0034696C">
        <w:rPr>
          <w:sz w:val="24"/>
          <w:szCs w:val="24"/>
        </w:rPr>
        <w:t xml:space="preserve"> requested a reduction in rates and charges in Schedule 91, the electric tariff rider which provides funding for demand side management programs as well as evaluation, measurement, and verification</w:t>
      </w:r>
      <w:r w:rsidR="009D1773" w:rsidRPr="0034696C">
        <w:rPr>
          <w:sz w:val="24"/>
          <w:szCs w:val="24"/>
        </w:rPr>
        <w:t>.</w:t>
      </w:r>
      <w:r w:rsidR="00691B85" w:rsidRPr="0034696C">
        <w:rPr>
          <w:sz w:val="24"/>
          <w:szCs w:val="24"/>
        </w:rPr>
        <w:t xml:space="preserve">  </w:t>
      </w:r>
      <w:r w:rsidR="00AB558E" w:rsidRPr="0034696C">
        <w:rPr>
          <w:sz w:val="24"/>
          <w:szCs w:val="24"/>
        </w:rPr>
        <w:t xml:space="preserve">  </w:t>
      </w:r>
    </w:p>
    <w:p w14:paraId="34EB6768" w14:textId="77777777" w:rsidR="00844D13" w:rsidRPr="0034696C" w:rsidRDefault="00844D13" w:rsidP="00F32493">
      <w:pPr>
        <w:spacing w:line="264" w:lineRule="auto"/>
        <w:rPr>
          <w:sz w:val="24"/>
          <w:szCs w:val="24"/>
        </w:rPr>
      </w:pPr>
    </w:p>
    <w:p w14:paraId="45EAC20B" w14:textId="77777777" w:rsidR="00FE2619" w:rsidRPr="0034696C" w:rsidRDefault="00E55B1E" w:rsidP="00A7097E">
      <w:pPr>
        <w:numPr>
          <w:ilvl w:val="0"/>
          <w:numId w:val="14"/>
        </w:numPr>
        <w:spacing w:line="264" w:lineRule="auto"/>
        <w:ind w:hanging="720"/>
        <w:rPr>
          <w:sz w:val="24"/>
          <w:szCs w:val="24"/>
        </w:rPr>
      </w:pPr>
      <w:r w:rsidRPr="0034696C">
        <w:rPr>
          <w:b/>
          <w:sz w:val="24"/>
          <w:szCs w:val="24"/>
        </w:rPr>
        <w:t>SUMMARY</w:t>
      </w:r>
      <w:r w:rsidR="00A7097E" w:rsidRPr="0034696C">
        <w:rPr>
          <w:b/>
          <w:sz w:val="24"/>
          <w:szCs w:val="24"/>
        </w:rPr>
        <w:t xml:space="preserve">:  </w:t>
      </w:r>
      <w:r w:rsidR="00A7097E" w:rsidRPr="0034696C">
        <w:rPr>
          <w:sz w:val="24"/>
          <w:szCs w:val="24"/>
        </w:rPr>
        <w:t xml:space="preserve">The Commission </w:t>
      </w:r>
      <w:r w:rsidR="00B03C59" w:rsidRPr="0034696C">
        <w:rPr>
          <w:sz w:val="24"/>
          <w:szCs w:val="24"/>
        </w:rPr>
        <w:t xml:space="preserve">conditionally </w:t>
      </w:r>
      <w:r w:rsidR="00A7097E" w:rsidRPr="0034696C">
        <w:rPr>
          <w:sz w:val="24"/>
          <w:szCs w:val="24"/>
        </w:rPr>
        <w:t>approves and adopts the</w:t>
      </w:r>
      <w:r w:rsidR="002018E8" w:rsidRPr="0034696C">
        <w:rPr>
          <w:sz w:val="24"/>
          <w:szCs w:val="24"/>
        </w:rPr>
        <w:t xml:space="preserve"> </w:t>
      </w:r>
      <w:r w:rsidR="00B03C59" w:rsidRPr="0034696C">
        <w:rPr>
          <w:sz w:val="24"/>
          <w:szCs w:val="24"/>
        </w:rPr>
        <w:t xml:space="preserve">multiparty </w:t>
      </w:r>
      <w:r w:rsidR="002018E8" w:rsidRPr="0034696C">
        <w:rPr>
          <w:sz w:val="24"/>
          <w:szCs w:val="24"/>
        </w:rPr>
        <w:t>s</w:t>
      </w:r>
      <w:r w:rsidR="00A7097E" w:rsidRPr="0034696C">
        <w:rPr>
          <w:sz w:val="24"/>
          <w:szCs w:val="24"/>
        </w:rPr>
        <w:t xml:space="preserve">ettlement </w:t>
      </w:r>
      <w:r w:rsidR="002018E8" w:rsidRPr="0034696C">
        <w:rPr>
          <w:sz w:val="24"/>
          <w:szCs w:val="24"/>
        </w:rPr>
        <w:t>s</w:t>
      </w:r>
      <w:r w:rsidR="0030347E" w:rsidRPr="0034696C">
        <w:rPr>
          <w:sz w:val="24"/>
          <w:szCs w:val="24"/>
        </w:rPr>
        <w:t>tipulation</w:t>
      </w:r>
      <w:r w:rsidR="00A7097E" w:rsidRPr="0034696C">
        <w:rPr>
          <w:sz w:val="24"/>
          <w:szCs w:val="24"/>
        </w:rPr>
        <w:t xml:space="preserve"> </w:t>
      </w:r>
      <w:r w:rsidR="0030347E" w:rsidRPr="0034696C">
        <w:rPr>
          <w:sz w:val="24"/>
          <w:szCs w:val="24"/>
        </w:rPr>
        <w:t xml:space="preserve">(Settlement) </w:t>
      </w:r>
      <w:r w:rsidR="00D96295" w:rsidRPr="0034696C">
        <w:rPr>
          <w:sz w:val="24"/>
          <w:szCs w:val="24"/>
        </w:rPr>
        <w:t>entered into by</w:t>
      </w:r>
      <w:r w:rsidR="00A7097E" w:rsidRPr="0034696C">
        <w:rPr>
          <w:sz w:val="24"/>
          <w:szCs w:val="24"/>
        </w:rPr>
        <w:t xml:space="preserve"> </w:t>
      </w:r>
      <w:proofErr w:type="spellStart"/>
      <w:r w:rsidR="00B03C59" w:rsidRPr="0034696C">
        <w:rPr>
          <w:sz w:val="24"/>
          <w:szCs w:val="24"/>
        </w:rPr>
        <w:t>Avista</w:t>
      </w:r>
      <w:proofErr w:type="spellEnd"/>
      <w:r w:rsidR="00A7097E" w:rsidRPr="0034696C">
        <w:rPr>
          <w:sz w:val="24"/>
          <w:szCs w:val="24"/>
        </w:rPr>
        <w:t xml:space="preserve">, </w:t>
      </w:r>
      <w:r w:rsidR="000032A3" w:rsidRPr="0034696C">
        <w:rPr>
          <w:sz w:val="24"/>
          <w:szCs w:val="24"/>
        </w:rPr>
        <w:t>the Commission’s regulatory staff (</w:t>
      </w:r>
      <w:r w:rsidR="00A7097E" w:rsidRPr="0034696C">
        <w:rPr>
          <w:sz w:val="24"/>
          <w:szCs w:val="24"/>
        </w:rPr>
        <w:t>Staff</w:t>
      </w:r>
      <w:r w:rsidR="000032A3" w:rsidRPr="0034696C">
        <w:rPr>
          <w:sz w:val="24"/>
          <w:szCs w:val="24"/>
        </w:rPr>
        <w:t>)</w:t>
      </w:r>
      <w:r w:rsidR="00A7097E" w:rsidRPr="0034696C">
        <w:rPr>
          <w:sz w:val="24"/>
          <w:szCs w:val="24"/>
        </w:rPr>
        <w:t>,</w:t>
      </w:r>
      <w:r w:rsidR="002018E8" w:rsidRPr="0034696C">
        <w:rPr>
          <w:rStyle w:val="FootnoteReference"/>
          <w:bCs/>
          <w:sz w:val="24"/>
          <w:szCs w:val="24"/>
        </w:rPr>
        <w:footnoteReference w:id="1"/>
      </w:r>
      <w:r w:rsidR="00A7097E" w:rsidRPr="0034696C">
        <w:rPr>
          <w:sz w:val="24"/>
          <w:szCs w:val="24"/>
        </w:rPr>
        <w:t xml:space="preserve"> </w:t>
      </w:r>
      <w:r w:rsidR="00B03C59" w:rsidRPr="0034696C">
        <w:rPr>
          <w:sz w:val="24"/>
          <w:szCs w:val="24"/>
        </w:rPr>
        <w:t xml:space="preserve">and </w:t>
      </w:r>
      <w:r w:rsidR="000032A3" w:rsidRPr="0034696C">
        <w:rPr>
          <w:sz w:val="24"/>
          <w:szCs w:val="24"/>
        </w:rPr>
        <w:t>the Public Counsel Division of the Washington State Attorney General’s Office (</w:t>
      </w:r>
      <w:r w:rsidR="00A7097E" w:rsidRPr="0034696C">
        <w:rPr>
          <w:sz w:val="24"/>
          <w:szCs w:val="24"/>
        </w:rPr>
        <w:t>Public Counsel</w:t>
      </w:r>
      <w:r w:rsidR="00B03C59" w:rsidRPr="0034696C">
        <w:rPr>
          <w:sz w:val="24"/>
          <w:szCs w:val="24"/>
        </w:rPr>
        <w:t xml:space="preserve">, collectively with Staff and </w:t>
      </w:r>
      <w:proofErr w:type="spellStart"/>
      <w:r w:rsidR="00B03C59" w:rsidRPr="0034696C">
        <w:rPr>
          <w:sz w:val="24"/>
          <w:szCs w:val="24"/>
        </w:rPr>
        <w:t>Avista</w:t>
      </w:r>
      <w:proofErr w:type="spellEnd"/>
      <w:r w:rsidR="00B03C59" w:rsidRPr="0034696C">
        <w:rPr>
          <w:sz w:val="24"/>
          <w:szCs w:val="24"/>
        </w:rPr>
        <w:t>, Settling Parties</w:t>
      </w:r>
      <w:r w:rsidR="000032A3" w:rsidRPr="0034696C">
        <w:rPr>
          <w:sz w:val="24"/>
          <w:szCs w:val="24"/>
        </w:rPr>
        <w:t>)</w:t>
      </w:r>
      <w:r w:rsidR="00B03C59" w:rsidRPr="0034696C">
        <w:rPr>
          <w:sz w:val="24"/>
          <w:szCs w:val="24"/>
        </w:rPr>
        <w:t>.</w:t>
      </w:r>
      <w:r w:rsidR="00B03C59" w:rsidRPr="0034696C">
        <w:rPr>
          <w:rStyle w:val="FootnoteReference"/>
          <w:sz w:val="24"/>
          <w:szCs w:val="24"/>
        </w:rPr>
        <w:footnoteReference w:id="2"/>
      </w:r>
      <w:r w:rsidR="00B03C59" w:rsidRPr="0034696C">
        <w:rPr>
          <w:sz w:val="24"/>
          <w:szCs w:val="24"/>
        </w:rPr>
        <w:t xml:space="preserve">  </w:t>
      </w:r>
      <w:r w:rsidR="00A7097E" w:rsidRPr="0034696C">
        <w:rPr>
          <w:sz w:val="24"/>
          <w:szCs w:val="24"/>
        </w:rPr>
        <w:t xml:space="preserve">  </w:t>
      </w:r>
    </w:p>
    <w:p w14:paraId="5A2301DA" w14:textId="77777777" w:rsidR="009D1773" w:rsidRPr="0034696C" w:rsidRDefault="009D1773" w:rsidP="009D1773">
      <w:pPr>
        <w:pStyle w:val="ListParagraph"/>
      </w:pPr>
    </w:p>
    <w:p w14:paraId="0C0AEA94" w14:textId="77777777" w:rsidR="00C212B4" w:rsidRPr="0034696C" w:rsidRDefault="009D1773" w:rsidP="00267A09">
      <w:pPr>
        <w:numPr>
          <w:ilvl w:val="0"/>
          <w:numId w:val="14"/>
        </w:numPr>
        <w:spacing w:line="264" w:lineRule="auto"/>
        <w:ind w:hanging="720"/>
        <w:rPr>
          <w:sz w:val="24"/>
          <w:szCs w:val="24"/>
        </w:rPr>
      </w:pPr>
      <w:r w:rsidRPr="0034696C">
        <w:rPr>
          <w:b/>
          <w:sz w:val="24"/>
          <w:szCs w:val="24"/>
        </w:rPr>
        <w:t>PARTY</w:t>
      </w:r>
      <w:r w:rsidRPr="0034696C">
        <w:rPr>
          <w:b/>
          <w:bCs/>
          <w:sz w:val="24"/>
          <w:szCs w:val="24"/>
        </w:rPr>
        <w:t xml:space="preserve"> REPRESENTATIVES:</w:t>
      </w:r>
      <w:r w:rsidRPr="0034696C">
        <w:rPr>
          <w:sz w:val="24"/>
          <w:szCs w:val="24"/>
        </w:rPr>
        <w:t xml:space="preserve">  </w:t>
      </w:r>
      <w:r w:rsidR="00B03C59" w:rsidRPr="0034696C">
        <w:rPr>
          <w:sz w:val="24"/>
          <w:szCs w:val="24"/>
        </w:rPr>
        <w:t>David J. Meyer</w:t>
      </w:r>
      <w:r w:rsidR="00241099" w:rsidRPr="0034696C">
        <w:rPr>
          <w:sz w:val="24"/>
          <w:szCs w:val="24"/>
        </w:rPr>
        <w:t xml:space="preserve">, </w:t>
      </w:r>
      <w:r w:rsidR="00B03C59" w:rsidRPr="0034696C">
        <w:rPr>
          <w:sz w:val="24"/>
          <w:szCs w:val="24"/>
        </w:rPr>
        <w:t>Vice President and Chief Counsel for Regulatory and Governmental Affairs</w:t>
      </w:r>
      <w:r w:rsidR="00241099" w:rsidRPr="0034696C">
        <w:rPr>
          <w:sz w:val="24"/>
          <w:szCs w:val="24"/>
        </w:rPr>
        <w:t xml:space="preserve">, </w:t>
      </w:r>
      <w:r w:rsidR="00B03C59" w:rsidRPr="0034696C">
        <w:rPr>
          <w:sz w:val="24"/>
          <w:szCs w:val="24"/>
        </w:rPr>
        <w:t>Spokane</w:t>
      </w:r>
      <w:r w:rsidR="00241099" w:rsidRPr="0034696C">
        <w:rPr>
          <w:sz w:val="24"/>
          <w:szCs w:val="24"/>
        </w:rPr>
        <w:t xml:space="preserve">, </w:t>
      </w:r>
      <w:r w:rsidR="00C212B4" w:rsidRPr="0034696C">
        <w:rPr>
          <w:sz w:val="24"/>
          <w:szCs w:val="24"/>
        </w:rPr>
        <w:t xml:space="preserve">Washington, </w:t>
      </w:r>
      <w:r w:rsidR="00241099" w:rsidRPr="0034696C">
        <w:rPr>
          <w:sz w:val="24"/>
          <w:szCs w:val="24"/>
        </w:rPr>
        <w:t>represent</w:t>
      </w:r>
      <w:r w:rsidR="00B03C59" w:rsidRPr="0034696C">
        <w:rPr>
          <w:sz w:val="24"/>
          <w:szCs w:val="24"/>
        </w:rPr>
        <w:t>s</w:t>
      </w:r>
      <w:r w:rsidR="00241099" w:rsidRPr="0034696C">
        <w:rPr>
          <w:sz w:val="24"/>
          <w:szCs w:val="24"/>
        </w:rPr>
        <w:t xml:space="preserve"> </w:t>
      </w:r>
      <w:proofErr w:type="spellStart"/>
      <w:r w:rsidR="00B03C59" w:rsidRPr="0034696C">
        <w:rPr>
          <w:sz w:val="24"/>
          <w:szCs w:val="24"/>
        </w:rPr>
        <w:t>Avista</w:t>
      </w:r>
      <w:proofErr w:type="spellEnd"/>
      <w:r w:rsidR="00241099" w:rsidRPr="0034696C">
        <w:rPr>
          <w:sz w:val="24"/>
          <w:szCs w:val="24"/>
        </w:rPr>
        <w:t xml:space="preserve">. Simon J. ffitch, Senior Assistant Attorney General, Seattle, </w:t>
      </w:r>
      <w:r w:rsidR="00C212B4" w:rsidRPr="0034696C">
        <w:rPr>
          <w:sz w:val="24"/>
          <w:szCs w:val="24"/>
        </w:rPr>
        <w:t xml:space="preserve">Washington, </w:t>
      </w:r>
      <w:r w:rsidR="00241099" w:rsidRPr="0034696C">
        <w:rPr>
          <w:sz w:val="24"/>
          <w:szCs w:val="24"/>
        </w:rPr>
        <w:t>represent</w:t>
      </w:r>
      <w:r w:rsidR="00C212B4" w:rsidRPr="0034696C">
        <w:rPr>
          <w:sz w:val="24"/>
          <w:szCs w:val="24"/>
        </w:rPr>
        <w:t>s</w:t>
      </w:r>
      <w:r w:rsidR="00241099" w:rsidRPr="0034696C">
        <w:rPr>
          <w:sz w:val="24"/>
          <w:szCs w:val="24"/>
        </w:rPr>
        <w:t xml:space="preserve"> Public Counsel. </w:t>
      </w:r>
      <w:r w:rsidR="00C548FB" w:rsidRPr="0034696C">
        <w:rPr>
          <w:sz w:val="24"/>
          <w:szCs w:val="24"/>
        </w:rPr>
        <w:t>Patrick J. Oshie</w:t>
      </w:r>
      <w:r w:rsidR="00241099" w:rsidRPr="0034696C">
        <w:rPr>
          <w:sz w:val="24"/>
          <w:szCs w:val="24"/>
        </w:rPr>
        <w:t>, Assistant Attorney General, Olympia, represents Staff.</w:t>
      </w:r>
      <w:r w:rsidRPr="0034696C">
        <w:rPr>
          <w:sz w:val="24"/>
          <w:szCs w:val="24"/>
        </w:rPr>
        <w:t xml:space="preserve"> </w:t>
      </w:r>
      <w:r w:rsidR="00C212B4" w:rsidRPr="0034696C">
        <w:rPr>
          <w:sz w:val="24"/>
          <w:szCs w:val="24"/>
        </w:rPr>
        <w:t xml:space="preserve">Jesse E. Cowell, Davison Van Cleve, PC, Portland, Oregon, represents </w:t>
      </w:r>
      <w:proofErr w:type="spellStart"/>
      <w:r w:rsidR="00DE0E5C" w:rsidRPr="0034696C">
        <w:rPr>
          <w:sz w:val="24"/>
          <w:szCs w:val="24"/>
        </w:rPr>
        <w:t>I</w:t>
      </w:r>
      <w:r w:rsidR="00C212B4" w:rsidRPr="0034696C">
        <w:rPr>
          <w:sz w:val="24"/>
          <w:szCs w:val="24"/>
        </w:rPr>
        <w:t>CNU</w:t>
      </w:r>
      <w:proofErr w:type="spellEnd"/>
      <w:r w:rsidR="00C212B4" w:rsidRPr="0034696C">
        <w:rPr>
          <w:sz w:val="24"/>
          <w:szCs w:val="24"/>
        </w:rPr>
        <w:t>.</w:t>
      </w:r>
      <w:r w:rsidR="00217248" w:rsidRPr="0034696C">
        <w:rPr>
          <w:sz w:val="24"/>
          <w:szCs w:val="24"/>
        </w:rPr>
        <w:t xml:space="preserve">  </w:t>
      </w:r>
    </w:p>
    <w:p w14:paraId="19D5F633" w14:textId="77777777" w:rsidR="00A7097E" w:rsidRPr="0034696C" w:rsidRDefault="00A7097E" w:rsidP="00E55B1E">
      <w:pPr>
        <w:spacing w:line="264" w:lineRule="auto"/>
        <w:rPr>
          <w:sz w:val="24"/>
          <w:szCs w:val="24"/>
        </w:rPr>
      </w:pPr>
    </w:p>
    <w:p w14:paraId="4052D27A" w14:textId="77777777" w:rsidR="00E55B1E" w:rsidRPr="0034696C" w:rsidRDefault="00E55B1E" w:rsidP="00E55B1E">
      <w:pPr>
        <w:pStyle w:val="Heading1"/>
        <w:spacing w:line="264" w:lineRule="auto"/>
        <w:jc w:val="center"/>
        <w:rPr>
          <w:rFonts w:cs="Times New Roman"/>
          <w:sz w:val="24"/>
          <w:szCs w:val="24"/>
          <w:u w:val="single"/>
        </w:rPr>
      </w:pPr>
      <w:bookmarkStart w:id="4" w:name="_Toc155670887"/>
      <w:bookmarkStart w:id="5" w:name="_Toc168986355"/>
      <w:r w:rsidRPr="0034696C">
        <w:rPr>
          <w:rFonts w:cs="Times New Roman"/>
          <w:sz w:val="24"/>
          <w:szCs w:val="24"/>
          <w:u w:val="single"/>
        </w:rPr>
        <w:t>MEMORANDUM</w:t>
      </w:r>
      <w:bookmarkEnd w:id="4"/>
      <w:bookmarkEnd w:id="5"/>
    </w:p>
    <w:p w14:paraId="446164E4" w14:textId="77777777" w:rsidR="00E55B1E" w:rsidRPr="0034696C" w:rsidRDefault="00E55B1E" w:rsidP="00E55B1E">
      <w:pPr>
        <w:rPr>
          <w:sz w:val="24"/>
          <w:szCs w:val="24"/>
        </w:rPr>
      </w:pPr>
    </w:p>
    <w:p w14:paraId="67685F1C" w14:textId="77777777" w:rsidR="003B7C36" w:rsidRPr="0034696C" w:rsidRDefault="00E36B43" w:rsidP="00FE2619">
      <w:pPr>
        <w:numPr>
          <w:ilvl w:val="0"/>
          <w:numId w:val="14"/>
        </w:numPr>
        <w:spacing w:line="264" w:lineRule="auto"/>
        <w:ind w:hanging="720"/>
        <w:rPr>
          <w:sz w:val="24"/>
          <w:szCs w:val="24"/>
        </w:rPr>
      </w:pPr>
      <w:r w:rsidRPr="0034696C">
        <w:rPr>
          <w:b/>
          <w:sz w:val="24"/>
          <w:szCs w:val="24"/>
        </w:rPr>
        <w:t>BACKGROUND</w:t>
      </w:r>
      <w:r w:rsidR="00FE2619" w:rsidRPr="0034696C">
        <w:rPr>
          <w:b/>
          <w:bCs/>
          <w:sz w:val="24"/>
          <w:szCs w:val="24"/>
        </w:rPr>
        <w:t>.</w:t>
      </w:r>
      <w:r w:rsidR="00FE2619" w:rsidRPr="0034696C">
        <w:rPr>
          <w:sz w:val="24"/>
          <w:szCs w:val="24"/>
        </w:rPr>
        <w:t xml:space="preserve">  </w:t>
      </w:r>
      <w:r w:rsidR="00EA4BA9" w:rsidRPr="0034696C">
        <w:rPr>
          <w:sz w:val="24"/>
          <w:szCs w:val="24"/>
        </w:rPr>
        <w:t xml:space="preserve">On </w:t>
      </w:r>
      <w:r w:rsidR="003B7C36" w:rsidRPr="0034696C">
        <w:rPr>
          <w:sz w:val="24"/>
          <w:szCs w:val="24"/>
        </w:rPr>
        <w:t xml:space="preserve">May 29, 2015, </w:t>
      </w:r>
      <w:proofErr w:type="spellStart"/>
      <w:r w:rsidR="003B7C36" w:rsidRPr="0034696C">
        <w:rPr>
          <w:sz w:val="24"/>
          <w:szCs w:val="24"/>
        </w:rPr>
        <w:t>Avista</w:t>
      </w:r>
      <w:proofErr w:type="spellEnd"/>
      <w:r w:rsidR="003B7C36" w:rsidRPr="0034696C">
        <w:rPr>
          <w:sz w:val="24"/>
          <w:szCs w:val="24"/>
        </w:rPr>
        <w:t xml:space="preserve"> filed its proposed tariff revisions to Schedule 91 of Tariff </w:t>
      </w:r>
      <w:proofErr w:type="spellStart"/>
      <w:r w:rsidR="003B7C36" w:rsidRPr="0034696C">
        <w:rPr>
          <w:sz w:val="24"/>
          <w:szCs w:val="24"/>
        </w:rPr>
        <w:t>WN</w:t>
      </w:r>
      <w:proofErr w:type="spellEnd"/>
      <w:r w:rsidR="003B7C36" w:rsidRPr="0034696C">
        <w:rPr>
          <w:sz w:val="24"/>
          <w:szCs w:val="24"/>
        </w:rPr>
        <w:t xml:space="preserve"> U-28 in order to comply with WAC 480-109-130(1)</w:t>
      </w:r>
      <w:r w:rsidR="005D71A6" w:rsidRPr="0034696C">
        <w:rPr>
          <w:sz w:val="24"/>
          <w:szCs w:val="24"/>
        </w:rPr>
        <w:t>,</w:t>
      </w:r>
      <w:r w:rsidR="003B7C36" w:rsidRPr="0034696C">
        <w:rPr>
          <w:sz w:val="24"/>
          <w:szCs w:val="24"/>
        </w:rPr>
        <w:t xml:space="preserve"> which provides: </w:t>
      </w:r>
    </w:p>
    <w:p w14:paraId="2A159EAC" w14:textId="77777777" w:rsidR="003B7C36" w:rsidRPr="0034696C" w:rsidRDefault="003B7C36" w:rsidP="003B7C36">
      <w:pPr>
        <w:spacing w:line="264" w:lineRule="auto"/>
        <w:rPr>
          <w:sz w:val="24"/>
          <w:szCs w:val="24"/>
        </w:rPr>
      </w:pPr>
    </w:p>
    <w:p w14:paraId="1A74FCBC" w14:textId="77777777" w:rsidR="003B7C36" w:rsidRPr="0034696C" w:rsidRDefault="003B7C36" w:rsidP="003B7C36">
      <w:pPr>
        <w:spacing w:line="264" w:lineRule="auto"/>
        <w:ind w:left="720"/>
        <w:rPr>
          <w:sz w:val="24"/>
          <w:szCs w:val="24"/>
        </w:rPr>
      </w:pPr>
      <w:r w:rsidRPr="0034696C">
        <w:rPr>
          <w:sz w:val="24"/>
          <w:szCs w:val="24"/>
        </w:rPr>
        <w:t>Utilities must file with the Commission for recovery of all expected conservation cost changes and amortization of deferred balances no later than June 1</w:t>
      </w:r>
      <w:r w:rsidRPr="0034696C">
        <w:rPr>
          <w:sz w:val="24"/>
          <w:szCs w:val="24"/>
          <w:vertAlign w:val="superscript"/>
        </w:rPr>
        <w:t>st</w:t>
      </w:r>
      <w:r w:rsidRPr="0034696C">
        <w:rPr>
          <w:sz w:val="24"/>
          <w:szCs w:val="24"/>
        </w:rPr>
        <w:t xml:space="preserve"> of each year with a requested effective date at least sixty days after the filing.</w:t>
      </w:r>
    </w:p>
    <w:p w14:paraId="15108061" w14:textId="77777777" w:rsidR="003B7C36" w:rsidRPr="0034696C" w:rsidRDefault="003B7C36" w:rsidP="003B7C36">
      <w:pPr>
        <w:spacing w:line="264" w:lineRule="auto"/>
        <w:rPr>
          <w:sz w:val="24"/>
          <w:szCs w:val="24"/>
        </w:rPr>
      </w:pPr>
    </w:p>
    <w:p w14:paraId="3519D90A" w14:textId="77777777" w:rsidR="00FE2619" w:rsidRPr="0034696C" w:rsidRDefault="003B7C36" w:rsidP="00FE2619">
      <w:pPr>
        <w:numPr>
          <w:ilvl w:val="0"/>
          <w:numId w:val="14"/>
        </w:numPr>
        <w:spacing w:line="264" w:lineRule="auto"/>
        <w:ind w:hanging="720"/>
        <w:rPr>
          <w:sz w:val="24"/>
          <w:szCs w:val="24"/>
        </w:rPr>
      </w:pPr>
      <w:r w:rsidRPr="0034696C">
        <w:rPr>
          <w:sz w:val="24"/>
          <w:szCs w:val="24"/>
        </w:rPr>
        <w:t xml:space="preserve">In its filing, the Company explains that </w:t>
      </w:r>
      <w:r w:rsidR="005D35CC" w:rsidRPr="0034696C">
        <w:rPr>
          <w:sz w:val="24"/>
          <w:szCs w:val="24"/>
        </w:rPr>
        <w:t xml:space="preserve">its electric demand side management (DSM) </w:t>
      </w:r>
      <w:r w:rsidR="00F32E45" w:rsidRPr="0034696C">
        <w:rPr>
          <w:sz w:val="24"/>
          <w:szCs w:val="24"/>
        </w:rPr>
        <w:t>Schedule 91 is intended “to match future rev</w:t>
      </w:r>
      <w:r w:rsidR="001E61DE" w:rsidRPr="0034696C">
        <w:rPr>
          <w:sz w:val="24"/>
          <w:szCs w:val="24"/>
        </w:rPr>
        <w:t>enue with budgeted expenditures ..</w:t>
      </w:r>
      <w:r w:rsidR="00F32E45" w:rsidRPr="0034696C">
        <w:rPr>
          <w:sz w:val="24"/>
          <w:szCs w:val="24"/>
        </w:rPr>
        <w:t>. [and] includes a true-up feature that reconciles the previous periods’ actual expenditures and collections.”</w:t>
      </w:r>
      <w:r w:rsidR="00F32E45" w:rsidRPr="0034696C">
        <w:rPr>
          <w:rStyle w:val="FootnoteReference"/>
          <w:sz w:val="24"/>
          <w:szCs w:val="24"/>
        </w:rPr>
        <w:footnoteReference w:id="3"/>
      </w:r>
      <w:r w:rsidR="00F32E45" w:rsidRPr="0034696C">
        <w:rPr>
          <w:sz w:val="24"/>
          <w:szCs w:val="24"/>
        </w:rPr>
        <w:t xml:space="preserve"> The last true-up occurred in </w:t>
      </w:r>
      <w:r w:rsidR="00585B42" w:rsidRPr="0034696C">
        <w:rPr>
          <w:sz w:val="24"/>
          <w:szCs w:val="24"/>
        </w:rPr>
        <w:t xml:space="preserve">April </w:t>
      </w:r>
      <w:r w:rsidR="00F32E45" w:rsidRPr="0034696C">
        <w:rPr>
          <w:sz w:val="24"/>
          <w:szCs w:val="24"/>
        </w:rPr>
        <w:t>2013</w:t>
      </w:r>
      <w:r w:rsidR="005D71A6" w:rsidRPr="0034696C">
        <w:rPr>
          <w:sz w:val="24"/>
          <w:szCs w:val="24"/>
        </w:rPr>
        <w:t>,</w:t>
      </w:r>
      <w:r w:rsidR="00F32E45" w:rsidRPr="0034696C">
        <w:rPr>
          <w:sz w:val="24"/>
          <w:szCs w:val="24"/>
        </w:rPr>
        <w:t xml:space="preserve"> when the Schedule 91 balance was approximately $5 million underfunded.</w:t>
      </w:r>
      <w:r w:rsidR="00F32E45" w:rsidRPr="0034696C">
        <w:rPr>
          <w:rStyle w:val="FootnoteReference"/>
          <w:sz w:val="24"/>
          <w:szCs w:val="24"/>
        </w:rPr>
        <w:footnoteReference w:id="4"/>
      </w:r>
      <w:r w:rsidR="00F32E45" w:rsidRPr="0034696C">
        <w:rPr>
          <w:sz w:val="24"/>
          <w:szCs w:val="24"/>
        </w:rPr>
        <w:t xml:space="preserve"> </w:t>
      </w:r>
      <w:r w:rsidR="00585B42" w:rsidRPr="0034696C">
        <w:rPr>
          <w:sz w:val="24"/>
          <w:szCs w:val="24"/>
        </w:rPr>
        <w:t xml:space="preserve">At that time, </w:t>
      </w:r>
      <w:proofErr w:type="spellStart"/>
      <w:r w:rsidR="00585B42" w:rsidRPr="0034696C">
        <w:rPr>
          <w:sz w:val="24"/>
          <w:szCs w:val="24"/>
        </w:rPr>
        <w:t>Avista</w:t>
      </w:r>
      <w:proofErr w:type="spellEnd"/>
      <w:r w:rsidR="00585B42" w:rsidRPr="0034696C">
        <w:rPr>
          <w:sz w:val="24"/>
          <w:szCs w:val="24"/>
        </w:rPr>
        <w:t xml:space="preserve"> filed to increase Schedule 91 rates</w:t>
      </w:r>
      <w:r w:rsidR="00F32E45" w:rsidRPr="0034696C">
        <w:rPr>
          <w:sz w:val="24"/>
          <w:szCs w:val="24"/>
        </w:rPr>
        <w:t xml:space="preserve"> </w:t>
      </w:r>
      <w:r w:rsidR="00585B42" w:rsidRPr="0034696C">
        <w:rPr>
          <w:sz w:val="24"/>
          <w:szCs w:val="24"/>
        </w:rPr>
        <w:t>by $11 million over two years to recover the underfunded balance.</w:t>
      </w:r>
      <w:r w:rsidR="003857CF" w:rsidRPr="0034696C">
        <w:rPr>
          <w:rStyle w:val="FootnoteReference"/>
          <w:sz w:val="24"/>
          <w:szCs w:val="24"/>
        </w:rPr>
        <w:footnoteReference w:id="5"/>
      </w:r>
      <w:r w:rsidR="00585B42" w:rsidRPr="0034696C">
        <w:rPr>
          <w:sz w:val="24"/>
          <w:szCs w:val="24"/>
        </w:rPr>
        <w:t xml:space="preserve"> </w:t>
      </w:r>
      <w:proofErr w:type="spellStart"/>
      <w:r w:rsidR="00A148AF" w:rsidRPr="0034696C">
        <w:rPr>
          <w:sz w:val="24"/>
          <w:szCs w:val="24"/>
        </w:rPr>
        <w:t>Avista</w:t>
      </w:r>
      <w:proofErr w:type="spellEnd"/>
      <w:r w:rsidR="00A148AF" w:rsidRPr="0034696C">
        <w:rPr>
          <w:sz w:val="24"/>
          <w:szCs w:val="24"/>
        </w:rPr>
        <w:t xml:space="preserve"> asserts that</w:t>
      </w:r>
      <w:r w:rsidR="00DD299E" w:rsidRPr="0034696C">
        <w:rPr>
          <w:sz w:val="24"/>
          <w:szCs w:val="24"/>
        </w:rPr>
        <w:t>, as of April 30, 2015,</w:t>
      </w:r>
      <w:r w:rsidR="00A148AF" w:rsidRPr="0034696C">
        <w:rPr>
          <w:sz w:val="24"/>
          <w:szCs w:val="24"/>
        </w:rPr>
        <w:t xml:space="preserve"> Schedule 91 was </w:t>
      </w:r>
      <w:r w:rsidR="00DD299E" w:rsidRPr="0034696C">
        <w:rPr>
          <w:sz w:val="24"/>
          <w:szCs w:val="24"/>
        </w:rPr>
        <w:t xml:space="preserve">underfunded by </w:t>
      </w:r>
      <w:r w:rsidR="00A148AF" w:rsidRPr="0034696C">
        <w:rPr>
          <w:sz w:val="24"/>
          <w:szCs w:val="24"/>
        </w:rPr>
        <w:t>less than $200,000, and the Company states that this “balance indicates that the present Schedule 91 tariff rider rates collected the underfunded balance over the two-year period as projected.”</w:t>
      </w:r>
      <w:r w:rsidR="00A148AF" w:rsidRPr="0034696C">
        <w:rPr>
          <w:rStyle w:val="FootnoteReference"/>
          <w:sz w:val="24"/>
          <w:szCs w:val="24"/>
        </w:rPr>
        <w:footnoteReference w:id="6"/>
      </w:r>
      <w:r w:rsidR="00A148AF" w:rsidRPr="0034696C">
        <w:rPr>
          <w:sz w:val="24"/>
          <w:szCs w:val="24"/>
        </w:rPr>
        <w:t xml:space="preserve"> Thus, </w:t>
      </w:r>
      <w:proofErr w:type="spellStart"/>
      <w:r w:rsidR="00A148AF" w:rsidRPr="0034696C">
        <w:rPr>
          <w:sz w:val="24"/>
          <w:szCs w:val="24"/>
        </w:rPr>
        <w:t>Avista</w:t>
      </w:r>
      <w:proofErr w:type="spellEnd"/>
      <w:r w:rsidR="00A148AF" w:rsidRPr="0034696C">
        <w:rPr>
          <w:sz w:val="24"/>
          <w:szCs w:val="24"/>
        </w:rPr>
        <w:t xml:space="preserve"> recommends decreasing the rates collected under Schedule 91 by approximately $3.4 million or 0.7 percent in overall billed rates.</w:t>
      </w:r>
      <w:r w:rsidR="00A148AF" w:rsidRPr="0034696C">
        <w:rPr>
          <w:rStyle w:val="FootnoteReference"/>
          <w:sz w:val="24"/>
          <w:szCs w:val="24"/>
        </w:rPr>
        <w:footnoteReference w:id="7"/>
      </w:r>
      <w:r w:rsidR="00A148AF" w:rsidRPr="0034696C">
        <w:rPr>
          <w:sz w:val="24"/>
          <w:szCs w:val="24"/>
        </w:rPr>
        <w:t xml:space="preserve"> </w:t>
      </w:r>
    </w:p>
    <w:p w14:paraId="3BA81945" w14:textId="77777777" w:rsidR="00A17669" w:rsidRPr="0034696C" w:rsidRDefault="00A17669" w:rsidP="00A17669">
      <w:pPr>
        <w:spacing w:line="264" w:lineRule="auto"/>
        <w:rPr>
          <w:sz w:val="24"/>
          <w:szCs w:val="24"/>
        </w:rPr>
      </w:pPr>
    </w:p>
    <w:p w14:paraId="3ADE2E3B" w14:textId="77777777" w:rsidR="007B2450" w:rsidRPr="0034696C" w:rsidRDefault="00A17669" w:rsidP="00F64325">
      <w:pPr>
        <w:numPr>
          <w:ilvl w:val="0"/>
          <w:numId w:val="14"/>
        </w:numPr>
        <w:spacing w:line="264" w:lineRule="auto"/>
        <w:ind w:hanging="720"/>
        <w:rPr>
          <w:sz w:val="24"/>
          <w:szCs w:val="24"/>
        </w:rPr>
      </w:pPr>
      <w:r w:rsidRPr="0034696C">
        <w:rPr>
          <w:sz w:val="24"/>
          <w:szCs w:val="24"/>
        </w:rPr>
        <w:t>In its Open Meeting memorandum to the Commission, Staff recommended issuing a complaint and order suspending the proposed tariff revisions in Schedule 91 but allowing the rates to temporarily go into effect, subject to revision, and setting the matter for hearing.</w:t>
      </w:r>
      <w:r w:rsidRPr="0034696C">
        <w:rPr>
          <w:rStyle w:val="FootnoteReference"/>
          <w:sz w:val="24"/>
          <w:szCs w:val="24"/>
        </w:rPr>
        <w:footnoteReference w:id="8"/>
      </w:r>
      <w:r w:rsidR="0012002E" w:rsidRPr="0034696C">
        <w:rPr>
          <w:sz w:val="24"/>
          <w:szCs w:val="24"/>
        </w:rPr>
        <w:t xml:space="preserve"> </w:t>
      </w:r>
      <w:r w:rsidR="00270AC4" w:rsidRPr="0034696C">
        <w:rPr>
          <w:sz w:val="24"/>
          <w:szCs w:val="24"/>
        </w:rPr>
        <w:t>On July 27, 2015, Public Counsel filed comments in this proceeding, expressing support for Staff’s recommendation.</w:t>
      </w:r>
      <w:r w:rsidR="00270AC4" w:rsidRPr="0034696C">
        <w:rPr>
          <w:rStyle w:val="FootnoteReference"/>
          <w:sz w:val="24"/>
          <w:szCs w:val="24"/>
        </w:rPr>
        <w:footnoteReference w:id="9"/>
      </w:r>
      <w:r w:rsidR="00270AC4" w:rsidRPr="0034696C">
        <w:rPr>
          <w:sz w:val="24"/>
          <w:szCs w:val="24"/>
        </w:rPr>
        <w:t xml:space="preserve"> </w:t>
      </w:r>
    </w:p>
    <w:p w14:paraId="78A04FD1" w14:textId="77777777" w:rsidR="007B2450" w:rsidRPr="0034696C" w:rsidRDefault="007B2450" w:rsidP="007B2450">
      <w:pPr>
        <w:spacing w:line="264" w:lineRule="auto"/>
        <w:rPr>
          <w:sz w:val="24"/>
          <w:szCs w:val="24"/>
        </w:rPr>
      </w:pPr>
    </w:p>
    <w:p w14:paraId="39230295" w14:textId="77777777" w:rsidR="00DB4E6C" w:rsidRPr="0034696C" w:rsidRDefault="00DB4E6C" w:rsidP="007B2450">
      <w:pPr>
        <w:numPr>
          <w:ilvl w:val="0"/>
          <w:numId w:val="14"/>
        </w:numPr>
        <w:spacing w:line="264" w:lineRule="auto"/>
        <w:ind w:hanging="720"/>
        <w:rPr>
          <w:sz w:val="24"/>
          <w:szCs w:val="24"/>
        </w:rPr>
      </w:pPr>
      <w:proofErr w:type="spellStart"/>
      <w:r w:rsidRPr="0034696C">
        <w:rPr>
          <w:sz w:val="24"/>
          <w:szCs w:val="24"/>
        </w:rPr>
        <w:lastRenderedPageBreak/>
        <w:t>Avista</w:t>
      </w:r>
      <w:proofErr w:type="spellEnd"/>
      <w:r w:rsidRPr="0034696C">
        <w:rPr>
          <w:sz w:val="24"/>
          <w:szCs w:val="24"/>
        </w:rPr>
        <w:t xml:space="preserve"> filed revised tariff sheets on July 28, 2015, </w:t>
      </w:r>
      <w:r w:rsidR="00E70175" w:rsidRPr="0034696C">
        <w:rPr>
          <w:sz w:val="24"/>
          <w:szCs w:val="24"/>
        </w:rPr>
        <w:t xml:space="preserve">correcting the </w:t>
      </w:r>
      <w:r w:rsidR="008F73C0" w:rsidRPr="0034696C">
        <w:rPr>
          <w:sz w:val="24"/>
          <w:szCs w:val="24"/>
        </w:rPr>
        <w:t>mis</w:t>
      </w:r>
      <w:r w:rsidR="00A17669" w:rsidRPr="0034696C">
        <w:rPr>
          <w:sz w:val="24"/>
          <w:szCs w:val="24"/>
        </w:rPr>
        <w:t>allocati</w:t>
      </w:r>
      <w:r w:rsidR="00E70175" w:rsidRPr="0034696C">
        <w:rPr>
          <w:sz w:val="24"/>
          <w:szCs w:val="24"/>
        </w:rPr>
        <w:t>o</w:t>
      </w:r>
      <w:r w:rsidR="00A17669" w:rsidRPr="0034696C">
        <w:rPr>
          <w:sz w:val="24"/>
          <w:szCs w:val="24"/>
        </w:rPr>
        <w:t xml:space="preserve">n </w:t>
      </w:r>
      <w:r w:rsidR="00E70175" w:rsidRPr="0034696C">
        <w:rPr>
          <w:sz w:val="24"/>
          <w:szCs w:val="24"/>
        </w:rPr>
        <w:t xml:space="preserve">of a </w:t>
      </w:r>
      <w:r w:rsidR="00A17669" w:rsidRPr="0034696C">
        <w:rPr>
          <w:sz w:val="24"/>
          <w:szCs w:val="24"/>
        </w:rPr>
        <w:t>reimbursement</w:t>
      </w:r>
      <w:r w:rsidR="00E70175" w:rsidRPr="0034696C">
        <w:rPr>
          <w:sz w:val="24"/>
          <w:szCs w:val="24"/>
        </w:rPr>
        <w:t xml:space="preserve"> received from Washington State University (WSU)</w:t>
      </w:r>
      <w:r w:rsidR="00A17669" w:rsidRPr="0034696C">
        <w:rPr>
          <w:sz w:val="24"/>
          <w:szCs w:val="24"/>
        </w:rPr>
        <w:t xml:space="preserve"> and removing the $2,500 sponsorship of </w:t>
      </w:r>
      <w:r w:rsidR="00E70175" w:rsidRPr="0034696C">
        <w:rPr>
          <w:sz w:val="24"/>
          <w:szCs w:val="24"/>
        </w:rPr>
        <w:t xml:space="preserve">a </w:t>
      </w:r>
      <w:r w:rsidR="00A17669" w:rsidRPr="0034696C">
        <w:rPr>
          <w:sz w:val="24"/>
          <w:szCs w:val="24"/>
        </w:rPr>
        <w:t>fundraiser from Schedule 91.</w:t>
      </w:r>
      <w:r w:rsidR="00A17669" w:rsidRPr="0034696C">
        <w:rPr>
          <w:rStyle w:val="FootnoteReference"/>
          <w:sz w:val="24"/>
          <w:szCs w:val="24"/>
        </w:rPr>
        <w:footnoteReference w:id="10"/>
      </w:r>
    </w:p>
    <w:p w14:paraId="0F26D923" w14:textId="77777777" w:rsidR="00A17669" w:rsidRPr="0034696C" w:rsidRDefault="00A17669" w:rsidP="00A17669">
      <w:pPr>
        <w:pStyle w:val="ListParagraph"/>
      </w:pPr>
    </w:p>
    <w:p w14:paraId="6064C05F" w14:textId="77777777" w:rsidR="00C579ED" w:rsidRPr="0034696C" w:rsidRDefault="00A17669" w:rsidP="00A01023">
      <w:pPr>
        <w:numPr>
          <w:ilvl w:val="0"/>
          <w:numId w:val="14"/>
        </w:numPr>
        <w:spacing w:line="264" w:lineRule="auto"/>
        <w:ind w:hanging="720"/>
        <w:rPr>
          <w:sz w:val="24"/>
          <w:szCs w:val="24"/>
        </w:rPr>
      </w:pPr>
      <w:r w:rsidRPr="0034696C">
        <w:rPr>
          <w:sz w:val="24"/>
          <w:szCs w:val="24"/>
        </w:rPr>
        <w:t xml:space="preserve">On July </w:t>
      </w:r>
      <w:r w:rsidR="00085A4A" w:rsidRPr="0034696C">
        <w:rPr>
          <w:sz w:val="24"/>
          <w:szCs w:val="24"/>
        </w:rPr>
        <w:t>30, 2015, the Commission issued a Complaint and Order Suspending Tariff Revision, Allowing Rates on a Temporary Basis, Subject to Revision</w:t>
      </w:r>
      <w:r w:rsidR="00756AA2" w:rsidRPr="0034696C">
        <w:rPr>
          <w:sz w:val="24"/>
          <w:szCs w:val="24"/>
        </w:rPr>
        <w:t xml:space="preserve"> (Order 01). On September 21, 2015, the Commission convened a prehearing conference before Administrative Law Judge Marguerite E. Friedlander at the Commission’s headquarters in Olympia, Washington. At that time, the Commission granted </w:t>
      </w:r>
      <w:proofErr w:type="spellStart"/>
      <w:r w:rsidR="00756AA2" w:rsidRPr="0034696C">
        <w:rPr>
          <w:sz w:val="24"/>
          <w:szCs w:val="24"/>
        </w:rPr>
        <w:t>ICNU’s</w:t>
      </w:r>
      <w:proofErr w:type="spellEnd"/>
      <w:r w:rsidR="00756AA2" w:rsidRPr="0034696C">
        <w:rPr>
          <w:sz w:val="24"/>
          <w:szCs w:val="24"/>
        </w:rPr>
        <w:t xml:space="preserve"> intervention, limited to the issues raised in Order 01, and </w:t>
      </w:r>
      <w:r w:rsidR="007F1001" w:rsidRPr="0034696C">
        <w:rPr>
          <w:sz w:val="24"/>
          <w:szCs w:val="24"/>
        </w:rPr>
        <w:t>encouraged the parties to continue their ongoing settlement discussions with an informal status conference scheduled for October 15, 2015, to advise the Commission of the progress of settlement discussions</w:t>
      </w:r>
      <w:r w:rsidR="00756AA2" w:rsidRPr="0034696C">
        <w:rPr>
          <w:sz w:val="24"/>
          <w:szCs w:val="24"/>
        </w:rPr>
        <w:t>.</w:t>
      </w:r>
      <w:r w:rsidR="007F1001" w:rsidRPr="0034696C">
        <w:rPr>
          <w:rStyle w:val="FootnoteReference"/>
          <w:sz w:val="24"/>
          <w:szCs w:val="24"/>
        </w:rPr>
        <w:footnoteReference w:id="11"/>
      </w:r>
      <w:r w:rsidR="00756AA2" w:rsidRPr="0034696C">
        <w:rPr>
          <w:sz w:val="24"/>
          <w:szCs w:val="24"/>
        </w:rPr>
        <w:t xml:space="preserve"> </w:t>
      </w:r>
    </w:p>
    <w:p w14:paraId="1434E03F" w14:textId="77777777" w:rsidR="007F1001" w:rsidRPr="0034696C" w:rsidRDefault="007F1001" w:rsidP="007F1001">
      <w:pPr>
        <w:pStyle w:val="ListParagraph"/>
      </w:pPr>
    </w:p>
    <w:p w14:paraId="4B8B7B4C" w14:textId="77777777" w:rsidR="007F1001" w:rsidRPr="0034696C" w:rsidRDefault="007F1001" w:rsidP="00A01023">
      <w:pPr>
        <w:numPr>
          <w:ilvl w:val="0"/>
          <w:numId w:val="14"/>
        </w:numPr>
        <w:spacing w:line="264" w:lineRule="auto"/>
        <w:ind w:hanging="720"/>
        <w:rPr>
          <w:sz w:val="24"/>
          <w:szCs w:val="24"/>
        </w:rPr>
      </w:pPr>
      <w:proofErr w:type="spellStart"/>
      <w:r w:rsidRPr="0034696C">
        <w:rPr>
          <w:sz w:val="24"/>
          <w:szCs w:val="24"/>
        </w:rPr>
        <w:t>Avista</w:t>
      </w:r>
      <w:proofErr w:type="spellEnd"/>
      <w:r w:rsidRPr="0034696C">
        <w:rPr>
          <w:sz w:val="24"/>
          <w:szCs w:val="24"/>
        </w:rPr>
        <w:t xml:space="preserve"> </w:t>
      </w:r>
      <w:r w:rsidR="00574DE1" w:rsidRPr="0034696C">
        <w:rPr>
          <w:sz w:val="24"/>
          <w:szCs w:val="24"/>
        </w:rPr>
        <w:t>informed the Commission on October 15, 2015, that all parties had reached a</w:t>
      </w:r>
      <w:r w:rsidR="00ED7555" w:rsidRPr="0034696C">
        <w:rPr>
          <w:sz w:val="24"/>
          <w:szCs w:val="24"/>
        </w:rPr>
        <w:t>n</w:t>
      </w:r>
      <w:r w:rsidR="00574DE1" w:rsidRPr="0034696C">
        <w:rPr>
          <w:sz w:val="24"/>
          <w:szCs w:val="24"/>
        </w:rPr>
        <w:t xml:space="preserve"> agreement in principle resolving all contested issues, and the parties would file the written agreement no later than October 29, 2015. </w:t>
      </w:r>
      <w:r w:rsidR="00183EDD" w:rsidRPr="0034696C">
        <w:rPr>
          <w:sz w:val="24"/>
          <w:szCs w:val="24"/>
        </w:rPr>
        <w:t xml:space="preserve">The </w:t>
      </w:r>
      <w:r w:rsidR="00574DE1" w:rsidRPr="0034696C">
        <w:rPr>
          <w:sz w:val="24"/>
          <w:szCs w:val="24"/>
        </w:rPr>
        <w:t xml:space="preserve">Settling Parties filed the </w:t>
      </w:r>
      <w:r w:rsidR="00183EDD" w:rsidRPr="0034696C">
        <w:rPr>
          <w:sz w:val="24"/>
          <w:szCs w:val="24"/>
        </w:rPr>
        <w:t>multiparty settlement stipulation (Settlement)</w:t>
      </w:r>
      <w:r w:rsidR="00574DE1" w:rsidRPr="0034696C">
        <w:rPr>
          <w:sz w:val="24"/>
          <w:szCs w:val="24"/>
        </w:rPr>
        <w:t xml:space="preserve"> on October 29, 2015, attached to this Order as Appendix A and incorporated herein. </w:t>
      </w:r>
      <w:r w:rsidR="00183EDD" w:rsidRPr="0034696C">
        <w:rPr>
          <w:sz w:val="24"/>
          <w:szCs w:val="24"/>
        </w:rPr>
        <w:t xml:space="preserve">The Settlement purports to resolve all of the contested issues raised by Staff and Public Counsel in this proceeding. </w:t>
      </w:r>
      <w:r w:rsidR="00574DE1" w:rsidRPr="0034696C">
        <w:rPr>
          <w:sz w:val="24"/>
          <w:szCs w:val="24"/>
        </w:rPr>
        <w:t xml:space="preserve">Along with the Settlement, </w:t>
      </w:r>
      <w:r w:rsidR="00183EDD" w:rsidRPr="0034696C">
        <w:rPr>
          <w:sz w:val="24"/>
          <w:szCs w:val="24"/>
        </w:rPr>
        <w:t xml:space="preserve">the </w:t>
      </w:r>
      <w:r w:rsidR="00574DE1" w:rsidRPr="0034696C">
        <w:rPr>
          <w:sz w:val="24"/>
          <w:szCs w:val="24"/>
        </w:rPr>
        <w:t xml:space="preserve">Settling Parties filed a Joint Motion for an Order Approving the Settlement and Attachment A to the Settlement. </w:t>
      </w:r>
      <w:r w:rsidR="009F1E84" w:rsidRPr="0034696C">
        <w:rPr>
          <w:sz w:val="24"/>
          <w:szCs w:val="24"/>
        </w:rPr>
        <w:t xml:space="preserve">The </w:t>
      </w:r>
      <w:r w:rsidR="006A0941" w:rsidRPr="0034696C">
        <w:rPr>
          <w:sz w:val="24"/>
          <w:szCs w:val="24"/>
        </w:rPr>
        <w:t>Settling Parties did not</w:t>
      </w:r>
      <w:r w:rsidR="009F1E84" w:rsidRPr="0034696C">
        <w:rPr>
          <w:sz w:val="24"/>
          <w:szCs w:val="24"/>
        </w:rPr>
        <w:t xml:space="preserve"> provide</w:t>
      </w:r>
      <w:r w:rsidR="006A0941" w:rsidRPr="0034696C">
        <w:rPr>
          <w:sz w:val="24"/>
          <w:szCs w:val="24"/>
        </w:rPr>
        <w:t xml:space="preserve"> testimony or other supporting documentation for the Settlement</w:t>
      </w:r>
      <w:r w:rsidR="00183EDD" w:rsidRPr="0034696C">
        <w:rPr>
          <w:sz w:val="24"/>
          <w:szCs w:val="24"/>
        </w:rPr>
        <w:t>, instead explaining</w:t>
      </w:r>
      <w:r w:rsidR="009F1E84" w:rsidRPr="0034696C">
        <w:rPr>
          <w:sz w:val="24"/>
          <w:szCs w:val="24"/>
        </w:rPr>
        <w:t xml:space="preserve"> that the narrative in Section IV </w:t>
      </w:r>
      <w:r w:rsidR="00183EDD" w:rsidRPr="0034696C">
        <w:rPr>
          <w:sz w:val="24"/>
          <w:szCs w:val="24"/>
        </w:rPr>
        <w:t xml:space="preserve">of the Settlement </w:t>
      </w:r>
      <w:r w:rsidR="009F1E84" w:rsidRPr="0034696C">
        <w:rPr>
          <w:sz w:val="24"/>
          <w:szCs w:val="24"/>
        </w:rPr>
        <w:t>satisf</w:t>
      </w:r>
      <w:r w:rsidR="00ED7555" w:rsidRPr="0034696C">
        <w:rPr>
          <w:sz w:val="24"/>
          <w:szCs w:val="24"/>
        </w:rPr>
        <w:t>ies</w:t>
      </w:r>
      <w:r w:rsidR="009F1E84" w:rsidRPr="0034696C">
        <w:rPr>
          <w:sz w:val="24"/>
          <w:szCs w:val="24"/>
        </w:rPr>
        <w:t xml:space="preserve"> the requirement of </w:t>
      </w:r>
      <w:r w:rsidR="006A0941" w:rsidRPr="0034696C">
        <w:rPr>
          <w:sz w:val="24"/>
          <w:szCs w:val="24"/>
        </w:rPr>
        <w:t>supporting documentation.</w:t>
      </w:r>
      <w:r w:rsidR="006A0941" w:rsidRPr="0034696C">
        <w:rPr>
          <w:rStyle w:val="FootnoteReference"/>
          <w:sz w:val="24"/>
          <w:szCs w:val="24"/>
        </w:rPr>
        <w:footnoteReference w:id="12"/>
      </w:r>
      <w:r w:rsidR="006A0941" w:rsidRPr="0034696C">
        <w:rPr>
          <w:sz w:val="24"/>
          <w:szCs w:val="24"/>
        </w:rPr>
        <w:t xml:space="preserve"> The Commission requested and</w:t>
      </w:r>
      <w:r w:rsidR="008F73C0" w:rsidRPr="0034696C">
        <w:rPr>
          <w:sz w:val="24"/>
          <w:szCs w:val="24"/>
        </w:rPr>
        <w:t>,</w:t>
      </w:r>
      <w:r w:rsidR="006A0941" w:rsidRPr="0034696C">
        <w:rPr>
          <w:sz w:val="24"/>
          <w:szCs w:val="24"/>
        </w:rPr>
        <w:t xml:space="preserve"> </w:t>
      </w:r>
      <w:r w:rsidR="00ED7555" w:rsidRPr="0034696C">
        <w:rPr>
          <w:sz w:val="24"/>
          <w:szCs w:val="24"/>
        </w:rPr>
        <w:t>on January 22, 2016</w:t>
      </w:r>
      <w:r w:rsidR="008F73C0" w:rsidRPr="0034696C">
        <w:rPr>
          <w:sz w:val="24"/>
          <w:szCs w:val="24"/>
        </w:rPr>
        <w:t>,</w:t>
      </w:r>
      <w:r w:rsidR="00ED7555" w:rsidRPr="0034696C">
        <w:rPr>
          <w:sz w:val="24"/>
          <w:szCs w:val="24"/>
        </w:rPr>
        <w:t xml:space="preserve"> </w:t>
      </w:r>
      <w:r w:rsidR="006A0941" w:rsidRPr="0034696C">
        <w:rPr>
          <w:sz w:val="24"/>
          <w:szCs w:val="24"/>
        </w:rPr>
        <w:t>received supporting testimony and exhibits from the Settling Parties.</w:t>
      </w:r>
      <w:r w:rsidR="00183EDD" w:rsidRPr="0034696C">
        <w:rPr>
          <w:sz w:val="24"/>
          <w:szCs w:val="24"/>
        </w:rPr>
        <w:t xml:space="preserve"> </w:t>
      </w:r>
    </w:p>
    <w:p w14:paraId="4105E51B" w14:textId="77777777" w:rsidR="00E23733" w:rsidRPr="0034696C" w:rsidRDefault="00E23733" w:rsidP="00E23733">
      <w:pPr>
        <w:pStyle w:val="ListParagraph"/>
      </w:pPr>
    </w:p>
    <w:p w14:paraId="1A331620" w14:textId="77777777" w:rsidR="00E23733" w:rsidRPr="0034696C" w:rsidRDefault="00E23733" w:rsidP="00E23733">
      <w:pPr>
        <w:spacing w:line="264" w:lineRule="auto"/>
        <w:jc w:val="center"/>
        <w:rPr>
          <w:sz w:val="24"/>
          <w:szCs w:val="24"/>
        </w:rPr>
      </w:pPr>
      <w:r w:rsidRPr="0034696C">
        <w:rPr>
          <w:b/>
          <w:sz w:val="24"/>
          <w:szCs w:val="24"/>
        </w:rPr>
        <w:t>SETTLEMENT</w:t>
      </w:r>
    </w:p>
    <w:p w14:paraId="34E490E2" w14:textId="77777777" w:rsidR="00211DFF" w:rsidRPr="0034696C" w:rsidRDefault="00211DFF" w:rsidP="00211DFF">
      <w:pPr>
        <w:pStyle w:val="ListParagraph"/>
      </w:pPr>
    </w:p>
    <w:p w14:paraId="3F96FDFA" w14:textId="77777777" w:rsidR="00E23733" w:rsidRPr="0034696C" w:rsidRDefault="00287F94" w:rsidP="00E23733">
      <w:pPr>
        <w:pStyle w:val="ListParagraph"/>
        <w:numPr>
          <w:ilvl w:val="0"/>
          <w:numId w:val="18"/>
        </w:numPr>
        <w:spacing w:line="264" w:lineRule="auto"/>
        <w:rPr>
          <w:bCs/>
        </w:rPr>
      </w:pPr>
      <w:proofErr w:type="spellStart"/>
      <w:r w:rsidRPr="0034696C">
        <w:rPr>
          <w:i/>
        </w:rPr>
        <w:t>NWEC</w:t>
      </w:r>
      <w:proofErr w:type="spellEnd"/>
      <w:r w:rsidRPr="0034696C">
        <w:rPr>
          <w:i/>
        </w:rPr>
        <w:t xml:space="preserve"> F</w:t>
      </w:r>
      <w:r w:rsidR="00252D2D" w:rsidRPr="0034696C">
        <w:rPr>
          <w:i/>
        </w:rPr>
        <w:t xml:space="preserve">undraiser </w:t>
      </w:r>
      <w:r w:rsidRPr="0034696C">
        <w:rPr>
          <w:i/>
        </w:rPr>
        <w:t xml:space="preserve">Expenditure </w:t>
      </w:r>
    </w:p>
    <w:p w14:paraId="1E9A2B6D" w14:textId="77777777" w:rsidR="00E23733" w:rsidRPr="0034696C" w:rsidRDefault="00E23733" w:rsidP="00E23733">
      <w:pPr>
        <w:spacing w:line="264" w:lineRule="auto"/>
        <w:rPr>
          <w:bCs/>
          <w:sz w:val="24"/>
          <w:szCs w:val="24"/>
        </w:rPr>
      </w:pPr>
    </w:p>
    <w:p w14:paraId="1B80B2A4" w14:textId="77777777" w:rsidR="008530AD" w:rsidRPr="0034696C" w:rsidRDefault="00287F94" w:rsidP="00E23733">
      <w:pPr>
        <w:numPr>
          <w:ilvl w:val="0"/>
          <w:numId w:val="14"/>
        </w:numPr>
        <w:spacing w:line="264" w:lineRule="auto"/>
        <w:ind w:hanging="720"/>
        <w:rPr>
          <w:bCs/>
          <w:sz w:val="24"/>
          <w:szCs w:val="24"/>
        </w:rPr>
      </w:pPr>
      <w:r w:rsidRPr="0034696C">
        <w:rPr>
          <w:sz w:val="24"/>
          <w:szCs w:val="24"/>
        </w:rPr>
        <w:t>Staff performed an on-site audit on June 7, 2015, where it comprehensively reviewed 34 electric and natural gas line items.</w:t>
      </w:r>
      <w:r w:rsidRPr="0034696C">
        <w:rPr>
          <w:rStyle w:val="FootnoteReference"/>
          <w:sz w:val="24"/>
          <w:szCs w:val="24"/>
        </w:rPr>
        <w:footnoteReference w:id="13"/>
      </w:r>
      <w:r w:rsidRPr="0034696C">
        <w:rPr>
          <w:sz w:val="24"/>
          <w:szCs w:val="24"/>
        </w:rPr>
        <w:t xml:space="preserve"> Two issues surfaced for Staff from this on-site audit. The first issue is that </w:t>
      </w:r>
      <w:proofErr w:type="spellStart"/>
      <w:r w:rsidRPr="0034696C">
        <w:rPr>
          <w:sz w:val="24"/>
          <w:szCs w:val="24"/>
        </w:rPr>
        <w:t>Avista</w:t>
      </w:r>
      <w:proofErr w:type="spellEnd"/>
      <w:r w:rsidRPr="0034696C">
        <w:rPr>
          <w:sz w:val="24"/>
          <w:szCs w:val="24"/>
        </w:rPr>
        <w:t xml:space="preserve"> sponsored a fundraiser for the Northwest Energy Coalition </w:t>
      </w:r>
      <w:r w:rsidRPr="0034696C">
        <w:rPr>
          <w:sz w:val="24"/>
          <w:szCs w:val="24"/>
        </w:rPr>
        <w:lastRenderedPageBreak/>
        <w:t>(</w:t>
      </w:r>
      <w:proofErr w:type="spellStart"/>
      <w:r w:rsidRPr="0034696C">
        <w:rPr>
          <w:sz w:val="24"/>
          <w:szCs w:val="24"/>
        </w:rPr>
        <w:t>NWEC</w:t>
      </w:r>
      <w:proofErr w:type="spellEnd"/>
      <w:r w:rsidRPr="0034696C">
        <w:rPr>
          <w:sz w:val="24"/>
          <w:szCs w:val="24"/>
        </w:rPr>
        <w:t>) and booked $2,500 in expense to the program</w:t>
      </w:r>
      <w:r w:rsidR="00DD5D2D" w:rsidRPr="0034696C">
        <w:rPr>
          <w:sz w:val="24"/>
          <w:szCs w:val="24"/>
        </w:rPr>
        <w:t>.</w:t>
      </w:r>
      <w:r w:rsidR="00DD5D2D" w:rsidRPr="0034696C">
        <w:rPr>
          <w:rStyle w:val="FootnoteReference"/>
          <w:sz w:val="24"/>
          <w:szCs w:val="24"/>
        </w:rPr>
        <w:footnoteReference w:id="14"/>
      </w:r>
      <w:r w:rsidR="00DD5D2D" w:rsidRPr="0034696C">
        <w:rPr>
          <w:sz w:val="24"/>
          <w:szCs w:val="24"/>
        </w:rPr>
        <w:t xml:space="preserve"> </w:t>
      </w:r>
      <w:r w:rsidR="00DD5D2D" w:rsidRPr="0034696C">
        <w:rPr>
          <w:bCs/>
          <w:sz w:val="24"/>
          <w:szCs w:val="24"/>
        </w:rPr>
        <w:t>The</w:t>
      </w:r>
      <w:r w:rsidR="005424F8" w:rsidRPr="0034696C">
        <w:rPr>
          <w:bCs/>
          <w:sz w:val="24"/>
          <w:szCs w:val="24"/>
        </w:rPr>
        <w:t xml:space="preserve"> Company filed revised tariff sheets on July 28, 2015, removing the $2,500 </w:t>
      </w:r>
      <w:r w:rsidR="008530AD" w:rsidRPr="0034696C">
        <w:rPr>
          <w:bCs/>
          <w:sz w:val="24"/>
          <w:szCs w:val="24"/>
        </w:rPr>
        <w:t xml:space="preserve">fundraising </w:t>
      </w:r>
      <w:r w:rsidR="005424F8" w:rsidRPr="0034696C">
        <w:rPr>
          <w:bCs/>
          <w:sz w:val="24"/>
          <w:szCs w:val="24"/>
        </w:rPr>
        <w:t>expenditure and adjusted the rider balance accordingly.</w:t>
      </w:r>
      <w:r w:rsidR="005424F8" w:rsidRPr="0034696C">
        <w:rPr>
          <w:rStyle w:val="FootnoteReference"/>
          <w:bCs/>
          <w:sz w:val="24"/>
          <w:szCs w:val="24"/>
        </w:rPr>
        <w:footnoteReference w:id="15"/>
      </w:r>
      <w:r w:rsidR="005424F8" w:rsidRPr="0034696C">
        <w:rPr>
          <w:bCs/>
          <w:sz w:val="24"/>
          <w:szCs w:val="24"/>
        </w:rPr>
        <w:t xml:space="preserve"> </w:t>
      </w:r>
    </w:p>
    <w:p w14:paraId="33520057" w14:textId="77777777" w:rsidR="008530AD" w:rsidRPr="0034696C" w:rsidRDefault="008530AD" w:rsidP="008530AD">
      <w:pPr>
        <w:spacing w:line="264" w:lineRule="auto"/>
        <w:rPr>
          <w:bCs/>
          <w:sz w:val="24"/>
          <w:szCs w:val="24"/>
        </w:rPr>
      </w:pPr>
    </w:p>
    <w:p w14:paraId="6BE3DD5F" w14:textId="77777777" w:rsidR="00287F94" w:rsidRPr="0034696C" w:rsidRDefault="00287F94" w:rsidP="008530AD">
      <w:pPr>
        <w:pStyle w:val="ListParagraph"/>
        <w:numPr>
          <w:ilvl w:val="0"/>
          <w:numId w:val="18"/>
        </w:numPr>
        <w:spacing w:line="264" w:lineRule="auto"/>
        <w:rPr>
          <w:bCs/>
        </w:rPr>
      </w:pPr>
      <w:r w:rsidRPr="0034696C">
        <w:rPr>
          <w:bCs/>
          <w:i/>
        </w:rPr>
        <w:t>WSU Reimbursement Allocation</w:t>
      </w:r>
    </w:p>
    <w:p w14:paraId="1FB08890" w14:textId="77777777" w:rsidR="00287F94" w:rsidRPr="0034696C" w:rsidRDefault="00287F94" w:rsidP="00287F94">
      <w:pPr>
        <w:pStyle w:val="ListParagraph"/>
        <w:spacing w:line="264" w:lineRule="auto"/>
        <w:ind w:left="1080"/>
        <w:rPr>
          <w:bCs/>
          <w:i/>
        </w:rPr>
      </w:pPr>
    </w:p>
    <w:p w14:paraId="5273CA50" w14:textId="77777777" w:rsidR="00287F94" w:rsidRPr="0034696C" w:rsidRDefault="00DD5D2D" w:rsidP="00287F94">
      <w:pPr>
        <w:numPr>
          <w:ilvl w:val="0"/>
          <w:numId w:val="14"/>
        </w:numPr>
        <w:spacing w:line="264" w:lineRule="auto"/>
        <w:ind w:hanging="720"/>
        <w:rPr>
          <w:bCs/>
          <w:i/>
          <w:sz w:val="24"/>
          <w:szCs w:val="24"/>
        </w:rPr>
      </w:pPr>
      <w:r w:rsidRPr="0034696C">
        <w:rPr>
          <w:bCs/>
          <w:sz w:val="24"/>
          <w:szCs w:val="24"/>
        </w:rPr>
        <w:t>The second</w:t>
      </w:r>
      <w:r w:rsidR="00287F94" w:rsidRPr="0034696C">
        <w:rPr>
          <w:bCs/>
          <w:sz w:val="24"/>
          <w:szCs w:val="24"/>
        </w:rPr>
        <w:t xml:space="preserve"> issue raised by Staff’s on-site audit is that the Company improperly booked o</w:t>
      </w:r>
      <w:r w:rsidR="00673DFE" w:rsidRPr="0034696C">
        <w:rPr>
          <w:bCs/>
          <w:sz w:val="24"/>
          <w:szCs w:val="24"/>
        </w:rPr>
        <w:t xml:space="preserve">ver $300,000 in gas reimbursements </w:t>
      </w:r>
      <w:r w:rsidRPr="0034696C">
        <w:rPr>
          <w:bCs/>
          <w:sz w:val="24"/>
          <w:szCs w:val="24"/>
        </w:rPr>
        <w:t xml:space="preserve">from a collaborative project with WSU </w:t>
      </w:r>
      <w:r w:rsidR="00673DFE" w:rsidRPr="0034696C">
        <w:rPr>
          <w:bCs/>
          <w:sz w:val="24"/>
          <w:szCs w:val="24"/>
        </w:rPr>
        <w:t>to the electric program over a two</w:t>
      </w:r>
      <w:r w:rsidR="00ED3880" w:rsidRPr="0034696C">
        <w:rPr>
          <w:bCs/>
          <w:sz w:val="24"/>
          <w:szCs w:val="24"/>
        </w:rPr>
        <w:t>-</w:t>
      </w:r>
      <w:r w:rsidR="00673DFE" w:rsidRPr="0034696C">
        <w:rPr>
          <w:bCs/>
          <w:sz w:val="24"/>
          <w:szCs w:val="24"/>
        </w:rPr>
        <w:t>year period</w:t>
      </w:r>
      <w:r w:rsidR="00287F94" w:rsidRPr="0034696C">
        <w:rPr>
          <w:sz w:val="24"/>
          <w:szCs w:val="24"/>
        </w:rPr>
        <w:t>.</w:t>
      </w:r>
      <w:r w:rsidR="00287F94" w:rsidRPr="0034696C">
        <w:rPr>
          <w:rStyle w:val="FootnoteReference"/>
          <w:sz w:val="24"/>
          <w:szCs w:val="24"/>
        </w:rPr>
        <w:footnoteReference w:id="16"/>
      </w:r>
      <w:r w:rsidR="00673DFE" w:rsidRPr="0034696C">
        <w:rPr>
          <w:bCs/>
          <w:sz w:val="24"/>
          <w:szCs w:val="24"/>
        </w:rPr>
        <w:t xml:space="preserve"> The Company </w:t>
      </w:r>
      <w:r w:rsidR="00287F94" w:rsidRPr="0034696C">
        <w:rPr>
          <w:bCs/>
          <w:sz w:val="24"/>
          <w:szCs w:val="24"/>
        </w:rPr>
        <w:t xml:space="preserve">provided documentation that </w:t>
      </w:r>
      <w:r w:rsidR="00E70175" w:rsidRPr="0034696C">
        <w:rPr>
          <w:bCs/>
          <w:sz w:val="24"/>
          <w:szCs w:val="24"/>
        </w:rPr>
        <w:t xml:space="preserve">it reallocated </w:t>
      </w:r>
      <w:r w:rsidR="00287F94" w:rsidRPr="0034696C">
        <w:rPr>
          <w:bCs/>
          <w:sz w:val="24"/>
          <w:szCs w:val="24"/>
        </w:rPr>
        <w:t>the WSU reimbursement to the natural gas program as of July 28, 2015.</w:t>
      </w:r>
      <w:r w:rsidR="00287F94" w:rsidRPr="0034696C">
        <w:rPr>
          <w:rStyle w:val="FootnoteReference"/>
          <w:bCs/>
          <w:sz w:val="24"/>
          <w:szCs w:val="24"/>
        </w:rPr>
        <w:footnoteReference w:id="17"/>
      </w:r>
      <w:r w:rsidR="00287F94" w:rsidRPr="0034696C">
        <w:rPr>
          <w:bCs/>
          <w:sz w:val="24"/>
          <w:szCs w:val="24"/>
        </w:rPr>
        <w:t xml:space="preserve">  </w:t>
      </w:r>
    </w:p>
    <w:p w14:paraId="3F253C46" w14:textId="77777777" w:rsidR="00287F94" w:rsidRPr="0034696C" w:rsidRDefault="00287F94" w:rsidP="00287F94">
      <w:pPr>
        <w:pStyle w:val="ListParagraph"/>
        <w:spacing w:line="264" w:lineRule="auto"/>
        <w:ind w:left="1080"/>
        <w:rPr>
          <w:bCs/>
        </w:rPr>
      </w:pPr>
    </w:p>
    <w:p w14:paraId="128621C6" w14:textId="77777777" w:rsidR="008530AD" w:rsidRPr="0034696C" w:rsidRDefault="008530AD" w:rsidP="008530AD">
      <w:pPr>
        <w:pStyle w:val="ListParagraph"/>
        <w:numPr>
          <w:ilvl w:val="0"/>
          <w:numId w:val="18"/>
        </w:numPr>
        <w:spacing w:line="264" w:lineRule="auto"/>
        <w:rPr>
          <w:bCs/>
        </w:rPr>
      </w:pPr>
      <w:r w:rsidRPr="0034696C">
        <w:rPr>
          <w:bCs/>
          <w:i/>
        </w:rPr>
        <w:t xml:space="preserve">Cessation of </w:t>
      </w:r>
      <w:proofErr w:type="spellStart"/>
      <w:r w:rsidRPr="0034696C">
        <w:rPr>
          <w:bCs/>
          <w:i/>
        </w:rPr>
        <w:t>Opower</w:t>
      </w:r>
      <w:proofErr w:type="spellEnd"/>
      <w:r w:rsidRPr="0034696C">
        <w:rPr>
          <w:bCs/>
          <w:i/>
        </w:rPr>
        <w:t xml:space="preserve"> </w:t>
      </w:r>
      <w:proofErr w:type="spellStart"/>
      <w:r w:rsidRPr="0034696C">
        <w:rPr>
          <w:bCs/>
          <w:i/>
        </w:rPr>
        <w:t>HERs</w:t>
      </w:r>
      <w:proofErr w:type="spellEnd"/>
    </w:p>
    <w:p w14:paraId="3ECA6253" w14:textId="77777777" w:rsidR="008530AD" w:rsidRPr="0034696C" w:rsidRDefault="008530AD" w:rsidP="008530AD">
      <w:pPr>
        <w:spacing w:line="264" w:lineRule="auto"/>
        <w:rPr>
          <w:bCs/>
          <w:sz w:val="24"/>
          <w:szCs w:val="24"/>
        </w:rPr>
      </w:pPr>
    </w:p>
    <w:p w14:paraId="752AE93C" w14:textId="77777777" w:rsidR="00287F94" w:rsidRPr="0034696C" w:rsidRDefault="00287F94" w:rsidP="006A32AB">
      <w:pPr>
        <w:numPr>
          <w:ilvl w:val="0"/>
          <w:numId w:val="14"/>
        </w:numPr>
        <w:spacing w:line="264" w:lineRule="auto"/>
        <w:ind w:hanging="720"/>
        <w:rPr>
          <w:bCs/>
          <w:sz w:val="24"/>
          <w:szCs w:val="24"/>
        </w:rPr>
      </w:pPr>
      <w:r w:rsidRPr="0034696C">
        <w:rPr>
          <w:sz w:val="24"/>
          <w:szCs w:val="24"/>
        </w:rPr>
        <w:t>Staff state</w:t>
      </w:r>
      <w:r w:rsidR="00673DFE" w:rsidRPr="0034696C">
        <w:rPr>
          <w:sz w:val="24"/>
          <w:szCs w:val="24"/>
        </w:rPr>
        <w:t>d</w:t>
      </w:r>
      <w:r w:rsidRPr="0034696C">
        <w:rPr>
          <w:sz w:val="24"/>
          <w:szCs w:val="24"/>
        </w:rPr>
        <w:t xml:space="preserve"> that </w:t>
      </w:r>
      <w:proofErr w:type="spellStart"/>
      <w:r w:rsidRPr="0034696C">
        <w:rPr>
          <w:sz w:val="24"/>
          <w:szCs w:val="24"/>
        </w:rPr>
        <w:t>Avista</w:t>
      </w:r>
      <w:proofErr w:type="spellEnd"/>
      <w:r w:rsidRPr="0034696C">
        <w:rPr>
          <w:sz w:val="24"/>
          <w:szCs w:val="24"/>
        </w:rPr>
        <w:t xml:space="preserve"> stopped issuing home energy reports (</w:t>
      </w:r>
      <w:proofErr w:type="spellStart"/>
      <w:r w:rsidRPr="0034696C">
        <w:rPr>
          <w:sz w:val="24"/>
          <w:szCs w:val="24"/>
        </w:rPr>
        <w:t>HERs</w:t>
      </w:r>
      <w:proofErr w:type="spellEnd"/>
      <w:r w:rsidRPr="0034696C">
        <w:rPr>
          <w:sz w:val="24"/>
          <w:szCs w:val="24"/>
        </w:rPr>
        <w:t xml:space="preserve">) for its </w:t>
      </w:r>
      <w:proofErr w:type="spellStart"/>
      <w:r w:rsidRPr="0034696C">
        <w:rPr>
          <w:sz w:val="24"/>
          <w:szCs w:val="24"/>
        </w:rPr>
        <w:t>Opower</w:t>
      </w:r>
      <w:proofErr w:type="spellEnd"/>
      <w:r w:rsidRPr="0034696C">
        <w:rPr>
          <w:sz w:val="24"/>
          <w:szCs w:val="24"/>
        </w:rPr>
        <w:t xml:space="preserve"> program in January 2015, because of technical difficulties with its new billing system.</w:t>
      </w:r>
      <w:r w:rsidRPr="0034696C">
        <w:rPr>
          <w:rStyle w:val="FootnoteReference"/>
          <w:sz w:val="24"/>
          <w:szCs w:val="24"/>
        </w:rPr>
        <w:footnoteReference w:id="18"/>
      </w:r>
      <w:r w:rsidRPr="0034696C">
        <w:rPr>
          <w:sz w:val="24"/>
          <w:szCs w:val="24"/>
        </w:rPr>
        <w:t xml:space="preserve"> According to Staff, the Company did not expect to resume providing </w:t>
      </w:r>
      <w:proofErr w:type="spellStart"/>
      <w:proofErr w:type="gramStart"/>
      <w:r w:rsidRPr="0034696C">
        <w:rPr>
          <w:sz w:val="24"/>
          <w:szCs w:val="24"/>
        </w:rPr>
        <w:t>HERs</w:t>
      </w:r>
      <w:proofErr w:type="spellEnd"/>
      <w:proofErr w:type="gramEnd"/>
      <w:r w:rsidRPr="0034696C">
        <w:rPr>
          <w:sz w:val="24"/>
          <w:szCs w:val="24"/>
        </w:rPr>
        <w:t xml:space="preserve"> until at least the end of August 2015, for a total of at least eight months of non-service</w:t>
      </w:r>
      <w:r w:rsidR="005D27BB" w:rsidRPr="0034696C">
        <w:rPr>
          <w:sz w:val="24"/>
          <w:szCs w:val="24"/>
        </w:rPr>
        <w:t>,</w:t>
      </w:r>
      <w:r w:rsidRPr="0034696C">
        <w:rPr>
          <w:sz w:val="24"/>
          <w:szCs w:val="24"/>
        </w:rPr>
        <w:t xml:space="preserve"> </w:t>
      </w:r>
      <w:r w:rsidR="00DD5D2D" w:rsidRPr="0034696C">
        <w:rPr>
          <w:sz w:val="24"/>
          <w:szCs w:val="24"/>
        </w:rPr>
        <w:t>while</w:t>
      </w:r>
      <w:r w:rsidRPr="0034696C">
        <w:rPr>
          <w:sz w:val="24"/>
          <w:szCs w:val="24"/>
        </w:rPr>
        <w:t xml:space="preserve"> </w:t>
      </w:r>
      <w:proofErr w:type="spellStart"/>
      <w:r w:rsidRPr="0034696C">
        <w:rPr>
          <w:sz w:val="24"/>
          <w:szCs w:val="24"/>
        </w:rPr>
        <w:t>Avista</w:t>
      </w:r>
      <w:proofErr w:type="spellEnd"/>
      <w:r w:rsidRPr="0034696C">
        <w:rPr>
          <w:sz w:val="24"/>
          <w:szCs w:val="24"/>
        </w:rPr>
        <w:t xml:space="preserve"> has continued to collect revenues for this program from customers totaling over $295,000.</w:t>
      </w:r>
      <w:r w:rsidRPr="0034696C">
        <w:rPr>
          <w:rStyle w:val="FootnoteReference"/>
          <w:sz w:val="24"/>
          <w:szCs w:val="24"/>
        </w:rPr>
        <w:footnoteReference w:id="19"/>
      </w:r>
      <w:r w:rsidRPr="0034696C">
        <w:rPr>
          <w:sz w:val="24"/>
          <w:szCs w:val="24"/>
        </w:rPr>
        <w:t xml:space="preserve"> Staff </w:t>
      </w:r>
      <w:r w:rsidR="00DD5D2D" w:rsidRPr="0034696C">
        <w:rPr>
          <w:sz w:val="24"/>
          <w:szCs w:val="24"/>
        </w:rPr>
        <w:t>expressed</w:t>
      </w:r>
      <w:r w:rsidRPr="0034696C">
        <w:rPr>
          <w:sz w:val="24"/>
          <w:szCs w:val="24"/>
        </w:rPr>
        <w:t xml:space="preserve"> concern with both the impact of this eight</w:t>
      </w:r>
      <w:r w:rsidR="005D27BB" w:rsidRPr="0034696C">
        <w:rPr>
          <w:sz w:val="24"/>
          <w:szCs w:val="24"/>
        </w:rPr>
        <w:t>-</w:t>
      </w:r>
      <w:r w:rsidRPr="0034696C">
        <w:rPr>
          <w:sz w:val="24"/>
          <w:szCs w:val="24"/>
        </w:rPr>
        <w:t>month lapse in reports on the three</w:t>
      </w:r>
      <w:r w:rsidR="005D27BB" w:rsidRPr="0034696C">
        <w:rPr>
          <w:sz w:val="24"/>
          <w:szCs w:val="24"/>
        </w:rPr>
        <w:t>-</w:t>
      </w:r>
      <w:r w:rsidRPr="0034696C">
        <w:rPr>
          <w:sz w:val="24"/>
          <w:szCs w:val="24"/>
        </w:rPr>
        <w:t xml:space="preserve">year </w:t>
      </w:r>
      <w:proofErr w:type="spellStart"/>
      <w:r w:rsidRPr="0034696C">
        <w:rPr>
          <w:sz w:val="24"/>
          <w:szCs w:val="24"/>
        </w:rPr>
        <w:t>Opower</w:t>
      </w:r>
      <w:proofErr w:type="spellEnd"/>
      <w:r w:rsidRPr="0034696C">
        <w:rPr>
          <w:sz w:val="24"/>
          <w:szCs w:val="24"/>
        </w:rPr>
        <w:t xml:space="preserve"> program’s efficacy and the lack of any communication by </w:t>
      </w:r>
      <w:proofErr w:type="spellStart"/>
      <w:r w:rsidRPr="0034696C">
        <w:rPr>
          <w:sz w:val="24"/>
          <w:szCs w:val="24"/>
        </w:rPr>
        <w:t>Avista</w:t>
      </w:r>
      <w:proofErr w:type="spellEnd"/>
      <w:r w:rsidRPr="0034696C">
        <w:rPr>
          <w:sz w:val="24"/>
          <w:szCs w:val="24"/>
        </w:rPr>
        <w:t xml:space="preserve"> to its Advisory Group regarding this problem until May 1, 2015.</w:t>
      </w:r>
      <w:r w:rsidRPr="0034696C">
        <w:rPr>
          <w:rStyle w:val="FootnoteReference"/>
          <w:sz w:val="24"/>
          <w:szCs w:val="24"/>
        </w:rPr>
        <w:footnoteReference w:id="20"/>
      </w:r>
    </w:p>
    <w:p w14:paraId="0A428FE5" w14:textId="77777777" w:rsidR="00287F94" w:rsidRPr="0034696C" w:rsidRDefault="00287F94" w:rsidP="00287F94">
      <w:pPr>
        <w:spacing w:line="264" w:lineRule="auto"/>
        <w:rPr>
          <w:bCs/>
          <w:sz w:val="24"/>
          <w:szCs w:val="24"/>
        </w:rPr>
      </w:pPr>
    </w:p>
    <w:p w14:paraId="369709A7" w14:textId="77777777" w:rsidR="00AE6D1A" w:rsidRPr="0034696C" w:rsidRDefault="008530AD" w:rsidP="00E23733">
      <w:pPr>
        <w:numPr>
          <w:ilvl w:val="0"/>
          <w:numId w:val="14"/>
        </w:numPr>
        <w:spacing w:line="264" w:lineRule="auto"/>
        <w:ind w:hanging="720"/>
        <w:rPr>
          <w:bCs/>
          <w:sz w:val="24"/>
          <w:szCs w:val="24"/>
        </w:rPr>
      </w:pPr>
      <w:proofErr w:type="spellStart"/>
      <w:r w:rsidRPr="0034696C">
        <w:rPr>
          <w:bCs/>
          <w:sz w:val="24"/>
          <w:szCs w:val="24"/>
        </w:rPr>
        <w:t>Avista</w:t>
      </w:r>
      <w:proofErr w:type="spellEnd"/>
      <w:r w:rsidRPr="0034696C">
        <w:rPr>
          <w:bCs/>
          <w:sz w:val="24"/>
          <w:szCs w:val="24"/>
        </w:rPr>
        <w:t xml:space="preserve"> extracted data files that met the </w:t>
      </w:r>
      <w:proofErr w:type="spellStart"/>
      <w:r w:rsidRPr="0034696C">
        <w:rPr>
          <w:bCs/>
          <w:sz w:val="24"/>
          <w:szCs w:val="24"/>
        </w:rPr>
        <w:t>Opower</w:t>
      </w:r>
      <w:proofErr w:type="spellEnd"/>
      <w:r w:rsidRPr="0034696C">
        <w:rPr>
          <w:bCs/>
          <w:sz w:val="24"/>
          <w:szCs w:val="24"/>
        </w:rPr>
        <w:t xml:space="preserve"> specifications and sent the </w:t>
      </w:r>
      <w:r w:rsidR="00287F94" w:rsidRPr="0034696C">
        <w:rPr>
          <w:bCs/>
          <w:sz w:val="24"/>
          <w:szCs w:val="24"/>
        </w:rPr>
        <w:t>i</w:t>
      </w:r>
      <w:r w:rsidRPr="0034696C">
        <w:rPr>
          <w:bCs/>
          <w:sz w:val="24"/>
          <w:szCs w:val="24"/>
        </w:rPr>
        <w:t xml:space="preserve">nformation to </w:t>
      </w:r>
      <w:proofErr w:type="spellStart"/>
      <w:r w:rsidRPr="0034696C">
        <w:rPr>
          <w:bCs/>
          <w:sz w:val="24"/>
          <w:szCs w:val="24"/>
        </w:rPr>
        <w:t>Opower</w:t>
      </w:r>
      <w:proofErr w:type="spellEnd"/>
      <w:r w:rsidRPr="0034696C">
        <w:rPr>
          <w:bCs/>
          <w:sz w:val="24"/>
          <w:szCs w:val="24"/>
        </w:rPr>
        <w:t xml:space="preserve"> by the end of June 2015 for analysis and reporting</w:t>
      </w:r>
      <w:r w:rsidR="00CB4551" w:rsidRPr="0034696C">
        <w:rPr>
          <w:bCs/>
          <w:sz w:val="24"/>
          <w:szCs w:val="24"/>
        </w:rPr>
        <w:t>.</w:t>
      </w:r>
      <w:r w:rsidR="00CB4551" w:rsidRPr="0034696C">
        <w:rPr>
          <w:rStyle w:val="FootnoteReference"/>
          <w:bCs/>
          <w:sz w:val="24"/>
          <w:szCs w:val="24"/>
        </w:rPr>
        <w:footnoteReference w:id="21"/>
      </w:r>
      <w:r w:rsidR="00CB4551" w:rsidRPr="0034696C">
        <w:rPr>
          <w:bCs/>
          <w:sz w:val="24"/>
          <w:szCs w:val="24"/>
        </w:rPr>
        <w:t xml:space="preserve"> </w:t>
      </w:r>
      <w:proofErr w:type="spellStart"/>
      <w:r w:rsidR="00F01629" w:rsidRPr="0034696C">
        <w:rPr>
          <w:bCs/>
          <w:sz w:val="24"/>
          <w:szCs w:val="24"/>
        </w:rPr>
        <w:t>Opower</w:t>
      </w:r>
      <w:proofErr w:type="spellEnd"/>
      <w:r w:rsidR="00F01629" w:rsidRPr="0034696C">
        <w:rPr>
          <w:bCs/>
          <w:sz w:val="24"/>
          <w:szCs w:val="24"/>
        </w:rPr>
        <w:t xml:space="preserve"> resumed its reporting on August 14, 2015, and </w:t>
      </w:r>
      <w:proofErr w:type="spellStart"/>
      <w:r w:rsidR="00F01629" w:rsidRPr="0034696C">
        <w:rPr>
          <w:bCs/>
          <w:sz w:val="24"/>
          <w:szCs w:val="24"/>
        </w:rPr>
        <w:t>Avista</w:t>
      </w:r>
      <w:proofErr w:type="spellEnd"/>
      <w:r w:rsidR="00F01629" w:rsidRPr="0034696C">
        <w:rPr>
          <w:bCs/>
          <w:sz w:val="24"/>
          <w:szCs w:val="24"/>
        </w:rPr>
        <w:t xml:space="preserve"> asserts that the level of customer savings has remained relatively stable through the eight month reporting interruption.</w:t>
      </w:r>
      <w:r w:rsidR="00F01629" w:rsidRPr="0034696C">
        <w:rPr>
          <w:rStyle w:val="FootnoteReference"/>
          <w:bCs/>
          <w:sz w:val="24"/>
          <w:szCs w:val="24"/>
        </w:rPr>
        <w:footnoteReference w:id="22"/>
      </w:r>
      <w:r w:rsidR="00CB4551" w:rsidRPr="0034696C">
        <w:rPr>
          <w:bCs/>
          <w:sz w:val="24"/>
          <w:szCs w:val="24"/>
        </w:rPr>
        <w:t xml:space="preserve"> </w:t>
      </w:r>
      <w:r w:rsidR="00DD5D2D" w:rsidRPr="0034696C">
        <w:rPr>
          <w:bCs/>
          <w:sz w:val="24"/>
          <w:szCs w:val="24"/>
        </w:rPr>
        <w:t xml:space="preserve">As part of the Settlement, </w:t>
      </w:r>
      <w:proofErr w:type="spellStart"/>
      <w:r w:rsidR="00DD5D2D" w:rsidRPr="0034696C">
        <w:rPr>
          <w:bCs/>
          <w:sz w:val="24"/>
          <w:szCs w:val="24"/>
        </w:rPr>
        <w:t>Avista</w:t>
      </w:r>
      <w:proofErr w:type="spellEnd"/>
      <w:r w:rsidR="00F01629" w:rsidRPr="0034696C">
        <w:rPr>
          <w:bCs/>
          <w:sz w:val="24"/>
          <w:szCs w:val="24"/>
        </w:rPr>
        <w:t xml:space="preserve"> agrees to refund $211,589, the costs associated with the </w:t>
      </w:r>
      <w:proofErr w:type="spellStart"/>
      <w:r w:rsidR="00F01629" w:rsidRPr="0034696C">
        <w:rPr>
          <w:bCs/>
          <w:sz w:val="24"/>
          <w:szCs w:val="24"/>
        </w:rPr>
        <w:t>HERs</w:t>
      </w:r>
      <w:proofErr w:type="spellEnd"/>
      <w:r w:rsidR="00F01629" w:rsidRPr="0034696C">
        <w:rPr>
          <w:bCs/>
          <w:sz w:val="24"/>
          <w:szCs w:val="24"/>
        </w:rPr>
        <w:t xml:space="preserve"> </w:t>
      </w:r>
      <w:r w:rsidR="00F01629" w:rsidRPr="0034696C">
        <w:rPr>
          <w:bCs/>
          <w:sz w:val="24"/>
          <w:szCs w:val="24"/>
        </w:rPr>
        <w:lastRenderedPageBreak/>
        <w:t>cessation, to customers.</w:t>
      </w:r>
      <w:r w:rsidR="00F01629" w:rsidRPr="0034696C">
        <w:rPr>
          <w:rStyle w:val="FootnoteReference"/>
          <w:bCs/>
          <w:sz w:val="24"/>
          <w:szCs w:val="24"/>
        </w:rPr>
        <w:footnoteReference w:id="23"/>
      </w:r>
      <w:r w:rsidR="00F01629" w:rsidRPr="0034696C">
        <w:rPr>
          <w:bCs/>
          <w:sz w:val="24"/>
          <w:szCs w:val="24"/>
        </w:rPr>
        <w:t xml:space="preserve"> </w:t>
      </w:r>
      <w:proofErr w:type="spellStart"/>
      <w:r w:rsidR="00F01629" w:rsidRPr="0034696C">
        <w:rPr>
          <w:bCs/>
          <w:sz w:val="24"/>
          <w:szCs w:val="24"/>
        </w:rPr>
        <w:t>Avista</w:t>
      </w:r>
      <w:proofErr w:type="spellEnd"/>
      <w:r w:rsidR="00F01629" w:rsidRPr="0034696C">
        <w:rPr>
          <w:bCs/>
          <w:sz w:val="24"/>
          <w:szCs w:val="24"/>
        </w:rPr>
        <w:t xml:space="preserve"> also intends to extend the study period for the </w:t>
      </w:r>
      <w:proofErr w:type="spellStart"/>
      <w:r w:rsidR="00F01629" w:rsidRPr="0034696C">
        <w:rPr>
          <w:bCs/>
          <w:sz w:val="24"/>
          <w:szCs w:val="24"/>
        </w:rPr>
        <w:t>Opower</w:t>
      </w:r>
      <w:proofErr w:type="spellEnd"/>
      <w:r w:rsidR="00F01629" w:rsidRPr="0034696C">
        <w:rPr>
          <w:bCs/>
          <w:sz w:val="24"/>
          <w:szCs w:val="24"/>
        </w:rPr>
        <w:t xml:space="preserve"> program to </w:t>
      </w:r>
      <w:r w:rsidR="005D27BB" w:rsidRPr="0034696C">
        <w:rPr>
          <w:bCs/>
          <w:sz w:val="24"/>
          <w:szCs w:val="24"/>
        </w:rPr>
        <w:t xml:space="preserve">provide additional </w:t>
      </w:r>
      <w:proofErr w:type="spellStart"/>
      <w:r w:rsidR="00F01629" w:rsidRPr="0034696C">
        <w:rPr>
          <w:bCs/>
          <w:sz w:val="24"/>
          <w:szCs w:val="24"/>
        </w:rPr>
        <w:t>HERs</w:t>
      </w:r>
      <w:proofErr w:type="spellEnd"/>
      <w:r w:rsidR="00F01629" w:rsidRPr="0034696C">
        <w:rPr>
          <w:bCs/>
          <w:sz w:val="24"/>
          <w:szCs w:val="24"/>
        </w:rPr>
        <w:t xml:space="preserve"> </w:t>
      </w:r>
      <w:r w:rsidR="005D27BB" w:rsidRPr="0034696C">
        <w:rPr>
          <w:bCs/>
          <w:sz w:val="24"/>
          <w:szCs w:val="24"/>
        </w:rPr>
        <w:t>after the program’s initial three-year period</w:t>
      </w:r>
      <w:r w:rsidR="00F01629" w:rsidRPr="0034696C">
        <w:rPr>
          <w:bCs/>
          <w:sz w:val="24"/>
          <w:szCs w:val="24"/>
        </w:rPr>
        <w:t>.</w:t>
      </w:r>
      <w:r w:rsidR="00F01629" w:rsidRPr="0034696C">
        <w:rPr>
          <w:rStyle w:val="FootnoteReference"/>
          <w:bCs/>
          <w:sz w:val="24"/>
          <w:szCs w:val="24"/>
        </w:rPr>
        <w:footnoteReference w:id="24"/>
      </w:r>
    </w:p>
    <w:p w14:paraId="5B5A0DC1" w14:textId="77777777" w:rsidR="00287F94" w:rsidRPr="0034696C" w:rsidRDefault="00287F94" w:rsidP="00287F94">
      <w:pPr>
        <w:spacing w:line="264" w:lineRule="auto"/>
        <w:rPr>
          <w:bCs/>
          <w:sz w:val="24"/>
          <w:szCs w:val="24"/>
        </w:rPr>
      </w:pPr>
    </w:p>
    <w:p w14:paraId="28CE86E5" w14:textId="77777777" w:rsidR="00287F94" w:rsidRPr="0034696C" w:rsidRDefault="00287F94" w:rsidP="00287F94">
      <w:pPr>
        <w:numPr>
          <w:ilvl w:val="0"/>
          <w:numId w:val="14"/>
        </w:numPr>
        <w:spacing w:line="264" w:lineRule="auto"/>
        <w:ind w:hanging="720"/>
        <w:rPr>
          <w:bCs/>
          <w:sz w:val="24"/>
          <w:szCs w:val="24"/>
        </w:rPr>
      </w:pPr>
      <w:r w:rsidRPr="0034696C">
        <w:rPr>
          <w:bCs/>
          <w:sz w:val="24"/>
          <w:szCs w:val="24"/>
        </w:rPr>
        <w:t xml:space="preserve">While supporting the Settlement </w:t>
      </w:r>
      <w:r w:rsidR="00434CA9" w:rsidRPr="0034696C">
        <w:rPr>
          <w:bCs/>
          <w:sz w:val="24"/>
          <w:szCs w:val="24"/>
        </w:rPr>
        <w:t xml:space="preserve">by </w:t>
      </w:r>
      <w:r w:rsidRPr="0034696C">
        <w:rPr>
          <w:bCs/>
          <w:sz w:val="24"/>
          <w:szCs w:val="24"/>
        </w:rPr>
        <w:t>stating that “the Company has taken initial steps that will lead to a better, more transparent and robust conservation program,”</w:t>
      </w:r>
      <w:r w:rsidRPr="0034696C">
        <w:rPr>
          <w:rStyle w:val="FootnoteReference"/>
          <w:bCs/>
          <w:sz w:val="24"/>
          <w:szCs w:val="24"/>
        </w:rPr>
        <w:footnoteReference w:id="25"/>
      </w:r>
      <w:r w:rsidRPr="0034696C">
        <w:rPr>
          <w:bCs/>
          <w:sz w:val="24"/>
          <w:szCs w:val="24"/>
        </w:rPr>
        <w:t xml:space="preserve"> Staff and Public Counsel acknowledge that “there is more work to be done, and we still have ongoing concerns and issues that we will monitor as members of the Company’s advisory group and in matters that come before the Commission.”</w:t>
      </w:r>
      <w:r w:rsidRPr="0034696C">
        <w:rPr>
          <w:rStyle w:val="FootnoteReference"/>
          <w:bCs/>
          <w:sz w:val="24"/>
          <w:szCs w:val="24"/>
        </w:rPr>
        <w:footnoteReference w:id="26"/>
      </w:r>
      <w:r w:rsidRPr="0034696C">
        <w:rPr>
          <w:bCs/>
          <w:sz w:val="24"/>
          <w:szCs w:val="24"/>
        </w:rPr>
        <w:t xml:space="preserve"> Staff and Public Counsel </w:t>
      </w:r>
      <w:r w:rsidR="00C703C1" w:rsidRPr="0034696C">
        <w:rPr>
          <w:bCs/>
          <w:sz w:val="24"/>
          <w:szCs w:val="24"/>
        </w:rPr>
        <w:t>point to</w:t>
      </w:r>
      <w:r w:rsidRPr="0034696C">
        <w:rPr>
          <w:bCs/>
          <w:sz w:val="24"/>
          <w:szCs w:val="24"/>
        </w:rPr>
        <w:t xml:space="preserve"> </w:t>
      </w:r>
      <w:proofErr w:type="spellStart"/>
      <w:r w:rsidRPr="0034696C">
        <w:rPr>
          <w:bCs/>
          <w:sz w:val="24"/>
          <w:szCs w:val="24"/>
        </w:rPr>
        <w:t>Avista’s</w:t>
      </w:r>
      <w:proofErr w:type="spellEnd"/>
      <w:r w:rsidRPr="0034696C">
        <w:rPr>
          <w:bCs/>
          <w:sz w:val="24"/>
          <w:szCs w:val="24"/>
        </w:rPr>
        <w:t xml:space="preserve"> monthly newsletter to Advisory Group members as a necessary tool “to monitor </w:t>
      </w:r>
      <w:r w:rsidR="00C703C1" w:rsidRPr="0034696C">
        <w:rPr>
          <w:bCs/>
          <w:sz w:val="24"/>
          <w:szCs w:val="24"/>
        </w:rPr>
        <w:t>[the Company’s]</w:t>
      </w:r>
      <w:r w:rsidRPr="0034696C">
        <w:rPr>
          <w:bCs/>
          <w:sz w:val="24"/>
          <w:szCs w:val="24"/>
        </w:rPr>
        <w:t xml:space="preserve"> spending and acquisition levels.”</w:t>
      </w:r>
      <w:r w:rsidRPr="0034696C">
        <w:rPr>
          <w:rStyle w:val="FootnoteReference"/>
          <w:bCs/>
          <w:sz w:val="24"/>
          <w:szCs w:val="24"/>
        </w:rPr>
        <w:footnoteReference w:id="27"/>
      </w:r>
      <w:r w:rsidRPr="0034696C">
        <w:rPr>
          <w:bCs/>
          <w:sz w:val="24"/>
          <w:szCs w:val="24"/>
        </w:rPr>
        <w:t xml:space="preserve"> Further, they state that the Company has begun to document Advisory Group meeting discussions and requests from members for discussion of specific topics.</w:t>
      </w:r>
      <w:r w:rsidRPr="0034696C">
        <w:rPr>
          <w:rStyle w:val="FootnoteReference"/>
          <w:bCs/>
          <w:sz w:val="24"/>
          <w:szCs w:val="24"/>
        </w:rPr>
        <w:footnoteReference w:id="28"/>
      </w:r>
      <w:r w:rsidRPr="0034696C">
        <w:rPr>
          <w:bCs/>
          <w:sz w:val="24"/>
          <w:szCs w:val="24"/>
        </w:rPr>
        <w:t xml:space="preserve"> The Commission will have an opportunity to review </w:t>
      </w:r>
      <w:proofErr w:type="spellStart"/>
      <w:r w:rsidRPr="0034696C">
        <w:rPr>
          <w:bCs/>
          <w:sz w:val="24"/>
          <w:szCs w:val="24"/>
        </w:rPr>
        <w:t>Avista’s</w:t>
      </w:r>
      <w:proofErr w:type="spellEnd"/>
      <w:r w:rsidRPr="0034696C">
        <w:rPr>
          <w:bCs/>
          <w:sz w:val="24"/>
          <w:szCs w:val="24"/>
        </w:rPr>
        <w:t xml:space="preserve"> </w:t>
      </w:r>
      <w:proofErr w:type="spellStart"/>
      <w:r w:rsidRPr="0034696C">
        <w:rPr>
          <w:bCs/>
          <w:sz w:val="24"/>
          <w:szCs w:val="24"/>
        </w:rPr>
        <w:t>Opower</w:t>
      </w:r>
      <w:proofErr w:type="spellEnd"/>
      <w:r w:rsidRPr="0034696C">
        <w:rPr>
          <w:bCs/>
          <w:sz w:val="24"/>
          <w:szCs w:val="24"/>
        </w:rPr>
        <w:t xml:space="preserve"> program communications and engagement with its Advisory Group as part of the Company’s Biennial Conservation Report, </w:t>
      </w:r>
      <w:r w:rsidR="00A528A8" w:rsidRPr="0034696C">
        <w:rPr>
          <w:bCs/>
          <w:sz w:val="24"/>
          <w:szCs w:val="24"/>
        </w:rPr>
        <w:t xml:space="preserve">scheduled for </w:t>
      </w:r>
      <w:r w:rsidRPr="0034696C">
        <w:rPr>
          <w:bCs/>
          <w:sz w:val="24"/>
          <w:szCs w:val="24"/>
        </w:rPr>
        <w:t>fil</w:t>
      </w:r>
      <w:r w:rsidR="00A528A8" w:rsidRPr="0034696C">
        <w:rPr>
          <w:bCs/>
          <w:sz w:val="24"/>
          <w:szCs w:val="24"/>
        </w:rPr>
        <w:t>ing</w:t>
      </w:r>
      <w:r w:rsidRPr="0034696C">
        <w:rPr>
          <w:bCs/>
          <w:sz w:val="24"/>
          <w:szCs w:val="24"/>
        </w:rPr>
        <w:t xml:space="preserve"> in June 2016.</w:t>
      </w:r>
      <w:r w:rsidRPr="0034696C">
        <w:rPr>
          <w:rStyle w:val="FootnoteReference"/>
          <w:bCs/>
          <w:sz w:val="24"/>
          <w:szCs w:val="24"/>
        </w:rPr>
        <w:footnoteReference w:id="29"/>
      </w:r>
      <w:r w:rsidRPr="0034696C">
        <w:rPr>
          <w:bCs/>
          <w:sz w:val="24"/>
          <w:szCs w:val="24"/>
        </w:rPr>
        <w:t xml:space="preserve"> </w:t>
      </w:r>
    </w:p>
    <w:p w14:paraId="1619DA9B" w14:textId="77777777" w:rsidR="00287F94" w:rsidRPr="0034696C" w:rsidRDefault="00287F94" w:rsidP="00287F94">
      <w:pPr>
        <w:spacing w:line="264" w:lineRule="auto"/>
        <w:rPr>
          <w:bCs/>
          <w:sz w:val="24"/>
          <w:szCs w:val="24"/>
        </w:rPr>
      </w:pPr>
    </w:p>
    <w:p w14:paraId="78E436DC" w14:textId="77777777" w:rsidR="00287F94" w:rsidRPr="0034696C" w:rsidRDefault="00C703C1" w:rsidP="00287F94">
      <w:pPr>
        <w:numPr>
          <w:ilvl w:val="0"/>
          <w:numId w:val="14"/>
        </w:numPr>
        <w:spacing w:line="264" w:lineRule="auto"/>
        <w:ind w:hanging="720"/>
        <w:rPr>
          <w:bCs/>
          <w:sz w:val="24"/>
          <w:szCs w:val="24"/>
        </w:rPr>
      </w:pPr>
      <w:r w:rsidRPr="0034696C">
        <w:rPr>
          <w:bCs/>
          <w:sz w:val="24"/>
          <w:szCs w:val="24"/>
        </w:rPr>
        <w:t xml:space="preserve">In </w:t>
      </w:r>
      <w:r w:rsidR="00E4717B" w:rsidRPr="0034696C">
        <w:rPr>
          <w:bCs/>
          <w:sz w:val="24"/>
          <w:szCs w:val="24"/>
        </w:rPr>
        <w:t>describing</w:t>
      </w:r>
      <w:r w:rsidRPr="0034696C">
        <w:rPr>
          <w:bCs/>
          <w:sz w:val="24"/>
          <w:szCs w:val="24"/>
        </w:rPr>
        <w:t xml:space="preserve"> measures it has taken to improve communications with its Advisory Group, </w:t>
      </w:r>
      <w:proofErr w:type="spellStart"/>
      <w:r w:rsidR="00287F94" w:rsidRPr="0034696C">
        <w:rPr>
          <w:bCs/>
          <w:sz w:val="24"/>
          <w:szCs w:val="24"/>
        </w:rPr>
        <w:t>Avista</w:t>
      </w:r>
      <w:proofErr w:type="spellEnd"/>
      <w:r w:rsidR="00287F94" w:rsidRPr="0034696C">
        <w:rPr>
          <w:bCs/>
          <w:sz w:val="24"/>
          <w:szCs w:val="24"/>
        </w:rPr>
        <w:t xml:space="preserve"> asserts that its management staff meet “weekly to discuss the status and issues of ongoing programs … [providing] increased visibility to issues … [that] can be brought forward to the Advisory Group as needed.”</w:t>
      </w:r>
      <w:r w:rsidR="00287F94" w:rsidRPr="0034696C">
        <w:rPr>
          <w:rStyle w:val="FootnoteReference"/>
          <w:bCs/>
          <w:sz w:val="24"/>
          <w:szCs w:val="24"/>
        </w:rPr>
        <w:footnoteReference w:id="30"/>
      </w:r>
      <w:r w:rsidR="00287F94" w:rsidRPr="0034696C">
        <w:rPr>
          <w:bCs/>
          <w:sz w:val="24"/>
          <w:szCs w:val="24"/>
        </w:rPr>
        <w:t xml:space="preserve"> In addition to these weekly management meetings and quarterly conservation newsletters, the Company asserts </w:t>
      </w:r>
      <w:r w:rsidR="005D71A6" w:rsidRPr="0034696C">
        <w:rPr>
          <w:bCs/>
          <w:sz w:val="24"/>
          <w:szCs w:val="24"/>
        </w:rPr>
        <w:t xml:space="preserve">that </w:t>
      </w:r>
      <w:r w:rsidR="00E4717B" w:rsidRPr="0034696C">
        <w:rPr>
          <w:bCs/>
          <w:sz w:val="24"/>
          <w:szCs w:val="24"/>
        </w:rPr>
        <w:t>its outreach to the Advisory Group includes</w:t>
      </w:r>
      <w:r w:rsidR="00287F94" w:rsidRPr="0034696C">
        <w:rPr>
          <w:bCs/>
          <w:sz w:val="24"/>
          <w:szCs w:val="24"/>
        </w:rPr>
        <w:t xml:space="preserve"> in-person meetings at least twice per year</w:t>
      </w:r>
      <w:r w:rsidR="005D71A6" w:rsidRPr="0034696C">
        <w:rPr>
          <w:bCs/>
          <w:sz w:val="24"/>
          <w:szCs w:val="24"/>
        </w:rPr>
        <w:t xml:space="preserve"> and</w:t>
      </w:r>
      <w:r w:rsidR="00287F94" w:rsidRPr="0034696C">
        <w:rPr>
          <w:bCs/>
          <w:sz w:val="24"/>
          <w:szCs w:val="24"/>
        </w:rPr>
        <w:t xml:space="preserve"> several webinars annually</w:t>
      </w:r>
      <w:r w:rsidR="005D71A6" w:rsidRPr="0034696C">
        <w:rPr>
          <w:bCs/>
          <w:sz w:val="24"/>
          <w:szCs w:val="24"/>
        </w:rPr>
        <w:t xml:space="preserve"> at which the company identifies large projects and provides </w:t>
      </w:r>
      <w:r w:rsidR="00287F94" w:rsidRPr="0034696C">
        <w:rPr>
          <w:bCs/>
          <w:sz w:val="24"/>
          <w:szCs w:val="24"/>
        </w:rPr>
        <w:t>a detailed analysis of the results of demand side management operations on a monthly and annual basis</w:t>
      </w:r>
      <w:r w:rsidR="005D71A6" w:rsidRPr="0034696C">
        <w:rPr>
          <w:bCs/>
          <w:sz w:val="24"/>
          <w:szCs w:val="24"/>
        </w:rPr>
        <w:t>.</w:t>
      </w:r>
      <w:r w:rsidR="00287F94" w:rsidRPr="0034696C">
        <w:rPr>
          <w:rStyle w:val="FootnoteReference"/>
          <w:bCs/>
          <w:sz w:val="24"/>
          <w:szCs w:val="24"/>
        </w:rPr>
        <w:footnoteReference w:id="31"/>
      </w:r>
    </w:p>
    <w:p w14:paraId="66198BDB" w14:textId="77777777" w:rsidR="00AE6D1A" w:rsidRPr="0034696C" w:rsidRDefault="00AE6D1A" w:rsidP="00AE6D1A">
      <w:pPr>
        <w:spacing w:line="264" w:lineRule="auto"/>
        <w:rPr>
          <w:bCs/>
          <w:sz w:val="24"/>
          <w:szCs w:val="24"/>
        </w:rPr>
      </w:pPr>
    </w:p>
    <w:p w14:paraId="7D174D29" w14:textId="77777777" w:rsidR="00287F94" w:rsidRPr="0034696C" w:rsidRDefault="00287F94" w:rsidP="00287F94">
      <w:pPr>
        <w:pStyle w:val="ListParagraph"/>
        <w:numPr>
          <w:ilvl w:val="0"/>
          <w:numId w:val="18"/>
        </w:numPr>
        <w:spacing w:line="264" w:lineRule="auto"/>
        <w:rPr>
          <w:bCs/>
        </w:rPr>
      </w:pPr>
      <w:r w:rsidRPr="0034696C">
        <w:rPr>
          <w:bCs/>
          <w:i/>
        </w:rPr>
        <w:t>Schedule 191 – Natural Gas Program Rates</w:t>
      </w:r>
    </w:p>
    <w:p w14:paraId="01F820B9" w14:textId="77777777" w:rsidR="00287F94" w:rsidRPr="0034696C" w:rsidRDefault="00287F94" w:rsidP="00287F94">
      <w:pPr>
        <w:spacing w:line="264" w:lineRule="auto"/>
        <w:rPr>
          <w:bCs/>
          <w:sz w:val="24"/>
          <w:szCs w:val="24"/>
        </w:rPr>
      </w:pPr>
    </w:p>
    <w:p w14:paraId="270C1261" w14:textId="77777777" w:rsidR="00287F94" w:rsidRPr="0034696C" w:rsidRDefault="00287F94" w:rsidP="00287F94">
      <w:pPr>
        <w:numPr>
          <w:ilvl w:val="0"/>
          <w:numId w:val="14"/>
        </w:numPr>
        <w:spacing w:line="264" w:lineRule="auto"/>
        <w:ind w:hanging="720"/>
        <w:rPr>
          <w:bCs/>
          <w:sz w:val="24"/>
          <w:szCs w:val="24"/>
        </w:rPr>
      </w:pPr>
      <w:r w:rsidRPr="0034696C">
        <w:rPr>
          <w:bCs/>
          <w:sz w:val="24"/>
          <w:szCs w:val="24"/>
        </w:rPr>
        <w:t>One issue the Settlement addresses that was</w:t>
      </w:r>
      <w:r w:rsidR="005028FB" w:rsidRPr="0034696C">
        <w:rPr>
          <w:bCs/>
          <w:sz w:val="24"/>
          <w:szCs w:val="24"/>
        </w:rPr>
        <w:t xml:space="preserve"> </w:t>
      </w:r>
      <w:r w:rsidRPr="0034696C">
        <w:rPr>
          <w:bCs/>
          <w:sz w:val="24"/>
          <w:szCs w:val="24"/>
        </w:rPr>
        <w:t>n</w:t>
      </w:r>
      <w:r w:rsidR="005028FB" w:rsidRPr="0034696C">
        <w:rPr>
          <w:bCs/>
          <w:sz w:val="24"/>
          <w:szCs w:val="24"/>
        </w:rPr>
        <w:t>o</w:t>
      </w:r>
      <w:r w:rsidRPr="0034696C">
        <w:rPr>
          <w:bCs/>
          <w:sz w:val="24"/>
          <w:szCs w:val="24"/>
        </w:rPr>
        <w:t xml:space="preserve">t initially raised by the parties is a modification to the natural gas program tariff, Schedule 191. </w:t>
      </w:r>
      <w:proofErr w:type="spellStart"/>
      <w:r w:rsidRPr="0034696C">
        <w:rPr>
          <w:bCs/>
          <w:sz w:val="24"/>
          <w:szCs w:val="24"/>
        </w:rPr>
        <w:t>Avista’s</w:t>
      </w:r>
      <w:proofErr w:type="spellEnd"/>
      <w:r w:rsidRPr="0034696C">
        <w:rPr>
          <w:bCs/>
          <w:sz w:val="24"/>
          <w:szCs w:val="24"/>
        </w:rPr>
        <w:t xml:space="preserve"> July 2015 stakeholder newsletter revised the </w:t>
      </w:r>
      <w:r w:rsidR="005D71A6" w:rsidRPr="0034696C">
        <w:rPr>
          <w:bCs/>
          <w:sz w:val="24"/>
          <w:szCs w:val="24"/>
        </w:rPr>
        <w:t xml:space="preserve">amount of </w:t>
      </w:r>
      <w:r w:rsidRPr="0034696C">
        <w:rPr>
          <w:bCs/>
          <w:sz w:val="24"/>
          <w:szCs w:val="24"/>
        </w:rPr>
        <w:t>shortfall in this account from $500,000 to $1,200,000, a substantial increase in underfunding.</w:t>
      </w:r>
      <w:r w:rsidRPr="0034696C">
        <w:rPr>
          <w:rStyle w:val="FootnoteReference"/>
          <w:bCs/>
          <w:sz w:val="24"/>
          <w:szCs w:val="24"/>
        </w:rPr>
        <w:footnoteReference w:id="32"/>
      </w:r>
      <w:r w:rsidRPr="0034696C">
        <w:rPr>
          <w:bCs/>
          <w:sz w:val="24"/>
          <w:szCs w:val="24"/>
        </w:rPr>
        <w:t xml:space="preserve"> Subsequent to this update from the Company, Staff and Public Counsel expressed concern that Schedule 191 might need an adjustment.</w:t>
      </w:r>
      <w:r w:rsidRPr="0034696C">
        <w:rPr>
          <w:rStyle w:val="FootnoteReference"/>
          <w:bCs/>
          <w:sz w:val="24"/>
          <w:szCs w:val="24"/>
        </w:rPr>
        <w:footnoteReference w:id="33"/>
      </w:r>
      <w:r w:rsidRPr="0034696C">
        <w:rPr>
          <w:bCs/>
          <w:sz w:val="24"/>
          <w:szCs w:val="24"/>
        </w:rPr>
        <w:t xml:space="preserve"> </w:t>
      </w:r>
    </w:p>
    <w:p w14:paraId="1529DD6C" w14:textId="77777777" w:rsidR="00287F94" w:rsidRPr="0034696C" w:rsidRDefault="00287F94" w:rsidP="00287F94">
      <w:pPr>
        <w:spacing w:line="264" w:lineRule="auto"/>
        <w:rPr>
          <w:bCs/>
          <w:sz w:val="24"/>
          <w:szCs w:val="24"/>
        </w:rPr>
      </w:pPr>
    </w:p>
    <w:p w14:paraId="02203BF9" w14:textId="77777777" w:rsidR="00287F94" w:rsidRPr="0034696C" w:rsidRDefault="00287F94" w:rsidP="00287F94">
      <w:pPr>
        <w:numPr>
          <w:ilvl w:val="0"/>
          <w:numId w:val="14"/>
        </w:numPr>
        <w:spacing w:line="264" w:lineRule="auto"/>
        <w:ind w:hanging="720"/>
        <w:rPr>
          <w:bCs/>
          <w:sz w:val="24"/>
          <w:szCs w:val="24"/>
        </w:rPr>
      </w:pPr>
      <w:r w:rsidRPr="0034696C">
        <w:rPr>
          <w:bCs/>
          <w:sz w:val="24"/>
          <w:szCs w:val="24"/>
        </w:rPr>
        <w:t xml:space="preserve">By August 2015, this deficit had grown to $1.5 million, </w:t>
      </w:r>
      <w:r w:rsidR="00DE0E5C" w:rsidRPr="0034696C">
        <w:rPr>
          <w:bCs/>
          <w:sz w:val="24"/>
          <w:szCs w:val="24"/>
        </w:rPr>
        <w:t xml:space="preserve">and on September 22, 2015, </w:t>
      </w:r>
      <w:proofErr w:type="spellStart"/>
      <w:r w:rsidRPr="0034696C">
        <w:rPr>
          <w:bCs/>
          <w:sz w:val="24"/>
          <w:szCs w:val="24"/>
        </w:rPr>
        <w:t>Avista</w:t>
      </w:r>
      <w:proofErr w:type="spellEnd"/>
      <w:r w:rsidRPr="0034696C">
        <w:rPr>
          <w:bCs/>
          <w:sz w:val="24"/>
          <w:szCs w:val="24"/>
        </w:rPr>
        <w:t xml:space="preserve"> proposed </w:t>
      </w:r>
      <w:r w:rsidR="00DE0E5C" w:rsidRPr="0034696C">
        <w:rPr>
          <w:bCs/>
          <w:sz w:val="24"/>
          <w:szCs w:val="24"/>
        </w:rPr>
        <w:t xml:space="preserve">to its Advisory Group </w:t>
      </w:r>
      <w:r w:rsidRPr="0034696C">
        <w:rPr>
          <w:bCs/>
          <w:sz w:val="24"/>
          <w:szCs w:val="24"/>
        </w:rPr>
        <w:t>an increase in Schedule 191 rates</w:t>
      </w:r>
      <w:r w:rsidR="00DE0E5C" w:rsidRPr="0034696C">
        <w:rPr>
          <w:bCs/>
          <w:sz w:val="24"/>
          <w:szCs w:val="24"/>
        </w:rPr>
        <w:t xml:space="preserve">. </w:t>
      </w:r>
      <w:r w:rsidRPr="0034696C">
        <w:rPr>
          <w:rStyle w:val="FootnoteReference"/>
          <w:bCs/>
          <w:sz w:val="24"/>
          <w:szCs w:val="24"/>
        </w:rPr>
        <w:footnoteReference w:id="34"/>
      </w:r>
      <w:r w:rsidRPr="0034696C">
        <w:rPr>
          <w:bCs/>
          <w:sz w:val="24"/>
          <w:szCs w:val="24"/>
        </w:rPr>
        <w:t xml:space="preserve"> The Company filed revised Schedule 191 tariff sheets on October 2, 2015, with the effect of the rate increase negating the underfunding by July 2017.</w:t>
      </w:r>
      <w:r w:rsidRPr="0034696C">
        <w:rPr>
          <w:rStyle w:val="FootnoteReference"/>
          <w:bCs/>
          <w:sz w:val="24"/>
          <w:szCs w:val="24"/>
        </w:rPr>
        <w:footnoteReference w:id="35"/>
      </w:r>
    </w:p>
    <w:p w14:paraId="29A97ABA" w14:textId="77777777" w:rsidR="00287F94" w:rsidRPr="0034696C" w:rsidRDefault="00287F94" w:rsidP="00287F94">
      <w:pPr>
        <w:spacing w:line="264" w:lineRule="auto"/>
        <w:rPr>
          <w:bCs/>
          <w:sz w:val="24"/>
          <w:szCs w:val="24"/>
        </w:rPr>
      </w:pPr>
    </w:p>
    <w:p w14:paraId="65D5FF0C" w14:textId="77777777" w:rsidR="00AE6D1A" w:rsidRPr="0034696C" w:rsidRDefault="00AE6D1A" w:rsidP="00287F94">
      <w:pPr>
        <w:pStyle w:val="ListParagraph"/>
        <w:numPr>
          <w:ilvl w:val="0"/>
          <w:numId w:val="18"/>
        </w:numPr>
        <w:spacing w:line="264" w:lineRule="auto"/>
        <w:rPr>
          <w:bCs/>
        </w:rPr>
      </w:pPr>
      <w:proofErr w:type="spellStart"/>
      <w:r w:rsidRPr="0034696C">
        <w:rPr>
          <w:bCs/>
          <w:i/>
        </w:rPr>
        <w:t>Opower</w:t>
      </w:r>
      <w:proofErr w:type="spellEnd"/>
      <w:r w:rsidRPr="0034696C">
        <w:rPr>
          <w:bCs/>
          <w:i/>
        </w:rPr>
        <w:t xml:space="preserve"> Program Eligibility</w:t>
      </w:r>
    </w:p>
    <w:p w14:paraId="5DA65928" w14:textId="77777777" w:rsidR="00A615EC" w:rsidRPr="0034696C" w:rsidRDefault="00CB4551" w:rsidP="00AE6D1A">
      <w:pPr>
        <w:spacing w:line="264" w:lineRule="auto"/>
        <w:rPr>
          <w:bCs/>
          <w:sz w:val="24"/>
          <w:szCs w:val="24"/>
        </w:rPr>
      </w:pPr>
      <w:r w:rsidRPr="0034696C">
        <w:rPr>
          <w:bCs/>
          <w:sz w:val="24"/>
          <w:szCs w:val="24"/>
        </w:rPr>
        <w:t xml:space="preserve">  </w:t>
      </w:r>
    </w:p>
    <w:p w14:paraId="51B73FA7" w14:textId="77777777" w:rsidR="00CB4C14" w:rsidRPr="0034696C" w:rsidRDefault="00673DFE" w:rsidP="00304860">
      <w:pPr>
        <w:numPr>
          <w:ilvl w:val="0"/>
          <w:numId w:val="14"/>
        </w:numPr>
        <w:spacing w:line="264" w:lineRule="auto"/>
        <w:ind w:hanging="720"/>
        <w:rPr>
          <w:bCs/>
          <w:sz w:val="24"/>
          <w:szCs w:val="24"/>
        </w:rPr>
      </w:pPr>
      <w:r w:rsidRPr="0034696C">
        <w:rPr>
          <w:sz w:val="24"/>
          <w:szCs w:val="24"/>
        </w:rPr>
        <w:t xml:space="preserve">In its comments, Public Counsel suggested </w:t>
      </w:r>
      <w:proofErr w:type="spellStart"/>
      <w:r w:rsidRPr="0034696C">
        <w:rPr>
          <w:sz w:val="24"/>
          <w:szCs w:val="24"/>
        </w:rPr>
        <w:t>Avista</w:t>
      </w:r>
      <w:proofErr w:type="spellEnd"/>
      <w:r w:rsidRPr="0034696C">
        <w:rPr>
          <w:sz w:val="24"/>
          <w:szCs w:val="24"/>
        </w:rPr>
        <w:t xml:space="preserve"> is </w:t>
      </w:r>
      <w:r w:rsidR="00DE0E5C" w:rsidRPr="0034696C">
        <w:rPr>
          <w:sz w:val="24"/>
          <w:szCs w:val="24"/>
        </w:rPr>
        <w:t xml:space="preserve">relying </w:t>
      </w:r>
      <w:r w:rsidRPr="0034696C">
        <w:rPr>
          <w:sz w:val="24"/>
          <w:szCs w:val="24"/>
        </w:rPr>
        <w:t>inappropriately on customer</w:t>
      </w:r>
      <w:r w:rsidR="00EF3024" w:rsidRPr="0034696C">
        <w:rPr>
          <w:sz w:val="24"/>
          <w:szCs w:val="24"/>
        </w:rPr>
        <w:t>-</w:t>
      </w:r>
      <w:r w:rsidRPr="0034696C">
        <w:rPr>
          <w:sz w:val="24"/>
          <w:szCs w:val="24"/>
        </w:rPr>
        <w:t xml:space="preserve">provided information on the Company’s weatherization rebate forms in violation of the eligibility requirement </w:t>
      </w:r>
      <w:r w:rsidR="00EF3024" w:rsidRPr="0034696C">
        <w:rPr>
          <w:sz w:val="24"/>
          <w:szCs w:val="24"/>
        </w:rPr>
        <w:t>that a</w:t>
      </w:r>
      <w:r w:rsidRPr="0034696C">
        <w:rPr>
          <w:sz w:val="24"/>
          <w:szCs w:val="24"/>
        </w:rPr>
        <w:t xml:space="preserve"> contractor certif</w:t>
      </w:r>
      <w:r w:rsidR="00EF3024" w:rsidRPr="0034696C">
        <w:rPr>
          <w:sz w:val="24"/>
          <w:szCs w:val="24"/>
        </w:rPr>
        <w:t>y</w:t>
      </w:r>
      <w:r w:rsidRPr="0034696C">
        <w:rPr>
          <w:sz w:val="24"/>
          <w:szCs w:val="24"/>
        </w:rPr>
        <w:t xml:space="preserve"> an existing condition.</w:t>
      </w:r>
      <w:r w:rsidRPr="0034696C">
        <w:rPr>
          <w:rStyle w:val="FootnoteReference"/>
          <w:sz w:val="24"/>
          <w:szCs w:val="24"/>
        </w:rPr>
        <w:footnoteReference w:id="36"/>
      </w:r>
      <w:r w:rsidR="00EF3024" w:rsidRPr="0034696C">
        <w:rPr>
          <w:sz w:val="24"/>
          <w:szCs w:val="24"/>
        </w:rPr>
        <w:t xml:space="preserve"> </w:t>
      </w:r>
      <w:proofErr w:type="spellStart"/>
      <w:r w:rsidR="00281CB0" w:rsidRPr="0034696C">
        <w:rPr>
          <w:bCs/>
          <w:sz w:val="24"/>
          <w:szCs w:val="24"/>
        </w:rPr>
        <w:t>Avista</w:t>
      </w:r>
      <w:proofErr w:type="spellEnd"/>
      <w:r w:rsidR="00281CB0" w:rsidRPr="0034696C">
        <w:rPr>
          <w:bCs/>
          <w:sz w:val="24"/>
          <w:szCs w:val="24"/>
        </w:rPr>
        <w:t xml:space="preserve"> agrees that its program eligibility requirements needed to be modifi</w:t>
      </w:r>
      <w:r w:rsidR="00EF3024" w:rsidRPr="0034696C">
        <w:rPr>
          <w:bCs/>
          <w:sz w:val="24"/>
          <w:szCs w:val="24"/>
        </w:rPr>
        <w:t>ed to correct the inconsistency, and t</w:t>
      </w:r>
      <w:r w:rsidR="00281CB0" w:rsidRPr="0034696C">
        <w:rPr>
          <w:bCs/>
          <w:sz w:val="24"/>
          <w:szCs w:val="24"/>
        </w:rPr>
        <w:t>he Company’s program eligibility requirements no longer refer to contractor certification.</w:t>
      </w:r>
      <w:r w:rsidR="00281CB0" w:rsidRPr="0034696C">
        <w:rPr>
          <w:rStyle w:val="FootnoteReference"/>
          <w:bCs/>
          <w:sz w:val="24"/>
          <w:szCs w:val="24"/>
        </w:rPr>
        <w:footnoteReference w:id="37"/>
      </w:r>
      <w:r w:rsidR="00304860" w:rsidRPr="0034696C">
        <w:rPr>
          <w:bCs/>
          <w:sz w:val="24"/>
          <w:szCs w:val="24"/>
        </w:rPr>
        <w:t xml:space="preserve"> </w:t>
      </w:r>
      <w:r w:rsidR="00700EC4" w:rsidRPr="0034696C">
        <w:rPr>
          <w:bCs/>
          <w:sz w:val="24"/>
          <w:szCs w:val="24"/>
        </w:rPr>
        <w:t xml:space="preserve"> </w:t>
      </w:r>
    </w:p>
    <w:p w14:paraId="7E11C7A0" w14:textId="77777777" w:rsidR="00281CB0" w:rsidRPr="0034696C" w:rsidRDefault="00281CB0" w:rsidP="00281CB0">
      <w:pPr>
        <w:spacing w:line="264" w:lineRule="auto"/>
        <w:rPr>
          <w:bCs/>
          <w:sz w:val="24"/>
          <w:szCs w:val="24"/>
        </w:rPr>
      </w:pPr>
    </w:p>
    <w:p w14:paraId="0B243CCA" w14:textId="77777777" w:rsidR="00281CB0" w:rsidRPr="0034696C" w:rsidRDefault="00281CB0" w:rsidP="00287F94">
      <w:pPr>
        <w:pStyle w:val="ListParagraph"/>
        <w:numPr>
          <w:ilvl w:val="0"/>
          <w:numId w:val="18"/>
        </w:numPr>
        <w:spacing w:line="264" w:lineRule="auto"/>
        <w:rPr>
          <w:bCs/>
        </w:rPr>
      </w:pPr>
      <w:r w:rsidRPr="0034696C">
        <w:rPr>
          <w:bCs/>
          <w:i/>
        </w:rPr>
        <w:t>Premature Incentive Payments</w:t>
      </w:r>
    </w:p>
    <w:p w14:paraId="083CC802" w14:textId="77777777" w:rsidR="00304860" w:rsidRPr="0034696C" w:rsidRDefault="00304860" w:rsidP="00304860">
      <w:pPr>
        <w:pStyle w:val="ListParagraph"/>
        <w:rPr>
          <w:bCs/>
        </w:rPr>
      </w:pPr>
    </w:p>
    <w:p w14:paraId="1ED1B82A" w14:textId="77777777" w:rsidR="00304860" w:rsidRPr="0034696C" w:rsidRDefault="00673DFE" w:rsidP="00304860">
      <w:pPr>
        <w:numPr>
          <w:ilvl w:val="0"/>
          <w:numId w:val="14"/>
        </w:numPr>
        <w:spacing w:line="264" w:lineRule="auto"/>
        <w:ind w:hanging="720"/>
        <w:rPr>
          <w:bCs/>
          <w:sz w:val="24"/>
          <w:szCs w:val="24"/>
        </w:rPr>
      </w:pPr>
      <w:r w:rsidRPr="0034696C">
        <w:rPr>
          <w:bCs/>
          <w:sz w:val="24"/>
          <w:szCs w:val="24"/>
        </w:rPr>
        <w:t xml:space="preserve">Public Counsel raised a concern that </w:t>
      </w:r>
      <w:r w:rsidRPr="0034696C">
        <w:rPr>
          <w:sz w:val="24"/>
          <w:szCs w:val="24"/>
        </w:rPr>
        <w:t xml:space="preserve">a large non-residential construction project received an incentive of $482,020 after the </w:t>
      </w:r>
      <w:r w:rsidR="00DE0E5C" w:rsidRPr="0034696C">
        <w:rPr>
          <w:sz w:val="24"/>
          <w:szCs w:val="24"/>
        </w:rPr>
        <w:t>heating, ventilation, and air conditioning (</w:t>
      </w:r>
      <w:r w:rsidRPr="0034696C">
        <w:rPr>
          <w:sz w:val="24"/>
          <w:szCs w:val="24"/>
        </w:rPr>
        <w:t>HVAC</w:t>
      </w:r>
      <w:r w:rsidR="00DE0E5C" w:rsidRPr="0034696C">
        <w:rPr>
          <w:sz w:val="24"/>
          <w:szCs w:val="24"/>
        </w:rPr>
        <w:t>)</w:t>
      </w:r>
      <w:r w:rsidRPr="0034696C">
        <w:rPr>
          <w:sz w:val="24"/>
          <w:szCs w:val="24"/>
        </w:rPr>
        <w:t xml:space="preserve"> controls were in place but prior to the controls being fully programmed.</w:t>
      </w:r>
      <w:r w:rsidRPr="0034696C">
        <w:rPr>
          <w:rStyle w:val="FootnoteReference"/>
          <w:sz w:val="24"/>
          <w:szCs w:val="24"/>
        </w:rPr>
        <w:footnoteReference w:id="38"/>
      </w:r>
      <w:r w:rsidRPr="0034696C">
        <w:rPr>
          <w:sz w:val="24"/>
          <w:szCs w:val="24"/>
        </w:rPr>
        <w:t xml:space="preserve"> </w:t>
      </w:r>
      <w:proofErr w:type="spellStart"/>
      <w:r w:rsidR="00EF3024" w:rsidRPr="0034696C">
        <w:rPr>
          <w:sz w:val="24"/>
          <w:szCs w:val="24"/>
        </w:rPr>
        <w:t>Avista</w:t>
      </w:r>
      <w:proofErr w:type="spellEnd"/>
      <w:r w:rsidR="00EF3024" w:rsidRPr="0034696C">
        <w:rPr>
          <w:sz w:val="24"/>
          <w:szCs w:val="24"/>
        </w:rPr>
        <w:t xml:space="preserve"> explained that, i</w:t>
      </w:r>
      <w:r w:rsidR="0071004F" w:rsidRPr="0034696C">
        <w:rPr>
          <w:bCs/>
          <w:sz w:val="24"/>
          <w:szCs w:val="24"/>
        </w:rPr>
        <w:t>n September 2013, t</w:t>
      </w:r>
      <w:r w:rsidR="00281CB0" w:rsidRPr="0034696C">
        <w:rPr>
          <w:bCs/>
          <w:sz w:val="24"/>
          <w:szCs w:val="24"/>
        </w:rPr>
        <w:t xml:space="preserve">he Company switched to performance-based </w:t>
      </w:r>
      <w:r w:rsidR="00281CB0" w:rsidRPr="0034696C">
        <w:rPr>
          <w:bCs/>
          <w:sz w:val="24"/>
          <w:szCs w:val="24"/>
        </w:rPr>
        <w:lastRenderedPageBreak/>
        <w:t>contracts for HVAC controls</w:t>
      </w:r>
      <w:r w:rsidR="0071004F" w:rsidRPr="0034696C">
        <w:rPr>
          <w:bCs/>
          <w:sz w:val="24"/>
          <w:szCs w:val="24"/>
        </w:rPr>
        <w:t xml:space="preserve"> due to “2012 Cadmus Impact results for HVAC measures and some poor performing controls projects where the owners chose to use the system differently than the specified controls plan</w:t>
      </w:r>
      <w:r w:rsidR="00A05833" w:rsidRPr="0034696C">
        <w:rPr>
          <w:bCs/>
          <w:sz w:val="24"/>
          <w:szCs w:val="24"/>
        </w:rPr>
        <w:t>.</w:t>
      </w:r>
      <w:r w:rsidR="0071004F" w:rsidRPr="0034696C">
        <w:rPr>
          <w:bCs/>
          <w:sz w:val="24"/>
          <w:szCs w:val="24"/>
        </w:rPr>
        <w:t>”</w:t>
      </w:r>
      <w:r w:rsidR="00A05833" w:rsidRPr="0034696C">
        <w:rPr>
          <w:rStyle w:val="FootnoteReference"/>
          <w:bCs/>
          <w:sz w:val="24"/>
          <w:szCs w:val="24"/>
        </w:rPr>
        <w:footnoteReference w:id="39"/>
      </w:r>
      <w:r w:rsidR="0071004F" w:rsidRPr="0034696C">
        <w:rPr>
          <w:bCs/>
          <w:sz w:val="24"/>
          <w:szCs w:val="24"/>
        </w:rPr>
        <w:t xml:space="preserve"> Customer incentives, therefore, are not paid until the Company has sufficient confirmation of energy savings consistent with the requirements of the contract.</w:t>
      </w:r>
      <w:r w:rsidR="0071004F" w:rsidRPr="0034696C">
        <w:rPr>
          <w:rStyle w:val="FootnoteReference"/>
          <w:bCs/>
          <w:sz w:val="24"/>
          <w:szCs w:val="24"/>
        </w:rPr>
        <w:footnoteReference w:id="40"/>
      </w:r>
      <w:r w:rsidR="0071004F" w:rsidRPr="0034696C">
        <w:rPr>
          <w:bCs/>
          <w:sz w:val="24"/>
          <w:szCs w:val="24"/>
        </w:rPr>
        <w:t xml:space="preserve"> This resolves the concern raised by Public Counsel of a project qualifying for an incentive payment prior to it being fully installed and verified.</w:t>
      </w:r>
      <w:r w:rsidR="0071004F" w:rsidRPr="0034696C">
        <w:rPr>
          <w:rStyle w:val="FootnoteReference"/>
          <w:bCs/>
          <w:sz w:val="24"/>
          <w:szCs w:val="24"/>
        </w:rPr>
        <w:footnoteReference w:id="41"/>
      </w:r>
    </w:p>
    <w:p w14:paraId="6E92E903" w14:textId="77777777" w:rsidR="0071004F" w:rsidRPr="0034696C" w:rsidRDefault="0071004F" w:rsidP="0071004F">
      <w:pPr>
        <w:spacing w:line="264" w:lineRule="auto"/>
        <w:rPr>
          <w:bCs/>
          <w:sz w:val="24"/>
          <w:szCs w:val="24"/>
        </w:rPr>
      </w:pPr>
    </w:p>
    <w:p w14:paraId="15021C6B" w14:textId="77777777" w:rsidR="0071004F" w:rsidRPr="0034696C" w:rsidRDefault="0071004F" w:rsidP="00287F94">
      <w:pPr>
        <w:pStyle w:val="ListParagraph"/>
        <w:numPr>
          <w:ilvl w:val="0"/>
          <w:numId w:val="18"/>
        </w:numPr>
        <w:spacing w:line="264" w:lineRule="auto"/>
        <w:rPr>
          <w:bCs/>
        </w:rPr>
      </w:pPr>
      <w:r w:rsidRPr="0034696C">
        <w:rPr>
          <w:bCs/>
          <w:i/>
        </w:rPr>
        <w:t>Inclusion of the Date Expenditures Are Authorized</w:t>
      </w:r>
    </w:p>
    <w:p w14:paraId="0D08DFF5" w14:textId="77777777" w:rsidR="00A05833" w:rsidRPr="0034696C" w:rsidRDefault="00A05833" w:rsidP="00A05833">
      <w:pPr>
        <w:spacing w:line="264" w:lineRule="auto"/>
        <w:rPr>
          <w:bCs/>
          <w:sz w:val="24"/>
          <w:szCs w:val="24"/>
        </w:rPr>
      </w:pPr>
    </w:p>
    <w:p w14:paraId="28847E7D" w14:textId="77777777" w:rsidR="00636CA7" w:rsidRPr="0034696C" w:rsidRDefault="004D7DEB" w:rsidP="00FD4645">
      <w:pPr>
        <w:numPr>
          <w:ilvl w:val="0"/>
          <w:numId w:val="14"/>
        </w:numPr>
        <w:spacing w:line="264" w:lineRule="auto"/>
        <w:ind w:hanging="720"/>
        <w:rPr>
          <w:bCs/>
          <w:sz w:val="24"/>
          <w:szCs w:val="24"/>
        </w:rPr>
      </w:pPr>
      <w:r w:rsidRPr="0034696C">
        <w:rPr>
          <w:sz w:val="24"/>
          <w:szCs w:val="24"/>
        </w:rPr>
        <w:t xml:space="preserve">Public Counsel has suggested that </w:t>
      </w:r>
      <w:proofErr w:type="spellStart"/>
      <w:r w:rsidRPr="0034696C">
        <w:rPr>
          <w:sz w:val="24"/>
          <w:szCs w:val="24"/>
        </w:rPr>
        <w:t>Avista’s</w:t>
      </w:r>
      <w:proofErr w:type="spellEnd"/>
      <w:r w:rsidRPr="0034696C">
        <w:rPr>
          <w:sz w:val="24"/>
          <w:szCs w:val="24"/>
        </w:rPr>
        <w:t xml:space="preserve"> procedures for authorizing expenditures should be modified to require not </w:t>
      </w:r>
      <w:r w:rsidR="00EF3024" w:rsidRPr="0034696C">
        <w:rPr>
          <w:sz w:val="24"/>
          <w:szCs w:val="24"/>
        </w:rPr>
        <w:t>only</w:t>
      </w:r>
      <w:r w:rsidRPr="0034696C">
        <w:rPr>
          <w:sz w:val="24"/>
          <w:szCs w:val="24"/>
        </w:rPr>
        <w:t xml:space="preserve"> a signature of the appropriate person (e.g. manager, director, or officer) but also the date that such authorization was provided.</w:t>
      </w:r>
      <w:r w:rsidRPr="0034696C">
        <w:rPr>
          <w:rStyle w:val="FootnoteReference"/>
          <w:sz w:val="24"/>
          <w:szCs w:val="24"/>
        </w:rPr>
        <w:footnoteReference w:id="42"/>
      </w:r>
      <w:r w:rsidR="00EF3024" w:rsidRPr="0034696C">
        <w:rPr>
          <w:sz w:val="24"/>
          <w:szCs w:val="24"/>
        </w:rPr>
        <w:t xml:space="preserve"> </w:t>
      </w:r>
      <w:proofErr w:type="spellStart"/>
      <w:r w:rsidR="005476D2" w:rsidRPr="0034696C">
        <w:rPr>
          <w:bCs/>
          <w:sz w:val="24"/>
          <w:szCs w:val="24"/>
        </w:rPr>
        <w:t>Avista</w:t>
      </w:r>
      <w:proofErr w:type="spellEnd"/>
      <w:r w:rsidR="005476D2" w:rsidRPr="0034696C">
        <w:rPr>
          <w:bCs/>
          <w:sz w:val="24"/>
          <w:szCs w:val="24"/>
        </w:rPr>
        <w:t xml:space="preserve"> </w:t>
      </w:r>
      <w:r w:rsidRPr="0034696C">
        <w:rPr>
          <w:bCs/>
          <w:sz w:val="24"/>
          <w:szCs w:val="24"/>
        </w:rPr>
        <w:t>agrees to</w:t>
      </w:r>
      <w:r w:rsidR="005476D2" w:rsidRPr="0034696C">
        <w:rPr>
          <w:bCs/>
          <w:sz w:val="24"/>
          <w:szCs w:val="24"/>
        </w:rPr>
        <w:t xml:space="preserve"> revise its </w:t>
      </w:r>
      <w:r w:rsidR="00025B6C" w:rsidRPr="0034696C">
        <w:rPr>
          <w:bCs/>
          <w:sz w:val="24"/>
          <w:szCs w:val="24"/>
        </w:rPr>
        <w:t xml:space="preserve">expenditure authorization </w:t>
      </w:r>
      <w:r w:rsidR="005476D2" w:rsidRPr="0034696C">
        <w:rPr>
          <w:bCs/>
          <w:sz w:val="24"/>
          <w:szCs w:val="24"/>
        </w:rPr>
        <w:t xml:space="preserve">procedures to </w:t>
      </w:r>
      <w:r w:rsidR="00025B6C" w:rsidRPr="0034696C">
        <w:rPr>
          <w:bCs/>
          <w:sz w:val="24"/>
          <w:szCs w:val="24"/>
        </w:rPr>
        <w:t>require, not only the signature of the individuals authorizing and approving the expenses, but also the date the</w:t>
      </w:r>
      <w:r w:rsidR="005476D2" w:rsidRPr="0034696C">
        <w:rPr>
          <w:bCs/>
          <w:sz w:val="24"/>
          <w:szCs w:val="24"/>
        </w:rPr>
        <w:t xml:space="preserve"> expenditure is authorize</w:t>
      </w:r>
      <w:r w:rsidR="00025B6C" w:rsidRPr="0034696C">
        <w:rPr>
          <w:bCs/>
          <w:sz w:val="24"/>
          <w:szCs w:val="24"/>
        </w:rPr>
        <w:t>d.</w:t>
      </w:r>
      <w:r w:rsidR="00025B6C" w:rsidRPr="0034696C">
        <w:rPr>
          <w:rStyle w:val="FootnoteReference"/>
          <w:bCs/>
          <w:sz w:val="24"/>
          <w:szCs w:val="24"/>
        </w:rPr>
        <w:footnoteReference w:id="43"/>
      </w:r>
      <w:r w:rsidR="00636CA7" w:rsidRPr="0034696C">
        <w:rPr>
          <w:bCs/>
          <w:sz w:val="24"/>
          <w:szCs w:val="24"/>
        </w:rPr>
        <w:t xml:space="preserve"> </w:t>
      </w:r>
    </w:p>
    <w:p w14:paraId="7DF55BFF" w14:textId="77777777" w:rsidR="00025B6C" w:rsidRPr="0034696C" w:rsidRDefault="00025B6C" w:rsidP="00025B6C">
      <w:pPr>
        <w:spacing w:line="264" w:lineRule="auto"/>
        <w:rPr>
          <w:bCs/>
          <w:sz w:val="24"/>
          <w:szCs w:val="24"/>
        </w:rPr>
      </w:pPr>
    </w:p>
    <w:p w14:paraId="48D736A1" w14:textId="77777777" w:rsidR="008677CA" w:rsidRPr="0034696C" w:rsidRDefault="008677CA" w:rsidP="008677CA">
      <w:pPr>
        <w:spacing w:line="264" w:lineRule="auto"/>
        <w:jc w:val="center"/>
        <w:rPr>
          <w:bCs/>
          <w:sz w:val="24"/>
          <w:szCs w:val="24"/>
        </w:rPr>
      </w:pPr>
      <w:r w:rsidRPr="0034696C">
        <w:rPr>
          <w:b/>
          <w:bCs/>
          <w:sz w:val="24"/>
          <w:szCs w:val="24"/>
        </w:rPr>
        <w:t>DISCUSSION</w:t>
      </w:r>
      <w:r w:rsidR="00DE0E5C" w:rsidRPr="0034696C">
        <w:rPr>
          <w:b/>
          <w:bCs/>
          <w:sz w:val="24"/>
          <w:szCs w:val="24"/>
        </w:rPr>
        <w:t xml:space="preserve"> AND </w:t>
      </w:r>
      <w:r w:rsidRPr="0034696C">
        <w:rPr>
          <w:b/>
          <w:bCs/>
          <w:sz w:val="24"/>
          <w:szCs w:val="24"/>
        </w:rPr>
        <w:t>DECISION</w:t>
      </w:r>
    </w:p>
    <w:p w14:paraId="03579509" w14:textId="77777777" w:rsidR="008677CA" w:rsidRPr="0034696C" w:rsidRDefault="008677CA" w:rsidP="008677CA">
      <w:pPr>
        <w:pStyle w:val="ListParagraph"/>
        <w:rPr>
          <w:bCs/>
        </w:rPr>
      </w:pPr>
    </w:p>
    <w:p w14:paraId="51FD25E1" w14:textId="77777777" w:rsidR="0042328D" w:rsidRPr="0034696C" w:rsidRDefault="003E3A02" w:rsidP="00AC52D0">
      <w:pPr>
        <w:numPr>
          <w:ilvl w:val="0"/>
          <w:numId w:val="14"/>
        </w:numPr>
        <w:spacing w:line="264" w:lineRule="auto"/>
        <w:rPr>
          <w:bCs/>
          <w:sz w:val="24"/>
          <w:szCs w:val="24"/>
        </w:rPr>
      </w:pPr>
      <w:r w:rsidRPr="0034696C">
        <w:rPr>
          <w:bCs/>
          <w:sz w:val="24"/>
          <w:szCs w:val="24"/>
        </w:rPr>
        <w:t xml:space="preserve">Staff and Public Counsel raised significant issues </w:t>
      </w:r>
      <w:r w:rsidR="00DE0E5C" w:rsidRPr="0034696C">
        <w:rPr>
          <w:bCs/>
          <w:sz w:val="24"/>
          <w:szCs w:val="24"/>
        </w:rPr>
        <w:t xml:space="preserve">about </w:t>
      </w:r>
      <w:r w:rsidRPr="0034696C">
        <w:rPr>
          <w:bCs/>
          <w:sz w:val="24"/>
          <w:szCs w:val="24"/>
        </w:rPr>
        <w:t xml:space="preserve">both the operations of </w:t>
      </w:r>
      <w:proofErr w:type="spellStart"/>
      <w:r w:rsidRPr="0034696C">
        <w:rPr>
          <w:bCs/>
          <w:sz w:val="24"/>
          <w:szCs w:val="24"/>
        </w:rPr>
        <w:t>Avista’s</w:t>
      </w:r>
      <w:proofErr w:type="spellEnd"/>
      <w:r w:rsidRPr="0034696C">
        <w:rPr>
          <w:bCs/>
          <w:sz w:val="24"/>
          <w:szCs w:val="24"/>
        </w:rPr>
        <w:t xml:space="preserve"> conservation program and the transparency of the </w:t>
      </w:r>
      <w:r w:rsidR="00B77F2B" w:rsidRPr="0034696C">
        <w:rPr>
          <w:bCs/>
          <w:sz w:val="24"/>
          <w:szCs w:val="24"/>
        </w:rPr>
        <w:t xml:space="preserve">events surrounding the </w:t>
      </w:r>
      <w:r w:rsidRPr="0034696C">
        <w:rPr>
          <w:bCs/>
          <w:sz w:val="24"/>
          <w:szCs w:val="24"/>
        </w:rPr>
        <w:t xml:space="preserve">cessation of </w:t>
      </w:r>
      <w:r w:rsidR="00DE0E5C" w:rsidRPr="0034696C">
        <w:rPr>
          <w:bCs/>
          <w:sz w:val="24"/>
          <w:szCs w:val="24"/>
        </w:rPr>
        <w:t xml:space="preserve">the </w:t>
      </w:r>
      <w:proofErr w:type="spellStart"/>
      <w:r w:rsidRPr="0034696C">
        <w:rPr>
          <w:bCs/>
          <w:sz w:val="24"/>
          <w:szCs w:val="24"/>
        </w:rPr>
        <w:t>Opower</w:t>
      </w:r>
      <w:proofErr w:type="spellEnd"/>
      <w:r w:rsidRPr="0034696C">
        <w:rPr>
          <w:bCs/>
          <w:sz w:val="24"/>
          <w:szCs w:val="24"/>
        </w:rPr>
        <w:t xml:space="preserve"> </w:t>
      </w:r>
      <w:proofErr w:type="spellStart"/>
      <w:r w:rsidRPr="0034696C">
        <w:rPr>
          <w:bCs/>
          <w:sz w:val="24"/>
          <w:szCs w:val="24"/>
        </w:rPr>
        <w:t>HERs</w:t>
      </w:r>
      <w:proofErr w:type="spellEnd"/>
      <w:r w:rsidRPr="0034696C">
        <w:rPr>
          <w:bCs/>
          <w:sz w:val="24"/>
          <w:szCs w:val="24"/>
        </w:rPr>
        <w:t xml:space="preserve">. </w:t>
      </w:r>
      <w:r w:rsidR="00B77F2B" w:rsidRPr="0034696C">
        <w:rPr>
          <w:bCs/>
          <w:sz w:val="24"/>
          <w:szCs w:val="24"/>
        </w:rPr>
        <w:t xml:space="preserve">Overall, we are pleased with the steps the Settling Parties have taken in resolving these areas of concern. </w:t>
      </w:r>
      <w:proofErr w:type="spellStart"/>
      <w:r w:rsidR="00F26845" w:rsidRPr="0034696C">
        <w:rPr>
          <w:bCs/>
          <w:sz w:val="24"/>
          <w:szCs w:val="24"/>
        </w:rPr>
        <w:t>Avista</w:t>
      </w:r>
      <w:proofErr w:type="spellEnd"/>
      <w:r w:rsidR="00F26845" w:rsidRPr="0034696C">
        <w:rPr>
          <w:bCs/>
          <w:sz w:val="24"/>
          <w:szCs w:val="24"/>
        </w:rPr>
        <w:t xml:space="preserve"> addressed s</w:t>
      </w:r>
      <w:r w:rsidR="00B77F2B" w:rsidRPr="0034696C">
        <w:rPr>
          <w:bCs/>
          <w:sz w:val="24"/>
          <w:szCs w:val="24"/>
        </w:rPr>
        <w:t xml:space="preserve">ome </w:t>
      </w:r>
      <w:r w:rsidR="006662F6" w:rsidRPr="0034696C">
        <w:rPr>
          <w:bCs/>
          <w:sz w:val="24"/>
          <w:szCs w:val="24"/>
        </w:rPr>
        <w:t xml:space="preserve">issues </w:t>
      </w:r>
      <w:r w:rsidR="00EF3024" w:rsidRPr="0034696C">
        <w:rPr>
          <w:bCs/>
          <w:sz w:val="24"/>
          <w:szCs w:val="24"/>
        </w:rPr>
        <w:t>quick</w:t>
      </w:r>
      <w:r w:rsidR="00B77F2B" w:rsidRPr="0034696C">
        <w:rPr>
          <w:bCs/>
          <w:sz w:val="24"/>
          <w:szCs w:val="24"/>
        </w:rPr>
        <w:t xml:space="preserve">ly (the </w:t>
      </w:r>
      <w:proofErr w:type="spellStart"/>
      <w:r w:rsidR="00B77F2B" w:rsidRPr="0034696C">
        <w:rPr>
          <w:bCs/>
          <w:sz w:val="24"/>
          <w:szCs w:val="24"/>
        </w:rPr>
        <w:t>NWEC</w:t>
      </w:r>
      <w:proofErr w:type="spellEnd"/>
      <w:r w:rsidR="00B77F2B" w:rsidRPr="0034696C">
        <w:rPr>
          <w:bCs/>
          <w:sz w:val="24"/>
          <w:szCs w:val="24"/>
        </w:rPr>
        <w:t xml:space="preserve"> fundraiser and the WSU misallocated reimbursement), while other issues </w:t>
      </w:r>
      <w:r w:rsidR="006662F6" w:rsidRPr="0034696C">
        <w:rPr>
          <w:bCs/>
          <w:sz w:val="24"/>
          <w:szCs w:val="24"/>
        </w:rPr>
        <w:t xml:space="preserve">(e.g., </w:t>
      </w:r>
      <w:proofErr w:type="spellStart"/>
      <w:r w:rsidR="006662F6" w:rsidRPr="0034696C">
        <w:rPr>
          <w:bCs/>
          <w:sz w:val="24"/>
          <w:szCs w:val="24"/>
        </w:rPr>
        <w:t>Avista’s</w:t>
      </w:r>
      <w:proofErr w:type="spellEnd"/>
      <w:r w:rsidR="006662F6" w:rsidRPr="0034696C">
        <w:rPr>
          <w:bCs/>
          <w:sz w:val="24"/>
          <w:szCs w:val="24"/>
        </w:rPr>
        <w:t xml:space="preserve"> failure to timely notify either its Advisory Group or the Commission of the </w:t>
      </w:r>
      <w:proofErr w:type="spellStart"/>
      <w:r w:rsidR="006662F6" w:rsidRPr="0034696C">
        <w:rPr>
          <w:bCs/>
          <w:sz w:val="24"/>
          <w:szCs w:val="24"/>
        </w:rPr>
        <w:t>Opower</w:t>
      </w:r>
      <w:proofErr w:type="spellEnd"/>
      <w:r w:rsidR="006662F6" w:rsidRPr="0034696C">
        <w:rPr>
          <w:bCs/>
          <w:sz w:val="24"/>
          <w:szCs w:val="24"/>
        </w:rPr>
        <w:t xml:space="preserve"> hiatus and refinement of </w:t>
      </w:r>
      <w:proofErr w:type="spellStart"/>
      <w:r w:rsidR="006662F6" w:rsidRPr="0034696C">
        <w:rPr>
          <w:bCs/>
          <w:sz w:val="24"/>
          <w:szCs w:val="24"/>
        </w:rPr>
        <w:t>Avista’s</w:t>
      </w:r>
      <w:proofErr w:type="spellEnd"/>
      <w:r w:rsidR="006662F6" w:rsidRPr="0034696C">
        <w:rPr>
          <w:bCs/>
          <w:sz w:val="24"/>
          <w:szCs w:val="24"/>
        </w:rPr>
        <w:t xml:space="preserve"> conservation program processes) admittedly will require more time. </w:t>
      </w:r>
      <w:r w:rsidR="000F1CA1" w:rsidRPr="0034696C">
        <w:rPr>
          <w:bCs/>
          <w:sz w:val="24"/>
          <w:szCs w:val="24"/>
        </w:rPr>
        <w:t xml:space="preserve">Mr. Christie’s testimony demonstrates that since the July 30, 2015, Open Meeting, </w:t>
      </w:r>
      <w:proofErr w:type="spellStart"/>
      <w:r w:rsidR="000F1CA1" w:rsidRPr="0034696C">
        <w:rPr>
          <w:bCs/>
          <w:sz w:val="24"/>
          <w:szCs w:val="24"/>
        </w:rPr>
        <w:t>Avista</w:t>
      </w:r>
      <w:proofErr w:type="spellEnd"/>
      <w:r w:rsidR="000F1CA1" w:rsidRPr="0034696C">
        <w:rPr>
          <w:bCs/>
          <w:sz w:val="24"/>
          <w:szCs w:val="24"/>
        </w:rPr>
        <w:t xml:space="preserve"> has continued to work on rectifying the concerns raised by Staff and Public Counsel. We believe the public interest would best be served if</w:t>
      </w:r>
      <w:r w:rsidR="00EF3024" w:rsidRPr="0034696C">
        <w:rPr>
          <w:bCs/>
          <w:sz w:val="24"/>
          <w:szCs w:val="24"/>
        </w:rPr>
        <w:t>, in addition to the Settlement provisions,</w:t>
      </w:r>
      <w:r w:rsidR="000F1CA1" w:rsidRPr="0034696C">
        <w:rPr>
          <w:bCs/>
          <w:sz w:val="24"/>
          <w:szCs w:val="24"/>
        </w:rPr>
        <w:t xml:space="preserve"> the Company provided an update on its progress </w:t>
      </w:r>
      <w:r w:rsidR="00EF3024" w:rsidRPr="0034696C">
        <w:rPr>
          <w:bCs/>
          <w:sz w:val="24"/>
          <w:szCs w:val="24"/>
        </w:rPr>
        <w:t>resolving</w:t>
      </w:r>
      <w:r w:rsidR="000F1CA1" w:rsidRPr="0034696C">
        <w:rPr>
          <w:bCs/>
          <w:sz w:val="24"/>
          <w:szCs w:val="24"/>
        </w:rPr>
        <w:t xml:space="preserve"> these issues in the testimony it files with its Biennial Conservation Report by June 1, 2016</w:t>
      </w:r>
      <w:r w:rsidR="00CE6DAF" w:rsidRPr="0034696C">
        <w:rPr>
          <w:bCs/>
          <w:sz w:val="24"/>
          <w:szCs w:val="24"/>
        </w:rPr>
        <w:t>,</w:t>
      </w:r>
      <w:r w:rsidR="00AC52D0" w:rsidRPr="0034696C">
        <w:rPr>
          <w:bCs/>
          <w:sz w:val="24"/>
          <w:szCs w:val="24"/>
        </w:rPr>
        <w:t xml:space="preserve"> in </w:t>
      </w:r>
      <w:r w:rsidR="00CE6DAF" w:rsidRPr="0034696C">
        <w:rPr>
          <w:bCs/>
          <w:sz w:val="24"/>
          <w:szCs w:val="24"/>
        </w:rPr>
        <w:t>D</w:t>
      </w:r>
      <w:r w:rsidR="00AC52D0" w:rsidRPr="0034696C">
        <w:rPr>
          <w:bCs/>
          <w:sz w:val="24"/>
          <w:szCs w:val="24"/>
        </w:rPr>
        <w:t xml:space="preserve">ocket </w:t>
      </w:r>
      <w:proofErr w:type="spellStart"/>
      <w:r w:rsidR="00AC52D0" w:rsidRPr="0034696C">
        <w:rPr>
          <w:bCs/>
          <w:sz w:val="24"/>
          <w:szCs w:val="24"/>
        </w:rPr>
        <w:t>UE</w:t>
      </w:r>
      <w:proofErr w:type="spellEnd"/>
      <w:r w:rsidR="00AC52D0" w:rsidRPr="0034696C">
        <w:rPr>
          <w:bCs/>
          <w:sz w:val="24"/>
          <w:szCs w:val="24"/>
        </w:rPr>
        <w:t>-132045</w:t>
      </w:r>
      <w:r w:rsidR="000F1CA1" w:rsidRPr="0034696C">
        <w:rPr>
          <w:bCs/>
          <w:sz w:val="24"/>
          <w:szCs w:val="24"/>
        </w:rPr>
        <w:t xml:space="preserve">. </w:t>
      </w:r>
      <w:r w:rsidR="004D199A" w:rsidRPr="0034696C">
        <w:rPr>
          <w:bCs/>
          <w:sz w:val="24"/>
          <w:szCs w:val="24"/>
        </w:rPr>
        <w:t xml:space="preserve">Specifically, </w:t>
      </w:r>
      <w:proofErr w:type="spellStart"/>
      <w:r w:rsidR="004D199A" w:rsidRPr="0034696C">
        <w:rPr>
          <w:bCs/>
          <w:sz w:val="24"/>
          <w:szCs w:val="24"/>
        </w:rPr>
        <w:t>Avista</w:t>
      </w:r>
      <w:proofErr w:type="spellEnd"/>
      <w:r w:rsidR="004D199A" w:rsidRPr="0034696C">
        <w:rPr>
          <w:bCs/>
          <w:sz w:val="24"/>
          <w:szCs w:val="24"/>
        </w:rPr>
        <w:t xml:space="preserve"> should provide the Commission a progress update on the administration of its DSM program, addressing at </w:t>
      </w:r>
      <w:r w:rsidR="00EF3024" w:rsidRPr="0034696C">
        <w:rPr>
          <w:bCs/>
          <w:sz w:val="24"/>
          <w:szCs w:val="24"/>
        </w:rPr>
        <w:t xml:space="preserve">a </w:t>
      </w:r>
      <w:r w:rsidR="004D199A" w:rsidRPr="0034696C">
        <w:rPr>
          <w:bCs/>
          <w:sz w:val="24"/>
          <w:szCs w:val="24"/>
        </w:rPr>
        <w:t xml:space="preserve">minimum: (1) </w:t>
      </w:r>
      <w:proofErr w:type="spellStart"/>
      <w:r w:rsidR="004D199A" w:rsidRPr="0034696C">
        <w:rPr>
          <w:bCs/>
          <w:sz w:val="24"/>
          <w:szCs w:val="24"/>
        </w:rPr>
        <w:t>Avista’s</w:t>
      </w:r>
      <w:proofErr w:type="spellEnd"/>
      <w:r w:rsidR="004D199A" w:rsidRPr="0034696C">
        <w:rPr>
          <w:bCs/>
          <w:sz w:val="24"/>
          <w:szCs w:val="24"/>
        </w:rPr>
        <w:t xml:space="preserve"> efforts to improve the management of its DSM program since January 2016, (2) </w:t>
      </w:r>
      <w:proofErr w:type="spellStart"/>
      <w:r w:rsidR="004D199A" w:rsidRPr="0034696C">
        <w:rPr>
          <w:bCs/>
          <w:sz w:val="24"/>
          <w:szCs w:val="24"/>
        </w:rPr>
        <w:lastRenderedPageBreak/>
        <w:t>Avista’s</w:t>
      </w:r>
      <w:proofErr w:type="spellEnd"/>
      <w:r w:rsidR="004D199A" w:rsidRPr="0034696C">
        <w:rPr>
          <w:bCs/>
          <w:sz w:val="24"/>
          <w:szCs w:val="24"/>
        </w:rPr>
        <w:t xml:space="preserve"> </w:t>
      </w:r>
      <w:r w:rsidR="000331CA" w:rsidRPr="0034696C">
        <w:rPr>
          <w:bCs/>
          <w:sz w:val="24"/>
          <w:szCs w:val="24"/>
        </w:rPr>
        <w:t>attempts</w:t>
      </w:r>
      <w:r w:rsidR="004D199A" w:rsidRPr="0034696C">
        <w:rPr>
          <w:bCs/>
          <w:sz w:val="24"/>
          <w:szCs w:val="24"/>
        </w:rPr>
        <w:t xml:space="preserve"> to improve its systems for monitoring DSM spending levels and conservation acquisition since January 2016, and (3) an update on the membership, attendance, and activities of the Company’s Advisory Group since January 2016.</w:t>
      </w:r>
    </w:p>
    <w:p w14:paraId="77A2F7A2" w14:textId="77777777" w:rsidR="0042328D" w:rsidRPr="0034696C" w:rsidRDefault="0042328D" w:rsidP="0042328D">
      <w:pPr>
        <w:spacing w:line="264" w:lineRule="auto"/>
        <w:rPr>
          <w:bCs/>
          <w:sz w:val="24"/>
          <w:szCs w:val="24"/>
        </w:rPr>
      </w:pPr>
    </w:p>
    <w:p w14:paraId="42030C52" w14:textId="77777777" w:rsidR="005A4436" w:rsidRPr="0034696C" w:rsidRDefault="00862FEB" w:rsidP="00A05833">
      <w:pPr>
        <w:numPr>
          <w:ilvl w:val="0"/>
          <w:numId w:val="14"/>
        </w:numPr>
        <w:spacing w:line="264" w:lineRule="auto"/>
        <w:ind w:hanging="720"/>
        <w:rPr>
          <w:bCs/>
          <w:sz w:val="24"/>
          <w:szCs w:val="24"/>
        </w:rPr>
      </w:pPr>
      <w:r w:rsidRPr="0034696C">
        <w:rPr>
          <w:bCs/>
          <w:sz w:val="24"/>
          <w:szCs w:val="24"/>
        </w:rPr>
        <w:t xml:space="preserve">In </w:t>
      </w:r>
      <w:r w:rsidR="000331CA" w:rsidRPr="0034696C">
        <w:rPr>
          <w:bCs/>
          <w:sz w:val="24"/>
          <w:szCs w:val="24"/>
        </w:rPr>
        <w:t>evaluating a settlement agreement</w:t>
      </w:r>
      <w:r w:rsidRPr="0034696C">
        <w:rPr>
          <w:bCs/>
          <w:sz w:val="24"/>
          <w:szCs w:val="24"/>
        </w:rPr>
        <w:t>, t</w:t>
      </w:r>
      <w:r w:rsidR="00F76B99" w:rsidRPr="0034696C">
        <w:rPr>
          <w:sz w:val="24"/>
          <w:szCs w:val="24"/>
        </w:rPr>
        <w:t>he Commission must “determine whether a proposed settlement meets all pertinent legal and policy standards.”</w:t>
      </w:r>
      <w:r w:rsidR="00F76B99" w:rsidRPr="0034696C">
        <w:rPr>
          <w:rStyle w:val="FootnoteReference"/>
          <w:sz w:val="24"/>
          <w:szCs w:val="24"/>
        </w:rPr>
        <w:footnoteReference w:id="44"/>
      </w:r>
      <w:r w:rsidR="00F76B99" w:rsidRPr="0034696C">
        <w:rPr>
          <w:sz w:val="24"/>
          <w:szCs w:val="24"/>
        </w:rPr>
        <w:t xml:space="preserve"> Settlements may be approved “when doing so is lawful, when the settlement terms are supported by an appropriate record, and when the result is consistent with the public interest in light of all the information available to the </w:t>
      </w:r>
      <w:r w:rsidRPr="0034696C">
        <w:rPr>
          <w:sz w:val="24"/>
          <w:szCs w:val="24"/>
        </w:rPr>
        <w:t>[C]</w:t>
      </w:r>
      <w:proofErr w:type="spellStart"/>
      <w:r w:rsidR="00F76B99" w:rsidRPr="0034696C">
        <w:rPr>
          <w:sz w:val="24"/>
          <w:szCs w:val="24"/>
        </w:rPr>
        <w:t>ommission</w:t>
      </w:r>
      <w:proofErr w:type="spellEnd"/>
      <w:r w:rsidR="00F76B99" w:rsidRPr="0034696C">
        <w:rPr>
          <w:sz w:val="24"/>
          <w:szCs w:val="24"/>
        </w:rPr>
        <w:t>.”</w:t>
      </w:r>
      <w:r w:rsidR="00F76B99" w:rsidRPr="0034696C">
        <w:rPr>
          <w:rStyle w:val="FootnoteReference"/>
          <w:sz w:val="24"/>
          <w:szCs w:val="24"/>
        </w:rPr>
        <w:footnoteReference w:id="45"/>
      </w:r>
      <w:r w:rsidR="00214091" w:rsidRPr="0034696C">
        <w:rPr>
          <w:sz w:val="24"/>
          <w:szCs w:val="24"/>
        </w:rPr>
        <w:t xml:space="preserve">  </w:t>
      </w:r>
    </w:p>
    <w:p w14:paraId="09FC730B" w14:textId="77777777" w:rsidR="00862FEB" w:rsidRPr="0034696C" w:rsidRDefault="00862FEB" w:rsidP="00862FEB">
      <w:pPr>
        <w:pStyle w:val="ListParagraph"/>
        <w:rPr>
          <w:bCs/>
        </w:rPr>
      </w:pPr>
    </w:p>
    <w:p w14:paraId="34D62AE3" w14:textId="77777777" w:rsidR="004D199A" w:rsidRPr="0034696C" w:rsidRDefault="000F1CA1" w:rsidP="00F25B1D">
      <w:pPr>
        <w:numPr>
          <w:ilvl w:val="0"/>
          <w:numId w:val="14"/>
        </w:numPr>
        <w:spacing w:line="264" w:lineRule="auto"/>
        <w:ind w:hanging="720"/>
        <w:rPr>
          <w:sz w:val="24"/>
          <w:szCs w:val="24"/>
        </w:rPr>
      </w:pPr>
      <w:r w:rsidRPr="0034696C">
        <w:rPr>
          <w:bCs/>
          <w:sz w:val="24"/>
          <w:szCs w:val="24"/>
        </w:rPr>
        <w:t xml:space="preserve">Conditioned upon the Company </w:t>
      </w:r>
      <w:r w:rsidR="009224C3" w:rsidRPr="0034696C">
        <w:rPr>
          <w:bCs/>
          <w:sz w:val="24"/>
          <w:szCs w:val="24"/>
        </w:rPr>
        <w:t xml:space="preserve">filing a </w:t>
      </w:r>
      <w:r w:rsidRPr="0034696C">
        <w:rPr>
          <w:bCs/>
          <w:sz w:val="24"/>
          <w:szCs w:val="24"/>
        </w:rPr>
        <w:t xml:space="preserve">progress report </w:t>
      </w:r>
      <w:r w:rsidR="009224C3" w:rsidRPr="0034696C">
        <w:rPr>
          <w:bCs/>
          <w:sz w:val="24"/>
          <w:szCs w:val="24"/>
        </w:rPr>
        <w:t xml:space="preserve">in its testimony accompanying the </w:t>
      </w:r>
      <w:r w:rsidRPr="0034696C">
        <w:rPr>
          <w:bCs/>
          <w:sz w:val="24"/>
          <w:szCs w:val="24"/>
        </w:rPr>
        <w:t>Biennial Conservation Report</w:t>
      </w:r>
      <w:r w:rsidR="004D199A" w:rsidRPr="0034696C">
        <w:rPr>
          <w:bCs/>
          <w:sz w:val="24"/>
          <w:szCs w:val="24"/>
        </w:rPr>
        <w:t xml:space="preserve"> </w:t>
      </w:r>
      <w:r w:rsidR="009224C3" w:rsidRPr="0034696C">
        <w:rPr>
          <w:bCs/>
          <w:sz w:val="24"/>
          <w:szCs w:val="24"/>
        </w:rPr>
        <w:t>due June 1, 2016</w:t>
      </w:r>
      <w:r w:rsidRPr="0034696C">
        <w:rPr>
          <w:bCs/>
          <w:sz w:val="24"/>
          <w:szCs w:val="24"/>
        </w:rPr>
        <w:t xml:space="preserve">, we approve and accept the Settlement as lawful, supported by an appropriate record, and </w:t>
      </w:r>
      <w:r w:rsidR="00DB4469" w:rsidRPr="0034696C">
        <w:rPr>
          <w:bCs/>
          <w:sz w:val="24"/>
          <w:szCs w:val="24"/>
        </w:rPr>
        <w:t>in the public interest in light of the information available to the Commission</w:t>
      </w:r>
      <w:r w:rsidR="00A05B89" w:rsidRPr="0034696C">
        <w:rPr>
          <w:bCs/>
          <w:sz w:val="24"/>
          <w:szCs w:val="24"/>
        </w:rPr>
        <w:t xml:space="preserve">.   </w:t>
      </w:r>
      <w:r w:rsidR="00C2061E" w:rsidRPr="0034696C">
        <w:rPr>
          <w:bCs/>
          <w:sz w:val="24"/>
          <w:szCs w:val="24"/>
        </w:rPr>
        <w:t xml:space="preserve">  </w:t>
      </w:r>
      <w:bookmarkStart w:id="6" w:name="OLE_LINK3"/>
      <w:bookmarkStart w:id="7" w:name="OLE_LINK4"/>
    </w:p>
    <w:p w14:paraId="173821A8" w14:textId="77777777" w:rsidR="000415F4" w:rsidRPr="0034696C" w:rsidRDefault="000415F4" w:rsidP="000415F4">
      <w:pPr>
        <w:pStyle w:val="ListParagraph"/>
        <w:rPr>
          <w:color w:val="000000"/>
        </w:rPr>
      </w:pPr>
    </w:p>
    <w:p w14:paraId="5F6FDFAE" w14:textId="77777777" w:rsidR="000415F4" w:rsidRPr="0034696C" w:rsidRDefault="000415F4" w:rsidP="000415F4">
      <w:pPr>
        <w:spacing w:line="264" w:lineRule="auto"/>
        <w:jc w:val="center"/>
        <w:outlineLvl w:val="0"/>
        <w:rPr>
          <w:sz w:val="24"/>
          <w:szCs w:val="24"/>
        </w:rPr>
      </w:pPr>
      <w:bookmarkStart w:id="8" w:name="_Toc168986382"/>
      <w:r w:rsidRPr="0034696C">
        <w:rPr>
          <w:b/>
          <w:sz w:val="24"/>
          <w:szCs w:val="24"/>
          <w:u w:val="single"/>
        </w:rPr>
        <w:t>FINDINGS OF FACT</w:t>
      </w:r>
      <w:bookmarkEnd w:id="8"/>
    </w:p>
    <w:p w14:paraId="61E4F225" w14:textId="77777777" w:rsidR="000415F4" w:rsidRPr="0034696C" w:rsidRDefault="000415F4" w:rsidP="000415F4">
      <w:pPr>
        <w:spacing w:line="264" w:lineRule="auto"/>
        <w:jc w:val="center"/>
        <w:rPr>
          <w:sz w:val="24"/>
          <w:szCs w:val="24"/>
        </w:rPr>
      </w:pPr>
    </w:p>
    <w:p w14:paraId="272A70C6" w14:textId="77777777" w:rsidR="000415F4" w:rsidRPr="0034696C" w:rsidRDefault="000415F4" w:rsidP="0023004E">
      <w:pPr>
        <w:numPr>
          <w:ilvl w:val="0"/>
          <w:numId w:val="14"/>
        </w:numPr>
        <w:spacing w:line="264" w:lineRule="auto"/>
        <w:ind w:hanging="720"/>
        <w:rPr>
          <w:sz w:val="24"/>
          <w:szCs w:val="24"/>
        </w:rPr>
      </w:pPr>
      <w:r w:rsidRPr="0034696C">
        <w:rPr>
          <w:sz w:val="24"/>
          <w:szCs w:val="24"/>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22353506" w14:textId="77777777" w:rsidR="000415F4" w:rsidRPr="0034696C" w:rsidRDefault="000415F4" w:rsidP="000415F4">
      <w:pPr>
        <w:spacing w:line="264" w:lineRule="auto"/>
        <w:ind w:left="-720"/>
        <w:rPr>
          <w:sz w:val="24"/>
          <w:szCs w:val="24"/>
        </w:rPr>
      </w:pPr>
    </w:p>
    <w:p w14:paraId="6E3FD987" w14:textId="77777777" w:rsidR="000415F4" w:rsidRPr="0034696C" w:rsidRDefault="000415F4" w:rsidP="00D90881">
      <w:pPr>
        <w:numPr>
          <w:ilvl w:val="0"/>
          <w:numId w:val="14"/>
        </w:numPr>
        <w:spacing w:line="264" w:lineRule="auto"/>
        <w:ind w:left="720" w:hanging="1440"/>
        <w:rPr>
          <w:sz w:val="24"/>
          <w:szCs w:val="24"/>
        </w:rPr>
      </w:pPr>
      <w:r w:rsidRPr="0034696C">
        <w:rPr>
          <w:sz w:val="24"/>
          <w:szCs w:val="24"/>
        </w:rPr>
        <w:t>(1)</w:t>
      </w:r>
      <w:r w:rsidRPr="0034696C">
        <w:rPr>
          <w:sz w:val="24"/>
          <w:szCs w:val="24"/>
        </w:rPr>
        <w:tab/>
        <w:t xml:space="preserve">The Washington Utilities and Transportation Commission </w:t>
      </w:r>
      <w:r w:rsidR="00DB4469" w:rsidRPr="0034696C">
        <w:rPr>
          <w:sz w:val="24"/>
          <w:szCs w:val="24"/>
        </w:rPr>
        <w:t xml:space="preserve">(Commission) </w:t>
      </w:r>
      <w:r w:rsidRPr="0034696C">
        <w:rPr>
          <w:sz w:val="24"/>
          <w:szCs w:val="24"/>
        </w:rPr>
        <w:t xml:space="preserve">is an agency of the state of Washington, vested by statute with authority to regulate rates, rules, regulations, practices, and accounts of public service companies, including electrical </w:t>
      </w:r>
      <w:r w:rsidR="00DB4469" w:rsidRPr="0034696C">
        <w:rPr>
          <w:sz w:val="24"/>
          <w:szCs w:val="24"/>
        </w:rPr>
        <w:t xml:space="preserve">and natural gas </w:t>
      </w:r>
      <w:r w:rsidR="008D04C7" w:rsidRPr="0034696C">
        <w:rPr>
          <w:sz w:val="24"/>
          <w:szCs w:val="24"/>
        </w:rPr>
        <w:t>companies</w:t>
      </w:r>
      <w:r w:rsidRPr="0034696C">
        <w:rPr>
          <w:i/>
          <w:iCs/>
          <w:sz w:val="24"/>
          <w:szCs w:val="24"/>
        </w:rPr>
        <w:t>.</w:t>
      </w:r>
    </w:p>
    <w:p w14:paraId="228912A5" w14:textId="77777777" w:rsidR="000415F4" w:rsidRPr="0034696C" w:rsidRDefault="000415F4" w:rsidP="000415F4">
      <w:pPr>
        <w:spacing w:line="264" w:lineRule="auto"/>
        <w:rPr>
          <w:sz w:val="24"/>
          <w:szCs w:val="24"/>
        </w:rPr>
      </w:pPr>
    </w:p>
    <w:p w14:paraId="7F9D0E7E" w14:textId="77777777" w:rsidR="000415F4" w:rsidRPr="0034696C" w:rsidRDefault="000415F4" w:rsidP="00716156">
      <w:pPr>
        <w:numPr>
          <w:ilvl w:val="0"/>
          <w:numId w:val="14"/>
        </w:numPr>
        <w:spacing w:line="264" w:lineRule="auto"/>
        <w:ind w:left="720" w:hanging="1440"/>
        <w:rPr>
          <w:sz w:val="24"/>
          <w:szCs w:val="24"/>
        </w:rPr>
      </w:pPr>
      <w:r w:rsidRPr="0034696C">
        <w:rPr>
          <w:sz w:val="24"/>
          <w:szCs w:val="24"/>
        </w:rPr>
        <w:t>(2)</w:t>
      </w:r>
      <w:r w:rsidRPr="0034696C">
        <w:rPr>
          <w:sz w:val="24"/>
          <w:szCs w:val="24"/>
        </w:rPr>
        <w:tab/>
      </w:r>
      <w:proofErr w:type="spellStart"/>
      <w:r w:rsidR="00DB4469" w:rsidRPr="0034696C">
        <w:rPr>
          <w:sz w:val="24"/>
          <w:szCs w:val="24"/>
        </w:rPr>
        <w:t>Avista</w:t>
      </w:r>
      <w:proofErr w:type="spellEnd"/>
      <w:r w:rsidR="00DB4469" w:rsidRPr="0034696C">
        <w:rPr>
          <w:sz w:val="24"/>
          <w:szCs w:val="24"/>
        </w:rPr>
        <w:t xml:space="preserve"> Corporation dba </w:t>
      </w:r>
      <w:proofErr w:type="spellStart"/>
      <w:r w:rsidR="00DB4469" w:rsidRPr="0034696C">
        <w:rPr>
          <w:sz w:val="24"/>
          <w:szCs w:val="24"/>
        </w:rPr>
        <w:t>Avista</w:t>
      </w:r>
      <w:proofErr w:type="spellEnd"/>
      <w:r w:rsidR="00DB4469" w:rsidRPr="0034696C">
        <w:rPr>
          <w:sz w:val="24"/>
          <w:szCs w:val="24"/>
        </w:rPr>
        <w:t xml:space="preserve"> Utilities</w:t>
      </w:r>
      <w:r w:rsidRPr="0034696C">
        <w:rPr>
          <w:sz w:val="24"/>
          <w:szCs w:val="24"/>
        </w:rPr>
        <w:t xml:space="preserve"> </w:t>
      </w:r>
      <w:r w:rsidR="00DB4469" w:rsidRPr="0034696C">
        <w:rPr>
          <w:sz w:val="24"/>
          <w:szCs w:val="24"/>
        </w:rPr>
        <w:t>(</w:t>
      </w:r>
      <w:proofErr w:type="spellStart"/>
      <w:r w:rsidR="00DB4469" w:rsidRPr="0034696C">
        <w:rPr>
          <w:sz w:val="24"/>
          <w:szCs w:val="24"/>
        </w:rPr>
        <w:t>Avista</w:t>
      </w:r>
      <w:proofErr w:type="spellEnd"/>
      <w:r w:rsidR="00DB4469" w:rsidRPr="0034696C">
        <w:rPr>
          <w:sz w:val="24"/>
          <w:szCs w:val="24"/>
        </w:rPr>
        <w:t xml:space="preserve"> or Company) </w:t>
      </w:r>
      <w:r w:rsidRPr="0034696C">
        <w:rPr>
          <w:sz w:val="24"/>
          <w:szCs w:val="24"/>
        </w:rPr>
        <w:t>is a “public service company</w:t>
      </w:r>
      <w:r w:rsidR="00DB4469" w:rsidRPr="0034696C">
        <w:rPr>
          <w:sz w:val="24"/>
          <w:szCs w:val="24"/>
        </w:rPr>
        <w:t>,</w:t>
      </w:r>
      <w:r w:rsidRPr="0034696C">
        <w:rPr>
          <w:sz w:val="24"/>
          <w:szCs w:val="24"/>
        </w:rPr>
        <w:t>” an “electrical company</w:t>
      </w:r>
      <w:r w:rsidR="00DB4469" w:rsidRPr="0034696C">
        <w:rPr>
          <w:sz w:val="24"/>
          <w:szCs w:val="24"/>
        </w:rPr>
        <w:t>,</w:t>
      </w:r>
      <w:r w:rsidRPr="0034696C">
        <w:rPr>
          <w:sz w:val="24"/>
          <w:szCs w:val="24"/>
        </w:rPr>
        <w:t xml:space="preserve">” </w:t>
      </w:r>
      <w:r w:rsidR="00DB4469" w:rsidRPr="0034696C">
        <w:rPr>
          <w:sz w:val="24"/>
          <w:szCs w:val="24"/>
        </w:rPr>
        <w:t xml:space="preserve">and a “gas company” </w:t>
      </w:r>
      <w:r w:rsidRPr="0034696C">
        <w:rPr>
          <w:sz w:val="24"/>
          <w:szCs w:val="24"/>
        </w:rPr>
        <w:t xml:space="preserve">as those terms are defined in RCW 80.04.010 and used in Title 80 RCW. </w:t>
      </w:r>
      <w:proofErr w:type="spellStart"/>
      <w:r w:rsidR="00DB4469" w:rsidRPr="0034696C">
        <w:rPr>
          <w:sz w:val="24"/>
          <w:szCs w:val="24"/>
        </w:rPr>
        <w:t>Avista</w:t>
      </w:r>
      <w:proofErr w:type="spellEnd"/>
      <w:r w:rsidRPr="0034696C">
        <w:rPr>
          <w:sz w:val="24"/>
          <w:szCs w:val="24"/>
        </w:rPr>
        <w:t xml:space="preserve"> </w:t>
      </w:r>
      <w:r w:rsidR="00DB4469" w:rsidRPr="0034696C">
        <w:rPr>
          <w:sz w:val="24"/>
          <w:szCs w:val="24"/>
        </w:rPr>
        <w:t>provides electric and natural gas</w:t>
      </w:r>
      <w:r w:rsidRPr="0034696C">
        <w:rPr>
          <w:sz w:val="24"/>
          <w:szCs w:val="24"/>
        </w:rPr>
        <w:t xml:space="preserve"> utility services to </w:t>
      </w:r>
      <w:r w:rsidR="00DB4469" w:rsidRPr="0034696C">
        <w:rPr>
          <w:sz w:val="24"/>
          <w:szCs w:val="24"/>
        </w:rPr>
        <w:t>customers in Washington</w:t>
      </w:r>
      <w:r w:rsidRPr="0034696C">
        <w:rPr>
          <w:sz w:val="24"/>
          <w:szCs w:val="24"/>
        </w:rPr>
        <w:t>.</w:t>
      </w:r>
    </w:p>
    <w:p w14:paraId="4741EDB6" w14:textId="77777777" w:rsidR="000415F4" w:rsidRDefault="000415F4" w:rsidP="000415F4">
      <w:pPr>
        <w:spacing w:line="264" w:lineRule="auto"/>
        <w:rPr>
          <w:sz w:val="24"/>
          <w:szCs w:val="24"/>
        </w:rPr>
      </w:pPr>
    </w:p>
    <w:p w14:paraId="4749355C" w14:textId="77777777" w:rsidR="00496C4F" w:rsidRPr="0034696C" w:rsidRDefault="00496C4F" w:rsidP="000415F4">
      <w:pPr>
        <w:spacing w:line="264" w:lineRule="auto"/>
        <w:rPr>
          <w:sz w:val="24"/>
          <w:szCs w:val="24"/>
        </w:rPr>
      </w:pPr>
    </w:p>
    <w:p w14:paraId="5E90E6E2" w14:textId="77777777" w:rsidR="000415F4" w:rsidRPr="0034696C" w:rsidRDefault="000415F4" w:rsidP="00DB4469">
      <w:pPr>
        <w:numPr>
          <w:ilvl w:val="0"/>
          <w:numId w:val="14"/>
        </w:numPr>
        <w:spacing w:line="264" w:lineRule="auto"/>
        <w:ind w:left="720" w:hanging="1440"/>
        <w:rPr>
          <w:sz w:val="24"/>
          <w:szCs w:val="24"/>
        </w:rPr>
      </w:pPr>
      <w:r w:rsidRPr="0034696C">
        <w:rPr>
          <w:sz w:val="24"/>
          <w:szCs w:val="24"/>
        </w:rPr>
        <w:lastRenderedPageBreak/>
        <w:t>(3)</w:t>
      </w:r>
      <w:r w:rsidRPr="0034696C">
        <w:rPr>
          <w:sz w:val="24"/>
          <w:szCs w:val="24"/>
        </w:rPr>
        <w:tab/>
      </w:r>
      <w:r w:rsidR="00DB4469" w:rsidRPr="0034696C">
        <w:rPr>
          <w:sz w:val="24"/>
          <w:szCs w:val="24"/>
        </w:rPr>
        <w:t xml:space="preserve">On May 29, 2015, </w:t>
      </w:r>
      <w:proofErr w:type="spellStart"/>
      <w:r w:rsidR="00DB4469" w:rsidRPr="0034696C">
        <w:rPr>
          <w:sz w:val="24"/>
          <w:szCs w:val="24"/>
        </w:rPr>
        <w:t>Avista</w:t>
      </w:r>
      <w:proofErr w:type="spellEnd"/>
      <w:r w:rsidR="00DB4469" w:rsidRPr="0034696C">
        <w:rPr>
          <w:sz w:val="24"/>
          <w:szCs w:val="24"/>
        </w:rPr>
        <w:t xml:space="preserve"> proposed tariff revisions to the Company’s tariff </w:t>
      </w:r>
      <w:proofErr w:type="spellStart"/>
      <w:r w:rsidR="00DB4469" w:rsidRPr="0034696C">
        <w:rPr>
          <w:sz w:val="24"/>
          <w:szCs w:val="24"/>
        </w:rPr>
        <w:t>WN</w:t>
      </w:r>
      <w:proofErr w:type="spellEnd"/>
      <w:r w:rsidR="00DB4469" w:rsidRPr="0034696C">
        <w:rPr>
          <w:sz w:val="24"/>
          <w:szCs w:val="24"/>
        </w:rPr>
        <w:t xml:space="preserve"> U-28, requesting a reduction in rates and charges in Schedule 91, the electric tariff rider which provides funding for demand side management programs as well as evaluation, measurement, and verification.</w:t>
      </w:r>
      <w:r w:rsidR="009D5B96" w:rsidRPr="0034696C">
        <w:rPr>
          <w:sz w:val="24"/>
          <w:szCs w:val="24"/>
        </w:rPr>
        <w:t xml:space="preserve">  </w:t>
      </w:r>
    </w:p>
    <w:p w14:paraId="77F64B7B" w14:textId="77777777" w:rsidR="000415F4" w:rsidRPr="0034696C" w:rsidRDefault="000415F4" w:rsidP="000415F4">
      <w:pPr>
        <w:spacing w:line="264" w:lineRule="auto"/>
        <w:rPr>
          <w:sz w:val="24"/>
          <w:szCs w:val="24"/>
        </w:rPr>
      </w:pPr>
    </w:p>
    <w:p w14:paraId="3EBAB6A7" w14:textId="77777777" w:rsidR="000415F4" w:rsidRPr="0034696C" w:rsidRDefault="000415F4" w:rsidP="0087550B">
      <w:pPr>
        <w:numPr>
          <w:ilvl w:val="0"/>
          <w:numId w:val="14"/>
        </w:numPr>
        <w:spacing w:line="264" w:lineRule="auto"/>
        <w:ind w:left="720" w:hanging="1440"/>
        <w:rPr>
          <w:sz w:val="24"/>
          <w:szCs w:val="24"/>
        </w:rPr>
      </w:pPr>
      <w:r w:rsidRPr="0034696C">
        <w:rPr>
          <w:sz w:val="24"/>
          <w:szCs w:val="24"/>
        </w:rPr>
        <w:t>(</w:t>
      </w:r>
      <w:r w:rsidR="003E657B" w:rsidRPr="0034696C">
        <w:rPr>
          <w:sz w:val="24"/>
          <w:szCs w:val="24"/>
        </w:rPr>
        <w:t>4</w:t>
      </w:r>
      <w:r w:rsidR="00E5023C" w:rsidRPr="0034696C">
        <w:rPr>
          <w:sz w:val="24"/>
          <w:szCs w:val="24"/>
        </w:rPr>
        <w:t>)</w:t>
      </w:r>
      <w:r w:rsidR="00E5023C" w:rsidRPr="0034696C">
        <w:rPr>
          <w:sz w:val="24"/>
          <w:szCs w:val="24"/>
        </w:rPr>
        <w:tab/>
      </w:r>
      <w:r w:rsidR="0087550B" w:rsidRPr="0034696C">
        <w:rPr>
          <w:sz w:val="24"/>
          <w:szCs w:val="24"/>
        </w:rPr>
        <w:t xml:space="preserve">Staff, in its Open Meeting memorandum to the Commission, recommended issuing a complaint and order suspending the proposed tariff revisions in Schedule 91 but allowing the rates to temporarily go into effect, subject to revision, and setting the matter for hearing. </w:t>
      </w:r>
    </w:p>
    <w:p w14:paraId="1BFE0002" w14:textId="77777777" w:rsidR="0087550B" w:rsidRPr="0034696C" w:rsidRDefault="0087550B" w:rsidP="0087550B">
      <w:pPr>
        <w:pStyle w:val="ListParagraph"/>
      </w:pPr>
    </w:p>
    <w:p w14:paraId="7A53104F" w14:textId="77777777" w:rsidR="0087550B" w:rsidRPr="0034696C" w:rsidRDefault="0087550B" w:rsidP="0087550B">
      <w:pPr>
        <w:numPr>
          <w:ilvl w:val="0"/>
          <w:numId w:val="14"/>
        </w:numPr>
        <w:spacing w:line="264" w:lineRule="auto"/>
        <w:ind w:left="720" w:hanging="1440"/>
        <w:rPr>
          <w:sz w:val="24"/>
          <w:szCs w:val="24"/>
        </w:rPr>
      </w:pPr>
      <w:r w:rsidRPr="0034696C">
        <w:rPr>
          <w:sz w:val="24"/>
          <w:szCs w:val="24"/>
        </w:rPr>
        <w:t>(5)</w:t>
      </w:r>
      <w:r w:rsidRPr="0034696C">
        <w:rPr>
          <w:sz w:val="24"/>
          <w:szCs w:val="24"/>
        </w:rPr>
        <w:tab/>
        <w:t xml:space="preserve">On July 27, 2015, </w:t>
      </w:r>
      <w:r w:rsidR="0082427E" w:rsidRPr="0034696C">
        <w:rPr>
          <w:sz w:val="24"/>
          <w:szCs w:val="24"/>
        </w:rPr>
        <w:t xml:space="preserve">the Public Counsel Division of the Washington State Attorney General’s Office (Public Counsel) </w:t>
      </w:r>
      <w:r w:rsidRPr="0034696C">
        <w:rPr>
          <w:sz w:val="24"/>
          <w:szCs w:val="24"/>
        </w:rPr>
        <w:t>filed comments</w:t>
      </w:r>
      <w:r w:rsidR="000331CA" w:rsidRPr="0034696C">
        <w:rPr>
          <w:sz w:val="24"/>
          <w:szCs w:val="24"/>
        </w:rPr>
        <w:t xml:space="preserve"> in</w:t>
      </w:r>
      <w:r w:rsidRPr="0034696C">
        <w:rPr>
          <w:sz w:val="24"/>
          <w:szCs w:val="24"/>
        </w:rPr>
        <w:t xml:space="preserve"> </w:t>
      </w:r>
      <w:r w:rsidR="000331CA" w:rsidRPr="0034696C">
        <w:rPr>
          <w:sz w:val="24"/>
          <w:szCs w:val="24"/>
        </w:rPr>
        <w:t xml:space="preserve">support of </w:t>
      </w:r>
      <w:r w:rsidRPr="0034696C">
        <w:rPr>
          <w:sz w:val="24"/>
          <w:szCs w:val="24"/>
        </w:rPr>
        <w:t>Staff’s recommendation.</w:t>
      </w:r>
    </w:p>
    <w:p w14:paraId="5FA5A0C1" w14:textId="77777777" w:rsidR="0087550B" w:rsidRPr="0034696C" w:rsidRDefault="0087550B" w:rsidP="0087550B">
      <w:pPr>
        <w:pStyle w:val="ListParagraph"/>
      </w:pPr>
    </w:p>
    <w:p w14:paraId="70150844" w14:textId="77777777" w:rsidR="008368B8" w:rsidRPr="0034696C" w:rsidRDefault="0087550B" w:rsidP="0087550B">
      <w:pPr>
        <w:numPr>
          <w:ilvl w:val="0"/>
          <w:numId w:val="14"/>
        </w:numPr>
        <w:spacing w:line="264" w:lineRule="auto"/>
        <w:ind w:left="720" w:hanging="1440"/>
        <w:rPr>
          <w:sz w:val="24"/>
          <w:szCs w:val="24"/>
        </w:rPr>
      </w:pPr>
      <w:r w:rsidRPr="0034696C">
        <w:rPr>
          <w:sz w:val="24"/>
          <w:szCs w:val="24"/>
        </w:rPr>
        <w:t>(6)</w:t>
      </w:r>
      <w:r w:rsidRPr="0034696C">
        <w:rPr>
          <w:sz w:val="24"/>
          <w:szCs w:val="24"/>
        </w:rPr>
        <w:tab/>
      </w:r>
      <w:proofErr w:type="spellStart"/>
      <w:r w:rsidR="008368B8" w:rsidRPr="0034696C">
        <w:rPr>
          <w:sz w:val="24"/>
          <w:szCs w:val="24"/>
        </w:rPr>
        <w:t>Avista</w:t>
      </w:r>
      <w:proofErr w:type="spellEnd"/>
      <w:r w:rsidR="008368B8" w:rsidRPr="0034696C">
        <w:rPr>
          <w:sz w:val="24"/>
          <w:szCs w:val="24"/>
        </w:rPr>
        <w:t xml:space="preserve"> filed revised tariff sheets on July 28, 2015, reallocating the WSU reimbursements from the electric program to the natural gas program and removing the $2,500 sponsorship of the </w:t>
      </w:r>
      <w:proofErr w:type="spellStart"/>
      <w:r w:rsidR="008368B8" w:rsidRPr="0034696C">
        <w:rPr>
          <w:sz w:val="24"/>
          <w:szCs w:val="24"/>
        </w:rPr>
        <w:t>NWEC</w:t>
      </w:r>
      <w:proofErr w:type="spellEnd"/>
      <w:r w:rsidR="008368B8" w:rsidRPr="0034696C">
        <w:rPr>
          <w:sz w:val="24"/>
          <w:szCs w:val="24"/>
        </w:rPr>
        <w:t xml:space="preserve"> fundraiser from Schedule 91.</w:t>
      </w:r>
    </w:p>
    <w:p w14:paraId="71EB1814" w14:textId="77777777" w:rsidR="008368B8" w:rsidRPr="0034696C" w:rsidRDefault="008368B8" w:rsidP="008368B8">
      <w:pPr>
        <w:pStyle w:val="ListParagraph"/>
      </w:pPr>
    </w:p>
    <w:p w14:paraId="6307AF60" w14:textId="77777777" w:rsidR="0087550B" w:rsidRPr="0034696C" w:rsidRDefault="008368B8" w:rsidP="0087550B">
      <w:pPr>
        <w:numPr>
          <w:ilvl w:val="0"/>
          <w:numId w:val="14"/>
        </w:numPr>
        <w:spacing w:line="264" w:lineRule="auto"/>
        <w:ind w:left="720" w:hanging="1440"/>
        <w:rPr>
          <w:sz w:val="24"/>
          <w:szCs w:val="24"/>
        </w:rPr>
      </w:pPr>
      <w:r w:rsidRPr="0034696C">
        <w:rPr>
          <w:sz w:val="24"/>
          <w:szCs w:val="24"/>
        </w:rPr>
        <w:t>(7)</w:t>
      </w:r>
      <w:r w:rsidRPr="0034696C">
        <w:rPr>
          <w:sz w:val="24"/>
          <w:szCs w:val="24"/>
        </w:rPr>
        <w:tab/>
      </w:r>
      <w:r w:rsidR="0087550B" w:rsidRPr="0034696C">
        <w:rPr>
          <w:sz w:val="24"/>
          <w:szCs w:val="24"/>
        </w:rPr>
        <w:t xml:space="preserve">At its July 30, 2015, Open Meeting, the Commission voted to </w:t>
      </w:r>
      <w:r w:rsidR="0082427E" w:rsidRPr="0034696C">
        <w:rPr>
          <w:sz w:val="24"/>
          <w:szCs w:val="24"/>
        </w:rPr>
        <w:t>enter</w:t>
      </w:r>
      <w:r w:rsidR="0087550B" w:rsidRPr="0034696C">
        <w:rPr>
          <w:sz w:val="24"/>
          <w:szCs w:val="24"/>
        </w:rPr>
        <w:t xml:space="preserve"> a complaint and order suspending the proposed tariff revisions in Schedule 91</w:t>
      </w:r>
      <w:r w:rsidRPr="0034696C">
        <w:rPr>
          <w:sz w:val="24"/>
          <w:szCs w:val="24"/>
        </w:rPr>
        <w:t xml:space="preserve"> but allowing the rates to temporarily go into effect, subject to revision, and setting the matter for hearing.</w:t>
      </w:r>
    </w:p>
    <w:p w14:paraId="38DFD64F" w14:textId="77777777" w:rsidR="008368B8" w:rsidRPr="0034696C" w:rsidRDefault="008368B8" w:rsidP="008368B8">
      <w:pPr>
        <w:pStyle w:val="ListParagraph"/>
      </w:pPr>
    </w:p>
    <w:p w14:paraId="7E2D65C5" w14:textId="77777777" w:rsidR="008368B8" w:rsidRPr="0034696C" w:rsidRDefault="008368B8" w:rsidP="0087550B">
      <w:pPr>
        <w:numPr>
          <w:ilvl w:val="0"/>
          <w:numId w:val="14"/>
        </w:numPr>
        <w:spacing w:line="264" w:lineRule="auto"/>
        <w:ind w:left="720" w:hanging="1440"/>
        <w:rPr>
          <w:sz w:val="24"/>
          <w:szCs w:val="24"/>
        </w:rPr>
      </w:pPr>
      <w:r w:rsidRPr="0034696C">
        <w:rPr>
          <w:sz w:val="24"/>
          <w:szCs w:val="24"/>
        </w:rPr>
        <w:t>(8)</w:t>
      </w:r>
      <w:r w:rsidRPr="0034696C">
        <w:rPr>
          <w:sz w:val="24"/>
          <w:szCs w:val="24"/>
        </w:rPr>
        <w:tab/>
        <w:t xml:space="preserve">On September 21, 2015, the Commission convened a prehearing conference </w:t>
      </w:r>
      <w:r w:rsidR="000331CA" w:rsidRPr="0034696C">
        <w:rPr>
          <w:sz w:val="24"/>
          <w:szCs w:val="24"/>
        </w:rPr>
        <w:t>in this proceeding</w:t>
      </w:r>
      <w:r w:rsidRPr="0034696C">
        <w:rPr>
          <w:sz w:val="24"/>
          <w:szCs w:val="24"/>
        </w:rPr>
        <w:t xml:space="preserve">. At that time, the Commission granted </w:t>
      </w:r>
      <w:proofErr w:type="spellStart"/>
      <w:r w:rsidRPr="0034696C">
        <w:rPr>
          <w:sz w:val="24"/>
          <w:szCs w:val="24"/>
        </w:rPr>
        <w:t>ICNU’s</w:t>
      </w:r>
      <w:proofErr w:type="spellEnd"/>
      <w:r w:rsidRPr="0034696C">
        <w:rPr>
          <w:sz w:val="24"/>
          <w:szCs w:val="24"/>
        </w:rPr>
        <w:t xml:space="preserve"> intervention, limited to the issues raised in Order 01, and encouraged the parties to continue their ongoing settlement discussions with an informal status conference scheduled for October 15, 2015, to advise the Commission of the progress of settlement discussions.</w:t>
      </w:r>
    </w:p>
    <w:p w14:paraId="2EA624F0" w14:textId="77777777" w:rsidR="000415F4" w:rsidRPr="0034696C" w:rsidRDefault="000415F4" w:rsidP="000415F4">
      <w:pPr>
        <w:pStyle w:val="ListParagraph"/>
        <w:spacing w:line="264" w:lineRule="auto"/>
      </w:pPr>
    </w:p>
    <w:p w14:paraId="36E3D418" w14:textId="77777777" w:rsidR="000415F4" w:rsidRPr="0034696C" w:rsidRDefault="000415F4" w:rsidP="00B53E6B">
      <w:pPr>
        <w:numPr>
          <w:ilvl w:val="0"/>
          <w:numId w:val="14"/>
        </w:numPr>
        <w:tabs>
          <w:tab w:val="left" w:pos="0"/>
          <w:tab w:val="num" w:pos="810"/>
        </w:tabs>
        <w:spacing w:line="264" w:lineRule="auto"/>
        <w:ind w:left="720" w:hanging="1440"/>
        <w:rPr>
          <w:sz w:val="24"/>
          <w:szCs w:val="24"/>
        </w:rPr>
      </w:pPr>
      <w:r w:rsidRPr="0034696C">
        <w:rPr>
          <w:sz w:val="24"/>
          <w:szCs w:val="24"/>
        </w:rPr>
        <w:t>(</w:t>
      </w:r>
      <w:r w:rsidR="008368B8" w:rsidRPr="0034696C">
        <w:rPr>
          <w:sz w:val="24"/>
          <w:szCs w:val="24"/>
        </w:rPr>
        <w:t>9</w:t>
      </w:r>
      <w:r w:rsidRPr="0034696C">
        <w:rPr>
          <w:sz w:val="24"/>
          <w:szCs w:val="24"/>
        </w:rPr>
        <w:t>)</w:t>
      </w:r>
      <w:r w:rsidRPr="0034696C">
        <w:rPr>
          <w:sz w:val="24"/>
          <w:szCs w:val="24"/>
        </w:rPr>
        <w:tab/>
      </w:r>
      <w:proofErr w:type="spellStart"/>
      <w:r w:rsidR="008368B8" w:rsidRPr="0034696C">
        <w:rPr>
          <w:sz w:val="24"/>
          <w:szCs w:val="24"/>
        </w:rPr>
        <w:t>Avista</w:t>
      </w:r>
      <w:proofErr w:type="spellEnd"/>
      <w:r w:rsidR="00543CF2" w:rsidRPr="0034696C">
        <w:rPr>
          <w:sz w:val="24"/>
          <w:szCs w:val="24"/>
        </w:rPr>
        <w:t xml:space="preserve">, </w:t>
      </w:r>
      <w:r w:rsidR="00862FEB" w:rsidRPr="0034696C">
        <w:rPr>
          <w:sz w:val="24"/>
          <w:szCs w:val="24"/>
        </w:rPr>
        <w:t>Staff</w:t>
      </w:r>
      <w:r w:rsidR="00543CF2" w:rsidRPr="0034696C">
        <w:rPr>
          <w:sz w:val="24"/>
          <w:szCs w:val="24"/>
        </w:rPr>
        <w:t xml:space="preserve">, </w:t>
      </w:r>
      <w:r w:rsidR="008368B8" w:rsidRPr="0034696C">
        <w:rPr>
          <w:sz w:val="24"/>
          <w:szCs w:val="24"/>
        </w:rPr>
        <w:t xml:space="preserve">and </w:t>
      </w:r>
      <w:r w:rsidR="00862FEB" w:rsidRPr="0034696C">
        <w:rPr>
          <w:sz w:val="24"/>
          <w:szCs w:val="24"/>
        </w:rPr>
        <w:t>Public Counsel</w:t>
      </w:r>
      <w:r w:rsidR="0082427E" w:rsidRPr="0034696C">
        <w:rPr>
          <w:sz w:val="24"/>
          <w:szCs w:val="24"/>
        </w:rPr>
        <w:t xml:space="preserve"> (</w:t>
      </w:r>
      <w:r w:rsidR="008368B8" w:rsidRPr="0034696C">
        <w:rPr>
          <w:sz w:val="24"/>
          <w:szCs w:val="24"/>
        </w:rPr>
        <w:t xml:space="preserve">collectively with </w:t>
      </w:r>
      <w:proofErr w:type="spellStart"/>
      <w:r w:rsidR="008368B8" w:rsidRPr="0034696C">
        <w:rPr>
          <w:sz w:val="24"/>
          <w:szCs w:val="24"/>
        </w:rPr>
        <w:t>Avista</w:t>
      </w:r>
      <w:proofErr w:type="spellEnd"/>
      <w:r w:rsidR="008368B8" w:rsidRPr="0034696C">
        <w:rPr>
          <w:sz w:val="24"/>
          <w:szCs w:val="24"/>
        </w:rPr>
        <w:t xml:space="preserve"> and Staff, Settling Parties)</w:t>
      </w:r>
      <w:r w:rsidR="00543CF2" w:rsidRPr="0034696C">
        <w:rPr>
          <w:sz w:val="24"/>
          <w:szCs w:val="24"/>
        </w:rPr>
        <w:t xml:space="preserve"> filed a </w:t>
      </w:r>
      <w:r w:rsidR="008368B8" w:rsidRPr="0034696C">
        <w:rPr>
          <w:sz w:val="24"/>
          <w:szCs w:val="24"/>
        </w:rPr>
        <w:t xml:space="preserve">multiparty </w:t>
      </w:r>
      <w:r w:rsidR="00543CF2" w:rsidRPr="0034696C">
        <w:rPr>
          <w:sz w:val="24"/>
          <w:szCs w:val="24"/>
        </w:rPr>
        <w:t>settlement stipulation (Settlement)</w:t>
      </w:r>
      <w:r w:rsidR="008368B8" w:rsidRPr="0034696C">
        <w:rPr>
          <w:sz w:val="24"/>
          <w:szCs w:val="24"/>
        </w:rPr>
        <w:t xml:space="preserve"> on October 29, 2015</w:t>
      </w:r>
      <w:r w:rsidR="00CD05AE" w:rsidRPr="0034696C">
        <w:rPr>
          <w:sz w:val="24"/>
          <w:szCs w:val="24"/>
        </w:rPr>
        <w:t xml:space="preserve">, </w:t>
      </w:r>
      <w:r w:rsidR="00CD05AE" w:rsidRPr="0034696C">
        <w:rPr>
          <w:iCs/>
          <w:sz w:val="24"/>
          <w:szCs w:val="24"/>
        </w:rPr>
        <w:t>attached to this Order as</w:t>
      </w:r>
      <w:r w:rsidR="002E3949" w:rsidRPr="0034696C">
        <w:rPr>
          <w:iCs/>
          <w:sz w:val="24"/>
          <w:szCs w:val="24"/>
        </w:rPr>
        <w:t xml:space="preserve"> </w:t>
      </w:r>
      <w:r w:rsidR="00CD05AE" w:rsidRPr="0034696C">
        <w:rPr>
          <w:iCs/>
          <w:sz w:val="24"/>
          <w:szCs w:val="24"/>
        </w:rPr>
        <w:t>Appendix A and incorporated by reference</w:t>
      </w:r>
      <w:r w:rsidR="0082427E" w:rsidRPr="0034696C">
        <w:rPr>
          <w:sz w:val="24"/>
          <w:szCs w:val="24"/>
        </w:rPr>
        <w:t>.</w:t>
      </w:r>
      <w:r w:rsidR="00543CF2" w:rsidRPr="0034696C">
        <w:rPr>
          <w:sz w:val="24"/>
          <w:szCs w:val="24"/>
        </w:rPr>
        <w:t xml:space="preserve"> The </w:t>
      </w:r>
      <w:r w:rsidR="008368B8" w:rsidRPr="0034696C">
        <w:rPr>
          <w:sz w:val="24"/>
          <w:szCs w:val="24"/>
        </w:rPr>
        <w:t>Industrial Customers of Northwest Utilities</w:t>
      </w:r>
      <w:r w:rsidR="00CD05AE" w:rsidRPr="0034696C">
        <w:rPr>
          <w:sz w:val="24"/>
          <w:szCs w:val="24"/>
        </w:rPr>
        <w:t xml:space="preserve"> </w:t>
      </w:r>
      <w:r w:rsidR="00543CF2" w:rsidRPr="0034696C">
        <w:rPr>
          <w:sz w:val="24"/>
          <w:szCs w:val="24"/>
        </w:rPr>
        <w:t xml:space="preserve">did not join the Settlement but do not oppose it.  </w:t>
      </w:r>
      <w:r w:rsidRPr="0034696C">
        <w:rPr>
          <w:sz w:val="24"/>
          <w:szCs w:val="24"/>
        </w:rPr>
        <w:t xml:space="preserve">  </w:t>
      </w:r>
    </w:p>
    <w:p w14:paraId="5D4C6C71" w14:textId="77777777" w:rsidR="000415F4" w:rsidRPr="0034696C" w:rsidRDefault="000415F4" w:rsidP="000415F4">
      <w:pPr>
        <w:spacing w:line="264" w:lineRule="auto"/>
        <w:rPr>
          <w:sz w:val="24"/>
          <w:szCs w:val="24"/>
        </w:rPr>
      </w:pPr>
    </w:p>
    <w:p w14:paraId="57E90F14" w14:textId="77777777" w:rsidR="000415F4" w:rsidRPr="0034696C" w:rsidRDefault="000415F4" w:rsidP="008368B8">
      <w:pPr>
        <w:numPr>
          <w:ilvl w:val="0"/>
          <w:numId w:val="14"/>
        </w:numPr>
        <w:spacing w:line="264" w:lineRule="auto"/>
        <w:ind w:left="720" w:hanging="1440"/>
        <w:rPr>
          <w:sz w:val="24"/>
          <w:szCs w:val="24"/>
        </w:rPr>
      </w:pPr>
      <w:r w:rsidRPr="0034696C">
        <w:rPr>
          <w:sz w:val="24"/>
          <w:szCs w:val="24"/>
        </w:rPr>
        <w:t>(</w:t>
      </w:r>
      <w:r w:rsidR="008368B8" w:rsidRPr="0034696C">
        <w:rPr>
          <w:sz w:val="24"/>
          <w:szCs w:val="24"/>
        </w:rPr>
        <w:t>10</w:t>
      </w:r>
      <w:r w:rsidRPr="0034696C">
        <w:rPr>
          <w:sz w:val="24"/>
          <w:szCs w:val="24"/>
        </w:rPr>
        <w:t>)</w:t>
      </w:r>
      <w:r w:rsidRPr="0034696C">
        <w:rPr>
          <w:sz w:val="24"/>
          <w:szCs w:val="24"/>
        </w:rPr>
        <w:tab/>
      </w:r>
      <w:r w:rsidR="00744F38" w:rsidRPr="0034696C">
        <w:rPr>
          <w:sz w:val="24"/>
          <w:szCs w:val="24"/>
        </w:rPr>
        <w:t xml:space="preserve">The Settlement addresses </w:t>
      </w:r>
      <w:r w:rsidR="008368B8" w:rsidRPr="0034696C">
        <w:rPr>
          <w:sz w:val="24"/>
          <w:szCs w:val="24"/>
        </w:rPr>
        <w:t xml:space="preserve">all of the seven concerns raised by Staff and Public Counsel regarding </w:t>
      </w:r>
      <w:proofErr w:type="spellStart"/>
      <w:r w:rsidR="008368B8" w:rsidRPr="0034696C">
        <w:rPr>
          <w:sz w:val="24"/>
          <w:szCs w:val="24"/>
        </w:rPr>
        <w:t>Avista’s</w:t>
      </w:r>
      <w:proofErr w:type="spellEnd"/>
      <w:r w:rsidR="008368B8" w:rsidRPr="0034696C">
        <w:rPr>
          <w:sz w:val="24"/>
          <w:szCs w:val="24"/>
        </w:rPr>
        <w:t xml:space="preserve"> </w:t>
      </w:r>
      <w:r w:rsidR="000331CA" w:rsidRPr="0034696C">
        <w:rPr>
          <w:sz w:val="24"/>
          <w:szCs w:val="24"/>
        </w:rPr>
        <w:t>May 29, 2015, tariff revision filing</w:t>
      </w:r>
      <w:r w:rsidR="008368B8" w:rsidRPr="0034696C">
        <w:rPr>
          <w:sz w:val="24"/>
          <w:szCs w:val="24"/>
        </w:rPr>
        <w:t xml:space="preserve">. </w:t>
      </w:r>
    </w:p>
    <w:p w14:paraId="22F45EEA" w14:textId="77777777" w:rsidR="00496C4F" w:rsidRPr="0034696C" w:rsidRDefault="00496C4F" w:rsidP="008368B8">
      <w:pPr>
        <w:pStyle w:val="ListParagraph"/>
      </w:pPr>
    </w:p>
    <w:p w14:paraId="13E9F906" w14:textId="77777777" w:rsidR="008368B8" w:rsidRPr="0034696C" w:rsidRDefault="008368B8" w:rsidP="008368B8">
      <w:pPr>
        <w:numPr>
          <w:ilvl w:val="0"/>
          <w:numId w:val="14"/>
        </w:numPr>
        <w:spacing w:line="264" w:lineRule="auto"/>
        <w:ind w:left="720" w:hanging="1440"/>
        <w:rPr>
          <w:sz w:val="24"/>
          <w:szCs w:val="24"/>
        </w:rPr>
      </w:pPr>
      <w:r w:rsidRPr="0034696C">
        <w:rPr>
          <w:sz w:val="24"/>
          <w:szCs w:val="24"/>
        </w:rPr>
        <w:lastRenderedPageBreak/>
        <w:t>(11)</w:t>
      </w:r>
      <w:r w:rsidRPr="0034696C">
        <w:rPr>
          <w:sz w:val="24"/>
          <w:szCs w:val="24"/>
        </w:rPr>
        <w:tab/>
        <w:t xml:space="preserve">On January 22, 2016, the Settling Parties provided testimony in support of the Settlement including details of the Company’s efforts to improve both the management of its electric and natural gas conservation programs and </w:t>
      </w:r>
      <w:proofErr w:type="spellStart"/>
      <w:r w:rsidRPr="0034696C">
        <w:rPr>
          <w:sz w:val="24"/>
          <w:szCs w:val="24"/>
        </w:rPr>
        <w:t>Avista’s</w:t>
      </w:r>
      <w:proofErr w:type="spellEnd"/>
      <w:r w:rsidRPr="0034696C">
        <w:rPr>
          <w:sz w:val="24"/>
          <w:szCs w:val="24"/>
        </w:rPr>
        <w:t xml:space="preserve"> communications with its Advisory Group.</w:t>
      </w:r>
    </w:p>
    <w:p w14:paraId="12030FA2" w14:textId="77777777" w:rsidR="000415F4" w:rsidRPr="0034696C" w:rsidRDefault="000415F4" w:rsidP="000415F4">
      <w:pPr>
        <w:spacing w:line="264" w:lineRule="auto"/>
        <w:ind w:left="-720"/>
        <w:rPr>
          <w:sz w:val="24"/>
          <w:szCs w:val="24"/>
        </w:rPr>
      </w:pPr>
    </w:p>
    <w:p w14:paraId="1A7B7306" w14:textId="77777777" w:rsidR="000415F4" w:rsidRPr="0034696C" w:rsidRDefault="000415F4" w:rsidP="000415F4">
      <w:pPr>
        <w:spacing w:line="264" w:lineRule="auto"/>
        <w:jc w:val="center"/>
        <w:outlineLvl w:val="0"/>
        <w:rPr>
          <w:sz w:val="24"/>
          <w:szCs w:val="24"/>
        </w:rPr>
      </w:pPr>
      <w:bookmarkStart w:id="9" w:name="_Toc168986383"/>
      <w:r w:rsidRPr="0034696C">
        <w:rPr>
          <w:b/>
          <w:sz w:val="24"/>
          <w:szCs w:val="24"/>
          <w:u w:val="single"/>
        </w:rPr>
        <w:t>CONCLUSIONS OF LAW</w:t>
      </w:r>
      <w:bookmarkEnd w:id="9"/>
    </w:p>
    <w:p w14:paraId="0CF8775D" w14:textId="77777777" w:rsidR="000415F4" w:rsidRPr="0034696C" w:rsidRDefault="000415F4" w:rsidP="000415F4">
      <w:pPr>
        <w:spacing w:line="264" w:lineRule="auto"/>
        <w:jc w:val="center"/>
        <w:rPr>
          <w:sz w:val="24"/>
          <w:szCs w:val="24"/>
        </w:rPr>
      </w:pPr>
    </w:p>
    <w:p w14:paraId="3307D785" w14:textId="77777777" w:rsidR="000415F4" w:rsidRPr="0034696C" w:rsidRDefault="000415F4" w:rsidP="0023004E">
      <w:pPr>
        <w:numPr>
          <w:ilvl w:val="0"/>
          <w:numId w:val="14"/>
        </w:numPr>
        <w:spacing w:line="264" w:lineRule="auto"/>
        <w:ind w:hanging="720"/>
        <w:rPr>
          <w:b/>
          <w:sz w:val="24"/>
          <w:szCs w:val="24"/>
        </w:rPr>
      </w:pPr>
      <w:r w:rsidRPr="0034696C">
        <w:rPr>
          <w:color w:val="000000"/>
          <w:sz w:val="24"/>
          <w:szCs w:val="24"/>
        </w:rPr>
        <w:t>Having</w:t>
      </w:r>
      <w:r w:rsidRPr="0034696C">
        <w:rPr>
          <w:sz w:val="24"/>
          <w:szCs w:val="24"/>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4EE3CDA7" w14:textId="77777777" w:rsidR="000415F4" w:rsidRPr="0034696C" w:rsidRDefault="000415F4" w:rsidP="000415F4">
      <w:pPr>
        <w:spacing w:line="264" w:lineRule="auto"/>
        <w:ind w:left="-720"/>
        <w:rPr>
          <w:b/>
          <w:sz w:val="24"/>
          <w:szCs w:val="24"/>
        </w:rPr>
      </w:pPr>
    </w:p>
    <w:p w14:paraId="14554C53" w14:textId="77777777" w:rsidR="000415F4" w:rsidRPr="0034696C" w:rsidRDefault="000415F4" w:rsidP="0034696C">
      <w:pPr>
        <w:numPr>
          <w:ilvl w:val="0"/>
          <w:numId w:val="14"/>
        </w:numPr>
        <w:spacing w:line="264" w:lineRule="auto"/>
        <w:ind w:left="720" w:hanging="1440"/>
        <w:rPr>
          <w:sz w:val="24"/>
          <w:szCs w:val="24"/>
        </w:rPr>
      </w:pPr>
      <w:r w:rsidRPr="0034696C">
        <w:rPr>
          <w:sz w:val="24"/>
          <w:szCs w:val="24"/>
        </w:rPr>
        <w:t>(1)</w:t>
      </w:r>
      <w:r w:rsidRPr="0034696C">
        <w:rPr>
          <w:sz w:val="24"/>
          <w:szCs w:val="24"/>
        </w:rPr>
        <w:tab/>
        <w:t xml:space="preserve">The Washington Utilities and Transportation Commission has jurisdiction over the </w:t>
      </w:r>
      <w:r w:rsidRPr="0034696C">
        <w:rPr>
          <w:color w:val="000000"/>
          <w:sz w:val="24"/>
          <w:szCs w:val="24"/>
        </w:rPr>
        <w:t>subject</w:t>
      </w:r>
      <w:r w:rsidRPr="0034696C">
        <w:rPr>
          <w:sz w:val="24"/>
          <w:szCs w:val="24"/>
        </w:rPr>
        <w:t xml:space="preserve"> matter of, and parties to, these proceedings.  </w:t>
      </w:r>
    </w:p>
    <w:p w14:paraId="275DB8A9" w14:textId="77777777" w:rsidR="000415F4" w:rsidRPr="0034696C" w:rsidRDefault="000415F4" w:rsidP="000415F4">
      <w:pPr>
        <w:pStyle w:val="ListParagraph"/>
        <w:spacing w:line="264" w:lineRule="auto"/>
      </w:pPr>
    </w:p>
    <w:p w14:paraId="51820130" w14:textId="77777777" w:rsidR="000415F4" w:rsidRPr="00BF742F" w:rsidRDefault="000415F4" w:rsidP="00BF742F">
      <w:pPr>
        <w:numPr>
          <w:ilvl w:val="0"/>
          <w:numId w:val="14"/>
        </w:numPr>
        <w:spacing w:line="264" w:lineRule="auto"/>
        <w:ind w:left="720" w:hanging="1440"/>
        <w:rPr>
          <w:sz w:val="24"/>
          <w:szCs w:val="24"/>
        </w:rPr>
      </w:pPr>
      <w:r w:rsidRPr="00BF742F">
        <w:rPr>
          <w:sz w:val="24"/>
          <w:szCs w:val="24"/>
        </w:rPr>
        <w:t>(2)</w:t>
      </w:r>
      <w:r w:rsidRPr="00BF742F">
        <w:rPr>
          <w:sz w:val="24"/>
          <w:szCs w:val="24"/>
        </w:rPr>
        <w:tab/>
      </w:r>
      <w:r w:rsidR="00744F38" w:rsidRPr="00BF742F">
        <w:rPr>
          <w:sz w:val="24"/>
          <w:szCs w:val="24"/>
        </w:rPr>
        <w:t>Pursuant to WAC 480-07-750, the Commission will approve settlements when</w:t>
      </w:r>
      <w:r w:rsidR="0034696C" w:rsidRPr="00BF742F">
        <w:rPr>
          <w:sz w:val="24"/>
          <w:szCs w:val="24"/>
        </w:rPr>
        <w:t xml:space="preserve"> </w:t>
      </w:r>
      <w:r w:rsidR="00744F38" w:rsidRPr="00BF742F">
        <w:rPr>
          <w:sz w:val="24"/>
          <w:szCs w:val="24"/>
        </w:rPr>
        <w:t>doing so is lawful, when the settlement terms are supported by an appropriate</w:t>
      </w:r>
      <w:r w:rsidR="0034696C" w:rsidRPr="00BF742F">
        <w:rPr>
          <w:sz w:val="24"/>
          <w:szCs w:val="24"/>
        </w:rPr>
        <w:t xml:space="preserve"> </w:t>
      </w:r>
      <w:r w:rsidR="00744F38" w:rsidRPr="00BF742F">
        <w:rPr>
          <w:sz w:val="24"/>
          <w:szCs w:val="24"/>
        </w:rPr>
        <w:t>record, and when the result is consistent with the public interest in light of all the information available to the Commission.</w:t>
      </w:r>
    </w:p>
    <w:p w14:paraId="03746775" w14:textId="77777777" w:rsidR="000415F4" w:rsidRPr="0034696C" w:rsidRDefault="000415F4" w:rsidP="000415F4">
      <w:pPr>
        <w:pStyle w:val="ListParagraph"/>
        <w:spacing w:line="264" w:lineRule="auto"/>
      </w:pPr>
    </w:p>
    <w:p w14:paraId="23B19EE4" w14:textId="77777777" w:rsidR="000415F4" w:rsidRPr="0034696C" w:rsidRDefault="000415F4" w:rsidP="004D199A">
      <w:pPr>
        <w:numPr>
          <w:ilvl w:val="0"/>
          <w:numId w:val="14"/>
        </w:numPr>
        <w:spacing w:line="264" w:lineRule="auto"/>
        <w:ind w:left="720" w:hanging="1440"/>
        <w:rPr>
          <w:sz w:val="24"/>
          <w:szCs w:val="24"/>
        </w:rPr>
      </w:pPr>
      <w:r w:rsidRPr="0034696C">
        <w:rPr>
          <w:sz w:val="24"/>
          <w:szCs w:val="24"/>
        </w:rPr>
        <w:t>(3)</w:t>
      </w:r>
      <w:r w:rsidRPr="0034696C">
        <w:rPr>
          <w:sz w:val="24"/>
          <w:szCs w:val="24"/>
        </w:rPr>
        <w:tab/>
      </w:r>
      <w:r w:rsidR="004D199A" w:rsidRPr="0034696C">
        <w:rPr>
          <w:sz w:val="24"/>
          <w:szCs w:val="24"/>
        </w:rPr>
        <w:t>With the condition listed in paragraph 21, t</w:t>
      </w:r>
      <w:r w:rsidRPr="0034696C">
        <w:rPr>
          <w:sz w:val="24"/>
          <w:szCs w:val="24"/>
        </w:rPr>
        <w:t xml:space="preserve">he Settlement </w:t>
      </w:r>
      <w:r w:rsidR="00CD05AE" w:rsidRPr="0034696C">
        <w:rPr>
          <w:sz w:val="24"/>
          <w:szCs w:val="24"/>
        </w:rPr>
        <w:t>is lawful, its terms are supported by an appropriate record, and</w:t>
      </w:r>
      <w:r w:rsidR="004D199A" w:rsidRPr="0034696C">
        <w:rPr>
          <w:sz w:val="24"/>
          <w:szCs w:val="24"/>
        </w:rPr>
        <w:t xml:space="preserve"> </w:t>
      </w:r>
      <w:r w:rsidR="00CD05AE" w:rsidRPr="0034696C">
        <w:rPr>
          <w:sz w:val="24"/>
          <w:szCs w:val="24"/>
        </w:rPr>
        <w:t>the res</w:t>
      </w:r>
      <w:r w:rsidR="00FD72FC" w:rsidRPr="0034696C">
        <w:rPr>
          <w:sz w:val="24"/>
          <w:szCs w:val="24"/>
        </w:rPr>
        <w:t>ul</w:t>
      </w:r>
      <w:r w:rsidR="00CD05AE" w:rsidRPr="0034696C">
        <w:rPr>
          <w:sz w:val="24"/>
          <w:szCs w:val="24"/>
        </w:rPr>
        <w:t>t is consistent with the public interest in light of all the information</w:t>
      </w:r>
      <w:r w:rsidR="004D199A" w:rsidRPr="0034696C">
        <w:rPr>
          <w:sz w:val="24"/>
          <w:szCs w:val="24"/>
        </w:rPr>
        <w:t xml:space="preserve"> </w:t>
      </w:r>
      <w:r w:rsidR="00CD05AE" w:rsidRPr="0034696C">
        <w:rPr>
          <w:sz w:val="24"/>
          <w:szCs w:val="24"/>
        </w:rPr>
        <w:t>available to the Commission</w:t>
      </w:r>
      <w:r w:rsidRPr="0034696C">
        <w:rPr>
          <w:sz w:val="24"/>
          <w:szCs w:val="24"/>
        </w:rPr>
        <w:t>.</w:t>
      </w:r>
    </w:p>
    <w:p w14:paraId="70294AD2" w14:textId="77777777" w:rsidR="000415F4" w:rsidRPr="0034696C" w:rsidRDefault="000415F4" w:rsidP="000415F4">
      <w:pPr>
        <w:spacing w:line="264" w:lineRule="auto"/>
        <w:rPr>
          <w:b/>
          <w:sz w:val="24"/>
          <w:szCs w:val="24"/>
        </w:rPr>
      </w:pPr>
    </w:p>
    <w:p w14:paraId="7B284AC1" w14:textId="77777777" w:rsidR="000415F4" w:rsidRPr="0034696C" w:rsidRDefault="000415F4" w:rsidP="004D199A">
      <w:pPr>
        <w:numPr>
          <w:ilvl w:val="0"/>
          <w:numId w:val="14"/>
        </w:numPr>
        <w:spacing w:line="264" w:lineRule="auto"/>
        <w:ind w:left="720" w:hanging="1440"/>
        <w:rPr>
          <w:b/>
          <w:sz w:val="24"/>
          <w:szCs w:val="24"/>
        </w:rPr>
      </w:pPr>
      <w:r w:rsidRPr="0034696C">
        <w:rPr>
          <w:iCs/>
          <w:sz w:val="24"/>
          <w:szCs w:val="24"/>
        </w:rPr>
        <w:t>(</w:t>
      </w:r>
      <w:r w:rsidR="00CD05AE" w:rsidRPr="0034696C">
        <w:rPr>
          <w:iCs/>
          <w:sz w:val="24"/>
          <w:szCs w:val="24"/>
        </w:rPr>
        <w:t>4</w:t>
      </w:r>
      <w:r w:rsidRPr="0034696C">
        <w:rPr>
          <w:iCs/>
          <w:sz w:val="24"/>
          <w:szCs w:val="24"/>
        </w:rPr>
        <w:t>)</w:t>
      </w:r>
      <w:r w:rsidRPr="0034696C">
        <w:rPr>
          <w:iCs/>
          <w:sz w:val="24"/>
          <w:szCs w:val="24"/>
        </w:rPr>
        <w:tab/>
      </w:r>
      <w:r w:rsidRPr="0034696C">
        <w:rPr>
          <w:sz w:val="24"/>
          <w:szCs w:val="24"/>
        </w:rPr>
        <w:t>The</w:t>
      </w:r>
      <w:r w:rsidRPr="0034696C">
        <w:rPr>
          <w:iCs/>
          <w:sz w:val="24"/>
          <w:szCs w:val="24"/>
        </w:rPr>
        <w:t xml:space="preserve"> </w:t>
      </w:r>
      <w:r w:rsidRPr="0034696C">
        <w:rPr>
          <w:sz w:val="24"/>
          <w:szCs w:val="24"/>
        </w:rPr>
        <w:t>Commission</w:t>
      </w:r>
      <w:r w:rsidRPr="0034696C">
        <w:rPr>
          <w:iCs/>
          <w:sz w:val="24"/>
          <w:szCs w:val="24"/>
        </w:rPr>
        <w:t xml:space="preserve"> should </w:t>
      </w:r>
      <w:r w:rsidR="004D199A" w:rsidRPr="0034696C">
        <w:rPr>
          <w:iCs/>
          <w:sz w:val="24"/>
          <w:szCs w:val="24"/>
        </w:rPr>
        <w:t xml:space="preserve">conditionally </w:t>
      </w:r>
      <w:r w:rsidRPr="0034696C">
        <w:rPr>
          <w:iCs/>
          <w:sz w:val="24"/>
          <w:szCs w:val="24"/>
        </w:rPr>
        <w:t>approve and adopt the Settlement</w:t>
      </w:r>
      <w:r w:rsidR="00644967" w:rsidRPr="0034696C">
        <w:rPr>
          <w:iCs/>
          <w:sz w:val="24"/>
          <w:szCs w:val="24"/>
        </w:rPr>
        <w:t>,</w:t>
      </w:r>
      <w:r w:rsidRPr="0034696C">
        <w:rPr>
          <w:iCs/>
          <w:sz w:val="24"/>
          <w:szCs w:val="24"/>
        </w:rPr>
        <w:t xml:space="preserve"> attached to this</w:t>
      </w:r>
      <w:r w:rsidR="004D199A" w:rsidRPr="0034696C">
        <w:rPr>
          <w:iCs/>
          <w:sz w:val="24"/>
          <w:szCs w:val="24"/>
        </w:rPr>
        <w:t xml:space="preserve"> </w:t>
      </w:r>
      <w:r w:rsidRPr="0034696C">
        <w:rPr>
          <w:iCs/>
          <w:sz w:val="24"/>
          <w:szCs w:val="24"/>
        </w:rPr>
        <w:t>Order as Appendix A and incorporated by reference in this Order</w:t>
      </w:r>
      <w:r w:rsidR="00644967" w:rsidRPr="0034696C">
        <w:rPr>
          <w:iCs/>
          <w:sz w:val="24"/>
          <w:szCs w:val="24"/>
        </w:rPr>
        <w:t>,</w:t>
      </w:r>
      <w:r w:rsidRPr="0034696C">
        <w:rPr>
          <w:iCs/>
          <w:sz w:val="24"/>
          <w:szCs w:val="24"/>
        </w:rPr>
        <w:t xml:space="preserve"> as a reasonable resolution of the issues presented.  </w:t>
      </w:r>
    </w:p>
    <w:p w14:paraId="53C8C0AE" w14:textId="77777777" w:rsidR="000415F4" w:rsidRPr="0034696C" w:rsidRDefault="000415F4" w:rsidP="000415F4">
      <w:pPr>
        <w:spacing w:line="264" w:lineRule="auto"/>
        <w:rPr>
          <w:sz w:val="24"/>
          <w:szCs w:val="24"/>
        </w:rPr>
      </w:pPr>
    </w:p>
    <w:p w14:paraId="5794A2B5" w14:textId="77777777" w:rsidR="002E3949" w:rsidRPr="0034696C" w:rsidRDefault="000415F4" w:rsidP="00C30FC3">
      <w:pPr>
        <w:numPr>
          <w:ilvl w:val="0"/>
          <w:numId w:val="14"/>
        </w:numPr>
        <w:spacing w:line="264" w:lineRule="auto"/>
        <w:ind w:hanging="720"/>
        <w:rPr>
          <w:b/>
          <w:sz w:val="24"/>
          <w:szCs w:val="24"/>
          <w:u w:val="single"/>
        </w:rPr>
      </w:pPr>
      <w:r w:rsidRPr="0034696C">
        <w:rPr>
          <w:sz w:val="24"/>
          <w:szCs w:val="24"/>
        </w:rPr>
        <w:t>(</w:t>
      </w:r>
      <w:r w:rsidR="00CD05AE" w:rsidRPr="0034696C">
        <w:rPr>
          <w:sz w:val="24"/>
          <w:szCs w:val="24"/>
        </w:rPr>
        <w:t>5</w:t>
      </w:r>
      <w:r w:rsidRPr="0034696C">
        <w:rPr>
          <w:sz w:val="24"/>
          <w:szCs w:val="24"/>
        </w:rPr>
        <w:t>)</w:t>
      </w:r>
      <w:r w:rsidRPr="0034696C">
        <w:rPr>
          <w:sz w:val="24"/>
          <w:szCs w:val="24"/>
        </w:rPr>
        <w:tab/>
      </w:r>
      <w:r w:rsidRPr="0034696C">
        <w:rPr>
          <w:bCs/>
          <w:sz w:val="24"/>
          <w:szCs w:val="24"/>
        </w:rPr>
        <w:t>The</w:t>
      </w:r>
      <w:r w:rsidRPr="0034696C">
        <w:rPr>
          <w:sz w:val="24"/>
          <w:szCs w:val="24"/>
        </w:rPr>
        <w:t xml:space="preserve"> Commission should retain jurisdiction to effectuate the terms of this </w:t>
      </w:r>
    </w:p>
    <w:p w14:paraId="7C32EF3D" w14:textId="77777777" w:rsidR="000415F4" w:rsidRPr="0034696C" w:rsidRDefault="002E3949" w:rsidP="002E3949">
      <w:pPr>
        <w:spacing w:line="264" w:lineRule="auto"/>
        <w:rPr>
          <w:b/>
          <w:sz w:val="24"/>
          <w:szCs w:val="24"/>
          <w:u w:val="single"/>
        </w:rPr>
      </w:pPr>
      <w:r w:rsidRPr="0034696C">
        <w:rPr>
          <w:sz w:val="24"/>
          <w:szCs w:val="24"/>
        </w:rPr>
        <w:tab/>
      </w:r>
      <w:r w:rsidR="000415F4" w:rsidRPr="0034696C">
        <w:rPr>
          <w:sz w:val="24"/>
          <w:szCs w:val="24"/>
        </w:rPr>
        <w:t xml:space="preserve">Order.  </w:t>
      </w:r>
    </w:p>
    <w:p w14:paraId="4910F02B" w14:textId="77777777" w:rsidR="00496C4F" w:rsidRPr="0034696C" w:rsidRDefault="00496C4F" w:rsidP="000415F4">
      <w:pPr>
        <w:spacing w:line="264" w:lineRule="auto"/>
        <w:jc w:val="center"/>
        <w:rPr>
          <w:b/>
          <w:sz w:val="24"/>
          <w:szCs w:val="24"/>
        </w:rPr>
      </w:pPr>
    </w:p>
    <w:p w14:paraId="29DA88F3" w14:textId="77777777" w:rsidR="000415F4" w:rsidRPr="0034696C" w:rsidRDefault="000415F4" w:rsidP="000415F4">
      <w:pPr>
        <w:spacing w:line="264" w:lineRule="auto"/>
        <w:ind w:left="-720"/>
        <w:jc w:val="center"/>
        <w:rPr>
          <w:b/>
          <w:sz w:val="24"/>
          <w:szCs w:val="24"/>
          <w:u w:val="single"/>
        </w:rPr>
      </w:pPr>
      <w:r w:rsidRPr="0034696C">
        <w:rPr>
          <w:b/>
          <w:sz w:val="24"/>
          <w:szCs w:val="24"/>
          <w:u w:val="single"/>
        </w:rPr>
        <w:t>O R D E R</w:t>
      </w:r>
    </w:p>
    <w:p w14:paraId="3FC49843" w14:textId="77777777" w:rsidR="000415F4" w:rsidRPr="0034696C" w:rsidRDefault="0094265A" w:rsidP="0094265A">
      <w:pPr>
        <w:tabs>
          <w:tab w:val="left" w:pos="6048"/>
        </w:tabs>
        <w:spacing w:line="264" w:lineRule="auto"/>
        <w:rPr>
          <w:sz w:val="24"/>
          <w:szCs w:val="24"/>
        </w:rPr>
      </w:pPr>
      <w:r w:rsidRPr="0034696C">
        <w:rPr>
          <w:sz w:val="24"/>
          <w:szCs w:val="24"/>
        </w:rPr>
        <w:tab/>
      </w:r>
    </w:p>
    <w:p w14:paraId="74120ED7" w14:textId="77777777" w:rsidR="000415F4" w:rsidRPr="0034696C" w:rsidRDefault="000415F4" w:rsidP="0023004E">
      <w:pPr>
        <w:spacing w:line="264" w:lineRule="auto"/>
        <w:rPr>
          <w:bCs/>
          <w:sz w:val="24"/>
          <w:szCs w:val="24"/>
        </w:rPr>
      </w:pPr>
      <w:r w:rsidRPr="0034696C">
        <w:rPr>
          <w:bCs/>
          <w:sz w:val="24"/>
          <w:szCs w:val="24"/>
        </w:rPr>
        <w:t>THE COMMISSION ORDERS:</w:t>
      </w:r>
    </w:p>
    <w:p w14:paraId="73D03966" w14:textId="77777777" w:rsidR="000415F4" w:rsidRPr="0034696C" w:rsidRDefault="000415F4" w:rsidP="000415F4">
      <w:pPr>
        <w:spacing w:line="264" w:lineRule="auto"/>
        <w:jc w:val="center"/>
        <w:rPr>
          <w:sz w:val="24"/>
          <w:szCs w:val="24"/>
        </w:rPr>
      </w:pPr>
    </w:p>
    <w:p w14:paraId="16370275" w14:textId="77777777" w:rsidR="000415F4" w:rsidRPr="0034696C" w:rsidRDefault="000415F4" w:rsidP="00D45333">
      <w:pPr>
        <w:numPr>
          <w:ilvl w:val="0"/>
          <w:numId w:val="14"/>
        </w:numPr>
        <w:spacing w:line="264" w:lineRule="auto"/>
        <w:ind w:left="720" w:hanging="1440"/>
        <w:rPr>
          <w:sz w:val="24"/>
          <w:szCs w:val="24"/>
        </w:rPr>
      </w:pPr>
      <w:r w:rsidRPr="0034696C">
        <w:rPr>
          <w:sz w:val="24"/>
          <w:szCs w:val="24"/>
        </w:rPr>
        <w:t>(1)</w:t>
      </w:r>
      <w:r w:rsidRPr="0034696C">
        <w:rPr>
          <w:sz w:val="24"/>
          <w:szCs w:val="24"/>
        </w:rPr>
        <w:tab/>
        <w:t xml:space="preserve">The </w:t>
      </w:r>
      <w:r w:rsidR="00FD72FC" w:rsidRPr="0034696C">
        <w:rPr>
          <w:sz w:val="24"/>
          <w:szCs w:val="24"/>
        </w:rPr>
        <w:t xml:space="preserve">Multiparty </w:t>
      </w:r>
      <w:r w:rsidRPr="0034696C">
        <w:rPr>
          <w:sz w:val="24"/>
          <w:szCs w:val="24"/>
        </w:rPr>
        <w:t xml:space="preserve">Settlement Stipulation filed by </w:t>
      </w:r>
      <w:proofErr w:type="spellStart"/>
      <w:r w:rsidR="004D199A" w:rsidRPr="0034696C">
        <w:rPr>
          <w:sz w:val="24"/>
          <w:szCs w:val="24"/>
        </w:rPr>
        <w:t>Avista</w:t>
      </w:r>
      <w:proofErr w:type="spellEnd"/>
      <w:r w:rsidRPr="0034696C">
        <w:rPr>
          <w:sz w:val="24"/>
          <w:szCs w:val="24"/>
        </w:rPr>
        <w:t xml:space="preserve">, Staff, </w:t>
      </w:r>
      <w:r w:rsidR="004D199A" w:rsidRPr="0034696C">
        <w:rPr>
          <w:sz w:val="24"/>
          <w:szCs w:val="24"/>
        </w:rPr>
        <w:t xml:space="preserve">and </w:t>
      </w:r>
      <w:r w:rsidRPr="0034696C">
        <w:rPr>
          <w:sz w:val="24"/>
          <w:szCs w:val="24"/>
        </w:rPr>
        <w:t xml:space="preserve">Public Counsel, </w:t>
      </w:r>
      <w:r w:rsidR="0052250A" w:rsidRPr="0034696C">
        <w:rPr>
          <w:iCs/>
          <w:sz w:val="24"/>
          <w:szCs w:val="24"/>
        </w:rPr>
        <w:t>attached to this Order as</w:t>
      </w:r>
      <w:r w:rsidR="004D199A" w:rsidRPr="0034696C">
        <w:rPr>
          <w:iCs/>
          <w:sz w:val="24"/>
          <w:szCs w:val="24"/>
        </w:rPr>
        <w:t xml:space="preserve"> </w:t>
      </w:r>
      <w:r w:rsidR="0052250A" w:rsidRPr="0034696C">
        <w:rPr>
          <w:iCs/>
          <w:sz w:val="24"/>
          <w:szCs w:val="24"/>
        </w:rPr>
        <w:t>Appendix A and incorporated by reference</w:t>
      </w:r>
      <w:r w:rsidRPr="0034696C">
        <w:rPr>
          <w:sz w:val="24"/>
          <w:szCs w:val="24"/>
        </w:rPr>
        <w:t>, is approved and adopted</w:t>
      </w:r>
      <w:r w:rsidR="0082427E" w:rsidRPr="0034696C">
        <w:rPr>
          <w:sz w:val="24"/>
          <w:szCs w:val="24"/>
        </w:rPr>
        <w:t xml:space="preserve"> subject to the condition listed in paragraph 21 above</w:t>
      </w:r>
      <w:r w:rsidRPr="0034696C">
        <w:rPr>
          <w:sz w:val="24"/>
          <w:szCs w:val="24"/>
        </w:rPr>
        <w:t>.</w:t>
      </w:r>
    </w:p>
    <w:p w14:paraId="5765F47B" w14:textId="77777777" w:rsidR="000415F4" w:rsidRPr="0034696C" w:rsidRDefault="000415F4" w:rsidP="000415F4">
      <w:pPr>
        <w:spacing w:line="264" w:lineRule="auto"/>
        <w:ind w:left="-360"/>
        <w:rPr>
          <w:sz w:val="24"/>
          <w:szCs w:val="24"/>
        </w:rPr>
      </w:pPr>
    </w:p>
    <w:p w14:paraId="7D60F270" w14:textId="77777777" w:rsidR="004D199A" w:rsidRPr="00BF742F" w:rsidRDefault="000415F4" w:rsidP="00BF742F">
      <w:pPr>
        <w:numPr>
          <w:ilvl w:val="0"/>
          <w:numId w:val="14"/>
        </w:numPr>
        <w:spacing w:line="264" w:lineRule="auto"/>
        <w:ind w:left="720" w:hanging="1440"/>
        <w:rPr>
          <w:sz w:val="24"/>
          <w:szCs w:val="24"/>
        </w:rPr>
      </w:pPr>
      <w:r w:rsidRPr="00BF742F">
        <w:rPr>
          <w:sz w:val="24"/>
          <w:szCs w:val="24"/>
        </w:rPr>
        <w:lastRenderedPageBreak/>
        <w:t>(</w:t>
      </w:r>
      <w:r w:rsidR="0052250A" w:rsidRPr="00BF742F">
        <w:rPr>
          <w:sz w:val="24"/>
          <w:szCs w:val="24"/>
        </w:rPr>
        <w:t>2</w:t>
      </w:r>
      <w:r w:rsidRPr="00BF742F">
        <w:rPr>
          <w:sz w:val="24"/>
          <w:szCs w:val="24"/>
        </w:rPr>
        <w:t>)</w:t>
      </w:r>
      <w:r w:rsidRPr="00BF742F">
        <w:rPr>
          <w:sz w:val="24"/>
          <w:szCs w:val="24"/>
        </w:rPr>
        <w:tab/>
        <w:t>The Commission retains jurisdiction over the subject matters and parties to</w:t>
      </w:r>
      <w:r w:rsidR="00BF742F" w:rsidRPr="00BF742F">
        <w:rPr>
          <w:sz w:val="24"/>
          <w:szCs w:val="24"/>
        </w:rPr>
        <w:t xml:space="preserve"> </w:t>
      </w:r>
      <w:r w:rsidRPr="00BF742F">
        <w:rPr>
          <w:sz w:val="24"/>
          <w:szCs w:val="24"/>
        </w:rPr>
        <w:t>this proceeding to effectuate the terms of this Order.</w:t>
      </w:r>
    </w:p>
    <w:p w14:paraId="0B41B823" w14:textId="77777777" w:rsidR="004D199A" w:rsidRPr="0034696C" w:rsidRDefault="004D199A" w:rsidP="004D199A">
      <w:pPr>
        <w:spacing w:line="264" w:lineRule="auto"/>
        <w:rPr>
          <w:sz w:val="24"/>
          <w:szCs w:val="24"/>
        </w:rPr>
      </w:pPr>
    </w:p>
    <w:p w14:paraId="7341DD85" w14:textId="77777777" w:rsidR="00844D13" w:rsidRPr="0034696C" w:rsidRDefault="00844D13" w:rsidP="00844D13">
      <w:pPr>
        <w:spacing w:line="288" w:lineRule="auto"/>
        <w:rPr>
          <w:sz w:val="24"/>
          <w:szCs w:val="24"/>
        </w:rPr>
      </w:pPr>
      <w:r w:rsidRPr="0034696C">
        <w:rPr>
          <w:sz w:val="24"/>
          <w:szCs w:val="24"/>
        </w:rPr>
        <w:t xml:space="preserve">Dated at Olympia, Washington, and effective </w:t>
      </w:r>
      <w:r w:rsidR="004D199A" w:rsidRPr="0034696C">
        <w:rPr>
          <w:sz w:val="24"/>
          <w:szCs w:val="24"/>
        </w:rPr>
        <w:t>February 2</w:t>
      </w:r>
      <w:r w:rsidR="0082427E" w:rsidRPr="0034696C">
        <w:rPr>
          <w:sz w:val="24"/>
          <w:szCs w:val="24"/>
        </w:rPr>
        <w:t>6</w:t>
      </w:r>
      <w:r w:rsidR="004D199A" w:rsidRPr="0034696C">
        <w:rPr>
          <w:sz w:val="24"/>
          <w:szCs w:val="24"/>
        </w:rPr>
        <w:t>, 2016</w:t>
      </w:r>
      <w:r w:rsidRPr="0034696C">
        <w:rPr>
          <w:sz w:val="24"/>
          <w:szCs w:val="24"/>
        </w:rPr>
        <w:t>.</w:t>
      </w:r>
    </w:p>
    <w:p w14:paraId="40DC2A1B" w14:textId="77777777" w:rsidR="00844D13" w:rsidRPr="0034696C" w:rsidRDefault="00844D13" w:rsidP="00844D13">
      <w:pPr>
        <w:pStyle w:val="Header"/>
        <w:tabs>
          <w:tab w:val="clear" w:pos="4320"/>
          <w:tab w:val="clear" w:pos="8640"/>
        </w:tabs>
        <w:spacing w:line="288" w:lineRule="auto"/>
      </w:pPr>
    </w:p>
    <w:p w14:paraId="59483223" w14:textId="77777777" w:rsidR="00AF6AC2" w:rsidRPr="0034696C" w:rsidRDefault="00AF6AC2" w:rsidP="00AF6AC2">
      <w:pPr>
        <w:spacing w:line="264" w:lineRule="auto"/>
        <w:jc w:val="center"/>
        <w:rPr>
          <w:sz w:val="24"/>
          <w:szCs w:val="24"/>
        </w:rPr>
      </w:pPr>
      <w:r w:rsidRPr="0034696C">
        <w:rPr>
          <w:sz w:val="24"/>
          <w:szCs w:val="24"/>
        </w:rPr>
        <w:t>WASHINGTON UTILITIES AND TRANSPORTATION COMMISSION</w:t>
      </w:r>
      <w:r w:rsidRPr="0034696C">
        <w:rPr>
          <w:sz w:val="24"/>
          <w:szCs w:val="24"/>
        </w:rPr>
        <w:tab/>
      </w:r>
    </w:p>
    <w:p w14:paraId="41B84ADF" w14:textId="77777777" w:rsidR="00AF6AC2" w:rsidRPr="0034696C" w:rsidRDefault="00AF6AC2" w:rsidP="00AF6AC2">
      <w:pPr>
        <w:spacing w:line="288" w:lineRule="auto"/>
        <w:ind w:firstLine="4320"/>
        <w:jc w:val="both"/>
        <w:rPr>
          <w:sz w:val="24"/>
          <w:szCs w:val="24"/>
        </w:rPr>
      </w:pPr>
    </w:p>
    <w:p w14:paraId="561D24E7" w14:textId="77777777" w:rsidR="00AF6AC2" w:rsidRPr="0034696C" w:rsidRDefault="00AF6AC2" w:rsidP="00AF6AC2">
      <w:pPr>
        <w:spacing w:line="288" w:lineRule="auto"/>
        <w:ind w:firstLine="4320"/>
        <w:jc w:val="both"/>
        <w:rPr>
          <w:sz w:val="24"/>
          <w:szCs w:val="24"/>
        </w:rPr>
      </w:pPr>
    </w:p>
    <w:p w14:paraId="371D8E3B" w14:textId="77777777" w:rsidR="00AF6AC2" w:rsidRPr="0034696C" w:rsidRDefault="00AF6AC2" w:rsidP="00AF6AC2">
      <w:pPr>
        <w:spacing w:line="288" w:lineRule="auto"/>
        <w:ind w:firstLine="4320"/>
        <w:jc w:val="both"/>
        <w:rPr>
          <w:sz w:val="24"/>
          <w:szCs w:val="24"/>
        </w:rPr>
      </w:pPr>
    </w:p>
    <w:p w14:paraId="03E63EE2" w14:textId="77777777" w:rsidR="00AF6AC2" w:rsidRPr="0034696C" w:rsidRDefault="00AF6AC2" w:rsidP="00AF6AC2">
      <w:pPr>
        <w:spacing w:line="288" w:lineRule="auto"/>
        <w:ind w:firstLine="4320"/>
        <w:jc w:val="both"/>
        <w:rPr>
          <w:sz w:val="24"/>
          <w:szCs w:val="24"/>
        </w:rPr>
      </w:pPr>
      <w:r w:rsidRPr="0034696C">
        <w:rPr>
          <w:sz w:val="24"/>
          <w:szCs w:val="24"/>
        </w:rPr>
        <w:t>DAVID W. DANNER, Chairman</w:t>
      </w:r>
    </w:p>
    <w:p w14:paraId="33072896" w14:textId="77777777" w:rsidR="00AF6AC2" w:rsidRPr="0034696C" w:rsidRDefault="00AF6AC2" w:rsidP="00AF6AC2">
      <w:pPr>
        <w:spacing w:line="288" w:lineRule="auto"/>
        <w:jc w:val="center"/>
        <w:rPr>
          <w:sz w:val="24"/>
          <w:szCs w:val="24"/>
        </w:rPr>
      </w:pPr>
    </w:p>
    <w:p w14:paraId="34ACDD15" w14:textId="77777777" w:rsidR="00AF6AC2" w:rsidRPr="0034696C" w:rsidRDefault="00AF6AC2" w:rsidP="00AF6AC2">
      <w:pPr>
        <w:spacing w:line="288" w:lineRule="auto"/>
        <w:jc w:val="center"/>
        <w:rPr>
          <w:sz w:val="24"/>
          <w:szCs w:val="24"/>
        </w:rPr>
      </w:pPr>
    </w:p>
    <w:p w14:paraId="66AA3941" w14:textId="77777777" w:rsidR="00AF6AC2" w:rsidRPr="0034696C" w:rsidRDefault="00AF6AC2" w:rsidP="00AF6AC2">
      <w:pPr>
        <w:spacing w:line="288" w:lineRule="auto"/>
        <w:jc w:val="center"/>
        <w:rPr>
          <w:sz w:val="24"/>
          <w:szCs w:val="24"/>
        </w:rPr>
      </w:pPr>
    </w:p>
    <w:p w14:paraId="2B636F85" w14:textId="77777777" w:rsidR="00AF6AC2" w:rsidRPr="0034696C" w:rsidRDefault="00AF6AC2" w:rsidP="00AF6AC2">
      <w:pPr>
        <w:spacing w:line="288" w:lineRule="auto"/>
        <w:rPr>
          <w:sz w:val="24"/>
          <w:szCs w:val="24"/>
        </w:rPr>
      </w:pPr>
      <w:r w:rsidRPr="0034696C">
        <w:rPr>
          <w:sz w:val="24"/>
          <w:szCs w:val="24"/>
        </w:rPr>
        <w:tab/>
      </w:r>
      <w:r w:rsidRPr="0034696C">
        <w:rPr>
          <w:sz w:val="24"/>
          <w:szCs w:val="24"/>
        </w:rPr>
        <w:tab/>
      </w:r>
      <w:r w:rsidRPr="0034696C">
        <w:rPr>
          <w:sz w:val="24"/>
          <w:szCs w:val="24"/>
        </w:rPr>
        <w:tab/>
      </w:r>
      <w:r w:rsidRPr="0034696C">
        <w:rPr>
          <w:sz w:val="24"/>
          <w:szCs w:val="24"/>
        </w:rPr>
        <w:tab/>
      </w:r>
      <w:r w:rsidRPr="0034696C">
        <w:rPr>
          <w:sz w:val="24"/>
          <w:szCs w:val="24"/>
        </w:rPr>
        <w:tab/>
      </w:r>
      <w:r w:rsidRPr="0034696C">
        <w:rPr>
          <w:sz w:val="24"/>
          <w:szCs w:val="24"/>
        </w:rPr>
        <w:tab/>
        <w:t>PHILIP B. JONES, Commissioner</w:t>
      </w:r>
    </w:p>
    <w:p w14:paraId="20BA134A" w14:textId="77777777" w:rsidR="00AF6AC2" w:rsidRPr="0034696C" w:rsidRDefault="00AF6AC2" w:rsidP="00AF6AC2">
      <w:pPr>
        <w:spacing w:line="288" w:lineRule="auto"/>
        <w:jc w:val="center"/>
        <w:rPr>
          <w:sz w:val="24"/>
          <w:szCs w:val="24"/>
        </w:rPr>
      </w:pPr>
    </w:p>
    <w:p w14:paraId="1D82CCC9" w14:textId="77777777" w:rsidR="00AF6AC2" w:rsidRPr="0034696C" w:rsidRDefault="00AF6AC2" w:rsidP="00AF6AC2">
      <w:pPr>
        <w:spacing w:line="288" w:lineRule="auto"/>
        <w:jc w:val="center"/>
        <w:rPr>
          <w:sz w:val="24"/>
          <w:szCs w:val="24"/>
        </w:rPr>
      </w:pPr>
    </w:p>
    <w:p w14:paraId="3DF6F8C3" w14:textId="77777777" w:rsidR="00AF6AC2" w:rsidRPr="0034696C" w:rsidRDefault="00AF6AC2" w:rsidP="00AF6AC2">
      <w:pPr>
        <w:spacing w:line="288" w:lineRule="auto"/>
        <w:jc w:val="center"/>
        <w:rPr>
          <w:sz w:val="24"/>
          <w:szCs w:val="24"/>
        </w:rPr>
      </w:pPr>
    </w:p>
    <w:p w14:paraId="46B21E17" w14:textId="77777777" w:rsidR="00AF6AC2" w:rsidRPr="0034696C" w:rsidRDefault="00AF6AC2" w:rsidP="00AF6AC2">
      <w:pPr>
        <w:spacing w:line="288" w:lineRule="auto"/>
        <w:rPr>
          <w:sz w:val="24"/>
          <w:szCs w:val="24"/>
        </w:rPr>
      </w:pPr>
      <w:r w:rsidRPr="0034696C">
        <w:rPr>
          <w:sz w:val="24"/>
          <w:szCs w:val="24"/>
        </w:rPr>
        <w:tab/>
      </w:r>
      <w:r w:rsidRPr="0034696C">
        <w:rPr>
          <w:sz w:val="24"/>
          <w:szCs w:val="24"/>
        </w:rPr>
        <w:tab/>
      </w:r>
      <w:r w:rsidRPr="0034696C">
        <w:rPr>
          <w:sz w:val="24"/>
          <w:szCs w:val="24"/>
        </w:rPr>
        <w:tab/>
      </w:r>
      <w:r w:rsidRPr="0034696C">
        <w:rPr>
          <w:sz w:val="24"/>
          <w:szCs w:val="24"/>
        </w:rPr>
        <w:tab/>
      </w:r>
      <w:r w:rsidRPr="0034696C">
        <w:rPr>
          <w:sz w:val="24"/>
          <w:szCs w:val="24"/>
        </w:rPr>
        <w:tab/>
      </w:r>
      <w:r w:rsidRPr="0034696C">
        <w:rPr>
          <w:sz w:val="24"/>
          <w:szCs w:val="24"/>
        </w:rPr>
        <w:tab/>
      </w:r>
      <w:r w:rsidR="00E40F06" w:rsidRPr="0034696C">
        <w:rPr>
          <w:sz w:val="24"/>
          <w:szCs w:val="24"/>
        </w:rPr>
        <w:t xml:space="preserve">ANN </w:t>
      </w:r>
      <w:r w:rsidR="00F559CB" w:rsidRPr="0034696C">
        <w:rPr>
          <w:sz w:val="24"/>
          <w:szCs w:val="24"/>
        </w:rPr>
        <w:t xml:space="preserve">E. </w:t>
      </w:r>
      <w:r w:rsidR="00E40F06" w:rsidRPr="0034696C">
        <w:rPr>
          <w:sz w:val="24"/>
          <w:szCs w:val="24"/>
        </w:rPr>
        <w:t>RENDAHL</w:t>
      </w:r>
      <w:r w:rsidRPr="0034696C">
        <w:rPr>
          <w:sz w:val="24"/>
          <w:szCs w:val="24"/>
        </w:rPr>
        <w:t>, Commissioner</w:t>
      </w:r>
    </w:p>
    <w:p w14:paraId="3A393C9C" w14:textId="77777777" w:rsidR="00AF6AC2" w:rsidRPr="0034696C" w:rsidRDefault="00AF6AC2" w:rsidP="00AF6AC2">
      <w:pPr>
        <w:spacing w:line="264" w:lineRule="auto"/>
        <w:rPr>
          <w:sz w:val="24"/>
          <w:szCs w:val="24"/>
        </w:rPr>
      </w:pPr>
    </w:p>
    <w:p w14:paraId="40D707DC" w14:textId="77777777" w:rsidR="00AF6AC2" w:rsidRPr="0034696C" w:rsidRDefault="00AF6AC2" w:rsidP="00AF6AC2">
      <w:pPr>
        <w:spacing w:line="264" w:lineRule="auto"/>
        <w:ind w:left="3600" w:firstLine="720"/>
        <w:rPr>
          <w:sz w:val="24"/>
          <w:szCs w:val="24"/>
        </w:rPr>
      </w:pPr>
    </w:p>
    <w:p w14:paraId="14555EF0" w14:textId="77777777" w:rsidR="00AF6AC2" w:rsidRPr="0034696C" w:rsidRDefault="00AF6AC2" w:rsidP="00AF6AC2">
      <w:pPr>
        <w:spacing w:line="264" w:lineRule="auto"/>
        <w:ind w:left="3600" w:firstLine="720"/>
        <w:rPr>
          <w:sz w:val="24"/>
          <w:szCs w:val="24"/>
        </w:rPr>
      </w:pPr>
    </w:p>
    <w:p w14:paraId="2A27D2C3" w14:textId="77777777" w:rsidR="00AF6AC2" w:rsidRPr="0034696C" w:rsidRDefault="00AF6AC2" w:rsidP="00AF6AC2">
      <w:pPr>
        <w:spacing w:line="264" w:lineRule="auto"/>
        <w:rPr>
          <w:b/>
          <w:sz w:val="24"/>
          <w:szCs w:val="24"/>
        </w:rPr>
      </w:pPr>
      <w:r w:rsidRPr="0034696C">
        <w:rPr>
          <w:b/>
          <w:sz w:val="24"/>
          <w:szCs w:val="24"/>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r w:rsidRPr="0034696C" w:rsidDel="00781F91">
        <w:rPr>
          <w:b/>
          <w:sz w:val="24"/>
          <w:szCs w:val="24"/>
        </w:rPr>
        <w:t xml:space="preserve"> </w:t>
      </w:r>
    </w:p>
    <w:p w14:paraId="54CD57CF" w14:textId="77777777" w:rsidR="00AF6AC2" w:rsidRPr="0034696C" w:rsidRDefault="00AF6AC2" w:rsidP="00AF6AC2">
      <w:pPr>
        <w:spacing w:line="264" w:lineRule="auto"/>
        <w:jc w:val="center"/>
        <w:rPr>
          <w:b/>
          <w:sz w:val="24"/>
          <w:szCs w:val="24"/>
        </w:rPr>
      </w:pPr>
    </w:p>
    <w:p w14:paraId="64AE7949" w14:textId="77777777" w:rsidR="00AF6AC2" w:rsidRPr="0034696C" w:rsidRDefault="00AF6AC2" w:rsidP="00AF6AC2">
      <w:pPr>
        <w:spacing w:line="288" w:lineRule="auto"/>
        <w:jc w:val="center"/>
        <w:rPr>
          <w:b/>
          <w:sz w:val="24"/>
          <w:szCs w:val="24"/>
        </w:rPr>
      </w:pPr>
      <w:r w:rsidRPr="0034696C">
        <w:rPr>
          <w:b/>
          <w:sz w:val="24"/>
          <w:szCs w:val="24"/>
        </w:rPr>
        <w:br w:type="page"/>
      </w:r>
    </w:p>
    <w:p w14:paraId="146FE49A" w14:textId="77777777" w:rsidR="00AF6AC2" w:rsidRPr="0034696C" w:rsidRDefault="00AF6AC2" w:rsidP="00AF6AC2">
      <w:pPr>
        <w:spacing w:line="288" w:lineRule="auto"/>
        <w:jc w:val="center"/>
        <w:rPr>
          <w:b/>
          <w:sz w:val="24"/>
          <w:szCs w:val="24"/>
        </w:rPr>
      </w:pPr>
    </w:p>
    <w:p w14:paraId="23A19DD2" w14:textId="77777777" w:rsidR="00AF6AC2" w:rsidRPr="0034696C" w:rsidRDefault="00AF6AC2" w:rsidP="00AF6AC2">
      <w:pPr>
        <w:spacing w:line="288" w:lineRule="auto"/>
        <w:jc w:val="center"/>
        <w:rPr>
          <w:b/>
          <w:sz w:val="24"/>
          <w:szCs w:val="24"/>
        </w:rPr>
      </w:pPr>
    </w:p>
    <w:p w14:paraId="0A304BC5" w14:textId="77777777" w:rsidR="00AF6AC2" w:rsidRPr="0034696C" w:rsidRDefault="00AF6AC2" w:rsidP="00AF6AC2">
      <w:pPr>
        <w:spacing w:line="288" w:lineRule="auto"/>
        <w:jc w:val="center"/>
        <w:rPr>
          <w:b/>
          <w:sz w:val="24"/>
          <w:szCs w:val="24"/>
        </w:rPr>
      </w:pPr>
    </w:p>
    <w:p w14:paraId="79D78D2B" w14:textId="77777777" w:rsidR="00AF6AC2" w:rsidRPr="0034696C" w:rsidRDefault="00AF6AC2" w:rsidP="00AF6AC2">
      <w:pPr>
        <w:spacing w:line="288" w:lineRule="auto"/>
        <w:jc w:val="center"/>
        <w:rPr>
          <w:b/>
          <w:sz w:val="24"/>
          <w:szCs w:val="24"/>
        </w:rPr>
      </w:pPr>
    </w:p>
    <w:p w14:paraId="5D4FAB32" w14:textId="77777777" w:rsidR="00AF6AC2" w:rsidRPr="0034696C" w:rsidRDefault="00AF6AC2" w:rsidP="00AF6AC2">
      <w:pPr>
        <w:spacing w:line="288" w:lineRule="auto"/>
        <w:jc w:val="center"/>
        <w:rPr>
          <w:b/>
          <w:sz w:val="24"/>
          <w:szCs w:val="24"/>
        </w:rPr>
      </w:pPr>
    </w:p>
    <w:p w14:paraId="546791AD" w14:textId="77777777" w:rsidR="00AF6AC2" w:rsidRPr="0034696C" w:rsidRDefault="00AF6AC2" w:rsidP="00AF6AC2">
      <w:pPr>
        <w:spacing w:line="288" w:lineRule="auto"/>
        <w:jc w:val="center"/>
        <w:rPr>
          <w:b/>
          <w:sz w:val="24"/>
          <w:szCs w:val="24"/>
        </w:rPr>
      </w:pPr>
    </w:p>
    <w:p w14:paraId="244C84FF" w14:textId="77777777" w:rsidR="00AF6AC2" w:rsidRPr="0034696C" w:rsidRDefault="00AF6AC2" w:rsidP="00AF6AC2">
      <w:pPr>
        <w:spacing w:line="288" w:lineRule="auto"/>
        <w:jc w:val="center"/>
        <w:rPr>
          <w:b/>
          <w:sz w:val="24"/>
          <w:szCs w:val="24"/>
        </w:rPr>
      </w:pPr>
    </w:p>
    <w:p w14:paraId="2696FABD" w14:textId="77777777" w:rsidR="00AF6AC2" w:rsidRPr="0034696C" w:rsidRDefault="00AF6AC2" w:rsidP="00AF6AC2">
      <w:pPr>
        <w:spacing w:line="288" w:lineRule="auto"/>
        <w:jc w:val="center"/>
        <w:rPr>
          <w:b/>
          <w:sz w:val="24"/>
          <w:szCs w:val="24"/>
        </w:rPr>
      </w:pPr>
    </w:p>
    <w:p w14:paraId="091DDECF" w14:textId="77777777" w:rsidR="00AF6AC2" w:rsidRPr="0034696C" w:rsidRDefault="00AF6AC2" w:rsidP="00AF6AC2">
      <w:pPr>
        <w:spacing w:line="288" w:lineRule="auto"/>
        <w:jc w:val="center"/>
        <w:rPr>
          <w:b/>
          <w:sz w:val="24"/>
          <w:szCs w:val="24"/>
        </w:rPr>
      </w:pPr>
    </w:p>
    <w:p w14:paraId="59F95CE0" w14:textId="77777777" w:rsidR="00AF6AC2" w:rsidRPr="0034696C" w:rsidRDefault="00AF6AC2" w:rsidP="00AF6AC2">
      <w:pPr>
        <w:spacing w:line="288" w:lineRule="auto"/>
        <w:jc w:val="center"/>
        <w:rPr>
          <w:b/>
          <w:sz w:val="24"/>
          <w:szCs w:val="24"/>
        </w:rPr>
      </w:pPr>
    </w:p>
    <w:p w14:paraId="4E6CE79F" w14:textId="77777777" w:rsidR="00AF6AC2" w:rsidRPr="0034696C" w:rsidRDefault="00AF6AC2" w:rsidP="00AF6AC2">
      <w:pPr>
        <w:spacing w:line="288" w:lineRule="auto"/>
        <w:jc w:val="center"/>
        <w:rPr>
          <w:b/>
          <w:sz w:val="24"/>
          <w:szCs w:val="24"/>
        </w:rPr>
      </w:pPr>
    </w:p>
    <w:p w14:paraId="42FEAE55" w14:textId="77777777" w:rsidR="00AF6AC2" w:rsidRPr="00BF742F" w:rsidRDefault="00AF6AC2" w:rsidP="00AF6AC2">
      <w:pPr>
        <w:spacing w:line="288" w:lineRule="auto"/>
        <w:jc w:val="center"/>
        <w:rPr>
          <w:sz w:val="28"/>
          <w:szCs w:val="28"/>
        </w:rPr>
      </w:pPr>
      <w:r w:rsidRPr="00BF742F">
        <w:rPr>
          <w:sz w:val="28"/>
          <w:szCs w:val="28"/>
        </w:rPr>
        <w:t>APPENDIX A</w:t>
      </w:r>
    </w:p>
    <w:p w14:paraId="3F72B81D" w14:textId="77777777" w:rsidR="00AF6AC2" w:rsidRPr="00BF742F" w:rsidRDefault="00AF6AC2" w:rsidP="00AF6AC2">
      <w:pPr>
        <w:spacing w:line="288" w:lineRule="auto"/>
        <w:jc w:val="center"/>
        <w:rPr>
          <w:sz w:val="28"/>
          <w:szCs w:val="28"/>
        </w:rPr>
      </w:pPr>
      <w:r w:rsidRPr="00BF742F">
        <w:rPr>
          <w:sz w:val="28"/>
          <w:szCs w:val="28"/>
        </w:rPr>
        <w:t>(</w:t>
      </w:r>
      <w:r w:rsidR="001F23EE" w:rsidRPr="00BF742F">
        <w:rPr>
          <w:sz w:val="28"/>
          <w:szCs w:val="28"/>
        </w:rPr>
        <w:t xml:space="preserve">Multiparty </w:t>
      </w:r>
      <w:r w:rsidRPr="00BF742F">
        <w:rPr>
          <w:sz w:val="28"/>
          <w:szCs w:val="28"/>
        </w:rPr>
        <w:t>Settlement Stipulation)</w:t>
      </w:r>
    </w:p>
    <w:bookmarkEnd w:id="6"/>
    <w:bookmarkEnd w:id="7"/>
    <w:p w14:paraId="2F0E0415" w14:textId="77777777" w:rsidR="00844D13" w:rsidRPr="0034696C" w:rsidRDefault="00844D13" w:rsidP="00AF6AC2">
      <w:pPr>
        <w:spacing w:line="288" w:lineRule="auto"/>
        <w:jc w:val="center"/>
        <w:rPr>
          <w:sz w:val="24"/>
          <w:szCs w:val="24"/>
        </w:rPr>
      </w:pPr>
    </w:p>
    <w:sectPr w:rsidR="00844D13" w:rsidRPr="0034696C" w:rsidSect="002C2CB9">
      <w:headerReference w:type="default" r:id="rId8"/>
      <w:headerReference w:type="first" r:id="rId9"/>
      <w:pgSz w:w="12240" w:h="15840" w:code="1"/>
      <w:pgMar w:top="1440" w:right="1440" w:bottom="1440" w:left="2160" w:header="1440" w:footer="720" w:gutter="0"/>
      <w:paperSrc w:first="262" w:other="26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01A11" w14:textId="77777777" w:rsidR="00D76DA2" w:rsidRDefault="00D76DA2">
      <w:r>
        <w:separator/>
      </w:r>
    </w:p>
  </w:endnote>
  <w:endnote w:type="continuationSeparator" w:id="0">
    <w:p w14:paraId="3D226DE0" w14:textId="77777777" w:rsidR="00D76DA2" w:rsidRDefault="00D7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9F2B" w14:textId="77777777" w:rsidR="00D76DA2" w:rsidRDefault="00D76DA2">
      <w:r>
        <w:separator/>
      </w:r>
    </w:p>
  </w:footnote>
  <w:footnote w:type="continuationSeparator" w:id="0">
    <w:p w14:paraId="22CA29CB" w14:textId="77777777" w:rsidR="00D76DA2" w:rsidRDefault="00D76DA2">
      <w:r>
        <w:continuationSeparator/>
      </w:r>
    </w:p>
  </w:footnote>
  <w:footnote w:id="1">
    <w:p w14:paraId="21528B84" w14:textId="77777777" w:rsidR="002018E8" w:rsidRPr="00F76E6F" w:rsidRDefault="002018E8" w:rsidP="002018E8">
      <w:pPr>
        <w:pStyle w:val="FootnoteText"/>
        <w:tabs>
          <w:tab w:val="left" w:pos="0"/>
        </w:tabs>
        <w:rPr>
          <w:szCs w:val="22"/>
        </w:rPr>
      </w:pPr>
      <w:r w:rsidRPr="00F76E6F">
        <w:rPr>
          <w:rStyle w:val="FootnoteReference"/>
          <w:szCs w:val="22"/>
        </w:rPr>
        <w:footnoteRef/>
      </w:r>
      <w:r>
        <w:rPr>
          <w:iCs/>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i/>
          <w:iCs/>
          <w:szCs w:val="22"/>
        </w:rPr>
        <w:t>See</w:t>
      </w:r>
      <w:r>
        <w:rPr>
          <w:iCs/>
          <w:szCs w:val="22"/>
        </w:rPr>
        <w:t xml:space="preserve"> RCW 34.05.455.</w:t>
      </w:r>
    </w:p>
  </w:footnote>
  <w:footnote w:id="2">
    <w:p w14:paraId="76BF0FB5" w14:textId="77777777" w:rsidR="00B03C59" w:rsidRDefault="00B03C59">
      <w:pPr>
        <w:pStyle w:val="FootnoteText"/>
      </w:pPr>
      <w:r>
        <w:rPr>
          <w:rStyle w:val="FootnoteReference"/>
        </w:rPr>
        <w:footnoteRef/>
      </w:r>
      <w:r>
        <w:t xml:space="preserve"> While the Industrial Customers of Northwest Utilities (</w:t>
      </w:r>
      <w:proofErr w:type="spellStart"/>
      <w:r>
        <w:t>ICNU</w:t>
      </w:r>
      <w:proofErr w:type="spellEnd"/>
      <w:r>
        <w:t>) did not join in the Settlement, it likewise does not oppose the agreement.</w:t>
      </w:r>
    </w:p>
  </w:footnote>
  <w:footnote w:id="3">
    <w:p w14:paraId="1ACA7AE8" w14:textId="77777777" w:rsidR="00F32E45" w:rsidRDefault="00F32E45">
      <w:pPr>
        <w:pStyle w:val="FootnoteText"/>
      </w:pPr>
      <w:r>
        <w:rPr>
          <w:rStyle w:val="FootnoteReference"/>
        </w:rPr>
        <w:footnoteRef/>
      </w:r>
      <w:r>
        <w:t xml:space="preserve"> Cover Letter from </w:t>
      </w:r>
      <w:proofErr w:type="spellStart"/>
      <w:r>
        <w:t>Avista</w:t>
      </w:r>
      <w:proofErr w:type="spellEnd"/>
      <w:r>
        <w:t xml:space="preserve"> to Commission at 2 (May 29, 2015).</w:t>
      </w:r>
    </w:p>
  </w:footnote>
  <w:footnote w:id="4">
    <w:p w14:paraId="64D9DC56" w14:textId="77777777" w:rsidR="00F32E45" w:rsidRPr="00F32E45" w:rsidRDefault="00F32E45">
      <w:pPr>
        <w:pStyle w:val="FootnoteText"/>
        <w:rPr>
          <w:i/>
        </w:rPr>
      </w:pPr>
      <w:r>
        <w:rPr>
          <w:rStyle w:val="FootnoteReference"/>
        </w:rPr>
        <w:footnoteRef/>
      </w:r>
      <w:r>
        <w:t xml:space="preserve"> </w:t>
      </w:r>
      <w:r>
        <w:rPr>
          <w:i/>
        </w:rPr>
        <w:t>Id.</w:t>
      </w:r>
    </w:p>
  </w:footnote>
  <w:footnote w:id="5">
    <w:p w14:paraId="14E6C914" w14:textId="77777777" w:rsidR="003857CF" w:rsidRPr="003857CF" w:rsidRDefault="003857CF">
      <w:pPr>
        <w:pStyle w:val="FootnoteText"/>
        <w:rPr>
          <w:i/>
        </w:rPr>
      </w:pPr>
      <w:r>
        <w:rPr>
          <w:rStyle w:val="FootnoteReference"/>
        </w:rPr>
        <w:footnoteRef/>
      </w:r>
      <w:r>
        <w:t xml:space="preserve"> </w:t>
      </w:r>
      <w:r>
        <w:rPr>
          <w:i/>
        </w:rPr>
        <w:t>Id.</w:t>
      </w:r>
    </w:p>
  </w:footnote>
  <w:footnote w:id="6">
    <w:p w14:paraId="74BCC513" w14:textId="77777777" w:rsidR="00A148AF" w:rsidRPr="00A148AF" w:rsidRDefault="00A148AF">
      <w:pPr>
        <w:pStyle w:val="FootnoteText"/>
        <w:rPr>
          <w:i/>
        </w:rPr>
      </w:pPr>
      <w:r>
        <w:rPr>
          <w:rStyle w:val="FootnoteReference"/>
        </w:rPr>
        <w:footnoteRef/>
      </w:r>
      <w:r>
        <w:t xml:space="preserve"> </w:t>
      </w:r>
      <w:r>
        <w:rPr>
          <w:i/>
        </w:rPr>
        <w:t>Id.</w:t>
      </w:r>
    </w:p>
  </w:footnote>
  <w:footnote w:id="7">
    <w:p w14:paraId="08E16EAE" w14:textId="77777777" w:rsidR="00A148AF" w:rsidRPr="00A148AF" w:rsidRDefault="00A148AF">
      <w:pPr>
        <w:pStyle w:val="FootnoteText"/>
      </w:pPr>
      <w:r>
        <w:rPr>
          <w:rStyle w:val="FootnoteReference"/>
        </w:rPr>
        <w:footnoteRef/>
      </w:r>
      <w:r>
        <w:t xml:space="preserve"> </w:t>
      </w:r>
      <w:r>
        <w:rPr>
          <w:i/>
        </w:rPr>
        <w:t xml:space="preserve">Id. </w:t>
      </w:r>
      <w:r>
        <w:t>at 2 and 4.</w:t>
      </w:r>
    </w:p>
  </w:footnote>
  <w:footnote w:id="8">
    <w:p w14:paraId="4B5FB797" w14:textId="77777777" w:rsidR="00A17669" w:rsidRPr="0012002E" w:rsidRDefault="00A17669">
      <w:pPr>
        <w:pStyle w:val="FootnoteText"/>
        <w:rPr>
          <w:i/>
        </w:rPr>
      </w:pPr>
      <w:r>
        <w:rPr>
          <w:rStyle w:val="FootnoteReference"/>
        </w:rPr>
        <w:footnoteRef/>
      </w:r>
      <w:r>
        <w:t xml:space="preserve"> Staff memo to the Commission at 1 (July 30, 2015).</w:t>
      </w:r>
      <w:r w:rsidR="0012002E">
        <w:t xml:space="preserve"> </w:t>
      </w:r>
      <w:r w:rsidR="0012002E" w:rsidRPr="0012002E">
        <w:rPr>
          <w:szCs w:val="25"/>
        </w:rPr>
        <w:t xml:space="preserve">Staff supports its recommendation based </w:t>
      </w:r>
      <w:r w:rsidR="00DE0E5C">
        <w:rPr>
          <w:szCs w:val="25"/>
        </w:rPr>
        <w:t xml:space="preserve">in part </w:t>
      </w:r>
      <w:r w:rsidR="0012002E" w:rsidRPr="0012002E">
        <w:rPr>
          <w:szCs w:val="25"/>
        </w:rPr>
        <w:t>on the results of a comprehensive audit performed on June 7, 2015.</w:t>
      </w:r>
      <w:r w:rsidR="0012002E">
        <w:rPr>
          <w:szCs w:val="25"/>
        </w:rPr>
        <w:t xml:space="preserve"> </w:t>
      </w:r>
      <w:r w:rsidR="0012002E">
        <w:rPr>
          <w:i/>
          <w:szCs w:val="25"/>
        </w:rPr>
        <w:t>Id.</w:t>
      </w:r>
    </w:p>
  </w:footnote>
  <w:footnote w:id="9">
    <w:p w14:paraId="32130668" w14:textId="77777777" w:rsidR="00270AC4" w:rsidRDefault="00270AC4">
      <w:pPr>
        <w:pStyle w:val="FootnoteText"/>
      </w:pPr>
      <w:r>
        <w:rPr>
          <w:rStyle w:val="FootnoteReference"/>
        </w:rPr>
        <w:footnoteRef/>
      </w:r>
      <w:r>
        <w:t xml:space="preserve"> Public Counsel Comments at 1 (July 27, 2015).</w:t>
      </w:r>
    </w:p>
  </w:footnote>
  <w:footnote w:id="10">
    <w:p w14:paraId="1EE98280" w14:textId="77777777" w:rsidR="00A17669" w:rsidRDefault="00A17669">
      <w:pPr>
        <w:pStyle w:val="FootnoteText"/>
      </w:pPr>
      <w:r>
        <w:rPr>
          <w:rStyle w:val="FootnoteReference"/>
        </w:rPr>
        <w:footnoteRef/>
      </w:r>
      <w:r>
        <w:t xml:space="preserve"> Cover letter </w:t>
      </w:r>
      <w:r w:rsidR="00DE0E5C">
        <w:t xml:space="preserve">to </w:t>
      </w:r>
      <w:proofErr w:type="spellStart"/>
      <w:r>
        <w:t>Avista’s</w:t>
      </w:r>
      <w:proofErr w:type="spellEnd"/>
      <w:r>
        <w:t xml:space="preserve"> revised tariff sheets</w:t>
      </w:r>
    </w:p>
  </w:footnote>
  <w:footnote w:id="11">
    <w:p w14:paraId="7F401D3F" w14:textId="77777777" w:rsidR="007F1001" w:rsidRDefault="007F1001">
      <w:pPr>
        <w:pStyle w:val="FootnoteText"/>
      </w:pPr>
      <w:r>
        <w:rPr>
          <w:rStyle w:val="FootnoteReference"/>
        </w:rPr>
        <w:footnoteRef/>
      </w:r>
      <w:r>
        <w:t xml:space="preserve"> Order 02, ¶ 8 (September 25, 2015).</w:t>
      </w:r>
    </w:p>
  </w:footnote>
  <w:footnote w:id="12">
    <w:p w14:paraId="59AEF54B" w14:textId="77777777" w:rsidR="006A0941" w:rsidRDefault="006A0941">
      <w:pPr>
        <w:pStyle w:val="FootnoteText"/>
      </w:pPr>
      <w:r>
        <w:rPr>
          <w:rStyle w:val="FootnoteReference"/>
        </w:rPr>
        <w:footnoteRef/>
      </w:r>
      <w:r w:rsidR="0082427E">
        <w:t xml:space="preserve"> Settlement, </w:t>
      </w:r>
      <w:proofErr w:type="spellStart"/>
      <w:r w:rsidR="0082427E">
        <w:t>n.</w:t>
      </w:r>
      <w:r>
        <w:t>3</w:t>
      </w:r>
      <w:proofErr w:type="spellEnd"/>
      <w:r>
        <w:t>.</w:t>
      </w:r>
    </w:p>
  </w:footnote>
  <w:footnote w:id="13">
    <w:p w14:paraId="28051E62" w14:textId="77777777" w:rsidR="00287F94" w:rsidRPr="00287F94" w:rsidRDefault="00287F94" w:rsidP="00287F94">
      <w:pPr>
        <w:pStyle w:val="FootnoteText"/>
      </w:pPr>
      <w:r>
        <w:rPr>
          <w:rStyle w:val="FootnoteReference"/>
        </w:rPr>
        <w:footnoteRef/>
      </w:r>
      <w:r>
        <w:rPr>
          <w:i/>
        </w:rPr>
        <w:t xml:space="preserve"> </w:t>
      </w:r>
      <w:r>
        <w:t>Staff memo to the Commission at 1 (July 30, 2015).</w:t>
      </w:r>
    </w:p>
  </w:footnote>
  <w:footnote w:id="14">
    <w:p w14:paraId="676B4ACC" w14:textId="77777777" w:rsidR="00DD5D2D" w:rsidRPr="00DD5D2D" w:rsidRDefault="00DD5D2D">
      <w:pPr>
        <w:pStyle w:val="FootnoteText"/>
      </w:pPr>
      <w:r>
        <w:rPr>
          <w:rStyle w:val="FootnoteReference"/>
        </w:rPr>
        <w:footnoteRef/>
      </w:r>
      <w:r>
        <w:t xml:space="preserve"> </w:t>
      </w:r>
      <w:r>
        <w:rPr>
          <w:i/>
        </w:rPr>
        <w:t>Id.</w:t>
      </w:r>
      <w:r>
        <w:t xml:space="preserve"> at 2.</w:t>
      </w:r>
    </w:p>
  </w:footnote>
  <w:footnote w:id="15">
    <w:p w14:paraId="1A2172F7" w14:textId="77777777" w:rsidR="005424F8" w:rsidRPr="005424F8" w:rsidRDefault="005424F8">
      <w:pPr>
        <w:pStyle w:val="FootnoteText"/>
      </w:pPr>
      <w:r>
        <w:rPr>
          <w:rStyle w:val="FootnoteReference"/>
        </w:rPr>
        <w:footnoteRef/>
      </w:r>
      <w:r>
        <w:t xml:space="preserve"> </w:t>
      </w:r>
      <w:r w:rsidR="00DD5D2D">
        <w:t>Settlement</w:t>
      </w:r>
      <w:r>
        <w:t xml:space="preserve"> at </w:t>
      </w:r>
      <w:r w:rsidR="00DD5D2D">
        <w:t>3</w:t>
      </w:r>
      <w:r>
        <w:t>.</w:t>
      </w:r>
    </w:p>
  </w:footnote>
  <w:footnote w:id="16">
    <w:p w14:paraId="10443511" w14:textId="77777777" w:rsidR="00287F94" w:rsidRPr="00DD5D2D" w:rsidRDefault="00287F94" w:rsidP="00287F94">
      <w:pPr>
        <w:pStyle w:val="FootnoteText"/>
      </w:pPr>
      <w:r>
        <w:rPr>
          <w:rStyle w:val="FootnoteReference"/>
        </w:rPr>
        <w:footnoteRef/>
      </w:r>
      <w:r>
        <w:t xml:space="preserve"> </w:t>
      </w:r>
      <w:r>
        <w:rPr>
          <w:i/>
        </w:rPr>
        <w:t>Id.</w:t>
      </w:r>
      <w:r w:rsidR="00DD5D2D">
        <w:rPr>
          <w:i/>
        </w:rPr>
        <w:t xml:space="preserve"> </w:t>
      </w:r>
      <w:proofErr w:type="spellStart"/>
      <w:r w:rsidR="00DD5D2D" w:rsidRPr="00DD5D2D">
        <w:rPr>
          <w:bCs/>
          <w:szCs w:val="25"/>
        </w:rPr>
        <w:t>Avista</w:t>
      </w:r>
      <w:proofErr w:type="spellEnd"/>
      <w:r w:rsidR="00DD5D2D" w:rsidRPr="00DD5D2D">
        <w:rPr>
          <w:bCs/>
          <w:szCs w:val="25"/>
        </w:rPr>
        <w:t xml:space="preserve"> received $311,153 in reimbursements from WSU in 2013 and 2014.</w:t>
      </w:r>
      <w:r w:rsidR="00DD5D2D">
        <w:rPr>
          <w:bCs/>
          <w:szCs w:val="25"/>
        </w:rPr>
        <w:t xml:space="preserve"> </w:t>
      </w:r>
      <w:r w:rsidR="00DD5D2D">
        <w:rPr>
          <w:bCs/>
          <w:i/>
          <w:szCs w:val="25"/>
        </w:rPr>
        <w:t xml:space="preserve">Id. </w:t>
      </w:r>
      <w:r w:rsidR="00DD5D2D">
        <w:rPr>
          <w:bCs/>
          <w:szCs w:val="25"/>
        </w:rPr>
        <w:t>at 4.</w:t>
      </w:r>
    </w:p>
  </w:footnote>
  <w:footnote w:id="17">
    <w:p w14:paraId="23B47DA8" w14:textId="77777777" w:rsidR="00287F94" w:rsidRPr="008530AD" w:rsidRDefault="00287F94" w:rsidP="00287F94">
      <w:pPr>
        <w:pStyle w:val="FootnoteText"/>
      </w:pPr>
      <w:r>
        <w:rPr>
          <w:rStyle w:val="FootnoteReference"/>
        </w:rPr>
        <w:footnoteRef/>
      </w:r>
      <w:r>
        <w:t xml:space="preserve"> </w:t>
      </w:r>
      <w:r w:rsidR="00673DFE">
        <w:t xml:space="preserve">Staff memo to the Commission </w:t>
      </w:r>
      <w:r>
        <w:t>at 4</w:t>
      </w:r>
      <w:r w:rsidR="00673DFE">
        <w:t xml:space="preserve"> (July 30, 2015)</w:t>
      </w:r>
      <w:r>
        <w:t>.</w:t>
      </w:r>
    </w:p>
  </w:footnote>
  <w:footnote w:id="18">
    <w:p w14:paraId="5E455D83" w14:textId="77777777" w:rsidR="00287F94" w:rsidRPr="0009613A" w:rsidRDefault="00287F94" w:rsidP="00287F94">
      <w:pPr>
        <w:pStyle w:val="FootnoteText"/>
        <w:rPr>
          <w:i/>
        </w:rPr>
      </w:pPr>
      <w:r>
        <w:rPr>
          <w:rStyle w:val="FootnoteReference"/>
        </w:rPr>
        <w:footnoteRef/>
      </w:r>
      <w:r>
        <w:t xml:space="preserve"> </w:t>
      </w:r>
      <w:r w:rsidR="00673DFE">
        <w:rPr>
          <w:i/>
        </w:rPr>
        <w:t xml:space="preserve">Id. </w:t>
      </w:r>
      <w:r>
        <w:t>at 1.</w:t>
      </w:r>
    </w:p>
  </w:footnote>
  <w:footnote w:id="19">
    <w:p w14:paraId="26214F5F" w14:textId="77777777" w:rsidR="00287F94" w:rsidRPr="0009613A" w:rsidRDefault="00287F94" w:rsidP="00287F94">
      <w:pPr>
        <w:pStyle w:val="FootnoteText"/>
        <w:rPr>
          <w:i/>
        </w:rPr>
      </w:pPr>
      <w:r>
        <w:rPr>
          <w:rStyle w:val="FootnoteReference"/>
        </w:rPr>
        <w:footnoteRef/>
      </w:r>
      <w:r>
        <w:t xml:space="preserve"> </w:t>
      </w:r>
      <w:r>
        <w:rPr>
          <w:i/>
        </w:rPr>
        <w:t>Id.</w:t>
      </w:r>
    </w:p>
  </w:footnote>
  <w:footnote w:id="20">
    <w:p w14:paraId="66EEAEC0" w14:textId="77777777" w:rsidR="00287F94" w:rsidRPr="0009613A" w:rsidRDefault="00287F94" w:rsidP="00287F94">
      <w:pPr>
        <w:pStyle w:val="FootnoteText"/>
      </w:pPr>
      <w:r>
        <w:rPr>
          <w:rStyle w:val="FootnoteReference"/>
        </w:rPr>
        <w:footnoteRef/>
      </w:r>
      <w:r>
        <w:t xml:space="preserve"> </w:t>
      </w:r>
      <w:r>
        <w:rPr>
          <w:i/>
        </w:rPr>
        <w:t>Id.</w:t>
      </w:r>
      <w:r>
        <w:t xml:space="preserve"> at 2.</w:t>
      </w:r>
    </w:p>
  </w:footnote>
  <w:footnote w:id="21">
    <w:p w14:paraId="6DB2E146" w14:textId="77777777" w:rsidR="00CB4551" w:rsidRDefault="00CB4551">
      <w:pPr>
        <w:pStyle w:val="FootnoteText"/>
      </w:pPr>
      <w:r>
        <w:rPr>
          <w:rStyle w:val="FootnoteReference"/>
        </w:rPr>
        <w:footnoteRef/>
      </w:r>
      <w:r>
        <w:t xml:space="preserve"> </w:t>
      </w:r>
      <w:r w:rsidR="00C703C1">
        <w:t>Settlement at 4.</w:t>
      </w:r>
    </w:p>
  </w:footnote>
  <w:footnote w:id="22">
    <w:p w14:paraId="02793F5B" w14:textId="77777777" w:rsidR="00F01629" w:rsidRPr="00F01629" w:rsidRDefault="00F01629">
      <w:pPr>
        <w:pStyle w:val="FootnoteText"/>
      </w:pPr>
      <w:r>
        <w:rPr>
          <w:rStyle w:val="FootnoteReference"/>
        </w:rPr>
        <w:footnoteRef/>
      </w:r>
      <w:r>
        <w:t xml:space="preserve"> </w:t>
      </w:r>
      <w:r>
        <w:rPr>
          <w:i/>
        </w:rPr>
        <w:t>Id.</w:t>
      </w:r>
      <w:r>
        <w:t xml:space="preserve"> at 5.</w:t>
      </w:r>
    </w:p>
  </w:footnote>
  <w:footnote w:id="23">
    <w:p w14:paraId="00804288" w14:textId="77777777" w:rsidR="00F01629" w:rsidRPr="00F01629" w:rsidRDefault="00F01629">
      <w:pPr>
        <w:pStyle w:val="FootnoteText"/>
        <w:rPr>
          <w:i/>
        </w:rPr>
      </w:pPr>
      <w:r>
        <w:rPr>
          <w:rStyle w:val="FootnoteReference"/>
        </w:rPr>
        <w:footnoteRef/>
      </w:r>
      <w:r>
        <w:t xml:space="preserve"> </w:t>
      </w:r>
      <w:r>
        <w:rPr>
          <w:i/>
        </w:rPr>
        <w:t>Id.</w:t>
      </w:r>
    </w:p>
  </w:footnote>
  <w:footnote w:id="24">
    <w:p w14:paraId="5384FEEC" w14:textId="77777777" w:rsidR="00F01629" w:rsidRPr="00AE6D1A" w:rsidRDefault="00F01629">
      <w:pPr>
        <w:pStyle w:val="FootnoteText"/>
      </w:pPr>
      <w:r>
        <w:rPr>
          <w:rStyle w:val="FootnoteReference"/>
        </w:rPr>
        <w:footnoteRef/>
      </w:r>
      <w:r>
        <w:t xml:space="preserve"> </w:t>
      </w:r>
      <w:r w:rsidRPr="00F01629">
        <w:rPr>
          <w:i/>
        </w:rPr>
        <w:t>Id.</w:t>
      </w:r>
      <w:r>
        <w:t xml:space="preserve"> Any expenditures associated with the program extension </w:t>
      </w:r>
      <w:r w:rsidR="00AE6D1A">
        <w:t xml:space="preserve">will remain in the tariff rider balancing account as a regulatory liability that the Company may seek recovery of as part of its 2016-2017 conservation tariff and true-up filing. </w:t>
      </w:r>
      <w:r w:rsidR="00AE6D1A">
        <w:rPr>
          <w:i/>
        </w:rPr>
        <w:t>Id.</w:t>
      </w:r>
      <w:r w:rsidR="00AE6D1A">
        <w:t xml:space="preserve"> at 6.</w:t>
      </w:r>
    </w:p>
  </w:footnote>
  <w:footnote w:id="25">
    <w:p w14:paraId="30349851" w14:textId="77777777" w:rsidR="00287F94" w:rsidRDefault="00287F94" w:rsidP="00287F94">
      <w:pPr>
        <w:pStyle w:val="FootnoteText"/>
      </w:pPr>
      <w:r>
        <w:rPr>
          <w:rStyle w:val="FootnoteReference"/>
        </w:rPr>
        <w:footnoteRef/>
      </w:r>
      <w:r>
        <w:t xml:space="preserve"> Joint Testimony of Bradley T. Cebulko and Mary M. Kimball, on behalf of Staff and Public Counsel, respectively, at 3:14-16 (January 22, 2016).</w:t>
      </w:r>
    </w:p>
  </w:footnote>
  <w:footnote w:id="26">
    <w:p w14:paraId="6CC43A6F" w14:textId="77777777" w:rsidR="00287F94" w:rsidRPr="00EA4565" w:rsidRDefault="00287F94" w:rsidP="00287F94">
      <w:pPr>
        <w:pStyle w:val="FootnoteText"/>
        <w:rPr>
          <w:i/>
        </w:rPr>
      </w:pPr>
      <w:r>
        <w:rPr>
          <w:rStyle w:val="FootnoteReference"/>
        </w:rPr>
        <w:footnoteRef/>
      </w:r>
      <w:r>
        <w:t xml:space="preserve"> </w:t>
      </w:r>
      <w:r>
        <w:rPr>
          <w:i/>
        </w:rPr>
        <w:t xml:space="preserve">Id. </w:t>
      </w:r>
      <w:r w:rsidRPr="00EA4565">
        <w:t>at 3:16-18.</w:t>
      </w:r>
    </w:p>
  </w:footnote>
  <w:footnote w:id="27">
    <w:p w14:paraId="3F029A74" w14:textId="77777777" w:rsidR="00287F94" w:rsidRPr="00D074EA" w:rsidRDefault="00287F94" w:rsidP="00287F94">
      <w:pPr>
        <w:pStyle w:val="FootnoteText"/>
      </w:pPr>
      <w:r>
        <w:rPr>
          <w:rStyle w:val="FootnoteReference"/>
        </w:rPr>
        <w:footnoteRef/>
      </w:r>
      <w:r>
        <w:t xml:space="preserve"> </w:t>
      </w:r>
      <w:r>
        <w:rPr>
          <w:i/>
        </w:rPr>
        <w:t>Id</w:t>
      </w:r>
      <w:r>
        <w:t>. at 9:8-10, 9:13-14.</w:t>
      </w:r>
    </w:p>
  </w:footnote>
  <w:footnote w:id="28">
    <w:p w14:paraId="61EC1DCB" w14:textId="77777777" w:rsidR="00287F94" w:rsidRPr="00D074EA" w:rsidRDefault="00287F94" w:rsidP="00287F94">
      <w:pPr>
        <w:pStyle w:val="FootnoteText"/>
      </w:pPr>
      <w:r>
        <w:rPr>
          <w:rStyle w:val="FootnoteReference"/>
        </w:rPr>
        <w:footnoteRef/>
      </w:r>
      <w:r>
        <w:t xml:space="preserve"> </w:t>
      </w:r>
      <w:r>
        <w:rPr>
          <w:i/>
        </w:rPr>
        <w:t>Id.</w:t>
      </w:r>
      <w:r>
        <w:t xml:space="preserve"> at 10:14-16.</w:t>
      </w:r>
    </w:p>
  </w:footnote>
  <w:footnote w:id="29">
    <w:p w14:paraId="3A3FE3CA" w14:textId="77777777" w:rsidR="00287F94" w:rsidRPr="0042328D" w:rsidRDefault="00287F94" w:rsidP="00287F94">
      <w:pPr>
        <w:pStyle w:val="FootnoteText"/>
      </w:pPr>
      <w:r>
        <w:rPr>
          <w:rStyle w:val="FootnoteReference"/>
        </w:rPr>
        <w:footnoteRef/>
      </w:r>
      <w:r>
        <w:t xml:space="preserve"> </w:t>
      </w:r>
      <w:r>
        <w:rPr>
          <w:i/>
        </w:rPr>
        <w:t>Id.</w:t>
      </w:r>
      <w:r>
        <w:t xml:space="preserve"> at 5:7-9.</w:t>
      </w:r>
    </w:p>
  </w:footnote>
  <w:footnote w:id="30">
    <w:p w14:paraId="40129D91" w14:textId="77777777" w:rsidR="00287F94" w:rsidRDefault="00287F94" w:rsidP="00287F94">
      <w:pPr>
        <w:pStyle w:val="FootnoteText"/>
      </w:pPr>
      <w:r>
        <w:rPr>
          <w:rStyle w:val="FootnoteReference"/>
        </w:rPr>
        <w:footnoteRef/>
      </w:r>
      <w:r>
        <w:t xml:space="preserve"> Testimony of Kevin J. Christie, on behalf of </w:t>
      </w:r>
      <w:proofErr w:type="spellStart"/>
      <w:r>
        <w:t>Avista</w:t>
      </w:r>
      <w:proofErr w:type="spellEnd"/>
      <w:r>
        <w:t xml:space="preserve"> at 4:5-7 (January 22, 2016).</w:t>
      </w:r>
    </w:p>
  </w:footnote>
  <w:footnote w:id="31">
    <w:p w14:paraId="25338DB5" w14:textId="77777777" w:rsidR="00287F94" w:rsidRPr="003E3A02" w:rsidRDefault="00287F94" w:rsidP="00287F94">
      <w:pPr>
        <w:pStyle w:val="FootnoteText"/>
      </w:pPr>
      <w:r>
        <w:rPr>
          <w:rStyle w:val="FootnoteReference"/>
        </w:rPr>
        <w:footnoteRef/>
      </w:r>
      <w:r>
        <w:t xml:space="preserve"> </w:t>
      </w:r>
      <w:r>
        <w:rPr>
          <w:i/>
        </w:rPr>
        <w:t>Id.</w:t>
      </w:r>
      <w:r>
        <w:t xml:space="preserve"> at 5:6-9.</w:t>
      </w:r>
    </w:p>
  </w:footnote>
  <w:footnote w:id="32">
    <w:p w14:paraId="45D01DEA" w14:textId="77777777" w:rsidR="00287F94" w:rsidRPr="00025B6C" w:rsidRDefault="00287F94" w:rsidP="00287F94">
      <w:pPr>
        <w:pStyle w:val="FootnoteText"/>
      </w:pPr>
      <w:r>
        <w:rPr>
          <w:rStyle w:val="FootnoteReference"/>
        </w:rPr>
        <w:footnoteRef/>
      </w:r>
      <w:r>
        <w:t xml:space="preserve"> </w:t>
      </w:r>
      <w:r w:rsidR="00EF3024">
        <w:t>Settlement</w:t>
      </w:r>
      <w:r>
        <w:t xml:space="preserve"> at 6.</w:t>
      </w:r>
    </w:p>
  </w:footnote>
  <w:footnote w:id="33">
    <w:p w14:paraId="5C186695" w14:textId="77777777" w:rsidR="00287F94" w:rsidRPr="00025B6C" w:rsidRDefault="00287F94" w:rsidP="00287F94">
      <w:pPr>
        <w:pStyle w:val="FootnoteText"/>
        <w:rPr>
          <w:i/>
        </w:rPr>
      </w:pPr>
      <w:r>
        <w:rPr>
          <w:rStyle w:val="FootnoteReference"/>
        </w:rPr>
        <w:footnoteRef/>
      </w:r>
      <w:r>
        <w:t xml:space="preserve"> </w:t>
      </w:r>
      <w:r>
        <w:rPr>
          <w:i/>
        </w:rPr>
        <w:t>Id.</w:t>
      </w:r>
    </w:p>
  </w:footnote>
  <w:footnote w:id="34">
    <w:p w14:paraId="2F245465" w14:textId="77777777" w:rsidR="00287F94" w:rsidRPr="00B179E6" w:rsidRDefault="00287F94" w:rsidP="00287F94">
      <w:pPr>
        <w:pStyle w:val="FootnoteText"/>
      </w:pPr>
      <w:r>
        <w:rPr>
          <w:rStyle w:val="FootnoteReference"/>
        </w:rPr>
        <w:footnoteRef/>
      </w:r>
      <w:r>
        <w:t xml:space="preserve"> </w:t>
      </w:r>
      <w:r>
        <w:rPr>
          <w:i/>
        </w:rPr>
        <w:t>Id.</w:t>
      </w:r>
      <w:r>
        <w:t xml:space="preserve"> at 6-7.</w:t>
      </w:r>
    </w:p>
  </w:footnote>
  <w:footnote w:id="35">
    <w:p w14:paraId="1FC6809C" w14:textId="77777777" w:rsidR="00287F94" w:rsidRPr="000E7EE2" w:rsidRDefault="00287F94" w:rsidP="00287F94">
      <w:pPr>
        <w:pStyle w:val="FootnoteText"/>
      </w:pPr>
      <w:r>
        <w:rPr>
          <w:rStyle w:val="FootnoteReference"/>
        </w:rPr>
        <w:footnoteRef/>
      </w:r>
      <w:r>
        <w:t xml:space="preserve"> </w:t>
      </w:r>
      <w:r>
        <w:rPr>
          <w:i/>
        </w:rPr>
        <w:t>Id.</w:t>
      </w:r>
      <w:r>
        <w:t xml:space="preserve"> at 7.</w:t>
      </w:r>
    </w:p>
  </w:footnote>
  <w:footnote w:id="36">
    <w:p w14:paraId="1D4092F4" w14:textId="77777777" w:rsidR="00673DFE" w:rsidRDefault="00673DFE">
      <w:pPr>
        <w:pStyle w:val="FootnoteText"/>
      </w:pPr>
      <w:r>
        <w:rPr>
          <w:rStyle w:val="FootnoteReference"/>
        </w:rPr>
        <w:footnoteRef/>
      </w:r>
      <w:r>
        <w:t xml:space="preserve"> Public Counsel Comments at 1 (July 27, 2015).</w:t>
      </w:r>
    </w:p>
  </w:footnote>
  <w:footnote w:id="37">
    <w:p w14:paraId="5152498C" w14:textId="77777777" w:rsidR="00281CB0" w:rsidRPr="00EF3024" w:rsidRDefault="00281CB0">
      <w:pPr>
        <w:pStyle w:val="FootnoteText"/>
      </w:pPr>
      <w:r>
        <w:rPr>
          <w:rStyle w:val="FootnoteReference"/>
        </w:rPr>
        <w:footnoteRef/>
      </w:r>
      <w:r>
        <w:t xml:space="preserve"> </w:t>
      </w:r>
      <w:r w:rsidR="00EF3024">
        <w:t>Settlement at 7.</w:t>
      </w:r>
    </w:p>
  </w:footnote>
  <w:footnote w:id="38">
    <w:p w14:paraId="5CDC4E75" w14:textId="77777777" w:rsidR="00673DFE" w:rsidRPr="00673DFE" w:rsidRDefault="00673DFE">
      <w:pPr>
        <w:pStyle w:val="FootnoteText"/>
      </w:pPr>
      <w:r>
        <w:rPr>
          <w:rStyle w:val="FootnoteReference"/>
        </w:rPr>
        <w:footnoteRef/>
      </w:r>
      <w:r>
        <w:t xml:space="preserve"> </w:t>
      </w:r>
      <w:r w:rsidR="00EF3024">
        <w:t>Public Counsel Comments at 1 (July 27, 2015).</w:t>
      </w:r>
    </w:p>
  </w:footnote>
  <w:footnote w:id="39">
    <w:p w14:paraId="0ABACD1A" w14:textId="77777777" w:rsidR="00A05833" w:rsidRDefault="00A05833" w:rsidP="00A05833">
      <w:pPr>
        <w:pStyle w:val="FootnoteText"/>
      </w:pPr>
      <w:r>
        <w:rPr>
          <w:rStyle w:val="FootnoteReference"/>
        </w:rPr>
        <w:footnoteRef/>
      </w:r>
      <w:r>
        <w:t xml:space="preserve"> </w:t>
      </w:r>
      <w:r w:rsidR="00EF3024">
        <w:t>Settlement</w:t>
      </w:r>
      <w:r w:rsidR="0071004F">
        <w:t xml:space="preserve"> at 8</w:t>
      </w:r>
      <w:r w:rsidRPr="00907A3E">
        <w:rPr>
          <w:bCs/>
        </w:rPr>
        <w:t xml:space="preserve">.  </w:t>
      </w:r>
    </w:p>
  </w:footnote>
  <w:footnote w:id="40">
    <w:p w14:paraId="3B5B15D1" w14:textId="77777777" w:rsidR="0071004F" w:rsidRPr="0071004F" w:rsidRDefault="0071004F">
      <w:pPr>
        <w:pStyle w:val="FootnoteText"/>
      </w:pPr>
      <w:r>
        <w:rPr>
          <w:rStyle w:val="FootnoteReference"/>
        </w:rPr>
        <w:footnoteRef/>
      </w:r>
      <w:r>
        <w:t xml:space="preserve"> </w:t>
      </w:r>
      <w:r>
        <w:rPr>
          <w:i/>
        </w:rPr>
        <w:t>Id.</w:t>
      </w:r>
      <w:r>
        <w:t xml:space="preserve"> at 9.</w:t>
      </w:r>
    </w:p>
  </w:footnote>
  <w:footnote w:id="41">
    <w:p w14:paraId="3060D5AF" w14:textId="77777777" w:rsidR="0071004F" w:rsidRPr="0071004F" w:rsidRDefault="0071004F">
      <w:pPr>
        <w:pStyle w:val="FootnoteText"/>
        <w:rPr>
          <w:i/>
        </w:rPr>
      </w:pPr>
      <w:r>
        <w:rPr>
          <w:rStyle w:val="FootnoteReference"/>
        </w:rPr>
        <w:footnoteRef/>
      </w:r>
      <w:r>
        <w:t xml:space="preserve"> </w:t>
      </w:r>
      <w:r>
        <w:rPr>
          <w:i/>
        </w:rPr>
        <w:t>Id.</w:t>
      </w:r>
    </w:p>
  </w:footnote>
  <w:footnote w:id="42">
    <w:p w14:paraId="0DF25D7D" w14:textId="77777777" w:rsidR="004D7DEB" w:rsidRPr="007B2450" w:rsidRDefault="004D7DEB" w:rsidP="004D7DEB">
      <w:pPr>
        <w:pStyle w:val="FootnoteText"/>
        <w:rPr>
          <w:i/>
        </w:rPr>
      </w:pPr>
      <w:r>
        <w:rPr>
          <w:rStyle w:val="FootnoteReference"/>
        </w:rPr>
        <w:footnoteRef/>
      </w:r>
      <w:r>
        <w:t xml:space="preserve"> Public Counsel Comments at 1 (July 27, 2015).</w:t>
      </w:r>
    </w:p>
  </w:footnote>
  <w:footnote w:id="43">
    <w:p w14:paraId="25F93FC1" w14:textId="77777777" w:rsidR="00025B6C" w:rsidRPr="00025B6C" w:rsidRDefault="00025B6C">
      <w:pPr>
        <w:pStyle w:val="FootnoteText"/>
      </w:pPr>
      <w:r>
        <w:rPr>
          <w:rStyle w:val="FootnoteReference"/>
        </w:rPr>
        <w:footnoteRef/>
      </w:r>
      <w:r>
        <w:t xml:space="preserve"> </w:t>
      </w:r>
      <w:r w:rsidR="00EF3024">
        <w:t>Settlement at 9.</w:t>
      </w:r>
      <w:r>
        <w:t xml:space="preserve"> </w:t>
      </w:r>
    </w:p>
  </w:footnote>
  <w:footnote w:id="44">
    <w:p w14:paraId="660FA38E" w14:textId="77777777" w:rsidR="00F76B99" w:rsidRPr="002739C3" w:rsidRDefault="00F76B99" w:rsidP="00F76B99">
      <w:pPr>
        <w:pStyle w:val="FootnoteText"/>
        <w:rPr>
          <w:szCs w:val="22"/>
        </w:rPr>
      </w:pPr>
      <w:r w:rsidRPr="002739C3">
        <w:rPr>
          <w:rStyle w:val="FootnoteReference"/>
          <w:szCs w:val="22"/>
        </w:rPr>
        <w:footnoteRef/>
      </w:r>
      <w:r w:rsidRPr="002739C3">
        <w:rPr>
          <w:szCs w:val="22"/>
        </w:rPr>
        <w:t xml:space="preserve"> WAC 480-07-740.</w:t>
      </w:r>
    </w:p>
  </w:footnote>
  <w:footnote w:id="45">
    <w:p w14:paraId="010273A1" w14:textId="77777777" w:rsidR="00F76B99" w:rsidRDefault="00F76B99" w:rsidP="00F76B99">
      <w:pPr>
        <w:pStyle w:val="FootnoteText"/>
        <w:rPr>
          <w:szCs w:val="22"/>
        </w:rPr>
      </w:pPr>
      <w:r w:rsidRPr="002739C3">
        <w:rPr>
          <w:rStyle w:val="FootnoteReference"/>
          <w:szCs w:val="22"/>
        </w:rPr>
        <w:footnoteRef/>
      </w:r>
      <w:r w:rsidRPr="002739C3">
        <w:rPr>
          <w:szCs w:val="22"/>
        </w:rPr>
        <w:t xml:space="preserve"> WAC 480-07-750(1).</w:t>
      </w:r>
    </w:p>
    <w:p w14:paraId="561A9053" w14:textId="77777777" w:rsidR="00F76B99" w:rsidRPr="00304880" w:rsidRDefault="00F76B99" w:rsidP="00F76B99">
      <w:pPr>
        <w:pStyle w:val="FootnoteText"/>
        <w:rPr>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7E7B" w14:textId="77777777" w:rsidR="00895576" w:rsidRPr="004A53E4" w:rsidRDefault="00895576"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 xml:space="preserve">DOCKET </w:t>
    </w:r>
    <w:proofErr w:type="spellStart"/>
    <w:r w:rsidRPr="004A53E4">
      <w:rPr>
        <w:rStyle w:val="PageNumber"/>
        <w:b/>
        <w:sz w:val="20"/>
        <w:szCs w:val="20"/>
      </w:rPr>
      <w:t>UE</w:t>
    </w:r>
    <w:proofErr w:type="spellEnd"/>
    <w:r w:rsidRPr="004A53E4">
      <w:rPr>
        <w:rStyle w:val="PageNumber"/>
        <w:b/>
        <w:sz w:val="20"/>
        <w:szCs w:val="20"/>
      </w:rPr>
      <w:t>-</w:t>
    </w:r>
    <w:r>
      <w:rPr>
        <w:rStyle w:val="PageNumber"/>
        <w:b/>
        <w:sz w:val="20"/>
        <w:szCs w:val="20"/>
      </w:rPr>
      <w:t>1</w:t>
    </w:r>
    <w:r w:rsidR="00305BAA">
      <w:rPr>
        <w:rStyle w:val="PageNumber"/>
        <w:b/>
        <w:sz w:val="20"/>
        <w:szCs w:val="20"/>
      </w:rPr>
      <w:t>51148</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381D7C">
      <w:rPr>
        <w:rStyle w:val="PageNumber"/>
        <w:b/>
        <w:noProof/>
        <w:sz w:val="20"/>
        <w:szCs w:val="20"/>
      </w:rPr>
      <w:t>2</w:t>
    </w:r>
    <w:r w:rsidRPr="004A53E4">
      <w:rPr>
        <w:rStyle w:val="PageNumber"/>
        <w:b/>
        <w:sz w:val="20"/>
        <w:szCs w:val="20"/>
      </w:rPr>
      <w:fldChar w:fldCharType="end"/>
    </w:r>
  </w:p>
  <w:p w14:paraId="2C4C02D6" w14:textId="77777777" w:rsidR="00895576" w:rsidRPr="004A53E4" w:rsidRDefault="00895576">
    <w:pPr>
      <w:rPr>
        <w:b/>
        <w:sz w:val="20"/>
        <w:szCs w:val="20"/>
      </w:rPr>
    </w:pPr>
    <w:r w:rsidRPr="004A53E4">
      <w:rPr>
        <w:b/>
        <w:sz w:val="20"/>
        <w:szCs w:val="20"/>
      </w:rPr>
      <w:t xml:space="preserve">ORDER </w:t>
    </w:r>
    <w:r>
      <w:rPr>
        <w:b/>
        <w:sz w:val="20"/>
        <w:szCs w:val="20"/>
      </w:rPr>
      <w:t>0</w:t>
    </w:r>
    <w:r w:rsidR="00305BAA">
      <w:rPr>
        <w:b/>
        <w:sz w:val="20"/>
        <w:szCs w:val="20"/>
      </w:rPr>
      <w:t>4</w:t>
    </w:r>
  </w:p>
  <w:p w14:paraId="7B159086" w14:textId="77777777" w:rsidR="00895576" w:rsidRPr="004A53E4" w:rsidRDefault="00895576">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354A9" w14:textId="3F963E24" w:rsidR="00895576" w:rsidRPr="00B6537E" w:rsidRDefault="00895576" w:rsidP="00265C02">
    <w:pPr>
      <w:pStyle w:val="Header"/>
      <w:tabs>
        <w:tab w:val="clear" w:pos="4320"/>
        <w:tab w:val="clear" w:pos="8640"/>
        <w:tab w:val="right" w:pos="8460"/>
      </w:tabs>
      <w:rPr>
        <w:b/>
        <w:sz w:val="20"/>
        <w:szCs w:val="20"/>
      </w:rPr>
    </w:pPr>
    <w:r>
      <w:rPr>
        <w:b/>
        <w:sz w:val="20"/>
        <w:szCs w:val="20"/>
      </w:rPr>
      <w:tab/>
    </w:r>
    <w:r w:rsidR="00DB0C96">
      <w:rPr>
        <w:b/>
        <w:sz w:val="20"/>
        <w:szCs w:val="20"/>
      </w:rPr>
      <w:t>[Service Date February 26,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02FB5"/>
    <w:multiLevelType w:val="hybridMultilevel"/>
    <w:tmpl w:val="C2D043C0"/>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15:restartNumberingAfterBreak="0">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962DB"/>
    <w:multiLevelType w:val="hybridMultilevel"/>
    <w:tmpl w:val="6D02810E"/>
    <w:lvl w:ilvl="0" w:tplc="36CC813C">
      <w:start w:val="1"/>
      <w:numFmt w:val="decimal"/>
      <w:lvlText w:val="%1"/>
      <w:lvlJc w:val="left"/>
      <w:pPr>
        <w:tabs>
          <w:tab w:val="num" w:pos="360"/>
        </w:tabs>
        <w:ind w:left="3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A500F1"/>
    <w:multiLevelType w:val="hybridMultilevel"/>
    <w:tmpl w:val="832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C76448"/>
    <w:multiLevelType w:val="hybridMultilevel"/>
    <w:tmpl w:val="D78496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285903"/>
    <w:multiLevelType w:val="hybridMultilevel"/>
    <w:tmpl w:val="D072409E"/>
    <w:lvl w:ilvl="0" w:tplc="9A9012CE">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17504"/>
    <w:multiLevelType w:val="hybridMultilevel"/>
    <w:tmpl w:val="D072409E"/>
    <w:lvl w:ilvl="0" w:tplc="9A9012CE">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1"/>
  </w:num>
  <w:num w:numId="2">
    <w:abstractNumId w:val="7"/>
  </w:num>
  <w:num w:numId="3">
    <w:abstractNumId w:val="17"/>
  </w:num>
  <w:num w:numId="4">
    <w:abstractNumId w:val="15"/>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6"/>
  </w:num>
  <w:num w:numId="9">
    <w:abstractNumId w:val="0"/>
  </w:num>
  <w:num w:numId="10">
    <w:abstractNumId w:val="5"/>
  </w:num>
  <w:num w:numId="11">
    <w:abstractNumId w:val="2"/>
  </w:num>
  <w:num w:numId="12">
    <w:abstractNumId w:val="6"/>
  </w:num>
  <w:num w:numId="13">
    <w:abstractNumId w:val="10"/>
  </w:num>
  <w:num w:numId="14">
    <w:abstractNumId w:val="8"/>
  </w:num>
  <w:num w:numId="15">
    <w:abstractNumId w:val="13"/>
  </w:num>
  <w:num w:numId="16">
    <w:abstractNumId w:val="3"/>
  </w:num>
  <w:num w:numId="17">
    <w:abstractNumId w:val="14"/>
  </w:num>
  <w:num w:numId="18">
    <w:abstractNumId w:val="18"/>
  </w:num>
  <w:num w:numId="19">
    <w:abstractNumId w:val="12"/>
  </w:num>
  <w:num w:numId="20">
    <w:abstractNumId w:val="9"/>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9A5"/>
    <w:rsid w:val="00001D79"/>
    <w:rsid w:val="00001F28"/>
    <w:rsid w:val="00002093"/>
    <w:rsid w:val="00002E52"/>
    <w:rsid w:val="000032A3"/>
    <w:rsid w:val="00003AEF"/>
    <w:rsid w:val="00003C68"/>
    <w:rsid w:val="000049DC"/>
    <w:rsid w:val="00005619"/>
    <w:rsid w:val="00005750"/>
    <w:rsid w:val="00005E34"/>
    <w:rsid w:val="00005FE0"/>
    <w:rsid w:val="000065F7"/>
    <w:rsid w:val="000066B3"/>
    <w:rsid w:val="00006A71"/>
    <w:rsid w:val="00006D86"/>
    <w:rsid w:val="00007896"/>
    <w:rsid w:val="00011BF8"/>
    <w:rsid w:val="00012B13"/>
    <w:rsid w:val="00012F38"/>
    <w:rsid w:val="00013407"/>
    <w:rsid w:val="000144C9"/>
    <w:rsid w:val="0001478D"/>
    <w:rsid w:val="00016122"/>
    <w:rsid w:val="0001628B"/>
    <w:rsid w:val="00016377"/>
    <w:rsid w:val="00016895"/>
    <w:rsid w:val="00017E16"/>
    <w:rsid w:val="000205B4"/>
    <w:rsid w:val="000207D7"/>
    <w:rsid w:val="00020B9E"/>
    <w:rsid w:val="00020E45"/>
    <w:rsid w:val="0002125E"/>
    <w:rsid w:val="00021388"/>
    <w:rsid w:val="0002150A"/>
    <w:rsid w:val="00022409"/>
    <w:rsid w:val="00022884"/>
    <w:rsid w:val="00022895"/>
    <w:rsid w:val="000233D4"/>
    <w:rsid w:val="0002400F"/>
    <w:rsid w:val="000240BB"/>
    <w:rsid w:val="0002430C"/>
    <w:rsid w:val="00024543"/>
    <w:rsid w:val="000250A0"/>
    <w:rsid w:val="00025108"/>
    <w:rsid w:val="00025B6C"/>
    <w:rsid w:val="00026AD7"/>
    <w:rsid w:val="00026B82"/>
    <w:rsid w:val="00026FE2"/>
    <w:rsid w:val="00027BA4"/>
    <w:rsid w:val="000301FB"/>
    <w:rsid w:val="0003056D"/>
    <w:rsid w:val="000309D2"/>
    <w:rsid w:val="00030A5F"/>
    <w:rsid w:val="00031370"/>
    <w:rsid w:val="00031BE7"/>
    <w:rsid w:val="00031FFB"/>
    <w:rsid w:val="00032009"/>
    <w:rsid w:val="0003231D"/>
    <w:rsid w:val="0003238F"/>
    <w:rsid w:val="00032D89"/>
    <w:rsid w:val="000331CA"/>
    <w:rsid w:val="00033618"/>
    <w:rsid w:val="00033CDD"/>
    <w:rsid w:val="0003437A"/>
    <w:rsid w:val="00034710"/>
    <w:rsid w:val="000347E1"/>
    <w:rsid w:val="000352E6"/>
    <w:rsid w:val="000371DC"/>
    <w:rsid w:val="00037778"/>
    <w:rsid w:val="00037B5E"/>
    <w:rsid w:val="000406B3"/>
    <w:rsid w:val="00040925"/>
    <w:rsid w:val="000415F4"/>
    <w:rsid w:val="00041977"/>
    <w:rsid w:val="00042F28"/>
    <w:rsid w:val="00043D03"/>
    <w:rsid w:val="000441E3"/>
    <w:rsid w:val="00046CB1"/>
    <w:rsid w:val="0004709E"/>
    <w:rsid w:val="000479CB"/>
    <w:rsid w:val="00047A74"/>
    <w:rsid w:val="000505B8"/>
    <w:rsid w:val="00050622"/>
    <w:rsid w:val="00050E3A"/>
    <w:rsid w:val="00050ED5"/>
    <w:rsid w:val="0005159D"/>
    <w:rsid w:val="00051625"/>
    <w:rsid w:val="00051B56"/>
    <w:rsid w:val="00051C9E"/>
    <w:rsid w:val="00051F82"/>
    <w:rsid w:val="000533A3"/>
    <w:rsid w:val="00053B83"/>
    <w:rsid w:val="00053C3F"/>
    <w:rsid w:val="00054142"/>
    <w:rsid w:val="000542E9"/>
    <w:rsid w:val="00054938"/>
    <w:rsid w:val="00054E65"/>
    <w:rsid w:val="0005523A"/>
    <w:rsid w:val="00056483"/>
    <w:rsid w:val="000569C5"/>
    <w:rsid w:val="000576C4"/>
    <w:rsid w:val="000579A6"/>
    <w:rsid w:val="00057B86"/>
    <w:rsid w:val="00060DE0"/>
    <w:rsid w:val="0006157F"/>
    <w:rsid w:val="000615A1"/>
    <w:rsid w:val="00062C06"/>
    <w:rsid w:val="00062F25"/>
    <w:rsid w:val="00063B88"/>
    <w:rsid w:val="00064619"/>
    <w:rsid w:val="00064744"/>
    <w:rsid w:val="00064952"/>
    <w:rsid w:val="00064DFC"/>
    <w:rsid w:val="00064ECF"/>
    <w:rsid w:val="00064F03"/>
    <w:rsid w:val="00065BAA"/>
    <w:rsid w:val="00067105"/>
    <w:rsid w:val="000705E3"/>
    <w:rsid w:val="00070727"/>
    <w:rsid w:val="00070E69"/>
    <w:rsid w:val="0007174A"/>
    <w:rsid w:val="00071DD5"/>
    <w:rsid w:val="00073037"/>
    <w:rsid w:val="00073550"/>
    <w:rsid w:val="00073E8B"/>
    <w:rsid w:val="0007410A"/>
    <w:rsid w:val="00074C8D"/>
    <w:rsid w:val="00074E2B"/>
    <w:rsid w:val="00076C29"/>
    <w:rsid w:val="00077EC9"/>
    <w:rsid w:val="000827AD"/>
    <w:rsid w:val="0008521D"/>
    <w:rsid w:val="00085827"/>
    <w:rsid w:val="00085A4A"/>
    <w:rsid w:val="00086EDC"/>
    <w:rsid w:val="00087620"/>
    <w:rsid w:val="00087860"/>
    <w:rsid w:val="00087F01"/>
    <w:rsid w:val="00087F4B"/>
    <w:rsid w:val="00090C0D"/>
    <w:rsid w:val="000913E6"/>
    <w:rsid w:val="000925F4"/>
    <w:rsid w:val="00093918"/>
    <w:rsid w:val="00093A94"/>
    <w:rsid w:val="00093C20"/>
    <w:rsid w:val="0009498B"/>
    <w:rsid w:val="00094CF0"/>
    <w:rsid w:val="00095690"/>
    <w:rsid w:val="0009613A"/>
    <w:rsid w:val="0009665F"/>
    <w:rsid w:val="0009760A"/>
    <w:rsid w:val="000A0894"/>
    <w:rsid w:val="000A0A26"/>
    <w:rsid w:val="000A0E5C"/>
    <w:rsid w:val="000A1068"/>
    <w:rsid w:val="000A30D7"/>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29D0"/>
    <w:rsid w:val="000C2CA3"/>
    <w:rsid w:val="000C3174"/>
    <w:rsid w:val="000C45D8"/>
    <w:rsid w:val="000C4F53"/>
    <w:rsid w:val="000C5D75"/>
    <w:rsid w:val="000C5F1A"/>
    <w:rsid w:val="000C6C47"/>
    <w:rsid w:val="000C7261"/>
    <w:rsid w:val="000D0515"/>
    <w:rsid w:val="000D0A89"/>
    <w:rsid w:val="000D0C8E"/>
    <w:rsid w:val="000D0CE2"/>
    <w:rsid w:val="000D0F7B"/>
    <w:rsid w:val="000D1501"/>
    <w:rsid w:val="000D17F5"/>
    <w:rsid w:val="000D2457"/>
    <w:rsid w:val="000D27FC"/>
    <w:rsid w:val="000D3047"/>
    <w:rsid w:val="000D3258"/>
    <w:rsid w:val="000D4785"/>
    <w:rsid w:val="000D487A"/>
    <w:rsid w:val="000D4D8B"/>
    <w:rsid w:val="000D5636"/>
    <w:rsid w:val="000D6221"/>
    <w:rsid w:val="000D6288"/>
    <w:rsid w:val="000D63B4"/>
    <w:rsid w:val="000D6418"/>
    <w:rsid w:val="000D7602"/>
    <w:rsid w:val="000D7ABC"/>
    <w:rsid w:val="000E0035"/>
    <w:rsid w:val="000E15AC"/>
    <w:rsid w:val="000E16F4"/>
    <w:rsid w:val="000E2838"/>
    <w:rsid w:val="000E2CA2"/>
    <w:rsid w:val="000E3BED"/>
    <w:rsid w:val="000E54C7"/>
    <w:rsid w:val="000E6127"/>
    <w:rsid w:val="000E6F8C"/>
    <w:rsid w:val="000E7790"/>
    <w:rsid w:val="000E7B6C"/>
    <w:rsid w:val="000E7EE2"/>
    <w:rsid w:val="000F17A3"/>
    <w:rsid w:val="000F1CA1"/>
    <w:rsid w:val="000F207F"/>
    <w:rsid w:val="000F3D54"/>
    <w:rsid w:val="000F3E86"/>
    <w:rsid w:val="000F5093"/>
    <w:rsid w:val="000F5764"/>
    <w:rsid w:val="000F5B90"/>
    <w:rsid w:val="000F62B8"/>
    <w:rsid w:val="000F6D47"/>
    <w:rsid w:val="000F6E48"/>
    <w:rsid w:val="000F79F1"/>
    <w:rsid w:val="000F7BCB"/>
    <w:rsid w:val="000F7E01"/>
    <w:rsid w:val="0010018A"/>
    <w:rsid w:val="00100C85"/>
    <w:rsid w:val="00103753"/>
    <w:rsid w:val="00103AB6"/>
    <w:rsid w:val="00103B81"/>
    <w:rsid w:val="00103C10"/>
    <w:rsid w:val="00105515"/>
    <w:rsid w:val="001058F1"/>
    <w:rsid w:val="00105A73"/>
    <w:rsid w:val="001060D7"/>
    <w:rsid w:val="00106358"/>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002E"/>
    <w:rsid w:val="00121236"/>
    <w:rsid w:val="00121EB4"/>
    <w:rsid w:val="00122338"/>
    <w:rsid w:val="0012363E"/>
    <w:rsid w:val="00124A7A"/>
    <w:rsid w:val="001273F4"/>
    <w:rsid w:val="00127502"/>
    <w:rsid w:val="00127B39"/>
    <w:rsid w:val="00127B6B"/>
    <w:rsid w:val="00127E59"/>
    <w:rsid w:val="0013050E"/>
    <w:rsid w:val="00130759"/>
    <w:rsid w:val="0013141C"/>
    <w:rsid w:val="00132A61"/>
    <w:rsid w:val="001335C6"/>
    <w:rsid w:val="00133E6F"/>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542E"/>
    <w:rsid w:val="00147883"/>
    <w:rsid w:val="00147AD0"/>
    <w:rsid w:val="0015182C"/>
    <w:rsid w:val="001519AF"/>
    <w:rsid w:val="00151EC4"/>
    <w:rsid w:val="00153129"/>
    <w:rsid w:val="00153D6F"/>
    <w:rsid w:val="00154667"/>
    <w:rsid w:val="00154AAA"/>
    <w:rsid w:val="00154C28"/>
    <w:rsid w:val="00155D9C"/>
    <w:rsid w:val="00155EC0"/>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BF8"/>
    <w:rsid w:val="00166E3C"/>
    <w:rsid w:val="00167B25"/>
    <w:rsid w:val="00170040"/>
    <w:rsid w:val="00170102"/>
    <w:rsid w:val="0017010F"/>
    <w:rsid w:val="001701BA"/>
    <w:rsid w:val="00170418"/>
    <w:rsid w:val="001710EF"/>
    <w:rsid w:val="00171124"/>
    <w:rsid w:val="001712DE"/>
    <w:rsid w:val="001715C7"/>
    <w:rsid w:val="001722CC"/>
    <w:rsid w:val="00173214"/>
    <w:rsid w:val="00173461"/>
    <w:rsid w:val="00174738"/>
    <w:rsid w:val="00174905"/>
    <w:rsid w:val="00174A49"/>
    <w:rsid w:val="00174C23"/>
    <w:rsid w:val="001761E1"/>
    <w:rsid w:val="00176BC5"/>
    <w:rsid w:val="00177886"/>
    <w:rsid w:val="00177CBC"/>
    <w:rsid w:val="0018048E"/>
    <w:rsid w:val="001811A8"/>
    <w:rsid w:val="00181390"/>
    <w:rsid w:val="00182600"/>
    <w:rsid w:val="00182EE8"/>
    <w:rsid w:val="00183A3B"/>
    <w:rsid w:val="00183EDD"/>
    <w:rsid w:val="00185297"/>
    <w:rsid w:val="00185778"/>
    <w:rsid w:val="00185CE6"/>
    <w:rsid w:val="001863DF"/>
    <w:rsid w:val="00186E18"/>
    <w:rsid w:val="00186FC1"/>
    <w:rsid w:val="00187E8B"/>
    <w:rsid w:val="001909D2"/>
    <w:rsid w:val="0019164A"/>
    <w:rsid w:val="001917E4"/>
    <w:rsid w:val="001923F2"/>
    <w:rsid w:val="00192447"/>
    <w:rsid w:val="001928F3"/>
    <w:rsid w:val="00193E66"/>
    <w:rsid w:val="00194B00"/>
    <w:rsid w:val="00194B11"/>
    <w:rsid w:val="001966A7"/>
    <w:rsid w:val="0019702F"/>
    <w:rsid w:val="001975C9"/>
    <w:rsid w:val="00197EAF"/>
    <w:rsid w:val="001A07BB"/>
    <w:rsid w:val="001A0B5C"/>
    <w:rsid w:val="001A0F9D"/>
    <w:rsid w:val="001A1E9C"/>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607"/>
    <w:rsid w:val="001B4F6A"/>
    <w:rsid w:val="001B53F8"/>
    <w:rsid w:val="001B5A8E"/>
    <w:rsid w:val="001B660F"/>
    <w:rsid w:val="001B6D0C"/>
    <w:rsid w:val="001C0D99"/>
    <w:rsid w:val="001C1181"/>
    <w:rsid w:val="001C1389"/>
    <w:rsid w:val="001C1917"/>
    <w:rsid w:val="001C1DC4"/>
    <w:rsid w:val="001C34BE"/>
    <w:rsid w:val="001C4557"/>
    <w:rsid w:val="001C4560"/>
    <w:rsid w:val="001C470C"/>
    <w:rsid w:val="001C4962"/>
    <w:rsid w:val="001C5AEA"/>
    <w:rsid w:val="001C5E03"/>
    <w:rsid w:val="001C70B6"/>
    <w:rsid w:val="001C7199"/>
    <w:rsid w:val="001C7B75"/>
    <w:rsid w:val="001D0F4B"/>
    <w:rsid w:val="001D1C37"/>
    <w:rsid w:val="001D2209"/>
    <w:rsid w:val="001D2844"/>
    <w:rsid w:val="001D2D37"/>
    <w:rsid w:val="001D3002"/>
    <w:rsid w:val="001D3570"/>
    <w:rsid w:val="001D40FB"/>
    <w:rsid w:val="001D51F4"/>
    <w:rsid w:val="001D5C66"/>
    <w:rsid w:val="001D64EB"/>
    <w:rsid w:val="001D72EE"/>
    <w:rsid w:val="001E0077"/>
    <w:rsid w:val="001E0530"/>
    <w:rsid w:val="001E0DF3"/>
    <w:rsid w:val="001E1355"/>
    <w:rsid w:val="001E3300"/>
    <w:rsid w:val="001E4747"/>
    <w:rsid w:val="001E48A0"/>
    <w:rsid w:val="001E4E38"/>
    <w:rsid w:val="001E52A5"/>
    <w:rsid w:val="001E5E0B"/>
    <w:rsid w:val="001E5F76"/>
    <w:rsid w:val="001E61DE"/>
    <w:rsid w:val="001E6238"/>
    <w:rsid w:val="001E763C"/>
    <w:rsid w:val="001E7F28"/>
    <w:rsid w:val="001F01E5"/>
    <w:rsid w:val="001F0432"/>
    <w:rsid w:val="001F0615"/>
    <w:rsid w:val="001F0AA8"/>
    <w:rsid w:val="001F0B3D"/>
    <w:rsid w:val="001F1A09"/>
    <w:rsid w:val="001F23EE"/>
    <w:rsid w:val="001F23F7"/>
    <w:rsid w:val="001F2C79"/>
    <w:rsid w:val="001F34D2"/>
    <w:rsid w:val="001F3A37"/>
    <w:rsid w:val="001F3EC1"/>
    <w:rsid w:val="001F400A"/>
    <w:rsid w:val="001F4C1D"/>
    <w:rsid w:val="001F52E6"/>
    <w:rsid w:val="001F54A8"/>
    <w:rsid w:val="001F5680"/>
    <w:rsid w:val="001F67CB"/>
    <w:rsid w:val="001F6BF9"/>
    <w:rsid w:val="001F6E66"/>
    <w:rsid w:val="001F6ED4"/>
    <w:rsid w:val="001F7A2C"/>
    <w:rsid w:val="002018E8"/>
    <w:rsid w:val="00202298"/>
    <w:rsid w:val="002022A6"/>
    <w:rsid w:val="00202F93"/>
    <w:rsid w:val="00205DD9"/>
    <w:rsid w:val="0020757F"/>
    <w:rsid w:val="002075DA"/>
    <w:rsid w:val="00207B0D"/>
    <w:rsid w:val="00211690"/>
    <w:rsid w:val="00211DFF"/>
    <w:rsid w:val="002122A7"/>
    <w:rsid w:val="002125E3"/>
    <w:rsid w:val="002127A0"/>
    <w:rsid w:val="00212BAC"/>
    <w:rsid w:val="00212CDA"/>
    <w:rsid w:val="00213E2A"/>
    <w:rsid w:val="00213EC0"/>
    <w:rsid w:val="00214091"/>
    <w:rsid w:val="00214210"/>
    <w:rsid w:val="0021471D"/>
    <w:rsid w:val="00214A2D"/>
    <w:rsid w:val="002164F1"/>
    <w:rsid w:val="002170AE"/>
    <w:rsid w:val="00217248"/>
    <w:rsid w:val="0022109C"/>
    <w:rsid w:val="00221CC7"/>
    <w:rsid w:val="00222CA5"/>
    <w:rsid w:val="00224581"/>
    <w:rsid w:val="00225940"/>
    <w:rsid w:val="002262AC"/>
    <w:rsid w:val="00227087"/>
    <w:rsid w:val="002275F0"/>
    <w:rsid w:val="00227ABC"/>
    <w:rsid w:val="0023004E"/>
    <w:rsid w:val="00230706"/>
    <w:rsid w:val="002307F4"/>
    <w:rsid w:val="002310E6"/>
    <w:rsid w:val="002312CA"/>
    <w:rsid w:val="00231819"/>
    <w:rsid w:val="002318D4"/>
    <w:rsid w:val="00231B0E"/>
    <w:rsid w:val="00231D6B"/>
    <w:rsid w:val="002321AD"/>
    <w:rsid w:val="00232DC0"/>
    <w:rsid w:val="00232E2A"/>
    <w:rsid w:val="00234595"/>
    <w:rsid w:val="0023482E"/>
    <w:rsid w:val="002358EF"/>
    <w:rsid w:val="00235B0B"/>
    <w:rsid w:val="00236665"/>
    <w:rsid w:val="00236A1D"/>
    <w:rsid w:val="00236B45"/>
    <w:rsid w:val="00237F13"/>
    <w:rsid w:val="00241099"/>
    <w:rsid w:val="002422D4"/>
    <w:rsid w:val="00244096"/>
    <w:rsid w:val="00244B34"/>
    <w:rsid w:val="00244DEF"/>
    <w:rsid w:val="002454C6"/>
    <w:rsid w:val="00245C7C"/>
    <w:rsid w:val="00246590"/>
    <w:rsid w:val="00247F0C"/>
    <w:rsid w:val="00250B6C"/>
    <w:rsid w:val="00252D2D"/>
    <w:rsid w:val="00253F1D"/>
    <w:rsid w:val="00254EA1"/>
    <w:rsid w:val="00256264"/>
    <w:rsid w:val="00256EE0"/>
    <w:rsid w:val="00257142"/>
    <w:rsid w:val="00260140"/>
    <w:rsid w:val="00260366"/>
    <w:rsid w:val="00260AD9"/>
    <w:rsid w:val="00260C75"/>
    <w:rsid w:val="002618B2"/>
    <w:rsid w:val="002620C9"/>
    <w:rsid w:val="0026345D"/>
    <w:rsid w:val="00264307"/>
    <w:rsid w:val="0026480E"/>
    <w:rsid w:val="002656B1"/>
    <w:rsid w:val="00265C02"/>
    <w:rsid w:val="0026657D"/>
    <w:rsid w:val="0026675B"/>
    <w:rsid w:val="00266A13"/>
    <w:rsid w:val="00267383"/>
    <w:rsid w:val="00267760"/>
    <w:rsid w:val="00270AC4"/>
    <w:rsid w:val="00270F0B"/>
    <w:rsid w:val="0027161E"/>
    <w:rsid w:val="002719FE"/>
    <w:rsid w:val="00271DC2"/>
    <w:rsid w:val="00271FF5"/>
    <w:rsid w:val="00272C9C"/>
    <w:rsid w:val="00274D9C"/>
    <w:rsid w:val="00274F53"/>
    <w:rsid w:val="00275710"/>
    <w:rsid w:val="00275CA0"/>
    <w:rsid w:val="00275EA8"/>
    <w:rsid w:val="0027626A"/>
    <w:rsid w:val="002764D4"/>
    <w:rsid w:val="00276B93"/>
    <w:rsid w:val="002771E3"/>
    <w:rsid w:val="002800AA"/>
    <w:rsid w:val="0028012D"/>
    <w:rsid w:val="00281CB0"/>
    <w:rsid w:val="00282B74"/>
    <w:rsid w:val="00282B9D"/>
    <w:rsid w:val="0028301A"/>
    <w:rsid w:val="002832AC"/>
    <w:rsid w:val="00283575"/>
    <w:rsid w:val="00284F80"/>
    <w:rsid w:val="00285FE8"/>
    <w:rsid w:val="002878B2"/>
    <w:rsid w:val="00287BC3"/>
    <w:rsid w:val="00287DF1"/>
    <w:rsid w:val="00287F94"/>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646C"/>
    <w:rsid w:val="0029699C"/>
    <w:rsid w:val="002972D0"/>
    <w:rsid w:val="002A090A"/>
    <w:rsid w:val="002A2347"/>
    <w:rsid w:val="002A23CE"/>
    <w:rsid w:val="002A2492"/>
    <w:rsid w:val="002A4B00"/>
    <w:rsid w:val="002A4EFD"/>
    <w:rsid w:val="002A6AFD"/>
    <w:rsid w:val="002A7181"/>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D76"/>
    <w:rsid w:val="002B763C"/>
    <w:rsid w:val="002B7BC0"/>
    <w:rsid w:val="002B7E60"/>
    <w:rsid w:val="002B7F7C"/>
    <w:rsid w:val="002C0BDC"/>
    <w:rsid w:val="002C1F75"/>
    <w:rsid w:val="002C2CB9"/>
    <w:rsid w:val="002C4141"/>
    <w:rsid w:val="002C427B"/>
    <w:rsid w:val="002C4633"/>
    <w:rsid w:val="002C6117"/>
    <w:rsid w:val="002C6A38"/>
    <w:rsid w:val="002C6A75"/>
    <w:rsid w:val="002C7CDE"/>
    <w:rsid w:val="002C7D55"/>
    <w:rsid w:val="002D2391"/>
    <w:rsid w:val="002D2F29"/>
    <w:rsid w:val="002D37BB"/>
    <w:rsid w:val="002D45F4"/>
    <w:rsid w:val="002D600B"/>
    <w:rsid w:val="002D6395"/>
    <w:rsid w:val="002D6AC0"/>
    <w:rsid w:val="002D744D"/>
    <w:rsid w:val="002D755D"/>
    <w:rsid w:val="002D7561"/>
    <w:rsid w:val="002E0076"/>
    <w:rsid w:val="002E06A0"/>
    <w:rsid w:val="002E1B2A"/>
    <w:rsid w:val="002E22D9"/>
    <w:rsid w:val="002E2843"/>
    <w:rsid w:val="002E3949"/>
    <w:rsid w:val="002E4292"/>
    <w:rsid w:val="002E4BA6"/>
    <w:rsid w:val="002E4E67"/>
    <w:rsid w:val="002E59D0"/>
    <w:rsid w:val="002E5D29"/>
    <w:rsid w:val="002E67BA"/>
    <w:rsid w:val="002E6C28"/>
    <w:rsid w:val="002E6CB0"/>
    <w:rsid w:val="002E720E"/>
    <w:rsid w:val="002E774F"/>
    <w:rsid w:val="002E7E7E"/>
    <w:rsid w:val="002F10FE"/>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1E74"/>
    <w:rsid w:val="003023F7"/>
    <w:rsid w:val="00302E31"/>
    <w:rsid w:val="00302EF5"/>
    <w:rsid w:val="0030347E"/>
    <w:rsid w:val="0030387D"/>
    <w:rsid w:val="00303889"/>
    <w:rsid w:val="00303F9D"/>
    <w:rsid w:val="00304025"/>
    <w:rsid w:val="00304860"/>
    <w:rsid w:val="00304A04"/>
    <w:rsid w:val="003058A2"/>
    <w:rsid w:val="00305BAA"/>
    <w:rsid w:val="00305C15"/>
    <w:rsid w:val="00306037"/>
    <w:rsid w:val="00310288"/>
    <w:rsid w:val="00311DDF"/>
    <w:rsid w:val="00311EF6"/>
    <w:rsid w:val="00312379"/>
    <w:rsid w:val="0031320F"/>
    <w:rsid w:val="003134E7"/>
    <w:rsid w:val="003136D7"/>
    <w:rsid w:val="00313FC1"/>
    <w:rsid w:val="00314CC7"/>
    <w:rsid w:val="00315B5E"/>
    <w:rsid w:val="00315DA4"/>
    <w:rsid w:val="00316105"/>
    <w:rsid w:val="00317CFD"/>
    <w:rsid w:val="003201A7"/>
    <w:rsid w:val="00320252"/>
    <w:rsid w:val="003215F8"/>
    <w:rsid w:val="00321A02"/>
    <w:rsid w:val="00323D41"/>
    <w:rsid w:val="00324A07"/>
    <w:rsid w:val="00324A2E"/>
    <w:rsid w:val="00324F0F"/>
    <w:rsid w:val="00325490"/>
    <w:rsid w:val="0032579B"/>
    <w:rsid w:val="00326C7F"/>
    <w:rsid w:val="00327545"/>
    <w:rsid w:val="00330BE7"/>
    <w:rsid w:val="0033247F"/>
    <w:rsid w:val="00332BCF"/>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80D"/>
    <w:rsid w:val="00344815"/>
    <w:rsid w:val="00344826"/>
    <w:rsid w:val="00346259"/>
    <w:rsid w:val="00346619"/>
    <w:rsid w:val="00346870"/>
    <w:rsid w:val="0034696C"/>
    <w:rsid w:val="003477EA"/>
    <w:rsid w:val="00347B17"/>
    <w:rsid w:val="0035003C"/>
    <w:rsid w:val="00350626"/>
    <w:rsid w:val="00350C45"/>
    <w:rsid w:val="00350CF0"/>
    <w:rsid w:val="00350D22"/>
    <w:rsid w:val="00351F0F"/>
    <w:rsid w:val="00352089"/>
    <w:rsid w:val="003524FA"/>
    <w:rsid w:val="00352789"/>
    <w:rsid w:val="00352994"/>
    <w:rsid w:val="00352DD5"/>
    <w:rsid w:val="0035420C"/>
    <w:rsid w:val="00355E83"/>
    <w:rsid w:val="003560A3"/>
    <w:rsid w:val="00356844"/>
    <w:rsid w:val="00356A01"/>
    <w:rsid w:val="00356F37"/>
    <w:rsid w:val="00357658"/>
    <w:rsid w:val="003578DE"/>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3B33"/>
    <w:rsid w:val="00374721"/>
    <w:rsid w:val="00374D07"/>
    <w:rsid w:val="00376F7E"/>
    <w:rsid w:val="00380FCE"/>
    <w:rsid w:val="0038124C"/>
    <w:rsid w:val="003817FB"/>
    <w:rsid w:val="00381B8E"/>
    <w:rsid w:val="00381D7C"/>
    <w:rsid w:val="00384DD6"/>
    <w:rsid w:val="003857CF"/>
    <w:rsid w:val="00385E49"/>
    <w:rsid w:val="0038790B"/>
    <w:rsid w:val="00387F39"/>
    <w:rsid w:val="003901B5"/>
    <w:rsid w:val="003908E3"/>
    <w:rsid w:val="003909BB"/>
    <w:rsid w:val="00390B4C"/>
    <w:rsid w:val="00390DF3"/>
    <w:rsid w:val="00390E83"/>
    <w:rsid w:val="0039137C"/>
    <w:rsid w:val="00391809"/>
    <w:rsid w:val="00391890"/>
    <w:rsid w:val="00392317"/>
    <w:rsid w:val="00393621"/>
    <w:rsid w:val="00394B9A"/>
    <w:rsid w:val="0039509F"/>
    <w:rsid w:val="00396418"/>
    <w:rsid w:val="0039799A"/>
    <w:rsid w:val="003A07AC"/>
    <w:rsid w:val="003A2673"/>
    <w:rsid w:val="003A29BC"/>
    <w:rsid w:val="003A35A2"/>
    <w:rsid w:val="003A4405"/>
    <w:rsid w:val="003A4AAE"/>
    <w:rsid w:val="003A506E"/>
    <w:rsid w:val="003A693A"/>
    <w:rsid w:val="003A69FF"/>
    <w:rsid w:val="003A7100"/>
    <w:rsid w:val="003A71A1"/>
    <w:rsid w:val="003A7B79"/>
    <w:rsid w:val="003A7C13"/>
    <w:rsid w:val="003A7D87"/>
    <w:rsid w:val="003A7F60"/>
    <w:rsid w:val="003B057D"/>
    <w:rsid w:val="003B099C"/>
    <w:rsid w:val="003B13CD"/>
    <w:rsid w:val="003B1D47"/>
    <w:rsid w:val="003B2087"/>
    <w:rsid w:val="003B22AF"/>
    <w:rsid w:val="003B292F"/>
    <w:rsid w:val="003B3A6C"/>
    <w:rsid w:val="003B41F6"/>
    <w:rsid w:val="003B43A6"/>
    <w:rsid w:val="003B4B56"/>
    <w:rsid w:val="003B4E66"/>
    <w:rsid w:val="003B675B"/>
    <w:rsid w:val="003B7180"/>
    <w:rsid w:val="003B79D4"/>
    <w:rsid w:val="003B7C36"/>
    <w:rsid w:val="003B7CCE"/>
    <w:rsid w:val="003C15DE"/>
    <w:rsid w:val="003C256C"/>
    <w:rsid w:val="003C37D5"/>
    <w:rsid w:val="003C5A70"/>
    <w:rsid w:val="003C5BAF"/>
    <w:rsid w:val="003C5BC6"/>
    <w:rsid w:val="003C604D"/>
    <w:rsid w:val="003C61B1"/>
    <w:rsid w:val="003C70B9"/>
    <w:rsid w:val="003C7501"/>
    <w:rsid w:val="003D013A"/>
    <w:rsid w:val="003D09C5"/>
    <w:rsid w:val="003D0F15"/>
    <w:rsid w:val="003D1721"/>
    <w:rsid w:val="003D1B85"/>
    <w:rsid w:val="003D2648"/>
    <w:rsid w:val="003D36E6"/>
    <w:rsid w:val="003D3E19"/>
    <w:rsid w:val="003D4253"/>
    <w:rsid w:val="003D4370"/>
    <w:rsid w:val="003D45E2"/>
    <w:rsid w:val="003D48D5"/>
    <w:rsid w:val="003D5702"/>
    <w:rsid w:val="003D5A11"/>
    <w:rsid w:val="003D6468"/>
    <w:rsid w:val="003D676A"/>
    <w:rsid w:val="003D7393"/>
    <w:rsid w:val="003D7CC8"/>
    <w:rsid w:val="003E17C2"/>
    <w:rsid w:val="003E21F2"/>
    <w:rsid w:val="003E2F3C"/>
    <w:rsid w:val="003E36CF"/>
    <w:rsid w:val="003E3A02"/>
    <w:rsid w:val="003E3D5F"/>
    <w:rsid w:val="003E3FF7"/>
    <w:rsid w:val="003E4232"/>
    <w:rsid w:val="003E4561"/>
    <w:rsid w:val="003E5A42"/>
    <w:rsid w:val="003E657B"/>
    <w:rsid w:val="003E66A9"/>
    <w:rsid w:val="003E741C"/>
    <w:rsid w:val="003E7D03"/>
    <w:rsid w:val="003F00B0"/>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161"/>
    <w:rsid w:val="0040178D"/>
    <w:rsid w:val="00401CCD"/>
    <w:rsid w:val="00402A7A"/>
    <w:rsid w:val="00403C87"/>
    <w:rsid w:val="00403DC2"/>
    <w:rsid w:val="0040495B"/>
    <w:rsid w:val="004057D9"/>
    <w:rsid w:val="00406041"/>
    <w:rsid w:val="00406BBF"/>
    <w:rsid w:val="00406CD9"/>
    <w:rsid w:val="00407639"/>
    <w:rsid w:val="00412401"/>
    <w:rsid w:val="00412F12"/>
    <w:rsid w:val="004131A6"/>
    <w:rsid w:val="00413513"/>
    <w:rsid w:val="00413BD6"/>
    <w:rsid w:val="004145A4"/>
    <w:rsid w:val="0041485B"/>
    <w:rsid w:val="004155CB"/>
    <w:rsid w:val="004158EC"/>
    <w:rsid w:val="00415F9A"/>
    <w:rsid w:val="00415F9E"/>
    <w:rsid w:val="00417113"/>
    <w:rsid w:val="004179C8"/>
    <w:rsid w:val="00417AAB"/>
    <w:rsid w:val="00417CE0"/>
    <w:rsid w:val="00420CAC"/>
    <w:rsid w:val="00420DC3"/>
    <w:rsid w:val="00420FEB"/>
    <w:rsid w:val="004215EB"/>
    <w:rsid w:val="00421F15"/>
    <w:rsid w:val="00421F3A"/>
    <w:rsid w:val="004220BF"/>
    <w:rsid w:val="00422CA8"/>
    <w:rsid w:val="00422E56"/>
    <w:rsid w:val="0042328D"/>
    <w:rsid w:val="004238D6"/>
    <w:rsid w:val="004238F8"/>
    <w:rsid w:val="00423F0C"/>
    <w:rsid w:val="00424CE2"/>
    <w:rsid w:val="004258D4"/>
    <w:rsid w:val="00425B52"/>
    <w:rsid w:val="00425D28"/>
    <w:rsid w:val="00425FE3"/>
    <w:rsid w:val="004264D7"/>
    <w:rsid w:val="00426769"/>
    <w:rsid w:val="00426CD2"/>
    <w:rsid w:val="004277F1"/>
    <w:rsid w:val="004301DF"/>
    <w:rsid w:val="00430A8B"/>
    <w:rsid w:val="00430D8B"/>
    <w:rsid w:val="0043169E"/>
    <w:rsid w:val="00431919"/>
    <w:rsid w:val="00432156"/>
    <w:rsid w:val="0043286A"/>
    <w:rsid w:val="0043394C"/>
    <w:rsid w:val="0043395F"/>
    <w:rsid w:val="00433BBC"/>
    <w:rsid w:val="00433BF7"/>
    <w:rsid w:val="004346B8"/>
    <w:rsid w:val="00434808"/>
    <w:rsid w:val="00434CA9"/>
    <w:rsid w:val="00436866"/>
    <w:rsid w:val="00436A0D"/>
    <w:rsid w:val="00436A89"/>
    <w:rsid w:val="00436D97"/>
    <w:rsid w:val="0043764E"/>
    <w:rsid w:val="00437BB1"/>
    <w:rsid w:val="00440753"/>
    <w:rsid w:val="00440A1D"/>
    <w:rsid w:val="00441B3D"/>
    <w:rsid w:val="00442008"/>
    <w:rsid w:val="004421B2"/>
    <w:rsid w:val="00442D8F"/>
    <w:rsid w:val="00444358"/>
    <w:rsid w:val="00444DF7"/>
    <w:rsid w:val="00445632"/>
    <w:rsid w:val="00446593"/>
    <w:rsid w:val="0044789D"/>
    <w:rsid w:val="00450F6A"/>
    <w:rsid w:val="00451061"/>
    <w:rsid w:val="00451368"/>
    <w:rsid w:val="00451A16"/>
    <w:rsid w:val="0045373B"/>
    <w:rsid w:val="004543C8"/>
    <w:rsid w:val="004550DB"/>
    <w:rsid w:val="00455A54"/>
    <w:rsid w:val="00457A47"/>
    <w:rsid w:val="00460BA3"/>
    <w:rsid w:val="00460DF2"/>
    <w:rsid w:val="00462132"/>
    <w:rsid w:val="00462715"/>
    <w:rsid w:val="00463A2D"/>
    <w:rsid w:val="00464B6D"/>
    <w:rsid w:val="00467446"/>
    <w:rsid w:val="00467C32"/>
    <w:rsid w:val="0047002F"/>
    <w:rsid w:val="0047130E"/>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1357"/>
    <w:rsid w:val="00481928"/>
    <w:rsid w:val="00481993"/>
    <w:rsid w:val="00482339"/>
    <w:rsid w:val="0048291B"/>
    <w:rsid w:val="004843CE"/>
    <w:rsid w:val="00484AC0"/>
    <w:rsid w:val="00485F7E"/>
    <w:rsid w:val="004867D6"/>
    <w:rsid w:val="004868B9"/>
    <w:rsid w:val="00486C15"/>
    <w:rsid w:val="00486D91"/>
    <w:rsid w:val="00487B05"/>
    <w:rsid w:val="004909E8"/>
    <w:rsid w:val="0049199A"/>
    <w:rsid w:val="00491D01"/>
    <w:rsid w:val="00493EB6"/>
    <w:rsid w:val="00494096"/>
    <w:rsid w:val="00494393"/>
    <w:rsid w:val="00494406"/>
    <w:rsid w:val="004945C2"/>
    <w:rsid w:val="004946E6"/>
    <w:rsid w:val="0049595B"/>
    <w:rsid w:val="00495DAE"/>
    <w:rsid w:val="004967F7"/>
    <w:rsid w:val="00496BC6"/>
    <w:rsid w:val="00496C4F"/>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6937"/>
    <w:rsid w:val="004A73E6"/>
    <w:rsid w:val="004A7BF1"/>
    <w:rsid w:val="004A7C5B"/>
    <w:rsid w:val="004B0841"/>
    <w:rsid w:val="004B1E01"/>
    <w:rsid w:val="004B2424"/>
    <w:rsid w:val="004B2587"/>
    <w:rsid w:val="004B47D4"/>
    <w:rsid w:val="004B59B7"/>
    <w:rsid w:val="004B5A80"/>
    <w:rsid w:val="004B6A39"/>
    <w:rsid w:val="004B7260"/>
    <w:rsid w:val="004B766E"/>
    <w:rsid w:val="004C0BAC"/>
    <w:rsid w:val="004C0E57"/>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C6A89"/>
    <w:rsid w:val="004D0668"/>
    <w:rsid w:val="004D0D59"/>
    <w:rsid w:val="004D13EC"/>
    <w:rsid w:val="004D199A"/>
    <w:rsid w:val="004D3251"/>
    <w:rsid w:val="004D3AB0"/>
    <w:rsid w:val="004D3C60"/>
    <w:rsid w:val="004D6BE0"/>
    <w:rsid w:val="004D6FCF"/>
    <w:rsid w:val="004D7496"/>
    <w:rsid w:val="004D7DEB"/>
    <w:rsid w:val="004D7F50"/>
    <w:rsid w:val="004E1A76"/>
    <w:rsid w:val="004E23DB"/>
    <w:rsid w:val="004E24AB"/>
    <w:rsid w:val="004E2C77"/>
    <w:rsid w:val="004E38DF"/>
    <w:rsid w:val="004E3C4E"/>
    <w:rsid w:val="004E4BAE"/>
    <w:rsid w:val="004E4C78"/>
    <w:rsid w:val="004E4F36"/>
    <w:rsid w:val="004E6182"/>
    <w:rsid w:val="004E63B5"/>
    <w:rsid w:val="004E63D6"/>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28FB"/>
    <w:rsid w:val="00503274"/>
    <w:rsid w:val="00503E3E"/>
    <w:rsid w:val="00505747"/>
    <w:rsid w:val="00506DB4"/>
    <w:rsid w:val="005076E2"/>
    <w:rsid w:val="00507C74"/>
    <w:rsid w:val="00507CE5"/>
    <w:rsid w:val="00507E06"/>
    <w:rsid w:val="00510EF4"/>
    <w:rsid w:val="00510EFF"/>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50A"/>
    <w:rsid w:val="00522913"/>
    <w:rsid w:val="00523683"/>
    <w:rsid w:val="00525175"/>
    <w:rsid w:val="005252E8"/>
    <w:rsid w:val="005253A8"/>
    <w:rsid w:val="00525583"/>
    <w:rsid w:val="0052678F"/>
    <w:rsid w:val="00526847"/>
    <w:rsid w:val="0052685F"/>
    <w:rsid w:val="00527B42"/>
    <w:rsid w:val="00527C7C"/>
    <w:rsid w:val="00527E0A"/>
    <w:rsid w:val="00530CB1"/>
    <w:rsid w:val="00533066"/>
    <w:rsid w:val="005333BC"/>
    <w:rsid w:val="00534078"/>
    <w:rsid w:val="00534B3A"/>
    <w:rsid w:val="005358A5"/>
    <w:rsid w:val="0053671E"/>
    <w:rsid w:val="00536FBA"/>
    <w:rsid w:val="005373EF"/>
    <w:rsid w:val="005401CC"/>
    <w:rsid w:val="00540272"/>
    <w:rsid w:val="0054060E"/>
    <w:rsid w:val="005416F4"/>
    <w:rsid w:val="00541E6C"/>
    <w:rsid w:val="005421F1"/>
    <w:rsid w:val="005423E8"/>
    <w:rsid w:val="005424F8"/>
    <w:rsid w:val="0054335C"/>
    <w:rsid w:val="005434B5"/>
    <w:rsid w:val="00543CF2"/>
    <w:rsid w:val="00543D7C"/>
    <w:rsid w:val="00543F69"/>
    <w:rsid w:val="0054489C"/>
    <w:rsid w:val="00544B3C"/>
    <w:rsid w:val="0054545A"/>
    <w:rsid w:val="005454AC"/>
    <w:rsid w:val="00545AA5"/>
    <w:rsid w:val="0054657E"/>
    <w:rsid w:val="005476D2"/>
    <w:rsid w:val="00547ABE"/>
    <w:rsid w:val="00547F37"/>
    <w:rsid w:val="00550DD6"/>
    <w:rsid w:val="00550FEB"/>
    <w:rsid w:val="00552510"/>
    <w:rsid w:val="00552D1D"/>
    <w:rsid w:val="005532F4"/>
    <w:rsid w:val="005542F5"/>
    <w:rsid w:val="005546FA"/>
    <w:rsid w:val="0055479B"/>
    <w:rsid w:val="00554B2D"/>
    <w:rsid w:val="00555658"/>
    <w:rsid w:val="00555E65"/>
    <w:rsid w:val="0055695B"/>
    <w:rsid w:val="00556D17"/>
    <w:rsid w:val="005573E3"/>
    <w:rsid w:val="00557717"/>
    <w:rsid w:val="00560747"/>
    <w:rsid w:val="00560CA9"/>
    <w:rsid w:val="005615EE"/>
    <w:rsid w:val="00561F72"/>
    <w:rsid w:val="00562016"/>
    <w:rsid w:val="00562BB3"/>
    <w:rsid w:val="0056330A"/>
    <w:rsid w:val="00564301"/>
    <w:rsid w:val="00564736"/>
    <w:rsid w:val="0056540F"/>
    <w:rsid w:val="00565B11"/>
    <w:rsid w:val="00565BE6"/>
    <w:rsid w:val="00567C50"/>
    <w:rsid w:val="00570498"/>
    <w:rsid w:val="00570CDF"/>
    <w:rsid w:val="00570CF1"/>
    <w:rsid w:val="005710B9"/>
    <w:rsid w:val="00571141"/>
    <w:rsid w:val="005735F8"/>
    <w:rsid w:val="00573730"/>
    <w:rsid w:val="00573F73"/>
    <w:rsid w:val="005746C4"/>
    <w:rsid w:val="00574DE1"/>
    <w:rsid w:val="005767E8"/>
    <w:rsid w:val="005769EF"/>
    <w:rsid w:val="00576F48"/>
    <w:rsid w:val="00576F6B"/>
    <w:rsid w:val="00577D99"/>
    <w:rsid w:val="00580D3A"/>
    <w:rsid w:val="00581737"/>
    <w:rsid w:val="005825CA"/>
    <w:rsid w:val="00582CBE"/>
    <w:rsid w:val="00582E8C"/>
    <w:rsid w:val="00583CA0"/>
    <w:rsid w:val="005843E1"/>
    <w:rsid w:val="005850B5"/>
    <w:rsid w:val="005857CB"/>
    <w:rsid w:val="00585B42"/>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2BAF"/>
    <w:rsid w:val="005A3124"/>
    <w:rsid w:val="005A3206"/>
    <w:rsid w:val="005A3215"/>
    <w:rsid w:val="005A3FA3"/>
    <w:rsid w:val="005A4436"/>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482"/>
    <w:rsid w:val="005B74E2"/>
    <w:rsid w:val="005B7833"/>
    <w:rsid w:val="005C043D"/>
    <w:rsid w:val="005C10F2"/>
    <w:rsid w:val="005C1543"/>
    <w:rsid w:val="005C1715"/>
    <w:rsid w:val="005C1B57"/>
    <w:rsid w:val="005C235B"/>
    <w:rsid w:val="005C2AF5"/>
    <w:rsid w:val="005C3481"/>
    <w:rsid w:val="005C39F2"/>
    <w:rsid w:val="005C4733"/>
    <w:rsid w:val="005C52A0"/>
    <w:rsid w:val="005C5A79"/>
    <w:rsid w:val="005C69BC"/>
    <w:rsid w:val="005C6A74"/>
    <w:rsid w:val="005C6BD3"/>
    <w:rsid w:val="005C7648"/>
    <w:rsid w:val="005C7DEA"/>
    <w:rsid w:val="005C7FB1"/>
    <w:rsid w:val="005C7FCF"/>
    <w:rsid w:val="005D0E6B"/>
    <w:rsid w:val="005D1392"/>
    <w:rsid w:val="005D1A83"/>
    <w:rsid w:val="005D236E"/>
    <w:rsid w:val="005D27BB"/>
    <w:rsid w:val="005D29EB"/>
    <w:rsid w:val="005D35CC"/>
    <w:rsid w:val="005D37FD"/>
    <w:rsid w:val="005D4C7F"/>
    <w:rsid w:val="005D4F01"/>
    <w:rsid w:val="005D4F7B"/>
    <w:rsid w:val="005D55DD"/>
    <w:rsid w:val="005D5DE6"/>
    <w:rsid w:val="005D5F3F"/>
    <w:rsid w:val="005D6248"/>
    <w:rsid w:val="005D6582"/>
    <w:rsid w:val="005D6697"/>
    <w:rsid w:val="005D6B6E"/>
    <w:rsid w:val="005D71A6"/>
    <w:rsid w:val="005D73BF"/>
    <w:rsid w:val="005D74D6"/>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350D"/>
    <w:rsid w:val="005F4270"/>
    <w:rsid w:val="005F4ACC"/>
    <w:rsid w:val="005F55C4"/>
    <w:rsid w:val="005F666F"/>
    <w:rsid w:val="005F7069"/>
    <w:rsid w:val="0060126C"/>
    <w:rsid w:val="0060198A"/>
    <w:rsid w:val="00602B26"/>
    <w:rsid w:val="006039DF"/>
    <w:rsid w:val="00603C4F"/>
    <w:rsid w:val="00605765"/>
    <w:rsid w:val="0060594A"/>
    <w:rsid w:val="00606AED"/>
    <w:rsid w:val="00607AE3"/>
    <w:rsid w:val="006115D9"/>
    <w:rsid w:val="006120B6"/>
    <w:rsid w:val="006126D6"/>
    <w:rsid w:val="006135B9"/>
    <w:rsid w:val="006135E6"/>
    <w:rsid w:val="0061399A"/>
    <w:rsid w:val="00613D93"/>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CA7"/>
    <w:rsid w:val="00636DAF"/>
    <w:rsid w:val="00637333"/>
    <w:rsid w:val="0063769D"/>
    <w:rsid w:val="00637A2D"/>
    <w:rsid w:val="00640120"/>
    <w:rsid w:val="0064014E"/>
    <w:rsid w:val="00640D40"/>
    <w:rsid w:val="00641440"/>
    <w:rsid w:val="00641611"/>
    <w:rsid w:val="00641D12"/>
    <w:rsid w:val="006425F8"/>
    <w:rsid w:val="00642DEB"/>
    <w:rsid w:val="00643EF9"/>
    <w:rsid w:val="00644355"/>
    <w:rsid w:val="00644398"/>
    <w:rsid w:val="00644967"/>
    <w:rsid w:val="00644B9B"/>
    <w:rsid w:val="006460F4"/>
    <w:rsid w:val="00646B0C"/>
    <w:rsid w:val="00646E44"/>
    <w:rsid w:val="0064755E"/>
    <w:rsid w:val="006500F1"/>
    <w:rsid w:val="00650C83"/>
    <w:rsid w:val="00651F8A"/>
    <w:rsid w:val="006520F7"/>
    <w:rsid w:val="00654B2A"/>
    <w:rsid w:val="00656777"/>
    <w:rsid w:val="006601F0"/>
    <w:rsid w:val="006603DC"/>
    <w:rsid w:val="006603E5"/>
    <w:rsid w:val="00661720"/>
    <w:rsid w:val="006619D1"/>
    <w:rsid w:val="00661E37"/>
    <w:rsid w:val="00662A31"/>
    <w:rsid w:val="00662EE4"/>
    <w:rsid w:val="006642F5"/>
    <w:rsid w:val="00665036"/>
    <w:rsid w:val="00665A38"/>
    <w:rsid w:val="00665DD8"/>
    <w:rsid w:val="00665E49"/>
    <w:rsid w:val="00665ED4"/>
    <w:rsid w:val="006662F6"/>
    <w:rsid w:val="006671C0"/>
    <w:rsid w:val="00667280"/>
    <w:rsid w:val="006673FF"/>
    <w:rsid w:val="006702E3"/>
    <w:rsid w:val="0067051F"/>
    <w:rsid w:val="006716F2"/>
    <w:rsid w:val="0067305D"/>
    <w:rsid w:val="0067382D"/>
    <w:rsid w:val="006738BE"/>
    <w:rsid w:val="00673DFE"/>
    <w:rsid w:val="00674C99"/>
    <w:rsid w:val="00675110"/>
    <w:rsid w:val="0067556E"/>
    <w:rsid w:val="006760BC"/>
    <w:rsid w:val="006762F1"/>
    <w:rsid w:val="006765EC"/>
    <w:rsid w:val="00676954"/>
    <w:rsid w:val="00676E0F"/>
    <w:rsid w:val="0067757E"/>
    <w:rsid w:val="00677718"/>
    <w:rsid w:val="006779E2"/>
    <w:rsid w:val="00677F65"/>
    <w:rsid w:val="00680087"/>
    <w:rsid w:val="006806C3"/>
    <w:rsid w:val="0068183D"/>
    <w:rsid w:val="006826C2"/>
    <w:rsid w:val="00682FD3"/>
    <w:rsid w:val="00683B7D"/>
    <w:rsid w:val="0068494C"/>
    <w:rsid w:val="00684BF8"/>
    <w:rsid w:val="00685203"/>
    <w:rsid w:val="00685630"/>
    <w:rsid w:val="00685DB5"/>
    <w:rsid w:val="00686325"/>
    <w:rsid w:val="006865F0"/>
    <w:rsid w:val="00687396"/>
    <w:rsid w:val="00687883"/>
    <w:rsid w:val="00687E87"/>
    <w:rsid w:val="0069040A"/>
    <w:rsid w:val="00690468"/>
    <w:rsid w:val="00690DF6"/>
    <w:rsid w:val="00691B85"/>
    <w:rsid w:val="00691CD1"/>
    <w:rsid w:val="0069258F"/>
    <w:rsid w:val="00693175"/>
    <w:rsid w:val="00693513"/>
    <w:rsid w:val="0069426F"/>
    <w:rsid w:val="006957A1"/>
    <w:rsid w:val="00696D83"/>
    <w:rsid w:val="006973ED"/>
    <w:rsid w:val="0069744D"/>
    <w:rsid w:val="0069782A"/>
    <w:rsid w:val="006A0941"/>
    <w:rsid w:val="006A09EA"/>
    <w:rsid w:val="006A0B20"/>
    <w:rsid w:val="006A1A0B"/>
    <w:rsid w:val="006A26AC"/>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520"/>
    <w:rsid w:val="006C0968"/>
    <w:rsid w:val="006C0B53"/>
    <w:rsid w:val="006C1D42"/>
    <w:rsid w:val="006C299F"/>
    <w:rsid w:val="006C3DF1"/>
    <w:rsid w:val="006C4122"/>
    <w:rsid w:val="006C45EE"/>
    <w:rsid w:val="006C64CE"/>
    <w:rsid w:val="006C76B4"/>
    <w:rsid w:val="006D055F"/>
    <w:rsid w:val="006D1400"/>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50C3"/>
    <w:rsid w:val="006F555C"/>
    <w:rsid w:val="006F5BEF"/>
    <w:rsid w:val="006F61C4"/>
    <w:rsid w:val="006F6508"/>
    <w:rsid w:val="006F69B6"/>
    <w:rsid w:val="00700EC4"/>
    <w:rsid w:val="00702700"/>
    <w:rsid w:val="00704451"/>
    <w:rsid w:val="00704A4A"/>
    <w:rsid w:val="00704F96"/>
    <w:rsid w:val="00705033"/>
    <w:rsid w:val="00705294"/>
    <w:rsid w:val="007053B4"/>
    <w:rsid w:val="0070623F"/>
    <w:rsid w:val="00706566"/>
    <w:rsid w:val="00706F82"/>
    <w:rsid w:val="00707328"/>
    <w:rsid w:val="00707518"/>
    <w:rsid w:val="007079F3"/>
    <w:rsid w:val="00707D8C"/>
    <w:rsid w:val="0071004F"/>
    <w:rsid w:val="0071072D"/>
    <w:rsid w:val="00710D21"/>
    <w:rsid w:val="00710E2A"/>
    <w:rsid w:val="00711308"/>
    <w:rsid w:val="00711A77"/>
    <w:rsid w:val="00711CB2"/>
    <w:rsid w:val="00711DEB"/>
    <w:rsid w:val="0071246E"/>
    <w:rsid w:val="00713103"/>
    <w:rsid w:val="00713A7F"/>
    <w:rsid w:val="007140ED"/>
    <w:rsid w:val="00714735"/>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11E1"/>
    <w:rsid w:val="00731517"/>
    <w:rsid w:val="0073178D"/>
    <w:rsid w:val="00731BE2"/>
    <w:rsid w:val="00731E16"/>
    <w:rsid w:val="00731EF2"/>
    <w:rsid w:val="007320DA"/>
    <w:rsid w:val="00732330"/>
    <w:rsid w:val="007323D5"/>
    <w:rsid w:val="00732EBE"/>
    <w:rsid w:val="00734186"/>
    <w:rsid w:val="00734C18"/>
    <w:rsid w:val="00735745"/>
    <w:rsid w:val="007363BE"/>
    <w:rsid w:val="007365D5"/>
    <w:rsid w:val="007368F4"/>
    <w:rsid w:val="0073699E"/>
    <w:rsid w:val="00736A75"/>
    <w:rsid w:val="00737BF5"/>
    <w:rsid w:val="00737C89"/>
    <w:rsid w:val="00737F24"/>
    <w:rsid w:val="007400DA"/>
    <w:rsid w:val="00740B36"/>
    <w:rsid w:val="007410A6"/>
    <w:rsid w:val="0074166B"/>
    <w:rsid w:val="00741702"/>
    <w:rsid w:val="007421F3"/>
    <w:rsid w:val="007423A9"/>
    <w:rsid w:val="00742475"/>
    <w:rsid w:val="00742B32"/>
    <w:rsid w:val="00742E41"/>
    <w:rsid w:val="00743183"/>
    <w:rsid w:val="00743F27"/>
    <w:rsid w:val="007448FD"/>
    <w:rsid w:val="00744C80"/>
    <w:rsid w:val="00744F38"/>
    <w:rsid w:val="0074534F"/>
    <w:rsid w:val="00747139"/>
    <w:rsid w:val="00747488"/>
    <w:rsid w:val="007502D6"/>
    <w:rsid w:val="007504C9"/>
    <w:rsid w:val="007508F2"/>
    <w:rsid w:val="007509FC"/>
    <w:rsid w:val="00750D9C"/>
    <w:rsid w:val="00751292"/>
    <w:rsid w:val="00751369"/>
    <w:rsid w:val="00751573"/>
    <w:rsid w:val="007528EC"/>
    <w:rsid w:val="00752E33"/>
    <w:rsid w:val="00752F25"/>
    <w:rsid w:val="0075391C"/>
    <w:rsid w:val="00755805"/>
    <w:rsid w:val="00755AA4"/>
    <w:rsid w:val="007560D5"/>
    <w:rsid w:val="00756AA2"/>
    <w:rsid w:val="00757626"/>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8077F"/>
    <w:rsid w:val="007809ED"/>
    <w:rsid w:val="007823B7"/>
    <w:rsid w:val="00782CF1"/>
    <w:rsid w:val="00782E95"/>
    <w:rsid w:val="007832A7"/>
    <w:rsid w:val="0078459C"/>
    <w:rsid w:val="007849E7"/>
    <w:rsid w:val="00785650"/>
    <w:rsid w:val="007857D6"/>
    <w:rsid w:val="00786696"/>
    <w:rsid w:val="0078692B"/>
    <w:rsid w:val="00787C25"/>
    <w:rsid w:val="00787ED6"/>
    <w:rsid w:val="00790017"/>
    <w:rsid w:val="00790412"/>
    <w:rsid w:val="007912ED"/>
    <w:rsid w:val="0079177D"/>
    <w:rsid w:val="00795836"/>
    <w:rsid w:val="00795C0D"/>
    <w:rsid w:val="007967A4"/>
    <w:rsid w:val="00797873"/>
    <w:rsid w:val="007979CF"/>
    <w:rsid w:val="007A00B0"/>
    <w:rsid w:val="007A0EB2"/>
    <w:rsid w:val="007A13FF"/>
    <w:rsid w:val="007A18B8"/>
    <w:rsid w:val="007A1924"/>
    <w:rsid w:val="007A2004"/>
    <w:rsid w:val="007A235D"/>
    <w:rsid w:val="007A35B7"/>
    <w:rsid w:val="007A3797"/>
    <w:rsid w:val="007A4F32"/>
    <w:rsid w:val="007A55AB"/>
    <w:rsid w:val="007A56D7"/>
    <w:rsid w:val="007A585E"/>
    <w:rsid w:val="007A5B7F"/>
    <w:rsid w:val="007A7555"/>
    <w:rsid w:val="007A7842"/>
    <w:rsid w:val="007A78AD"/>
    <w:rsid w:val="007A78F7"/>
    <w:rsid w:val="007A7F25"/>
    <w:rsid w:val="007B01B2"/>
    <w:rsid w:val="007B0BBB"/>
    <w:rsid w:val="007B168E"/>
    <w:rsid w:val="007B189B"/>
    <w:rsid w:val="007B22F4"/>
    <w:rsid w:val="007B2450"/>
    <w:rsid w:val="007B289A"/>
    <w:rsid w:val="007B2C49"/>
    <w:rsid w:val="007B3802"/>
    <w:rsid w:val="007B3CED"/>
    <w:rsid w:val="007B46FA"/>
    <w:rsid w:val="007B4E04"/>
    <w:rsid w:val="007B54C8"/>
    <w:rsid w:val="007B6296"/>
    <w:rsid w:val="007B6A55"/>
    <w:rsid w:val="007B746B"/>
    <w:rsid w:val="007C0B07"/>
    <w:rsid w:val="007C0E2B"/>
    <w:rsid w:val="007C11BB"/>
    <w:rsid w:val="007C1925"/>
    <w:rsid w:val="007C1D7A"/>
    <w:rsid w:val="007C2125"/>
    <w:rsid w:val="007C3E6E"/>
    <w:rsid w:val="007C43E3"/>
    <w:rsid w:val="007C4697"/>
    <w:rsid w:val="007C495C"/>
    <w:rsid w:val="007C5387"/>
    <w:rsid w:val="007C56D3"/>
    <w:rsid w:val="007C76D4"/>
    <w:rsid w:val="007D0426"/>
    <w:rsid w:val="007D1881"/>
    <w:rsid w:val="007D22F2"/>
    <w:rsid w:val="007D2CC0"/>
    <w:rsid w:val="007D2ED4"/>
    <w:rsid w:val="007D3DE4"/>
    <w:rsid w:val="007D416A"/>
    <w:rsid w:val="007D51B0"/>
    <w:rsid w:val="007D5E33"/>
    <w:rsid w:val="007D7964"/>
    <w:rsid w:val="007D7DE7"/>
    <w:rsid w:val="007E07A0"/>
    <w:rsid w:val="007E0B0E"/>
    <w:rsid w:val="007E1600"/>
    <w:rsid w:val="007E256D"/>
    <w:rsid w:val="007E322C"/>
    <w:rsid w:val="007E3658"/>
    <w:rsid w:val="007E44DE"/>
    <w:rsid w:val="007E4954"/>
    <w:rsid w:val="007E4BCC"/>
    <w:rsid w:val="007E53EC"/>
    <w:rsid w:val="007E62AF"/>
    <w:rsid w:val="007E66D9"/>
    <w:rsid w:val="007E6D54"/>
    <w:rsid w:val="007E6F22"/>
    <w:rsid w:val="007F0162"/>
    <w:rsid w:val="007F06D6"/>
    <w:rsid w:val="007F071F"/>
    <w:rsid w:val="007F1001"/>
    <w:rsid w:val="007F250D"/>
    <w:rsid w:val="007F2624"/>
    <w:rsid w:val="007F2A17"/>
    <w:rsid w:val="007F47B8"/>
    <w:rsid w:val="007F4A04"/>
    <w:rsid w:val="007F5E0B"/>
    <w:rsid w:val="007F633E"/>
    <w:rsid w:val="007F6562"/>
    <w:rsid w:val="007F69AC"/>
    <w:rsid w:val="007F70C5"/>
    <w:rsid w:val="007F7898"/>
    <w:rsid w:val="008000D4"/>
    <w:rsid w:val="00800223"/>
    <w:rsid w:val="00800B3F"/>
    <w:rsid w:val="0080150F"/>
    <w:rsid w:val="00802284"/>
    <w:rsid w:val="0080265A"/>
    <w:rsid w:val="00803082"/>
    <w:rsid w:val="00804304"/>
    <w:rsid w:val="00804372"/>
    <w:rsid w:val="00804535"/>
    <w:rsid w:val="008045EF"/>
    <w:rsid w:val="00804C59"/>
    <w:rsid w:val="008059F2"/>
    <w:rsid w:val="008060C1"/>
    <w:rsid w:val="00806604"/>
    <w:rsid w:val="0080691D"/>
    <w:rsid w:val="0081045F"/>
    <w:rsid w:val="008107E5"/>
    <w:rsid w:val="00811AF6"/>
    <w:rsid w:val="00811BA2"/>
    <w:rsid w:val="00811E92"/>
    <w:rsid w:val="00812842"/>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427E"/>
    <w:rsid w:val="00824F7B"/>
    <w:rsid w:val="00825120"/>
    <w:rsid w:val="00825144"/>
    <w:rsid w:val="008254A0"/>
    <w:rsid w:val="00826B1C"/>
    <w:rsid w:val="008277AB"/>
    <w:rsid w:val="00827B1A"/>
    <w:rsid w:val="00830AA0"/>
    <w:rsid w:val="00831B7E"/>
    <w:rsid w:val="008321A0"/>
    <w:rsid w:val="00833789"/>
    <w:rsid w:val="00833BBE"/>
    <w:rsid w:val="008345A8"/>
    <w:rsid w:val="00834D54"/>
    <w:rsid w:val="00834F61"/>
    <w:rsid w:val="0083569A"/>
    <w:rsid w:val="008368B8"/>
    <w:rsid w:val="00837755"/>
    <w:rsid w:val="008401FB"/>
    <w:rsid w:val="008413C7"/>
    <w:rsid w:val="00843B79"/>
    <w:rsid w:val="00843CBA"/>
    <w:rsid w:val="00844D13"/>
    <w:rsid w:val="00844D34"/>
    <w:rsid w:val="0084644C"/>
    <w:rsid w:val="00846994"/>
    <w:rsid w:val="00847B4F"/>
    <w:rsid w:val="0085026C"/>
    <w:rsid w:val="008521BF"/>
    <w:rsid w:val="008522EB"/>
    <w:rsid w:val="00852D7C"/>
    <w:rsid w:val="008530AD"/>
    <w:rsid w:val="008537EF"/>
    <w:rsid w:val="00853B84"/>
    <w:rsid w:val="00855F35"/>
    <w:rsid w:val="00855F86"/>
    <w:rsid w:val="00856288"/>
    <w:rsid w:val="0085766C"/>
    <w:rsid w:val="00857B29"/>
    <w:rsid w:val="00860344"/>
    <w:rsid w:val="008606EB"/>
    <w:rsid w:val="008608B0"/>
    <w:rsid w:val="00861F3B"/>
    <w:rsid w:val="008623DC"/>
    <w:rsid w:val="00862A9C"/>
    <w:rsid w:val="00862FEB"/>
    <w:rsid w:val="00863F78"/>
    <w:rsid w:val="008640D8"/>
    <w:rsid w:val="00864845"/>
    <w:rsid w:val="008656F9"/>
    <w:rsid w:val="00865847"/>
    <w:rsid w:val="008664B4"/>
    <w:rsid w:val="008677CA"/>
    <w:rsid w:val="00867BA8"/>
    <w:rsid w:val="008708BE"/>
    <w:rsid w:val="00870A28"/>
    <w:rsid w:val="00870EB7"/>
    <w:rsid w:val="008711A2"/>
    <w:rsid w:val="0087124E"/>
    <w:rsid w:val="00871525"/>
    <w:rsid w:val="008717B1"/>
    <w:rsid w:val="00871840"/>
    <w:rsid w:val="00872A2A"/>
    <w:rsid w:val="00872AA7"/>
    <w:rsid w:val="0087300A"/>
    <w:rsid w:val="00873B3C"/>
    <w:rsid w:val="008747D3"/>
    <w:rsid w:val="008750DE"/>
    <w:rsid w:val="00875453"/>
    <w:rsid w:val="0087550B"/>
    <w:rsid w:val="00875718"/>
    <w:rsid w:val="00875B71"/>
    <w:rsid w:val="00875C68"/>
    <w:rsid w:val="00876591"/>
    <w:rsid w:val="008766D6"/>
    <w:rsid w:val="00877007"/>
    <w:rsid w:val="00877107"/>
    <w:rsid w:val="008775D7"/>
    <w:rsid w:val="00877BF9"/>
    <w:rsid w:val="008831E1"/>
    <w:rsid w:val="008836EA"/>
    <w:rsid w:val="008844C4"/>
    <w:rsid w:val="00885281"/>
    <w:rsid w:val="00885CC7"/>
    <w:rsid w:val="0088677C"/>
    <w:rsid w:val="00887287"/>
    <w:rsid w:val="00887460"/>
    <w:rsid w:val="00890893"/>
    <w:rsid w:val="00890BF3"/>
    <w:rsid w:val="008910E5"/>
    <w:rsid w:val="0089144D"/>
    <w:rsid w:val="008915B7"/>
    <w:rsid w:val="008917B8"/>
    <w:rsid w:val="00893641"/>
    <w:rsid w:val="008937AA"/>
    <w:rsid w:val="00893E25"/>
    <w:rsid w:val="00894449"/>
    <w:rsid w:val="00895576"/>
    <w:rsid w:val="00896156"/>
    <w:rsid w:val="00896CB4"/>
    <w:rsid w:val="008971C0"/>
    <w:rsid w:val="008974F8"/>
    <w:rsid w:val="00897772"/>
    <w:rsid w:val="008A04BD"/>
    <w:rsid w:val="008A0FB5"/>
    <w:rsid w:val="008A1990"/>
    <w:rsid w:val="008A1AA9"/>
    <w:rsid w:val="008A2D3C"/>
    <w:rsid w:val="008A317F"/>
    <w:rsid w:val="008A4C0F"/>
    <w:rsid w:val="008A50B6"/>
    <w:rsid w:val="008A56E2"/>
    <w:rsid w:val="008A5DFC"/>
    <w:rsid w:val="008A6F30"/>
    <w:rsid w:val="008B0952"/>
    <w:rsid w:val="008B1E1B"/>
    <w:rsid w:val="008B3AF6"/>
    <w:rsid w:val="008B414E"/>
    <w:rsid w:val="008B5C08"/>
    <w:rsid w:val="008B60EF"/>
    <w:rsid w:val="008B718C"/>
    <w:rsid w:val="008C0E14"/>
    <w:rsid w:val="008C2CA5"/>
    <w:rsid w:val="008C5098"/>
    <w:rsid w:val="008C57B8"/>
    <w:rsid w:val="008C609B"/>
    <w:rsid w:val="008C7068"/>
    <w:rsid w:val="008C77B9"/>
    <w:rsid w:val="008C7845"/>
    <w:rsid w:val="008D0011"/>
    <w:rsid w:val="008D0271"/>
    <w:rsid w:val="008D04C7"/>
    <w:rsid w:val="008D08BC"/>
    <w:rsid w:val="008D17F3"/>
    <w:rsid w:val="008D18B0"/>
    <w:rsid w:val="008D1901"/>
    <w:rsid w:val="008D1AB5"/>
    <w:rsid w:val="008D1E7A"/>
    <w:rsid w:val="008D220D"/>
    <w:rsid w:val="008D2A5B"/>
    <w:rsid w:val="008D3410"/>
    <w:rsid w:val="008D48BC"/>
    <w:rsid w:val="008D4C88"/>
    <w:rsid w:val="008D4CC3"/>
    <w:rsid w:val="008D568C"/>
    <w:rsid w:val="008D6896"/>
    <w:rsid w:val="008D7A62"/>
    <w:rsid w:val="008E0071"/>
    <w:rsid w:val="008E0CE3"/>
    <w:rsid w:val="008E0F94"/>
    <w:rsid w:val="008E1081"/>
    <w:rsid w:val="008E1256"/>
    <w:rsid w:val="008E1326"/>
    <w:rsid w:val="008E283D"/>
    <w:rsid w:val="008E2B8F"/>
    <w:rsid w:val="008E30C4"/>
    <w:rsid w:val="008E3563"/>
    <w:rsid w:val="008E5085"/>
    <w:rsid w:val="008E5AF1"/>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6070"/>
    <w:rsid w:val="008F6838"/>
    <w:rsid w:val="008F6CDF"/>
    <w:rsid w:val="008F72F3"/>
    <w:rsid w:val="008F73C0"/>
    <w:rsid w:val="00900708"/>
    <w:rsid w:val="00900E13"/>
    <w:rsid w:val="0090152B"/>
    <w:rsid w:val="009020DF"/>
    <w:rsid w:val="00902AFF"/>
    <w:rsid w:val="00903743"/>
    <w:rsid w:val="009040D0"/>
    <w:rsid w:val="00906077"/>
    <w:rsid w:val="00906737"/>
    <w:rsid w:val="00906936"/>
    <w:rsid w:val="00906DCD"/>
    <w:rsid w:val="00907302"/>
    <w:rsid w:val="0090775E"/>
    <w:rsid w:val="009104A1"/>
    <w:rsid w:val="009118E2"/>
    <w:rsid w:val="00911FEA"/>
    <w:rsid w:val="00914A48"/>
    <w:rsid w:val="00915FC0"/>
    <w:rsid w:val="009161F6"/>
    <w:rsid w:val="0091667B"/>
    <w:rsid w:val="00917E79"/>
    <w:rsid w:val="0092038B"/>
    <w:rsid w:val="00921907"/>
    <w:rsid w:val="009222FB"/>
    <w:rsid w:val="009224C3"/>
    <w:rsid w:val="00923625"/>
    <w:rsid w:val="00923CDD"/>
    <w:rsid w:val="0092421B"/>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E3C"/>
    <w:rsid w:val="009402FF"/>
    <w:rsid w:val="00940B81"/>
    <w:rsid w:val="00941186"/>
    <w:rsid w:val="00941238"/>
    <w:rsid w:val="00942341"/>
    <w:rsid w:val="00942392"/>
    <w:rsid w:val="00942408"/>
    <w:rsid w:val="0094265A"/>
    <w:rsid w:val="00942696"/>
    <w:rsid w:val="00942855"/>
    <w:rsid w:val="00942980"/>
    <w:rsid w:val="00943D78"/>
    <w:rsid w:val="0094467E"/>
    <w:rsid w:val="00945CED"/>
    <w:rsid w:val="0094657A"/>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1F2"/>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899"/>
    <w:rsid w:val="00977FA0"/>
    <w:rsid w:val="00980825"/>
    <w:rsid w:val="0098282D"/>
    <w:rsid w:val="00982CBB"/>
    <w:rsid w:val="009831C2"/>
    <w:rsid w:val="0098340B"/>
    <w:rsid w:val="00984918"/>
    <w:rsid w:val="00985444"/>
    <w:rsid w:val="00985D4A"/>
    <w:rsid w:val="00985DF4"/>
    <w:rsid w:val="009863A0"/>
    <w:rsid w:val="00986622"/>
    <w:rsid w:val="00986D0D"/>
    <w:rsid w:val="00987BC4"/>
    <w:rsid w:val="00987E6D"/>
    <w:rsid w:val="009907B7"/>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1BAC"/>
    <w:rsid w:val="009A20F6"/>
    <w:rsid w:val="009A28E8"/>
    <w:rsid w:val="009A34E9"/>
    <w:rsid w:val="009A3A82"/>
    <w:rsid w:val="009A3A9E"/>
    <w:rsid w:val="009A404F"/>
    <w:rsid w:val="009A507C"/>
    <w:rsid w:val="009A5C1C"/>
    <w:rsid w:val="009A60B4"/>
    <w:rsid w:val="009A657B"/>
    <w:rsid w:val="009B0E3A"/>
    <w:rsid w:val="009B0EB2"/>
    <w:rsid w:val="009B27DB"/>
    <w:rsid w:val="009B2ABE"/>
    <w:rsid w:val="009B48B4"/>
    <w:rsid w:val="009B4EFA"/>
    <w:rsid w:val="009B4F41"/>
    <w:rsid w:val="009B5164"/>
    <w:rsid w:val="009B56B7"/>
    <w:rsid w:val="009B6594"/>
    <w:rsid w:val="009B6C66"/>
    <w:rsid w:val="009B6D1A"/>
    <w:rsid w:val="009B7297"/>
    <w:rsid w:val="009C03CC"/>
    <w:rsid w:val="009C05FD"/>
    <w:rsid w:val="009C0B18"/>
    <w:rsid w:val="009C0B58"/>
    <w:rsid w:val="009C109A"/>
    <w:rsid w:val="009C13EB"/>
    <w:rsid w:val="009C2B4B"/>
    <w:rsid w:val="009C3E70"/>
    <w:rsid w:val="009C43F3"/>
    <w:rsid w:val="009C49B9"/>
    <w:rsid w:val="009C4AAC"/>
    <w:rsid w:val="009C4ADE"/>
    <w:rsid w:val="009C4D44"/>
    <w:rsid w:val="009C51A0"/>
    <w:rsid w:val="009C5627"/>
    <w:rsid w:val="009C5C19"/>
    <w:rsid w:val="009C6145"/>
    <w:rsid w:val="009C671B"/>
    <w:rsid w:val="009C6C5F"/>
    <w:rsid w:val="009C780A"/>
    <w:rsid w:val="009D1773"/>
    <w:rsid w:val="009D19C2"/>
    <w:rsid w:val="009D23B2"/>
    <w:rsid w:val="009D2B54"/>
    <w:rsid w:val="009D4077"/>
    <w:rsid w:val="009D5B96"/>
    <w:rsid w:val="009D79BD"/>
    <w:rsid w:val="009E0B16"/>
    <w:rsid w:val="009E0C82"/>
    <w:rsid w:val="009E0DB9"/>
    <w:rsid w:val="009E0DEA"/>
    <w:rsid w:val="009E1106"/>
    <w:rsid w:val="009E13A6"/>
    <w:rsid w:val="009E19B3"/>
    <w:rsid w:val="009E2004"/>
    <w:rsid w:val="009E2145"/>
    <w:rsid w:val="009E2A29"/>
    <w:rsid w:val="009E3661"/>
    <w:rsid w:val="009E3800"/>
    <w:rsid w:val="009E49FC"/>
    <w:rsid w:val="009E52E2"/>
    <w:rsid w:val="009E66EE"/>
    <w:rsid w:val="009E6713"/>
    <w:rsid w:val="009E7DCA"/>
    <w:rsid w:val="009F049C"/>
    <w:rsid w:val="009F17E7"/>
    <w:rsid w:val="009F1AC6"/>
    <w:rsid w:val="009F1E84"/>
    <w:rsid w:val="009F2273"/>
    <w:rsid w:val="009F234A"/>
    <w:rsid w:val="009F2993"/>
    <w:rsid w:val="009F34C9"/>
    <w:rsid w:val="009F34F6"/>
    <w:rsid w:val="009F37C4"/>
    <w:rsid w:val="009F37F7"/>
    <w:rsid w:val="009F48E8"/>
    <w:rsid w:val="009F4CE5"/>
    <w:rsid w:val="009F4FD2"/>
    <w:rsid w:val="009F5224"/>
    <w:rsid w:val="009F59FF"/>
    <w:rsid w:val="009F6292"/>
    <w:rsid w:val="009F71BD"/>
    <w:rsid w:val="009F7685"/>
    <w:rsid w:val="00A00565"/>
    <w:rsid w:val="00A00A2E"/>
    <w:rsid w:val="00A01889"/>
    <w:rsid w:val="00A01AEA"/>
    <w:rsid w:val="00A01B8A"/>
    <w:rsid w:val="00A01EF6"/>
    <w:rsid w:val="00A02757"/>
    <w:rsid w:val="00A028F7"/>
    <w:rsid w:val="00A03364"/>
    <w:rsid w:val="00A03512"/>
    <w:rsid w:val="00A03537"/>
    <w:rsid w:val="00A03B1D"/>
    <w:rsid w:val="00A03B5C"/>
    <w:rsid w:val="00A04E0C"/>
    <w:rsid w:val="00A0513D"/>
    <w:rsid w:val="00A05833"/>
    <w:rsid w:val="00A05B89"/>
    <w:rsid w:val="00A066A7"/>
    <w:rsid w:val="00A066D9"/>
    <w:rsid w:val="00A07060"/>
    <w:rsid w:val="00A1007F"/>
    <w:rsid w:val="00A104D8"/>
    <w:rsid w:val="00A11551"/>
    <w:rsid w:val="00A128C5"/>
    <w:rsid w:val="00A12991"/>
    <w:rsid w:val="00A129F5"/>
    <w:rsid w:val="00A12D41"/>
    <w:rsid w:val="00A13DB8"/>
    <w:rsid w:val="00A148AF"/>
    <w:rsid w:val="00A15C3B"/>
    <w:rsid w:val="00A15D9E"/>
    <w:rsid w:val="00A1727C"/>
    <w:rsid w:val="00A17669"/>
    <w:rsid w:val="00A20281"/>
    <w:rsid w:val="00A207F7"/>
    <w:rsid w:val="00A20A2C"/>
    <w:rsid w:val="00A20A81"/>
    <w:rsid w:val="00A218C7"/>
    <w:rsid w:val="00A21F42"/>
    <w:rsid w:val="00A221ED"/>
    <w:rsid w:val="00A223E9"/>
    <w:rsid w:val="00A22522"/>
    <w:rsid w:val="00A239EF"/>
    <w:rsid w:val="00A24D47"/>
    <w:rsid w:val="00A25B94"/>
    <w:rsid w:val="00A25BD2"/>
    <w:rsid w:val="00A269E1"/>
    <w:rsid w:val="00A27269"/>
    <w:rsid w:val="00A2737F"/>
    <w:rsid w:val="00A310AC"/>
    <w:rsid w:val="00A312F5"/>
    <w:rsid w:val="00A31319"/>
    <w:rsid w:val="00A31324"/>
    <w:rsid w:val="00A31673"/>
    <w:rsid w:val="00A31F1F"/>
    <w:rsid w:val="00A327B2"/>
    <w:rsid w:val="00A33160"/>
    <w:rsid w:val="00A33F9E"/>
    <w:rsid w:val="00A34749"/>
    <w:rsid w:val="00A352FC"/>
    <w:rsid w:val="00A353C8"/>
    <w:rsid w:val="00A35DE5"/>
    <w:rsid w:val="00A37193"/>
    <w:rsid w:val="00A37A53"/>
    <w:rsid w:val="00A37F80"/>
    <w:rsid w:val="00A409DE"/>
    <w:rsid w:val="00A418EB"/>
    <w:rsid w:val="00A41C02"/>
    <w:rsid w:val="00A430ED"/>
    <w:rsid w:val="00A43389"/>
    <w:rsid w:val="00A445DA"/>
    <w:rsid w:val="00A45F5F"/>
    <w:rsid w:val="00A46997"/>
    <w:rsid w:val="00A46AB9"/>
    <w:rsid w:val="00A46C61"/>
    <w:rsid w:val="00A46CD9"/>
    <w:rsid w:val="00A46F2E"/>
    <w:rsid w:val="00A4715E"/>
    <w:rsid w:val="00A4741F"/>
    <w:rsid w:val="00A47B46"/>
    <w:rsid w:val="00A50346"/>
    <w:rsid w:val="00A50B23"/>
    <w:rsid w:val="00A51678"/>
    <w:rsid w:val="00A51803"/>
    <w:rsid w:val="00A524D1"/>
    <w:rsid w:val="00A528A8"/>
    <w:rsid w:val="00A5312D"/>
    <w:rsid w:val="00A53F7D"/>
    <w:rsid w:val="00A54871"/>
    <w:rsid w:val="00A55D50"/>
    <w:rsid w:val="00A565EB"/>
    <w:rsid w:val="00A56648"/>
    <w:rsid w:val="00A56C9F"/>
    <w:rsid w:val="00A56D99"/>
    <w:rsid w:val="00A56E71"/>
    <w:rsid w:val="00A57F24"/>
    <w:rsid w:val="00A6063D"/>
    <w:rsid w:val="00A6076B"/>
    <w:rsid w:val="00A60868"/>
    <w:rsid w:val="00A61182"/>
    <w:rsid w:val="00A615EC"/>
    <w:rsid w:val="00A62087"/>
    <w:rsid w:val="00A62891"/>
    <w:rsid w:val="00A636E4"/>
    <w:rsid w:val="00A64038"/>
    <w:rsid w:val="00A644C6"/>
    <w:rsid w:val="00A648DA"/>
    <w:rsid w:val="00A64AFC"/>
    <w:rsid w:val="00A65616"/>
    <w:rsid w:val="00A65D4C"/>
    <w:rsid w:val="00A6663E"/>
    <w:rsid w:val="00A674DE"/>
    <w:rsid w:val="00A67DDE"/>
    <w:rsid w:val="00A7097E"/>
    <w:rsid w:val="00A715FC"/>
    <w:rsid w:val="00A71EA2"/>
    <w:rsid w:val="00A720E8"/>
    <w:rsid w:val="00A72156"/>
    <w:rsid w:val="00A72503"/>
    <w:rsid w:val="00A72773"/>
    <w:rsid w:val="00A72D52"/>
    <w:rsid w:val="00A734F2"/>
    <w:rsid w:val="00A7441A"/>
    <w:rsid w:val="00A75193"/>
    <w:rsid w:val="00A763A8"/>
    <w:rsid w:val="00A7714A"/>
    <w:rsid w:val="00A77563"/>
    <w:rsid w:val="00A7798B"/>
    <w:rsid w:val="00A806DC"/>
    <w:rsid w:val="00A81310"/>
    <w:rsid w:val="00A825B9"/>
    <w:rsid w:val="00A82C94"/>
    <w:rsid w:val="00A85CF9"/>
    <w:rsid w:val="00A86331"/>
    <w:rsid w:val="00A8683E"/>
    <w:rsid w:val="00A86993"/>
    <w:rsid w:val="00A90C97"/>
    <w:rsid w:val="00A90CE8"/>
    <w:rsid w:val="00A9119A"/>
    <w:rsid w:val="00A91399"/>
    <w:rsid w:val="00A91DEA"/>
    <w:rsid w:val="00A929C3"/>
    <w:rsid w:val="00A93D46"/>
    <w:rsid w:val="00A94949"/>
    <w:rsid w:val="00A9587F"/>
    <w:rsid w:val="00A96810"/>
    <w:rsid w:val="00A96BBB"/>
    <w:rsid w:val="00A97261"/>
    <w:rsid w:val="00AA064F"/>
    <w:rsid w:val="00AA0EDE"/>
    <w:rsid w:val="00AA2344"/>
    <w:rsid w:val="00AA25F9"/>
    <w:rsid w:val="00AA2F96"/>
    <w:rsid w:val="00AA3103"/>
    <w:rsid w:val="00AA446E"/>
    <w:rsid w:val="00AA5A76"/>
    <w:rsid w:val="00AA5C15"/>
    <w:rsid w:val="00AA625F"/>
    <w:rsid w:val="00AA62CA"/>
    <w:rsid w:val="00AA630D"/>
    <w:rsid w:val="00AB0192"/>
    <w:rsid w:val="00AB2E3E"/>
    <w:rsid w:val="00AB3004"/>
    <w:rsid w:val="00AB4619"/>
    <w:rsid w:val="00AB558E"/>
    <w:rsid w:val="00AB5665"/>
    <w:rsid w:val="00AB5888"/>
    <w:rsid w:val="00AB5AEB"/>
    <w:rsid w:val="00AB678C"/>
    <w:rsid w:val="00AB6894"/>
    <w:rsid w:val="00AB710B"/>
    <w:rsid w:val="00AB72F6"/>
    <w:rsid w:val="00AB7607"/>
    <w:rsid w:val="00AC1549"/>
    <w:rsid w:val="00AC2A02"/>
    <w:rsid w:val="00AC2C4C"/>
    <w:rsid w:val="00AC2E87"/>
    <w:rsid w:val="00AC425E"/>
    <w:rsid w:val="00AC49E1"/>
    <w:rsid w:val="00AC4D8C"/>
    <w:rsid w:val="00AC4FBB"/>
    <w:rsid w:val="00AC509A"/>
    <w:rsid w:val="00AC52D0"/>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A3"/>
    <w:rsid w:val="00AD58C5"/>
    <w:rsid w:val="00AD5E3F"/>
    <w:rsid w:val="00AD630E"/>
    <w:rsid w:val="00AD667C"/>
    <w:rsid w:val="00AE0537"/>
    <w:rsid w:val="00AE12B9"/>
    <w:rsid w:val="00AE19A2"/>
    <w:rsid w:val="00AE22AF"/>
    <w:rsid w:val="00AE389D"/>
    <w:rsid w:val="00AE3E1B"/>
    <w:rsid w:val="00AE4ACA"/>
    <w:rsid w:val="00AE590D"/>
    <w:rsid w:val="00AE5D22"/>
    <w:rsid w:val="00AE5D42"/>
    <w:rsid w:val="00AE67FA"/>
    <w:rsid w:val="00AE6A7B"/>
    <w:rsid w:val="00AE6D1A"/>
    <w:rsid w:val="00AE7722"/>
    <w:rsid w:val="00AE7C78"/>
    <w:rsid w:val="00AF0DCF"/>
    <w:rsid w:val="00AF35E2"/>
    <w:rsid w:val="00AF5A30"/>
    <w:rsid w:val="00AF6AC2"/>
    <w:rsid w:val="00AF7C18"/>
    <w:rsid w:val="00AF7F8F"/>
    <w:rsid w:val="00B008D2"/>
    <w:rsid w:val="00B00919"/>
    <w:rsid w:val="00B01414"/>
    <w:rsid w:val="00B022F3"/>
    <w:rsid w:val="00B02614"/>
    <w:rsid w:val="00B03139"/>
    <w:rsid w:val="00B03C59"/>
    <w:rsid w:val="00B041CB"/>
    <w:rsid w:val="00B04893"/>
    <w:rsid w:val="00B04EA8"/>
    <w:rsid w:val="00B04F9B"/>
    <w:rsid w:val="00B0526D"/>
    <w:rsid w:val="00B0595D"/>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3A1C"/>
    <w:rsid w:val="00B14BFA"/>
    <w:rsid w:val="00B15197"/>
    <w:rsid w:val="00B15349"/>
    <w:rsid w:val="00B15414"/>
    <w:rsid w:val="00B1551F"/>
    <w:rsid w:val="00B179E6"/>
    <w:rsid w:val="00B17BE4"/>
    <w:rsid w:val="00B17D9C"/>
    <w:rsid w:val="00B20E80"/>
    <w:rsid w:val="00B21446"/>
    <w:rsid w:val="00B217AF"/>
    <w:rsid w:val="00B218EC"/>
    <w:rsid w:val="00B228DA"/>
    <w:rsid w:val="00B229AE"/>
    <w:rsid w:val="00B23225"/>
    <w:rsid w:val="00B23AFC"/>
    <w:rsid w:val="00B23F55"/>
    <w:rsid w:val="00B243BA"/>
    <w:rsid w:val="00B24BA3"/>
    <w:rsid w:val="00B24EBD"/>
    <w:rsid w:val="00B24F41"/>
    <w:rsid w:val="00B25290"/>
    <w:rsid w:val="00B253A6"/>
    <w:rsid w:val="00B253D6"/>
    <w:rsid w:val="00B2559A"/>
    <w:rsid w:val="00B25F6D"/>
    <w:rsid w:val="00B26051"/>
    <w:rsid w:val="00B26610"/>
    <w:rsid w:val="00B27004"/>
    <w:rsid w:val="00B3075D"/>
    <w:rsid w:val="00B309E1"/>
    <w:rsid w:val="00B31133"/>
    <w:rsid w:val="00B31A57"/>
    <w:rsid w:val="00B320F3"/>
    <w:rsid w:val="00B3226D"/>
    <w:rsid w:val="00B325A0"/>
    <w:rsid w:val="00B3268D"/>
    <w:rsid w:val="00B326E3"/>
    <w:rsid w:val="00B32826"/>
    <w:rsid w:val="00B3299F"/>
    <w:rsid w:val="00B32B5B"/>
    <w:rsid w:val="00B33298"/>
    <w:rsid w:val="00B33331"/>
    <w:rsid w:val="00B341E2"/>
    <w:rsid w:val="00B353F3"/>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971"/>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57A8A"/>
    <w:rsid w:val="00B60075"/>
    <w:rsid w:val="00B6032B"/>
    <w:rsid w:val="00B604E2"/>
    <w:rsid w:val="00B60E24"/>
    <w:rsid w:val="00B61110"/>
    <w:rsid w:val="00B61A17"/>
    <w:rsid w:val="00B61D85"/>
    <w:rsid w:val="00B6237B"/>
    <w:rsid w:val="00B62920"/>
    <w:rsid w:val="00B63105"/>
    <w:rsid w:val="00B636F4"/>
    <w:rsid w:val="00B63C5A"/>
    <w:rsid w:val="00B642BE"/>
    <w:rsid w:val="00B644A3"/>
    <w:rsid w:val="00B6459F"/>
    <w:rsid w:val="00B647FB"/>
    <w:rsid w:val="00B6537E"/>
    <w:rsid w:val="00B65663"/>
    <w:rsid w:val="00B6681F"/>
    <w:rsid w:val="00B66CDE"/>
    <w:rsid w:val="00B67DA0"/>
    <w:rsid w:val="00B702C7"/>
    <w:rsid w:val="00B70914"/>
    <w:rsid w:val="00B7174B"/>
    <w:rsid w:val="00B71C2A"/>
    <w:rsid w:val="00B72C48"/>
    <w:rsid w:val="00B74B14"/>
    <w:rsid w:val="00B74DB4"/>
    <w:rsid w:val="00B76779"/>
    <w:rsid w:val="00B7704A"/>
    <w:rsid w:val="00B77F2B"/>
    <w:rsid w:val="00B801BE"/>
    <w:rsid w:val="00B80272"/>
    <w:rsid w:val="00B8039C"/>
    <w:rsid w:val="00B806FE"/>
    <w:rsid w:val="00B818B9"/>
    <w:rsid w:val="00B81EC5"/>
    <w:rsid w:val="00B825D3"/>
    <w:rsid w:val="00B825E6"/>
    <w:rsid w:val="00B82B81"/>
    <w:rsid w:val="00B836E8"/>
    <w:rsid w:val="00B848BB"/>
    <w:rsid w:val="00B84B31"/>
    <w:rsid w:val="00B85073"/>
    <w:rsid w:val="00B850C8"/>
    <w:rsid w:val="00B8615F"/>
    <w:rsid w:val="00B87EBF"/>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6FF1"/>
    <w:rsid w:val="00B97779"/>
    <w:rsid w:val="00B97854"/>
    <w:rsid w:val="00BA0084"/>
    <w:rsid w:val="00BA019D"/>
    <w:rsid w:val="00BA1C3D"/>
    <w:rsid w:val="00BA4860"/>
    <w:rsid w:val="00BA51F6"/>
    <w:rsid w:val="00BA5ACE"/>
    <w:rsid w:val="00BA5AF4"/>
    <w:rsid w:val="00BA6A21"/>
    <w:rsid w:val="00BA6BDD"/>
    <w:rsid w:val="00BA7081"/>
    <w:rsid w:val="00BA7596"/>
    <w:rsid w:val="00BA77DC"/>
    <w:rsid w:val="00BB04FC"/>
    <w:rsid w:val="00BB05DF"/>
    <w:rsid w:val="00BB0B97"/>
    <w:rsid w:val="00BB1B73"/>
    <w:rsid w:val="00BB230D"/>
    <w:rsid w:val="00BB28F6"/>
    <w:rsid w:val="00BB2B17"/>
    <w:rsid w:val="00BB2CBF"/>
    <w:rsid w:val="00BB2E89"/>
    <w:rsid w:val="00BB4363"/>
    <w:rsid w:val="00BB47A7"/>
    <w:rsid w:val="00BB489E"/>
    <w:rsid w:val="00BB496E"/>
    <w:rsid w:val="00BB5499"/>
    <w:rsid w:val="00BB63B4"/>
    <w:rsid w:val="00BB6EEE"/>
    <w:rsid w:val="00BB7F0A"/>
    <w:rsid w:val="00BC0A3E"/>
    <w:rsid w:val="00BC0AF7"/>
    <w:rsid w:val="00BC1B73"/>
    <w:rsid w:val="00BC1DBE"/>
    <w:rsid w:val="00BC1E3D"/>
    <w:rsid w:val="00BC2555"/>
    <w:rsid w:val="00BC2560"/>
    <w:rsid w:val="00BC2B83"/>
    <w:rsid w:val="00BC33E6"/>
    <w:rsid w:val="00BC3555"/>
    <w:rsid w:val="00BC37AC"/>
    <w:rsid w:val="00BC5E39"/>
    <w:rsid w:val="00BC5F81"/>
    <w:rsid w:val="00BC6066"/>
    <w:rsid w:val="00BC63A8"/>
    <w:rsid w:val="00BC6B6E"/>
    <w:rsid w:val="00BC7046"/>
    <w:rsid w:val="00BD1489"/>
    <w:rsid w:val="00BD2003"/>
    <w:rsid w:val="00BD225D"/>
    <w:rsid w:val="00BD2550"/>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0C8"/>
    <w:rsid w:val="00BE2351"/>
    <w:rsid w:val="00BE2FE1"/>
    <w:rsid w:val="00BE37B7"/>
    <w:rsid w:val="00BE40CC"/>
    <w:rsid w:val="00BE4150"/>
    <w:rsid w:val="00BE44CC"/>
    <w:rsid w:val="00BE45D3"/>
    <w:rsid w:val="00BE47B1"/>
    <w:rsid w:val="00BE4831"/>
    <w:rsid w:val="00BE5F8C"/>
    <w:rsid w:val="00BE604C"/>
    <w:rsid w:val="00BE644E"/>
    <w:rsid w:val="00BE6C4C"/>
    <w:rsid w:val="00BE6CC4"/>
    <w:rsid w:val="00BE7495"/>
    <w:rsid w:val="00BF06CB"/>
    <w:rsid w:val="00BF0900"/>
    <w:rsid w:val="00BF1208"/>
    <w:rsid w:val="00BF20BA"/>
    <w:rsid w:val="00BF26C0"/>
    <w:rsid w:val="00BF3536"/>
    <w:rsid w:val="00BF42E5"/>
    <w:rsid w:val="00BF5603"/>
    <w:rsid w:val="00BF6E60"/>
    <w:rsid w:val="00BF742F"/>
    <w:rsid w:val="00BF79C2"/>
    <w:rsid w:val="00BF7AA0"/>
    <w:rsid w:val="00C00761"/>
    <w:rsid w:val="00C01CD4"/>
    <w:rsid w:val="00C02359"/>
    <w:rsid w:val="00C02A69"/>
    <w:rsid w:val="00C02B5C"/>
    <w:rsid w:val="00C03984"/>
    <w:rsid w:val="00C0405A"/>
    <w:rsid w:val="00C04137"/>
    <w:rsid w:val="00C05379"/>
    <w:rsid w:val="00C066BB"/>
    <w:rsid w:val="00C067E8"/>
    <w:rsid w:val="00C070BE"/>
    <w:rsid w:val="00C07A3F"/>
    <w:rsid w:val="00C101AF"/>
    <w:rsid w:val="00C10FF4"/>
    <w:rsid w:val="00C1179F"/>
    <w:rsid w:val="00C12354"/>
    <w:rsid w:val="00C12762"/>
    <w:rsid w:val="00C13AD1"/>
    <w:rsid w:val="00C14428"/>
    <w:rsid w:val="00C14AA5"/>
    <w:rsid w:val="00C15C10"/>
    <w:rsid w:val="00C1624F"/>
    <w:rsid w:val="00C16671"/>
    <w:rsid w:val="00C16BFE"/>
    <w:rsid w:val="00C17B65"/>
    <w:rsid w:val="00C2061E"/>
    <w:rsid w:val="00C20A07"/>
    <w:rsid w:val="00C20A9F"/>
    <w:rsid w:val="00C212B4"/>
    <w:rsid w:val="00C21E76"/>
    <w:rsid w:val="00C223C1"/>
    <w:rsid w:val="00C235DC"/>
    <w:rsid w:val="00C23C05"/>
    <w:rsid w:val="00C24507"/>
    <w:rsid w:val="00C24AB5"/>
    <w:rsid w:val="00C24CCE"/>
    <w:rsid w:val="00C260B4"/>
    <w:rsid w:val="00C260B7"/>
    <w:rsid w:val="00C262FE"/>
    <w:rsid w:val="00C263DC"/>
    <w:rsid w:val="00C2661E"/>
    <w:rsid w:val="00C27130"/>
    <w:rsid w:val="00C30163"/>
    <w:rsid w:val="00C30B41"/>
    <w:rsid w:val="00C32B14"/>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61B8"/>
    <w:rsid w:val="00C465B5"/>
    <w:rsid w:val="00C46CE3"/>
    <w:rsid w:val="00C51424"/>
    <w:rsid w:val="00C51DA9"/>
    <w:rsid w:val="00C52153"/>
    <w:rsid w:val="00C533D0"/>
    <w:rsid w:val="00C53421"/>
    <w:rsid w:val="00C54852"/>
    <w:rsid w:val="00C548FB"/>
    <w:rsid w:val="00C5497C"/>
    <w:rsid w:val="00C54998"/>
    <w:rsid w:val="00C5539F"/>
    <w:rsid w:val="00C55DB3"/>
    <w:rsid w:val="00C565CB"/>
    <w:rsid w:val="00C56C66"/>
    <w:rsid w:val="00C571C6"/>
    <w:rsid w:val="00C57730"/>
    <w:rsid w:val="00C5785C"/>
    <w:rsid w:val="00C57897"/>
    <w:rsid w:val="00C579ED"/>
    <w:rsid w:val="00C57C18"/>
    <w:rsid w:val="00C6083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3C1"/>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908"/>
    <w:rsid w:val="00C80C5F"/>
    <w:rsid w:val="00C8109B"/>
    <w:rsid w:val="00C811FD"/>
    <w:rsid w:val="00C814EC"/>
    <w:rsid w:val="00C81A84"/>
    <w:rsid w:val="00C8259A"/>
    <w:rsid w:val="00C829E9"/>
    <w:rsid w:val="00C829F1"/>
    <w:rsid w:val="00C833AA"/>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922"/>
    <w:rsid w:val="00CA36B6"/>
    <w:rsid w:val="00CA4780"/>
    <w:rsid w:val="00CA5CA3"/>
    <w:rsid w:val="00CA6160"/>
    <w:rsid w:val="00CA62CC"/>
    <w:rsid w:val="00CA64BE"/>
    <w:rsid w:val="00CB0520"/>
    <w:rsid w:val="00CB0E7E"/>
    <w:rsid w:val="00CB137A"/>
    <w:rsid w:val="00CB376A"/>
    <w:rsid w:val="00CB401E"/>
    <w:rsid w:val="00CB4551"/>
    <w:rsid w:val="00CB4A1E"/>
    <w:rsid w:val="00CB4C14"/>
    <w:rsid w:val="00CB6062"/>
    <w:rsid w:val="00CB6418"/>
    <w:rsid w:val="00CB7306"/>
    <w:rsid w:val="00CB7624"/>
    <w:rsid w:val="00CB793D"/>
    <w:rsid w:val="00CB7FFB"/>
    <w:rsid w:val="00CC0DD4"/>
    <w:rsid w:val="00CC0F06"/>
    <w:rsid w:val="00CC0F77"/>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6E8B"/>
    <w:rsid w:val="00CC7D3C"/>
    <w:rsid w:val="00CD0111"/>
    <w:rsid w:val="00CD04F1"/>
    <w:rsid w:val="00CD05AE"/>
    <w:rsid w:val="00CD135E"/>
    <w:rsid w:val="00CD21F6"/>
    <w:rsid w:val="00CD2655"/>
    <w:rsid w:val="00CD367C"/>
    <w:rsid w:val="00CD4519"/>
    <w:rsid w:val="00CD7762"/>
    <w:rsid w:val="00CE05BA"/>
    <w:rsid w:val="00CE08AA"/>
    <w:rsid w:val="00CE2102"/>
    <w:rsid w:val="00CE2934"/>
    <w:rsid w:val="00CE3632"/>
    <w:rsid w:val="00CE3C4D"/>
    <w:rsid w:val="00CE4245"/>
    <w:rsid w:val="00CE48A9"/>
    <w:rsid w:val="00CE499F"/>
    <w:rsid w:val="00CE4FDD"/>
    <w:rsid w:val="00CE5619"/>
    <w:rsid w:val="00CE5839"/>
    <w:rsid w:val="00CE5AA4"/>
    <w:rsid w:val="00CE5FDC"/>
    <w:rsid w:val="00CE675B"/>
    <w:rsid w:val="00CE6DAF"/>
    <w:rsid w:val="00CE72E4"/>
    <w:rsid w:val="00CE7947"/>
    <w:rsid w:val="00CE7C15"/>
    <w:rsid w:val="00CE7CED"/>
    <w:rsid w:val="00CF0ECD"/>
    <w:rsid w:val="00CF0ED7"/>
    <w:rsid w:val="00CF0F7C"/>
    <w:rsid w:val="00CF2D1E"/>
    <w:rsid w:val="00CF2F72"/>
    <w:rsid w:val="00CF431D"/>
    <w:rsid w:val="00CF4775"/>
    <w:rsid w:val="00CF4985"/>
    <w:rsid w:val="00CF50BD"/>
    <w:rsid w:val="00CF53C9"/>
    <w:rsid w:val="00CF5E24"/>
    <w:rsid w:val="00CF607D"/>
    <w:rsid w:val="00CF6651"/>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D77"/>
    <w:rsid w:val="00D05FAE"/>
    <w:rsid w:val="00D063D9"/>
    <w:rsid w:val="00D064E2"/>
    <w:rsid w:val="00D074EA"/>
    <w:rsid w:val="00D07A87"/>
    <w:rsid w:val="00D07CDA"/>
    <w:rsid w:val="00D113D7"/>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605"/>
    <w:rsid w:val="00D27D69"/>
    <w:rsid w:val="00D308BA"/>
    <w:rsid w:val="00D3135B"/>
    <w:rsid w:val="00D31548"/>
    <w:rsid w:val="00D315BC"/>
    <w:rsid w:val="00D31B37"/>
    <w:rsid w:val="00D33172"/>
    <w:rsid w:val="00D3360B"/>
    <w:rsid w:val="00D34350"/>
    <w:rsid w:val="00D35B65"/>
    <w:rsid w:val="00D37B8C"/>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11B6"/>
    <w:rsid w:val="00D53971"/>
    <w:rsid w:val="00D54378"/>
    <w:rsid w:val="00D5487A"/>
    <w:rsid w:val="00D55008"/>
    <w:rsid w:val="00D56E36"/>
    <w:rsid w:val="00D5733C"/>
    <w:rsid w:val="00D578DC"/>
    <w:rsid w:val="00D60F46"/>
    <w:rsid w:val="00D613DF"/>
    <w:rsid w:val="00D62281"/>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DA2"/>
    <w:rsid w:val="00D76E42"/>
    <w:rsid w:val="00D7791B"/>
    <w:rsid w:val="00D77B55"/>
    <w:rsid w:val="00D800EE"/>
    <w:rsid w:val="00D8025D"/>
    <w:rsid w:val="00D81972"/>
    <w:rsid w:val="00D81A51"/>
    <w:rsid w:val="00D823B8"/>
    <w:rsid w:val="00D835B0"/>
    <w:rsid w:val="00D84290"/>
    <w:rsid w:val="00D843E5"/>
    <w:rsid w:val="00D84EED"/>
    <w:rsid w:val="00D851E7"/>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D08"/>
    <w:rsid w:val="00D96295"/>
    <w:rsid w:val="00D963E9"/>
    <w:rsid w:val="00D969F7"/>
    <w:rsid w:val="00D9718C"/>
    <w:rsid w:val="00D97EB1"/>
    <w:rsid w:val="00DA1248"/>
    <w:rsid w:val="00DA2199"/>
    <w:rsid w:val="00DA246D"/>
    <w:rsid w:val="00DA2CF8"/>
    <w:rsid w:val="00DA30AD"/>
    <w:rsid w:val="00DA30BC"/>
    <w:rsid w:val="00DA419F"/>
    <w:rsid w:val="00DA43B5"/>
    <w:rsid w:val="00DA549C"/>
    <w:rsid w:val="00DA625A"/>
    <w:rsid w:val="00DA6698"/>
    <w:rsid w:val="00DA6C05"/>
    <w:rsid w:val="00DB04EB"/>
    <w:rsid w:val="00DB0C96"/>
    <w:rsid w:val="00DB0CFD"/>
    <w:rsid w:val="00DB1B9F"/>
    <w:rsid w:val="00DB1FB0"/>
    <w:rsid w:val="00DB2166"/>
    <w:rsid w:val="00DB231F"/>
    <w:rsid w:val="00DB244A"/>
    <w:rsid w:val="00DB2636"/>
    <w:rsid w:val="00DB27FD"/>
    <w:rsid w:val="00DB31EE"/>
    <w:rsid w:val="00DB372F"/>
    <w:rsid w:val="00DB3F91"/>
    <w:rsid w:val="00DB412D"/>
    <w:rsid w:val="00DB4469"/>
    <w:rsid w:val="00DB44E5"/>
    <w:rsid w:val="00DB4E6C"/>
    <w:rsid w:val="00DB5B8B"/>
    <w:rsid w:val="00DB647B"/>
    <w:rsid w:val="00DB68BD"/>
    <w:rsid w:val="00DB6B9E"/>
    <w:rsid w:val="00DB6E3D"/>
    <w:rsid w:val="00DB7336"/>
    <w:rsid w:val="00DC04FE"/>
    <w:rsid w:val="00DC0882"/>
    <w:rsid w:val="00DC1444"/>
    <w:rsid w:val="00DC26B5"/>
    <w:rsid w:val="00DC2E39"/>
    <w:rsid w:val="00DC402C"/>
    <w:rsid w:val="00DC4322"/>
    <w:rsid w:val="00DC6715"/>
    <w:rsid w:val="00DD0641"/>
    <w:rsid w:val="00DD12FC"/>
    <w:rsid w:val="00DD299E"/>
    <w:rsid w:val="00DD3255"/>
    <w:rsid w:val="00DD4830"/>
    <w:rsid w:val="00DD4B58"/>
    <w:rsid w:val="00DD57A2"/>
    <w:rsid w:val="00DD5D2D"/>
    <w:rsid w:val="00DD5F0B"/>
    <w:rsid w:val="00DD60EB"/>
    <w:rsid w:val="00DD64A2"/>
    <w:rsid w:val="00DD65D2"/>
    <w:rsid w:val="00DD6767"/>
    <w:rsid w:val="00DD7339"/>
    <w:rsid w:val="00DE051F"/>
    <w:rsid w:val="00DE0E5C"/>
    <w:rsid w:val="00DE0F3C"/>
    <w:rsid w:val="00DE13EB"/>
    <w:rsid w:val="00DE1FCF"/>
    <w:rsid w:val="00DE39BD"/>
    <w:rsid w:val="00DE3D8D"/>
    <w:rsid w:val="00DE5DA1"/>
    <w:rsid w:val="00DE62AC"/>
    <w:rsid w:val="00DE70B5"/>
    <w:rsid w:val="00DE78CC"/>
    <w:rsid w:val="00DE7F70"/>
    <w:rsid w:val="00DF112A"/>
    <w:rsid w:val="00DF2226"/>
    <w:rsid w:val="00DF22A4"/>
    <w:rsid w:val="00DF4ED3"/>
    <w:rsid w:val="00DF4FB3"/>
    <w:rsid w:val="00DF608C"/>
    <w:rsid w:val="00DF6170"/>
    <w:rsid w:val="00DF666D"/>
    <w:rsid w:val="00DF679B"/>
    <w:rsid w:val="00DF71D1"/>
    <w:rsid w:val="00DF7CCE"/>
    <w:rsid w:val="00E003EF"/>
    <w:rsid w:val="00E0066B"/>
    <w:rsid w:val="00E007D5"/>
    <w:rsid w:val="00E010D7"/>
    <w:rsid w:val="00E015C0"/>
    <w:rsid w:val="00E01BA9"/>
    <w:rsid w:val="00E0245C"/>
    <w:rsid w:val="00E02B8F"/>
    <w:rsid w:val="00E0387D"/>
    <w:rsid w:val="00E03AE6"/>
    <w:rsid w:val="00E03E5E"/>
    <w:rsid w:val="00E049B3"/>
    <w:rsid w:val="00E074B0"/>
    <w:rsid w:val="00E07BCC"/>
    <w:rsid w:val="00E1075E"/>
    <w:rsid w:val="00E1089F"/>
    <w:rsid w:val="00E10CDE"/>
    <w:rsid w:val="00E10D53"/>
    <w:rsid w:val="00E11579"/>
    <w:rsid w:val="00E1303E"/>
    <w:rsid w:val="00E1397B"/>
    <w:rsid w:val="00E14184"/>
    <w:rsid w:val="00E14B5A"/>
    <w:rsid w:val="00E15ED6"/>
    <w:rsid w:val="00E161AD"/>
    <w:rsid w:val="00E162A9"/>
    <w:rsid w:val="00E16696"/>
    <w:rsid w:val="00E172D4"/>
    <w:rsid w:val="00E17633"/>
    <w:rsid w:val="00E20006"/>
    <w:rsid w:val="00E216E0"/>
    <w:rsid w:val="00E23733"/>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3FC0"/>
    <w:rsid w:val="00E34400"/>
    <w:rsid w:val="00E34404"/>
    <w:rsid w:val="00E345C7"/>
    <w:rsid w:val="00E34F50"/>
    <w:rsid w:val="00E362FF"/>
    <w:rsid w:val="00E36B43"/>
    <w:rsid w:val="00E40078"/>
    <w:rsid w:val="00E40638"/>
    <w:rsid w:val="00E40C46"/>
    <w:rsid w:val="00E40F06"/>
    <w:rsid w:val="00E40FD2"/>
    <w:rsid w:val="00E416AF"/>
    <w:rsid w:val="00E429F8"/>
    <w:rsid w:val="00E43AF7"/>
    <w:rsid w:val="00E44232"/>
    <w:rsid w:val="00E45589"/>
    <w:rsid w:val="00E45ED3"/>
    <w:rsid w:val="00E4632F"/>
    <w:rsid w:val="00E4717B"/>
    <w:rsid w:val="00E474D7"/>
    <w:rsid w:val="00E478B5"/>
    <w:rsid w:val="00E5023C"/>
    <w:rsid w:val="00E50799"/>
    <w:rsid w:val="00E508DC"/>
    <w:rsid w:val="00E508DE"/>
    <w:rsid w:val="00E518D6"/>
    <w:rsid w:val="00E52DCE"/>
    <w:rsid w:val="00E54091"/>
    <w:rsid w:val="00E54201"/>
    <w:rsid w:val="00E54382"/>
    <w:rsid w:val="00E558BD"/>
    <w:rsid w:val="00E55976"/>
    <w:rsid w:val="00E55B1E"/>
    <w:rsid w:val="00E565F7"/>
    <w:rsid w:val="00E569FB"/>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175"/>
    <w:rsid w:val="00E7023B"/>
    <w:rsid w:val="00E709C9"/>
    <w:rsid w:val="00E712BA"/>
    <w:rsid w:val="00E71430"/>
    <w:rsid w:val="00E72552"/>
    <w:rsid w:val="00E72B12"/>
    <w:rsid w:val="00E72E67"/>
    <w:rsid w:val="00E733FC"/>
    <w:rsid w:val="00E74A42"/>
    <w:rsid w:val="00E74E8B"/>
    <w:rsid w:val="00E75E32"/>
    <w:rsid w:val="00E762FB"/>
    <w:rsid w:val="00E76354"/>
    <w:rsid w:val="00E76E9A"/>
    <w:rsid w:val="00E76FE2"/>
    <w:rsid w:val="00E776F1"/>
    <w:rsid w:val="00E776FE"/>
    <w:rsid w:val="00E8060E"/>
    <w:rsid w:val="00E818AD"/>
    <w:rsid w:val="00E81A9D"/>
    <w:rsid w:val="00E8253E"/>
    <w:rsid w:val="00E82853"/>
    <w:rsid w:val="00E84365"/>
    <w:rsid w:val="00E84C1E"/>
    <w:rsid w:val="00E87103"/>
    <w:rsid w:val="00E8755E"/>
    <w:rsid w:val="00E9010C"/>
    <w:rsid w:val="00E901D2"/>
    <w:rsid w:val="00E91CDC"/>
    <w:rsid w:val="00E9322B"/>
    <w:rsid w:val="00E93349"/>
    <w:rsid w:val="00E9335B"/>
    <w:rsid w:val="00E93B26"/>
    <w:rsid w:val="00E94A41"/>
    <w:rsid w:val="00E9598B"/>
    <w:rsid w:val="00E96C70"/>
    <w:rsid w:val="00E97185"/>
    <w:rsid w:val="00EA18F6"/>
    <w:rsid w:val="00EA1E8F"/>
    <w:rsid w:val="00EA2519"/>
    <w:rsid w:val="00EA2C69"/>
    <w:rsid w:val="00EA2CCC"/>
    <w:rsid w:val="00EA3261"/>
    <w:rsid w:val="00EA433C"/>
    <w:rsid w:val="00EA437C"/>
    <w:rsid w:val="00EA4565"/>
    <w:rsid w:val="00EA4620"/>
    <w:rsid w:val="00EA4BA9"/>
    <w:rsid w:val="00EA4E69"/>
    <w:rsid w:val="00EA59A3"/>
    <w:rsid w:val="00EA618F"/>
    <w:rsid w:val="00EA7E0B"/>
    <w:rsid w:val="00EB0641"/>
    <w:rsid w:val="00EB0782"/>
    <w:rsid w:val="00EB091B"/>
    <w:rsid w:val="00EB1A2D"/>
    <w:rsid w:val="00EB26A6"/>
    <w:rsid w:val="00EB2771"/>
    <w:rsid w:val="00EB277A"/>
    <w:rsid w:val="00EB3826"/>
    <w:rsid w:val="00EB3F0E"/>
    <w:rsid w:val="00EB431C"/>
    <w:rsid w:val="00EB459B"/>
    <w:rsid w:val="00EB4BEA"/>
    <w:rsid w:val="00EB666E"/>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1F4"/>
    <w:rsid w:val="00EC6D95"/>
    <w:rsid w:val="00EC6E90"/>
    <w:rsid w:val="00EC7E06"/>
    <w:rsid w:val="00ED043A"/>
    <w:rsid w:val="00ED04E8"/>
    <w:rsid w:val="00ED0E42"/>
    <w:rsid w:val="00ED11E7"/>
    <w:rsid w:val="00ED1C21"/>
    <w:rsid w:val="00ED2038"/>
    <w:rsid w:val="00ED27D6"/>
    <w:rsid w:val="00ED2F93"/>
    <w:rsid w:val="00ED351B"/>
    <w:rsid w:val="00ED3880"/>
    <w:rsid w:val="00ED435A"/>
    <w:rsid w:val="00ED4796"/>
    <w:rsid w:val="00ED4B05"/>
    <w:rsid w:val="00ED5204"/>
    <w:rsid w:val="00ED55A4"/>
    <w:rsid w:val="00ED5A4A"/>
    <w:rsid w:val="00ED5F0D"/>
    <w:rsid w:val="00ED658F"/>
    <w:rsid w:val="00ED6DE6"/>
    <w:rsid w:val="00ED6EB3"/>
    <w:rsid w:val="00ED7555"/>
    <w:rsid w:val="00ED7CF8"/>
    <w:rsid w:val="00ED7D56"/>
    <w:rsid w:val="00EE081F"/>
    <w:rsid w:val="00EE0DA5"/>
    <w:rsid w:val="00EE33AB"/>
    <w:rsid w:val="00EE3466"/>
    <w:rsid w:val="00EE37AF"/>
    <w:rsid w:val="00EE388D"/>
    <w:rsid w:val="00EE3EC6"/>
    <w:rsid w:val="00EE48E2"/>
    <w:rsid w:val="00EE4B2E"/>
    <w:rsid w:val="00EE4CF9"/>
    <w:rsid w:val="00EE57B9"/>
    <w:rsid w:val="00EE69EC"/>
    <w:rsid w:val="00EE6BC6"/>
    <w:rsid w:val="00EE6C49"/>
    <w:rsid w:val="00EE70FD"/>
    <w:rsid w:val="00EE73C3"/>
    <w:rsid w:val="00EE766D"/>
    <w:rsid w:val="00EE79D6"/>
    <w:rsid w:val="00EE7DB6"/>
    <w:rsid w:val="00EF0CE8"/>
    <w:rsid w:val="00EF11A8"/>
    <w:rsid w:val="00EF1917"/>
    <w:rsid w:val="00EF2743"/>
    <w:rsid w:val="00EF27B3"/>
    <w:rsid w:val="00EF3024"/>
    <w:rsid w:val="00EF338F"/>
    <w:rsid w:val="00EF3FBC"/>
    <w:rsid w:val="00EF4D8F"/>
    <w:rsid w:val="00EF54DF"/>
    <w:rsid w:val="00EF5AEE"/>
    <w:rsid w:val="00EF6E8B"/>
    <w:rsid w:val="00EF6F97"/>
    <w:rsid w:val="00EF712C"/>
    <w:rsid w:val="00F00E4C"/>
    <w:rsid w:val="00F0138A"/>
    <w:rsid w:val="00F01629"/>
    <w:rsid w:val="00F0210F"/>
    <w:rsid w:val="00F028A6"/>
    <w:rsid w:val="00F02E97"/>
    <w:rsid w:val="00F02F91"/>
    <w:rsid w:val="00F037C9"/>
    <w:rsid w:val="00F03D03"/>
    <w:rsid w:val="00F046C1"/>
    <w:rsid w:val="00F0491B"/>
    <w:rsid w:val="00F04BC6"/>
    <w:rsid w:val="00F04C0F"/>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290"/>
    <w:rsid w:val="00F13779"/>
    <w:rsid w:val="00F13F2E"/>
    <w:rsid w:val="00F142CE"/>
    <w:rsid w:val="00F14F9E"/>
    <w:rsid w:val="00F15E81"/>
    <w:rsid w:val="00F168E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C74"/>
    <w:rsid w:val="00F26456"/>
    <w:rsid w:val="00F26845"/>
    <w:rsid w:val="00F26C00"/>
    <w:rsid w:val="00F26CA0"/>
    <w:rsid w:val="00F26F57"/>
    <w:rsid w:val="00F26F71"/>
    <w:rsid w:val="00F2730E"/>
    <w:rsid w:val="00F2799B"/>
    <w:rsid w:val="00F279C4"/>
    <w:rsid w:val="00F27D90"/>
    <w:rsid w:val="00F30187"/>
    <w:rsid w:val="00F30B32"/>
    <w:rsid w:val="00F3101C"/>
    <w:rsid w:val="00F31ED3"/>
    <w:rsid w:val="00F32493"/>
    <w:rsid w:val="00F32E45"/>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49DF"/>
    <w:rsid w:val="00F452A9"/>
    <w:rsid w:val="00F45D9E"/>
    <w:rsid w:val="00F47119"/>
    <w:rsid w:val="00F50EFE"/>
    <w:rsid w:val="00F51247"/>
    <w:rsid w:val="00F51471"/>
    <w:rsid w:val="00F51848"/>
    <w:rsid w:val="00F51FCE"/>
    <w:rsid w:val="00F52B27"/>
    <w:rsid w:val="00F5353D"/>
    <w:rsid w:val="00F539E0"/>
    <w:rsid w:val="00F54B1B"/>
    <w:rsid w:val="00F54CB2"/>
    <w:rsid w:val="00F5571C"/>
    <w:rsid w:val="00F559CB"/>
    <w:rsid w:val="00F5628F"/>
    <w:rsid w:val="00F56759"/>
    <w:rsid w:val="00F567B2"/>
    <w:rsid w:val="00F56BA3"/>
    <w:rsid w:val="00F56E44"/>
    <w:rsid w:val="00F57402"/>
    <w:rsid w:val="00F57431"/>
    <w:rsid w:val="00F579E5"/>
    <w:rsid w:val="00F607C0"/>
    <w:rsid w:val="00F60B46"/>
    <w:rsid w:val="00F61332"/>
    <w:rsid w:val="00F61852"/>
    <w:rsid w:val="00F62AF6"/>
    <w:rsid w:val="00F6306A"/>
    <w:rsid w:val="00F6336B"/>
    <w:rsid w:val="00F64040"/>
    <w:rsid w:val="00F64CB3"/>
    <w:rsid w:val="00F651CE"/>
    <w:rsid w:val="00F65B69"/>
    <w:rsid w:val="00F6760B"/>
    <w:rsid w:val="00F70333"/>
    <w:rsid w:val="00F705F9"/>
    <w:rsid w:val="00F70650"/>
    <w:rsid w:val="00F70A11"/>
    <w:rsid w:val="00F7117E"/>
    <w:rsid w:val="00F71397"/>
    <w:rsid w:val="00F715FA"/>
    <w:rsid w:val="00F721E8"/>
    <w:rsid w:val="00F73F27"/>
    <w:rsid w:val="00F74184"/>
    <w:rsid w:val="00F7437C"/>
    <w:rsid w:val="00F748EA"/>
    <w:rsid w:val="00F75C59"/>
    <w:rsid w:val="00F75EA8"/>
    <w:rsid w:val="00F7639B"/>
    <w:rsid w:val="00F76522"/>
    <w:rsid w:val="00F76A82"/>
    <w:rsid w:val="00F76B99"/>
    <w:rsid w:val="00F76DC3"/>
    <w:rsid w:val="00F7702E"/>
    <w:rsid w:val="00F81418"/>
    <w:rsid w:val="00F82B09"/>
    <w:rsid w:val="00F832CF"/>
    <w:rsid w:val="00F83A55"/>
    <w:rsid w:val="00F84945"/>
    <w:rsid w:val="00F84AA3"/>
    <w:rsid w:val="00F84E38"/>
    <w:rsid w:val="00F852D9"/>
    <w:rsid w:val="00F8597F"/>
    <w:rsid w:val="00F85A69"/>
    <w:rsid w:val="00F86751"/>
    <w:rsid w:val="00F869E3"/>
    <w:rsid w:val="00F86F57"/>
    <w:rsid w:val="00F86FFA"/>
    <w:rsid w:val="00F87493"/>
    <w:rsid w:val="00F90996"/>
    <w:rsid w:val="00F910BE"/>
    <w:rsid w:val="00F91130"/>
    <w:rsid w:val="00F91398"/>
    <w:rsid w:val="00F9166B"/>
    <w:rsid w:val="00F9214A"/>
    <w:rsid w:val="00F92C8C"/>
    <w:rsid w:val="00F9302A"/>
    <w:rsid w:val="00F93035"/>
    <w:rsid w:val="00F943B6"/>
    <w:rsid w:val="00F9493C"/>
    <w:rsid w:val="00F94A00"/>
    <w:rsid w:val="00F959B8"/>
    <w:rsid w:val="00F96CAE"/>
    <w:rsid w:val="00F97D78"/>
    <w:rsid w:val="00FA040D"/>
    <w:rsid w:val="00FA1672"/>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5406"/>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5D8"/>
    <w:rsid w:val="00FD19AE"/>
    <w:rsid w:val="00FD1DA1"/>
    <w:rsid w:val="00FD22B4"/>
    <w:rsid w:val="00FD27C1"/>
    <w:rsid w:val="00FD36E0"/>
    <w:rsid w:val="00FD3D5B"/>
    <w:rsid w:val="00FD413E"/>
    <w:rsid w:val="00FD4D47"/>
    <w:rsid w:val="00FD6382"/>
    <w:rsid w:val="00FD6919"/>
    <w:rsid w:val="00FD6C6F"/>
    <w:rsid w:val="00FD71B2"/>
    <w:rsid w:val="00FD72FC"/>
    <w:rsid w:val="00FE0A9E"/>
    <w:rsid w:val="00FE138C"/>
    <w:rsid w:val="00FE1517"/>
    <w:rsid w:val="00FE1626"/>
    <w:rsid w:val="00FE1709"/>
    <w:rsid w:val="00FE1A6C"/>
    <w:rsid w:val="00FE1B1A"/>
    <w:rsid w:val="00FE2619"/>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DFF"/>
    <w:rsid w:val="00FF55CE"/>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FCC5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97"/>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qFormat/>
    <w:rsid w:val="007A235D"/>
    <w:pPr>
      <w:spacing w:after="120"/>
    </w:pPr>
    <w:rPr>
      <w:sz w:val="22"/>
      <w:szCs w:val="20"/>
    </w:rPr>
  </w:style>
  <w:style w:type="character" w:styleId="FootnoteReference">
    <w:name w:val="footnote reference"/>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 w:type="character" w:styleId="PlaceholderText">
    <w:name w:val="Placeholder Text"/>
    <w:basedOn w:val="DefaultParagraphFont"/>
    <w:uiPriority w:val="99"/>
    <w:semiHidden/>
    <w:rsid w:val="00883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2016-02-26T08:00:00+00:00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F2D86-13A9-4743-927C-B211182581A5}"/>
</file>

<file path=customXml/itemProps2.xml><?xml version="1.0" encoding="utf-8"?>
<ds:datastoreItem xmlns:ds="http://schemas.openxmlformats.org/officeDocument/2006/customXml" ds:itemID="{2E6A7EB8-E2B7-404C-9C57-FC4D0E843601}"/>
</file>

<file path=customXml/itemProps3.xml><?xml version="1.0" encoding="utf-8"?>
<ds:datastoreItem xmlns:ds="http://schemas.openxmlformats.org/officeDocument/2006/customXml" ds:itemID="{C4A9514B-228C-4214-B83D-A5517EA1466E}"/>
</file>

<file path=customXml/itemProps4.xml><?xml version="1.0" encoding="utf-8"?>
<ds:datastoreItem xmlns:ds="http://schemas.openxmlformats.org/officeDocument/2006/customXml" ds:itemID="{7A278278-0213-432F-8646-ABDAB92B9A67}"/>
</file>

<file path=customXml/itemProps5.xml><?xml version="1.0" encoding="utf-8"?>
<ds:datastoreItem xmlns:ds="http://schemas.openxmlformats.org/officeDocument/2006/customXml" ds:itemID="{5A11BC79-797C-47C3-BA47-1E0B42B7FA74}"/>
</file>

<file path=docProps/app.xml><?xml version="1.0" encoding="utf-8"?>
<Properties xmlns="http://schemas.openxmlformats.org/officeDocument/2006/extended-properties" xmlns:vt="http://schemas.openxmlformats.org/officeDocument/2006/docPropsVTypes">
  <Template>Normal</Template>
  <TotalTime>0</TotalTime>
  <Pages>12</Pages>
  <Words>2941</Words>
  <Characters>16803</Characters>
  <Application>Microsoft Office Word</Application>
  <DocSecurity>0</DocSecurity>
  <Lines>140</Lines>
  <Paragraphs>39</Paragraphs>
  <ScaleCrop>false</ScaleCrop>
  <LinksUpToDate>false</LinksUpToDate>
  <CharactersWithSpaces>19705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2016-02-26T19:11:00Z</dcterms:created>
  <dcterms:modified xsi:type="dcterms:W3CDTF">2016-02-26T19:12:00Z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0x0101006E56B4D1795A2E4DB2F0B01679ED314A0006B97135DB884C4EB5B296BE111C958D</vt:lpwstr>
  </property>
  <property fmtid="{D5CDD505-2E9C-101B-9397-08002B2CF9AE}" pid="3" name="_docset_NoMedatataSyncRequired">
    <vt:lpwstr>False</vt:lpwstr>
  </property>
</Properties>
</file>