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Default="00234947" w:rsidP="00F264A9">
      <w:pPr>
        <w:pStyle w:val="NoSpacing"/>
      </w:pPr>
      <w:r>
        <w:rPr>
          <w:noProof/>
        </w:rPr>
        <w:drawing>
          <wp:anchor distT="0" distB="0" distL="114300" distR="114300" simplePos="0" relativeHeight="251659264" behindDoc="0" locked="0" layoutInCell="1" allowOverlap="1">
            <wp:simplePos x="0" y="0"/>
            <wp:positionH relativeFrom="column">
              <wp:posOffset>-942340</wp:posOffset>
            </wp:positionH>
            <wp:positionV relativeFrom="paragraph">
              <wp:posOffset>-991235</wp:posOffset>
            </wp:positionV>
            <wp:extent cx="7737475" cy="1723390"/>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7475" cy="1723390"/>
                    </a:xfrm>
                    <a:prstGeom prst="rect">
                      <a:avLst/>
                    </a:prstGeom>
                    <a:noFill/>
                    <a:ln w="9525">
                      <a:noFill/>
                      <a:miter lim="800000"/>
                      <a:headEnd/>
                      <a:tailEnd/>
                    </a:ln>
                  </pic:spPr>
                </pic:pic>
              </a:graphicData>
            </a:graphic>
          </wp:anchor>
        </w:drawing>
      </w:r>
    </w:p>
    <w:p w:rsidR="00C24B26" w:rsidRDefault="00C24B26" w:rsidP="00F264A9">
      <w:pPr>
        <w:pStyle w:val="NoSpacing"/>
      </w:pPr>
    </w:p>
    <w:p w:rsidR="00C24B26" w:rsidRDefault="00C24B26" w:rsidP="00F264A9">
      <w:pPr>
        <w:pStyle w:val="NoSpacing"/>
      </w:pPr>
    </w:p>
    <w:p w:rsidR="00C24B26" w:rsidRDefault="00C24B26" w:rsidP="00C24B26">
      <w:pPr>
        <w:pStyle w:val="NoSpacing"/>
        <w:jc w:val="both"/>
        <w:rPr>
          <w:rFonts w:ascii="Times New Roman" w:hAnsi="Times New Roman"/>
          <w:sz w:val="24"/>
          <w:szCs w:val="24"/>
        </w:rPr>
      </w:pPr>
    </w:p>
    <w:p w:rsidR="00816FFB" w:rsidRDefault="00816FFB" w:rsidP="00C24B26">
      <w:pPr>
        <w:pStyle w:val="NoSpacing"/>
        <w:jc w:val="both"/>
        <w:rPr>
          <w:rFonts w:ascii="Times New Roman" w:hAnsi="Times New Roman"/>
          <w:sz w:val="24"/>
          <w:szCs w:val="24"/>
        </w:rPr>
      </w:pPr>
    </w:p>
    <w:p w:rsidR="00816FFB" w:rsidRDefault="00816FFB" w:rsidP="00C24B26">
      <w:pPr>
        <w:pStyle w:val="NoSpacing"/>
        <w:jc w:val="both"/>
        <w:rPr>
          <w:rFonts w:ascii="Times New Roman" w:hAnsi="Times New Roman"/>
          <w:sz w:val="24"/>
          <w:szCs w:val="24"/>
        </w:rPr>
      </w:pPr>
    </w:p>
    <w:p w:rsidR="00C24B26" w:rsidRPr="00C24B26" w:rsidRDefault="00564E6C" w:rsidP="00C24B26">
      <w:pPr>
        <w:pStyle w:val="NoSpacing"/>
        <w:jc w:val="both"/>
        <w:rPr>
          <w:rFonts w:ascii="Times New Roman" w:hAnsi="Times New Roman"/>
          <w:sz w:val="24"/>
          <w:szCs w:val="24"/>
        </w:rPr>
      </w:pPr>
      <w:r>
        <w:rPr>
          <w:rFonts w:ascii="Times New Roman" w:hAnsi="Times New Roman"/>
          <w:sz w:val="24"/>
          <w:szCs w:val="24"/>
        </w:rPr>
        <w:t>June 27, 2011</w:t>
      </w:r>
    </w:p>
    <w:p w:rsidR="00C24B26" w:rsidRDefault="00C24B26" w:rsidP="00C24B26">
      <w:pPr>
        <w:pStyle w:val="NoSpacing"/>
        <w:jc w:val="both"/>
        <w:rPr>
          <w:rFonts w:ascii="Times New Roman" w:hAnsi="Times New Roman"/>
          <w:sz w:val="24"/>
          <w:szCs w:val="24"/>
        </w:rPr>
      </w:pPr>
    </w:p>
    <w:p w:rsidR="00C24B26" w:rsidRPr="00C24B26" w:rsidRDefault="00C24B26" w:rsidP="00C24B26">
      <w:pPr>
        <w:pStyle w:val="NoSpacing"/>
        <w:jc w:val="both"/>
        <w:rPr>
          <w:rFonts w:ascii="Times New Roman" w:hAnsi="Times New Roman"/>
          <w:sz w:val="24"/>
          <w:szCs w:val="24"/>
        </w:rPr>
      </w:pPr>
    </w:p>
    <w:p w:rsidR="00C24B26" w:rsidRPr="00816FFB" w:rsidRDefault="00C24B26" w:rsidP="00C24B26">
      <w:pPr>
        <w:pStyle w:val="NoSpacing"/>
        <w:jc w:val="both"/>
        <w:rPr>
          <w:rFonts w:ascii="Times New Roman" w:hAnsi="Times New Roman"/>
          <w:b/>
          <w:i/>
          <w:sz w:val="24"/>
          <w:szCs w:val="24"/>
        </w:rPr>
      </w:pPr>
      <w:r w:rsidRPr="00816FFB">
        <w:rPr>
          <w:rFonts w:ascii="Times New Roman" w:hAnsi="Times New Roman"/>
          <w:b/>
          <w:i/>
          <w:sz w:val="24"/>
          <w:szCs w:val="24"/>
        </w:rPr>
        <w:t>VIA: Electronic Mail</w:t>
      </w:r>
    </w:p>
    <w:p w:rsidR="00F264A9" w:rsidRPr="00C24B26" w:rsidRDefault="00F264A9" w:rsidP="00C24B26">
      <w:pPr>
        <w:pStyle w:val="NoSpacing"/>
        <w:jc w:val="both"/>
        <w:rPr>
          <w:rFonts w:ascii="Times New Roman" w:hAnsi="Times New Roman"/>
          <w:b/>
          <w:sz w:val="24"/>
          <w:szCs w:val="24"/>
          <w:u w:val="single"/>
        </w:rPr>
      </w:pP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David Danner</w:t>
      </w: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Executive Director</w:t>
      </w:r>
      <w:r w:rsidR="00AB52B6">
        <w:rPr>
          <w:rFonts w:ascii="Times New Roman" w:hAnsi="Times New Roman"/>
          <w:sz w:val="24"/>
          <w:szCs w:val="24"/>
        </w:rPr>
        <w:t xml:space="preserve"> and Secretary</w:t>
      </w: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Washington Utilities &amp; Transportation Commission</w:t>
      </w:r>
    </w:p>
    <w:p w:rsidR="00C24B26" w:rsidRPr="00C24B26" w:rsidRDefault="00C24B26" w:rsidP="00C24B26">
      <w:pPr>
        <w:spacing w:after="0" w:line="240" w:lineRule="auto"/>
        <w:jc w:val="both"/>
        <w:rPr>
          <w:rFonts w:ascii="Times New Roman" w:hAnsi="Times New Roman"/>
          <w:sz w:val="24"/>
          <w:szCs w:val="24"/>
        </w:rPr>
      </w:pPr>
      <w:proofErr w:type="gramStart"/>
      <w:r w:rsidRPr="00C24B26">
        <w:rPr>
          <w:rFonts w:ascii="Times New Roman" w:hAnsi="Times New Roman"/>
          <w:sz w:val="24"/>
          <w:szCs w:val="24"/>
        </w:rPr>
        <w:t>1300 S. Evergreen Park Drive S. W.</w:t>
      </w:r>
      <w:proofErr w:type="gramEnd"/>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P.O. Box 47250</w:t>
      </w:r>
    </w:p>
    <w:p w:rsidR="00C24B26" w:rsidRPr="00C24B26" w:rsidRDefault="00C24B26" w:rsidP="00C24B26">
      <w:pPr>
        <w:spacing w:after="0" w:line="240" w:lineRule="auto"/>
        <w:jc w:val="both"/>
        <w:rPr>
          <w:rFonts w:ascii="Times New Roman" w:hAnsi="Times New Roman"/>
          <w:sz w:val="24"/>
          <w:szCs w:val="24"/>
        </w:rPr>
      </w:pPr>
      <w:r w:rsidRPr="00C24B26">
        <w:rPr>
          <w:rFonts w:ascii="Times New Roman" w:hAnsi="Times New Roman"/>
          <w:sz w:val="24"/>
          <w:szCs w:val="24"/>
        </w:rPr>
        <w:t>Olympia, Washington  98504-7250</w:t>
      </w:r>
    </w:p>
    <w:p w:rsidR="00F264A9" w:rsidRPr="00C24B26" w:rsidRDefault="00F264A9" w:rsidP="00C24B26">
      <w:pPr>
        <w:pStyle w:val="NoSpacing"/>
        <w:jc w:val="both"/>
        <w:rPr>
          <w:rFonts w:ascii="Times New Roman" w:hAnsi="Times New Roman"/>
          <w:b/>
          <w:sz w:val="24"/>
          <w:szCs w:val="24"/>
          <w:u w:val="single"/>
        </w:rPr>
      </w:pPr>
    </w:p>
    <w:p w:rsidR="00506907" w:rsidRPr="00506907" w:rsidRDefault="00C24B26" w:rsidP="00506907">
      <w:pPr>
        <w:pStyle w:val="NoSpacing"/>
        <w:jc w:val="both"/>
        <w:rPr>
          <w:rFonts w:ascii="Times New Roman" w:hAnsi="Times New Roman"/>
          <w:sz w:val="24"/>
          <w:szCs w:val="24"/>
        </w:rPr>
      </w:pPr>
      <w:r w:rsidRPr="00C24B26">
        <w:rPr>
          <w:rFonts w:ascii="Times New Roman" w:hAnsi="Times New Roman"/>
          <w:sz w:val="24"/>
          <w:szCs w:val="24"/>
        </w:rPr>
        <w:t>Re:</w:t>
      </w:r>
      <w:r w:rsidRPr="00C24B26">
        <w:rPr>
          <w:rFonts w:ascii="Times New Roman" w:hAnsi="Times New Roman"/>
          <w:sz w:val="24"/>
          <w:szCs w:val="24"/>
        </w:rPr>
        <w:tab/>
      </w:r>
      <w:r w:rsidR="00CC539D">
        <w:rPr>
          <w:rFonts w:ascii="Times New Roman" w:hAnsi="Times New Roman"/>
          <w:sz w:val="24"/>
          <w:szCs w:val="24"/>
        </w:rPr>
        <w:t xml:space="preserve">Comments of Avista Utilities - </w:t>
      </w:r>
      <w:r w:rsidR="00506907" w:rsidRPr="00506907">
        <w:rPr>
          <w:rFonts w:ascii="Times New Roman" w:hAnsi="Times New Roman"/>
          <w:sz w:val="24"/>
          <w:szCs w:val="24"/>
        </w:rPr>
        <w:t>Docket No</w:t>
      </w:r>
      <w:r w:rsidR="00506907">
        <w:rPr>
          <w:rFonts w:ascii="Times New Roman" w:hAnsi="Times New Roman"/>
          <w:sz w:val="24"/>
          <w:szCs w:val="24"/>
        </w:rPr>
        <w:t>s</w:t>
      </w:r>
      <w:r w:rsidR="00506907" w:rsidRPr="00506907">
        <w:rPr>
          <w:rFonts w:ascii="Times New Roman" w:hAnsi="Times New Roman"/>
          <w:sz w:val="24"/>
          <w:szCs w:val="24"/>
        </w:rPr>
        <w:t>. UG-11079</w:t>
      </w:r>
      <w:r w:rsidR="00506907">
        <w:rPr>
          <w:rFonts w:ascii="Times New Roman" w:hAnsi="Times New Roman"/>
          <w:sz w:val="24"/>
          <w:szCs w:val="24"/>
        </w:rPr>
        <w:t>0 and</w:t>
      </w:r>
      <w:r w:rsidR="00506907" w:rsidRPr="00506907">
        <w:rPr>
          <w:rFonts w:ascii="Times New Roman" w:hAnsi="Times New Roman"/>
          <w:sz w:val="24"/>
          <w:szCs w:val="24"/>
        </w:rPr>
        <w:t xml:space="preserve"> UE-100176</w:t>
      </w:r>
      <w:r w:rsidR="00506907">
        <w:rPr>
          <w:rFonts w:ascii="Times New Roman" w:hAnsi="Times New Roman"/>
          <w:sz w:val="24"/>
          <w:szCs w:val="24"/>
        </w:rPr>
        <w:t xml:space="preserve"> </w:t>
      </w:r>
    </w:p>
    <w:p w:rsidR="00C24B26" w:rsidRPr="00C24B26" w:rsidRDefault="00C24B26" w:rsidP="00564E6C">
      <w:pPr>
        <w:pStyle w:val="NoSpacing"/>
        <w:jc w:val="both"/>
        <w:rPr>
          <w:rFonts w:ascii="Times New Roman" w:hAnsi="Times New Roman"/>
          <w:sz w:val="24"/>
          <w:szCs w:val="24"/>
        </w:rPr>
      </w:pPr>
    </w:p>
    <w:p w:rsidR="00C24B26" w:rsidRPr="00C24B26" w:rsidRDefault="00C24B26" w:rsidP="00564E6C">
      <w:pPr>
        <w:pStyle w:val="NoSpacing"/>
        <w:jc w:val="both"/>
        <w:rPr>
          <w:rFonts w:ascii="Times New Roman" w:hAnsi="Times New Roman"/>
          <w:sz w:val="24"/>
          <w:szCs w:val="24"/>
        </w:rPr>
      </w:pPr>
      <w:r w:rsidRPr="00C24B26">
        <w:rPr>
          <w:rFonts w:ascii="Times New Roman" w:hAnsi="Times New Roman"/>
          <w:sz w:val="24"/>
          <w:szCs w:val="24"/>
        </w:rPr>
        <w:t>Dear Mr. Danner,</w:t>
      </w:r>
    </w:p>
    <w:p w:rsidR="008E4931" w:rsidRDefault="008E4931" w:rsidP="00564E6C">
      <w:pPr>
        <w:pStyle w:val="NoSpacing"/>
        <w:jc w:val="both"/>
        <w:rPr>
          <w:rFonts w:ascii="Times New Roman" w:hAnsi="Times New Roman"/>
          <w:b/>
          <w:sz w:val="24"/>
          <w:szCs w:val="24"/>
          <w:u w:val="single"/>
        </w:rPr>
      </w:pPr>
    </w:p>
    <w:p w:rsidR="00564E6C" w:rsidRPr="001C54C0" w:rsidRDefault="001C3719" w:rsidP="00506907">
      <w:pPr>
        <w:pStyle w:val="NoSpacing"/>
        <w:ind w:firstLine="720"/>
        <w:jc w:val="both"/>
        <w:rPr>
          <w:rFonts w:ascii="Times New Roman" w:hAnsi="Times New Roman"/>
          <w:sz w:val="24"/>
          <w:szCs w:val="24"/>
        </w:rPr>
      </w:pPr>
      <w:r>
        <w:rPr>
          <w:rFonts w:ascii="Times New Roman" w:hAnsi="Times New Roman"/>
          <w:sz w:val="24"/>
          <w:szCs w:val="24"/>
        </w:rPr>
        <w:t xml:space="preserve">This </w:t>
      </w:r>
      <w:r w:rsidR="00A61E38">
        <w:rPr>
          <w:rFonts w:ascii="Times New Roman" w:hAnsi="Times New Roman"/>
          <w:sz w:val="24"/>
          <w:szCs w:val="24"/>
        </w:rPr>
        <w:t xml:space="preserve">response </w:t>
      </w:r>
      <w:r>
        <w:rPr>
          <w:rFonts w:ascii="Times New Roman" w:hAnsi="Times New Roman"/>
          <w:sz w:val="24"/>
          <w:szCs w:val="24"/>
        </w:rPr>
        <w:t>is</w:t>
      </w:r>
      <w:r w:rsidR="00564E6C" w:rsidRPr="001C54C0">
        <w:rPr>
          <w:rFonts w:ascii="Times New Roman" w:hAnsi="Times New Roman"/>
          <w:sz w:val="24"/>
          <w:szCs w:val="24"/>
        </w:rPr>
        <w:t xml:space="preserve"> provided in </w:t>
      </w:r>
      <w:r w:rsidR="00A61E38">
        <w:rPr>
          <w:rFonts w:ascii="Times New Roman" w:hAnsi="Times New Roman"/>
          <w:sz w:val="24"/>
          <w:szCs w:val="24"/>
        </w:rPr>
        <w:t>reply</w:t>
      </w:r>
      <w:r w:rsidR="00564E6C" w:rsidRPr="001C54C0">
        <w:rPr>
          <w:rFonts w:ascii="Times New Roman" w:hAnsi="Times New Roman"/>
          <w:sz w:val="24"/>
          <w:szCs w:val="24"/>
        </w:rPr>
        <w:t xml:space="preserve"> to Public Counsel’s comments in the above-cited docket</w:t>
      </w:r>
      <w:r w:rsidR="00A61E38">
        <w:rPr>
          <w:rFonts w:ascii="Times New Roman" w:hAnsi="Times New Roman"/>
          <w:sz w:val="24"/>
          <w:szCs w:val="24"/>
        </w:rPr>
        <w:t>s</w:t>
      </w:r>
      <w:r w:rsidR="00564E6C" w:rsidRPr="001C54C0">
        <w:rPr>
          <w:rFonts w:ascii="Times New Roman" w:hAnsi="Times New Roman"/>
          <w:sz w:val="24"/>
          <w:szCs w:val="24"/>
        </w:rPr>
        <w:t xml:space="preserve">. </w:t>
      </w:r>
      <w:r w:rsidR="00A61E38">
        <w:rPr>
          <w:rFonts w:ascii="Times New Roman" w:hAnsi="Times New Roman"/>
          <w:sz w:val="24"/>
          <w:szCs w:val="24"/>
        </w:rPr>
        <w:t xml:space="preserve"> Generally</w:t>
      </w:r>
      <w:r w:rsidR="00564E6C" w:rsidRPr="001C54C0">
        <w:rPr>
          <w:rFonts w:ascii="Times New Roman" w:hAnsi="Times New Roman"/>
          <w:sz w:val="24"/>
          <w:szCs w:val="24"/>
        </w:rPr>
        <w:t xml:space="preserve"> </w:t>
      </w:r>
      <w:r w:rsidR="00A61E38">
        <w:rPr>
          <w:rFonts w:ascii="Times New Roman" w:hAnsi="Times New Roman"/>
          <w:sz w:val="24"/>
          <w:szCs w:val="24"/>
        </w:rPr>
        <w:t xml:space="preserve">Avista does not </w:t>
      </w:r>
      <w:r w:rsidR="00564E6C" w:rsidRPr="001C54C0">
        <w:rPr>
          <w:rFonts w:ascii="Times New Roman" w:hAnsi="Times New Roman"/>
          <w:sz w:val="24"/>
          <w:szCs w:val="24"/>
        </w:rPr>
        <w:t>submit reply comments in advance of an Open Meeting</w:t>
      </w:r>
      <w:r w:rsidR="000B65F7">
        <w:rPr>
          <w:rFonts w:ascii="Times New Roman" w:hAnsi="Times New Roman"/>
          <w:sz w:val="24"/>
          <w:szCs w:val="24"/>
        </w:rPr>
        <w:t>,</w:t>
      </w:r>
      <w:r w:rsidR="00564E6C" w:rsidRPr="001C54C0">
        <w:rPr>
          <w:rFonts w:ascii="Times New Roman" w:hAnsi="Times New Roman"/>
          <w:sz w:val="24"/>
          <w:szCs w:val="24"/>
        </w:rPr>
        <w:t xml:space="preserve"> </w:t>
      </w:r>
      <w:r w:rsidR="00450375">
        <w:rPr>
          <w:rFonts w:ascii="Times New Roman" w:hAnsi="Times New Roman"/>
          <w:sz w:val="24"/>
          <w:szCs w:val="24"/>
        </w:rPr>
        <w:t>h</w:t>
      </w:r>
      <w:r w:rsidR="00564E6C" w:rsidRPr="001C54C0">
        <w:rPr>
          <w:rFonts w:ascii="Times New Roman" w:hAnsi="Times New Roman"/>
          <w:sz w:val="24"/>
          <w:szCs w:val="24"/>
        </w:rPr>
        <w:t xml:space="preserve">owever the Company wants to be clear about </w:t>
      </w:r>
      <w:r w:rsidR="00A61E38">
        <w:rPr>
          <w:rFonts w:ascii="Times New Roman" w:hAnsi="Times New Roman"/>
          <w:sz w:val="24"/>
          <w:szCs w:val="24"/>
        </w:rPr>
        <w:t>the</w:t>
      </w:r>
      <w:r w:rsidR="00564E6C" w:rsidRPr="001C54C0">
        <w:rPr>
          <w:rFonts w:ascii="Times New Roman" w:hAnsi="Times New Roman"/>
          <w:sz w:val="24"/>
          <w:szCs w:val="24"/>
        </w:rPr>
        <w:t xml:space="preserve"> is</w:t>
      </w:r>
      <w:r w:rsidR="00A61E38">
        <w:rPr>
          <w:rFonts w:ascii="Times New Roman" w:hAnsi="Times New Roman"/>
          <w:sz w:val="24"/>
          <w:szCs w:val="24"/>
        </w:rPr>
        <w:t>sues, and their foundation, present in these</w:t>
      </w:r>
      <w:r w:rsidR="00564E6C" w:rsidRPr="001C54C0">
        <w:rPr>
          <w:rFonts w:ascii="Times New Roman" w:hAnsi="Times New Roman"/>
          <w:sz w:val="24"/>
          <w:szCs w:val="24"/>
        </w:rPr>
        <w:t xml:space="preserve"> docket</w:t>
      </w:r>
      <w:r w:rsidR="00A61E38">
        <w:rPr>
          <w:rFonts w:ascii="Times New Roman" w:hAnsi="Times New Roman"/>
          <w:sz w:val="24"/>
          <w:szCs w:val="24"/>
        </w:rPr>
        <w:t>s</w:t>
      </w:r>
      <w:r w:rsidR="00564E6C" w:rsidRPr="001C54C0">
        <w:rPr>
          <w:rFonts w:ascii="Times New Roman" w:hAnsi="Times New Roman"/>
          <w:sz w:val="24"/>
          <w:szCs w:val="24"/>
        </w:rPr>
        <w:t>.</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As required by Order No. 01 in Dock</w:t>
      </w:r>
      <w:r w:rsidR="00817A97">
        <w:rPr>
          <w:rFonts w:ascii="Times New Roman" w:hAnsi="Times New Roman"/>
          <w:sz w:val="24"/>
          <w:szCs w:val="24"/>
        </w:rPr>
        <w:t>et No. UE-100176 at paragraph 64</w:t>
      </w:r>
      <w:r w:rsidRPr="001C54C0">
        <w:rPr>
          <w:rFonts w:ascii="Times New Roman" w:hAnsi="Times New Roman"/>
          <w:sz w:val="24"/>
          <w:szCs w:val="24"/>
        </w:rPr>
        <w:t>, on April 29</w:t>
      </w:r>
      <w:r w:rsidR="00727984">
        <w:rPr>
          <w:rFonts w:ascii="Times New Roman" w:hAnsi="Times New Roman"/>
          <w:sz w:val="24"/>
          <w:szCs w:val="24"/>
        </w:rPr>
        <w:t>, 2011</w:t>
      </w:r>
      <w:r w:rsidRPr="001C54C0">
        <w:rPr>
          <w:rFonts w:ascii="Times New Roman" w:hAnsi="Times New Roman"/>
          <w:sz w:val="24"/>
          <w:szCs w:val="24"/>
        </w:rPr>
        <w:t xml:space="preserve"> Avista filed proposed revisions to our natural gas DSM tariff rider (Schedule 191) and stated that no change </w:t>
      </w:r>
      <w:r w:rsidR="00450375">
        <w:rPr>
          <w:rFonts w:ascii="Times New Roman" w:hAnsi="Times New Roman"/>
          <w:sz w:val="24"/>
          <w:szCs w:val="24"/>
        </w:rPr>
        <w:t>would be</w:t>
      </w:r>
      <w:r w:rsidR="00450375" w:rsidRPr="001C54C0">
        <w:rPr>
          <w:rFonts w:ascii="Times New Roman" w:hAnsi="Times New Roman"/>
          <w:sz w:val="24"/>
          <w:szCs w:val="24"/>
        </w:rPr>
        <w:t xml:space="preserve"> </w:t>
      </w:r>
      <w:r w:rsidRPr="001C54C0">
        <w:rPr>
          <w:rFonts w:ascii="Times New Roman" w:hAnsi="Times New Roman"/>
          <w:sz w:val="24"/>
          <w:szCs w:val="24"/>
        </w:rPr>
        <w:t xml:space="preserve">proposed </w:t>
      </w:r>
      <w:r w:rsidR="00816FFB">
        <w:rPr>
          <w:rFonts w:ascii="Times New Roman" w:hAnsi="Times New Roman"/>
          <w:sz w:val="24"/>
          <w:szCs w:val="24"/>
        </w:rPr>
        <w:t>to</w:t>
      </w:r>
      <w:r w:rsidRPr="001C54C0">
        <w:rPr>
          <w:rFonts w:ascii="Times New Roman" w:hAnsi="Times New Roman"/>
          <w:sz w:val="24"/>
          <w:szCs w:val="24"/>
        </w:rPr>
        <w:t xml:space="preserve"> our electric DSM tariff rider (Schedule 91).</w:t>
      </w:r>
      <w:r w:rsidRPr="001C54C0">
        <w:rPr>
          <w:rStyle w:val="FootnoteReference"/>
          <w:rFonts w:ascii="Times New Roman" w:hAnsi="Times New Roman"/>
          <w:sz w:val="24"/>
          <w:szCs w:val="24"/>
        </w:rPr>
        <w:footnoteReference w:id="1"/>
      </w:r>
      <w:r w:rsidRPr="001C54C0">
        <w:rPr>
          <w:rFonts w:ascii="Times New Roman" w:hAnsi="Times New Roman"/>
          <w:sz w:val="24"/>
          <w:szCs w:val="24"/>
        </w:rPr>
        <w:t xml:space="preserve">   For Schedule 191, the Company proposed an overall (i.e., total </w:t>
      </w:r>
      <w:r w:rsidR="00450375">
        <w:rPr>
          <w:rFonts w:ascii="Times New Roman" w:hAnsi="Times New Roman"/>
          <w:sz w:val="24"/>
          <w:szCs w:val="24"/>
        </w:rPr>
        <w:t>billed</w:t>
      </w:r>
      <w:r w:rsidR="00450375" w:rsidRPr="001C54C0">
        <w:rPr>
          <w:rFonts w:ascii="Times New Roman" w:hAnsi="Times New Roman"/>
          <w:sz w:val="24"/>
          <w:szCs w:val="24"/>
        </w:rPr>
        <w:t xml:space="preserve"> </w:t>
      </w:r>
      <w:r w:rsidRPr="001C54C0">
        <w:rPr>
          <w:rFonts w:ascii="Times New Roman" w:hAnsi="Times New Roman"/>
          <w:sz w:val="24"/>
          <w:szCs w:val="24"/>
        </w:rPr>
        <w:t xml:space="preserve">rate) reduction of </w:t>
      </w:r>
      <w:r w:rsidRPr="00450375">
        <w:rPr>
          <w:rFonts w:ascii="Times New Roman" w:hAnsi="Times New Roman"/>
          <w:sz w:val="24"/>
          <w:szCs w:val="24"/>
        </w:rPr>
        <w:t>2.</w:t>
      </w:r>
      <w:r w:rsidR="00450375">
        <w:rPr>
          <w:rFonts w:ascii="Times New Roman" w:hAnsi="Times New Roman"/>
          <w:sz w:val="24"/>
          <w:szCs w:val="24"/>
        </w:rPr>
        <w:t>9</w:t>
      </w:r>
      <w:r w:rsidRPr="00450375">
        <w:rPr>
          <w:rFonts w:ascii="Times New Roman" w:hAnsi="Times New Roman"/>
          <w:sz w:val="24"/>
          <w:szCs w:val="24"/>
        </w:rPr>
        <w:t>%</w:t>
      </w:r>
      <w:r w:rsidR="00387B3E" w:rsidRPr="00450375">
        <w:rPr>
          <w:rFonts w:ascii="Times New Roman" w:hAnsi="Times New Roman"/>
          <w:sz w:val="24"/>
          <w:szCs w:val="24"/>
        </w:rPr>
        <w:t>.</w:t>
      </w:r>
      <w:r w:rsidR="00387B3E">
        <w:rPr>
          <w:rFonts w:ascii="Times New Roman" w:hAnsi="Times New Roman"/>
          <w:sz w:val="24"/>
          <w:szCs w:val="24"/>
        </w:rPr>
        <w:t xml:space="preserve">  </w:t>
      </w:r>
      <w:r w:rsidR="00727984">
        <w:rPr>
          <w:rFonts w:ascii="Times New Roman" w:hAnsi="Times New Roman"/>
          <w:sz w:val="24"/>
          <w:szCs w:val="24"/>
        </w:rPr>
        <w:t xml:space="preserve">On </w:t>
      </w:r>
      <w:r w:rsidR="004E7A83" w:rsidRPr="004E7A83">
        <w:rPr>
          <w:rFonts w:ascii="Times New Roman" w:hAnsi="Times New Roman"/>
          <w:sz w:val="24"/>
          <w:szCs w:val="24"/>
        </w:rPr>
        <w:t>May 25, 2011</w:t>
      </w:r>
      <w:r w:rsidR="00727984">
        <w:rPr>
          <w:rFonts w:ascii="Times New Roman" w:hAnsi="Times New Roman"/>
          <w:sz w:val="24"/>
          <w:szCs w:val="24"/>
        </w:rPr>
        <w:t>, the C</w:t>
      </w:r>
      <w:r w:rsidR="004E7A83" w:rsidRPr="004E7A83">
        <w:rPr>
          <w:rFonts w:ascii="Times New Roman" w:hAnsi="Times New Roman"/>
          <w:sz w:val="24"/>
          <w:szCs w:val="24"/>
        </w:rPr>
        <w:t>ompany filed a substitute cover letter and tariff page</w:t>
      </w:r>
      <w:r w:rsidR="00727984">
        <w:rPr>
          <w:rStyle w:val="FootnoteReference"/>
          <w:szCs w:val="24"/>
        </w:rPr>
        <w:footnoteReference w:id="2"/>
      </w:r>
      <w:r w:rsidR="00727984">
        <w:rPr>
          <w:szCs w:val="24"/>
        </w:rPr>
        <w:t xml:space="preserve"> </w:t>
      </w:r>
      <w:r w:rsidR="00727984">
        <w:rPr>
          <w:rFonts w:ascii="Times New Roman" w:hAnsi="Times New Roman"/>
          <w:sz w:val="24"/>
          <w:szCs w:val="24"/>
        </w:rPr>
        <w:t>that</w:t>
      </w:r>
      <w:r w:rsidR="00450375">
        <w:rPr>
          <w:rFonts w:ascii="Times New Roman" w:hAnsi="Times New Roman"/>
          <w:sz w:val="24"/>
          <w:szCs w:val="24"/>
        </w:rPr>
        <w:t xml:space="preserve"> proposed an overall rate reduction of 2.0%. </w:t>
      </w:r>
      <w:r w:rsidR="00387B3E">
        <w:rPr>
          <w:rFonts w:ascii="Times New Roman" w:hAnsi="Times New Roman"/>
          <w:sz w:val="24"/>
          <w:szCs w:val="24"/>
        </w:rPr>
        <w:t xml:space="preserve">The background for this </w:t>
      </w:r>
      <w:r w:rsidR="0086157C">
        <w:rPr>
          <w:rFonts w:ascii="Times New Roman" w:hAnsi="Times New Roman"/>
          <w:sz w:val="24"/>
          <w:szCs w:val="24"/>
        </w:rPr>
        <w:t xml:space="preserve">reduction </w:t>
      </w:r>
      <w:r w:rsidR="00387B3E">
        <w:rPr>
          <w:rFonts w:ascii="Times New Roman" w:hAnsi="Times New Roman"/>
          <w:sz w:val="24"/>
          <w:szCs w:val="24"/>
        </w:rPr>
        <w:t>has</w:t>
      </w:r>
      <w:r w:rsidRPr="001C54C0">
        <w:rPr>
          <w:rFonts w:ascii="Times New Roman" w:hAnsi="Times New Roman"/>
          <w:sz w:val="24"/>
          <w:szCs w:val="24"/>
        </w:rPr>
        <w:t xml:space="preserve"> been well-chronicled </w:t>
      </w:r>
      <w:r w:rsidR="00450375">
        <w:rPr>
          <w:rFonts w:ascii="Times New Roman" w:hAnsi="Times New Roman"/>
          <w:sz w:val="24"/>
          <w:szCs w:val="24"/>
        </w:rPr>
        <w:t>with</w:t>
      </w:r>
      <w:r w:rsidRPr="001C54C0">
        <w:rPr>
          <w:rFonts w:ascii="Times New Roman" w:hAnsi="Times New Roman"/>
          <w:sz w:val="24"/>
          <w:szCs w:val="24"/>
        </w:rPr>
        <w:t xml:space="preserve">in this docket.  The Company </w:t>
      </w:r>
      <w:r w:rsidR="0086157C">
        <w:rPr>
          <w:rFonts w:ascii="Times New Roman" w:hAnsi="Times New Roman"/>
          <w:sz w:val="24"/>
          <w:szCs w:val="24"/>
        </w:rPr>
        <w:t xml:space="preserve">did not </w:t>
      </w:r>
      <w:r w:rsidRPr="001C54C0">
        <w:rPr>
          <w:rFonts w:ascii="Times New Roman" w:hAnsi="Times New Roman"/>
          <w:sz w:val="24"/>
          <w:szCs w:val="24"/>
        </w:rPr>
        <w:t>propose to file Schedule 91</w:t>
      </w:r>
      <w:r w:rsidR="0086157C">
        <w:rPr>
          <w:rFonts w:ascii="Times New Roman" w:hAnsi="Times New Roman"/>
          <w:sz w:val="24"/>
          <w:szCs w:val="24"/>
        </w:rPr>
        <w:t>,</w:t>
      </w:r>
      <w:r w:rsidR="0086157C" w:rsidRPr="001C54C0">
        <w:rPr>
          <w:rFonts w:ascii="Times New Roman" w:hAnsi="Times New Roman"/>
          <w:sz w:val="24"/>
          <w:szCs w:val="24"/>
        </w:rPr>
        <w:t xml:space="preserve"> </w:t>
      </w:r>
      <w:r w:rsidRPr="001C54C0">
        <w:rPr>
          <w:rFonts w:ascii="Times New Roman" w:hAnsi="Times New Roman"/>
          <w:sz w:val="24"/>
          <w:szCs w:val="24"/>
        </w:rPr>
        <w:t>our electric DSM tariff rider</w:t>
      </w:r>
      <w:r w:rsidR="0086157C">
        <w:rPr>
          <w:rFonts w:ascii="Times New Roman" w:hAnsi="Times New Roman"/>
          <w:sz w:val="24"/>
          <w:szCs w:val="24"/>
        </w:rPr>
        <w:t>,</w:t>
      </w:r>
      <w:r w:rsidRPr="001C54C0">
        <w:rPr>
          <w:rFonts w:ascii="Times New Roman" w:hAnsi="Times New Roman"/>
          <w:sz w:val="24"/>
          <w:szCs w:val="24"/>
        </w:rPr>
        <w:t xml:space="preserve"> because we project that this rate can reasonably be expected to provide adequate revenue for twelve months of electric DSM operations.</w:t>
      </w:r>
      <w:r w:rsidRPr="001C54C0">
        <w:rPr>
          <w:rStyle w:val="FootnoteReference"/>
          <w:rFonts w:ascii="Times New Roman" w:hAnsi="Times New Roman"/>
          <w:sz w:val="24"/>
          <w:szCs w:val="24"/>
        </w:rPr>
        <w:footnoteReference w:id="3"/>
      </w:r>
      <w:r w:rsidRPr="001C54C0">
        <w:rPr>
          <w:rFonts w:ascii="Times New Roman" w:hAnsi="Times New Roman"/>
          <w:sz w:val="24"/>
          <w:szCs w:val="24"/>
        </w:rPr>
        <w:t xml:space="preserve">  We understand that no party is contesting approval of</w:t>
      </w:r>
      <w:r w:rsidR="00387B3E">
        <w:rPr>
          <w:rFonts w:ascii="Times New Roman" w:hAnsi="Times New Roman"/>
          <w:sz w:val="24"/>
          <w:szCs w:val="24"/>
        </w:rPr>
        <w:t xml:space="preserve"> the reduction to Schedule 191 </w:t>
      </w:r>
      <w:r w:rsidRPr="001C54C0">
        <w:rPr>
          <w:rFonts w:ascii="Times New Roman" w:hAnsi="Times New Roman"/>
          <w:sz w:val="24"/>
          <w:szCs w:val="24"/>
        </w:rPr>
        <w:t xml:space="preserve">or </w:t>
      </w:r>
      <w:r w:rsidR="00387B3E">
        <w:rPr>
          <w:rFonts w:ascii="Times New Roman" w:hAnsi="Times New Roman"/>
          <w:sz w:val="24"/>
          <w:szCs w:val="24"/>
        </w:rPr>
        <w:t>disagrees with</w:t>
      </w:r>
      <w:r w:rsidRPr="001C54C0">
        <w:rPr>
          <w:rFonts w:ascii="Times New Roman" w:hAnsi="Times New Roman"/>
          <w:sz w:val="24"/>
          <w:szCs w:val="24"/>
        </w:rPr>
        <w:t xml:space="preserve"> our recommendation (not before the Commission at this time for action) that Schedule </w:t>
      </w:r>
      <w:r w:rsidR="00B960F3">
        <w:rPr>
          <w:rFonts w:ascii="Times New Roman" w:hAnsi="Times New Roman"/>
          <w:sz w:val="24"/>
          <w:szCs w:val="24"/>
        </w:rPr>
        <w:t>91 remain</w:t>
      </w:r>
      <w:r w:rsidRPr="001C54C0">
        <w:rPr>
          <w:rFonts w:ascii="Times New Roman" w:hAnsi="Times New Roman"/>
          <w:sz w:val="24"/>
          <w:szCs w:val="24"/>
        </w:rPr>
        <w:t xml:space="preserve"> unchanged.</w:t>
      </w:r>
    </w:p>
    <w:p w:rsidR="00564E6C" w:rsidRPr="001C54C0" w:rsidRDefault="00564E6C" w:rsidP="00564E6C">
      <w:pPr>
        <w:pStyle w:val="NoSpacing"/>
        <w:jc w:val="both"/>
        <w:rPr>
          <w:rFonts w:ascii="Times New Roman" w:hAnsi="Times New Roman"/>
          <w:sz w:val="24"/>
          <w:szCs w:val="24"/>
        </w:rPr>
      </w:pPr>
    </w:p>
    <w:p w:rsidR="00564E6C" w:rsidRPr="001C54C0" w:rsidRDefault="00B960F3" w:rsidP="00506907">
      <w:pPr>
        <w:pStyle w:val="NoSpacing"/>
        <w:ind w:firstLine="720"/>
        <w:jc w:val="both"/>
        <w:rPr>
          <w:rFonts w:ascii="Times New Roman" w:hAnsi="Times New Roman"/>
          <w:sz w:val="24"/>
          <w:szCs w:val="24"/>
        </w:rPr>
      </w:pPr>
      <w:r w:rsidRPr="001C54C0">
        <w:rPr>
          <w:rFonts w:ascii="Times New Roman" w:hAnsi="Times New Roman"/>
          <w:sz w:val="24"/>
          <w:szCs w:val="24"/>
        </w:rPr>
        <w:lastRenderedPageBreak/>
        <w:t>Avista’s reply comments are directed to two issues</w:t>
      </w:r>
      <w:r>
        <w:rPr>
          <w:rFonts w:ascii="Times New Roman" w:hAnsi="Times New Roman"/>
          <w:sz w:val="24"/>
          <w:szCs w:val="24"/>
        </w:rPr>
        <w:t xml:space="preserve"> raised by </w:t>
      </w:r>
      <w:r w:rsidR="00564E6C" w:rsidRPr="001C54C0">
        <w:rPr>
          <w:rFonts w:ascii="Times New Roman" w:hAnsi="Times New Roman"/>
          <w:sz w:val="24"/>
          <w:szCs w:val="24"/>
        </w:rPr>
        <w:t>P</w:t>
      </w:r>
      <w:r>
        <w:rPr>
          <w:rFonts w:ascii="Times New Roman" w:hAnsi="Times New Roman"/>
          <w:sz w:val="24"/>
          <w:szCs w:val="24"/>
        </w:rPr>
        <w:t>ublic Counsel:</w:t>
      </w:r>
      <w:r w:rsidR="00564E6C" w:rsidRPr="001C54C0">
        <w:rPr>
          <w:rFonts w:ascii="Times New Roman" w:hAnsi="Times New Roman"/>
          <w:sz w:val="24"/>
          <w:szCs w:val="24"/>
        </w:rPr>
        <w:t xml:space="preserve"> Av</w:t>
      </w:r>
      <w:r w:rsidR="00387B3E">
        <w:rPr>
          <w:rFonts w:ascii="Times New Roman" w:hAnsi="Times New Roman"/>
          <w:sz w:val="24"/>
          <w:szCs w:val="24"/>
        </w:rPr>
        <w:t xml:space="preserve">ista’s Compact Fluorescent </w:t>
      </w:r>
      <w:r w:rsidR="001C478B">
        <w:rPr>
          <w:rFonts w:ascii="Times New Roman" w:hAnsi="Times New Roman"/>
          <w:sz w:val="24"/>
          <w:szCs w:val="24"/>
        </w:rPr>
        <w:t>Lamp</w:t>
      </w:r>
      <w:r w:rsidR="00564E6C" w:rsidRPr="001C54C0">
        <w:rPr>
          <w:rFonts w:ascii="Times New Roman" w:hAnsi="Times New Roman"/>
          <w:sz w:val="24"/>
          <w:szCs w:val="24"/>
        </w:rPr>
        <w:t xml:space="preserve"> (CFL) program and records management issues regarding our overall energy efficiency operations.   </w:t>
      </w:r>
      <w:r w:rsidR="00F37E02">
        <w:rPr>
          <w:rFonts w:ascii="Times New Roman" w:hAnsi="Times New Roman"/>
          <w:sz w:val="24"/>
          <w:szCs w:val="24"/>
        </w:rPr>
        <w:t xml:space="preserve">Neither of these issues </w:t>
      </w:r>
      <w:proofErr w:type="gramStart"/>
      <w:r w:rsidR="00F37E02">
        <w:rPr>
          <w:rFonts w:ascii="Times New Roman" w:hAnsi="Times New Roman"/>
          <w:sz w:val="24"/>
          <w:szCs w:val="24"/>
        </w:rPr>
        <w:t>require</w:t>
      </w:r>
      <w:proofErr w:type="gramEnd"/>
      <w:r w:rsidR="00564E6C" w:rsidRPr="001C54C0">
        <w:rPr>
          <w:rFonts w:ascii="Times New Roman" w:hAnsi="Times New Roman"/>
          <w:sz w:val="24"/>
          <w:szCs w:val="24"/>
        </w:rPr>
        <w:t xml:space="preserve"> Commission action at this time, as discussed below.  Nonetheless, Avista suggests options for resolution of each issue.</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jc w:val="center"/>
        <w:rPr>
          <w:rFonts w:ascii="Times New Roman" w:hAnsi="Times New Roman"/>
          <w:b/>
          <w:sz w:val="24"/>
          <w:szCs w:val="24"/>
        </w:rPr>
      </w:pPr>
      <w:r w:rsidRPr="001C54C0">
        <w:rPr>
          <w:rFonts w:ascii="Times New Roman" w:hAnsi="Times New Roman"/>
          <w:b/>
          <w:sz w:val="24"/>
          <w:szCs w:val="24"/>
        </w:rPr>
        <w:t xml:space="preserve">The Compact Fluorescent </w:t>
      </w:r>
      <w:r w:rsidR="001C478B">
        <w:rPr>
          <w:rFonts w:ascii="Times New Roman" w:hAnsi="Times New Roman"/>
          <w:b/>
          <w:sz w:val="24"/>
          <w:szCs w:val="24"/>
        </w:rPr>
        <w:t>Lamp</w:t>
      </w:r>
      <w:r w:rsidRPr="001C54C0">
        <w:rPr>
          <w:rFonts w:ascii="Times New Roman" w:hAnsi="Times New Roman"/>
          <w:b/>
          <w:sz w:val="24"/>
          <w:szCs w:val="24"/>
        </w:rPr>
        <w:t xml:space="preserve">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u w:val="single"/>
        </w:rPr>
      </w:pPr>
      <w:r w:rsidRPr="001C54C0">
        <w:rPr>
          <w:rFonts w:ascii="Times New Roman" w:hAnsi="Times New Roman"/>
          <w:sz w:val="24"/>
          <w:szCs w:val="24"/>
          <w:u w:val="single"/>
        </w:rPr>
        <w:t>Procedural Options for the CFL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As has been the Commission’s practice since 1995, Avista has the burden to demonstrate cost-effectiveness (or costs and benefits or “prudence”) of prior period expenditures. Thus, specific DSM programs haven’t come before the Commission for review and/or approval.  Between 1995 and 2009, Avista’s programs were found to be prudent by the Washington and Idaho Commissions, generally with no identified issues of concern.  National attention has been directed to Avista’s DSM programs as embodying “best practices”.</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This procedure </w:t>
      </w:r>
      <w:r w:rsidR="00B960F3">
        <w:rPr>
          <w:rFonts w:ascii="Times New Roman" w:hAnsi="Times New Roman"/>
          <w:sz w:val="24"/>
          <w:szCs w:val="24"/>
        </w:rPr>
        <w:t>was modified</w:t>
      </w:r>
      <w:r w:rsidRPr="001C54C0">
        <w:rPr>
          <w:rFonts w:ascii="Times New Roman" w:hAnsi="Times New Roman"/>
          <w:sz w:val="24"/>
          <w:szCs w:val="24"/>
        </w:rPr>
        <w:t xml:space="preserve"> </w:t>
      </w:r>
      <w:r w:rsidR="00467C07">
        <w:rPr>
          <w:rFonts w:ascii="Times New Roman" w:hAnsi="Times New Roman"/>
          <w:sz w:val="24"/>
          <w:szCs w:val="24"/>
        </w:rPr>
        <w:t>in</w:t>
      </w:r>
      <w:r w:rsidRPr="001C54C0">
        <w:rPr>
          <w:rFonts w:ascii="Times New Roman" w:hAnsi="Times New Roman"/>
          <w:sz w:val="24"/>
          <w:szCs w:val="24"/>
        </w:rPr>
        <w:t xml:space="preserve"> Docket No. </w:t>
      </w:r>
      <w:proofErr w:type="gramStart"/>
      <w:r w:rsidRPr="001C54C0">
        <w:rPr>
          <w:rFonts w:ascii="Times New Roman" w:hAnsi="Times New Roman"/>
          <w:sz w:val="24"/>
          <w:szCs w:val="24"/>
        </w:rPr>
        <w:t>UE-100176.</w:t>
      </w:r>
      <w:proofErr w:type="gramEnd"/>
      <w:r w:rsidRPr="001C54C0">
        <w:rPr>
          <w:rFonts w:ascii="Times New Roman" w:hAnsi="Times New Roman"/>
          <w:sz w:val="24"/>
          <w:szCs w:val="24"/>
        </w:rPr>
        <w:t xml:space="preserve">  As required by paragraph</w:t>
      </w:r>
      <w:r w:rsidR="00817A97">
        <w:rPr>
          <w:rFonts w:ascii="Times New Roman" w:hAnsi="Times New Roman"/>
          <w:sz w:val="24"/>
          <w:szCs w:val="24"/>
        </w:rPr>
        <w:t xml:space="preserve"> 63</w:t>
      </w:r>
      <w:r w:rsidR="00614810">
        <w:rPr>
          <w:rFonts w:ascii="Times New Roman" w:hAnsi="Times New Roman"/>
          <w:sz w:val="24"/>
          <w:szCs w:val="24"/>
        </w:rPr>
        <w:t xml:space="preserve"> </w:t>
      </w:r>
      <w:r w:rsidRPr="001C54C0">
        <w:rPr>
          <w:rFonts w:ascii="Times New Roman" w:hAnsi="Times New Roman"/>
          <w:sz w:val="24"/>
          <w:szCs w:val="24"/>
        </w:rPr>
        <w:t xml:space="preserve">of Order No. 01, Avista filed </w:t>
      </w:r>
      <w:r w:rsidR="0045547E">
        <w:rPr>
          <w:rFonts w:ascii="Times New Roman" w:hAnsi="Times New Roman"/>
          <w:sz w:val="24"/>
          <w:szCs w:val="24"/>
        </w:rPr>
        <w:t>its</w:t>
      </w:r>
      <w:r w:rsidRPr="001C54C0">
        <w:rPr>
          <w:rFonts w:ascii="Times New Roman" w:hAnsi="Times New Roman"/>
          <w:sz w:val="24"/>
          <w:szCs w:val="24"/>
        </w:rPr>
        <w:t xml:space="preserve"> updated 2011 DSM Business Plan.  </w:t>
      </w:r>
      <w:r w:rsidR="001D4F66" w:rsidRPr="001C54C0">
        <w:rPr>
          <w:rFonts w:ascii="Times New Roman" w:hAnsi="Times New Roman"/>
          <w:sz w:val="24"/>
          <w:szCs w:val="24"/>
        </w:rPr>
        <w:t>Th</w:t>
      </w:r>
      <w:r w:rsidR="001D4F66">
        <w:rPr>
          <w:rFonts w:ascii="Times New Roman" w:hAnsi="Times New Roman"/>
          <w:sz w:val="24"/>
          <w:szCs w:val="24"/>
        </w:rPr>
        <w:t>e</w:t>
      </w:r>
      <w:r w:rsidR="001D4F66" w:rsidRPr="001C54C0">
        <w:rPr>
          <w:rFonts w:ascii="Times New Roman" w:hAnsi="Times New Roman"/>
          <w:sz w:val="24"/>
          <w:szCs w:val="24"/>
        </w:rPr>
        <w:t xml:space="preserve"> </w:t>
      </w:r>
      <w:r w:rsidRPr="001C54C0">
        <w:rPr>
          <w:rFonts w:ascii="Times New Roman" w:hAnsi="Times New Roman"/>
          <w:sz w:val="24"/>
          <w:szCs w:val="24"/>
        </w:rPr>
        <w:t>update</w:t>
      </w:r>
      <w:r w:rsidR="0086157C">
        <w:rPr>
          <w:rFonts w:ascii="Times New Roman" w:hAnsi="Times New Roman"/>
          <w:sz w:val="24"/>
          <w:szCs w:val="24"/>
        </w:rPr>
        <w:t xml:space="preserve"> to the 2011 DSM Business Plan in this matter</w:t>
      </w:r>
      <w:r w:rsidRPr="001C54C0">
        <w:rPr>
          <w:rFonts w:ascii="Times New Roman" w:hAnsi="Times New Roman"/>
          <w:sz w:val="24"/>
          <w:szCs w:val="24"/>
        </w:rPr>
        <w:t xml:space="preserve"> outlined modifications to </w:t>
      </w:r>
      <w:r w:rsidR="001C478B">
        <w:rPr>
          <w:rFonts w:ascii="Times New Roman" w:hAnsi="Times New Roman"/>
          <w:sz w:val="24"/>
          <w:szCs w:val="24"/>
        </w:rPr>
        <w:t>several</w:t>
      </w:r>
      <w:r w:rsidR="0045547E">
        <w:rPr>
          <w:rFonts w:ascii="Times New Roman" w:hAnsi="Times New Roman"/>
          <w:sz w:val="24"/>
          <w:szCs w:val="24"/>
        </w:rPr>
        <w:t xml:space="preserve"> </w:t>
      </w:r>
      <w:r w:rsidRPr="001C54C0">
        <w:rPr>
          <w:rFonts w:ascii="Times New Roman" w:hAnsi="Times New Roman"/>
          <w:sz w:val="24"/>
          <w:szCs w:val="24"/>
        </w:rPr>
        <w:t xml:space="preserve">programs.  As part of </w:t>
      </w:r>
      <w:r w:rsidR="001C478B">
        <w:rPr>
          <w:rFonts w:ascii="Times New Roman" w:hAnsi="Times New Roman"/>
          <w:sz w:val="24"/>
          <w:szCs w:val="24"/>
        </w:rPr>
        <w:t xml:space="preserve">this </w:t>
      </w:r>
      <w:r w:rsidR="00843366">
        <w:rPr>
          <w:rFonts w:ascii="Times New Roman" w:hAnsi="Times New Roman"/>
          <w:sz w:val="24"/>
          <w:szCs w:val="24"/>
        </w:rPr>
        <w:t xml:space="preserve">business plan </w:t>
      </w:r>
      <w:r w:rsidR="001C478B">
        <w:rPr>
          <w:rFonts w:ascii="Times New Roman" w:hAnsi="Times New Roman"/>
          <w:sz w:val="24"/>
          <w:szCs w:val="24"/>
        </w:rPr>
        <w:t>update</w:t>
      </w:r>
      <w:r w:rsidRPr="001C54C0">
        <w:rPr>
          <w:rFonts w:ascii="Times New Roman" w:hAnsi="Times New Roman"/>
          <w:sz w:val="24"/>
          <w:szCs w:val="24"/>
        </w:rPr>
        <w:t xml:space="preserve">, the CFL program is before the Commission at this time.  Avista </w:t>
      </w:r>
      <w:r w:rsidR="0045547E">
        <w:rPr>
          <w:rFonts w:ascii="Times New Roman" w:hAnsi="Times New Roman"/>
          <w:sz w:val="24"/>
          <w:szCs w:val="24"/>
        </w:rPr>
        <w:t>understood</w:t>
      </w:r>
      <w:r w:rsidRPr="001C54C0">
        <w:rPr>
          <w:rFonts w:ascii="Times New Roman" w:hAnsi="Times New Roman"/>
          <w:sz w:val="24"/>
          <w:szCs w:val="24"/>
        </w:rPr>
        <w:t xml:space="preserve"> that these updates were to be informational and, at the Commission’s discretion, could be identified for action.  </w:t>
      </w:r>
      <w:r w:rsidR="0045547E">
        <w:rPr>
          <w:rFonts w:ascii="Times New Roman" w:hAnsi="Times New Roman"/>
          <w:sz w:val="24"/>
          <w:szCs w:val="24"/>
        </w:rPr>
        <w:t>If this understanding is correct, then</w:t>
      </w:r>
      <w:r w:rsidRPr="001C54C0">
        <w:rPr>
          <w:rFonts w:ascii="Times New Roman" w:hAnsi="Times New Roman"/>
          <w:sz w:val="24"/>
          <w:szCs w:val="24"/>
        </w:rPr>
        <w:t xml:space="preserve"> the Commission has options </w:t>
      </w:r>
      <w:r w:rsidR="00843366">
        <w:rPr>
          <w:rFonts w:ascii="Times New Roman" w:hAnsi="Times New Roman"/>
          <w:sz w:val="24"/>
          <w:szCs w:val="24"/>
        </w:rPr>
        <w:t>as to</w:t>
      </w:r>
      <w:r w:rsidR="00843366" w:rsidRPr="001C54C0">
        <w:rPr>
          <w:rFonts w:ascii="Times New Roman" w:hAnsi="Times New Roman"/>
          <w:sz w:val="24"/>
          <w:szCs w:val="24"/>
        </w:rPr>
        <w:t xml:space="preserve"> </w:t>
      </w:r>
      <w:r w:rsidRPr="001C54C0">
        <w:rPr>
          <w:rFonts w:ascii="Times New Roman" w:hAnsi="Times New Roman"/>
          <w:sz w:val="24"/>
          <w:szCs w:val="24"/>
        </w:rPr>
        <w:t>how to process the CFL program.  One option is to take no action and to follow past practices in which Avista has the burden of demonstrating costs and benefits at a later time (i.e., to be filed on June 1, 2012</w:t>
      </w:r>
      <w:r w:rsidR="0045547E">
        <w:rPr>
          <w:rFonts w:ascii="Times New Roman" w:hAnsi="Times New Roman"/>
          <w:sz w:val="24"/>
          <w:szCs w:val="24"/>
        </w:rPr>
        <w:t>,</w:t>
      </w:r>
      <w:r w:rsidRPr="001C54C0">
        <w:rPr>
          <w:rFonts w:ascii="Times New Roman" w:hAnsi="Times New Roman"/>
          <w:sz w:val="24"/>
          <w:szCs w:val="24"/>
        </w:rPr>
        <w:t xml:space="preserve"> with verified results</w:t>
      </w:r>
      <w:r w:rsidR="0045547E">
        <w:rPr>
          <w:rFonts w:ascii="Times New Roman" w:hAnsi="Times New Roman"/>
          <w:sz w:val="24"/>
          <w:szCs w:val="24"/>
        </w:rPr>
        <w:t>,</w:t>
      </w:r>
      <w:r w:rsidRPr="001C54C0">
        <w:rPr>
          <w:rFonts w:ascii="Times New Roman" w:hAnsi="Times New Roman"/>
          <w:sz w:val="24"/>
          <w:szCs w:val="24"/>
        </w:rPr>
        <w:t xml:space="preserve"> reporting on </w:t>
      </w:r>
      <w:r w:rsidR="00F37E02">
        <w:rPr>
          <w:rFonts w:ascii="Times New Roman" w:hAnsi="Times New Roman"/>
          <w:sz w:val="24"/>
          <w:szCs w:val="24"/>
        </w:rPr>
        <w:t xml:space="preserve">its </w:t>
      </w:r>
      <w:r w:rsidRPr="001C54C0">
        <w:rPr>
          <w:rFonts w:ascii="Times New Roman" w:hAnsi="Times New Roman"/>
          <w:sz w:val="24"/>
          <w:szCs w:val="24"/>
        </w:rPr>
        <w:t xml:space="preserve">2010-2011 target achievement as required by paragraph </w:t>
      </w:r>
      <w:r w:rsidR="00614810" w:rsidRPr="00614810">
        <w:rPr>
          <w:rFonts w:ascii="Times New Roman" w:hAnsi="Times New Roman"/>
          <w:sz w:val="24"/>
          <w:szCs w:val="24"/>
        </w:rPr>
        <w:t>64</w:t>
      </w:r>
      <w:r w:rsidR="0045547E">
        <w:rPr>
          <w:rFonts w:ascii="Times New Roman" w:hAnsi="Times New Roman"/>
          <w:sz w:val="24"/>
          <w:szCs w:val="24"/>
        </w:rPr>
        <w:t xml:space="preserve"> </w:t>
      </w:r>
      <w:r w:rsidRPr="001C54C0">
        <w:rPr>
          <w:rFonts w:ascii="Times New Roman" w:hAnsi="Times New Roman"/>
          <w:sz w:val="24"/>
          <w:szCs w:val="24"/>
        </w:rPr>
        <w:t xml:space="preserve">of Order No. 01 in Docket No. </w:t>
      </w:r>
      <w:proofErr w:type="gramStart"/>
      <w:r w:rsidRPr="001C54C0">
        <w:rPr>
          <w:rFonts w:ascii="Times New Roman" w:hAnsi="Times New Roman"/>
          <w:sz w:val="24"/>
          <w:szCs w:val="24"/>
        </w:rPr>
        <w:t>UE-100176).</w:t>
      </w:r>
      <w:proofErr w:type="gramEnd"/>
      <w:r w:rsidRPr="001C54C0">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Alternatively, because this issue has been highly scrutinized at this time, Avista recommends that the Commission approve the CFL program, including the 32 kWh/bulb deemed savings amount.  Avista specifically requests that Public Counsel’s recommendations regarding the CFL program not be accepted.  Support for this alternative approach is described below.</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u w:val="single"/>
        </w:rPr>
      </w:pPr>
      <w:r w:rsidRPr="001C54C0">
        <w:rPr>
          <w:rFonts w:ascii="Times New Roman" w:hAnsi="Times New Roman"/>
          <w:sz w:val="24"/>
          <w:szCs w:val="24"/>
          <w:u w:val="single"/>
        </w:rPr>
        <w:t>Context for the CFL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 wants to assure compliance with WAC 480-109 pursuant to which Avista stated</w:t>
      </w:r>
      <w:r w:rsidR="0045547E">
        <w:rPr>
          <w:rFonts w:ascii="Times New Roman" w:hAnsi="Times New Roman"/>
          <w:sz w:val="24"/>
          <w:szCs w:val="24"/>
        </w:rPr>
        <w:t>,</w:t>
      </w:r>
      <w:r w:rsidRPr="001C54C0">
        <w:rPr>
          <w:rFonts w:ascii="Times New Roman" w:hAnsi="Times New Roman"/>
          <w:sz w:val="24"/>
          <w:szCs w:val="24"/>
        </w:rPr>
        <w:t xml:space="preserve"> </w:t>
      </w:r>
      <w:r w:rsidR="0045547E">
        <w:rPr>
          <w:rFonts w:ascii="Times New Roman" w:hAnsi="Times New Roman"/>
          <w:sz w:val="24"/>
          <w:szCs w:val="24"/>
        </w:rPr>
        <w:t xml:space="preserve">and the Commission </w:t>
      </w:r>
      <w:proofErr w:type="gramStart"/>
      <w:r w:rsidR="0045547E">
        <w:rPr>
          <w:rFonts w:ascii="Times New Roman" w:hAnsi="Times New Roman"/>
          <w:sz w:val="24"/>
          <w:szCs w:val="24"/>
        </w:rPr>
        <w:t>approved,</w:t>
      </w:r>
      <w:proofErr w:type="gramEnd"/>
      <w:r w:rsidR="0045547E">
        <w:rPr>
          <w:rFonts w:ascii="Times New Roman" w:hAnsi="Times New Roman"/>
          <w:sz w:val="24"/>
          <w:szCs w:val="24"/>
        </w:rPr>
        <w:t xml:space="preserve"> </w:t>
      </w:r>
      <w:r w:rsidRPr="001C54C0">
        <w:rPr>
          <w:rFonts w:ascii="Times New Roman" w:hAnsi="Times New Roman"/>
          <w:sz w:val="24"/>
          <w:szCs w:val="24"/>
        </w:rPr>
        <w:t>its 2010-2011 conservation targets.</w:t>
      </w:r>
      <w:r w:rsidRPr="001C54C0">
        <w:rPr>
          <w:rStyle w:val="FootnoteReference"/>
          <w:rFonts w:ascii="Times New Roman" w:hAnsi="Times New Roman"/>
          <w:sz w:val="24"/>
          <w:szCs w:val="24"/>
        </w:rPr>
        <w:footnoteReference w:id="4"/>
      </w:r>
      <w:r w:rsidRPr="001C54C0">
        <w:rPr>
          <w:rFonts w:ascii="Times New Roman" w:hAnsi="Times New Roman"/>
          <w:sz w:val="24"/>
          <w:szCs w:val="24"/>
        </w:rPr>
        <w:t xml:space="preserve">  Our 2011 DSM Business Plan, filed with the Commission on November 1</w:t>
      </w:r>
      <w:r w:rsidRPr="001C54C0">
        <w:rPr>
          <w:rFonts w:ascii="Times New Roman" w:hAnsi="Times New Roman"/>
          <w:sz w:val="24"/>
          <w:szCs w:val="24"/>
          <w:vertAlign w:val="superscript"/>
        </w:rPr>
        <w:t>st</w:t>
      </w:r>
      <w:r w:rsidRPr="001C54C0">
        <w:rPr>
          <w:rFonts w:ascii="Times New Roman" w:hAnsi="Times New Roman"/>
          <w:sz w:val="24"/>
          <w:szCs w:val="24"/>
        </w:rPr>
        <w:t xml:space="preserve">, 2010, illustrated how contemplated operations would achieve these targets.  </w:t>
      </w:r>
      <w:r w:rsidR="0086157C">
        <w:rPr>
          <w:rFonts w:ascii="Times New Roman" w:hAnsi="Times New Roman"/>
          <w:sz w:val="24"/>
          <w:szCs w:val="24"/>
        </w:rPr>
        <w:t>I</w:t>
      </w:r>
      <w:r w:rsidRPr="001C54C0">
        <w:rPr>
          <w:rFonts w:ascii="Times New Roman" w:hAnsi="Times New Roman"/>
          <w:sz w:val="24"/>
          <w:szCs w:val="24"/>
        </w:rPr>
        <w:t>ncluded at pages 78</w:t>
      </w:r>
      <w:r w:rsidR="0086157C">
        <w:rPr>
          <w:rFonts w:ascii="Times New Roman" w:hAnsi="Times New Roman"/>
          <w:sz w:val="24"/>
          <w:szCs w:val="24"/>
        </w:rPr>
        <w:t xml:space="preserve"> to </w:t>
      </w:r>
      <w:r w:rsidRPr="001C54C0">
        <w:rPr>
          <w:rFonts w:ascii="Times New Roman" w:hAnsi="Times New Roman"/>
          <w:sz w:val="24"/>
          <w:szCs w:val="24"/>
        </w:rPr>
        <w:t>86</w:t>
      </w:r>
      <w:r w:rsidR="0086157C">
        <w:rPr>
          <w:rFonts w:ascii="Times New Roman" w:hAnsi="Times New Roman"/>
          <w:sz w:val="24"/>
          <w:szCs w:val="24"/>
        </w:rPr>
        <w:t xml:space="preserve"> of the Business Plan</w:t>
      </w:r>
      <w:r w:rsidRPr="001C54C0">
        <w:rPr>
          <w:rFonts w:ascii="Times New Roman" w:hAnsi="Times New Roman"/>
          <w:sz w:val="24"/>
          <w:szCs w:val="24"/>
        </w:rPr>
        <w:t xml:space="preserve"> </w:t>
      </w:r>
      <w:r w:rsidRPr="00614810">
        <w:rPr>
          <w:rFonts w:ascii="Times New Roman" w:hAnsi="Times New Roman"/>
          <w:sz w:val="24"/>
          <w:szCs w:val="24"/>
        </w:rPr>
        <w:t xml:space="preserve">(“Issues </w:t>
      </w:r>
      <w:r w:rsidR="00614810" w:rsidRPr="00614810">
        <w:rPr>
          <w:rFonts w:ascii="Times New Roman" w:hAnsi="Times New Roman"/>
          <w:sz w:val="24"/>
          <w:szCs w:val="24"/>
        </w:rPr>
        <w:t xml:space="preserve">Identified </w:t>
      </w:r>
      <w:r w:rsidRPr="00614810">
        <w:rPr>
          <w:rFonts w:ascii="Times New Roman" w:hAnsi="Times New Roman"/>
          <w:sz w:val="24"/>
          <w:szCs w:val="24"/>
        </w:rPr>
        <w:t xml:space="preserve">for </w:t>
      </w:r>
      <w:r w:rsidR="00614810" w:rsidRPr="00614810">
        <w:rPr>
          <w:rFonts w:ascii="Times New Roman" w:hAnsi="Times New Roman"/>
          <w:sz w:val="24"/>
          <w:szCs w:val="24"/>
        </w:rPr>
        <w:t xml:space="preserve">2011 </w:t>
      </w:r>
      <w:r w:rsidRPr="00614810">
        <w:rPr>
          <w:rFonts w:ascii="Times New Roman" w:hAnsi="Times New Roman"/>
          <w:sz w:val="24"/>
          <w:szCs w:val="24"/>
        </w:rPr>
        <w:t xml:space="preserve">Management </w:t>
      </w:r>
      <w:r w:rsidR="00614810" w:rsidRPr="00614810">
        <w:rPr>
          <w:rFonts w:ascii="Times New Roman" w:hAnsi="Times New Roman"/>
          <w:sz w:val="24"/>
          <w:szCs w:val="24"/>
        </w:rPr>
        <w:t>Focus</w:t>
      </w:r>
      <w:r w:rsidRPr="00614810">
        <w:rPr>
          <w:rFonts w:ascii="Times New Roman" w:hAnsi="Times New Roman"/>
          <w:sz w:val="24"/>
          <w:szCs w:val="24"/>
        </w:rPr>
        <w:t>”)</w:t>
      </w:r>
      <w:r w:rsidRPr="001C54C0">
        <w:rPr>
          <w:rFonts w:ascii="Times New Roman" w:hAnsi="Times New Roman"/>
          <w:sz w:val="24"/>
          <w:szCs w:val="24"/>
        </w:rPr>
        <w:t xml:space="preserve"> was a discussion of contingency plans to assure ultimate achievement of our goals if unanticipated events were to occur.   A stated contingency was a mailed distribution of compact fluorescent </w:t>
      </w:r>
      <w:r w:rsidRPr="001C478B">
        <w:rPr>
          <w:rFonts w:ascii="Times New Roman" w:hAnsi="Times New Roman"/>
          <w:sz w:val="24"/>
          <w:szCs w:val="24"/>
        </w:rPr>
        <w:t>lamps</w:t>
      </w:r>
      <w:r w:rsidR="0079109A">
        <w:rPr>
          <w:rFonts w:ascii="Times New Roman" w:hAnsi="Times New Roman"/>
          <w:b/>
          <w:sz w:val="24"/>
          <w:szCs w:val="24"/>
        </w:rPr>
        <w:t xml:space="preserve"> </w:t>
      </w:r>
      <w:r w:rsidRPr="001C54C0">
        <w:rPr>
          <w:rFonts w:ascii="Times New Roman" w:hAnsi="Times New Roman"/>
          <w:sz w:val="24"/>
          <w:szCs w:val="24"/>
        </w:rPr>
        <w:t>(CFLs) to residential</w:t>
      </w:r>
      <w:r w:rsidR="008D61D3">
        <w:rPr>
          <w:rFonts w:ascii="Times New Roman" w:hAnsi="Times New Roman"/>
          <w:sz w:val="24"/>
          <w:szCs w:val="24"/>
        </w:rPr>
        <w:t xml:space="preserve"> </w:t>
      </w:r>
      <w:r w:rsidRPr="001C54C0">
        <w:rPr>
          <w:rFonts w:ascii="Times New Roman" w:hAnsi="Times New Roman"/>
          <w:sz w:val="24"/>
          <w:szCs w:val="24"/>
        </w:rPr>
        <w:t xml:space="preserve">customers during 2011 as a cost-effective means of achieving the Company’s biennial target.  The attractiveness of the </w:t>
      </w:r>
      <w:r w:rsidRPr="001C54C0">
        <w:rPr>
          <w:rFonts w:ascii="Times New Roman" w:hAnsi="Times New Roman"/>
          <w:sz w:val="24"/>
          <w:szCs w:val="24"/>
        </w:rPr>
        <w:lastRenderedPageBreak/>
        <w:t xml:space="preserve">CFL measure as a contingency program was based upon the high cost-effectiveness, scalable nature of the distribution options and certainty of the energy savings.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Unanticipated events did occur.  In September and November, 2010, we filed an Evaluation, Measurement and </w:t>
      </w:r>
      <w:r w:rsidR="00793614">
        <w:rPr>
          <w:rFonts w:ascii="Times New Roman" w:hAnsi="Times New Roman"/>
          <w:sz w:val="24"/>
          <w:szCs w:val="24"/>
        </w:rPr>
        <w:t>Verification</w:t>
      </w:r>
      <w:r w:rsidRPr="001C54C0">
        <w:rPr>
          <w:rFonts w:ascii="Times New Roman" w:hAnsi="Times New Roman"/>
          <w:sz w:val="24"/>
          <w:szCs w:val="24"/>
        </w:rPr>
        <w:t xml:space="preserve"> (EM&amp;V) Framework and 2011 EM&amp;V Plan, respectively.</w:t>
      </w:r>
      <w:r w:rsidRPr="001C54C0">
        <w:rPr>
          <w:rStyle w:val="FootnoteReference"/>
          <w:rFonts w:ascii="Times New Roman" w:hAnsi="Times New Roman"/>
          <w:sz w:val="24"/>
          <w:szCs w:val="24"/>
        </w:rPr>
        <w:footnoteReference w:id="5"/>
      </w:r>
      <w:r w:rsidRPr="001C54C0">
        <w:rPr>
          <w:rFonts w:ascii="Times New Roman" w:hAnsi="Times New Roman"/>
          <w:sz w:val="24"/>
          <w:szCs w:val="24"/>
        </w:rPr>
        <w:t xml:space="preserve"> As </w:t>
      </w:r>
      <w:r w:rsidR="0079109A">
        <w:rPr>
          <w:rFonts w:ascii="Times New Roman" w:hAnsi="Times New Roman"/>
          <w:sz w:val="24"/>
          <w:szCs w:val="24"/>
        </w:rPr>
        <w:t>the</w:t>
      </w:r>
      <w:r w:rsidRPr="001C54C0">
        <w:rPr>
          <w:rFonts w:ascii="Times New Roman" w:hAnsi="Times New Roman"/>
          <w:sz w:val="24"/>
          <w:szCs w:val="24"/>
        </w:rPr>
        <w:t xml:space="preserve"> EM&amp;V</w:t>
      </w:r>
      <w:r w:rsidR="0079109A">
        <w:rPr>
          <w:rFonts w:ascii="Times New Roman" w:hAnsi="Times New Roman"/>
          <w:sz w:val="24"/>
          <w:szCs w:val="24"/>
        </w:rPr>
        <w:t xml:space="preserve"> plan </w:t>
      </w:r>
      <w:r w:rsidR="008D61D3">
        <w:rPr>
          <w:rFonts w:ascii="Times New Roman" w:hAnsi="Times New Roman"/>
          <w:sz w:val="24"/>
          <w:szCs w:val="24"/>
        </w:rPr>
        <w:t>is</w:t>
      </w:r>
      <w:r w:rsidR="0079109A">
        <w:rPr>
          <w:rFonts w:ascii="Times New Roman" w:hAnsi="Times New Roman"/>
          <w:sz w:val="24"/>
          <w:szCs w:val="24"/>
        </w:rPr>
        <w:t xml:space="preserve"> being implemented</w:t>
      </w:r>
      <w:r w:rsidRPr="001C54C0">
        <w:rPr>
          <w:rFonts w:ascii="Times New Roman" w:hAnsi="Times New Roman"/>
          <w:sz w:val="24"/>
          <w:szCs w:val="24"/>
        </w:rPr>
        <w:t>, primarily through a third-party evaluator, The Cadmus Group, preliminary results indicate that our expected 2010-2011 programmatic savings will be less than expected.  Thus, because w</w:t>
      </w:r>
      <w:r w:rsidR="0079109A">
        <w:rPr>
          <w:rFonts w:ascii="Times New Roman" w:hAnsi="Times New Roman"/>
          <w:sz w:val="24"/>
          <w:szCs w:val="24"/>
        </w:rPr>
        <w:t>e know we will have a variance (</w:t>
      </w:r>
      <w:r w:rsidRPr="001C54C0">
        <w:rPr>
          <w:rFonts w:ascii="Times New Roman" w:hAnsi="Times New Roman"/>
          <w:sz w:val="24"/>
          <w:szCs w:val="24"/>
        </w:rPr>
        <w:t>although unkno</w:t>
      </w:r>
      <w:r w:rsidR="0079109A">
        <w:rPr>
          <w:rFonts w:ascii="Times New Roman" w:hAnsi="Times New Roman"/>
          <w:sz w:val="24"/>
          <w:szCs w:val="24"/>
        </w:rPr>
        <w:t>wn as to how much at this time)</w:t>
      </w:r>
      <w:r w:rsidRPr="001C54C0">
        <w:rPr>
          <w:rFonts w:ascii="Times New Roman" w:hAnsi="Times New Roman"/>
          <w:sz w:val="24"/>
          <w:szCs w:val="24"/>
        </w:rPr>
        <w:t xml:space="preserve"> in 2010-2011 results, we have opted for a large-scale roll-out of CFLs.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On its face, this is a “make-sense” program regardless of any connection to target achievements </w:t>
      </w:r>
      <w:r w:rsidR="00F37E02">
        <w:rPr>
          <w:rFonts w:ascii="Times New Roman" w:hAnsi="Times New Roman"/>
          <w:sz w:val="24"/>
          <w:szCs w:val="24"/>
        </w:rPr>
        <w:t>f</w:t>
      </w:r>
      <w:r w:rsidRPr="001C54C0">
        <w:rPr>
          <w:rFonts w:ascii="Times New Roman" w:hAnsi="Times New Roman"/>
          <w:sz w:val="24"/>
          <w:szCs w:val="24"/>
        </w:rPr>
        <w:t>or “I-937</w:t>
      </w:r>
      <w:r w:rsidR="00843366">
        <w:rPr>
          <w:rFonts w:ascii="Times New Roman" w:hAnsi="Times New Roman"/>
          <w:sz w:val="24"/>
          <w:szCs w:val="24"/>
        </w:rPr>
        <w:t>.”</w:t>
      </w:r>
      <w:r w:rsidRPr="001C54C0">
        <w:rPr>
          <w:rFonts w:ascii="Times New Roman" w:hAnsi="Times New Roman"/>
          <w:sz w:val="24"/>
          <w:szCs w:val="24"/>
        </w:rPr>
        <w:t xml:space="preserve">  This program is highly cost-effective</w:t>
      </w:r>
      <w:r w:rsidR="0086157C">
        <w:rPr>
          <w:rFonts w:ascii="Times New Roman" w:hAnsi="Times New Roman"/>
          <w:sz w:val="24"/>
          <w:szCs w:val="24"/>
        </w:rPr>
        <w:t xml:space="preserve"> independent of “I-937”</w:t>
      </w:r>
      <w:r w:rsidRPr="001C54C0">
        <w:rPr>
          <w:rFonts w:ascii="Times New Roman" w:hAnsi="Times New Roman"/>
          <w:sz w:val="24"/>
          <w:szCs w:val="24"/>
        </w:rPr>
        <w:t xml:space="preserve"> as defined by its benefits exceeding the costs by a large factor.  Avista has historically been “light” on CFL distribution by regional standards.  We’ve achieve</w:t>
      </w:r>
      <w:r w:rsidR="008D61D3">
        <w:rPr>
          <w:rFonts w:ascii="Times New Roman" w:hAnsi="Times New Roman"/>
          <w:sz w:val="24"/>
          <w:szCs w:val="24"/>
        </w:rPr>
        <w:t>d</w:t>
      </w:r>
      <w:r w:rsidRPr="001C54C0">
        <w:rPr>
          <w:rFonts w:ascii="Times New Roman" w:hAnsi="Times New Roman"/>
          <w:sz w:val="24"/>
          <w:szCs w:val="24"/>
        </w:rPr>
        <w:t xml:space="preserve"> our targets predominantly through other programs.  That a large percentage of our </w:t>
      </w:r>
      <w:r w:rsidR="008D61D3">
        <w:rPr>
          <w:rFonts w:ascii="Times New Roman" w:hAnsi="Times New Roman"/>
          <w:sz w:val="24"/>
          <w:szCs w:val="24"/>
        </w:rPr>
        <w:t xml:space="preserve">2011 </w:t>
      </w:r>
      <w:r w:rsidRPr="001C54C0">
        <w:rPr>
          <w:rFonts w:ascii="Times New Roman" w:hAnsi="Times New Roman"/>
          <w:sz w:val="24"/>
          <w:szCs w:val="24"/>
        </w:rPr>
        <w:t xml:space="preserve">annual portfolio may </w:t>
      </w:r>
      <w:r w:rsidR="008D61D3">
        <w:rPr>
          <w:rFonts w:ascii="Times New Roman" w:hAnsi="Times New Roman"/>
          <w:sz w:val="24"/>
          <w:szCs w:val="24"/>
        </w:rPr>
        <w:t>come from</w:t>
      </w:r>
      <w:r w:rsidRPr="001C54C0">
        <w:rPr>
          <w:rFonts w:ascii="Times New Roman" w:hAnsi="Times New Roman"/>
          <w:sz w:val="24"/>
          <w:szCs w:val="24"/>
        </w:rPr>
        <w:t xml:space="preserve"> lighting should be taken into this historical context.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 has had the benefit of researc</w:t>
      </w:r>
      <w:r w:rsidR="0079109A">
        <w:rPr>
          <w:rFonts w:ascii="Times New Roman" w:hAnsi="Times New Roman"/>
          <w:sz w:val="24"/>
          <w:szCs w:val="24"/>
        </w:rPr>
        <w:t>hing best practices for program delivery mechanisms</w:t>
      </w:r>
      <w:r w:rsidRPr="001C54C0">
        <w:rPr>
          <w:rFonts w:ascii="Times New Roman" w:hAnsi="Times New Roman"/>
          <w:sz w:val="24"/>
          <w:szCs w:val="24"/>
        </w:rPr>
        <w:t xml:space="preserve"> of this type.  For example, pre-notification is important (Avista is using </w:t>
      </w:r>
      <w:r w:rsidR="001C478B">
        <w:rPr>
          <w:rFonts w:ascii="Times New Roman" w:hAnsi="Times New Roman"/>
          <w:sz w:val="24"/>
          <w:szCs w:val="24"/>
        </w:rPr>
        <w:t>nine</w:t>
      </w:r>
      <w:r w:rsidRPr="001C54C0">
        <w:rPr>
          <w:rFonts w:ascii="Times New Roman" w:hAnsi="Times New Roman"/>
          <w:sz w:val="24"/>
          <w:szCs w:val="24"/>
        </w:rPr>
        <w:t xml:space="preserve"> different </w:t>
      </w:r>
      <w:r w:rsidR="0086157C">
        <w:rPr>
          <w:rFonts w:ascii="Times New Roman" w:hAnsi="Times New Roman"/>
          <w:sz w:val="24"/>
          <w:szCs w:val="24"/>
        </w:rPr>
        <w:t xml:space="preserve">customer communication </w:t>
      </w:r>
      <w:r w:rsidRPr="001C54C0">
        <w:rPr>
          <w:rFonts w:ascii="Times New Roman" w:hAnsi="Times New Roman"/>
          <w:sz w:val="24"/>
          <w:szCs w:val="24"/>
        </w:rPr>
        <w:t xml:space="preserve">venues for this), an opt-out provision should be employed (as Avista has done), delivery should be to specifically-named customers and addresses (Avista is </w:t>
      </w:r>
      <w:r w:rsidR="0079109A">
        <w:rPr>
          <w:rFonts w:ascii="Times New Roman" w:hAnsi="Times New Roman"/>
          <w:sz w:val="24"/>
          <w:szCs w:val="24"/>
        </w:rPr>
        <w:t xml:space="preserve">mailing to accounts of record, </w:t>
      </w:r>
      <w:r w:rsidRPr="001C54C0">
        <w:rPr>
          <w:rFonts w:ascii="Times New Roman" w:hAnsi="Times New Roman"/>
          <w:sz w:val="24"/>
          <w:szCs w:val="24"/>
        </w:rPr>
        <w:t>using the US Postal Service with a staged delivery schedule so as to not overwhelm carriers), lists should be culled</w:t>
      </w:r>
      <w:r w:rsidR="001C478B">
        <w:rPr>
          <w:rFonts w:ascii="Times New Roman" w:hAnsi="Times New Roman"/>
          <w:sz w:val="24"/>
          <w:szCs w:val="24"/>
        </w:rPr>
        <w:t xml:space="preserve"> (which we </w:t>
      </w:r>
      <w:r w:rsidR="008D61D3">
        <w:rPr>
          <w:rFonts w:ascii="Times New Roman" w:hAnsi="Times New Roman"/>
          <w:sz w:val="24"/>
          <w:szCs w:val="24"/>
        </w:rPr>
        <w:t xml:space="preserve">have </w:t>
      </w:r>
      <w:r w:rsidR="001C478B">
        <w:rPr>
          <w:rFonts w:ascii="Times New Roman" w:hAnsi="Times New Roman"/>
          <w:sz w:val="24"/>
          <w:szCs w:val="24"/>
        </w:rPr>
        <w:t>do</w:t>
      </w:r>
      <w:r w:rsidR="008D61D3">
        <w:rPr>
          <w:rFonts w:ascii="Times New Roman" w:hAnsi="Times New Roman"/>
          <w:sz w:val="24"/>
          <w:szCs w:val="24"/>
        </w:rPr>
        <w:t>ne</w:t>
      </w:r>
      <w:r w:rsidR="001C478B">
        <w:rPr>
          <w:rFonts w:ascii="Times New Roman" w:hAnsi="Times New Roman"/>
          <w:sz w:val="24"/>
          <w:szCs w:val="24"/>
        </w:rPr>
        <w:t>)</w:t>
      </w:r>
      <w:r w:rsidRPr="001C54C0">
        <w:rPr>
          <w:rFonts w:ascii="Times New Roman" w:hAnsi="Times New Roman"/>
          <w:sz w:val="24"/>
          <w:szCs w:val="24"/>
        </w:rPr>
        <w:t xml:space="preserve"> so as to not ship units out of state or to vacation homes</w:t>
      </w:r>
      <w:r w:rsidR="001C478B">
        <w:rPr>
          <w:rFonts w:ascii="Times New Roman" w:hAnsi="Times New Roman"/>
          <w:sz w:val="24"/>
          <w:szCs w:val="24"/>
        </w:rPr>
        <w:t xml:space="preserve">, </w:t>
      </w:r>
      <w:r w:rsidRPr="001C54C0">
        <w:rPr>
          <w:rFonts w:ascii="Times New Roman" w:hAnsi="Times New Roman"/>
          <w:sz w:val="24"/>
          <w:szCs w:val="24"/>
        </w:rPr>
        <w:t>to name a few.</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u w:val="single"/>
        </w:rPr>
      </w:pPr>
      <w:r w:rsidRPr="001C54C0">
        <w:rPr>
          <w:rFonts w:ascii="Times New Roman" w:hAnsi="Times New Roman"/>
          <w:sz w:val="24"/>
          <w:szCs w:val="24"/>
          <w:u w:val="single"/>
        </w:rPr>
        <w:t xml:space="preserve">Support for Claimed Savings </w:t>
      </w:r>
      <w:proofErr w:type="gramStart"/>
      <w:r w:rsidRPr="001C54C0">
        <w:rPr>
          <w:rFonts w:ascii="Times New Roman" w:hAnsi="Times New Roman"/>
          <w:sz w:val="24"/>
          <w:szCs w:val="24"/>
          <w:u w:val="single"/>
        </w:rPr>
        <w:t>of 32 kWh/bulb</w:t>
      </w:r>
      <w:proofErr w:type="gramEnd"/>
      <w:r w:rsidRPr="001C54C0">
        <w:rPr>
          <w:rFonts w:ascii="Times New Roman" w:hAnsi="Times New Roman"/>
          <w:sz w:val="24"/>
          <w:szCs w:val="24"/>
          <w:u w:val="single"/>
        </w:rPr>
        <w:t xml:space="preserve"> for the CFL Program</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We consider the review and analysis performed by Staff and Public Counsel on this program to be significant.  Many issues were examined.  The one remaining issue </w:t>
      </w:r>
      <w:r w:rsidR="00843366">
        <w:rPr>
          <w:rFonts w:ascii="Times New Roman" w:hAnsi="Times New Roman"/>
          <w:sz w:val="24"/>
          <w:szCs w:val="24"/>
        </w:rPr>
        <w:t>according to</w:t>
      </w:r>
      <w:r w:rsidR="00843366" w:rsidRPr="001C54C0">
        <w:rPr>
          <w:rFonts w:ascii="Times New Roman" w:hAnsi="Times New Roman"/>
          <w:sz w:val="24"/>
          <w:szCs w:val="24"/>
        </w:rPr>
        <w:t xml:space="preserve"> </w:t>
      </w:r>
      <w:r w:rsidRPr="001C54C0">
        <w:rPr>
          <w:rFonts w:ascii="Times New Roman" w:hAnsi="Times New Roman"/>
          <w:sz w:val="24"/>
          <w:szCs w:val="24"/>
        </w:rPr>
        <w:t>Public Counsel</w:t>
      </w:r>
      <w:r w:rsidR="00843366">
        <w:rPr>
          <w:rFonts w:ascii="Times New Roman" w:hAnsi="Times New Roman"/>
          <w:sz w:val="24"/>
          <w:szCs w:val="24"/>
        </w:rPr>
        <w:t xml:space="preserve"> in their comments</w:t>
      </w:r>
      <w:r w:rsidRPr="001C54C0">
        <w:rPr>
          <w:rFonts w:ascii="Times New Roman" w:hAnsi="Times New Roman"/>
          <w:sz w:val="24"/>
          <w:szCs w:val="24"/>
        </w:rPr>
        <w:t xml:space="preserve"> is that Avista is planning on </w:t>
      </w:r>
      <w:r w:rsidR="00D261C9">
        <w:rPr>
          <w:rFonts w:ascii="Times New Roman" w:hAnsi="Times New Roman"/>
          <w:sz w:val="24"/>
          <w:szCs w:val="24"/>
        </w:rPr>
        <w:t xml:space="preserve">applying a unit energy savings of </w:t>
      </w:r>
      <w:r w:rsidRPr="001C54C0">
        <w:rPr>
          <w:rFonts w:ascii="Times New Roman" w:hAnsi="Times New Roman"/>
          <w:sz w:val="24"/>
          <w:szCs w:val="24"/>
        </w:rPr>
        <w:t>32 kWh per bulb.</w:t>
      </w:r>
      <w:r w:rsidRPr="001C54C0">
        <w:rPr>
          <w:rStyle w:val="FootnoteReference"/>
          <w:rFonts w:ascii="Times New Roman" w:hAnsi="Times New Roman"/>
          <w:sz w:val="24"/>
          <w:szCs w:val="24"/>
        </w:rPr>
        <w:footnoteReference w:id="6"/>
      </w:r>
      <w:r w:rsidRPr="001C54C0">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Avista’s Commission-approved efficiency acquisition target is based upon meeting the goals established within the Northwest Power and Conservation Council’s (NPCC) 6</w:t>
      </w:r>
      <w:r w:rsidRPr="001C54C0">
        <w:rPr>
          <w:rFonts w:ascii="Times New Roman" w:hAnsi="Times New Roman"/>
          <w:sz w:val="24"/>
          <w:szCs w:val="24"/>
          <w:vertAlign w:val="superscript"/>
        </w:rPr>
        <w:t>th</w:t>
      </w:r>
      <w:r w:rsidRPr="001C54C0">
        <w:rPr>
          <w:rFonts w:ascii="Times New Roman" w:hAnsi="Times New Roman"/>
          <w:sz w:val="24"/>
          <w:szCs w:val="24"/>
        </w:rPr>
        <w:t xml:space="preserve"> Power Plan.  As such, it is the intent of Avista to claim energy savings for well-defined measures that are consistent with the foundation upon which that target was built.  CFLs were an integral component of the 6</w:t>
      </w:r>
      <w:r w:rsidRPr="001C54C0">
        <w:rPr>
          <w:rFonts w:ascii="Times New Roman" w:hAnsi="Times New Roman"/>
          <w:sz w:val="24"/>
          <w:szCs w:val="24"/>
          <w:vertAlign w:val="superscript"/>
        </w:rPr>
        <w:t>th</w:t>
      </w:r>
      <w:r w:rsidRPr="001C54C0">
        <w:rPr>
          <w:rFonts w:ascii="Times New Roman" w:hAnsi="Times New Roman"/>
          <w:sz w:val="24"/>
          <w:szCs w:val="24"/>
        </w:rPr>
        <w:t xml:space="preserve"> Power Plan leading to Avista’s stated targets.  The efficiency measure category within the 6</w:t>
      </w:r>
      <w:r w:rsidRPr="001C54C0">
        <w:rPr>
          <w:rFonts w:ascii="Times New Roman" w:hAnsi="Times New Roman"/>
          <w:sz w:val="24"/>
          <w:szCs w:val="24"/>
          <w:vertAlign w:val="superscript"/>
        </w:rPr>
        <w:t>th</w:t>
      </w:r>
      <w:r w:rsidRPr="001C54C0">
        <w:rPr>
          <w:rFonts w:ascii="Times New Roman" w:hAnsi="Times New Roman"/>
          <w:sz w:val="24"/>
          <w:szCs w:val="24"/>
        </w:rPr>
        <w:t xml:space="preserve"> Power Plan which most closely matches all of Avista’s CFL programs (the contingency program as well as other retail and physical distributions) is based upon a weighted average of 32 annual kWhs per unit</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Avista has obtained and duplicated the NPCC analysis that led to the 32 kWh per unit savings level.  Although Avista’s mix of wattages within the CFL contingency program would lead to a 38 kWh per unit savings, the Company believes</w:t>
      </w:r>
      <w:r w:rsidR="00126792">
        <w:rPr>
          <w:rFonts w:ascii="Times New Roman" w:hAnsi="Times New Roman"/>
          <w:sz w:val="24"/>
          <w:szCs w:val="24"/>
        </w:rPr>
        <w:t xml:space="preserve"> it more appropriate to claim</w:t>
      </w:r>
      <w:r w:rsidRPr="001C54C0">
        <w:rPr>
          <w:rFonts w:ascii="Times New Roman" w:hAnsi="Times New Roman"/>
          <w:sz w:val="24"/>
          <w:szCs w:val="24"/>
        </w:rPr>
        <w:t xml:space="preserve"> 32 kWh per unit simply given our desire for symmetry between the assumptions contributing </w:t>
      </w:r>
      <w:r w:rsidR="00126792">
        <w:rPr>
          <w:rFonts w:ascii="Times New Roman" w:hAnsi="Times New Roman"/>
          <w:sz w:val="24"/>
          <w:szCs w:val="24"/>
        </w:rPr>
        <w:t>to</w:t>
      </w:r>
      <w:r w:rsidRPr="001C54C0">
        <w:rPr>
          <w:rFonts w:ascii="Times New Roman" w:hAnsi="Times New Roman"/>
          <w:sz w:val="24"/>
          <w:szCs w:val="24"/>
        </w:rPr>
        <w:t xml:space="preserve"> the establishment of the acquisition target and those used for purposes of measuring acquisition.</w:t>
      </w:r>
    </w:p>
    <w:p w:rsidR="00564E6C" w:rsidRPr="001C54C0" w:rsidRDefault="00564E6C" w:rsidP="00564E6C">
      <w:pPr>
        <w:pStyle w:val="NoSpacing"/>
        <w:jc w:val="both"/>
        <w:rPr>
          <w:rFonts w:ascii="Times New Roman" w:hAnsi="Times New Roman"/>
          <w:sz w:val="24"/>
          <w:szCs w:val="24"/>
        </w:rPr>
      </w:pPr>
    </w:p>
    <w:p w:rsidR="00564E6C" w:rsidRPr="001C54C0" w:rsidRDefault="00237FC2" w:rsidP="00506907">
      <w:pPr>
        <w:pStyle w:val="NoSpacing"/>
        <w:ind w:firstLine="720"/>
        <w:jc w:val="both"/>
        <w:rPr>
          <w:rFonts w:ascii="Times New Roman" w:hAnsi="Times New Roman"/>
          <w:sz w:val="24"/>
          <w:szCs w:val="24"/>
        </w:rPr>
      </w:pPr>
      <w:r w:rsidRPr="00237FC2">
        <w:rPr>
          <w:rFonts w:ascii="Times New Roman" w:hAnsi="Times New Roman"/>
          <w:sz w:val="24"/>
          <w:szCs w:val="24"/>
        </w:rPr>
        <w:t>The NPCC analysis modifies the annual energy savings for lamp installation and removal rates. These studies incorporate the factors applicable to delivered CFLs including installation rate, removal, burnout, and breakage described in Public Counsel’s comments at pages 4 and 5.</w:t>
      </w:r>
      <w:r w:rsidR="0087141A">
        <w:rPr>
          <w:rFonts w:ascii="Times New Roman" w:hAnsi="Times New Roman"/>
          <w:b/>
          <w:sz w:val="24"/>
          <w:szCs w:val="24"/>
        </w:rPr>
        <w:t xml:space="preserve">  </w:t>
      </w:r>
      <w:r w:rsidRPr="00237FC2">
        <w:rPr>
          <w:rFonts w:ascii="Times New Roman" w:hAnsi="Times New Roman"/>
          <w:sz w:val="24"/>
          <w:szCs w:val="24"/>
        </w:rPr>
        <w:t>Shrinkage is incorporated within the delivery definition subject to external third-party evaluation.</w:t>
      </w:r>
      <w:r w:rsidR="0087141A">
        <w:rPr>
          <w:rFonts w:ascii="Times New Roman" w:hAnsi="Times New Roman"/>
          <w:b/>
          <w:sz w:val="24"/>
          <w:szCs w:val="24"/>
        </w:rPr>
        <w:t xml:space="preserve">  </w:t>
      </w:r>
      <w:r w:rsidR="00564E6C" w:rsidRPr="001C54C0">
        <w:rPr>
          <w:rFonts w:ascii="Times New Roman" w:hAnsi="Times New Roman"/>
          <w:sz w:val="24"/>
          <w:szCs w:val="24"/>
        </w:rPr>
        <w:t>Delays in the installation of the CFLs as customers wait to replace the next failed bulb in the home do not impact the annual savings of the CFL upon installation.  The NPCC analysis also incorporates the ‘take-back’ often associated with efficiency measures, the inherent tendency of customers to use more of an end-use once efficiency makes the end-use service less costly.  While Avista believes that energy savings for purposes of meeting efficiency acquisition targets should be based upon fixed and normal operating conditions, to remove the take-back assumption from the calculation and apply a higher per unit energy saving per CFL would compromise the desired symmetry between the assumptions incorporated into the target and those used for measurement of acquisition.  Consequently</w:t>
      </w:r>
      <w:r w:rsidR="00522088">
        <w:rPr>
          <w:rFonts w:ascii="Times New Roman" w:hAnsi="Times New Roman"/>
          <w:sz w:val="24"/>
          <w:szCs w:val="24"/>
        </w:rPr>
        <w:t>,</w:t>
      </w:r>
      <w:r w:rsidR="00564E6C" w:rsidRPr="001C54C0">
        <w:rPr>
          <w:rFonts w:ascii="Times New Roman" w:hAnsi="Times New Roman"/>
          <w:sz w:val="24"/>
          <w:szCs w:val="24"/>
        </w:rPr>
        <w:t xml:space="preserve"> Avista believes that the 32 kWh per unit foundation laid within the 6</w:t>
      </w:r>
      <w:r w:rsidR="00564E6C" w:rsidRPr="001C54C0">
        <w:rPr>
          <w:rFonts w:ascii="Times New Roman" w:hAnsi="Times New Roman"/>
          <w:sz w:val="24"/>
          <w:szCs w:val="24"/>
          <w:vertAlign w:val="superscript"/>
        </w:rPr>
        <w:t>th</w:t>
      </w:r>
      <w:r w:rsidR="00564E6C" w:rsidRPr="001C54C0">
        <w:rPr>
          <w:rFonts w:ascii="Times New Roman" w:hAnsi="Times New Roman"/>
          <w:sz w:val="24"/>
          <w:szCs w:val="24"/>
        </w:rPr>
        <w:t xml:space="preserve"> Power Plan is the most appropriate estimate of energy savings for purposes of meeting Avista’s acquisition target.</w:t>
      </w:r>
    </w:p>
    <w:p w:rsidR="00564E6C" w:rsidRPr="001C54C0" w:rsidRDefault="00564E6C" w:rsidP="00564E6C">
      <w:pPr>
        <w:pStyle w:val="NoSpacing"/>
        <w:jc w:val="both"/>
        <w:rPr>
          <w:rFonts w:ascii="Times New Roman" w:hAnsi="Times New Roman"/>
          <w:sz w:val="24"/>
          <w:szCs w:val="24"/>
        </w:rPr>
      </w:pPr>
    </w:p>
    <w:p w:rsidR="00564E6C" w:rsidRDefault="00564E6C" w:rsidP="008D3A60">
      <w:pPr>
        <w:pStyle w:val="NoSpacing"/>
        <w:ind w:firstLine="720"/>
        <w:jc w:val="both"/>
        <w:rPr>
          <w:rFonts w:ascii="Times New Roman" w:hAnsi="Times New Roman"/>
          <w:sz w:val="24"/>
          <w:szCs w:val="24"/>
        </w:rPr>
      </w:pPr>
      <w:r w:rsidRPr="001C54C0">
        <w:rPr>
          <w:rFonts w:ascii="Times New Roman" w:hAnsi="Times New Roman"/>
          <w:sz w:val="24"/>
          <w:szCs w:val="24"/>
        </w:rPr>
        <w:t>Of perhaps most importance, implementi</w:t>
      </w:r>
      <w:r w:rsidR="00B960F3">
        <w:rPr>
          <w:rFonts w:ascii="Times New Roman" w:hAnsi="Times New Roman"/>
          <w:sz w:val="24"/>
          <w:szCs w:val="24"/>
        </w:rPr>
        <w:t>ng a state law should be done</w:t>
      </w:r>
      <w:r w:rsidRPr="001C54C0">
        <w:rPr>
          <w:rFonts w:ascii="Times New Roman" w:hAnsi="Times New Roman"/>
          <w:sz w:val="24"/>
          <w:szCs w:val="24"/>
        </w:rPr>
        <w:t xml:space="preserve"> consistently</w:t>
      </w:r>
      <w:r w:rsidR="00B960F3">
        <w:rPr>
          <w:rFonts w:ascii="Times New Roman" w:hAnsi="Times New Roman"/>
          <w:sz w:val="24"/>
          <w:szCs w:val="24"/>
        </w:rPr>
        <w:t>,</w:t>
      </w:r>
      <w:r w:rsidRPr="001C54C0">
        <w:rPr>
          <w:rFonts w:ascii="Times New Roman" w:hAnsi="Times New Roman"/>
          <w:sz w:val="24"/>
          <w:szCs w:val="24"/>
        </w:rPr>
        <w:t xml:space="preserve"> pursuant to regional and state standards.  Inland Power &amp; Light is a public utility contiguous to Avista. Inland is distributing 12 CFLs to customers with an</w:t>
      </w:r>
      <w:r w:rsidR="00414A37">
        <w:rPr>
          <w:rFonts w:ascii="Times New Roman" w:hAnsi="Times New Roman"/>
          <w:sz w:val="24"/>
          <w:szCs w:val="24"/>
        </w:rPr>
        <w:t xml:space="preserve"> opt-in option for 10 more.  </w:t>
      </w:r>
      <w:r w:rsidRPr="001C54C0">
        <w:rPr>
          <w:rFonts w:ascii="Times New Roman" w:hAnsi="Times New Roman"/>
          <w:sz w:val="24"/>
          <w:szCs w:val="24"/>
        </w:rPr>
        <w:t xml:space="preserve">Thus, on a per customer basis, Inland’s program is of a magnitude of 50% to 83% larger than Avista’s. Inland shares the same media market (and benefits from Avista’s energy efficiency messaging) and Inland customers have similar access to “big box” stores (e.g., Home Depot, Lowes, Wal-Mart) as well as smaller stores as do Avista customers. </w:t>
      </w:r>
      <w:r w:rsidR="00414A37">
        <w:rPr>
          <w:rFonts w:ascii="Times New Roman" w:hAnsi="Times New Roman"/>
          <w:sz w:val="24"/>
          <w:szCs w:val="24"/>
        </w:rPr>
        <w:t>Many Inland customers have a Spokane address.</w:t>
      </w:r>
      <w:r w:rsidRPr="001C54C0">
        <w:rPr>
          <w:rFonts w:ascii="Times New Roman" w:hAnsi="Times New Roman"/>
          <w:sz w:val="24"/>
          <w:szCs w:val="24"/>
        </w:rPr>
        <w:t xml:space="preserve"> </w:t>
      </w:r>
    </w:p>
    <w:p w:rsidR="00D261C9" w:rsidRDefault="00D261C9" w:rsidP="008D3A60">
      <w:pPr>
        <w:pStyle w:val="NoSpacing"/>
        <w:ind w:firstLine="720"/>
        <w:jc w:val="both"/>
        <w:rPr>
          <w:rFonts w:ascii="Times New Roman" w:hAnsi="Times New Roman"/>
          <w:sz w:val="24"/>
          <w:szCs w:val="24"/>
        </w:rPr>
      </w:pPr>
    </w:p>
    <w:p w:rsidR="00D261C9" w:rsidRDefault="00D261C9" w:rsidP="00D261C9">
      <w:pPr>
        <w:pStyle w:val="NoSpacing"/>
        <w:ind w:firstLine="720"/>
        <w:jc w:val="both"/>
        <w:rPr>
          <w:rFonts w:ascii="Times New Roman" w:hAnsi="Times New Roman"/>
          <w:sz w:val="24"/>
          <w:szCs w:val="24"/>
        </w:rPr>
      </w:pPr>
      <w:r>
        <w:rPr>
          <w:rFonts w:ascii="Times New Roman" w:hAnsi="Times New Roman"/>
          <w:sz w:val="24"/>
          <w:szCs w:val="24"/>
        </w:rPr>
        <w:t xml:space="preserve">In regards to the </w:t>
      </w:r>
      <w:r w:rsidR="00F91A9F">
        <w:rPr>
          <w:rFonts w:ascii="Times New Roman" w:hAnsi="Times New Roman"/>
          <w:sz w:val="24"/>
          <w:szCs w:val="24"/>
        </w:rPr>
        <w:t xml:space="preserve">final </w:t>
      </w:r>
      <w:r>
        <w:rPr>
          <w:rFonts w:ascii="Times New Roman" w:hAnsi="Times New Roman"/>
          <w:sz w:val="24"/>
          <w:szCs w:val="24"/>
        </w:rPr>
        <w:t>determination of the energy savings attributable to any and all of Avista’s CFL distributions, the Company’s program plan contains provisions for the collection of information to be used for future EM&amp;V as well as a preliminary outline of EM&amp;V to be carried out by the Company’s independent third-party evaluation contractor.  It has been and remains Avista’s contention that there is need for symmetry between the methodology used in the establishment of the acquisition target and the measurement of the target itself.  The Company will task our independent third-party evaluator to review the legitimacy of applying the unit energy savings inherent in the development of the 6th Power Plan.  Should these independent evaluators conclude that such an application is unsupportable, Avista will claim an acquisition credit based upon the results of the impact evaluation.</w:t>
      </w:r>
    </w:p>
    <w:p w:rsidR="0008276E" w:rsidRDefault="0008276E" w:rsidP="00506907">
      <w:pPr>
        <w:pStyle w:val="NoSpacing"/>
        <w:ind w:firstLine="720"/>
        <w:jc w:val="both"/>
        <w:rPr>
          <w:rFonts w:ascii="Times New Roman" w:hAnsi="Times New Roman"/>
          <w:sz w:val="24"/>
          <w:szCs w:val="24"/>
        </w:rPr>
      </w:pPr>
    </w:p>
    <w:p w:rsidR="0008276E" w:rsidRPr="001C54C0" w:rsidRDefault="0008276E" w:rsidP="00506907">
      <w:pPr>
        <w:pStyle w:val="NoSpacing"/>
        <w:ind w:firstLine="720"/>
        <w:jc w:val="both"/>
        <w:rPr>
          <w:rFonts w:ascii="Times New Roman" w:hAnsi="Times New Roman"/>
          <w:sz w:val="24"/>
          <w:szCs w:val="24"/>
        </w:rPr>
      </w:pPr>
      <w:r>
        <w:rPr>
          <w:rFonts w:ascii="Times New Roman" w:hAnsi="Times New Roman"/>
          <w:sz w:val="24"/>
          <w:szCs w:val="24"/>
        </w:rPr>
        <w:t>For these reasons, we recommend that the Commission approve our CFL program as filed.</w:t>
      </w:r>
    </w:p>
    <w:p w:rsidR="00564E6C" w:rsidRPr="001C54C0" w:rsidRDefault="00564E6C" w:rsidP="00506907">
      <w:pPr>
        <w:pStyle w:val="NoSpacing"/>
        <w:jc w:val="center"/>
        <w:rPr>
          <w:rFonts w:ascii="Times New Roman" w:hAnsi="Times New Roman"/>
          <w:b/>
          <w:sz w:val="24"/>
          <w:szCs w:val="24"/>
        </w:rPr>
      </w:pPr>
      <w:r w:rsidRPr="001C54C0">
        <w:rPr>
          <w:rFonts w:ascii="Times New Roman" w:hAnsi="Times New Roman"/>
          <w:b/>
          <w:sz w:val="24"/>
          <w:szCs w:val="24"/>
        </w:rPr>
        <w:lastRenderedPageBreak/>
        <w:t>Records Management and Reporting</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F50782">
      <w:pPr>
        <w:pStyle w:val="NoSpacing"/>
        <w:ind w:firstLine="720"/>
        <w:jc w:val="both"/>
        <w:rPr>
          <w:rFonts w:ascii="Times New Roman" w:hAnsi="Times New Roman"/>
          <w:sz w:val="24"/>
          <w:szCs w:val="24"/>
        </w:rPr>
      </w:pPr>
      <w:r w:rsidRPr="001C54C0">
        <w:rPr>
          <w:rFonts w:ascii="Times New Roman" w:hAnsi="Times New Roman"/>
          <w:sz w:val="24"/>
          <w:szCs w:val="24"/>
        </w:rPr>
        <w:t xml:space="preserve">Public Counsel </w:t>
      </w:r>
      <w:r w:rsidR="00B960F3">
        <w:rPr>
          <w:rFonts w:ascii="Times New Roman" w:hAnsi="Times New Roman"/>
          <w:sz w:val="24"/>
          <w:szCs w:val="24"/>
        </w:rPr>
        <w:t>expresses</w:t>
      </w:r>
      <w:r w:rsidRPr="001C54C0">
        <w:rPr>
          <w:rFonts w:ascii="Times New Roman" w:hAnsi="Times New Roman"/>
          <w:sz w:val="24"/>
          <w:szCs w:val="24"/>
        </w:rPr>
        <w:t xml:space="preserve"> </w:t>
      </w:r>
      <w:r w:rsidR="00B960F3">
        <w:rPr>
          <w:rFonts w:ascii="Times New Roman" w:hAnsi="Times New Roman"/>
          <w:sz w:val="24"/>
          <w:szCs w:val="24"/>
        </w:rPr>
        <w:t>concern</w:t>
      </w:r>
      <w:r w:rsidRPr="001C54C0">
        <w:rPr>
          <w:rFonts w:ascii="Times New Roman" w:hAnsi="Times New Roman"/>
          <w:sz w:val="24"/>
          <w:szCs w:val="24"/>
        </w:rPr>
        <w:t xml:space="preserve"> about multiple issues in what can be categorized as “records management and reporting</w:t>
      </w:r>
      <w:r w:rsidR="00522088">
        <w:rPr>
          <w:rFonts w:ascii="Times New Roman" w:hAnsi="Times New Roman"/>
          <w:sz w:val="24"/>
          <w:szCs w:val="24"/>
        </w:rPr>
        <w:t>.”</w:t>
      </w:r>
      <w:r w:rsidR="00522088" w:rsidRPr="001C54C0">
        <w:rPr>
          <w:rFonts w:ascii="Times New Roman" w:hAnsi="Times New Roman"/>
          <w:sz w:val="24"/>
          <w:szCs w:val="24"/>
        </w:rPr>
        <w:t xml:space="preserve">  </w:t>
      </w:r>
      <w:r w:rsidRPr="001C54C0">
        <w:rPr>
          <w:rFonts w:ascii="Times New Roman" w:hAnsi="Times New Roman"/>
          <w:sz w:val="24"/>
          <w:szCs w:val="24"/>
        </w:rPr>
        <w:t>Public Counsel denotes these as descri</w:t>
      </w:r>
      <w:r w:rsidR="00F50782">
        <w:rPr>
          <w:rFonts w:ascii="Times New Roman" w:hAnsi="Times New Roman"/>
          <w:sz w:val="24"/>
          <w:szCs w:val="24"/>
        </w:rPr>
        <w:t>bed by the following headers (and</w:t>
      </w:r>
      <w:r w:rsidRPr="001C54C0">
        <w:rPr>
          <w:rFonts w:ascii="Times New Roman" w:hAnsi="Times New Roman"/>
          <w:sz w:val="24"/>
          <w:szCs w:val="24"/>
        </w:rPr>
        <w:t xml:space="preserve"> referenced by the page number they occur in their comments):</w:t>
      </w:r>
    </w:p>
    <w:p w:rsidR="00564E6C" w:rsidRPr="001C54C0" w:rsidRDefault="00564E6C" w:rsidP="00564E6C">
      <w:pPr>
        <w:pStyle w:val="NoSpacing"/>
        <w:jc w:val="both"/>
        <w:rPr>
          <w:rFonts w:ascii="Times New Roman" w:hAnsi="Times New Roman"/>
          <w:sz w:val="24"/>
          <w:szCs w:val="24"/>
        </w:rPr>
      </w:pPr>
    </w:p>
    <w:p w:rsidR="00F50782" w:rsidRDefault="00F50782" w:rsidP="00564E6C">
      <w:pPr>
        <w:pStyle w:val="NoSpacing"/>
        <w:jc w:val="both"/>
        <w:rPr>
          <w:rFonts w:ascii="Times New Roman" w:hAnsi="Times New Roman"/>
          <w:sz w:val="24"/>
          <w:szCs w:val="24"/>
        </w:rPr>
      </w:pP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7:  </w:t>
      </w:r>
      <w:r w:rsidR="00F50782">
        <w:rPr>
          <w:rFonts w:ascii="Times New Roman" w:hAnsi="Times New Roman"/>
          <w:sz w:val="24"/>
          <w:szCs w:val="24"/>
        </w:rPr>
        <w:t xml:space="preserve"> </w:t>
      </w:r>
      <w:r w:rsidRPr="001C54C0">
        <w:rPr>
          <w:rFonts w:ascii="Times New Roman" w:hAnsi="Times New Roman"/>
          <w:sz w:val="24"/>
          <w:szCs w:val="24"/>
        </w:rPr>
        <w:t>“Avista’s Tracking of DSM Expenditures”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7: </w:t>
      </w:r>
      <w:r w:rsidR="00F50782">
        <w:rPr>
          <w:rFonts w:ascii="Times New Roman" w:hAnsi="Times New Roman"/>
          <w:sz w:val="24"/>
          <w:szCs w:val="24"/>
        </w:rPr>
        <w:t xml:space="preserve">  </w:t>
      </w:r>
      <w:r w:rsidRPr="001C54C0">
        <w:rPr>
          <w:rFonts w:ascii="Times New Roman" w:hAnsi="Times New Roman"/>
          <w:sz w:val="24"/>
          <w:szCs w:val="24"/>
        </w:rPr>
        <w:t>“Allocation of DSM Labor and Administrative Expenditures”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Page 8:   “10% Limitation for Programs without Measured Savings”</w:t>
      </w:r>
    </w:p>
    <w:p w:rsidR="00F50782"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9:  </w:t>
      </w:r>
      <w:r w:rsidR="00F50782">
        <w:rPr>
          <w:rFonts w:ascii="Times New Roman" w:hAnsi="Times New Roman"/>
          <w:sz w:val="24"/>
          <w:szCs w:val="24"/>
        </w:rPr>
        <w:t xml:space="preserve"> </w:t>
      </w:r>
      <w:r w:rsidRPr="001C54C0">
        <w:rPr>
          <w:rFonts w:ascii="Times New Roman" w:hAnsi="Times New Roman"/>
          <w:sz w:val="24"/>
          <w:szCs w:val="24"/>
        </w:rPr>
        <w:t xml:space="preserve">“Need for Enhanced Controls in Avista’s Tracking and Processing of Non-residential </w:t>
      </w:r>
    </w:p>
    <w:p w:rsidR="00564E6C" w:rsidRPr="001C54C0" w:rsidRDefault="00F50782" w:rsidP="00F50782">
      <w:pPr>
        <w:pStyle w:val="NoSpacing"/>
        <w:ind w:left="720"/>
        <w:jc w:val="both"/>
        <w:rPr>
          <w:rFonts w:ascii="Times New Roman" w:hAnsi="Times New Roman"/>
          <w:sz w:val="24"/>
          <w:szCs w:val="24"/>
        </w:rPr>
      </w:pPr>
      <w:r>
        <w:rPr>
          <w:rFonts w:ascii="Times New Roman" w:hAnsi="Times New Roman"/>
          <w:sz w:val="24"/>
          <w:szCs w:val="24"/>
        </w:rPr>
        <w:t xml:space="preserve">    </w:t>
      </w:r>
      <w:r w:rsidR="00564E6C" w:rsidRPr="001C54C0">
        <w:rPr>
          <w:rFonts w:ascii="Times New Roman" w:hAnsi="Times New Roman"/>
          <w:sz w:val="24"/>
          <w:szCs w:val="24"/>
        </w:rPr>
        <w:t>Rebates”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 xml:space="preserve">Page 9: </w:t>
      </w:r>
      <w:r w:rsidR="00F50782">
        <w:rPr>
          <w:rFonts w:ascii="Times New Roman" w:hAnsi="Times New Roman"/>
          <w:sz w:val="24"/>
          <w:szCs w:val="24"/>
        </w:rPr>
        <w:t xml:space="preserve"> </w:t>
      </w:r>
      <w:r w:rsidRPr="001C54C0">
        <w:rPr>
          <w:rFonts w:ascii="Times New Roman" w:hAnsi="Times New Roman"/>
          <w:sz w:val="24"/>
          <w:szCs w:val="24"/>
        </w:rPr>
        <w:t xml:space="preserve"> “Avista’s Tracking and Processing of Residential Rebates”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Page 10: “Fuel Conversion – Need for Reporting of Interactive Effects”</w:t>
      </w:r>
    </w:p>
    <w:p w:rsidR="00564E6C" w:rsidRPr="001C54C0" w:rsidRDefault="00564E6C" w:rsidP="00564E6C">
      <w:pPr>
        <w:pStyle w:val="NoSpacing"/>
        <w:jc w:val="both"/>
        <w:rPr>
          <w:rFonts w:ascii="Times New Roman" w:hAnsi="Times New Roman"/>
          <w:sz w:val="24"/>
          <w:szCs w:val="24"/>
        </w:rPr>
      </w:pPr>
      <w:r w:rsidRPr="001C54C0">
        <w:rPr>
          <w:rFonts w:ascii="Times New Roman" w:hAnsi="Times New Roman"/>
          <w:sz w:val="24"/>
          <w:szCs w:val="24"/>
        </w:rPr>
        <w:t>Page 10: “Inclusion of Savings from Prior Periods in 2010 Annual Report”</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 xml:space="preserve">All but one of these sections is conditioned with language such as “having the </w:t>
      </w:r>
      <w:r w:rsidRPr="001C54C0">
        <w:rPr>
          <w:rFonts w:ascii="Times New Roman" w:hAnsi="Times New Roman"/>
          <w:i/>
          <w:sz w:val="24"/>
          <w:szCs w:val="24"/>
        </w:rPr>
        <w:t>potential</w:t>
      </w:r>
      <w:r w:rsidRPr="001C54C0">
        <w:rPr>
          <w:rFonts w:ascii="Times New Roman" w:hAnsi="Times New Roman"/>
          <w:sz w:val="24"/>
          <w:szCs w:val="24"/>
        </w:rPr>
        <w:t xml:space="preserve"> for…” or </w:t>
      </w:r>
      <w:r w:rsidRPr="001C54C0">
        <w:rPr>
          <w:rFonts w:ascii="Times New Roman" w:hAnsi="Times New Roman"/>
          <w:i/>
          <w:sz w:val="24"/>
          <w:szCs w:val="24"/>
        </w:rPr>
        <w:t>increased costs</w:t>
      </w:r>
      <w:r w:rsidRPr="001C54C0">
        <w:rPr>
          <w:rFonts w:ascii="Times New Roman" w:hAnsi="Times New Roman"/>
          <w:sz w:val="24"/>
          <w:szCs w:val="24"/>
        </w:rPr>
        <w:t xml:space="preserve"> would </w:t>
      </w:r>
      <w:r w:rsidRPr="001D4F66">
        <w:rPr>
          <w:rFonts w:ascii="Times New Roman" w:hAnsi="Times New Roman"/>
          <w:i/>
          <w:sz w:val="24"/>
          <w:szCs w:val="24"/>
        </w:rPr>
        <w:t>likely</w:t>
      </w:r>
      <w:r w:rsidRPr="001C54C0">
        <w:rPr>
          <w:rFonts w:ascii="Times New Roman" w:hAnsi="Times New Roman"/>
          <w:sz w:val="24"/>
          <w:szCs w:val="24"/>
        </w:rPr>
        <w:t xml:space="preserve"> occur, or is based on </w:t>
      </w:r>
      <w:r w:rsidRPr="001C54C0">
        <w:rPr>
          <w:rFonts w:ascii="Times New Roman" w:hAnsi="Times New Roman"/>
          <w:i/>
          <w:sz w:val="24"/>
          <w:szCs w:val="24"/>
        </w:rPr>
        <w:t>one or a few records</w:t>
      </w:r>
      <w:r w:rsidRPr="001C54C0">
        <w:rPr>
          <w:rFonts w:ascii="Times New Roman" w:hAnsi="Times New Roman"/>
          <w:sz w:val="24"/>
          <w:szCs w:val="24"/>
        </w:rPr>
        <w:t>.</w:t>
      </w:r>
      <w:r w:rsidRPr="001C54C0">
        <w:rPr>
          <w:rStyle w:val="FootnoteReference"/>
          <w:rFonts w:ascii="Times New Roman" w:hAnsi="Times New Roman"/>
          <w:sz w:val="24"/>
          <w:szCs w:val="24"/>
        </w:rPr>
        <w:footnoteReference w:id="7"/>
      </w:r>
      <w:r w:rsidRPr="001C54C0">
        <w:rPr>
          <w:rFonts w:ascii="Times New Roman" w:hAnsi="Times New Roman"/>
          <w:sz w:val="24"/>
          <w:szCs w:val="24"/>
        </w:rPr>
        <w:t xml:space="preserve">  [Emphasis added]  Avista believes that the appearance of potential problems contained in Public Counsel’s four pages of comments on this topic is not commensurate with actual performance</w:t>
      </w:r>
      <w:r w:rsidR="00B960F3">
        <w:rPr>
          <w:rFonts w:ascii="Times New Roman" w:hAnsi="Times New Roman"/>
          <w:sz w:val="24"/>
          <w:szCs w:val="24"/>
        </w:rPr>
        <w:t xml:space="preserve"> of Avista’s operations</w:t>
      </w:r>
      <w:r w:rsidRPr="001C54C0">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B960F3" w:rsidP="00506907">
      <w:pPr>
        <w:pStyle w:val="NoSpacing"/>
        <w:ind w:firstLine="720"/>
        <w:jc w:val="both"/>
        <w:rPr>
          <w:rFonts w:ascii="Times New Roman" w:hAnsi="Times New Roman"/>
          <w:sz w:val="24"/>
          <w:szCs w:val="24"/>
        </w:rPr>
      </w:pPr>
      <w:r>
        <w:rPr>
          <w:rFonts w:ascii="Times New Roman" w:hAnsi="Times New Roman"/>
          <w:sz w:val="24"/>
          <w:szCs w:val="24"/>
        </w:rPr>
        <w:t xml:space="preserve">Rather, </w:t>
      </w:r>
      <w:r w:rsidR="00564E6C" w:rsidRPr="001C54C0">
        <w:rPr>
          <w:rFonts w:ascii="Times New Roman" w:hAnsi="Times New Roman"/>
          <w:sz w:val="24"/>
          <w:szCs w:val="24"/>
        </w:rPr>
        <w:t xml:space="preserve">Public Counsel’s comments suggest that their auditing practices, their apparent position on materiality, and the cost and benefit implications to customers of suggested “improvements” need to be addressed so that there is alignment with the respective understanding of Avista and other parties.  </w:t>
      </w:r>
      <w:r w:rsidR="0008276E" w:rsidRPr="001C54C0">
        <w:rPr>
          <w:rFonts w:ascii="Times New Roman" w:hAnsi="Times New Roman"/>
          <w:sz w:val="24"/>
          <w:szCs w:val="24"/>
        </w:rPr>
        <w:t xml:space="preserve">For example, despite scrutiny of Avista’s DSM programs in Washington and Idaho, only Public Counsel has raised these questions.  </w:t>
      </w:r>
      <w:r w:rsidR="00564E6C" w:rsidRPr="001C54C0">
        <w:rPr>
          <w:rFonts w:ascii="Times New Roman" w:hAnsi="Times New Roman"/>
          <w:sz w:val="24"/>
          <w:szCs w:val="24"/>
        </w:rPr>
        <w:t xml:space="preserve">Generally </w:t>
      </w:r>
      <w:r w:rsidR="008D61D3">
        <w:rPr>
          <w:rFonts w:ascii="Times New Roman" w:hAnsi="Times New Roman"/>
          <w:sz w:val="24"/>
          <w:szCs w:val="24"/>
        </w:rPr>
        <w:t>A</w:t>
      </w:r>
      <w:r w:rsidR="00564E6C" w:rsidRPr="001C54C0">
        <w:rPr>
          <w:rFonts w:ascii="Times New Roman" w:hAnsi="Times New Roman"/>
          <w:sz w:val="24"/>
          <w:szCs w:val="24"/>
        </w:rPr>
        <w:t xml:space="preserve">ccepted </w:t>
      </w:r>
      <w:r w:rsidR="008D61D3">
        <w:rPr>
          <w:rFonts w:ascii="Times New Roman" w:hAnsi="Times New Roman"/>
          <w:sz w:val="24"/>
          <w:szCs w:val="24"/>
        </w:rPr>
        <w:t>A</w:t>
      </w:r>
      <w:r w:rsidR="00564E6C" w:rsidRPr="001C54C0">
        <w:rPr>
          <w:rFonts w:ascii="Times New Roman" w:hAnsi="Times New Roman"/>
          <w:sz w:val="24"/>
          <w:szCs w:val="24"/>
        </w:rPr>
        <w:t xml:space="preserve">ccounting </w:t>
      </w:r>
      <w:r w:rsidR="008D61D3">
        <w:rPr>
          <w:rFonts w:ascii="Times New Roman" w:hAnsi="Times New Roman"/>
          <w:sz w:val="24"/>
          <w:szCs w:val="24"/>
        </w:rPr>
        <w:t>P</w:t>
      </w:r>
      <w:r w:rsidR="00564E6C" w:rsidRPr="001C54C0">
        <w:rPr>
          <w:rFonts w:ascii="Times New Roman" w:hAnsi="Times New Roman"/>
          <w:sz w:val="24"/>
          <w:szCs w:val="24"/>
        </w:rPr>
        <w:t xml:space="preserve">rinciples </w:t>
      </w:r>
      <w:r w:rsidR="0008276E">
        <w:rPr>
          <w:rFonts w:ascii="Times New Roman" w:hAnsi="Times New Roman"/>
          <w:sz w:val="24"/>
          <w:szCs w:val="24"/>
        </w:rPr>
        <w:t xml:space="preserve">for review of books and records, as well as </w:t>
      </w:r>
      <w:r w:rsidR="00564E6C" w:rsidRPr="001C54C0">
        <w:rPr>
          <w:rFonts w:ascii="Times New Roman" w:hAnsi="Times New Roman"/>
          <w:sz w:val="24"/>
          <w:szCs w:val="24"/>
        </w:rPr>
        <w:t>standards for auditing</w:t>
      </w:r>
      <w:r w:rsidR="0008276E">
        <w:rPr>
          <w:rFonts w:ascii="Times New Roman" w:hAnsi="Times New Roman"/>
          <w:sz w:val="24"/>
          <w:szCs w:val="24"/>
        </w:rPr>
        <w:t>,</w:t>
      </w:r>
      <w:r w:rsidR="00564E6C" w:rsidRPr="001C54C0">
        <w:rPr>
          <w:rFonts w:ascii="Times New Roman" w:hAnsi="Times New Roman"/>
          <w:sz w:val="24"/>
          <w:szCs w:val="24"/>
        </w:rPr>
        <w:t xml:space="preserve"> include random sampling per statistical protocols and appropriate extrapolation of results to arrive at meaningful findings. </w:t>
      </w:r>
      <w:r w:rsidR="001D4F66">
        <w:rPr>
          <w:rFonts w:ascii="Times New Roman" w:hAnsi="Times New Roman"/>
          <w:sz w:val="24"/>
          <w:szCs w:val="24"/>
        </w:rPr>
        <w:t xml:space="preserve"> </w:t>
      </w:r>
      <w:r w:rsidR="00564E6C" w:rsidRPr="001C54C0">
        <w:rPr>
          <w:rFonts w:ascii="Times New Roman" w:hAnsi="Times New Roman"/>
          <w:sz w:val="24"/>
          <w:szCs w:val="24"/>
        </w:rPr>
        <w:t xml:space="preserve">Materiality is also a standard underlying such analyses.  </w:t>
      </w:r>
    </w:p>
    <w:p w:rsidR="00564E6C" w:rsidRPr="001C54C0" w:rsidRDefault="00564E6C" w:rsidP="00564E6C">
      <w:pPr>
        <w:pStyle w:val="NoSpacing"/>
        <w:jc w:val="both"/>
        <w:rPr>
          <w:rFonts w:ascii="Times New Roman" w:hAnsi="Times New Roman"/>
          <w:sz w:val="24"/>
          <w:szCs w:val="24"/>
        </w:rPr>
      </w:pPr>
    </w:p>
    <w:p w:rsidR="0095724A"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We are concerned a</w:t>
      </w:r>
      <w:r w:rsidR="0008276E">
        <w:rPr>
          <w:rFonts w:ascii="Times New Roman" w:hAnsi="Times New Roman"/>
          <w:sz w:val="24"/>
          <w:szCs w:val="24"/>
        </w:rPr>
        <w:t>bout Public Counsel</w:t>
      </w:r>
      <w:r w:rsidR="002B287E">
        <w:rPr>
          <w:rFonts w:ascii="Times New Roman" w:hAnsi="Times New Roman"/>
          <w:sz w:val="24"/>
          <w:szCs w:val="24"/>
        </w:rPr>
        <w:t>’s</w:t>
      </w:r>
      <w:r w:rsidR="0008276E">
        <w:rPr>
          <w:rFonts w:ascii="Times New Roman" w:hAnsi="Times New Roman"/>
          <w:sz w:val="24"/>
          <w:szCs w:val="24"/>
        </w:rPr>
        <w:t xml:space="preserve"> suppositions</w:t>
      </w:r>
      <w:r w:rsidRPr="001C54C0">
        <w:rPr>
          <w:rFonts w:ascii="Times New Roman" w:hAnsi="Times New Roman"/>
          <w:sz w:val="24"/>
          <w:szCs w:val="24"/>
        </w:rPr>
        <w:t>. We hope that these issues can be appropriately addressed as part of our approach to stakeholder input.  Our Advisory Group continues to evolve to meet current needs.  In January of this year Avista reconfigured the External Energy Efficiency (“Triple E”) Board into a policy-based Advisory Group to provide input on our Washington “Ten Conditions” and Idaho DSM issues</w:t>
      </w:r>
      <w:r w:rsidR="004B1409">
        <w:rPr>
          <w:rFonts w:ascii="Times New Roman" w:hAnsi="Times New Roman"/>
          <w:sz w:val="24"/>
          <w:szCs w:val="24"/>
        </w:rPr>
        <w:t xml:space="preserve"> and </w:t>
      </w:r>
      <w:r w:rsidRPr="001C54C0">
        <w:rPr>
          <w:rFonts w:ascii="Times New Roman" w:hAnsi="Times New Roman"/>
          <w:sz w:val="24"/>
          <w:szCs w:val="24"/>
        </w:rPr>
        <w:t>a Technical Committee to provide a “deeper dive” for those expert</w:t>
      </w:r>
      <w:r w:rsidR="0095724A">
        <w:rPr>
          <w:rFonts w:ascii="Times New Roman" w:hAnsi="Times New Roman"/>
          <w:sz w:val="24"/>
          <w:szCs w:val="24"/>
        </w:rPr>
        <w:t>s</w:t>
      </w:r>
      <w:r w:rsidRPr="001C54C0">
        <w:rPr>
          <w:rFonts w:ascii="Times New Roman" w:hAnsi="Times New Roman"/>
          <w:sz w:val="24"/>
          <w:szCs w:val="24"/>
        </w:rPr>
        <w:t xml:space="preserve"> in DSM analyses. In addition, we are pursuing a customer-based approach for customers to provide programmatic feedback.  This reconfiguration was done to be responsive to the Ten Conditions (requiring advisory group meetings “at least once per quarter”) and associated issues.  </w:t>
      </w:r>
    </w:p>
    <w:p w:rsidR="0095724A" w:rsidRDefault="0095724A" w:rsidP="00506907">
      <w:pPr>
        <w:pStyle w:val="NoSpacing"/>
        <w:ind w:firstLine="720"/>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lastRenderedPageBreak/>
        <w:t xml:space="preserve">Avista is committed to having best-in-class procedures, </w:t>
      </w:r>
      <w:r w:rsidR="0095724A">
        <w:rPr>
          <w:rFonts w:ascii="Times New Roman" w:hAnsi="Times New Roman"/>
          <w:sz w:val="24"/>
          <w:szCs w:val="24"/>
        </w:rPr>
        <w:t xml:space="preserve">and </w:t>
      </w:r>
      <w:r w:rsidRPr="001C54C0">
        <w:rPr>
          <w:rFonts w:ascii="Times New Roman" w:hAnsi="Times New Roman"/>
          <w:sz w:val="24"/>
          <w:szCs w:val="24"/>
        </w:rPr>
        <w:t>does not believe the issues are of the magnitude suggested or stated by Public Counsel</w:t>
      </w:r>
      <w:r w:rsidR="004B1409">
        <w:rPr>
          <w:rFonts w:ascii="Times New Roman" w:hAnsi="Times New Roman"/>
          <w:sz w:val="24"/>
          <w:szCs w:val="24"/>
        </w:rPr>
        <w:t xml:space="preserve"> in its comments</w:t>
      </w:r>
      <w:r w:rsidRPr="001C54C0">
        <w:rPr>
          <w:rFonts w:ascii="Times New Roman" w:hAnsi="Times New Roman"/>
          <w:sz w:val="24"/>
          <w:szCs w:val="24"/>
        </w:rPr>
        <w:t>, and would welcome the opportunity to demonstrate this to Public Counsel on an ongoing basis</w:t>
      </w:r>
      <w:r w:rsidR="0095724A">
        <w:rPr>
          <w:rFonts w:ascii="Times New Roman" w:hAnsi="Times New Roman"/>
          <w:sz w:val="24"/>
          <w:szCs w:val="24"/>
        </w:rPr>
        <w:t xml:space="preserve"> by </w:t>
      </w:r>
      <w:r w:rsidRPr="001C54C0">
        <w:rPr>
          <w:rFonts w:ascii="Times New Roman" w:hAnsi="Times New Roman"/>
          <w:sz w:val="24"/>
          <w:szCs w:val="24"/>
        </w:rPr>
        <w:t>provid</w:t>
      </w:r>
      <w:r w:rsidR="0095724A">
        <w:rPr>
          <w:rFonts w:ascii="Times New Roman" w:hAnsi="Times New Roman"/>
          <w:sz w:val="24"/>
          <w:szCs w:val="24"/>
        </w:rPr>
        <w:t>ing</w:t>
      </w:r>
      <w:r w:rsidRPr="001C54C0">
        <w:rPr>
          <w:rFonts w:ascii="Times New Roman" w:hAnsi="Times New Roman"/>
          <w:sz w:val="24"/>
          <w:szCs w:val="24"/>
        </w:rPr>
        <w:t xml:space="preserve"> full and immediate access to our books, records, and data </w:t>
      </w:r>
      <w:r w:rsidR="00492757">
        <w:rPr>
          <w:rFonts w:ascii="Times New Roman" w:hAnsi="Times New Roman"/>
          <w:sz w:val="24"/>
          <w:szCs w:val="24"/>
        </w:rPr>
        <w:t>management systems (i.e., our vault</w:t>
      </w:r>
      <w:r w:rsidRPr="001C54C0">
        <w:rPr>
          <w:rFonts w:ascii="Times New Roman" w:hAnsi="Times New Roman"/>
          <w:sz w:val="24"/>
          <w:szCs w:val="24"/>
        </w:rPr>
        <w:t xml:space="preserve"> and archives housing paper records and ou</w:t>
      </w:r>
      <w:r w:rsidR="00492757">
        <w:rPr>
          <w:rFonts w:ascii="Times New Roman" w:hAnsi="Times New Roman"/>
          <w:sz w:val="24"/>
          <w:szCs w:val="24"/>
        </w:rPr>
        <w:t>r electronic data bases</w:t>
      </w:r>
      <w:r w:rsidRPr="001C54C0">
        <w:rPr>
          <w:rFonts w:ascii="Times New Roman" w:hAnsi="Times New Roman"/>
          <w:sz w:val="24"/>
          <w:szCs w:val="24"/>
        </w:rPr>
        <w:t>)</w:t>
      </w:r>
      <w:r w:rsidR="0095724A">
        <w:rPr>
          <w:rFonts w:ascii="Times New Roman" w:hAnsi="Times New Roman"/>
          <w:sz w:val="24"/>
          <w:szCs w:val="24"/>
        </w:rPr>
        <w:t xml:space="preserve"> on-site in Spokane</w:t>
      </w:r>
      <w:r w:rsidRPr="001C54C0">
        <w:rPr>
          <w:rFonts w:ascii="Times New Roman" w:hAnsi="Times New Roman"/>
          <w:sz w:val="24"/>
          <w:szCs w:val="24"/>
        </w:rPr>
        <w:t>.</w:t>
      </w:r>
    </w:p>
    <w:p w:rsidR="00564E6C" w:rsidRPr="001C54C0" w:rsidRDefault="00564E6C" w:rsidP="00564E6C">
      <w:pPr>
        <w:pStyle w:val="NoSpacing"/>
        <w:jc w:val="both"/>
        <w:rPr>
          <w:rFonts w:ascii="Times New Roman" w:hAnsi="Times New Roman"/>
          <w:sz w:val="24"/>
          <w:szCs w:val="24"/>
        </w:rPr>
      </w:pPr>
    </w:p>
    <w:p w:rsidR="00F50782" w:rsidRPr="001C54C0" w:rsidRDefault="00F50782" w:rsidP="0087141A">
      <w:pPr>
        <w:pStyle w:val="NoSpacing"/>
        <w:ind w:firstLine="720"/>
        <w:jc w:val="both"/>
        <w:rPr>
          <w:rFonts w:ascii="Times New Roman" w:hAnsi="Times New Roman"/>
          <w:sz w:val="24"/>
          <w:szCs w:val="24"/>
        </w:rPr>
      </w:pPr>
      <w:r w:rsidRPr="001C54C0">
        <w:rPr>
          <w:rFonts w:ascii="Times New Roman" w:hAnsi="Times New Roman"/>
          <w:sz w:val="24"/>
          <w:szCs w:val="24"/>
        </w:rPr>
        <w:t xml:space="preserve">We appreciate Public Counsel’s </w:t>
      </w:r>
      <w:r w:rsidR="00492757">
        <w:rPr>
          <w:rFonts w:ascii="Times New Roman" w:hAnsi="Times New Roman"/>
          <w:sz w:val="24"/>
          <w:szCs w:val="24"/>
        </w:rPr>
        <w:t>increasing understanding of our systems and</w:t>
      </w:r>
      <w:r w:rsidRPr="001C54C0">
        <w:rPr>
          <w:rFonts w:ascii="Times New Roman" w:hAnsi="Times New Roman"/>
          <w:sz w:val="24"/>
          <w:szCs w:val="24"/>
        </w:rPr>
        <w:t xml:space="preserve"> how we’ve been processing our work over the years</w:t>
      </w:r>
      <w:r w:rsidR="00492757">
        <w:rPr>
          <w:rFonts w:ascii="Times New Roman" w:hAnsi="Times New Roman"/>
          <w:sz w:val="24"/>
          <w:szCs w:val="24"/>
        </w:rPr>
        <w:t>,</w:t>
      </w:r>
      <w:r w:rsidRPr="001C54C0">
        <w:rPr>
          <w:rFonts w:ascii="Times New Roman" w:hAnsi="Times New Roman"/>
          <w:sz w:val="24"/>
          <w:szCs w:val="24"/>
        </w:rPr>
        <w:t xml:space="preserve"> and performing its first on-site </w:t>
      </w:r>
      <w:r w:rsidR="00B960F3">
        <w:rPr>
          <w:rFonts w:ascii="Times New Roman" w:hAnsi="Times New Roman"/>
          <w:sz w:val="24"/>
          <w:szCs w:val="24"/>
        </w:rPr>
        <w:t xml:space="preserve">DSM </w:t>
      </w:r>
      <w:r w:rsidRPr="001C54C0">
        <w:rPr>
          <w:rFonts w:ascii="Times New Roman" w:hAnsi="Times New Roman"/>
          <w:sz w:val="24"/>
          <w:szCs w:val="24"/>
        </w:rPr>
        <w:t xml:space="preserve">audit in recent memory.  We look forward to </w:t>
      </w:r>
      <w:r w:rsidR="00492757">
        <w:rPr>
          <w:rFonts w:ascii="Times New Roman" w:hAnsi="Times New Roman"/>
          <w:sz w:val="24"/>
          <w:szCs w:val="24"/>
        </w:rPr>
        <w:t>improving</w:t>
      </w:r>
      <w:r w:rsidRPr="001C54C0">
        <w:rPr>
          <w:rFonts w:ascii="Times New Roman" w:hAnsi="Times New Roman"/>
          <w:sz w:val="24"/>
          <w:szCs w:val="24"/>
        </w:rPr>
        <w:t xml:space="preserve"> </w:t>
      </w:r>
      <w:r w:rsidR="0095724A">
        <w:rPr>
          <w:rFonts w:ascii="Times New Roman" w:hAnsi="Times New Roman"/>
          <w:sz w:val="24"/>
          <w:szCs w:val="24"/>
        </w:rPr>
        <w:t xml:space="preserve">a </w:t>
      </w:r>
      <w:r w:rsidRPr="001C54C0">
        <w:rPr>
          <w:rFonts w:ascii="Times New Roman" w:hAnsi="Times New Roman"/>
          <w:sz w:val="24"/>
          <w:szCs w:val="24"/>
        </w:rPr>
        <w:t>joint understanding of our recor</w:t>
      </w:r>
      <w:r w:rsidR="00492757">
        <w:rPr>
          <w:rFonts w:ascii="Times New Roman" w:hAnsi="Times New Roman"/>
          <w:sz w:val="24"/>
          <w:szCs w:val="24"/>
        </w:rPr>
        <w:t xml:space="preserve">ds </w:t>
      </w:r>
      <w:r w:rsidR="0095724A">
        <w:rPr>
          <w:rFonts w:ascii="Times New Roman" w:hAnsi="Times New Roman"/>
          <w:sz w:val="24"/>
          <w:szCs w:val="24"/>
        </w:rPr>
        <w:t xml:space="preserve">and record management with </w:t>
      </w:r>
      <w:r w:rsidR="00492757">
        <w:rPr>
          <w:rFonts w:ascii="Times New Roman" w:hAnsi="Times New Roman"/>
          <w:sz w:val="24"/>
          <w:szCs w:val="24"/>
        </w:rPr>
        <w:t>Public Counsel</w:t>
      </w:r>
      <w:r w:rsidR="0095724A">
        <w:rPr>
          <w:rFonts w:ascii="Times New Roman" w:hAnsi="Times New Roman"/>
          <w:sz w:val="24"/>
          <w:szCs w:val="24"/>
        </w:rPr>
        <w:t>.</w:t>
      </w:r>
      <w:r w:rsidR="00492757">
        <w:rPr>
          <w:rFonts w:ascii="Times New Roman" w:hAnsi="Times New Roman"/>
          <w:sz w:val="24"/>
          <w:szCs w:val="24"/>
        </w:rPr>
        <w:t xml:space="preserve"> </w:t>
      </w:r>
    </w:p>
    <w:p w:rsidR="00564E6C" w:rsidRPr="001C54C0" w:rsidRDefault="00564E6C" w:rsidP="00564E6C">
      <w:pPr>
        <w:pStyle w:val="NoSpacing"/>
        <w:jc w:val="both"/>
        <w:rPr>
          <w:rFonts w:ascii="Times New Roman" w:hAnsi="Times New Roman"/>
          <w:sz w:val="24"/>
          <w:szCs w:val="24"/>
        </w:rPr>
      </w:pPr>
    </w:p>
    <w:p w:rsidR="00564E6C" w:rsidRPr="001C54C0" w:rsidRDefault="00564E6C" w:rsidP="00506907">
      <w:pPr>
        <w:pStyle w:val="NoSpacing"/>
        <w:ind w:firstLine="720"/>
        <w:jc w:val="both"/>
        <w:rPr>
          <w:rFonts w:ascii="Times New Roman" w:hAnsi="Times New Roman"/>
          <w:sz w:val="24"/>
          <w:szCs w:val="24"/>
        </w:rPr>
      </w:pPr>
      <w:r w:rsidRPr="001C54C0">
        <w:rPr>
          <w:rFonts w:ascii="Times New Roman" w:hAnsi="Times New Roman"/>
          <w:sz w:val="24"/>
          <w:szCs w:val="24"/>
        </w:rPr>
        <w:t>In conclusion, Avista recommends that:</w:t>
      </w:r>
    </w:p>
    <w:p w:rsidR="00564E6C" w:rsidRPr="001C54C0" w:rsidRDefault="00564E6C" w:rsidP="00564E6C">
      <w:pPr>
        <w:pStyle w:val="NoSpacing"/>
        <w:jc w:val="both"/>
        <w:rPr>
          <w:rFonts w:ascii="Times New Roman" w:hAnsi="Times New Roman"/>
          <w:sz w:val="24"/>
          <w:szCs w:val="24"/>
        </w:rPr>
      </w:pPr>
    </w:p>
    <w:p w:rsidR="00564E6C" w:rsidRPr="001C54C0" w:rsidRDefault="00F50782" w:rsidP="00564E6C">
      <w:pPr>
        <w:pStyle w:val="NoSpacing"/>
        <w:numPr>
          <w:ilvl w:val="0"/>
          <w:numId w:val="15"/>
        </w:numPr>
        <w:jc w:val="both"/>
        <w:rPr>
          <w:rFonts w:ascii="Times New Roman" w:hAnsi="Times New Roman"/>
          <w:sz w:val="24"/>
          <w:szCs w:val="24"/>
        </w:rPr>
      </w:pPr>
      <w:r>
        <w:rPr>
          <w:rFonts w:ascii="Times New Roman" w:hAnsi="Times New Roman"/>
          <w:sz w:val="24"/>
          <w:szCs w:val="24"/>
        </w:rPr>
        <w:t>The Commission allow</w:t>
      </w:r>
      <w:r w:rsidR="00564E6C" w:rsidRPr="001C54C0">
        <w:rPr>
          <w:rFonts w:ascii="Times New Roman" w:hAnsi="Times New Roman"/>
          <w:sz w:val="24"/>
          <w:szCs w:val="24"/>
        </w:rPr>
        <w:t xml:space="preserve"> the proposed revisions to Schedule 191 to go into effect as filed</w:t>
      </w:r>
      <w:r w:rsidR="0095724A">
        <w:rPr>
          <w:rFonts w:ascii="Times New Roman" w:hAnsi="Times New Roman"/>
          <w:sz w:val="24"/>
          <w:szCs w:val="24"/>
        </w:rPr>
        <w:t>;</w:t>
      </w:r>
    </w:p>
    <w:p w:rsidR="00564E6C" w:rsidRPr="001C54C0" w:rsidRDefault="00564E6C" w:rsidP="00564E6C">
      <w:pPr>
        <w:pStyle w:val="NoSpacing"/>
        <w:numPr>
          <w:ilvl w:val="0"/>
          <w:numId w:val="15"/>
        </w:numPr>
        <w:jc w:val="both"/>
        <w:rPr>
          <w:rFonts w:ascii="Times New Roman" w:hAnsi="Times New Roman"/>
          <w:sz w:val="24"/>
          <w:szCs w:val="24"/>
        </w:rPr>
      </w:pPr>
      <w:r w:rsidRPr="001C54C0">
        <w:rPr>
          <w:rFonts w:ascii="Times New Roman" w:hAnsi="Times New Roman"/>
          <w:sz w:val="24"/>
          <w:szCs w:val="24"/>
        </w:rPr>
        <w:t>No action is necessary regarding no proposed change</w:t>
      </w:r>
      <w:r w:rsidR="0095724A">
        <w:rPr>
          <w:rFonts w:ascii="Times New Roman" w:hAnsi="Times New Roman"/>
          <w:sz w:val="24"/>
          <w:szCs w:val="24"/>
        </w:rPr>
        <w:t>s</w:t>
      </w:r>
      <w:r w:rsidRPr="001C54C0">
        <w:rPr>
          <w:rFonts w:ascii="Times New Roman" w:hAnsi="Times New Roman"/>
          <w:sz w:val="24"/>
          <w:szCs w:val="24"/>
        </w:rPr>
        <w:t xml:space="preserve"> to Schedule 91</w:t>
      </w:r>
      <w:r w:rsidR="0095724A">
        <w:rPr>
          <w:rFonts w:ascii="Times New Roman" w:hAnsi="Times New Roman"/>
          <w:sz w:val="24"/>
          <w:szCs w:val="24"/>
        </w:rPr>
        <w:t>;</w:t>
      </w:r>
    </w:p>
    <w:p w:rsidR="00564E6C" w:rsidRPr="001C54C0" w:rsidRDefault="00564E6C" w:rsidP="00564E6C">
      <w:pPr>
        <w:pStyle w:val="NoSpacing"/>
        <w:numPr>
          <w:ilvl w:val="0"/>
          <w:numId w:val="15"/>
        </w:numPr>
        <w:jc w:val="both"/>
        <w:rPr>
          <w:rFonts w:ascii="Times New Roman" w:hAnsi="Times New Roman"/>
          <w:sz w:val="24"/>
          <w:szCs w:val="24"/>
        </w:rPr>
      </w:pPr>
      <w:r w:rsidRPr="001C54C0">
        <w:rPr>
          <w:rFonts w:ascii="Times New Roman" w:hAnsi="Times New Roman"/>
          <w:sz w:val="24"/>
          <w:szCs w:val="24"/>
        </w:rPr>
        <w:t>The Commission approve Avista’s CFL plan, as filed, or alternatively take no action</w:t>
      </w:r>
      <w:r w:rsidR="0095724A">
        <w:rPr>
          <w:rFonts w:ascii="Times New Roman" w:hAnsi="Times New Roman"/>
          <w:sz w:val="24"/>
          <w:szCs w:val="24"/>
        </w:rPr>
        <w:t>;</w:t>
      </w:r>
      <w:r w:rsidRPr="001C54C0">
        <w:rPr>
          <w:rFonts w:ascii="Times New Roman" w:hAnsi="Times New Roman"/>
          <w:sz w:val="24"/>
          <w:szCs w:val="24"/>
        </w:rPr>
        <w:t xml:space="preserve"> and</w:t>
      </w:r>
    </w:p>
    <w:p w:rsidR="00564E6C" w:rsidRPr="001C54C0" w:rsidRDefault="00564E6C" w:rsidP="00564E6C">
      <w:pPr>
        <w:pStyle w:val="NoSpacing"/>
        <w:numPr>
          <w:ilvl w:val="0"/>
          <w:numId w:val="15"/>
        </w:numPr>
        <w:jc w:val="both"/>
        <w:rPr>
          <w:rFonts w:ascii="Times New Roman" w:hAnsi="Times New Roman"/>
          <w:sz w:val="24"/>
          <w:szCs w:val="24"/>
        </w:rPr>
      </w:pPr>
      <w:r w:rsidRPr="001C54C0">
        <w:rPr>
          <w:rFonts w:ascii="Times New Roman" w:hAnsi="Times New Roman"/>
          <w:sz w:val="24"/>
          <w:szCs w:val="24"/>
        </w:rPr>
        <w:t xml:space="preserve">Recognize that no action is required regarding Public Counsel’s </w:t>
      </w:r>
      <w:r w:rsidR="00C93AFF">
        <w:rPr>
          <w:rFonts w:ascii="Times New Roman" w:hAnsi="Times New Roman"/>
          <w:sz w:val="24"/>
          <w:szCs w:val="24"/>
        </w:rPr>
        <w:t>comments</w:t>
      </w:r>
      <w:r w:rsidRPr="001C54C0">
        <w:rPr>
          <w:rFonts w:ascii="Times New Roman" w:hAnsi="Times New Roman"/>
          <w:sz w:val="24"/>
          <w:szCs w:val="24"/>
        </w:rPr>
        <w:t xml:space="preserve"> regarding record management.</w:t>
      </w:r>
    </w:p>
    <w:p w:rsidR="00564E6C" w:rsidRPr="001C54C0" w:rsidRDefault="00564E6C" w:rsidP="00564E6C">
      <w:pPr>
        <w:pStyle w:val="NoSpacing"/>
        <w:jc w:val="both"/>
        <w:rPr>
          <w:rFonts w:ascii="Times New Roman" w:hAnsi="Times New Roman"/>
          <w:sz w:val="24"/>
          <w:szCs w:val="24"/>
        </w:rPr>
      </w:pPr>
    </w:p>
    <w:p w:rsidR="00C24B26" w:rsidRPr="001D4F66" w:rsidRDefault="0095724A" w:rsidP="00B23173">
      <w:pPr>
        <w:pStyle w:val="NoSpacing"/>
        <w:ind w:firstLine="720"/>
        <w:jc w:val="both"/>
        <w:rPr>
          <w:rFonts w:ascii="Times New Roman" w:hAnsi="Times New Roman"/>
          <w:sz w:val="24"/>
          <w:szCs w:val="24"/>
        </w:rPr>
      </w:pPr>
      <w:r>
        <w:rPr>
          <w:rFonts w:ascii="Times New Roman" w:hAnsi="Times New Roman"/>
          <w:sz w:val="24"/>
          <w:szCs w:val="24"/>
        </w:rPr>
        <w:t>Again, the Company appreciates the opportunity to comment</w:t>
      </w:r>
      <w:r w:rsidR="001D4F66">
        <w:rPr>
          <w:rFonts w:ascii="Times New Roman" w:hAnsi="Times New Roman"/>
          <w:sz w:val="24"/>
          <w:szCs w:val="24"/>
        </w:rPr>
        <w:t>.  I</w:t>
      </w:r>
      <w:r w:rsidR="00C24B26">
        <w:rPr>
          <w:rFonts w:ascii="Times New Roman" w:hAnsi="Times New Roman"/>
          <w:sz w:val="24"/>
          <w:szCs w:val="24"/>
        </w:rPr>
        <w:t>f you have any questions</w:t>
      </w:r>
      <w:r w:rsidR="00C06FD2">
        <w:rPr>
          <w:rFonts w:ascii="Times New Roman" w:hAnsi="Times New Roman"/>
          <w:sz w:val="24"/>
          <w:szCs w:val="24"/>
        </w:rPr>
        <w:t xml:space="preserve"> regarding these issues</w:t>
      </w:r>
      <w:r w:rsidR="00C24B26">
        <w:rPr>
          <w:rFonts w:ascii="Times New Roman" w:hAnsi="Times New Roman"/>
          <w:sz w:val="24"/>
          <w:szCs w:val="24"/>
        </w:rPr>
        <w:t xml:space="preserve">, please </w:t>
      </w:r>
      <w:r w:rsidR="00C06FD2">
        <w:rPr>
          <w:rFonts w:ascii="Times New Roman" w:hAnsi="Times New Roman"/>
          <w:sz w:val="24"/>
          <w:szCs w:val="24"/>
        </w:rPr>
        <w:t xml:space="preserve">contact </w:t>
      </w:r>
      <w:r w:rsidR="00564E6C">
        <w:rPr>
          <w:rFonts w:ascii="Times New Roman" w:hAnsi="Times New Roman"/>
          <w:sz w:val="24"/>
          <w:szCs w:val="24"/>
        </w:rPr>
        <w:t xml:space="preserve">me at 509-495-8706 or </w:t>
      </w:r>
      <w:r w:rsidR="00C06FD2">
        <w:rPr>
          <w:rFonts w:ascii="Times New Roman" w:hAnsi="Times New Roman"/>
          <w:sz w:val="24"/>
          <w:szCs w:val="24"/>
        </w:rPr>
        <w:t xml:space="preserve">Linda Gervais, Manager, </w:t>
      </w:r>
      <w:r w:rsidR="00C06FD2" w:rsidRPr="001D4F66">
        <w:rPr>
          <w:rFonts w:ascii="Times New Roman" w:hAnsi="Times New Roman"/>
          <w:sz w:val="24"/>
          <w:szCs w:val="24"/>
        </w:rPr>
        <w:t>Regulatory Policy at 509-495-4975.</w:t>
      </w:r>
    </w:p>
    <w:p w:rsidR="00C06FD2" w:rsidRPr="001D4F66" w:rsidRDefault="00C06FD2" w:rsidP="00564E6C">
      <w:pPr>
        <w:pStyle w:val="NoSpacing"/>
        <w:jc w:val="both"/>
        <w:rPr>
          <w:rFonts w:ascii="Times New Roman" w:hAnsi="Times New Roman"/>
          <w:sz w:val="24"/>
          <w:szCs w:val="24"/>
        </w:rPr>
      </w:pPr>
    </w:p>
    <w:p w:rsidR="00C06FD2" w:rsidRPr="001D4F66" w:rsidRDefault="00C06FD2" w:rsidP="00564E6C">
      <w:pPr>
        <w:pStyle w:val="NoSpacing"/>
        <w:jc w:val="both"/>
        <w:rPr>
          <w:rFonts w:ascii="Times New Roman" w:hAnsi="Times New Roman"/>
          <w:sz w:val="24"/>
          <w:szCs w:val="24"/>
        </w:rPr>
      </w:pPr>
      <w:r w:rsidRPr="001D4F66">
        <w:rPr>
          <w:rFonts w:ascii="Times New Roman" w:hAnsi="Times New Roman"/>
          <w:sz w:val="24"/>
          <w:szCs w:val="24"/>
        </w:rPr>
        <w:t>Sincerely,</w:t>
      </w:r>
    </w:p>
    <w:p w:rsidR="00C06FD2" w:rsidRPr="001D4F66" w:rsidRDefault="00C06FD2" w:rsidP="00564E6C">
      <w:pPr>
        <w:pStyle w:val="NoSpacing"/>
        <w:jc w:val="both"/>
        <w:rPr>
          <w:rFonts w:ascii="Times New Roman" w:hAnsi="Times New Roman"/>
          <w:sz w:val="24"/>
          <w:szCs w:val="24"/>
        </w:rPr>
      </w:pPr>
    </w:p>
    <w:p w:rsidR="00C06FD2" w:rsidRPr="00C35186" w:rsidRDefault="00C35186" w:rsidP="00564E6C">
      <w:pPr>
        <w:pStyle w:val="NoSpacing"/>
        <w:jc w:val="both"/>
        <w:rPr>
          <w:rFonts w:ascii="Lucida Handwriting" w:hAnsi="Lucida Handwriting"/>
          <w:sz w:val="24"/>
          <w:szCs w:val="24"/>
        </w:rPr>
      </w:pPr>
      <w:r w:rsidRPr="00C35186">
        <w:rPr>
          <w:rFonts w:ascii="Lucida Handwriting" w:hAnsi="Lucida Handwriting"/>
          <w:sz w:val="24"/>
          <w:szCs w:val="24"/>
        </w:rPr>
        <w:t>/</w:t>
      </w:r>
      <w:r w:rsidR="00564E6C" w:rsidRPr="00C35186">
        <w:rPr>
          <w:rFonts w:ascii="Lucida Handwriting" w:hAnsi="Lucida Handwriting"/>
          <w:sz w:val="24"/>
          <w:szCs w:val="24"/>
        </w:rPr>
        <w:t>Bruce Folsom</w:t>
      </w:r>
      <w:r w:rsidRPr="00C35186">
        <w:rPr>
          <w:rFonts w:ascii="Lucida Handwriting" w:hAnsi="Lucida Handwriting"/>
          <w:sz w:val="24"/>
          <w:szCs w:val="24"/>
        </w:rPr>
        <w:t>/</w:t>
      </w:r>
    </w:p>
    <w:p w:rsidR="00C06FD2" w:rsidRPr="001D4F66" w:rsidRDefault="00564E6C" w:rsidP="00564E6C">
      <w:pPr>
        <w:pStyle w:val="NoSpacing"/>
        <w:jc w:val="both"/>
        <w:rPr>
          <w:rFonts w:ascii="Times New Roman" w:hAnsi="Times New Roman"/>
          <w:sz w:val="24"/>
          <w:szCs w:val="24"/>
        </w:rPr>
      </w:pPr>
      <w:r w:rsidRPr="001D4F66">
        <w:rPr>
          <w:rFonts w:ascii="Times New Roman" w:hAnsi="Times New Roman"/>
          <w:sz w:val="24"/>
          <w:szCs w:val="24"/>
        </w:rPr>
        <w:t>Senior Manager – Demand Side Management</w:t>
      </w:r>
    </w:p>
    <w:p w:rsidR="0095724A" w:rsidRPr="001D4F66" w:rsidRDefault="004E7A83" w:rsidP="00564E6C">
      <w:pPr>
        <w:pStyle w:val="NoSpacing"/>
        <w:jc w:val="both"/>
        <w:rPr>
          <w:rFonts w:ascii="Times New Roman" w:hAnsi="Times New Roman"/>
          <w:sz w:val="24"/>
          <w:szCs w:val="24"/>
          <w:lang w:val="fr-FR"/>
        </w:rPr>
      </w:pPr>
      <w:r w:rsidRPr="001D4F66">
        <w:rPr>
          <w:rFonts w:ascii="Times New Roman" w:hAnsi="Times New Roman"/>
          <w:sz w:val="24"/>
          <w:szCs w:val="24"/>
          <w:lang w:val="fr-FR"/>
        </w:rPr>
        <w:t>Avista Utilities</w:t>
      </w:r>
    </w:p>
    <w:p w:rsidR="0095724A" w:rsidRPr="001D4F66" w:rsidRDefault="004E7A83" w:rsidP="00564E6C">
      <w:pPr>
        <w:pStyle w:val="NoSpacing"/>
        <w:jc w:val="both"/>
        <w:rPr>
          <w:rFonts w:ascii="Times New Roman" w:hAnsi="Times New Roman"/>
          <w:sz w:val="24"/>
          <w:szCs w:val="24"/>
          <w:lang w:val="fr-FR"/>
        </w:rPr>
      </w:pPr>
      <w:r w:rsidRPr="001D4F66">
        <w:rPr>
          <w:rFonts w:ascii="Times New Roman" w:hAnsi="Times New Roman"/>
          <w:sz w:val="24"/>
          <w:szCs w:val="24"/>
          <w:lang w:val="fr-FR"/>
        </w:rPr>
        <w:t>509-495-8706</w:t>
      </w:r>
    </w:p>
    <w:p w:rsidR="0095724A" w:rsidRPr="001D4F66" w:rsidRDefault="001D4F66" w:rsidP="00564E6C">
      <w:pPr>
        <w:pStyle w:val="NoSpacing"/>
        <w:jc w:val="both"/>
        <w:rPr>
          <w:rFonts w:ascii="Times New Roman" w:hAnsi="Times New Roman"/>
          <w:sz w:val="24"/>
          <w:szCs w:val="24"/>
          <w:lang w:val="fr-FR"/>
        </w:rPr>
      </w:pPr>
      <w:hyperlink r:id="rId9" w:history="1">
        <w:r w:rsidRPr="001D4F66">
          <w:rPr>
            <w:rStyle w:val="Hyperlink"/>
            <w:rFonts w:ascii="Times New Roman" w:hAnsi="Times New Roman"/>
            <w:color w:val="auto"/>
            <w:sz w:val="24"/>
            <w:szCs w:val="24"/>
            <w:lang w:val="fr-FR"/>
          </w:rPr>
          <w:t>bruce.folsom@avistacorp.com</w:t>
        </w:r>
      </w:hyperlink>
    </w:p>
    <w:p w:rsidR="0095724A" w:rsidRPr="0095724A" w:rsidRDefault="0095724A" w:rsidP="00564E6C">
      <w:pPr>
        <w:pStyle w:val="NoSpacing"/>
        <w:jc w:val="both"/>
        <w:rPr>
          <w:rFonts w:ascii="Times New Roman" w:hAnsi="Times New Roman"/>
          <w:sz w:val="24"/>
          <w:szCs w:val="24"/>
          <w:lang w:val="fr-FR"/>
        </w:rPr>
      </w:pPr>
    </w:p>
    <w:sectPr w:rsidR="0095724A" w:rsidRPr="0095724A" w:rsidSect="00BA0B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9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86" w:rsidRDefault="00C35186" w:rsidP="00C06FD2">
      <w:pPr>
        <w:spacing w:after="0" w:line="240" w:lineRule="auto"/>
      </w:pPr>
      <w:r>
        <w:separator/>
      </w:r>
    </w:p>
  </w:endnote>
  <w:endnote w:type="continuationSeparator" w:id="0">
    <w:p w:rsidR="00C35186" w:rsidRDefault="00C35186"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rsidP="001D4F66">
    <w:pPr>
      <w:pStyle w:val="Footer"/>
      <w:pBdr>
        <w:top w:val="single" w:sz="4" w:space="0" w:color="D9D9D9" w:themeColor="background1" w:themeShade="D9"/>
      </w:pBdr>
      <w:jc w:val="right"/>
    </w:pPr>
    <w:fldSimple w:instr=" PAGE   \* MERGEFORMAT ">
      <w:r w:rsidR="00D66271">
        <w:rPr>
          <w:noProof/>
        </w:rPr>
        <w:t>2</w:t>
      </w:r>
    </w:fldSimple>
    <w:r>
      <w:t xml:space="preserve"> | </w:t>
    </w:r>
    <w:r>
      <w:rPr>
        <w:color w:val="7F7F7F" w:themeColor="background1" w:themeShade="7F"/>
        <w:spacing w:val="60"/>
      </w:rPr>
      <w:t>Page</w:t>
    </w:r>
  </w:p>
  <w:p w:rsidR="00C35186" w:rsidRDefault="00C351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86" w:rsidRDefault="00C35186" w:rsidP="00C06FD2">
      <w:pPr>
        <w:spacing w:after="0" w:line="240" w:lineRule="auto"/>
      </w:pPr>
      <w:r>
        <w:separator/>
      </w:r>
    </w:p>
  </w:footnote>
  <w:footnote w:type="continuationSeparator" w:id="0">
    <w:p w:rsidR="00C35186" w:rsidRDefault="00C35186" w:rsidP="00C06FD2">
      <w:pPr>
        <w:spacing w:after="0" w:line="240" w:lineRule="auto"/>
      </w:pPr>
      <w:r>
        <w:continuationSeparator/>
      </w:r>
    </w:p>
  </w:footnote>
  <w:footnote w:id="1">
    <w:p w:rsidR="00C35186" w:rsidRDefault="00C35186">
      <w:pPr>
        <w:pStyle w:val="FootnoteText"/>
        <w:jc w:val="both"/>
        <w:rPr>
          <w:rFonts w:ascii="Times New Roman" w:hAnsi="Times New Roman" w:cs="Times New Roman"/>
        </w:rPr>
      </w:pPr>
      <w:r w:rsidRPr="00506907">
        <w:rPr>
          <w:rStyle w:val="FootnoteReference"/>
          <w:rFonts w:ascii="Times New Roman" w:hAnsi="Times New Roman" w:cs="Times New Roman"/>
        </w:rPr>
        <w:footnoteRef/>
      </w:r>
      <w:r w:rsidRPr="00506907">
        <w:rPr>
          <w:rFonts w:ascii="Times New Roman" w:hAnsi="Times New Roman" w:cs="Times New Roman"/>
        </w:rPr>
        <w:t xml:space="preserve"> </w:t>
      </w:r>
      <w:proofErr w:type="gramStart"/>
      <w:r w:rsidRPr="00506907">
        <w:rPr>
          <w:rFonts w:ascii="Times New Roman" w:hAnsi="Times New Roman" w:cs="Times New Roman"/>
        </w:rPr>
        <w:t>In  Docket</w:t>
      </w:r>
      <w:proofErr w:type="gramEnd"/>
      <w:r w:rsidRPr="00506907">
        <w:rPr>
          <w:rFonts w:ascii="Times New Roman" w:hAnsi="Times New Roman" w:cs="Times New Roman"/>
        </w:rPr>
        <w:t xml:space="preserve"> No. UE-100176 the Commission approved with conditions (together informally referred to as “the Ten Conditions”) Avista’s 2010-2011 Biennial Conservation Plan establishing targets for the current 24 month period in response to WAC 480-109 (also known as “I-937”, codified as RCW 19.285).  </w:t>
      </w:r>
    </w:p>
  </w:footnote>
  <w:footnote w:id="2">
    <w:p w:rsidR="00C35186" w:rsidRPr="000B65F7" w:rsidRDefault="00C35186" w:rsidP="00727984">
      <w:pPr>
        <w:pStyle w:val="FootnoteText"/>
        <w:rPr>
          <w:rFonts w:ascii="Times New Roman" w:hAnsi="Times New Roman" w:cs="Times New Roman"/>
        </w:rPr>
      </w:pPr>
      <w:r>
        <w:rPr>
          <w:rStyle w:val="FootnoteReference"/>
        </w:rPr>
        <w:footnoteRef/>
      </w:r>
      <w:r>
        <w:t xml:space="preserve"> </w:t>
      </w:r>
      <w:r w:rsidRPr="00237FC2">
        <w:rPr>
          <w:rFonts w:ascii="Times New Roman" w:hAnsi="Times New Roman" w:cs="Times New Roman"/>
        </w:rPr>
        <w:t>The revised filing corrected a revenue requirement calculation.</w:t>
      </w:r>
    </w:p>
  </w:footnote>
  <w:footnote w:id="3">
    <w:p w:rsidR="00C35186" w:rsidRDefault="00C35186">
      <w:pPr>
        <w:pStyle w:val="FootnoteText"/>
        <w:jc w:val="both"/>
        <w:rPr>
          <w:rFonts w:ascii="Times New Roman" w:hAnsi="Times New Roman" w:cs="Times New Roman"/>
        </w:rPr>
      </w:pPr>
      <w:r w:rsidRPr="00506907">
        <w:rPr>
          <w:rStyle w:val="FootnoteReference"/>
          <w:rFonts w:ascii="Times New Roman" w:hAnsi="Times New Roman" w:cs="Times New Roman"/>
        </w:rPr>
        <w:footnoteRef/>
      </w:r>
      <w:r w:rsidRPr="00506907">
        <w:rPr>
          <w:rFonts w:ascii="Times New Roman" w:hAnsi="Times New Roman" w:cs="Times New Roman"/>
        </w:rPr>
        <w:t xml:space="preserve"> At the time of this filing, </w:t>
      </w:r>
      <w:r>
        <w:rPr>
          <w:rFonts w:ascii="Times New Roman" w:hAnsi="Times New Roman" w:cs="Times New Roman"/>
        </w:rPr>
        <w:t>Avista understood</w:t>
      </w:r>
      <w:r w:rsidRPr="00506907">
        <w:rPr>
          <w:rFonts w:ascii="Times New Roman" w:hAnsi="Times New Roman" w:cs="Times New Roman"/>
        </w:rPr>
        <w:t xml:space="preserve"> that this was to be a true-up</w:t>
      </w:r>
      <w:r>
        <w:rPr>
          <w:rFonts w:ascii="Times New Roman" w:hAnsi="Times New Roman" w:cs="Times New Roman"/>
        </w:rPr>
        <w:t>,</w:t>
      </w:r>
      <w:r w:rsidRPr="00506907">
        <w:rPr>
          <w:rFonts w:ascii="Times New Roman" w:hAnsi="Times New Roman" w:cs="Times New Roman"/>
        </w:rPr>
        <w:t xml:space="preserve"> to occur every twelve months. Thus our projections were based on a forward 12 month </w:t>
      </w:r>
      <w:r>
        <w:rPr>
          <w:rFonts w:ascii="Times New Roman" w:hAnsi="Times New Roman" w:cs="Times New Roman"/>
        </w:rPr>
        <w:t>period</w:t>
      </w:r>
      <w:r w:rsidRPr="00506907">
        <w:rPr>
          <w:rFonts w:ascii="Times New Roman" w:hAnsi="Times New Roman" w:cs="Times New Roman"/>
        </w:rPr>
        <w:t xml:space="preserve">.  In a separate docket </w:t>
      </w:r>
      <w:r>
        <w:rPr>
          <w:rFonts w:ascii="Times New Roman" w:hAnsi="Times New Roman" w:cs="Times New Roman"/>
        </w:rPr>
        <w:t>(UE-110001</w:t>
      </w:r>
      <w:r w:rsidRPr="00817A97">
        <w:rPr>
          <w:rFonts w:ascii="Times New Roman" w:hAnsi="Times New Roman" w:cs="Times New Roman"/>
        </w:rPr>
        <w:t>),</w:t>
      </w:r>
      <w:r w:rsidRPr="00506907">
        <w:rPr>
          <w:rFonts w:ascii="Times New Roman" w:hAnsi="Times New Roman" w:cs="Times New Roman"/>
        </w:rPr>
        <w:t xml:space="preserve"> the Washington Conservation Working Group, ongoing discussion indicates that this understanding may be modified to a different period.  Any change in the period should have no effect on this filing because of the anticipated future true-up under any circumstances.  Avista notes this simply to illustrate the calculated period supporting this filing.</w:t>
      </w:r>
    </w:p>
  </w:footnote>
  <w:footnote w:id="4">
    <w:p w:rsidR="00C35186" w:rsidRDefault="00C35186" w:rsidP="00564E6C">
      <w:pPr>
        <w:pStyle w:val="FootnoteText"/>
      </w:pPr>
      <w:r>
        <w:rPr>
          <w:rStyle w:val="FootnoteReference"/>
        </w:rPr>
        <w:footnoteRef/>
      </w:r>
      <w:r>
        <w:t xml:space="preserve"> </w:t>
      </w:r>
      <w:r>
        <w:tab/>
      </w:r>
      <w:r w:rsidRPr="00506907">
        <w:rPr>
          <w:rFonts w:ascii="Times New Roman" w:hAnsi="Times New Roman" w:cs="Times New Roman"/>
        </w:rPr>
        <w:t>See Footnote 1.</w:t>
      </w:r>
    </w:p>
  </w:footnote>
  <w:footnote w:id="5">
    <w:p w:rsidR="00C35186" w:rsidRPr="0086157C" w:rsidRDefault="00C35186" w:rsidP="00564E6C">
      <w:pPr>
        <w:pStyle w:val="FootnoteText"/>
        <w:rPr>
          <w:rFonts w:ascii="Times New Roman" w:hAnsi="Times New Roman" w:cs="Times New Roman"/>
        </w:rPr>
      </w:pPr>
      <w:r w:rsidRPr="0086157C">
        <w:rPr>
          <w:rStyle w:val="FootnoteReference"/>
          <w:rFonts w:ascii="Times New Roman" w:hAnsi="Times New Roman" w:cs="Times New Roman"/>
        </w:rPr>
        <w:footnoteRef/>
      </w:r>
      <w:r w:rsidRPr="0086157C">
        <w:rPr>
          <w:rFonts w:ascii="Times New Roman" w:hAnsi="Times New Roman" w:cs="Times New Roman"/>
        </w:rPr>
        <w:t xml:space="preserve"> These resulted from our 2010 EM&amp;V Collaborative consisting of several meetings and well-attended by stakeholders.  These filings, and the Collaborative, were responsive to Order No. 10 in Docket Nos. UE-090134, UG-090135 &amp; UG-060518 (consolidated).</w:t>
      </w:r>
    </w:p>
  </w:footnote>
  <w:footnote w:id="6">
    <w:p w:rsidR="00C35186" w:rsidRPr="00506907" w:rsidRDefault="00C35186" w:rsidP="00564E6C">
      <w:pPr>
        <w:pStyle w:val="FootnoteText"/>
        <w:rPr>
          <w:rFonts w:ascii="Times New Roman" w:hAnsi="Times New Roman" w:cs="Times New Roman"/>
        </w:rPr>
      </w:pPr>
    </w:p>
  </w:footnote>
  <w:footnote w:id="7">
    <w:p w:rsidR="00C35186" w:rsidRPr="00506907" w:rsidRDefault="00C35186" w:rsidP="00564E6C">
      <w:pPr>
        <w:pStyle w:val="FootnoteText"/>
        <w:rPr>
          <w:rFonts w:ascii="Times New Roman" w:hAnsi="Times New Roman" w:cs="Times New Roman"/>
        </w:rPr>
      </w:pPr>
      <w:r>
        <w:rPr>
          <w:rStyle w:val="FootnoteReference"/>
          <w:rFonts w:ascii="Times New Roman" w:hAnsi="Times New Roman" w:cs="Times New Roman"/>
        </w:rPr>
        <w:t>6</w:t>
      </w:r>
      <w:r w:rsidRPr="00506907">
        <w:rPr>
          <w:rFonts w:ascii="Times New Roman" w:hAnsi="Times New Roman" w:cs="Times New Roman"/>
        </w:rPr>
        <w:t xml:space="preserve"> </w:t>
      </w:r>
      <w:r w:rsidRPr="00506907">
        <w:rPr>
          <w:rFonts w:ascii="Times New Roman" w:hAnsi="Times New Roman" w:cs="Times New Roman"/>
        </w:rPr>
        <w:tab/>
        <w:t>The exception is “</w:t>
      </w:r>
      <w:r w:rsidRPr="00506907">
        <w:rPr>
          <w:rFonts w:ascii="Times New Roman" w:eastAsia="Calibri" w:hAnsi="Times New Roman" w:cs="Times New Roman"/>
        </w:rPr>
        <w:t>Fuel Conversion – Need for Reporting of Interactive Effects</w:t>
      </w:r>
      <w:r w:rsidRPr="00506907">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86" w:rsidRDefault="00C35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4071F"/>
    <w:multiLevelType w:val="hybridMultilevel"/>
    <w:tmpl w:val="61DC8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47B19"/>
    <w:multiLevelType w:val="hybridMultilevel"/>
    <w:tmpl w:val="1D9402C6"/>
    <w:lvl w:ilvl="0" w:tplc="5CF22B16">
      <w:start w:val="1"/>
      <w:numFmt w:val="lowerLetter"/>
      <w:lvlText w:val="%1."/>
      <w:lvlJc w:val="left"/>
      <w:pPr>
        <w:ind w:left="1080" w:hanging="360"/>
      </w:pPr>
      <w:rPr>
        <w:rFonts w:hint="default"/>
      </w:rPr>
    </w:lvl>
    <w:lvl w:ilvl="1" w:tplc="D848CA1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6328C5"/>
    <w:multiLevelType w:val="hybridMultilevel"/>
    <w:tmpl w:val="7DD85E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13"/>
  </w:num>
  <w:num w:numId="7">
    <w:abstractNumId w:val="8"/>
  </w:num>
  <w:num w:numId="8">
    <w:abstractNumId w:val="12"/>
  </w:num>
  <w:num w:numId="9">
    <w:abstractNumId w:val="5"/>
  </w:num>
  <w:num w:numId="10">
    <w:abstractNumId w:val="3"/>
  </w:num>
  <w:num w:numId="11">
    <w:abstractNumId w:val="14"/>
  </w:num>
  <w:num w:numId="12">
    <w:abstractNumId w:val="10"/>
  </w:num>
  <w:num w:numId="13">
    <w:abstractNumId w:val="9"/>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F264A9"/>
    <w:rsid w:val="000204F7"/>
    <w:rsid w:val="00073943"/>
    <w:rsid w:val="0007784E"/>
    <w:rsid w:val="0008276E"/>
    <w:rsid w:val="000A25D2"/>
    <w:rsid w:val="000B65F7"/>
    <w:rsid w:val="000C4CE7"/>
    <w:rsid w:val="00126792"/>
    <w:rsid w:val="00137CEA"/>
    <w:rsid w:val="001640A8"/>
    <w:rsid w:val="001832F7"/>
    <w:rsid w:val="001A62CB"/>
    <w:rsid w:val="001B1790"/>
    <w:rsid w:val="001C3719"/>
    <w:rsid w:val="001C478B"/>
    <w:rsid w:val="001C5DD8"/>
    <w:rsid w:val="001D4F66"/>
    <w:rsid w:val="001F6435"/>
    <w:rsid w:val="00234947"/>
    <w:rsid w:val="00237FC2"/>
    <w:rsid w:val="002A1C52"/>
    <w:rsid w:val="002B287E"/>
    <w:rsid w:val="002D6F47"/>
    <w:rsid w:val="00310F0A"/>
    <w:rsid w:val="00387B3E"/>
    <w:rsid w:val="003B1156"/>
    <w:rsid w:val="003E059B"/>
    <w:rsid w:val="00414A37"/>
    <w:rsid w:val="00450375"/>
    <w:rsid w:val="0045547E"/>
    <w:rsid w:val="00467C07"/>
    <w:rsid w:val="004741F8"/>
    <w:rsid w:val="00480F46"/>
    <w:rsid w:val="00492757"/>
    <w:rsid w:val="004B1409"/>
    <w:rsid w:val="004C5199"/>
    <w:rsid w:val="004E09A4"/>
    <w:rsid w:val="004E7A83"/>
    <w:rsid w:val="00500ECB"/>
    <w:rsid w:val="00506907"/>
    <w:rsid w:val="00522088"/>
    <w:rsid w:val="00550C31"/>
    <w:rsid w:val="00564E6C"/>
    <w:rsid w:val="005755CC"/>
    <w:rsid w:val="00577E6D"/>
    <w:rsid w:val="00584D84"/>
    <w:rsid w:val="005F717E"/>
    <w:rsid w:val="00614810"/>
    <w:rsid w:val="0066754D"/>
    <w:rsid w:val="006A76ED"/>
    <w:rsid w:val="006F3524"/>
    <w:rsid w:val="0071634F"/>
    <w:rsid w:val="00727984"/>
    <w:rsid w:val="0079109A"/>
    <w:rsid w:val="00793614"/>
    <w:rsid w:val="007A4C78"/>
    <w:rsid w:val="007A6DE6"/>
    <w:rsid w:val="007C0273"/>
    <w:rsid w:val="007F2459"/>
    <w:rsid w:val="00816FFB"/>
    <w:rsid w:val="00817A97"/>
    <w:rsid w:val="008202FD"/>
    <w:rsid w:val="008345A8"/>
    <w:rsid w:val="00836A0D"/>
    <w:rsid w:val="00843366"/>
    <w:rsid w:val="00844FEC"/>
    <w:rsid w:val="0086157C"/>
    <w:rsid w:val="0087141A"/>
    <w:rsid w:val="00872EBB"/>
    <w:rsid w:val="008A3E7B"/>
    <w:rsid w:val="008D3578"/>
    <w:rsid w:val="008D3A60"/>
    <w:rsid w:val="008D61D3"/>
    <w:rsid w:val="008E4931"/>
    <w:rsid w:val="009026F2"/>
    <w:rsid w:val="00935F94"/>
    <w:rsid w:val="0095724A"/>
    <w:rsid w:val="00960938"/>
    <w:rsid w:val="00974D97"/>
    <w:rsid w:val="009C3E13"/>
    <w:rsid w:val="009D4ED8"/>
    <w:rsid w:val="00A03A30"/>
    <w:rsid w:val="00A2306F"/>
    <w:rsid w:val="00A23820"/>
    <w:rsid w:val="00A61E38"/>
    <w:rsid w:val="00A8510B"/>
    <w:rsid w:val="00A95E18"/>
    <w:rsid w:val="00A97A1B"/>
    <w:rsid w:val="00AB13E8"/>
    <w:rsid w:val="00AB52B6"/>
    <w:rsid w:val="00AD1628"/>
    <w:rsid w:val="00B23173"/>
    <w:rsid w:val="00B23AB3"/>
    <w:rsid w:val="00B81741"/>
    <w:rsid w:val="00B945B5"/>
    <w:rsid w:val="00B960F3"/>
    <w:rsid w:val="00BA0B65"/>
    <w:rsid w:val="00BD0CCC"/>
    <w:rsid w:val="00C06FD2"/>
    <w:rsid w:val="00C24B26"/>
    <w:rsid w:val="00C3512F"/>
    <w:rsid w:val="00C35186"/>
    <w:rsid w:val="00C93AFF"/>
    <w:rsid w:val="00C95383"/>
    <w:rsid w:val="00CA3288"/>
    <w:rsid w:val="00CA4AA3"/>
    <w:rsid w:val="00CC539D"/>
    <w:rsid w:val="00CD5BD6"/>
    <w:rsid w:val="00CE54B1"/>
    <w:rsid w:val="00D25C7C"/>
    <w:rsid w:val="00D261C9"/>
    <w:rsid w:val="00D66271"/>
    <w:rsid w:val="00D7107A"/>
    <w:rsid w:val="00D91328"/>
    <w:rsid w:val="00D923FF"/>
    <w:rsid w:val="00DC2BC2"/>
    <w:rsid w:val="00DD022C"/>
    <w:rsid w:val="00DD3A87"/>
    <w:rsid w:val="00E46C5D"/>
    <w:rsid w:val="00E72247"/>
    <w:rsid w:val="00E92E56"/>
    <w:rsid w:val="00ED0306"/>
    <w:rsid w:val="00F050B2"/>
    <w:rsid w:val="00F17200"/>
    <w:rsid w:val="00F264A9"/>
    <w:rsid w:val="00F37E02"/>
    <w:rsid w:val="00F50782"/>
    <w:rsid w:val="00F5423F"/>
    <w:rsid w:val="00F6369F"/>
    <w:rsid w:val="00F63EC9"/>
    <w:rsid w:val="00F85852"/>
    <w:rsid w:val="00F90049"/>
    <w:rsid w:val="00F91A9F"/>
    <w:rsid w:val="00FC07D4"/>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semiHidden/>
    <w:unhideWhenUsed/>
    <w:rsid w:val="00C06FD2"/>
    <w:pPr>
      <w:tabs>
        <w:tab w:val="center" w:pos="4680"/>
        <w:tab w:val="right" w:pos="9360"/>
      </w:tabs>
    </w:pPr>
  </w:style>
  <w:style w:type="character" w:customStyle="1" w:styleId="HeaderChar">
    <w:name w:val="Header Char"/>
    <w:basedOn w:val="DefaultParagraphFont"/>
    <w:link w:val="Header"/>
    <w:uiPriority w:val="99"/>
    <w:semiHidden/>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A4C78"/>
    <w:rPr>
      <w:rFonts w:asciiTheme="minorHAnsi" w:eastAsiaTheme="minorHAnsi" w:hAnsiTheme="minorHAnsi" w:cstheme="minorBidi"/>
    </w:rPr>
  </w:style>
  <w:style w:type="character" w:styleId="FootnoteReference">
    <w:name w:val="footnote reference"/>
    <w:basedOn w:val="DefaultParagraphFont"/>
    <w:unhideWhenUsed/>
    <w:rsid w:val="007A4C78"/>
    <w:rPr>
      <w:vertAlign w:val="superscript"/>
    </w:rPr>
  </w:style>
  <w:style w:type="character" w:styleId="Hyperlink">
    <w:name w:val="Hyperlink"/>
    <w:basedOn w:val="DefaultParagraphFont"/>
    <w:uiPriority w:val="99"/>
    <w:unhideWhenUsed/>
    <w:rsid w:val="0095724A"/>
    <w:rPr>
      <w:color w:val="0000FF" w:themeColor="hyperlink"/>
      <w:u w:val="single"/>
    </w:rPr>
  </w:style>
  <w:style w:type="paragraph" w:styleId="Revision">
    <w:name w:val="Revision"/>
    <w:hidden/>
    <w:uiPriority w:val="99"/>
    <w:semiHidden/>
    <w:rsid w:val="002B287E"/>
    <w:rPr>
      <w:sz w:val="22"/>
      <w:szCs w:val="22"/>
    </w:rPr>
  </w:style>
</w:styles>
</file>

<file path=word/webSettings.xml><?xml version="1.0" encoding="utf-8"?>
<w:webSettings xmlns:r="http://schemas.openxmlformats.org/officeDocument/2006/relationships" xmlns:w="http://schemas.openxmlformats.org/wordprocessingml/2006/main">
  <w:divs>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ruce.folsom@avista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2011-06-27T07:00:00+00:00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E16BF6-3C93-44CB-ADAA-08E65BFC0DFB}"/>
</file>

<file path=customXml/itemProps2.xml><?xml version="1.0" encoding="utf-8"?>
<ds:datastoreItem xmlns:ds="http://schemas.openxmlformats.org/officeDocument/2006/customXml" ds:itemID="{DB41B9A8-A478-41E0-A5B8-13FC1683E9E6}"/>
</file>

<file path=customXml/itemProps3.xml><?xml version="1.0" encoding="utf-8"?>
<ds:datastoreItem xmlns:ds="http://schemas.openxmlformats.org/officeDocument/2006/customXml" ds:itemID="{63C1190B-0BB0-4A8F-83E7-E7D7FBDA7867}"/>
</file>

<file path=customXml/itemProps4.xml><?xml version="1.0" encoding="utf-8"?>
<ds:datastoreItem xmlns:ds="http://schemas.openxmlformats.org/officeDocument/2006/customXml" ds:itemID="{225A2807-2710-4793-94F1-08659B8A32B5}"/>
</file>

<file path=customXml/itemProps5.xml><?xml version="1.0" encoding="utf-8"?>
<ds:datastoreItem xmlns:ds="http://schemas.openxmlformats.org/officeDocument/2006/customXml" ds:itemID="{56BC305A-076D-40F9-81E5-D401CFECDF50}"/>
</file>

<file path=docProps/app.xml><?xml version="1.0" encoding="utf-8"?>
<Properties xmlns="http://schemas.openxmlformats.org/officeDocument/2006/extended-properties" xmlns:vt="http://schemas.openxmlformats.org/officeDocument/2006/docPropsVTypes">
  <Template>Normal.dotm</Template>
  <TotalTime>2</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3</cp:revision>
  <cp:lastPrinted>2011-06-27T21:14:00Z</cp:lastPrinted>
  <dcterms:created xsi:type="dcterms:W3CDTF">2011-06-27T23:02:00Z</dcterms:created>
  <dcterms:modified xsi:type="dcterms:W3CDTF">2011-06-27T23:04:00Z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