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C03" w:rsidRPr="006E681E" w:rsidRDefault="00554C03" w:rsidP="00554C03">
      <w:pPr>
        <w:ind w:hanging="180"/>
        <w:rPr>
          <w:b/>
          <w:sz w:val="24"/>
          <w:szCs w:val="24"/>
        </w:rPr>
      </w:pPr>
    </w:p>
    <w:p w:rsidR="00554C03" w:rsidRPr="006E681E" w:rsidRDefault="00554C03" w:rsidP="00554C03">
      <w:pPr>
        <w:ind w:hanging="180"/>
        <w:rPr>
          <w:b/>
          <w:sz w:val="24"/>
          <w:szCs w:val="24"/>
        </w:rPr>
      </w:pPr>
      <w:r w:rsidRPr="006E681E">
        <w:rPr>
          <w:b/>
          <w:sz w:val="24"/>
          <w:szCs w:val="24"/>
        </w:rPr>
        <w:t>BEFORE THE WASHINGTON UTILITIES AND TRANSPORTATION COMMISSION</w:t>
      </w:r>
    </w:p>
    <w:p w:rsidR="00554C03" w:rsidRPr="006E681E" w:rsidRDefault="00554C03" w:rsidP="00554C03">
      <w:pPr>
        <w:jc w:val="center"/>
        <w:rPr>
          <w:sz w:val="24"/>
          <w:szCs w:val="24"/>
        </w:rPr>
      </w:pPr>
      <w:r w:rsidRPr="006E681E">
        <w:rPr>
          <w:sz w:val="24"/>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360"/>
        <w:gridCol w:w="4608"/>
      </w:tblGrid>
      <w:tr w:rsidR="00554C03" w:rsidRPr="006E681E" w:rsidTr="00275A3E">
        <w:tc>
          <w:tcPr>
            <w:tcW w:w="4608" w:type="dxa"/>
            <w:tcBorders>
              <w:top w:val="nil"/>
              <w:left w:val="nil"/>
              <w:bottom w:val="single" w:sz="4" w:space="0" w:color="auto"/>
              <w:right w:val="nil"/>
            </w:tcBorders>
          </w:tcPr>
          <w:p w:rsidR="00554C03" w:rsidRPr="006E681E" w:rsidRDefault="00554C03" w:rsidP="00275A3E">
            <w:pPr>
              <w:rPr>
                <w:sz w:val="24"/>
                <w:szCs w:val="24"/>
              </w:rPr>
            </w:pPr>
          </w:p>
          <w:p w:rsidR="00554C03" w:rsidRPr="006E681E" w:rsidRDefault="00554C03" w:rsidP="00275A3E">
            <w:pPr>
              <w:rPr>
                <w:sz w:val="24"/>
                <w:szCs w:val="24"/>
              </w:rPr>
            </w:pPr>
            <w:r w:rsidRPr="006E681E">
              <w:rPr>
                <w:sz w:val="24"/>
                <w:szCs w:val="24"/>
              </w:rPr>
              <w:t xml:space="preserve">WASHINGTON UTILITIES AND </w:t>
            </w:r>
          </w:p>
          <w:p w:rsidR="00554C03" w:rsidRPr="006E681E" w:rsidRDefault="00554C03" w:rsidP="00275A3E">
            <w:pPr>
              <w:rPr>
                <w:sz w:val="24"/>
                <w:szCs w:val="24"/>
              </w:rPr>
            </w:pPr>
            <w:r w:rsidRPr="006E681E">
              <w:rPr>
                <w:sz w:val="24"/>
                <w:szCs w:val="24"/>
              </w:rPr>
              <w:t>TRANSPORTATION COMMISSION,</w:t>
            </w:r>
          </w:p>
          <w:p w:rsidR="00554C03" w:rsidRPr="006E681E" w:rsidRDefault="00554C03" w:rsidP="00275A3E">
            <w:pPr>
              <w:rPr>
                <w:sz w:val="24"/>
                <w:szCs w:val="24"/>
              </w:rPr>
            </w:pPr>
          </w:p>
          <w:p w:rsidR="00554C03" w:rsidRPr="006E681E" w:rsidRDefault="00554C03" w:rsidP="00275A3E">
            <w:pPr>
              <w:rPr>
                <w:sz w:val="24"/>
                <w:szCs w:val="24"/>
              </w:rPr>
            </w:pPr>
            <w:r w:rsidRPr="006E681E">
              <w:rPr>
                <w:sz w:val="24"/>
                <w:szCs w:val="24"/>
              </w:rPr>
              <w:tab/>
            </w:r>
            <w:r w:rsidRPr="006E681E">
              <w:rPr>
                <w:sz w:val="24"/>
                <w:szCs w:val="24"/>
              </w:rPr>
              <w:tab/>
              <w:t xml:space="preserve">Complainant, </w:t>
            </w:r>
          </w:p>
          <w:p w:rsidR="00554C03" w:rsidRPr="006E681E" w:rsidRDefault="00554C03" w:rsidP="00275A3E">
            <w:pPr>
              <w:rPr>
                <w:sz w:val="24"/>
                <w:szCs w:val="24"/>
              </w:rPr>
            </w:pPr>
          </w:p>
          <w:p w:rsidR="00554C03" w:rsidRPr="006E681E" w:rsidRDefault="00554C03" w:rsidP="00275A3E">
            <w:pPr>
              <w:jc w:val="center"/>
              <w:rPr>
                <w:sz w:val="24"/>
                <w:szCs w:val="24"/>
              </w:rPr>
            </w:pPr>
            <w:proofErr w:type="gramStart"/>
            <w:r w:rsidRPr="006E681E">
              <w:rPr>
                <w:sz w:val="24"/>
                <w:szCs w:val="24"/>
              </w:rPr>
              <w:t>v</w:t>
            </w:r>
            <w:proofErr w:type="gramEnd"/>
            <w:r w:rsidRPr="006E681E">
              <w:rPr>
                <w:sz w:val="24"/>
                <w:szCs w:val="24"/>
              </w:rPr>
              <w:t>.</w:t>
            </w:r>
          </w:p>
          <w:p w:rsidR="00554C03" w:rsidRPr="006E681E" w:rsidRDefault="00554C03" w:rsidP="00275A3E">
            <w:pPr>
              <w:rPr>
                <w:sz w:val="24"/>
                <w:szCs w:val="24"/>
              </w:rPr>
            </w:pPr>
          </w:p>
          <w:p w:rsidR="00554C03" w:rsidRPr="006E681E" w:rsidRDefault="00554C03" w:rsidP="00275A3E">
            <w:pPr>
              <w:rPr>
                <w:sz w:val="24"/>
                <w:szCs w:val="24"/>
              </w:rPr>
            </w:pPr>
            <w:r w:rsidRPr="006E681E">
              <w:rPr>
                <w:sz w:val="24"/>
                <w:szCs w:val="24"/>
              </w:rPr>
              <w:t xml:space="preserve">PUGET SOUND ENERGY, INC., </w:t>
            </w:r>
          </w:p>
          <w:p w:rsidR="00554C03" w:rsidRPr="006E681E" w:rsidRDefault="00554C03" w:rsidP="00275A3E">
            <w:pPr>
              <w:rPr>
                <w:sz w:val="24"/>
                <w:szCs w:val="24"/>
              </w:rPr>
            </w:pPr>
          </w:p>
          <w:p w:rsidR="00554C03" w:rsidRPr="006E681E" w:rsidRDefault="00554C03" w:rsidP="00275A3E">
            <w:pPr>
              <w:rPr>
                <w:sz w:val="24"/>
                <w:szCs w:val="24"/>
              </w:rPr>
            </w:pPr>
            <w:r w:rsidRPr="006E681E">
              <w:rPr>
                <w:sz w:val="24"/>
                <w:szCs w:val="24"/>
              </w:rPr>
              <w:tab/>
            </w:r>
            <w:r w:rsidRPr="006E681E">
              <w:rPr>
                <w:sz w:val="24"/>
                <w:szCs w:val="24"/>
              </w:rPr>
              <w:tab/>
              <w:t>Respondent.</w:t>
            </w:r>
          </w:p>
        </w:tc>
        <w:tc>
          <w:tcPr>
            <w:tcW w:w="360" w:type="dxa"/>
            <w:tcBorders>
              <w:top w:val="nil"/>
              <w:left w:val="nil"/>
              <w:bottom w:val="nil"/>
              <w:right w:val="nil"/>
            </w:tcBorders>
          </w:tcPr>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tc>
        <w:tc>
          <w:tcPr>
            <w:tcW w:w="4608" w:type="dxa"/>
            <w:tcBorders>
              <w:top w:val="nil"/>
              <w:left w:val="nil"/>
              <w:bottom w:val="nil"/>
              <w:right w:val="nil"/>
            </w:tcBorders>
          </w:tcPr>
          <w:p w:rsidR="00554C03" w:rsidRPr="006E681E" w:rsidRDefault="00554C03" w:rsidP="00275A3E">
            <w:pPr>
              <w:jc w:val="right"/>
              <w:rPr>
                <w:sz w:val="24"/>
                <w:szCs w:val="24"/>
              </w:rPr>
            </w:pPr>
          </w:p>
          <w:p w:rsidR="00554C03" w:rsidRPr="006E681E" w:rsidRDefault="00554C03" w:rsidP="00275A3E">
            <w:pPr>
              <w:rPr>
                <w:sz w:val="24"/>
                <w:szCs w:val="24"/>
              </w:rPr>
            </w:pPr>
          </w:p>
          <w:p w:rsidR="00554C03" w:rsidRPr="006E681E" w:rsidRDefault="00554C03" w:rsidP="00275A3E">
            <w:pPr>
              <w:rPr>
                <w:sz w:val="24"/>
                <w:szCs w:val="24"/>
              </w:rPr>
            </w:pPr>
          </w:p>
          <w:p w:rsidR="00554C03" w:rsidRPr="006E681E" w:rsidRDefault="00554C03" w:rsidP="00275A3E">
            <w:pPr>
              <w:rPr>
                <w:sz w:val="24"/>
                <w:szCs w:val="24"/>
              </w:rPr>
            </w:pPr>
          </w:p>
          <w:p w:rsidR="00554C03" w:rsidRPr="006E681E" w:rsidRDefault="00554C03" w:rsidP="00275A3E">
            <w:pPr>
              <w:ind w:left="522"/>
              <w:rPr>
                <w:i/>
                <w:sz w:val="24"/>
                <w:szCs w:val="24"/>
              </w:rPr>
            </w:pPr>
            <w:bookmarkStart w:id="0" w:name="_Toc354586559"/>
            <w:bookmarkStart w:id="1" w:name="_Toc404674335"/>
            <w:r w:rsidRPr="006E681E">
              <w:rPr>
                <w:sz w:val="24"/>
                <w:szCs w:val="24"/>
              </w:rPr>
              <w:t xml:space="preserve">Dockets UE-121697 and UG-121705 </w:t>
            </w:r>
            <w:r w:rsidRPr="006E681E">
              <w:rPr>
                <w:i/>
                <w:sz w:val="24"/>
                <w:szCs w:val="24"/>
              </w:rPr>
              <w:t>(Consolidated)</w:t>
            </w:r>
            <w:bookmarkEnd w:id="0"/>
            <w:bookmarkEnd w:id="1"/>
          </w:p>
          <w:p w:rsidR="00554C03" w:rsidRPr="006E681E" w:rsidRDefault="00554C03" w:rsidP="00275A3E">
            <w:pPr>
              <w:ind w:left="522"/>
              <w:rPr>
                <w:sz w:val="24"/>
                <w:szCs w:val="24"/>
              </w:rPr>
            </w:pPr>
          </w:p>
          <w:p w:rsidR="00554C03" w:rsidRPr="006E681E" w:rsidRDefault="00554C03" w:rsidP="00275A3E">
            <w:pPr>
              <w:ind w:left="522"/>
              <w:rPr>
                <w:sz w:val="24"/>
                <w:szCs w:val="24"/>
              </w:rPr>
            </w:pPr>
            <w:bookmarkStart w:id="2" w:name="_Toc354586560"/>
            <w:bookmarkStart w:id="3" w:name="_Toc404674336"/>
            <w:r w:rsidRPr="006E681E">
              <w:rPr>
                <w:sz w:val="24"/>
                <w:szCs w:val="24"/>
              </w:rPr>
              <w:t>Dockets UE-130137 and UG-130138</w:t>
            </w:r>
            <w:r w:rsidRPr="006E681E">
              <w:rPr>
                <w:sz w:val="24"/>
                <w:szCs w:val="24"/>
              </w:rPr>
              <w:br/>
            </w:r>
            <w:r w:rsidRPr="006E681E">
              <w:rPr>
                <w:i/>
                <w:sz w:val="24"/>
                <w:szCs w:val="24"/>
              </w:rPr>
              <w:t>(Consolidated)</w:t>
            </w:r>
            <w:bookmarkEnd w:id="2"/>
            <w:bookmarkEnd w:id="3"/>
          </w:p>
          <w:p w:rsidR="00554C03" w:rsidRPr="006E681E" w:rsidRDefault="00554C03" w:rsidP="00275A3E">
            <w:pPr>
              <w:rPr>
                <w:sz w:val="24"/>
                <w:szCs w:val="24"/>
              </w:rPr>
            </w:pPr>
          </w:p>
          <w:p w:rsidR="00554C03" w:rsidRPr="006E681E" w:rsidRDefault="00554C03" w:rsidP="00275A3E">
            <w:pPr>
              <w:keepNext/>
              <w:spacing w:before="240" w:after="60"/>
              <w:ind w:left="158"/>
              <w:jc w:val="center"/>
              <w:outlineLvl w:val="2"/>
              <w:rPr>
                <w:sz w:val="24"/>
                <w:szCs w:val="24"/>
              </w:rPr>
            </w:pPr>
          </w:p>
        </w:tc>
      </w:tr>
    </w:tbl>
    <w:p w:rsidR="00554C03" w:rsidRPr="006E681E" w:rsidRDefault="00554C03" w:rsidP="00554C03">
      <w:pPr>
        <w:jc w:val="both"/>
        <w:rPr>
          <w:sz w:val="24"/>
          <w:szCs w:val="24"/>
        </w:rPr>
      </w:pPr>
    </w:p>
    <w:p w:rsidR="00554C03" w:rsidRPr="006E681E" w:rsidRDefault="00554C03" w:rsidP="00554C03">
      <w:pPr>
        <w:tabs>
          <w:tab w:val="left" w:pos="6450"/>
        </w:tabs>
        <w:jc w:val="both"/>
        <w:rPr>
          <w:sz w:val="24"/>
          <w:szCs w:val="24"/>
        </w:rPr>
      </w:pPr>
    </w:p>
    <w:p w:rsidR="00554C03" w:rsidRPr="006E681E" w:rsidRDefault="00554C03" w:rsidP="00554C03">
      <w:pPr>
        <w:jc w:val="both"/>
        <w:rPr>
          <w:sz w:val="24"/>
          <w:szCs w:val="24"/>
        </w:rPr>
      </w:pPr>
    </w:p>
    <w:p w:rsidR="00554C03" w:rsidRPr="006E681E" w:rsidRDefault="00554C03" w:rsidP="00554C03">
      <w:pPr>
        <w:jc w:val="both"/>
        <w:rPr>
          <w:sz w:val="24"/>
          <w:szCs w:val="24"/>
        </w:rPr>
      </w:pPr>
    </w:p>
    <w:p w:rsidR="00554C03" w:rsidRPr="006E681E" w:rsidRDefault="00554C03" w:rsidP="00554C03">
      <w:pPr>
        <w:jc w:val="both"/>
        <w:rPr>
          <w:sz w:val="24"/>
          <w:szCs w:val="24"/>
        </w:rPr>
      </w:pPr>
    </w:p>
    <w:p w:rsidR="00554C03" w:rsidRPr="006E681E" w:rsidRDefault="00554C03" w:rsidP="00554C03">
      <w:pPr>
        <w:jc w:val="both"/>
        <w:rPr>
          <w:sz w:val="24"/>
          <w:szCs w:val="24"/>
        </w:rPr>
      </w:pPr>
    </w:p>
    <w:p w:rsidR="00554C03" w:rsidRPr="006E681E" w:rsidRDefault="00554C03" w:rsidP="00554C03">
      <w:pPr>
        <w:jc w:val="center"/>
        <w:rPr>
          <w:b/>
          <w:bCs/>
          <w:sz w:val="24"/>
          <w:szCs w:val="24"/>
        </w:rPr>
      </w:pPr>
      <w:r>
        <w:rPr>
          <w:b/>
          <w:bCs/>
          <w:sz w:val="24"/>
        </w:rPr>
        <w:t>REBUTTAL</w:t>
      </w:r>
      <w:r w:rsidRPr="006E681E">
        <w:rPr>
          <w:b/>
          <w:bCs/>
          <w:sz w:val="24"/>
        </w:rPr>
        <w:t xml:space="preserve"> TESTIMONY </w:t>
      </w:r>
      <w:r w:rsidRPr="006E681E">
        <w:rPr>
          <w:b/>
          <w:bCs/>
          <w:sz w:val="24"/>
          <w:szCs w:val="24"/>
        </w:rPr>
        <w:t xml:space="preserve">OF </w:t>
      </w:r>
      <w:r w:rsidRPr="006E681E">
        <w:rPr>
          <w:b/>
          <w:sz w:val="24"/>
          <w:szCs w:val="24"/>
        </w:rPr>
        <w:t>MICHAEL P. GORMAN</w:t>
      </w:r>
    </w:p>
    <w:p w:rsidR="00554C03" w:rsidRPr="006E681E" w:rsidRDefault="00554C03" w:rsidP="00554C03">
      <w:pPr>
        <w:rPr>
          <w:sz w:val="24"/>
        </w:rPr>
      </w:pPr>
    </w:p>
    <w:p w:rsidR="00554C03" w:rsidRPr="006E681E" w:rsidRDefault="00554C03" w:rsidP="00554C03">
      <w:pPr>
        <w:jc w:val="center"/>
        <w:rPr>
          <w:b/>
          <w:bCs/>
          <w:sz w:val="24"/>
        </w:rPr>
      </w:pPr>
      <w:r w:rsidRPr="006E681E">
        <w:rPr>
          <w:b/>
          <w:bCs/>
          <w:sz w:val="24"/>
        </w:rPr>
        <w:t>ON BEHALF OF</w:t>
      </w:r>
    </w:p>
    <w:p w:rsidR="00554C03" w:rsidRPr="006E681E" w:rsidRDefault="00554C03" w:rsidP="00554C03">
      <w:pPr>
        <w:rPr>
          <w:sz w:val="24"/>
        </w:rPr>
      </w:pPr>
    </w:p>
    <w:p w:rsidR="00554C03" w:rsidRPr="006E681E" w:rsidRDefault="00554C03" w:rsidP="00554C03">
      <w:pPr>
        <w:jc w:val="center"/>
        <w:rPr>
          <w:b/>
          <w:bCs/>
          <w:sz w:val="24"/>
        </w:rPr>
      </w:pPr>
      <w:r w:rsidRPr="006E681E">
        <w:rPr>
          <w:b/>
          <w:bCs/>
          <w:sz w:val="24"/>
        </w:rPr>
        <w:t>THE INDUSTRIAL CUSTOMERS OF NORTHWEST UTILITIES</w:t>
      </w:r>
    </w:p>
    <w:p w:rsidR="00554C03" w:rsidRPr="006E681E" w:rsidRDefault="00554C03" w:rsidP="00554C03">
      <w:pPr>
        <w:jc w:val="center"/>
        <w:rPr>
          <w:sz w:val="24"/>
          <w:szCs w:val="24"/>
        </w:rPr>
      </w:pPr>
    </w:p>
    <w:p w:rsidR="00554C03" w:rsidRPr="006E681E" w:rsidRDefault="00554C03" w:rsidP="00554C03">
      <w:pPr>
        <w:jc w:val="center"/>
        <w:rPr>
          <w:sz w:val="24"/>
          <w:szCs w:val="24"/>
        </w:rPr>
      </w:pPr>
    </w:p>
    <w:p w:rsidR="00554C03" w:rsidRPr="006E681E" w:rsidRDefault="00554C03" w:rsidP="00554C03">
      <w:pPr>
        <w:jc w:val="center"/>
        <w:rPr>
          <w:sz w:val="24"/>
          <w:szCs w:val="24"/>
        </w:rPr>
      </w:pPr>
    </w:p>
    <w:p w:rsidR="00554C03" w:rsidRPr="006E681E" w:rsidRDefault="00554C03" w:rsidP="00554C03">
      <w:pPr>
        <w:jc w:val="center"/>
        <w:rPr>
          <w:sz w:val="24"/>
          <w:szCs w:val="24"/>
        </w:rPr>
      </w:pPr>
    </w:p>
    <w:p w:rsidR="00554C03" w:rsidRPr="006E681E" w:rsidRDefault="00554C03" w:rsidP="00554C03">
      <w:pPr>
        <w:jc w:val="center"/>
        <w:rPr>
          <w:sz w:val="24"/>
          <w:szCs w:val="24"/>
        </w:rPr>
      </w:pPr>
    </w:p>
    <w:p w:rsidR="00554C03" w:rsidRPr="006E681E" w:rsidRDefault="00554C03" w:rsidP="00554C03">
      <w:pPr>
        <w:jc w:val="center"/>
        <w:rPr>
          <w:sz w:val="24"/>
          <w:szCs w:val="24"/>
        </w:rPr>
      </w:pPr>
    </w:p>
    <w:p w:rsidR="00554C03" w:rsidRPr="006E681E" w:rsidRDefault="00554C03" w:rsidP="00554C03">
      <w:pPr>
        <w:jc w:val="center"/>
        <w:rPr>
          <w:b/>
          <w:sz w:val="24"/>
          <w:szCs w:val="24"/>
        </w:rPr>
      </w:pPr>
      <w:r w:rsidRPr="006E681E">
        <w:rPr>
          <w:b/>
          <w:sz w:val="24"/>
          <w:szCs w:val="24"/>
        </w:rPr>
        <w:t xml:space="preserve">DECEMBER </w:t>
      </w:r>
      <w:r>
        <w:rPr>
          <w:b/>
          <w:sz w:val="24"/>
          <w:szCs w:val="24"/>
        </w:rPr>
        <w:t>19</w:t>
      </w:r>
      <w:r w:rsidRPr="006E681E">
        <w:rPr>
          <w:b/>
          <w:sz w:val="24"/>
          <w:szCs w:val="24"/>
        </w:rPr>
        <w:t>, 2014</w:t>
      </w:r>
    </w:p>
    <w:p w:rsidR="00554C03" w:rsidRPr="006E681E" w:rsidRDefault="00554C03" w:rsidP="00554C03">
      <w:pPr>
        <w:jc w:val="center"/>
        <w:rPr>
          <w:sz w:val="24"/>
          <w:szCs w:val="24"/>
        </w:rPr>
      </w:pPr>
    </w:p>
    <w:p w:rsidR="00554C03" w:rsidRPr="006E681E" w:rsidRDefault="00554C03" w:rsidP="00554C03">
      <w:pPr>
        <w:spacing w:line="480" w:lineRule="auto"/>
        <w:jc w:val="both"/>
        <w:rPr>
          <w:b/>
          <w:sz w:val="24"/>
          <w:szCs w:val="24"/>
        </w:rPr>
        <w:sectPr w:rsidR="00554C03" w:rsidRPr="006E681E">
          <w:headerReference w:type="default" r:id="rId8"/>
          <w:type w:val="continuous"/>
          <w:pgSz w:w="12240" w:h="15840" w:code="1"/>
          <w:pgMar w:top="1440" w:right="1440" w:bottom="1440" w:left="1728" w:header="576" w:footer="576" w:gutter="0"/>
          <w:pgNumType w:start="1"/>
          <w:cols w:space="720"/>
          <w:docGrid w:linePitch="299"/>
        </w:sectPr>
      </w:pPr>
    </w:p>
    <w:p w:rsidR="00554C03" w:rsidRPr="006E681E" w:rsidRDefault="00554C03" w:rsidP="00554C03">
      <w:pPr>
        <w:spacing w:line="480" w:lineRule="auto"/>
        <w:ind w:left="720" w:hanging="720"/>
        <w:jc w:val="both"/>
        <w:rPr>
          <w:b/>
          <w:sz w:val="24"/>
          <w:szCs w:val="24"/>
        </w:rPr>
      </w:pPr>
      <w:r w:rsidRPr="006E681E">
        <w:rPr>
          <w:b/>
          <w:sz w:val="24"/>
          <w:szCs w:val="24"/>
        </w:rPr>
        <w:lastRenderedPageBreak/>
        <w:t>Q.</w:t>
      </w:r>
      <w:r w:rsidRPr="006E681E">
        <w:rPr>
          <w:b/>
          <w:sz w:val="24"/>
          <w:szCs w:val="24"/>
        </w:rPr>
        <w:tab/>
        <w:t>PLEASE STATE YOUR NAME AND BUSINESS ADDRESS.</w:t>
      </w:r>
    </w:p>
    <w:p w:rsidR="00554C03" w:rsidRPr="006E681E" w:rsidRDefault="00554C03" w:rsidP="00554C03">
      <w:pPr>
        <w:spacing w:line="480" w:lineRule="auto"/>
        <w:ind w:left="720" w:hanging="720"/>
        <w:jc w:val="both"/>
        <w:rPr>
          <w:sz w:val="24"/>
          <w:szCs w:val="24"/>
        </w:rPr>
      </w:pPr>
      <w:r w:rsidRPr="006E681E">
        <w:rPr>
          <w:b/>
          <w:sz w:val="24"/>
          <w:szCs w:val="24"/>
        </w:rPr>
        <w:t>A.</w:t>
      </w:r>
      <w:r w:rsidRPr="006E681E">
        <w:rPr>
          <w:sz w:val="24"/>
          <w:szCs w:val="24"/>
        </w:rPr>
        <w:tab/>
        <w:t>Michael P. Gorman.  My business address is 16690 Swingley Ridge Road, Suite 140, Chesterfield, MO 63017.</w:t>
      </w:r>
    </w:p>
    <w:p w:rsidR="00536B87" w:rsidRDefault="00554C03">
      <w:pPr>
        <w:spacing w:after="240"/>
        <w:ind w:left="720" w:hanging="720"/>
        <w:jc w:val="both"/>
        <w:rPr>
          <w:b/>
          <w:sz w:val="24"/>
          <w:szCs w:val="24"/>
        </w:rPr>
      </w:pPr>
      <w:r w:rsidRPr="006E681E">
        <w:rPr>
          <w:b/>
          <w:sz w:val="24"/>
          <w:szCs w:val="24"/>
        </w:rPr>
        <w:t>Q.</w:t>
      </w:r>
      <w:r w:rsidRPr="006E681E">
        <w:rPr>
          <w:b/>
          <w:sz w:val="24"/>
          <w:szCs w:val="24"/>
        </w:rPr>
        <w:tab/>
        <w:t xml:space="preserve">ARE YOU THE SAME MICHAEL P. GORMAN WHO FILED RESPONSE TESTIMONY IN THE ORIGINAL ADMINISTRATIVE PROCEEDING </w:t>
      </w:r>
      <w:r>
        <w:rPr>
          <w:b/>
          <w:sz w:val="24"/>
          <w:szCs w:val="24"/>
        </w:rPr>
        <w:t>AND RESPONSE TESTIMONY ON DECEMBER 3, 2014 IN THESE DOCKETS</w:t>
      </w:r>
      <w:r w:rsidRPr="006E681E">
        <w:rPr>
          <w:b/>
          <w:sz w:val="24"/>
          <w:szCs w:val="24"/>
        </w:rPr>
        <w:t xml:space="preserve">?  </w:t>
      </w:r>
    </w:p>
    <w:p w:rsidR="00554C03" w:rsidRPr="006E681E" w:rsidRDefault="00554C03" w:rsidP="00554C03">
      <w:pPr>
        <w:spacing w:line="480" w:lineRule="auto"/>
        <w:ind w:left="720" w:hanging="720"/>
        <w:jc w:val="both"/>
        <w:rPr>
          <w:sz w:val="24"/>
          <w:szCs w:val="24"/>
        </w:rPr>
      </w:pPr>
      <w:r w:rsidRPr="006E681E">
        <w:rPr>
          <w:b/>
          <w:sz w:val="24"/>
          <w:szCs w:val="24"/>
        </w:rPr>
        <w:t>A.</w:t>
      </w:r>
      <w:r w:rsidRPr="006E681E">
        <w:rPr>
          <w:sz w:val="24"/>
          <w:szCs w:val="24"/>
        </w:rPr>
        <w:tab/>
        <w:t>Yes.</w:t>
      </w:r>
    </w:p>
    <w:p w:rsidR="00554C03" w:rsidRPr="006E681E" w:rsidRDefault="00554C03" w:rsidP="00554C03">
      <w:pPr>
        <w:spacing w:after="240"/>
        <w:ind w:left="720" w:hanging="720"/>
        <w:jc w:val="both"/>
        <w:rPr>
          <w:b/>
          <w:sz w:val="24"/>
          <w:szCs w:val="24"/>
        </w:rPr>
      </w:pPr>
      <w:r w:rsidRPr="006E681E">
        <w:rPr>
          <w:b/>
          <w:sz w:val="24"/>
          <w:szCs w:val="24"/>
        </w:rPr>
        <w:t>Q.</w:t>
      </w:r>
      <w:r w:rsidRPr="006E681E">
        <w:rPr>
          <w:b/>
          <w:sz w:val="24"/>
          <w:szCs w:val="24"/>
        </w:rPr>
        <w:tab/>
        <w:t>ON WHOSE BEHALF ARE YOU APPEARING IN THIS PROCEEDING?</w:t>
      </w:r>
    </w:p>
    <w:p w:rsidR="00554C03" w:rsidRPr="006E681E" w:rsidRDefault="00554C03" w:rsidP="00554C03">
      <w:pPr>
        <w:spacing w:line="480" w:lineRule="auto"/>
        <w:ind w:left="720" w:hanging="720"/>
        <w:jc w:val="both"/>
        <w:rPr>
          <w:sz w:val="24"/>
          <w:szCs w:val="22"/>
        </w:rPr>
      </w:pPr>
      <w:r w:rsidRPr="006E681E">
        <w:rPr>
          <w:b/>
          <w:sz w:val="24"/>
          <w:szCs w:val="24"/>
        </w:rPr>
        <w:t>A.</w:t>
      </w:r>
      <w:r w:rsidRPr="006E681E">
        <w:rPr>
          <w:sz w:val="24"/>
          <w:szCs w:val="24"/>
        </w:rPr>
        <w:tab/>
      </w:r>
      <w:r w:rsidRPr="006E681E">
        <w:rPr>
          <w:sz w:val="24"/>
          <w:szCs w:val="22"/>
        </w:rPr>
        <w:t>I am appearing on behalf of the Industrial Customers of Northwest Utilities (“ICNU”).</w:t>
      </w:r>
    </w:p>
    <w:p w:rsidR="00554C03" w:rsidRPr="006E681E" w:rsidRDefault="00554C03" w:rsidP="00554C03">
      <w:pPr>
        <w:spacing w:after="240"/>
        <w:ind w:left="720" w:hanging="720"/>
        <w:jc w:val="both"/>
        <w:rPr>
          <w:b/>
          <w:sz w:val="24"/>
          <w:szCs w:val="24"/>
        </w:rPr>
      </w:pPr>
      <w:r w:rsidRPr="006E681E">
        <w:rPr>
          <w:b/>
          <w:sz w:val="24"/>
          <w:szCs w:val="24"/>
        </w:rPr>
        <w:t>Q.</w:t>
      </w:r>
      <w:r w:rsidRPr="006E681E">
        <w:rPr>
          <w:b/>
          <w:sz w:val="24"/>
          <w:szCs w:val="24"/>
        </w:rPr>
        <w:tab/>
        <w:t xml:space="preserve">WHAT IS THE </w:t>
      </w:r>
      <w:r>
        <w:rPr>
          <w:b/>
          <w:sz w:val="24"/>
          <w:szCs w:val="24"/>
        </w:rPr>
        <w:t>PURPOSE</w:t>
      </w:r>
      <w:r w:rsidRPr="006E681E">
        <w:rPr>
          <w:b/>
          <w:sz w:val="24"/>
          <w:szCs w:val="24"/>
        </w:rPr>
        <w:t xml:space="preserve"> OF YOUR </w:t>
      </w:r>
      <w:r>
        <w:rPr>
          <w:b/>
          <w:sz w:val="24"/>
          <w:szCs w:val="24"/>
        </w:rPr>
        <w:t xml:space="preserve">REBUTTAL </w:t>
      </w:r>
      <w:r w:rsidRPr="006E681E">
        <w:rPr>
          <w:b/>
          <w:sz w:val="24"/>
          <w:szCs w:val="24"/>
        </w:rPr>
        <w:t>TESTIMONY?</w:t>
      </w:r>
    </w:p>
    <w:p w:rsidR="00554C03" w:rsidRPr="006E681E" w:rsidRDefault="00554C03" w:rsidP="00554C03">
      <w:pPr>
        <w:spacing w:line="480" w:lineRule="auto"/>
        <w:ind w:left="720" w:hanging="720"/>
        <w:jc w:val="both"/>
        <w:rPr>
          <w:sz w:val="24"/>
          <w:szCs w:val="24"/>
        </w:rPr>
      </w:pPr>
      <w:r w:rsidRPr="006E681E">
        <w:rPr>
          <w:b/>
          <w:sz w:val="24"/>
          <w:szCs w:val="24"/>
        </w:rPr>
        <w:t>A.</w:t>
      </w:r>
      <w:r w:rsidRPr="006E681E">
        <w:rPr>
          <w:sz w:val="24"/>
          <w:szCs w:val="24"/>
        </w:rPr>
        <w:tab/>
      </w:r>
      <w:r>
        <w:rPr>
          <w:sz w:val="24"/>
          <w:szCs w:val="24"/>
        </w:rPr>
        <w:t xml:space="preserve">I will provide a comment to </w:t>
      </w:r>
      <w:r w:rsidRPr="00153A9E">
        <w:rPr>
          <w:sz w:val="24"/>
          <w:szCs w:val="24"/>
        </w:rPr>
        <w:t xml:space="preserve">Washington Utilities </w:t>
      </w:r>
      <w:r>
        <w:rPr>
          <w:sz w:val="24"/>
          <w:szCs w:val="24"/>
        </w:rPr>
        <w:t>a</w:t>
      </w:r>
      <w:r w:rsidRPr="00153A9E">
        <w:rPr>
          <w:sz w:val="24"/>
          <w:szCs w:val="24"/>
        </w:rPr>
        <w:t>nd Transportation Commission</w:t>
      </w:r>
      <w:r>
        <w:rPr>
          <w:sz w:val="24"/>
          <w:szCs w:val="24"/>
        </w:rPr>
        <w:t xml:space="preserve"> Staff witness David Parcell’s estimated return on equity range for Puget Sound Energy (“PSE” or “Company”) of 9.0% to 10.0%.</w:t>
      </w:r>
    </w:p>
    <w:p w:rsidR="00554C03" w:rsidRPr="00B82FF7" w:rsidRDefault="00554C03" w:rsidP="00554C03">
      <w:pPr>
        <w:spacing w:after="240"/>
        <w:ind w:left="720" w:hanging="720"/>
        <w:jc w:val="both"/>
        <w:rPr>
          <w:b/>
          <w:sz w:val="24"/>
          <w:szCs w:val="24"/>
        </w:rPr>
      </w:pPr>
      <w:r w:rsidRPr="00B82FF7">
        <w:rPr>
          <w:b/>
          <w:sz w:val="24"/>
          <w:szCs w:val="24"/>
        </w:rPr>
        <w:t>Q.</w:t>
      </w:r>
      <w:r w:rsidRPr="00B82FF7">
        <w:rPr>
          <w:b/>
          <w:sz w:val="24"/>
          <w:szCs w:val="24"/>
        </w:rPr>
        <w:tab/>
      </w:r>
      <w:r>
        <w:rPr>
          <w:b/>
          <w:sz w:val="24"/>
          <w:szCs w:val="24"/>
        </w:rPr>
        <w:t>PLEASE SUMMARIZE YOUR FINDINGS AND RECOMMENDATIONS AS OUTLINED BELOW.</w:t>
      </w:r>
    </w:p>
    <w:p w:rsidR="00554C03"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I based a fair and balanced interpretation of Mr. Parcell’s return on equity estimates for PSE to support my finding that PSE’s current market cost of equity is in the range of 9.0% to 9.6%.  Mr. Parcell’s estimated range overstates a fair return on equity for PSE.  I state this based on the clear substantial findings in Mr. Parcell’s own studies.</w:t>
      </w:r>
    </w:p>
    <w:p w:rsidR="00554C03" w:rsidRDefault="00554C03" w:rsidP="00554C03">
      <w:pPr>
        <w:spacing w:line="480" w:lineRule="auto"/>
        <w:ind w:left="720" w:hanging="720"/>
        <w:jc w:val="both"/>
        <w:rPr>
          <w:sz w:val="24"/>
          <w:szCs w:val="24"/>
        </w:rPr>
      </w:pPr>
      <w:r>
        <w:rPr>
          <w:sz w:val="24"/>
          <w:szCs w:val="24"/>
        </w:rPr>
        <w:tab/>
      </w:r>
      <w:r>
        <w:rPr>
          <w:sz w:val="24"/>
          <w:szCs w:val="24"/>
        </w:rPr>
        <w:tab/>
        <w:t xml:space="preserve">Staff witness Thomas Schooley’s contention that PSE’s authorized return on equity should not be adjusted if it is not earning its current authorized return on equity is nonsensical and should be rejected.  In setting the Expedited Rate Filing (“ERF”) revenue requirement, it is appropriate for the Commission to consider significant changes in PSE’s cost of service.  One of those significant changes includes a decline </w:t>
      </w:r>
      <w:r>
        <w:rPr>
          <w:sz w:val="24"/>
          <w:szCs w:val="24"/>
        </w:rPr>
        <w:lastRenderedPageBreak/>
        <w:t>in PSE’s cost of capital.  That decline in its cost of capital, and lower authorized return on equity should be used to set PSE’s revenue requirement and retail rates.</w:t>
      </w:r>
    </w:p>
    <w:p w:rsidR="00536B87" w:rsidRDefault="00554C03">
      <w:pPr>
        <w:spacing w:before="240" w:after="240"/>
        <w:ind w:left="720" w:hanging="720"/>
        <w:jc w:val="both"/>
        <w:rPr>
          <w:b/>
          <w:sz w:val="24"/>
          <w:szCs w:val="24"/>
          <w:u w:val="single"/>
        </w:rPr>
      </w:pPr>
      <w:r w:rsidRPr="001A43C1">
        <w:rPr>
          <w:b/>
          <w:sz w:val="24"/>
          <w:szCs w:val="24"/>
          <w:u w:val="single"/>
        </w:rPr>
        <w:t>Response to Staff Witness David Parcell</w:t>
      </w:r>
    </w:p>
    <w:p w:rsidR="00554C03" w:rsidRPr="006E681E" w:rsidRDefault="00554C03" w:rsidP="00554C03">
      <w:pPr>
        <w:spacing w:after="240"/>
        <w:ind w:left="720" w:hanging="720"/>
        <w:jc w:val="both"/>
        <w:rPr>
          <w:b/>
          <w:sz w:val="24"/>
          <w:szCs w:val="24"/>
        </w:rPr>
      </w:pPr>
      <w:r>
        <w:rPr>
          <w:b/>
          <w:sz w:val="24"/>
          <w:szCs w:val="24"/>
        </w:rPr>
        <w:t>Q.</w:t>
      </w:r>
      <w:r>
        <w:rPr>
          <w:b/>
          <w:sz w:val="24"/>
          <w:szCs w:val="24"/>
        </w:rPr>
        <w:tab/>
        <w:t>PLEASE DESCRIBE MR. PARCELL’S FINDINGS FOR PSE’S CURRENT MARKET COST OF EQUITY.</w:t>
      </w:r>
    </w:p>
    <w:p w:rsidR="00554C03" w:rsidRDefault="00554C03" w:rsidP="00554C03">
      <w:pPr>
        <w:spacing w:line="480" w:lineRule="auto"/>
        <w:ind w:left="720" w:hanging="720"/>
        <w:jc w:val="both"/>
        <w:rPr>
          <w:sz w:val="24"/>
          <w:szCs w:val="24"/>
        </w:rPr>
      </w:pPr>
      <w:r w:rsidRPr="006E681E">
        <w:rPr>
          <w:b/>
          <w:sz w:val="24"/>
          <w:szCs w:val="24"/>
        </w:rPr>
        <w:t>A.</w:t>
      </w:r>
      <w:r w:rsidRPr="006E681E">
        <w:rPr>
          <w:sz w:val="24"/>
          <w:szCs w:val="24"/>
        </w:rPr>
        <w:tab/>
      </w:r>
      <w:r>
        <w:rPr>
          <w:sz w:val="24"/>
          <w:szCs w:val="24"/>
        </w:rPr>
        <w:t>Mr. Parcell estimates PSE’s current market cost of equity falls in the range of 9.0% to 10.0%.  He bases this range on a Discounted Cash Flow (“DCF”), Capital Asset Pricing Model (“CAPM”), and Comparable Earnings analysis.  These results are summarized at page 3 of his testimony.  Mr. Parcell’s results are shown below for ease of reference.</w:t>
      </w:r>
    </w:p>
    <w:tbl>
      <w:tblPr>
        <w:tblStyle w:val="TableGrid"/>
        <w:tblW w:w="7128" w:type="dxa"/>
        <w:jc w:val="center"/>
        <w:tblInd w:w="7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3385"/>
        <w:gridCol w:w="2314"/>
        <w:gridCol w:w="1429"/>
      </w:tblGrid>
      <w:tr w:rsidR="00554C03" w:rsidTr="00275A3E">
        <w:trPr>
          <w:jc w:val="center"/>
        </w:trPr>
        <w:tc>
          <w:tcPr>
            <w:tcW w:w="7128" w:type="dxa"/>
            <w:gridSpan w:val="3"/>
          </w:tcPr>
          <w:p w:rsidR="00554C03" w:rsidRDefault="00554C03" w:rsidP="00275A3E">
            <w:pPr>
              <w:jc w:val="center"/>
              <w:rPr>
                <w:b/>
                <w:sz w:val="24"/>
                <w:szCs w:val="24"/>
              </w:rPr>
            </w:pPr>
          </w:p>
          <w:p w:rsidR="00554C03" w:rsidRDefault="00554C03" w:rsidP="00275A3E">
            <w:pPr>
              <w:jc w:val="center"/>
              <w:rPr>
                <w:b/>
                <w:sz w:val="24"/>
                <w:szCs w:val="24"/>
              </w:rPr>
            </w:pPr>
            <w:r>
              <w:rPr>
                <w:b/>
                <w:sz w:val="24"/>
                <w:szCs w:val="24"/>
              </w:rPr>
              <w:t>TABLE 1</w:t>
            </w:r>
          </w:p>
          <w:p w:rsidR="00554C03" w:rsidRDefault="00554C03" w:rsidP="00275A3E">
            <w:pPr>
              <w:jc w:val="center"/>
              <w:rPr>
                <w:b/>
                <w:sz w:val="24"/>
                <w:szCs w:val="24"/>
              </w:rPr>
            </w:pPr>
          </w:p>
          <w:p w:rsidR="00554C03" w:rsidRPr="00503D13" w:rsidRDefault="00554C03" w:rsidP="00275A3E">
            <w:pPr>
              <w:jc w:val="center"/>
              <w:rPr>
                <w:b/>
                <w:sz w:val="24"/>
                <w:szCs w:val="24"/>
                <w:u w:val="single"/>
              </w:rPr>
            </w:pPr>
            <w:r>
              <w:rPr>
                <w:b/>
                <w:sz w:val="24"/>
                <w:szCs w:val="24"/>
                <w:u w:val="single"/>
              </w:rPr>
              <w:t>Staff Witness Parcell’s Results</w:t>
            </w:r>
          </w:p>
        </w:tc>
      </w:tr>
      <w:tr w:rsidR="00554C03" w:rsidTr="00275A3E">
        <w:trPr>
          <w:jc w:val="center"/>
        </w:trPr>
        <w:tc>
          <w:tcPr>
            <w:tcW w:w="3385" w:type="dxa"/>
          </w:tcPr>
          <w:p w:rsidR="00554C03" w:rsidRDefault="00554C03" w:rsidP="00275A3E">
            <w:pPr>
              <w:jc w:val="both"/>
              <w:rPr>
                <w:b/>
                <w:sz w:val="24"/>
                <w:szCs w:val="24"/>
              </w:rPr>
            </w:pPr>
          </w:p>
        </w:tc>
        <w:tc>
          <w:tcPr>
            <w:tcW w:w="2314" w:type="dxa"/>
          </w:tcPr>
          <w:p w:rsidR="00554C03" w:rsidRDefault="00554C03" w:rsidP="00275A3E">
            <w:pPr>
              <w:jc w:val="both"/>
              <w:rPr>
                <w:b/>
                <w:sz w:val="24"/>
                <w:szCs w:val="24"/>
              </w:rPr>
            </w:pPr>
          </w:p>
        </w:tc>
        <w:tc>
          <w:tcPr>
            <w:tcW w:w="1429" w:type="dxa"/>
          </w:tcPr>
          <w:p w:rsidR="00554C03" w:rsidRDefault="00554C03" w:rsidP="00275A3E">
            <w:pPr>
              <w:jc w:val="both"/>
              <w:rPr>
                <w:b/>
                <w:sz w:val="24"/>
                <w:szCs w:val="24"/>
              </w:rPr>
            </w:pPr>
          </w:p>
        </w:tc>
      </w:tr>
      <w:tr w:rsidR="00554C03" w:rsidTr="00275A3E">
        <w:trPr>
          <w:jc w:val="center"/>
        </w:trPr>
        <w:tc>
          <w:tcPr>
            <w:tcW w:w="3385" w:type="dxa"/>
          </w:tcPr>
          <w:p w:rsidR="00554C03" w:rsidRPr="00503D13" w:rsidRDefault="00554C03" w:rsidP="00275A3E">
            <w:pPr>
              <w:spacing w:line="480" w:lineRule="auto"/>
              <w:ind w:left="180" w:right="142"/>
              <w:rPr>
                <w:b/>
                <w:sz w:val="24"/>
                <w:szCs w:val="24"/>
                <w:u w:val="single"/>
              </w:rPr>
            </w:pPr>
            <w:r>
              <w:rPr>
                <w:b/>
                <w:sz w:val="24"/>
                <w:szCs w:val="24"/>
                <w:u w:val="single"/>
              </w:rPr>
              <w:t>             Methodology            </w:t>
            </w:r>
          </w:p>
        </w:tc>
        <w:tc>
          <w:tcPr>
            <w:tcW w:w="2314" w:type="dxa"/>
          </w:tcPr>
          <w:p w:rsidR="00554C03" w:rsidRPr="00503D13" w:rsidRDefault="00554C03" w:rsidP="00275A3E">
            <w:pPr>
              <w:spacing w:line="480" w:lineRule="auto"/>
              <w:jc w:val="center"/>
              <w:rPr>
                <w:b/>
                <w:sz w:val="24"/>
                <w:szCs w:val="24"/>
                <w:u w:val="single"/>
              </w:rPr>
            </w:pPr>
            <w:r>
              <w:rPr>
                <w:b/>
                <w:sz w:val="24"/>
                <w:szCs w:val="24"/>
                <w:u w:val="single"/>
              </w:rPr>
              <w:t>      Range      </w:t>
            </w:r>
          </w:p>
        </w:tc>
        <w:tc>
          <w:tcPr>
            <w:tcW w:w="1429" w:type="dxa"/>
          </w:tcPr>
          <w:p w:rsidR="00554C03" w:rsidRPr="00503D13" w:rsidRDefault="00554C03" w:rsidP="00275A3E">
            <w:pPr>
              <w:spacing w:line="480" w:lineRule="auto"/>
              <w:jc w:val="center"/>
              <w:rPr>
                <w:b/>
                <w:sz w:val="24"/>
                <w:szCs w:val="24"/>
                <w:u w:val="single"/>
              </w:rPr>
            </w:pPr>
            <w:r>
              <w:rPr>
                <w:b/>
                <w:sz w:val="24"/>
                <w:szCs w:val="24"/>
                <w:u w:val="single"/>
              </w:rPr>
              <w:t>Midpoint</w:t>
            </w:r>
          </w:p>
        </w:tc>
      </w:tr>
      <w:tr w:rsidR="00554C03" w:rsidRPr="00503D13" w:rsidTr="00275A3E">
        <w:trPr>
          <w:jc w:val="center"/>
        </w:trPr>
        <w:tc>
          <w:tcPr>
            <w:tcW w:w="3385" w:type="dxa"/>
          </w:tcPr>
          <w:p w:rsidR="00554C03" w:rsidRPr="00503D13" w:rsidRDefault="00554C03" w:rsidP="00275A3E">
            <w:pPr>
              <w:spacing w:line="480" w:lineRule="auto"/>
              <w:ind w:left="180"/>
              <w:jc w:val="both"/>
              <w:rPr>
                <w:sz w:val="24"/>
                <w:szCs w:val="24"/>
              </w:rPr>
            </w:pPr>
            <w:r w:rsidRPr="00503D13">
              <w:rPr>
                <w:sz w:val="24"/>
                <w:szCs w:val="24"/>
              </w:rPr>
              <w:t>Discounted Cash Flow</w:t>
            </w:r>
          </w:p>
        </w:tc>
        <w:tc>
          <w:tcPr>
            <w:tcW w:w="2314" w:type="dxa"/>
          </w:tcPr>
          <w:p w:rsidR="00554C03" w:rsidRPr="00503D13" w:rsidRDefault="00554C03" w:rsidP="00275A3E">
            <w:pPr>
              <w:spacing w:line="480" w:lineRule="auto"/>
              <w:ind w:right="443"/>
              <w:jc w:val="right"/>
              <w:rPr>
                <w:sz w:val="24"/>
                <w:szCs w:val="24"/>
              </w:rPr>
            </w:pPr>
            <w:r>
              <w:rPr>
                <w:sz w:val="24"/>
                <w:szCs w:val="24"/>
              </w:rPr>
              <w:t>9.1% – 9.7%</w:t>
            </w:r>
          </w:p>
        </w:tc>
        <w:tc>
          <w:tcPr>
            <w:tcW w:w="1429" w:type="dxa"/>
          </w:tcPr>
          <w:p w:rsidR="00554C03" w:rsidRPr="00503D13" w:rsidRDefault="00554C03" w:rsidP="00275A3E">
            <w:pPr>
              <w:spacing w:line="480" w:lineRule="auto"/>
              <w:jc w:val="center"/>
              <w:rPr>
                <w:sz w:val="24"/>
                <w:szCs w:val="24"/>
              </w:rPr>
            </w:pPr>
            <w:r>
              <w:rPr>
                <w:sz w:val="24"/>
                <w:szCs w:val="24"/>
              </w:rPr>
              <w:t>9.4%</w:t>
            </w:r>
          </w:p>
        </w:tc>
      </w:tr>
      <w:tr w:rsidR="00554C03" w:rsidRPr="00503D13" w:rsidTr="00275A3E">
        <w:trPr>
          <w:jc w:val="center"/>
        </w:trPr>
        <w:tc>
          <w:tcPr>
            <w:tcW w:w="3385" w:type="dxa"/>
          </w:tcPr>
          <w:p w:rsidR="00554C03" w:rsidRPr="00503D13" w:rsidRDefault="00554C03" w:rsidP="00275A3E">
            <w:pPr>
              <w:spacing w:line="480" w:lineRule="auto"/>
              <w:ind w:left="180"/>
              <w:jc w:val="both"/>
              <w:rPr>
                <w:sz w:val="24"/>
                <w:szCs w:val="24"/>
              </w:rPr>
            </w:pPr>
            <w:r w:rsidRPr="00503D13">
              <w:rPr>
                <w:sz w:val="24"/>
                <w:szCs w:val="24"/>
              </w:rPr>
              <w:t>Capital Asset Pricing Model</w:t>
            </w:r>
          </w:p>
        </w:tc>
        <w:tc>
          <w:tcPr>
            <w:tcW w:w="2314" w:type="dxa"/>
          </w:tcPr>
          <w:p w:rsidR="00554C03" w:rsidRPr="00503D13" w:rsidRDefault="00554C03" w:rsidP="00275A3E">
            <w:pPr>
              <w:spacing w:line="480" w:lineRule="auto"/>
              <w:ind w:right="443"/>
              <w:jc w:val="right"/>
              <w:rPr>
                <w:sz w:val="24"/>
                <w:szCs w:val="24"/>
              </w:rPr>
            </w:pPr>
            <w:r>
              <w:rPr>
                <w:sz w:val="24"/>
                <w:szCs w:val="24"/>
              </w:rPr>
              <w:t>6.5% - 6.8%</w:t>
            </w:r>
          </w:p>
        </w:tc>
        <w:tc>
          <w:tcPr>
            <w:tcW w:w="1429" w:type="dxa"/>
          </w:tcPr>
          <w:p w:rsidR="00554C03" w:rsidRPr="00503D13" w:rsidRDefault="00554C03" w:rsidP="00275A3E">
            <w:pPr>
              <w:spacing w:line="480" w:lineRule="auto"/>
              <w:jc w:val="center"/>
              <w:rPr>
                <w:sz w:val="24"/>
                <w:szCs w:val="24"/>
              </w:rPr>
            </w:pPr>
            <w:r>
              <w:rPr>
                <w:sz w:val="24"/>
                <w:szCs w:val="24"/>
              </w:rPr>
              <w:t>6.7%</w:t>
            </w:r>
          </w:p>
        </w:tc>
      </w:tr>
      <w:tr w:rsidR="00554C03" w:rsidRPr="00503D13" w:rsidTr="00275A3E">
        <w:trPr>
          <w:jc w:val="center"/>
        </w:trPr>
        <w:tc>
          <w:tcPr>
            <w:tcW w:w="3385" w:type="dxa"/>
          </w:tcPr>
          <w:p w:rsidR="00554C03" w:rsidRPr="00503D13" w:rsidRDefault="00554C03" w:rsidP="00275A3E">
            <w:pPr>
              <w:ind w:left="180"/>
              <w:jc w:val="both"/>
              <w:rPr>
                <w:sz w:val="24"/>
                <w:szCs w:val="24"/>
              </w:rPr>
            </w:pPr>
            <w:r w:rsidRPr="00503D13">
              <w:rPr>
                <w:sz w:val="24"/>
                <w:szCs w:val="24"/>
              </w:rPr>
              <w:t>Comparable Earnings</w:t>
            </w:r>
          </w:p>
        </w:tc>
        <w:tc>
          <w:tcPr>
            <w:tcW w:w="2314" w:type="dxa"/>
          </w:tcPr>
          <w:p w:rsidR="00554C03" w:rsidRPr="00503D13" w:rsidRDefault="00554C03" w:rsidP="00275A3E">
            <w:pPr>
              <w:ind w:right="443"/>
              <w:jc w:val="right"/>
              <w:rPr>
                <w:sz w:val="24"/>
                <w:szCs w:val="24"/>
              </w:rPr>
            </w:pPr>
            <w:r>
              <w:rPr>
                <w:sz w:val="24"/>
                <w:szCs w:val="24"/>
              </w:rPr>
              <w:t>9.0% - 10.0%</w:t>
            </w:r>
          </w:p>
        </w:tc>
        <w:tc>
          <w:tcPr>
            <w:tcW w:w="1429" w:type="dxa"/>
          </w:tcPr>
          <w:p w:rsidR="00554C03" w:rsidRPr="00503D13" w:rsidRDefault="00554C03" w:rsidP="00275A3E">
            <w:pPr>
              <w:jc w:val="center"/>
              <w:rPr>
                <w:sz w:val="24"/>
                <w:szCs w:val="24"/>
              </w:rPr>
            </w:pPr>
            <w:r>
              <w:rPr>
                <w:sz w:val="24"/>
                <w:szCs w:val="24"/>
              </w:rPr>
              <w:t>9.5%</w:t>
            </w:r>
          </w:p>
        </w:tc>
      </w:tr>
      <w:tr w:rsidR="00554C03" w:rsidRPr="00503D13" w:rsidTr="00275A3E">
        <w:trPr>
          <w:jc w:val="center"/>
        </w:trPr>
        <w:tc>
          <w:tcPr>
            <w:tcW w:w="7128" w:type="dxa"/>
            <w:gridSpan w:val="3"/>
          </w:tcPr>
          <w:p w:rsidR="00554C03" w:rsidRDefault="00554C03" w:rsidP="00275A3E">
            <w:pPr>
              <w:ind w:left="180"/>
              <w:jc w:val="both"/>
              <w:rPr>
                <w:sz w:val="24"/>
                <w:szCs w:val="24"/>
              </w:rPr>
            </w:pPr>
            <w:r>
              <w:rPr>
                <w:sz w:val="24"/>
                <w:szCs w:val="24"/>
              </w:rPr>
              <w:t>___________________</w:t>
            </w:r>
          </w:p>
          <w:p w:rsidR="00554C03" w:rsidRPr="006B53F0" w:rsidRDefault="00554C03" w:rsidP="00275A3E">
            <w:pPr>
              <w:spacing w:before="120" w:after="240"/>
              <w:ind w:left="187"/>
              <w:jc w:val="both"/>
              <w:rPr>
                <w:szCs w:val="22"/>
              </w:rPr>
            </w:pPr>
            <w:r w:rsidRPr="006B53F0">
              <w:rPr>
                <w:szCs w:val="22"/>
              </w:rPr>
              <w:t>Source:  Exhibit No.__</w:t>
            </w:r>
            <w:proofErr w:type="gramStart"/>
            <w:r w:rsidRPr="006B53F0">
              <w:rPr>
                <w:szCs w:val="22"/>
              </w:rPr>
              <w:t>_(</w:t>
            </w:r>
            <w:proofErr w:type="gramEnd"/>
            <w:r w:rsidRPr="006B53F0">
              <w:rPr>
                <w:szCs w:val="22"/>
              </w:rPr>
              <w:t>DCP-1T) at 3.</w:t>
            </w:r>
          </w:p>
        </w:tc>
      </w:tr>
    </w:tbl>
    <w:p w:rsidR="00554C03" w:rsidRPr="006E681E" w:rsidRDefault="00554C03" w:rsidP="00554C03">
      <w:pPr>
        <w:suppressLineNumbers/>
        <w:spacing w:line="480" w:lineRule="auto"/>
        <w:ind w:left="720" w:hanging="720"/>
        <w:jc w:val="both"/>
        <w:rPr>
          <w:sz w:val="24"/>
          <w:szCs w:val="24"/>
        </w:rPr>
      </w:pPr>
    </w:p>
    <w:p w:rsidR="00554C03" w:rsidRPr="00B82FF7" w:rsidRDefault="00554C03" w:rsidP="00554C03">
      <w:pPr>
        <w:spacing w:after="240"/>
        <w:ind w:left="720" w:hanging="720"/>
        <w:jc w:val="both"/>
        <w:rPr>
          <w:b/>
          <w:sz w:val="24"/>
          <w:szCs w:val="24"/>
        </w:rPr>
      </w:pPr>
      <w:r w:rsidRPr="00B82FF7">
        <w:rPr>
          <w:b/>
          <w:sz w:val="24"/>
          <w:szCs w:val="24"/>
        </w:rPr>
        <w:t>Q.</w:t>
      </w:r>
      <w:r w:rsidRPr="00B82FF7">
        <w:rPr>
          <w:b/>
          <w:sz w:val="24"/>
          <w:szCs w:val="24"/>
        </w:rPr>
        <w:tab/>
      </w:r>
      <w:r>
        <w:rPr>
          <w:b/>
          <w:sz w:val="24"/>
          <w:szCs w:val="24"/>
        </w:rPr>
        <w:t>DO YOU BELIEVE THAT MR. PARCELL’S RANGE IS REASONABLE?</w:t>
      </w:r>
    </w:p>
    <w:p w:rsidR="00554C03"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 xml:space="preserve">No.  I do not believe his return on equity studies support a high-end estimate of 10.0% as he claims.  As shown above in Table 1, which copies his results shown at page 3 of his testimony, Mr. Parcell’s DCF and CAPM produce high-end return on equity estimates of 9.7% and approximately 6.8%, respectively.  These are market-based </w:t>
      </w:r>
      <w:r>
        <w:rPr>
          <w:sz w:val="24"/>
          <w:szCs w:val="24"/>
        </w:rPr>
        <w:lastRenderedPageBreak/>
        <w:t>studies that measure the current return investors require in order to assume the investment risk of PSE.  They are the most commonly relied on methodologies to estimate a utility’s fair return on equity and support a finding of PSE’s return on equity of no higher than 9.7%.  However, as discussed below, Mr. Parcell’s high-end DCF return of 9.7% should be interpreted as an extreme high-end based on his DCF studies.  A more balanced and reasonable high-end DCF based on Mr. Parcell’s studies is 9.5%.</w:t>
      </w:r>
    </w:p>
    <w:p w:rsidR="00554C03" w:rsidRPr="00B82FF7" w:rsidRDefault="00554C03" w:rsidP="00554C03">
      <w:pPr>
        <w:spacing w:line="480" w:lineRule="auto"/>
        <w:ind w:left="720" w:hanging="720"/>
        <w:jc w:val="both"/>
        <w:rPr>
          <w:sz w:val="24"/>
          <w:szCs w:val="24"/>
        </w:rPr>
      </w:pPr>
      <w:r>
        <w:rPr>
          <w:sz w:val="24"/>
          <w:szCs w:val="24"/>
        </w:rPr>
        <w:tab/>
      </w:r>
      <w:r>
        <w:rPr>
          <w:sz w:val="24"/>
          <w:szCs w:val="24"/>
        </w:rPr>
        <w:tab/>
        <w:t>I do not believe that the Comparable Earnings methodology is reasonable and produces reliable results.  Setting aside my concerns about the accuracy of the Comparable Earnings methodology, I believe that Mr. Parcell’s Comparable Earnings studies support a finding that PSE’s current market cost of equity is in the range of 9.0% to 9.6%.  Mr. Parcell’s findings that the Comparable Earnings analysis supports a high-end estimate for PSE’s current cost of equity at 10% I believe is unsupported.</w:t>
      </w:r>
    </w:p>
    <w:p w:rsidR="00554C03" w:rsidRPr="00B82FF7" w:rsidRDefault="00554C03" w:rsidP="00554C03">
      <w:pPr>
        <w:keepNext/>
        <w:keepLines/>
        <w:spacing w:after="240"/>
        <w:ind w:left="720" w:hanging="720"/>
        <w:jc w:val="both"/>
        <w:rPr>
          <w:b/>
          <w:sz w:val="24"/>
          <w:szCs w:val="24"/>
        </w:rPr>
      </w:pPr>
      <w:r w:rsidRPr="00B82FF7">
        <w:rPr>
          <w:b/>
          <w:sz w:val="24"/>
          <w:szCs w:val="24"/>
        </w:rPr>
        <w:t>Q.</w:t>
      </w:r>
      <w:r w:rsidRPr="00B82FF7">
        <w:rPr>
          <w:b/>
          <w:sz w:val="24"/>
          <w:szCs w:val="24"/>
        </w:rPr>
        <w:tab/>
      </w:r>
      <w:r>
        <w:rPr>
          <w:b/>
          <w:sz w:val="24"/>
          <w:szCs w:val="24"/>
        </w:rPr>
        <w:t>WHY DO YOU BELIEVE THAT MR. PARCELL’S HIGH-END DCF RETURN OF 9.7% SHOULD BE INTERPRETED AS AN EXTREME HIGH-END ESTIMATE BASED ON MR. PARCELL’S STUDIES?</w:t>
      </w:r>
    </w:p>
    <w:p w:rsidR="00554C03"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I base this conclusion on Mr. Parcell’s Exhibit No.__</w:t>
      </w:r>
      <w:proofErr w:type="gramStart"/>
      <w:r>
        <w:rPr>
          <w:sz w:val="24"/>
          <w:szCs w:val="24"/>
        </w:rPr>
        <w:t>_(</w:t>
      </w:r>
      <w:proofErr w:type="gramEnd"/>
      <w:r>
        <w:rPr>
          <w:sz w:val="24"/>
          <w:szCs w:val="24"/>
        </w:rPr>
        <w:t xml:space="preserve">DCP-7), pages 4 and 5.  As shown on those pages, nearly all estimates produced by Mr. Parcell fall under 9.5%.  There are only two estimates that support an estimate above 9.5%.  Those are based on </w:t>
      </w:r>
      <w:r w:rsidRPr="007C7DA3">
        <w:rPr>
          <w:sz w:val="24"/>
          <w:szCs w:val="24"/>
        </w:rPr>
        <w:t xml:space="preserve">FirstCall EPS </w:t>
      </w:r>
      <w:r w:rsidR="001C49A1">
        <w:rPr>
          <w:sz w:val="24"/>
          <w:szCs w:val="24"/>
        </w:rPr>
        <w:t xml:space="preserve">(earnings per share) </w:t>
      </w:r>
      <w:r w:rsidRPr="007C7DA3">
        <w:rPr>
          <w:sz w:val="24"/>
          <w:szCs w:val="24"/>
        </w:rPr>
        <w:t>growth</w:t>
      </w:r>
      <w:r>
        <w:rPr>
          <w:sz w:val="24"/>
          <w:szCs w:val="24"/>
        </w:rPr>
        <w:t xml:space="preserve"> estimates based on Mr. Parcell’s proxy group.  As shown in that table, these DCF return estimates are based on mean and median growth rate estimates of 5.3% and 5.4%, respectively.  These are very high estimates of sustainable long</w:t>
      </w:r>
      <w:r>
        <w:rPr>
          <w:sz w:val="24"/>
          <w:szCs w:val="24"/>
        </w:rPr>
        <w:noBreakHyphen/>
        <w:t xml:space="preserve">term growth rates, which significantly exceed the projected long-term </w:t>
      </w:r>
      <w:r w:rsidR="00D73581">
        <w:rPr>
          <w:sz w:val="24"/>
          <w:szCs w:val="24"/>
        </w:rPr>
        <w:t>Gross Domestic Product (“</w:t>
      </w:r>
      <w:r>
        <w:rPr>
          <w:sz w:val="24"/>
          <w:szCs w:val="24"/>
        </w:rPr>
        <w:t>GDP</w:t>
      </w:r>
      <w:r w:rsidR="00D73581">
        <w:rPr>
          <w:sz w:val="24"/>
          <w:szCs w:val="24"/>
        </w:rPr>
        <w:t>”)</w:t>
      </w:r>
      <w:r>
        <w:rPr>
          <w:sz w:val="24"/>
          <w:szCs w:val="24"/>
        </w:rPr>
        <w:t xml:space="preserve"> growth rate, and produce DCF return estimates that are much higher than </w:t>
      </w:r>
      <w:r w:rsidR="00A7274A">
        <w:rPr>
          <w:sz w:val="24"/>
          <w:szCs w:val="24"/>
        </w:rPr>
        <w:t>those</w:t>
      </w:r>
      <w:bookmarkStart w:id="4" w:name="_GoBack"/>
      <w:bookmarkEnd w:id="4"/>
      <w:r w:rsidR="00A7274A">
        <w:rPr>
          <w:sz w:val="24"/>
          <w:szCs w:val="24"/>
        </w:rPr>
        <w:t xml:space="preserve"> </w:t>
      </w:r>
      <w:r>
        <w:rPr>
          <w:sz w:val="24"/>
          <w:szCs w:val="24"/>
        </w:rPr>
        <w:t>produced from all other growth</w:t>
      </w:r>
      <w:r w:rsidR="00D91AFA">
        <w:rPr>
          <w:sz w:val="24"/>
          <w:szCs w:val="24"/>
        </w:rPr>
        <w:t xml:space="preserve"> rate </w:t>
      </w:r>
      <w:r w:rsidR="00D91AFA">
        <w:rPr>
          <w:sz w:val="24"/>
          <w:szCs w:val="24"/>
        </w:rPr>
        <w:lastRenderedPageBreak/>
        <w:t>sources identified by Mr. </w:t>
      </w:r>
      <w:r>
        <w:rPr>
          <w:sz w:val="24"/>
          <w:szCs w:val="24"/>
        </w:rPr>
        <w:t>Parcell.  As such, since Mr. Parcell excluded some of his low-end estimates in recommending his DCF range, it would have been appropriate to also exclude his highest estimates based on the numbers he produced on his Exhibit No.__</w:t>
      </w:r>
      <w:proofErr w:type="gramStart"/>
      <w:r>
        <w:rPr>
          <w:sz w:val="24"/>
          <w:szCs w:val="24"/>
        </w:rPr>
        <w:t>_(</w:t>
      </w:r>
      <w:proofErr w:type="gramEnd"/>
      <w:r>
        <w:rPr>
          <w:sz w:val="24"/>
          <w:szCs w:val="24"/>
        </w:rPr>
        <w:t>DCP-7).  For example, Mr. Parcell produced several DCF estimates of less than 8%.  Excluding his two highest estimates, Mr. Parcell’s high-end of the range would be 9.4% rather than 9.7%.  This is more of a balanced interpretation of Mr. Parcell’s total DCF return estimates.</w:t>
      </w:r>
    </w:p>
    <w:p w:rsidR="00D91AFA" w:rsidRPr="00D91AFA" w:rsidRDefault="00D91AFA" w:rsidP="00D91AFA">
      <w:pPr>
        <w:spacing w:after="240"/>
        <w:ind w:left="720" w:hanging="720"/>
        <w:jc w:val="both"/>
        <w:rPr>
          <w:b/>
          <w:sz w:val="24"/>
          <w:szCs w:val="24"/>
        </w:rPr>
      </w:pPr>
      <w:r w:rsidRPr="00D91AFA">
        <w:rPr>
          <w:b/>
          <w:sz w:val="24"/>
          <w:szCs w:val="24"/>
        </w:rPr>
        <w:t>Q.</w:t>
      </w:r>
      <w:r w:rsidRPr="00D91AFA">
        <w:rPr>
          <w:b/>
          <w:sz w:val="24"/>
          <w:szCs w:val="24"/>
        </w:rPr>
        <w:tab/>
        <w:t>CAN YOU EXPLAIN WHY A COMPARABLE EARNINGS ANALYSIS DOES NOT PRODUCE A RELIABLE ESTIMATE OF AN INVESTOR-REQUIRED RETURN FOR MAKING AN INVESTMENT IN UTILITY STOCK?</w:t>
      </w:r>
    </w:p>
    <w:p w:rsidR="00D91AFA" w:rsidRPr="00D91AFA" w:rsidRDefault="00D91AFA" w:rsidP="00D91AFA">
      <w:pPr>
        <w:spacing w:line="480" w:lineRule="auto"/>
        <w:ind w:left="720" w:hanging="720"/>
        <w:jc w:val="both"/>
        <w:rPr>
          <w:sz w:val="24"/>
          <w:szCs w:val="24"/>
        </w:rPr>
      </w:pPr>
      <w:r w:rsidRPr="00D91AFA">
        <w:rPr>
          <w:b/>
          <w:sz w:val="24"/>
          <w:szCs w:val="24"/>
        </w:rPr>
        <w:t>A.</w:t>
      </w:r>
      <w:r w:rsidRPr="00D91AFA">
        <w:rPr>
          <w:sz w:val="24"/>
          <w:szCs w:val="24"/>
        </w:rPr>
        <w:tab/>
        <w:t>Yes.  The Company’s earned return on</w:t>
      </w:r>
      <w:r w:rsidR="00B02419">
        <w:rPr>
          <w:sz w:val="24"/>
          <w:szCs w:val="24"/>
        </w:rPr>
        <w:t xml:space="preserve"> book</w:t>
      </w:r>
      <w:r w:rsidRPr="00D91AFA">
        <w:rPr>
          <w:sz w:val="24"/>
          <w:szCs w:val="24"/>
        </w:rPr>
        <w:t xml:space="preserve"> equity can be higher or lower than the market-required return based on whether or not the utility is producing strong or weak earnings.  If the Comparable Earnings analysis is used to estimate a fair return, then a utility which is over</w:t>
      </w:r>
      <w:r w:rsidR="001C49A1">
        <w:rPr>
          <w:sz w:val="24"/>
          <w:szCs w:val="24"/>
        </w:rPr>
        <w:t>-</w:t>
      </w:r>
      <w:r w:rsidRPr="00D91AFA">
        <w:rPr>
          <w:sz w:val="24"/>
          <w:szCs w:val="24"/>
        </w:rPr>
        <w:t>earning will continue to over</w:t>
      </w:r>
      <w:r w:rsidR="001C49A1">
        <w:rPr>
          <w:sz w:val="24"/>
          <w:szCs w:val="24"/>
        </w:rPr>
        <w:t>-</w:t>
      </w:r>
      <w:r w:rsidRPr="00D91AFA">
        <w:rPr>
          <w:sz w:val="24"/>
          <w:szCs w:val="24"/>
        </w:rPr>
        <w:t>earn and a utility which is under</w:t>
      </w:r>
      <w:r w:rsidR="001C49A1">
        <w:rPr>
          <w:sz w:val="24"/>
          <w:szCs w:val="24"/>
        </w:rPr>
        <w:t>-</w:t>
      </w:r>
      <w:r w:rsidRPr="00D91AFA">
        <w:rPr>
          <w:sz w:val="24"/>
          <w:szCs w:val="24"/>
        </w:rPr>
        <w:t>earning will continue to under</w:t>
      </w:r>
      <w:r w:rsidR="001C49A1">
        <w:rPr>
          <w:sz w:val="24"/>
          <w:szCs w:val="24"/>
        </w:rPr>
        <w:t>-</w:t>
      </w:r>
      <w:r w:rsidRPr="00D91AFA">
        <w:rPr>
          <w:sz w:val="24"/>
          <w:szCs w:val="24"/>
        </w:rPr>
        <w:t xml:space="preserve">earn.  This methodology will not </w:t>
      </w:r>
      <w:r w:rsidR="00B02419">
        <w:rPr>
          <w:sz w:val="24"/>
          <w:szCs w:val="24"/>
        </w:rPr>
        <w:t xml:space="preserve">measure a rate of return which </w:t>
      </w:r>
      <w:r w:rsidR="00613703">
        <w:rPr>
          <w:sz w:val="24"/>
          <w:szCs w:val="24"/>
        </w:rPr>
        <w:t>entices</w:t>
      </w:r>
      <w:r w:rsidR="00B02419">
        <w:rPr>
          <w:sz w:val="24"/>
          <w:szCs w:val="24"/>
        </w:rPr>
        <w:t xml:space="preserve"> investors to make economical investment decision</w:t>
      </w:r>
      <w:r w:rsidR="00613703">
        <w:rPr>
          <w:sz w:val="24"/>
          <w:szCs w:val="24"/>
        </w:rPr>
        <w:t>s</w:t>
      </w:r>
      <w:r w:rsidR="00B02419">
        <w:rPr>
          <w:sz w:val="24"/>
          <w:szCs w:val="24"/>
        </w:rPr>
        <w:t xml:space="preserve"> and encourage</w:t>
      </w:r>
      <w:r w:rsidR="00613703">
        <w:rPr>
          <w:sz w:val="24"/>
          <w:szCs w:val="24"/>
        </w:rPr>
        <w:t>s</w:t>
      </w:r>
      <w:r w:rsidR="00B02419">
        <w:rPr>
          <w:sz w:val="24"/>
          <w:szCs w:val="24"/>
        </w:rPr>
        <w:t xml:space="preserve"> them to invest in utility plant investments</w:t>
      </w:r>
      <w:r w:rsidRPr="00D91AFA">
        <w:rPr>
          <w:sz w:val="24"/>
          <w:szCs w:val="24"/>
        </w:rPr>
        <w:t>.</w:t>
      </w:r>
    </w:p>
    <w:p w:rsidR="00D91AFA" w:rsidRPr="00D91AFA" w:rsidRDefault="00D91AFA" w:rsidP="00D91AFA">
      <w:pPr>
        <w:spacing w:line="480" w:lineRule="auto"/>
        <w:ind w:left="720" w:hanging="720"/>
        <w:jc w:val="both"/>
        <w:rPr>
          <w:sz w:val="24"/>
          <w:szCs w:val="24"/>
        </w:rPr>
      </w:pPr>
      <w:r w:rsidRPr="00D91AFA">
        <w:rPr>
          <w:sz w:val="24"/>
          <w:szCs w:val="24"/>
        </w:rPr>
        <w:tab/>
      </w:r>
      <w:r w:rsidRPr="00D91AFA">
        <w:rPr>
          <w:sz w:val="24"/>
          <w:szCs w:val="24"/>
        </w:rPr>
        <w:tab/>
        <w:t xml:space="preserve">A market-based return on equity produces a return on equity that will provide a utility investor the same compensation for investing in utility plant and equipment as </w:t>
      </w:r>
      <w:r w:rsidR="00B02419">
        <w:rPr>
          <w:sz w:val="24"/>
          <w:szCs w:val="24"/>
        </w:rPr>
        <w:t xml:space="preserve">is available to the </w:t>
      </w:r>
      <w:r w:rsidRPr="00D91AFA">
        <w:rPr>
          <w:sz w:val="24"/>
          <w:szCs w:val="24"/>
        </w:rPr>
        <w:t xml:space="preserve">investor </w:t>
      </w:r>
      <w:r w:rsidR="00B02419">
        <w:rPr>
          <w:sz w:val="24"/>
          <w:szCs w:val="24"/>
        </w:rPr>
        <w:t>from</w:t>
      </w:r>
      <w:r w:rsidRPr="00D91AFA">
        <w:rPr>
          <w:sz w:val="24"/>
          <w:szCs w:val="24"/>
        </w:rPr>
        <w:t xml:space="preserve"> making </w:t>
      </w:r>
      <w:r w:rsidR="00B02419">
        <w:rPr>
          <w:sz w:val="24"/>
          <w:szCs w:val="24"/>
        </w:rPr>
        <w:t xml:space="preserve">an alternative </w:t>
      </w:r>
      <w:r w:rsidRPr="00D91AFA">
        <w:rPr>
          <w:sz w:val="24"/>
          <w:szCs w:val="24"/>
        </w:rPr>
        <w:t xml:space="preserve">comparable </w:t>
      </w:r>
      <w:r w:rsidR="00B02419">
        <w:rPr>
          <w:sz w:val="24"/>
          <w:szCs w:val="24"/>
        </w:rPr>
        <w:t xml:space="preserve">risk </w:t>
      </w:r>
      <w:r w:rsidRPr="00D91AFA">
        <w:rPr>
          <w:sz w:val="24"/>
          <w:szCs w:val="24"/>
        </w:rPr>
        <w:t>investment.  As such, a market</w:t>
      </w:r>
      <w:r w:rsidRPr="00D91AFA">
        <w:rPr>
          <w:sz w:val="24"/>
          <w:szCs w:val="24"/>
        </w:rPr>
        <w:noBreakHyphen/>
        <w:t xml:space="preserve">based return on equity based on DCF or risk premium </w:t>
      </w:r>
      <w:proofErr w:type="gramStart"/>
      <w:r w:rsidRPr="00D91AFA">
        <w:rPr>
          <w:sz w:val="24"/>
          <w:szCs w:val="24"/>
        </w:rPr>
        <w:t>studies,</w:t>
      </w:r>
      <w:proofErr w:type="gramEnd"/>
      <w:r w:rsidRPr="00D91AFA">
        <w:rPr>
          <w:sz w:val="24"/>
          <w:szCs w:val="24"/>
        </w:rPr>
        <w:t xml:space="preserve"> will produce fair compensation to the utility investor because it provides them with the same risk-adjusted return for making investments in utility plant and equipment that they can get by investing in other comparable risk companies.  In contrast, an earned </w:t>
      </w:r>
      <w:r w:rsidRPr="00D91AFA">
        <w:rPr>
          <w:sz w:val="24"/>
          <w:szCs w:val="24"/>
        </w:rPr>
        <w:lastRenderedPageBreak/>
        <w:t xml:space="preserve">return on equity may be too high or too low.  There is simply no way to gauge whether or not it represents </w:t>
      </w:r>
      <w:r w:rsidR="003033B9">
        <w:rPr>
          <w:sz w:val="24"/>
          <w:szCs w:val="24"/>
        </w:rPr>
        <w:t xml:space="preserve">a </w:t>
      </w:r>
      <w:r w:rsidRPr="00D91AFA">
        <w:rPr>
          <w:sz w:val="24"/>
          <w:szCs w:val="24"/>
        </w:rPr>
        <w:t xml:space="preserve">fair </w:t>
      </w:r>
      <w:r w:rsidR="003033B9">
        <w:rPr>
          <w:sz w:val="24"/>
          <w:szCs w:val="24"/>
        </w:rPr>
        <w:t>return</w:t>
      </w:r>
      <w:r w:rsidRPr="00D91AFA">
        <w:rPr>
          <w:sz w:val="24"/>
          <w:szCs w:val="24"/>
        </w:rPr>
        <w:t>.</w:t>
      </w:r>
    </w:p>
    <w:p w:rsidR="00D91AFA" w:rsidRPr="00D91AFA" w:rsidRDefault="00D91AFA" w:rsidP="00D91AFA">
      <w:pPr>
        <w:spacing w:line="480" w:lineRule="auto"/>
        <w:ind w:left="720" w:hanging="720"/>
        <w:jc w:val="both"/>
        <w:rPr>
          <w:sz w:val="24"/>
          <w:szCs w:val="24"/>
        </w:rPr>
      </w:pPr>
      <w:r w:rsidRPr="00D91AFA">
        <w:rPr>
          <w:sz w:val="24"/>
          <w:szCs w:val="24"/>
        </w:rPr>
        <w:tab/>
      </w:r>
      <w:r w:rsidRPr="00D91AFA">
        <w:rPr>
          <w:sz w:val="24"/>
          <w:szCs w:val="24"/>
        </w:rPr>
        <w:tab/>
        <w:t>For all these reasons, I believe the Comparable Earnings analysis simply should not be given any weight in establishing a fair and balanced return on equity for PSE in this proceeding.</w:t>
      </w:r>
    </w:p>
    <w:p w:rsidR="00554C03" w:rsidRPr="00B82FF7" w:rsidRDefault="00554C03" w:rsidP="00554C03">
      <w:pPr>
        <w:spacing w:after="240"/>
        <w:ind w:left="720" w:hanging="720"/>
        <w:jc w:val="both"/>
        <w:rPr>
          <w:b/>
          <w:sz w:val="24"/>
          <w:szCs w:val="24"/>
        </w:rPr>
      </w:pPr>
      <w:r w:rsidRPr="00B82FF7">
        <w:rPr>
          <w:b/>
          <w:sz w:val="24"/>
          <w:szCs w:val="24"/>
        </w:rPr>
        <w:t>Q.</w:t>
      </w:r>
      <w:r w:rsidRPr="00B82FF7">
        <w:rPr>
          <w:b/>
          <w:sz w:val="24"/>
          <w:szCs w:val="24"/>
        </w:rPr>
        <w:tab/>
      </w:r>
      <w:r>
        <w:rPr>
          <w:b/>
          <w:sz w:val="24"/>
          <w:szCs w:val="24"/>
        </w:rPr>
        <w:t>PLEASE EXPLAIN WHY YOU BELIEVE MR. PARCELL’S COMPARABLE EARNINGS ANALYSIS SUPPORTS A RETURN ON EQUITY RANGE OF 9.0% TO 9.6%.</w:t>
      </w:r>
    </w:p>
    <w:p w:rsidR="00554C03"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This is a reasonable range based on the evidence presented by Mr. Parcell.  As shown at page 25 of his testimony, he outlines his Comparable Earnings analysis studies.  The data from that table is copied below for ease of reference.</w:t>
      </w:r>
    </w:p>
    <w:tbl>
      <w:tblPr>
        <w:tblStyle w:val="TableGrid"/>
        <w:tblW w:w="8954" w:type="dxa"/>
        <w:jc w:val="center"/>
        <w:tblInd w:w="15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3345"/>
        <w:gridCol w:w="1979"/>
        <w:gridCol w:w="1677"/>
        <w:gridCol w:w="1953"/>
      </w:tblGrid>
      <w:tr w:rsidR="00554C03" w:rsidTr="00275A3E">
        <w:trPr>
          <w:jc w:val="center"/>
        </w:trPr>
        <w:tc>
          <w:tcPr>
            <w:tcW w:w="8954" w:type="dxa"/>
            <w:gridSpan w:val="4"/>
          </w:tcPr>
          <w:p w:rsidR="00554C03" w:rsidRDefault="00554C03" w:rsidP="003033B9">
            <w:pPr>
              <w:jc w:val="center"/>
              <w:rPr>
                <w:b/>
                <w:sz w:val="24"/>
                <w:szCs w:val="24"/>
              </w:rPr>
            </w:pPr>
          </w:p>
          <w:p w:rsidR="00554C03" w:rsidRDefault="00554C03" w:rsidP="00275A3E">
            <w:pPr>
              <w:jc w:val="center"/>
              <w:rPr>
                <w:b/>
                <w:sz w:val="24"/>
                <w:szCs w:val="24"/>
              </w:rPr>
            </w:pPr>
            <w:r>
              <w:rPr>
                <w:b/>
                <w:sz w:val="24"/>
                <w:szCs w:val="24"/>
              </w:rPr>
              <w:t>TABLE 2</w:t>
            </w:r>
          </w:p>
          <w:p w:rsidR="00554C03" w:rsidRDefault="00554C03" w:rsidP="00275A3E">
            <w:pPr>
              <w:jc w:val="center"/>
              <w:rPr>
                <w:b/>
                <w:sz w:val="24"/>
                <w:szCs w:val="24"/>
              </w:rPr>
            </w:pPr>
          </w:p>
          <w:p w:rsidR="00554C03" w:rsidRPr="00503D13" w:rsidRDefault="00554C03" w:rsidP="00275A3E">
            <w:pPr>
              <w:jc w:val="center"/>
              <w:rPr>
                <w:b/>
                <w:sz w:val="24"/>
                <w:szCs w:val="24"/>
                <w:u w:val="single"/>
              </w:rPr>
            </w:pPr>
            <w:r>
              <w:rPr>
                <w:b/>
                <w:sz w:val="24"/>
                <w:szCs w:val="24"/>
                <w:u w:val="single"/>
              </w:rPr>
              <w:t>Staff Witness Parcell’s Comparable Earnings Analysis</w:t>
            </w:r>
          </w:p>
        </w:tc>
      </w:tr>
      <w:tr w:rsidR="00554C03" w:rsidTr="00275A3E">
        <w:trPr>
          <w:jc w:val="center"/>
        </w:trPr>
        <w:tc>
          <w:tcPr>
            <w:tcW w:w="3345" w:type="dxa"/>
          </w:tcPr>
          <w:p w:rsidR="00554C03" w:rsidRDefault="00554C03" w:rsidP="00275A3E">
            <w:pPr>
              <w:jc w:val="both"/>
              <w:rPr>
                <w:b/>
                <w:sz w:val="24"/>
                <w:szCs w:val="24"/>
              </w:rPr>
            </w:pPr>
          </w:p>
        </w:tc>
        <w:tc>
          <w:tcPr>
            <w:tcW w:w="1979" w:type="dxa"/>
          </w:tcPr>
          <w:p w:rsidR="00554C03" w:rsidRDefault="00554C03" w:rsidP="00275A3E">
            <w:pPr>
              <w:jc w:val="both"/>
              <w:rPr>
                <w:b/>
                <w:sz w:val="24"/>
                <w:szCs w:val="24"/>
              </w:rPr>
            </w:pPr>
          </w:p>
        </w:tc>
        <w:tc>
          <w:tcPr>
            <w:tcW w:w="3630" w:type="dxa"/>
            <w:gridSpan w:val="2"/>
          </w:tcPr>
          <w:p w:rsidR="00554C03" w:rsidRDefault="00554C03" w:rsidP="00275A3E">
            <w:pPr>
              <w:jc w:val="both"/>
              <w:rPr>
                <w:b/>
                <w:sz w:val="24"/>
                <w:szCs w:val="24"/>
              </w:rPr>
            </w:pPr>
          </w:p>
        </w:tc>
      </w:tr>
      <w:tr w:rsidR="00554C03" w:rsidTr="00275A3E">
        <w:trPr>
          <w:jc w:val="center"/>
        </w:trPr>
        <w:tc>
          <w:tcPr>
            <w:tcW w:w="3345" w:type="dxa"/>
          </w:tcPr>
          <w:p w:rsidR="00554C03" w:rsidRDefault="00554C03" w:rsidP="00275A3E">
            <w:pPr>
              <w:ind w:left="180" w:right="142"/>
              <w:rPr>
                <w:b/>
                <w:sz w:val="24"/>
                <w:szCs w:val="24"/>
                <w:u w:val="single"/>
              </w:rPr>
            </w:pPr>
          </w:p>
          <w:p w:rsidR="00554C03" w:rsidRPr="00503D13" w:rsidRDefault="00554C03" w:rsidP="00275A3E">
            <w:pPr>
              <w:ind w:left="180" w:right="142"/>
              <w:rPr>
                <w:b/>
                <w:sz w:val="24"/>
                <w:szCs w:val="24"/>
                <w:u w:val="single"/>
              </w:rPr>
            </w:pPr>
            <w:r>
              <w:rPr>
                <w:b/>
                <w:sz w:val="24"/>
                <w:szCs w:val="24"/>
                <w:u w:val="single"/>
              </w:rPr>
              <w:t>             Description              </w:t>
            </w:r>
          </w:p>
        </w:tc>
        <w:tc>
          <w:tcPr>
            <w:tcW w:w="1979" w:type="dxa"/>
          </w:tcPr>
          <w:p w:rsidR="00554C03" w:rsidRPr="00F65535" w:rsidRDefault="00554C03" w:rsidP="00275A3E">
            <w:pPr>
              <w:jc w:val="center"/>
              <w:rPr>
                <w:b/>
                <w:sz w:val="24"/>
                <w:szCs w:val="24"/>
              </w:rPr>
            </w:pPr>
            <w:r>
              <w:rPr>
                <w:b/>
                <w:sz w:val="24"/>
                <w:szCs w:val="24"/>
              </w:rPr>
              <w:t xml:space="preserve"> </w:t>
            </w:r>
            <w:r w:rsidRPr="00F65535">
              <w:rPr>
                <w:b/>
                <w:sz w:val="24"/>
                <w:szCs w:val="24"/>
              </w:rPr>
              <w:t>Proxy</w:t>
            </w:r>
            <w:r>
              <w:rPr>
                <w:b/>
                <w:sz w:val="24"/>
                <w:szCs w:val="24"/>
              </w:rPr>
              <w:t>     </w:t>
            </w:r>
          </w:p>
          <w:p w:rsidR="00554C03" w:rsidRPr="00503D13" w:rsidRDefault="00554C03" w:rsidP="00275A3E">
            <w:pPr>
              <w:rPr>
                <w:b/>
                <w:sz w:val="24"/>
                <w:szCs w:val="24"/>
                <w:u w:val="single"/>
              </w:rPr>
            </w:pPr>
            <w:r>
              <w:rPr>
                <w:b/>
                <w:sz w:val="24"/>
                <w:szCs w:val="24"/>
                <w:u w:val="single"/>
              </w:rPr>
              <w:t>       Group      </w:t>
            </w:r>
          </w:p>
        </w:tc>
        <w:tc>
          <w:tcPr>
            <w:tcW w:w="1677" w:type="dxa"/>
          </w:tcPr>
          <w:p w:rsidR="00554C03" w:rsidRPr="00F65535" w:rsidRDefault="00554C03" w:rsidP="00275A3E">
            <w:pPr>
              <w:jc w:val="center"/>
              <w:rPr>
                <w:b/>
                <w:sz w:val="24"/>
                <w:szCs w:val="24"/>
              </w:rPr>
            </w:pPr>
            <w:r>
              <w:rPr>
                <w:b/>
                <w:sz w:val="24"/>
                <w:szCs w:val="24"/>
              </w:rPr>
              <w:t xml:space="preserve">     Gorman   </w:t>
            </w:r>
          </w:p>
          <w:p w:rsidR="00554C03" w:rsidRPr="00503D13" w:rsidRDefault="00554C03" w:rsidP="00275A3E">
            <w:pPr>
              <w:jc w:val="center"/>
              <w:rPr>
                <w:b/>
                <w:sz w:val="24"/>
                <w:szCs w:val="24"/>
                <w:u w:val="single"/>
              </w:rPr>
            </w:pPr>
            <w:r>
              <w:rPr>
                <w:b/>
                <w:sz w:val="24"/>
                <w:szCs w:val="24"/>
                <w:u w:val="single"/>
              </w:rPr>
              <w:t>       Group      </w:t>
            </w:r>
          </w:p>
        </w:tc>
        <w:tc>
          <w:tcPr>
            <w:tcW w:w="1953" w:type="dxa"/>
          </w:tcPr>
          <w:p w:rsidR="00554C03" w:rsidRPr="00F65535" w:rsidRDefault="00554C03" w:rsidP="00275A3E">
            <w:pPr>
              <w:jc w:val="center"/>
              <w:rPr>
                <w:b/>
                <w:sz w:val="24"/>
                <w:szCs w:val="24"/>
              </w:rPr>
            </w:pPr>
            <w:r>
              <w:rPr>
                <w:b/>
                <w:sz w:val="24"/>
                <w:szCs w:val="24"/>
              </w:rPr>
              <w:t xml:space="preserve">      Morin     </w:t>
            </w:r>
          </w:p>
          <w:p w:rsidR="00554C03" w:rsidRPr="00503D13" w:rsidRDefault="00554C03" w:rsidP="00275A3E">
            <w:pPr>
              <w:jc w:val="center"/>
              <w:rPr>
                <w:b/>
                <w:sz w:val="24"/>
                <w:szCs w:val="24"/>
                <w:u w:val="single"/>
              </w:rPr>
            </w:pPr>
            <w:r>
              <w:rPr>
                <w:b/>
                <w:sz w:val="24"/>
                <w:szCs w:val="24"/>
                <w:u w:val="single"/>
              </w:rPr>
              <w:t>       Group      </w:t>
            </w:r>
          </w:p>
        </w:tc>
      </w:tr>
      <w:tr w:rsidR="00554C03" w:rsidTr="00275A3E">
        <w:trPr>
          <w:jc w:val="center"/>
        </w:trPr>
        <w:tc>
          <w:tcPr>
            <w:tcW w:w="3345" w:type="dxa"/>
          </w:tcPr>
          <w:p w:rsidR="00554C03" w:rsidRDefault="00554C03" w:rsidP="00275A3E">
            <w:pPr>
              <w:ind w:left="180" w:right="142"/>
              <w:rPr>
                <w:b/>
                <w:sz w:val="24"/>
                <w:szCs w:val="24"/>
                <w:u w:val="single"/>
              </w:rPr>
            </w:pPr>
          </w:p>
        </w:tc>
        <w:tc>
          <w:tcPr>
            <w:tcW w:w="1979" w:type="dxa"/>
          </w:tcPr>
          <w:p w:rsidR="00554C03" w:rsidRDefault="00554C03" w:rsidP="00275A3E">
            <w:pPr>
              <w:rPr>
                <w:b/>
                <w:sz w:val="24"/>
                <w:szCs w:val="24"/>
                <w:u w:val="single"/>
              </w:rPr>
            </w:pPr>
          </w:p>
        </w:tc>
        <w:tc>
          <w:tcPr>
            <w:tcW w:w="1677" w:type="dxa"/>
          </w:tcPr>
          <w:p w:rsidR="00554C03" w:rsidRDefault="00554C03" w:rsidP="00275A3E">
            <w:pPr>
              <w:jc w:val="center"/>
              <w:rPr>
                <w:b/>
                <w:sz w:val="24"/>
                <w:szCs w:val="24"/>
                <w:u w:val="single"/>
              </w:rPr>
            </w:pPr>
          </w:p>
        </w:tc>
        <w:tc>
          <w:tcPr>
            <w:tcW w:w="1953" w:type="dxa"/>
          </w:tcPr>
          <w:p w:rsidR="00554C03" w:rsidRDefault="00554C03" w:rsidP="00275A3E">
            <w:pPr>
              <w:jc w:val="center"/>
              <w:rPr>
                <w:b/>
                <w:sz w:val="24"/>
                <w:szCs w:val="24"/>
                <w:u w:val="single"/>
              </w:rPr>
            </w:pPr>
          </w:p>
        </w:tc>
      </w:tr>
      <w:tr w:rsidR="00554C03" w:rsidRPr="00503D13" w:rsidTr="00275A3E">
        <w:trPr>
          <w:jc w:val="center"/>
        </w:trPr>
        <w:tc>
          <w:tcPr>
            <w:tcW w:w="3345" w:type="dxa"/>
          </w:tcPr>
          <w:p w:rsidR="00554C03" w:rsidRPr="00503D13" w:rsidRDefault="00554C03" w:rsidP="00275A3E">
            <w:pPr>
              <w:ind w:left="180"/>
              <w:jc w:val="both"/>
              <w:rPr>
                <w:sz w:val="24"/>
                <w:szCs w:val="24"/>
              </w:rPr>
            </w:pPr>
            <w:r>
              <w:rPr>
                <w:sz w:val="24"/>
                <w:szCs w:val="24"/>
              </w:rPr>
              <w:t>Historic Return on Equity</w:t>
            </w:r>
          </w:p>
        </w:tc>
        <w:tc>
          <w:tcPr>
            <w:tcW w:w="1979" w:type="dxa"/>
          </w:tcPr>
          <w:p w:rsidR="00554C03" w:rsidRPr="00503D13" w:rsidRDefault="00554C03" w:rsidP="00275A3E">
            <w:pPr>
              <w:ind w:right="443"/>
              <w:jc w:val="right"/>
              <w:rPr>
                <w:sz w:val="24"/>
                <w:szCs w:val="24"/>
              </w:rPr>
            </w:pPr>
          </w:p>
        </w:tc>
        <w:tc>
          <w:tcPr>
            <w:tcW w:w="1677" w:type="dxa"/>
          </w:tcPr>
          <w:p w:rsidR="00554C03" w:rsidRPr="00503D13" w:rsidRDefault="00554C03" w:rsidP="00275A3E">
            <w:pPr>
              <w:jc w:val="center"/>
              <w:rPr>
                <w:sz w:val="24"/>
                <w:szCs w:val="24"/>
              </w:rPr>
            </w:pPr>
          </w:p>
        </w:tc>
        <w:tc>
          <w:tcPr>
            <w:tcW w:w="1953" w:type="dxa"/>
          </w:tcPr>
          <w:p w:rsidR="00554C03" w:rsidRPr="00503D13" w:rsidRDefault="00554C03" w:rsidP="00275A3E">
            <w:pPr>
              <w:jc w:val="center"/>
              <w:rPr>
                <w:sz w:val="24"/>
                <w:szCs w:val="24"/>
              </w:rPr>
            </w:pPr>
          </w:p>
        </w:tc>
      </w:tr>
      <w:tr w:rsidR="00554C03" w:rsidRPr="00503D13" w:rsidTr="00275A3E">
        <w:trPr>
          <w:jc w:val="center"/>
        </w:trPr>
        <w:tc>
          <w:tcPr>
            <w:tcW w:w="3345" w:type="dxa"/>
          </w:tcPr>
          <w:p w:rsidR="00554C03" w:rsidRPr="00503D13" w:rsidRDefault="00554C03" w:rsidP="00275A3E">
            <w:pPr>
              <w:ind w:left="553"/>
              <w:jc w:val="both"/>
              <w:rPr>
                <w:sz w:val="24"/>
                <w:szCs w:val="24"/>
              </w:rPr>
            </w:pPr>
            <w:r>
              <w:rPr>
                <w:sz w:val="24"/>
                <w:szCs w:val="24"/>
              </w:rPr>
              <w:t>Mean</w:t>
            </w:r>
          </w:p>
        </w:tc>
        <w:tc>
          <w:tcPr>
            <w:tcW w:w="1979" w:type="dxa"/>
          </w:tcPr>
          <w:p w:rsidR="00554C03" w:rsidRPr="00503D13" w:rsidRDefault="00554C03" w:rsidP="00275A3E">
            <w:pPr>
              <w:ind w:right="443"/>
              <w:jc w:val="right"/>
              <w:rPr>
                <w:sz w:val="24"/>
                <w:szCs w:val="24"/>
              </w:rPr>
            </w:pPr>
            <w:r>
              <w:rPr>
                <w:sz w:val="24"/>
                <w:szCs w:val="24"/>
              </w:rPr>
              <w:t>8.3% - 9.1%</w:t>
            </w:r>
          </w:p>
        </w:tc>
        <w:tc>
          <w:tcPr>
            <w:tcW w:w="1677" w:type="dxa"/>
          </w:tcPr>
          <w:p w:rsidR="00554C03" w:rsidRPr="00503D13" w:rsidRDefault="00554C03" w:rsidP="00275A3E">
            <w:pPr>
              <w:jc w:val="center"/>
              <w:rPr>
                <w:sz w:val="24"/>
                <w:szCs w:val="24"/>
              </w:rPr>
            </w:pPr>
            <w:r>
              <w:rPr>
                <w:sz w:val="24"/>
                <w:szCs w:val="24"/>
              </w:rPr>
              <w:t>9.4% - 9.8%</w:t>
            </w:r>
          </w:p>
        </w:tc>
        <w:tc>
          <w:tcPr>
            <w:tcW w:w="1953" w:type="dxa"/>
          </w:tcPr>
          <w:p w:rsidR="00554C03" w:rsidRPr="00503D13" w:rsidRDefault="00554C03" w:rsidP="00275A3E">
            <w:pPr>
              <w:jc w:val="center"/>
              <w:rPr>
                <w:sz w:val="24"/>
                <w:szCs w:val="24"/>
              </w:rPr>
            </w:pPr>
            <w:r>
              <w:rPr>
                <w:sz w:val="24"/>
                <w:szCs w:val="24"/>
              </w:rPr>
              <w:t>10.0% - 10.3%</w:t>
            </w:r>
          </w:p>
        </w:tc>
      </w:tr>
      <w:tr w:rsidR="00554C03" w:rsidRPr="00503D13" w:rsidTr="00275A3E">
        <w:trPr>
          <w:jc w:val="center"/>
        </w:trPr>
        <w:tc>
          <w:tcPr>
            <w:tcW w:w="3345" w:type="dxa"/>
          </w:tcPr>
          <w:p w:rsidR="00554C03" w:rsidRPr="00503D13" w:rsidRDefault="00554C03" w:rsidP="00275A3E">
            <w:pPr>
              <w:spacing w:line="480" w:lineRule="auto"/>
              <w:ind w:left="553"/>
              <w:jc w:val="both"/>
              <w:rPr>
                <w:sz w:val="24"/>
                <w:szCs w:val="24"/>
              </w:rPr>
            </w:pPr>
            <w:r>
              <w:rPr>
                <w:sz w:val="24"/>
                <w:szCs w:val="24"/>
              </w:rPr>
              <w:t>Median</w:t>
            </w:r>
          </w:p>
        </w:tc>
        <w:tc>
          <w:tcPr>
            <w:tcW w:w="1979" w:type="dxa"/>
          </w:tcPr>
          <w:p w:rsidR="00554C03" w:rsidRPr="00503D13" w:rsidRDefault="00554C03" w:rsidP="00275A3E">
            <w:pPr>
              <w:spacing w:line="480" w:lineRule="auto"/>
              <w:ind w:right="443"/>
              <w:jc w:val="right"/>
              <w:rPr>
                <w:sz w:val="24"/>
                <w:szCs w:val="24"/>
              </w:rPr>
            </w:pPr>
            <w:r>
              <w:rPr>
                <w:sz w:val="24"/>
                <w:szCs w:val="24"/>
              </w:rPr>
              <w:t>8.8% - 9.2%</w:t>
            </w:r>
          </w:p>
        </w:tc>
        <w:tc>
          <w:tcPr>
            <w:tcW w:w="1677" w:type="dxa"/>
          </w:tcPr>
          <w:p w:rsidR="00554C03" w:rsidRPr="00503D13" w:rsidRDefault="00554C03" w:rsidP="00275A3E">
            <w:pPr>
              <w:spacing w:line="480" w:lineRule="auto"/>
              <w:jc w:val="center"/>
              <w:rPr>
                <w:sz w:val="24"/>
                <w:szCs w:val="24"/>
              </w:rPr>
            </w:pPr>
            <w:r>
              <w:rPr>
                <w:sz w:val="24"/>
                <w:szCs w:val="24"/>
              </w:rPr>
              <w:t>9.5% - 9.9%</w:t>
            </w:r>
          </w:p>
        </w:tc>
        <w:tc>
          <w:tcPr>
            <w:tcW w:w="1953" w:type="dxa"/>
          </w:tcPr>
          <w:p w:rsidR="00554C03" w:rsidRPr="00503D13" w:rsidRDefault="00554C03" w:rsidP="00275A3E">
            <w:pPr>
              <w:spacing w:line="480" w:lineRule="auto"/>
              <w:jc w:val="center"/>
              <w:rPr>
                <w:sz w:val="24"/>
                <w:szCs w:val="24"/>
              </w:rPr>
            </w:pPr>
            <w:r>
              <w:rPr>
                <w:sz w:val="24"/>
                <w:szCs w:val="24"/>
              </w:rPr>
              <w:t>9.8% - 10.2%</w:t>
            </w:r>
          </w:p>
        </w:tc>
      </w:tr>
      <w:tr w:rsidR="00554C03" w:rsidRPr="00503D13" w:rsidTr="00275A3E">
        <w:trPr>
          <w:jc w:val="center"/>
        </w:trPr>
        <w:tc>
          <w:tcPr>
            <w:tcW w:w="3345" w:type="dxa"/>
          </w:tcPr>
          <w:p w:rsidR="00554C03" w:rsidRPr="00503D13" w:rsidRDefault="00554C03" w:rsidP="00275A3E">
            <w:pPr>
              <w:ind w:left="180"/>
              <w:jc w:val="both"/>
              <w:rPr>
                <w:sz w:val="24"/>
                <w:szCs w:val="24"/>
              </w:rPr>
            </w:pPr>
            <w:r>
              <w:rPr>
                <w:sz w:val="24"/>
                <w:szCs w:val="24"/>
              </w:rPr>
              <w:t>Historic Market-to-Book</w:t>
            </w:r>
          </w:p>
        </w:tc>
        <w:tc>
          <w:tcPr>
            <w:tcW w:w="1979" w:type="dxa"/>
          </w:tcPr>
          <w:p w:rsidR="00554C03" w:rsidRPr="00503D13" w:rsidRDefault="00554C03" w:rsidP="00275A3E">
            <w:pPr>
              <w:ind w:right="443"/>
              <w:jc w:val="right"/>
              <w:rPr>
                <w:sz w:val="24"/>
                <w:szCs w:val="24"/>
              </w:rPr>
            </w:pPr>
          </w:p>
        </w:tc>
        <w:tc>
          <w:tcPr>
            <w:tcW w:w="1677" w:type="dxa"/>
          </w:tcPr>
          <w:p w:rsidR="00554C03" w:rsidRPr="00503D13" w:rsidRDefault="00554C03" w:rsidP="00275A3E">
            <w:pPr>
              <w:jc w:val="center"/>
              <w:rPr>
                <w:sz w:val="24"/>
                <w:szCs w:val="24"/>
              </w:rPr>
            </w:pPr>
          </w:p>
        </w:tc>
        <w:tc>
          <w:tcPr>
            <w:tcW w:w="1953" w:type="dxa"/>
          </w:tcPr>
          <w:p w:rsidR="00554C03" w:rsidRPr="00503D13" w:rsidRDefault="00554C03" w:rsidP="00275A3E">
            <w:pPr>
              <w:jc w:val="center"/>
              <w:rPr>
                <w:sz w:val="24"/>
                <w:szCs w:val="24"/>
              </w:rPr>
            </w:pPr>
          </w:p>
        </w:tc>
      </w:tr>
      <w:tr w:rsidR="00554C03" w:rsidRPr="00503D13" w:rsidTr="00275A3E">
        <w:trPr>
          <w:jc w:val="center"/>
        </w:trPr>
        <w:tc>
          <w:tcPr>
            <w:tcW w:w="3345" w:type="dxa"/>
          </w:tcPr>
          <w:p w:rsidR="00554C03" w:rsidRPr="00503D13" w:rsidRDefault="00554C03" w:rsidP="00275A3E">
            <w:pPr>
              <w:ind w:left="553"/>
              <w:jc w:val="both"/>
              <w:rPr>
                <w:sz w:val="24"/>
                <w:szCs w:val="24"/>
              </w:rPr>
            </w:pPr>
            <w:r>
              <w:rPr>
                <w:sz w:val="24"/>
                <w:szCs w:val="24"/>
              </w:rPr>
              <w:t>Mean</w:t>
            </w:r>
          </w:p>
        </w:tc>
        <w:tc>
          <w:tcPr>
            <w:tcW w:w="1979" w:type="dxa"/>
          </w:tcPr>
          <w:p w:rsidR="00554C03" w:rsidRPr="00503D13" w:rsidRDefault="00554C03" w:rsidP="00275A3E">
            <w:pPr>
              <w:ind w:right="443"/>
              <w:jc w:val="right"/>
              <w:rPr>
                <w:sz w:val="24"/>
                <w:szCs w:val="24"/>
              </w:rPr>
            </w:pPr>
            <w:r>
              <w:rPr>
                <w:sz w:val="24"/>
                <w:szCs w:val="24"/>
              </w:rPr>
              <w:t>124% - 152%</w:t>
            </w:r>
          </w:p>
        </w:tc>
        <w:tc>
          <w:tcPr>
            <w:tcW w:w="1677" w:type="dxa"/>
          </w:tcPr>
          <w:p w:rsidR="00554C03" w:rsidRPr="00503D13" w:rsidRDefault="00554C03" w:rsidP="00275A3E">
            <w:pPr>
              <w:jc w:val="center"/>
              <w:rPr>
                <w:sz w:val="24"/>
                <w:szCs w:val="24"/>
              </w:rPr>
            </w:pPr>
            <w:r>
              <w:rPr>
                <w:sz w:val="24"/>
                <w:szCs w:val="24"/>
              </w:rPr>
              <w:t>130% - 148%</w:t>
            </w:r>
          </w:p>
        </w:tc>
        <w:tc>
          <w:tcPr>
            <w:tcW w:w="1953" w:type="dxa"/>
          </w:tcPr>
          <w:p w:rsidR="00554C03" w:rsidRPr="00503D13" w:rsidRDefault="00554C03" w:rsidP="00275A3E">
            <w:pPr>
              <w:jc w:val="center"/>
              <w:rPr>
                <w:sz w:val="24"/>
                <w:szCs w:val="24"/>
              </w:rPr>
            </w:pPr>
            <w:r>
              <w:rPr>
                <w:sz w:val="24"/>
                <w:szCs w:val="24"/>
              </w:rPr>
              <w:t>142% - 155%</w:t>
            </w:r>
          </w:p>
        </w:tc>
      </w:tr>
      <w:tr w:rsidR="00554C03" w:rsidRPr="00503D13" w:rsidTr="00275A3E">
        <w:trPr>
          <w:jc w:val="center"/>
        </w:trPr>
        <w:tc>
          <w:tcPr>
            <w:tcW w:w="3345" w:type="dxa"/>
          </w:tcPr>
          <w:p w:rsidR="00554C03" w:rsidRPr="00503D13" w:rsidRDefault="00554C03" w:rsidP="00275A3E">
            <w:pPr>
              <w:spacing w:line="480" w:lineRule="auto"/>
              <w:ind w:left="553"/>
              <w:jc w:val="both"/>
              <w:rPr>
                <w:sz w:val="24"/>
                <w:szCs w:val="24"/>
              </w:rPr>
            </w:pPr>
            <w:r>
              <w:rPr>
                <w:sz w:val="24"/>
                <w:szCs w:val="24"/>
              </w:rPr>
              <w:t>Median</w:t>
            </w:r>
          </w:p>
        </w:tc>
        <w:tc>
          <w:tcPr>
            <w:tcW w:w="1979" w:type="dxa"/>
          </w:tcPr>
          <w:p w:rsidR="00554C03" w:rsidRPr="00503D13" w:rsidRDefault="00554C03" w:rsidP="00275A3E">
            <w:pPr>
              <w:ind w:right="443"/>
              <w:jc w:val="right"/>
              <w:rPr>
                <w:sz w:val="24"/>
                <w:szCs w:val="24"/>
              </w:rPr>
            </w:pPr>
            <w:r>
              <w:rPr>
                <w:sz w:val="24"/>
                <w:szCs w:val="24"/>
              </w:rPr>
              <w:t>121% - 143%</w:t>
            </w:r>
          </w:p>
        </w:tc>
        <w:tc>
          <w:tcPr>
            <w:tcW w:w="1677" w:type="dxa"/>
          </w:tcPr>
          <w:p w:rsidR="00554C03" w:rsidRPr="00503D13" w:rsidRDefault="00554C03" w:rsidP="00275A3E">
            <w:pPr>
              <w:jc w:val="center"/>
              <w:rPr>
                <w:sz w:val="24"/>
                <w:szCs w:val="24"/>
              </w:rPr>
            </w:pPr>
            <w:r>
              <w:rPr>
                <w:sz w:val="24"/>
                <w:szCs w:val="24"/>
              </w:rPr>
              <w:t>129% - 141%</w:t>
            </w:r>
          </w:p>
        </w:tc>
        <w:tc>
          <w:tcPr>
            <w:tcW w:w="1953" w:type="dxa"/>
          </w:tcPr>
          <w:p w:rsidR="00554C03" w:rsidRPr="00503D13" w:rsidRDefault="00554C03" w:rsidP="00275A3E">
            <w:pPr>
              <w:jc w:val="center"/>
              <w:rPr>
                <w:sz w:val="24"/>
                <w:szCs w:val="24"/>
              </w:rPr>
            </w:pPr>
            <w:r>
              <w:rPr>
                <w:sz w:val="24"/>
                <w:szCs w:val="24"/>
              </w:rPr>
              <w:t>139% - 151%</w:t>
            </w:r>
          </w:p>
        </w:tc>
      </w:tr>
      <w:tr w:rsidR="00554C03" w:rsidRPr="00503D13" w:rsidTr="00275A3E">
        <w:trPr>
          <w:jc w:val="center"/>
        </w:trPr>
        <w:tc>
          <w:tcPr>
            <w:tcW w:w="3345" w:type="dxa"/>
          </w:tcPr>
          <w:p w:rsidR="00554C03" w:rsidRPr="00503D13" w:rsidRDefault="00554C03" w:rsidP="00275A3E">
            <w:pPr>
              <w:ind w:left="180"/>
              <w:jc w:val="both"/>
              <w:rPr>
                <w:sz w:val="24"/>
                <w:szCs w:val="24"/>
              </w:rPr>
            </w:pPr>
            <w:r>
              <w:rPr>
                <w:sz w:val="24"/>
                <w:szCs w:val="24"/>
              </w:rPr>
              <w:t>Prospective Return on Equity</w:t>
            </w:r>
          </w:p>
        </w:tc>
        <w:tc>
          <w:tcPr>
            <w:tcW w:w="1979" w:type="dxa"/>
          </w:tcPr>
          <w:p w:rsidR="00554C03" w:rsidRPr="00503D13" w:rsidRDefault="00554C03" w:rsidP="00275A3E">
            <w:pPr>
              <w:ind w:right="443"/>
              <w:jc w:val="right"/>
              <w:rPr>
                <w:sz w:val="24"/>
                <w:szCs w:val="24"/>
              </w:rPr>
            </w:pPr>
          </w:p>
        </w:tc>
        <w:tc>
          <w:tcPr>
            <w:tcW w:w="1677" w:type="dxa"/>
          </w:tcPr>
          <w:p w:rsidR="00554C03" w:rsidRPr="00503D13" w:rsidRDefault="00554C03" w:rsidP="00275A3E">
            <w:pPr>
              <w:jc w:val="center"/>
              <w:rPr>
                <w:sz w:val="24"/>
                <w:szCs w:val="24"/>
              </w:rPr>
            </w:pPr>
          </w:p>
        </w:tc>
        <w:tc>
          <w:tcPr>
            <w:tcW w:w="1953" w:type="dxa"/>
          </w:tcPr>
          <w:p w:rsidR="00554C03" w:rsidRPr="00503D13" w:rsidRDefault="00554C03" w:rsidP="00275A3E">
            <w:pPr>
              <w:jc w:val="center"/>
              <w:rPr>
                <w:sz w:val="24"/>
                <w:szCs w:val="24"/>
              </w:rPr>
            </w:pPr>
          </w:p>
        </w:tc>
      </w:tr>
      <w:tr w:rsidR="00554C03" w:rsidRPr="00503D13" w:rsidTr="00275A3E">
        <w:trPr>
          <w:jc w:val="center"/>
        </w:trPr>
        <w:tc>
          <w:tcPr>
            <w:tcW w:w="3345" w:type="dxa"/>
          </w:tcPr>
          <w:p w:rsidR="00554C03" w:rsidRPr="00503D13" w:rsidRDefault="00554C03" w:rsidP="00275A3E">
            <w:pPr>
              <w:ind w:left="553"/>
              <w:jc w:val="both"/>
              <w:rPr>
                <w:sz w:val="24"/>
                <w:szCs w:val="24"/>
              </w:rPr>
            </w:pPr>
            <w:r>
              <w:rPr>
                <w:sz w:val="24"/>
                <w:szCs w:val="24"/>
              </w:rPr>
              <w:t>Mean</w:t>
            </w:r>
          </w:p>
        </w:tc>
        <w:tc>
          <w:tcPr>
            <w:tcW w:w="1979" w:type="dxa"/>
          </w:tcPr>
          <w:p w:rsidR="00554C03" w:rsidRPr="00503D13" w:rsidRDefault="00554C03" w:rsidP="00275A3E">
            <w:pPr>
              <w:ind w:right="443"/>
              <w:jc w:val="right"/>
              <w:rPr>
                <w:sz w:val="24"/>
                <w:szCs w:val="24"/>
              </w:rPr>
            </w:pPr>
            <w:r>
              <w:rPr>
                <w:sz w:val="24"/>
                <w:szCs w:val="24"/>
              </w:rPr>
              <w:t>8.7% - 9.6%</w:t>
            </w:r>
          </w:p>
        </w:tc>
        <w:tc>
          <w:tcPr>
            <w:tcW w:w="1677" w:type="dxa"/>
          </w:tcPr>
          <w:p w:rsidR="00554C03" w:rsidRPr="00503D13" w:rsidRDefault="00554C03" w:rsidP="00275A3E">
            <w:pPr>
              <w:jc w:val="center"/>
              <w:rPr>
                <w:sz w:val="24"/>
                <w:szCs w:val="24"/>
              </w:rPr>
            </w:pPr>
            <w:r>
              <w:rPr>
                <w:sz w:val="24"/>
                <w:szCs w:val="24"/>
              </w:rPr>
              <w:t>9.1% - 9.9%</w:t>
            </w:r>
          </w:p>
        </w:tc>
        <w:tc>
          <w:tcPr>
            <w:tcW w:w="1953" w:type="dxa"/>
          </w:tcPr>
          <w:p w:rsidR="00554C03" w:rsidRPr="00503D13" w:rsidRDefault="00554C03" w:rsidP="00275A3E">
            <w:pPr>
              <w:jc w:val="center"/>
              <w:rPr>
                <w:sz w:val="24"/>
                <w:szCs w:val="24"/>
              </w:rPr>
            </w:pPr>
            <w:r>
              <w:rPr>
                <w:sz w:val="24"/>
                <w:szCs w:val="24"/>
              </w:rPr>
              <w:t>9.9% - 10.4%</w:t>
            </w:r>
          </w:p>
        </w:tc>
      </w:tr>
      <w:tr w:rsidR="00554C03" w:rsidRPr="00503D13" w:rsidTr="00275A3E">
        <w:trPr>
          <w:jc w:val="center"/>
        </w:trPr>
        <w:tc>
          <w:tcPr>
            <w:tcW w:w="3345" w:type="dxa"/>
          </w:tcPr>
          <w:p w:rsidR="00554C03" w:rsidRPr="00503D13" w:rsidRDefault="00554C03" w:rsidP="00275A3E">
            <w:pPr>
              <w:ind w:left="553"/>
              <w:jc w:val="both"/>
              <w:rPr>
                <w:sz w:val="24"/>
                <w:szCs w:val="24"/>
              </w:rPr>
            </w:pPr>
            <w:r>
              <w:rPr>
                <w:sz w:val="24"/>
                <w:szCs w:val="24"/>
              </w:rPr>
              <w:t>Median</w:t>
            </w:r>
          </w:p>
        </w:tc>
        <w:tc>
          <w:tcPr>
            <w:tcW w:w="1979" w:type="dxa"/>
          </w:tcPr>
          <w:p w:rsidR="00554C03" w:rsidRPr="00503D13" w:rsidRDefault="00554C03" w:rsidP="00275A3E">
            <w:pPr>
              <w:ind w:right="443"/>
              <w:jc w:val="right"/>
              <w:rPr>
                <w:sz w:val="24"/>
                <w:szCs w:val="24"/>
              </w:rPr>
            </w:pPr>
            <w:r>
              <w:rPr>
                <w:sz w:val="24"/>
                <w:szCs w:val="24"/>
              </w:rPr>
              <w:t>9.0%</w:t>
            </w:r>
          </w:p>
        </w:tc>
        <w:tc>
          <w:tcPr>
            <w:tcW w:w="1677" w:type="dxa"/>
          </w:tcPr>
          <w:p w:rsidR="00554C03" w:rsidRPr="00503D13" w:rsidRDefault="00554C03" w:rsidP="00275A3E">
            <w:pPr>
              <w:jc w:val="center"/>
              <w:rPr>
                <w:sz w:val="24"/>
                <w:szCs w:val="24"/>
              </w:rPr>
            </w:pPr>
            <w:r>
              <w:rPr>
                <w:sz w:val="24"/>
                <w:szCs w:val="24"/>
              </w:rPr>
              <w:t>9.0% - 9.8%</w:t>
            </w:r>
          </w:p>
        </w:tc>
        <w:tc>
          <w:tcPr>
            <w:tcW w:w="1953" w:type="dxa"/>
          </w:tcPr>
          <w:p w:rsidR="00554C03" w:rsidRPr="00503D13" w:rsidRDefault="00554C03" w:rsidP="00275A3E">
            <w:pPr>
              <w:jc w:val="center"/>
              <w:rPr>
                <w:sz w:val="24"/>
                <w:szCs w:val="24"/>
              </w:rPr>
            </w:pPr>
            <w:r>
              <w:rPr>
                <w:sz w:val="24"/>
                <w:szCs w:val="24"/>
              </w:rPr>
              <w:t>9.5% - 10.0%</w:t>
            </w:r>
          </w:p>
        </w:tc>
      </w:tr>
      <w:tr w:rsidR="00554C03" w:rsidRPr="00503D13" w:rsidTr="00275A3E">
        <w:trPr>
          <w:jc w:val="center"/>
        </w:trPr>
        <w:tc>
          <w:tcPr>
            <w:tcW w:w="8954" w:type="dxa"/>
            <w:gridSpan w:val="4"/>
          </w:tcPr>
          <w:p w:rsidR="00554C03" w:rsidRDefault="00554C03" w:rsidP="00275A3E">
            <w:pPr>
              <w:ind w:left="180"/>
              <w:jc w:val="both"/>
              <w:rPr>
                <w:sz w:val="24"/>
                <w:szCs w:val="24"/>
              </w:rPr>
            </w:pPr>
            <w:r>
              <w:rPr>
                <w:sz w:val="24"/>
                <w:szCs w:val="24"/>
              </w:rPr>
              <w:t>___________________</w:t>
            </w:r>
          </w:p>
          <w:p w:rsidR="00554C03" w:rsidRPr="006B53F0" w:rsidRDefault="00554C03" w:rsidP="00275A3E">
            <w:pPr>
              <w:spacing w:before="120" w:after="240"/>
              <w:ind w:left="187"/>
              <w:jc w:val="both"/>
              <w:rPr>
                <w:szCs w:val="22"/>
              </w:rPr>
            </w:pPr>
            <w:r w:rsidRPr="006B53F0">
              <w:rPr>
                <w:szCs w:val="22"/>
              </w:rPr>
              <w:t>Source:  Exhibit No.__</w:t>
            </w:r>
            <w:proofErr w:type="gramStart"/>
            <w:r w:rsidRPr="006B53F0">
              <w:rPr>
                <w:szCs w:val="22"/>
              </w:rPr>
              <w:t>_(</w:t>
            </w:r>
            <w:proofErr w:type="gramEnd"/>
            <w:r w:rsidRPr="006B53F0">
              <w:rPr>
                <w:szCs w:val="22"/>
              </w:rPr>
              <w:t xml:space="preserve">DCP-1T) at </w:t>
            </w:r>
            <w:r>
              <w:rPr>
                <w:szCs w:val="22"/>
              </w:rPr>
              <w:t>25</w:t>
            </w:r>
            <w:r w:rsidRPr="006B53F0">
              <w:rPr>
                <w:szCs w:val="22"/>
              </w:rPr>
              <w:t>.</w:t>
            </w:r>
          </w:p>
        </w:tc>
      </w:tr>
    </w:tbl>
    <w:p w:rsidR="00554C03" w:rsidRDefault="00554C03" w:rsidP="00554C03">
      <w:pPr>
        <w:suppressLineNumbers/>
        <w:ind w:left="720" w:hanging="720"/>
        <w:jc w:val="both"/>
        <w:rPr>
          <w:sz w:val="24"/>
          <w:szCs w:val="24"/>
        </w:rPr>
      </w:pPr>
    </w:p>
    <w:p w:rsidR="00554C03" w:rsidRDefault="00554C03" w:rsidP="00554C03">
      <w:pPr>
        <w:spacing w:line="480" w:lineRule="auto"/>
        <w:ind w:left="720" w:hanging="720"/>
        <w:jc w:val="both"/>
        <w:rPr>
          <w:sz w:val="24"/>
          <w:szCs w:val="24"/>
        </w:rPr>
      </w:pPr>
      <w:r>
        <w:rPr>
          <w:sz w:val="24"/>
          <w:szCs w:val="24"/>
        </w:rPr>
        <w:tab/>
      </w:r>
      <w:r>
        <w:rPr>
          <w:sz w:val="24"/>
          <w:szCs w:val="24"/>
        </w:rPr>
        <w:tab/>
        <w:t xml:space="preserve">As shown under the Proxy Group column, Mr. Parcell’s methodology, his Comparable Earnings analysis for his proxy group indicates a return on equity of 8.7% </w:t>
      </w:r>
      <w:r>
        <w:rPr>
          <w:sz w:val="24"/>
          <w:szCs w:val="24"/>
        </w:rPr>
        <w:lastRenderedPageBreak/>
        <w:t>to 9.6%.  Further, use of my April 2013 proxy group indicates a fair return on equity in the range of 9.1% to 9.9%.  Use of PSE witness Dr. Morin’s proxy group is slightly higher at 9.9% to 10.4%.  The simple average of these mean results from the three different proxy groups indicates a fair return on equity in the range of 9.2% to 10.0%.  The median estimated range from this analysis falls fairly squarely in the range of 9.0% to 9.9%.</w:t>
      </w:r>
    </w:p>
    <w:p w:rsidR="00554C03" w:rsidRPr="00B82FF7" w:rsidRDefault="00554C03" w:rsidP="00554C03">
      <w:pPr>
        <w:spacing w:line="480" w:lineRule="auto"/>
        <w:ind w:left="720" w:hanging="720"/>
        <w:jc w:val="both"/>
        <w:rPr>
          <w:sz w:val="24"/>
          <w:szCs w:val="24"/>
        </w:rPr>
      </w:pPr>
      <w:r>
        <w:rPr>
          <w:sz w:val="24"/>
          <w:szCs w:val="24"/>
        </w:rPr>
        <w:tab/>
      </w:r>
      <w:r>
        <w:rPr>
          <w:sz w:val="24"/>
          <w:szCs w:val="24"/>
        </w:rPr>
        <w:tab/>
        <w:t>The midpoints of the mean and median proxy group prospective return on equity estimates are approximately 9.2% and 9.0% for Mr. Parcell’s proxy group, 9.5% and 9.4% for the Gorman proxy group, and 10.3% and 9.8% for the Morin proxy group.  Further, examination of Mr. Parcell’s Exhibit No.__</w:t>
      </w:r>
      <w:proofErr w:type="gramStart"/>
      <w:r>
        <w:rPr>
          <w:sz w:val="24"/>
          <w:szCs w:val="24"/>
        </w:rPr>
        <w:t>_(</w:t>
      </w:r>
      <w:proofErr w:type="gramEnd"/>
      <w:r>
        <w:rPr>
          <w:sz w:val="24"/>
          <w:szCs w:val="24"/>
        </w:rPr>
        <w:t>DCP-10), page 1, indicates that a Comparable Earnings analysis would support a 9.0% return for his proxy group for 2013, 2014 and the three- to five-year projection.  The study also shows that a 9.0% return is appropriate for 2013 and 2014 under the Gorman proxy group, with an increase to 9.8% in the three- to five-year projections.  Only Dr. Morin’s proxy group supports a return on equity in the high to mid nines in 2013 and 2014 and the three- to five-year projections.  A majority of the Comparable Earnings projections made by the companies in these proxy groups falls below 9.5%.  Considering Mr. Parcell’s total Comparable Earnings analysis, a majority of these estimates support a return on equity finding of 9.5% or less for PSE.</w:t>
      </w:r>
    </w:p>
    <w:p w:rsidR="00536B87" w:rsidRDefault="00554C03">
      <w:pPr>
        <w:keepNext/>
        <w:keepLines/>
        <w:spacing w:before="240" w:after="240"/>
        <w:ind w:left="720" w:hanging="720"/>
        <w:jc w:val="both"/>
        <w:rPr>
          <w:b/>
          <w:sz w:val="24"/>
          <w:szCs w:val="24"/>
          <w:u w:val="single"/>
        </w:rPr>
      </w:pPr>
      <w:r w:rsidRPr="003C4E4A">
        <w:rPr>
          <w:b/>
          <w:sz w:val="24"/>
          <w:szCs w:val="24"/>
          <w:u w:val="single"/>
        </w:rPr>
        <w:t>Response to Thomas Schooley</w:t>
      </w:r>
    </w:p>
    <w:p w:rsidR="00554C03" w:rsidRPr="00B82FF7" w:rsidRDefault="00554C03" w:rsidP="00554C03">
      <w:pPr>
        <w:keepNext/>
        <w:keepLines/>
        <w:spacing w:after="240"/>
        <w:ind w:left="720" w:hanging="720"/>
        <w:jc w:val="both"/>
        <w:rPr>
          <w:b/>
          <w:sz w:val="24"/>
          <w:szCs w:val="24"/>
        </w:rPr>
      </w:pPr>
      <w:r w:rsidRPr="00B82FF7">
        <w:rPr>
          <w:b/>
          <w:sz w:val="24"/>
          <w:szCs w:val="24"/>
        </w:rPr>
        <w:t>Q.</w:t>
      </w:r>
      <w:r w:rsidRPr="00B82FF7">
        <w:rPr>
          <w:b/>
          <w:sz w:val="24"/>
          <w:szCs w:val="24"/>
        </w:rPr>
        <w:tab/>
      </w:r>
      <w:r>
        <w:rPr>
          <w:b/>
          <w:sz w:val="24"/>
          <w:szCs w:val="24"/>
        </w:rPr>
        <w:t>DO YOU HAVE ANY COMMENTS ON STAFF WITNESS THOMAS SCHOOLEY’S TESTIMONY?</w:t>
      </w:r>
    </w:p>
    <w:p w:rsidR="00554C03" w:rsidRPr="00B82FF7"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 xml:space="preserve">Yes.  At page 4 of Mr. Schooley’s testimony, he states that data through 2014 shows that PSE continues to earn less than its authorized rate of return of 7.77%.  However, </w:t>
      </w:r>
      <w:r>
        <w:rPr>
          <w:sz w:val="24"/>
          <w:szCs w:val="24"/>
        </w:rPr>
        <w:lastRenderedPageBreak/>
        <w:t>he notes it is getting closer.  He concludes that because PSE is not achieving its authorized return of 7.77%, it is unnecessary to reduce its authorized return.</w:t>
      </w:r>
    </w:p>
    <w:p w:rsidR="00554C03" w:rsidRPr="00B82FF7" w:rsidRDefault="00554C03" w:rsidP="00554C03">
      <w:pPr>
        <w:spacing w:after="240"/>
        <w:ind w:left="720" w:hanging="720"/>
        <w:jc w:val="both"/>
        <w:rPr>
          <w:b/>
          <w:sz w:val="24"/>
          <w:szCs w:val="24"/>
        </w:rPr>
      </w:pPr>
      <w:r w:rsidRPr="00B82FF7">
        <w:rPr>
          <w:b/>
          <w:sz w:val="24"/>
          <w:szCs w:val="24"/>
        </w:rPr>
        <w:t>Q.</w:t>
      </w:r>
      <w:r w:rsidRPr="00B82FF7">
        <w:rPr>
          <w:b/>
          <w:sz w:val="24"/>
          <w:szCs w:val="24"/>
        </w:rPr>
        <w:tab/>
      </w:r>
      <w:r>
        <w:rPr>
          <w:b/>
          <w:sz w:val="24"/>
          <w:szCs w:val="24"/>
        </w:rPr>
        <w:t>PLEASE COMMENT.</w:t>
      </w:r>
    </w:p>
    <w:p w:rsidR="00554C03"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Mr. Schooley’s argument is simply without merit.  In setting rates, the Company should be provided with an opportunity to earn a fair and reasonable return on equity.  That return on equity should be based on an earned return on equity that is equivalent to what investors could earn in other enterprises of corresponding risk.  Setting rates does not provide the Company with a guarantee to earn its authorized return on equity.</w:t>
      </w:r>
    </w:p>
    <w:p w:rsidR="00554C03" w:rsidRPr="00B82FF7" w:rsidRDefault="00554C03" w:rsidP="00554C03">
      <w:pPr>
        <w:spacing w:line="480" w:lineRule="auto"/>
        <w:ind w:left="720" w:hanging="720"/>
        <w:jc w:val="both"/>
        <w:rPr>
          <w:sz w:val="24"/>
          <w:szCs w:val="24"/>
        </w:rPr>
      </w:pPr>
      <w:r>
        <w:rPr>
          <w:sz w:val="24"/>
          <w:szCs w:val="24"/>
        </w:rPr>
        <w:tab/>
      </w:r>
      <w:r>
        <w:rPr>
          <w:sz w:val="24"/>
          <w:szCs w:val="24"/>
        </w:rPr>
        <w:tab/>
        <w:t xml:space="preserve">Mr. Schooley’s belief that if the Company fails to earn its authorized return on equity then a higher rate of return is </w:t>
      </w:r>
      <w:proofErr w:type="gramStart"/>
      <w:r>
        <w:rPr>
          <w:sz w:val="24"/>
          <w:szCs w:val="24"/>
        </w:rPr>
        <w:t>appropriate,</w:t>
      </w:r>
      <w:proofErr w:type="gramEnd"/>
      <w:r>
        <w:rPr>
          <w:sz w:val="24"/>
          <w:szCs w:val="24"/>
        </w:rPr>
        <w:t xml:space="preserve"> is simply not based on fair compensation and appropriate rate-setting standards.  Mr. Schooley is simply observing that the Company management must more aggressively manage its cost of service in order to achieve its objective of earning its authorized rate of return.  To the extent management is coming up short, it must work harder or control risks more effectively.  If the risks are beyond management’s control, then it is free to file for a change in rates if it believes that rate change is justified.  The Company’s failure to earn its authorized return on equity is not a basis to provide it with a rate of return that exceeds its current cost of common equity.</w:t>
      </w:r>
    </w:p>
    <w:p w:rsidR="00554C03" w:rsidRPr="006E681E" w:rsidRDefault="00554C03" w:rsidP="00554C03">
      <w:pPr>
        <w:keepNext/>
        <w:keepLines/>
        <w:spacing w:after="240"/>
        <w:ind w:left="720" w:hanging="720"/>
        <w:jc w:val="both"/>
        <w:rPr>
          <w:b/>
          <w:sz w:val="24"/>
          <w:szCs w:val="24"/>
        </w:rPr>
      </w:pPr>
      <w:r w:rsidRPr="006E681E">
        <w:rPr>
          <w:b/>
          <w:sz w:val="24"/>
          <w:szCs w:val="24"/>
        </w:rPr>
        <w:t>Q.</w:t>
      </w:r>
      <w:r w:rsidRPr="006E681E">
        <w:rPr>
          <w:b/>
          <w:sz w:val="24"/>
          <w:szCs w:val="24"/>
        </w:rPr>
        <w:tab/>
        <w:t xml:space="preserve">DOES THIS CONCLUDE YOUR </w:t>
      </w:r>
      <w:r>
        <w:rPr>
          <w:b/>
          <w:sz w:val="24"/>
          <w:szCs w:val="24"/>
        </w:rPr>
        <w:t>REBUTTAL</w:t>
      </w:r>
      <w:r w:rsidRPr="006E681E">
        <w:rPr>
          <w:b/>
          <w:sz w:val="24"/>
          <w:szCs w:val="24"/>
        </w:rPr>
        <w:t xml:space="preserve"> TESTIMONY?</w:t>
      </w:r>
    </w:p>
    <w:p w:rsidR="00554C03" w:rsidRPr="006E681E" w:rsidRDefault="00554C03" w:rsidP="00554C03">
      <w:pPr>
        <w:tabs>
          <w:tab w:val="left" w:pos="1440"/>
          <w:tab w:val="left" w:pos="5472"/>
        </w:tabs>
        <w:spacing w:line="480" w:lineRule="auto"/>
        <w:ind w:left="720" w:hanging="720"/>
        <w:jc w:val="both"/>
        <w:rPr>
          <w:sz w:val="24"/>
          <w:szCs w:val="24"/>
        </w:rPr>
      </w:pPr>
      <w:r w:rsidRPr="006E681E">
        <w:rPr>
          <w:b/>
          <w:sz w:val="24"/>
          <w:szCs w:val="24"/>
        </w:rPr>
        <w:t>A.</w:t>
      </w:r>
      <w:r w:rsidRPr="006E681E">
        <w:rPr>
          <w:sz w:val="24"/>
          <w:szCs w:val="24"/>
        </w:rPr>
        <w:tab/>
        <w:t>Yes, it does.</w:t>
      </w:r>
    </w:p>
    <w:p w:rsidR="00023F21" w:rsidRPr="00554C03" w:rsidRDefault="00554C03" w:rsidP="00554C03">
      <w:pPr>
        <w:suppressLineNumbers/>
        <w:tabs>
          <w:tab w:val="left" w:pos="1440"/>
          <w:tab w:val="left" w:pos="5472"/>
        </w:tabs>
        <w:spacing w:line="480" w:lineRule="auto"/>
        <w:ind w:left="720" w:hanging="720"/>
        <w:jc w:val="both"/>
        <w:rPr>
          <w:sz w:val="12"/>
          <w:szCs w:val="12"/>
        </w:rPr>
      </w:pPr>
      <w:r>
        <w:rPr>
          <w:sz w:val="12"/>
          <w:szCs w:val="12"/>
        </w:rPr>
        <w:t>9757.1/269923</w:t>
      </w:r>
    </w:p>
    <w:sectPr w:rsidR="00023F21" w:rsidRPr="00554C03" w:rsidSect="00EC55F2">
      <w:headerReference w:type="default" r:id="rId9"/>
      <w:footerReference w:type="default" r:id="rId10"/>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85B" w:rsidRDefault="0054085B">
      <w:r>
        <w:separator/>
      </w:r>
    </w:p>
  </w:endnote>
  <w:endnote w:type="continuationSeparator" w:id="0">
    <w:p w:rsidR="0054085B" w:rsidRDefault="00540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3E" w:rsidRDefault="00275A3E" w:rsidP="00D2206D">
    <w:pPr>
      <w:pStyle w:val="Footer"/>
      <w:tabs>
        <w:tab w:val="clear" w:pos="8640"/>
        <w:tab w:val="right" w:pos="9334"/>
      </w:tabs>
      <w:rPr>
        <w:sz w:val="24"/>
      </w:rPr>
    </w:pPr>
    <w:r>
      <w:rPr>
        <w:sz w:val="24"/>
      </w:rPr>
      <w:t>Michael P. Gorman Rebuttal Testimony</w:t>
    </w:r>
    <w:r>
      <w:rPr>
        <w:sz w:val="24"/>
      </w:rPr>
      <w:tab/>
    </w:r>
    <w:r>
      <w:rPr>
        <w:sz w:val="24"/>
      </w:rPr>
      <w:tab/>
    </w:r>
    <w:r w:rsidRPr="00F56E3F">
      <w:rPr>
        <w:sz w:val="24"/>
      </w:rPr>
      <w:t>Exhibit No.__</w:t>
    </w:r>
    <w:proofErr w:type="gramStart"/>
    <w:r w:rsidRPr="00F56E3F">
      <w:rPr>
        <w:sz w:val="24"/>
      </w:rPr>
      <w:t>_(</w:t>
    </w:r>
    <w:proofErr w:type="gramEnd"/>
    <w:r w:rsidRPr="00F56E3F">
      <w:rPr>
        <w:sz w:val="24"/>
      </w:rPr>
      <w:t>MPG-</w:t>
    </w:r>
    <w:r>
      <w:rPr>
        <w:sz w:val="24"/>
      </w:rPr>
      <w:t>42</w:t>
    </w:r>
    <w:r w:rsidRPr="00F56E3F">
      <w:rPr>
        <w:sz w:val="24"/>
      </w:rPr>
      <w:t>T)</w:t>
    </w:r>
  </w:p>
  <w:p w:rsidR="00275A3E" w:rsidRDefault="00275A3E" w:rsidP="00D2206D">
    <w:pPr>
      <w:pStyle w:val="Footer"/>
      <w:tabs>
        <w:tab w:val="clear" w:pos="8640"/>
        <w:tab w:val="right" w:pos="9334"/>
      </w:tabs>
    </w:pPr>
    <w:r w:rsidRPr="002277D2">
      <w:rPr>
        <w:sz w:val="24"/>
      </w:rPr>
      <w:t>Docket No</w:t>
    </w:r>
    <w:r>
      <w:rPr>
        <w:sz w:val="24"/>
      </w:rPr>
      <w:t>s</w:t>
    </w:r>
    <w:r>
      <w:rPr>
        <w:smallCaps/>
        <w:sz w:val="24"/>
      </w:rPr>
      <w:t xml:space="preserve">.  UE-121697/UG-121705 </w:t>
    </w:r>
    <w:r>
      <w:rPr>
        <w:sz w:val="24"/>
        <w:szCs w:val="24"/>
      </w:rPr>
      <w:t xml:space="preserve">&amp; </w:t>
    </w:r>
    <w:r>
      <w:rPr>
        <w:smallCaps/>
        <w:sz w:val="24"/>
      </w:rPr>
      <w:t>UE-130137/</w:t>
    </w:r>
    <w:r>
      <w:rPr>
        <w:sz w:val="24"/>
        <w:szCs w:val="24"/>
      </w:rPr>
      <w:t>UG-130138</w:t>
    </w:r>
    <w:r>
      <w:rPr>
        <w:sz w:val="24"/>
      </w:rPr>
      <w:tab/>
      <w:t xml:space="preserve">Page </w:t>
    </w:r>
    <w:r w:rsidR="00536B87">
      <w:rPr>
        <w:rStyle w:val="PageNumber"/>
        <w:sz w:val="24"/>
      </w:rPr>
      <w:fldChar w:fldCharType="begin"/>
    </w:r>
    <w:r>
      <w:rPr>
        <w:rStyle w:val="PageNumber"/>
        <w:sz w:val="24"/>
      </w:rPr>
      <w:instrText xml:space="preserve"> PAGE </w:instrText>
    </w:r>
    <w:r w:rsidR="00536B87">
      <w:rPr>
        <w:rStyle w:val="PageNumber"/>
        <w:sz w:val="24"/>
      </w:rPr>
      <w:fldChar w:fldCharType="separate"/>
    </w:r>
    <w:r w:rsidR="00F9421D">
      <w:rPr>
        <w:rStyle w:val="PageNumber"/>
        <w:noProof/>
        <w:sz w:val="24"/>
      </w:rPr>
      <w:t>3</w:t>
    </w:r>
    <w:r w:rsidR="00536B87">
      <w:rPr>
        <w:rStyle w:val="PageNumbe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85B" w:rsidRDefault="0054085B">
      <w:r>
        <w:separator/>
      </w:r>
    </w:p>
  </w:footnote>
  <w:footnote w:type="continuationSeparator" w:id="0">
    <w:p w:rsidR="0054085B" w:rsidRDefault="00540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3E" w:rsidRPr="002265B4" w:rsidRDefault="00275A3E" w:rsidP="00753D0F">
    <w:pPr>
      <w:autoSpaceDE w:val="0"/>
      <w:autoSpaceDN w:val="0"/>
      <w:adjustRightInd w:val="0"/>
      <w:jc w:val="right"/>
      <w:rPr>
        <w:bCs/>
        <w:sz w:val="24"/>
        <w:szCs w:val="24"/>
      </w:rPr>
    </w:pPr>
    <w:r w:rsidRPr="002265B4">
      <w:rPr>
        <w:bCs/>
        <w:sz w:val="24"/>
        <w:szCs w:val="24"/>
      </w:rPr>
      <w:t>Exhibit No.__</w:t>
    </w:r>
    <w:proofErr w:type="gramStart"/>
    <w:r w:rsidRPr="002265B4">
      <w:rPr>
        <w:bCs/>
        <w:sz w:val="24"/>
        <w:szCs w:val="24"/>
      </w:rPr>
      <w:t>_(</w:t>
    </w:r>
    <w:proofErr w:type="gramEnd"/>
    <w:r w:rsidRPr="002265B4">
      <w:rPr>
        <w:bCs/>
        <w:sz w:val="24"/>
        <w:szCs w:val="24"/>
      </w:rPr>
      <w:t>MPG-</w:t>
    </w:r>
    <w:r>
      <w:rPr>
        <w:bCs/>
        <w:sz w:val="24"/>
        <w:szCs w:val="24"/>
      </w:rPr>
      <w:t>42</w:t>
    </w:r>
    <w:r w:rsidRPr="002265B4">
      <w:rPr>
        <w:bCs/>
        <w:sz w:val="24"/>
        <w:szCs w:val="24"/>
      </w:rPr>
      <w:t>T)</w:t>
    </w:r>
  </w:p>
  <w:p w:rsidR="00275A3E" w:rsidRPr="002F022F" w:rsidRDefault="00275A3E" w:rsidP="006D1265">
    <w:pPr>
      <w:jc w:val="right"/>
      <w:rPr>
        <w:sz w:val="24"/>
        <w:szCs w:val="24"/>
      </w:rPr>
    </w:pPr>
    <w:r>
      <w:rPr>
        <w:sz w:val="24"/>
        <w:szCs w:val="24"/>
      </w:rPr>
      <w:t xml:space="preserve">Docket Nos. </w:t>
    </w:r>
    <w:r>
      <w:rPr>
        <w:smallCaps/>
        <w:sz w:val="24"/>
      </w:rPr>
      <w:t xml:space="preserve">UE-121697/UG-121705 </w:t>
    </w:r>
    <w:r>
      <w:rPr>
        <w:sz w:val="24"/>
        <w:szCs w:val="24"/>
      </w:rPr>
      <w:t xml:space="preserve">and </w:t>
    </w:r>
    <w:r>
      <w:rPr>
        <w:smallCaps/>
        <w:sz w:val="24"/>
      </w:rPr>
      <w:t>UE-130137/</w:t>
    </w:r>
    <w:r>
      <w:rPr>
        <w:sz w:val="24"/>
        <w:szCs w:val="24"/>
      </w:rPr>
      <w:t>UG-130138</w:t>
    </w:r>
  </w:p>
  <w:p w:rsidR="00275A3E" w:rsidRPr="002265B4" w:rsidRDefault="00275A3E" w:rsidP="00753D0F">
    <w:pPr>
      <w:pStyle w:val="Header"/>
      <w:jc w:val="right"/>
    </w:pPr>
    <w:r w:rsidRPr="002265B4">
      <w:rPr>
        <w:bCs/>
        <w:sz w:val="24"/>
        <w:szCs w:val="24"/>
      </w:rPr>
      <w:t xml:space="preserve">Witness: </w:t>
    </w:r>
    <w:r>
      <w:rPr>
        <w:bCs/>
        <w:sz w:val="24"/>
        <w:szCs w:val="24"/>
      </w:rPr>
      <w:t xml:space="preserve"> </w:t>
    </w:r>
    <w:r w:rsidRPr="002265B4">
      <w:rPr>
        <w:bCs/>
        <w:sz w:val="24"/>
        <w:szCs w:val="24"/>
      </w:rPr>
      <w:t>Michael</w:t>
    </w:r>
    <w:r>
      <w:rPr>
        <w:bCs/>
        <w:sz w:val="24"/>
        <w:szCs w:val="24"/>
      </w:rPr>
      <w:t xml:space="preserve"> P.</w:t>
    </w:r>
    <w:r w:rsidRPr="002265B4">
      <w:rPr>
        <w:bCs/>
        <w:sz w:val="24"/>
        <w:szCs w:val="24"/>
      </w:rPr>
      <w:t xml:space="preserve"> Gorman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3E" w:rsidRPr="00153A9E" w:rsidRDefault="00275A3E" w:rsidP="00153A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6EFC"/>
    <w:multiLevelType w:val="hybridMultilevel"/>
    <w:tmpl w:val="3414617C"/>
    <w:lvl w:ilvl="0" w:tplc="7AC4553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C221EA7"/>
    <w:multiLevelType w:val="hybridMultilevel"/>
    <w:tmpl w:val="3D1CB1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7D1D0F"/>
    <w:multiLevelType w:val="hybridMultilevel"/>
    <w:tmpl w:val="E0A23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864E68"/>
    <w:multiLevelType w:val="hybridMultilevel"/>
    <w:tmpl w:val="42D8BD0C"/>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0FF60330"/>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012C3F"/>
    <w:multiLevelType w:val="hybridMultilevel"/>
    <w:tmpl w:val="40764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97644A"/>
    <w:multiLevelType w:val="hybridMultilevel"/>
    <w:tmpl w:val="647C7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603561"/>
    <w:multiLevelType w:val="hybridMultilevel"/>
    <w:tmpl w:val="254A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5F4378"/>
    <w:multiLevelType w:val="hybridMultilevel"/>
    <w:tmpl w:val="46C4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B174211"/>
    <w:multiLevelType w:val="hybridMultilevel"/>
    <w:tmpl w:val="6CBA9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9639E7"/>
    <w:multiLevelType w:val="hybridMultilevel"/>
    <w:tmpl w:val="24E85992"/>
    <w:lvl w:ilvl="0" w:tplc="2398DE22">
      <w:start w:val="1"/>
      <w:numFmt w:val="decimal"/>
      <w:lvlText w:val="%1."/>
      <w:lvlJc w:val="left"/>
      <w:pPr>
        <w:ind w:left="32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21871E5"/>
    <w:multiLevelType w:val="hybridMultilevel"/>
    <w:tmpl w:val="7FDC9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A738B2"/>
    <w:multiLevelType w:val="hybridMultilevel"/>
    <w:tmpl w:val="75024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C57BDB"/>
    <w:multiLevelType w:val="hybridMultilevel"/>
    <w:tmpl w:val="CCE04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D92821"/>
    <w:multiLevelType w:val="hybridMultilevel"/>
    <w:tmpl w:val="672EBE9A"/>
    <w:lvl w:ilvl="0" w:tplc="F886B8C0">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15">
    <w:nsid w:val="45DD6CA3"/>
    <w:multiLevelType w:val="hybridMultilevel"/>
    <w:tmpl w:val="050E279C"/>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6">
    <w:nsid w:val="48621877"/>
    <w:multiLevelType w:val="hybridMultilevel"/>
    <w:tmpl w:val="8BD4A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647DE0"/>
    <w:multiLevelType w:val="hybridMultilevel"/>
    <w:tmpl w:val="E10E98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9F0A61"/>
    <w:multiLevelType w:val="hybridMultilevel"/>
    <w:tmpl w:val="D98EB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0111D9"/>
    <w:multiLevelType w:val="hybridMultilevel"/>
    <w:tmpl w:val="A51E21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EF5A72"/>
    <w:multiLevelType w:val="hybridMultilevel"/>
    <w:tmpl w:val="45BA3C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CA54B7"/>
    <w:multiLevelType w:val="hybridMultilevel"/>
    <w:tmpl w:val="91A297D2"/>
    <w:lvl w:ilvl="0" w:tplc="0409000F">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22">
    <w:nsid w:val="58BF52CF"/>
    <w:multiLevelType w:val="hybridMultilevel"/>
    <w:tmpl w:val="4B265684"/>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3">
    <w:nsid w:val="59985A36"/>
    <w:multiLevelType w:val="hybridMultilevel"/>
    <w:tmpl w:val="150CC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626FCD"/>
    <w:multiLevelType w:val="hybridMultilevel"/>
    <w:tmpl w:val="09C2B936"/>
    <w:lvl w:ilvl="0" w:tplc="DC3A27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78095B"/>
    <w:multiLevelType w:val="hybridMultilevel"/>
    <w:tmpl w:val="FC32BE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FA2192"/>
    <w:multiLevelType w:val="hybridMultilevel"/>
    <w:tmpl w:val="1B749D04"/>
    <w:lvl w:ilvl="0" w:tplc="10BEC8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EE6ADA"/>
    <w:multiLevelType w:val="hybridMultilevel"/>
    <w:tmpl w:val="067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1F27D5"/>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017FDA"/>
    <w:multiLevelType w:val="hybridMultilevel"/>
    <w:tmpl w:val="37D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4376A"/>
    <w:multiLevelType w:val="hybridMultilevel"/>
    <w:tmpl w:val="1310A3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305337"/>
    <w:multiLevelType w:val="hybridMultilevel"/>
    <w:tmpl w:val="7D6626CA"/>
    <w:lvl w:ilvl="0" w:tplc="0409000F">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32">
    <w:nsid w:val="775133E8"/>
    <w:multiLevelType w:val="hybridMultilevel"/>
    <w:tmpl w:val="F6B03E5C"/>
    <w:lvl w:ilvl="0" w:tplc="04090001">
      <w:start w:val="1"/>
      <w:numFmt w:val="decimal"/>
      <w:lvlText w:val="%1."/>
      <w:lvlJc w:val="left"/>
      <w:pPr>
        <w:ind w:left="144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33">
    <w:nsid w:val="78B62D02"/>
    <w:multiLevelType w:val="hybridMultilevel"/>
    <w:tmpl w:val="A3EAE74C"/>
    <w:lvl w:ilvl="0" w:tplc="D7D8061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385463"/>
    <w:multiLevelType w:val="hybridMultilevel"/>
    <w:tmpl w:val="4A56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28627B"/>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9E6052"/>
    <w:multiLevelType w:val="hybridMultilevel"/>
    <w:tmpl w:val="07268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18"/>
  </w:num>
  <w:num w:numId="4">
    <w:abstractNumId w:val="8"/>
  </w:num>
  <w:num w:numId="5">
    <w:abstractNumId w:val="0"/>
  </w:num>
  <w:num w:numId="6">
    <w:abstractNumId w:val="31"/>
  </w:num>
  <w:num w:numId="7">
    <w:abstractNumId w:val="14"/>
  </w:num>
  <w:num w:numId="8">
    <w:abstractNumId w:val="32"/>
  </w:num>
  <w:num w:numId="9">
    <w:abstractNumId w:val="6"/>
  </w:num>
  <w:num w:numId="10">
    <w:abstractNumId w:val="17"/>
  </w:num>
  <w:num w:numId="11">
    <w:abstractNumId w:val="35"/>
  </w:num>
  <w:num w:numId="12">
    <w:abstractNumId w:val="28"/>
  </w:num>
  <w:num w:numId="13">
    <w:abstractNumId w:val="4"/>
  </w:num>
  <w:num w:numId="14">
    <w:abstractNumId w:val="33"/>
  </w:num>
  <w:num w:numId="15">
    <w:abstractNumId w:val="16"/>
  </w:num>
  <w:num w:numId="16">
    <w:abstractNumId w:val="21"/>
  </w:num>
  <w:num w:numId="17">
    <w:abstractNumId w:val="36"/>
  </w:num>
  <w:num w:numId="18">
    <w:abstractNumId w:val="2"/>
  </w:num>
  <w:num w:numId="19">
    <w:abstractNumId w:val="25"/>
  </w:num>
  <w:num w:numId="20">
    <w:abstractNumId w:val="3"/>
  </w:num>
  <w:num w:numId="21">
    <w:abstractNumId w:val="5"/>
  </w:num>
  <w:num w:numId="22">
    <w:abstractNumId w:val="19"/>
  </w:num>
  <w:num w:numId="23">
    <w:abstractNumId w:val="15"/>
  </w:num>
  <w:num w:numId="24">
    <w:abstractNumId w:val="30"/>
  </w:num>
  <w:num w:numId="25">
    <w:abstractNumId w:val="7"/>
  </w:num>
  <w:num w:numId="26">
    <w:abstractNumId w:val="26"/>
  </w:num>
  <w:num w:numId="27">
    <w:abstractNumId w:val="34"/>
  </w:num>
  <w:num w:numId="28">
    <w:abstractNumId w:val="23"/>
  </w:num>
  <w:num w:numId="29">
    <w:abstractNumId w:val="27"/>
  </w:num>
  <w:num w:numId="30">
    <w:abstractNumId w:val="22"/>
  </w:num>
  <w:num w:numId="31">
    <w:abstractNumId w:val="11"/>
  </w:num>
  <w:num w:numId="32">
    <w:abstractNumId w:val="20"/>
  </w:num>
  <w:num w:numId="33">
    <w:abstractNumId w:val="12"/>
  </w:num>
  <w:num w:numId="34">
    <w:abstractNumId w:val="13"/>
  </w:num>
  <w:num w:numId="35">
    <w:abstractNumId w:val="1"/>
  </w:num>
  <w:num w:numId="36">
    <w:abstractNumId w:val="29"/>
  </w:num>
  <w:num w:numId="37">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trackRevisions/>
  <w:doNotTrackMoves/>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31746"/>
  </w:hdrShapeDefaults>
  <w:footnotePr>
    <w:footnote w:id="-1"/>
    <w:footnote w:id="0"/>
  </w:footnotePr>
  <w:endnotePr>
    <w:endnote w:id="-1"/>
    <w:endnote w:id="0"/>
  </w:endnotePr>
  <w:compat/>
  <w:rsids>
    <w:rsidRoot w:val="00121BF1"/>
    <w:rsid w:val="0000133D"/>
    <w:rsid w:val="000022BD"/>
    <w:rsid w:val="00004BF4"/>
    <w:rsid w:val="0000532D"/>
    <w:rsid w:val="00006E97"/>
    <w:rsid w:val="000110B1"/>
    <w:rsid w:val="00011E62"/>
    <w:rsid w:val="000126CE"/>
    <w:rsid w:val="000207DD"/>
    <w:rsid w:val="0002116E"/>
    <w:rsid w:val="00021C93"/>
    <w:rsid w:val="00023EC8"/>
    <w:rsid w:val="00023F21"/>
    <w:rsid w:val="000253FE"/>
    <w:rsid w:val="00027ACB"/>
    <w:rsid w:val="000301F5"/>
    <w:rsid w:val="000315C6"/>
    <w:rsid w:val="00031A31"/>
    <w:rsid w:val="000334CF"/>
    <w:rsid w:val="00033C0C"/>
    <w:rsid w:val="0003739B"/>
    <w:rsid w:val="000421AC"/>
    <w:rsid w:val="000429CA"/>
    <w:rsid w:val="000449A1"/>
    <w:rsid w:val="00060D81"/>
    <w:rsid w:val="000613DE"/>
    <w:rsid w:val="00063987"/>
    <w:rsid w:val="00063AEC"/>
    <w:rsid w:val="00063FA0"/>
    <w:rsid w:val="00064A6A"/>
    <w:rsid w:val="00066413"/>
    <w:rsid w:val="00066CC3"/>
    <w:rsid w:val="00067847"/>
    <w:rsid w:val="00070A57"/>
    <w:rsid w:val="00070F25"/>
    <w:rsid w:val="00073B8E"/>
    <w:rsid w:val="00075AD0"/>
    <w:rsid w:val="00076ED4"/>
    <w:rsid w:val="000770A5"/>
    <w:rsid w:val="00080DBD"/>
    <w:rsid w:val="00084158"/>
    <w:rsid w:val="000862BD"/>
    <w:rsid w:val="000943FE"/>
    <w:rsid w:val="00095B57"/>
    <w:rsid w:val="00095BC7"/>
    <w:rsid w:val="000969E9"/>
    <w:rsid w:val="000A1672"/>
    <w:rsid w:val="000A3C7D"/>
    <w:rsid w:val="000A44A7"/>
    <w:rsid w:val="000A4C68"/>
    <w:rsid w:val="000B16E2"/>
    <w:rsid w:val="000B5F10"/>
    <w:rsid w:val="000B69A7"/>
    <w:rsid w:val="000B7ED9"/>
    <w:rsid w:val="000C0895"/>
    <w:rsid w:val="000C0FC1"/>
    <w:rsid w:val="000C1076"/>
    <w:rsid w:val="000C1657"/>
    <w:rsid w:val="000C1D2C"/>
    <w:rsid w:val="000C284B"/>
    <w:rsid w:val="000C64AC"/>
    <w:rsid w:val="000D043E"/>
    <w:rsid w:val="000D0E5D"/>
    <w:rsid w:val="000D159E"/>
    <w:rsid w:val="000D2716"/>
    <w:rsid w:val="000D28C3"/>
    <w:rsid w:val="000D3230"/>
    <w:rsid w:val="000D4F2A"/>
    <w:rsid w:val="000D6214"/>
    <w:rsid w:val="000D6327"/>
    <w:rsid w:val="000E15F6"/>
    <w:rsid w:val="000E3145"/>
    <w:rsid w:val="000E42C0"/>
    <w:rsid w:val="000E42F8"/>
    <w:rsid w:val="000E4B6C"/>
    <w:rsid w:val="000E522A"/>
    <w:rsid w:val="000E5F7F"/>
    <w:rsid w:val="000E6008"/>
    <w:rsid w:val="000E68DB"/>
    <w:rsid w:val="000F12D4"/>
    <w:rsid w:val="000F1A14"/>
    <w:rsid w:val="000F6598"/>
    <w:rsid w:val="000F6B13"/>
    <w:rsid w:val="001030FE"/>
    <w:rsid w:val="001040AD"/>
    <w:rsid w:val="00104448"/>
    <w:rsid w:val="001045B5"/>
    <w:rsid w:val="001051FB"/>
    <w:rsid w:val="00105875"/>
    <w:rsid w:val="00105F26"/>
    <w:rsid w:val="00107039"/>
    <w:rsid w:val="0011173E"/>
    <w:rsid w:val="00115F2E"/>
    <w:rsid w:val="00116AA7"/>
    <w:rsid w:val="00121BF1"/>
    <w:rsid w:val="001230FC"/>
    <w:rsid w:val="001241BA"/>
    <w:rsid w:val="001253F1"/>
    <w:rsid w:val="0012546F"/>
    <w:rsid w:val="0012657D"/>
    <w:rsid w:val="00130987"/>
    <w:rsid w:val="00130E42"/>
    <w:rsid w:val="001344C6"/>
    <w:rsid w:val="001355E6"/>
    <w:rsid w:val="00135883"/>
    <w:rsid w:val="00140E8D"/>
    <w:rsid w:val="001416E9"/>
    <w:rsid w:val="00143FE2"/>
    <w:rsid w:val="00144AB1"/>
    <w:rsid w:val="0014552E"/>
    <w:rsid w:val="001461D0"/>
    <w:rsid w:val="00146432"/>
    <w:rsid w:val="00147400"/>
    <w:rsid w:val="00151340"/>
    <w:rsid w:val="00152858"/>
    <w:rsid w:val="00153A9E"/>
    <w:rsid w:val="00163114"/>
    <w:rsid w:val="001633FD"/>
    <w:rsid w:val="00163B3D"/>
    <w:rsid w:val="0016471E"/>
    <w:rsid w:val="00164BCD"/>
    <w:rsid w:val="00170472"/>
    <w:rsid w:val="00170B42"/>
    <w:rsid w:val="0017299D"/>
    <w:rsid w:val="00174CBE"/>
    <w:rsid w:val="001758CD"/>
    <w:rsid w:val="00180CA3"/>
    <w:rsid w:val="00181712"/>
    <w:rsid w:val="00181E7D"/>
    <w:rsid w:val="00182388"/>
    <w:rsid w:val="001850E5"/>
    <w:rsid w:val="0018749C"/>
    <w:rsid w:val="00194726"/>
    <w:rsid w:val="001950F1"/>
    <w:rsid w:val="00195504"/>
    <w:rsid w:val="001A1C99"/>
    <w:rsid w:val="001A1E9A"/>
    <w:rsid w:val="001A29EB"/>
    <w:rsid w:val="001A43C1"/>
    <w:rsid w:val="001A61A2"/>
    <w:rsid w:val="001A6AC0"/>
    <w:rsid w:val="001B029C"/>
    <w:rsid w:val="001B0704"/>
    <w:rsid w:val="001B7457"/>
    <w:rsid w:val="001C081C"/>
    <w:rsid w:val="001C3750"/>
    <w:rsid w:val="001C45C9"/>
    <w:rsid w:val="001C482C"/>
    <w:rsid w:val="001C49A1"/>
    <w:rsid w:val="001C562D"/>
    <w:rsid w:val="001D05E7"/>
    <w:rsid w:val="001D160B"/>
    <w:rsid w:val="001D5404"/>
    <w:rsid w:val="001D68C9"/>
    <w:rsid w:val="001D7BBD"/>
    <w:rsid w:val="001E4694"/>
    <w:rsid w:val="001E4B02"/>
    <w:rsid w:val="001E54C3"/>
    <w:rsid w:val="001F08C1"/>
    <w:rsid w:val="001F40C9"/>
    <w:rsid w:val="001F7B6B"/>
    <w:rsid w:val="0020050D"/>
    <w:rsid w:val="002031AE"/>
    <w:rsid w:val="00204201"/>
    <w:rsid w:val="00204F67"/>
    <w:rsid w:val="00205003"/>
    <w:rsid w:val="002062DF"/>
    <w:rsid w:val="00210D55"/>
    <w:rsid w:val="00211147"/>
    <w:rsid w:val="00211193"/>
    <w:rsid w:val="002121B1"/>
    <w:rsid w:val="0021555D"/>
    <w:rsid w:val="00215678"/>
    <w:rsid w:val="00216A3D"/>
    <w:rsid w:val="00225A3D"/>
    <w:rsid w:val="00225C10"/>
    <w:rsid w:val="00226401"/>
    <w:rsid w:val="00227670"/>
    <w:rsid w:val="00230E06"/>
    <w:rsid w:val="00230F5E"/>
    <w:rsid w:val="00231307"/>
    <w:rsid w:val="00231CF2"/>
    <w:rsid w:val="00234189"/>
    <w:rsid w:val="002343B6"/>
    <w:rsid w:val="00234B6A"/>
    <w:rsid w:val="00234ED7"/>
    <w:rsid w:val="00236A43"/>
    <w:rsid w:val="00240CD4"/>
    <w:rsid w:val="00241B53"/>
    <w:rsid w:val="00244A41"/>
    <w:rsid w:val="00244D4F"/>
    <w:rsid w:val="00247FA9"/>
    <w:rsid w:val="00250AC2"/>
    <w:rsid w:val="00251C42"/>
    <w:rsid w:val="00253F7A"/>
    <w:rsid w:val="00254E81"/>
    <w:rsid w:val="002550AC"/>
    <w:rsid w:val="00255332"/>
    <w:rsid w:val="00257BA5"/>
    <w:rsid w:val="00260ADD"/>
    <w:rsid w:val="00263852"/>
    <w:rsid w:val="00263A3E"/>
    <w:rsid w:val="00264EDF"/>
    <w:rsid w:val="002744D7"/>
    <w:rsid w:val="00275A3E"/>
    <w:rsid w:val="002765CD"/>
    <w:rsid w:val="002771E6"/>
    <w:rsid w:val="002827FA"/>
    <w:rsid w:val="00283224"/>
    <w:rsid w:val="00284125"/>
    <w:rsid w:val="00285BB9"/>
    <w:rsid w:val="00290269"/>
    <w:rsid w:val="002905EB"/>
    <w:rsid w:val="00292CF0"/>
    <w:rsid w:val="002941ED"/>
    <w:rsid w:val="002952AD"/>
    <w:rsid w:val="00295F64"/>
    <w:rsid w:val="0029691A"/>
    <w:rsid w:val="002A2971"/>
    <w:rsid w:val="002A38DB"/>
    <w:rsid w:val="002A543F"/>
    <w:rsid w:val="002B001C"/>
    <w:rsid w:val="002B4228"/>
    <w:rsid w:val="002B58C8"/>
    <w:rsid w:val="002C1879"/>
    <w:rsid w:val="002C1BB6"/>
    <w:rsid w:val="002C2F6D"/>
    <w:rsid w:val="002C3B3D"/>
    <w:rsid w:val="002C3BE4"/>
    <w:rsid w:val="002D232E"/>
    <w:rsid w:val="002D279D"/>
    <w:rsid w:val="002D4A16"/>
    <w:rsid w:val="002D779D"/>
    <w:rsid w:val="002E1189"/>
    <w:rsid w:val="002E12A1"/>
    <w:rsid w:val="002E16E7"/>
    <w:rsid w:val="002E3903"/>
    <w:rsid w:val="002E4467"/>
    <w:rsid w:val="002E5F74"/>
    <w:rsid w:val="002F165E"/>
    <w:rsid w:val="002F2C51"/>
    <w:rsid w:val="002F333C"/>
    <w:rsid w:val="002F50D7"/>
    <w:rsid w:val="002F5592"/>
    <w:rsid w:val="00301858"/>
    <w:rsid w:val="00302251"/>
    <w:rsid w:val="00302DE5"/>
    <w:rsid w:val="0030323D"/>
    <w:rsid w:val="003033B9"/>
    <w:rsid w:val="00304C4C"/>
    <w:rsid w:val="00307F2C"/>
    <w:rsid w:val="003105B6"/>
    <w:rsid w:val="003107A5"/>
    <w:rsid w:val="00311A37"/>
    <w:rsid w:val="00315C2D"/>
    <w:rsid w:val="00321C6F"/>
    <w:rsid w:val="0032262E"/>
    <w:rsid w:val="00324443"/>
    <w:rsid w:val="00324D6D"/>
    <w:rsid w:val="00324EF8"/>
    <w:rsid w:val="003267C5"/>
    <w:rsid w:val="00331A87"/>
    <w:rsid w:val="00331BEA"/>
    <w:rsid w:val="00334D52"/>
    <w:rsid w:val="00334F6B"/>
    <w:rsid w:val="00336634"/>
    <w:rsid w:val="00336B65"/>
    <w:rsid w:val="00336BED"/>
    <w:rsid w:val="003419D6"/>
    <w:rsid w:val="00344445"/>
    <w:rsid w:val="00345A47"/>
    <w:rsid w:val="003475B7"/>
    <w:rsid w:val="003503EE"/>
    <w:rsid w:val="003566F9"/>
    <w:rsid w:val="00356764"/>
    <w:rsid w:val="003617D8"/>
    <w:rsid w:val="00363A74"/>
    <w:rsid w:val="00365E08"/>
    <w:rsid w:val="0036715B"/>
    <w:rsid w:val="00367EC9"/>
    <w:rsid w:val="00372B27"/>
    <w:rsid w:val="00373BAE"/>
    <w:rsid w:val="00377572"/>
    <w:rsid w:val="003819C5"/>
    <w:rsid w:val="00382EA1"/>
    <w:rsid w:val="00383F1E"/>
    <w:rsid w:val="003866AF"/>
    <w:rsid w:val="00386D7A"/>
    <w:rsid w:val="003910AA"/>
    <w:rsid w:val="0039286C"/>
    <w:rsid w:val="0039356F"/>
    <w:rsid w:val="0039363E"/>
    <w:rsid w:val="003962BB"/>
    <w:rsid w:val="003974A8"/>
    <w:rsid w:val="003A0812"/>
    <w:rsid w:val="003A2899"/>
    <w:rsid w:val="003A29D2"/>
    <w:rsid w:val="003A6670"/>
    <w:rsid w:val="003B2B34"/>
    <w:rsid w:val="003B3173"/>
    <w:rsid w:val="003B45BA"/>
    <w:rsid w:val="003B5D57"/>
    <w:rsid w:val="003B7949"/>
    <w:rsid w:val="003B7A19"/>
    <w:rsid w:val="003C0D4B"/>
    <w:rsid w:val="003C0E1F"/>
    <w:rsid w:val="003C2BC7"/>
    <w:rsid w:val="003C4E4A"/>
    <w:rsid w:val="003C5B2B"/>
    <w:rsid w:val="003C65D0"/>
    <w:rsid w:val="003C67D1"/>
    <w:rsid w:val="003C69CC"/>
    <w:rsid w:val="003C7AAB"/>
    <w:rsid w:val="003C7DC9"/>
    <w:rsid w:val="003D0340"/>
    <w:rsid w:val="003D26CB"/>
    <w:rsid w:val="003D2B3C"/>
    <w:rsid w:val="003D4951"/>
    <w:rsid w:val="003E32DA"/>
    <w:rsid w:val="003E7A5E"/>
    <w:rsid w:val="003F0EE7"/>
    <w:rsid w:val="003F55A5"/>
    <w:rsid w:val="0040081B"/>
    <w:rsid w:val="0040305A"/>
    <w:rsid w:val="004043EB"/>
    <w:rsid w:val="00404A02"/>
    <w:rsid w:val="00404DEE"/>
    <w:rsid w:val="00406FC6"/>
    <w:rsid w:val="00410E26"/>
    <w:rsid w:val="00411AA1"/>
    <w:rsid w:val="00413425"/>
    <w:rsid w:val="00414488"/>
    <w:rsid w:val="004155A4"/>
    <w:rsid w:val="00415664"/>
    <w:rsid w:val="00415B1D"/>
    <w:rsid w:val="00415D5B"/>
    <w:rsid w:val="00417F80"/>
    <w:rsid w:val="004222BB"/>
    <w:rsid w:val="00422DAF"/>
    <w:rsid w:val="00423750"/>
    <w:rsid w:val="0042417C"/>
    <w:rsid w:val="00424742"/>
    <w:rsid w:val="0042598E"/>
    <w:rsid w:val="004301D9"/>
    <w:rsid w:val="0043576F"/>
    <w:rsid w:val="0043697D"/>
    <w:rsid w:val="00436CDA"/>
    <w:rsid w:val="004372FB"/>
    <w:rsid w:val="004379A1"/>
    <w:rsid w:val="004433C0"/>
    <w:rsid w:val="00443E5D"/>
    <w:rsid w:val="00444E91"/>
    <w:rsid w:val="0045085A"/>
    <w:rsid w:val="0045119D"/>
    <w:rsid w:val="00451658"/>
    <w:rsid w:val="0045429C"/>
    <w:rsid w:val="00455214"/>
    <w:rsid w:val="0045591A"/>
    <w:rsid w:val="00457268"/>
    <w:rsid w:val="0045734D"/>
    <w:rsid w:val="00457E6F"/>
    <w:rsid w:val="00457F93"/>
    <w:rsid w:val="004629A9"/>
    <w:rsid w:val="00462CC0"/>
    <w:rsid w:val="00466507"/>
    <w:rsid w:val="00470670"/>
    <w:rsid w:val="00471277"/>
    <w:rsid w:val="00473A6A"/>
    <w:rsid w:val="00474C77"/>
    <w:rsid w:val="004751B5"/>
    <w:rsid w:val="004752FF"/>
    <w:rsid w:val="00475419"/>
    <w:rsid w:val="00477134"/>
    <w:rsid w:val="004827F1"/>
    <w:rsid w:val="0048322B"/>
    <w:rsid w:val="004837DE"/>
    <w:rsid w:val="00483C15"/>
    <w:rsid w:val="00495AED"/>
    <w:rsid w:val="00497AA6"/>
    <w:rsid w:val="00497E38"/>
    <w:rsid w:val="004A0D86"/>
    <w:rsid w:val="004B3A0F"/>
    <w:rsid w:val="004B6C04"/>
    <w:rsid w:val="004C0C5B"/>
    <w:rsid w:val="004C230D"/>
    <w:rsid w:val="004C2CCA"/>
    <w:rsid w:val="004C6884"/>
    <w:rsid w:val="004D1915"/>
    <w:rsid w:val="004D4365"/>
    <w:rsid w:val="004D683E"/>
    <w:rsid w:val="004D7C50"/>
    <w:rsid w:val="004E22F8"/>
    <w:rsid w:val="004E6122"/>
    <w:rsid w:val="004E663A"/>
    <w:rsid w:val="004E752A"/>
    <w:rsid w:val="004F1A6B"/>
    <w:rsid w:val="004F1D96"/>
    <w:rsid w:val="004F294B"/>
    <w:rsid w:val="004F2DE6"/>
    <w:rsid w:val="004F322A"/>
    <w:rsid w:val="004F3AF9"/>
    <w:rsid w:val="004F425E"/>
    <w:rsid w:val="004F4845"/>
    <w:rsid w:val="004F50D2"/>
    <w:rsid w:val="004F5778"/>
    <w:rsid w:val="004F6C54"/>
    <w:rsid w:val="004F79FB"/>
    <w:rsid w:val="004F7C8F"/>
    <w:rsid w:val="0050003F"/>
    <w:rsid w:val="0050080E"/>
    <w:rsid w:val="00501699"/>
    <w:rsid w:val="00503686"/>
    <w:rsid w:val="0050371E"/>
    <w:rsid w:val="00503D13"/>
    <w:rsid w:val="00511A5B"/>
    <w:rsid w:val="00515468"/>
    <w:rsid w:val="0051705B"/>
    <w:rsid w:val="005200CF"/>
    <w:rsid w:val="0052082D"/>
    <w:rsid w:val="0052510F"/>
    <w:rsid w:val="005270CB"/>
    <w:rsid w:val="00532222"/>
    <w:rsid w:val="00532D3C"/>
    <w:rsid w:val="00536B87"/>
    <w:rsid w:val="0054085B"/>
    <w:rsid w:val="00541F0E"/>
    <w:rsid w:val="005421C3"/>
    <w:rsid w:val="00542A26"/>
    <w:rsid w:val="00542F55"/>
    <w:rsid w:val="00546476"/>
    <w:rsid w:val="00550F1B"/>
    <w:rsid w:val="00553D97"/>
    <w:rsid w:val="00554C03"/>
    <w:rsid w:val="00556ACD"/>
    <w:rsid w:val="005631C7"/>
    <w:rsid w:val="0056484A"/>
    <w:rsid w:val="00564D64"/>
    <w:rsid w:val="005718CF"/>
    <w:rsid w:val="0057219B"/>
    <w:rsid w:val="0057328F"/>
    <w:rsid w:val="00573D8F"/>
    <w:rsid w:val="00575B50"/>
    <w:rsid w:val="00576C99"/>
    <w:rsid w:val="00584703"/>
    <w:rsid w:val="00585E73"/>
    <w:rsid w:val="00587EEF"/>
    <w:rsid w:val="005907D3"/>
    <w:rsid w:val="00591D22"/>
    <w:rsid w:val="005934EB"/>
    <w:rsid w:val="005940EF"/>
    <w:rsid w:val="0059644E"/>
    <w:rsid w:val="005A0550"/>
    <w:rsid w:val="005A462E"/>
    <w:rsid w:val="005A6620"/>
    <w:rsid w:val="005A7717"/>
    <w:rsid w:val="005A784D"/>
    <w:rsid w:val="005B0394"/>
    <w:rsid w:val="005B2CDE"/>
    <w:rsid w:val="005B5637"/>
    <w:rsid w:val="005B7137"/>
    <w:rsid w:val="005B720A"/>
    <w:rsid w:val="005C34DE"/>
    <w:rsid w:val="005C3502"/>
    <w:rsid w:val="005C4261"/>
    <w:rsid w:val="005C4928"/>
    <w:rsid w:val="005C7703"/>
    <w:rsid w:val="005D2275"/>
    <w:rsid w:val="005D3373"/>
    <w:rsid w:val="005D6439"/>
    <w:rsid w:val="005D6897"/>
    <w:rsid w:val="005D7F54"/>
    <w:rsid w:val="005E1DDD"/>
    <w:rsid w:val="005E1EFA"/>
    <w:rsid w:val="005E45B9"/>
    <w:rsid w:val="005E58EC"/>
    <w:rsid w:val="005E7BE4"/>
    <w:rsid w:val="005F119D"/>
    <w:rsid w:val="005F3C58"/>
    <w:rsid w:val="005F4175"/>
    <w:rsid w:val="005F4BAC"/>
    <w:rsid w:val="005F611D"/>
    <w:rsid w:val="005F7F10"/>
    <w:rsid w:val="00600B3B"/>
    <w:rsid w:val="00601830"/>
    <w:rsid w:val="0060277F"/>
    <w:rsid w:val="006036BA"/>
    <w:rsid w:val="00603C60"/>
    <w:rsid w:val="006069E2"/>
    <w:rsid w:val="00607705"/>
    <w:rsid w:val="006126D0"/>
    <w:rsid w:val="00612F15"/>
    <w:rsid w:val="00613703"/>
    <w:rsid w:val="00613D2D"/>
    <w:rsid w:val="00613F98"/>
    <w:rsid w:val="00614F2C"/>
    <w:rsid w:val="0061521C"/>
    <w:rsid w:val="00616E74"/>
    <w:rsid w:val="00617C26"/>
    <w:rsid w:val="0062074A"/>
    <w:rsid w:val="00620E63"/>
    <w:rsid w:val="00620F85"/>
    <w:rsid w:val="006214CF"/>
    <w:rsid w:val="006263C7"/>
    <w:rsid w:val="00627E09"/>
    <w:rsid w:val="006304DF"/>
    <w:rsid w:val="006306D4"/>
    <w:rsid w:val="00630CC2"/>
    <w:rsid w:val="00631BC5"/>
    <w:rsid w:val="00632B54"/>
    <w:rsid w:val="00635F33"/>
    <w:rsid w:val="0063642C"/>
    <w:rsid w:val="00641E25"/>
    <w:rsid w:val="00641EF8"/>
    <w:rsid w:val="0064499A"/>
    <w:rsid w:val="0064536C"/>
    <w:rsid w:val="006457D3"/>
    <w:rsid w:val="00650250"/>
    <w:rsid w:val="00655031"/>
    <w:rsid w:val="006604CB"/>
    <w:rsid w:val="00661479"/>
    <w:rsid w:val="00662C8F"/>
    <w:rsid w:val="0066324C"/>
    <w:rsid w:val="00667B85"/>
    <w:rsid w:val="006730B3"/>
    <w:rsid w:val="006746B1"/>
    <w:rsid w:val="00675B85"/>
    <w:rsid w:val="00676AAD"/>
    <w:rsid w:val="006776AF"/>
    <w:rsid w:val="00681195"/>
    <w:rsid w:val="006830D3"/>
    <w:rsid w:val="006973D6"/>
    <w:rsid w:val="006A1B00"/>
    <w:rsid w:val="006A4A94"/>
    <w:rsid w:val="006B0B27"/>
    <w:rsid w:val="006B1695"/>
    <w:rsid w:val="006B50B4"/>
    <w:rsid w:val="006B53F0"/>
    <w:rsid w:val="006B6EE2"/>
    <w:rsid w:val="006C0004"/>
    <w:rsid w:val="006C0343"/>
    <w:rsid w:val="006C1616"/>
    <w:rsid w:val="006C52FC"/>
    <w:rsid w:val="006C6304"/>
    <w:rsid w:val="006D0C19"/>
    <w:rsid w:val="006D1265"/>
    <w:rsid w:val="006D7F63"/>
    <w:rsid w:val="006E0D76"/>
    <w:rsid w:val="006E2818"/>
    <w:rsid w:val="006E36D0"/>
    <w:rsid w:val="006E53E9"/>
    <w:rsid w:val="006E681E"/>
    <w:rsid w:val="006E6880"/>
    <w:rsid w:val="006F06BC"/>
    <w:rsid w:val="006F2C6A"/>
    <w:rsid w:val="006F42E5"/>
    <w:rsid w:val="00706C58"/>
    <w:rsid w:val="0071258C"/>
    <w:rsid w:val="00712813"/>
    <w:rsid w:val="00716509"/>
    <w:rsid w:val="00717F6A"/>
    <w:rsid w:val="00721059"/>
    <w:rsid w:val="0072283A"/>
    <w:rsid w:val="00726983"/>
    <w:rsid w:val="00730FEB"/>
    <w:rsid w:val="00731502"/>
    <w:rsid w:val="007326B5"/>
    <w:rsid w:val="00732851"/>
    <w:rsid w:val="0073321E"/>
    <w:rsid w:val="0073620E"/>
    <w:rsid w:val="0073661C"/>
    <w:rsid w:val="007406EE"/>
    <w:rsid w:val="00740703"/>
    <w:rsid w:val="007431D6"/>
    <w:rsid w:val="00744468"/>
    <w:rsid w:val="00750002"/>
    <w:rsid w:val="00751DB5"/>
    <w:rsid w:val="00751F52"/>
    <w:rsid w:val="00753D0F"/>
    <w:rsid w:val="00762468"/>
    <w:rsid w:val="00763A93"/>
    <w:rsid w:val="007727E6"/>
    <w:rsid w:val="0077356B"/>
    <w:rsid w:val="00774BDC"/>
    <w:rsid w:val="00776E7D"/>
    <w:rsid w:val="00780708"/>
    <w:rsid w:val="007812C3"/>
    <w:rsid w:val="00781F32"/>
    <w:rsid w:val="007843B9"/>
    <w:rsid w:val="007856A0"/>
    <w:rsid w:val="00793441"/>
    <w:rsid w:val="00795DF8"/>
    <w:rsid w:val="007979EF"/>
    <w:rsid w:val="00797C38"/>
    <w:rsid w:val="007A0B29"/>
    <w:rsid w:val="007A34CF"/>
    <w:rsid w:val="007A376A"/>
    <w:rsid w:val="007A3BA2"/>
    <w:rsid w:val="007A3C42"/>
    <w:rsid w:val="007A5405"/>
    <w:rsid w:val="007A585C"/>
    <w:rsid w:val="007A5C6C"/>
    <w:rsid w:val="007B0B04"/>
    <w:rsid w:val="007B0F14"/>
    <w:rsid w:val="007B2423"/>
    <w:rsid w:val="007B359C"/>
    <w:rsid w:val="007B76FF"/>
    <w:rsid w:val="007C0E7D"/>
    <w:rsid w:val="007C1200"/>
    <w:rsid w:val="007C3452"/>
    <w:rsid w:val="007C4EF0"/>
    <w:rsid w:val="007C5A8A"/>
    <w:rsid w:val="007C7DA3"/>
    <w:rsid w:val="007D29F7"/>
    <w:rsid w:val="007D3B97"/>
    <w:rsid w:val="007D446E"/>
    <w:rsid w:val="007D7A89"/>
    <w:rsid w:val="007E03A0"/>
    <w:rsid w:val="007E4F23"/>
    <w:rsid w:val="007E5D10"/>
    <w:rsid w:val="007E5D2C"/>
    <w:rsid w:val="007E76B1"/>
    <w:rsid w:val="007F371F"/>
    <w:rsid w:val="007F3EA6"/>
    <w:rsid w:val="007F71D3"/>
    <w:rsid w:val="00800167"/>
    <w:rsid w:val="008006A8"/>
    <w:rsid w:val="008019F3"/>
    <w:rsid w:val="00807AA7"/>
    <w:rsid w:val="00812507"/>
    <w:rsid w:val="00813E38"/>
    <w:rsid w:val="00815C43"/>
    <w:rsid w:val="0081671E"/>
    <w:rsid w:val="00817585"/>
    <w:rsid w:val="00817CF8"/>
    <w:rsid w:val="00820CA4"/>
    <w:rsid w:val="00821F78"/>
    <w:rsid w:val="00823B4A"/>
    <w:rsid w:val="00823EB2"/>
    <w:rsid w:val="00824132"/>
    <w:rsid w:val="00824BEC"/>
    <w:rsid w:val="00826049"/>
    <w:rsid w:val="0082638A"/>
    <w:rsid w:val="00826EF7"/>
    <w:rsid w:val="008273A2"/>
    <w:rsid w:val="008273AB"/>
    <w:rsid w:val="00831744"/>
    <w:rsid w:val="00833301"/>
    <w:rsid w:val="008333F3"/>
    <w:rsid w:val="00834D27"/>
    <w:rsid w:val="00835B46"/>
    <w:rsid w:val="00836D47"/>
    <w:rsid w:val="008405AB"/>
    <w:rsid w:val="008415F6"/>
    <w:rsid w:val="00841C0F"/>
    <w:rsid w:val="00842591"/>
    <w:rsid w:val="0084551C"/>
    <w:rsid w:val="0085026F"/>
    <w:rsid w:val="0085391E"/>
    <w:rsid w:val="00854ABB"/>
    <w:rsid w:val="00855E3A"/>
    <w:rsid w:val="008560AE"/>
    <w:rsid w:val="008563D8"/>
    <w:rsid w:val="00863B76"/>
    <w:rsid w:val="0087036B"/>
    <w:rsid w:val="0087047B"/>
    <w:rsid w:val="00873AB7"/>
    <w:rsid w:val="008741F2"/>
    <w:rsid w:val="008743C9"/>
    <w:rsid w:val="008762B1"/>
    <w:rsid w:val="00876ACF"/>
    <w:rsid w:val="008835A1"/>
    <w:rsid w:val="00883B97"/>
    <w:rsid w:val="00884018"/>
    <w:rsid w:val="008856AC"/>
    <w:rsid w:val="00886EBA"/>
    <w:rsid w:val="008940C2"/>
    <w:rsid w:val="00894E57"/>
    <w:rsid w:val="00896271"/>
    <w:rsid w:val="00896829"/>
    <w:rsid w:val="008A2ED6"/>
    <w:rsid w:val="008A6CB3"/>
    <w:rsid w:val="008B3826"/>
    <w:rsid w:val="008B4F60"/>
    <w:rsid w:val="008B51B4"/>
    <w:rsid w:val="008B760B"/>
    <w:rsid w:val="008C05A6"/>
    <w:rsid w:val="008C0C80"/>
    <w:rsid w:val="008C3EAD"/>
    <w:rsid w:val="008C6D63"/>
    <w:rsid w:val="008C7DA3"/>
    <w:rsid w:val="008D12E5"/>
    <w:rsid w:val="008D404C"/>
    <w:rsid w:val="008D5A51"/>
    <w:rsid w:val="008E2379"/>
    <w:rsid w:val="008E2F69"/>
    <w:rsid w:val="008E5A70"/>
    <w:rsid w:val="008E621F"/>
    <w:rsid w:val="008E7EBD"/>
    <w:rsid w:val="008F1D63"/>
    <w:rsid w:val="008F39C5"/>
    <w:rsid w:val="008F4422"/>
    <w:rsid w:val="008F56FD"/>
    <w:rsid w:val="009005E7"/>
    <w:rsid w:val="00901323"/>
    <w:rsid w:val="00903227"/>
    <w:rsid w:val="00903918"/>
    <w:rsid w:val="009056EC"/>
    <w:rsid w:val="00907A5E"/>
    <w:rsid w:val="00911F5D"/>
    <w:rsid w:val="00913877"/>
    <w:rsid w:val="00917FAE"/>
    <w:rsid w:val="00920039"/>
    <w:rsid w:val="00924554"/>
    <w:rsid w:val="009248B9"/>
    <w:rsid w:val="00924973"/>
    <w:rsid w:val="009256E3"/>
    <w:rsid w:val="009273F8"/>
    <w:rsid w:val="00933DF8"/>
    <w:rsid w:val="00933FF6"/>
    <w:rsid w:val="00936E31"/>
    <w:rsid w:val="0093734A"/>
    <w:rsid w:val="0093740C"/>
    <w:rsid w:val="00940BD5"/>
    <w:rsid w:val="00944EFA"/>
    <w:rsid w:val="0094513F"/>
    <w:rsid w:val="009456FB"/>
    <w:rsid w:val="009457BB"/>
    <w:rsid w:val="00947689"/>
    <w:rsid w:val="00953689"/>
    <w:rsid w:val="00954A4D"/>
    <w:rsid w:val="009568AE"/>
    <w:rsid w:val="00960195"/>
    <w:rsid w:val="00961281"/>
    <w:rsid w:val="0096177E"/>
    <w:rsid w:val="0096731C"/>
    <w:rsid w:val="009716B2"/>
    <w:rsid w:val="00971A6F"/>
    <w:rsid w:val="009727FB"/>
    <w:rsid w:val="009767B5"/>
    <w:rsid w:val="009779C5"/>
    <w:rsid w:val="0098023B"/>
    <w:rsid w:val="00982FBC"/>
    <w:rsid w:val="0098409E"/>
    <w:rsid w:val="00990A23"/>
    <w:rsid w:val="009972CF"/>
    <w:rsid w:val="009A4098"/>
    <w:rsid w:val="009A6C84"/>
    <w:rsid w:val="009A6CDC"/>
    <w:rsid w:val="009B172B"/>
    <w:rsid w:val="009B47B7"/>
    <w:rsid w:val="009B4D10"/>
    <w:rsid w:val="009B698D"/>
    <w:rsid w:val="009B7111"/>
    <w:rsid w:val="009C2836"/>
    <w:rsid w:val="009C4EC1"/>
    <w:rsid w:val="009C6523"/>
    <w:rsid w:val="009D297B"/>
    <w:rsid w:val="009E1629"/>
    <w:rsid w:val="009E5100"/>
    <w:rsid w:val="009E56CB"/>
    <w:rsid w:val="009E5B6F"/>
    <w:rsid w:val="009E5F50"/>
    <w:rsid w:val="009F1533"/>
    <w:rsid w:val="009F1AA1"/>
    <w:rsid w:val="009F4DF5"/>
    <w:rsid w:val="009F6B14"/>
    <w:rsid w:val="009F7259"/>
    <w:rsid w:val="009F786B"/>
    <w:rsid w:val="00A06A93"/>
    <w:rsid w:val="00A16C00"/>
    <w:rsid w:val="00A24270"/>
    <w:rsid w:val="00A24BF3"/>
    <w:rsid w:val="00A24D03"/>
    <w:rsid w:val="00A31B8B"/>
    <w:rsid w:val="00A31C3F"/>
    <w:rsid w:val="00A35644"/>
    <w:rsid w:val="00A37A98"/>
    <w:rsid w:val="00A410CA"/>
    <w:rsid w:val="00A42251"/>
    <w:rsid w:val="00A4231E"/>
    <w:rsid w:val="00A4381A"/>
    <w:rsid w:val="00A47D77"/>
    <w:rsid w:val="00A5125F"/>
    <w:rsid w:val="00A54370"/>
    <w:rsid w:val="00A55865"/>
    <w:rsid w:val="00A653A2"/>
    <w:rsid w:val="00A655C6"/>
    <w:rsid w:val="00A657B3"/>
    <w:rsid w:val="00A67D99"/>
    <w:rsid w:val="00A706E8"/>
    <w:rsid w:val="00A7274A"/>
    <w:rsid w:val="00A73B10"/>
    <w:rsid w:val="00A74611"/>
    <w:rsid w:val="00A75142"/>
    <w:rsid w:val="00A80054"/>
    <w:rsid w:val="00A80C8D"/>
    <w:rsid w:val="00A80EF1"/>
    <w:rsid w:val="00A81632"/>
    <w:rsid w:val="00A8358A"/>
    <w:rsid w:val="00A83707"/>
    <w:rsid w:val="00A861A1"/>
    <w:rsid w:val="00A91578"/>
    <w:rsid w:val="00A91F29"/>
    <w:rsid w:val="00A922BE"/>
    <w:rsid w:val="00A9241B"/>
    <w:rsid w:val="00A966C2"/>
    <w:rsid w:val="00AA020A"/>
    <w:rsid w:val="00AA1D00"/>
    <w:rsid w:val="00AA394F"/>
    <w:rsid w:val="00AA5286"/>
    <w:rsid w:val="00AA59D4"/>
    <w:rsid w:val="00AA59D5"/>
    <w:rsid w:val="00AB1D13"/>
    <w:rsid w:val="00AB21EB"/>
    <w:rsid w:val="00AB3C9F"/>
    <w:rsid w:val="00AB425A"/>
    <w:rsid w:val="00AB43B7"/>
    <w:rsid w:val="00AB56A8"/>
    <w:rsid w:val="00AB69C4"/>
    <w:rsid w:val="00AC02DC"/>
    <w:rsid w:val="00AC4EDD"/>
    <w:rsid w:val="00AC66D0"/>
    <w:rsid w:val="00AC70C4"/>
    <w:rsid w:val="00AD0BA4"/>
    <w:rsid w:val="00AD0F02"/>
    <w:rsid w:val="00AD2F02"/>
    <w:rsid w:val="00AD3548"/>
    <w:rsid w:val="00AD587B"/>
    <w:rsid w:val="00AD704D"/>
    <w:rsid w:val="00AE0EC7"/>
    <w:rsid w:val="00AE12B9"/>
    <w:rsid w:val="00AE1418"/>
    <w:rsid w:val="00AE23BF"/>
    <w:rsid w:val="00AE28F1"/>
    <w:rsid w:val="00AE30A8"/>
    <w:rsid w:val="00AE41F3"/>
    <w:rsid w:val="00AE480C"/>
    <w:rsid w:val="00AE5D1B"/>
    <w:rsid w:val="00AE7693"/>
    <w:rsid w:val="00AF4996"/>
    <w:rsid w:val="00AF5365"/>
    <w:rsid w:val="00B01167"/>
    <w:rsid w:val="00B01F3C"/>
    <w:rsid w:val="00B02419"/>
    <w:rsid w:val="00B0264E"/>
    <w:rsid w:val="00B035E0"/>
    <w:rsid w:val="00B04EAE"/>
    <w:rsid w:val="00B07071"/>
    <w:rsid w:val="00B07ACE"/>
    <w:rsid w:val="00B10181"/>
    <w:rsid w:val="00B11D48"/>
    <w:rsid w:val="00B15804"/>
    <w:rsid w:val="00B15B46"/>
    <w:rsid w:val="00B271C6"/>
    <w:rsid w:val="00B3064F"/>
    <w:rsid w:val="00B30C1F"/>
    <w:rsid w:val="00B35C12"/>
    <w:rsid w:val="00B403D7"/>
    <w:rsid w:val="00B4361F"/>
    <w:rsid w:val="00B44752"/>
    <w:rsid w:val="00B447A3"/>
    <w:rsid w:val="00B467BF"/>
    <w:rsid w:val="00B478C5"/>
    <w:rsid w:val="00B511F8"/>
    <w:rsid w:val="00B53440"/>
    <w:rsid w:val="00B55D87"/>
    <w:rsid w:val="00B56240"/>
    <w:rsid w:val="00B567B9"/>
    <w:rsid w:val="00B57294"/>
    <w:rsid w:val="00B601BF"/>
    <w:rsid w:val="00B61E71"/>
    <w:rsid w:val="00B626F8"/>
    <w:rsid w:val="00B63732"/>
    <w:rsid w:val="00B65117"/>
    <w:rsid w:val="00B72601"/>
    <w:rsid w:val="00B74E67"/>
    <w:rsid w:val="00B81049"/>
    <w:rsid w:val="00B8361D"/>
    <w:rsid w:val="00B844A5"/>
    <w:rsid w:val="00B86F30"/>
    <w:rsid w:val="00B87354"/>
    <w:rsid w:val="00B91708"/>
    <w:rsid w:val="00B91840"/>
    <w:rsid w:val="00B91AED"/>
    <w:rsid w:val="00B91DFF"/>
    <w:rsid w:val="00B92510"/>
    <w:rsid w:val="00B948C1"/>
    <w:rsid w:val="00B94B6B"/>
    <w:rsid w:val="00B95233"/>
    <w:rsid w:val="00B96685"/>
    <w:rsid w:val="00B97991"/>
    <w:rsid w:val="00BA137F"/>
    <w:rsid w:val="00BA7392"/>
    <w:rsid w:val="00BB4A1F"/>
    <w:rsid w:val="00BC1DC1"/>
    <w:rsid w:val="00BC7AB7"/>
    <w:rsid w:val="00BD32CD"/>
    <w:rsid w:val="00BD4AF0"/>
    <w:rsid w:val="00BD4F84"/>
    <w:rsid w:val="00BE26F1"/>
    <w:rsid w:val="00BE2BCE"/>
    <w:rsid w:val="00BF5C8E"/>
    <w:rsid w:val="00BF60CD"/>
    <w:rsid w:val="00C00C7D"/>
    <w:rsid w:val="00C02629"/>
    <w:rsid w:val="00C06459"/>
    <w:rsid w:val="00C07486"/>
    <w:rsid w:val="00C14591"/>
    <w:rsid w:val="00C1556C"/>
    <w:rsid w:val="00C15A7D"/>
    <w:rsid w:val="00C15D13"/>
    <w:rsid w:val="00C21169"/>
    <w:rsid w:val="00C22D16"/>
    <w:rsid w:val="00C2506E"/>
    <w:rsid w:val="00C25199"/>
    <w:rsid w:val="00C25956"/>
    <w:rsid w:val="00C26BD0"/>
    <w:rsid w:val="00C30DC2"/>
    <w:rsid w:val="00C310C9"/>
    <w:rsid w:val="00C349AC"/>
    <w:rsid w:val="00C46954"/>
    <w:rsid w:val="00C5275E"/>
    <w:rsid w:val="00C529B9"/>
    <w:rsid w:val="00C535B0"/>
    <w:rsid w:val="00C556AA"/>
    <w:rsid w:val="00C57A3A"/>
    <w:rsid w:val="00C57B04"/>
    <w:rsid w:val="00C601D5"/>
    <w:rsid w:val="00C63347"/>
    <w:rsid w:val="00C633F9"/>
    <w:rsid w:val="00C63518"/>
    <w:rsid w:val="00C636CE"/>
    <w:rsid w:val="00C6452E"/>
    <w:rsid w:val="00C652CF"/>
    <w:rsid w:val="00C662AF"/>
    <w:rsid w:val="00C746D3"/>
    <w:rsid w:val="00C74746"/>
    <w:rsid w:val="00C75294"/>
    <w:rsid w:val="00C759A1"/>
    <w:rsid w:val="00C839B6"/>
    <w:rsid w:val="00C84C14"/>
    <w:rsid w:val="00C8543D"/>
    <w:rsid w:val="00C85B80"/>
    <w:rsid w:val="00C863FC"/>
    <w:rsid w:val="00C875CE"/>
    <w:rsid w:val="00C92C96"/>
    <w:rsid w:val="00C96212"/>
    <w:rsid w:val="00C96900"/>
    <w:rsid w:val="00CA08DF"/>
    <w:rsid w:val="00CA0DAC"/>
    <w:rsid w:val="00CA1D49"/>
    <w:rsid w:val="00CA24FA"/>
    <w:rsid w:val="00CA2849"/>
    <w:rsid w:val="00CA65C4"/>
    <w:rsid w:val="00CA7B5A"/>
    <w:rsid w:val="00CA7E6D"/>
    <w:rsid w:val="00CB23C5"/>
    <w:rsid w:val="00CB3E0F"/>
    <w:rsid w:val="00CB4982"/>
    <w:rsid w:val="00CB4D9E"/>
    <w:rsid w:val="00CB727F"/>
    <w:rsid w:val="00CC0521"/>
    <w:rsid w:val="00CC16EE"/>
    <w:rsid w:val="00CC1C6B"/>
    <w:rsid w:val="00CC4CE7"/>
    <w:rsid w:val="00CD0D81"/>
    <w:rsid w:val="00CD3886"/>
    <w:rsid w:val="00CE0740"/>
    <w:rsid w:val="00CE1741"/>
    <w:rsid w:val="00CE27A5"/>
    <w:rsid w:val="00CE5683"/>
    <w:rsid w:val="00CF0A2C"/>
    <w:rsid w:val="00CF1A97"/>
    <w:rsid w:val="00CF4218"/>
    <w:rsid w:val="00CF4550"/>
    <w:rsid w:val="00CF457A"/>
    <w:rsid w:val="00CF625F"/>
    <w:rsid w:val="00CF73BA"/>
    <w:rsid w:val="00D031A9"/>
    <w:rsid w:val="00D04579"/>
    <w:rsid w:val="00D0512C"/>
    <w:rsid w:val="00D05706"/>
    <w:rsid w:val="00D06376"/>
    <w:rsid w:val="00D06C56"/>
    <w:rsid w:val="00D0771D"/>
    <w:rsid w:val="00D07AEB"/>
    <w:rsid w:val="00D11884"/>
    <w:rsid w:val="00D1363D"/>
    <w:rsid w:val="00D14CFF"/>
    <w:rsid w:val="00D15497"/>
    <w:rsid w:val="00D21461"/>
    <w:rsid w:val="00D2206D"/>
    <w:rsid w:val="00D248F8"/>
    <w:rsid w:val="00D2684D"/>
    <w:rsid w:val="00D32F40"/>
    <w:rsid w:val="00D33048"/>
    <w:rsid w:val="00D34B0D"/>
    <w:rsid w:val="00D35C8A"/>
    <w:rsid w:val="00D41826"/>
    <w:rsid w:val="00D42767"/>
    <w:rsid w:val="00D4630C"/>
    <w:rsid w:val="00D508B2"/>
    <w:rsid w:val="00D52050"/>
    <w:rsid w:val="00D53345"/>
    <w:rsid w:val="00D54AD3"/>
    <w:rsid w:val="00D57FE1"/>
    <w:rsid w:val="00D624F6"/>
    <w:rsid w:val="00D6284A"/>
    <w:rsid w:val="00D651F2"/>
    <w:rsid w:val="00D65DA0"/>
    <w:rsid w:val="00D67BF4"/>
    <w:rsid w:val="00D73581"/>
    <w:rsid w:val="00D74363"/>
    <w:rsid w:val="00D75225"/>
    <w:rsid w:val="00D76058"/>
    <w:rsid w:val="00D7653A"/>
    <w:rsid w:val="00D76B02"/>
    <w:rsid w:val="00D76CA8"/>
    <w:rsid w:val="00D77389"/>
    <w:rsid w:val="00D80568"/>
    <w:rsid w:val="00D82576"/>
    <w:rsid w:val="00D82FCF"/>
    <w:rsid w:val="00D84E22"/>
    <w:rsid w:val="00D86F6B"/>
    <w:rsid w:val="00D903EC"/>
    <w:rsid w:val="00D9127F"/>
    <w:rsid w:val="00D91AFA"/>
    <w:rsid w:val="00D92EEB"/>
    <w:rsid w:val="00D93C20"/>
    <w:rsid w:val="00D95B9B"/>
    <w:rsid w:val="00D95E75"/>
    <w:rsid w:val="00D96753"/>
    <w:rsid w:val="00DA111F"/>
    <w:rsid w:val="00DA4AE2"/>
    <w:rsid w:val="00DA4BBC"/>
    <w:rsid w:val="00DA544E"/>
    <w:rsid w:val="00DB01B5"/>
    <w:rsid w:val="00DB41A0"/>
    <w:rsid w:val="00DB50A3"/>
    <w:rsid w:val="00DB5699"/>
    <w:rsid w:val="00DC0EAB"/>
    <w:rsid w:val="00DC2AB2"/>
    <w:rsid w:val="00DC66F5"/>
    <w:rsid w:val="00DD030D"/>
    <w:rsid w:val="00DD1841"/>
    <w:rsid w:val="00DD1BDA"/>
    <w:rsid w:val="00DD21C2"/>
    <w:rsid w:val="00DD2A7E"/>
    <w:rsid w:val="00DD47F9"/>
    <w:rsid w:val="00DD615E"/>
    <w:rsid w:val="00DE1C2E"/>
    <w:rsid w:val="00DE353B"/>
    <w:rsid w:val="00DE543B"/>
    <w:rsid w:val="00DE6368"/>
    <w:rsid w:val="00DE6F6E"/>
    <w:rsid w:val="00DE7F6D"/>
    <w:rsid w:val="00DF04E0"/>
    <w:rsid w:val="00DF05C9"/>
    <w:rsid w:val="00DF263F"/>
    <w:rsid w:val="00DF2953"/>
    <w:rsid w:val="00DF2BCC"/>
    <w:rsid w:val="00DF4DDD"/>
    <w:rsid w:val="00DF75CE"/>
    <w:rsid w:val="00DF78F3"/>
    <w:rsid w:val="00E003A7"/>
    <w:rsid w:val="00E01DA6"/>
    <w:rsid w:val="00E052F4"/>
    <w:rsid w:val="00E06E5A"/>
    <w:rsid w:val="00E10FE8"/>
    <w:rsid w:val="00E12EBF"/>
    <w:rsid w:val="00E12F96"/>
    <w:rsid w:val="00E15E86"/>
    <w:rsid w:val="00E1613D"/>
    <w:rsid w:val="00E238C8"/>
    <w:rsid w:val="00E26879"/>
    <w:rsid w:val="00E268DD"/>
    <w:rsid w:val="00E275BE"/>
    <w:rsid w:val="00E2797B"/>
    <w:rsid w:val="00E27CE8"/>
    <w:rsid w:val="00E31090"/>
    <w:rsid w:val="00E3196A"/>
    <w:rsid w:val="00E3505A"/>
    <w:rsid w:val="00E41B3E"/>
    <w:rsid w:val="00E435D8"/>
    <w:rsid w:val="00E43C32"/>
    <w:rsid w:val="00E45B2D"/>
    <w:rsid w:val="00E46B81"/>
    <w:rsid w:val="00E47E35"/>
    <w:rsid w:val="00E50FC6"/>
    <w:rsid w:val="00E51AD2"/>
    <w:rsid w:val="00E521E9"/>
    <w:rsid w:val="00E60F8E"/>
    <w:rsid w:val="00E61893"/>
    <w:rsid w:val="00E658C2"/>
    <w:rsid w:val="00E6674D"/>
    <w:rsid w:val="00E667DB"/>
    <w:rsid w:val="00E66D3D"/>
    <w:rsid w:val="00E677C3"/>
    <w:rsid w:val="00E70107"/>
    <w:rsid w:val="00E71DC7"/>
    <w:rsid w:val="00E7362C"/>
    <w:rsid w:val="00E74400"/>
    <w:rsid w:val="00E752E3"/>
    <w:rsid w:val="00E76BAE"/>
    <w:rsid w:val="00E77244"/>
    <w:rsid w:val="00E774D1"/>
    <w:rsid w:val="00E774F1"/>
    <w:rsid w:val="00E77D8A"/>
    <w:rsid w:val="00E82ABE"/>
    <w:rsid w:val="00E87A3D"/>
    <w:rsid w:val="00E91AA1"/>
    <w:rsid w:val="00E947EA"/>
    <w:rsid w:val="00E95021"/>
    <w:rsid w:val="00E954F7"/>
    <w:rsid w:val="00E9768F"/>
    <w:rsid w:val="00E97F01"/>
    <w:rsid w:val="00EA2FDE"/>
    <w:rsid w:val="00EA4B2E"/>
    <w:rsid w:val="00EA7976"/>
    <w:rsid w:val="00EB7194"/>
    <w:rsid w:val="00EC3608"/>
    <w:rsid w:val="00EC3E46"/>
    <w:rsid w:val="00EC55F2"/>
    <w:rsid w:val="00EC5946"/>
    <w:rsid w:val="00ED01F7"/>
    <w:rsid w:val="00ED27E7"/>
    <w:rsid w:val="00ED379A"/>
    <w:rsid w:val="00ED7511"/>
    <w:rsid w:val="00ED7818"/>
    <w:rsid w:val="00ED7CCA"/>
    <w:rsid w:val="00EE2AB4"/>
    <w:rsid w:val="00EE7B17"/>
    <w:rsid w:val="00EF0D83"/>
    <w:rsid w:val="00EF1A0F"/>
    <w:rsid w:val="00EF1CC9"/>
    <w:rsid w:val="00EF29CB"/>
    <w:rsid w:val="00EF2E00"/>
    <w:rsid w:val="00EF4486"/>
    <w:rsid w:val="00EF6A59"/>
    <w:rsid w:val="00EF7191"/>
    <w:rsid w:val="00F02C2D"/>
    <w:rsid w:val="00F04C45"/>
    <w:rsid w:val="00F10760"/>
    <w:rsid w:val="00F10BEF"/>
    <w:rsid w:val="00F10FA1"/>
    <w:rsid w:val="00F14AF4"/>
    <w:rsid w:val="00F15C9A"/>
    <w:rsid w:val="00F16584"/>
    <w:rsid w:val="00F21123"/>
    <w:rsid w:val="00F249A7"/>
    <w:rsid w:val="00F25BF9"/>
    <w:rsid w:val="00F260BE"/>
    <w:rsid w:val="00F266D8"/>
    <w:rsid w:val="00F26DD7"/>
    <w:rsid w:val="00F27ED5"/>
    <w:rsid w:val="00F3234C"/>
    <w:rsid w:val="00F33FA3"/>
    <w:rsid w:val="00F3489B"/>
    <w:rsid w:val="00F3610B"/>
    <w:rsid w:val="00F43EDF"/>
    <w:rsid w:val="00F46FA8"/>
    <w:rsid w:val="00F47F26"/>
    <w:rsid w:val="00F50701"/>
    <w:rsid w:val="00F52C4D"/>
    <w:rsid w:val="00F52C58"/>
    <w:rsid w:val="00F54401"/>
    <w:rsid w:val="00F546B3"/>
    <w:rsid w:val="00F54CF4"/>
    <w:rsid w:val="00F56E3F"/>
    <w:rsid w:val="00F575CC"/>
    <w:rsid w:val="00F576AC"/>
    <w:rsid w:val="00F5778A"/>
    <w:rsid w:val="00F60DE1"/>
    <w:rsid w:val="00F647DD"/>
    <w:rsid w:val="00F65535"/>
    <w:rsid w:val="00F66624"/>
    <w:rsid w:val="00F7175C"/>
    <w:rsid w:val="00F73F07"/>
    <w:rsid w:val="00F7431B"/>
    <w:rsid w:val="00F805B4"/>
    <w:rsid w:val="00F83C1C"/>
    <w:rsid w:val="00F85603"/>
    <w:rsid w:val="00F85748"/>
    <w:rsid w:val="00F86327"/>
    <w:rsid w:val="00F9131F"/>
    <w:rsid w:val="00F916CB"/>
    <w:rsid w:val="00F9421D"/>
    <w:rsid w:val="00FA3EFE"/>
    <w:rsid w:val="00FA5104"/>
    <w:rsid w:val="00FB1B9B"/>
    <w:rsid w:val="00FB360C"/>
    <w:rsid w:val="00FB69CA"/>
    <w:rsid w:val="00FB7278"/>
    <w:rsid w:val="00FC0077"/>
    <w:rsid w:val="00FC0E9B"/>
    <w:rsid w:val="00FC722B"/>
    <w:rsid w:val="00FD03C1"/>
    <w:rsid w:val="00FD0AE1"/>
    <w:rsid w:val="00FD108E"/>
    <w:rsid w:val="00FD17E7"/>
    <w:rsid w:val="00FD66E6"/>
    <w:rsid w:val="00FD7C94"/>
    <w:rsid w:val="00FE3BC8"/>
    <w:rsid w:val="00FE67EB"/>
    <w:rsid w:val="00FE7FF4"/>
    <w:rsid w:val="00FF0B55"/>
    <w:rsid w:val="00FF12C1"/>
    <w:rsid w:val="00FF136C"/>
    <w:rsid w:val="00FF191F"/>
    <w:rsid w:val="00FF2515"/>
    <w:rsid w:val="00FF51BC"/>
    <w:rsid w:val="00FF591D"/>
    <w:rsid w:val="00FF7E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34D"/>
    <w:rPr>
      <w:sz w:val="22"/>
    </w:rPr>
  </w:style>
  <w:style w:type="paragraph" w:styleId="Heading1">
    <w:name w:val="heading 1"/>
    <w:basedOn w:val="Normal"/>
    <w:next w:val="Normal"/>
    <w:link w:val="Heading1Char"/>
    <w:autoRedefine/>
    <w:qFormat/>
    <w:rsid w:val="00FF51BC"/>
    <w:pPr>
      <w:keepNext/>
      <w:keepLines/>
      <w:spacing w:before="240" w:line="480" w:lineRule="auto"/>
      <w:outlineLvl w:val="0"/>
    </w:pPr>
    <w:rPr>
      <w:b/>
      <w:sz w:val="24"/>
      <w:szCs w:val="24"/>
      <w:u w:val="single"/>
    </w:rPr>
  </w:style>
  <w:style w:type="paragraph" w:styleId="Heading2">
    <w:name w:val="heading 2"/>
    <w:basedOn w:val="Normal"/>
    <w:next w:val="Normal"/>
    <w:link w:val="Heading2Char"/>
    <w:qFormat/>
    <w:rsid w:val="00953689"/>
    <w:pPr>
      <w:keepNext/>
      <w:spacing w:before="240" w:line="480" w:lineRule="auto"/>
      <w:outlineLvl w:val="1"/>
    </w:pPr>
    <w:rPr>
      <w:b/>
      <w:bCs/>
      <w:sz w:val="26"/>
      <w:szCs w:val="26"/>
      <w:u w:val="single"/>
    </w:rPr>
  </w:style>
  <w:style w:type="paragraph" w:styleId="Heading3">
    <w:name w:val="heading 3"/>
    <w:basedOn w:val="Normal"/>
    <w:next w:val="Normal"/>
    <w:link w:val="Heading3Char"/>
    <w:qFormat/>
    <w:rsid w:val="004222BB"/>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4222B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2283A"/>
    <w:pPr>
      <w:keepNext/>
      <w:tabs>
        <w:tab w:val="left" w:pos="720"/>
      </w:tabs>
      <w:spacing w:line="480" w:lineRule="exact"/>
      <w:ind w:left="720" w:hanging="720"/>
      <w:jc w:val="both"/>
      <w:outlineLvl w:val="4"/>
    </w:pPr>
    <w:rPr>
      <w:b/>
      <w:bCs/>
    </w:rPr>
  </w:style>
  <w:style w:type="paragraph" w:styleId="Heading6">
    <w:name w:val="heading 6"/>
    <w:basedOn w:val="Normal"/>
    <w:next w:val="Normal"/>
    <w:link w:val="Heading6Char"/>
    <w:qFormat/>
    <w:rsid w:val="0072283A"/>
    <w:pPr>
      <w:keepNext/>
      <w:keepLines/>
      <w:tabs>
        <w:tab w:val="left" w:pos="728"/>
      </w:tabs>
      <w:ind w:left="720" w:hanging="720"/>
      <w:jc w:val="center"/>
      <w:outlineLvl w:val="5"/>
    </w:pPr>
    <w:rPr>
      <w:rFonts w:cs="Arial"/>
      <w:b/>
      <w:bCs/>
      <w:sz w:val="24"/>
      <w:szCs w:val="24"/>
    </w:rPr>
  </w:style>
  <w:style w:type="paragraph" w:styleId="Heading7">
    <w:name w:val="heading 7"/>
    <w:basedOn w:val="Normal"/>
    <w:next w:val="Normal"/>
    <w:link w:val="Heading7Char"/>
    <w:qFormat/>
    <w:rsid w:val="0072283A"/>
    <w:pPr>
      <w:keepNext/>
      <w:tabs>
        <w:tab w:val="left" w:pos="728"/>
        <w:tab w:val="left" w:pos="1430"/>
        <w:tab w:val="left" w:pos="2158"/>
      </w:tabs>
      <w:jc w:val="center"/>
      <w:outlineLvl w:val="6"/>
    </w:pPr>
    <w:rPr>
      <w:b/>
      <w:bCs/>
      <w:u w:val="single"/>
    </w:rPr>
  </w:style>
  <w:style w:type="paragraph" w:styleId="Heading8">
    <w:name w:val="heading 8"/>
    <w:basedOn w:val="Normal"/>
    <w:next w:val="Normal"/>
    <w:link w:val="Heading8Char"/>
    <w:qFormat/>
    <w:rsid w:val="006604CB"/>
    <w:pPr>
      <w:widowControl w:val="0"/>
      <w:autoSpaceDE w:val="0"/>
      <w:autoSpaceDN w:val="0"/>
      <w:spacing w:before="240" w:after="60"/>
      <w:outlineLvl w:val="7"/>
    </w:pPr>
    <w:rPr>
      <w:rFonts w:cs="Arial"/>
      <w:i/>
      <w:iCs/>
      <w:sz w:val="24"/>
    </w:rPr>
  </w:style>
  <w:style w:type="paragraph" w:styleId="Heading9">
    <w:name w:val="heading 9"/>
    <w:basedOn w:val="Normal"/>
    <w:next w:val="Normal"/>
    <w:link w:val="Heading9Char"/>
    <w:qFormat/>
    <w:rsid w:val="0072283A"/>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283A"/>
    <w:pPr>
      <w:tabs>
        <w:tab w:val="center" w:pos="4320"/>
        <w:tab w:val="right" w:pos="8640"/>
      </w:tabs>
    </w:pPr>
  </w:style>
  <w:style w:type="paragraph" w:styleId="Footer">
    <w:name w:val="footer"/>
    <w:basedOn w:val="Normal"/>
    <w:link w:val="FooterChar"/>
    <w:rsid w:val="0072283A"/>
    <w:pPr>
      <w:tabs>
        <w:tab w:val="center" w:pos="4320"/>
        <w:tab w:val="right" w:pos="8640"/>
      </w:tabs>
    </w:pPr>
  </w:style>
  <w:style w:type="paragraph" w:styleId="Title">
    <w:name w:val="Title"/>
    <w:basedOn w:val="Normal"/>
    <w:link w:val="TitleChar"/>
    <w:qFormat/>
    <w:rsid w:val="0072283A"/>
    <w:pPr>
      <w:jc w:val="center"/>
    </w:pPr>
    <w:rPr>
      <w:b/>
      <w:sz w:val="24"/>
    </w:rPr>
  </w:style>
  <w:style w:type="paragraph" w:styleId="BodyText">
    <w:name w:val="Body Text"/>
    <w:basedOn w:val="Normal"/>
    <w:link w:val="BodyTextChar"/>
    <w:semiHidden/>
    <w:rsid w:val="0072283A"/>
    <w:pPr>
      <w:spacing w:line="480" w:lineRule="auto"/>
    </w:pPr>
    <w:rPr>
      <w:b/>
      <w:caps/>
    </w:rPr>
  </w:style>
  <w:style w:type="paragraph" w:customStyle="1" w:styleId="TestimonyQ">
    <w:name w:val="Testimony Q"/>
    <w:basedOn w:val="Normal"/>
    <w:rsid w:val="0072283A"/>
    <w:pPr>
      <w:widowControl w:val="0"/>
      <w:tabs>
        <w:tab w:val="left" w:pos="-1440"/>
      </w:tabs>
      <w:spacing w:line="480" w:lineRule="auto"/>
      <w:ind w:left="720" w:hanging="720"/>
      <w:jc w:val="both"/>
    </w:pPr>
    <w:rPr>
      <w:b/>
      <w:caps/>
      <w:snapToGrid w:val="0"/>
    </w:rPr>
  </w:style>
  <w:style w:type="paragraph" w:styleId="BodyTextIndent3">
    <w:name w:val="Body Text Indent 3"/>
    <w:basedOn w:val="Normal"/>
    <w:link w:val="BodyTextIndent3Char"/>
    <w:semiHidden/>
    <w:rsid w:val="0072283A"/>
    <w:pPr>
      <w:tabs>
        <w:tab w:val="left" w:pos="-1440"/>
      </w:tabs>
      <w:spacing w:line="480" w:lineRule="auto"/>
      <w:ind w:left="720" w:hanging="720"/>
      <w:jc w:val="both"/>
    </w:pPr>
    <w:rPr>
      <w:b/>
      <w:bCs/>
    </w:rPr>
  </w:style>
  <w:style w:type="paragraph" w:styleId="BodyTextIndent2">
    <w:name w:val="Body Text Indent 2"/>
    <w:basedOn w:val="Normal"/>
    <w:link w:val="BodyTextIndent2Char"/>
    <w:semiHidden/>
    <w:rsid w:val="007228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firstLine="720"/>
      <w:jc w:val="both"/>
    </w:pPr>
  </w:style>
  <w:style w:type="paragraph" w:styleId="BodyTextIndent">
    <w:name w:val="Body Text Indent"/>
    <w:basedOn w:val="Normal"/>
    <w:link w:val="BodyTextIndentChar"/>
    <w:semiHidden/>
    <w:rsid w:val="0072283A"/>
    <w:pPr>
      <w:spacing w:line="480" w:lineRule="auto"/>
      <w:ind w:left="720" w:hanging="720"/>
      <w:jc w:val="both"/>
    </w:pPr>
  </w:style>
  <w:style w:type="character" w:styleId="PageNumber">
    <w:name w:val="page number"/>
    <w:basedOn w:val="DefaultParagraphFont"/>
    <w:semiHidden/>
    <w:rsid w:val="0072283A"/>
  </w:style>
  <w:style w:type="character" w:styleId="LineNumber">
    <w:name w:val="line number"/>
    <w:basedOn w:val="DefaultParagraphFont"/>
    <w:rsid w:val="001C562D"/>
    <w:rPr>
      <w:rFonts w:ascii="Times New Roman" w:hAnsi="Times New Roman"/>
      <w:sz w:val="24"/>
    </w:rPr>
  </w:style>
  <w:style w:type="character" w:styleId="FootnoteReference">
    <w:name w:val="footnote reference"/>
    <w:aliases w:val="o,fr,Style 3,Style 21,Style 12"/>
    <w:basedOn w:val="DefaultParagraphFont"/>
    <w:rsid w:val="0072283A"/>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qFormat/>
    <w:rsid w:val="00706C58"/>
    <w:pPr>
      <w:ind w:firstLine="720"/>
      <w:jc w:val="both"/>
    </w:pPr>
  </w:style>
  <w:style w:type="character" w:customStyle="1" w:styleId="Heading4Char">
    <w:name w:val="Heading 4 Char"/>
    <w:basedOn w:val="DefaultParagraphFont"/>
    <w:link w:val="Heading4"/>
    <w:uiPriority w:val="9"/>
    <w:rsid w:val="004222BB"/>
    <w:rPr>
      <w:rFonts w:ascii="Calibri" w:eastAsia="Times New Roman" w:hAnsi="Calibri" w:cs="Times New Roman"/>
      <w:b/>
      <w:bCs/>
      <w:sz w:val="28"/>
      <w:szCs w:val="28"/>
    </w:rPr>
  </w:style>
  <w:style w:type="character" w:customStyle="1" w:styleId="Heading3Char">
    <w:name w:val="Heading 3 Char"/>
    <w:basedOn w:val="DefaultParagraphFont"/>
    <w:link w:val="Heading3"/>
    <w:rsid w:val="004222BB"/>
    <w:rPr>
      <w:rFonts w:ascii="Arial" w:hAnsi="Arial" w:cs="Arial"/>
      <w:b/>
      <w:bCs/>
      <w:sz w:val="26"/>
      <w:szCs w:val="26"/>
    </w:rPr>
  </w:style>
  <w:style w:type="character" w:customStyle="1" w:styleId="Heading2Char">
    <w:name w:val="Heading 2 Char"/>
    <w:basedOn w:val="DefaultParagraphFont"/>
    <w:link w:val="Heading2"/>
    <w:rsid w:val="00953689"/>
    <w:rPr>
      <w:b/>
      <w:bCs/>
      <w:sz w:val="26"/>
      <w:szCs w:val="26"/>
      <w:u w:val="single"/>
    </w:rPr>
  </w:style>
  <w:style w:type="character" w:customStyle="1" w:styleId="HeaderChar">
    <w:name w:val="Header Char"/>
    <w:basedOn w:val="DefaultParagraphFont"/>
    <w:link w:val="Header"/>
    <w:uiPriority w:val="99"/>
    <w:rsid w:val="004222BB"/>
    <w:rPr>
      <w:rFonts w:ascii="Arial" w:hAnsi="Arial"/>
      <w:sz w:val="22"/>
    </w:rPr>
  </w:style>
  <w:style w:type="character" w:customStyle="1" w:styleId="BodyTextIndent2Char">
    <w:name w:val="Body Text Indent 2 Char"/>
    <w:basedOn w:val="DefaultParagraphFont"/>
    <w:link w:val="BodyTextIndent2"/>
    <w:semiHidden/>
    <w:rsid w:val="004222BB"/>
    <w:rPr>
      <w:rFonts w:ascii="Arial" w:hAnsi="Arial"/>
      <w:sz w:val="22"/>
    </w:rPr>
  </w:style>
  <w:style w:type="character" w:customStyle="1" w:styleId="BodyTextIndent3Char">
    <w:name w:val="Body Text Indent 3 Char"/>
    <w:basedOn w:val="DefaultParagraphFont"/>
    <w:link w:val="BodyTextIndent3"/>
    <w:semiHidden/>
    <w:rsid w:val="004222BB"/>
    <w:rPr>
      <w:rFonts w:ascii="Arial" w:hAnsi="Arial"/>
      <w:b/>
      <w:bCs/>
      <w:sz w:val="22"/>
    </w:rPr>
  </w:style>
  <w:style w:type="table" w:styleId="TableGrid">
    <w:name w:val="Table Grid"/>
    <w:basedOn w:val="TableNormal"/>
    <w:uiPriority w:val="59"/>
    <w:rsid w:val="00DA4B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F51BC"/>
    <w:rPr>
      <w:b/>
      <w:sz w:val="24"/>
      <w:szCs w:val="24"/>
      <w:u w:val="single"/>
    </w:rPr>
  </w:style>
  <w:style w:type="character" w:styleId="Hyperlink">
    <w:name w:val="Hyperlink"/>
    <w:basedOn w:val="DefaultParagraphFont"/>
    <w:uiPriority w:val="99"/>
    <w:unhideWhenUsed/>
    <w:rsid w:val="0029691A"/>
    <w:rPr>
      <w:color w:val="0000FF"/>
      <w:u w:val="single"/>
    </w:rPr>
  </w:style>
  <w:style w:type="paragraph" w:styleId="BalloonText">
    <w:name w:val="Balloon Text"/>
    <w:basedOn w:val="Normal"/>
    <w:link w:val="BalloonTextChar"/>
    <w:uiPriority w:val="99"/>
    <w:semiHidden/>
    <w:unhideWhenUsed/>
    <w:rsid w:val="007E5D2C"/>
    <w:rPr>
      <w:rFonts w:ascii="Tahoma" w:hAnsi="Tahoma" w:cs="Tahoma"/>
      <w:sz w:val="16"/>
      <w:szCs w:val="16"/>
    </w:rPr>
  </w:style>
  <w:style w:type="character" w:customStyle="1" w:styleId="BalloonTextChar">
    <w:name w:val="Balloon Text Char"/>
    <w:basedOn w:val="DefaultParagraphFont"/>
    <w:link w:val="BalloonText"/>
    <w:uiPriority w:val="99"/>
    <w:semiHidden/>
    <w:rsid w:val="007E5D2C"/>
    <w:rPr>
      <w:rFonts w:ascii="Tahoma" w:hAnsi="Tahoma" w:cs="Tahoma"/>
      <w:sz w:val="16"/>
      <w:szCs w:val="16"/>
    </w:rPr>
  </w:style>
  <w:style w:type="paragraph" w:customStyle="1" w:styleId="Default">
    <w:name w:val="Default"/>
    <w:rsid w:val="001051FB"/>
    <w:pPr>
      <w:autoSpaceDE w:val="0"/>
      <w:autoSpaceDN w:val="0"/>
      <w:adjustRightInd w:val="0"/>
    </w:pPr>
    <w:rPr>
      <w:color w:val="000000"/>
      <w:sz w:val="24"/>
      <w:szCs w:val="24"/>
    </w:rPr>
  </w:style>
  <w:style w:type="paragraph" w:styleId="BodyText2">
    <w:name w:val="Body Text 2"/>
    <w:basedOn w:val="Normal"/>
    <w:link w:val="BodyText2Char"/>
    <w:uiPriority w:val="99"/>
    <w:unhideWhenUsed/>
    <w:rsid w:val="00EC55F2"/>
    <w:pPr>
      <w:spacing w:after="120" w:line="480" w:lineRule="auto"/>
    </w:pPr>
    <w:rPr>
      <w:sz w:val="20"/>
    </w:rPr>
  </w:style>
  <w:style w:type="character" w:customStyle="1" w:styleId="BodyText2Char">
    <w:name w:val="Body Text 2 Char"/>
    <w:basedOn w:val="DefaultParagraphFont"/>
    <w:link w:val="BodyText2"/>
    <w:uiPriority w:val="99"/>
    <w:rsid w:val="00EC55F2"/>
  </w:style>
  <w:style w:type="character" w:customStyle="1" w:styleId="FooterChar">
    <w:name w:val="Footer Char"/>
    <w:basedOn w:val="DefaultParagraphFont"/>
    <w:link w:val="Footer"/>
    <w:rsid w:val="007B359C"/>
    <w:rPr>
      <w:rFonts w:ascii="Arial" w:hAnsi="Arial"/>
      <w:sz w:val="22"/>
    </w:rPr>
  </w:style>
  <w:style w:type="character" w:customStyle="1" w:styleId="Heading8Char">
    <w:name w:val="Heading 8 Char"/>
    <w:basedOn w:val="DefaultParagraphFont"/>
    <w:link w:val="Heading8"/>
    <w:rsid w:val="006604CB"/>
    <w:rPr>
      <w:rFonts w:ascii="Arial" w:hAnsi="Arial" w:cs="Arial"/>
      <w:i/>
      <w:iCs/>
      <w:sz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706C58"/>
    <w:rPr>
      <w:sz w:val="22"/>
    </w:rPr>
  </w:style>
  <w:style w:type="character" w:customStyle="1" w:styleId="BodyTextIndentChar">
    <w:name w:val="Body Text Indent Char"/>
    <w:basedOn w:val="DefaultParagraphFont"/>
    <w:link w:val="BodyTextIndent"/>
    <w:semiHidden/>
    <w:rsid w:val="006604CB"/>
    <w:rPr>
      <w:rFonts w:ascii="Arial" w:hAnsi="Arial"/>
      <w:sz w:val="22"/>
    </w:rPr>
  </w:style>
  <w:style w:type="paragraph" w:customStyle="1" w:styleId="question">
    <w:name w:val="question"/>
    <w:basedOn w:val="Normal"/>
    <w:next w:val="Normal"/>
    <w:autoRedefine/>
    <w:rsid w:val="006604CB"/>
    <w:pPr>
      <w:widowControl w:val="0"/>
      <w:overflowPunct w:val="0"/>
      <w:autoSpaceDE w:val="0"/>
      <w:autoSpaceDN w:val="0"/>
      <w:adjustRightInd w:val="0"/>
      <w:spacing w:before="120" w:after="120"/>
      <w:ind w:left="720" w:hanging="720"/>
      <w:textAlignment w:val="baseline"/>
    </w:pPr>
    <w:rPr>
      <w:b/>
      <w:spacing w:val="10"/>
      <w:sz w:val="24"/>
      <w:szCs w:val="24"/>
    </w:rPr>
  </w:style>
  <w:style w:type="paragraph" w:customStyle="1" w:styleId="Answer">
    <w:name w:val="Answer"/>
    <w:basedOn w:val="Normal"/>
    <w:next w:val="Normal"/>
    <w:link w:val="AnswerChar"/>
    <w:qFormat/>
    <w:rsid w:val="006604CB"/>
    <w:pPr>
      <w:overflowPunct w:val="0"/>
      <w:autoSpaceDE w:val="0"/>
      <w:autoSpaceDN w:val="0"/>
      <w:adjustRightInd w:val="0"/>
      <w:spacing w:after="240" w:line="480" w:lineRule="auto"/>
      <w:ind w:left="720" w:hanging="720"/>
      <w:jc w:val="both"/>
      <w:textAlignment w:val="baseline"/>
    </w:pPr>
    <w:rPr>
      <w:spacing w:val="10"/>
      <w:sz w:val="24"/>
      <w:szCs w:val="24"/>
    </w:rPr>
  </w:style>
  <w:style w:type="character" w:customStyle="1" w:styleId="AnswerChar">
    <w:name w:val="Answer Char"/>
    <w:basedOn w:val="DefaultParagraphFont"/>
    <w:link w:val="Answer"/>
    <w:rsid w:val="006604CB"/>
    <w:rPr>
      <w:spacing w:val="10"/>
      <w:sz w:val="24"/>
      <w:szCs w:val="24"/>
    </w:rPr>
  </w:style>
  <w:style w:type="numbering" w:customStyle="1" w:styleId="NoList1">
    <w:name w:val="No List1"/>
    <w:next w:val="NoList"/>
    <w:uiPriority w:val="99"/>
    <w:semiHidden/>
    <w:unhideWhenUsed/>
    <w:rsid w:val="006604CB"/>
  </w:style>
  <w:style w:type="character" w:customStyle="1" w:styleId="Heading5Char">
    <w:name w:val="Heading 5 Char"/>
    <w:basedOn w:val="DefaultParagraphFont"/>
    <w:link w:val="Heading5"/>
    <w:rsid w:val="006604CB"/>
    <w:rPr>
      <w:rFonts w:ascii="Arial" w:hAnsi="Arial"/>
      <w:b/>
      <w:bCs/>
      <w:sz w:val="22"/>
    </w:rPr>
  </w:style>
  <w:style w:type="character" w:customStyle="1" w:styleId="BodyTextChar">
    <w:name w:val="Body Text Char"/>
    <w:basedOn w:val="DefaultParagraphFont"/>
    <w:link w:val="BodyText"/>
    <w:semiHidden/>
    <w:rsid w:val="006604CB"/>
    <w:rPr>
      <w:rFonts w:ascii="Arial" w:hAnsi="Arial"/>
      <w:b/>
      <w:caps/>
      <w:sz w:val="22"/>
    </w:rPr>
  </w:style>
  <w:style w:type="paragraph" w:styleId="Caption">
    <w:name w:val="caption"/>
    <w:basedOn w:val="Normal"/>
    <w:next w:val="Normal"/>
    <w:qFormat/>
    <w:rsid w:val="006604CB"/>
    <w:pPr>
      <w:widowControl w:val="0"/>
      <w:autoSpaceDE w:val="0"/>
      <w:autoSpaceDN w:val="0"/>
      <w:spacing w:before="120" w:after="120"/>
    </w:pPr>
    <w:rPr>
      <w:rFonts w:cs="Courier New"/>
      <w:b/>
      <w:bCs/>
      <w:sz w:val="24"/>
    </w:rPr>
  </w:style>
  <w:style w:type="paragraph" w:styleId="TOC1">
    <w:name w:val="toc 1"/>
    <w:basedOn w:val="Normal"/>
    <w:next w:val="Normal"/>
    <w:autoRedefine/>
    <w:uiPriority w:val="39"/>
    <w:qFormat/>
    <w:rsid w:val="00FB360C"/>
    <w:pPr>
      <w:widowControl w:val="0"/>
      <w:suppressLineNumbers/>
      <w:tabs>
        <w:tab w:val="left" w:pos="720"/>
        <w:tab w:val="left" w:pos="1530"/>
        <w:tab w:val="right" w:leader="dot" w:pos="9062"/>
      </w:tabs>
      <w:autoSpaceDE w:val="0"/>
      <w:autoSpaceDN w:val="0"/>
      <w:spacing w:line="480" w:lineRule="auto"/>
      <w:ind w:left="720"/>
    </w:pPr>
    <w:rPr>
      <w:rFonts w:cs="Arial"/>
      <w:bCs/>
      <w:noProof/>
    </w:rPr>
  </w:style>
  <w:style w:type="paragraph" w:styleId="TOC2">
    <w:name w:val="toc 2"/>
    <w:basedOn w:val="Normal"/>
    <w:next w:val="Normal"/>
    <w:autoRedefine/>
    <w:uiPriority w:val="39"/>
    <w:qFormat/>
    <w:rsid w:val="008D404C"/>
    <w:pPr>
      <w:widowControl w:val="0"/>
      <w:suppressLineNumbers/>
      <w:tabs>
        <w:tab w:val="left" w:pos="720"/>
        <w:tab w:val="right" w:leader="dot" w:pos="9062"/>
      </w:tabs>
      <w:autoSpaceDE w:val="0"/>
      <w:autoSpaceDN w:val="0"/>
      <w:ind w:left="720"/>
    </w:pPr>
    <w:rPr>
      <w:rFonts w:cs="Courier New"/>
      <w:sz w:val="24"/>
    </w:rPr>
  </w:style>
  <w:style w:type="paragraph" w:styleId="TOC3">
    <w:name w:val="toc 3"/>
    <w:basedOn w:val="Normal"/>
    <w:next w:val="Normal"/>
    <w:autoRedefine/>
    <w:uiPriority w:val="39"/>
    <w:qFormat/>
    <w:rsid w:val="002F333C"/>
    <w:pPr>
      <w:widowControl w:val="0"/>
      <w:suppressLineNumbers/>
      <w:tabs>
        <w:tab w:val="left" w:pos="450"/>
        <w:tab w:val="left" w:pos="900"/>
        <w:tab w:val="right" w:leader="dot" w:pos="9062"/>
      </w:tabs>
      <w:autoSpaceDE w:val="0"/>
      <w:autoSpaceDN w:val="0"/>
      <w:spacing w:line="480" w:lineRule="auto"/>
    </w:pPr>
    <w:rPr>
      <w:rFonts w:cs="Courier New"/>
      <w:sz w:val="24"/>
    </w:rPr>
  </w:style>
  <w:style w:type="paragraph" w:styleId="TOC4">
    <w:name w:val="toc 4"/>
    <w:basedOn w:val="Normal"/>
    <w:next w:val="Normal"/>
    <w:autoRedefine/>
    <w:semiHidden/>
    <w:qFormat/>
    <w:rsid w:val="006604CB"/>
    <w:pPr>
      <w:widowControl w:val="0"/>
      <w:autoSpaceDE w:val="0"/>
      <w:autoSpaceDN w:val="0"/>
      <w:ind w:left="600"/>
    </w:pPr>
    <w:rPr>
      <w:rFonts w:cs="Courier New"/>
      <w:sz w:val="24"/>
    </w:rPr>
  </w:style>
  <w:style w:type="paragraph" w:styleId="TOC5">
    <w:name w:val="toc 5"/>
    <w:basedOn w:val="Normal"/>
    <w:next w:val="Normal"/>
    <w:autoRedefine/>
    <w:semiHidden/>
    <w:qFormat/>
    <w:rsid w:val="006604CB"/>
    <w:pPr>
      <w:widowControl w:val="0"/>
      <w:autoSpaceDE w:val="0"/>
      <w:autoSpaceDN w:val="0"/>
      <w:ind w:left="800"/>
    </w:pPr>
    <w:rPr>
      <w:rFonts w:cs="Courier New"/>
      <w:sz w:val="24"/>
    </w:rPr>
  </w:style>
  <w:style w:type="paragraph" w:styleId="TOC6">
    <w:name w:val="toc 6"/>
    <w:basedOn w:val="Normal"/>
    <w:next w:val="Normal"/>
    <w:autoRedefine/>
    <w:semiHidden/>
    <w:qFormat/>
    <w:rsid w:val="006604CB"/>
    <w:pPr>
      <w:widowControl w:val="0"/>
      <w:autoSpaceDE w:val="0"/>
      <w:autoSpaceDN w:val="0"/>
      <w:ind w:left="1000"/>
    </w:pPr>
    <w:rPr>
      <w:rFonts w:cs="Courier New"/>
      <w:sz w:val="24"/>
    </w:rPr>
  </w:style>
  <w:style w:type="paragraph" w:styleId="TOC7">
    <w:name w:val="toc 7"/>
    <w:basedOn w:val="Normal"/>
    <w:next w:val="Normal"/>
    <w:autoRedefine/>
    <w:semiHidden/>
    <w:qFormat/>
    <w:rsid w:val="006604CB"/>
    <w:pPr>
      <w:widowControl w:val="0"/>
      <w:autoSpaceDE w:val="0"/>
      <w:autoSpaceDN w:val="0"/>
      <w:ind w:left="1200"/>
    </w:pPr>
    <w:rPr>
      <w:rFonts w:cs="Courier New"/>
      <w:sz w:val="24"/>
    </w:rPr>
  </w:style>
  <w:style w:type="paragraph" w:styleId="TOC8">
    <w:name w:val="toc 8"/>
    <w:basedOn w:val="Normal"/>
    <w:next w:val="Normal"/>
    <w:autoRedefine/>
    <w:semiHidden/>
    <w:qFormat/>
    <w:rsid w:val="006604CB"/>
    <w:pPr>
      <w:widowControl w:val="0"/>
      <w:autoSpaceDE w:val="0"/>
      <w:autoSpaceDN w:val="0"/>
      <w:ind w:left="1400"/>
    </w:pPr>
    <w:rPr>
      <w:rFonts w:cs="Courier New"/>
      <w:sz w:val="24"/>
    </w:rPr>
  </w:style>
  <w:style w:type="paragraph" w:styleId="TOC9">
    <w:name w:val="toc 9"/>
    <w:basedOn w:val="Normal"/>
    <w:next w:val="Normal"/>
    <w:autoRedefine/>
    <w:semiHidden/>
    <w:qFormat/>
    <w:rsid w:val="006604CB"/>
    <w:pPr>
      <w:widowControl w:val="0"/>
      <w:autoSpaceDE w:val="0"/>
      <w:autoSpaceDN w:val="0"/>
      <w:ind w:left="1600"/>
    </w:pPr>
    <w:rPr>
      <w:rFonts w:cs="Courier New"/>
      <w:sz w:val="24"/>
    </w:rPr>
  </w:style>
  <w:style w:type="paragraph" w:styleId="BodyText3">
    <w:name w:val="Body Text 3"/>
    <w:basedOn w:val="BodyText"/>
    <w:link w:val="BodyText3Char"/>
    <w:semiHidden/>
    <w:rsid w:val="006604CB"/>
    <w:pPr>
      <w:spacing w:before="240"/>
      <w:ind w:left="720"/>
      <w:jc w:val="both"/>
    </w:pPr>
    <w:rPr>
      <w:b w:val="0"/>
      <w:caps w:val="0"/>
      <w:sz w:val="24"/>
      <w:szCs w:val="24"/>
    </w:rPr>
  </w:style>
  <w:style w:type="character" w:customStyle="1" w:styleId="BodyText3Char">
    <w:name w:val="Body Text 3 Char"/>
    <w:basedOn w:val="DefaultParagraphFont"/>
    <w:link w:val="BodyText3"/>
    <w:semiHidden/>
    <w:rsid w:val="006604CB"/>
    <w:rPr>
      <w:sz w:val="24"/>
      <w:szCs w:val="24"/>
    </w:rPr>
  </w:style>
  <w:style w:type="paragraph" w:customStyle="1" w:styleId="Blockquote">
    <w:name w:val="Blockquote"/>
    <w:basedOn w:val="Normal"/>
    <w:rsid w:val="006604CB"/>
    <w:pPr>
      <w:spacing w:after="240"/>
      <w:ind w:left="1440" w:right="720"/>
      <w:jc w:val="both"/>
    </w:pPr>
    <w:rPr>
      <w:sz w:val="24"/>
      <w:szCs w:val="24"/>
    </w:rPr>
  </w:style>
  <w:style w:type="paragraph" w:customStyle="1" w:styleId="Question0">
    <w:name w:val="Question"/>
    <w:basedOn w:val="Normal"/>
    <w:next w:val="Normal"/>
    <w:rsid w:val="006604CB"/>
    <w:pPr>
      <w:keepNext/>
      <w:keepLines/>
      <w:spacing w:after="240"/>
      <w:ind w:left="720" w:hanging="720"/>
      <w:jc w:val="both"/>
    </w:pPr>
    <w:rPr>
      <w:rFonts w:ascii="Times New Roman Bold" w:hAnsi="Times New Roman Bold"/>
      <w:b/>
      <w:caps/>
      <w:sz w:val="24"/>
      <w:szCs w:val="24"/>
    </w:rPr>
  </w:style>
  <w:style w:type="character" w:customStyle="1" w:styleId="TitleChar">
    <w:name w:val="Title Char"/>
    <w:basedOn w:val="DefaultParagraphFont"/>
    <w:link w:val="Title"/>
    <w:rsid w:val="006604CB"/>
    <w:rPr>
      <w:rFonts w:ascii="Arial" w:hAnsi="Arial"/>
      <w:b/>
      <w:sz w:val="24"/>
    </w:rPr>
  </w:style>
  <w:style w:type="paragraph" w:customStyle="1" w:styleId="SingleSpacing">
    <w:name w:val="Single Spacing"/>
    <w:basedOn w:val="Normal"/>
    <w:rsid w:val="006604CB"/>
    <w:pPr>
      <w:spacing w:line="254" w:lineRule="exact"/>
    </w:pPr>
    <w:rPr>
      <w:sz w:val="24"/>
    </w:rPr>
  </w:style>
  <w:style w:type="paragraph" w:styleId="ListParagraph">
    <w:name w:val="List Paragraph"/>
    <w:basedOn w:val="Normal"/>
    <w:uiPriority w:val="34"/>
    <w:qFormat/>
    <w:rsid w:val="006604CB"/>
    <w:pPr>
      <w:spacing w:after="200" w:line="276" w:lineRule="auto"/>
      <w:ind w:left="720"/>
      <w:contextualSpacing/>
    </w:pPr>
    <w:rPr>
      <w:szCs w:val="22"/>
    </w:rPr>
  </w:style>
  <w:style w:type="character" w:customStyle="1" w:styleId="BalloonTextChar1">
    <w:name w:val="Balloon Text Char1"/>
    <w:basedOn w:val="DefaultParagraphFont"/>
    <w:uiPriority w:val="99"/>
    <w:semiHidden/>
    <w:rsid w:val="006604CB"/>
    <w:rPr>
      <w:rFonts w:ascii="Tahoma" w:hAnsi="Tahoma" w:cs="Tahoma"/>
      <w:sz w:val="16"/>
      <w:szCs w:val="16"/>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 Char1 Char Char1,Footnote Text Char1 Char1 Char Char1"/>
    <w:basedOn w:val="DefaultParagraphFont"/>
    <w:locked/>
    <w:rsid w:val="00EF1A0F"/>
    <w:rPr>
      <w:rFonts w:ascii="Arial" w:hAnsi="Arial" w:cs="Times New Roman"/>
      <w:lang w:val="en-US" w:eastAsia="en-US" w:bidi="ar-SA"/>
    </w:rPr>
  </w:style>
  <w:style w:type="character" w:styleId="CommentReference">
    <w:name w:val="annotation reference"/>
    <w:basedOn w:val="DefaultParagraphFont"/>
    <w:uiPriority w:val="99"/>
    <w:semiHidden/>
    <w:unhideWhenUsed/>
    <w:rsid w:val="0087047B"/>
    <w:rPr>
      <w:sz w:val="16"/>
      <w:szCs w:val="16"/>
    </w:rPr>
  </w:style>
  <w:style w:type="paragraph" w:styleId="CommentText">
    <w:name w:val="annotation text"/>
    <w:basedOn w:val="Normal"/>
    <w:link w:val="CommentTextChar"/>
    <w:uiPriority w:val="99"/>
    <w:semiHidden/>
    <w:unhideWhenUsed/>
    <w:rsid w:val="0087047B"/>
    <w:rPr>
      <w:sz w:val="20"/>
    </w:rPr>
  </w:style>
  <w:style w:type="character" w:customStyle="1" w:styleId="CommentTextChar">
    <w:name w:val="Comment Text Char"/>
    <w:basedOn w:val="DefaultParagraphFont"/>
    <w:link w:val="CommentText"/>
    <w:uiPriority w:val="99"/>
    <w:semiHidden/>
    <w:rsid w:val="0087047B"/>
    <w:rPr>
      <w:rFonts w:ascii="Arial" w:hAnsi="Arial"/>
    </w:rPr>
  </w:style>
  <w:style w:type="paragraph" w:styleId="CommentSubject">
    <w:name w:val="annotation subject"/>
    <w:basedOn w:val="CommentText"/>
    <w:next w:val="CommentText"/>
    <w:link w:val="CommentSubjectChar"/>
    <w:uiPriority w:val="99"/>
    <w:semiHidden/>
    <w:unhideWhenUsed/>
    <w:rsid w:val="0087047B"/>
    <w:rPr>
      <w:b/>
      <w:bCs/>
    </w:rPr>
  </w:style>
  <w:style w:type="character" w:customStyle="1" w:styleId="CommentSubjectChar">
    <w:name w:val="Comment Subject Char"/>
    <w:basedOn w:val="CommentTextChar"/>
    <w:link w:val="CommentSubject"/>
    <w:uiPriority w:val="99"/>
    <w:semiHidden/>
    <w:rsid w:val="0087047B"/>
    <w:rPr>
      <w:rFonts w:ascii="Arial" w:hAnsi="Arial"/>
      <w:b/>
      <w:bCs/>
    </w:rPr>
  </w:style>
  <w:style w:type="paragraph" w:styleId="Revision">
    <w:name w:val="Revision"/>
    <w:hidden/>
    <w:uiPriority w:val="99"/>
    <w:semiHidden/>
    <w:rsid w:val="0087047B"/>
    <w:rPr>
      <w:rFonts w:ascii="Arial" w:hAnsi="Arial"/>
      <w:sz w:val="22"/>
    </w:rPr>
  </w:style>
  <w:style w:type="numbering" w:customStyle="1" w:styleId="NoList2">
    <w:name w:val="No List2"/>
    <w:next w:val="NoList"/>
    <w:uiPriority w:val="99"/>
    <w:semiHidden/>
    <w:unhideWhenUsed/>
    <w:rsid w:val="00EC3E46"/>
  </w:style>
  <w:style w:type="character" w:customStyle="1" w:styleId="Heading6Char">
    <w:name w:val="Heading 6 Char"/>
    <w:link w:val="Heading6"/>
    <w:rsid w:val="00EC3E46"/>
    <w:rPr>
      <w:rFonts w:cs="Arial"/>
      <w:b/>
      <w:bCs/>
      <w:sz w:val="24"/>
      <w:szCs w:val="24"/>
    </w:rPr>
  </w:style>
  <w:style w:type="character" w:customStyle="1" w:styleId="Heading7Char">
    <w:name w:val="Heading 7 Char"/>
    <w:link w:val="Heading7"/>
    <w:rsid w:val="00EC3E46"/>
    <w:rPr>
      <w:b/>
      <w:bCs/>
      <w:sz w:val="22"/>
      <w:u w:val="single"/>
    </w:rPr>
  </w:style>
  <w:style w:type="character" w:customStyle="1" w:styleId="Heading9Char">
    <w:name w:val="Heading 9 Char"/>
    <w:link w:val="Heading9"/>
    <w:rsid w:val="00EC3E46"/>
    <w:rPr>
      <w:b/>
      <w:bCs/>
      <w:sz w:val="22"/>
    </w:rPr>
  </w:style>
  <w:style w:type="numbering" w:customStyle="1" w:styleId="NoList11">
    <w:name w:val="No List11"/>
    <w:next w:val="NoList"/>
    <w:uiPriority w:val="99"/>
    <w:semiHidden/>
    <w:unhideWhenUsed/>
    <w:rsid w:val="00EC3E46"/>
  </w:style>
  <w:style w:type="table" w:customStyle="1" w:styleId="TableGrid1">
    <w:name w:val="Table Grid1"/>
    <w:basedOn w:val="TableNormal"/>
    <w:next w:val="TableGrid"/>
    <w:uiPriority w:val="59"/>
    <w:rsid w:val="00EC3E46"/>
    <w:rPr>
      <w:rFonts w:ascii="Arial"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EC3E46"/>
  </w:style>
  <w:style w:type="paragraph" w:customStyle="1" w:styleId="a">
    <w:name w:val="_"/>
    <w:basedOn w:val="Normal"/>
    <w:rsid w:val="00EC3E46"/>
    <w:pPr>
      <w:widowControl w:val="0"/>
      <w:autoSpaceDE w:val="0"/>
      <w:autoSpaceDN w:val="0"/>
      <w:adjustRightInd w:val="0"/>
      <w:ind w:left="2880" w:hanging="720"/>
    </w:pPr>
    <w:rPr>
      <w:sz w:val="20"/>
      <w:szCs w:val="24"/>
    </w:rPr>
  </w:style>
  <w:style w:type="character" w:customStyle="1" w:styleId="DocID">
    <w:name w:val="DocID"/>
    <w:rsid w:val="00EC3E46"/>
    <w:rPr>
      <w:sz w:val="16"/>
    </w:rPr>
  </w:style>
  <w:style w:type="paragraph" w:customStyle="1" w:styleId="DocIDPara">
    <w:name w:val="DocIDPara"/>
    <w:rsid w:val="00EC3E46"/>
  </w:style>
  <w:style w:type="paragraph" w:customStyle="1" w:styleId="StyleJustified">
    <w:name w:val="Style Justified"/>
    <w:basedOn w:val="Normal"/>
    <w:rsid w:val="00EC3E46"/>
    <w:pPr>
      <w:spacing w:line="480" w:lineRule="auto"/>
      <w:jc w:val="both"/>
    </w:pPr>
    <w:rPr>
      <w:sz w:val="24"/>
    </w:rPr>
  </w:style>
  <w:style w:type="character" w:customStyle="1" w:styleId="zzmpTrailerItem">
    <w:name w:val="zzmpTrailerItem"/>
    <w:rsid w:val="00EC3E46"/>
    <w:rPr>
      <w:rFonts w:ascii="Arial" w:hAnsi="Arial" w:cs="Arial"/>
      <w:b w:val="0"/>
      <w:i w:val="0"/>
      <w:caps w:val="0"/>
      <w:smallCaps w:val="0"/>
      <w:dstrike w:val="0"/>
      <w:shadow w:val="0"/>
      <w:emboss w:val="0"/>
      <w:imprint w:val="0"/>
      <w:noProof/>
      <w:vanish w:val="0"/>
      <w:color w:val="auto"/>
      <w:spacing w:val="0"/>
      <w:position w:val="0"/>
      <w:sz w:val="16"/>
      <w:u w:val="none"/>
      <w:effect w:val="none"/>
      <w:vertAlign w:val="baseline"/>
    </w:rPr>
  </w:style>
  <w:style w:type="character" w:styleId="Emphasis">
    <w:name w:val="Emphasis"/>
    <w:qFormat/>
    <w:rsid w:val="00EC3E46"/>
    <w:rPr>
      <w:b/>
      <w:bCs/>
      <w:i w:val="0"/>
      <w:iCs w:val="0"/>
    </w:rPr>
  </w:style>
  <w:style w:type="paragraph" w:styleId="BlockText">
    <w:name w:val="Block Text"/>
    <w:basedOn w:val="Normal"/>
    <w:semiHidden/>
    <w:rsid w:val="00EC3E46"/>
    <w:pPr>
      <w:autoSpaceDE w:val="0"/>
      <w:autoSpaceDN w:val="0"/>
      <w:adjustRightInd w:val="0"/>
      <w:ind w:left="1440" w:right="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730246">
      <w:bodyDiv w:val="1"/>
      <w:marLeft w:val="0"/>
      <w:marRight w:val="0"/>
      <w:marTop w:val="0"/>
      <w:marBottom w:val="0"/>
      <w:divBdr>
        <w:top w:val="none" w:sz="0" w:space="0" w:color="auto"/>
        <w:left w:val="none" w:sz="0" w:space="0" w:color="auto"/>
        <w:bottom w:val="none" w:sz="0" w:space="0" w:color="auto"/>
        <w:right w:val="none" w:sz="0" w:space="0" w:color="auto"/>
      </w:divBdr>
    </w:div>
    <w:div w:id="423113447">
      <w:bodyDiv w:val="1"/>
      <w:marLeft w:val="0"/>
      <w:marRight w:val="0"/>
      <w:marTop w:val="0"/>
      <w:marBottom w:val="0"/>
      <w:divBdr>
        <w:top w:val="none" w:sz="0" w:space="0" w:color="auto"/>
        <w:left w:val="none" w:sz="0" w:space="0" w:color="auto"/>
        <w:bottom w:val="none" w:sz="0" w:space="0" w:color="auto"/>
        <w:right w:val="none" w:sz="0" w:space="0" w:color="auto"/>
      </w:divBdr>
    </w:div>
    <w:div w:id="570043565">
      <w:bodyDiv w:val="1"/>
      <w:marLeft w:val="0"/>
      <w:marRight w:val="0"/>
      <w:marTop w:val="0"/>
      <w:marBottom w:val="0"/>
      <w:divBdr>
        <w:top w:val="none" w:sz="0" w:space="0" w:color="auto"/>
        <w:left w:val="none" w:sz="0" w:space="0" w:color="auto"/>
        <w:bottom w:val="none" w:sz="0" w:space="0" w:color="auto"/>
        <w:right w:val="none" w:sz="0" w:space="0" w:color="auto"/>
      </w:divBdr>
    </w:div>
    <w:div w:id="751243806">
      <w:bodyDiv w:val="1"/>
      <w:marLeft w:val="0"/>
      <w:marRight w:val="0"/>
      <w:marTop w:val="0"/>
      <w:marBottom w:val="0"/>
      <w:divBdr>
        <w:top w:val="none" w:sz="0" w:space="0" w:color="auto"/>
        <w:left w:val="none" w:sz="0" w:space="0" w:color="auto"/>
        <w:bottom w:val="none" w:sz="0" w:space="0" w:color="auto"/>
        <w:right w:val="none" w:sz="0" w:space="0" w:color="auto"/>
      </w:divBdr>
    </w:div>
    <w:div w:id="871765401">
      <w:bodyDiv w:val="1"/>
      <w:marLeft w:val="0"/>
      <w:marRight w:val="0"/>
      <w:marTop w:val="0"/>
      <w:marBottom w:val="0"/>
      <w:divBdr>
        <w:top w:val="none" w:sz="0" w:space="0" w:color="auto"/>
        <w:left w:val="none" w:sz="0" w:space="0" w:color="auto"/>
        <w:bottom w:val="none" w:sz="0" w:space="0" w:color="auto"/>
        <w:right w:val="none" w:sz="0" w:space="0" w:color="auto"/>
      </w:divBdr>
    </w:div>
    <w:div w:id="1645889255">
      <w:bodyDiv w:val="1"/>
      <w:marLeft w:val="0"/>
      <w:marRight w:val="0"/>
      <w:marTop w:val="0"/>
      <w:marBottom w:val="0"/>
      <w:divBdr>
        <w:top w:val="none" w:sz="0" w:space="0" w:color="auto"/>
        <w:left w:val="none" w:sz="0" w:space="0" w:color="auto"/>
        <w:bottom w:val="none" w:sz="0" w:space="0" w:color="auto"/>
        <w:right w:val="none" w:sz="0" w:space="0" w:color="auto"/>
      </w:divBdr>
    </w:div>
    <w:div w:id="19575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2014-12-19T08:00:00+00:00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A566C96-D5FB-4213-AF2F-6B5CFAB7EB69}"/>
</file>

<file path=customXml/itemProps2.xml><?xml version="1.0" encoding="utf-8"?>
<ds:datastoreItem xmlns:ds="http://schemas.openxmlformats.org/officeDocument/2006/customXml" ds:itemID="{299B736B-7B3E-4879-95AE-E1EBA3B619A6}"/>
</file>

<file path=customXml/itemProps3.xml><?xml version="1.0" encoding="utf-8"?>
<ds:datastoreItem xmlns:ds="http://schemas.openxmlformats.org/officeDocument/2006/customXml" ds:itemID="{C8143585-9BBE-46E8-8619-4C8E2F8AFE25}"/>
</file>

<file path=customXml/itemProps4.xml><?xml version="1.0" encoding="utf-8"?>
<ds:datastoreItem xmlns:ds="http://schemas.openxmlformats.org/officeDocument/2006/customXml" ds:itemID="{14E6D05D-8CE6-4C7E-A436-AD71F7DF3E15}"/>
</file>

<file path=customXml/itemProps5.xml><?xml version="1.0" encoding="utf-8"?>
<ds:datastoreItem xmlns:ds="http://schemas.openxmlformats.org/officeDocument/2006/customXml" ds:itemID="{3E42A378-D6B2-4E04-A9F3-E24221C65DB7}"/>
</file>

<file path=docProps/app.xml><?xml version="1.0" encoding="utf-8"?>
<Properties xmlns="http://schemas.openxmlformats.org/officeDocument/2006/extended-properties" xmlns:vt="http://schemas.openxmlformats.org/officeDocument/2006/docPropsVTypes">
  <Template>Normal.dotm</Template>
  <TotalTime>1</TotalTime>
  <Pages>8</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11787</CharactersWithSpaces>
  <SharedDoc>false</SharedDoc>
  <HLinks>
    <vt:vector size="72" baseType="variant">
      <vt:variant>
        <vt:i4>1441850</vt:i4>
      </vt:variant>
      <vt:variant>
        <vt:i4>68</vt:i4>
      </vt:variant>
      <vt:variant>
        <vt:i4>0</vt:i4>
      </vt:variant>
      <vt:variant>
        <vt:i4>5</vt:i4>
      </vt:variant>
      <vt:variant>
        <vt:lpwstr/>
      </vt:variant>
      <vt:variant>
        <vt:lpwstr>_Toc354586572</vt:lpwstr>
      </vt:variant>
      <vt:variant>
        <vt:i4>1441850</vt:i4>
      </vt:variant>
      <vt:variant>
        <vt:i4>62</vt:i4>
      </vt:variant>
      <vt:variant>
        <vt:i4>0</vt:i4>
      </vt:variant>
      <vt:variant>
        <vt:i4>5</vt:i4>
      </vt:variant>
      <vt:variant>
        <vt:lpwstr/>
      </vt:variant>
      <vt:variant>
        <vt:lpwstr>_Toc354586571</vt:lpwstr>
      </vt:variant>
      <vt:variant>
        <vt:i4>1441850</vt:i4>
      </vt:variant>
      <vt:variant>
        <vt:i4>56</vt:i4>
      </vt:variant>
      <vt:variant>
        <vt:i4>0</vt:i4>
      </vt:variant>
      <vt:variant>
        <vt:i4>5</vt:i4>
      </vt:variant>
      <vt:variant>
        <vt:lpwstr/>
      </vt:variant>
      <vt:variant>
        <vt:lpwstr>_Toc354586570</vt:lpwstr>
      </vt:variant>
      <vt:variant>
        <vt:i4>1507386</vt:i4>
      </vt:variant>
      <vt:variant>
        <vt:i4>50</vt:i4>
      </vt:variant>
      <vt:variant>
        <vt:i4>0</vt:i4>
      </vt:variant>
      <vt:variant>
        <vt:i4>5</vt:i4>
      </vt:variant>
      <vt:variant>
        <vt:lpwstr/>
      </vt:variant>
      <vt:variant>
        <vt:lpwstr>_Toc354586569</vt:lpwstr>
      </vt:variant>
      <vt:variant>
        <vt:i4>1507386</vt:i4>
      </vt:variant>
      <vt:variant>
        <vt:i4>44</vt:i4>
      </vt:variant>
      <vt:variant>
        <vt:i4>0</vt:i4>
      </vt:variant>
      <vt:variant>
        <vt:i4>5</vt:i4>
      </vt:variant>
      <vt:variant>
        <vt:lpwstr/>
      </vt:variant>
      <vt:variant>
        <vt:lpwstr>_Toc354586568</vt:lpwstr>
      </vt:variant>
      <vt:variant>
        <vt:i4>1507386</vt:i4>
      </vt:variant>
      <vt:variant>
        <vt:i4>38</vt:i4>
      </vt:variant>
      <vt:variant>
        <vt:i4>0</vt:i4>
      </vt:variant>
      <vt:variant>
        <vt:i4>5</vt:i4>
      </vt:variant>
      <vt:variant>
        <vt:lpwstr/>
      </vt:variant>
      <vt:variant>
        <vt:lpwstr>_Toc354586567</vt:lpwstr>
      </vt:variant>
      <vt:variant>
        <vt:i4>1507386</vt:i4>
      </vt:variant>
      <vt:variant>
        <vt:i4>32</vt:i4>
      </vt:variant>
      <vt:variant>
        <vt:i4>0</vt:i4>
      </vt:variant>
      <vt:variant>
        <vt:i4>5</vt:i4>
      </vt:variant>
      <vt:variant>
        <vt:lpwstr/>
      </vt:variant>
      <vt:variant>
        <vt:lpwstr>_Toc354586566</vt:lpwstr>
      </vt:variant>
      <vt:variant>
        <vt:i4>1507386</vt:i4>
      </vt:variant>
      <vt:variant>
        <vt:i4>26</vt:i4>
      </vt:variant>
      <vt:variant>
        <vt:i4>0</vt:i4>
      </vt:variant>
      <vt:variant>
        <vt:i4>5</vt:i4>
      </vt:variant>
      <vt:variant>
        <vt:lpwstr/>
      </vt:variant>
      <vt:variant>
        <vt:lpwstr>_Toc354586565</vt:lpwstr>
      </vt:variant>
      <vt:variant>
        <vt:i4>1507386</vt:i4>
      </vt:variant>
      <vt:variant>
        <vt:i4>20</vt:i4>
      </vt:variant>
      <vt:variant>
        <vt:i4>0</vt:i4>
      </vt:variant>
      <vt:variant>
        <vt:i4>5</vt:i4>
      </vt:variant>
      <vt:variant>
        <vt:lpwstr/>
      </vt:variant>
      <vt:variant>
        <vt:lpwstr>_Toc354586564</vt:lpwstr>
      </vt:variant>
      <vt:variant>
        <vt:i4>1507386</vt:i4>
      </vt:variant>
      <vt:variant>
        <vt:i4>14</vt:i4>
      </vt:variant>
      <vt:variant>
        <vt:i4>0</vt:i4>
      </vt:variant>
      <vt:variant>
        <vt:i4>5</vt:i4>
      </vt:variant>
      <vt:variant>
        <vt:lpwstr/>
      </vt:variant>
      <vt:variant>
        <vt:lpwstr>_Toc354586563</vt:lpwstr>
      </vt:variant>
      <vt:variant>
        <vt:i4>1507386</vt:i4>
      </vt:variant>
      <vt:variant>
        <vt:i4>8</vt:i4>
      </vt:variant>
      <vt:variant>
        <vt:i4>0</vt:i4>
      </vt:variant>
      <vt:variant>
        <vt:i4>5</vt:i4>
      </vt:variant>
      <vt:variant>
        <vt:lpwstr/>
      </vt:variant>
      <vt:variant>
        <vt:lpwstr>_Toc354586562</vt:lpwstr>
      </vt:variant>
      <vt:variant>
        <vt:i4>1507386</vt:i4>
      </vt:variant>
      <vt:variant>
        <vt:i4>2</vt:i4>
      </vt:variant>
      <vt:variant>
        <vt:i4>0</vt:i4>
      </vt:variant>
      <vt:variant>
        <vt:i4>5</vt:i4>
      </vt:variant>
      <vt:variant>
        <vt:lpwstr/>
      </vt:variant>
      <vt:variant>
        <vt:lpwstr>_Toc354586561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Klossner</dc:creator>
  <cp:lastModifiedBy>Mike Gorman</cp:lastModifiedBy>
  <cp:revision>3</cp:revision>
  <cp:lastPrinted>2014-12-12T22:14:00Z</cp:lastPrinted>
  <dcterms:created xsi:type="dcterms:W3CDTF">2014-12-16T22:26:00Z</dcterms:created>
  <dcterms:modified xsi:type="dcterms:W3CDTF">2014-12-16T22:31:00Z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