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C56" w:rsidRDefault="002D6C56" w:rsidP="002D6C56">
      <w:pPr>
        <w:pStyle w:val="Header"/>
        <w:tabs>
          <w:tab w:val="clear" w:pos="4320"/>
          <w:tab w:val="clear" w:pos="8640"/>
          <w:tab w:val="center" w:pos="4680"/>
        </w:tabs>
        <w:jc w:val="center"/>
        <w:rPr>
          <w:b/>
          <w:bCs/>
          <w:sz w:val="24"/>
        </w:rPr>
      </w:pPr>
      <w:r>
        <w:rPr>
          <w:b/>
          <w:bCs/>
          <w:sz w:val="24"/>
        </w:rPr>
        <w:t>BEFORE THE</w:t>
      </w:r>
    </w:p>
    <w:p w:rsidR="002D6C56" w:rsidRDefault="002D6C56" w:rsidP="002D6C56">
      <w:pPr>
        <w:pStyle w:val="Heading1"/>
        <w:jc w:val="center"/>
        <w:rPr>
          <w:sz w:val="24"/>
        </w:rPr>
      </w:pPr>
      <w:bookmarkStart w:id="0" w:name="_GoBack"/>
      <w:bookmarkEnd w:id="0"/>
      <w:r>
        <w:rPr>
          <w:sz w:val="24"/>
        </w:rPr>
        <w:t>WASHINGTON UTILITIES AND TRANSPORTATION COMMISSION</w:t>
      </w:r>
    </w:p>
    <w:p w:rsidR="002D6C56" w:rsidRDefault="002D6C56" w:rsidP="002D6C56">
      <w:pPr>
        <w:tabs>
          <w:tab w:val="center" w:pos="4680"/>
        </w:tabs>
        <w:rPr>
          <w:b/>
        </w:rPr>
      </w:pPr>
    </w:p>
    <w:tbl>
      <w:tblPr>
        <w:tblW w:w="8783" w:type="dxa"/>
        <w:tblLayout w:type="fixed"/>
        <w:tblCellMar>
          <w:left w:w="0" w:type="dxa"/>
          <w:right w:w="0" w:type="dxa"/>
        </w:tblCellMar>
        <w:tblLook w:val="0000" w:firstRow="0" w:lastRow="0" w:firstColumn="0" w:lastColumn="0" w:noHBand="0" w:noVBand="0"/>
      </w:tblPr>
      <w:tblGrid>
        <w:gridCol w:w="4396"/>
        <w:gridCol w:w="274"/>
        <w:gridCol w:w="4113"/>
      </w:tblGrid>
      <w:tr w:rsidR="002D6C56" w:rsidTr="000D4BAD">
        <w:trPr>
          <w:trHeight w:val="2951"/>
        </w:trPr>
        <w:tc>
          <w:tcPr>
            <w:tcW w:w="4396" w:type="dxa"/>
          </w:tcPr>
          <w:p w:rsidR="002D6C56" w:rsidRPr="003D3DCC" w:rsidRDefault="002D6C56" w:rsidP="00572AEC">
            <w:pPr>
              <w:pStyle w:val="Footer"/>
              <w:widowControl/>
              <w:tabs>
                <w:tab w:val="clear" w:pos="4320"/>
                <w:tab w:val="clear" w:pos="8640"/>
                <w:tab w:val="left" w:pos="2160"/>
              </w:tabs>
              <w:rPr>
                <w:snapToGrid/>
              </w:rPr>
            </w:pPr>
            <w:bookmarkStart w:id="1" w:name="Parties"/>
            <w:bookmarkEnd w:id="1"/>
            <w:r w:rsidRPr="003D3DCC">
              <w:rPr>
                <w:snapToGrid/>
              </w:rPr>
              <w:t>In the Matter of the Petition of</w:t>
            </w:r>
          </w:p>
          <w:p w:rsidR="002D6C56" w:rsidRDefault="002D6C56" w:rsidP="00572AEC">
            <w:pPr>
              <w:tabs>
                <w:tab w:val="left" w:pos="2168"/>
              </w:tabs>
            </w:pPr>
          </w:p>
          <w:p w:rsidR="002D6C56" w:rsidRDefault="002D6C56" w:rsidP="00572AEC">
            <w:pPr>
              <w:tabs>
                <w:tab w:val="left" w:pos="2168"/>
              </w:tabs>
            </w:pPr>
            <w:r>
              <w:t>PUGET SOUND ENERGY, INC., and</w:t>
            </w:r>
          </w:p>
          <w:p w:rsidR="002D6C56" w:rsidRDefault="002D6C56" w:rsidP="00572AEC">
            <w:pPr>
              <w:tabs>
                <w:tab w:val="left" w:pos="2168"/>
              </w:tabs>
            </w:pPr>
            <w:r>
              <w:t>NW ENERGY COALITION</w:t>
            </w:r>
          </w:p>
          <w:p w:rsidR="002D6C56" w:rsidRDefault="002D6C56" w:rsidP="00572AEC">
            <w:pPr>
              <w:tabs>
                <w:tab w:val="left" w:pos="2168"/>
              </w:tabs>
            </w:pPr>
          </w:p>
          <w:p w:rsidR="002D6C56" w:rsidRDefault="002D6C56" w:rsidP="00572AEC">
            <w:pPr>
              <w:pStyle w:val="Footer"/>
              <w:widowControl/>
              <w:tabs>
                <w:tab w:val="clear" w:pos="4320"/>
                <w:tab w:val="clear" w:pos="8640"/>
                <w:tab w:val="left" w:pos="2160"/>
              </w:tabs>
              <w:rPr>
                <w:szCs w:val="24"/>
              </w:rPr>
            </w:pPr>
            <w:r w:rsidRPr="003D3DCC">
              <w:t xml:space="preserve">For an Order </w:t>
            </w:r>
            <w:r w:rsidRPr="003D3DCC">
              <w:rPr>
                <w:szCs w:val="24"/>
              </w:rPr>
              <w:t>Authorizing PSE to Implement Electric and Natural Gas Decoupling Mechanisms and to Record Accounting Entries Associated with the Mechanisms</w:t>
            </w:r>
          </w:p>
          <w:p w:rsidR="000D4BAD" w:rsidRPr="00F90CD2" w:rsidRDefault="000D4BAD" w:rsidP="00572AEC">
            <w:pPr>
              <w:pStyle w:val="Footer"/>
              <w:widowControl/>
              <w:tabs>
                <w:tab w:val="clear" w:pos="4320"/>
                <w:tab w:val="clear" w:pos="8640"/>
                <w:tab w:val="left" w:pos="2160"/>
              </w:tabs>
              <w:rPr>
                <w:snapToGrid/>
              </w:rPr>
            </w:pPr>
            <w:r>
              <w:rPr>
                <w:szCs w:val="24"/>
              </w:rPr>
              <w:t>____________________________________</w:t>
            </w:r>
          </w:p>
        </w:tc>
        <w:tc>
          <w:tcPr>
            <w:tcW w:w="274" w:type="dxa"/>
          </w:tcPr>
          <w:p w:rsidR="002D6C56" w:rsidRPr="005A2AFA" w:rsidRDefault="002D6C56" w:rsidP="00572AEC">
            <w:pPr>
              <w:pStyle w:val="SingleSpacing"/>
              <w:spacing w:line="240" w:lineRule="auto"/>
            </w:pPr>
            <w:r w:rsidRPr="005A2AFA">
              <w:t>)</w:t>
            </w:r>
          </w:p>
          <w:p w:rsidR="002D6C56" w:rsidRPr="005A2AFA" w:rsidRDefault="002D6C56" w:rsidP="00572AEC">
            <w:pPr>
              <w:pStyle w:val="SingleSpacing"/>
              <w:spacing w:line="240" w:lineRule="auto"/>
            </w:pPr>
            <w:r w:rsidRPr="005A2AFA">
              <w:t>)</w:t>
            </w:r>
          </w:p>
          <w:p w:rsidR="002D6C56" w:rsidRPr="005A2AFA" w:rsidRDefault="002D6C56" w:rsidP="00572AEC">
            <w:pPr>
              <w:pStyle w:val="SingleSpacing"/>
              <w:spacing w:line="240" w:lineRule="auto"/>
            </w:pPr>
            <w:r w:rsidRPr="005A2AFA">
              <w:t>)</w:t>
            </w:r>
          </w:p>
          <w:p w:rsidR="002D6C56" w:rsidRPr="005A2AFA" w:rsidRDefault="002D6C56" w:rsidP="00572AEC">
            <w:pPr>
              <w:pStyle w:val="SingleSpacing"/>
              <w:spacing w:line="240" w:lineRule="auto"/>
            </w:pPr>
            <w:r w:rsidRPr="005A2AFA">
              <w:t>)</w:t>
            </w:r>
          </w:p>
          <w:p w:rsidR="002D6C56" w:rsidRPr="005A2AFA" w:rsidRDefault="002D6C56" w:rsidP="00572AEC">
            <w:pPr>
              <w:pStyle w:val="SingleSpacing"/>
              <w:spacing w:line="240" w:lineRule="auto"/>
            </w:pPr>
            <w:r w:rsidRPr="005A2AFA">
              <w:t>)</w:t>
            </w:r>
          </w:p>
          <w:p w:rsidR="002D6C56" w:rsidRPr="005A2AFA" w:rsidRDefault="002D6C56" w:rsidP="00572AEC">
            <w:pPr>
              <w:pStyle w:val="SingleSpacing"/>
              <w:spacing w:line="240" w:lineRule="auto"/>
            </w:pPr>
            <w:r w:rsidRPr="005A2AFA">
              <w:t>)</w:t>
            </w:r>
          </w:p>
          <w:p w:rsidR="002D6C56" w:rsidRPr="005A2AFA" w:rsidRDefault="002D6C56" w:rsidP="00572AEC">
            <w:pPr>
              <w:pStyle w:val="SingleSpacing"/>
              <w:spacing w:line="240" w:lineRule="auto"/>
            </w:pPr>
            <w:r w:rsidRPr="005A2AFA">
              <w:t>)</w:t>
            </w:r>
          </w:p>
          <w:p w:rsidR="002D6C56" w:rsidRPr="005A2AFA" w:rsidRDefault="002D6C56" w:rsidP="00572AEC">
            <w:pPr>
              <w:pStyle w:val="SingleSpacing"/>
              <w:spacing w:line="240" w:lineRule="auto"/>
            </w:pPr>
            <w:r w:rsidRPr="005A2AFA">
              <w:t>)</w:t>
            </w:r>
          </w:p>
          <w:p w:rsidR="000D4BAD" w:rsidRDefault="002D6C56" w:rsidP="00572AEC">
            <w:pPr>
              <w:pStyle w:val="SingleSpacing"/>
              <w:spacing w:line="240" w:lineRule="auto"/>
            </w:pPr>
            <w:r w:rsidRPr="005A2AFA">
              <w:t>)</w:t>
            </w:r>
          </w:p>
          <w:p w:rsidR="008E321E" w:rsidRDefault="008E321E" w:rsidP="00572AEC">
            <w:pPr>
              <w:pStyle w:val="SingleSpacing"/>
              <w:spacing w:line="240" w:lineRule="auto"/>
            </w:pPr>
            <w:r>
              <w:t>)</w:t>
            </w:r>
          </w:p>
          <w:p w:rsidR="000D4BAD" w:rsidRDefault="000D4BAD" w:rsidP="00572AEC">
            <w:pPr>
              <w:pStyle w:val="SingleSpacing"/>
              <w:spacing w:line="240" w:lineRule="auto"/>
            </w:pPr>
          </w:p>
          <w:p w:rsidR="000D4BAD" w:rsidRPr="000D4BAD" w:rsidRDefault="000D4BAD" w:rsidP="00572AEC">
            <w:pPr>
              <w:pStyle w:val="SingleSpacing"/>
              <w:spacing w:line="240" w:lineRule="auto"/>
            </w:pPr>
          </w:p>
        </w:tc>
        <w:tc>
          <w:tcPr>
            <w:tcW w:w="4113" w:type="dxa"/>
          </w:tcPr>
          <w:p w:rsidR="002D6C56" w:rsidRDefault="002D6C56" w:rsidP="00572AEC">
            <w:pPr>
              <w:pStyle w:val="SingleSpacing"/>
              <w:spacing w:line="240" w:lineRule="auto"/>
            </w:pPr>
            <w:bookmarkStart w:id="2" w:name="CaseNumber"/>
            <w:bookmarkEnd w:id="2"/>
          </w:p>
          <w:p w:rsidR="002D6C56" w:rsidRDefault="002D6C56" w:rsidP="00572AEC">
            <w:pPr>
              <w:pStyle w:val="SingleSpacing"/>
              <w:spacing w:line="240" w:lineRule="auto"/>
            </w:pPr>
            <w:r w:rsidRPr="007A1546">
              <w:t>DOCKET NO</w:t>
            </w:r>
            <w:r>
              <w:t>S</w:t>
            </w:r>
            <w:r w:rsidRPr="007A1546">
              <w:t xml:space="preserve">. </w:t>
            </w:r>
            <w:r w:rsidRPr="007A1546">
              <w:rPr>
                <w:bCs/>
              </w:rPr>
              <w:t>UE-</w:t>
            </w:r>
            <w:r>
              <w:t>121697/UG-121705</w:t>
            </w:r>
          </w:p>
          <w:p w:rsidR="002D6C56" w:rsidRPr="005224C5" w:rsidRDefault="002D6C56" w:rsidP="00572AEC">
            <w:pPr>
              <w:pStyle w:val="SingleSpacing"/>
              <w:spacing w:line="240" w:lineRule="auto"/>
              <w:rPr>
                <w:i/>
              </w:rPr>
            </w:pPr>
            <w:r w:rsidRPr="005224C5">
              <w:rPr>
                <w:i/>
              </w:rPr>
              <w:t>(Consolidated)</w:t>
            </w:r>
          </w:p>
          <w:p w:rsidR="002D6C56" w:rsidRDefault="002D6C56" w:rsidP="00572AEC">
            <w:pPr>
              <w:pStyle w:val="SingleSpacing"/>
              <w:spacing w:line="240" w:lineRule="auto"/>
            </w:pPr>
          </w:p>
          <w:p w:rsidR="002D6C56" w:rsidRPr="005A2AFA" w:rsidRDefault="002D6C56" w:rsidP="009B37C4">
            <w:pPr>
              <w:pStyle w:val="SingleSpacing"/>
              <w:spacing w:line="240" w:lineRule="auto"/>
            </w:pPr>
            <w:r>
              <w:t xml:space="preserve">INDUSTRIAL CUSTOMERS OF NORTHWEST UTILITIES’ </w:t>
            </w:r>
            <w:r w:rsidR="009B37C4">
              <w:t>RESPONSE</w:t>
            </w:r>
            <w:r>
              <w:t xml:space="preserve"> TO NW ENERGY COALITION’S MOTION TO LIMIT PARTICIPATION</w:t>
            </w:r>
          </w:p>
        </w:tc>
      </w:tr>
    </w:tbl>
    <w:p w:rsidR="007F42ED" w:rsidRDefault="009C1DF9" w:rsidP="002D6C56">
      <w:pPr>
        <w:ind w:left="1080"/>
      </w:pPr>
    </w:p>
    <w:p w:rsidR="002D6C56" w:rsidRDefault="002D6C56" w:rsidP="002D6C56">
      <w:pPr>
        <w:jc w:val="center"/>
      </w:pPr>
      <w:r>
        <w:rPr>
          <w:b/>
        </w:rPr>
        <w:t>I.</w:t>
      </w:r>
      <w:r>
        <w:rPr>
          <w:b/>
        </w:rPr>
        <w:tab/>
        <w:t>INTRODUCTION</w:t>
      </w:r>
    </w:p>
    <w:p w:rsidR="002D6C56" w:rsidRDefault="002D6C56" w:rsidP="002D6C56">
      <w:pPr>
        <w:jc w:val="center"/>
      </w:pPr>
    </w:p>
    <w:p w:rsidR="002D6C56" w:rsidRDefault="00C7036F" w:rsidP="0080225F">
      <w:pPr>
        <w:pStyle w:val="WUTCParagraph"/>
      </w:pPr>
      <w:r>
        <w:tab/>
      </w:r>
      <w:r w:rsidR="002D6C56">
        <w:t xml:space="preserve">Pursuant to WAC § 480-07-375(4), the Industrial Customers of Northwest Utilities (“ICNU”) files this response in opposition to the NW Energy Coalition’s (“NWEC”) </w:t>
      </w:r>
      <w:r w:rsidR="004F0B40">
        <w:t xml:space="preserve">October 22, 2014 </w:t>
      </w:r>
      <w:r w:rsidR="002D6C56">
        <w:t xml:space="preserve">Motion to Limit Participation as an </w:t>
      </w:r>
      <w:proofErr w:type="spellStart"/>
      <w:r w:rsidR="002D6C56">
        <w:t>Intervenor</w:t>
      </w:r>
      <w:proofErr w:type="spellEnd"/>
      <w:r w:rsidR="002D6C56">
        <w:t xml:space="preserve"> (“Motion”).</w:t>
      </w:r>
    </w:p>
    <w:p w:rsidR="002D6C56" w:rsidRDefault="002D6C56" w:rsidP="002D6C56">
      <w:pPr>
        <w:spacing w:line="480" w:lineRule="auto"/>
        <w:jc w:val="center"/>
      </w:pPr>
      <w:r>
        <w:rPr>
          <w:b/>
        </w:rPr>
        <w:t>II.</w:t>
      </w:r>
      <w:r>
        <w:rPr>
          <w:b/>
        </w:rPr>
        <w:tab/>
        <w:t>BACKGROUND</w:t>
      </w:r>
    </w:p>
    <w:p w:rsidR="002D6C56" w:rsidRDefault="00C7036F" w:rsidP="00C7036F">
      <w:pPr>
        <w:pStyle w:val="WUTCParagraph"/>
      </w:pPr>
      <w:r>
        <w:tab/>
      </w:r>
      <w:r w:rsidR="002D6C56">
        <w:t>Order 07, issued in the above-referenced dockets as well as Docket Nos. UE-130137/UG-130138, is currently on remand to the Washington Utilities and Transportation Commission (“Commission”) following an order from the Thurston County Superior Court finding that the Commission set Puget Sound Energy, Inc.’s (“PSE” or the “Company”) return on equity without substantial evidence in the record and by shifting the burden of proof away from PSE.</w:t>
      </w:r>
      <w:r w:rsidR="00C86429" w:rsidRPr="007D50E3">
        <w:rPr>
          <w:rStyle w:val="FootnoteReference"/>
          <w:u w:val="single"/>
        </w:rPr>
        <w:footnoteReference w:id="1"/>
      </w:r>
      <w:proofErr w:type="gramStart"/>
      <w:r w:rsidR="007D50E3" w:rsidRPr="007D50E3">
        <w:rPr>
          <w:vertAlign w:val="superscript"/>
        </w:rPr>
        <w:t>/</w:t>
      </w:r>
      <w:r w:rsidR="002D6C56">
        <w:t xml:space="preserve">  </w:t>
      </w:r>
      <w:r w:rsidR="00C86429">
        <w:t>As</w:t>
      </w:r>
      <w:proofErr w:type="gramEnd"/>
      <w:r w:rsidR="00C86429">
        <w:t xml:space="preserve"> the caption to this filing indicates, </w:t>
      </w:r>
      <w:r w:rsidR="002D6C56">
        <w:t xml:space="preserve">NWEC was a co-petitioner with PSE in these </w:t>
      </w:r>
      <w:r w:rsidR="002D6C56">
        <w:lastRenderedPageBreak/>
        <w:t>dockets to establish a decoupling mechanism for the Company.</w:t>
      </w:r>
      <w:r w:rsidR="00C86429" w:rsidRPr="007D50E3">
        <w:rPr>
          <w:rStyle w:val="FootnoteReference"/>
          <w:u w:val="single"/>
        </w:rPr>
        <w:footnoteReference w:id="2"/>
      </w:r>
      <w:proofErr w:type="gramStart"/>
      <w:r w:rsidR="007D50E3" w:rsidRPr="007D50E3">
        <w:rPr>
          <w:vertAlign w:val="superscript"/>
        </w:rPr>
        <w:t>/</w:t>
      </w:r>
      <w:r w:rsidR="002D6C56">
        <w:t xml:space="preserve">  </w:t>
      </w:r>
      <w:r w:rsidR="00922207">
        <w:t>NWEC</w:t>
      </w:r>
      <w:proofErr w:type="gramEnd"/>
      <w:r w:rsidR="00922207">
        <w:t xml:space="preserve"> sponsored a witness, Ralph Cavanaugh, who testified on, among other things, decoupling’s impact on a utility’s return on equity.</w:t>
      </w:r>
      <w:r w:rsidR="007E5D7F" w:rsidRPr="007D50E3">
        <w:rPr>
          <w:rStyle w:val="FootnoteReference"/>
          <w:u w:val="single"/>
        </w:rPr>
        <w:footnoteReference w:id="3"/>
      </w:r>
      <w:proofErr w:type="gramStart"/>
      <w:r w:rsidR="007D50E3" w:rsidRPr="007D50E3">
        <w:rPr>
          <w:vertAlign w:val="superscript"/>
        </w:rPr>
        <w:t>/</w:t>
      </w:r>
      <w:r w:rsidR="00922207">
        <w:t xml:space="preserve">  Mr</w:t>
      </w:r>
      <w:proofErr w:type="gramEnd"/>
      <w:r w:rsidR="00922207">
        <w:t>. Cavanaugh was cross-examined on the stand on this issue by parties to this docket as well as the Commission.</w:t>
      </w:r>
      <w:r w:rsidR="007E5D7F" w:rsidRPr="007D50E3">
        <w:rPr>
          <w:rStyle w:val="FootnoteReference"/>
          <w:u w:val="single"/>
        </w:rPr>
        <w:footnoteReference w:id="4"/>
      </w:r>
      <w:r w:rsidR="007D50E3" w:rsidRPr="007D50E3">
        <w:rPr>
          <w:vertAlign w:val="superscript"/>
        </w:rPr>
        <w:t>/</w:t>
      </w:r>
    </w:p>
    <w:p w:rsidR="00922207" w:rsidRDefault="00C7036F" w:rsidP="00C7036F">
      <w:pPr>
        <w:pStyle w:val="WUTCParagraph"/>
      </w:pPr>
      <w:r>
        <w:tab/>
      </w:r>
      <w:r w:rsidR="00922207">
        <w:t>In its Motion, NWEC voluntarily requests that the Commission limit its participation in the remand proceeding “for the limited purpose of allowing the Commission and opposing parties to cross-examine [</w:t>
      </w:r>
      <w:r w:rsidR="00C86429">
        <w:t>Mr. Cavanaugh]</w:t>
      </w:r>
      <w:r w:rsidR="00922207">
        <w:t xml:space="preserve"> on the testimony and evidence [NWEC] has already presented in [the above-referenced dockets</w:t>
      </w:r>
      <w:r w:rsidR="00C86429">
        <w:t>]</w:t>
      </w:r>
      <w:r w:rsidR="00922207">
        <w:t>.”</w:t>
      </w:r>
      <w:r w:rsidR="00922207" w:rsidRPr="007D50E3">
        <w:rPr>
          <w:rStyle w:val="FootnoteReference"/>
          <w:u w:val="single"/>
        </w:rPr>
        <w:footnoteReference w:id="5"/>
      </w:r>
      <w:proofErr w:type="gramStart"/>
      <w:r w:rsidR="007D50E3" w:rsidRPr="007D50E3">
        <w:rPr>
          <w:vertAlign w:val="superscript"/>
        </w:rPr>
        <w:t>/</w:t>
      </w:r>
      <w:r w:rsidR="00291FBB">
        <w:t xml:space="preserve">  NEWC</w:t>
      </w:r>
      <w:proofErr w:type="gramEnd"/>
      <w:r w:rsidR="00291FBB">
        <w:t xml:space="preserve"> argues that this is warranted because it is a “resource-constrained organization.”</w:t>
      </w:r>
      <w:r w:rsidR="00291FBB" w:rsidRPr="007D50E3">
        <w:rPr>
          <w:rStyle w:val="FootnoteReference"/>
          <w:u w:val="single"/>
        </w:rPr>
        <w:footnoteReference w:id="6"/>
      </w:r>
      <w:r w:rsidR="007D50E3" w:rsidRPr="007D50E3">
        <w:rPr>
          <w:vertAlign w:val="superscript"/>
        </w:rPr>
        <w:t>/</w:t>
      </w:r>
    </w:p>
    <w:p w:rsidR="00922207" w:rsidRDefault="00922207" w:rsidP="00922207">
      <w:pPr>
        <w:spacing w:line="480" w:lineRule="auto"/>
        <w:jc w:val="center"/>
      </w:pPr>
      <w:r>
        <w:rPr>
          <w:b/>
        </w:rPr>
        <w:t>III.</w:t>
      </w:r>
      <w:r>
        <w:rPr>
          <w:b/>
        </w:rPr>
        <w:tab/>
        <w:t>ARGUMENT</w:t>
      </w:r>
    </w:p>
    <w:p w:rsidR="00922207" w:rsidRDefault="00C7036F" w:rsidP="00C7036F">
      <w:pPr>
        <w:pStyle w:val="WUTCParagraph"/>
      </w:pPr>
      <w:r>
        <w:tab/>
      </w:r>
      <w:r w:rsidR="00922207">
        <w:t xml:space="preserve">NWEC relies on RCW § 34.05.443(2) as the basis for its motion to limit its participation in the remand proceeding.  That statute allows the Commission to impose conditions on an </w:t>
      </w:r>
      <w:proofErr w:type="spellStart"/>
      <w:r w:rsidR="00922207">
        <w:t>intervenor’s</w:t>
      </w:r>
      <w:proofErr w:type="spellEnd"/>
      <w:r w:rsidR="00922207">
        <w:t xml:space="preserve"> participation in a case, including limiting the </w:t>
      </w:r>
      <w:proofErr w:type="spellStart"/>
      <w:r w:rsidR="00922207">
        <w:t>intervenor’s</w:t>
      </w:r>
      <w:proofErr w:type="spellEnd"/>
      <w:r w:rsidR="00922207">
        <w:t xml:space="preserve"> use of discovery, cross-examination, and other procedures.</w:t>
      </w:r>
      <w:r w:rsidR="00275AFC" w:rsidRPr="007D50E3">
        <w:rPr>
          <w:rStyle w:val="FootnoteReference"/>
          <w:u w:val="single"/>
        </w:rPr>
        <w:footnoteReference w:id="7"/>
      </w:r>
      <w:r w:rsidR="007D50E3" w:rsidRPr="007D50E3">
        <w:rPr>
          <w:vertAlign w:val="superscript"/>
        </w:rPr>
        <w:t>/</w:t>
      </w:r>
      <w:r w:rsidR="00922207">
        <w:t xml:space="preserve">  </w:t>
      </w:r>
    </w:p>
    <w:p w:rsidR="00291FBB" w:rsidRDefault="00C7036F" w:rsidP="00C7036F">
      <w:pPr>
        <w:pStyle w:val="WUTCParagraph"/>
      </w:pPr>
      <w:r>
        <w:tab/>
      </w:r>
      <w:r w:rsidR="00291FBB">
        <w:t>NWEC’s reliance on this statute as the basis for its motion is unusual, if not unprecedented.</w:t>
      </w:r>
      <w:r w:rsidR="00C86429">
        <w:t xml:space="preserve">  NWEC is not an </w:t>
      </w:r>
      <w:proofErr w:type="spellStart"/>
      <w:r w:rsidR="00C86429">
        <w:t>intervenor</w:t>
      </w:r>
      <w:proofErr w:type="spellEnd"/>
      <w:r w:rsidR="00C86429">
        <w:t xml:space="preserve"> in this case, it is a petitioner.</w:t>
      </w:r>
      <w:r w:rsidR="004F0B40" w:rsidRPr="004F0B40">
        <w:rPr>
          <w:rStyle w:val="FootnoteReference"/>
          <w:u w:val="single"/>
        </w:rPr>
        <w:footnoteReference w:id="8"/>
      </w:r>
      <w:proofErr w:type="gramStart"/>
      <w:r w:rsidR="004F0B40">
        <w:rPr>
          <w:vertAlign w:val="superscript"/>
        </w:rPr>
        <w:t>/</w:t>
      </w:r>
      <w:r w:rsidR="00291FBB">
        <w:t xml:space="preserve">  ICNU</w:t>
      </w:r>
      <w:proofErr w:type="gramEnd"/>
      <w:r w:rsidR="00291FBB">
        <w:t xml:space="preserve"> is unaware of any situation in which a petitioner has requested that its participation in the very case its petition </w:t>
      </w:r>
      <w:r w:rsidR="00291FBB">
        <w:lastRenderedPageBreak/>
        <w:t xml:space="preserve">has instigated be limited.  Given the statute’s reference to “intervention,” ICNU questions whether this law even </w:t>
      </w:r>
      <w:r w:rsidR="00971886">
        <w:t>applies</w:t>
      </w:r>
      <w:r w:rsidR="00291FBB">
        <w:t xml:space="preserve"> to limit a petitioner’s participation in its own case.</w:t>
      </w:r>
    </w:p>
    <w:p w:rsidR="00291FBB" w:rsidRDefault="00C7036F" w:rsidP="00C7036F">
      <w:pPr>
        <w:pStyle w:val="WUTCParagraph"/>
      </w:pPr>
      <w:r>
        <w:tab/>
      </w:r>
      <w:r w:rsidR="00C86429">
        <w:t>In any event</w:t>
      </w:r>
      <w:r w:rsidR="00291FBB">
        <w:t>, NWEC’s motion would prejudice the other parties.</w:t>
      </w:r>
      <w:r w:rsidR="00C86429">
        <w:t xml:space="preserve">  The purpose of limiting an </w:t>
      </w:r>
      <w:proofErr w:type="spellStart"/>
      <w:r w:rsidR="00C86429">
        <w:t>intervenor’s</w:t>
      </w:r>
      <w:proofErr w:type="spellEnd"/>
      <w:r w:rsidR="00C86429">
        <w:t xml:space="preserve"> participation is to ensure the “orderly and prompt conduct of the proceedings.”</w:t>
      </w:r>
      <w:r w:rsidR="00C86429" w:rsidRPr="007D50E3">
        <w:rPr>
          <w:rStyle w:val="FootnoteReference"/>
          <w:u w:val="single"/>
        </w:rPr>
        <w:footnoteReference w:id="9"/>
      </w:r>
      <w:proofErr w:type="gramStart"/>
      <w:r w:rsidR="007D50E3" w:rsidRPr="007D50E3">
        <w:rPr>
          <w:vertAlign w:val="superscript"/>
        </w:rPr>
        <w:t>/</w:t>
      </w:r>
      <w:r w:rsidR="00291FBB">
        <w:t xml:space="preserve">  NWEC</w:t>
      </w:r>
      <w:r w:rsidR="00C86429">
        <w:t>’s</w:t>
      </w:r>
      <w:proofErr w:type="gramEnd"/>
      <w:r w:rsidR="00291FBB">
        <w:t xml:space="preserve"> propos</w:t>
      </w:r>
      <w:r w:rsidR="00C86429">
        <w:t>al</w:t>
      </w:r>
      <w:r w:rsidR="00291FBB">
        <w:t xml:space="preserve"> to </w:t>
      </w:r>
      <w:r w:rsidR="00931DF9">
        <w:t>submit Mr. Cavanaugh to cross-examination on testimony he has already filed and on which he has already been cross-examined</w:t>
      </w:r>
      <w:r w:rsidR="00C86429">
        <w:t xml:space="preserve"> would have the opposite effect</w:t>
      </w:r>
      <w:r w:rsidR="00931DF9">
        <w:t xml:space="preserve">.  If NWEC is comfortable relying on the testimony it has already submitted in this case, then there is no reason to repeat a process that has already occurred.  </w:t>
      </w:r>
      <w:r w:rsidR="00C86429">
        <w:t xml:space="preserve">On the other hand, the potential for prejudice to other parties if the Commission grants NWEC’s Motion is substantial.  The only practical reason to have Mr. Cavanaugh take the stand </w:t>
      </w:r>
      <w:r w:rsidR="00275AFC">
        <w:t>again</w:t>
      </w:r>
      <w:r w:rsidR="00C86429">
        <w:t xml:space="preserve"> is to have him respond to additional evidence on decoupling’s impact on the ROE other parties produce</w:t>
      </w:r>
      <w:r w:rsidR="00275AFC">
        <w:t xml:space="preserve"> in this remand proceeding</w:t>
      </w:r>
      <w:r w:rsidR="00C86429">
        <w:t>.  Such a last-minute response, without the benefit of discovery, puts other parties</w:t>
      </w:r>
      <w:r w:rsidR="00275AFC">
        <w:t>,</w:t>
      </w:r>
      <w:r w:rsidR="00C86429">
        <w:t xml:space="preserve"> who have </w:t>
      </w:r>
      <w:proofErr w:type="spellStart"/>
      <w:r w:rsidR="00C86429">
        <w:t>prefiled</w:t>
      </w:r>
      <w:proofErr w:type="spellEnd"/>
      <w:r w:rsidR="00C86429">
        <w:t xml:space="preserve"> their testimony weeks beforehand</w:t>
      </w:r>
      <w:r w:rsidR="00275AFC">
        <w:t>,</w:t>
      </w:r>
      <w:r w:rsidR="00C86429">
        <w:t xml:space="preserve"> at a clear disadvantage</w:t>
      </w:r>
      <w:r w:rsidR="00931DF9">
        <w:t>.</w:t>
      </w:r>
    </w:p>
    <w:p w:rsidR="004F0B40" w:rsidRPr="0077314F" w:rsidRDefault="00C7036F" w:rsidP="0077314F">
      <w:pPr>
        <w:pStyle w:val="WUTCParagraph"/>
      </w:pPr>
      <w:r>
        <w:tab/>
      </w:r>
      <w:r w:rsidR="00931DF9">
        <w:t>ICNU sympathizes with the fact that NWEC is a resource-constrained organization – the same can be said for many parties to Commission proceedings.  That, alone, however, is insufficiently compelling to give NWEC special treatment,</w:t>
      </w:r>
      <w:r w:rsidR="00D27522">
        <w:t xml:space="preserve"> particularly in a manner that c</w:t>
      </w:r>
      <w:r w:rsidR="00931DF9">
        <w:t>ould be prejudicial to other parties.</w:t>
      </w:r>
      <w:r w:rsidR="00D27522">
        <w:t xml:space="preserve">  It appears that NWEC is satisfied with its contribution to the record in this case related to decoupling’s impact on PSE’s ROE.  If that is the case, then nothing compels it to participate further.  If it wishes to supplement the record, it is free to participate as a party to this case like all others.</w:t>
      </w:r>
      <w:r w:rsidR="00C86429">
        <w:t xml:space="preserve">  Special treatment is unwarranted</w:t>
      </w:r>
      <w:r w:rsidR="004F0B40">
        <w:t xml:space="preserve"> and would set a precedent that would harm parties who fully participate in a case</w:t>
      </w:r>
      <w:r w:rsidR="00C86429">
        <w:t>.</w:t>
      </w:r>
    </w:p>
    <w:p w:rsidR="00D27522" w:rsidRDefault="00D27522" w:rsidP="00D27522">
      <w:pPr>
        <w:spacing w:line="480" w:lineRule="auto"/>
        <w:jc w:val="center"/>
        <w:rPr>
          <w:b/>
        </w:rPr>
      </w:pPr>
      <w:r>
        <w:rPr>
          <w:b/>
        </w:rPr>
        <w:lastRenderedPageBreak/>
        <w:t>IV.</w:t>
      </w:r>
      <w:r>
        <w:rPr>
          <w:b/>
        </w:rPr>
        <w:tab/>
        <w:t>CONCLUSION</w:t>
      </w:r>
    </w:p>
    <w:p w:rsidR="00D27522" w:rsidRDefault="00C7036F" w:rsidP="00C7036F">
      <w:pPr>
        <w:pStyle w:val="WUTCParagraph"/>
      </w:pPr>
      <w:r>
        <w:tab/>
      </w:r>
      <w:r w:rsidR="00D27522">
        <w:t>For the foregoing reasons, ICNU requests that the Commission deny NWEC’s Motion.</w:t>
      </w:r>
    </w:p>
    <w:p w:rsidR="00C86429" w:rsidRDefault="00C86429" w:rsidP="00C86429">
      <w:pPr>
        <w:keepNext/>
        <w:spacing w:line="480" w:lineRule="auto"/>
        <w:ind w:firstLine="1440"/>
      </w:pPr>
      <w:proofErr w:type="gramStart"/>
      <w:r>
        <w:t>Dated in Portland, Oregon, this 29th day of October, 2014.</w:t>
      </w:r>
      <w:proofErr w:type="gramEnd"/>
    </w:p>
    <w:p w:rsidR="00C86429" w:rsidRDefault="00C86429" w:rsidP="00C86429">
      <w:pPr>
        <w:keepNext/>
        <w:spacing w:line="480" w:lineRule="auto"/>
        <w:ind w:left="2880" w:firstLine="720"/>
      </w:pPr>
      <w:r>
        <w:t>Respectfully submitted,</w:t>
      </w:r>
    </w:p>
    <w:p w:rsidR="00C86429" w:rsidRDefault="00C86429" w:rsidP="00C86429">
      <w:pPr>
        <w:keepNext/>
        <w:spacing w:line="480" w:lineRule="auto"/>
        <w:ind w:firstLine="3600"/>
      </w:pPr>
      <w:r>
        <w:t>DAVISON VAN CLEVE, P.C.</w:t>
      </w:r>
    </w:p>
    <w:p w:rsidR="00C86429" w:rsidRPr="00200EE5" w:rsidRDefault="00C86429" w:rsidP="00C86429">
      <w:pPr>
        <w:keepNext/>
        <w:ind w:firstLine="3600"/>
        <w:rPr>
          <w:u w:val="single"/>
        </w:rPr>
      </w:pPr>
      <w:r>
        <w:rPr>
          <w:i/>
          <w:u w:val="single"/>
        </w:rPr>
        <w:t>/s/ Tyler C. Pepple</w:t>
      </w:r>
    </w:p>
    <w:p w:rsidR="00C86429" w:rsidRDefault="00C86429" w:rsidP="00C86429">
      <w:pPr>
        <w:keepNext/>
        <w:ind w:firstLine="3600"/>
      </w:pPr>
      <w:r>
        <w:t>Melinda J. Davison</w:t>
      </w:r>
    </w:p>
    <w:p w:rsidR="00C86429" w:rsidRDefault="00C86429" w:rsidP="00C86429">
      <w:pPr>
        <w:keepNext/>
        <w:ind w:firstLine="3600"/>
      </w:pPr>
      <w:r>
        <w:t>Tyler C. Pepple</w:t>
      </w:r>
    </w:p>
    <w:p w:rsidR="00C86429" w:rsidRDefault="00C86429" w:rsidP="00C86429">
      <w:pPr>
        <w:keepNext/>
        <w:ind w:firstLine="3600"/>
      </w:pPr>
      <w:r>
        <w:t>333 S.W. Taylor, Suite 400</w:t>
      </w:r>
    </w:p>
    <w:p w:rsidR="00C86429" w:rsidRDefault="00C86429" w:rsidP="00C86429">
      <w:pPr>
        <w:keepNext/>
        <w:ind w:firstLine="3600"/>
      </w:pPr>
      <w:smartTag w:uri="urn:schemas-microsoft-com:office:smarttags" w:element="place">
        <w:smartTag w:uri="urn:schemas-microsoft-com:office:smarttags" w:element="City">
          <w:r>
            <w:t>Portland</w:t>
          </w:r>
        </w:smartTag>
        <w:r>
          <w:t xml:space="preserve">, </w:t>
        </w:r>
        <w:smartTag w:uri="urn:schemas-microsoft-com:office:smarttags" w:element="State">
          <w:r>
            <w:t>Oregon</w:t>
          </w:r>
        </w:smartTag>
        <w:r>
          <w:t xml:space="preserve"> </w:t>
        </w:r>
        <w:smartTag w:uri="urn:schemas-microsoft-com:office:smarttags" w:element="PostalCode">
          <w:r>
            <w:t>97204</w:t>
          </w:r>
        </w:smartTag>
      </w:smartTag>
    </w:p>
    <w:p w:rsidR="00C86429" w:rsidRDefault="00C86429" w:rsidP="00C86429">
      <w:pPr>
        <w:keepNext/>
        <w:ind w:firstLine="3600"/>
      </w:pPr>
      <w:r>
        <w:t>(503) 241-7242 telephone</w:t>
      </w:r>
    </w:p>
    <w:p w:rsidR="00C86429" w:rsidRDefault="00C86429" w:rsidP="00C86429">
      <w:pPr>
        <w:keepNext/>
        <w:ind w:firstLine="3600"/>
      </w:pPr>
      <w:r>
        <w:t>(503) 241-8160 facsimile</w:t>
      </w:r>
    </w:p>
    <w:p w:rsidR="00C86429" w:rsidRDefault="00C86429" w:rsidP="00C86429">
      <w:pPr>
        <w:ind w:left="2912" w:firstLine="688"/>
      </w:pPr>
      <w:r w:rsidRPr="007A4288">
        <w:t>mjd@dvclaw.com</w:t>
      </w:r>
    </w:p>
    <w:p w:rsidR="00C86429" w:rsidRDefault="00C86429" w:rsidP="00C86429">
      <w:pPr>
        <w:ind w:left="2912" w:firstLine="688"/>
      </w:pPr>
      <w:r>
        <w:t>tcp@dvclaw.com</w:t>
      </w:r>
    </w:p>
    <w:p w:rsidR="00C86429" w:rsidRDefault="00C86429" w:rsidP="00C86429">
      <w:pPr>
        <w:ind w:left="3600"/>
      </w:pPr>
      <w:r>
        <w:t xml:space="preserve">Of Attorneys for Industrial Customers </w:t>
      </w:r>
    </w:p>
    <w:p w:rsidR="00C86429" w:rsidRPr="00D27522" w:rsidRDefault="00C86429" w:rsidP="00C86429">
      <w:pPr>
        <w:ind w:left="3600"/>
      </w:pPr>
      <w:proofErr w:type="gramStart"/>
      <w:r>
        <w:t>of</w:t>
      </w:r>
      <w:proofErr w:type="gramEnd"/>
      <w:r>
        <w:t xml:space="preserve"> Northwest Utilities</w:t>
      </w:r>
    </w:p>
    <w:sectPr w:rsidR="00C86429" w:rsidRPr="00D275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07" w:rsidRDefault="00922207" w:rsidP="00922207">
      <w:r>
        <w:separator/>
      </w:r>
    </w:p>
  </w:endnote>
  <w:endnote w:type="continuationSeparator" w:id="0">
    <w:p w:rsidR="00922207" w:rsidRDefault="00922207" w:rsidP="0092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FC" w:rsidRDefault="00275AFC" w:rsidP="00275AFC">
    <w:pPr>
      <w:pStyle w:val="Footer"/>
    </w:pPr>
  </w:p>
  <w:p w:rsidR="00275AFC" w:rsidRDefault="00275AFC" w:rsidP="00275AFC">
    <w:pPr>
      <w:pStyle w:val="Foo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C1DF9">
      <w:rPr>
        <w:rStyle w:val="PageNumber"/>
        <w:noProof/>
      </w:rPr>
      <w:t>1</w:t>
    </w:r>
    <w:r>
      <w:rPr>
        <w:rStyle w:val="PageNumber"/>
      </w:rPr>
      <w:fldChar w:fldCharType="end"/>
    </w:r>
    <w:r>
      <w:rPr>
        <w:rStyle w:val="PageNumber"/>
      </w:rPr>
      <w:t xml:space="preserve"> – ICNU RESPONSE TO NWEC MOTION</w:t>
    </w:r>
  </w:p>
  <w:p w:rsidR="00275AFC" w:rsidRPr="00A8153E" w:rsidRDefault="00275AFC" w:rsidP="00275AFC">
    <w:pPr>
      <w:pStyle w:val="Footer"/>
      <w:rPr>
        <w:rStyle w:val="PageNumber"/>
        <w:sz w:val="16"/>
        <w:szCs w:val="16"/>
      </w:rPr>
    </w:pPr>
  </w:p>
  <w:p w:rsidR="00275AFC" w:rsidRPr="00F836A9" w:rsidRDefault="00275AFC" w:rsidP="00275AFC">
    <w:pPr>
      <w:jc w:val="center"/>
      <w:rPr>
        <w:sz w:val="16"/>
        <w:szCs w:val="16"/>
      </w:rPr>
    </w:pPr>
    <w:r w:rsidRPr="00F836A9">
      <w:rPr>
        <w:sz w:val="16"/>
        <w:szCs w:val="16"/>
      </w:rPr>
      <w:t>DAVISON VAN CLEVE, P.C.</w:t>
    </w:r>
  </w:p>
  <w:p w:rsidR="00275AFC" w:rsidRPr="00F836A9" w:rsidRDefault="00275AFC" w:rsidP="00275AFC">
    <w:pPr>
      <w:tabs>
        <w:tab w:val="center" w:pos="4680"/>
      </w:tabs>
      <w:jc w:val="center"/>
      <w:rPr>
        <w:sz w:val="16"/>
        <w:szCs w:val="16"/>
      </w:rPr>
    </w:pPr>
    <w:r w:rsidRPr="00F836A9">
      <w:rPr>
        <w:sz w:val="16"/>
        <w:szCs w:val="16"/>
      </w:rPr>
      <w:t>333 S.W. Taylor, Suite 400</w:t>
    </w:r>
  </w:p>
  <w:p w:rsidR="00275AFC" w:rsidRPr="00F836A9" w:rsidRDefault="00275AFC" w:rsidP="00275AFC">
    <w:pPr>
      <w:tabs>
        <w:tab w:val="center" w:pos="4680"/>
      </w:tabs>
      <w:jc w:val="center"/>
      <w:rPr>
        <w:sz w:val="16"/>
        <w:szCs w:val="16"/>
      </w:rPr>
    </w:pPr>
    <w:r w:rsidRPr="00F836A9">
      <w:rPr>
        <w:sz w:val="16"/>
        <w:szCs w:val="16"/>
      </w:rPr>
      <w:t>Portland, OR 97204</w:t>
    </w:r>
  </w:p>
  <w:p w:rsidR="00275AFC" w:rsidRPr="00275AFC" w:rsidRDefault="00275AFC" w:rsidP="00275AFC">
    <w:pPr>
      <w:pStyle w:val="Footer"/>
      <w:jc w:val="center"/>
      <w:rPr>
        <w:sz w:val="16"/>
        <w:szCs w:val="16"/>
      </w:rPr>
    </w:pPr>
    <w:r w:rsidRPr="00F836A9">
      <w:rPr>
        <w:sz w:val="16"/>
        <w:szCs w:val="16"/>
      </w:rPr>
      <w:t>Telephone (503) 241-7242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07" w:rsidRDefault="00922207" w:rsidP="00922207">
      <w:r>
        <w:separator/>
      </w:r>
    </w:p>
  </w:footnote>
  <w:footnote w:type="continuationSeparator" w:id="0">
    <w:p w:rsidR="00922207" w:rsidRDefault="00922207" w:rsidP="00922207">
      <w:r>
        <w:continuationSeparator/>
      </w:r>
    </w:p>
  </w:footnote>
  <w:footnote w:id="1">
    <w:p w:rsidR="00C86429" w:rsidRPr="00C86429" w:rsidRDefault="00C86429" w:rsidP="00C86429">
      <w:pPr>
        <w:pStyle w:val="FootnoteText"/>
        <w:ind w:left="720" w:hanging="720"/>
      </w:pPr>
      <w:r w:rsidRPr="007D50E3">
        <w:rPr>
          <w:rStyle w:val="FootnoteReference"/>
          <w:u w:val="single"/>
        </w:rPr>
        <w:footnoteRef/>
      </w:r>
      <w:r w:rsidR="007D50E3" w:rsidRPr="007D50E3">
        <w:rPr>
          <w:vertAlign w:val="superscript"/>
        </w:rPr>
        <w:t>/</w:t>
      </w:r>
      <w:r>
        <w:t xml:space="preserve"> </w:t>
      </w:r>
      <w:r>
        <w:tab/>
      </w:r>
      <w:r>
        <w:rPr>
          <w:u w:val="single"/>
        </w:rPr>
        <w:t>WUTC v. PSE</w:t>
      </w:r>
      <w:r>
        <w:t>, Docket Nos. UE-121697/UG-121705, UE-130137/UG-130138, Order 10 ¶¶ 1-3 (Oct. 8, 2014).</w:t>
      </w:r>
    </w:p>
  </w:footnote>
  <w:footnote w:id="2">
    <w:p w:rsidR="00C86429" w:rsidRPr="00C86429" w:rsidRDefault="00C86429" w:rsidP="00C86429">
      <w:pPr>
        <w:pStyle w:val="FootnoteText"/>
        <w:ind w:left="720" w:hanging="720"/>
      </w:pPr>
      <w:r w:rsidRPr="007D50E3">
        <w:rPr>
          <w:rStyle w:val="FootnoteReference"/>
          <w:u w:val="single"/>
        </w:rPr>
        <w:footnoteRef/>
      </w:r>
      <w:r w:rsidR="007D50E3" w:rsidRPr="007D50E3">
        <w:rPr>
          <w:vertAlign w:val="superscript"/>
        </w:rPr>
        <w:t>/</w:t>
      </w:r>
      <w:r>
        <w:t xml:space="preserve"> </w:t>
      </w:r>
      <w:r>
        <w:tab/>
      </w:r>
      <w:r>
        <w:rPr>
          <w:u w:val="single"/>
        </w:rPr>
        <w:t>In re Petition of PSE &amp; NWEC for an Order Authorizing PSE to Implement Electric and Natural Gas Decoupling Mechanisms</w:t>
      </w:r>
      <w:r>
        <w:t>, Docket Nos. UE-121697 and UG-121705, PSE &amp; NWEC Amended Pet. for Decoupling Mechanisms (Mar. 1, 2013).</w:t>
      </w:r>
    </w:p>
  </w:footnote>
  <w:footnote w:id="3">
    <w:p w:rsidR="007E5D7F" w:rsidRPr="007E5D7F" w:rsidRDefault="007E5D7F">
      <w:pPr>
        <w:pStyle w:val="FootnoteText"/>
        <w:rPr>
          <w:i/>
        </w:rPr>
      </w:pPr>
      <w:r w:rsidRPr="007D50E3">
        <w:rPr>
          <w:rStyle w:val="FootnoteReference"/>
          <w:u w:val="single"/>
        </w:rPr>
        <w:footnoteRef/>
      </w:r>
      <w:r w:rsidR="007D50E3" w:rsidRPr="007D50E3">
        <w:rPr>
          <w:vertAlign w:val="superscript"/>
        </w:rPr>
        <w:t>/</w:t>
      </w:r>
      <w:r>
        <w:t xml:space="preserve"> </w:t>
      </w:r>
      <w:r>
        <w:tab/>
      </w:r>
      <w:r>
        <w:rPr>
          <w:u w:val="single"/>
        </w:rPr>
        <w:t>Id.</w:t>
      </w:r>
      <w:r>
        <w:t xml:space="preserve"> NWEC Ex. No. __ (RCC-4T) at 5:9-7:5 (May 8, 2013).</w:t>
      </w:r>
    </w:p>
  </w:footnote>
  <w:footnote w:id="4">
    <w:p w:rsidR="007E5D7F" w:rsidRPr="007E5D7F" w:rsidRDefault="007E5D7F">
      <w:pPr>
        <w:pStyle w:val="FootnoteText"/>
      </w:pPr>
      <w:r w:rsidRPr="007D50E3">
        <w:rPr>
          <w:rStyle w:val="FootnoteReference"/>
          <w:u w:val="single"/>
        </w:rPr>
        <w:footnoteRef/>
      </w:r>
      <w:r w:rsidR="007D50E3" w:rsidRPr="007D50E3">
        <w:rPr>
          <w:vertAlign w:val="superscript"/>
        </w:rPr>
        <w:t>/</w:t>
      </w:r>
      <w:r>
        <w:t xml:space="preserve"> </w:t>
      </w:r>
      <w:r>
        <w:tab/>
      </w:r>
      <w:r>
        <w:rPr>
          <w:u w:val="single"/>
        </w:rPr>
        <w:t>E.g.,</w:t>
      </w:r>
      <w:r>
        <w:t xml:space="preserve"> Tr. 166:10-169:18</w:t>
      </w:r>
    </w:p>
  </w:footnote>
  <w:footnote w:id="5">
    <w:p w:rsidR="00922207" w:rsidRDefault="00922207">
      <w:pPr>
        <w:pStyle w:val="FootnoteText"/>
      </w:pPr>
      <w:r w:rsidRPr="007D50E3">
        <w:rPr>
          <w:rStyle w:val="FootnoteReference"/>
          <w:u w:val="single"/>
        </w:rPr>
        <w:footnoteRef/>
      </w:r>
      <w:r w:rsidR="007D50E3" w:rsidRPr="007D50E3">
        <w:rPr>
          <w:vertAlign w:val="superscript"/>
        </w:rPr>
        <w:t>/</w:t>
      </w:r>
      <w:r>
        <w:t xml:space="preserve"> </w:t>
      </w:r>
      <w:r>
        <w:tab/>
        <w:t>NWEC Motion ¶ 9.</w:t>
      </w:r>
    </w:p>
  </w:footnote>
  <w:footnote w:id="6">
    <w:p w:rsidR="00291FBB" w:rsidRPr="00291FBB" w:rsidRDefault="00291FBB">
      <w:pPr>
        <w:pStyle w:val="FootnoteText"/>
      </w:pPr>
      <w:r w:rsidRPr="007D50E3">
        <w:rPr>
          <w:rStyle w:val="FootnoteReference"/>
          <w:u w:val="single"/>
        </w:rPr>
        <w:footnoteRef/>
      </w:r>
      <w:r w:rsidR="007D50E3" w:rsidRPr="007D50E3">
        <w:rPr>
          <w:vertAlign w:val="superscript"/>
        </w:rPr>
        <w:t>/</w:t>
      </w:r>
      <w:r>
        <w:t xml:space="preserve"> </w:t>
      </w:r>
      <w:r>
        <w:tab/>
      </w:r>
      <w:r>
        <w:rPr>
          <w:u w:val="single"/>
        </w:rPr>
        <w:t>Id.</w:t>
      </w:r>
      <w:r>
        <w:t xml:space="preserve"> ¶ 10.</w:t>
      </w:r>
    </w:p>
  </w:footnote>
  <w:footnote w:id="7">
    <w:p w:rsidR="00275AFC" w:rsidRDefault="00275AFC">
      <w:pPr>
        <w:pStyle w:val="FootnoteText"/>
      </w:pPr>
      <w:r w:rsidRPr="007D50E3">
        <w:rPr>
          <w:rStyle w:val="FootnoteReference"/>
          <w:u w:val="single"/>
        </w:rPr>
        <w:footnoteRef/>
      </w:r>
      <w:r w:rsidR="007D50E3" w:rsidRPr="007D50E3">
        <w:rPr>
          <w:vertAlign w:val="superscript"/>
        </w:rPr>
        <w:t>/</w:t>
      </w:r>
      <w:r>
        <w:t xml:space="preserve"> </w:t>
      </w:r>
      <w:r>
        <w:tab/>
        <w:t>RCW § 34.05.443(2</w:t>
      </w:r>
      <w:proofErr w:type="gramStart"/>
      <w:r>
        <w:t>)(</w:t>
      </w:r>
      <w:proofErr w:type="gramEnd"/>
      <w:r>
        <w:t>b).</w:t>
      </w:r>
    </w:p>
  </w:footnote>
  <w:footnote w:id="8">
    <w:p w:rsidR="004F0B40" w:rsidRPr="004F0B40" w:rsidRDefault="004F0B40" w:rsidP="004F0B40">
      <w:pPr>
        <w:pStyle w:val="FootnoteText"/>
        <w:ind w:left="720" w:hanging="720"/>
      </w:pPr>
      <w:r w:rsidRPr="004F0B40">
        <w:rPr>
          <w:rStyle w:val="FootnoteReference"/>
          <w:u w:val="single"/>
        </w:rPr>
        <w:footnoteRef/>
      </w:r>
      <w:r>
        <w:rPr>
          <w:vertAlign w:val="superscript"/>
        </w:rPr>
        <w:t>/</w:t>
      </w:r>
      <w:r>
        <w:t xml:space="preserve"> </w:t>
      </w:r>
      <w:r>
        <w:tab/>
      </w:r>
      <w:r>
        <w:rPr>
          <w:u w:val="single"/>
        </w:rPr>
        <w:t>See</w:t>
      </w:r>
      <w:r>
        <w:t xml:space="preserve"> WAC § 480-07-355 (defining </w:t>
      </w:r>
      <w:proofErr w:type="spellStart"/>
      <w:r>
        <w:t>intervenor</w:t>
      </w:r>
      <w:proofErr w:type="spellEnd"/>
      <w:r>
        <w:t xml:space="preserve"> as any person “other than the original parties to any proceeding before the commission …”).</w:t>
      </w:r>
    </w:p>
  </w:footnote>
  <w:footnote w:id="9">
    <w:p w:rsidR="00C86429" w:rsidRDefault="00C86429">
      <w:pPr>
        <w:pStyle w:val="FootnoteText"/>
      </w:pPr>
      <w:r w:rsidRPr="007D50E3">
        <w:rPr>
          <w:rStyle w:val="FootnoteReference"/>
          <w:u w:val="single"/>
        </w:rPr>
        <w:footnoteRef/>
      </w:r>
      <w:r w:rsidR="007D50E3" w:rsidRPr="007D50E3">
        <w:rPr>
          <w:vertAlign w:val="superscript"/>
        </w:rPr>
        <w:t>/</w:t>
      </w:r>
      <w:r>
        <w:t xml:space="preserve"> </w:t>
      </w:r>
      <w:r>
        <w:tab/>
        <w:t>RCW § 34.05.443(1).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31D5B"/>
    <w:multiLevelType w:val="hybridMultilevel"/>
    <w:tmpl w:val="49549A7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56"/>
    <w:rsid w:val="000015B0"/>
    <w:rsid w:val="00041527"/>
    <w:rsid w:val="000D4BAD"/>
    <w:rsid w:val="00233F9C"/>
    <w:rsid w:val="00275AFC"/>
    <w:rsid w:val="00291FBB"/>
    <w:rsid w:val="002D6C56"/>
    <w:rsid w:val="00385D77"/>
    <w:rsid w:val="004E4D9B"/>
    <w:rsid w:val="004F0B40"/>
    <w:rsid w:val="005224C5"/>
    <w:rsid w:val="005E4BC1"/>
    <w:rsid w:val="0077314F"/>
    <w:rsid w:val="007D50E3"/>
    <w:rsid w:val="007E5D7F"/>
    <w:rsid w:val="0080225F"/>
    <w:rsid w:val="008E321E"/>
    <w:rsid w:val="00922207"/>
    <w:rsid w:val="00931DF9"/>
    <w:rsid w:val="00971886"/>
    <w:rsid w:val="009B37C4"/>
    <w:rsid w:val="009C1DF9"/>
    <w:rsid w:val="00C7036F"/>
    <w:rsid w:val="00C86429"/>
    <w:rsid w:val="00D27522"/>
    <w:rsid w:val="00D4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56"/>
    <w:rPr>
      <w:rFonts w:eastAsia="Times New Roman"/>
      <w:color w:val="000000"/>
      <w:szCs w:val="20"/>
    </w:rPr>
  </w:style>
  <w:style w:type="paragraph" w:styleId="Heading1">
    <w:name w:val="heading 1"/>
    <w:basedOn w:val="Normal"/>
    <w:next w:val="Normal"/>
    <w:link w:val="Heading1Char"/>
    <w:qFormat/>
    <w:rsid w:val="002D6C56"/>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C56"/>
    <w:rPr>
      <w:rFonts w:eastAsia="Times New Roman"/>
      <w:b/>
      <w:snapToGrid w:val="0"/>
      <w:sz w:val="28"/>
      <w:szCs w:val="20"/>
    </w:rPr>
  </w:style>
  <w:style w:type="paragraph" w:styleId="Footer">
    <w:name w:val="footer"/>
    <w:basedOn w:val="Normal"/>
    <w:link w:val="FooterChar"/>
    <w:uiPriority w:val="99"/>
    <w:rsid w:val="002D6C56"/>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2D6C56"/>
    <w:rPr>
      <w:rFonts w:eastAsia="Times New Roman"/>
      <w:snapToGrid w:val="0"/>
      <w:szCs w:val="20"/>
    </w:rPr>
  </w:style>
  <w:style w:type="paragraph" w:styleId="Header">
    <w:name w:val="header"/>
    <w:basedOn w:val="Normal"/>
    <w:link w:val="HeaderChar"/>
    <w:uiPriority w:val="99"/>
    <w:rsid w:val="002D6C56"/>
    <w:pPr>
      <w:tabs>
        <w:tab w:val="center" w:pos="4320"/>
        <w:tab w:val="right" w:pos="8640"/>
      </w:tabs>
    </w:pPr>
    <w:rPr>
      <w:color w:val="auto"/>
      <w:sz w:val="20"/>
    </w:rPr>
  </w:style>
  <w:style w:type="character" w:customStyle="1" w:styleId="HeaderChar">
    <w:name w:val="Header Char"/>
    <w:basedOn w:val="DefaultParagraphFont"/>
    <w:link w:val="Header"/>
    <w:uiPriority w:val="99"/>
    <w:rsid w:val="002D6C56"/>
    <w:rPr>
      <w:rFonts w:eastAsia="Times New Roman"/>
      <w:sz w:val="20"/>
      <w:szCs w:val="20"/>
    </w:rPr>
  </w:style>
  <w:style w:type="paragraph" w:customStyle="1" w:styleId="SingleSpacing">
    <w:name w:val="Single Spacing"/>
    <w:basedOn w:val="Normal"/>
    <w:rsid w:val="002D6C56"/>
    <w:pPr>
      <w:spacing w:line="254" w:lineRule="exact"/>
    </w:pPr>
    <w:rPr>
      <w:color w:val="auto"/>
    </w:rPr>
  </w:style>
  <w:style w:type="paragraph" w:styleId="FootnoteText">
    <w:name w:val="footnote text"/>
    <w:basedOn w:val="Normal"/>
    <w:link w:val="FootnoteTextChar"/>
    <w:uiPriority w:val="99"/>
    <w:semiHidden/>
    <w:unhideWhenUsed/>
    <w:rsid w:val="00922207"/>
    <w:rPr>
      <w:sz w:val="20"/>
    </w:rPr>
  </w:style>
  <w:style w:type="character" w:customStyle="1" w:styleId="FootnoteTextChar">
    <w:name w:val="Footnote Text Char"/>
    <w:basedOn w:val="DefaultParagraphFont"/>
    <w:link w:val="FootnoteText"/>
    <w:uiPriority w:val="99"/>
    <w:semiHidden/>
    <w:rsid w:val="00922207"/>
    <w:rPr>
      <w:rFonts w:eastAsia="Times New Roman"/>
      <w:color w:val="000000"/>
      <w:sz w:val="20"/>
      <w:szCs w:val="20"/>
    </w:rPr>
  </w:style>
  <w:style w:type="character" w:styleId="FootnoteReference">
    <w:name w:val="footnote reference"/>
    <w:basedOn w:val="DefaultParagraphFont"/>
    <w:uiPriority w:val="99"/>
    <w:semiHidden/>
    <w:unhideWhenUsed/>
    <w:rsid w:val="00922207"/>
    <w:rPr>
      <w:vertAlign w:val="superscript"/>
    </w:rPr>
  </w:style>
  <w:style w:type="paragraph" w:styleId="BalloonText">
    <w:name w:val="Balloon Text"/>
    <w:basedOn w:val="Normal"/>
    <w:link w:val="BalloonTextChar"/>
    <w:uiPriority w:val="99"/>
    <w:semiHidden/>
    <w:unhideWhenUsed/>
    <w:rsid w:val="00C86429"/>
    <w:rPr>
      <w:rFonts w:ascii="Tahoma" w:hAnsi="Tahoma" w:cs="Tahoma"/>
      <w:sz w:val="16"/>
      <w:szCs w:val="16"/>
    </w:rPr>
  </w:style>
  <w:style w:type="character" w:customStyle="1" w:styleId="BalloonTextChar">
    <w:name w:val="Balloon Text Char"/>
    <w:basedOn w:val="DefaultParagraphFont"/>
    <w:link w:val="BalloonText"/>
    <w:uiPriority w:val="99"/>
    <w:semiHidden/>
    <w:rsid w:val="00C86429"/>
    <w:rPr>
      <w:rFonts w:ascii="Tahoma" w:eastAsia="Times New Roman" w:hAnsi="Tahoma" w:cs="Tahoma"/>
      <w:color w:val="000000"/>
      <w:sz w:val="16"/>
      <w:szCs w:val="16"/>
    </w:rPr>
  </w:style>
  <w:style w:type="character" w:styleId="PageNumber">
    <w:name w:val="page number"/>
    <w:basedOn w:val="DefaultParagraphFont"/>
    <w:uiPriority w:val="99"/>
    <w:rsid w:val="00275AFC"/>
  </w:style>
  <w:style w:type="paragraph" w:customStyle="1" w:styleId="WUTCParagraph">
    <w:name w:val="WUTC Paragraph"/>
    <w:basedOn w:val="Normal"/>
    <w:qFormat/>
    <w:rsid w:val="0080225F"/>
    <w:pPr>
      <w:numPr>
        <w:numId w:val="1"/>
      </w:numPr>
      <w:tabs>
        <w:tab w:val="left" w:pos="1440"/>
      </w:tabs>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C56"/>
    <w:rPr>
      <w:rFonts w:eastAsia="Times New Roman"/>
      <w:color w:val="000000"/>
      <w:szCs w:val="20"/>
    </w:rPr>
  </w:style>
  <w:style w:type="paragraph" w:styleId="Heading1">
    <w:name w:val="heading 1"/>
    <w:basedOn w:val="Normal"/>
    <w:next w:val="Normal"/>
    <w:link w:val="Heading1Char"/>
    <w:qFormat/>
    <w:rsid w:val="002D6C56"/>
    <w:pPr>
      <w:keepNext/>
      <w:tabs>
        <w:tab w:val="center" w:pos="4680"/>
      </w:tabs>
      <w:outlineLvl w:val="0"/>
    </w:pPr>
    <w:rPr>
      <w:b/>
      <w:snapToGrid w:val="0"/>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C56"/>
    <w:rPr>
      <w:rFonts w:eastAsia="Times New Roman"/>
      <w:b/>
      <w:snapToGrid w:val="0"/>
      <w:sz w:val="28"/>
      <w:szCs w:val="20"/>
    </w:rPr>
  </w:style>
  <w:style w:type="paragraph" w:styleId="Footer">
    <w:name w:val="footer"/>
    <w:basedOn w:val="Normal"/>
    <w:link w:val="FooterChar"/>
    <w:uiPriority w:val="99"/>
    <w:rsid w:val="002D6C56"/>
    <w:pPr>
      <w:widowControl w:val="0"/>
      <w:tabs>
        <w:tab w:val="center" w:pos="4320"/>
        <w:tab w:val="right" w:pos="8640"/>
      </w:tabs>
    </w:pPr>
    <w:rPr>
      <w:snapToGrid w:val="0"/>
      <w:color w:val="auto"/>
    </w:rPr>
  </w:style>
  <w:style w:type="character" w:customStyle="1" w:styleId="FooterChar">
    <w:name w:val="Footer Char"/>
    <w:basedOn w:val="DefaultParagraphFont"/>
    <w:link w:val="Footer"/>
    <w:uiPriority w:val="99"/>
    <w:rsid w:val="002D6C56"/>
    <w:rPr>
      <w:rFonts w:eastAsia="Times New Roman"/>
      <w:snapToGrid w:val="0"/>
      <w:szCs w:val="20"/>
    </w:rPr>
  </w:style>
  <w:style w:type="paragraph" w:styleId="Header">
    <w:name w:val="header"/>
    <w:basedOn w:val="Normal"/>
    <w:link w:val="HeaderChar"/>
    <w:uiPriority w:val="99"/>
    <w:rsid w:val="002D6C56"/>
    <w:pPr>
      <w:tabs>
        <w:tab w:val="center" w:pos="4320"/>
        <w:tab w:val="right" w:pos="8640"/>
      </w:tabs>
    </w:pPr>
    <w:rPr>
      <w:color w:val="auto"/>
      <w:sz w:val="20"/>
    </w:rPr>
  </w:style>
  <w:style w:type="character" w:customStyle="1" w:styleId="HeaderChar">
    <w:name w:val="Header Char"/>
    <w:basedOn w:val="DefaultParagraphFont"/>
    <w:link w:val="Header"/>
    <w:uiPriority w:val="99"/>
    <w:rsid w:val="002D6C56"/>
    <w:rPr>
      <w:rFonts w:eastAsia="Times New Roman"/>
      <w:sz w:val="20"/>
      <w:szCs w:val="20"/>
    </w:rPr>
  </w:style>
  <w:style w:type="paragraph" w:customStyle="1" w:styleId="SingleSpacing">
    <w:name w:val="Single Spacing"/>
    <w:basedOn w:val="Normal"/>
    <w:rsid w:val="002D6C56"/>
    <w:pPr>
      <w:spacing w:line="254" w:lineRule="exact"/>
    </w:pPr>
    <w:rPr>
      <w:color w:val="auto"/>
    </w:rPr>
  </w:style>
  <w:style w:type="paragraph" w:styleId="FootnoteText">
    <w:name w:val="footnote text"/>
    <w:basedOn w:val="Normal"/>
    <w:link w:val="FootnoteTextChar"/>
    <w:uiPriority w:val="99"/>
    <w:semiHidden/>
    <w:unhideWhenUsed/>
    <w:rsid w:val="00922207"/>
    <w:rPr>
      <w:sz w:val="20"/>
    </w:rPr>
  </w:style>
  <w:style w:type="character" w:customStyle="1" w:styleId="FootnoteTextChar">
    <w:name w:val="Footnote Text Char"/>
    <w:basedOn w:val="DefaultParagraphFont"/>
    <w:link w:val="FootnoteText"/>
    <w:uiPriority w:val="99"/>
    <w:semiHidden/>
    <w:rsid w:val="00922207"/>
    <w:rPr>
      <w:rFonts w:eastAsia="Times New Roman"/>
      <w:color w:val="000000"/>
      <w:sz w:val="20"/>
      <w:szCs w:val="20"/>
    </w:rPr>
  </w:style>
  <w:style w:type="character" w:styleId="FootnoteReference">
    <w:name w:val="footnote reference"/>
    <w:basedOn w:val="DefaultParagraphFont"/>
    <w:uiPriority w:val="99"/>
    <w:semiHidden/>
    <w:unhideWhenUsed/>
    <w:rsid w:val="00922207"/>
    <w:rPr>
      <w:vertAlign w:val="superscript"/>
    </w:rPr>
  </w:style>
  <w:style w:type="paragraph" w:styleId="BalloonText">
    <w:name w:val="Balloon Text"/>
    <w:basedOn w:val="Normal"/>
    <w:link w:val="BalloonTextChar"/>
    <w:uiPriority w:val="99"/>
    <w:semiHidden/>
    <w:unhideWhenUsed/>
    <w:rsid w:val="00C86429"/>
    <w:rPr>
      <w:rFonts w:ascii="Tahoma" w:hAnsi="Tahoma" w:cs="Tahoma"/>
      <w:sz w:val="16"/>
      <w:szCs w:val="16"/>
    </w:rPr>
  </w:style>
  <w:style w:type="character" w:customStyle="1" w:styleId="BalloonTextChar">
    <w:name w:val="Balloon Text Char"/>
    <w:basedOn w:val="DefaultParagraphFont"/>
    <w:link w:val="BalloonText"/>
    <w:uiPriority w:val="99"/>
    <w:semiHidden/>
    <w:rsid w:val="00C86429"/>
    <w:rPr>
      <w:rFonts w:ascii="Tahoma" w:eastAsia="Times New Roman" w:hAnsi="Tahoma" w:cs="Tahoma"/>
      <w:color w:val="000000"/>
      <w:sz w:val="16"/>
      <w:szCs w:val="16"/>
    </w:rPr>
  </w:style>
  <w:style w:type="character" w:styleId="PageNumber">
    <w:name w:val="page number"/>
    <w:basedOn w:val="DefaultParagraphFont"/>
    <w:uiPriority w:val="99"/>
    <w:rsid w:val="00275AFC"/>
  </w:style>
  <w:style w:type="paragraph" w:customStyle="1" w:styleId="WUTCParagraph">
    <w:name w:val="WUTC Paragraph"/>
    <w:basedOn w:val="Normal"/>
    <w:qFormat/>
    <w:rsid w:val="0080225F"/>
    <w:pPr>
      <w:numPr>
        <w:numId w:val="1"/>
      </w:numPr>
      <w:tabs>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2014-10-29T07:00:00+00:00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727FA-DE87-4369-A561-BDB4E6D41EA2}"/>
</file>

<file path=customXml/itemProps2.xml><?xml version="1.0" encoding="utf-8"?>
<ds:datastoreItem xmlns:ds="http://schemas.openxmlformats.org/officeDocument/2006/customXml" ds:itemID="{C1E88197-5E05-40DF-8DAE-5D86D38530FF}"/>
</file>

<file path=customXml/itemProps3.xml><?xml version="1.0" encoding="utf-8"?>
<ds:datastoreItem xmlns:ds="http://schemas.openxmlformats.org/officeDocument/2006/customXml" ds:itemID="{EC637A2A-8253-4216-BC2B-32CC77812E9D}"/>
</file>

<file path=customXml/itemProps4.xml><?xml version="1.0" encoding="utf-8"?>
<ds:datastoreItem xmlns:ds="http://schemas.openxmlformats.org/officeDocument/2006/customXml" ds:itemID="{D7E24EAA-0CF0-419F-8FCD-829721992F02}"/>
</file>

<file path=customXml/itemProps5.xml><?xml version="1.0" encoding="utf-8"?>
<ds:datastoreItem xmlns:ds="http://schemas.openxmlformats.org/officeDocument/2006/customXml" ds:itemID="{7E429B42-AE6D-4E7C-BE28-F6DDFB26063E}"/>
</file>

<file path=docProps/app.xml><?xml version="1.0" encoding="utf-8"?>
<Properties xmlns="http://schemas.openxmlformats.org/officeDocument/2006/extended-properties" xmlns:vt="http://schemas.openxmlformats.org/officeDocument/2006/docPropsVTypes">
  <Template>Normal</Template>
  <TotalTime>217</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C. Pepple</dc:creator>
  <cp:lastModifiedBy>Jesse O. Gorsuch</cp:lastModifiedBy>
  <cp:revision>11</cp:revision>
  <cp:lastPrinted>2014-10-27T19:10:00Z</cp:lastPrinted>
  <dcterms:created xsi:type="dcterms:W3CDTF">2014-10-27T17:16:00Z</dcterms:created>
  <dcterms:modified xsi:type="dcterms:W3CDTF">2014-10-29T15:29:00Z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