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63320" w14:textId="77777777" w:rsidR="0088373F" w:rsidRPr="0018093C" w:rsidRDefault="0088373F" w:rsidP="00655ACB">
      <w:pPr>
        <w:pStyle w:val="single"/>
        <w:widowControl w:val="0"/>
        <w:spacing w:before="0" w:line="240" w:lineRule="auto"/>
        <w:ind w:left="4320" w:firstLine="0"/>
        <w:rPr>
          <w:rStyle w:val="Strong"/>
          <w:rFonts w:ascii="Times New Roman" w:hAnsi="Times New Roman"/>
        </w:rPr>
      </w:pPr>
      <w:r w:rsidRPr="0018093C">
        <w:rPr>
          <w:rStyle w:val="Strong"/>
          <w:rFonts w:ascii="Times New Roman" w:hAnsi="Times New Roman"/>
        </w:rPr>
        <w:t>EXHIBIT NO. ___(</w:t>
      </w:r>
      <w:r w:rsidR="002A1146" w:rsidRPr="0018093C">
        <w:rPr>
          <w:rStyle w:val="Strong"/>
          <w:rFonts w:ascii="Times New Roman" w:hAnsi="Times New Roman"/>
        </w:rPr>
        <w:t>RAM</w:t>
      </w:r>
      <w:r w:rsidRPr="0018093C">
        <w:rPr>
          <w:rStyle w:val="Strong"/>
          <w:rFonts w:ascii="Times New Roman" w:hAnsi="Times New Roman"/>
        </w:rPr>
        <w:t>-</w:t>
      </w:r>
      <w:r w:rsidR="002A1146" w:rsidRPr="0018093C">
        <w:rPr>
          <w:rStyle w:val="Strong"/>
          <w:rFonts w:ascii="Times New Roman" w:hAnsi="Times New Roman"/>
        </w:rPr>
        <w:t>16</w:t>
      </w:r>
      <w:r w:rsidRPr="0018093C">
        <w:rPr>
          <w:rStyle w:val="Strong"/>
          <w:rFonts w:ascii="Times New Roman" w:hAnsi="Times New Roman"/>
        </w:rPr>
        <w:t>T)</w:t>
      </w:r>
      <w:r w:rsidRPr="0018093C">
        <w:rPr>
          <w:rStyle w:val="Strong"/>
          <w:rFonts w:ascii="Times New Roman" w:hAnsi="Times New Roman"/>
        </w:rPr>
        <w:br/>
        <w:t>DOCKET NO. UE-121697/UG-121705</w:t>
      </w:r>
      <w:r w:rsidRPr="0018093C">
        <w:rPr>
          <w:rStyle w:val="Strong"/>
          <w:rFonts w:ascii="Times New Roman" w:hAnsi="Times New Roman"/>
        </w:rPr>
        <w:br/>
        <w:t>DOCKET NO. UE-130137/</w:t>
      </w:r>
      <w:r w:rsidR="00935EFE" w:rsidRPr="0018093C">
        <w:rPr>
          <w:rStyle w:val="Strong"/>
          <w:rFonts w:ascii="Times New Roman" w:hAnsi="Times New Roman"/>
        </w:rPr>
        <w:t>UG-</w:t>
      </w:r>
      <w:r w:rsidRPr="0018093C">
        <w:rPr>
          <w:rStyle w:val="Strong"/>
          <w:rFonts w:ascii="Times New Roman" w:hAnsi="Times New Roman"/>
        </w:rPr>
        <w:t>130138</w:t>
      </w:r>
      <w:r w:rsidRPr="0018093C">
        <w:rPr>
          <w:rStyle w:val="Strong"/>
          <w:rFonts w:ascii="Times New Roman" w:hAnsi="Times New Roman"/>
        </w:rPr>
        <w:br/>
        <w:t>WITNESS:  </w:t>
      </w:r>
      <w:r w:rsidR="002A1146" w:rsidRPr="0018093C">
        <w:rPr>
          <w:rFonts w:ascii="Times New Roman" w:hAnsi="Times New Roman"/>
          <w:b/>
          <w:lang w:eastAsia="en-US"/>
        </w:rPr>
        <w:t>DR. ROGER A. MORIN</w:t>
      </w:r>
    </w:p>
    <w:p w14:paraId="7B34439D" w14:textId="77777777" w:rsidR="00655ACB" w:rsidRPr="0018093C" w:rsidRDefault="00655ACB" w:rsidP="00655ACB">
      <w:pPr>
        <w:pStyle w:val="center"/>
        <w:keepLines w:val="0"/>
        <w:widowControl w:val="0"/>
        <w:spacing w:before="0" w:line="240" w:lineRule="auto"/>
        <w:rPr>
          <w:rFonts w:ascii="Times New Roman" w:hAnsi="Times New Roman"/>
          <w:b/>
        </w:rPr>
      </w:pPr>
    </w:p>
    <w:p w14:paraId="1F12DAF1" w14:textId="77777777" w:rsidR="00655ACB" w:rsidRPr="0018093C" w:rsidRDefault="00655ACB" w:rsidP="00655ACB">
      <w:pPr>
        <w:pStyle w:val="center"/>
        <w:keepLines w:val="0"/>
        <w:widowControl w:val="0"/>
        <w:spacing w:before="0" w:line="240" w:lineRule="auto"/>
        <w:rPr>
          <w:rFonts w:ascii="Times New Roman" w:hAnsi="Times New Roman"/>
          <w:b/>
        </w:rPr>
      </w:pPr>
    </w:p>
    <w:p w14:paraId="31662199" w14:textId="77777777" w:rsidR="00655ACB" w:rsidRPr="0018093C" w:rsidRDefault="00655ACB" w:rsidP="00655ACB">
      <w:pPr>
        <w:pStyle w:val="center"/>
        <w:keepLines w:val="0"/>
        <w:widowControl w:val="0"/>
        <w:spacing w:before="0" w:line="240" w:lineRule="auto"/>
        <w:rPr>
          <w:rFonts w:ascii="Times New Roman" w:hAnsi="Times New Roman"/>
          <w:b/>
        </w:rPr>
      </w:pPr>
    </w:p>
    <w:p w14:paraId="3623C073" w14:textId="77777777" w:rsidR="0088373F" w:rsidRPr="0018093C" w:rsidRDefault="0088373F" w:rsidP="00655ACB">
      <w:pPr>
        <w:pStyle w:val="center"/>
        <w:keepLines w:val="0"/>
        <w:widowControl w:val="0"/>
        <w:spacing w:before="0" w:line="240" w:lineRule="auto"/>
        <w:rPr>
          <w:rFonts w:ascii="Times New Roman" w:hAnsi="Times New Roman"/>
          <w:b/>
        </w:rPr>
      </w:pPr>
      <w:r w:rsidRPr="0018093C">
        <w:rPr>
          <w:rFonts w:ascii="Times New Roman" w:hAnsi="Times New Roman"/>
          <w:b/>
        </w:rPr>
        <w:t>BEFORE THE</w:t>
      </w:r>
    </w:p>
    <w:p w14:paraId="149ADBC3" w14:textId="77777777" w:rsidR="0088373F" w:rsidRPr="0018093C" w:rsidRDefault="0088373F" w:rsidP="00655ACB">
      <w:pPr>
        <w:pStyle w:val="center"/>
        <w:keepLines w:val="0"/>
        <w:widowControl w:val="0"/>
        <w:spacing w:before="0" w:line="240" w:lineRule="auto"/>
        <w:rPr>
          <w:rFonts w:ascii="Times New Roman" w:hAnsi="Times New Roman"/>
          <w:b/>
        </w:rPr>
      </w:pPr>
      <w:r w:rsidRPr="0018093C">
        <w:rPr>
          <w:rFonts w:ascii="Times New Roman" w:hAnsi="Times New Roman"/>
          <w:b/>
        </w:rPr>
        <w:t>WASHINGTON UTILITIES AND TRANSPORTATION COMMISSION</w:t>
      </w:r>
    </w:p>
    <w:p w14:paraId="13ED9578" w14:textId="77777777" w:rsidR="0088373F" w:rsidRPr="0018093C" w:rsidRDefault="0088373F" w:rsidP="00655ACB">
      <w:pPr>
        <w:pStyle w:val="center"/>
        <w:keepLines w:val="0"/>
        <w:widowControl w:val="0"/>
        <w:spacing w:before="0" w:line="240" w:lineRule="auto"/>
        <w:rPr>
          <w:rFonts w:ascii="Times New Roman" w:hAnsi="Times New Roman"/>
          <w:b/>
        </w:rPr>
      </w:pPr>
    </w:p>
    <w:p w14:paraId="1C8BD6F7" w14:textId="77777777" w:rsidR="007678F0" w:rsidRPr="0018093C" w:rsidRDefault="007678F0" w:rsidP="00655ACB">
      <w:pPr>
        <w:pStyle w:val="center"/>
        <w:keepLines w:val="0"/>
        <w:widowControl w:val="0"/>
        <w:spacing w:before="0" w:line="240" w:lineRule="auto"/>
        <w:rPr>
          <w:rFonts w:ascii="Times New Roman" w:hAnsi="Times New Roman"/>
          <w:b/>
        </w:rPr>
      </w:pPr>
    </w:p>
    <w:p w14:paraId="3BC28850" w14:textId="77777777" w:rsidR="00625D99" w:rsidRPr="0018093C"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18093C" w14:paraId="7E570B57" w14:textId="77777777" w:rsidTr="00625D99">
        <w:tc>
          <w:tcPr>
            <w:tcW w:w="4536" w:type="dxa"/>
            <w:tcBorders>
              <w:top w:val="nil"/>
              <w:left w:val="nil"/>
            </w:tcBorders>
          </w:tcPr>
          <w:p w14:paraId="30F442F3" w14:textId="77777777" w:rsidR="00625D99" w:rsidRPr="0018093C" w:rsidRDefault="00625D99" w:rsidP="00AA5FC5">
            <w:pPr>
              <w:spacing w:line="240" w:lineRule="auto"/>
              <w:ind w:firstLine="0"/>
            </w:pPr>
            <w:r w:rsidRPr="0018093C">
              <w:t>WASHINGTON UTILITIES AND TRANSPORTATION COMMISSION,</w:t>
            </w:r>
          </w:p>
          <w:p w14:paraId="25B92E9C" w14:textId="77777777" w:rsidR="00625D99" w:rsidRPr="0018093C" w:rsidRDefault="00625D99" w:rsidP="00AA5FC5">
            <w:pPr>
              <w:spacing w:line="240" w:lineRule="auto"/>
              <w:ind w:firstLine="0"/>
            </w:pPr>
          </w:p>
          <w:p w14:paraId="4C3DD157" w14:textId="77777777" w:rsidR="00625D99" w:rsidRPr="0018093C" w:rsidRDefault="00625D99" w:rsidP="00AA5FC5">
            <w:pPr>
              <w:spacing w:line="240" w:lineRule="auto"/>
              <w:ind w:firstLine="0"/>
            </w:pPr>
            <w:r w:rsidRPr="0018093C">
              <w:tab/>
              <w:t>Complainant,</w:t>
            </w:r>
          </w:p>
          <w:p w14:paraId="7A94D90F" w14:textId="77777777" w:rsidR="00625D99" w:rsidRPr="0018093C" w:rsidRDefault="00625D99" w:rsidP="00AA5FC5">
            <w:pPr>
              <w:spacing w:line="240" w:lineRule="auto"/>
              <w:ind w:left="1440" w:firstLine="0"/>
            </w:pPr>
          </w:p>
          <w:p w14:paraId="3B580837" w14:textId="77777777" w:rsidR="00625D99" w:rsidRPr="0018093C" w:rsidRDefault="00625D99" w:rsidP="00AA5FC5">
            <w:pPr>
              <w:spacing w:line="240" w:lineRule="auto"/>
              <w:ind w:left="1440" w:firstLine="0"/>
            </w:pPr>
            <w:r w:rsidRPr="0018093C">
              <w:t>v.</w:t>
            </w:r>
          </w:p>
          <w:p w14:paraId="3B3FF1E2" w14:textId="77777777" w:rsidR="00625D99" w:rsidRPr="0018093C" w:rsidRDefault="00625D99" w:rsidP="00AA5FC5">
            <w:pPr>
              <w:spacing w:line="240" w:lineRule="auto"/>
              <w:ind w:firstLine="0"/>
            </w:pPr>
          </w:p>
          <w:p w14:paraId="1F2F4505" w14:textId="77777777" w:rsidR="00625D99" w:rsidRPr="0018093C" w:rsidRDefault="00625D99" w:rsidP="00AA5FC5">
            <w:pPr>
              <w:spacing w:line="240" w:lineRule="auto"/>
              <w:ind w:firstLine="0"/>
            </w:pPr>
            <w:r w:rsidRPr="0018093C">
              <w:t xml:space="preserve">PUGET SOUND ENERGY, INC., </w:t>
            </w:r>
          </w:p>
          <w:p w14:paraId="73778317" w14:textId="77777777" w:rsidR="00625D99" w:rsidRPr="0018093C" w:rsidRDefault="00625D99" w:rsidP="00AA5FC5">
            <w:pPr>
              <w:spacing w:line="240" w:lineRule="auto"/>
              <w:ind w:firstLine="0"/>
            </w:pPr>
          </w:p>
          <w:p w14:paraId="4AED04FD" w14:textId="77777777" w:rsidR="00625D99" w:rsidRPr="0018093C" w:rsidRDefault="00625D99" w:rsidP="00AA5FC5">
            <w:pPr>
              <w:spacing w:line="240" w:lineRule="auto"/>
              <w:ind w:firstLine="0"/>
            </w:pPr>
            <w:r w:rsidRPr="0018093C">
              <w:tab/>
              <w:t>Respondent.</w:t>
            </w:r>
          </w:p>
          <w:p w14:paraId="01E52CAA" w14:textId="77777777" w:rsidR="00625D99" w:rsidRPr="0018093C" w:rsidRDefault="00625D99" w:rsidP="00AA5FC5">
            <w:pPr>
              <w:spacing w:line="240" w:lineRule="auto"/>
              <w:ind w:firstLine="0"/>
            </w:pPr>
          </w:p>
        </w:tc>
        <w:tc>
          <w:tcPr>
            <w:tcW w:w="4545" w:type="dxa"/>
            <w:tcBorders>
              <w:top w:val="nil"/>
              <w:bottom w:val="nil"/>
              <w:right w:val="nil"/>
            </w:tcBorders>
            <w:vAlign w:val="center"/>
          </w:tcPr>
          <w:p w14:paraId="4FEF2590" w14:textId="77777777" w:rsidR="00625D99" w:rsidRPr="0018093C" w:rsidRDefault="00625D99" w:rsidP="00655ACB">
            <w:pPr>
              <w:keepNext/>
              <w:keepLines/>
              <w:spacing w:line="240" w:lineRule="auto"/>
              <w:ind w:left="324" w:firstLine="0"/>
            </w:pPr>
            <w:r w:rsidRPr="0018093C">
              <w:t>DOCKET NOS. UE-121697</w:t>
            </w:r>
            <w:r w:rsidRPr="0018093C">
              <w:br/>
              <w:t>and UG-121705 (</w:t>
            </w:r>
            <w:r w:rsidRPr="0018093C">
              <w:rPr>
                <w:i/>
              </w:rPr>
              <w:t>consolidated</w:t>
            </w:r>
            <w:r w:rsidRPr="0018093C">
              <w:t>)</w:t>
            </w:r>
          </w:p>
          <w:p w14:paraId="2480DACF" w14:textId="77777777" w:rsidR="00625D99" w:rsidRPr="0018093C" w:rsidRDefault="00625D99" w:rsidP="00655ACB">
            <w:pPr>
              <w:keepNext/>
              <w:keepLines/>
              <w:spacing w:line="240" w:lineRule="auto"/>
              <w:ind w:left="324" w:firstLine="0"/>
            </w:pPr>
          </w:p>
        </w:tc>
      </w:tr>
      <w:tr w:rsidR="00625D99" w:rsidRPr="0018093C" w14:paraId="215F5E89" w14:textId="77777777" w:rsidTr="007B7904">
        <w:tc>
          <w:tcPr>
            <w:tcW w:w="4536" w:type="dxa"/>
            <w:tcBorders>
              <w:left w:val="nil"/>
            </w:tcBorders>
          </w:tcPr>
          <w:p w14:paraId="6C5B0822" w14:textId="77777777" w:rsidR="00625D99" w:rsidRPr="0018093C" w:rsidRDefault="00625D99" w:rsidP="00655ACB">
            <w:pPr>
              <w:spacing w:line="240" w:lineRule="auto"/>
              <w:ind w:firstLine="0"/>
            </w:pPr>
          </w:p>
          <w:p w14:paraId="7B53E02E" w14:textId="77777777" w:rsidR="00625D99" w:rsidRPr="0018093C" w:rsidRDefault="00625D99" w:rsidP="00655ACB">
            <w:pPr>
              <w:spacing w:line="240" w:lineRule="auto"/>
              <w:ind w:firstLine="0"/>
            </w:pPr>
            <w:r w:rsidRPr="0018093C">
              <w:t>WASHINGTON UTILITIES AND TRANSPORTATION COMMISSION,</w:t>
            </w:r>
          </w:p>
          <w:p w14:paraId="5BCC5133" w14:textId="77777777" w:rsidR="00625D99" w:rsidRPr="0018093C" w:rsidRDefault="00625D99" w:rsidP="00655ACB">
            <w:pPr>
              <w:spacing w:line="240" w:lineRule="auto"/>
              <w:ind w:firstLine="0"/>
            </w:pPr>
          </w:p>
          <w:p w14:paraId="4854018C" w14:textId="77777777" w:rsidR="00625D99" w:rsidRPr="0018093C" w:rsidRDefault="00625D99" w:rsidP="00655ACB">
            <w:pPr>
              <w:spacing w:line="240" w:lineRule="auto"/>
              <w:ind w:firstLine="0"/>
            </w:pPr>
            <w:r w:rsidRPr="0018093C">
              <w:tab/>
              <w:t>Complainant,</w:t>
            </w:r>
          </w:p>
          <w:p w14:paraId="59CC208A" w14:textId="77777777" w:rsidR="00625D99" w:rsidRPr="0018093C" w:rsidRDefault="00625D99" w:rsidP="00655ACB">
            <w:pPr>
              <w:spacing w:line="240" w:lineRule="auto"/>
              <w:ind w:left="1440" w:firstLine="0"/>
            </w:pPr>
          </w:p>
          <w:p w14:paraId="07092F52" w14:textId="77777777" w:rsidR="00625D99" w:rsidRPr="0018093C" w:rsidRDefault="00625D99" w:rsidP="00655ACB">
            <w:pPr>
              <w:spacing w:line="240" w:lineRule="auto"/>
              <w:ind w:left="1440" w:firstLine="0"/>
            </w:pPr>
            <w:r w:rsidRPr="0018093C">
              <w:t>v.</w:t>
            </w:r>
          </w:p>
          <w:p w14:paraId="06690075" w14:textId="77777777" w:rsidR="00625D99" w:rsidRPr="0018093C" w:rsidRDefault="00625D99" w:rsidP="00655ACB">
            <w:pPr>
              <w:spacing w:line="240" w:lineRule="auto"/>
              <w:ind w:firstLine="0"/>
            </w:pPr>
          </w:p>
          <w:p w14:paraId="05434DAB" w14:textId="77777777" w:rsidR="00625D99" w:rsidRPr="0018093C" w:rsidRDefault="00625D99" w:rsidP="00655ACB">
            <w:pPr>
              <w:spacing w:line="240" w:lineRule="auto"/>
              <w:ind w:firstLine="0"/>
            </w:pPr>
            <w:r w:rsidRPr="0018093C">
              <w:t xml:space="preserve">PUGET SOUND ENERGY, INC., </w:t>
            </w:r>
          </w:p>
          <w:p w14:paraId="02073F57" w14:textId="77777777" w:rsidR="00625D99" w:rsidRPr="0018093C" w:rsidRDefault="00625D99" w:rsidP="00655ACB">
            <w:pPr>
              <w:spacing w:line="240" w:lineRule="auto"/>
              <w:ind w:firstLine="0"/>
            </w:pPr>
          </w:p>
          <w:p w14:paraId="6B159224" w14:textId="77777777" w:rsidR="00625D99" w:rsidRPr="0018093C" w:rsidRDefault="00625D99" w:rsidP="00655ACB">
            <w:pPr>
              <w:spacing w:line="240" w:lineRule="auto"/>
              <w:ind w:firstLine="0"/>
            </w:pPr>
            <w:r w:rsidRPr="0018093C">
              <w:tab/>
              <w:t>Respondent.</w:t>
            </w:r>
          </w:p>
          <w:p w14:paraId="35946F5C" w14:textId="77777777" w:rsidR="00625D99" w:rsidRPr="0018093C" w:rsidRDefault="00625D99" w:rsidP="00655ACB">
            <w:pPr>
              <w:spacing w:line="240" w:lineRule="auto"/>
              <w:ind w:firstLine="0"/>
            </w:pPr>
          </w:p>
        </w:tc>
        <w:tc>
          <w:tcPr>
            <w:tcW w:w="4545" w:type="dxa"/>
            <w:tcBorders>
              <w:top w:val="nil"/>
              <w:bottom w:val="nil"/>
              <w:right w:val="nil"/>
            </w:tcBorders>
            <w:vAlign w:val="center"/>
          </w:tcPr>
          <w:p w14:paraId="1A80E5C7" w14:textId="77777777" w:rsidR="00625D99" w:rsidRPr="0018093C" w:rsidRDefault="00625D99" w:rsidP="00655ACB">
            <w:pPr>
              <w:keepNext/>
              <w:keepLines/>
              <w:spacing w:line="240" w:lineRule="auto"/>
              <w:ind w:left="331" w:firstLine="0"/>
            </w:pPr>
            <w:r w:rsidRPr="0018093C">
              <w:t>DOCKET NOS. UE-130137</w:t>
            </w:r>
            <w:r w:rsidRPr="0018093C">
              <w:br/>
              <w:t>and UG-130138 (</w:t>
            </w:r>
            <w:r w:rsidRPr="0018093C">
              <w:rPr>
                <w:i/>
              </w:rPr>
              <w:t>consolidated</w:t>
            </w:r>
            <w:r w:rsidRPr="0018093C">
              <w:t>)</w:t>
            </w:r>
          </w:p>
          <w:p w14:paraId="5DFBD676" w14:textId="77777777" w:rsidR="00625D99" w:rsidRPr="0018093C" w:rsidRDefault="00625D99" w:rsidP="00655ACB">
            <w:pPr>
              <w:keepNext/>
              <w:keepLines/>
              <w:spacing w:line="240" w:lineRule="auto"/>
              <w:ind w:left="324" w:firstLine="0"/>
            </w:pPr>
          </w:p>
        </w:tc>
      </w:tr>
    </w:tbl>
    <w:p w14:paraId="62BA764C" w14:textId="77777777" w:rsidR="0088373F" w:rsidRPr="0018093C" w:rsidRDefault="0088373F" w:rsidP="00655ACB">
      <w:pPr>
        <w:pStyle w:val="center"/>
        <w:keepLines w:val="0"/>
        <w:widowControl w:val="0"/>
        <w:spacing w:before="0" w:line="240" w:lineRule="auto"/>
        <w:rPr>
          <w:rFonts w:ascii="Times New Roman" w:hAnsi="Times New Roman"/>
          <w:b/>
        </w:rPr>
      </w:pPr>
    </w:p>
    <w:p w14:paraId="26593B38" w14:textId="77777777" w:rsidR="0088373F" w:rsidRPr="0018093C" w:rsidRDefault="0088373F" w:rsidP="00655ACB">
      <w:pPr>
        <w:pStyle w:val="center"/>
        <w:keepLines w:val="0"/>
        <w:widowControl w:val="0"/>
        <w:spacing w:before="0" w:line="240" w:lineRule="auto"/>
        <w:rPr>
          <w:rFonts w:ascii="Times New Roman" w:hAnsi="Times New Roman"/>
          <w:b/>
        </w:rPr>
      </w:pPr>
    </w:p>
    <w:p w14:paraId="4841A59D" w14:textId="77777777" w:rsidR="0088373F" w:rsidRPr="0018093C" w:rsidRDefault="0088373F" w:rsidP="00655ACB">
      <w:pPr>
        <w:pStyle w:val="center"/>
        <w:keepLines w:val="0"/>
        <w:widowControl w:val="0"/>
        <w:spacing w:before="0" w:line="240" w:lineRule="auto"/>
        <w:rPr>
          <w:rFonts w:ascii="Times New Roman" w:hAnsi="Times New Roman"/>
          <w:b/>
        </w:rPr>
      </w:pPr>
      <w:r w:rsidRPr="0018093C">
        <w:rPr>
          <w:rFonts w:ascii="Times New Roman" w:hAnsi="Times New Roman"/>
          <w:b/>
        </w:rPr>
        <w:t xml:space="preserve">PREFILED </w:t>
      </w:r>
      <w:r w:rsidR="006B09BA" w:rsidRPr="0018093C">
        <w:rPr>
          <w:rFonts w:ascii="Times New Roman" w:hAnsi="Times New Roman"/>
          <w:b/>
        </w:rPr>
        <w:t xml:space="preserve">REBUTTAL </w:t>
      </w:r>
      <w:r w:rsidRPr="0018093C">
        <w:rPr>
          <w:rFonts w:ascii="Times New Roman" w:hAnsi="Times New Roman"/>
          <w:b/>
        </w:rPr>
        <w:t>TESTIMONY (NONCONFIDENTIAL) OF</w:t>
      </w:r>
    </w:p>
    <w:p w14:paraId="197B62D0" w14:textId="77777777" w:rsidR="0088373F" w:rsidRPr="0018093C" w:rsidRDefault="002A1146" w:rsidP="00655ACB">
      <w:pPr>
        <w:pStyle w:val="center"/>
        <w:keepLines w:val="0"/>
        <w:widowControl w:val="0"/>
        <w:spacing w:before="0" w:line="240" w:lineRule="auto"/>
        <w:rPr>
          <w:rFonts w:ascii="Times New Roman" w:hAnsi="Times New Roman"/>
          <w:b/>
        </w:rPr>
      </w:pPr>
      <w:r w:rsidRPr="0018093C">
        <w:rPr>
          <w:rFonts w:ascii="Times New Roman" w:hAnsi="Times New Roman"/>
          <w:b/>
          <w:lang w:eastAsia="en-US"/>
        </w:rPr>
        <w:t>DR. ROGER A. MORIN</w:t>
      </w:r>
      <w:r w:rsidR="0088373F" w:rsidRPr="0018093C">
        <w:rPr>
          <w:rFonts w:ascii="Times New Roman" w:hAnsi="Times New Roman"/>
          <w:b/>
          <w:bCs/>
          <w:szCs w:val="24"/>
        </w:rPr>
        <w:br/>
      </w:r>
      <w:r w:rsidR="0088373F" w:rsidRPr="0018093C">
        <w:rPr>
          <w:rFonts w:ascii="Times New Roman" w:hAnsi="Times New Roman"/>
          <w:b/>
        </w:rPr>
        <w:t>ON BEHALF OF PUGET SOUND ENERGY, INC.</w:t>
      </w:r>
    </w:p>
    <w:p w14:paraId="2D8A72D2" w14:textId="77777777" w:rsidR="001A259E" w:rsidRPr="0018093C" w:rsidRDefault="001A259E" w:rsidP="00655ACB">
      <w:pPr>
        <w:pStyle w:val="center"/>
        <w:keepLines w:val="0"/>
        <w:widowControl w:val="0"/>
        <w:spacing w:before="0" w:line="240" w:lineRule="auto"/>
        <w:rPr>
          <w:rFonts w:ascii="Times New Roman" w:hAnsi="Times New Roman"/>
          <w:b/>
          <w:bCs/>
          <w:i/>
          <w:szCs w:val="24"/>
        </w:rPr>
      </w:pPr>
    </w:p>
    <w:p w14:paraId="3363B10A" w14:textId="77777777" w:rsidR="007678F0" w:rsidRPr="0018093C" w:rsidRDefault="007678F0" w:rsidP="00655ACB">
      <w:pPr>
        <w:pStyle w:val="center"/>
        <w:keepLines w:val="0"/>
        <w:widowControl w:val="0"/>
        <w:spacing w:before="0" w:line="240" w:lineRule="auto"/>
        <w:rPr>
          <w:rFonts w:ascii="Times New Roman" w:hAnsi="Times New Roman"/>
          <w:b/>
          <w:bCs/>
          <w:i/>
          <w:szCs w:val="24"/>
        </w:rPr>
      </w:pPr>
    </w:p>
    <w:p w14:paraId="128BA2CE" w14:textId="77777777" w:rsidR="007678F0" w:rsidRPr="0018093C" w:rsidRDefault="007678F0" w:rsidP="00655ACB">
      <w:pPr>
        <w:pStyle w:val="center"/>
        <w:keepLines w:val="0"/>
        <w:widowControl w:val="0"/>
        <w:spacing w:before="0" w:line="240" w:lineRule="auto"/>
        <w:rPr>
          <w:rFonts w:ascii="Times New Roman" w:hAnsi="Times New Roman"/>
          <w:b/>
          <w:bCs/>
          <w:i/>
          <w:szCs w:val="24"/>
        </w:rPr>
      </w:pPr>
    </w:p>
    <w:p w14:paraId="11F167F8" w14:textId="77777777" w:rsidR="00625D99" w:rsidRPr="0018093C" w:rsidRDefault="00625D99" w:rsidP="00655ACB">
      <w:pPr>
        <w:pStyle w:val="center"/>
        <w:keepLines w:val="0"/>
        <w:widowControl w:val="0"/>
        <w:spacing w:before="0" w:line="240" w:lineRule="auto"/>
        <w:rPr>
          <w:rFonts w:ascii="Times New Roman" w:hAnsi="Times New Roman"/>
          <w:b/>
          <w:bCs/>
          <w:i/>
          <w:szCs w:val="24"/>
        </w:rPr>
      </w:pPr>
    </w:p>
    <w:p w14:paraId="752E523B" w14:textId="77777777" w:rsidR="0088373F" w:rsidRPr="0018093C" w:rsidRDefault="006B09BA" w:rsidP="00655ACB">
      <w:pPr>
        <w:pStyle w:val="center"/>
        <w:keepLines w:val="0"/>
        <w:widowControl w:val="0"/>
        <w:spacing w:before="0" w:line="240" w:lineRule="auto"/>
        <w:rPr>
          <w:rFonts w:ascii="Times New Roman" w:hAnsi="Times New Roman"/>
          <w:b/>
          <w:bCs/>
          <w:szCs w:val="24"/>
        </w:rPr>
      </w:pPr>
      <w:r w:rsidRPr="0018093C">
        <w:rPr>
          <w:rFonts w:ascii="Times New Roman" w:hAnsi="Times New Roman"/>
          <w:b/>
        </w:rPr>
        <w:t>DECEMBER 19</w:t>
      </w:r>
      <w:r w:rsidR="0088373F" w:rsidRPr="0018093C">
        <w:rPr>
          <w:rFonts w:ascii="Times New Roman" w:hAnsi="Times New Roman"/>
          <w:b/>
        </w:rPr>
        <w:t>, 201</w:t>
      </w:r>
      <w:r w:rsidR="00625D99" w:rsidRPr="0018093C">
        <w:rPr>
          <w:rFonts w:ascii="Times New Roman" w:hAnsi="Times New Roman"/>
          <w:b/>
        </w:rPr>
        <w:t>4</w:t>
      </w:r>
    </w:p>
    <w:p w14:paraId="0D15AA08" w14:textId="77777777" w:rsidR="0088373F" w:rsidRPr="0018093C" w:rsidRDefault="0088373F" w:rsidP="000F4005">
      <w:pPr>
        <w:widowControl w:val="0"/>
        <w:spacing w:line="240" w:lineRule="auto"/>
        <w:ind w:firstLine="0"/>
        <w:jc w:val="center"/>
        <w:rPr>
          <w:b/>
          <w:bCs/>
          <w:szCs w:val="24"/>
        </w:rPr>
        <w:sectPr w:rsidR="0088373F" w:rsidRPr="0018093C">
          <w:headerReference w:type="default" r:id="rId13"/>
          <w:footerReference w:type="default" r:id="rId14"/>
          <w:pgSz w:w="12240" w:h="15840" w:code="1"/>
          <w:pgMar w:top="1440" w:right="1440" w:bottom="1440" w:left="2160" w:header="720" w:footer="864" w:gutter="0"/>
          <w:pgNumType w:start="1"/>
          <w:cols w:space="720"/>
          <w:rtlGutter/>
        </w:sectPr>
      </w:pPr>
    </w:p>
    <w:p w14:paraId="1328AD7B" w14:textId="77777777" w:rsidR="0088373F" w:rsidRPr="0018093C" w:rsidRDefault="0088373F" w:rsidP="00742234">
      <w:pPr>
        <w:keepNext/>
        <w:keepLines/>
        <w:spacing w:before="240" w:after="240" w:line="240" w:lineRule="auto"/>
        <w:ind w:left="547" w:right="547" w:firstLine="0"/>
        <w:jc w:val="center"/>
        <w:rPr>
          <w:b/>
          <w:bCs/>
          <w:szCs w:val="24"/>
        </w:rPr>
      </w:pPr>
      <w:r w:rsidRPr="0018093C">
        <w:rPr>
          <w:b/>
          <w:bCs/>
          <w:szCs w:val="24"/>
        </w:rPr>
        <w:lastRenderedPageBreak/>
        <w:t>PUGET SOUND ENERGY, INC.</w:t>
      </w:r>
    </w:p>
    <w:p w14:paraId="1A94007B" w14:textId="77777777" w:rsidR="0088373F" w:rsidRPr="0018093C" w:rsidRDefault="0088373F" w:rsidP="00742234">
      <w:pPr>
        <w:keepNext/>
        <w:keepLines/>
        <w:spacing w:before="240" w:after="240" w:line="240" w:lineRule="auto"/>
        <w:ind w:left="547" w:right="547" w:firstLine="0"/>
        <w:jc w:val="center"/>
        <w:rPr>
          <w:b/>
          <w:bCs/>
          <w:szCs w:val="24"/>
        </w:rPr>
      </w:pPr>
      <w:r w:rsidRPr="0018093C">
        <w:rPr>
          <w:b/>
          <w:bCs/>
          <w:szCs w:val="24"/>
        </w:rPr>
        <w:t xml:space="preserve">PREFILED </w:t>
      </w:r>
      <w:r w:rsidR="006B09BA" w:rsidRPr="0018093C">
        <w:rPr>
          <w:b/>
          <w:bCs/>
          <w:szCs w:val="24"/>
        </w:rPr>
        <w:t xml:space="preserve">REBUTTAL </w:t>
      </w:r>
      <w:r w:rsidRPr="0018093C">
        <w:rPr>
          <w:b/>
          <w:bCs/>
          <w:szCs w:val="24"/>
        </w:rPr>
        <w:t xml:space="preserve">TESTIMONY </w:t>
      </w:r>
      <w:r w:rsidRPr="0018093C">
        <w:rPr>
          <w:b/>
          <w:bCs/>
          <w:szCs w:val="24"/>
        </w:rPr>
        <w:br/>
        <w:t xml:space="preserve">(NONCONFIDENTIAL) OF </w:t>
      </w:r>
      <w:bookmarkStart w:id="0" w:name="TOCTitle"/>
      <w:r w:rsidR="002A1146" w:rsidRPr="0018093C">
        <w:rPr>
          <w:b/>
          <w:lang w:eastAsia="en-US"/>
        </w:rPr>
        <w:t>DR. ROGER A. MORIN</w:t>
      </w:r>
    </w:p>
    <w:p w14:paraId="3AE33C63" w14:textId="77777777" w:rsidR="0088373F" w:rsidRPr="0018093C" w:rsidRDefault="0088373F" w:rsidP="006E0E79">
      <w:pPr>
        <w:keepNext/>
        <w:keepLines/>
        <w:spacing w:before="240" w:after="360" w:line="240" w:lineRule="auto"/>
        <w:ind w:left="547" w:right="547" w:firstLine="0"/>
        <w:jc w:val="center"/>
        <w:rPr>
          <w:b/>
          <w:bCs/>
          <w:szCs w:val="24"/>
        </w:rPr>
      </w:pPr>
      <w:r w:rsidRPr="0018093C">
        <w:rPr>
          <w:b/>
          <w:bCs/>
        </w:rPr>
        <w:t>CONTENTS</w:t>
      </w:r>
      <w:bookmarkEnd w:id="0"/>
    </w:p>
    <w:p w14:paraId="6A1B50F0" w14:textId="32E8D5C4" w:rsidR="00A855A5" w:rsidRPr="00067A66" w:rsidRDefault="00A855A5">
      <w:pPr>
        <w:pStyle w:val="TOC1"/>
        <w:rPr>
          <w:rFonts w:asciiTheme="minorHAnsi" w:eastAsiaTheme="minorEastAsia" w:hAnsiTheme="minorHAnsi" w:cstheme="minorBidi"/>
          <w:color w:val="auto"/>
          <w:sz w:val="22"/>
          <w:szCs w:val="22"/>
          <w:lang w:eastAsia="en-US"/>
        </w:rPr>
      </w:pPr>
      <w:r w:rsidRPr="00067A66">
        <w:rPr>
          <w:rFonts w:ascii="Times New Roman" w:hAnsi="Times New Roman"/>
          <w:color w:val="auto"/>
        </w:rPr>
        <w:t>I.</w:t>
      </w:r>
      <w:r w:rsidRPr="00067A66">
        <w:rPr>
          <w:rFonts w:asciiTheme="minorHAnsi" w:eastAsiaTheme="minorEastAsia" w:hAnsiTheme="minorHAnsi" w:cstheme="minorBidi"/>
          <w:color w:val="auto"/>
          <w:sz w:val="22"/>
          <w:szCs w:val="22"/>
          <w:lang w:eastAsia="en-US"/>
        </w:rPr>
        <w:tab/>
      </w:r>
      <w:r w:rsidRPr="00067A66">
        <w:rPr>
          <w:rFonts w:ascii="Times New Roman" w:hAnsi="Times New Roman"/>
          <w:color w:val="auto"/>
        </w:rPr>
        <w:t>INTRODUCTION</w:t>
      </w:r>
      <w:r w:rsidRPr="00067A66">
        <w:rPr>
          <w:webHidden/>
          <w:color w:val="auto"/>
        </w:rPr>
        <w:tab/>
        <w:t>1</w:t>
      </w:r>
    </w:p>
    <w:p w14:paraId="34FCECF1" w14:textId="2E823234" w:rsidR="00A855A5" w:rsidRPr="00067A66" w:rsidRDefault="00A855A5">
      <w:pPr>
        <w:pStyle w:val="TOC1"/>
        <w:rPr>
          <w:rFonts w:asciiTheme="minorHAnsi" w:eastAsiaTheme="minorEastAsia" w:hAnsiTheme="minorHAnsi" w:cstheme="minorBidi"/>
          <w:color w:val="auto"/>
          <w:sz w:val="22"/>
          <w:szCs w:val="22"/>
          <w:lang w:eastAsia="en-US"/>
        </w:rPr>
      </w:pPr>
      <w:r w:rsidRPr="00067A66">
        <w:rPr>
          <w:rFonts w:ascii="Times New Roman" w:hAnsi="Times New Roman"/>
          <w:color w:val="auto"/>
        </w:rPr>
        <w:t>II.</w:t>
      </w:r>
      <w:r w:rsidRPr="00067A66">
        <w:rPr>
          <w:rFonts w:asciiTheme="minorHAnsi" w:eastAsiaTheme="minorEastAsia" w:hAnsiTheme="minorHAnsi" w:cstheme="minorBidi"/>
          <w:color w:val="auto"/>
          <w:sz w:val="22"/>
          <w:szCs w:val="22"/>
          <w:lang w:eastAsia="en-US"/>
        </w:rPr>
        <w:tab/>
      </w:r>
      <w:r w:rsidRPr="00067A66">
        <w:rPr>
          <w:rFonts w:ascii="Times New Roman" w:hAnsi="Times New Roman"/>
          <w:snapToGrid w:val="0"/>
          <w:color w:val="auto"/>
          <w:lang w:eastAsia="en-US"/>
        </w:rPr>
        <w:t>REBUTTAL TO MR. HILL’S TESTIMONY</w:t>
      </w:r>
      <w:r w:rsidRPr="00067A66">
        <w:rPr>
          <w:webHidden/>
          <w:color w:val="auto"/>
        </w:rPr>
        <w:tab/>
        <w:t>3</w:t>
      </w:r>
    </w:p>
    <w:p w14:paraId="661AA6A6" w14:textId="3EDE03B5"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Mr. Hill’s Recommended ROE for PSE is Outside the Mainstream for Electric and Combination Electric and Gas Utilities</w:t>
      </w:r>
      <w:r w:rsidRPr="00067A66">
        <w:rPr>
          <w:webHidden/>
          <w:color w:val="auto"/>
        </w:rPr>
        <w:tab/>
        <w:t>5</w:t>
      </w:r>
    </w:p>
    <w:p w14:paraId="27782AFD" w14:textId="76BC241C"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Hill’s DCF Results Should be Given Very Little, If Any, Weight Because Mr. Hill Has Relied on Erroneous Data Inputs</w:t>
      </w:r>
      <w:r w:rsidRPr="00067A66">
        <w:rPr>
          <w:webHidden/>
          <w:color w:val="auto"/>
        </w:rPr>
        <w:tab/>
        <w:t>9</w:t>
      </w:r>
    </w:p>
    <w:p w14:paraId="4815E8FA" w14:textId="5C2E02CD"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Hill’s DCF Analysis Relies Upon an Unnecessarily Small Sample Group of Comparable Utilities</w:t>
      </w:r>
      <w:r w:rsidRPr="00067A66">
        <w:rPr>
          <w:webHidden/>
          <w:color w:val="auto"/>
        </w:rPr>
        <w:tab/>
        <w:t>9</w:t>
      </w:r>
    </w:p>
    <w:p w14:paraId="0B979A16" w14:textId="6C6E3DB7"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Average Dividend Yield Projection is a Function of the Unnecessarily Small Sample Group of Comparable Utilities in His Analyses</w:t>
      </w:r>
      <w:r w:rsidRPr="00067A66">
        <w:rPr>
          <w:webHidden/>
          <w:color w:val="auto"/>
        </w:rPr>
        <w:tab/>
        <w:t>11</w:t>
      </w:r>
    </w:p>
    <w:p w14:paraId="51FEFA9C" w14:textId="7C9315ED"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3.</w:t>
      </w:r>
      <w:r w:rsidRPr="00067A66">
        <w:rPr>
          <w:rFonts w:asciiTheme="minorHAnsi" w:eastAsiaTheme="minorEastAsia" w:hAnsiTheme="minorHAnsi" w:cstheme="minorBidi"/>
          <w:color w:val="auto"/>
          <w:sz w:val="22"/>
          <w:szCs w:val="22"/>
          <w:lang w:eastAsia="en-US"/>
        </w:rPr>
        <w:tab/>
      </w:r>
      <w:r w:rsidRPr="00067A66">
        <w:rPr>
          <w:color w:val="auto"/>
        </w:rPr>
        <w:t>Mr. Hill’s DCF Analysis Uses Ambiguous and Arbitrary Growth Rates, Improperly Relies Upon the Sustainable Growth Methodology, and Erroneously Uses Historical Growth Rates</w:t>
      </w:r>
      <w:r w:rsidRPr="00067A66">
        <w:rPr>
          <w:webHidden/>
          <w:color w:val="auto"/>
        </w:rPr>
        <w:tab/>
        <w:t>12</w:t>
      </w:r>
    </w:p>
    <w:p w14:paraId="3DE10A7D" w14:textId="21437FD7"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Mr. Hill Uses an Ambiguous and Arbitrary Growth Rate for Each Utility in His DCF Analysis</w:t>
      </w:r>
      <w:r w:rsidRPr="00067A66">
        <w:rPr>
          <w:webHidden/>
          <w:color w:val="auto"/>
        </w:rPr>
        <w:tab/>
        <w:t>12</w:t>
      </w:r>
    </w:p>
    <w:p w14:paraId="7D5C32C0" w14:textId="670C6815"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Hill Relies on the Sustainable Growth Methodology in the DCF Analysis Whereby He is Forced to Assume the Answer to Implement the Methodology.</w:t>
      </w:r>
      <w:r w:rsidRPr="00067A66">
        <w:rPr>
          <w:webHidden/>
          <w:color w:val="auto"/>
        </w:rPr>
        <w:tab/>
        <w:t>16</w:t>
      </w:r>
    </w:p>
    <w:p w14:paraId="5513EBAE" w14:textId="4C958CB2"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Mr. Hill Erroneously Relies on Historical Growth Rates in His DCF Analysis</w:t>
      </w:r>
      <w:r w:rsidRPr="00067A66">
        <w:rPr>
          <w:webHidden/>
          <w:color w:val="auto"/>
        </w:rPr>
        <w:tab/>
        <w:t>21</w:t>
      </w:r>
    </w:p>
    <w:p w14:paraId="78455CAE" w14:textId="3981096A"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Mr. Hill’s CAPM Results Should be Given Very Little, If Any, Weight Because Mr. Hill Has Relied on Erroneous Data Inputs.</w:t>
      </w:r>
      <w:r w:rsidRPr="00067A66">
        <w:rPr>
          <w:webHidden/>
          <w:color w:val="auto"/>
        </w:rPr>
        <w:tab/>
        <w:t>22</w:t>
      </w:r>
    </w:p>
    <w:p w14:paraId="180183B0" w14:textId="44C07012"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 Uses an Inappropriate Risk-Free Rate In His CAPM Analysis</w:t>
      </w:r>
      <w:r w:rsidRPr="00067A66">
        <w:rPr>
          <w:webHidden/>
          <w:color w:val="auto"/>
        </w:rPr>
        <w:tab/>
        <w:t>23</w:t>
      </w:r>
    </w:p>
    <w:p w14:paraId="0D25AFD0" w14:textId="720F0683"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Average Beta is a Function of the Unnecessarily Small Sample Group of Comparable Utilities in Analyses</w:t>
      </w:r>
      <w:r w:rsidRPr="00067A66">
        <w:rPr>
          <w:webHidden/>
          <w:color w:val="auto"/>
        </w:rPr>
        <w:tab/>
        <w:t>24</w:t>
      </w:r>
    </w:p>
    <w:p w14:paraId="79D66CDD" w14:textId="43F01AA4"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lastRenderedPageBreak/>
        <w:t>3.</w:t>
      </w:r>
      <w:r w:rsidRPr="00067A66">
        <w:rPr>
          <w:rFonts w:asciiTheme="minorHAnsi" w:eastAsiaTheme="minorEastAsia" w:hAnsiTheme="minorHAnsi" w:cstheme="minorBidi"/>
          <w:color w:val="auto"/>
          <w:sz w:val="22"/>
          <w:szCs w:val="22"/>
          <w:lang w:eastAsia="en-US"/>
        </w:rPr>
        <w:tab/>
      </w:r>
      <w:r w:rsidRPr="00067A66">
        <w:rPr>
          <w:color w:val="auto"/>
        </w:rPr>
        <w:t>Mr. Hill Uses an Inappropriate Market Risk Premium Rate In His CAPM Analysis</w:t>
      </w:r>
      <w:r w:rsidRPr="00067A66">
        <w:rPr>
          <w:webHidden/>
          <w:color w:val="auto"/>
        </w:rPr>
        <w:tab/>
        <w:t>24</w:t>
      </w:r>
    </w:p>
    <w:p w14:paraId="321B643B" w14:textId="47320170"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D.</w:t>
      </w:r>
      <w:r w:rsidRPr="00067A66">
        <w:rPr>
          <w:rFonts w:asciiTheme="minorHAnsi" w:eastAsiaTheme="minorEastAsia" w:hAnsiTheme="minorHAnsi" w:cstheme="minorBidi"/>
          <w:color w:val="auto"/>
          <w:sz w:val="22"/>
          <w:szCs w:val="22"/>
          <w:lang w:eastAsia="en-US"/>
        </w:rPr>
        <w:tab/>
      </w:r>
      <w:r w:rsidRPr="00067A66">
        <w:rPr>
          <w:color w:val="auto"/>
        </w:rPr>
        <w:t>Mr. Hill Improperly Uses a Modified Earning Price Ratio and Market-to-Book Ratio Analyses, Each of Which is a Disguised Versions of the DCF</w:t>
      </w:r>
      <w:r w:rsidRPr="00067A66">
        <w:rPr>
          <w:webHidden/>
          <w:color w:val="auto"/>
        </w:rPr>
        <w:tab/>
        <w:t>26</w:t>
      </w:r>
    </w:p>
    <w:p w14:paraId="5FE0EE58" w14:textId="218E06C9"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Hill’s Modified Earnings-Price Ratio Analysis is Inappropriate and Inapplicable</w:t>
      </w:r>
      <w:r w:rsidRPr="00067A66">
        <w:rPr>
          <w:webHidden/>
          <w:color w:val="auto"/>
        </w:rPr>
        <w:tab/>
        <w:t>26</w:t>
      </w:r>
    </w:p>
    <w:p w14:paraId="532487AD" w14:textId="49206346"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Market-to-Book Ratio Analysis is Also Inappropriate and Inapplicable</w:t>
      </w:r>
      <w:r w:rsidRPr="00067A66">
        <w:rPr>
          <w:webHidden/>
          <w:color w:val="auto"/>
        </w:rPr>
        <w:tab/>
        <w:t>28</w:t>
      </w:r>
    </w:p>
    <w:p w14:paraId="3B75CC4B" w14:textId="1CC707D5"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E.</w:t>
      </w:r>
      <w:r w:rsidRPr="00067A66">
        <w:rPr>
          <w:rFonts w:asciiTheme="minorHAnsi" w:eastAsiaTheme="minorEastAsia" w:hAnsiTheme="minorHAnsi" w:cstheme="minorBidi"/>
          <w:color w:val="auto"/>
          <w:sz w:val="22"/>
          <w:szCs w:val="22"/>
          <w:lang w:eastAsia="en-US"/>
        </w:rPr>
        <w:tab/>
      </w:r>
      <w:r w:rsidRPr="00067A66">
        <w:rPr>
          <w:color w:val="auto"/>
        </w:rPr>
        <w:t>The Commission Should Reject Mr. Hill’s Downward ROE Adjustment Of 35 Basis Points For Decoupling.</w:t>
      </w:r>
      <w:r w:rsidRPr="00067A66">
        <w:rPr>
          <w:webHidden/>
          <w:color w:val="auto"/>
        </w:rPr>
        <w:tab/>
        <w:t>29</w:t>
      </w:r>
    </w:p>
    <w:p w14:paraId="312B27EC" w14:textId="4D520BBA"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F.</w:t>
      </w:r>
      <w:r w:rsidRPr="00067A66">
        <w:rPr>
          <w:rFonts w:asciiTheme="minorHAnsi" w:eastAsiaTheme="minorEastAsia" w:hAnsiTheme="minorHAnsi" w:cstheme="minorBidi"/>
          <w:color w:val="auto"/>
          <w:sz w:val="22"/>
          <w:szCs w:val="22"/>
          <w:lang w:eastAsia="en-US"/>
        </w:rPr>
        <w:tab/>
      </w:r>
      <w:r w:rsidRPr="00067A66">
        <w:rPr>
          <w:color w:val="auto"/>
        </w:rPr>
        <w:t>Mr. Hill’s Criticisms Of My Testimony Are Unfounded And Without Merit, And Should Be Ignored By The Commission.</w:t>
      </w:r>
      <w:r w:rsidRPr="00067A66">
        <w:rPr>
          <w:webHidden/>
          <w:color w:val="auto"/>
        </w:rPr>
        <w:tab/>
        <w:t>31</w:t>
      </w:r>
    </w:p>
    <w:p w14:paraId="5FA757EF" w14:textId="34BC7129"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Hill’s Criticisms Of My DCF Analyses Are Unfounded And Without Merit</w:t>
      </w:r>
      <w:r w:rsidRPr="00067A66">
        <w:rPr>
          <w:webHidden/>
          <w:color w:val="auto"/>
        </w:rPr>
        <w:tab/>
        <w:t>31</w:t>
      </w:r>
    </w:p>
    <w:p w14:paraId="31E54571" w14:textId="6F3FEABC"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The Dividend Yield Used in My DCF Analyses Does Not Double-Count the Expected Dividend Yield for Growth</w:t>
      </w:r>
      <w:r w:rsidRPr="00067A66">
        <w:rPr>
          <w:webHidden/>
          <w:color w:val="auto"/>
        </w:rPr>
        <w:tab/>
        <w:t>31</w:t>
      </w:r>
    </w:p>
    <w:p w14:paraId="43A5BCD1" w14:textId="5C921E43"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Analysts’ Growth Rate Forecasts Are Reasonable Indicators Of Investor Expectations</w:t>
      </w:r>
      <w:r w:rsidRPr="00067A66">
        <w:rPr>
          <w:webHidden/>
          <w:color w:val="auto"/>
        </w:rPr>
        <w:tab/>
        <w:t>32</w:t>
      </w:r>
    </w:p>
    <w:p w14:paraId="484983AE" w14:textId="4269DF90"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Market-To-Book (M/B) Ratios</w:t>
      </w:r>
      <w:r w:rsidRPr="00067A66">
        <w:rPr>
          <w:webHidden/>
          <w:color w:val="auto"/>
        </w:rPr>
        <w:tab/>
        <w:t>36</w:t>
      </w:r>
    </w:p>
    <w:p w14:paraId="474D7750" w14:textId="72A7FD8B"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Criticisms Of My CAPM Analyses Are Unfounded And Without Merit</w:t>
      </w:r>
      <w:r w:rsidRPr="00067A66">
        <w:rPr>
          <w:webHidden/>
          <w:color w:val="auto"/>
        </w:rPr>
        <w:tab/>
        <w:t>39</w:t>
      </w:r>
    </w:p>
    <w:p w14:paraId="01E70E62" w14:textId="029FE5E5"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Use of Projected Long-Term Treasury Interest Rates as the Risk-Free Rate for CAPM is Entirely Appropriate</w:t>
      </w:r>
      <w:r w:rsidRPr="00067A66">
        <w:rPr>
          <w:webHidden/>
          <w:color w:val="auto"/>
        </w:rPr>
        <w:tab/>
        <w:t>39</w:t>
      </w:r>
    </w:p>
    <w:p w14:paraId="181F82AC" w14:textId="2A9BD3BC"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Hill Does Not Take Issue With the Beta of 0.72 for Purposes of the CAPM</w:t>
      </w:r>
      <w:r w:rsidRPr="00067A66">
        <w:rPr>
          <w:webHidden/>
          <w:color w:val="auto"/>
        </w:rPr>
        <w:tab/>
        <w:t>40</w:t>
      </w:r>
    </w:p>
    <w:p w14:paraId="0BE4B564" w14:textId="009A24B3"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CAPM Market Risk Premium</w:t>
      </w:r>
      <w:r w:rsidRPr="00067A66">
        <w:rPr>
          <w:webHidden/>
          <w:color w:val="auto"/>
        </w:rPr>
        <w:tab/>
        <w:t>40</w:t>
      </w:r>
    </w:p>
    <w:p w14:paraId="600F6A95" w14:textId="21BCD8BA"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Empirical CAPM</w:t>
      </w:r>
      <w:r w:rsidRPr="00067A66">
        <w:rPr>
          <w:webHidden/>
          <w:color w:val="auto"/>
        </w:rPr>
        <w:tab/>
        <w:t>45</w:t>
      </w:r>
    </w:p>
    <w:p w14:paraId="4A78CB3E" w14:textId="2D7298F8"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3.</w:t>
      </w:r>
      <w:r w:rsidRPr="00067A66">
        <w:rPr>
          <w:rFonts w:asciiTheme="minorHAnsi" w:eastAsiaTheme="minorEastAsia" w:hAnsiTheme="minorHAnsi" w:cstheme="minorBidi"/>
          <w:color w:val="auto"/>
          <w:sz w:val="22"/>
          <w:szCs w:val="22"/>
          <w:lang w:eastAsia="en-US"/>
        </w:rPr>
        <w:tab/>
      </w:r>
      <w:r w:rsidRPr="00067A66">
        <w:rPr>
          <w:color w:val="auto"/>
        </w:rPr>
        <w:t>Mr. Hill’s Criticisms Of My Risk Premium Analyses Are Unfounded And Without Merit</w:t>
      </w:r>
      <w:r w:rsidRPr="00067A66">
        <w:rPr>
          <w:webHidden/>
          <w:color w:val="auto"/>
        </w:rPr>
        <w:tab/>
        <w:t>47</w:t>
      </w:r>
    </w:p>
    <w:p w14:paraId="1719DFB2" w14:textId="21F080E3"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G.</w:t>
      </w:r>
      <w:r w:rsidRPr="00067A66">
        <w:rPr>
          <w:rFonts w:asciiTheme="minorHAnsi" w:eastAsiaTheme="minorEastAsia" w:hAnsiTheme="minorHAnsi" w:cstheme="minorBidi"/>
          <w:color w:val="auto"/>
          <w:sz w:val="22"/>
          <w:szCs w:val="22"/>
          <w:lang w:eastAsia="en-US"/>
        </w:rPr>
        <w:tab/>
      </w:r>
      <w:r w:rsidRPr="00067A66">
        <w:rPr>
          <w:color w:val="auto"/>
        </w:rPr>
        <w:t>Conclusions</w:t>
      </w:r>
      <w:r w:rsidRPr="00067A66">
        <w:rPr>
          <w:webHidden/>
          <w:color w:val="auto"/>
        </w:rPr>
        <w:tab/>
        <w:t>50</w:t>
      </w:r>
    </w:p>
    <w:p w14:paraId="56A75ECB" w14:textId="3D732811" w:rsidR="00A855A5" w:rsidRPr="00067A66" w:rsidRDefault="00A855A5">
      <w:pPr>
        <w:pStyle w:val="TOC1"/>
        <w:rPr>
          <w:rFonts w:asciiTheme="minorHAnsi" w:eastAsiaTheme="minorEastAsia" w:hAnsiTheme="minorHAnsi" w:cstheme="minorBidi"/>
          <w:color w:val="auto"/>
          <w:sz w:val="22"/>
          <w:szCs w:val="22"/>
          <w:lang w:eastAsia="en-US"/>
        </w:rPr>
      </w:pPr>
      <w:r w:rsidRPr="00067A66">
        <w:rPr>
          <w:color w:val="auto"/>
        </w:rPr>
        <w:lastRenderedPageBreak/>
        <w:t>III.</w:t>
      </w:r>
      <w:r w:rsidRPr="00067A66">
        <w:rPr>
          <w:rFonts w:asciiTheme="minorHAnsi" w:eastAsiaTheme="minorEastAsia" w:hAnsiTheme="minorHAnsi" w:cstheme="minorBidi"/>
          <w:color w:val="auto"/>
          <w:sz w:val="22"/>
          <w:szCs w:val="22"/>
          <w:lang w:eastAsia="en-US"/>
        </w:rPr>
        <w:tab/>
      </w:r>
      <w:r w:rsidRPr="00067A66">
        <w:rPr>
          <w:color w:val="auto"/>
        </w:rPr>
        <w:t>REBUTTAL TO MR. GORMAN’S TESTIMONY</w:t>
      </w:r>
      <w:r w:rsidRPr="00067A66">
        <w:rPr>
          <w:webHidden/>
          <w:color w:val="auto"/>
        </w:rPr>
        <w:tab/>
        <w:t>52</w:t>
      </w:r>
    </w:p>
    <w:p w14:paraId="6DEC7540" w14:textId="724C0838"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Mr. Gorman’s Recommended ROE for PSE is Outside the Mainstream for Electric and Combination Electric and Gas Utilities</w:t>
      </w:r>
      <w:r w:rsidRPr="00067A66">
        <w:rPr>
          <w:webHidden/>
          <w:color w:val="auto"/>
        </w:rPr>
        <w:tab/>
        <w:t>53</w:t>
      </w:r>
    </w:p>
    <w:p w14:paraId="235AFA7C" w14:textId="0CB80330"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Gorman’s DCF Results Should be Given Very Little, If Any, Weight Because Mr. Gorman Has Relied on Erroneous Data Inputs</w:t>
      </w:r>
      <w:r w:rsidRPr="00067A66">
        <w:rPr>
          <w:webHidden/>
          <w:color w:val="auto"/>
        </w:rPr>
        <w:tab/>
        <w:t>54</w:t>
      </w:r>
    </w:p>
    <w:p w14:paraId="74481F9D" w14:textId="635508EB"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Gorman Relies on the Sustainable Growth Methodology in the DCF Analysis Whereby He is Forced to Assume the Answer to Implement the Methodology.</w:t>
      </w:r>
      <w:r w:rsidRPr="00067A66">
        <w:rPr>
          <w:webHidden/>
          <w:color w:val="auto"/>
        </w:rPr>
        <w:tab/>
        <w:t>54</w:t>
      </w:r>
    </w:p>
    <w:p w14:paraId="0DF1CF90" w14:textId="492CDD82"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Gorman’s Multi-Stage DCF Analysis Relies Upon an Artificially Low Gross Domestic Product (“GDP”) Growth Rate for the Long-Term Growth Rate</w:t>
      </w:r>
      <w:r w:rsidRPr="00067A66">
        <w:rPr>
          <w:webHidden/>
          <w:color w:val="auto"/>
        </w:rPr>
        <w:tab/>
        <w:t>55</w:t>
      </w:r>
    </w:p>
    <w:p w14:paraId="10B46EA7" w14:textId="1C6AFF2B"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Mr. Gorman’s CAPM Results Should be Given Very Little, If Any, Weight Because Mr. Gorman Has Relied on Erroneous Data Inputs.</w:t>
      </w:r>
      <w:r w:rsidRPr="00067A66">
        <w:rPr>
          <w:webHidden/>
          <w:color w:val="auto"/>
        </w:rPr>
        <w:tab/>
        <w:t>58</w:t>
      </w:r>
    </w:p>
    <w:p w14:paraId="7505BE01" w14:textId="56F3AC39"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Gorman’s Uses a Risk-Free Rate in His CAPM Analysis that is Far Too Low</w:t>
      </w:r>
      <w:r w:rsidRPr="00067A66">
        <w:rPr>
          <w:webHidden/>
          <w:color w:val="auto"/>
        </w:rPr>
        <w:tab/>
        <w:t>58</w:t>
      </w:r>
    </w:p>
    <w:p w14:paraId="7857152F" w14:textId="73081836"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Gorman’s CAPM Analyses Relies Upon an Artificially Low Market Risk Premium</w:t>
      </w:r>
      <w:r w:rsidRPr="00067A66">
        <w:rPr>
          <w:webHidden/>
          <w:color w:val="auto"/>
        </w:rPr>
        <w:tab/>
        <w:t>59</w:t>
      </w:r>
    </w:p>
    <w:p w14:paraId="3FD4B0C6" w14:textId="2D093C05"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D.</w:t>
      </w:r>
      <w:r w:rsidRPr="00067A66">
        <w:rPr>
          <w:rFonts w:asciiTheme="minorHAnsi" w:eastAsiaTheme="minorEastAsia" w:hAnsiTheme="minorHAnsi" w:cstheme="minorBidi"/>
          <w:color w:val="auto"/>
          <w:sz w:val="22"/>
          <w:szCs w:val="22"/>
          <w:lang w:eastAsia="en-US"/>
        </w:rPr>
        <w:tab/>
      </w:r>
      <w:r w:rsidRPr="00067A66">
        <w:rPr>
          <w:color w:val="auto"/>
        </w:rPr>
        <w:t xml:space="preserve">Mr. Gorman’s </w:t>
      </w:r>
      <w:r w:rsidRPr="00067A66">
        <w:rPr>
          <w:snapToGrid w:val="0"/>
          <w:color w:val="auto"/>
          <w:lang w:eastAsia="en-US"/>
        </w:rPr>
        <w:t>Historical Risk Premium Analysis</w:t>
      </w:r>
      <w:r w:rsidRPr="00067A66">
        <w:rPr>
          <w:color w:val="auto"/>
        </w:rPr>
        <w:t xml:space="preserve"> Relies Upon an Artificially Low Interest Rate and Fails to Recognize the Inverse Relationship Between the Risk Premium and Interest Rates</w:t>
      </w:r>
      <w:r w:rsidRPr="00067A66">
        <w:rPr>
          <w:webHidden/>
          <w:color w:val="auto"/>
        </w:rPr>
        <w:tab/>
        <w:t>60</w:t>
      </w:r>
    </w:p>
    <w:p w14:paraId="5D8E69C7" w14:textId="307E6632" w:rsidR="00A855A5" w:rsidRPr="00067A66" w:rsidRDefault="00A855A5">
      <w:pPr>
        <w:pStyle w:val="TOC2"/>
        <w:rPr>
          <w:rFonts w:asciiTheme="minorHAnsi" w:eastAsiaTheme="minorEastAsia" w:hAnsiTheme="minorHAnsi" w:cstheme="minorBidi"/>
          <w:color w:val="auto"/>
          <w:sz w:val="22"/>
          <w:szCs w:val="22"/>
          <w:lang w:eastAsia="en-US"/>
        </w:rPr>
      </w:pPr>
      <w:r w:rsidRPr="00067A66">
        <w:rPr>
          <w:snapToGrid w:val="0"/>
          <w:color w:val="auto"/>
          <w:lang w:eastAsia="en-US"/>
        </w:rPr>
        <w:t>E.</w:t>
      </w:r>
      <w:r w:rsidRPr="00067A66">
        <w:rPr>
          <w:rFonts w:asciiTheme="minorHAnsi" w:eastAsiaTheme="minorEastAsia" w:hAnsiTheme="minorHAnsi" w:cstheme="minorBidi"/>
          <w:color w:val="auto"/>
          <w:sz w:val="22"/>
          <w:szCs w:val="22"/>
          <w:lang w:eastAsia="en-US"/>
        </w:rPr>
        <w:tab/>
      </w:r>
      <w:r w:rsidRPr="00067A66">
        <w:rPr>
          <w:snapToGrid w:val="0"/>
          <w:color w:val="auto"/>
          <w:lang w:eastAsia="en-US"/>
        </w:rPr>
        <w:t>Mr. Gorman’s Prefiled Response Testimony Contains Two Minor Inconsistencies Regarding Beta and Projected Inflation Rates</w:t>
      </w:r>
      <w:r w:rsidRPr="00067A66">
        <w:rPr>
          <w:webHidden/>
          <w:color w:val="auto"/>
        </w:rPr>
        <w:tab/>
        <w:t>61</w:t>
      </w:r>
    </w:p>
    <w:p w14:paraId="3B7CECEE" w14:textId="39CA32B4" w:rsidR="00A855A5" w:rsidRPr="00067A66" w:rsidRDefault="00A855A5">
      <w:pPr>
        <w:pStyle w:val="TOC1"/>
        <w:rPr>
          <w:rFonts w:asciiTheme="minorHAnsi" w:eastAsiaTheme="minorEastAsia" w:hAnsiTheme="minorHAnsi" w:cstheme="minorBidi"/>
          <w:color w:val="auto"/>
          <w:sz w:val="22"/>
          <w:szCs w:val="22"/>
          <w:lang w:eastAsia="en-US"/>
        </w:rPr>
      </w:pPr>
      <w:r w:rsidRPr="00067A66">
        <w:rPr>
          <w:color w:val="auto"/>
        </w:rPr>
        <w:t>IV.</w:t>
      </w:r>
      <w:r w:rsidRPr="00067A66">
        <w:rPr>
          <w:rFonts w:asciiTheme="minorHAnsi" w:eastAsiaTheme="minorEastAsia" w:hAnsiTheme="minorHAnsi" w:cstheme="minorBidi"/>
          <w:color w:val="auto"/>
          <w:sz w:val="22"/>
          <w:szCs w:val="22"/>
          <w:lang w:eastAsia="en-US"/>
        </w:rPr>
        <w:tab/>
      </w:r>
      <w:r w:rsidRPr="00067A66">
        <w:rPr>
          <w:color w:val="auto"/>
        </w:rPr>
        <w:t>CONCLUSION</w:t>
      </w:r>
      <w:r w:rsidRPr="00067A66">
        <w:rPr>
          <w:webHidden/>
          <w:color w:val="auto"/>
        </w:rPr>
        <w:tab/>
        <w:t>62</w:t>
      </w:r>
    </w:p>
    <w:p w14:paraId="65A32966" w14:textId="01ABB26E" w:rsidR="0088373F" w:rsidRPr="0018093C" w:rsidRDefault="0088373F" w:rsidP="000F4005">
      <w:pPr>
        <w:widowControl w:val="0"/>
        <w:spacing w:before="240" w:after="240" w:line="480" w:lineRule="auto"/>
        <w:ind w:left="720" w:right="720" w:firstLine="0"/>
        <w:jc w:val="center"/>
        <w:rPr>
          <w:bCs/>
        </w:rPr>
      </w:pPr>
    </w:p>
    <w:p w14:paraId="3F78233E" w14:textId="77777777" w:rsidR="0088373F" w:rsidRPr="0018093C" w:rsidRDefault="0088373F" w:rsidP="000F4005">
      <w:pPr>
        <w:widowControl w:val="0"/>
        <w:spacing w:before="240" w:after="240" w:line="480" w:lineRule="auto"/>
        <w:ind w:left="720" w:right="720" w:firstLine="0"/>
        <w:jc w:val="center"/>
        <w:rPr>
          <w:b/>
          <w:bCs/>
          <w:szCs w:val="24"/>
        </w:rPr>
        <w:sectPr w:rsidR="0088373F" w:rsidRPr="0018093C" w:rsidSect="00742234">
          <w:headerReference w:type="default" r:id="rId15"/>
          <w:footerReference w:type="default" r:id="rId16"/>
          <w:pgSz w:w="12240" w:h="15840" w:code="1"/>
          <w:pgMar w:top="1152" w:right="1440" w:bottom="1152" w:left="2160" w:header="864" w:footer="576" w:gutter="0"/>
          <w:pgNumType w:fmt="lowerRoman" w:start="1"/>
          <w:cols w:space="720"/>
        </w:sectPr>
      </w:pPr>
    </w:p>
    <w:p w14:paraId="7EECDEA8" w14:textId="77777777" w:rsidR="0088373F" w:rsidRPr="0018093C" w:rsidRDefault="0088373F" w:rsidP="006E0E79">
      <w:pPr>
        <w:keepNext/>
        <w:keepLines/>
        <w:spacing w:before="240" w:after="360" w:line="240" w:lineRule="auto"/>
        <w:ind w:left="547" w:right="547" w:firstLine="0"/>
        <w:jc w:val="center"/>
        <w:rPr>
          <w:b/>
          <w:bCs/>
          <w:szCs w:val="24"/>
        </w:rPr>
      </w:pPr>
      <w:r w:rsidRPr="0018093C">
        <w:rPr>
          <w:b/>
          <w:bCs/>
          <w:szCs w:val="24"/>
        </w:rPr>
        <w:lastRenderedPageBreak/>
        <w:t>PUGET SOUND ENERGY, INC.</w:t>
      </w:r>
    </w:p>
    <w:p w14:paraId="6026CAC4" w14:textId="77777777" w:rsidR="0088373F" w:rsidRPr="0018093C" w:rsidRDefault="00EE3ECD" w:rsidP="006E0E79">
      <w:pPr>
        <w:keepNext/>
        <w:keepLines/>
        <w:spacing w:before="240" w:after="360" w:line="240" w:lineRule="auto"/>
        <w:ind w:left="547" w:right="547" w:firstLine="0"/>
        <w:jc w:val="center"/>
        <w:rPr>
          <w:b/>
          <w:bCs/>
          <w:szCs w:val="24"/>
        </w:rPr>
      </w:pPr>
      <w:r w:rsidRPr="0018093C">
        <w:rPr>
          <w:b/>
          <w:bCs/>
          <w:szCs w:val="24"/>
        </w:rPr>
        <w:t xml:space="preserve">PREFILED </w:t>
      </w:r>
      <w:r w:rsidR="006B09BA" w:rsidRPr="0018093C">
        <w:rPr>
          <w:b/>
          <w:bCs/>
          <w:szCs w:val="24"/>
        </w:rPr>
        <w:t xml:space="preserve">REBUTTAL </w:t>
      </w:r>
      <w:r w:rsidRPr="0018093C">
        <w:rPr>
          <w:b/>
          <w:bCs/>
          <w:szCs w:val="24"/>
        </w:rPr>
        <w:t>TESTIMONY (NONCONFIDENTIAL) OF</w:t>
      </w:r>
      <w:r w:rsidRPr="0018093C">
        <w:rPr>
          <w:b/>
          <w:bCs/>
          <w:szCs w:val="24"/>
        </w:rPr>
        <w:br/>
      </w:r>
      <w:r w:rsidR="002A1146" w:rsidRPr="0018093C">
        <w:rPr>
          <w:b/>
          <w:lang w:eastAsia="en-US"/>
        </w:rPr>
        <w:t>DR. ROGER A. MORIN</w:t>
      </w:r>
    </w:p>
    <w:p w14:paraId="4B3DA53B" w14:textId="77777777" w:rsidR="00515380" w:rsidRPr="0018093C" w:rsidRDefault="00515380" w:rsidP="00515380">
      <w:pPr>
        <w:pStyle w:val="Heading1"/>
        <w:spacing w:after="360" w:line="240" w:lineRule="auto"/>
        <w:rPr>
          <w:rFonts w:ascii="Times New Roman" w:eastAsia="SimSun" w:hAnsi="Times New Roman"/>
        </w:rPr>
      </w:pPr>
      <w:bookmarkStart w:id="1" w:name="_Toc294539813"/>
      <w:bookmarkStart w:id="2" w:name="_Toc406751095"/>
      <w:r w:rsidRPr="0018093C">
        <w:rPr>
          <w:rFonts w:ascii="Times New Roman" w:hAnsi="Times New Roman"/>
        </w:rPr>
        <w:t>I.</w:t>
      </w:r>
      <w:r w:rsidRPr="0018093C">
        <w:rPr>
          <w:rFonts w:ascii="Times New Roman" w:hAnsi="Times New Roman"/>
        </w:rPr>
        <w:tab/>
        <w:t>INTRODUCTION</w:t>
      </w:r>
      <w:bookmarkEnd w:id="1"/>
      <w:bookmarkEnd w:id="2"/>
    </w:p>
    <w:p w14:paraId="16F8B515" w14:textId="77777777" w:rsidR="006B09BA" w:rsidRPr="0018093C" w:rsidRDefault="006B09BA" w:rsidP="006B09BA">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t xml:space="preserve">Are you the same </w:t>
      </w:r>
      <w:r w:rsidR="002A1146" w:rsidRPr="0018093C">
        <w:rPr>
          <w:rFonts w:ascii="Times New Roman" w:hAnsi="Times New Roman"/>
        </w:rPr>
        <w:t xml:space="preserve">Dr. Roger A. Morin </w:t>
      </w:r>
      <w:r w:rsidRPr="0018093C">
        <w:rPr>
          <w:rFonts w:ascii="Times New Roman" w:hAnsi="Times New Roman"/>
        </w:rPr>
        <w:t>who provided prefiled direct testimony and supporting exhibits on behalf of Puget Sound Energy, Inc. (</w:t>
      </w:r>
      <w:r w:rsidR="00942E42" w:rsidRPr="0018093C">
        <w:rPr>
          <w:rFonts w:ascii="Times New Roman" w:hAnsi="Times New Roman"/>
        </w:rPr>
        <w:t>“</w:t>
      </w:r>
      <w:r w:rsidRPr="0018093C">
        <w:rPr>
          <w:rFonts w:ascii="Times New Roman" w:hAnsi="Times New Roman"/>
        </w:rPr>
        <w:t>PSE</w:t>
      </w:r>
      <w:r w:rsidR="00942E42" w:rsidRPr="0018093C">
        <w:rPr>
          <w:rFonts w:ascii="Times New Roman" w:hAnsi="Times New Roman"/>
        </w:rPr>
        <w:t>”</w:t>
      </w:r>
      <w:r w:rsidRPr="0018093C">
        <w:rPr>
          <w:rFonts w:ascii="Times New Roman" w:hAnsi="Times New Roman"/>
        </w:rPr>
        <w:t>) in these proceedings?</w:t>
      </w:r>
    </w:p>
    <w:p w14:paraId="5E47A8A4" w14:textId="287971A9" w:rsidR="006B09BA" w:rsidRPr="0018093C" w:rsidRDefault="006B09BA" w:rsidP="006B09BA">
      <w:pPr>
        <w:pStyle w:val="answer"/>
        <w:rPr>
          <w:rFonts w:ascii="Times New Roman" w:hAnsi="Times New Roman"/>
        </w:rPr>
      </w:pPr>
      <w:r w:rsidRPr="0018093C">
        <w:rPr>
          <w:rFonts w:ascii="Times New Roman" w:hAnsi="Times New Roman"/>
        </w:rPr>
        <w:t>A.</w:t>
      </w:r>
      <w:r w:rsidRPr="0018093C">
        <w:rPr>
          <w:rFonts w:ascii="Times New Roman" w:hAnsi="Times New Roman"/>
        </w:rPr>
        <w:tab/>
        <w:t>Yes.  I filed prefiled direct testimony, Exhibit No. ___(</w:t>
      </w:r>
      <w:r w:rsidR="002A1146" w:rsidRPr="0018093C">
        <w:rPr>
          <w:rFonts w:ascii="Times New Roman" w:hAnsi="Times New Roman"/>
        </w:rPr>
        <w:t>RAM</w:t>
      </w:r>
      <w:r w:rsidRPr="0018093C">
        <w:rPr>
          <w:rFonts w:ascii="Times New Roman" w:hAnsi="Times New Roman"/>
        </w:rPr>
        <w:t>-1T), and supporting exhibits, Exhibit No. ___(</w:t>
      </w:r>
      <w:r w:rsidR="002A1146" w:rsidRPr="0018093C">
        <w:rPr>
          <w:rFonts w:ascii="Times New Roman" w:hAnsi="Times New Roman"/>
        </w:rPr>
        <w:t>RAM</w:t>
      </w:r>
      <w:r w:rsidRPr="0018093C">
        <w:rPr>
          <w:rFonts w:ascii="Times New Roman" w:hAnsi="Times New Roman"/>
        </w:rPr>
        <w:t>-2) through Exhibit No. ___(</w:t>
      </w:r>
      <w:r w:rsidR="002A1146" w:rsidRPr="0018093C">
        <w:rPr>
          <w:rFonts w:ascii="Times New Roman" w:hAnsi="Times New Roman"/>
        </w:rPr>
        <w:t>RAM</w:t>
      </w:r>
      <w:r w:rsidRPr="0018093C">
        <w:rPr>
          <w:rFonts w:ascii="Times New Roman" w:hAnsi="Times New Roman"/>
        </w:rPr>
        <w:t>-</w:t>
      </w:r>
      <w:r w:rsidR="002A1146" w:rsidRPr="0018093C">
        <w:rPr>
          <w:rFonts w:ascii="Times New Roman" w:hAnsi="Times New Roman"/>
        </w:rPr>
        <w:t>15</w:t>
      </w:r>
      <w:r w:rsidR="006C258D" w:rsidRPr="0018093C">
        <w:rPr>
          <w:rFonts w:ascii="Times New Roman" w:hAnsi="Times New Roman"/>
        </w:rPr>
        <w:t>), on November </w:t>
      </w:r>
      <w:r w:rsidRPr="0018093C">
        <w:rPr>
          <w:rFonts w:ascii="Times New Roman" w:hAnsi="Times New Roman"/>
        </w:rPr>
        <w:t>5, 2014.</w:t>
      </w:r>
    </w:p>
    <w:p w14:paraId="7E1D7663" w14:textId="77777777" w:rsidR="00515380" w:rsidRPr="0018093C" w:rsidRDefault="00515380" w:rsidP="00515380">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t xml:space="preserve">Please summarize the purpose of your </w:t>
      </w:r>
      <w:r w:rsidR="006B09BA" w:rsidRPr="0018093C">
        <w:rPr>
          <w:rFonts w:ascii="Times New Roman" w:hAnsi="Times New Roman"/>
        </w:rPr>
        <w:t xml:space="preserve">prefiled rebuttal </w:t>
      </w:r>
      <w:r w:rsidRPr="0018093C">
        <w:rPr>
          <w:rFonts w:ascii="Times New Roman" w:hAnsi="Times New Roman"/>
        </w:rPr>
        <w:t>testimony.</w:t>
      </w:r>
    </w:p>
    <w:p w14:paraId="4B53B9DD" w14:textId="77777777" w:rsidR="00BD3C63" w:rsidRPr="0018093C" w:rsidRDefault="00965D31"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003E40B8" w:rsidRPr="0018093C">
        <w:rPr>
          <w:rFonts w:ascii="Times New Roman" w:hAnsi="Times New Roman"/>
          <w:snapToGrid w:val="0"/>
          <w:lang w:eastAsia="en-US"/>
        </w:rPr>
        <w:tab/>
        <w:t xml:space="preserve">I have been asked </w:t>
      </w:r>
      <w:r w:rsidR="00402438" w:rsidRPr="0018093C">
        <w:rPr>
          <w:rFonts w:ascii="Times New Roman" w:hAnsi="Times New Roman"/>
          <w:snapToGrid w:val="0"/>
          <w:lang w:eastAsia="en-US"/>
        </w:rPr>
        <w:t xml:space="preserve">by PSE </w:t>
      </w:r>
      <w:r w:rsidR="003E40B8" w:rsidRPr="0018093C">
        <w:rPr>
          <w:rFonts w:ascii="Times New Roman" w:hAnsi="Times New Roman"/>
          <w:snapToGrid w:val="0"/>
          <w:lang w:eastAsia="en-US"/>
        </w:rPr>
        <w:t xml:space="preserve">to respond to </w:t>
      </w:r>
      <w:r w:rsidR="00402438" w:rsidRPr="0018093C">
        <w:rPr>
          <w:rFonts w:ascii="Times New Roman" w:hAnsi="Times New Roman"/>
          <w:snapToGrid w:val="0"/>
          <w:lang w:eastAsia="en-US"/>
        </w:rPr>
        <w:t xml:space="preserve">each of the following cost </w:t>
      </w:r>
      <w:r w:rsidR="003E40B8" w:rsidRPr="0018093C">
        <w:rPr>
          <w:rFonts w:ascii="Times New Roman" w:hAnsi="Times New Roman"/>
          <w:snapToGrid w:val="0"/>
          <w:lang w:eastAsia="en-US"/>
        </w:rPr>
        <w:t>of capital testimonies</w:t>
      </w:r>
      <w:r w:rsidR="00402438" w:rsidRPr="0018093C">
        <w:rPr>
          <w:rFonts w:ascii="Times New Roman" w:hAnsi="Times New Roman"/>
          <w:snapToGrid w:val="0"/>
          <w:lang w:eastAsia="en-US"/>
        </w:rPr>
        <w:t>:</w:t>
      </w:r>
    </w:p>
    <w:p w14:paraId="660E1D89" w14:textId="77777777" w:rsidR="00BD3C63" w:rsidRPr="0018093C" w:rsidRDefault="00BD3C63" w:rsidP="00BD3C63">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r>
      <w:r w:rsidR="00402438" w:rsidRPr="0018093C">
        <w:rPr>
          <w:rFonts w:ascii="Times New Roman" w:hAnsi="Times New Roman"/>
          <w:snapToGrid w:val="0"/>
          <w:lang w:eastAsia="en-US"/>
        </w:rPr>
        <w:t xml:space="preserve">the Prefiled Testimony of </w:t>
      </w:r>
      <w:r w:rsidRPr="0018093C">
        <w:rPr>
          <w:rFonts w:ascii="Times New Roman" w:hAnsi="Times New Roman"/>
          <w:snapToGrid w:val="0"/>
          <w:lang w:eastAsia="en-US"/>
        </w:rPr>
        <w:t xml:space="preserve">David C. Parcell, </w:t>
      </w:r>
      <w:r w:rsidR="00402438" w:rsidRPr="0018093C">
        <w:rPr>
          <w:rFonts w:ascii="Times New Roman" w:hAnsi="Times New Roman"/>
          <w:snapToGrid w:val="0"/>
          <w:lang w:eastAsia="en-US"/>
        </w:rPr>
        <w:t xml:space="preserve">Exhibit No. ___(DCP-1T), on behalf of the </w:t>
      </w:r>
      <w:r w:rsidRPr="0018093C">
        <w:rPr>
          <w:rFonts w:ascii="Times New Roman" w:hAnsi="Times New Roman"/>
          <w:snapToGrid w:val="0"/>
          <w:lang w:eastAsia="en-US"/>
        </w:rPr>
        <w:t xml:space="preserve">Staff of Washington Utilities and Transportation Commission (“Commission Staff”); </w:t>
      </w:r>
    </w:p>
    <w:p w14:paraId="46901132" w14:textId="77777777" w:rsidR="00402438" w:rsidRPr="0018093C" w:rsidRDefault="00402438" w:rsidP="00402438">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the Prefiled Direct Testimony of Stephen G. Hill, Exhibit No. ___(SGH-2T), on behalf of the Public Counsel Section of the Washington Attorney General’s Office (“Public Counsel”), and supporting exhibits thereto; and</w:t>
      </w:r>
    </w:p>
    <w:p w14:paraId="1FF091BE" w14:textId="16AA9940" w:rsidR="00402438" w:rsidRPr="0018093C" w:rsidRDefault="00BD3C63" w:rsidP="00402438">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Pr="0018093C">
        <w:rPr>
          <w:rFonts w:ascii="Times New Roman" w:hAnsi="Times New Roman"/>
          <w:snapToGrid w:val="0"/>
          <w:lang w:eastAsia="en-US"/>
        </w:rPr>
        <w:tab/>
      </w:r>
      <w:r w:rsidR="00402438" w:rsidRPr="0018093C">
        <w:rPr>
          <w:rFonts w:ascii="Times New Roman" w:hAnsi="Times New Roman"/>
          <w:snapToGrid w:val="0"/>
          <w:lang w:eastAsia="en-US"/>
        </w:rPr>
        <w:t>the Prefiled Response Testimon</w:t>
      </w:r>
      <w:r w:rsidR="006C258D" w:rsidRPr="0018093C">
        <w:rPr>
          <w:rFonts w:ascii="Times New Roman" w:hAnsi="Times New Roman"/>
          <w:snapToGrid w:val="0"/>
          <w:lang w:eastAsia="en-US"/>
        </w:rPr>
        <w:t>y</w:t>
      </w:r>
      <w:r w:rsidR="00402438" w:rsidRPr="0018093C">
        <w:rPr>
          <w:rFonts w:ascii="Times New Roman" w:hAnsi="Times New Roman"/>
          <w:snapToGrid w:val="0"/>
          <w:lang w:eastAsia="en-US"/>
        </w:rPr>
        <w:t xml:space="preserve"> of Michael P. Gorman, Exhibit No. ___(MPG-23T), on behalf of the Industrial Customers of Northwest Utilities (“ICNU”), and supporting exhibits thereto.</w:t>
      </w:r>
    </w:p>
    <w:p w14:paraId="6B13F30C"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rPr>
        <w:lastRenderedPageBreak/>
        <w:t>Q.</w:t>
      </w:r>
      <w:r w:rsidRPr="0018093C">
        <w:rPr>
          <w:rFonts w:ascii="Times New Roman" w:hAnsi="Times New Roman"/>
        </w:rPr>
        <w:tab/>
      </w:r>
      <w:r w:rsidR="006F6E0E" w:rsidRPr="0018093C">
        <w:rPr>
          <w:rFonts w:ascii="Times New Roman" w:hAnsi="Times New Roman"/>
          <w:snapToGrid w:val="0"/>
          <w:lang w:eastAsia="en-US"/>
        </w:rPr>
        <w:t>What rate of return on common equity (</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ROE</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 xml:space="preserve">) are the witnesses recommending for </w:t>
      </w:r>
      <w:r w:rsidRPr="0018093C">
        <w:rPr>
          <w:rFonts w:ascii="Times New Roman" w:hAnsi="Times New Roman"/>
          <w:snapToGrid w:val="0"/>
          <w:lang w:eastAsia="en-US"/>
        </w:rPr>
        <w:t>PSE?</w:t>
      </w:r>
    </w:p>
    <w:p w14:paraId="77600912" w14:textId="77777777" w:rsidR="003E40B8" w:rsidRPr="0018093C" w:rsidRDefault="003E40B8" w:rsidP="00BD3C63">
      <w:pPr>
        <w:pStyle w:val="answer"/>
        <w:keepNext/>
        <w:keepLines/>
        <w:rPr>
          <w:rFonts w:ascii="Times New Roman" w:eastAsia="SimSun" w:hAnsi="Times New Roman"/>
        </w:rPr>
      </w:pPr>
      <w:r w:rsidRPr="0018093C">
        <w:rPr>
          <w:rFonts w:ascii="Times New Roman" w:hAnsi="Times New Roman"/>
          <w:snapToGrid w:val="0"/>
          <w:lang w:eastAsia="en-US"/>
        </w:rPr>
        <w:t>A.</w:t>
      </w:r>
      <w:r w:rsidRPr="0018093C">
        <w:rPr>
          <w:rFonts w:ascii="Times New Roman" w:hAnsi="Times New Roman"/>
          <w:snapToGrid w:val="0"/>
          <w:lang w:eastAsia="en-US"/>
        </w:rPr>
        <w:tab/>
        <w:t>The ROE recommendations for PSE from the three witnesses are as follows:</w:t>
      </w:r>
    </w:p>
    <w:p w14:paraId="3A48DF2A" w14:textId="77777777" w:rsidR="00BD3C63" w:rsidRPr="0018093C" w:rsidRDefault="00BD3C63" w:rsidP="00402438">
      <w:pPr>
        <w:pStyle w:val="answer"/>
        <w:keepNext/>
        <w:keepLines/>
        <w:ind w:left="4050" w:hanging="1890"/>
        <w:rPr>
          <w:rFonts w:ascii="Times New Roman" w:hAnsi="Times New Roman"/>
          <w:snapToGrid w:val="0"/>
          <w:lang w:eastAsia="en-US"/>
        </w:rPr>
      </w:pPr>
      <w:r w:rsidRPr="0018093C">
        <w:rPr>
          <w:rFonts w:ascii="Times New Roman" w:hAnsi="Times New Roman"/>
          <w:snapToGrid w:val="0"/>
          <w:lang w:eastAsia="en-US"/>
        </w:rPr>
        <w:t>Mr. Parcell</w:t>
      </w:r>
      <w:r w:rsidRPr="0018093C">
        <w:rPr>
          <w:rFonts w:ascii="Times New Roman" w:hAnsi="Times New Roman"/>
          <w:snapToGrid w:val="0"/>
          <w:lang w:eastAsia="en-US"/>
        </w:rPr>
        <w:tab/>
        <w:t>9.0% – 10.0%</w:t>
      </w:r>
    </w:p>
    <w:p w14:paraId="18A63031" w14:textId="77777777" w:rsidR="003E40B8" w:rsidRPr="0018093C" w:rsidRDefault="003E40B8" w:rsidP="00402438">
      <w:pPr>
        <w:pStyle w:val="answer"/>
        <w:keepNext/>
        <w:keepLines/>
        <w:ind w:left="4050" w:hanging="1890"/>
        <w:rPr>
          <w:rFonts w:ascii="Times New Roman" w:hAnsi="Times New Roman"/>
          <w:snapToGrid w:val="0"/>
          <w:lang w:eastAsia="en-US"/>
        </w:rPr>
      </w:pPr>
      <w:r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1723EF" w:rsidRPr="0018093C">
        <w:rPr>
          <w:rFonts w:ascii="Times New Roman" w:hAnsi="Times New Roman"/>
          <w:snapToGrid w:val="0"/>
          <w:lang w:eastAsia="en-US"/>
        </w:rPr>
        <w:tab/>
      </w:r>
      <w:r w:rsidRPr="0018093C">
        <w:rPr>
          <w:rFonts w:ascii="Times New Roman" w:hAnsi="Times New Roman"/>
          <w:snapToGrid w:val="0"/>
          <w:lang w:eastAsia="en-US"/>
        </w:rPr>
        <w:t>8.65%</w:t>
      </w:r>
    </w:p>
    <w:p w14:paraId="3A938ACA" w14:textId="77777777" w:rsidR="003E40B8" w:rsidRPr="0018093C" w:rsidRDefault="003E40B8" w:rsidP="00402438">
      <w:pPr>
        <w:pStyle w:val="answer"/>
        <w:ind w:left="4050" w:hanging="1890"/>
        <w:rPr>
          <w:rFonts w:ascii="Times New Roman" w:eastAsia="SimSun" w:hAnsi="Times New Roman"/>
        </w:rPr>
      </w:pPr>
      <w:r w:rsidRPr="0018093C">
        <w:rPr>
          <w:rFonts w:ascii="Times New Roman" w:hAnsi="Times New Roman"/>
          <w:snapToGrid w:val="0"/>
          <w:lang w:eastAsia="en-US"/>
        </w:rPr>
        <w:t>Mr.</w:t>
      </w:r>
      <w:r w:rsidR="00087381" w:rsidRPr="0018093C">
        <w:rPr>
          <w:rFonts w:ascii="Times New Roman" w:hAnsi="Times New Roman"/>
          <w:snapToGrid w:val="0"/>
          <w:lang w:eastAsia="en-US"/>
        </w:rPr>
        <w:t> </w:t>
      </w:r>
      <w:r w:rsidRPr="0018093C">
        <w:rPr>
          <w:rFonts w:ascii="Times New Roman" w:hAnsi="Times New Roman"/>
          <w:snapToGrid w:val="0"/>
          <w:lang w:eastAsia="en-US"/>
        </w:rPr>
        <w:t>Gorman</w:t>
      </w:r>
      <w:r w:rsidR="001723EF" w:rsidRPr="0018093C">
        <w:rPr>
          <w:rFonts w:ascii="Times New Roman" w:hAnsi="Times New Roman"/>
          <w:snapToGrid w:val="0"/>
          <w:lang w:eastAsia="en-US"/>
        </w:rPr>
        <w:tab/>
      </w:r>
      <w:r w:rsidRPr="0018093C">
        <w:rPr>
          <w:rFonts w:ascii="Times New Roman" w:hAnsi="Times New Roman"/>
          <w:snapToGrid w:val="0"/>
          <w:lang w:eastAsia="en-US"/>
        </w:rPr>
        <w:t>9.0%</w:t>
      </w:r>
      <w:r w:rsidR="001723EF" w:rsidRPr="0018093C">
        <w:rPr>
          <w:rFonts w:ascii="Times New Roman" w:hAnsi="Times New Roman"/>
          <w:snapToGrid w:val="0"/>
          <w:lang w:eastAsia="en-US"/>
        </w:rPr>
        <w:t> – </w:t>
      </w:r>
      <w:r w:rsidRPr="0018093C">
        <w:rPr>
          <w:rFonts w:ascii="Times New Roman" w:hAnsi="Times New Roman"/>
          <w:snapToGrid w:val="0"/>
          <w:lang w:eastAsia="en-US"/>
        </w:rPr>
        <w:t>9.6%</w:t>
      </w:r>
    </w:p>
    <w:p w14:paraId="494029B2"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r>
      <w:r w:rsidR="00C50F4E" w:rsidRPr="0018093C">
        <w:rPr>
          <w:rFonts w:ascii="Times New Roman" w:hAnsi="Times New Roman"/>
          <w:snapToGrid w:val="0"/>
          <w:lang w:eastAsia="en-US"/>
        </w:rPr>
        <w:t>B</w:t>
      </w:r>
      <w:r w:rsidR="006F6E0E" w:rsidRPr="0018093C">
        <w:rPr>
          <w:rFonts w:ascii="Times New Roman" w:hAnsi="Times New Roman"/>
          <w:snapToGrid w:val="0"/>
          <w:lang w:eastAsia="en-US"/>
        </w:rPr>
        <w:t>efore you begin, do you have a general observation to make on the ROE recommendations of these witnesses</w:t>
      </w:r>
      <w:r w:rsidRPr="0018093C">
        <w:rPr>
          <w:rFonts w:ascii="Times New Roman" w:hAnsi="Times New Roman"/>
          <w:snapToGrid w:val="0"/>
          <w:lang w:eastAsia="en-US"/>
        </w:rPr>
        <w:t>?</w:t>
      </w:r>
    </w:p>
    <w:p w14:paraId="3D8C61FD" w14:textId="365B6936" w:rsidR="00C50F4E" w:rsidRPr="0018093C" w:rsidRDefault="003E40B8" w:rsidP="00C50F4E">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Yes, I do. </w:t>
      </w:r>
      <w:r w:rsidR="00957E5B" w:rsidRPr="0018093C">
        <w:rPr>
          <w:rFonts w:ascii="Times New Roman" w:hAnsi="Times New Roman"/>
          <w:snapToGrid w:val="0"/>
          <w:lang w:eastAsia="en-US"/>
        </w:rPr>
        <w:t xml:space="preserve"> </w:t>
      </w:r>
      <w:r w:rsidR="00C50F4E" w:rsidRPr="0018093C">
        <w:rPr>
          <w:rFonts w:ascii="Times New Roman" w:hAnsi="Times New Roman"/>
          <w:snapToGrid w:val="0"/>
          <w:lang w:eastAsia="en-US"/>
        </w:rPr>
        <w:t>My understanding is that the purpose this proceeding is to determine if the return on equity (“ROE”) of 9.8% authorized by the Commission in Order</w:t>
      </w:r>
      <w:r w:rsidR="006C258D" w:rsidRPr="0018093C">
        <w:rPr>
          <w:rFonts w:ascii="Times New Roman" w:hAnsi="Times New Roman"/>
          <w:snapToGrid w:val="0"/>
          <w:lang w:eastAsia="en-US"/>
        </w:rPr>
        <w:t> </w:t>
      </w:r>
      <w:r w:rsidR="00C50F4E" w:rsidRPr="0018093C">
        <w:rPr>
          <w:rFonts w:ascii="Times New Roman" w:hAnsi="Times New Roman"/>
          <w:snapToGrid w:val="0"/>
          <w:lang w:eastAsia="en-US"/>
        </w:rPr>
        <w:t>08 in Dockets UE-111048 and UG-111049</w:t>
      </w:r>
      <w:r w:rsidR="00C50F4E" w:rsidRPr="0018093C">
        <w:rPr>
          <w:rStyle w:val="FootnoteReference"/>
          <w:rFonts w:ascii="Times New Roman" w:hAnsi="Times New Roman"/>
          <w:snapToGrid w:val="0"/>
          <w:lang w:eastAsia="en-US"/>
        </w:rPr>
        <w:footnoteReference w:id="2"/>
      </w:r>
      <w:r w:rsidR="00C50F4E" w:rsidRPr="0018093C">
        <w:rPr>
          <w:rFonts w:ascii="Times New Roman" w:hAnsi="Times New Roman"/>
          <w:snapToGrid w:val="0"/>
          <w:lang w:eastAsia="en-US"/>
        </w:rPr>
        <w:t xml:space="preserve"> remained within the range of reasonableness when the Commission issued its Order</w:t>
      </w:r>
      <w:r w:rsidR="006C258D" w:rsidRPr="0018093C">
        <w:rPr>
          <w:rFonts w:ascii="Times New Roman" w:hAnsi="Times New Roman"/>
          <w:snapToGrid w:val="0"/>
          <w:lang w:eastAsia="en-US"/>
        </w:rPr>
        <w:t> </w:t>
      </w:r>
      <w:r w:rsidR="00C50F4E" w:rsidRPr="0018093C">
        <w:rPr>
          <w:rFonts w:ascii="Times New Roman" w:hAnsi="Times New Roman"/>
          <w:snapToGrid w:val="0"/>
          <w:lang w:eastAsia="en-US"/>
        </w:rPr>
        <w:t>07 in these proceedings</w:t>
      </w:r>
      <w:r w:rsidR="00C50F4E" w:rsidRPr="0018093C">
        <w:rPr>
          <w:rStyle w:val="FootnoteReference"/>
          <w:rFonts w:ascii="Times New Roman" w:hAnsi="Times New Roman"/>
          <w:snapToGrid w:val="0"/>
          <w:lang w:eastAsia="en-US"/>
        </w:rPr>
        <w:footnoteReference w:id="3"/>
      </w:r>
      <w:r w:rsidR="00C50F4E" w:rsidRPr="0018093C">
        <w:rPr>
          <w:rFonts w:ascii="Times New Roman" w:hAnsi="Times New Roman"/>
          <w:snapToGrid w:val="0"/>
          <w:lang w:eastAsia="en-US"/>
        </w:rPr>
        <w:t xml:space="preserve"> and remains within the range of reasonableness through the rate plan period.  As stated in my prefiled direct testimony, I have found that PSE’s current ROE of 9.8%:</w:t>
      </w:r>
    </w:p>
    <w:p w14:paraId="4D97F5F6"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remains fair to customers,</w:t>
      </w:r>
    </w:p>
    <w:p w14:paraId="59C3AA0B"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allows PSE to attract capital on reasonable terms,</w:t>
      </w:r>
    </w:p>
    <w:p w14:paraId="425F535E"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Pr="0018093C">
        <w:rPr>
          <w:rFonts w:ascii="Times New Roman" w:hAnsi="Times New Roman"/>
          <w:snapToGrid w:val="0"/>
          <w:lang w:eastAsia="en-US"/>
        </w:rPr>
        <w:tab/>
        <w:t>maintains PSE’s financial integrity, and</w:t>
      </w:r>
    </w:p>
    <w:p w14:paraId="5E0E2226"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(iv)</w:t>
      </w:r>
      <w:r w:rsidRPr="0018093C">
        <w:rPr>
          <w:rFonts w:ascii="Times New Roman" w:hAnsi="Times New Roman"/>
          <w:snapToGrid w:val="0"/>
          <w:lang w:eastAsia="en-US"/>
        </w:rPr>
        <w:tab/>
        <w:t>remains comparable to returns offered on comparable risk investments.</w:t>
      </w:r>
    </w:p>
    <w:p w14:paraId="5F410650" w14:textId="77777777" w:rsidR="00402438" w:rsidRPr="0018093C" w:rsidRDefault="003E40B8" w:rsidP="00965D31">
      <w:pPr>
        <w:pStyle w:val="answer"/>
        <w:ind w:firstLine="0"/>
        <w:rPr>
          <w:rFonts w:ascii="Times New Roman" w:hAnsi="Times New Roman"/>
          <w:snapToGrid w:val="0"/>
          <w:lang w:eastAsia="en-US"/>
        </w:rPr>
      </w:pPr>
      <w:r w:rsidRPr="0018093C">
        <w:rPr>
          <w:rFonts w:ascii="Times New Roman" w:hAnsi="Times New Roman"/>
          <w:snapToGrid w:val="0"/>
          <w:lang w:eastAsia="en-US"/>
        </w:rPr>
        <w:t>Commission Staff, relying on witness Mr.</w:t>
      </w:r>
      <w:r w:rsidR="00F546C4" w:rsidRPr="0018093C">
        <w:rPr>
          <w:rFonts w:ascii="Times New Roman" w:hAnsi="Times New Roman"/>
          <w:snapToGrid w:val="0"/>
          <w:lang w:eastAsia="en-US"/>
        </w:rPr>
        <w:t> </w:t>
      </w:r>
      <w:r w:rsidRPr="0018093C">
        <w:rPr>
          <w:rFonts w:ascii="Times New Roman" w:hAnsi="Times New Roman"/>
          <w:snapToGrid w:val="0"/>
          <w:lang w:eastAsia="en-US"/>
        </w:rPr>
        <w:t>Parcell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range of 9.0% - 10.0% concludes that the ROE of 9.8% authorized by the Commission lies within that range, and is therefore reasonable.  </w:t>
      </w:r>
      <w:r w:rsidR="00402438" w:rsidRPr="0018093C">
        <w:rPr>
          <w:rFonts w:ascii="Times New Roman" w:hAnsi="Times New Roman"/>
          <w:snapToGrid w:val="0"/>
          <w:lang w:eastAsia="en-US"/>
        </w:rPr>
        <w:t xml:space="preserve">In that regard, Commission </w:t>
      </w:r>
      <w:r w:rsidRPr="0018093C">
        <w:rPr>
          <w:rFonts w:ascii="Times New Roman" w:hAnsi="Times New Roman"/>
          <w:snapToGrid w:val="0"/>
          <w:lang w:eastAsia="en-US"/>
        </w:rPr>
        <w:t>Staff</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recommendation </w:t>
      </w:r>
      <w:r w:rsidR="00402438" w:rsidRPr="0018093C">
        <w:rPr>
          <w:rFonts w:ascii="Times New Roman" w:hAnsi="Times New Roman"/>
          <w:snapToGrid w:val="0"/>
          <w:lang w:eastAsia="en-US"/>
        </w:rPr>
        <w:t xml:space="preserve">is largely consistent with </w:t>
      </w:r>
      <w:r w:rsidRPr="0018093C">
        <w:rPr>
          <w:rFonts w:ascii="Times New Roman" w:hAnsi="Times New Roman"/>
          <w:snapToGrid w:val="0"/>
          <w:lang w:eastAsia="en-US"/>
        </w:rPr>
        <w:t xml:space="preserve">my own </w:t>
      </w:r>
      <w:r w:rsidR="00402438" w:rsidRPr="0018093C">
        <w:rPr>
          <w:rFonts w:ascii="Times New Roman" w:hAnsi="Times New Roman"/>
          <w:snapToGrid w:val="0"/>
          <w:lang w:eastAsia="en-US"/>
        </w:rPr>
        <w:t>conclusion, and I will focus this prefiled rebuttal testimony on the testimonies offered by Mr. Hill and Mr. Gorman.</w:t>
      </w:r>
    </w:p>
    <w:p w14:paraId="5C9C043A" w14:textId="77777777" w:rsidR="003E40B8" w:rsidRPr="0018093C" w:rsidRDefault="003E40B8" w:rsidP="003E40B8">
      <w:pPr>
        <w:pStyle w:val="Heading1"/>
        <w:rPr>
          <w:rFonts w:ascii="Times New Roman" w:hAnsi="Times New Roman"/>
        </w:rPr>
      </w:pPr>
      <w:bookmarkStart w:id="3" w:name="_Toc294539814"/>
      <w:bookmarkStart w:id="4" w:name="_Toc406751096"/>
      <w:r w:rsidRPr="0018093C">
        <w:rPr>
          <w:rFonts w:ascii="Times New Roman" w:hAnsi="Times New Roman"/>
        </w:rPr>
        <w:t>II.</w:t>
      </w:r>
      <w:r w:rsidRPr="0018093C">
        <w:rPr>
          <w:rFonts w:ascii="Times New Roman" w:hAnsi="Times New Roman"/>
        </w:rPr>
        <w:tab/>
      </w:r>
      <w:bookmarkEnd w:id="3"/>
      <w:r w:rsidRPr="0018093C">
        <w:rPr>
          <w:rFonts w:ascii="Times New Roman" w:hAnsi="Times New Roman"/>
          <w:snapToGrid w:val="0"/>
          <w:lang w:eastAsia="en-US"/>
        </w:rPr>
        <w:t>REBUTTAL TO 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TESTIMONY</w:t>
      </w:r>
      <w:bookmarkEnd w:id="4"/>
    </w:p>
    <w:p w14:paraId="685B04C0"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r>
      <w:r w:rsidR="006F6E0E" w:rsidRPr="0018093C">
        <w:rPr>
          <w:rFonts w:ascii="Times New Roman" w:hAnsi="Times New Roman"/>
          <w:snapToGrid w:val="0"/>
          <w:lang w:eastAsia="en-US"/>
        </w:rPr>
        <w:t>Please summarize Mr.</w:t>
      </w:r>
      <w:r w:rsidR="00BC1F15"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 xml:space="preserve">s recommended </w:t>
      </w:r>
      <w:r w:rsidRPr="0018093C">
        <w:rPr>
          <w:rFonts w:ascii="Times New Roman" w:hAnsi="Times New Roman"/>
          <w:snapToGrid w:val="0"/>
          <w:lang w:eastAsia="en-US"/>
        </w:rPr>
        <w:t>ROE</w:t>
      </w:r>
      <w:r w:rsidR="008D4C46" w:rsidRPr="0018093C">
        <w:rPr>
          <w:rFonts w:ascii="Times New Roman" w:hAnsi="Times New Roman"/>
          <w:snapToGrid w:val="0"/>
          <w:lang w:eastAsia="en-US"/>
        </w:rPr>
        <w:t xml:space="preserve"> in this proceeding</w:t>
      </w:r>
      <w:r w:rsidRPr="0018093C">
        <w:rPr>
          <w:rFonts w:ascii="Times New Roman" w:hAnsi="Times New Roman"/>
          <w:snapToGrid w:val="0"/>
          <w:lang w:eastAsia="en-US"/>
        </w:rPr>
        <w:t>.</w:t>
      </w:r>
    </w:p>
    <w:p w14:paraId="06D2383C" w14:textId="77777777" w:rsidR="00CB7D2A" w:rsidRPr="0018093C" w:rsidRDefault="003E40B8" w:rsidP="00CB7D2A">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914190" w:rsidRPr="0018093C">
        <w:rPr>
          <w:rFonts w:ascii="Times New Roman" w:hAnsi="Times New Roman"/>
          <w:snapToGrid w:val="0"/>
          <w:lang w:eastAsia="en-US"/>
        </w:rPr>
        <w:t> </w:t>
      </w:r>
      <w:r w:rsidRPr="0018093C">
        <w:rPr>
          <w:rFonts w:ascii="Times New Roman" w:hAnsi="Times New Roman"/>
          <w:snapToGrid w:val="0"/>
          <w:lang w:eastAsia="en-US"/>
        </w:rPr>
        <w:t>Hill recommends a</w:t>
      </w:r>
      <w:r w:rsidR="00914190" w:rsidRPr="0018093C">
        <w:rPr>
          <w:rFonts w:ascii="Times New Roman" w:hAnsi="Times New Roman"/>
          <w:snapToGrid w:val="0"/>
          <w:lang w:eastAsia="en-US"/>
        </w:rPr>
        <w:t>n</w:t>
      </w:r>
      <w:r w:rsidRPr="0018093C">
        <w:rPr>
          <w:rFonts w:ascii="Times New Roman" w:hAnsi="Times New Roman"/>
          <w:snapToGrid w:val="0"/>
          <w:lang w:eastAsia="en-US"/>
        </w:rPr>
        <w:t xml:space="preserve"> ROE for PSE </w:t>
      </w:r>
      <w:r w:rsidR="0079317E" w:rsidRPr="0018093C">
        <w:rPr>
          <w:rFonts w:ascii="Times New Roman" w:hAnsi="Times New Roman"/>
          <w:snapToGrid w:val="0"/>
          <w:lang w:eastAsia="en-US"/>
        </w:rPr>
        <w:t xml:space="preserve">for the first half of 2013 </w:t>
      </w:r>
      <w:r w:rsidRPr="0018093C">
        <w:rPr>
          <w:rFonts w:ascii="Times New Roman" w:hAnsi="Times New Roman"/>
          <w:snapToGrid w:val="0"/>
          <w:lang w:eastAsia="en-US"/>
        </w:rPr>
        <w:t>of only 8.65%, which includes a 35</w:t>
      </w:r>
      <w:r w:rsidR="00914190" w:rsidRPr="0018093C">
        <w:rPr>
          <w:rFonts w:ascii="Times New Roman" w:hAnsi="Times New Roman"/>
          <w:snapToGrid w:val="0"/>
          <w:lang w:eastAsia="en-US"/>
        </w:rPr>
        <w:t> </w:t>
      </w:r>
      <w:r w:rsidRPr="0018093C">
        <w:rPr>
          <w:rFonts w:ascii="Times New Roman" w:hAnsi="Times New Roman"/>
          <w:snapToGrid w:val="0"/>
          <w:lang w:eastAsia="en-US"/>
        </w:rPr>
        <w:t xml:space="preserve">basis points reduction in order to account for </w:t>
      </w:r>
      <w:r w:rsidR="00914190" w:rsidRPr="0018093C">
        <w:rPr>
          <w:rFonts w:ascii="Times New Roman" w:hAnsi="Times New Roman"/>
          <w:snapToGrid w:val="0"/>
          <w:lang w:eastAsia="en-US"/>
        </w:rPr>
        <w:t xml:space="preserve">what Mr. Hill perceives to be </w:t>
      </w:r>
      <w:r w:rsidRPr="0018093C">
        <w:rPr>
          <w:rFonts w:ascii="Times New Roman" w:hAnsi="Times New Roman"/>
          <w:snapToGrid w:val="0"/>
          <w:lang w:eastAsia="en-US"/>
        </w:rPr>
        <w:t>the risk reducing impact of decoupling.</w:t>
      </w:r>
      <w:r w:rsidR="00914190" w:rsidRPr="0018093C">
        <w:rPr>
          <w:rStyle w:val="FootnoteReference"/>
          <w:rFonts w:ascii="Times New Roman" w:hAnsi="Times New Roman"/>
          <w:snapToGrid w:val="0"/>
          <w:lang w:eastAsia="en-US"/>
        </w:rPr>
        <w:footnoteReference w:id="4"/>
      </w:r>
      <w:r w:rsidRPr="0018093C">
        <w:rPr>
          <w:rFonts w:ascii="Times New Roman" w:hAnsi="Times New Roman"/>
          <w:snapToGrid w:val="0"/>
          <w:lang w:eastAsia="en-US"/>
        </w:rPr>
        <w:t xml:space="preserve">  Mr.</w:t>
      </w:r>
      <w:r w:rsidR="00914190" w:rsidRPr="0018093C">
        <w:rPr>
          <w:rFonts w:ascii="Times New Roman" w:hAnsi="Times New Roman"/>
          <w:snapToGrid w:val="0"/>
          <w:lang w:eastAsia="en-US"/>
        </w:rPr>
        <w:t> </w:t>
      </w:r>
      <w:r w:rsidRPr="0018093C">
        <w:rPr>
          <w:rFonts w:ascii="Times New Roman" w:hAnsi="Times New Roman"/>
          <w:snapToGrid w:val="0"/>
          <w:lang w:eastAsia="en-US"/>
        </w:rPr>
        <w:t>Hill relies primarily on a traditional constant growth Discounted Cash Flow (</w:t>
      </w:r>
      <w:r w:rsidR="00942E42" w:rsidRPr="0018093C">
        <w:rPr>
          <w:rFonts w:ascii="Times New Roman" w:hAnsi="Times New Roman"/>
          <w:snapToGrid w:val="0"/>
          <w:lang w:eastAsia="en-US"/>
        </w:rPr>
        <w:t>“</w:t>
      </w:r>
      <w:r w:rsidRPr="0018093C">
        <w:rPr>
          <w:rFonts w:ascii="Times New Roman" w:hAnsi="Times New Roman"/>
          <w:snapToGrid w:val="0"/>
          <w:lang w:eastAsia="en-US"/>
        </w:rPr>
        <w:t>DCF</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A81A9C" w:rsidRPr="0018093C">
        <w:rPr>
          <w:rFonts w:ascii="Times New Roman" w:hAnsi="Times New Roman"/>
          <w:snapToGrid w:val="0"/>
          <w:lang w:eastAsia="en-US"/>
        </w:rPr>
        <w:t>methodology</w:t>
      </w:r>
      <w:r w:rsidRPr="0018093C">
        <w:rPr>
          <w:rFonts w:ascii="Times New Roman" w:hAnsi="Times New Roman"/>
          <w:snapToGrid w:val="0"/>
          <w:lang w:eastAsia="en-US"/>
        </w:rPr>
        <w:t xml:space="preserve"> applied to a group of fifteen </w:t>
      </w:r>
      <w:r w:rsidR="00914190" w:rsidRPr="0018093C">
        <w:rPr>
          <w:rFonts w:ascii="Times New Roman" w:hAnsi="Times New Roman"/>
          <w:snapToGrid w:val="0"/>
          <w:lang w:eastAsia="en-US"/>
        </w:rPr>
        <w:t>electric and combination electric and gas companies</w:t>
      </w:r>
      <w:r w:rsidRPr="0018093C">
        <w:rPr>
          <w:rFonts w:ascii="Times New Roman" w:hAnsi="Times New Roman"/>
          <w:snapToGrid w:val="0"/>
          <w:lang w:eastAsia="en-US"/>
        </w:rPr>
        <w:t>.</w:t>
      </w:r>
      <w:r w:rsidR="00914190" w:rsidRPr="0018093C">
        <w:rPr>
          <w:rStyle w:val="FootnoteReference"/>
          <w:rFonts w:ascii="Times New Roman" w:hAnsi="Times New Roman"/>
          <w:snapToGrid w:val="0"/>
          <w:lang w:eastAsia="en-US"/>
        </w:rPr>
        <w:footnoteReference w:id="5"/>
      </w:r>
      <w:r w:rsidRPr="0018093C">
        <w:rPr>
          <w:rFonts w:ascii="Times New Roman" w:hAnsi="Times New Roman"/>
          <w:snapToGrid w:val="0"/>
          <w:lang w:eastAsia="en-US"/>
        </w:rPr>
        <w:t xml:space="preserve">  Mr.</w:t>
      </w:r>
      <w:r w:rsidR="00281A03" w:rsidRPr="0018093C">
        <w:rPr>
          <w:rFonts w:ascii="Times New Roman" w:hAnsi="Times New Roman"/>
          <w:snapToGrid w:val="0"/>
          <w:lang w:eastAsia="en-US"/>
        </w:rPr>
        <w:t> </w:t>
      </w:r>
      <w:r w:rsidRPr="0018093C">
        <w:rPr>
          <w:rFonts w:ascii="Times New Roman" w:hAnsi="Times New Roman"/>
          <w:snapToGrid w:val="0"/>
          <w:lang w:eastAsia="en-US"/>
        </w:rPr>
        <w:t>Hill also performs three checks on his DCF estimate</w:t>
      </w:r>
      <w:r w:rsidR="00281A03" w:rsidRPr="0018093C">
        <w:rPr>
          <w:rFonts w:ascii="Times New Roman" w:hAnsi="Times New Roman"/>
          <w:snapToGrid w:val="0"/>
          <w:lang w:eastAsia="en-US"/>
        </w:rPr>
        <w:t>:  (i) </w:t>
      </w:r>
      <w:r w:rsidRPr="0018093C">
        <w:rPr>
          <w:rFonts w:ascii="Times New Roman" w:hAnsi="Times New Roman"/>
          <w:snapToGrid w:val="0"/>
          <w:lang w:eastAsia="en-US"/>
        </w:rPr>
        <w:t>the Modified Earnings Price</w:t>
      </w:r>
      <w:r w:rsidR="00281A03" w:rsidRPr="0018093C">
        <w:rPr>
          <w:rFonts w:ascii="Times New Roman" w:hAnsi="Times New Roman"/>
          <w:snapToGrid w:val="0"/>
          <w:lang w:eastAsia="en-US"/>
        </w:rPr>
        <w:t xml:space="preserve"> methodology; (ii) </w:t>
      </w:r>
      <w:r w:rsidRPr="0018093C">
        <w:rPr>
          <w:rFonts w:ascii="Times New Roman" w:hAnsi="Times New Roman"/>
          <w:snapToGrid w:val="0"/>
          <w:lang w:eastAsia="en-US"/>
        </w:rPr>
        <w:t xml:space="preserve">Market-to-Book </w:t>
      </w:r>
      <w:r w:rsidR="00281A03" w:rsidRPr="0018093C">
        <w:rPr>
          <w:rFonts w:ascii="Times New Roman" w:hAnsi="Times New Roman"/>
          <w:snapToGrid w:val="0"/>
          <w:lang w:eastAsia="en-US"/>
        </w:rPr>
        <w:t>Ratio methodology</w:t>
      </w:r>
      <w:r w:rsidRPr="0018093C">
        <w:rPr>
          <w:rFonts w:ascii="Times New Roman" w:hAnsi="Times New Roman"/>
          <w:snapToGrid w:val="0"/>
          <w:lang w:eastAsia="en-US"/>
        </w:rPr>
        <w:t xml:space="preserve">, and </w:t>
      </w:r>
      <w:r w:rsidR="00281A03" w:rsidRPr="0018093C">
        <w:rPr>
          <w:rFonts w:ascii="Times New Roman" w:hAnsi="Times New Roman"/>
          <w:snapToGrid w:val="0"/>
          <w:lang w:eastAsia="en-US"/>
        </w:rPr>
        <w:t xml:space="preserve">(iii) the </w:t>
      </w:r>
      <w:r w:rsidRPr="0018093C">
        <w:rPr>
          <w:rFonts w:ascii="Times New Roman" w:hAnsi="Times New Roman"/>
          <w:snapToGrid w:val="0"/>
          <w:lang w:eastAsia="en-US"/>
        </w:rPr>
        <w:t>Capital Asset Pricing Model (</w:t>
      </w:r>
      <w:r w:rsidR="00942E42" w:rsidRPr="0018093C">
        <w:rPr>
          <w:rFonts w:ascii="Times New Roman" w:hAnsi="Times New Roman"/>
          <w:snapToGrid w:val="0"/>
          <w:lang w:eastAsia="en-US"/>
        </w:rPr>
        <w:t>“</w:t>
      </w:r>
      <w:r w:rsidRPr="0018093C">
        <w:rPr>
          <w:rFonts w:ascii="Times New Roman" w:hAnsi="Times New Roman"/>
          <w:snapToGrid w:val="0"/>
          <w:lang w:eastAsia="en-US"/>
        </w:rPr>
        <w:t>CAPM</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281A03" w:rsidRPr="0018093C">
        <w:rPr>
          <w:rFonts w:ascii="Times New Roman" w:hAnsi="Times New Roman"/>
          <w:snapToGrid w:val="0"/>
          <w:lang w:eastAsia="en-US"/>
        </w:rPr>
        <w:t>methodology</w:t>
      </w:r>
      <w:r w:rsidRPr="0018093C">
        <w:rPr>
          <w:rFonts w:ascii="Times New Roman" w:hAnsi="Times New Roman"/>
          <w:snapToGrid w:val="0"/>
          <w:lang w:eastAsia="en-US"/>
        </w:rPr>
        <w:t>.  Mr.</w:t>
      </w:r>
      <w:r w:rsidR="00281A03" w:rsidRPr="0018093C">
        <w:rPr>
          <w:rFonts w:ascii="Times New Roman" w:hAnsi="Times New Roman"/>
          <w:snapToGrid w:val="0"/>
          <w:lang w:eastAsia="en-US"/>
        </w:rPr>
        <w:t> </w:t>
      </w:r>
      <w:r w:rsidRPr="0018093C">
        <w:rPr>
          <w:rFonts w:ascii="Times New Roman" w:hAnsi="Times New Roman"/>
          <w:snapToGrid w:val="0"/>
          <w:lang w:eastAsia="en-US"/>
        </w:rPr>
        <w:t xml:space="preserve">Hill summarizes his results </w:t>
      </w:r>
      <w:r w:rsidR="00A81A9C" w:rsidRPr="0018093C">
        <w:rPr>
          <w:rFonts w:ascii="Times New Roman" w:hAnsi="Times New Roman"/>
          <w:snapToGrid w:val="0"/>
          <w:lang w:eastAsia="en-US"/>
        </w:rPr>
        <w:t xml:space="preserve">for each of these methodologies in </w:t>
      </w:r>
      <w:r w:rsidR="00CB7D2A" w:rsidRPr="0018093C">
        <w:rPr>
          <w:rFonts w:ascii="Times New Roman" w:hAnsi="Times New Roman"/>
          <w:snapToGrid w:val="0"/>
          <w:lang w:eastAsia="en-US"/>
        </w:rPr>
        <w:t xml:space="preserve">tabular form at page 42 of </w:t>
      </w:r>
      <w:r w:rsidR="00A81A9C" w:rsidRPr="0018093C">
        <w:rPr>
          <w:rFonts w:ascii="Times New Roman" w:hAnsi="Times New Roman"/>
          <w:snapToGrid w:val="0"/>
          <w:lang w:eastAsia="en-US"/>
        </w:rPr>
        <w:t>his testimony</w:t>
      </w:r>
      <w:r w:rsidR="00CB7D2A" w:rsidRPr="0018093C">
        <w:rPr>
          <w:rFonts w:ascii="Times New Roman" w:hAnsi="Times New Roman"/>
          <w:snapToGrid w:val="0"/>
          <w:lang w:eastAsia="en-US"/>
        </w:rPr>
        <w:t>.</w:t>
      </w:r>
    </w:p>
    <w:p w14:paraId="49C3FA49" w14:textId="77777777" w:rsidR="003E40B8" w:rsidRPr="0018093C" w:rsidRDefault="003E40B8" w:rsidP="00CB7D2A">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Giving primacy to his DCF results</w:t>
      </w:r>
      <w:r w:rsidR="00804542" w:rsidRPr="0018093C">
        <w:rPr>
          <w:rStyle w:val="FootnoteReference"/>
          <w:rFonts w:ascii="Times New Roman" w:hAnsi="Times New Roman"/>
          <w:snapToGrid w:val="0"/>
          <w:lang w:eastAsia="en-US"/>
        </w:rPr>
        <w:footnoteReference w:id="6"/>
      </w:r>
      <w:r w:rsidR="00804542" w:rsidRPr="0018093C">
        <w:rPr>
          <w:rFonts w:ascii="Times New Roman" w:hAnsi="Times New Roman"/>
          <w:snapToGrid w:val="0"/>
          <w:lang w:eastAsia="en-US"/>
        </w:rPr>
        <w:t xml:space="preserve"> </w:t>
      </w:r>
      <w:r w:rsidRPr="0018093C">
        <w:rPr>
          <w:rFonts w:ascii="Times New Roman" w:hAnsi="Times New Roman"/>
          <w:snapToGrid w:val="0"/>
          <w:lang w:eastAsia="en-US"/>
        </w:rPr>
        <w:t>and taking into account that interest rates are expected to rise,</w:t>
      </w:r>
      <w:r w:rsidR="00804542" w:rsidRPr="0018093C">
        <w:rPr>
          <w:rStyle w:val="FootnoteReference"/>
          <w:rFonts w:ascii="Times New Roman" w:hAnsi="Times New Roman"/>
          <w:snapToGrid w:val="0"/>
          <w:lang w:eastAsia="en-US"/>
        </w:rPr>
        <w:footnoteReference w:id="7"/>
      </w:r>
      <w:r w:rsidRPr="0018093C">
        <w:rPr>
          <w:rFonts w:ascii="Times New Roman" w:hAnsi="Times New Roman"/>
          <w:snapToGrid w:val="0"/>
          <w:lang w:eastAsia="en-US"/>
        </w:rPr>
        <w:t xml:space="preserve"> Mr.</w:t>
      </w:r>
      <w:r w:rsidR="00804542" w:rsidRPr="0018093C">
        <w:rPr>
          <w:rFonts w:ascii="Times New Roman" w:hAnsi="Times New Roman"/>
          <w:snapToGrid w:val="0"/>
          <w:lang w:eastAsia="en-US"/>
        </w:rPr>
        <w:t> </w:t>
      </w:r>
      <w:r w:rsidRPr="0018093C">
        <w:rPr>
          <w:rFonts w:ascii="Times New Roman" w:hAnsi="Times New Roman"/>
          <w:snapToGrid w:val="0"/>
          <w:lang w:eastAsia="en-US"/>
        </w:rPr>
        <w:t xml:space="preserve">Hill </w:t>
      </w:r>
      <w:r w:rsidR="00804542" w:rsidRPr="0018093C">
        <w:rPr>
          <w:rFonts w:ascii="Times New Roman" w:hAnsi="Times New Roman"/>
          <w:snapToGrid w:val="0"/>
          <w:lang w:eastAsia="en-US"/>
        </w:rPr>
        <w:t xml:space="preserve">suggests an ROE </w:t>
      </w:r>
      <w:r w:rsidRPr="0018093C">
        <w:rPr>
          <w:rFonts w:ascii="Times New Roman" w:hAnsi="Times New Roman"/>
          <w:snapToGrid w:val="0"/>
          <w:lang w:eastAsia="en-US"/>
        </w:rPr>
        <w:t xml:space="preserve">range </w:t>
      </w:r>
      <w:r w:rsidR="00804542" w:rsidRPr="0018093C">
        <w:rPr>
          <w:rFonts w:ascii="Times New Roman" w:hAnsi="Times New Roman"/>
          <w:snapToGrid w:val="0"/>
          <w:lang w:eastAsia="en-US"/>
        </w:rPr>
        <w:t xml:space="preserve">of </w:t>
      </w:r>
      <w:r w:rsidRPr="0018093C">
        <w:rPr>
          <w:rFonts w:ascii="Times New Roman" w:hAnsi="Times New Roman"/>
          <w:snapToGrid w:val="0"/>
          <w:lang w:eastAsia="en-US"/>
        </w:rPr>
        <w:t>8.5% - 9.5%</w:t>
      </w:r>
      <w:r w:rsidR="00804542" w:rsidRPr="0018093C">
        <w:rPr>
          <w:rFonts w:ascii="Times New Roman" w:hAnsi="Times New Roman"/>
          <w:snapToGrid w:val="0"/>
          <w:lang w:eastAsia="en-US"/>
        </w:rPr>
        <w:t>,</w:t>
      </w:r>
      <w:r w:rsidRPr="0018093C">
        <w:rPr>
          <w:rFonts w:ascii="Times New Roman" w:hAnsi="Times New Roman"/>
          <w:snapToGrid w:val="0"/>
          <w:lang w:eastAsia="en-US"/>
        </w:rPr>
        <w:t xml:space="preserve"> with a midpoint of 9.0%.</w:t>
      </w:r>
      <w:r w:rsidR="00804542" w:rsidRPr="0018093C">
        <w:rPr>
          <w:rStyle w:val="FootnoteReference"/>
          <w:rFonts w:ascii="Times New Roman" w:hAnsi="Times New Roman"/>
          <w:snapToGrid w:val="0"/>
          <w:lang w:eastAsia="en-US"/>
        </w:rPr>
        <w:footnoteReference w:id="8"/>
      </w:r>
      <w:r w:rsidRPr="0018093C">
        <w:rPr>
          <w:rFonts w:ascii="Times New Roman" w:hAnsi="Times New Roman"/>
          <w:snapToGrid w:val="0"/>
          <w:lang w:eastAsia="en-US"/>
        </w:rPr>
        <w:t xml:space="preserve">  With decoupling, Mr.</w:t>
      </w:r>
      <w:r w:rsidR="00BC1F15" w:rsidRPr="0018093C">
        <w:rPr>
          <w:rFonts w:ascii="Times New Roman" w:hAnsi="Times New Roman"/>
          <w:snapToGrid w:val="0"/>
          <w:lang w:eastAsia="en-US"/>
        </w:rPr>
        <w:t> </w:t>
      </w:r>
      <w:r w:rsidRPr="0018093C">
        <w:rPr>
          <w:rFonts w:ascii="Times New Roman" w:hAnsi="Times New Roman"/>
          <w:snapToGrid w:val="0"/>
          <w:lang w:eastAsia="en-US"/>
        </w:rPr>
        <w:t xml:space="preserve">Hill reduces his recommended midpoint of 9.0% by 35 basis points and concludes that the </w:t>
      </w:r>
      <w:r w:rsidR="0079317E" w:rsidRPr="0018093C">
        <w:rPr>
          <w:rFonts w:ascii="Times New Roman" w:hAnsi="Times New Roman"/>
          <w:snapToGrid w:val="0"/>
          <w:lang w:eastAsia="en-US"/>
        </w:rPr>
        <w:t>PSE</w:t>
      </w:r>
      <w:r w:rsidR="00942E42" w:rsidRPr="0018093C">
        <w:rPr>
          <w:rFonts w:ascii="Times New Roman" w:hAnsi="Times New Roman"/>
          <w:snapToGrid w:val="0"/>
          <w:lang w:eastAsia="en-US"/>
        </w:rPr>
        <w:t>’</w:t>
      </w:r>
      <w:r w:rsidRPr="0018093C">
        <w:rPr>
          <w:rFonts w:ascii="Times New Roman" w:hAnsi="Times New Roman"/>
          <w:snapToGrid w:val="0"/>
          <w:lang w:eastAsia="en-US"/>
        </w:rPr>
        <w:t>s allowed ROE at</w:t>
      </w:r>
      <w:r w:rsidR="00957E5B" w:rsidRPr="0018093C">
        <w:rPr>
          <w:rFonts w:ascii="Times New Roman" w:hAnsi="Times New Roman"/>
          <w:snapToGrid w:val="0"/>
          <w:lang w:eastAsia="en-US"/>
        </w:rPr>
        <w:t xml:space="preserve"> mid-year 2013 should be 8.65%.</w:t>
      </w:r>
      <w:r w:rsidR="008D4C46" w:rsidRPr="0018093C">
        <w:rPr>
          <w:rStyle w:val="FootnoteReference"/>
          <w:rFonts w:ascii="Times New Roman" w:hAnsi="Times New Roman"/>
          <w:snapToGrid w:val="0"/>
          <w:lang w:eastAsia="en-US"/>
        </w:rPr>
        <w:footnoteReference w:id="9"/>
      </w:r>
    </w:p>
    <w:p w14:paraId="7E65ADF7"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6F6E0E" w:rsidRPr="0018093C">
        <w:rPr>
          <w:rFonts w:ascii="Times New Roman" w:hAnsi="Times New Roman"/>
          <w:snapToGrid w:val="0"/>
          <w:lang w:eastAsia="en-US"/>
        </w:rPr>
        <w:t>Please summarize your specific concerns with Mr.</w:t>
      </w:r>
      <w:r w:rsidR="0040534F"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s recommendation</w:t>
      </w:r>
      <w:r w:rsidRPr="0018093C">
        <w:rPr>
          <w:rFonts w:ascii="Times New Roman" w:hAnsi="Times New Roman"/>
          <w:snapToGrid w:val="0"/>
          <w:lang w:eastAsia="en-US"/>
        </w:rPr>
        <w:t>.</w:t>
      </w:r>
    </w:p>
    <w:p w14:paraId="1DCFC8B4" w14:textId="77777777" w:rsidR="00965D31"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The ROE recommended by Mr.</w:t>
      </w:r>
      <w:r w:rsidR="0040534F" w:rsidRPr="0018093C">
        <w:rPr>
          <w:rFonts w:ascii="Times New Roman" w:hAnsi="Times New Roman"/>
          <w:snapToGrid w:val="0"/>
          <w:lang w:eastAsia="en-US"/>
        </w:rPr>
        <w:t> </w:t>
      </w:r>
      <w:r w:rsidRPr="0018093C">
        <w:rPr>
          <w:rFonts w:ascii="Times New Roman" w:hAnsi="Times New Roman"/>
          <w:snapToGrid w:val="0"/>
          <w:lang w:eastAsia="en-US"/>
        </w:rPr>
        <w:t>Hill significantly understates an appropriate ROE for PSE for the follo</w:t>
      </w:r>
      <w:r w:rsidR="00965D31" w:rsidRPr="0018093C">
        <w:rPr>
          <w:rFonts w:ascii="Times New Roman" w:hAnsi="Times New Roman"/>
          <w:snapToGrid w:val="0"/>
          <w:lang w:eastAsia="en-US"/>
        </w:rPr>
        <w:t>wing reasons:</w:t>
      </w:r>
    </w:p>
    <w:p w14:paraId="4753717D"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ROE for PSE is outside of the mainstream for </w:t>
      </w:r>
      <w:r w:rsidR="0040534F" w:rsidRPr="0018093C">
        <w:rPr>
          <w:rFonts w:ascii="Times New Roman" w:hAnsi="Times New Roman"/>
          <w:snapToGrid w:val="0"/>
          <w:lang w:eastAsia="en-US"/>
        </w:rPr>
        <w:t>electric and combination electric and gas utilities</w:t>
      </w:r>
      <w:r w:rsidRPr="0018093C">
        <w:rPr>
          <w:rFonts w:ascii="Times New Roman" w:hAnsi="Times New Roman"/>
          <w:snapToGrid w:val="0"/>
          <w:lang w:eastAsia="en-US"/>
        </w:rPr>
        <w:t>.  The ROE recommended by Mr.</w:t>
      </w:r>
      <w:r w:rsidR="0040534F" w:rsidRPr="0018093C">
        <w:rPr>
          <w:rFonts w:ascii="Times New Roman" w:hAnsi="Times New Roman"/>
          <w:snapToGrid w:val="0"/>
          <w:lang w:eastAsia="en-US"/>
        </w:rPr>
        <w:t> </w:t>
      </w:r>
      <w:r w:rsidRPr="0018093C">
        <w:rPr>
          <w:rFonts w:ascii="Times New Roman" w:hAnsi="Times New Roman"/>
          <w:snapToGrid w:val="0"/>
          <w:lang w:eastAsia="en-US"/>
        </w:rPr>
        <w:t xml:space="preserve">Hill for PSE is well outside the range of currently authorized ROEs for </w:t>
      </w:r>
      <w:r w:rsidR="0040534F" w:rsidRPr="0018093C">
        <w:rPr>
          <w:rFonts w:ascii="Times New Roman" w:hAnsi="Times New Roman"/>
          <w:snapToGrid w:val="0"/>
          <w:lang w:eastAsia="en-US"/>
        </w:rPr>
        <w:t xml:space="preserve">electric and combination electric and gas </w:t>
      </w:r>
      <w:r w:rsidRPr="0018093C">
        <w:rPr>
          <w:rFonts w:ascii="Times New Roman" w:hAnsi="Times New Roman"/>
          <w:snapToGrid w:val="0"/>
          <w:lang w:eastAsia="en-US"/>
        </w:rPr>
        <w:t>utilities in the United States and outside the zone of currently authorized ROEs for Mr.</w:t>
      </w:r>
      <w:r w:rsidR="0040534F"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own sample of comparable companies.</w:t>
      </w:r>
    </w:p>
    <w:p w14:paraId="6735A8EA"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Mr.</w:t>
      </w:r>
      <w:r w:rsidR="0040534F" w:rsidRPr="0018093C">
        <w:rPr>
          <w:rFonts w:ascii="Times New Roman" w:hAnsi="Times New Roman"/>
          <w:snapToGrid w:val="0"/>
          <w:lang w:eastAsia="en-US"/>
        </w:rPr>
        <w:t> </w:t>
      </w:r>
      <w:r w:rsidRPr="0018093C">
        <w:rPr>
          <w:rFonts w:ascii="Times New Roman" w:hAnsi="Times New Roman"/>
          <w:snapToGrid w:val="0"/>
          <w:lang w:eastAsia="en-US"/>
        </w:rPr>
        <w:t>Hill uses an ambiguous and arbitrary growth rate for each utility in his DCF analysis.  Mr.</w:t>
      </w:r>
      <w:r w:rsidR="0040534F"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DCF estimates are unreliable because he has selected a growth rate for each company in his comparable group that is ambiguous, arbitrary</w:t>
      </w:r>
      <w:r w:rsidR="0040534F" w:rsidRPr="0018093C">
        <w:rPr>
          <w:rFonts w:ascii="Times New Roman" w:hAnsi="Times New Roman"/>
          <w:snapToGrid w:val="0"/>
          <w:lang w:eastAsia="en-US"/>
        </w:rPr>
        <w:t>,</w:t>
      </w:r>
      <w:r w:rsidRPr="0018093C">
        <w:rPr>
          <w:rFonts w:ascii="Times New Roman" w:hAnsi="Times New Roman"/>
          <w:snapToGrid w:val="0"/>
          <w:lang w:eastAsia="en-US"/>
        </w:rPr>
        <w:t xml:space="preserve"> and nearly impossible to replicate.</w:t>
      </w:r>
    </w:p>
    <w:p w14:paraId="109E176A"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00965D31" w:rsidRPr="0018093C">
        <w:rPr>
          <w:rFonts w:ascii="Times New Roman" w:hAnsi="Times New Roman"/>
          <w:snapToGrid w:val="0"/>
          <w:lang w:eastAsia="en-US"/>
        </w:rPr>
        <w:tab/>
      </w:r>
      <w:r w:rsidR="0040534F" w:rsidRPr="0018093C">
        <w:rPr>
          <w:rFonts w:ascii="Times New Roman" w:hAnsi="Times New Roman"/>
          <w:snapToGrid w:val="0"/>
          <w:lang w:eastAsia="en-US"/>
        </w:rPr>
        <w:t xml:space="preserve">Mr. Hill relies on the Retention Growth methodology in his DCF analysis.  </w:t>
      </w:r>
      <w:r w:rsidRPr="0018093C">
        <w:rPr>
          <w:rFonts w:ascii="Times New Roman" w:hAnsi="Times New Roman"/>
          <w:snapToGrid w:val="0"/>
          <w:lang w:eastAsia="en-US"/>
        </w:rPr>
        <w:t>Mr.</w:t>
      </w:r>
      <w:r w:rsidR="0040534F" w:rsidRPr="0018093C">
        <w:rPr>
          <w:rFonts w:ascii="Times New Roman" w:hAnsi="Times New Roman"/>
          <w:snapToGrid w:val="0"/>
          <w:lang w:eastAsia="en-US"/>
        </w:rPr>
        <w:t> </w:t>
      </w:r>
      <w:r w:rsidRPr="0018093C">
        <w:rPr>
          <w:rFonts w:ascii="Times New Roman" w:hAnsi="Times New Roman"/>
          <w:snapToGrid w:val="0"/>
          <w:lang w:eastAsia="en-US"/>
        </w:rPr>
        <w:t>Hill relies heavily on the Retention Growth methodology in the DCF analysis</w:t>
      </w:r>
      <w:r w:rsidR="0040534F" w:rsidRPr="0018093C">
        <w:rPr>
          <w:rFonts w:ascii="Times New Roman" w:hAnsi="Times New Roman"/>
          <w:snapToGrid w:val="0"/>
          <w:lang w:eastAsia="en-US"/>
        </w:rPr>
        <w:t>,</w:t>
      </w:r>
      <w:r w:rsidRPr="0018093C">
        <w:rPr>
          <w:rFonts w:ascii="Times New Roman" w:hAnsi="Times New Roman"/>
          <w:snapToGrid w:val="0"/>
          <w:lang w:eastAsia="en-US"/>
        </w:rPr>
        <w:t xml:space="preserve"> whereby he is forced to assume the answer to implement the method.</w:t>
      </w:r>
    </w:p>
    <w:p w14:paraId="1BF50165"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(iv)</w:t>
      </w:r>
      <w:r w:rsidRPr="0018093C">
        <w:rPr>
          <w:rFonts w:ascii="Times New Roman" w:hAnsi="Times New Roman"/>
          <w:snapToGrid w:val="0"/>
          <w:lang w:eastAsia="en-US"/>
        </w:rPr>
        <w:tab/>
        <w:t>Mr.</w:t>
      </w:r>
      <w:r w:rsidR="0040534F" w:rsidRPr="0018093C">
        <w:rPr>
          <w:rFonts w:ascii="Times New Roman" w:hAnsi="Times New Roman"/>
          <w:snapToGrid w:val="0"/>
          <w:lang w:eastAsia="en-US"/>
        </w:rPr>
        <w:t> </w:t>
      </w:r>
      <w:r w:rsidRPr="0018093C">
        <w:rPr>
          <w:rFonts w:ascii="Times New Roman" w:hAnsi="Times New Roman"/>
          <w:snapToGrid w:val="0"/>
          <w:lang w:eastAsia="en-US"/>
        </w:rPr>
        <w:t>Hill erroneously relies on historical growth rates in his DCF analysis.  Mr.</w:t>
      </w:r>
      <w:r w:rsidR="0040534F" w:rsidRPr="0018093C">
        <w:rPr>
          <w:rFonts w:ascii="Times New Roman" w:hAnsi="Times New Roman"/>
          <w:snapToGrid w:val="0"/>
          <w:lang w:eastAsia="en-US"/>
        </w:rPr>
        <w:t> </w:t>
      </w:r>
      <w:r w:rsidRPr="0018093C">
        <w:rPr>
          <w:rFonts w:ascii="Times New Roman" w:hAnsi="Times New Roman"/>
          <w:snapToGrid w:val="0"/>
          <w:lang w:eastAsia="en-US"/>
        </w:rPr>
        <w:t>Hill relies on historical growth rates that have questionable relevance as proxies for future long-term growth forecasts in the DCF model.</w:t>
      </w:r>
    </w:p>
    <w:p w14:paraId="214348E6"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w:t>
      </w:r>
      <w:r w:rsidRPr="0018093C">
        <w:rPr>
          <w:rFonts w:ascii="Times New Roman" w:hAnsi="Times New Roman"/>
          <w:snapToGrid w:val="0"/>
          <w:lang w:eastAsia="en-US"/>
        </w:rPr>
        <w:tab/>
      </w:r>
      <w:r w:rsidR="0040534F" w:rsidRPr="0018093C">
        <w:rPr>
          <w:rFonts w:ascii="Times New Roman" w:hAnsi="Times New Roman"/>
          <w:snapToGrid w:val="0"/>
          <w:lang w:eastAsia="en-US"/>
        </w:rPr>
        <w:t xml:space="preserve">Mr. Hill uses disguised versions of the DCF.  </w:t>
      </w:r>
      <w:r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 improperly uses disguised versions of the DCF as supplements on his DCF analysis and, as a result, are redundant.</w:t>
      </w:r>
    </w:p>
    <w:p w14:paraId="2D5064CA" w14:textId="77777777" w:rsidR="00965D31" w:rsidRPr="0018093C" w:rsidRDefault="00965D31"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w:t>
      </w:r>
      <w:r w:rsidRPr="0018093C">
        <w:rPr>
          <w:rFonts w:ascii="Times New Roman" w:hAnsi="Times New Roman"/>
          <w:snapToGrid w:val="0"/>
          <w:lang w:eastAsia="en-US"/>
        </w:rPr>
        <w:tab/>
      </w:r>
      <w:r w:rsidR="003E40B8" w:rsidRPr="0018093C">
        <w:rPr>
          <w:rFonts w:ascii="Times New Roman" w:hAnsi="Times New Roman"/>
          <w:snapToGrid w:val="0"/>
          <w:lang w:eastAsia="en-US"/>
        </w:rPr>
        <w:t>The Modified Earnings Price Ratio and M/B methodologies applied by Mr.</w:t>
      </w:r>
      <w:r w:rsidR="00BC1F15" w:rsidRPr="0018093C">
        <w:rPr>
          <w:rFonts w:ascii="Times New Roman" w:hAnsi="Times New Roman"/>
          <w:snapToGrid w:val="0"/>
          <w:lang w:eastAsia="en-US"/>
        </w:rPr>
        <w:t> </w:t>
      </w:r>
      <w:r w:rsidR="003E40B8" w:rsidRPr="0018093C">
        <w:rPr>
          <w:rFonts w:ascii="Times New Roman" w:hAnsi="Times New Roman"/>
          <w:snapToGrid w:val="0"/>
          <w:lang w:eastAsia="en-US"/>
        </w:rPr>
        <w:t>Hill are disguised versions of the DCF model and do not constitute independent stand-alone checks.</w:t>
      </w:r>
    </w:p>
    <w:p w14:paraId="00376CEF"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w:t>
      </w:r>
      <w:r w:rsidR="00965D31" w:rsidRPr="0018093C">
        <w:rPr>
          <w:rFonts w:ascii="Times New Roman" w:hAnsi="Times New Roman"/>
          <w:snapToGrid w:val="0"/>
          <w:lang w:eastAsia="en-US"/>
        </w:rPr>
        <w:t>i</w:t>
      </w:r>
      <w:r w:rsidRPr="0018093C">
        <w:rPr>
          <w:rFonts w:ascii="Times New Roman" w:hAnsi="Times New Roman"/>
          <w:snapToGrid w:val="0"/>
          <w:lang w:eastAsia="en-US"/>
        </w:rPr>
        <w:t>)</w:t>
      </w:r>
      <w:r w:rsidR="00965D31" w:rsidRPr="0018093C">
        <w:rPr>
          <w:rFonts w:ascii="Times New Roman" w:hAnsi="Times New Roman"/>
          <w:snapToGrid w:val="0"/>
          <w:lang w:eastAsia="en-US"/>
        </w:rPr>
        <w:tab/>
      </w:r>
      <w:r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CAPM results should be given very little weight, if any, because Mr.</w:t>
      </w:r>
      <w:r w:rsidR="00BC1F15" w:rsidRPr="0018093C">
        <w:rPr>
          <w:rFonts w:ascii="Times New Roman" w:hAnsi="Times New Roman"/>
          <w:snapToGrid w:val="0"/>
          <w:lang w:eastAsia="en-US"/>
        </w:rPr>
        <w:t> </w:t>
      </w:r>
      <w:r w:rsidRPr="0018093C">
        <w:rPr>
          <w:rFonts w:ascii="Times New Roman" w:hAnsi="Times New Roman"/>
          <w:snapToGrid w:val="0"/>
          <w:lang w:eastAsia="en-US"/>
        </w:rPr>
        <w:t xml:space="preserve">Hill has relied on erroneous data inputs to implement the method. </w:t>
      </w:r>
    </w:p>
    <w:p w14:paraId="695AAE3D"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(vii</w:t>
      </w:r>
      <w:r w:rsidR="00965D31" w:rsidRPr="0018093C">
        <w:rPr>
          <w:rFonts w:ascii="Times New Roman" w:hAnsi="Times New Roman"/>
          <w:snapToGrid w:val="0"/>
          <w:lang w:eastAsia="en-US"/>
        </w:rPr>
        <w:t>i</w:t>
      </w:r>
      <w:r w:rsidRPr="0018093C">
        <w:rPr>
          <w:rFonts w:ascii="Times New Roman" w:hAnsi="Times New Roman"/>
          <w:snapToGrid w:val="0"/>
          <w:lang w:eastAsia="en-US"/>
        </w:rPr>
        <w:t>)</w:t>
      </w:r>
      <w:r w:rsidRPr="0018093C">
        <w:rPr>
          <w:rFonts w:ascii="Times New Roman" w:hAnsi="Times New Roman"/>
          <w:snapToGrid w:val="0"/>
          <w:lang w:eastAsia="en-US"/>
        </w:rPr>
        <w:tab/>
        <w:t>The Commission should reject 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downward ROE adjustment of 35 basis points for decoupling.  The impact of risk-reducing mechanisms such as decoupling on the Company</w:t>
      </w:r>
      <w:r w:rsidR="00942E42" w:rsidRPr="0018093C">
        <w:rPr>
          <w:rFonts w:ascii="Times New Roman" w:hAnsi="Times New Roman"/>
          <w:snapToGrid w:val="0"/>
          <w:lang w:eastAsia="en-US"/>
        </w:rPr>
        <w:t>’</w:t>
      </w:r>
      <w:r w:rsidRPr="0018093C">
        <w:rPr>
          <w:rFonts w:ascii="Times New Roman" w:hAnsi="Times New Roman"/>
          <w:snapToGrid w:val="0"/>
          <w:lang w:eastAsia="en-US"/>
        </w:rPr>
        <w:t>s risk profile is already reflected in the capital market data of the comparable companies, and the risk impact of these mechanisms is offset by several factors that work in the reverse direction.</w:t>
      </w:r>
    </w:p>
    <w:p w14:paraId="56DB5AD0" w14:textId="77777777" w:rsidR="003E40B8"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w:t>
      </w:r>
      <w:r w:rsidR="00965D31" w:rsidRPr="0018093C">
        <w:rPr>
          <w:rFonts w:ascii="Times New Roman" w:hAnsi="Times New Roman"/>
          <w:snapToGrid w:val="0"/>
          <w:lang w:eastAsia="en-US"/>
        </w:rPr>
        <w:t>ix</w:t>
      </w:r>
      <w:r w:rsidRPr="0018093C">
        <w:rPr>
          <w:rFonts w:ascii="Times New Roman" w:hAnsi="Times New Roman"/>
          <w:snapToGrid w:val="0"/>
          <w:lang w:eastAsia="en-US"/>
        </w:rPr>
        <w:t>)</w:t>
      </w:r>
      <w:r w:rsidRPr="0018093C">
        <w:rPr>
          <w:rFonts w:ascii="Times New Roman" w:hAnsi="Times New Roman"/>
          <w:snapToGrid w:val="0"/>
          <w:lang w:eastAsia="en-US"/>
        </w:rPr>
        <w:tab/>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criticisms of my testimony are unfounded and without merit, and should be ignored by the Commission. </w:t>
      </w:r>
    </w:p>
    <w:p w14:paraId="3837C111" w14:textId="77777777" w:rsidR="003E40B8" w:rsidRPr="0018093C" w:rsidRDefault="003E40B8" w:rsidP="00D64DC2">
      <w:pPr>
        <w:pStyle w:val="Heading2"/>
      </w:pPr>
      <w:bookmarkStart w:id="5" w:name="_Toc406751097"/>
      <w:r w:rsidRPr="0018093C">
        <w:t>A.</w:t>
      </w:r>
      <w:r w:rsidRPr="0018093C">
        <w:tab/>
      </w:r>
      <w:r w:rsidR="006F6E0E" w:rsidRPr="0018093C">
        <w:t>Mr.</w:t>
      </w:r>
      <w:r w:rsidR="0040534F" w:rsidRPr="0018093C">
        <w:t> </w:t>
      </w:r>
      <w:r w:rsidR="006F6E0E" w:rsidRPr="0018093C">
        <w:t>Hill</w:t>
      </w:r>
      <w:r w:rsidR="00942E42" w:rsidRPr="0018093C">
        <w:t>’</w:t>
      </w:r>
      <w:r w:rsidR="006F6E0E" w:rsidRPr="0018093C">
        <w:t xml:space="preserve">s Recommended ROE for PSE is Outside the Mainstream for Electric </w:t>
      </w:r>
      <w:r w:rsidR="0040534F" w:rsidRPr="0018093C">
        <w:t xml:space="preserve">and Combination Electric and Gas </w:t>
      </w:r>
      <w:r w:rsidR="006F6E0E" w:rsidRPr="0018093C">
        <w:t>Utilities</w:t>
      </w:r>
      <w:bookmarkEnd w:id="5"/>
    </w:p>
    <w:p w14:paraId="4DF68B68" w14:textId="77777777" w:rsidR="0040534F" w:rsidRPr="0018093C" w:rsidRDefault="003E40B8" w:rsidP="003E40B8">
      <w:pPr>
        <w:pStyle w:val="question"/>
        <w:keepNext/>
        <w:keepLines/>
        <w:spacing w:before="120"/>
        <w:rPr>
          <w:rFonts w:ascii="Times New Roman" w:hAnsi="Times New Roman"/>
          <w:snapToGrid w:val="0"/>
          <w:lang w:eastAsia="en-US"/>
        </w:rPr>
      </w:pPr>
      <w:r w:rsidRPr="0018093C">
        <w:rPr>
          <w:rFonts w:ascii="Times New Roman" w:hAnsi="Times New Roman"/>
          <w:snapToGrid w:val="0"/>
          <w:lang w:eastAsia="en-US"/>
        </w:rPr>
        <w:t>Q.</w:t>
      </w:r>
      <w:r w:rsidRPr="0018093C">
        <w:rPr>
          <w:rFonts w:ascii="Times New Roman" w:hAnsi="Times New Roman"/>
          <w:snapToGrid w:val="0"/>
          <w:lang w:eastAsia="en-US"/>
        </w:rPr>
        <w:tab/>
      </w:r>
      <w:r w:rsidR="0040534F" w:rsidRPr="0018093C">
        <w:rPr>
          <w:rFonts w:ascii="Times New Roman" w:hAnsi="Times New Roman"/>
          <w:snapToGrid w:val="0"/>
          <w:lang w:eastAsia="en-US"/>
        </w:rPr>
        <w:t>Are allowed ROEs of electric and combination electric and gas utilities</w:t>
      </w:r>
      <w:r w:rsidR="006A5777" w:rsidRPr="0018093C">
        <w:rPr>
          <w:rFonts w:ascii="Times New Roman" w:hAnsi="Times New Roman"/>
          <w:snapToGrid w:val="0"/>
          <w:lang w:eastAsia="en-US"/>
        </w:rPr>
        <w:t xml:space="preserve"> </w:t>
      </w:r>
      <w:r w:rsidR="0040534F" w:rsidRPr="0018093C">
        <w:rPr>
          <w:rFonts w:ascii="Times New Roman" w:hAnsi="Times New Roman"/>
          <w:snapToGrid w:val="0"/>
          <w:lang w:eastAsia="en-US"/>
        </w:rPr>
        <w:t>important determinants of investor growth perceptions and investor expected returns</w:t>
      </w:r>
      <w:r w:rsidR="006A5777" w:rsidRPr="0018093C">
        <w:rPr>
          <w:rFonts w:ascii="Times New Roman" w:hAnsi="Times New Roman"/>
          <w:snapToGrid w:val="0"/>
          <w:lang w:eastAsia="en-US"/>
        </w:rPr>
        <w:t>?</w:t>
      </w:r>
    </w:p>
    <w:p w14:paraId="064EF3A5" w14:textId="77777777" w:rsidR="006116C0"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6A5777" w:rsidRPr="0018093C">
        <w:rPr>
          <w:rFonts w:ascii="Times New Roman" w:hAnsi="Times New Roman"/>
          <w:snapToGrid w:val="0"/>
          <w:lang w:eastAsia="en-US"/>
        </w:rPr>
        <w:t xml:space="preserve">Yes.  </w:t>
      </w:r>
      <w:r w:rsidRPr="0018093C">
        <w:rPr>
          <w:rFonts w:ascii="Times New Roman" w:hAnsi="Times New Roman"/>
          <w:snapToGrid w:val="0"/>
          <w:lang w:eastAsia="en-US"/>
        </w:rPr>
        <w:t>Allowed ROEs</w:t>
      </w:r>
      <w:r w:rsidR="006A5777" w:rsidRPr="0018093C">
        <w:rPr>
          <w:rFonts w:ascii="Times New Roman" w:hAnsi="Times New Roman"/>
          <w:snapToGrid w:val="0"/>
          <w:lang w:eastAsia="en-US"/>
        </w:rPr>
        <w:t>—</w:t>
      </w:r>
      <w:r w:rsidRPr="0018093C">
        <w:rPr>
          <w:rFonts w:ascii="Times New Roman" w:hAnsi="Times New Roman"/>
          <w:snapToGrid w:val="0"/>
          <w:lang w:eastAsia="en-US"/>
        </w:rPr>
        <w:t>although not a precise indication of a utility</w:t>
      </w:r>
      <w:r w:rsidR="00942E42" w:rsidRPr="0018093C">
        <w:rPr>
          <w:rFonts w:ascii="Times New Roman" w:hAnsi="Times New Roman"/>
          <w:snapToGrid w:val="0"/>
          <w:lang w:eastAsia="en-US"/>
        </w:rPr>
        <w:t>’</w:t>
      </w:r>
      <w:r w:rsidRPr="0018093C">
        <w:rPr>
          <w:rFonts w:ascii="Times New Roman" w:hAnsi="Times New Roman"/>
          <w:snapToGrid w:val="0"/>
          <w:lang w:eastAsia="en-US"/>
        </w:rPr>
        <w:t>s cost of equity capital</w:t>
      </w:r>
      <w:r w:rsidR="006A5777" w:rsidRPr="0018093C">
        <w:rPr>
          <w:rFonts w:ascii="Times New Roman" w:hAnsi="Times New Roman"/>
          <w:snapToGrid w:val="0"/>
          <w:lang w:eastAsia="en-US"/>
        </w:rPr>
        <w:t>—</w:t>
      </w:r>
      <w:r w:rsidRPr="0018093C">
        <w:rPr>
          <w:rFonts w:ascii="Times New Roman" w:hAnsi="Times New Roman"/>
          <w:snapToGrid w:val="0"/>
          <w:lang w:eastAsia="en-US"/>
        </w:rPr>
        <w:t xml:space="preserve">are nevertheless important determinants of investor growth perceptions and investor expected returns.  They also serve to provide some </w:t>
      </w:r>
      <w:r w:rsidRPr="0018093C">
        <w:rPr>
          <w:rFonts w:ascii="Times New Roman" w:hAnsi="Times New Roman"/>
          <w:snapToGrid w:val="0"/>
          <w:lang w:eastAsia="en-US"/>
        </w:rPr>
        <w:lastRenderedPageBreak/>
        <w:t>perspective on the validity and reasonableness of Mr.</w:t>
      </w:r>
      <w:r w:rsidR="006A5777"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recommended ROE</w:t>
      </w:r>
      <w:r w:rsidR="006A5777" w:rsidRPr="0018093C">
        <w:rPr>
          <w:rFonts w:ascii="Times New Roman" w:hAnsi="Times New Roman"/>
          <w:snapToGrid w:val="0"/>
          <w:lang w:eastAsia="en-US"/>
        </w:rPr>
        <w:t xml:space="preserve"> for PSE</w:t>
      </w:r>
      <w:r w:rsidRPr="0018093C">
        <w:rPr>
          <w:rFonts w:ascii="Times New Roman" w:hAnsi="Times New Roman"/>
          <w:snapToGrid w:val="0"/>
          <w:lang w:eastAsia="en-US"/>
        </w:rPr>
        <w:t xml:space="preserve">.  Using </w:t>
      </w:r>
      <w:r w:rsidR="006A5777" w:rsidRPr="0018093C">
        <w:rPr>
          <w:rFonts w:ascii="Times New Roman" w:hAnsi="Times New Roman"/>
          <w:snapToGrid w:val="0"/>
          <w:lang w:eastAsia="en-US"/>
        </w:rPr>
        <w:t xml:space="preserve">data reported by </w:t>
      </w:r>
      <w:r w:rsidRPr="0018093C">
        <w:rPr>
          <w:rFonts w:ascii="Times New Roman" w:hAnsi="Times New Roman"/>
          <w:snapToGrid w:val="0"/>
          <w:lang w:eastAsia="en-US"/>
        </w:rPr>
        <w:t>Regulatory Research Associates (now SNL) for ROE decisions rendered for the twelve months ending in December</w:t>
      </w:r>
      <w:r w:rsidR="006A5777" w:rsidRPr="0018093C">
        <w:rPr>
          <w:rFonts w:ascii="Times New Roman" w:hAnsi="Times New Roman"/>
          <w:snapToGrid w:val="0"/>
          <w:lang w:eastAsia="en-US"/>
        </w:rPr>
        <w:t> </w:t>
      </w:r>
      <w:r w:rsidRPr="0018093C">
        <w:rPr>
          <w:rFonts w:ascii="Times New Roman" w:hAnsi="Times New Roman"/>
          <w:snapToGrid w:val="0"/>
          <w:lang w:eastAsia="en-US"/>
        </w:rPr>
        <w:t>2013, the average allowed ROE for electric utilities was 10.0%.</w:t>
      </w:r>
      <w:r w:rsidR="006A5777" w:rsidRPr="0018093C">
        <w:rPr>
          <w:rStyle w:val="FootnoteReference"/>
          <w:rFonts w:ascii="Times New Roman" w:hAnsi="Times New Roman"/>
          <w:snapToGrid w:val="0"/>
          <w:lang w:eastAsia="en-US"/>
        </w:rPr>
        <w:footnoteReference w:id="10"/>
      </w:r>
      <w:r w:rsidRPr="0018093C">
        <w:rPr>
          <w:rFonts w:ascii="Times New Roman" w:hAnsi="Times New Roman"/>
          <w:snapToGrid w:val="0"/>
          <w:lang w:eastAsia="en-US"/>
        </w:rPr>
        <w:t xml:space="preserve">  For the first three quarters of 2014, the average allowed ROE </w:t>
      </w:r>
      <w:r w:rsidR="006116C0" w:rsidRPr="0018093C">
        <w:rPr>
          <w:rFonts w:ascii="Times New Roman" w:hAnsi="Times New Roman"/>
          <w:snapToGrid w:val="0"/>
          <w:lang w:eastAsia="en-US"/>
        </w:rPr>
        <w:t xml:space="preserve">for electric utilities </w:t>
      </w:r>
      <w:r w:rsidRPr="0018093C">
        <w:rPr>
          <w:rFonts w:ascii="Times New Roman" w:hAnsi="Times New Roman"/>
          <w:snapToGrid w:val="0"/>
          <w:lang w:eastAsia="en-US"/>
        </w:rPr>
        <w:t>is identical at 10.0%.</w:t>
      </w:r>
      <w:r w:rsidR="006116C0" w:rsidRPr="0018093C">
        <w:rPr>
          <w:rStyle w:val="FootnoteReference"/>
          <w:rFonts w:ascii="Times New Roman" w:hAnsi="Times New Roman"/>
          <w:snapToGrid w:val="0"/>
          <w:lang w:eastAsia="en-US"/>
        </w:rPr>
        <w:footnoteReference w:id="11"/>
      </w:r>
      <w:r w:rsidRPr="0018093C">
        <w:rPr>
          <w:rFonts w:ascii="Times New Roman" w:hAnsi="Times New Roman"/>
          <w:snapToGrid w:val="0"/>
          <w:lang w:eastAsia="en-US"/>
        </w:rPr>
        <w:t xml:space="preserve">  These results </w:t>
      </w:r>
      <w:r w:rsidR="006116C0" w:rsidRPr="0018093C">
        <w:rPr>
          <w:rFonts w:ascii="Times New Roman" w:hAnsi="Times New Roman"/>
          <w:snapToGrid w:val="0"/>
          <w:lang w:eastAsia="en-US"/>
        </w:rPr>
        <w:t xml:space="preserve">suggest </w:t>
      </w:r>
      <w:r w:rsidRPr="0018093C">
        <w:rPr>
          <w:rFonts w:ascii="Times New Roman" w:hAnsi="Times New Roman"/>
          <w:snapToGrid w:val="0"/>
          <w:lang w:eastAsia="en-US"/>
        </w:rPr>
        <w:t>two things:</w:t>
      </w:r>
    </w:p>
    <w:p w14:paraId="1DE5B2C5" w14:textId="77777777" w:rsidR="006116C0" w:rsidRPr="0018093C" w:rsidRDefault="006116C0" w:rsidP="006116C0">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r>
      <w:r w:rsidR="003E40B8" w:rsidRPr="0018093C">
        <w:rPr>
          <w:rFonts w:ascii="Times New Roman" w:hAnsi="Times New Roman"/>
          <w:snapToGrid w:val="0"/>
          <w:lang w:eastAsia="en-US"/>
        </w:rPr>
        <w:t xml:space="preserve">capital market conditions did not change materially </w:t>
      </w:r>
      <w:r w:rsidRPr="0018093C">
        <w:rPr>
          <w:rFonts w:ascii="Times New Roman" w:hAnsi="Times New Roman"/>
          <w:snapToGrid w:val="0"/>
          <w:lang w:eastAsia="en-US"/>
        </w:rPr>
        <w:t>during the period January 1, 2013, through September 30, 2014,</w:t>
      </w:r>
      <w:r w:rsidR="003E40B8" w:rsidRPr="0018093C">
        <w:rPr>
          <w:rFonts w:ascii="Times New Roman" w:hAnsi="Times New Roman"/>
          <w:snapToGrid w:val="0"/>
          <w:lang w:eastAsia="en-US"/>
        </w:rPr>
        <w:t xml:space="preserve"> given that the </w:t>
      </w:r>
      <w:r w:rsidRPr="0018093C">
        <w:rPr>
          <w:rFonts w:ascii="Times New Roman" w:hAnsi="Times New Roman"/>
          <w:snapToGrid w:val="0"/>
          <w:lang w:eastAsia="en-US"/>
        </w:rPr>
        <w:t xml:space="preserve">average </w:t>
      </w:r>
      <w:r w:rsidR="003E40B8" w:rsidRPr="0018093C">
        <w:rPr>
          <w:rFonts w:ascii="Times New Roman" w:hAnsi="Times New Roman"/>
          <w:snapToGrid w:val="0"/>
          <w:lang w:eastAsia="en-US"/>
        </w:rPr>
        <w:t>allowed ROE</w:t>
      </w:r>
      <w:r w:rsidRPr="0018093C">
        <w:rPr>
          <w:rFonts w:ascii="Times New Roman" w:hAnsi="Times New Roman"/>
          <w:snapToGrid w:val="0"/>
          <w:lang w:eastAsia="en-US"/>
        </w:rPr>
        <w:t>s</w:t>
      </w:r>
      <w:r w:rsidR="003E40B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of electric utilities granted by state regulatory agencies during this period </w:t>
      </w:r>
      <w:r w:rsidR="003E40B8" w:rsidRPr="0018093C">
        <w:rPr>
          <w:rFonts w:ascii="Times New Roman" w:hAnsi="Times New Roman"/>
          <w:snapToGrid w:val="0"/>
          <w:lang w:eastAsia="en-US"/>
        </w:rPr>
        <w:t>remained unchanged</w:t>
      </w:r>
      <w:r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and</w:t>
      </w:r>
    </w:p>
    <w:p w14:paraId="10080164" w14:textId="77777777" w:rsidR="003E40B8" w:rsidRPr="0018093C" w:rsidRDefault="006116C0" w:rsidP="006116C0">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 xml:space="preserve">the average allowed </w:t>
      </w:r>
      <w:r w:rsidR="003E40B8" w:rsidRPr="0018093C">
        <w:rPr>
          <w:rFonts w:ascii="Times New Roman" w:hAnsi="Times New Roman"/>
          <w:snapToGrid w:val="0"/>
          <w:lang w:eastAsia="en-US"/>
        </w:rPr>
        <w:t>ROE</w:t>
      </w:r>
      <w:r w:rsidRPr="0018093C">
        <w:rPr>
          <w:rFonts w:ascii="Times New Roman" w:hAnsi="Times New Roman"/>
          <w:snapToGrid w:val="0"/>
          <w:lang w:eastAsia="en-US"/>
        </w:rPr>
        <w:t>s of electric utilities granted by state regulatory agencies during the period January 1, 2013, through September 30, 2014,</w:t>
      </w:r>
      <w:r w:rsidR="003E40B8" w:rsidRPr="0018093C">
        <w:rPr>
          <w:rFonts w:ascii="Times New Roman" w:hAnsi="Times New Roman"/>
          <w:snapToGrid w:val="0"/>
          <w:lang w:eastAsia="en-US"/>
        </w:rPr>
        <w:t xml:space="preserve"> are well in excess of Mr.</w:t>
      </w:r>
      <w:r w:rsidRPr="0018093C">
        <w:rPr>
          <w:rFonts w:ascii="Times New Roman" w:hAnsi="Times New Roman"/>
          <w:snapToGrid w:val="0"/>
          <w:lang w:eastAsia="en-US"/>
        </w:rPr>
        <w:t> </w:t>
      </w:r>
      <w:r w:rsidR="003E40B8"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s recommended </w:t>
      </w:r>
      <w:r w:rsidRPr="0018093C">
        <w:rPr>
          <w:rFonts w:ascii="Times New Roman" w:hAnsi="Times New Roman"/>
          <w:snapToGrid w:val="0"/>
          <w:lang w:eastAsia="en-US"/>
        </w:rPr>
        <w:t xml:space="preserve">ROE of </w:t>
      </w:r>
      <w:r w:rsidR="003E40B8" w:rsidRPr="0018093C">
        <w:rPr>
          <w:rFonts w:ascii="Times New Roman" w:hAnsi="Times New Roman"/>
          <w:snapToGrid w:val="0"/>
          <w:lang w:eastAsia="en-US"/>
        </w:rPr>
        <w:t xml:space="preserve">8.65% for PSE. </w:t>
      </w:r>
    </w:p>
    <w:p w14:paraId="1E2A1A4B"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6F6E0E" w:rsidRPr="0018093C">
        <w:rPr>
          <w:rFonts w:ascii="Times New Roman" w:hAnsi="Times New Roman"/>
          <w:snapToGrid w:val="0"/>
          <w:lang w:eastAsia="en-US"/>
        </w:rPr>
        <w:t>Is Mr.</w:t>
      </w:r>
      <w:r w:rsidR="006116C0"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s recommended ROE</w:t>
      </w:r>
      <w:r w:rsidR="006116C0" w:rsidRPr="0018093C">
        <w:rPr>
          <w:rFonts w:ascii="Times New Roman" w:hAnsi="Times New Roman"/>
          <w:snapToGrid w:val="0"/>
          <w:lang w:eastAsia="en-US"/>
        </w:rPr>
        <w:t xml:space="preserve"> </w:t>
      </w:r>
      <w:r w:rsidR="006F6E0E" w:rsidRPr="0018093C">
        <w:rPr>
          <w:rFonts w:ascii="Times New Roman" w:hAnsi="Times New Roman"/>
          <w:snapToGrid w:val="0"/>
          <w:lang w:eastAsia="en-US"/>
        </w:rPr>
        <w:t xml:space="preserve">for PSE consistent with the average </w:t>
      </w:r>
      <w:r w:rsidR="006116C0" w:rsidRPr="0018093C">
        <w:rPr>
          <w:rFonts w:ascii="Times New Roman" w:hAnsi="Times New Roman"/>
          <w:snapToGrid w:val="0"/>
          <w:lang w:eastAsia="en-US"/>
        </w:rPr>
        <w:t xml:space="preserve">allowed </w:t>
      </w:r>
      <w:r w:rsidR="006F6E0E" w:rsidRPr="0018093C">
        <w:rPr>
          <w:rFonts w:ascii="Times New Roman" w:hAnsi="Times New Roman"/>
          <w:snapToGrid w:val="0"/>
          <w:lang w:eastAsia="en-US"/>
        </w:rPr>
        <w:t xml:space="preserve">ROE for </w:t>
      </w:r>
      <w:r w:rsidR="006116C0" w:rsidRPr="0018093C">
        <w:rPr>
          <w:rFonts w:ascii="Times New Roman" w:hAnsi="Times New Roman"/>
          <w:snapToGrid w:val="0"/>
          <w:lang w:eastAsia="en-US"/>
        </w:rPr>
        <w:t xml:space="preserve">the </w:t>
      </w:r>
      <w:r w:rsidR="00DD6216" w:rsidRPr="0018093C">
        <w:rPr>
          <w:rFonts w:ascii="Times New Roman" w:hAnsi="Times New Roman"/>
          <w:snapToGrid w:val="0"/>
          <w:lang w:eastAsia="en-US"/>
        </w:rPr>
        <w:t xml:space="preserve">electric and combination electric and gas </w:t>
      </w:r>
      <w:r w:rsidR="00B977F9" w:rsidRPr="0018093C">
        <w:rPr>
          <w:rFonts w:ascii="Times New Roman" w:hAnsi="Times New Roman"/>
          <w:snapToGrid w:val="0"/>
          <w:lang w:eastAsia="en-US"/>
        </w:rPr>
        <w:t xml:space="preserve">utilities </w:t>
      </w:r>
      <w:r w:rsidR="006116C0" w:rsidRPr="0018093C">
        <w:rPr>
          <w:rFonts w:ascii="Times New Roman" w:hAnsi="Times New Roman"/>
          <w:snapToGrid w:val="0"/>
          <w:lang w:eastAsia="en-US"/>
        </w:rPr>
        <w:t xml:space="preserve">that comprise </w:t>
      </w:r>
      <w:r w:rsidR="006F6E0E"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s comparable group</w:t>
      </w:r>
      <w:r w:rsidRPr="0018093C">
        <w:rPr>
          <w:rFonts w:ascii="Times New Roman" w:hAnsi="Times New Roman"/>
          <w:snapToGrid w:val="0"/>
          <w:lang w:eastAsia="en-US"/>
        </w:rPr>
        <w:t>?</w:t>
      </w:r>
    </w:p>
    <w:p w14:paraId="503F753A" w14:textId="77777777" w:rsidR="00EC08C6" w:rsidRPr="0018093C" w:rsidRDefault="003E40B8" w:rsidP="00965D3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6116C0"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6116C0" w:rsidRPr="0018093C">
        <w:rPr>
          <w:rFonts w:ascii="Times New Roman" w:hAnsi="Times New Roman"/>
          <w:snapToGrid w:val="0"/>
          <w:lang w:eastAsia="en-US"/>
        </w:rPr>
        <w:t>s recommended ROE for PSE is substantially lower than the allowed ROE</w:t>
      </w:r>
      <w:r w:rsidR="00B977F9" w:rsidRPr="0018093C">
        <w:rPr>
          <w:rFonts w:ascii="Times New Roman" w:hAnsi="Times New Roman"/>
          <w:snapToGrid w:val="0"/>
          <w:lang w:eastAsia="en-US"/>
        </w:rPr>
        <w:t>s</w:t>
      </w:r>
      <w:r w:rsidR="006116C0" w:rsidRPr="0018093C">
        <w:rPr>
          <w:rFonts w:ascii="Times New Roman" w:hAnsi="Times New Roman"/>
          <w:snapToGrid w:val="0"/>
          <w:lang w:eastAsia="en-US"/>
        </w:rPr>
        <w:t xml:space="preserve"> for the </w:t>
      </w:r>
      <w:r w:rsidR="00DD6216" w:rsidRPr="0018093C">
        <w:rPr>
          <w:rFonts w:ascii="Times New Roman" w:hAnsi="Times New Roman"/>
          <w:snapToGrid w:val="0"/>
          <w:lang w:eastAsia="en-US"/>
        </w:rPr>
        <w:t xml:space="preserve">electric and combination electric and gas </w:t>
      </w:r>
      <w:r w:rsidR="00B977F9" w:rsidRPr="0018093C">
        <w:rPr>
          <w:rFonts w:ascii="Times New Roman" w:hAnsi="Times New Roman"/>
          <w:snapToGrid w:val="0"/>
          <w:lang w:eastAsia="en-US"/>
        </w:rPr>
        <w:t xml:space="preserve">utilities </w:t>
      </w:r>
      <w:r w:rsidR="006116C0" w:rsidRPr="0018093C">
        <w:rPr>
          <w:rFonts w:ascii="Times New Roman" w:hAnsi="Times New Roman"/>
          <w:snapToGrid w:val="0"/>
          <w:lang w:eastAsia="en-US"/>
        </w:rPr>
        <w:t>that comprise Mr.</w:t>
      </w:r>
      <w:r w:rsidR="00B977F9" w:rsidRPr="0018093C">
        <w:rPr>
          <w:rFonts w:ascii="Times New Roman" w:hAnsi="Times New Roman"/>
          <w:snapToGrid w:val="0"/>
          <w:lang w:eastAsia="en-US"/>
        </w:rPr>
        <w:t> </w:t>
      </w:r>
      <w:r w:rsidR="006116C0"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116C0" w:rsidRPr="0018093C">
        <w:rPr>
          <w:rFonts w:ascii="Times New Roman" w:hAnsi="Times New Roman"/>
          <w:snapToGrid w:val="0"/>
          <w:lang w:eastAsia="en-US"/>
        </w:rPr>
        <w:t xml:space="preserve">s comparable group.  </w:t>
      </w:r>
      <w:r w:rsidR="00EC08C6" w:rsidRPr="0018093C">
        <w:rPr>
          <w:rFonts w:ascii="Times New Roman" w:hAnsi="Times New Roman"/>
          <w:snapToGrid w:val="0"/>
          <w:lang w:eastAsia="en-US"/>
        </w:rPr>
        <w:t xml:space="preserve">Data reported </w:t>
      </w:r>
      <w:r w:rsidR="00797920" w:rsidRPr="0018093C">
        <w:rPr>
          <w:rFonts w:ascii="Times New Roman" w:hAnsi="Times New Roman"/>
          <w:snapToGrid w:val="0"/>
          <w:lang w:eastAsia="en-US"/>
        </w:rPr>
        <w:t xml:space="preserve">by AUS Utility Reports in </w:t>
      </w:r>
      <w:r w:rsidRPr="0018093C">
        <w:rPr>
          <w:rFonts w:ascii="Times New Roman" w:hAnsi="Times New Roman"/>
          <w:i/>
          <w:snapToGrid w:val="0"/>
          <w:lang w:eastAsia="en-US"/>
        </w:rPr>
        <w:t>AUS</w:t>
      </w:r>
      <w:r w:rsidR="00B977F9" w:rsidRPr="0018093C">
        <w:rPr>
          <w:rFonts w:ascii="Times New Roman" w:hAnsi="Times New Roman"/>
          <w:i/>
          <w:snapToGrid w:val="0"/>
          <w:lang w:eastAsia="en-US"/>
        </w:rPr>
        <w:t> </w:t>
      </w:r>
      <w:r w:rsidR="00951136" w:rsidRPr="0018093C">
        <w:rPr>
          <w:rFonts w:ascii="Times New Roman" w:hAnsi="Times New Roman"/>
          <w:i/>
          <w:snapToGrid w:val="0"/>
          <w:lang w:eastAsia="en-US"/>
        </w:rPr>
        <w:t>Monthly Reports</w:t>
      </w:r>
      <w:r w:rsidR="00951136" w:rsidRPr="0018093C">
        <w:rPr>
          <w:rFonts w:ascii="Times New Roman" w:hAnsi="Times New Roman"/>
          <w:snapToGrid w:val="0"/>
          <w:lang w:eastAsia="en-US"/>
        </w:rPr>
        <w:t xml:space="preserve"> </w:t>
      </w:r>
      <w:r w:rsidR="00EC08C6" w:rsidRPr="0018093C">
        <w:rPr>
          <w:rFonts w:ascii="Times New Roman" w:hAnsi="Times New Roman"/>
          <w:snapToGrid w:val="0"/>
          <w:lang w:eastAsia="en-US"/>
        </w:rPr>
        <w:t>demonstrate</w:t>
      </w:r>
      <w:r w:rsidR="00491146" w:rsidRPr="0018093C">
        <w:rPr>
          <w:rFonts w:ascii="Times New Roman" w:hAnsi="Times New Roman"/>
          <w:snapToGrid w:val="0"/>
          <w:lang w:eastAsia="en-US"/>
        </w:rPr>
        <w:t xml:space="preserve"> that</w:t>
      </w:r>
    </w:p>
    <w:p w14:paraId="2D8124F0" w14:textId="77777777" w:rsidR="00EC08C6" w:rsidRPr="0018093C" w:rsidRDefault="00491146" w:rsidP="00EC08C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w:t>
      </w:r>
      <w:r w:rsidR="00EC08C6" w:rsidRPr="0018093C">
        <w:rPr>
          <w:rFonts w:ascii="Times New Roman" w:hAnsi="Times New Roman"/>
          <w:snapToGrid w:val="0"/>
          <w:lang w:eastAsia="en-US"/>
        </w:rPr>
        <w:tab/>
      </w:r>
      <w:r w:rsidRPr="0018093C">
        <w:rPr>
          <w:rFonts w:ascii="Times New Roman" w:hAnsi="Times New Roman"/>
          <w:snapToGrid w:val="0"/>
          <w:lang w:eastAsia="en-US"/>
        </w:rPr>
        <w:t xml:space="preserve">the </w:t>
      </w:r>
      <w:r w:rsidR="003E40B8" w:rsidRPr="0018093C">
        <w:rPr>
          <w:rFonts w:ascii="Times New Roman" w:hAnsi="Times New Roman"/>
          <w:snapToGrid w:val="0"/>
          <w:lang w:eastAsia="en-US"/>
        </w:rPr>
        <w:t xml:space="preserve">average </w:t>
      </w:r>
      <w:r w:rsidR="006116C0" w:rsidRPr="0018093C">
        <w:rPr>
          <w:rFonts w:ascii="Times New Roman" w:hAnsi="Times New Roman"/>
          <w:snapToGrid w:val="0"/>
          <w:lang w:eastAsia="en-US"/>
        </w:rPr>
        <w:t>allowed</w:t>
      </w:r>
      <w:r w:rsidR="003E40B8" w:rsidRPr="0018093C">
        <w:rPr>
          <w:rFonts w:ascii="Times New Roman" w:hAnsi="Times New Roman"/>
          <w:snapToGrid w:val="0"/>
          <w:lang w:eastAsia="en-US"/>
        </w:rPr>
        <w:t xml:space="preserve"> ROE </w:t>
      </w:r>
      <w:r w:rsidR="00EC08C6" w:rsidRPr="0018093C">
        <w:rPr>
          <w:rFonts w:ascii="Times New Roman" w:hAnsi="Times New Roman"/>
          <w:snapToGrid w:val="0"/>
          <w:lang w:eastAsia="en-US"/>
        </w:rPr>
        <w:t xml:space="preserve">in May 2013 for electric utilities and </w:t>
      </w:r>
      <w:r w:rsidRPr="0018093C">
        <w:rPr>
          <w:rFonts w:ascii="Times New Roman" w:hAnsi="Times New Roman"/>
          <w:snapToGrid w:val="0"/>
          <w:lang w:eastAsia="en-US"/>
        </w:rPr>
        <w:t xml:space="preserve">combination electric and gas </w:t>
      </w:r>
      <w:r w:rsidR="003E40B8" w:rsidRPr="0018093C">
        <w:rPr>
          <w:rFonts w:ascii="Times New Roman" w:hAnsi="Times New Roman"/>
          <w:snapToGrid w:val="0"/>
          <w:lang w:eastAsia="en-US"/>
        </w:rPr>
        <w:t>utilities</w:t>
      </w:r>
      <w:r w:rsidRPr="0018093C">
        <w:rPr>
          <w:rFonts w:ascii="Times New Roman" w:hAnsi="Times New Roman"/>
          <w:snapToGrid w:val="0"/>
          <w:lang w:eastAsia="en-US"/>
        </w:rPr>
        <w:t xml:space="preserve"> </w:t>
      </w:r>
      <w:r w:rsidR="00EC08C6" w:rsidRPr="0018093C">
        <w:rPr>
          <w:rFonts w:ascii="Times New Roman" w:hAnsi="Times New Roman"/>
          <w:snapToGrid w:val="0"/>
          <w:lang w:eastAsia="en-US"/>
        </w:rPr>
        <w:t>was 10.52</w:t>
      </w:r>
      <w:r w:rsidRPr="0018093C">
        <w:rPr>
          <w:rFonts w:ascii="Times New Roman" w:hAnsi="Times New Roman"/>
          <w:snapToGrid w:val="0"/>
          <w:lang w:eastAsia="en-US"/>
        </w:rPr>
        <w:t xml:space="preserve">% </w:t>
      </w:r>
      <w:r w:rsidR="00EC08C6" w:rsidRPr="0018093C">
        <w:rPr>
          <w:rFonts w:ascii="Times New Roman" w:hAnsi="Times New Roman"/>
          <w:snapToGrid w:val="0"/>
          <w:lang w:eastAsia="en-US"/>
        </w:rPr>
        <w:t>and 10.27</w:t>
      </w:r>
      <w:r w:rsidR="003E40B8" w:rsidRPr="0018093C">
        <w:rPr>
          <w:rFonts w:ascii="Times New Roman" w:hAnsi="Times New Roman"/>
          <w:snapToGrid w:val="0"/>
          <w:lang w:eastAsia="en-US"/>
        </w:rPr>
        <w:t>%</w:t>
      </w:r>
      <w:r w:rsidR="00EC08C6" w:rsidRPr="0018093C">
        <w:rPr>
          <w:rFonts w:ascii="Times New Roman" w:hAnsi="Times New Roman"/>
          <w:snapToGrid w:val="0"/>
          <w:lang w:eastAsia="en-US"/>
        </w:rPr>
        <w:t>, respectively;</w:t>
      </w:r>
      <w:r w:rsidR="00EC08C6" w:rsidRPr="0018093C">
        <w:rPr>
          <w:rStyle w:val="FootnoteReference"/>
          <w:rFonts w:ascii="Times New Roman" w:hAnsi="Times New Roman"/>
          <w:snapToGrid w:val="0"/>
          <w:lang w:eastAsia="en-US"/>
        </w:rPr>
        <w:footnoteReference w:id="12"/>
      </w:r>
      <w:r w:rsidR="00EC08C6" w:rsidRPr="0018093C">
        <w:rPr>
          <w:rFonts w:ascii="Times New Roman" w:hAnsi="Times New Roman"/>
          <w:snapToGrid w:val="0"/>
          <w:lang w:eastAsia="en-US"/>
        </w:rPr>
        <w:t xml:space="preserve"> and</w:t>
      </w:r>
    </w:p>
    <w:p w14:paraId="4E72D01F" w14:textId="77777777" w:rsidR="00EC08C6" w:rsidRPr="0018093C" w:rsidRDefault="00EC08C6" w:rsidP="00EC08C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the average allowed ROE in December 2014 for electric utilities and combination electric and gas utilities was 10.45% and 10.33%, respectively.</w:t>
      </w:r>
      <w:r w:rsidRPr="0018093C">
        <w:rPr>
          <w:rStyle w:val="FootnoteReference"/>
          <w:rFonts w:ascii="Times New Roman" w:hAnsi="Times New Roman"/>
          <w:snapToGrid w:val="0"/>
          <w:lang w:eastAsia="en-US"/>
        </w:rPr>
        <w:footnoteReference w:id="13"/>
      </w:r>
    </w:p>
    <w:p w14:paraId="25A7134C" w14:textId="77777777" w:rsidR="00797920" w:rsidRPr="0018093C" w:rsidRDefault="00EC08C6" w:rsidP="00EC08C6">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Indeed, </w:t>
      </w:r>
      <w:r w:rsidR="00797920" w:rsidRPr="0018093C">
        <w:rPr>
          <w:rFonts w:ascii="Times New Roman" w:hAnsi="Times New Roman"/>
          <w:i/>
          <w:snapToGrid w:val="0"/>
          <w:lang w:eastAsia="en-US"/>
        </w:rPr>
        <w:t>AUS Monthly Reports</w:t>
      </w:r>
      <w:r w:rsidR="00797920"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for each of May 2013 and December 2014 </w:t>
      </w:r>
      <w:r w:rsidR="00797920" w:rsidRPr="0018093C">
        <w:rPr>
          <w:rFonts w:ascii="Times New Roman" w:hAnsi="Times New Roman"/>
          <w:snapToGrid w:val="0"/>
          <w:lang w:eastAsia="en-US"/>
        </w:rPr>
        <w:t xml:space="preserve">demonstrate </w:t>
      </w:r>
      <w:r w:rsidRPr="0018093C">
        <w:rPr>
          <w:rFonts w:ascii="Times New Roman" w:hAnsi="Times New Roman"/>
          <w:snapToGrid w:val="0"/>
          <w:lang w:eastAsia="en-US"/>
        </w:rPr>
        <w:t xml:space="preserve">that each </w:t>
      </w:r>
      <w:r w:rsidR="0088027C" w:rsidRPr="0018093C">
        <w:rPr>
          <w:rFonts w:ascii="Times New Roman" w:hAnsi="Times New Roman"/>
          <w:snapToGrid w:val="0"/>
          <w:lang w:eastAsia="en-US"/>
        </w:rPr>
        <w:t xml:space="preserve">of </w:t>
      </w:r>
      <w:r w:rsidR="003E40B8" w:rsidRPr="0018093C">
        <w:rPr>
          <w:rFonts w:ascii="Times New Roman" w:hAnsi="Times New Roman"/>
          <w:snapToGrid w:val="0"/>
          <w:lang w:eastAsia="en-US"/>
        </w:rPr>
        <w:t xml:space="preserve">the </w:t>
      </w:r>
      <w:r w:rsidR="00951136" w:rsidRPr="0018093C">
        <w:rPr>
          <w:rFonts w:ascii="Times New Roman" w:hAnsi="Times New Roman"/>
          <w:snapToGrid w:val="0"/>
          <w:lang w:eastAsia="en-US"/>
        </w:rPr>
        <w:t xml:space="preserve">electric </w:t>
      </w:r>
      <w:r w:rsidRPr="0018093C">
        <w:rPr>
          <w:rFonts w:ascii="Times New Roman" w:hAnsi="Times New Roman"/>
          <w:snapToGrid w:val="0"/>
          <w:lang w:eastAsia="en-US"/>
        </w:rPr>
        <w:t xml:space="preserve">utilities and combination electric and gas utilities reported </w:t>
      </w:r>
      <w:r w:rsidR="00797920" w:rsidRPr="0018093C">
        <w:rPr>
          <w:rFonts w:ascii="Times New Roman" w:hAnsi="Times New Roman"/>
          <w:snapToGrid w:val="0"/>
          <w:lang w:eastAsia="en-US"/>
        </w:rPr>
        <w:t xml:space="preserve">has an </w:t>
      </w:r>
      <w:r w:rsidR="0088027C" w:rsidRPr="0018093C">
        <w:rPr>
          <w:rFonts w:ascii="Times New Roman" w:hAnsi="Times New Roman"/>
          <w:snapToGrid w:val="0"/>
          <w:lang w:eastAsia="en-US"/>
        </w:rPr>
        <w:t>allowed ROE</w:t>
      </w:r>
      <w:r w:rsidR="00797920" w:rsidRPr="0018093C">
        <w:rPr>
          <w:rFonts w:ascii="Times New Roman" w:hAnsi="Times New Roman"/>
          <w:snapToGrid w:val="0"/>
          <w:lang w:eastAsia="en-US"/>
        </w:rPr>
        <w:t xml:space="preserve"> that </w:t>
      </w:r>
      <w:r w:rsidR="003E40B8" w:rsidRPr="0018093C">
        <w:rPr>
          <w:rFonts w:ascii="Times New Roman" w:hAnsi="Times New Roman"/>
          <w:snapToGrid w:val="0"/>
          <w:lang w:eastAsia="en-US"/>
        </w:rPr>
        <w:t>exceed</w:t>
      </w:r>
      <w:r w:rsidR="00797920" w:rsidRPr="0018093C">
        <w:rPr>
          <w:rFonts w:ascii="Times New Roman" w:hAnsi="Times New Roman"/>
          <w:snapToGrid w:val="0"/>
          <w:lang w:eastAsia="en-US"/>
        </w:rPr>
        <w:t>s</w:t>
      </w:r>
      <w:r w:rsidR="0088027C"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Mr.</w:t>
      </w:r>
      <w:r w:rsidR="0088027C" w:rsidRPr="0018093C">
        <w:rPr>
          <w:rFonts w:ascii="Times New Roman" w:hAnsi="Times New Roman"/>
          <w:snapToGrid w:val="0"/>
          <w:lang w:eastAsia="en-US"/>
        </w:rPr>
        <w:t> </w:t>
      </w:r>
      <w:r w:rsidR="003E40B8"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s </w:t>
      </w:r>
      <w:r w:rsidR="0088027C" w:rsidRPr="0018093C">
        <w:rPr>
          <w:rFonts w:ascii="Times New Roman" w:hAnsi="Times New Roman"/>
          <w:snapToGrid w:val="0"/>
          <w:lang w:eastAsia="en-US"/>
        </w:rPr>
        <w:t xml:space="preserve">recommended ROE of </w:t>
      </w:r>
      <w:r w:rsidR="003E40B8" w:rsidRPr="0018093C">
        <w:rPr>
          <w:rFonts w:ascii="Times New Roman" w:hAnsi="Times New Roman"/>
          <w:snapToGrid w:val="0"/>
          <w:lang w:eastAsia="en-US"/>
        </w:rPr>
        <w:t xml:space="preserve">8.65% </w:t>
      </w:r>
      <w:r w:rsidR="0088027C" w:rsidRPr="0018093C">
        <w:rPr>
          <w:rFonts w:ascii="Times New Roman" w:hAnsi="Times New Roman"/>
          <w:snapToGrid w:val="0"/>
          <w:lang w:eastAsia="en-US"/>
        </w:rPr>
        <w:t>for PSE</w:t>
      </w:r>
      <w:r w:rsidR="003E40B8" w:rsidRPr="0018093C">
        <w:rPr>
          <w:rFonts w:ascii="Times New Roman" w:hAnsi="Times New Roman"/>
          <w:snapToGrid w:val="0"/>
          <w:lang w:eastAsia="en-US"/>
        </w:rPr>
        <w:t>.</w:t>
      </w:r>
      <w:r w:rsidR="0088027C" w:rsidRPr="0018093C">
        <w:rPr>
          <w:rStyle w:val="FootnoteReference"/>
          <w:rFonts w:ascii="Times New Roman" w:hAnsi="Times New Roman"/>
          <w:snapToGrid w:val="0"/>
          <w:lang w:eastAsia="en-US"/>
        </w:rPr>
        <w:footnoteReference w:id="14"/>
      </w:r>
    </w:p>
    <w:p w14:paraId="159C22E1" w14:textId="77777777" w:rsidR="00965D31" w:rsidRPr="0018093C" w:rsidRDefault="003E40B8" w:rsidP="00EC08C6">
      <w:pPr>
        <w:pStyle w:val="answer"/>
        <w:ind w:firstLine="0"/>
        <w:rPr>
          <w:rFonts w:ascii="Times New Roman" w:hAnsi="Times New Roman"/>
          <w:snapToGrid w:val="0"/>
          <w:lang w:eastAsia="en-US"/>
        </w:rPr>
      </w:pPr>
      <w:r w:rsidRPr="0018093C">
        <w:rPr>
          <w:rFonts w:ascii="Times New Roman" w:hAnsi="Times New Roman"/>
          <w:snapToGrid w:val="0"/>
          <w:lang w:eastAsia="en-US"/>
        </w:rPr>
        <w:t>Moreover, Mr.</w:t>
      </w:r>
      <w:r w:rsidR="0088027C"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w:t>
      </w:r>
      <w:r w:rsidR="0088027C" w:rsidRPr="0018093C">
        <w:rPr>
          <w:rFonts w:ascii="Times New Roman" w:hAnsi="Times New Roman"/>
          <w:snapToGrid w:val="0"/>
          <w:lang w:eastAsia="en-US"/>
        </w:rPr>
        <w:t xml:space="preserve">allowed </w:t>
      </w:r>
      <w:r w:rsidRPr="0018093C">
        <w:rPr>
          <w:rFonts w:ascii="Times New Roman" w:hAnsi="Times New Roman"/>
          <w:snapToGrid w:val="0"/>
          <w:lang w:eastAsia="en-US"/>
        </w:rPr>
        <w:t xml:space="preserve">ROE for PSE is below the </w:t>
      </w:r>
      <w:r w:rsidR="0088027C" w:rsidRPr="0018093C">
        <w:rPr>
          <w:rFonts w:ascii="Times New Roman" w:hAnsi="Times New Roman"/>
          <w:snapToGrid w:val="0"/>
          <w:lang w:eastAsia="en-US"/>
        </w:rPr>
        <w:t xml:space="preserve">allowed </w:t>
      </w:r>
      <w:r w:rsidRPr="0018093C">
        <w:rPr>
          <w:rFonts w:ascii="Times New Roman" w:hAnsi="Times New Roman"/>
          <w:snapToGrid w:val="0"/>
          <w:lang w:eastAsia="en-US"/>
        </w:rPr>
        <w:t xml:space="preserve">ROE of each </w:t>
      </w:r>
      <w:r w:rsidR="00797920" w:rsidRPr="0018093C">
        <w:rPr>
          <w:rFonts w:ascii="Times New Roman" w:hAnsi="Times New Roman"/>
          <w:snapToGrid w:val="0"/>
          <w:lang w:eastAsia="en-US"/>
        </w:rPr>
        <w:t xml:space="preserve">electric and combination electric and gas </w:t>
      </w:r>
      <w:r w:rsidRPr="0018093C">
        <w:rPr>
          <w:rFonts w:ascii="Times New Roman" w:hAnsi="Times New Roman"/>
          <w:snapToGrid w:val="0"/>
          <w:lang w:eastAsia="en-US"/>
        </w:rPr>
        <w:t>utility in Mr.</w:t>
      </w:r>
      <w:r w:rsidR="0088027C"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comparable group and far below the average </w:t>
      </w:r>
      <w:r w:rsidR="0088027C" w:rsidRPr="0018093C">
        <w:rPr>
          <w:rFonts w:ascii="Times New Roman" w:hAnsi="Times New Roman"/>
          <w:snapToGrid w:val="0"/>
          <w:lang w:eastAsia="en-US"/>
        </w:rPr>
        <w:t xml:space="preserve">allowed </w:t>
      </w:r>
      <w:r w:rsidRPr="0018093C">
        <w:rPr>
          <w:rFonts w:ascii="Times New Roman" w:hAnsi="Times New Roman"/>
          <w:snapToGrid w:val="0"/>
          <w:lang w:eastAsia="en-US"/>
        </w:rPr>
        <w:t>ROE</w:t>
      </w:r>
      <w:r w:rsidR="00797920" w:rsidRPr="0018093C">
        <w:rPr>
          <w:rFonts w:ascii="Times New Roman" w:hAnsi="Times New Roman"/>
          <w:snapToGrid w:val="0"/>
          <w:lang w:eastAsia="en-US"/>
        </w:rPr>
        <w:t>s</w:t>
      </w:r>
      <w:r w:rsidRPr="0018093C">
        <w:rPr>
          <w:rFonts w:ascii="Times New Roman" w:hAnsi="Times New Roman"/>
          <w:snapToGrid w:val="0"/>
          <w:lang w:eastAsia="en-US"/>
        </w:rPr>
        <w:t xml:space="preserve"> of 10.</w:t>
      </w:r>
      <w:r w:rsidR="0026040C" w:rsidRPr="0018093C">
        <w:rPr>
          <w:rFonts w:ascii="Times New Roman" w:hAnsi="Times New Roman"/>
          <w:snapToGrid w:val="0"/>
          <w:lang w:eastAsia="en-US"/>
        </w:rPr>
        <w:t>57</w:t>
      </w:r>
      <w:r w:rsidRPr="0018093C">
        <w:rPr>
          <w:rFonts w:ascii="Times New Roman" w:hAnsi="Times New Roman"/>
          <w:snapToGrid w:val="0"/>
          <w:lang w:eastAsia="en-US"/>
        </w:rPr>
        <w:t xml:space="preserve">% </w:t>
      </w:r>
      <w:r w:rsidR="00797920" w:rsidRPr="0018093C">
        <w:rPr>
          <w:rFonts w:ascii="Times New Roman" w:hAnsi="Times New Roman"/>
          <w:snapToGrid w:val="0"/>
          <w:lang w:eastAsia="en-US"/>
        </w:rPr>
        <w:t xml:space="preserve">and 10.51% reported by </w:t>
      </w:r>
      <w:r w:rsidR="00797920" w:rsidRPr="0018093C">
        <w:rPr>
          <w:rFonts w:ascii="Times New Roman" w:hAnsi="Times New Roman"/>
          <w:i/>
          <w:snapToGrid w:val="0"/>
          <w:lang w:eastAsia="en-US"/>
        </w:rPr>
        <w:t>AUS Monthly Reports</w:t>
      </w:r>
      <w:r w:rsidR="00797920"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for the same </w:t>
      </w:r>
      <w:r w:rsidR="00797920" w:rsidRPr="0018093C">
        <w:rPr>
          <w:rFonts w:ascii="Times New Roman" w:hAnsi="Times New Roman"/>
          <w:snapToGrid w:val="0"/>
          <w:lang w:eastAsia="en-US"/>
        </w:rPr>
        <w:t xml:space="preserve">utilities </w:t>
      </w:r>
      <w:r w:rsidR="0026040C" w:rsidRPr="0018093C">
        <w:rPr>
          <w:rFonts w:ascii="Times New Roman" w:hAnsi="Times New Roman"/>
          <w:snapToGrid w:val="0"/>
          <w:lang w:eastAsia="en-US"/>
        </w:rPr>
        <w:t>in May 2013</w:t>
      </w:r>
      <w:r w:rsidR="00797920" w:rsidRPr="0018093C">
        <w:rPr>
          <w:rFonts w:ascii="Times New Roman" w:hAnsi="Times New Roman"/>
          <w:snapToGrid w:val="0"/>
          <w:lang w:eastAsia="en-US"/>
        </w:rPr>
        <w:t xml:space="preserve"> and December 2014, respectively</w:t>
      </w:r>
      <w:r w:rsidR="0026040C" w:rsidRPr="0018093C">
        <w:rPr>
          <w:rFonts w:ascii="Times New Roman" w:hAnsi="Times New Roman"/>
          <w:snapToGrid w:val="0"/>
          <w:lang w:eastAsia="en-US"/>
        </w:rPr>
        <w:t>:</w:t>
      </w:r>
    </w:p>
    <w:p w14:paraId="21F2C42B" w14:textId="77777777" w:rsidR="0026040C" w:rsidRPr="0018093C" w:rsidRDefault="0026040C" w:rsidP="0026040C">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1</w:t>
      </w:r>
      <w:r w:rsidRPr="0018093C">
        <w:rPr>
          <w:rFonts w:ascii="Times New Roman" w:hAnsi="Times New Roman"/>
          <w:b/>
          <w:snapToGrid w:val="0"/>
          <w:lang w:eastAsia="en-US"/>
        </w:rPr>
        <w:br/>
        <w:t>Allowed ROEs of Utilities in Mr.</w:t>
      </w:r>
      <w:r w:rsidR="00BC1F15" w:rsidRPr="0018093C">
        <w:rPr>
          <w:rFonts w:ascii="Times New Roman" w:hAnsi="Times New Roman"/>
          <w:b/>
          <w:snapToGrid w:val="0"/>
          <w:lang w:eastAsia="en-US"/>
        </w:rPr>
        <w:t> </w:t>
      </w:r>
      <w:r w:rsidRPr="0018093C">
        <w:rPr>
          <w:rFonts w:ascii="Times New Roman" w:hAnsi="Times New Roman"/>
          <w:b/>
          <w:snapToGrid w:val="0"/>
          <w:lang w:eastAsia="en-US"/>
        </w:rPr>
        <w:t>Hill</w:t>
      </w:r>
      <w:r w:rsidR="00942E42" w:rsidRPr="0018093C">
        <w:rPr>
          <w:rFonts w:ascii="Times New Roman" w:hAnsi="Times New Roman"/>
          <w:b/>
          <w:snapToGrid w:val="0"/>
          <w:lang w:eastAsia="en-US"/>
        </w:rPr>
        <w:t>’</w:t>
      </w:r>
      <w:r w:rsidRPr="0018093C">
        <w:rPr>
          <w:rFonts w:ascii="Times New Roman" w:hAnsi="Times New Roman"/>
          <w:b/>
          <w:snapToGrid w:val="0"/>
          <w:lang w:eastAsia="en-US"/>
        </w:rPr>
        <w:t>s Comparable Group</w:t>
      </w:r>
    </w:p>
    <w:tbl>
      <w:tblPr>
        <w:tblStyle w:val="TableGrid"/>
        <w:tblW w:w="0" w:type="auto"/>
        <w:jc w:val="center"/>
        <w:tblInd w:w="720" w:type="dxa"/>
        <w:tblLook w:val="04A0" w:firstRow="1" w:lastRow="0" w:firstColumn="1" w:lastColumn="0" w:noHBand="0" w:noVBand="1"/>
      </w:tblPr>
      <w:tblGrid>
        <w:gridCol w:w="3769"/>
        <w:gridCol w:w="1829"/>
        <w:gridCol w:w="1980"/>
      </w:tblGrid>
      <w:tr w:rsidR="00F77051" w:rsidRPr="0018093C" w14:paraId="12778A4F" w14:textId="77777777" w:rsidTr="00DD6216">
        <w:trPr>
          <w:jc w:val="center"/>
        </w:trPr>
        <w:tc>
          <w:tcPr>
            <w:tcW w:w="3769" w:type="dxa"/>
            <w:shd w:val="clear" w:color="auto" w:fill="D9D9D9" w:themeFill="background1" w:themeFillShade="D9"/>
            <w:vAlign w:val="bottom"/>
          </w:tcPr>
          <w:p w14:paraId="795C6276"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Company</w:t>
            </w:r>
          </w:p>
        </w:tc>
        <w:tc>
          <w:tcPr>
            <w:tcW w:w="1829" w:type="dxa"/>
            <w:shd w:val="clear" w:color="auto" w:fill="D9D9D9" w:themeFill="background1" w:themeFillShade="D9"/>
            <w:vAlign w:val="bottom"/>
          </w:tcPr>
          <w:p w14:paraId="683A3596"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Allowed</w:t>
            </w:r>
            <w:r w:rsidR="00F77051" w:rsidRPr="0018093C">
              <w:rPr>
                <w:rFonts w:ascii="Times New Roman" w:hAnsi="Times New Roman"/>
                <w:b/>
                <w:snapToGrid w:val="0"/>
                <w:lang w:eastAsia="en-US"/>
              </w:rPr>
              <w:t xml:space="preserve"> </w:t>
            </w:r>
            <w:r w:rsidRPr="0018093C">
              <w:rPr>
                <w:rFonts w:ascii="Times New Roman" w:hAnsi="Times New Roman"/>
                <w:b/>
                <w:snapToGrid w:val="0"/>
                <w:lang w:eastAsia="en-US"/>
              </w:rPr>
              <w:t>ROE</w:t>
            </w:r>
            <w:r w:rsidRPr="0018093C">
              <w:rPr>
                <w:rFonts w:ascii="Times New Roman" w:hAnsi="Times New Roman"/>
                <w:b/>
                <w:snapToGrid w:val="0"/>
                <w:lang w:eastAsia="en-US"/>
              </w:rPr>
              <w:br/>
            </w:r>
            <w:r w:rsidR="0088027C" w:rsidRPr="0018093C">
              <w:rPr>
                <w:rFonts w:ascii="Times New Roman" w:hAnsi="Times New Roman"/>
                <w:b/>
                <w:snapToGrid w:val="0"/>
                <w:lang w:eastAsia="en-US"/>
              </w:rPr>
              <w:t xml:space="preserve">May </w:t>
            </w:r>
            <w:r w:rsidRPr="0018093C">
              <w:rPr>
                <w:rFonts w:ascii="Times New Roman" w:hAnsi="Times New Roman"/>
                <w:b/>
                <w:snapToGrid w:val="0"/>
                <w:lang w:eastAsia="en-US"/>
              </w:rPr>
              <w:t>2013</w:t>
            </w:r>
            <w:r w:rsidR="0026040C" w:rsidRPr="0018093C">
              <w:rPr>
                <w:rStyle w:val="FootnoteReference"/>
                <w:rFonts w:ascii="Times New Roman" w:hAnsi="Times New Roman"/>
                <w:snapToGrid w:val="0"/>
                <w:lang w:eastAsia="en-US"/>
              </w:rPr>
              <w:footnoteReference w:id="15"/>
            </w:r>
          </w:p>
        </w:tc>
        <w:tc>
          <w:tcPr>
            <w:tcW w:w="1980" w:type="dxa"/>
            <w:shd w:val="clear" w:color="auto" w:fill="D9D9D9" w:themeFill="background1" w:themeFillShade="D9"/>
            <w:vAlign w:val="bottom"/>
          </w:tcPr>
          <w:p w14:paraId="1C26AAEA"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Allowed</w:t>
            </w:r>
            <w:r w:rsidR="00F77051" w:rsidRPr="0018093C">
              <w:rPr>
                <w:rFonts w:ascii="Times New Roman" w:hAnsi="Times New Roman"/>
                <w:b/>
                <w:snapToGrid w:val="0"/>
                <w:lang w:eastAsia="en-US"/>
              </w:rPr>
              <w:t xml:space="preserve"> </w:t>
            </w:r>
            <w:r w:rsidRPr="0018093C">
              <w:rPr>
                <w:rFonts w:ascii="Times New Roman" w:hAnsi="Times New Roman"/>
                <w:b/>
                <w:snapToGrid w:val="0"/>
                <w:lang w:eastAsia="en-US"/>
              </w:rPr>
              <w:t>ROE</w:t>
            </w:r>
            <w:r w:rsidRPr="0018093C">
              <w:rPr>
                <w:rFonts w:ascii="Times New Roman" w:hAnsi="Times New Roman"/>
                <w:b/>
                <w:snapToGrid w:val="0"/>
                <w:lang w:eastAsia="en-US"/>
              </w:rPr>
              <w:br/>
            </w:r>
            <w:r w:rsidR="00DD6216" w:rsidRPr="0018093C">
              <w:rPr>
                <w:rFonts w:ascii="Times New Roman" w:hAnsi="Times New Roman"/>
                <w:b/>
                <w:snapToGrid w:val="0"/>
                <w:lang w:eastAsia="en-US"/>
              </w:rPr>
              <w:t xml:space="preserve">December </w:t>
            </w:r>
            <w:r w:rsidRPr="0018093C">
              <w:rPr>
                <w:rFonts w:ascii="Times New Roman" w:hAnsi="Times New Roman"/>
                <w:b/>
                <w:snapToGrid w:val="0"/>
                <w:lang w:eastAsia="en-US"/>
              </w:rPr>
              <w:t>2014</w:t>
            </w:r>
            <w:r w:rsidR="00DD6216" w:rsidRPr="0018093C">
              <w:rPr>
                <w:rStyle w:val="FootnoteReference"/>
                <w:rFonts w:ascii="Times New Roman" w:hAnsi="Times New Roman"/>
                <w:snapToGrid w:val="0"/>
                <w:lang w:eastAsia="en-US"/>
              </w:rPr>
              <w:footnoteReference w:id="16"/>
            </w:r>
          </w:p>
        </w:tc>
      </w:tr>
      <w:tr w:rsidR="00F96B26" w:rsidRPr="0018093C" w14:paraId="4A8FE5C0" w14:textId="77777777" w:rsidTr="00DD6216">
        <w:trPr>
          <w:jc w:val="center"/>
        </w:trPr>
        <w:tc>
          <w:tcPr>
            <w:tcW w:w="3769" w:type="dxa"/>
          </w:tcPr>
          <w:p w14:paraId="0F01AE20"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ALLETE</w:t>
            </w:r>
            <w:r w:rsidR="0088027C" w:rsidRPr="0018093C">
              <w:rPr>
                <w:rFonts w:ascii="Times New Roman" w:hAnsi="Times New Roman"/>
                <w:snapToGrid w:val="0"/>
                <w:lang w:eastAsia="en-US"/>
              </w:rPr>
              <w:t>, Inc.</w:t>
            </w:r>
          </w:p>
        </w:tc>
        <w:tc>
          <w:tcPr>
            <w:tcW w:w="1829" w:type="dxa"/>
          </w:tcPr>
          <w:p w14:paraId="4E81C8A8"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10.38</w:t>
            </w:r>
            <w:r w:rsidR="0088027C" w:rsidRPr="0018093C">
              <w:rPr>
                <w:rFonts w:ascii="Times New Roman" w:hAnsi="Times New Roman"/>
                <w:snapToGrid w:val="0"/>
                <w:lang w:eastAsia="en-US"/>
              </w:rPr>
              <w:t>%</w:t>
            </w:r>
          </w:p>
        </w:tc>
        <w:tc>
          <w:tcPr>
            <w:tcW w:w="1980" w:type="dxa"/>
          </w:tcPr>
          <w:p w14:paraId="63FBB65C"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10.38</w:t>
            </w:r>
            <w:r w:rsidR="0088027C" w:rsidRPr="0018093C">
              <w:rPr>
                <w:rFonts w:ascii="Times New Roman" w:hAnsi="Times New Roman"/>
                <w:snapToGrid w:val="0"/>
                <w:lang w:eastAsia="en-US"/>
              </w:rPr>
              <w:t>%</w:t>
            </w:r>
          </w:p>
        </w:tc>
      </w:tr>
      <w:tr w:rsidR="00F96B26" w:rsidRPr="0018093C" w14:paraId="044CC01A" w14:textId="77777777" w:rsidTr="00DD6216">
        <w:trPr>
          <w:jc w:val="center"/>
        </w:trPr>
        <w:tc>
          <w:tcPr>
            <w:tcW w:w="3769" w:type="dxa"/>
          </w:tcPr>
          <w:p w14:paraId="0D6DDA09"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Allian</w:t>
            </w:r>
            <w:r w:rsidR="0088027C" w:rsidRPr="0018093C">
              <w:rPr>
                <w:rFonts w:ascii="Times New Roman" w:hAnsi="Times New Roman"/>
                <w:snapToGrid w:val="0"/>
                <w:lang w:eastAsia="en-US"/>
              </w:rPr>
              <w:t>t</w:t>
            </w:r>
            <w:r w:rsidRPr="0018093C">
              <w:rPr>
                <w:rFonts w:ascii="Times New Roman" w:hAnsi="Times New Roman"/>
                <w:snapToGrid w:val="0"/>
                <w:lang w:eastAsia="en-US"/>
              </w:rPr>
              <w:t xml:space="preserve"> Energy</w:t>
            </w:r>
            <w:r w:rsidR="0088027C" w:rsidRPr="0018093C">
              <w:rPr>
                <w:rFonts w:ascii="Times New Roman" w:hAnsi="Times New Roman"/>
                <w:snapToGrid w:val="0"/>
                <w:lang w:eastAsia="en-US"/>
              </w:rPr>
              <w:t xml:space="preserve"> Corporation</w:t>
            </w:r>
          </w:p>
        </w:tc>
        <w:tc>
          <w:tcPr>
            <w:tcW w:w="1829" w:type="dxa"/>
          </w:tcPr>
          <w:p w14:paraId="4A52323B"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10.34</w:t>
            </w:r>
            <w:r w:rsidR="0088027C" w:rsidRPr="0018093C">
              <w:rPr>
                <w:rFonts w:ascii="Times New Roman" w:hAnsi="Times New Roman"/>
                <w:snapToGrid w:val="0"/>
                <w:lang w:eastAsia="en-US"/>
              </w:rPr>
              <w:t>%</w:t>
            </w:r>
          </w:p>
        </w:tc>
        <w:tc>
          <w:tcPr>
            <w:tcW w:w="1980" w:type="dxa"/>
          </w:tcPr>
          <w:p w14:paraId="4E5DECA8"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10.34</w:t>
            </w:r>
            <w:r w:rsidR="0088027C" w:rsidRPr="0018093C">
              <w:rPr>
                <w:rFonts w:ascii="Times New Roman" w:hAnsi="Times New Roman"/>
                <w:snapToGrid w:val="0"/>
                <w:lang w:eastAsia="en-US"/>
              </w:rPr>
              <w:t>%</w:t>
            </w:r>
          </w:p>
        </w:tc>
      </w:tr>
      <w:tr w:rsidR="00F96B26" w:rsidRPr="0018093C" w14:paraId="4387FF1B" w14:textId="77777777" w:rsidTr="00DD6216">
        <w:trPr>
          <w:jc w:val="center"/>
        </w:trPr>
        <w:tc>
          <w:tcPr>
            <w:tcW w:w="3769" w:type="dxa"/>
          </w:tcPr>
          <w:p w14:paraId="0F725B79" w14:textId="77777777" w:rsidR="00F96B26" w:rsidRPr="0018093C" w:rsidRDefault="0026040C"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American Electric Power Co.</w:t>
            </w:r>
          </w:p>
        </w:tc>
        <w:tc>
          <w:tcPr>
            <w:tcW w:w="1829" w:type="dxa"/>
          </w:tcPr>
          <w:p w14:paraId="312BE303" w14:textId="77777777" w:rsidR="00F96B26" w:rsidRPr="0018093C" w:rsidRDefault="00F96B26" w:rsidP="0026040C">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10.6</w:t>
            </w:r>
            <w:r w:rsidR="0026040C" w:rsidRPr="0018093C">
              <w:rPr>
                <w:rFonts w:ascii="Times New Roman" w:hAnsi="Times New Roman"/>
                <w:snapToGrid w:val="0"/>
                <w:lang w:eastAsia="en-US"/>
              </w:rPr>
              <w:t>3</w:t>
            </w:r>
            <w:r w:rsidR="0088027C" w:rsidRPr="0018093C">
              <w:rPr>
                <w:rFonts w:ascii="Times New Roman" w:hAnsi="Times New Roman"/>
                <w:snapToGrid w:val="0"/>
                <w:lang w:eastAsia="en-US"/>
              </w:rPr>
              <w:t>%</w:t>
            </w:r>
          </w:p>
        </w:tc>
        <w:tc>
          <w:tcPr>
            <w:tcW w:w="1980" w:type="dxa"/>
          </w:tcPr>
          <w:p w14:paraId="7BB0AA73"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10.50</w:t>
            </w:r>
            <w:r w:rsidR="0088027C" w:rsidRPr="0018093C">
              <w:rPr>
                <w:rFonts w:ascii="Times New Roman" w:hAnsi="Times New Roman"/>
                <w:snapToGrid w:val="0"/>
                <w:lang w:eastAsia="en-US"/>
              </w:rPr>
              <w:t>%</w:t>
            </w:r>
          </w:p>
        </w:tc>
      </w:tr>
      <w:tr w:rsidR="00F96B26" w:rsidRPr="0018093C" w14:paraId="286FE48F" w14:textId="77777777" w:rsidTr="00DD6216">
        <w:trPr>
          <w:jc w:val="center"/>
        </w:trPr>
        <w:tc>
          <w:tcPr>
            <w:tcW w:w="3769" w:type="dxa"/>
          </w:tcPr>
          <w:p w14:paraId="53527611"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Cleco Corp</w:t>
            </w:r>
            <w:r w:rsidR="0026040C" w:rsidRPr="0018093C">
              <w:rPr>
                <w:rFonts w:ascii="Times New Roman" w:hAnsi="Times New Roman"/>
                <w:snapToGrid w:val="0"/>
                <w:lang w:eastAsia="en-US"/>
              </w:rPr>
              <w:t>oration</w:t>
            </w:r>
          </w:p>
        </w:tc>
        <w:tc>
          <w:tcPr>
            <w:tcW w:w="1829" w:type="dxa"/>
          </w:tcPr>
          <w:p w14:paraId="1D883A0D"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10.70</w:t>
            </w:r>
            <w:r w:rsidR="0088027C" w:rsidRPr="0018093C">
              <w:rPr>
                <w:rFonts w:ascii="Times New Roman" w:hAnsi="Times New Roman"/>
                <w:snapToGrid w:val="0"/>
                <w:lang w:eastAsia="en-US"/>
              </w:rPr>
              <w:t>%</w:t>
            </w:r>
          </w:p>
        </w:tc>
        <w:tc>
          <w:tcPr>
            <w:tcW w:w="1980" w:type="dxa"/>
          </w:tcPr>
          <w:p w14:paraId="0E27D054"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10.70</w:t>
            </w:r>
            <w:r w:rsidR="0088027C" w:rsidRPr="0018093C">
              <w:rPr>
                <w:rFonts w:ascii="Times New Roman" w:hAnsi="Times New Roman"/>
                <w:snapToGrid w:val="0"/>
                <w:lang w:eastAsia="en-US"/>
              </w:rPr>
              <w:t>%</w:t>
            </w:r>
          </w:p>
        </w:tc>
      </w:tr>
      <w:tr w:rsidR="00F96B26" w:rsidRPr="0018093C" w14:paraId="59B11818" w14:textId="77777777" w:rsidTr="00DD6216">
        <w:trPr>
          <w:jc w:val="center"/>
        </w:trPr>
        <w:tc>
          <w:tcPr>
            <w:tcW w:w="3769" w:type="dxa"/>
          </w:tcPr>
          <w:p w14:paraId="67A004B5"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Edison Internat</w:t>
            </w:r>
            <w:r w:rsidR="0026040C" w:rsidRPr="0018093C">
              <w:rPr>
                <w:rFonts w:ascii="Times New Roman" w:hAnsi="Times New Roman"/>
                <w:snapToGrid w:val="0"/>
                <w:lang w:eastAsia="en-US"/>
              </w:rPr>
              <w:t>ional</w:t>
            </w:r>
          </w:p>
        </w:tc>
        <w:tc>
          <w:tcPr>
            <w:tcW w:w="1829" w:type="dxa"/>
          </w:tcPr>
          <w:p w14:paraId="00E18DE4" w14:textId="77777777" w:rsidR="00F96B26" w:rsidRPr="0018093C" w:rsidRDefault="0026040C"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10.63</w:t>
            </w:r>
            <w:r w:rsidR="0088027C" w:rsidRPr="0018093C">
              <w:rPr>
                <w:rFonts w:ascii="Times New Roman" w:hAnsi="Times New Roman"/>
                <w:snapToGrid w:val="0"/>
                <w:lang w:eastAsia="en-US"/>
              </w:rPr>
              <w:t>%</w:t>
            </w:r>
          </w:p>
        </w:tc>
        <w:tc>
          <w:tcPr>
            <w:tcW w:w="1980" w:type="dxa"/>
          </w:tcPr>
          <w:p w14:paraId="680D1A26"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10.50</w:t>
            </w:r>
            <w:r w:rsidR="0088027C" w:rsidRPr="0018093C">
              <w:rPr>
                <w:rFonts w:ascii="Times New Roman" w:hAnsi="Times New Roman"/>
                <w:snapToGrid w:val="0"/>
                <w:lang w:eastAsia="en-US"/>
              </w:rPr>
              <w:t>%</w:t>
            </w:r>
          </w:p>
        </w:tc>
      </w:tr>
      <w:tr w:rsidR="00F96B26" w:rsidRPr="0018093C" w14:paraId="2B688DA1" w14:textId="77777777" w:rsidTr="00DD6216">
        <w:trPr>
          <w:jc w:val="center"/>
        </w:trPr>
        <w:tc>
          <w:tcPr>
            <w:tcW w:w="3769" w:type="dxa"/>
          </w:tcPr>
          <w:p w14:paraId="79F6326C"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Entergy</w:t>
            </w:r>
            <w:r w:rsidR="0026040C" w:rsidRPr="0018093C">
              <w:rPr>
                <w:rFonts w:ascii="Times New Roman" w:hAnsi="Times New Roman"/>
                <w:snapToGrid w:val="0"/>
                <w:lang w:eastAsia="en-US"/>
              </w:rPr>
              <w:t xml:space="preserve"> Corporation</w:t>
            </w:r>
          </w:p>
        </w:tc>
        <w:tc>
          <w:tcPr>
            <w:tcW w:w="1829" w:type="dxa"/>
          </w:tcPr>
          <w:p w14:paraId="74F9540A"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10.62</w:t>
            </w:r>
            <w:r w:rsidR="0088027C" w:rsidRPr="0018093C">
              <w:rPr>
                <w:rFonts w:ascii="Times New Roman" w:hAnsi="Times New Roman"/>
                <w:snapToGrid w:val="0"/>
                <w:lang w:eastAsia="en-US"/>
              </w:rPr>
              <w:t>%</w:t>
            </w:r>
          </w:p>
        </w:tc>
        <w:tc>
          <w:tcPr>
            <w:tcW w:w="1980" w:type="dxa"/>
          </w:tcPr>
          <w:p w14:paraId="1C19F8C0"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10.50</w:t>
            </w:r>
            <w:r w:rsidR="0088027C" w:rsidRPr="0018093C">
              <w:rPr>
                <w:rFonts w:ascii="Times New Roman" w:hAnsi="Times New Roman"/>
                <w:snapToGrid w:val="0"/>
                <w:lang w:eastAsia="en-US"/>
              </w:rPr>
              <w:t>%</w:t>
            </w:r>
          </w:p>
        </w:tc>
      </w:tr>
      <w:tr w:rsidR="00F96B26" w:rsidRPr="0018093C" w14:paraId="1938D357" w14:textId="77777777" w:rsidTr="00DD6216">
        <w:trPr>
          <w:jc w:val="center"/>
        </w:trPr>
        <w:tc>
          <w:tcPr>
            <w:tcW w:w="3769" w:type="dxa"/>
          </w:tcPr>
          <w:p w14:paraId="650E35F3"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IDACORP</w:t>
            </w:r>
            <w:r w:rsidR="0026040C" w:rsidRPr="0018093C">
              <w:rPr>
                <w:rFonts w:ascii="Times New Roman" w:hAnsi="Times New Roman"/>
                <w:snapToGrid w:val="0"/>
                <w:lang w:eastAsia="en-US"/>
              </w:rPr>
              <w:t>, Inc.</w:t>
            </w:r>
          </w:p>
        </w:tc>
        <w:tc>
          <w:tcPr>
            <w:tcW w:w="1829" w:type="dxa"/>
          </w:tcPr>
          <w:p w14:paraId="6D388AA9"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10.18</w:t>
            </w:r>
            <w:r w:rsidR="0088027C" w:rsidRPr="0018093C">
              <w:rPr>
                <w:rFonts w:ascii="Times New Roman" w:hAnsi="Times New Roman"/>
                <w:snapToGrid w:val="0"/>
                <w:lang w:eastAsia="en-US"/>
              </w:rPr>
              <w:t>%</w:t>
            </w:r>
          </w:p>
        </w:tc>
        <w:tc>
          <w:tcPr>
            <w:tcW w:w="1980" w:type="dxa"/>
          </w:tcPr>
          <w:p w14:paraId="2D2C5800"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10.18</w:t>
            </w:r>
            <w:r w:rsidR="0088027C" w:rsidRPr="0018093C">
              <w:rPr>
                <w:rFonts w:ascii="Times New Roman" w:hAnsi="Times New Roman"/>
                <w:snapToGrid w:val="0"/>
                <w:lang w:eastAsia="en-US"/>
              </w:rPr>
              <w:t>%</w:t>
            </w:r>
          </w:p>
        </w:tc>
      </w:tr>
      <w:tr w:rsidR="00F96B26" w:rsidRPr="0018093C" w14:paraId="6715F39A" w14:textId="77777777" w:rsidTr="00DD6216">
        <w:trPr>
          <w:jc w:val="center"/>
        </w:trPr>
        <w:tc>
          <w:tcPr>
            <w:tcW w:w="3769" w:type="dxa"/>
          </w:tcPr>
          <w:p w14:paraId="34107431"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Northwestern</w:t>
            </w:r>
            <w:r w:rsidR="0026040C" w:rsidRPr="0018093C">
              <w:rPr>
                <w:rFonts w:ascii="Times New Roman" w:hAnsi="Times New Roman"/>
                <w:snapToGrid w:val="0"/>
                <w:lang w:eastAsia="en-US"/>
              </w:rPr>
              <w:t xml:space="preserve"> Corporation</w:t>
            </w:r>
          </w:p>
        </w:tc>
        <w:tc>
          <w:tcPr>
            <w:tcW w:w="1829" w:type="dxa"/>
          </w:tcPr>
          <w:p w14:paraId="76464F7E"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10.90</w:t>
            </w:r>
            <w:r w:rsidR="0088027C" w:rsidRPr="0018093C">
              <w:rPr>
                <w:rFonts w:ascii="Times New Roman" w:hAnsi="Times New Roman"/>
                <w:snapToGrid w:val="0"/>
                <w:lang w:eastAsia="en-US"/>
              </w:rPr>
              <w:t>%</w:t>
            </w:r>
          </w:p>
        </w:tc>
        <w:tc>
          <w:tcPr>
            <w:tcW w:w="1980" w:type="dxa"/>
          </w:tcPr>
          <w:p w14:paraId="026490DC"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10.79</w:t>
            </w:r>
            <w:r w:rsidR="0088027C" w:rsidRPr="0018093C">
              <w:rPr>
                <w:rFonts w:ascii="Times New Roman" w:hAnsi="Times New Roman"/>
                <w:snapToGrid w:val="0"/>
                <w:lang w:eastAsia="en-US"/>
              </w:rPr>
              <w:t>%</w:t>
            </w:r>
          </w:p>
        </w:tc>
      </w:tr>
      <w:tr w:rsidR="00F96B26" w:rsidRPr="0018093C" w14:paraId="5E461507" w14:textId="77777777" w:rsidTr="00DD6216">
        <w:trPr>
          <w:jc w:val="center"/>
        </w:trPr>
        <w:tc>
          <w:tcPr>
            <w:tcW w:w="3769" w:type="dxa"/>
          </w:tcPr>
          <w:p w14:paraId="502F572E"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PG&amp;E Corp</w:t>
            </w:r>
            <w:r w:rsidR="0026040C" w:rsidRPr="0018093C">
              <w:rPr>
                <w:rFonts w:ascii="Times New Roman" w:hAnsi="Times New Roman"/>
                <w:snapToGrid w:val="0"/>
                <w:lang w:eastAsia="en-US"/>
              </w:rPr>
              <w:t>oration</w:t>
            </w:r>
          </w:p>
        </w:tc>
        <w:tc>
          <w:tcPr>
            <w:tcW w:w="1829" w:type="dxa"/>
          </w:tcPr>
          <w:p w14:paraId="43305055" w14:textId="77777777" w:rsidR="00F96B26" w:rsidRPr="0018093C" w:rsidRDefault="0026040C" w:rsidP="0026040C">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w:t>
            </w:r>
            <w:r w:rsidR="00F96B26" w:rsidRPr="0018093C">
              <w:rPr>
                <w:rFonts w:ascii="Times New Roman" w:hAnsi="Times New Roman"/>
                <w:snapToGrid w:val="0"/>
                <w:lang w:eastAsia="en-US"/>
              </w:rPr>
              <w:t>.</w:t>
            </w:r>
            <w:r w:rsidRPr="0018093C">
              <w:rPr>
                <w:rFonts w:ascii="Times New Roman" w:hAnsi="Times New Roman"/>
                <w:snapToGrid w:val="0"/>
                <w:lang w:eastAsia="en-US"/>
              </w:rPr>
              <w:t>40</w:t>
            </w:r>
            <w:r w:rsidR="0088027C" w:rsidRPr="0018093C">
              <w:rPr>
                <w:rFonts w:ascii="Times New Roman" w:hAnsi="Times New Roman"/>
                <w:snapToGrid w:val="0"/>
                <w:lang w:eastAsia="en-US"/>
              </w:rPr>
              <w:t>%</w:t>
            </w:r>
          </w:p>
        </w:tc>
        <w:tc>
          <w:tcPr>
            <w:tcW w:w="1980" w:type="dxa"/>
          </w:tcPr>
          <w:p w14:paraId="2F86B7CE"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10.40</w:t>
            </w:r>
            <w:r w:rsidR="0088027C" w:rsidRPr="0018093C">
              <w:rPr>
                <w:rFonts w:ascii="Times New Roman" w:hAnsi="Times New Roman"/>
                <w:snapToGrid w:val="0"/>
                <w:lang w:eastAsia="en-US"/>
              </w:rPr>
              <w:t>%</w:t>
            </w:r>
          </w:p>
        </w:tc>
      </w:tr>
      <w:tr w:rsidR="00F96B26" w:rsidRPr="0018093C" w14:paraId="43970418" w14:textId="77777777" w:rsidTr="00DD6216">
        <w:trPr>
          <w:jc w:val="center"/>
        </w:trPr>
        <w:tc>
          <w:tcPr>
            <w:tcW w:w="3769" w:type="dxa"/>
          </w:tcPr>
          <w:p w14:paraId="41A19A6A"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Pinnacle West</w:t>
            </w:r>
            <w:r w:rsidR="0026040C" w:rsidRPr="0018093C">
              <w:rPr>
                <w:rFonts w:ascii="Times New Roman" w:hAnsi="Times New Roman"/>
                <w:snapToGrid w:val="0"/>
                <w:lang w:eastAsia="en-US"/>
              </w:rPr>
              <w:t xml:space="preserve"> Capital Corp.</w:t>
            </w:r>
          </w:p>
        </w:tc>
        <w:tc>
          <w:tcPr>
            <w:tcW w:w="1829" w:type="dxa"/>
          </w:tcPr>
          <w:p w14:paraId="6FADAB6C"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11.00</w:t>
            </w:r>
            <w:r w:rsidR="0088027C" w:rsidRPr="0018093C">
              <w:rPr>
                <w:rFonts w:ascii="Times New Roman" w:hAnsi="Times New Roman"/>
                <w:snapToGrid w:val="0"/>
                <w:lang w:eastAsia="en-US"/>
              </w:rPr>
              <w:t>%</w:t>
            </w:r>
          </w:p>
        </w:tc>
        <w:tc>
          <w:tcPr>
            <w:tcW w:w="1980" w:type="dxa"/>
          </w:tcPr>
          <w:p w14:paraId="7496430B"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11.00</w:t>
            </w:r>
            <w:r w:rsidR="0088027C" w:rsidRPr="0018093C">
              <w:rPr>
                <w:rFonts w:ascii="Times New Roman" w:hAnsi="Times New Roman"/>
                <w:snapToGrid w:val="0"/>
                <w:lang w:eastAsia="en-US"/>
              </w:rPr>
              <w:t>%</w:t>
            </w:r>
          </w:p>
        </w:tc>
      </w:tr>
      <w:tr w:rsidR="00F96B26" w:rsidRPr="0018093C" w14:paraId="7B72407B" w14:textId="77777777" w:rsidTr="00DD6216">
        <w:trPr>
          <w:jc w:val="center"/>
        </w:trPr>
        <w:tc>
          <w:tcPr>
            <w:tcW w:w="3769" w:type="dxa"/>
          </w:tcPr>
          <w:p w14:paraId="1384D361"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Portland General</w:t>
            </w:r>
            <w:r w:rsidR="0026040C" w:rsidRPr="0018093C">
              <w:rPr>
                <w:rFonts w:ascii="Times New Roman" w:hAnsi="Times New Roman"/>
                <w:snapToGrid w:val="0"/>
                <w:lang w:eastAsia="en-US"/>
              </w:rPr>
              <w:t xml:space="preserve"> Electric Company</w:t>
            </w:r>
          </w:p>
        </w:tc>
        <w:tc>
          <w:tcPr>
            <w:tcW w:w="1829" w:type="dxa"/>
          </w:tcPr>
          <w:p w14:paraId="69ADEEBA"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10.00</w:t>
            </w:r>
            <w:r w:rsidR="0088027C" w:rsidRPr="0018093C">
              <w:rPr>
                <w:rFonts w:ascii="Times New Roman" w:hAnsi="Times New Roman"/>
                <w:snapToGrid w:val="0"/>
                <w:lang w:eastAsia="en-US"/>
              </w:rPr>
              <w:t>%</w:t>
            </w:r>
          </w:p>
        </w:tc>
        <w:tc>
          <w:tcPr>
            <w:tcW w:w="1980" w:type="dxa"/>
          </w:tcPr>
          <w:p w14:paraId="50AC4224"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9.75</w:t>
            </w:r>
            <w:r w:rsidR="0088027C" w:rsidRPr="0018093C">
              <w:rPr>
                <w:rFonts w:ascii="Times New Roman" w:hAnsi="Times New Roman"/>
                <w:snapToGrid w:val="0"/>
                <w:lang w:eastAsia="en-US"/>
              </w:rPr>
              <w:t>%</w:t>
            </w:r>
          </w:p>
        </w:tc>
      </w:tr>
      <w:tr w:rsidR="00F96B26" w:rsidRPr="0018093C" w14:paraId="0416B5B7" w14:textId="77777777" w:rsidTr="00DD6216">
        <w:trPr>
          <w:jc w:val="center"/>
        </w:trPr>
        <w:tc>
          <w:tcPr>
            <w:tcW w:w="3769" w:type="dxa"/>
          </w:tcPr>
          <w:p w14:paraId="6920B3FB"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Southern Co</w:t>
            </w:r>
            <w:r w:rsidR="0026040C" w:rsidRPr="0018093C">
              <w:rPr>
                <w:rFonts w:ascii="Times New Roman" w:hAnsi="Times New Roman"/>
                <w:snapToGrid w:val="0"/>
                <w:lang w:eastAsia="en-US"/>
              </w:rPr>
              <w:t>mpany</w:t>
            </w:r>
          </w:p>
        </w:tc>
        <w:tc>
          <w:tcPr>
            <w:tcW w:w="1829" w:type="dxa"/>
          </w:tcPr>
          <w:p w14:paraId="26A5836B"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11.46</w:t>
            </w:r>
            <w:r w:rsidR="0088027C" w:rsidRPr="0018093C">
              <w:rPr>
                <w:rFonts w:ascii="Times New Roman" w:hAnsi="Times New Roman"/>
                <w:snapToGrid w:val="0"/>
                <w:lang w:eastAsia="en-US"/>
              </w:rPr>
              <w:t>%</w:t>
            </w:r>
          </w:p>
        </w:tc>
        <w:tc>
          <w:tcPr>
            <w:tcW w:w="1980" w:type="dxa"/>
          </w:tcPr>
          <w:p w14:paraId="36AF748A"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11.46</w:t>
            </w:r>
            <w:r w:rsidR="0088027C" w:rsidRPr="0018093C">
              <w:rPr>
                <w:rFonts w:ascii="Times New Roman" w:hAnsi="Times New Roman"/>
                <w:snapToGrid w:val="0"/>
                <w:lang w:eastAsia="en-US"/>
              </w:rPr>
              <w:t>%</w:t>
            </w:r>
          </w:p>
        </w:tc>
      </w:tr>
      <w:tr w:rsidR="00F96B26" w:rsidRPr="0018093C" w14:paraId="475821E6" w14:textId="77777777" w:rsidTr="00DD6216">
        <w:trPr>
          <w:jc w:val="center"/>
        </w:trPr>
        <w:tc>
          <w:tcPr>
            <w:tcW w:w="3769" w:type="dxa"/>
          </w:tcPr>
          <w:p w14:paraId="7645F050"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Westar Energy</w:t>
            </w:r>
            <w:r w:rsidR="0026040C" w:rsidRPr="0018093C">
              <w:rPr>
                <w:rFonts w:ascii="Times New Roman" w:hAnsi="Times New Roman"/>
                <w:snapToGrid w:val="0"/>
                <w:lang w:eastAsia="en-US"/>
              </w:rPr>
              <w:t>, Inc.</w:t>
            </w:r>
          </w:p>
        </w:tc>
        <w:tc>
          <w:tcPr>
            <w:tcW w:w="1829" w:type="dxa"/>
          </w:tcPr>
          <w:p w14:paraId="74212E29"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10.20</w:t>
            </w:r>
            <w:r w:rsidR="0088027C" w:rsidRPr="0018093C">
              <w:rPr>
                <w:rFonts w:ascii="Times New Roman" w:hAnsi="Times New Roman"/>
                <w:snapToGrid w:val="0"/>
                <w:lang w:eastAsia="en-US"/>
              </w:rPr>
              <w:t>%</w:t>
            </w:r>
          </w:p>
        </w:tc>
        <w:tc>
          <w:tcPr>
            <w:tcW w:w="1980" w:type="dxa"/>
          </w:tcPr>
          <w:p w14:paraId="37F4D9E6"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10.20</w:t>
            </w:r>
            <w:r w:rsidR="0088027C" w:rsidRPr="0018093C">
              <w:rPr>
                <w:rFonts w:ascii="Times New Roman" w:hAnsi="Times New Roman"/>
                <w:snapToGrid w:val="0"/>
                <w:lang w:eastAsia="en-US"/>
              </w:rPr>
              <w:t>%</w:t>
            </w:r>
          </w:p>
        </w:tc>
      </w:tr>
      <w:tr w:rsidR="00F96B26" w:rsidRPr="0018093C" w14:paraId="402BD004" w14:textId="77777777" w:rsidTr="00DD6216">
        <w:trPr>
          <w:jc w:val="center"/>
        </w:trPr>
        <w:tc>
          <w:tcPr>
            <w:tcW w:w="3769" w:type="dxa"/>
          </w:tcPr>
          <w:p w14:paraId="1B194A20"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Wisconsin Energy</w:t>
            </w:r>
            <w:r w:rsidR="0026040C" w:rsidRPr="0018093C">
              <w:rPr>
                <w:rFonts w:ascii="Times New Roman" w:hAnsi="Times New Roman"/>
                <w:snapToGrid w:val="0"/>
                <w:lang w:eastAsia="en-US"/>
              </w:rPr>
              <w:t xml:space="preserve"> Corporation</w:t>
            </w:r>
          </w:p>
        </w:tc>
        <w:tc>
          <w:tcPr>
            <w:tcW w:w="1829" w:type="dxa"/>
          </w:tcPr>
          <w:p w14:paraId="343D71BC" w14:textId="77777777" w:rsidR="00F96B26" w:rsidRPr="0018093C" w:rsidRDefault="00F96B26" w:rsidP="0026040C">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w:t>
            </w:r>
            <w:r w:rsidR="0026040C" w:rsidRPr="0018093C">
              <w:rPr>
                <w:rFonts w:ascii="Times New Roman" w:hAnsi="Times New Roman"/>
                <w:snapToGrid w:val="0"/>
                <w:lang w:eastAsia="en-US"/>
              </w:rPr>
              <w:t>4</w:t>
            </w:r>
            <w:r w:rsidRPr="0018093C">
              <w:rPr>
                <w:rFonts w:ascii="Times New Roman" w:hAnsi="Times New Roman"/>
                <w:snapToGrid w:val="0"/>
                <w:lang w:eastAsia="en-US"/>
              </w:rPr>
              <w:t>3</w:t>
            </w:r>
            <w:r w:rsidR="0088027C" w:rsidRPr="0018093C">
              <w:rPr>
                <w:rFonts w:ascii="Times New Roman" w:hAnsi="Times New Roman"/>
                <w:snapToGrid w:val="0"/>
                <w:lang w:eastAsia="en-US"/>
              </w:rPr>
              <w:t>%</w:t>
            </w:r>
          </w:p>
        </w:tc>
        <w:tc>
          <w:tcPr>
            <w:tcW w:w="1980" w:type="dxa"/>
          </w:tcPr>
          <w:p w14:paraId="34411768"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10.43</w:t>
            </w:r>
            <w:r w:rsidR="0088027C" w:rsidRPr="0018093C">
              <w:rPr>
                <w:rFonts w:ascii="Times New Roman" w:hAnsi="Times New Roman"/>
                <w:snapToGrid w:val="0"/>
                <w:lang w:eastAsia="en-US"/>
              </w:rPr>
              <w:t>%</w:t>
            </w:r>
          </w:p>
        </w:tc>
      </w:tr>
      <w:tr w:rsidR="00F96B26" w:rsidRPr="0018093C" w14:paraId="0B3A25F3" w14:textId="77777777" w:rsidTr="00DD6216">
        <w:trPr>
          <w:jc w:val="center"/>
        </w:trPr>
        <w:tc>
          <w:tcPr>
            <w:tcW w:w="3769" w:type="dxa"/>
          </w:tcPr>
          <w:p w14:paraId="6BD7FE1F"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Xcel Energy</w:t>
            </w:r>
            <w:r w:rsidR="0026040C" w:rsidRPr="0018093C">
              <w:rPr>
                <w:rFonts w:ascii="Times New Roman" w:hAnsi="Times New Roman"/>
                <w:snapToGrid w:val="0"/>
                <w:lang w:eastAsia="en-US"/>
              </w:rPr>
              <w:t xml:space="preserve"> Inc.</w:t>
            </w:r>
          </w:p>
        </w:tc>
        <w:tc>
          <w:tcPr>
            <w:tcW w:w="1829" w:type="dxa"/>
          </w:tcPr>
          <w:p w14:paraId="583CCED7"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10.70</w:t>
            </w:r>
            <w:r w:rsidR="0088027C" w:rsidRPr="0018093C">
              <w:rPr>
                <w:rFonts w:ascii="Times New Roman" w:hAnsi="Times New Roman"/>
                <w:snapToGrid w:val="0"/>
                <w:lang w:eastAsia="en-US"/>
              </w:rPr>
              <w:t>%</w:t>
            </w:r>
          </w:p>
        </w:tc>
        <w:tc>
          <w:tcPr>
            <w:tcW w:w="1980" w:type="dxa"/>
          </w:tcPr>
          <w:p w14:paraId="2FD7F762"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10.48</w:t>
            </w:r>
            <w:r w:rsidR="0088027C" w:rsidRPr="0018093C">
              <w:rPr>
                <w:rFonts w:ascii="Times New Roman" w:hAnsi="Times New Roman"/>
                <w:snapToGrid w:val="0"/>
                <w:lang w:eastAsia="en-US"/>
              </w:rPr>
              <w:t>%</w:t>
            </w:r>
          </w:p>
        </w:tc>
      </w:tr>
      <w:tr w:rsidR="00F96B26" w:rsidRPr="0018093C" w14:paraId="11593EC6" w14:textId="77777777" w:rsidTr="00DD6216">
        <w:trPr>
          <w:jc w:val="center"/>
        </w:trPr>
        <w:tc>
          <w:tcPr>
            <w:tcW w:w="3769" w:type="dxa"/>
          </w:tcPr>
          <w:p w14:paraId="50CE895C" w14:textId="77777777" w:rsidR="00F96B26" w:rsidRPr="0018093C" w:rsidRDefault="00F96B26" w:rsidP="00F96B26">
            <w:pPr>
              <w:pStyle w:val="answer"/>
              <w:spacing w:before="60" w:after="60" w:line="240" w:lineRule="auto"/>
              <w:ind w:left="0" w:firstLine="0"/>
              <w:rPr>
                <w:rFonts w:ascii="Times New Roman" w:hAnsi="Times New Roman"/>
                <w:b/>
                <w:snapToGrid w:val="0"/>
                <w:lang w:eastAsia="en-US"/>
              </w:rPr>
            </w:pPr>
            <w:r w:rsidRPr="0018093C">
              <w:rPr>
                <w:rFonts w:ascii="Times New Roman" w:hAnsi="Times New Roman"/>
                <w:b/>
                <w:snapToGrid w:val="0"/>
                <w:lang w:eastAsia="en-US"/>
              </w:rPr>
              <w:t>AVERAGE</w:t>
            </w:r>
          </w:p>
        </w:tc>
        <w:tc>
          <w:tcPr>
            <w:tcW w:w="1829" w:type="dxa"/>
          </w:tcPr>
          <w:p w14:paraId="1E785D19" w14:textId="77777777" w:rsidR="00F96B26" w:rsidRPr="0018093C" w:rsidRDefault="00F96B26" w:rsidP="0026040C">
            <w:pPr>
              <w:pStyle w:val="answer"/>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10.</w:t>
            </w:r>
            <w:r w:rsidR="0026040C" w:rsidRPr="0018093C">
              <w:rPr>
                <w:rFonts w:ascii="Times New Roman" w:hAnsi="Times New Roman"/>
                <w:b/>
                <w:snapToGrid w:val="0"/>
                <w:lang w:eastAsia="en-US"/>
              </w:rPr>
              <w:t>57</w:t>
            </w:r>
            <w:r w:rsidR="0088027C" w:rsidRPr="0018093C">
              <w:rPr>
                <w:rFonts w:ascii="Times New Roman" w:hAnsi="Times New Roman"/>
                <w:b/>
                <w:snapToGrid w:val="0"/>
                <w:lang w:eastAsia="en-US"/>
              </w:rPr>
              <w:t>%</w:t>
            </w:r>
          </w:p>
        </w:tc>
        <w:tc>
          <w:tcPr>
            <w:tcW w:w="1980" w:type="dxa"/>
          </w:tcPr>
          <w:p w14:paraId="0A985749" w14:textId="77777777" w:rsidR="00F96B26" w:rsidRPr="0018093C" w:rsidRDefault="00F96B26" w:rsidP="00F77051">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10.51</w:t>
            </w:r>
            <w:r w:rsidR="0088027C" w:rsidRPr="0018093C">
              <w:rPr>
                <w:rFonts w:ascii="Times New Roman" w:hAnsi="Times New Roman"/>
                <w:b/>
                <w:snapToGrid w:val="0"/>
                <w:lang w:eastAsia="en-US"/>
              </w:rPr>
              <w:t>%</w:t>
            </w:r>
          </w:p>
        </w:tc>
      </w:tr>
    </w:tbl>
    <w:p w14:paraId="27C9EEB3" w14:textId="77777777" w:rsidR="00B977F9" w:rsidRPr="0018093C" w:rsidRDefault="0088027C" w:rsidP="0088027C">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 xml:space="preserve">Although decisions of other regulatory bodies regarding </w:t>
      </w:r>
      <w:r w:rsidR="00B977F9" w:rsidRPr="0018093C">
        <w:rPr>
          <w:rFonts w:ascii="Times New Roman" w:hAnsi="Times New Roman"/>
          <w:snapToGrid w:val="0"/>
          <w:lang w:eastAsia="en-US"/>
        </w:rPr>
        <w:t>allowed</w:t>
      </w:r>
      <w:r w:rsidRPr="0018093C">
        <w:rPr>
          <w:rFonts w:ascii="Times New Roman" w:hAnsi="Times New Roman"/>
          <w:snapToGrid w:val="0"/>
          <w:lang w:eastAsia="en-US"/>
        </w:rPr>
        <w:t xml:space="preserve"> ROEs do not bind this Commission, one cannot </w:t>
      </w:r>
      <w:r w:rsidR="00B977F9" w:rsidRPr="0018093C">
        <w:rPr>
          <w:rFonts w:ascii="Times New Roman" w:hAnsi="Times New Roman"/>
          <w:snapToGrid w:val="0"/>
          <w:lang w:eastAsia="en-US"/>
        </w:rPr>
        <w:t xml:space="preserve">ignore </w:t>
      </w:r>
      <w:r w:rsidRPr="0018093C">
        <w:rPr>
          <w:rFonts w:ascii="Times New Roman" w:hAnsi="Times New Roman"/>
          <w:snapToGrid w:val="0"/>
          <w:lang w:eastAsia="en-US"/>
        </w:rPr>
        <w:t>the significant difference</w:t>
      </w:r>
      <w:r w:rsidR="00B977F9" w:rsidRPr="0018093C">
        <w:rPr>
          <w:rFonts w:ascii="Times New Roman" w:hAnsi="Times New Roman"/>
          <w:snapToGrid w:val="0"/>
          <w:lang w:eastAsia="en-US"/>
        </w:rPr>
        <w:t>s</w:t>
      </w:r>
      <w:r w:rsidRPr="0018093C">
        <w:rPr>
          <w:rFonts w:ascii="Times New Roman" w:hAnsi="Times New Roman"/>
          <w:snapToGrid w:val="0"/>
          <w:lang w:eastAsia="en-US"/>
        </w:rPr>
        <w:t xml:space="preserve"> between </w:t>
      </w:r>
      <w:r w:rsidR="00B977F9"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977F9" w:rsidRPr="0018093C">
        <w:rPr>
          <w:rFonts w:ascii="Times New Roman" w:hAnsi="Times New Roman"/>
          <w:snapToGrid w:val="0"/>
          <w:lang w:eastAsia="en-US"/>
        </w:rPr>
        <w:t>s recommended ROE for PSE and</w:t>
      </w:r>
    </w:p>
    <w:p w14:paraId="08D7086C" w14:textId="77777777" w:rsidR="00B977F9" w:rsidRPr="0018093C" w:rsidRDefault="00B977F9" w:rsidP="00B977F9">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the average allowed ROEs of electric and combination electric and gas utilities granted by state regulatory agencies during the period January 1, 2013, through September 30, 2014; and</w:t>
      </w:r>
    </w:p>
    <w:p w14:paraId="3C6ABDF9" w14:textId="77777777" w:rsidR="0088027C" w:rsidRPr="0018093C" w:rsidRDefault="00B977F9" w:rsidP="00B977F9">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(ii)</w:t>
      </w:r>
      <w:r w:rsidRPr="0018093C">
        <w:rPr>
          <w:rFonts w:ascii="Times New Roman" w:hAnsi="Times New Roman"/>
          <w:snapToGrid w:val="0"/>
          <w:lang w:eastAsia="en-US"/>
        </w:rPr>
        <w:tab/>
      </w:r>
      <w:r w:rsidR="0088027C" w:rsidRPr="0018093C">
        <w:rPr>
          <w:rFonts w:ascii="Times New Roman" w:hAnsi="Times New Roman"/>
          <w:snapToGrid w:val="0"/>
          <w:lang w:eastAsia="en-US"/>
        </w:rPr>
        <w:t>Mr.</w:t>
      </w:r>
      <w:r w:rsidRPr="0018093C">
        <w:rPr>
          <w:rFonts w:ascii="Times New Roman" w:hAnsi="Times New Roman"/>
          <w:snapToGrid w:val="0"/>
          <w:lang w:eastAsia="en-US"/>
        </w:rPr>
        <w:t> </w:t>
      </w:r>
      <w:r w:rsidR="0088027C"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88027C" w:rsidRPr="0018093C">
        <w:rPr>
          <w:rFonts w:ascii="Times New Roman" w:hAnsi="Times New Roman"/>
          <w:snapToGrid w:val="0"/>
          <w:lang w:eastAsia="en-US"/>
        </w:rPr>
        <w:t xml:space="preserve">s recommended ROE </w:t>
      </w:r>
      <w:r w:rsidRPr="0018093C">
        <w:rPr>
          <w:rFonts w:ascii="Times New Roman" w:hAnsi="Times New Roman"/>
          <w:snapToGrid w:val="0"/>
          <w:lang w:eastAsia="en-US"/>
        </w:rPr>
        <w:t xml:space="preserve">for PSE </w:t>
      </w:r>
      <w:r w:rsidR="0088027C" w:rsidRPr="0018093C">
        <w:rPr>
          <w:rFonts w:ascii="Times New Roman" w:hAnsi="Times New Roman"/>
          <w:snapToGrid w:val="0"/>
          <w:lang w:eastAsia="en-US"/>
        </w:rPr>
        <w:t xml:space="preserve">and the </w:t>
      </w:r>
      <w:r w:rsidRPr="0018093C">
        <w:rPr>
          <w:rFonts w:ascii="Times New Roman" w:hAnsi="Times New Roman"/>
          <w:snapToGrid w:val="0"/>
          <w:lang w:eastAsia="en-US"/>
        </w:rPr>
        <w:t>allowed ROEs for the electric and combination electric and gas utilities that comprise 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comparable group</w:t>
      </w:r>
      <w:r w:rsidR="0088027C" w:rsidRPr="0018093C">
        <w:rPr>
          <w:rFonts w:ascii="Times New Roman" w:hAnsi="Times New Roman"/>
          <w:snapToGrid w:val="0"/>
          <w:lang w:eastAsia="en-US"/>
        </w:rPr>
        <w:t>.</w:t>
      </w:r>
    </w:p>
    <w:p w14:paraId="6606CFC6" w14:textId="77777777" w:rsidR="003E40B8" w:rsidRPr="0018093C" w:rsidRDefault="003E40B8" w:rsidP="00D64DC2">
      <w:pPr>
        <w:pStyle w:val="Heading2"/>
      </w:pPr>
      <w:bookmarkStart w:id="6" w:name="_Toc406751098"/>
      <w:r w:rsidRPr="0018093C">
        <w:t>B.</w:t>
      </w:r>
      <w:r w:rsidRPr="0018093C">
        <w:tab/>
      </w:r>
      <w:r w:rsidR="00087381" w:rsidRPr="0018093C">
        <w:t>Mr. Hill</w:t>
      </w:r>
      <w:r w:rsidR="00E71841" w:rsidRPr="0018093C">
        <w:t xml:space="preserve">’s DCF Results Should be Given Very Little, If Any, Weight Because </w:t>
      </w:r>
      <w:r w:rsidR="00087381" w:rsidRPr="0018093C">
        <w:t>Mr. Hill</w:t>
      </w:r>
      <w:r w:rsidR="00E71841" w:rsidRPr="0018093C">
        <w:t xml:space="preserve"> Has Relied on Erroneous Data Inputs</w:t>
      </w:r>
      <w:bookmarkEnd w:id="6"/>
    </w:p>
    <w:p w14:paraId="2E5DC25C" w14:textId="77777777" w:rsidR="0010342F" w:rsidRPr="0018093C" w:rsidRDefault="0010342F" w:rsidP="00D64DC2">
      <w:pPr>
        <w:pStyle w:val="Heading3"/>
      </w:pPr>
      <w:bookmarkStart w:id="7" w:name="_Toc406751099"/>
      <w:r w:rsidRPr="0018093C">
        <w:t>1.</w:t>
      </w:r>
      <w:r w:rsidRPr="0018093C">
        <w:tab/>
      </w:r>
      <w:r w:rsidR="00087381" w:rsidRPr="0018093C">
        <w:t>Mr. Hill</w:t>
      </w:r>
      <w:r w:rsidRPr="0018093C">
        <w:t>’s DCF Analysis Relies Upon an Unnecessarily Small Sample Group of Comparable Utilities</w:t>
      </w:r>
      <w:bookmarkEnd w:id="7"/>
    </w:p>
    <w:p w14:paraId="5DF61EAF"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232687" w:rsidRPr="0018093C">
        <w:rPr>
          <w:rFonts w:ascii="Times New Roman" w:hAnsi="Times New Roman"/>
          <w:snapToGrid w:val="0"/>
          <w:lang w:eastAsia="en-US"/>
        </w:rPr>
        <w:t>What sample group of utilities does Mr.</w:t>
      </w:r>
      <w:r w:rsidR="00BC1F15" w:rsidRPr="0018093C">
        <w:rPr>
          <w:rFonts w:ascii="Times New Roman" w:hAnsi="Times New Roman"/>
          <w:snapToGrid w:val="0"/>
          <w:lang w:eastAsia="en-US"/>
        </w:rPr>
        <w:t> </w:t>
      </w:r>
      <w:r w:rsidR="00232687" w:rsidRPr="0018093C">
        <w:rPr>
          <w:rFonts w:ascii="Times New Roman" w:hAnsi="Times New Roman"/>
          <w:snapToGrid w:val="0"/>
          <w:lang w:eastAsia="en-US"/>
        </w:rPr>
        <w:t xml:space="preserve">Hill use for his </w:t>
      </w:r>
      <w:r w:rsidRPr="0018093C">
        <w:rPr>
          <w:rFonts w:ascii="Times New Roman" w:hAnsi="Times New Roman"/>
          <w:snapToGrid w:val="0"/>
          <w:lang w:eastAsia="en-US"/>
        </w:rPr>
        <w:t xml:space="preserve">DCF </w:t>
      </w:r>
      <w:r w:rsidR="00232687" w:rsidRPr="0018093C">
        <w:rPr>
          <w:rFonts w:ascii="Times New Roman" w:hAnsi="Times New Roman"/>
          <w:snapToGrid w:val="0"/>
          <w:lang w:eastAsia="en-US"/>
        </w:rPr>
        <w:t>analyses</w:t>
      </w:r>
      <w:r w:rsidRPr="0018093C">
        <w:rPr>
          <w:rFonts w:ascii="Times New Roman" w:hAnsi="Times New Roman"/>
          <w:snapToGrid w:val="0"/>
          <w:lang w:eastAsia="en-US"/>
        </w:rPr>
        <w:t>?</w:t>
      </w:r>
    </w:p>
    <w:p w14:paraId="4604028E" w14:textId="77777777" w:rsidR="003F0460" w:rsidRPr="0018093C" w:rsidRDefault="003E40B8" w:rsidP="00E37C9F">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9013C9" w:rsidRPr="0018093C">
        <w:rPr>
          <w:rFonts w:ascii="Times New Roman" w:hAnsi="Times New Roman"/>
          <w:snapToGrid w:val="0"/>
          <w:lang w:eastAsia="en-US"/>
        </w:rPr>
        <w:t> </w:t>
      </w:r>
      <w:r w:rsidRPr="0018093C">
        <w:rPr>
          <w:rFonts w:ascii="Times New Roman" w:hAnsi="Times New Roman"/>
          <w:snapToGrid w:val="0"/>
          <w:lang w:eastAsia="en-US"/>
        </w:rPr>
        <w:t xml:space="preserve">Hill applies a DCF analysis to </w:t>
      </w:r>
      <w:r w:rsidR="00CA5DB3" w:rsidRPr="0018093C">
        <w:rPr>
          <w:rFonts w:ascii="Times New Roman" w:hAnsi="Times New Roman"/>
          <w:snapToGrid w:val="0"/>
          <w:lang w:eastAsia="en-US"/>
        </w:rPr>
        <w:t xml:space="preserve">the following </w:t>
      </w:r>
      <w:r w:rsidRPr="0018093C">
        <w:rPr>
          <w:rFonts w:ascii="Times New Roman" w:hAnsi="Times New Roman"/>
          <w:snapToGrid w:val="0"/>
          <w:lang w:eastAsia="en-US"/>
        </w:rPr>
        <w:t xml:space="preserve">sample of fifteen electric </w:t>
      </w:r>
      <w:r w:rsidR="009013C9" w:rsidRPr="0018093C">
        <w:rPr>
          <w:rFonts w:ascii="Times New Roman" w:hAnsi="Times New Roman"/>
          <w:snapToGrid w:val="0"/>
          <w:lang w:eastAsia="en-US"/>
        </w:rPr>
        <w:t xml:space="preserve">and combination electric and gas </w:t>
      </w:r>
      <w:r w:rsidRPr="0018093C">
        <w:rPr>
          <w:rFonts w:ascii="Times New Roman" w:hAnsi="Times New Roman"/>
          <w:snapToGrid w:val="0"/>
          <w:lang w:eastAsia="en-US"/>
        </w:rPr>
        <w:t>utilities</w:t>
      </w:r>
      <w:r w:rsidR="00CA5DB3" w:rsidRPr="0018093C">
        <w:rPr>
          <w:rFonts w:ascii="Times New Roman" w:hAnsi="Times New Roman"/>
          <w:snapToGrid w:val="0"/>
          <w:lang w:eastAsia="en-US"/>
        </w:rPr>
        <w:t>:  ALLETE, Inc.; Alliant Energy Corporation; American Electric Power Co.; Cleco Corporation; Edison International; Entergy Corporation; IDACORP, Inc.; Northwestern Corporation; PG&amp;E Corporation; Pinnacle West Capital Corp.; Portland General Electric Company; Southern Company; Westar Energy, Inc.; Wisconsin Energy Corporation; and Xcel Energy Inc.</w:t>
      </w:r>
      <w:r w:rsidR="00FF4A2E" w:rsidRPr="0018093C">
        <w:rPr>
          <w:rStyle w:val="FootnoteReference"/>
          <w:rFonts w:ascii="Times New Roman" w:hAnsi="Times New Roman"/>
          <w:snapToGrid w:val="0"/>
          <w:lang w:eastAsia="en-US"/>
        </w:rPr>
        <w:footnoteReference w:id="17"/>
      </w:r>
    </w:p>
    <w:p w14:paraId="22E2D967" w14:textId="77777777" w:rsidR="00232687" w:rsidRPr="0018093C" w:rsidRDefault="00CA5DB3" w:rsidP="00232687">
      <w:pPr>
        <w:pStyle w:val="question"/>
        <w:keepNext/>
        <w:keepLines/>
        <w:spacing w:before="120"/>
        <w:rPr>
          <w:rFonts w:ascii="Times New Roman" w:hAnsi="Times New Roman"/>
          <w:snapToGrid w:val="0"/>
          <w:lang w:eastAsia="en-US"/>
        </w:rPr>
      </w:pPr>
      <w:r w:rsidRPr="0018093C">
        <w:rPr>
          <w:rFonts w:ascii="Times New Roman" w:hAnsi="Times New Roman"/>
          <w:snapToGrid w:val="0"/>
          <w:lang w:eastAsia="en-US"/>
        </w:rPr>
        <w:t>Q.</w:t>
      </w:r>
      <w:r w:rsidRPr="0018093C">
        <w:rPr>
          <w:rFonts w:ascii="Times New Roman" w:hAnsi="Times New Roman"/>
          <w:snapToGrid w:val="0"/>
          <w:lang w:eastAsia="en-US"/>
        </w:rPr>
        <w:tab/>
        <w:t>Do you agree with 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232687" w:rsidRPr="0018093C">
        <w:rPr>
          <w:rFonts w:ascii="Times New Roman" w:hAnsi="Times New Roman"/>
          <w:snapToGrid w:val="0"/>
          <w:lang w:eastAsia="en-US"/>
        </w:rPr>
        <w:t>sample group of utilities?</w:t>
      </w:r>
    </w:p>
    <w:p w14:paraId="73BB19C2" w14:textId="24641EAB" w:rsidR="00495281" w:rsidRPr="0018093C" w:rsidRDefault="00CA5DB3" w:rsidP="00C11FC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C11FC3" w:rsidRPr="0018093C">
        <w:rPr>
          <w:rFonts w:ascii="Times New Roman" w:hAnsi="Times New Roman"/>
          <w:snapToGrid w:val="0"/>
          <w:lang w:eastAsia="en-US"/>
        </w:rPr>
        <w:t>No, not necessarily.  I acknowledge that each of the utilities included in Mr. Hill</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s sample group of utilities are arguably comparable to PSE.  Mr. Hill</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s criteria for selection of this sample group, however, are unduly restrictive in some areas, thereby creating a smaller sample of utilities than may otherwise be warranted.  For example, Mr. Hill restricted his group to utilities with senior bond ratings between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BBB</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and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A</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(or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Baa2</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and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A2</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with 70 percent or more of </w:t>
      </w:r>
      <w:r w:rsidR="00C11FC3" w:rsidRPr="0018093C">
        <w:rPr>
          <w:rFonts w:ascii="Times New Roman" w:hAnsi="Times New Roman"/>
          <w:snapToGrid w:val="0"/>
          <w:lang w:eastAsia="en-US"/>
        </w:rPr>
        <w:lastRenderedPageBreak/>
        <w:t>revenues generated by utility operations.</w:t>
      </w:r>
      <w:r w:rsidR="00C11FC3" w:rsidRPr="0018093C">
        <w:rPr>
          <w:rStyle w:val="FootnoteReference"/>
          <w:rFonts w:ascii="Times New Roman" w:hAnsi="Times New Roman"/>
          <w:snapToGrid w:val="0"/>
          <w:lang w:eastAsia="en-US"/>
        </w:rPr>
        <w:footnoteReference w:id="18"/>
      </w:r>
      <w:r w:rsidR="00A713C0" w:rsidRPr="0018093C">
        <w:rPr>
          <w:rFonts w:ascii="Times New Roman" w:hAnsi="Times New Roman"/>
          <w:snapToGrid w:val="0"/>
          <w:lang w:eastAsia="en-US"/>
        </w:rPr>
        <w:t xml:space="preserve">  Although these criteria are not inappropriate (and PSE satisfies each of them), the use of the criteria does exclude some u</w:t>
      </w:r>
      <w:r w:rsidR="00E74AA6">
        <w:rPr>
          <w:rFonts w:ascii="Times New Roman" w:hAnsi="Times New Roman"/>
          <w:snapToGrid w:val="0"/>
          <w:lang w:eastAsia="en-US"/>
        </w:rPr>
        <w:t>tilities that are also arguably</w:t>
      </w:r>
      <w:r w:rsidR="00A713C0" w:rsidRPr="0018093C">
        <w:rPr>
          <w:rFonts w:ascii="Times New Roman" w:hAnsi="Times New Roman"/>
          <w:snapToGrid w:val="0"/>
          <w:lang w:eastAsia="en-US"/>
        </w:rPr>
        <w:t xml:space="preserve"> comparable to PSE.  As a comparison, I restricted my group </w:t>
      </w:r>
      <w:r w:rsidR="00E74AA6">
        <w:rPr>
          <w:rFonts w:ascii="Times New Roman" w:hAnsi="Times New Roman"/>
          <w:snapToGrid w:val="0"/>
          <w:lang w:eastAsia="en-US"/>
        </w:rPr>
        <w:t xml:space="preserve">of </w:t>
      </w:r>
      <w:r w:rsidR="00A713C0" w:rsidRPr="0018093C">
        <w:rPr>
          <w:rFonts w:ascii="Times New Roman" w:hAnsi="Times New Roman"/>
          <w:snapToGrid w:val="0"/>
          <w:lang w:eastAsia="en-US"/>
        </w:rPr>
        <w:t>utilities to investment grade companies with 50 percent or more revenues generated by utility operations.</w:t>
      </w:r>
      <w:r w:rsidR="00A713C0" w:rsidRPr="0018093C">
        <w:rPr>
          <w:rStyle w:val="FootnoteReference"/>
          <w:rFonts w:ascii="Times New Roman" w:hAnsi="Times New Roman"/>
          <w:snapToGrid w:val="0"/>
          <w:lang w:eastAsia="en-US"/>
        </w:rPr>
        <w:footnoteReference w:id="19"/>
      </w:r>
      <w:r w:rsidR="00495281" w:rsidRPr="0018093C">
        <w:rPr>
          <w:rFonts w:ascii="Times New Roman" w:hAnsi="Times New Roman"/>
          <w:snapToGrid w:val="0"/>
          <w:lang w:eastAsia="en-US"/>
        </w:rPr>
        <w:t xml:space="preserve">  If Mr. Hill would have relaxed his restrictions </w:t>
      </w:r>
      <w:r w:rsidR="001F2A1E" w:rsidRPr="0018093C">
        <w:rPr>
          <w:rFonts w:ascii="Times New Roman" w:hAnsi="Times New Roman"/>
          <w:snapToGrid w:val="0"/>
          <w:lang w:eastAsia="en-US"/>
        </w:rPr>
        <w:t xml:space="preserve">in Exhibit No. ___(SGH-5) </w:t>
      </w:r>
      <w:r w:rsidR="00495281" w:rsidRPr="0018093C">
        <w:rPr>
          <w:rFonts w:ascii="Times New Roman" w:hAnsi="Times New Roman"/>
          <w:snapToGrid w:val="0"/>
          <w:lang w:eastAsia="en-US"/>
        </w:rPr>
        <w:t>to also include investment grade companies with 50 percent or more revenues generated by utility operations</w:t>
      </w:r>
      <w:r w:rsidR="001F2A1E" w:rsidRPr="0018093C">
        <w:rPr>
          <w:rFonts w:ascii="Times New Roman" w:hAnsi="Times New Roman"/>
          <w:snapToGrid w:val="0"/>
          <w:lang w:eastAsia="en-US"/>
        </w:rPr>
        <w:t xml:space="preserve"> (but kept all other restrictions the same)</w:t>
      </w:r>
      <w:r w:rsidR="00495281" w:rsidRPr="0018093C">
        <w:rPr>
          <w:rFonts w:ascii="Times New Roman" w:hAnsi="Times New Roman"/>
          <w:snapToGrid w:val="0"/>
          <w:lang w:eastAsia="en-US"/>
        </w:rPr>
        <w:t xml:space="preserve">, then he would </w:t>
      </w:r>
      <w:r w:rsidR="001F2A1E" w:rsidRPr="0018093C">
        <w:rPr>
          <w:rFonts w:ascii="Times New Roman" w:hAnsi="Times New Roman"/>
          <w:snapToGrid w:val="0"/>
          <w:lang w:eastAsia="en-US"/>
        </w:rPr>
        <w:t xml:space="preserve">also </w:t>
      </w:r>
      <w:r w:rsidR="00495281" w:rsidRPr="0018093C">
        <w:rPr>
          <w:rFonts w:ascii="Times New Roman" w:hAnsi="Times New Roman"/>
          <w:snapToGrid w:val="0"/>
          <w:lang w:eastAsia="en-US"/>
        </w:rPr>
        <w:t xml:space="preserve">have </w:t>
      </w:r>
      <w:r w:rsidR="001F2A1E" w:rsidRPr="0018093C">
        <w:rPr>
          <w:rFonts w:ascii="Times New Roman" w:hAnsi="Times New Roman"/>
          <w:snapToGrid w:val="0"/>
          <w:lang w:eastAsia="en-US"/>
        </w:rPr>
        <w:t xml:space="preserve">included the following utilities as comparable utilities:  Avista Corporation; Black Hills Corporation; </w:t>
      </w:r>
      <w:r w:rsidR="00495281" w:rsidRPr="0018093C">
        <w:rPr>
          <w:rFonts w:ascii="Times New Roman" w:hAnsi="Times New Roman"/>
          <w:snapToGrid w:val="0"/>
          <w:lang w:eastAsia="en-US"/>
        </w:rPr>
        <w:t>Dominion Resources</w:t>
      </w:r>
      <w:r w:rsidR="001F2A1E" w:rsidRPr="0018093C">
        <w:rPr>
          <w:rFonts w:ascii="Times New Roman" w:hAnsi="Times New Roman"/>
          <w:snapToGrid w:val="0"/>
          <w:lang w:eastAsia="en-US"/>
        </w:rPr>
        <w:t xml:space="preserve">, Inc.; DTE Energy Company; </w:t>
      </w:r>
      <w:r w:rsidR="00495281" w:rsidRPr="0018093C">
        <w:rPr>
          <w:rFonts w:ascii="Times New Roman" w:hAnsi="Times New Roman"/>
          <w:snapToGrid w:val="0"/>
          <w:lang w:eastAsia="en-US"/>
        </w:rPr>
        <w:t>FirstEnergy Corp</w:t>
      </w:r>
      <w:r w:rsidR="001F2A1E" w:rsidRPr="0018093C">
        <w:rPr>
          <w:rFonts w:ascii="Times New Roman" w:hAnsi="Times New Roman"/>
          <w:snapToGrid w:val="0"/>
          <w:lang w:eastAsia="en-US"/>
        </w:rPr>
        <w:t>oration</w:t>
      </w:r>
      <w:r w:rsidR="00ED7355" w:rsidRPr="0018093C">
        <w:rPr>
          <w:rFonts w:ascii="Times New Roman" w:hAnsi="Times New Roman"/>
          <w:snapToGrid w:val="0"/>
          <w:lang w:eastAsia="en-US"/>
        </w:rPr>
        <w:t xml:space="preserve">; </w:t>
      </w:r>
      <w:r w:rsidR="001F2A1E" w:rsidRPr="0018093C">
        <w:rPr>
          <w:rFonts w:ascii="Times New Roman" w:hAnsi="Times New Roman"/>
          <w:snapToGrid w:val="0"/>
          <w:lang w:eastAsia="en-US"/>
        </w:rPr>
        <w:t>Hawaiian Electric</w:t>
      </w:r>
      <w:r w:rsidR="00ED7355" w:rsidRPr="0018093C">
        <w:rPr>
          <w:rFonts w:ascii="Times New Roman" w:hAnsi="Times New Roman"/>
          <w:snapToGrid w:val="0"/>
          <w:lang w:eastAsia="en-US"/>
        </w:rPr>
        <w:t xml:space="preserve"> Industries, Inc.; </w:t>
      </w:r>
      <w:r w:rsidR="001F2A1E" w:rsidRPr="0018093C">
        <w:rPr>
          <w:rFonts w:ascii="Times New Roman" w:hAnsi="Times New Roman"/>
          <w:snapToGrid w:val="0"/>
          <w:lang w:eastAsia="en-US"/>
        </w:rPr>
        <w:t>MGE Energy</w:t>
      </w:r>
      <w:r w:rsidR="00ED7355" w:rsidRPr="0018093C">
        <w:rPr>
          <w:rFonts w:ascii="Times New Roman" w:hAnsi="Times New Roman"/>
          <w:snapToGrid w:val="0"/>
          <w:lang w:eastAsia="en-US"/>
        </w:rPr>
        <w:t xml:space="preserve">, Inc.; </w:t>
      </w:r>
      <w:r w:rsidR="00495281" w:rsidRPr="0018093C">
        <w:rPr>
          <w:rFonts w:ascii="Times New Roman" w:hAnsi="Times New Roman"/>
          <w:snapToGrid w:val="0"/>
          <w:lang w:eastAsia="en-US"/>
        </w:rPr>
        <w:t>Next</w:t>
      </w:r>
      <w:r w:rsidR="00ED7355" w:rsidRPr="0018093C">
        <w:rPr>
          <w:rFonts w:ascii="Times New Roman" w:hAnsi="Times New Roman"/>
          <w:snapToGrid w:val="0"/>
          <w:lang w:eastAsia="en-US"/>
        </w:rPr>
        <w:t>e</w:t>
      </w:r>
      <w:r w:rsidR="00495281" w:rsidRPr="0018093C">
        <w:rPr>
          <w:rFonts w:ascii="Times New Roman" w:hAnsi="Times New Roman"/>
          <w:snapToGrid w:val="0"/>
          <w:lang w:eastAsia="en-US"/>
        </w:rPr>
        <w:t>ra Energy</w:t>
      </w:r>
      <w:r w:rsidR="00ED7355" w:rsidRPr="0018093C">
        <w:rPr>
          <w:rFonts w:ascii="Times New Roman" w:hAnsi="Times New Roman"/>
          <w:snapToGrid w:val="0"/>
          <w:lang w:eastAsia="en-US"/>
        </w:rPr>
        <w:t xml:space="preserve">; </w:t>
      </w:r>
      <w:r w:rsidR="001F2A1E" w:rsidRPr="0018093C">
        <w:rPr>
          <w:rFonts w:ascii="Times New Roman" w:hAnsi="Times New Roman"/>
          <w:snapToGrid w:val="0"/>
          <w:lang w:eastAsia="en-US"/>
        </w:rPr>
        <w:t>OGE Energy Corp.</w:t>
      </w:r>
      <w:r w:rsidR="00ED7355" w:rsidRPr="0018093C">
        <w:rPr>
          <w:rFonts w:ascii="Times New Roman" w:hAnsi="Times New Roman"/>
          <w:snapToGrid w:val="0"/>
          <w:lang w:eastAsia="en-US"/>
        </w:rPr>
        <w:t xml:space="preserve">; </w:t>
      </w:r>
      <w:r w:rsidR="00495281" w:rsidRPr="0018093C">
        <w:rPr>
          <w:rFonts w:ascii="Times New Roman" w:hAnsi="Times New Roman"/>
          <w:snapToGrid w:val="0"/>
          <w:lang w:eastAsia="en-US"/>
        </w:rPr>
        <w:t>PPL Corporation</w:t>
      </w:r>
      <w:r w:rsidR="00ED7355" w:rsidRPr="0018093C">
        <w:rPr>
          <w:rFonts w:ascii="Times New Roman" w:hAnsi="Times New Roman"/>
          <w:snapToGrid w:val="0"/>
          <w:lang w:eastAsia="en-US"/>
        </w:rPr>
        <w:t xml:space="preserve">; </w:t>
      </w:r>
      <w:r w:rsidR="00495281" w:rsidRPr="0018093C">
        <w:rPr>
          <w:rFonts w:ascii="Times New Roman" w:hAnsi="Times New Roman"/>
          <w:snapToGrid w:val="0"/>
          <w:lang w:eastAsia="en-US"/>
        </w:rPr>
        <w:t>SCANA Corp</w:t>
      </w:r>
      <w:r w:rsidR="00ED7355" w:rsidRPr="0018093C">
        <w:rPr>
          <w:rFonts w:ascii="Times New Roman" w:hAnsi="Times New Roman"/>
          <w:snapToGrid w:val="0"/>
          <w:lang w:eastAsia="en-US"/>
        </w:rPr>
        <w:t xml:space="preserve">oration; </w:t>
      </w:r>
      <w:r w:rsidR="00495281" w:rsidRPr="0018093C">
        <w:rPr>
          <w:rFonts w:ascii="Times New Roman" w:hAnsi="Times New Roman"/>
          <w:snapToGrid w:val="0"/>
          <w:lang w:eastAsia="en-US"/>
        </w:rPr>
        <w:t>TECO Energy</w:t>
      </w:r>
      <w:r w:rsidR="00ED7355" w:rsidRPr="0018093C">
        <w:rPr>
          <w:rFonts w:ascii="Times New Roman" w:hAnsi="Times New Roman"/>
          <w:snapToGrid w:val="0"/>
          <w:lang w:eastAsia="en-US"/>
        </w:rPr>
        <w:t xml:space="preserve">, Inc.; and </w:t>
      </w:r>
      <w:r w:rsidR="00495281" w:rsidRPr="0018093C">
        <w:rPr>
          <w:rFonts w:ascii="Times New Roman" w:hAnsi="Times New Roman"/>
          <w:snapToGrid w:val="0"/>
          <w:lang w:eastAsia="en-US"/>
        </w:rPr>
        <w:t>UNS Energy</w:t>
      </w:r>
      <w:r w:rsidR="00ED7355" w:rsidRPr="0018093C">
        <w:rPr>
          <w:rFonts w:ascii="Times New Roman" w:hAnsi="Times New Roman"/>
          <w:snapToGrid w:val="0"/>
          <w:lang w:eastAsia="en-US"/>
        </w:rPr>
        <w:t xml:space="preserve"> Corp.</w:t>
      </w:r>
      <w:r w:rsidR="004275BD" w:rsidRPr="0018093C">
        <w:rPr>
          <w:rFonts w:ascii="Times New Roman" w:hAnsi="Times New Roman"/>
          <w:snapToGrid w:val="0"/>
          <w:lang w:eastAsia="en-US"/>
        </w:rPr>
        <w:t xml:space="preserve">  Many of these utilities are included in my sample group and the sample groups used by Mr. Parcell and </w:t>
      </w:r>
      <w:r w:rsidR="00087381" w:rsidRPr="0018093C">
        <w:rPr>
          <w:rFonts w:ascii="Times New Roman" w:hAnsi="Times New Roman"/>
          <w:snapToGrid w:val="0"/>
          <w:lang w:eastAsia="en-US"/>
        </w:rPr>
        <w:t>Mr. Gorman</w:t>
      </w:r>
      <w:r w:rsidR="004275BD" w:rsidRPr="0018093C">
        <w:rPr>
          <w:rFonts w:ascii="Times New Roman" w:hAnsi="Times New Roman"/>
          <w:snapToGrid w:val="0"/>
          <w:lang w:eastAsia="en-US"/>
        </w:rPr>
        <w:t>.</w:t>
      </w:r>
    </w:p>
    <w:p w14:paraId="6BD82368" w14:textId="5FFFB285" w:rsidR="00A713C0" w:rsidRPr="0018093C" w:rsidRDefault="00A713C0" w:rsidP="00A713C0">
      <w:pPr>
        <w:pStyle w:val="question"/>
        <w:keepNext/>
        <w:keepLines/>
        <w:spacing w:before="120"/>
        <w:rPr>
          <w:rFonts w:ascii="Times New Roman" w:hAnsi="Times New Roman"/>
          <w:snapToGrid w:val="0"/>
          <w:lang w:eastAsia="en-US"/>
        </w:rPr>
      </w:pPr>
      <w:r w:rsidRPr="0018093C">
        <w:rPr>
          <w:rFonts w:ascii="Times New Roman" w:hAnsi="Times New Roman"/>
          <w:snapToGrid w:val="0"/>
          <w:lang w:eastAsia="en-US"/>
        </w:rPr>
        <w:t>Q.</w:t>
      </w:r>
      <w:r w:rsidRPr="0018093C">
        <w:rPr>
          <w:rFonts w:ascii="Times New Roman" w:hAnsi="Times New Roman"/>
          <w:snapToGrid w:val="0"/>
          <w:lang w:eastAsia="en-US"/>
        </w:rPr>
        <w:tab/>
      </w:r>
      <w:r w:rsidR="00ED7355" w:rsidRPr="0018093C">
        <w:rPr>
          <w:rFonts w:ascii="Times New Roman" w:hAnsi="Times New Roman"/>
          <w:snapToGrid w:val="0"/>
          <w:lang w:eastAsia="en-US"/>
        </w:rPr>
        <w:t>Why is it important to not be unduly restrictive in the selection of comparable utilities for purposes of cost of capital stu</w:t>
      </w:r>
      <w:r w:rsidR="006C258D" w:rsidRPr="0018093C">
        <w:rPr>
          <w:rFonts w:ascii="Times New Roman" w:hAnsi="Times New Roman"/>
          <w:snapToGrid w:val="0"/>
          <w:lang w:eastAsia="en-US"/>
        </w:rPr>
        <w:t>d</w:t>
      </w:r>
      <w:r w:rsidR="00ED7355" w:rsidRPr="0018093C">
        <w:rPr>
          <w:rFonts w:ascii="Times New Roman" w:hAnsi="Times New Roman"/>
          <w:snapToGrid w:val="0"/>
          <w:lang w:eastAsia="en-US"/>
        </w:rPr>
        <w:t>ies</w:t>
      </w:r>
      <w:r w:rsidRPr="0018093C">
        <w:rPr>
          <w:rFonts w:ascii="Times New Roman" w:hAnsi="Times New Roman"/>
          <w:snapToGrid w:val="0"/>
          <w:lang w:eastAsia="en-US"/>
        </w:rPr>
        <w:t>?</w:t>
      </w:r>
    </w:p>
    <w:p w14:paraId="5DD33767" w14:textId="77777777" w:rsidR="00C11FC3" w:rsidRPr="0018093C" w:rsidRDefault="00A713C0" w:rsidP="00C11FC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495281" w:rsidRPr="0018093C">
        <w:rPr>
          <w:rFonts w:ascii="Times New Roman" w:hAnsi="Times New Roman"/>
          <w:snapToGrid w:val="0"/>
          <w:lang w:eastAsia="en-US"/>
        </w:rPr>
        <w:t>As discussed in my prefiled direc</w:t>
      </w:r>
      <w:r w:rsidR="00ED7355" w:rsidRPr="0018093C">
        <w:rPr>
          <w:rFonts w:ascii="Times New Roman" w:hAnsi="Times New Roman"/>
          <w:snapToGrid w:val="0"/>
          <w:lang w:eastAsia="en-US"/>
        </w:rPr>
        <w:t>t</w:t>
      </w:r>
      <w:r w:rsidR="00495281" w:rsidRPr="0018093C">
        <w:rPr>
          <w:rFonts w:ascii="Times New Roman" w:hAnsi="Times New Roman"/>
          <w:snapToGrid w:val="0"/>
          <w:lang w:eastAsia="en-US"/>
        </w:rPr>
        <w:t xml:space="preserve"> testimony, </w:t>
      </w:r>
      <w:r w:rsidR="00C11FC3" w:rsidRPr="0018093C">
        <w:rPr>
          <w:rFonts w:ascii="Times New Roman" w:hAnsi="Times New Roman"/>
          <w:snapToGrid w:val="0"/>
          <w:lang w:eastAsia="en-US"/>
        </w:rPr>
        <w:t>the use of a handful of companies in a highly fluid and</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 xml:space="preserve">unstable industry produces fragile and statistically unreliable results. </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A far safer</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 xml:space="preserve">procedure is to employ large sample sizes representative of </w:t>
      </w:r>
      <w:r w:rsidR="00C11FC3" w:rsidRPr="0018093C">
        <w:rPr>
          <w:rFonts w:ascii="Times New Roman" w:hAnsi="Times New Roman"/>
          <w:snapToGrid w:val="0"/>
          <w:lang w:eastAsia="en-US"/>
        </w:rPr>
        <w:lastRenderedPageBreak/>
        <w:t>the industry as a</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whole and apply subsequent risk adjustments to the extent that the company</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s risk</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profile differs from that of the industry average.</w:t>
      </w:r>
      <w:r w:rsidR="00ED7355" w:rsidRPr="0018093C">
        <w:rPr>
          <w:rStyle w:val="FootnoteReference"/>
          <w:rFonts w:ascii="Times New Roman" w:hAnsi="Times New Roman"/>
          <w:snapToGrid w:val="0"/>
          <w:lang w:eastAsia="en-US"/>
        </w:rPr>
        <w:footnoteReference w:id="20"/>
      </w:r>
    </w:p>
    <w:p w14:paraId="0B01568B" w14:textId="77777777" w:rsidR="0010342F" w:rsidRPr="0018093C" w:rsidRDefault="0010342F" w:rsidP="00D64DC2">
      <w:pPr>
        <w:pStyle w:val="Heading3"/>
      </w:pPr>
      <w:bookmarkStart w:id="8" w:name="_Toc406751100"/>
      <w:r w:rsidRPr="0018093C">
        <w:t>2.</w:t>
      </w:r>
      <w:r w:rsidRPr="0018093C">
        <w:tab/>
        <w:t xml:space="preserve">Mr. Hill’s </w:t>
      </w:r>
      <w:r w:rsidR="00F01F94" w:rsidRPr="0018093C">
        <w:t xml:space="preserve">Average Dividend Yield Projection </w:t>
      </w:r>
      <w:r w:rsidR="00A13A19" w:rsidRPr="0018093C">
        <w:t xml:space="preserve">is a Function of </w:t>
      </w:r>
      <w:r w:rsidR="00F01F94" w:rsidRPr="0018093C">
        <w:t>the Unnecessarily Small Sample Group of Comparable Utilities in His Analyses</w:t>
      </w:r>
      <w:bookmarkEnd w:id="8"/>
    </w:p>
    <w:p w14:paraId="4D61CA18" w14:textId="77777777" w:rsidR="003F0460" w:rsidRPr="0018093C" w:rsidRDefault="003F0460" w:rsidP="003F0460">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How does Mr. Hill calculate the dividend yield component for his DCF analysis?</w:t>
      </w:r>
    </w:p>
    <w:p w14:paraId="3B92CC04" w14:textId="77777777" w:rsidR="00910AD2" w:rsidRPr="0018093C" w:rsidRDefault="003F0460" w:rsidP="00910AD2">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3E40B8" w:rsidRPr="0018093C">
        <w:rPr>
          <w:rFonts w:ascii="Times New Roman" w:hAnsi="Times New Roman"/>
          <w:snapToGrid w:val="0"/>
          <w:lang w:eastAsia="en-US"/>
        </w:rPr>
        <w:t>Mr.</w:t>
      </w:r>
      <w:r w:rsidR="009013C9"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Hill bases the expected dividend yield component </w:t>
      </w:r>
      <w:r w:rsidR="00910AD2" w:rsidRPr="0018093C">
        <w:rPr>
          <w:rFonts w:ascii="Times New Roman" w:hAnsi="Times New Roman"/>
          <w:snapToGrid w:val="0"/>
          <w:lang w:eastAsia="en-US"/>
        </w:rPr>
        <w:t xml:space="preserve">of his DCF analysis </w:t>
      </w:r>
      <w:r w:rsidR="003E40B8" w:rsidRPr="0018093C">
        <w:rPr>
          <w:rFonts w:ascii="Times New Roman" w:hAnsi="Times New Roman"/>
          <w:snapToGrid w:val="0"/>
          <w:lang w:eastAsia="en-US"/>
        </w:rPr>
        <w:t xml:space="preserve">on </w:t>
      </w:r>
      <w:r w:rsidR="009013C9" w:rsidRPr="0018093C">
        <w:rPr>
          <w:rFonts w:ascii="Times New Roman" w:hAnsi="Times New Roman"/>
          <w:snapToGrid w:val="0"/>
          <w:lang w:eastAsia="en-US"/>
        </w:rPr>
        <w:t>the daily closing average stock price for each of the fifteen utilities over the six-week period ending June 21, 2013.</w:t>
      </w:r>
      <w:r w:rsidR="009013C9" w:rsidRPr="0018093C">
        <w:rPr>
          <w:rStyle w:val="FootnoteReference"/>
          <w:rFonts w:ascii="Times New Roman" w:hAnsi="Times New Roman"/>
          <w:snapToGrid w:val="0"/>
          <w:lang w:eastAsia="en-US"/>
        </w:rPr>
        <w:footnoteReference w:id="21"/>
      </w:r>
      <w:r w:rsidR="003E40B8" w:rsidRPr="0018093C">
        <w:rPr>
          <w:rFonts w:ascii="Times New Roman" w:hAnsi="Times New Roman"/>
          <w:snapToGrid w:val="0"/>
          <w:lang w:eastAsia="en-US"/>
        </w:rPr>
        <w:t xml:space="preserve">  </w:t>
      </w:r>
      <w:r w:rsidR="00910AD2" w:rsidRPr="0018093C">
        <w:rPr>
          <w:rFonts w:ascii="Times New Roman" w:hAnsi="Times New Roman"/>
          <w:snapToGrid w:val="0"/>
          <w:lang w:eastAsia="en-US"/>
        </w:rPr>
        <w:t>From this data, Mr. Hill calculates an average dividend yield of 3.83 percent for the fifteen utilities in his comparable group.</w:t>
      </w:r>
      <w:r w:rsidR="00910AD2" w:rsidRPr="0018093C">
        <w:rPr>
          <w:rStyle w:val="FootnoteReference"/>
          <w:rFonts w:ascii="Times New Roman" w:hAnsi="Times New Roman"/>
          <w:snapToGrid w:val="0"/>
          <w:lang w:eastAsia="en-US"/>
        </w:rPr>
        <w:footnoteReference w:id="22"/>
      </w:r>
    </w:p>
    <w:p w14:paraId="09A9925E" w14:textId="77777777" w:rsidR="00910AD2" w:rsidRPr="0018093C" w:rsidRDefault="00910AD2" w:rsidP="00910AD2">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 you agree with 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calculation of the dividend yield component in his DCF analysis?</w:t>
      </w:r>
    </w:p>
    <w:p w14:paraId="4960DC9E" w14:textId="77777777" w:rsidR="00910AD2" w:rsidRPr="0018093C" w:rsidRDefault="00910AD2" w:rsidP="00910AD2">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Yes</w:t>
      </w:r>
      <w:r w:rsidR="00FA31B2" w:rsidRPr="0018093C">
        <w:rPr>
          <w:rFonts w:ascii="Times New Roman" w:hAnsi="Times New Roman"/>
          <w:snapToGrid w:val="0"/>
          <w:lang w:eastAsia="en-US"/>
        </w:rPr>
        <w:t>.  Mr. Hill</w:t>
      </w:r>
      <w:r w:rsidR="00942E42" w:rsidRPr="0018093C">
        <w:rPr>
          <w:rFonts w:ascii="Times New Roman" w:hAnsi="Times New Roman"/>
          <w:snapToGrid w:val="0"/>
          <w:lang w:eastAsia="en-US"/>
        </w:rPr>
        <w:t>’</w:t>
      </w:r>
      <w:r w:rsidR="00FA31B2" w:rsidRPr="0018093C">
        <w:rPr>
          <w:rFonts w:ascii="Times New Roman" w:hAnsi="Times New Roman"/>
          <w:snapToGrid w:val="0"/>
          <w:lang w:eastAsia="en-US"/>
        </w:rPr>
        <w:t>s calculation of a 3.83 percent average dividend yield for the fifteen utilities in his comparable group</w:t>
      </w:r>
      <w:r w:rsidR="00B00654" w:rsidRPr="0018093C">
        <w:rPr>
          <w:rFonts w:ascii="Times New Roman" w:hAnsi="Times New Roman"/>
          <w:snapToGrid w:val="0"/>
          <w:lang w:eastAsia="en-US"/>
        </w:rPr>
        <w:t xml:space="preserve"> is correct</w:t>
      </w:r>
      <w:r w:rsidR="00FA31B2" w:rsidRPr="0018093C">
        <w:rPr>
          <w:rFonts w:ascii="Times New Roman" w:hAnsi="Times New Roman"/>
          <w:snapToGrid w:val="0"/>
          <w:lang w:eastAsia="en-US"/>
        </w:rPr>
        <w:t>.</w:t>
      </w:r>
      <w:r w:rsidR="0010342F" w:rsidRPr="0018093C">
        <w:rPr>
          <w:rFonts w:ascii="Times New Roman" w:hAnsi="Times New Roman"/>
          <w:snapToGrid w:val="0"/>
          <w:lang w:eastAsia="en-US"/>
        </w:rPr>
        <w:t xml:space="preserve">  As stated above, however, Mr. Hill’s DCF analysis relies upon an unnecessarily small sample group of comparable utilities.  If Mr. Hill were to expand the number of utilities in the sample group, then his dividend yield component would be more likely to generate an accurate projection.</w:t>
      </w:r>
    </w:p>
    <w:p w14:paraId="23FC6348" w14:textId="77777777" w:rsidR="00910AD2" w:rsidRPr="0018093C" w:rsidRDefault="00942E42" w:rsidP="00D64DC2">
      <w:pPr>
        <w:pStyle w:val="Heading3"/>
      </w:pPr>
      <w:bookmarkStart w:id="9" w:name="_Toc406751101"/>
      <w:r w:rsidRPr="0018093C">
        <w:lastRenderedPageBreak/>
        <w:t>3</w:t>
      </w:r>
      <w:r w:rsidR="00910AD2" w:rsidRPr="0018093C">
        <w:t>.</w:t>
      </w:r>
      <w:r w:rsidR="00910AD2" w:rsidRPr="0018093C">
        <w:tab/>
        <w:t>Mr.</w:t>
      </w:r>
      <w:r w:rsidR="00BC1F15" w:rsidRPr="0018093C">
        <w:t> </w:t>
      </w:r>
      <w:r w:rsidR="00910AD2" w:rsidRPr="0018093C">
        <w:t>Hill</w:t>
      </w:r>
      <w:r w:rsidR="0010342F" w:rsidRPr="0018093C">
        <w:t xml:space="preserve">’s DCF Analysis </w:t>
      </w:r>
      <w:r w:rsidR="00910AD2" w:rsidRPr="0018093C">
        <w:t>Uses Ambiguous and Arbitrary Growth Rate</w:t>
      </w:r>
      <w:r w:rsidR="0010342F" w:rsidRPr="0018093C">
        <w:t>s, Improperly Relies Upon the Sustainable Growth Methodology, and Erroneously Uses Historical Growth Rates</w:t>
      </w:r>
      <w:bookmarkEnd w:id="9"/>
    </w:p>
    <w:p w14:paraId="24797861" w14:textId="77777777" w:rsidR="0010342F" w:rsidRPr="0018093C" w:rsidRDefault="0010342F" w:rsidP="00D64DC2">
      <w:pPr>
        <w:pStyle w:val="Heading4"/>
      </w:pPr>
      <w:bookmarkStart w:id="10" w:name="_Toc406751102"/>
      <w:r w:rsidRPr="0018093C">
        <w:t>a.</w:t>
      </w:r>
      <w:r w:rsidRPr="0018093C">
        <w:tab/>
        <w:t>Mr. Hill Uses an Ambiguous and Arbitrary Growth Rate for Each Utility in His DCF Analysis</w:t>
      </w:r>
      <w:bookmarkEnd w:id="10"/>
    </w:p>
    <w:p w14:paraId="630BF60E" w14:textId="77777777" w:rsidR="00B00654" w:rsidRPr="0018093C" w:rsidRDefault="00B00654" w:rsidP="00B00654">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How does Mr. Hill calculate the growth rate component for his DCF analysis?</w:t>
      </w:r>
    </w:p>
    <w:p w14:paraId="5CEB689A" w14:textId="77777777" w:rsidR="00E37C9F" w:rsidRPr="0018093C" w:rsidRDefault="00B00654" w:rsidP="00E37C9F">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3E40B8" w:rsidRPr="0018093C">
        <w:rPr>
          <w:rFonts w:ascii="Times New Roman" w:hAnsi="Times New Roman"/>
          <w:snapToGrid w:val="0"/>
          <w:lang w:eastAsia="en-US"/>
        </w:rPr>
        <w:t>For the growth component, Mr.</w:t>
      </w:r>
      <w:r w:rsidR="00FF4A2E" w:rsidRPr="0018093C">
        <w:rPr>
          <w:rFonts w:ascii="Times New Roman" w:hAnsi="Times New Roman"/>
          <w:snapToGrid w:val="0"/>
          <w:lang w:eastAsia="en-US"/>
        </w:rPr>
        <w:t> </w:t>
      </w:r>
      <w:r w:rsidR="003E40B8" w:rsidRPr="0018093C">
        <w:rPr>
          <w:rFonts w:ascii="Times New Roman" w:hAnsi="Times New Roman"/>
          <w:snapToGrid w:val="0"/>
          <w:lang w:eastAsia="en-US"/>
        </w:rPr>
        <w:t>Hill examines a broad array of growth rate estimates, including</w:t>
      </w:r>
      <w:r w:rsidR="00E37C9F" w:rsidRPr="0018093C">
        <w:rPr>
          <w:rFonts w:ascii="Times New Roman" w:hAnsi="Times New Roman"/>
          <w:snapToGrid w:val="0"/>
          <w:lang w:eastAsia="en-US"/>
        </w:rPr>
        <w:t xml:space="preserve"> the following:</w:t>
      </w:r>
    </w:p>
    <w:p w14:paraId="4E18BCE7" w14:textId="77777777" w:rsidR="00E37C9F" w:rsidRPr="0018093C" w:rsidRDefault="003E40B8"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00E37C9F" w:rsidRPr="0018093C">
        <w:rPr>
          <w:rFonts w:ascii="Times New Roman" w:hAnsi="Times New Roman"/>
          <w:snapToGrid w:val="0"/>
          <w:lang w:eastAsia="en-US"/>
        </w:rPr>
        <w:tab/>
      </w:r>
      <w:r w:rsidRPr="0018093C">
        <w:rPr>
          <w:rFonts w:ascii="Times New Roman" w:hAnsi="Times New Roman"/>
          <w:snapToGrid w:val="0"/>
          <w:lang w:eastAsia="en-US"/>
        </w:rPr>
        <w:t>historical and forecast sustainable growth rates,</w:t>
      </w:r>
      <w:r w:rsidR="00FF4A2E" w:rsidRPr="0018093C">
        <w:rPr>
          <w:rStyle w:val="FootnoteReference"/>
          <w:rFonts w:ascii="Times New Roman" w:hAnsi="Times New Roman"/>
          <w:snapToGrid w:val="0"/>
          <w:lang w:eastAsia="en-US"/>
        </w:rPr>
        <w:footnoteReference w:id="23"/>
      </w:r>
    </w:p>
    <w:p w14:paraId="2613C568" w14:textId="77777777" w:rsidR="00E37C9F" w:rsidRPr="0018093C" w:rsidRDefault="003E40B8"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00E37C9F" w:rsidRPr="0018093C">
        <w:rPr>
          <w:rFonts w:ascii="Times New Roman" w:hAnsi="Times New Roman"/>
          <w:snapToGrid w:val="0"/>
          <w:lang w:eastAsia="en-US"/>
        </w:rPr>
        <w:tab/>
      </w:r>
      <w:r w:rsidRPr="0018093C">
        <w:rPr>
          <w:rFonts w:ascii="Times New Roman" w:hAnsi="Times New Roman"/>
          <w:snapToGrid w:val="0"/>
          <w:lang w:eastAsia="en-US"/>
        </w:rPr>
        <w:t>historical growth rates in book value, earnings, and dividends,</w:t>
      </w:r>
      <w:r w:rsidR="00E37C9F" w:rsidRPr="0018093C">
        <w:rPr>
          <w:rStyle w:val="FootnoteReference"/>
          <w:rFonts w:ascii="Times New Roman" w:hAnsi="Times New Roman"/>
          <w:snapToGrid w:val="0"/>
          <w:lang w:eastAsia="en-US"/>
        </w:rPr>
        <w:footnoteReference w:id="24"/>
      </w:r>
    </w:p>
    <w:p w14:paraId="5F88F84D" w14:textId="77777777" w:rsidR="00E37C9F" w:rsidRPr="0018093C" w:rsidRDefault="003E40B8"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00E37C9F" w:rsidRPr="0018093C">
        <w:rPr>
          <w:rFonts w:ascii="Times New Roman" w:hAnsi="Times New Roman"/>
          <w:snapToGrid w:val="0"/>
          <w:lang w:eastAsia="en-US"/>
        </w:rPr>
        <w:tab/>
        <w:t>5-year historic and projected earnings, dividends, and book value growth rates from Value Line;</w:t>
      </w:r>
      <w:r w:rsidR="00E37C9F" w:rsidRPr="0018093C">
        <w:rPr>
          <w:rStyle w:val="FootnoteReference"/>
          <w:rFonts w:ascii="Times New Roman" w:hAnsi="Times New Roman"/>
          <w:snapToGrid w:val="0"/>
          <w:lang w:eastAsia="en-US"/>
        </w:rPr>
        <w:footnoteReference w:id="25"/>
      </w:r>
    </w:p>
    <w:p w14:paraId="24AA93CA" w14:textId="77777777" w:rsidR="00E37C9F" w:rsidRPr="0018093C" w:rsidRDefault="00E37C9F"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(iv)</w:t>
      </w:r>
      <w:r w:rsidRPr="0018093C">
        <w:rPr>
          <w:rFonts w:ascii="Times New Roman" w:hAnsi="Times New Roman"/>
          <w:snapToGrid w:val="0"/>
          <w:lang w:eastAsia="en-US"/>
        </w:rPr>
        <w:tab/>
        <w:t>earnings growth rate projections from Zacks or IBES;</w:t>
      </w:r>
      <w:r w:rsidRPr="0018093C">
        <w:rPr>
          <w:rStyle w:val="FootnoteReference"/>
          <w:rFonts w:ascii="Times New Roman" w:hAnsi="Times New Roman"/>
          <w:snapToGrid w:val="0"/>
          <w:lang w:eastAsia="en-US"/>
        </w:rPr>
        <w:footnoteReference w:id="26"/>
      </w:r>
    </w:p>
    <w:p w14:paraId="3EF482DA" w14:textId="77777777" w:rsidR="00E37C9F" w:rsidRPr="0018093C" w:rsidRDefault="00E37C9F"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w:t>
      </w:r>
      <w:r w:rsidRPr="0018093C">
        <w:rPr>
          <w:rFonts w:ascii="Times New Roman" w:hAnsi="Times New Roman"/>
          <w:snapToGrid w:val="0"/>
          <w:lang w:eastAsia="en-US"/>
        </w:rPr>
        <w:tab/>
        <w:t>the average of Value Line and Zacks or IBES growth rates;</w:t>
      </w:r>
      <w:r w:rsidRPr="0018093C">
        <w:rPr>
          <w:rStyle w:val="FootnoteReference"/>
          <w:rFonts w:ascii="Times New Roman" w:hAnsi="Times New Roman"/>
          <w:snapToGrid w:val="0"/>
          <w:lang w:eastAsia="en-US"/>
        </w:rPr>
        <w:footnoteReference w:id="27"/>
      </w:r>
      <w:r w:rsidRPr="0018093C">
        <w:rPr>
          <w:rFonts w:ascii="Times New Roman" w:hAnsi="Times New Roman"/>
          <w:snapToGrid w:val="0"/>
          <w:lang w:eastAsia="en-US"/>
        </w:rPr>
        <w:t xml:space="preserve"> and</w:t>
      </w:r>
    </w:p>
    <w:p w14:paraId="454CB033" w14:textId="77777777" w:rsidR="00E37C9F" w:rsidRPr="0018093C" w:rsidRDefault="00E37C9F"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w:t>
      </w:r>
      <w:r w:rsidRPr="0018093C">
        <w:rPr>
          <w:rFonts w:ascii="Times New Roman" w:hAnsi="Times New Roman"/>
          <w:snapToGrid w:val="0"/>
          <w:lang w:eastAsia="en-US"/>
        </w:rPr>
        <w:tab/>
        <w:t>the 5-year historical compound growth rates for earnings, dividends and book value.</w:t>
      </w:r>
      <w:r w:rsidRPr="0018093C">
        <w:rPr>
          <w:rStyle w:val="FootnoteReference"/>
          <w:rFonts w:ascii="Times New Roman" w:hAnsi="Times New Roman"/>
          <w:snapToGrid w:val="0"/>
          <w:lang w:eastAsia="en-US"/>
        </w:rPr>
        <w:footnoteReference w:id="28"/>
      </w:r>
    </w:p>
    <w:p w14:paraId="2A10678D" w14:textId="1A573CD3" w:rsidR="00F77051" w:rsidRPr="0018093C" w:rsidRDefault="00051509" w:rsidP="00051509">
      <w:pPr>
        <w:pStyle w:val="answer"/>
        <w:ind w:firstLine="0"/>
        <w:rPr>
          <w:rFonts w:ascii="Times New Roman" w:hAnsi="Times New Roman"/>
          <w:snapToGrid w:val="0"/>
          <w:lang w:eastAsia="en-US"/>
        </w:rPr>
      </w:pPr>
      <w:r w:rsidRPr="0018093C">
        <w:rPr>
          <w:rFonts w:ascii="Times New Roman" w:hAnsi="Times New Roman"/>
          <w:snapToGrid w:val="0"/>
          <w:lang w:eastAsia="en-US"/>
        </w:rPr>
        <w:t>Exhibit No. ___(SGH-5) and Exhibit No. ___(SGH-6) provide the myriad growth data</w:t>
      </w:r>
      <w:r w:rsidR="0008759C"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 Exhibit No. ___(SGH-7) provides a description of the Mr. Hill</w:t>
      </w:r>
      <w:r w:rsidR="00942E42" w:rsidRPr="0018093C">
        <w:rPr>
          <w:rFonts w:ascii="Times New Roman" w:hAnsi="Times New Roman"/>
          <w:snapToGrid w:val="0"/>
          <w:lang w:eastAsia="en-US"/>
        </w:rPr>
        <w:t>’</w:t>
      </w:r>
      <w:r w:rsidR="00E74AA6">
        <w:rPr>
          <w:rFonts w:ascii="Times New Roman" w:hAnsi="Times New Roman"/>
          <w:snapToGrid w:val="0"/>
          <w:lang w:eastAsia="en-US"/>
        </w:rPr>
        <w:t xml:space="preserve">s growth </w:t>
      </w:r>
      <w:r w:rsidR="00E74AA6">
        <w:rPr>
          <w:rFonts w:ascii="Times New Roman" w:hAnsi="Times New Roman"/>
          <w:snapToGrid w:val="0"/>
          <w:lang w:eastAsia="en-US"/>
        </w:rPr>
        <w:lastRenderedPageBreak/>
        <w:t xml:space="preserve">rate analyses </w:t>
      </w:r>
      <w:r w:rsidRPr="0018093C">
        <w:rPr>
          <w:rFonts w:ascii="Times New Roman" w:hAnsi="Times New Roman"/>
          <w:snapToGrid w:val="0"/>
          <w:lang w:eastAsia="en-US"/>
        </w:rPr>
        <w:t>f</w:t>
      </w:r>
      <w:r w:rsidR="00E74AA6">
        <w:rPr>
          <w:rFonts w:ascii="Times New Roman" w:hAnsi="Times New Roman"/>
          <w:snapToGrid w:val="0"/>
          <w:lang w:eastAsia="en-US"/>
        </w:rPr>
        <w:t>or</w:t>
      </w:r>
      <w:r w:rsidRPr="0018093C">
        <w:rPr>
          <w:rFonts w:ascii="Times New Roman" w:hAnsi="Times New Roman"/>
          <w:snapToGrid w:val="0"/>
          <w:lang w:eastAsia="en-US"/>
        </w:rPr>
        <w:t xml:space="preserve"> each of the fifteen electric and combination electric and gas utilities in 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sample group.  From this array of data, </w:t>
      </w:r>
      <w:r w:rsidR="003E40B8" w:rsidRPr="0018093C">
        <w:rPr>
          <w:rFonts w:ascii="Times New Roman" w:hAnsi="Times New Roman"/>
          <w:snapToGrid w:val="0"/>
          <w:lang w:eastAsia="en-US"/>
        </w:rPr>
        <w:t>Mr.</w:t>
      </w:r>
      <w:r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Hill then </w:t>
      </w:r>
      <w:r w:rsidR="00E74AA6">
        <w:rPr>
          <w:rFonts w:ascii="Times New Roman" w:hAnsi="Times New Roman"/>
          <w:snapToGrid w:val="0"/>
          <w:lang w:eastAsia="en-US"/>
        </w:rPr>
        <w:t xml:space="preserve">arbitrarily </w:t>
      </w:r>
      <w:r w:rsidR="003E40B8" w:rsidRPr="0018093C">
        <w:rPr>
          <w:rFonts w:ascii="Times New Roman" w:hAnsi="Times New Roman"/>
          <w:snapToGrid w:val="0"/>
          <w:lang w:eastAsia="en-US"/>
        </w:rPr>
        <w:t xml:space="preserve">selects a growth rate for each </w:t>
      </w:r>
      <w:r w:rsidRPr="0018093C">
        <w:rPr>
          <w:rFonts w:ascii="Times New Roman" w:hAnsi="Times New Roman"/>
          <w:snapToGrid w:val="0"/>
          <w:lang w:eastAsia="en-US"/>
        </w:rPr>
        <w:t xml:space="preserve">utility. </w:t>
      </w:r>
    </w:p>
    <w:p w14:paraId="52614997" w14:textId="77777777" w:rsidR="003E40B8" w:rsidRPr="0018093C" w:rsidRDefault="003E40B8" w:rsidP="00F77051">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Adding the dividend yield component to the arbitrary growth component selected for each company,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produces a DCF estimate of 8.69% for the group of electric utilities.</w:t>
      </w:r>
    </w:p>
    <w:p w14:paraId="7950F6A0"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F77051" w:rsidRPr="0018093C">
        <w:rPr>
          <w:rFonts w:ascii="Times New Roman" w:hAnsi="Times New Roman"/>
          <w:snapToGrid w:val="0"/>
          <w:lang w:eastAsia="en-US"/>
        </w:rPr>
        <w:t xml:space="preserve">Do you agree with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F77051" w:rsidRPr="0018093C">
        <w:rPr>
          <w:rFonts w:ascii="Times New Roman" w:hAnsi="Times New Roman"/>
          <w:snapToGrid w:val="0"/>
          <w:lang w:eastAsia="en-US"/>
        </w:rPr>
        <w:t>s growth component in the DCF analysis</w:t>
      </w:r>
      <w:r w:rsidRPr="0018093C">
        <w:rPr>
          <w:rFonts w:ascii="Times New Roman" w:hAnsi="Times New Roman"/>
          <w:snapToGrid w:val="0"/>
          <w:lang w:eastAsia="en-US"/>
        </w:rPr>
        <w:t>?</w:t>
      </w:r>
    </w:p>
    <w:p w14:paraId="321250FC"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 do not.</w:t>
      </w:r>
      <w:r w:rsidR="003F0460"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F0460" w:rsidRPr="0018093C">
        <w:rPr>
          <w:rFonts w:ascii="Times New Roman" w:hAnsi="Times New Roman"/>
          <w:snapToGrid w:val="0"/>
          <w:lang w:eastAsia="en-US"/>
        </w:rPr>
        <w:t>s selected growth rate for each of the electric and combination electric and gas utilities in his sample group is arbitrary and virtually impossible to replicate scientifically.</w:t>
      </w:r>
    </w:p>
    <w:p w14:paraId="03B9ACF1"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F77051" w:rsidRPr="0018093C">
        <w:rPr>
          <w:rFonts w:ascii="Times New Roman" w:hAnsi="Times New Roman"/>
          <w:snapToGrid w:val="0"/>
          <w:lang w:eastAsia="en-US"/>
        </w:rPr>
        <w:t xml:space="preserve">Did you attempt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F77051" w:rsidRPr="0018093C">
        <w:rPr>
          <w:rFonts w:ascii="Times New Roman" w:hAnsi="Times New Roman"/>
          <w:snapToGrid w:val="0"/>
          <w:lang w:eastAsia="en-US"/>
        </w:rPr>
        <w:t xml:space="preserve">s DCF analysis for a specific company in order to illustrate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F77051" w:rsidRPr="0018093C">
        <w:rPr>
          <w:rFonts w:ascii="Times New Roman" w:hAnsi="Times New Roman"/>
          <w:snapToGrid w:val="0"/>
          <w:lang w:eastAsia="en-US"/>
        </w:rPr>
        <w:t>s methodology</w:t>
      </w:r>
      <w:r w:rsidRPr="0018093C">
        <w:rPr>
          <w:rFonts w:ascii="Times New Roman" w:hAnsi="Times New Roman"/>
          <w:snapToGrid w:val="0"/>
          <w:lang w:eastAsia="en-US"/>
        </w:rPr>
        <w:t>?</w:t>
      </w:r>
    </w:p>
    <w:p w14:paraId="052C416B"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Yes, I </w:t>
      </w:r>
      <w:r w:rsidR="00B00654" w:rsidRPr="0018093C">
        <w:rPr>
          <w:rFonts w:ascii="Times New Roman" w:hAnsi="Times New Roman"/>
          <w:snapToGrid w:val="0"/>
          <w:lang w:eastAsia="en-US"/>
        </w:rPr>
        <w:t xml:space="preserve">tried </w:t>
      </w:r>
      <w:r w:rsidRPr="0018093C">
        <w:rPr>
          <w:rFonts w:ascii="Times New Roman" w:hAnsi="Times New Roman"/>
          <w:snapToGrid w:val="0"/>
          <w:lang w:eastAsia="en-US"/>
        </w:rPr>
        <w:t xml:space="preserve">but was unable to replicate the convoluted analysis.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selects Southern Company (</w:t>
      </w:r>
      <w:r w:rsidR="00942E42" w:rsidRPr="0018093C">
        <w:rPr>
          <w:rFonts w:ascii="Times New Roman" w:hAnsi="Times New Roman"/>
          <w:snapToGrid w:val="0"/>
          <w:lang w:eastAsia="en-US"/>
        </w:rPr>
        <w:t>“</w:t>
      </w:r>
      <w:r w:rsidR="00B00654" w:rsidRPr="0018093C">
        <w:rPr>
          <w:rFonts w:ascii="Times New Roman" w:hAnsi="Times New Roman"/>
          <w:snapToGrid w:val="0"/>
          <w:lang w:eastAsia="en-US"/>
        </w:rPr>
        <w:t>Southern</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as his </w:t>
      </w:r>
      <w:r w:rsidR="00942E42" w:rsidRPr="0018093C">
        <w:rPr>
          <w:rFonts w:ascii="Times New Roman" w:hAnsi="Times New Roman"/>
          <w:snapToGrid w:val="0"/>
          <w:lang w:eastAsia="en-US"/>
        </w:rPr>
        <w:t>“</w:t>
      </w:r>
      <w:r w:rsidRPr="0018093C">
        <w:rPr>
          <w:rFonts w:ascii="Times New Roman" w:hAnsi="Times New Roman"/>
          <w:snapToGrid w:val="0"/>
          <w:lang w:eastAsia="en-US"/>
        </w:rPr>
        <w:t>case study</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to derive his DCF growth rate forecast, and cites the following growth rate estimates for </w:t>
      </w:r>
      <w:r w:rsidR="00B00654" w:rsidRPr="0018093C">
        <w:rPr>
          <w:rFonts w:ascii="Times New Roman" w:hAnsi="Times New Roman"/>
          <w:snapToGrid w:val="0"/>
          <w:lang w:eastAsia="en-US"/>
        </w:rPr>
        <w:t>Southern</w:t>
      </w:r>
      <w:r w:rsidRPr="0018093C">
        <w:rPr>
          <w:rFonts w:ascii="Times New Roman" w:hAnsi="Times New Roman"/>
          <w:snapToGrid w:val="0"/>
          <w:lang w:eastAsia="en-US"/>
        </w:rPr>
        <w:t>:</w:t>
      </w:r>
    </w:p>
    <w:p w14:paraId="0DD64B44" w14:textId="77777777" w:rsidR="00B00654" w:rsidRPr="0018093C" w:rsidRDefault="00B00654" w:rsidP="00B00654">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2</w:t>
      </w:r>
      <w:r w:rsidRPr="0018093C">
        <w:rPr>
          <w:rFonts w:ascii="Times New Roman" w:hAnsi="Times New Roman"/>
          <w:b/>
          <w:snapToGrid w:val="0"/>
          <w:lang w:eastAsia="en-US"/>
        </w:rPr>
        <w:br/>
      </w:r>
      <w:r w:rsidR="00087381" w:rsidRPr="0018093C">
        <w:rPr>
          <w:rFonts w:ascii="Times New Roman" w:hAnsi="Times New Roman"/>
          <w:b/>
          <w:snapToGrid w:val="0"/>
          <w:lang w:eastAsia="en-US"/>
        </w:rPr>
        <w:t>Mr. Hill</w:t>
      </w:r>
      <w:r w:rsidR="00942E42" w:rsidRPr="0018093C">
        <w:rPr>
          <w:rFonts w:ascii="Times New Roman" w:hAnsi="Times New Roman"/>
          <w:b/>
          <w:snapToGrid w:val="0"/>
          <w:lang w:eastAsia="en-US"/>
        </w:rPr>
        <w:t>’</w:t>
      </w:r>
      <w:r w:rsidRPr="0018093C">
        <w:rPr>
          <w:rFonts w:ascii="Times New Roman" w:hAnsi="Times New Roman"/>
          <w:b/>
          <w:snapToGrid w:val="0"/>
          <w:lang w:eastAsia="en-US"/>
        </w:rPr>
        <w:t>s Various Growth Rates for Southern</w:t>
      </w:r>
    </w:p>
    <w:tbl>
      <w:tblPr>
        <w:tblStyle w:val="TableGrid"/>
        <w:tblW w:w="8298" w:type="dxa"/>
        <w:jc w:val="center"/>
        <w:tblInd w:w="720" w:type="dxa"/>
        <w:tblLook w:val="04A0" w:firstRow="1" w:lastRow="0" w:firstColumn="1" w:lastColumn="0" w:noHBand="0" w:noVBand="1"/>
      </w:tblPr>
      <w:tblGrid>
        <w:gridCol w:w="3916"/>
        <w:gridCol w:w="1188"/>
        <w:gridCol w:w="2456"/>
        <w:gridCol w:w="738"/>
      </w:tblGrid>
      <w:tr w:rsidR="00730D14" w:rsidRPr="0018093C" w14:paraId="2D154FE1" w14:textId="77777777" w:rsidTr="00B00654">
        <w:trPr>
          <w:jc w:val="center"/>
        </w:trPr>
        <w:tc>
          <w:tcPr>
            <w:tcW w:w="3916" w:type="dxa"/>
            <w:shd w:val="clear" w:color="auto" w:fill="D9D9D9" w:themeFill="background1" w:themeFillShade="D9"/>
            <w:vAlign w:val="bottom"/>
          </w:tcPr>
          <w:p w14:paraId="71121551" w14:textId="77777777" w:rsidR="00730D14" w:rsidRPr="0018093C" w:rsidRDefault="00730D14" w:rsidP="00730D14">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Growth Proxies</w:t>
            </w:r>
          </w:p>
        </w:tc>
        <w:tc>
          <w:tcPr>
            <w:tcW w:w="1188" w:type="dxa"/>
            <w:shd w:val="clear" w:color="auto" w:fill="D9D9D9" w:themeFill="background1" w:themeFillShade="D9"/>
            <w:vAlign w:val="bottom"/>
          </w:tcPr>
          <w:p w14:paraId="5DC8A54E"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Estimate</w:t>
            </w:r>
          </w:p>
        </w:tc>
        <w:tc>
          <w:tcPr>
            <w:tcW w:w="2456" w:type="dxa"/>
            <w:shd w:val="clear" w:color="auto" w:fill="D9D9D9" w:themeFill="background1" w:themeFillShade="D9"/>
            <w:vAlign w:val="bottom"/>
          </w:tcPr>
          <w:p w14:paraId="757A9C4A"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Exhibit</w:t>
            </w:r>
          </w:p>
        </w:tc>
        <w:tc>
          <w:tcPr>
            <w:tcW w:w="738" w:type="dxa"/>
            <w:shd w:val="clear" w:color="auto" w:fill="D9D9D9" w:themeFill="background1" w:themeFillShade="D9"/>
            <w:vAlign w:val="bottom"/>
          </w:tcPr>
          <w:p w14:paraId="7BCAC5DB"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Page</w:t>
            </w:r>
          </w:p>
        </w:tc>
      </w:tr>
      <w:tr w:rsidR="00730D14" w:rsidRPr="0018093C" w14:paraId="3433725A" w14:textId="77777777" w:rsidTr="00B00654">
        <w:trPr>
          <w:jc w:val="center"/>
        </w:trPr>
        <w:tc>
          <w:tcPr>
            <w:tcW w:w="3916" w:type="dxa"/>
          </w:tcPr>
          <w:p w14:paraId="25A6452E" w14:textId="77777777" w:rsidR="00730D14" w:rsidRPr="0018093C" w:rsidRDefault="00730D14"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 xml:space="preserve">5-yr </w:t>
            </w:r>
            <w:r w:rsidR="00011CFB" w:rsidRPr="0018093C">
              <w:rPr>
                <w:rFonts w:ascii="Times New Roman" w:hAnsi="Times New Roman"/>
                <w:snapToGrid w:val="0"/>
                <w:lang w:eastAsia="en-US"/>
              </w:rPr>
              <w:t>H</w:t>
            </w:r>
            <w:r w:rsidRPr="0018093C">
              <w:rPr>
                <w:rFonts w:ascii="Times New Roman" w:hAnsi="Times New Roman"/>
                <w:snapToGrid w:val="0"/>
                <w:lang w:eastAsia="en-US"/>
              </w:rPr>
              <w:t xml:space="preserve">istorical </w:t>
            </w:r>
            <w:r w:rsidR="00011CFB" w:rsidRPr="0018093C">
              <w:rPr>
                <w:rFonts w:ascii="Times New Roman" w:hAnsi="Times New Roman"/>
                <w:snapToGrid w:val="0"/>
                <w:lang w:eastAsia="en-US"/>
              </w:rPr>
              <w:t>S</w:t>
            </w:r>
            <w:r w:rsidRPr="0018093C">
              <w:rPr>
                <w:rFonts w:ascii="Times New Roman" w:hAnsi="Times New Roman"/>
                <w:snapToGrid w:val="0"/>
                <w:lang w:eastAsia="en-US"/>
              </w:rPr>
              <w:t>ustainable 2008-2012</w:t>
            </w:r>
          </w:p>
        </w:tc>
        <w:tc>
          <w:tcPr>
            <w:tcW w:w="1188" w:type="dxa"/>
          </w:tcPr>
          <w:p w14:paraId="76B8B266"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3.28%</w:t>
            </w:r>
          </w:p>
        </w:tc>
        <w:tc>
          <w:tcPr>
            <w:tcW w:w="2456" w:type="dxa"/>
          </w:tcPr>
          <w:p w14:paraId="26A0F834" w14:textId="77777777" w:rsidR="00730D14" w:rsidRPr="0018093C" w:rsidRDefault="00B00654" w:rsidP="00B0065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w:t>
            </w:r>
            <w:r w:rsidR="00730D14" w:rsidRPr="0018093C">
              <w:rPr>
                <w:rFonts w:ascii="Times New Roman" w:hAnsi="Times New Roman"/>
                <w:snapToGrid w:val="0"/>
                <w:lang w:eastAsia="en-US"/>
              </w:rPr>
              <w:t>SGH-5</w:t>
            </w:r>
            <w:r w:rsidRPr="0018093C">
              <w:rPr>
                <w:rFonts w:ascii="Times New Roman" w:hAnsi="Times New Roman"/>
                <w:snapToGrid w:val="0"/>
                <w:lang w:eastAsia="en-US"/>
              </w:rPr>
              <w:t>)</w:t>
            </w:r>
          </w:p>
        </w:tc>
        <w:tc>
          <w:tcPr>
            <w:tcW w:w="738" w:type="dxa"/>
          </w:tcPr>
          <w:p w14:paraId="085EB431"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730D14" w:rsidRPr="0018093C" w14:paraId="3854D4E6" w14:textId="77777777" w:rsidTr="00B00654">
        <w:trPr>
          <w:jc w:val="center"/>
        </w:trPr>
        <w:tc>
          <w:tcPr>
            <w:tcW w:w="3916" w:type="dxa"/>
          </w:tcPr>
          <w:p w14:paraId="34B6A32A" w14:textId="77777777" w:rsidR="00730D14" w:rsidRPr="0018093C" w:rsidRDefault="00011CFB"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w:t>
            </w:r>
            <w:r w:rsidR="00730D14" w:rsidRPr="0018093C">
              <w:rPr>
                <w:rFonts w:ascii="Times New Roman" w:hAnsi="Times New Roman"/>
                <w:snapToGrid w:val="0"/>
                <w:lang w:eastAsia="en-US"/>
              </w:rPr>
              <w:t>ustainable</w:t>
            </w:r>
            <w:r w:rsidRPr="0018093C">
              <w:rPr>
                <w:rFonts w:ascii="Times New Roman" w:hAnsi="Times New Roman"/>
                <w:snapToGrid w:val="0"/>
                <w:lang w:eastAsia="en-US"/>
              </w:rPr>
              <w:t xml:space="preserve"> 2013</w:t>
            </w:r>
          </w:p>
        </w:tc>
        <w:tc>
          <w:tcPr>
            <w:tcW w:w="1188" w:type="dxa"/>
          </w:tcPr>
          <w:p w14:paraId="5D9E4C23"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3.45%</w:t>
            </w:r>
          </w:p>
        </w:tc>
        <w:tc>
          <w:tcPr>
            <w:tcW w:w="2456" w:type="dxa"/>
          </w:tcPr>
          <w:p w14:paraId="1CDBB84E"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__(SGH-5)</w:t>
            </w:r>
          </w:p>
        </w:tc>
        <w:tc>
          <w:tcPr>
            <w:tcW w:w="738" w:type="dxa"/>
          </w:tcPr>
          <w:p w14:paraId="343A36CB"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730D14" w:rsidRPr="0018093C" w14:paraId="32BD9536" w14:textId="77777777" w:rsidTr="00B00654">
        <w:trPr>
          <w:jc w:val="center"/>
        </w:trPr>
        <w:tc>
          <w:tcPr>
            <w:tcW w:w="3916" w:type="dxa"/>
          </w:tcPr>
          <w:p w14:paraId="29785C83" w14:textId="77777777" w:rsidR="00730D14" w:rsidRPr="0018093C" w:rsidRDefault="00011CFB"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w:t>
            </w:r>
            <w:r w:rsidR="00730D14" w:rsidRPr="0018093C">
              <w:rPr>
                <w:rFonts w:ascii="Times New Roman" w:hAnsi="Times New Roman"/>
                <w:snapToGrid w:val="0"/>
                <w:lang w:eastAsia="en-US"/>
              </w:rPr>
              <w:t>ustainable</w:t>
            </w:r>
            <w:r w:rsidRPr="0018093C">
              <w:rPr>
                <w:rFonts w:ascii="Times New Roman" w:hAnsi="Times New Roman"/>
                <w:snapToGrid w:val="0"/>
                <w:lang w:eastAsia="en-US"/>
              </w:rPr>
              <w:t xml:space="preserve"> 2014</w:t>
            </w:r>
          </w:p>
        </w:tc>
        <w:tc>
          <w:tcPr>
            <w:tcW w:w="1188" w:type="dxa"/>
          </w:tcPr>
          <w:p w14:paraId="0981E915"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3.42%</w:t>
            </w:r>
          </w:p>
        </w:tc>
        <w:tc>
          <w:tcPr>
            <w:tcW w:w="2456" w:type="dxa"/>
          </w:tcPr>
          <w:p w14:paraId="57D775C9"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__(SGH-5)</w:t>
            </w:r>
          </w:p>
        </w:tc>
        <w:tc>
          <w:tcPr>
            <w:tcW w:w="738" w:type="dxa"/>
          </w:tcPr>
          <w:p w14:paraId="7FCE91D5"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730D14" w:rsidRPr="0018093C" w14:paraId="707D8EE4" w14:textId="77777777" w:rsidTr="00B00654">
        <w:trPr>
          <w:jc w:val="center"/>
        </w:trPr>
        <w:tc>
          <w:tcPr>
            <w:tcW w:w="3916" w:type="dxa"/>
          </w:tcPr>
          <w:p w14:paraId="2E1203C6" w14:textId="77777777" w:rsidR="00730D14" w:rsidRPr="0018093C" w:rsidRDefault="00011CFB"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w:t>
            </w:r>
            <w:r w:rsidR="00730D14" w:rsidRPr="0018093C">
              <w:rPr>
                <w:rFonts w:ascii="Times New Roman" w:hAnsi="Times New Roman"/>
                <w:snapToGrid w:val="0"/>
                <w:lang w:eastAsia="en-US"/>
              </w:rPr>
              <w:t xml:space="preserve">rojected </w:t>
            </w:r>
            <w:r w:rsidRPr="0018093C">
              <w:rPr>
                <w:rFonts w:ascii="Times New Roman" w:hAnsi="Times New Roman"/>
                <w:snapToGrid w:val="0"/>
                <w:lang w:eastAsia="en-US"/>
              </w:rPr>
              <w:t>S</w:t>
            </w:r>
            <w:r w:rsidR="00730D14" w:rsidRPr="0018093C">
              <w:rPr>
                <w:rFonts w:ascii="Times New Roman" w:hAnsi="Times New Roman"/>
                <w:snapToGrid w:val="0"/>
                <w:lang w:eastAsia="en-US"/>
              </w:rPr>
              <w:t>ustainable 2016-18</w:t>
            </w:r>
          </w:p>
        </w:tc>
        <w:tc>
          <w:tcPr>
            <w:tcW w:w="1188" w:type="dxa"/>
          </w:tcPr>
          <w:p w14:paraId="04277D87"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3.46%</w:t>
            </w:r>
          </w:p>
        </w:tc>
        <w:tc>
          <w:tcPr>
            <w:tcW w:w="2456" w:type="dxa"/>
          </w:tcPr>
          <w:p w14:paraId="7A07592A"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__(SGH-5)</w:t>
            </w:r>
          </w:p>
        </w:tc>
        <w:tc>
          <w:tcPr>
            <w:tcW w:w="738" w:type="dxa"/>
          </w:tcPr>
          <w:p w14:paraId="06F49826"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011CFB" w:rsidRPr="0018093C" w14:paraId="2A03A2C6" w14:textId="77777777" w:rsidTr="00F15E6A">
        <w:trPr>
          <w:jc w:val="center"/>
        </w:trPr>
        <w:tc>
          <w:tcPr>
            <w:tcW w:w="3916" w:type="dxa"/>
          </w:tcPr>
          <w:p w14:paraId="1BDFBDA9" w14:textId="77777777" w:rsidR="00011CFB" w:rsidRPr="0018093C" w:rsidRDefault="00011CFB"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Historical Earnings</w:t>
            </w:r>
          </w:p>
        </w:tc>
        <w:tc>
          <w:tcPr>
            <w:tcW w:w="1188" w:type="dxa"/>
          </w:tcPr>
          <w:p w14:paraId="717BC78B" w14:textId="77777777" w:rsidR="00011CFB" w:rsidRPr="0018093C" w:rsidRDefault="00011CFB"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3.00%</w:t>
            </w:r>
          </w:p>
        </w:tc>
        <w:tc>
          <w:tcPr>
            <w:tcW w:w="2456" w:type="dxa"/>
          </w:tcPr>
          <w:p w14:paraId="34A326D1"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7214FB8F"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64D65ED4" w14:textId="77777777" w:rsidTr="00B00654">
        <w:trPr>
          <w:jc w:val="center"/>
        </w:trPr>
        <w:tc>
          <w:tcPr>
            <w:tcW w:w="3916" w:type="dxa"/>
          </w:tcPr>
          <w:p w14:paraId="6888494A" w14:textId="77777777" w:rsidR="00B00654" w:rsidRPr="0018093C" w:rsidRDefault="00B00654"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 xml:space="preserve">5-yr </w:t>
            </w:r>
            <w:r w:rsidR="00011CFB" w:rsidRPr="0018093C">
              <w:rPr>
                <w:rFonts w:ascii="Times New Roman" w:hAnsi="Times New Roman"/>
                <w:snapToGrid w:val="0"/>
                <w:lang w:eastAsia="en-US"/>
              </w:rPr>
              <w:t>H</w:t>
            </w:r>
            <w:r w:rsidRPr="0018093C">
              <w:rPr>
                <w:rFonts w:ascii="Times New Roman" w:hAnsi="Times New Roman"/>
                <w:snapToGrid w:val="0"/>
                <w:lang w:eastAsia="en-US"/>
              </w:rPr>
              <w:t>istorical Dividend</w:t>
            </w:r>
          </w:p>
        </w:tc>
        <w:tc>
          <w:tcPr>
            <w:tcW w:w="1188" w:type="dxa"/>
          </w:tcPr>
          <w:p w14:paraId="4F708109"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4.00%</w:t>
            </w:r>
          </w:p>
        </w:tc>
        <w:tc>
          <w:tcPr>
            <w:tcW w:w="2456" w:type="dxa"/>
          </w:tcPr>
          <w:p w14:paraId="2A13185A"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399A059E"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011CFB" w:rsidRPr="0018093C" w14:paraId="7A357151" w14:textId="77777777" w:rsidTr="00F15E6A">
        <w:trPr>
          <w:jc w:val="center"/>
        </w:trPr>
        <w:tc>
          <w:tcPr>
            <w:tcW w:w="3916" w:type="dxa"/>
          </w:tcPr>
          <w:p w14:paraId="0F00E274" w14:textId="77777777" w:rsidR="00011CFB" w:rsidRPr="0018093C" w:rsidRDefault="00011CFB"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Historical Book Value</w:t>
            </w:r>
          </w:p>
        </w:tc>
        <w:tc>
          <w:tcPr>
            <w:tcW w:w="1188" w:type="dxa"/>
          </w:tcPr>
          <w:p w14:paraId="2FFC4426" w14:textId="77777777" w:rsidR="00011CFB" w:rsidRPr="0018093C" w:rsidRDefault="00011CFB"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5.50%</w:t>
            </w:r>
          </w:p>
        </w:tc>
        <w:tc>
          <w:tcPr>
            <w:tcW w:w="2456" w:type="dxa"/>
          </w:tcPr>
          <w:p w14:paraId="7BCF2EA2"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563CEBF8"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53D0E" w:rsidRPr="0018093C" w14:paraId="64734899" w14:textId="77777777" w:rsidTr="00F15E6A">
        <w:trPr>
          <w:jc w:val="center"/>
        </w:trPr>
        <w:tc>
          <w:tcPr>
            <w:tcW w:w="3916" w:type="dxa"/>
          </w:tcPr>
          <w:p w14:paraId="6F4923AA" w14:textId="77777777" w:rsidR="00253D0E" w:rsidRPr="0018093C" w:rsidRDefault="00253D0E"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Compound Hist Earnings</w:t>
            </w:r>
          </w:p>
        </w:tc>
        <w:tc>
          <w:tcPr>
            <w:tcW w:w="1188" w:type="dxa"/>
          </w:tcPr>
          <w:p w14:paraId="63EA18AE" w14:textId="77777777" w:rsidR="00253D0E" w:rsidRPr="0018093C" w:rsidRDefault="00253D0E"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4.10%</w:t>
            </w:r>
          </w:p>
        </w:tc>
        <w:tc>
          <w:tcPr>
            <w:tcW w:w="2456" w:type="dxa"/>
          </w:tcPr>
          <w:p w14:paraId="26C1C904"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73497751"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2949ACCE" w14:textId="77777777" w:rsidTr="00B00654">
        <w:trPr>
          <w:jc w:val="center"/>
        </w:trPr>
        <w:tc>
          <w:tcPr>
            <w:tcW w:w="3916" w:type="dxa"/>
          </w:tcPr>
          <w:p w14:paraId="35B4FE42" w14:textId="77777777" w:rsidR="00B00654" w:rsidRPr="0018093C" w:rsidRDefault="00B00654" w:rsidP="00730D14">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Compound Hist Dividends</w:t>
            </w:r>
          </w:p>
        </w:tc>
        <w:tc>
          <w:tcPr>
            <w:tcW w:w="1188" w:type="dxa"/>
          </w:tcPr>
          <w:p w14:paraId="7B8AFA4C"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4.00%</w:t>
            </w:r>
          </w:p>
        </w:tc>
        <w:tc>
          <w:tcPr>
            <w:tcW w:w="2456" w:type="dxa"/>
          </w:tcPr>
          <w:p w14:paraId="1DB12B06"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30CC50EF"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53D0E" w:rsidRPr="0018093C" w14:paraId="735842B1" w14:textId="77777777" w:rsidTr="00F15E6A">
        <w:trPr>
          <w:jc w:val="center"/>
        </w:trPr>
        <w:tc>
          <w:tcPr>
            <w:tcW w:w="3916" w:type="dxa"/>
          </w:tcPr>
          <w:p w14:paraId="0A77155C" w14:textId="77777777" w:rsidR="00253D0E" w:rsidRPr="0018093C" w:rsidRDefault="00253D0E"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Compound Hist Book Value</w:t>
            </w:r>
          </w:p>
        </w:tc>
        <w:tc>
          <w:tcPr>
            <w:tcW w:w="1188" w:type="dxa"/>
          </w:tcPr>
          <w:p w14:paraId="157B1895" w14:textId="77777777" w:rsidR="00253D0E" w:rsidRPr="0018093C" w:rsidRDefault="00253D0E"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4.95%</w:t>
            </w:r>
          </w:p>
        </w:tc>
        <w:tc>
          <w:tcPr>
            <w:tcW w:w="2456" w:type="dxa"/>
          </w:tcPr>
          <w:p w14:paraId="2E6ABB69"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4FA47639"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53D0E" w:rsidRPr="0018093C" w14:paraId="4EE4E680" w14:textId="77777777" w:rsidTr="00F15E6A">
        <w:trPr>
          <w:jc w:val="center"/>
        </w:trPr>
        <w:tc>
          <w:tcPr>
            <w:tcW w:w="3916" w:type="dxa"/>
          </w:tcPr>
          <w:p w14:paraId="1C038646" w14:textId="77777777" w:rsidR="00253D0E" w:rsidRPr="0018093C" w:rsidRDefault="00253D0E"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VL Projected Earnings</w:t>
            </w:r>
          </w:p>
        </w:tc>
        <w:tc>
          <w:tcPr>
            <w:tcW w:w="1188" w:type="dxa"/>
          </w:tcPr>
          <w:p w14:paraId="4E42FC94" w14:textId="77777777" w:rsidR="00253D0E" w:rsidRPr="0018093C" w:rsidRDefault="00253D0E"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4.50%</w:t>
            </w:r>
          </w:p>
        </w:tc>
        <w:tc>
          <w:tcPr>
            <w:tcW w:w="2456" w:type="dxa"/>
          </w:tcPr>
          <w:p w14:paraId="7AE088BD"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12EAA5BC"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20EE6F2E" w14:textId="77777777" w:rsidTr="00B00654">
        <w:trPr>
          <w:jc w:val="center"/>
        </w:trPr>
        <w:tc>
          <w:tcPr>
            <w:tcW w:w="3916" w:type="dxa"/>
          </w:tcPr>
          <w:p w14:paraId="3E6BA819" w14:textId="77777777" w:rsidR="00B00654" w:rsidRPr="0018093C" w:rsidRDefault="00B00654"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 xml:space="preserve">VL Projected </w:t>
            </w:r>
            <w:r w:rsidR="00011CFB" w:rsidRPr="0018093C">
              <w:rPr>
                <w:rFonts w:ascii="Times New Roman" w:hAnsi="Times New Roman"/>
                <w:snapToGrid w:val="0"/>
                <w:lang w:eastAsia="en-US"/>
              </w:rPr>
              <w:t>D</w:t>
            </w:r>
            <w:r w:rsidRPr="0018093C">
              <w:rPr>
                <w:rFonts w:ascii="Times New Roman" w:hAnsi="Times New Roman"/>
                <w:snapToGrid w:val="0"/>
                <w:lang w:eastAsia="en-US"/>
              </w:rPr>
              <w:t>ividend</w:t>
            </w:r>
          </w:p>
        </w:tc>
        <w:tc>
          <w:tcPr>
            <w:tcW w:w="1188" w:type="dxa"/>
          </w:tcPr>
          <w:p w14:paraId="431C9AA1"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4.00%</w:t>
            </w:r>
          </w:p>
        </w:tc>
        <w:tc>
          <w:tcPr>
            <w:tcW w:w="2456" w:type="dxa"/>
          </w:tcPr>
          <w:p w14:paraId="3B64DA45"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2716635B"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2EF0859C" w14:textId="77777777" w:rsidTr="00B00654">
        <w:trPr>
          <w:jc w:val="center"/>
        </w:trPr>
        <w:tc>
          <w:tcPr>
            <w:tcW w:w="3916" w:type="dxa"/>
          </w:tcPr>
          <w:p w14:paraId="762BF85F" w14:textId="77777777" w:rsidR="00B00654" w:rsidRPr="0018093C" w:rsidRDefault="00B00654" w:rsidP="00730D14">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VL projected Book Value</w:t>
            </w:r>
          </w:p>
        </w:tc>
        <w:tc>
          <w:tcPr>
            <w:tcW w:w="1188" w:type="dxa"/>
          </w:tcPr>
          <w:p w14:paraId="0FE44B5A"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4.50%</w:t>
            </w:r>
          </w:p>
        </w:tc>
        <w:tc>
          <w:tcPr>
            <w:tcW w:w="2456" w:type="dxa"/>
          </w:tcPr>
          <w:p w14:paraId="442B7278"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51D336F7"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6180A422" w14:textId="77777777" w:rsidTr="00B00654">
        <w:trPr>
          <w:jc w:val="center"/>
        </w:trPr>
        <w:tc>
          <w:tcPr>
            <w:tcW w:w="3916" w:type="dxa"/>
          </w:tcPr>
          <w:p w14:paraId="5C429061" w14:textId="77777777" w:rsidR="00B00654" w:rsidRPr="0018093C" w:rsidRDefault="00011CFB" w:rsidP="00253D0E">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w:t>
            </w:r>
            <w:r w:rsidR="00B00654" w:rsidRPr="0018093C">
              <w:rPr>
                <w:rFonts w:ascii="Times New Roman" w:hAnsi="Times New Roman"/>
                <w:snapToGrid w:val="0"/>
                <w:lang w:eastAsia="en-US"/>
              </w:rPr>
              <w:t xml:space="preserve">nalyst IBES </w:t>
            </w:r>
            <w:r w:rsidR="00253D0E" w:rsidRPr="0018093C">
              <w:rPr>
                <w:rFonts w:ascii="Times New Roman" w:hAnsi="Times New Roman"/>
                <w:snapToGrid w:val="0"/>
                <w:lang w:eastAsia="en-US"/>
              </w:rPr>
              <w:t>P</w:t>
            </w:r>
            <w:r w:rsidR="00B00654" w:rsidRPr="0018093C">
              <w:rPr>
                <w:rFonts w:ascii="Times New Roman" w:hAnsi="Times New Roman"/>
                <w:snapToGrid w:val="0"/>
                <w:lang w:eastAsia="en-US"/>
              </w:rPr>
              <w:t>rojection</w:t>
            </w:r>
          </w:p>
        </w:tc>
        <w:tc>
          <w:tcPr>
            <w:tcW w:w="1188" w:type="dxa"/>
          </w:tcPr>
          <w:p w14:paraId="00A9C9DC"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4.84%</w:t>
            </w:r>
          </w:p>
        </w:tc>
        <w:tc>
          <w:tcPr>
            <w:tcW w:w="2456" w:type="dxa"/>
          </w:tcPr>
          <w:p w14:paraId="0CB1B0A0" w14:textId="77777777" w:rsidR="00B00654" w:rsidRPr="0018093C" w:rsidRDefault="00B00654" w:rsidP="00B0065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__(SGH-10)</w:t>
            </w:r>
          </w:p>
        </w:tc>
        <w:tc>
          <w:tcPr>
            <w:tcW w:w="738" w:type="dxa"/>
          </w:tcPr>
          <w:p w14:paraId="17D1AA58"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B00654" w:rsidRPr="0018093C" w14:paraId="4F1C4CBA" w14:textId="77777777" w:rsidTr="00B00654">
        <w:trPr>
          <w:jc w:val="center"/>
        </w:trPr>
        <w:tc>
          <w:tcPr>
            <w:tcW w:w="3916" w:type="dxa"/>
          </w:tcPr>
          <w:p w14:paraId="1F258A5A" w14:textId="77777777" w:rsidR="00B00654" w:rsidRPr="0018093C" w:rsidRDefault="00011CFB" w:rsidP="00253D0E">
            <w:pPr>
              <w:pStyle w:val="answer"/>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w:t>
            </w:r>
            <w:r w:rsidR="00B00654" w:rsidRPr="0018093C">
              <w:rPr>
                <w:rFonts w:ascii="Times New Roman" w:hAnsi="Times New Roman"/>
                <w:snapToGrid w:val="0"/>
                <w:lang w:eastAsia="en-US"/>
              </w:rPr>
              <w:t xml:space="preserve">nalyst Zacks </w:t>
            </w:r>
            <w:r w:rsidR="00253D0E" w:rsidRPr="0018093C">
              <w:rPr>
                <w:rFonts w:ascii="Times New Roman" w:hAnsi="Times New Roman"/>
                <w:snapToGrid w:val="0"/>
                <w:lang w:eastAsia="en-US"/>
              </w:rPr>
              <w:t>P</w:t>
            </w:r>
            <w:r w:rsidR="00B00654" w:rsidRPr="0018093C">
              <w:rPr>
                <w:rFonts w:ascii="Times New Roman" w:hAnsi="Times New Roman"/>
                <w:snapToGrid w:val="0"/>
                <w:lang w:eastAsia="en-US"/>
              </w:rPr>
              <w:t>rojection</w:t>
            </w:r>
          </w:p>
        </w:tc>
        <w:tc>
          <w:tcPr>
            <w:tcW w:w="1188" w:type="dxa"/>
          </w:tcPr>
          <w:p w14:paraId="7E396054" w14:textId="77777777" w:rsidR="00B00654" w:rsidRPr="0018093C" w:rsidRDefault="00B00654" w:rsidP="001723EF">
            <w:pPr>
              <w:pStyle w:val="answer"/>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4.76%</w:t>
            </w:r>
          </w:p>
        </w:tc>
        <w:tc>
          <w:tcPr>
            <w:tcW w:w="2456" w:type="dxa"/>
          </w:tcPr>
          <w:p w14:paraId="7A317B36"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__(SGH-10)</w:t>
            </w:r>
          </w:p>
        </w:tc>
        <w:tc>
          <w:tcPr>
            <w:tcW w:w="738" w:type="dxa"/>
          </w:tcPr>
          <w:p w14:paraId="5750BAD4" w14:textId="77777777" w:rsidR="00B00654" w:rsidRPr="0018093C" w:rsidRDefault="00B00654" w:rsidP="001723EF">
            <w:pPr>
              <w:pStyle w:val="answer"/>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bl>
    <w:p w14:paraId="0BB86320" w14:textId="77777777" w:rsidR="003E40B8" w:rsidRPr="0018093C" w:rsidRDefault="00087381" w:rsidP="001723EF">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Mr. Hill</w:t>
      </w:r>
      <w:r w:rsidR="003E40B8" w:rsidRPr="0018093C">
        <w:rPr>
          <w:rFonts w:ascii="Times New Roman" w:hAnsi="Times New Roman"/>
          <w:snapToGrid w:val="0"/>
          <w:lang w:eastAsia="en-US"/>
        </w:rPr>
        <w:t xml:space="preserve"> somehow concludes from this array of fifteen growth rates that a long-term growth rate of 4.25% is a reasonable expectation for</w:t>
      </w:r>
      <w:r w:rsidR="00253D0E" w:rsidRPr="0018093C">
        <w:rPr>
          <w:rFonts w:ascii="Times New Roman" w:hAnsi="Times New Roman"/>
          <w:snapToGrid w:val="0"/>
          <w:lang w:eastAsia="en-US"/>
        </w:rPr>
        <w:t xml:space="preserve"> Southern</w:t>
      </w:r>
      <w:r w:rsidR="003E40B8" w:rsidRPr="0018093C">
        <w:rPr>
          <w:rFonts w:ascii="Times New Roman" w:hAnsi="Times New Roman"/>
          <w:snapToGrid w:val="0"/>
          <w:lang w:eastAsia="en-US"/>
        </w:rPr>
        <w:t>.  Adding 77</w:t>
      </w:r>
      <w:r w:rsidR="00253D0E" w:rsidRPr="0018093C">
        <w:rPr>
          <w:rFonts w:ascii="Times New Roman" w:hAnsi="Times New Roman"/>
          <w:snapToGrid w:val="0"/>
          <w:lang w:eastAsia="en-US"/>
        </w:rPr>
        <w:t> </w:t>
      </w:r>
      <w:r w:rsidR="003E40B8" w:rsidRPr="0018093C">
        <w:rPr>
          <w:rFonts w:ascii="Times New Roman" w:hAnsi="Times New Roman"/>
          <w:snapToGrid w:val="0"/>
          <w:lang w:eastAsia="en-US"/>
        </w:rPr>
        <w:t>basis points to account for growth through external stock issues, Mr.</w:t>
      </w:r>
      <w:r w:rsidR="00253D0E" w:rsidRPr="0018093C">
        <w:rPr>
          <w:rFonts w:ascii="Times New Roman" w:hAnsi="Times New Roman"/>
          <w:snapToGrid w:val="0"/>
          <w:lang w:eastAsia="en-US"/>
        </w:rPr>
        <w:t> </w:t>
      </w:r>
      <w:r w:rsidR="003E40B8"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s final growth estimate for </w:t>
      </w:r>
      <w:r w:rsidR="00253D0E" w:rsidRPr="0018093C">
        <w:rPr>
          <w:rFonts w:ascii="Times New Roman" w:hAnsi="Times New Roman"/>
          <w:snapToGrid w:val="0"/>
          <w:lang w:eastAsia="en-US"/>
        </w:rPr>
        <w:t xml:space="preserve">Southern </w:t>
      </w:r>
      <w:r w:rsidR="003E40B8" w:rsidRPr="0018093C">
        <w:rPr>
          <w:rFonts w:ascii="Times New Roman" w:hAnsi="Times New Roman"/>
          <w:snapToGrid w:val="0"/>
          <w:lang w:eastAsia="en-US"/>
        </w:rPr>
        <w:t>is 5.02%.</w:t>
      </w:r>
      <w:r w:rsidR="00253D0E" w:rsidRPr="0018093C">
        <w:rPr>
          <w:rStyle w:val="FootnoteReference"/>
          <w:rFonts w:ascii="Times New Roman" w:hAnsi="Times New Roman"/>
          <w:snapToGrid w:val="0"/>
          <w:lang w:eastAsia="en-US"/>
        </w:rPr>
        <w:footnoteReference w:id="29"/>
      </w:r>
    </w:p>
    <w:p w14:paraId="3BBF7726"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723EF" w:rsidRPr="0018093C">
        <w:rPr>
          <w:rFonts w:ascii="Times New Roman" w:hAnsi="Times New Roman"/>
          <w:snapToGrid w:val="0"/>
          <w:lang w:eastAsia="en-US"/>
        </w:rPr>
        <w:t>Were you able to determine how Mr</w:t>
      </w:r>
      <w:r w:rsidRPr="0018093C">
        <w:rPr>
          <w:rFonts w:ascii="Times New Roman" w:hAnsi="Times New Roman"/>
          <w:snapToGrid w:val="0"/>
          <w:lang w:eastAsia="en-US"/>
        </w:rPr>
        <w:t>.</w:t>
      </w:r>
      <w:r w:rsidR="00253D0E" w:rsidRPr="0018093C">
        <w:rPr>
          <w:rFonts w:ascii="Times New Roman" w:hAnsi="Times New Roman"/>
          <w:snapToGrid w:val="0"/>
          <w:lang w:eastAsia="en-US"/>
        </w:rPr>
        <w:t> </w:t>
      </w:r>
      <w:r w:rsidR="001723EF" w:rsidRPr="0018093C">
        <w:rPr>
          <w:rFonts w:ascii="Times New Roman" w:hAnsi="Times New Roman"/>
          <w:snapToGrid w:val="0"/>
          <w:lang w:eastAsia="en-US"/>
        </w:rPr>
        <w:t xml:space="preserve">Hill arrives at a </w:t>
      </w:r>
      <w:r w:rsidRPr="0018093C">
        <w:rPr>
          <w:rFonts w:ascii="Times New Roman" w:hAnsi="Times New Roman"/>
          <w:snapToGrid w:val="0"/>
          <w:lang w:eastAsia="en-US"/>
        </w:rPr>
        <w:t xml:space="preserve">DCF </w:t>
      </w:r>
      <w:r w:rsidR="001723EF" w:rsidRPr="0018093C">
        <w:rPr>
          <w:rFonts w:ascii="Times New Roman" w:hAnsi="Times New Roman"/>
          <w:snapToGrid w:val="0"/>
          <w:lang w:eastAsia="en-US"/>
        </w:rPr>
        <w:t>benchmark growth rate forecast of 4.25% for</w:t>
      </w:r>
      <w:r w:rsidR="00253D0E" w:rsidRPr="0018093C">
        <w:rPr>
          <w:rFonts w:ascii="Times New Roman" w:hAnsi="Times New Roman"/>
          <w:snapToGrid w:val="0"/>
          <w:lang w:eastAsia="en-US"/>
        </w:rPr>
        <w:t xml:space="preserve"> Southern</w:t>
      </w:r>
      <w:r w:rsidRPr="0018093C">
        <w:rPr>
          <w:rFonts w:ascii="Times New Roman" w:hAnsi="Times New Roman"/>
          <w:snapToGrid w:val="0"/>
          <w:lang w:eastAsia="en-US"/>
        </w:rPr>
        <w:t>?</w:t>
      </w:r>
    </w:p>
    <w:p w14:paraId="3B4AD34F" w14:textId="77777777" w:rsidR="001723EF"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As shown on </w:t>
      </w:r>
      <w:r w:rsidR="00253D0E" w:rsidRPr="0018093C">
        <w:rPr>
          <w:rFonts w:ascii="Times New Roman" w:hAnsi="Times New Roman"/>
          <w:snapToGrid w:val="0"/>
          <w:lang w:eastAsia="en-US"/>
        </w:rPr>
        <w:t xml:space="preserve">Table 2 above, </w:t>
      </w:r>
      <w:r w:rsidRPr="0018093C">
        <w:rPr>
          <w:rFonts w:ascii="Times New Roman" w:hAnsi="Times New Roman"/>
          <w:snapToGrid w:val="0"/>
          <w:lang w:eastAsia="en-US"/>
        </w:rPr>
        <w:t xml:space="preserve">the fifteen growth rates </w:t>
      </w:r>
      <w:r w:rsidR="00253D0E" w:rsidRPr="0018093C">
        <w:rPr>
          <w:rFonts w:ascii="Times New Roman" w:hAnsi="Times New Roman"/>
          <w:snapToGrid w:val="0"/>
          <w:lang w:eastAsia="en-US"/>
        </w:rPr>
        <w:t xml:space="preserve">provided by Mr. Hill </w:t>
      </w:r>
      <w:r w:rsidRPr="0018093C">
        <w:rPr>
          <w:rFonts w:ascii="Times New Roman" w:hAnsi="Times New Roman"/>
          <w:snapToGrid w:val="0"/>
          <w:lang w:eastAsia="en-US"/>
        </w:rPr>
        <w:t xml:space="preserve">for </w:t>
      </w:r>
      <w:r w:rsidR="00253D0E" w:rsidRPr="0018093C">
        <w:rPr>
          <w:rFonts w:ascii="Times New Roman" w:hAnsi="Times New Roman"/>
          <w:snapToGrid w:val="0"/>
          <w:lang w:eastAsia="en-US"/>
        </w:rPr>
        <w:t xml:space="preserve">Southern </w:t>
      </w:r>
      <w:r w:rsidRPr="0018093C">
        <w:rPr>
          <w:rFonts w:ascii="Times New Roman" w:hAnsi="Times New Roman"/>
          <w:snapToGrid w:val="0"/>
          <w:lang w:eastAsia="en-US"/>
        </w:rPr>
        <w:t>range from 3.0% to 5.5%</w:t>
      </w:r>
      <w:r w:rsidR="00253D0E" w:rsidRPr="0018093C">
        <w:rPr>
          <w:rFonts w:ascii="Times New Roman" w:hAnsi="Times New Roman"/>
          <w:snapToGrid w:val="0"/>
          <w:lang w:eastAsia="en-US"/>
        </w:rPr>
        <w:t>,</w:t>
      </w:r>
      <w:r w:rsidRPr="0018093C">
        <w:rPr>
          <w:rFonts w:ascii="Times New Roman" w:hAnsi="Times New Roman"/>
          <w:snapToGrid w:val="0"/>
          <w:lang w:eastAsia="en-US"/>
        </w:rPr>
        <w:t xml:space="preserve"> with an average of 4.1% and a median of </w:t>
      </w:r>
      <w:r w:rsidRPr="0018093C">
        <w:rPr>
          <w:rFonts w:ascii="Times New Roman" w:hAnsi="Times New Roman"/>
          <w:snapToGrid w:val="0"/>
          <w:lang w:eastAsia="en-US"/>
        </w:rPr>
        <w:lastRenderedPageBreak/>
        <w:t>4.0%.</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I was unable to replicate or decipher how Mr.</w:t>
      </w:r>
      <w:r w:rsidR="00253D0E" w:rsidRPr="0018093C">
        <w:rPr>
          <w:rFonts w:ascii="Times New Roman" w:hAnsi="Times New Roman"/>
          <w:snapToGrid w:val="0"/>
          <w:lang w:eastAsia="en-US"/>
        </w:rPr>
        <w:t> </w:t>
      </w:r>
      <w:r w:rsidRPr="0018093C">
        <w:rPr>
          <w:rFonts w:ascii="Times New Roman" w:hAnsi="Times New Roman"/>
          <w:snapToGrid w:val="0"/>
          <w:lang w:eastAsia="en-US"/>
        </w:rPr>
        <w:t>Hill arrived at a 4.25% growth rate forecast from this vast list of growth rates.</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was even more confused when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states that the simple five-year average sustainable growth value of 3.28% for </w:t>
      </w:r>
      <w:r w:rsidR="00253D0E" w:rsidRPr="0018093C">
        <w:rPr>
          <w:rFonts w:ascii="Times New Roman" w:hAnsi="Times New Roman"/>
          <w:snapToGrid w:val="0"/>
          <w:lang w:eastAsia="en-US"/>
        </w:rPr>
        <w:t xml:space="preserve">Southern </w:t>
      </w:r>
      <w:r w:rsidR="00942E42" w:rsidRPr="0018093C">
        <w:rPr>
          <w:rFonts w:ascii="Times New Roman" w:hAnsi="Times New Roman"/>
          <w:snapToGrid w:val="0"/>
          <w:lang w:eastAsia="en-US"/>
        </w:rPr>
        <w:t>“</w:t>
      </w:r>
      <w:r w:rsidR="00253D0E" w:rsidRPr="0018093C">
        <w:rPr>
          <w:rFonts w:ascii="Times New Roman" w:hAnsi="Times New Roman"/>
          <w:i/>
          <w:snapToGrid w:val="0"/>
          <w:lang w:eastAsia="en-US"/>
        </w:rPr>
        <w:t>is used as a benchmark against which I measure the company</w:t>
      </w:r>
      <w:r w:rsidR="00942E42" w:rsidRPr="0018093C">
        <w:rPr>
          <w:rFonts w:ascii="Times New Roman" w:hAnsi="Times New Roman"/>
          <w:i/>
          <w:snapToGrid w:val="0"/>
          <w:lang w:eastAsia="en-US"/>
        </w:rPr>
        <w:t>’</w:t>
      </w:r>
      <w:r w:rsidR="00253D0E" w:rsidRPr="0018093C">
        <w:rPr>
          <w:rFonts w:ascii="Times New Roman" w:hAnsi="Times New Roman"/>
          <w:i/>
          <w:snapToGrid w:val="0"/>
          <w:lang w:eastAsia="en-US"/>
        </w:rPr>
        <w:t>s most recent growth rate trends</w:t>
      </w:r>
      <w:r w:rsidR="00253D0E" w:rsidRPr="0018093C">
        <w:rPr>
          <w:rFonts w:ascii="Times New Roman" w:hAnsi="Times New Roman"/>
          <w:snapToGrid w:val="0"/>
          <w:lang w:eastAsia="en-US"/>
        </w:rPr>
        <w:t>.</w:t>
      </w:r>
      <w:r w:rsidR="00942E42" w:rsidRPr="0018093C">
        <w:rPr>
          <w:rFonts w:ascii="Times New Roman" w:hAnsi="Times New Roman"/>
          <w:snapToGrid w:val="0"/>
          <w:lang w:eastAsia="en-US"/>
        </w:rPr>
        <w:t>”</w:t>
      </w:r>
      <w:r w:rsidR="00253D0E" w:rsidRPr="0018093C">
        <w:rPr>
          <w:rStyle w:val="FootnoteReference"/>
          <w:rFonts w:ascii="Times New Roman" w:hAnsi="Times New Roman"/>
          <w:snapToGrid w:val="0"/>
          <w:lang w:eastAsia="en-US"/>
        </w:rPr>
        <w:footnoteReference w:id="30"/>
      </w:r>
      <w:r w:rsidR="00A5324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It is not clear how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went from a benchmark </w:t>
      </w:r>
      <w:r w:rsidR="00A53244" w:rsidRPr="0018093C">
        <w:rPr>
          <w:rFonts w:ascii="Times New Roman" w:hAnsi="Times New Roman"/>
          <w:snapToGrid w:val="0"/>
          <w:lang w:eastAsia="en-US"/>
        </w:rPr>
        <w:t xml:space="preserve">growth rate for Southern </w:t>
      </w:r>
      <w:r w:rsidRPr="0018093C">
        <w:rPr>
          <w:rFonts w:ascii="Times New Roman" w:hAnsi="Times New Roman"/>
          <w:snapToGrid w:val="0"/>
          <w:lang w:eastAsia="en-US"/>
        </w:rPr>
        <w:t xml:space="preserve">of 3.28% to a final estimate </w:t>
      </w:r>
      <w:r w:rsidR="00A53244" w:rsidRPr="0018093C">
        <w:rPr>
          <w:rFonts w:ascii="Times New Roman" w:hAnsi="Times New Roman"/>
          <w:snapToGrid w:val="0"/>
          <w:lang w:eastAsia="en-US"/>
        </w:rPr>
        <w:t xml:space="preserve">growth rate for Southern </w:t>
      </w:r>
      <w:r w:rsidRPr="0018093C">
        <w:rPr>
          <w:rFonts w:ascii="Times New Roman" w:hAnsi="Times New Roman"/>
          <w:snapToGrid w:val="0"/>
          <w:lang w:eastAsia="en-US"/>
        </w:rPr>
        <w:t xml:space="preserve">of 4.25% </w:t>
      </w:r>
      <w:r w:rsidR="00A53244" w:rsidRPr="0018093C">
        <w:rPr>
          <w:rFonts w:ascii="Times New Roman" w:hAnsi="Times New Roman"/>
          <w:snapToGrid w:val="0"/>
          <w:lang w:eastAsia="en-US"/>
        </w:rPr>
        <w:t>(</w:t>
      </w:r>
      <w:r w:rsidRPr="0018093C">
        <w:rPr>
          <w:rFonts w:ascii="Times New Roman" w:hAnsi="Times New Roman"/>
          <w:snapToGrid w:val="0"/>
          <w:lang w:eastAsia="en-US"/>
        </w:rPr>
        <w:t>without growth from external financing</w:t>
      </w:r>
      <w:r w:rsidR="00A53244" w:rsidRPr="0018093C">
        <w:rPr>
          <w:rFonts w:ascii="Times New Roman" w:hAnsi="Times New Roman"/>
          <w:snapToGrid w:val="0"/>
          <w:lang w:eastAsia="en-US"/>
        </w:rPr>
        <w:t>)</w:t>
      </w:r>
      <w:r w:rsidRPr="0018093C">
        <w:rPr>
          <w:rFonts w:ascii="Times New Roman" w:hAnsi="Times New Roman"/>
          <w:snapToGrid w:val="0"/>
          <w:lang w:eastAsia="en-US"/>
        </w:rPr>
        <w:t xml:space="preserve"> and eventually 5.02% </w:t>
      </w:r>
      <w:r w:rsidR="00A53244" w:rsidRPr="0018093C">
        <w:rPr>
          <w:rFonts w:ascii="Times New Roman" w:hAnsi="Times New Roman"/>
          <w:snapToGrid w:val="0"/>
          <w:lang w:eastAsia="en-US"/>
        </w:rPr>
        <w:t>(</w:t>
      </w:r>
      <w:r w:rsidRPr="0018093C">
        <w:rPr>
          <w:rFonts w:ascii="Times New Roman" w:hAnsi="Times New Roman"/>
          <w:snapToGrid w:val="0"/>
          <w:lang w:eastAsia="en-US"/>
        </w:rPr>
        <w:t xml:space="preserve">including </w:t>
      </w:r>
      <w:r w:rsidR="001723EF" w:rsidRPr="0018093C">
        <w:rPr>
          <w:rFonts w:ascii="Times New Roman" w:hAnsi="Times New Roman"/>
          <w:snapToGrid w:val="0"/>
          <w:lang w:eastAsia="en-US"/>
        </w:rPr>
        <w:t>growth from external financing</w:t>
      </w:r>
      <w:r w:rsidR="00A53244" w:rsidRPr="0018093C">
        <w:rPr>
          <w:rFonts w:ascii="Times New Roman" w:hAnsi="Times New Roman"/>
          <w:snapToGrid w:val="0"/>
          <w:lang w:eastAsia="en-US"/>
        </w:rPr>
        <w:t>)</w:t>
      </w:r>
      <w:r w:rsidR="001723EF" w:rsidRPr="0018093C">
        <w:rPr>
          <w:rFonts w:ascii="Times New Roman" w:hAnsi="Times New Roman"/>
          <w:snapToGrid w:val="0"/>
          <w:lang w:eastAsia="en-US"/>
        </w:rPr>
        <w:t>.</w:t>
      </w:r>
    </w:p>
    <w:p w14:paraId="409943C2" w14:textId="77777777" w:rsidR="003E40B8" w:rsidRPr="0018093C" w:rsidRDefault="003E40B8" w:rsidP="001723EF">
      <w:pPr>
        <w:pStyle w:val="answer"/>
        <w:ind w:firstLine="0"/>
        <w:rPr>
          <w:rFonts w:ascii="Times New Roman" w:hAnsi="Times New Roman"/>
          <w:snapToGrid w:val="0"/>
          <w:lang w:eastAsia="en-US"/>
        </w:rPr>
      </w:pPr>
      <w:r w:rsidRPr="0018093C">
        <w:rPr>
          <w:rFonts w:ascii="Times New Roman" w:hAnsi="Times New Roman"/>
          <w:snapToGrid w:val="0"/>
          <w:lang w:eastAsia="en-US"/>
        </w:rPr>
        <w:t>In short, from a vast array of fifteen growth estimates for each company, Mr.</w:t>
      </w:r>
      <w:r w:rsidR="00A53244" w:rsidRPr="0018093C">
        <w:rPr>
          <w:rFonts w:ascii="Times New Roman" w:hAnsi="Times New Roman"/>
          <w:snapToGrid w:val="0"/>
          <w:lang w:eastAsia="en-US"/>
        </w:rPr>
        <w:t> </w:t>
      </w:r>
      <w:r w:rsidRPr="0018093C">
        <w:rPr>
          <w:rFonts w:ascii="Times New Roman" w:hAnsi="Times New Roman"/>
          <w:snapToGrid w:val="0"/>
          <w:lang w:eastAsia="en-US"/>
        </w:rPr>
        <w:t>Hill arbitrarily selects a growth rate with little quantitative support or academic empirical evidence as to the optimal grow</w:t>
      </w:r>
      <w:r w:rsidR="00A53244" w:rsidRPr="0018093C">
        <w:rPr>
          <w:rFonts w:ascii="Times New Roman" w:hAnsi="Times New Roman"/>
          <w:snapToGrid w:val="0"/>
          <w:lang w:eastAsia="en-US"/>
        </w:rPr>
        <w:t>th rate proxy in the DCF model.</w:t>
      </w:r>
    </w:p>
    <w:p w14:paraId="52C93CF2"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723EF" w:rsidRPr="0018093C">
        <w:rPr>
          <w:rFonts w:ascii="Times New Roman" w:hAnsi="Times New Roman"/>
          <w:snapToGrid w:val="0"/>
          <w:lang w:eastAsia="en-US"/>
        </w:rPr>
        <w:t xml:space="preserve">Were you able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1723EF" w:rsidRPr="0018093C">
        <w:rPr>
          <w:rFonts w:ascii="Times New Roman" w:hAnsi="Times New Roman"/>
          <w:snapToGrid w:val="0"/>
          <w:lang w:eastAsia="en-US"/>
        </w:rPr>
        <w:t xml:space="preserve">s growth rate forecasts for any of the companies contained in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1723EF" w:rsidRPr="0018093C">
        <w:rPr>
          <w:rFonts w:ascii="Times New Roman" w:hAnsi="Times New Roman"/>
          <w:snapToGrid w:val="0"/>
          <w:lang w:eastAsia="en-US"/>
        </w:rPr>
        <w:t>s sample</w:t>
      </w:r>
      <w:r w:rsidRPr="0018093C">
        <w:rPr>
          <w:rFonts w:ascii="Times New Roman" w:hAnsi="Times New Roman"/>
          <w:snapToGrid w:val="0"/>
          <w:lang w:eastAsia="en-US"/>
        </w:rPr>
        <w:t>?</w:t>
      </w:r>
    </w:p>
    <w:p w14:paraId="0D33F718" w14:textId="77777777" w:rsidR="001723EF"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I was unable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final choice of growth rate estimates of any utility in Mr.</w:t>
      </w:r>
      <w:r w:rsidR="00A5324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sample of electric utilities from the vast array of growth rate estimates provided in </w:t>
      </w:r>
      <w:r w:rsidR="00A53244" w:rsidRPr="0018093C">
        <w:rPr>
          <w:rFonts w:ascii="Times New Roman" w:hAnsi="Times New Roman"/>
          <w:snapToGrid w:val="0"/>
          <w:lang w:eastAsia="en-US"/>
        </w:rPr>
        <w:t>Exhibit No. ___(SGH-5), Exhibit No. ___(SGH-6), and Exhibit No. ___(SGH-10)</w:t>
      </w:r>
      <w:r w:rsidRPr="0018093C">
        <w:rPr>
          <w:rFonts w:ascii="Times New Roman" w:hAnsi="Times New Roman"/>
          <w:snapToGrid w:val="0"/>
          <w:lang w:eastAsia="en-US"/>
        </w:rPr>
        <w:t xml:space="preserve">.  The </w:t>
      </w:r>
      <w:r w:rsidR="00A53244" w:rsidRPr="0018093C">
        <w:rPr>
          <w:rFonts w:ascii="Times New Roman" w:hAnsi="Times New Roman"/>
          <w:snapToGrid w:val="0"/>
          <w:lang w:eastAsia="en-US"/>
        </w:rPr>
        <w:t xml:space="preserve">final </w:t>
      </w:r>
      <w:r w:rsidRPr="0018093C">
        <w:rPr>
          <w:rFonts w:ascii="Times New Roman" w:hAnsi="Times New Roman"/>
          <w:snapToGrid w:val="0"/>
          <w:lang w:eastAsia="en-US"/>
        </w:rPr>
        <w:t xml:space="preserve">growth </w:t>
      </w:r>
      <w:r w:rsidR="00A53244" w:rsidRPr="0018093C">
        <w:rPr>
          <w:rFonts w:ascii="Times New Roman" w:hAnsi="Times New Roman"/>
          <w:snapToGrid w:val="0"/>
          <w:lang w:eastAsia="en-US"/>
        </w:rPr>
        <w:t xml:space="preserve">rate </w:t>
      </w:r>
      <w:r w:rsidRPr="0018093C">
        <w:rPr>
          <w:rFonts w:ascii="Times New Roman" w:hAnsi="Times New Roman"/>
          <w:snapToGrid w:val="0"/>
          <w:lang w:eastAsia="en-US"/>
        </w:rPr>
        <w:t xml:space="preserve">estimates </w:t>
      </w:r>
      <w:r w:rsidR="00A53244" w:rsidRPr="0018093C">
        <w:rPr>
          <w:rFonts w:ascii="Times New Roman" w:hAnsi="Times New Roman"/>
          <w:snapToGrid w:val="0"/>
          <w:lang w:eastAsia="en-US"/>
        </w:rPr>
        <w:t xml:space="preserve">selected by Mr. Hill </w:t>
      </w:r>
      <w:r w:rsidRPr="0018093C">
        <w:rPr>
          <w:rFonts w:ascii="Times New Roman" w:hAnsi="Times New Roman"/>
          <w:snapToGrid w:val="0"/>
          <w:lang w:eastAsia="en-US"/>
        </w:rPr>
        <w:t>simply appear without scientific foundation, derivation or ability to be replicated.</w:t>
      </w:r>
    </w:p>
    <w:p w14:paraId="1D9B0BC4" w14:textId="77777777" w:rsidR="003E40B8" w:rsidRPr="0018093C" w:rsidRDefault="003E40B8" w:rsidP="001723EF">
      <w:pPr>
        <w:pStyle w:val="answer"/>
        <w:ind w:firstLine="0"/>
        <w:rPr>
          <w:rFonts w:ascii="Times New Roman" w:hAnsi="Times New Roman"/>
          <w:snapToGrid w:val="0"/>
          <w:lang w:eastAsia="en-US"/>
        </w:rPr>
      </w:pPr>
      <w:r w:rsidRPr="0018093C">
        <w:rPr>
          <w:rFonts w:ascii="Times New Roman" w:hAnsi="Times New Roman"/>
          <w:snapToGrid w:val="0"/>
          <w:lang w:eastAsia="en-US"/>
        </w:rPr>
        <w:t>The choice of optimal growth rate proxy should be guided by objective scientific research and be easily reproducible, unlike Mr.</w:t>
      </w:r>
      <w:r w:rsidR="00A5324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growth proxies.  Moreover, the empirical finance literature shows that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 produce </w:t>
      </w:r>
      <w:r w:rsidRPr="0018093C">
        <w:rPr>
          <w:rFonts w:ascii="Times New Roman" w:hAnsi="Times New Roman"/>
          <w:snapToGrid w:val="0"/>
          <w:lang w:eastAsia="en-US"/>
        </w:rPr>
        <w:lastRenderedPageBreak/>
        <w:t>superior proxies for the expected growth term in the DCF model.</w:t>
      </w:r>
      <w:r w:rsidR="00A53244" w:rsidRPr="0018093C">
        <w:rPr>
          <w:rStyle w:val="FootnoteReference"/>
          <w:rFonts w:ascii="Times New Roman" w:hAnsi="Times New Roman"/>
          <w:snapToGrid w:val="0"/>
          <w:lang w:eastAsia="en-US"/>
        </w:rPr>
        <w:footnoteReference w:id="31"/>
      </w:r>
      <w:r w:rsidRPr="0018093C">
        <w:rPr>
          <w:rFonts w:ascii="Times New Roman" w:hAnsi="Times New Roman"/>
          <w:snapToGrid w:val="0"/>
          <w:lang w:eastAsia="en-US"/>
        </w:rPr>
        <w:t xml:space="preserve">  These forecasts influence investor expectations and are appropriate to consider here.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shotgun approach to growth rates, on the other hand, is unreliable and arbitrary.</w:t>
      </w:r>
    </w:p>
    <w:p w14:paraId="601F32F2" w14:textId="77777777" w:rsidR="003E40B8" w:rsidRPr="0018093C" w:rsidRDefault="0010342F" w:rsidP="00D64DC2">
      <w:pPr>
        <w:pStyle w:val="Heading4"/>
      </w:pPr>
      <w:bookmarkStart w:id="11" w:name="_Toc406751103"/>
      <w:r w:rsidRPr="0018093C">
        <w:t>b</w:t>
      </w:r>
      <w:r w:rsidR="003E40B8" w:rsidRPr="0018093C">
        <w:t>.</w:t>
      </w:r>
      <w:r w:rsidR="003E40B8" w:rsidRPr="0018093C">
        <w:tab/>
      </w:r>
      <w:r w:rsidR="001723EF" w:rsidRPr="0018093C">
        <w:t>Mr.</w:t>
      </w:r>
      <w:r w:rsidR="00F15E6A" w:rsidRPr="0018093C">
        <w:t> </w:t>
      </w:r>
      <w:r w:rsidR="001723EF" w:rsidRPr="0018093C">
        <w:t xml:space="preserve">Hill Relies on the </w:t>
      </w:r>
      <w:r w:rsidR="00EB46C0" w:rsidRPr="0018093C">
        <w:t>Sustainable</w:t>
      </w:r>
      <w:r w:rsidR="001723EF" w:rsidRPr="0018093C">
        <w:t xml:space="preserve"> Growth Methodology in the DCF Analysis Whereby He is Forced to Assume the Answer to Implement the Method</w:t>
      </w:r>
      <w:r w:rsidR="008A0770" w:rsidRPr="0018093C">
        <w:t>ology</w:t>
      </w:r>
      <w:r w:rsidR="001723EF" w:rsidRPr="0018093C">
        <w:t>.</w:t>
      </w:r>
      <w:bookmarkEnd w:id="11"/>
    </w:p>
    <w:p w14:paraId="27F25877"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723EF" w:rsidRPr="0018093C">
        <w:rPr>
          <w:rFonts w:ascii="Times New Roman" w:hAnsi="Times New Roman"/>
          <w:snapToGrid w:val="0"/>
          <w:lang w:eastAsia="en-US"/>
        </w:rPr>
        <w:t>What is the</w:t>
      </w:r>
      <w:r w:rsidR="00904971" w:rsidRPr="0018093C">
        <w:rPr>
          <w:rFonts w:ascii="Times New Roman" w:hAnsi="Times New Roman"/>
          <w:snapToGrid w:val="0"/>
          <w:lang w:eastAsia="en-US"/>
        </w:rPr>
        <w:t xml:space="preserve"> sustainable</w:t>
      </w:r>
      <w:r w:rsidR="001723EF" w:rsidRPr="0018093C">
        <w:rPr>
          <w:rFonts w:ascii="Times New Roman" w:hAnsi="Times New Roman"/>
          <w:snapToGrid w:val="0"/>
          <w:lang w:eastAsia="en-US"/>
        </w:rPr>
        <w:t xml:space="preserve"> (a.k.a. internal or </w:t>
      </w:r>
      <w:r w:rsidR="00904971" w:rsidRPr="0018093C">
        <w:rPr>
          <w:rFonts w:ascii="Times New Roman" w:hAnsi="Times New Roman"/>
          <w:snapToGrid w:val="0"/>
          <w:lang w:eastAsia="en-US"/>
        </w:rPr>
        <w:t>retention</w:t>
      </w:r>
      <w:r w:rsidR="001723EF" w:rsidRPr="0018093C">
        <w:rPr>
          <w:rFonts w:ascii="Times New Roman" w:hAnsi="Times New Roman"/>
          <w:snapToGrid w:val="0"/>
          <w:lang w:eastAsia="en-US"/>
        </w:rPr>
        <w:t xml:space="preserve">) growth </w:t>
      </w:r>
      <w:r w:rsidR="00EB46C0" w:rsidRPr="0018093C">
        <w:rPr>
          <w:rFonts w:ascii="Times New Roman" w:hAnsi="Times New Roman"/>
          <w:snapToGrid w:val="0"/>
          <w:lang w:eastAsia="en-US"/>
        </w:rPr>
        <w:t xml:space="preserve">methodology </w:t>
      </w:r>
      <w:r w:rsidR="001723EF" w:rsidRPr="0018093C">
        <w:rPr>
          <w:rFonts w:ascii="Times New Roman" w:hAnsi="Times New Roman"/>
          <w:snapToGrid w:val="0"/>
          <w:lang w:eastAsia="en-US"/>
        </w:rPr>
        <w:t>used by Mr.</w:t>
      </w:r>
      <w:r w:rsidR="00F15E6A" w:rsidRPr="0018093C">
        <w:rPr>
          <w:rFonts w:ascii="Times New Roman" w:hAnsi="Times New Roman"/>
          <w:snapToGrid w:val="0"/>
          <w:lang w:eastAsia="en-US"/>
        </w:rPr>
        <w:t> </w:t>
      </w:r>
      <w:r w:rsidR="001723EF" w:rsidRPr="0018093C">
        <w:rPr>
          <w:rFonts w:ascii="Times New Roman" w:hAnsi="Times New Roman"/>
          <w:snapToGrid w:val="0"/>
          <w:lang w:eastAsia="en-US"/>
        </w:rPr>
        <w:t>Hill to implement the DCF model</w:t>
      </w:r>
      <w:r w:rsidRPr="0018093C">
        <w:rPr>
          <w:rFonts w:ascii="Times New Roman" w:hAnsi="Times New Roman"/>
          <w:snapToGrid w:val="0"/>
          <w:lang w:eastAsia="en-US"/>
        </w:rPr>
        <w:t>?</w:t>
      </w:r>
    </w:p>
    <w:p w14:paraId="17388BF3"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F15E6A" w:rsidRPr="0018093C">
        <w:rPr>
          <w:rFonts w:ascii="Times New Roman" w:hAnsi="Times New Roman"/>
          <w:snapToGrid w:val="0"/>
          <w:lang w:eastAsia="en-US"/>
        </w:rPr>
        <w:t> </w:t>
      </w:r>
      <w:r w:rsidRPr="0018093C">
        <w:rPr>
          <w:rFonts w:ascii="Times New Roman" w:hAnsi="Times New Roman"/>
          <w:snapToGrid w:val="0"/>
          <w:lang w:eastAsia="en-US"/>
        </w:rPr>
        <w:t xml:space="preserve">Hill relies heavily on the </w:t>
      </w:r>
      <w:r w:rsidR="00904971"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 xml:space="preserve">methodology </w:t>
      </w:r>
      <w:r w:rsidRPr="0018093C">
        <w:rPr>
          <w:rFonts w:ascii="Times New Roman" w:hAnsi="Times New Roman"/>
          <w:snapToGrid w:val="0"/>
          <w:lang w:eastAsia="en-US"/>
        </w:rPr>
        <w:t>in order to arrive at his growth estimates in the DCF analysis.</w:t>
      </w:r>
      <w:r w:rsidR="00F15E6A" w:rsidRPr="0018093C">
        <w:rPr>
          <w:rStyle w:val="FootnoteReference"/>
          <w:rFonts w:ascii="Times New Roman" w:hAnsi="Times New Roman"/>
          <w:snapToGrid w:val="0"/>
          <w:lang w:eastAsia="en-US"/>
        </w:rPr>
        <w:footnoteReference w:id="32"/>
      </w:r>
      <w:r w:rsidRPr="0018093C">
        <w:rPr>
          <w:rFonts w:ascii="Times New Roman" w:hAnsi="Times New Roman"/>
          <w:snapToGrid w:val="0"/>
          <w:lang w:eastAsia="en-US"/>
        </w:rPr>
        <w:t xml:space="preserve">  The growth rate forecast using this method</w:t>
      </w:r>
      <w:r w:rsidR="008A0770" w:rsidRPr="0018093C">
        <w:rPr>
          <w:rFonts w:ascii="Times New Roman" w:hAnsi="Times New Roman"/>
          <w:snapToGrid w:val="0"/>
          <w:lang w:eastAsia="en-US"/>
        </w:rPr>
        <w:t>ology</w:t>
      </w:r>
      <w:r w:rsidRPr="0018093C">
        <w:rPr>
          <w:rFonts w:ascii="Times New Roman" w:hAnsi="Times New Roman"/>
          <w:snapToGrid w:val="0"/>
          <w:lang w:eastAsia="en-US"/>
        </w:rPr>
        <w:t xml:space="preserve"> is based on the equation g = b(ROE), where </w:t>
      </w:r>
      <w:r w:rsidR="00942E42" w:rsidRPr="0018093C">
        <w:rPr>
          <w:rFonts w:ascii="Times New Roman" w:hAnsi="Times New Roman"/>
          <w:snapToGrid w:val="0"/>
          <w:lang w:eastAsia="en-US"/>
        </w:rPr>
        <w:t>“</w:t>
      </w:r>
      <w:r w:rsidRPr="0018093C">
        <w:rPr>
          <w:rFonts w:ascii="Times New Roman" w:hAnsi="Times New Roman"/>
          <w:snapToGrid w:val="0"/>
          <w:lang w:eastAsia="en-US"/>
        </w:rPr>
        <w:t>b</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is the percentage of earnings retained and </w:t>
      </w:r>
      <w:r w:rsidR="00942E42" w:rsidRPr="0018093C">
        <w:rPr>
          <w:rFonts w:ascii="Times New Roman" w:hAnsi="Times New Roman"/>
          <w:snapToGrid w:val="0"/>
          <w:lang w:eastAsia="en-US"/>
        </w:rPr>
        <w:t>“</w:t>
      </w:r>
      <w:r w:rsidRPr="0018093C">
        <w:rPr>
          <w:rFonts w:ascii="Times New Roman" w:hAnsi="Times New Roman"/>
          <w:snapToGrid w:val="0"/>
          <w:lang w:eastAsia="en-US"/>
        </w:rPr>
        <w:t>ROE</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is the expected rate of return on book equity (ROE).</w:t>
      </w:r>
      <w:r w:rsidR="00F15E6A" w:rsidRPr="0018093C">
        <w:rPr>
          <w:rStyle w:val="FootnoteReference"/>
          <w:rFonts w:ascii="Times New Roman" w:hAnsi="Times New Roman"/>
          <w:snapToGrid w:val="0"/>
          <w:lang w:eastAsia="en-US"/>
        </w:rPr>
        <w:footnoteReference w:id="33"/>
      </w:r>
      <w:r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also accounts for the impact of external stock financing on growth by adding an external growth term (g = sv).</w:t>
      </w:r>
      <w:r w:rsidR="00F15E6A" w:rsidRPr="0018093C">
        <w:rPr>
          <w:rStyle w:val="FootnoteReference"/>
          <w:rFonts w:ascii="Times New Roman" w:hAnsi="Times New Roman"/>
          <w:snapToGrid w:val="0"/>
          <w:lang w:eastAsia="en-US"/>
        </w:rPr>
        <w:footnoteReference w:id="34"/>
      </w:r>
    </w:p>
    <w:p w14:paraId="6F5D9E06"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70583" w:rsidRPr="0018093C">
        <w:rPr>
          <w:rFonts w:ascii="Times New Roman" w:hAnsi="Times New Roman"/>
          <w:snapToGrid w:val="0"/>
          <w:lang w:eastAsia="en-US"/>
        </w:rPr>
        <w:t>Please comment on Mr.</w:t>
      </w:r>
      <w:r w:rsidR="00F15E6A" w:rsidRPr="0018093C">
        <w:rPr>
          <w:rFonts w:ascii="Times New Roman" w:hAnsi="Times New Roman"/>
          <w:snapToGrid w:val="0"/>
          <w:lang w:eastAsia="en-US"/>
        </w:rPr>
        <w:t> </w:t>
      </w:r>
      <w:r w:rsidR="00370583"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70583" w:rsidRPr="0018093C">
        <w:rPr>
          <w:rFonts w:ascii="Times New Roman" w:hAnsi="Times New Roman"/>
          <w:snapToGrid w:val="0"/>
          <w:lang w:eastAsia="en-US"/>
        </w:rPr>
        <w:t xml:space="preserve">s </w:t>
      </w:r>
      <w:r w:rsidR="00904971" w:rsidRPr="0018093C">
        <w:rPr>
          <w:rFonts w:ascii="Times New Roman" w:hAnsi="Times New Roman"/>
          <w:snapToGrid w:val="0"/>
          <w:lang w:eastAsia="en-US"/>
        </w:rPr>
        <w:t xml:space="preserve">sustainable </w:t>
      </w:r>
      <w:r w:rsidR="00370583" w:rsidRPr="0018093C">
        <w:rPr>
          <w:rFonts w:ascii="Times New Roman" w:hAnsi="Times New Roman"/>
          <w:snapToGrid w:val="0"/>
          <w:lang w:eastAsia="en-US"/>
        </w:rPr>
        <w:t>growth methodology.</w:t>
      </w:r>
    </w:p>
    <w:p w14:paraId="75844795" w14:textId="77777777" w:rsidR="00904971"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I disagree with the </w:t>
      </w:r>
      <w:r w:rsidR="00904971"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904971" w:rsidRPr="0018093C">
        <w:rPr>
          <w:rFonts w:ascii="Times New Roman" w:hAnsi="Times New Roman"/>
          <w:snapToGrid w:val="0"/>
          <w:lang w:eastAsia="en-US"/>
        </w:rPr>
        <w:t xml:space="preserve">methodology </w:t>
      </w:r>
      <w:r w:rsidRPr="0018093C">
        <w:rPr>
          <w:rFonts w:ascii="Times New Roman" w:hAnsi="Times New Roman"/>
          <w:snapToGrid w:val="0"/>
          <w:lang w:eastAsia="en-US"/>
        </w:rPr>
        <w:t xml:space="preserve">for </w:t>
      </w:r>
      <w:r w:rsidR="00904971" w:rsidRPr="0018093C">
        <w:rPr>
          <w:rFonts w:ascii="Times New Roman" w:hAnsi="Times New Roman"/>
          <w:snapToGrid w:val="0"/>
          <w:lang w:eastAsia="en-US"/>
        </w:rPr>
        <w:t xml:space="preserve">the following </w:t>
      </w:r>
      <w:r w:rsidRPr="0018093C">
        <w:rPr>
          <w:rFonts w:ascii="Times New Roman" w:hAnsi="Times New Roman"/>
          <w:snapToGrid w:val="0"/>
          <w:lang w:eastAsia="en-US"/>
        </w:rPr>
        <w:t>four reasons:</w:t>
      </w:r>
    </w:p>
    <w:p w14:paraId="6EBB259F" w14:textId="77777777" w:rsidR="001F1031" w:rsidRPr="0018093C" w:rsidRDefault="00904971"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r>
      <w:r w:rsidR="003E40B8" w:rsidRPr="0018093C">
        <w:rPr>
          <w:rFonts w:ascii="Times New Roman" w:hAnsi="Times New Roman"/>
          <w:snapToGrid w:val="0"/>
          <w:lang w:eastAsia="en-US"/>
        </w:rPr>
        <w:t xml:space="preserve">the </w:t>
      </w:r>
      <w:r w:rsidRPr="0018093C">
        <w:rPr>
          <w:rFonts w:ascii="Times New Roman" w:hAnsi="Times New Roman"/>
          <w:snapToGrid w:val="0"/>
          <w:lang w:eastAsia="en-US"/>
        </w:rPr>
        <w:t xml:space="preserve">sustainable growth methodology </w:t>
      </w:r>
      <w:r w:rsidR="003E40B8" w:rsidRPr="0018093C">
        <w:rPr>
          <w:rFonts w:ascii="Times New Roman" w:hAnsi="Times New Roman"/>
          <w:snapToGrid w:val="0"/>
          <w:lang w:eastAsia="en-US"/>
        </w:rPr>
        <w:t>is logically circular</w:t>
      </w:r>
      <w:r w:rsidR="001F1031" w:rsidRPr="0018093C">
        <w:rPr>
          <w:rFonts w:ascii="Times New Roman" w:hAnsi="Times New Roman"/>
          <w:snapToGrid w:val="0"/>
          <w:lang w:eastAsia="en-US"/>
        </w:rPr>
        <w:t xml:space="preserve"> because it requires an estimate of the expected rate of return on equity to estimate the cost of equity using the DCF model;</w:t>
      </w:r>
    </w:p>
    <w:p w14:paraId="1C9F46C4" w14:textId="77777777" w:rsidR="001F1031" w:rsidRPr="0018093C" w:rsidRDefault="001F1031"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 xml:space="preserve">the sustainable growth methodology is </w:t>
      </w:r>
      <w:r w:rsidR="003E40B8" w:rsidRPr="0018093C">
        <w:rPr>
          <w:rFonts w:ascii="Times New Roman" w:hAnsi="Times New Roman"/>
          <w:snapToGrid w:val="0"/>
          <w:lang w:eastAsia="en-US"/>
        </w:rPr>
        <w:t>inconsisten</w:t>
      </w:r>
      <w:r w:rsidRPr="0018093C">
        <w:rPr>
          <w:rFonts w:ascii="Times New Roman" w:hAnsi="Times New Roman"/>
          <w:snapToGrid w:val="0"/>
          <w:lang w:eastAsia="en-US"/>
        </w:rPr>
        <w:t>t</w:t>
      </w:r>
      <w:r w:rsidR="003E40B8" w:rsidRPr="0018093C">
        <w:rPr>
          <w:rFonts w:ascii="Times New Roman" w:hAnsi="Times New Roman"/>
          <w:snapToGrid w:val="0"/>
          <w:lang w:eastAsia="en-US"/>
        </w:rPr>
        <w:t xml:space="preserve"> with the academic empirical evidence;</w:t>
      </w:r>
    </w:p>
    <w:p w14:paraId="256A8660" w14:textId="77777777" w:rsidR="00D00935" w:rsidRPr="0018093C" w:rsidRDefault="001F1031"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Pr="0018093C">
        <w:rPr>
          <w:rFonts w:ascii="Times New Roman" w:hAnsi="Times New Roman"/>
          <w:snapToGrid w:val="0"/>
          <w:lang w:eastAsia="en-US"/>
        </w:rPr>
        <w:tab/>
      </w:r>
      <w:r w:rsidR="003E40B8" w:rsidRPr="0018093C">
        <w:rPr>
          <w:rFonts w:ascii="Times New Roman" w:hAnsi="Times New Roman"/>
          <w:snapToGrid w:val="0"/>
          <w:lang w:eastAsia="en-US"/>
        </w:rPr>
        <w:t>the potential lack of representativeness of Value Line</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s forecasts as proxies for the market consensus; and</w:t>
      </w:r>
    </w:p>
    <w:p w14:paraId="02B1DB0F" w14:textId="77777777" w:rsidR="00D00935" w:rsidRPr="0018093C" w:rsidRDefault="00D00935"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(iv</w:t>
      </w:r>
      <w:r w:rsidR="003E40B8" w:rsidRPr="0018093C">
        <w:rPr>
          <w:rFonts w:ascii="Times New Roman" w:hAnsi="Times New Roman"/>
          <w:snapToGrid w:val="0"/>
          <w:lang w:eastAsia="en-US"/>
        </w:rPr>
        <w:t>)</w:t>
      </w:r>
      <w:r w:rsidRPr="0018093C">
        <w:rPr>
          <w:rFonts w:ascii="Times New Roman" w:hAnsi="Times New Roman"/>
          <w:snapToGrid w:val="0"/>
          <w:lang w:eastAsia="en-US"/>
        </w:rPr>
        <w:tab/>
      </w:r>
      <w:r w:rsidR="003E40B8" w:rsidRPr="0018093C">
        <w:rPr>
          <w:rFonts w:ascii="Times New Roman" w:hAnsi="Times New Roman"/>
          <w:snapToGrid w:val="0"/>
          <w:lang w:eastAsia="en-US"/>
        </w:rPr>
        <w:t>a technical error.</w:t>
      </w:r>
    </w:p>
    <w:p w14:paraId="7C2D7B2E" w14:textId="77777777" w:rsidR="003E40B8" w:rsidRPr="0018093C" w:rsidRDefault="003E40B8" w:rsidP="00D00935">
      <w:pPr>
        <w:pStyle w:val="answer"/>
        <w:ind w:firstLine="0"/>
        <w:rPr>
          <w:rFonts w:ascii="Times New Roman" w:hAnsi="Times New Roman"/>
          <w:snapToGrid w:val="0"/>
          <w:lang w:eastAsia="en-US"/>
        </w:rPr>
      </w:pPr>
      <w:r w:rsidRPr="0018093C">
        <w:rPr>
          <w:rFonts w:ascii="Times New Roman" w:hAnsi="Times New Roman"/>
          <w:snapToGrid w:val="0"/>
          <w:lang w:eastAsia="en-US"/>
        </w:rPr>
        <w:t>I will now discuss each of these points in turn.</w:t>
      </w:r>
    </w:p>
    <w:p w14:paraId="77DB7E68"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70583" w:rsidRPr="0018093C">
        <w:rPr>
          <w:rFonts w:ascii="Times New Roman" w:hAnsi="Times New Roman"/>
          <w:snapToGrid w:val="0"/>
          <w:lang w:eastAsia="en-US"/>
        </w:rPr>
        <w:t xml:space="preserve">Is the </w:t>
      </w:r>
      <w:r w:rsidR="00EB46C0" w:rsidRPr="0018093C">
        <w:rPr>
          <w:rFonts w:ascii="Times New Roman" w:hAnsi="Times New Roman"/>
          <w:snapToGrid w:val="0"/>
          <w:lang w:eastAsia="en-US"/>
        </w:rPr>
        <w:t xml:space="preserve">sustainable growth methodology </w:t>
      </w:r>
      <w:r w:rsidR="00370583" w:rsidRPr="0018093C">
        <w:rPr>
          <w:rFonts w:ascii="Times New Roman" w:hAnsi="Times New Roman"/>
          <w:snapToGrid w:val="0"/>
          <w:lang w:eastAsia="en-US"/>
        </w:rPr>
        <w:t>logically consistent</w:t>
      </w:r>
      <w:r w:rsidRPr="0018093C">
        <w:rPr>
          <w:rFonts w:ascii="Times New Roman" w:hAnsi="Times New Roman"/>
          <w:snapToGrid w:val="0"/>
          <w:lang w:eastAsia="en-US"/>
        </w:rPr>
        <w:t>?</w:t>
      </w:r>
    </w:p>
    <w:p w14:paraId="3A8D65E0" w14:textId="77777777" w:rsidR="00370583" w:rsidRPr="0018093C" w:rsidRDefault="003E40B8" w:rsidP="0037058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9013C9" w:rsidRPr="0018093C">
        <w:rPr>
          <w:rFonts w:ascii="Times New Roman" w:hAnsi="Times New Roman"/>
          <w:snapToGrid w:val="0"/>
          <w:lang w:eastAsia="en-US"/>
        </w:rPr>
        <w:t xml:space="preserve">the </w:t>
      </w:r>
      <w:r w:rsidR="00EB46C0" w:rsidRPr="0018093C">
        <w:rPr>
          <w:rFonts w:ascii="Times New Roman" w:hAnsi="Times New Roman"/>
          <w:snapToGrid w:val="0"/>
          <w:lang w:eastAsia="en-US"/>
        </w:rPr>
        <w:t xml:space="preserve">sustainable growth methodology </w:t>
      </w:r>
      <w:r w:rsidR="009013C9" w:rsidRPr="0018093C">
        <w:rPr>
          <w:rFonts w:ascii="Times New Roman" w:hAnsi="Times New Roman"/>
          <w:snapToGrid w:val="0"/>
          <w:lang w:eastAsia="en-US"/>
        </w:rPr>
        <w:t xml:space="preserve">is not logically consistent and </w:t>
      </w:r>
      <w:r w:rsidRPr="0018093C">
        <w:rPr>
          <w:rFonts w:ascii="Times New Roman" w:hAnsi="Times New Roman"/>
          <w:snapToGrid w:val="0"/>
          <w:lang w:eastAsia="en-US"/>
        </w:rPr>
        <w:t xml:space="preserve">contains a puzzling logical contradiction. </w:t>
      </w:r>
      <w:r w:rsidR="009013C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The contradiction arises because the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requires an explicit assumption on the ROE expected from the retained earnings that produce future growth.  Mr.</w:t>
      </w:r>
      <w:r w:rsidR="00D00935" w:rsidRPr="0018093C">
        <w:rPr>
          <w:rFonts w:ascii="Times New Roman" w:hAnsi="Times New Roman"/>
          <w:snapToGrid w:val="0"/>
          <w:lang w:eastAsia="en-US"/>
        </w:rPr>
        <w:t> </w:t>
      </w:r>
      <w:r w:rsidRPr="0018093C">
        <w:rPr>
          <w:rFonts w:ascii="Times New Roman" w:hAnsi="Times New Roman"/>
          <w:snapToGrid w:val="0"/>
          <w:lang w:eastAsia="en-US"/>
        </w:rPr>
        <w:t>Hill bases his ROE estimate on Value Line</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current and forecast ROE for the 2016-2018 period as shown on the second column of numbers on each panel of Exhibit </w:t>
      </w:r>
      <w:r w:rsidR="00D00935" w:rsidRPr="0018093C">
        <w:rPr>
          <w:rFonts w:ascii="Times New Roman" w:hAnsi="Times New Roman"/>
          <w:snapToGrid w:val="0"/>
          <w:lang w:eastAsia="en-US"/>
        </w:rPr>
        <w:t>No. ___(</w:t>
      </w:r>
      <w:r w:rsidRPr="0018093C">
        <w:rPr>
          <w:rFonts w:ascii="Times New Roman" w:hAnsi="Times New Roman"/>
          <w:snapToGrid w:val="0"/>
          <w:lang w:eastAsia="en-US"/>
        </w:rPr>
        <w:t>SGH-5</w:t>
      </w:r>
      <w:r w:rsidR="00D00935"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D00935" w:rsidRPr="0018093C">
        <w:rPr>
          <w:rFonts w:ascii="Times New Roman" w:hAnsi="Times New Roman"/>
          <w:snapToGrid w:val="0"/>
          <w:lang w:eastAsia="en-US"/>
        </w:rPr>
        <w:t>T</w:t>
      </w:r>
      <w:r w:rsidRPr="0018093C">
        <w:rPr>
          <w:rFonts w:ascii="Times New Roman" w:hAnsi="Times New Roman"/>
          <w:snapToGrid w:val="0"/>
          <w:lang w:eastAsia="en-US"/>
        </w:rPr>
        <w:t>he ROEs used by Mr.</w:t>
      </w:r>
      <w:r w:rsidR="00D00935" w:rsidRPr="0018093C">
        <w:rPr>
          <w:rFonts w:ascii="Times New Roman" w:hAnsi="Times New Roman"/>
          <w:snapToGrid w:val="0"/>
          <w:lang w:eastAsia="en-US"/>
        </w:rPr>
        <w:t> </w:t>
      </w:r>
      <w:r w:rsidRPr="0018093C">
        <w:rPr>
          <w:rFonts w:ascii="Times New Roman" w:hAnsi="Times New Roman"/>
          <w:snapToGrid w:val="0"/>
          <w:lang w:eastAsia="en-US"/>
        </w:rPr>
        <w:t xml:space="preserve">Hill in calculating the </w:t>
      </w:r>
      <w:r w:rsidR="00D00935" w:rsidRPr="0018093C">
        <w:rPr>
          <w:rFonts w:ascii="Times New Roman" w:hAnsi="Times New Roman"/>
          <w:snapToGrid w:val="0"/>
          <w:lang w:eastAsia="en-US"/>
        </w:rPr>
        <w:t xml:space="preserve">sustainable </w:t>
      </w:r>
      <w:r w:rsidRPr="0018093C">
        <w:rPr>
          <w:rFonts w:ascii="Times New Roman" w:hAnsi="Times New Roman"/>
          <w:snapToGrid w:val="0"/>
          <w:lang w:eastAsia="en-US"/>
        </w:rPr>
        <w:t>growth rate</w:t>
      </w:r>
      <w:r w:rsidR="00D00935" w:rsidRPr="0018093C">
        <w:rPr>
          <w:rFonts w:ascii="Times New Roman" w:hAnsi="Times New Roman"/>
          <w:snapToGrid w:val="0"/>
          <w:lang w:eastAsia="en-US"/>
        </w:rPr>
        <w:t>, however,</w:t>
      </w:r>
      <w:r w:rsidRPr="0018093C">
        <w:rPr>
          <w:rFonts w:ascii="Times New Roman" w:hAnsi="Times New Roman"/>
          <w:snapToGrid w:val="0"/>
          <w:lang w:eastAsia="en-US"/>
        </w:rPr>
        <w:t xml:space="preserve"> do not match Mr.</w:t>
      </w:r>
      <w:r w:rsidR="00D0093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D00935" w:rsidRPr="0018093C">
        <w:rPr>
          <w:rFonts w:ascii="Times New Roman" w:hAnsi="Times New Roman"/>
          <w:snapToGrid w:val="0"/>
          <w:lang w:eastAsia="en-US"/>
        </w:rPr>
        <w:t xml:space="preserve">own </w:t>
      </w:r>
      <w:r w:rsidRPr="0018093C">
        <w:rPr>
          <w:rFonts w:ascii="Times New Roman" w:hAnsi="Times New Roman"/>
          <w:snapToGrid w:val="0"/>
          <w:lang w:eastAsia="en-US"/>
        </w:rPr>
        <w:t>ROE recommendation.</w:t>
      </w:r>
    </w:p>
    <w:p w14:paraId="5D8A1339" w14:textId="77777777" w:rsidR="003E40B8" w:rsidRPr="0018093C" w:rsidRDefault="003E40B8" w:rsidP="00370583">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As shown on </w:t>
      </w:r>
      <w:r w:rsidR="00D00935" w:rsidRPr="0018093C">
        <w:rPr>
          <w:rFonts w:ascii="Times New Roman" w:hAnsi="Times New Roman"/>
          <w:snapToGrid w:val="0"/>
          <w:lang w:eastAsia="en-US"/>
        </w:rPr>
        <w:t xml:space="preserve">Table 3 </w:t>
      </w:r>
      <w:r w:rsidRPr="0018093C">
        <w:rPr>
          <w:rFonts w:ascii="Times New Roman" w:hAnsi="Times New Roman"/>
          <w:snapToGrid w:val="0"/>
          <w:lang w:eastAsia="en-US"/>
        </w:rPr>
        <w:t>below, the average expected ROE of 9.7% for the 2013 period used in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D00935"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D00935" w:rsidRPr="0018093C">
        <w:rPr>
          <w:rFonts w:ascii="Times New Roman" w:hAnsi="Times New Roman"/>
          <w:snapToGrid w:val="0"/>
          <w:lang w:eastAsia="en-US"/>
        </w:rPr>
        <w:t xml:space="preserve">rate </w:t>
      </w:r>
      <w:r w:rsidRPr="0018093C">
        <w:rPr>
          <w:rFonts w:ascii="Times New Roman" w:hAnsi="Times New Roman"/>
          <w:snapToGrid w:val="0"/>
          <w:lang w:eastAsia="en-US"/>
        </w:rPr>
        <w:t>computation exceeds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w:t>
      </w:r>
      <w:r w:rsidR="00D00935" w:rsidRPr="0018093C">
        <w:rPr>
          <w:rFonts w:ascii="Times New Roman" w:hAnsi="Times New Roman"/>
          <w:snapToGrid w:val="0"/>
          <w:lang w:eastAsia="en-US"/>
        </w:rPr>
        <w:t xml:space="preserve">ROE for PSE of </w:t>
      </w:r>
      <w:r w:rsidRPr="0018093C">
        <w:rPr>
          <w:rFonts w:ascii="Times New Roman" w:hAnsi="Times New Roman"/>
          <w:snapToGrid w:val="0"/>
          <w:lang w:eastAsia="en-US"/>
        </w:rPr>
        <w:t>8.65%.</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The same is true for the 2014 </w:t>
      </w:r>
      <w:r w:rsidR="002A4BF6" w:rsidRPr="0018093C">
        <w:rPr>
          <w:rFonts w:ascii="Times New Roman" w:hAnsi="Times New Roman"/>
          <w:snapToGrid w:val="0"/>
          <w:lang w:eastAsia="en-US"/>
        </w:rPr>
        <w:t xml:space="preserve">average </w:t>
      </w:r>
      <w:r w:rsidR="002A4BF6" w:rsidRPr="0018093C">
        <w:rPr>
          <w:rFonts w:ascii="Times New Roman" w:hAnsi="Times New Roman"/>
          <w:snapToGrid w:val="0"/>
          <w:lang w:eastAsia="en-US"/>
        </w:rPr>
        <w:lastRenderedPageBreak/>
        <w:t xml:space="preserve">expected ROE </w:t>
      </w:r>
      <w:r w:rsidRPr="0018093C">
        <w:rPr>
          <w:rFonts w:ascii="Times New Roman" w:hAnsi="Times New Roman"/>
          <w:snapToGrid w:val="0"/>
          <w:lang w:eastAsia="en-US"/>
        </w:rPr>
        <w:t xml:space="preserve">of </w:t>
      </w:r>
      <w:r w:rsidR="001C4BB9" w:rsidRPr="0018093C">
        <w:rPr>
          <w:rFonts w:ascii="Times New Roman" w:hAnsi="Times New Roman"/>
          <w:snapToGrid w:val="0"/>
          <w:lang w:eastAsia="en-US"/>
        </w:rPr>
        <w:t>9</w:t>
      </w:r>
      <w:r w:rsidRPr="0018093C">
        <w:rPr>
          <w:rFonts w:ascii="Times New Roman" w:hAnsi="Times New Roman"/>
          <w:snapToGrid w:val="0"/>
          <w:lang w:eastAsia="en-US"/>
        </w:rPr>
        <w:t>.</w:t>
      </w:r>
      <w:r w:rsidR="001C4BB9" w:rsidRPr="0018093C">
        <w:rPr>
          <w:rFonts w:ascii="Times New Roman" w:hAnsi="Times New Roman"/>
          <w:snapToGrid w:val="0"/>
          <w:lang w:eastAsia="en-US"/>
        </w:rPr>
        <w:t>9</w:t>
      </w:r>
      <w:r w:rsidRPr="0018093C">
        <w:rPr>
          <w:rFonts w:ascii="Times New Roman" w:hAnsi="Times New Roman"/>
          <w:snapToGrid w:val="0"/>
          <w:lang w:eastAsia="en-US"/>
        </w:rPr>
        <w:t>%</w:t>
      </w:r>
      <w:r w:rsidR="002A4BF6" w:rsidRPr="0018093C">
        <w:rPr>
          <w:rFonts w:ascii="Times New Roman" w:hAnsi="Times New Roman"/>
          <w:snapToGrid w:val="0"/>
          <w:lang w:eastAsia="en-US"/>
        </w:rPr>
        <w:t xml:space="preserve"> and the 2016-18 average expected ROE of 10.2%</w:t>
      </w:r>
      <w:r w:rsidRPr="0018093C">
        <w:rPr>
          <w:rFonts w:ascii="Times New Roman" w:hAnsi="Times New Roman"/>
          <w:snapToGrid w:val="0"/>
          <w:lang w:eastAsia="en-US"/>
        </w:rPr>
        <w:t>.</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analysis thus assumes that the earned returns (ROE) of the sample companies exceed what he has determined to be their cost of equity forever.  </w:t>
      </w:r>
      <w:r w:rsidR="00D00935" w:rsidRPr="0018093C">
        <w:rPr>
          <w:rFonts w:ascii="Times New Roman" w:hAnsi="Times New Roman"/>
          <w:snapToGrid w:val="0"/>
          <w:lang w:eastAsia="en-US"/>
        </w:rPr>
        <w:t xml:space="preserve">In other words, </w:t>
      </w:r>
      <w:r w:rsidRPr="0018093C">
        <w:rPr>
          <w:rFonts w:ascii="Times New Roman" w:hAnsi="Times New Roman"/>
          <w:snapToGrid w:val="0"/>
          <w:lang w:eastAsia="en-US"/>
        </w:rPr>
        <w:t>Mr.</w:t>
      </w:r>
      <w:r w:rsidR="00D00935" w:rsidRPr="0018093C">
        <w:rPr>
          <w:rFonts w:ascii="Times New Roman" w:hAnsi="Times New Roman"/>
          <w:snapToGrid w:val="0"/>
          <w:lang w:eastAsia="en-US"/>
        </w:rPr>
        <w:t> </w:t>
      </w:r>
      <w:r w:rsidRPr="0018093C">
        <w:rPr>
          <w:rFonts w:ascii="Times New Roman" w:hAnsi="Times New Roman"/>
          <w:snapToGrid w:val="0"/>
          <w:lang w:eastAsia="en-US"/>
        </w:rPr>
        <w:t>Hill is assuming that these companies will earn ROE</w:t>
      </w:r>
      <w:r w:rsidR="00D00935" w:rsidRPr="0018093C">
        <w:rPr>
          <w:rFonts w:ascii="Times New Roman" w:hAnsi="Times New Roman"/>
          <w:snapToGrid w:val="0"/>
          <w:lang w:eastAsia="en-US"/>
        </w:rPr>
        <w:t>s</w:t>
      </w:r>
      <w:r w:rsidRPr="0018093C">
        <w:rPr>
          <w:rFonts w:ascii="Times New Roman" w:hAnsi="Times New Roman"/>
          <w:snapToGrid w:val="0"/>
          <w:lang w:eastAsia="en-US"/>
        </w:rPr>
        <w:t xml:space="preserve"> higher than that granted by their regulator</w:t>
      </w:r>
      <w:r w:rsidR="00D00935" w:rsidRPr="0018093C">
        <w:rPr>
          <w:rFonts w:ascii="Times New Roman" w:hAnsi="Times New Roman"/>
          <w:snapToGrid w:val="0"/>
          <w:lang w:eastAsia="en-US"/>
        </w:rPr>
        <w:t>s and reflected in their rates.</w:t>
      </w:r>
    </w:p>
    <w:p w14:paraId="15104B2D" w14:textId="77777777" w:rsidR="00D00935" w:rsidRPr="0018093C" w:rsidRDefault="00D00935" w:rsidP="00D00935">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Table 3</w:t>
      </w:r>
      <w:r w:rsidRPr="0018093C">
        <w:rPr>
          <w:rFonts w:ascii="Times New Roman" w:hAnsi="Times New Roman"/>
          <w:b/>
          <w:snapToGrid w:val="0"/>
          <w:lang w:eastAsia="en-US"/>
        </w:rPr>
        <w:br/>
        <w:t xml:space="preserve">Expected ROEs </w:t>
      </w:r>
      <w:r w:rsidR="00B919F8" w:rsidRPr="0018093C">
        <w:rPr>
          <w:rFonts w:ascii="Times New Roman" w:hAnsi="Times New Roman"/>
          <w:b/>
          <w:snapToGrid w:val="0"/>
          <w:lang w:eastAsia="en-US"/>
        </w:rPr>
        <w:t>Reflected in Exhibit No. ___(SGH-5)</w:t>
      </w:r>
    </w:p>
    <w:tbl>
      <w:tblPr>
        <w:tblStyle w:val="TableGrid"/>
        <w:tblW w:w="8372" w:type="dxa"/>
        <w:jc w:val="center"/>
        <w:tblInd w:w="720" w:type="dxa"/>
        <w:tblLook w:val="04A0" w:firstRow="1" w:lastRow="0" w:firstColumn="1" w:lastColumn="0" w:noHBand="0" w:noVBand="1"/>
      </w:tblPr>
      <w:tblGrid>
        <w:gridCol w:w="3763"/>
        <w:gridCol w:w="1175"/>
        <w:gridCol w:w="1175"/>
        <w:gridCol w:w="1448"/>
        <w:gridCol w:w="811"/>
      </w:tblGrid>
      <w:tr w:rsidR="00E55AD4" w:rsidRPr="0018093C" w14:paraId="60206825" w14:textId="77777777" w:rsidTr="002A4BF6">
        <w:trPr>
          <w:jc w:val="center"/>
        </w:trPr>
        <w:tc>
          <w:tcPr>
            <w:tcW w:w="3763" w:type="dxa"/>
            <w:shd w:val="clear" w:color="auto" w:fill="D9D9D9" w:themeFill="background1" w:themeFillShade="D9"/>
            <w:vAlign w:val="bottom"/>
          </w:tcPr>
          <w:p w14:paraId="2D20AC2E" w14:textId="77777777" w:rsidR="00E55AD4" w:rsidRPr="0018093C" w:rsidRDefault="00E55AD4" w:rsidP="00914190">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Company</w:t>
            </w:r>
          </w:p>
        </w:tc>
        <w:tc>
          <w:tcPr>
            <w:tcW w:w="1175" w:type="dxa"/>
            <w:shd w:val="clear" w:color="auto" w:fill="D9D9D9" w:themeFill="background1" w:themeFillShade="D9"/>
            <w:vAlign w:val="bottom"/>
          </w:tcPr>
          <w:p w14:paraId="597A2857" w14:textId="77777777" w:rsidR="00E55AD4" w:rsidRPr="0018093C" w:rsidRDefault="00E55AD4" w:rsidP="00370583">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2013</w:t>
            </w:r>
            <w:r w:rsidRPr="0018093C">
              <w:rPr>
                <w:rFonts w:ascii="Times New Roman" w:hAnsi="Times New Roman"/>
                <w:b/>
                <w:snapToGrid w:val="0"/>
                <w:lang w:eastAsia="en-US"/>
              </w:rPr>
              <w:br/>
              <w:t>Expected ROE</w:t>
            </w:r>
          </w:p>
        </w:tc>
        <w:tc>
          <w:tcPr>
            <w:tcW w:w="1175" w:type="dxa"/>
            <w:shd w:val="clear" w:color="auto" w:fill="D9D9D9" w:themeFill="background1" w:themeFillShade="D9"/>
            <w:vAlign w:val="bottom"/>
          </w:tcPr>
          <w:p w14:paraId="3E6A8452" w14:textId="77777777" w:rsidR="00E55AD4" w:rsidRPr="0018093C" w:rsidRDefault="00E55AD4" w:rsidP="00942E42">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2014</w:t>
            </w:r>
            <w:r w:rsidRPr="0018093C">
              <w:rPr>
                <w:rFonts w:ascii="Times New Roman" w:hAnsi="Times New Roman"/>
                <w:b/>
                <w:snapToGrid w:val="0"/>
                <w:lang w:eastAsia="en-US"/>
              </w:rPr>
              <w:br/>
              <w:t>Expected ROE</w:t>
            </w:r>
          </w:p>
        </w:tc>
        <w:tc>
          <w:tcPr>
            <w:tcW w:w="1448" w:type="dxa"/>
            <w:shd w:val="clear" w:color="auto" w:fill="D9D9D9" w:themeFill="background1" w:themeFillShade="D9"/>
            <w:vAlign w:val="bottom"/>
          </w:tcPr>
          <w:p w14:paraId="17631B27" w14:textId="77777777" w:rsidR="00E55AD4" w:rsidRPr="0018093C" w:rsidRDefault="00E55AD4" w:rsidP="00370583">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2016-2018</w:t>
            </w:r>
            <w:r w:rsidRPr="0018093C">
              <w:rPr>
                <w:rFonts w:ascii="Times New Roman" w:hAnsi="Times New Roman"/>
                <w:b/>
                <w:snapToGrid w:val="0"/>
                <w:lang w:eastAsia="en-US"/>
              </w:rPr>
              <w:br/>
              <w:t>Expected ROE</w:t>
            </w:r>
          </w:p>
        </w:tc>
        <w:tc>
          <w:tcPr>
            <w:tcW w:w="811" w:type="dxa"/>
            <w:shd w:val="clear" w:color="auto" w:fill="D9D9D9" w:themeFill="background1" w:themeFillShade="D9"/>
            <w:vAlign w:val="bottom"/>
          </w:tcPr>
          <w:p w14:paraId="50156715" w14:textId="77777777" w:rsidR="00E55AD4" w:rsidRPr="0018093C" w:rsidRDefault="00E55AD4" w:rsidP="00942E42">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Page</w:t>
            </w:r>
          </w:p>
        </w:tc>
      </w:tr>
      <w:tr w:rsidR="002A4BF6" w:rsidRPr="0018093C" w14:paraId="6E53A92C" w14:textId="77777777" w:rsidTr="002A4BF6">
        <w:trPr>
          <w:jc w:val="center"/>
        </w:trPr>
        <w:tc>
          <w:tcPr>
            <w:tcW w:w="3763" w:type="dxa"/>
          </w:tcPr>
          <w:p w14:paraId="56483346"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ALLETE, Inc.</w:t>
            </w:r>
          </w:p>
        </w:tc>
        <w:tc>
          <w:tcPr>
            <w:tcW w:w="1175" w:type="dxa"/>
          </w:tcPr>
          <w:p w14:paraId="2AE3EA7C"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1175" w:type="dxa"/>
          </w:tcPr>
          <w:p w14:paraId="04A759A9"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8.5%</w:t>
            </w:r>
          </w:p>
        </w:tc>
        <w:tc>
          <w:tcPr>
            <w:tcW w:w="1448" w:type="dxa"/>
          </w:tcPr>
          <w:p w14:paraId="23276E3B"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3ABC8C00"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2A4BF6" w:rsidRPr="0018093C" w14:paraId="085F7783" w14:textId="77777777" w:rsidTr="002A4BF6">
        <w:trPr>
          <w:jc w:val="center"/>
        </w:trPr>
        <w:tc>
          <w:tcPr>
            <w:tcW w:w="3763" w:type="dxa"/>
          </w:tcPr>
          <w:p w14:paraId="1A8E00A3"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Alliant Energy Corporation</w:t>
            </w:r>
          </w:p>
        </w:tc>
        <w:tc>
          <w:tcPr>
            <w:tcW w:w="1175" w:type="dxa"/>
          </w:tcPr>
          <w:p w14:paraId="54BB263C"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175" w:type="dxa"/>
          </w:tcPr>
          <w:p w14:paraId="2AB6AE67"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448" w:type="dxa"/>
          </w:tcPr>
          <w:p w14:paraId="3D4D80C2"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11.0%</w:t>
            </w:r>
          </w:p>
        </w:tc>
        <w:tc>
          <w:tcPr>
            <w:tcW w:w="811" w:type="dxa"/>
          </w:tcPr>
          <w:p w14:paraId="6151560F"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2A4BF6" w:rsidRPr="0018093C" w14:paraId="025E50D7" w14:textId="77777777" w:rsidTr="002A4BF6">
        <w:trPr>
          <w:jc w:val="center"/>
        </w:trPr>
        <w:tc>
          <w:tcPr>
            <w:tcW w:w="3763" w:type="dxa"/>
          </w:tcPr>
          <w:p w14:paraId="51788BF2"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American Electric Power Co.</w:t>
            </w:r>
          </w:p>
        </w:tc>
        <w:tc>
          <w:tcPr>
            <w:tcW w:w="1175" w:type="dxa"/>
          </w:tcPr>
          <w:p w14:paraId="189D94F7"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7068773B"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1448" w:type="dxa"/>
          </w:tcPr>
          <w:p w14:paraId="72B318C7"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811" w:type="dxa"/>
          </w:tcPr>
          <w:p w14:paraId="5BCA7E5B"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A4BF6" w:rsidRPr="0018093C" w14:paraId="68783BAF" w14:textId="77777777" w:rsidTr="002A4BF6">
        <w:trPr>
          <w:jc w:val="center"/>
        </w:trPr>
        <w:tc>
          <w:tcPr>
            <w:tcW w:w="3763" w:type="dxa"/>
          </w:tcPr>
          <w:p w14:paraId="774FEB2B"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Cleco Corporation</w:t>
            </w:r>
          </w:p>
        </w:tc>
        <w:tc>
          <w:tcPr>
            <w:tcW w:w="1175" w:type="dxa"/>
          </w:tcPr>
          <w:p w14:paraId="4FFDD120"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574C96CF"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10.5%</w:t>
            </w:r>
          </w:p>
        </w:tc>
        <w:tc>
          <w:tcPr>
            <w:tcW w:w="1448" w:type="dxa"/>
          </w:tcPr>
          <w:p w14:paraId="30426967" w14:textId="77777777" w:rsidR="002A4BF6" w:rsidRPr="0018093C" w:rsidRDefault="002A4BF6" w:rsidP="00B919F8">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11.0%</w:t>
            </w:r>
          </w:p>
        </w:tc>
        <w:tc>
          <w:tcPr>
            <w:tcW w:w="811" w:type="dxa"/>
          </w:tcPr>
          <w:p w14:paraId="7ED264F6"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A4BF6" w:rsidRPr="0018093C" w14:paraId="196E5A3F" w14:textId="77777777" w:rsidTr="002A4BF6">
        <w:trPr>
          <w:jc w:val="center"/>
        </w:trPr>
        <w:tc>
          <w:tcPr>
            <w:tcW w:w="3763" w:type="dxa"/>
          </w:tcPr>
          <w:p w14:paraId="67968E66"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Edison International</w:t>
            </w:r>
          </w:p>
        </w:tc>
        <w:tc>
          <w:tcPr>
            <w:tcW w:w="1175" w:type="dxa"/>
          </w:tcPr>
          <w:p w14:paraId="15E1D97E"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175" w:type="dxa"/>
          </w:tcPr>
          <w:p w14:paraId="1461629C"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448" w:type="dxa"/>
          </w:tcPr>
          <w:p w14:paraId="7710B81C" w14:textId="77777777" w:rsidR="002A4BF6" w:rsidRPr="0018093C" w:rsidRDefault="002A4BF6" w:rsidP="001C4BB9">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11.0%</w:t>
            </w:r>
          </w:p>
        </w:tc>
        <w:tc>
          <w:tcPr>
            <w:tcW w:w="811" w:type="dxa"/>
          </w:tcPr>
          <w:p w14:paraId="57740846"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w:t>
            </w:r>
          </w:p>
        </w:tc>
      </w:tr>
      <w:tr w:rsidR="002A4BF6" w:rsidRPr="0018093C" w14:paraId="2B095D76" w14:textId="77777777" w:rsidTr="002A4BF6">
        <w:trPr>
          <w:jc w:val="center"/>
        </w:trPr>
        <w:tc>
          <w:tcPr>
            <w:tcW w:w="3763" w:type="dxa"/>
          </w:tcPr>
          <w:p w14:paraId="3988DD2F"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Entergy Corporation</w:t>
            </w:r>
          </w:p>
        </w:tc>
        <w:tc>
          <w:tcPr>
            <w:tcW w:w="1175" w:type="dxa"/>
          </w:tcPr>
          <w:p w14:paraId="529A13B0"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175" w:type="dxa"/>
          </w:tcPr>
          <w:p w14:paraId="7BF228F1"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448" w:type="dxa"/>
          </w:tcPr>
          <w:p w14:paraId="141995DF"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34974A47"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A4BF6" w:rsidRPr="0018093C" w14:paraId="53413A96" w14:textId="77777777" w:rsidTr="002A4BF6">
        <w:trPr>
          <w:jc w:val="center"/>
        </w:trPr>
        <w:tc>
          <w:tcPr>
            <w:tcW w:w="3763" w:type="dxa"/>
          </w:tcPr>
          <w:p w14:paraId="21533F47"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IDACORP, Inc.</w:t>
            </w:r>
          </w:p>
        </w:tc>
        <w:tc>
          <w:tcPr>
            <w:tcW w:w="1175" w:type="dxa"/>
          </w:tcPr>
          <w:p w14:paraId="11AF3E3E"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175" w:type="dxa"/>
          </w:tcPr>
          <w:p w14:paraId="0AF393E3"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8.5%</w:t>
            </w:r>
          </w:p>
        </w:tc>
        <w:tc>
          <w:tcPr>
            <w:tcW w:w="1448" w:type="dxa"/>
          </w:tcPr>
          <w:p w14:paraId="3D7D2A41"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811" w:type="dxa"/>
          </w:tcPr>
          <w:p w14:paraId="05CAE1B3"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w:t>
            </w:r>
          </w:p>
        </w:tc>
      </w:tr>
      <w:tr w:rsidR="002A4BF6" w:rsidRPr="0018093C" w14:paraId="7EDD95C2" w14:textId="77777777" w:rsidTr="002A4BF6">
        <w:trPr>
          <w:jc w:val="center"/>
        </w:trPr>
        <w:tc>
          <w:tcPr>
            <w:tcW w:w="3763" w:type="dxa"/>
          </w:tcPr>
          <w:p w14:paraId="08716CEE"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Northwestern Corporation</w:t>
            </w:r>
          </w:p>
        </w:tc>
        <w:tc>
          <w:tcPr>
            <w:tcW w:w="1175" w:type="dxa"/>
          </w:tcPr>
          <w:p w14:paraId="026C912D" w14:textId="77777777" w:rsidR="002A4BF6" w:rsidRPr="0018093C" w:rsidRDefault="002A4BF6" w:rsidP="00914190">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1A0A0CFE"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448" w:type="dxa"/>
          </w:tcPr>
          <w:p w14:paraId="0EA1351C"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597F2C91"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w:t>
            </w:r>
          </w:p>
        </w:tc>
      </w:tr>
      <w:tr w:rsidR="002A4BF6" w:rsidRPr="0018093C" w14:paraId="0121EFF4" w14:textId="77777777" w:rsidTr="002A4BF6">
        <w:trPr>
          <w:jc w:val="center"/>
        </w:trPr>
        <w:tc>
          <w:tcPr>
            <w:tcW w:w="3763" w:type="dxa"/>
          </w:tcPr>
          <w:p w14:paraId="15C72093"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PG&amp;E Corporation</w:t>
            </w:r>
          </w:p>
        </w:tc>
        <w:tc>
          <w:tcPr>
            <w:tcW w:w="1175" w:type="dxa"/>
          </w:tcPr>
          <w:p w14:paraId="13396CDD"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6.0%</w:t>
            </w:r>
          </w:p>
        </w:tc>
        <w:tc>
          <w:tcPr>
            <w:tcW w:w="1175" w:type="dxa"/>
          </w:tcPr>
          <w:p w14:paraId="1D121C60"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7.5%</w:t>
            </w:r>
          </w:p>
        </w:tc>
        <w:tc>
          <w:tcPr>
            <w:tcW w:w="1448" w:type="dxa"/>
          </w:tcPr>
          <w:p w14:paraId="5AD74A4B"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811" w:type="dxa"/>
          </w:tcPr>
          <w:p w14:paraId="1049FAA9"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w:t>
            </w:r>
          </w:p>
        </w:tc>
      </w:tr>
      <w:tr w:rsidR="002A4BF6" w:rsidRPr="0018093C" w14:paraId="776EFC86" w14:textId="77777777" w:rsidTr="002A4BF6">
        <w:trPr>
          <w:jc w:val="center"/>
        </w:trPr>
        <w:tc>
          <w:tcPr>
            <w:tcW w:w="3763" w:type="dxa"/>
          </w:tcPr>
          <w:p w14:paraId="0DFF0CDB"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Pinnacle West Capital Corp.</w:t>
            </w:r>
          </w:p>
        </w:tc>
        <w:tc>
          <w:tcPr>
            <w:tcW w:w="1175" w:type="dxa"/>
          </w:tcPr>
          <w:p w14:paraId="0C9CDD4B"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78E239E8"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448" w:type="dxa"/>
          </w:tcPr>
          <w:p w14:paraId="19D46F8F"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811" w:type="dxa"/>
          </w:tcPr>
          <w:p w14:paraId="05C87CF8"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5</w:t>
            </w:r>
          </w:p>
        </w:tc>
      </w:tr>
      <w:tr w:rsidR="002A4BF6" w:rsidRPr="0018093C" w14:paraId="51BD45E5" w14:textId="77777777" w:rsidTr="002A4BF6">
        <w:trPr>
          <w:jc w:val="center"/>
        </w:trPr>
        <w:tc>
          <w:tcPr>
            <w:tcW w:w="3763" w:type="dxa"/>
          </w:tcPr>
          <w:p w14:paraId="77DA96FD"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Portland General Electric Company</w:t>
            </w:r>
          </w:p>
        </w:tc>
        <w:tc>
          <w:tcPr>
            <w:tcW w:w="1175" w:type="dxa"/>
          </w:tcPr>
          <w:p w14:paraId="17DF60EC" w14:textId="77777777" w:rsidR="002A4BF6" w:rsidRPr="0018093C" w:rsidRDefault="002A4BF6" w:rsidP="00914190">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1175" w:type="dxa"/>
          </w:tcPr>
          <w:p w14:paraId="6F95FEB2"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1448" w:type="dxa"/>
          </w:tcPr>
          <w:p w14:paraId="6858DF02"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811" w:type="dxa"/>
          </w:tcPr>
          <w:p w14:paraId="347042BE"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5</w:t>
            </w:r>
          </w:p>
        </w:tc>
      </w:tr>
      <w:tr w:rsidR="002A4BF6" w:rsidRPr="0018093C" w14:paraId="4A0A4B76" w14:textId="77777777" w:rsidTr="002A4BF6">
        <w:trPr>
          <w:jc w:val="center"/>
        </w:trPr>
        <w:tc>
          <w:tcPr>
            <w:tcW w:w="3763" w:type="dxa"/>
          </w:tcPr>
          <w:p w14:paraId="652F37FB"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Southern Company</w:t>
            </w:r>
          </w:p>
        </w:tc>
        <w:tc>
          <w:tcPr>
            <w:tcW w:w="1175" w:type="dxa"/>
          </w:tcPr>
          <w:p w14:paraId="5F83978F"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175" w:type="dxa"/>
          </w:tcPr>
          <w:p w14:paraId="565A410F"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448" w:type="dxa"/>
          </w:tcPr>
          <w:p w14:paraId="5F7EBCCE"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12.5%</w:t>
            </w:r>
          </w:p>
        </w:tc>
        <w:tc>
          <w:tcPr>
            <w:tcW w:w="811" w:type="dxa"/>
          </w:tcPr>
          <w:p w14:paraId="1C1E1B4E"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2A4BF6" w:rsidRPr="0018093C" w14:paraId="03D5F174" w14:textId="77777777" w:rsidTr="002A4BF6">
        <w:trPr>
          <w:jc w:val="center"/>
        </w:trPr>
        <w:tc>
          <w:tcPr>
            <w:tcW w:w="3763" w:type="dxa"/>
          </w:tcPr>
          <w:p w14:paraId="07FDDCB1"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Westar Energy, Inc.</w:t>
            </w:r>
          </w:p>
        </w:tc>
        <w:tc>
          <w:tcPr>
            <w:tcW w:w="1175" w:type="dxa"/>
          </w:tcPr>
          <w:p w14:paraId="31081837"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175" w:type="dxa"/>
          </w:tcPr>
          <w:p w14:paraId="1E95CC60"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448" w:type="dxa"/>
          </w:tcPr>
          <w:p w14:paraId="73CE42E8"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4AE9BBC9"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w:t>
            </w:r>
          </w:p>
        </w:tc>
      </w:tr>
      <w:tr w:rsidR="002A4BF6" w:rsidRPr="0018093C" w14:paraId="27C58081" w14:textId="77777777" w:rsidTr="002A4BF6">
        <w:trPr>
          <w:jc w:val="center"/>
        </w:trPr>
        <w:tc>
          <w:tcPr>
            <w:tcW w:w="3763" w:type="dxa"/>
          </w:tcPr>
          <w:p w14:paraId="419CA40A"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Wisconsin Energy Corporation</w:t>
            </w:r>
          </w:p>
        </w:tc>
        <w:tc>
          <w:tcPr>
            <w:tcW w:w="1175" w:type="dxa"/>
          </w:tcPr>
          <w:p w14:paraId="314DF69D"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175" w:type="dxa"/>
          </w:tcPr>
          <w:p w14:paraId="16FABCDB" w14:textId="77777777" w:rsidR="002A4BF6" w:rsidRPr="0018093C" w:rsidRDefault="002A4BF6" w:rsidP="00942E42">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448" w:type="dxa"/>
          </w:tcPr>
          <w:p w14:paraId="2C2BCC8A" w14:textId="77777777" w:rsidR="002A4BF6" w:rsidRPr="0018093C" w:rsidRDefault="002A4BF6" w:rsidP="00E55AD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14.0%</w:t>
            </w:r>
          </w:p>
        </w:tc>
        <w:tc>
          <w:tcPr>
            <w:tcW w:w="811" w:type="dxa"/>
          </w:tcPr>
          <w:p w14:paraId="27529FB4"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w:t>
            </w:r>
          </w:p>
        </w:tc>
      </w:tr>
      <w:tr w:rsidR="002A4BF6" w:rsidRPr="0018093C" w14:paraId="3B53F738" w14:textId="77777777" w:rsidTr="002A4BF6">
        <w:trPr>
          <w:jc w:val="center"/>
        </w:trPr>
        <w:tc>
          <w:tcPr>
            <w:tcW w:w="3763" w:type="dxa"/>
          </w:tcPr>
          <w:p w14:paraId="5EDF8C9C"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Xcel Energy Inc.</w:t>
            </w:r>
          </w:p>
        </w:tc>
        <w:tc>
          <w:tcPr>
            <w:tcW w:w="1175" w:type="dxa"/>
          </w:tcPr>
          <w:p w14:paraId="41221BE8"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1175" w:type="dxa"/>
          </w:tcPr>
          <w:p w14:paraId="549567F3"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448" w:type="dxa"/>
          </w:tcPr>
          <w:p w14:paraId="02C1B8DC" w14:textId="77777777" w:rsidR="002A4BF6" w:rsidRPr="0018093C" w:rsidRDefault="002A4BF6" w:rsidP="001C4BB9">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811" w:type="dxa"/>
          </w:tcPr>
          <w:p w14:paraId="5CDD92C2"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5</w:t>
            </w:r>
          </w:p>
        </w:tc>
      </w:tr>
      <w:tr w:rsidR="002A4BF6" w:rsidRPr="0018093C" w14:paraId="391E8E2E" w14:textId="77777777" w:rsidTr="002A4BF6">
        <w:trPr>
          <w:jc w:val="center"/>
        </w:trPr>
        <w:tc>
          <w:tcPr>
            <w:tcW w:w="3763" w:type="dxa"/>
          </w:tcPr>
          <w:p w14:paraId="1F3FE88D" w14:textId="77777777" w:rsidR="002A4BF6" w:rsidRPr="0018093C" w:rsidRDefault="002A4BF6" w:rsidP="00914190">
            <w:pPr>
              <w:pStyle w:val="answer"/>
              <w:spacing w:before="60" w:after="60" w:line="240" w:lineRule="auto"/>
              <w:ind w:left="0" w:firstLine="0"/>
              <w:rPr>
                <w:rFonts w:ascii="Times New Roman" w:hAnsi="Times New Roman"/>
                <w:b/>
                <w:snapToGrid w:val="0"/>
                <w:lang w:eastAsia="en-US"/>
              </w:rPr>
            </w:pPr>
            <w:r w:rsidRPr="0018093C">
              <w:rPr>
                <w:rFonts w:ascii="Times New Roman" w:hAnsi="Times New Roman"/>
                <w:b/>
                <w:snapToGrid w:val="0"/>
                <w:lang w:eastAsia="en-US"/>
              </w:rPr>
              <w:t>AVERAGE</w:t>
            </w:r>
          </w:p>
        </w:tc>
        <w:tc>
          <w:tcPr>
            <w:tcW w:w="1175" w:type="dxa"/>
          </w:tcPr>
          <w:p w14:paraId="71C92E74" w14:textId="77777777" w:rsidR="002A4BF6" w:rsidRPr="0018093C" w:rsidRDefault="002A4BF6" w:rsidP="00370583">
            <w:pPr>
              <w:pStyle w:val="answer"/>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9.7%</w:t>
            </w:r>
          </w:p>
        </w:tc>
        <w:tc>
          <w:tcPr>
            <w:tcW w:w="1175" w:type="dxa"/>
          </w:tcPr>
          <w:p w14:paraId="4E08120C" w14:textId="77777777" w:rsidR="002A4BF6" w:rsidRPr="0018093C" w:rsidRDefault="002A4BF6" w:rsidP="00942E42">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9.9%</w:t>
            </w:r>
          </w:p>
        </w:tc>
        <w:tc>
          <w:tcPr>
            <w:tcW w:w="1448" w:type="dxa"/>
          </w:tcPr>
          <w:p w14:paraId="26A94495" w14:textId="77777777" w:rsidR="002A4BF6" w:rsidRPr="0018093C" w:rsidRDefault="002A4BF6" w:rsidP="00942E42">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10.2%</w:t>
            </w:r>
          </w:p>
        </w:tc>
        <w:tc>
          <w:tcPr>
            <w:tcW w:w="811" w:type="dxa"/>
          </w:tcPr>
          <w:p w14:paraId="46B8C306" w14:textId="77777777" w:rsidR="002A4BF6" w:rsidRPr="0018093C" w:rsidRDefault="002A4BF6" w:rsidP="00942E42">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N/A</w:t>
            </w:r>
          </w:p>
        </w:tc>
      </w:tr>
    </w:tbl>
    <w:p w14:paraId="64413BBF" w14:textId="77777777" w:rsidR="001C4BB9" w:rsidRPr="0018093C" w:rsidRDefault="003E40B8" w:rsidP="00370583">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While this scenario implicit in Mr.</w:t>
      </w:r>
      <w:r w:rsidR="001C4BB9"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1C4BB9" w:rsidRPr="0018093C">
        <w:rPr>
          <w:rFonts w:ascii="Times New Roman" w:hAnsi="Times New Roman"/>
          <w:snapToGrid w:val="0"/>
          <w:lang w:eastAsia="en-US"/>
        </w:rPr>
        <w:t xml:space="preserve">sustainable </w:t>
      </w:r>
      <w:r w:rsidRPr="0018093C">
        <w:rPr>
          <w:rFonts w:ascii="Times New Roman" w:hAnsi="Times New Roman"/>
          <w:snapToGrid w:val="0"/>
          <w:lang w:eastAsia="en-US"/>
        </w:rPr>
        <w:t>growth method</w:t>
      </w:r>
      <w:r w:rsidR="001C4BB9" w:rsidRPr="0018093C">
        <w:rPr>
          <w:rFonts w:ascii="Times New Roman" w:hAnsi="Times New Roman"/>
          <w:snapToGrid w:val="0"/>
          <w:lang w:eastAsia="en-US"/>
        </w:rPr>
        <w:t>ology</w:t>
      </w:r>
      <w:r w:rsidRPr="0018093C">
        <w:rPr>
          <w:rFonts w:ascii="Times New Roman" w:hAnsi="Times New Roman"/>
          <w:snapToGrid w:val="0"/>
          <w:lang w:eastAsia="en-US"/>
        </w:rPr>
        <w:t xml:space="preserve"> may be imaginable for an unregulated company, it is implausible to assume </w:t>
      </w:r>
      <w:r w:rsidR="001C4BB9" w:rsidRPr="0018093C">
        <w:rPr>
          <w:rFonts w:ascii="Times New Roman" w:hAnsi="Times New Roman"/>
          <w:snapToGrid w:val="0"/>
          <w:lang w:eastAsia="en-US"/>
        </w:rPr>
        <w:t xml:space="preserve">that a </w:t>
      </w:r>
      <w:r w:rsidRPr="0018093C">
        <w:rPr>
          <w:rFonts w:ascii="Times New Roman" w:hAnsi="Times New Roman"/>
          <w:snapToGrid w:val="0"/>
          <w:lang w:eastAsia="en-US"/>
        </w:rPr>
        <w:t xml:space="preserve">regulated company whose rates are set by its regulator at a level designed to </w:t>
      </w:r>
      <w:r w:rsidRPr="0018093C">
        <w:rPr>
          <w:rFonts w:ascii="Times New Roman" w:hAnsi="Times New Roman"/>
          <w:snapToGrid w:val="0"/>
          <w:lang w:eastAsia="en-US"/>
        </w:rPr>
        <w:lastRenderedPageBreak/>
        <w:t>permit the company to earn a return equal to its cost of capital.  This logical flaw compromises the integrity of Mr.</w:t>
      </w:r>
      <w:r w:rsidR="001C4BB9"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analysis</w:t>
      </w:r>
      <w:r w:rsidR="001C4BB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and should be a sufficient basis for rejecting the results produced by this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w:t>
      </w:r>
    </w:p>
    <w:p w14:paraId="359E01B4" w14:textId="77777777" w:rsidR="003E40B8" w:rsidRPr="0018093C" w:rsidRDefault="003E40B8" w:rsidP="001C4BB9">
      <w:pPr>
        <w:pStyle w:val="answer"/>
        <w:ind w:firstLine="0"/>
        <w:rPr>
          <w:rFonts w:ascii="Times New Roman" w:hAnsi="Times New Roman"/>
          <w:snapToGrid w:val="0"/>
          <w:lang w:eastAsia="en-US"/>
        </w:rPr>
      </w:pPr>
      <w:r w:rsidRPr="0018093C">
        <w:rPr>
          <w:rFonts w:ascii="Times New Roman" w:hAnsi="Times New Roman"/>
          <w:snapToGrid w:val="0"/>
          <w:lang w:eastAsia="en-US"/>
        </w:rPr>
        <w:t>In essence, by using an ROE that differs from its final recommended cost of equity, Mr.</w:t>
      </w:r>
      <w:r w:rsidR="001C4BB9" w:rsidRPr="0018093C">
        <w:rPr>
          <w:rFonts w:ascii="Times New Roman" w:hAnsi="Times New Roman"/>
          <w:snapToGrid w:val="0"/>
          <w:lang w:eastAsia="en-US"/>
        </w:rPr>
        <w:t> </w:t>
      </w:r>
      <w:r w:rsidRPr="0018093C">
        <w:rPr>
          <w:rFonts w:ascii="Times New Roman" w:hAnsi="Times New Roman"/>
          <w:snapToGrid w:val="0"/>
          <w:lang w:eastAsia="en-US"/>
        </w:rPr>
        <w:t>Hill requires the Commission to make two inconsistent findings regarding ROE.</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I am perplexed as to why Mr.</w:t>
      </w:r>
      <w:r w:rsidR="000018A4" w:rsidRPr="0018093C">
        <w:rPr>
          <w:rFonts w:ascii="Times New Roman" w:hAnsi="Times New Roman"/>
          <w:snapToGrid w:val="0"/>
          <w:lang w:eastAsia="en-US"/>
        </w:rPr>
        <w:t> </w:t>
      </w:r>
      <w:r w:rsidRPr="0018093C">
        <w:rPr>
          <w:rFonts w:ascii="Times New Roman" w:hAnsi="Times New Roman"/>
          <w:snapToGrid w:val="0"/>
          <w:lang w:eastAsia="en-US"/>
        </w:rPr>
        <w:t xml:space="preserve">Hill assumes that his group of comparable electric utilities is expected to earn </w:t>
      </w:r>
      <w:r w:rsidR="001E5E0B" w:rsidRPr="0018093C">
        <w:rPr>
          <w:rFonts w:ascii="Times New Roman" w:hAnsi="Times New Roman"/>
          <w:snapToGrid w:val="0"/>
          <w:lang w:eastAsia="en-US"/>
        </w:rPr>
        <w:t>9.7</w:t>
      </w:r>
      <w:r w:rsidRPr="0018093C">
        <w:rPr>
          <w:rFonts w:ascii="Times New Roman" w:hAnsi="Times New Roman"/>
          <w:snapToGrid w:val="0"/>
          <w:lang w:eastAsia="en-US"/>
        </w:rPr>
        <w:t>%</w:t>
      </w:r>
      <w:r w:rsidR="002A4BF6" w:rsidRPr="0018093C">
        <w:rPr>
          <w:rFonts w:ascii="Times New Roman" w:hAnsi="Times New Roman"/>
          <w:snapToGrid w:val="0"/>
          <w:lang w:eastAsia="en-US"/>
        </w:rPr>
        <w:t xml:space="preserve">, </w:t>
      </w:r>
      <w:r w:rsidR="001E5E0B" w:rsidRPr="0018093C">
        <w:rPr>
          <w:rFonts w:ascii="Times New Roman" w:hAnsi="Times New Roman"/>
          <w:snapToGrid w:val="0"/>
          <w:lang w:eastAsia="en-US"/>
        </w:rPr>
        <w:t>9.9%</w:t>
      </w:r>
      <w:r w:rsidR="002A4BF6" w:rsidRPr="0018093C">
        <w:rPr>
          <w:rFonts w:ascii="Times New Roman" w:hAnsi="Times New Roman"/>
          <w:snapToGrid w:val="0"/>
          <w:lang w:eastAsia="en-US"/>
        </w:rPr>
        <w:t>, or 10.2%</w:t>
      </w:r>
      <w:r w:rsidR="001E5E0B" w:rsidRPr="0018093C">
        <w:rPr>
          <w:rFonts w:ascii="Times New Roman" w:hAnsi="Times New Roman"/>
          <w:snapToGrid w:val="0"/>
          <w:lang w:eastAsia="en-US"/>
        </w:rPr>
        <w:t xml:space="preserve"> </w:t>
      </w:r>
      <w:r w:rsidRPr="0018093C">
        <w:rPr>
          <w:rFonts w:ascii="Times New Roman" w:hAnsi="Times New Roman"/>
          <w:snapToGrid w:val="0"/>
          <w:lang w:eastAsia="en-US"/>
        </w:rPr>
        <w:t>forever, while at the same time he recommends an ROE of 8.65% for</w:t>
      </w:r>
      <w:r w:rsidR="001E5E0B" w:rsidRPr="0018093C">
        <w:rPr>
          <w:rFonts w:ascii="Times New Roman" w:hAnsi="Times New Roman"/>
          <w:snapToGrid w:val="0"/>
          <w:lang w:eastAsia="en-US"/>
        </w:rPr>
        <w:t xml:space="preserve"> PSE</w:t>
      </w:r>
      <w:r w:rsidRPr="0018093C">
        <w:rPr>
          <w:rFonts w:ascii="Times New Roman" w:hAnsi="Times New Roman"/>
          <w:snapToGrid w:val="0"/>
          <w:lang w:eastAsia="en-US"/>
        </w:rPr>
        <w:t xml:space="preserve">.  The only way that these utilities can earn an </w:t>
      </w:r>
      <w:r w:rsidR="002A4BF6" w:rsidRPr="0018093C">
        <w:rPr>
          <w:rFonts w:ascii="Times New Roman" w:hAnsi="Times New Roman"/>
          <w:snapToGrid w:val="0"/>
          <w:lang w:eastAsia="en-US"/>
        </w:rPr>
        <w:t xml:space="preserve">average expected ROE </w:t>
      </w:r>
      <w:r w:rsidRPr="0018093C">
        <w:rPr>
          <w:rFonts w:ascii="Times New Roman" w:hAnsi="Times New Roman"/>
          <w:snapToGrid w:val="0"/>
          <w:lang w:eastAsia="en-US"/>
        </w:rPr>
        <w:t xml:space="preserve">of </w:t>
      </w:r>
      <w:r w:rsidR="002A4BF6" w:rsidRPr="0018093C">
        <w:rPr>
          <w:rFonts w:ascii="Times New Roman" w:hAnsi="Times New Roman"/>
          <w:snapToGrid w:val="0"/>
          <w:lang w:eastAsia="en-US"/>
        </w:rPr>
        <w:t xml:space="preserve">9.7%, 9.9%, or 10.2% </w:t>
      </w:r>
      <w:r w:rsidRPr="0018093C">
        <w:rPr>
          <w:rFonts w:ascii="Times New Roman" w:hAnsi="Times New Roman"/>
          <w:snapToGrid w:val="0"/>
          <w:lang w:eastAsia="en-US"/>
        </w:rPr>
        <w:t xml:space="preserve">is if rates are set so that </w:t>
      </w:r>
      <w:r w:rsidR="002A4BF6" w:rsidRPr="0018093C">
        <w:rPr>
          <w:rFonts w:ascii="Times New Roman" w:hAnsi="Times New Roman"/>
          <w:snapToGrid w:val="0"/>
          <w:lang w:eastAsia="en-US"/>
        </w:rPr>
        <w:t xml:space="preserve">utilities </w:t>
      </w:r>
      <w:r w:rsidRPr="0018093C">
        <w:rPr>
          <w:rFonts w:ascii="Times New Roman" w:hAnsi="Times New Roman"/>
          <w:snapToGrid w:val="0"/>
          <w:lang w:eastAsia="en-US"/>
        </w:rPr>
        <w:t xml:space="preserve">will in fact earn </w:t>
      </w:r>
      <w:r w:rsidR="002A4BF6" w:rsidRPr="0018093C">
        <w:rPr>
          <w:rFonts w:ascii="Times New Roman" w:hAnsi="Times New Roman"/>
          <w:snapToGrid w:val="0"/>
          <w:lang w:eastAsia="en-US"/>
        </w:rPr>
        <w:t xml:space="preserve">ROEs of 9.7%, 9.9%, or 10.2%.  </w:t>
      </w:r>
      <w:r w:rsidRPr="0018093C">
        <w:rPr>
          <w:rFonts w:ascii="Times New Roman" w:hAnsi="Times New Roman"/>
          <w:snapToGrid w:val="0"/>
          <w:lang w:eastAsia="en-US"/>
        </w:rPr>
        <w:t>The only logical conclusion to be drawn from the data is that the group</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cost of equity is </w:t>
      </w:r>
      <w:r w:rsidR="002A4BF6" w:rsidRPr="0018093C">
        <w:rPr>
          <w:rFonts w:ascii="Times New Roman" w:hAnsi="Times New Roman"/>
          <w:snapToGrid w:val="0"/>
          <w:lang w:eastAsia="en-US"/>
        </w:rPr>
        <w:t>significantly higher than Mr. Hill</w:t>
      </w:r>
      <w:r w:rsidR="00942E42" w:rsidRPr="0018093C">
        <w:rPr>
          <w:rFonts w:ascii="Times New Roman" w:hAnsi="Times New Roman"/>
          <w:snapToGrid w:val="0"/>
          <w:lang w:eastAsia="en-US"/>
        </w:rPr>
        <w:t>’</w:t>
      </w:r>
      <w:r w:rsidR="002A4BF6" w:rsidRPr="0018093C">
        <w:rPr>
          <w:rFonts w:ascii="Times New Roman" w:hAnsi="Times New Roman"/>
          <w:snapToGrid w:val="0"/>
          <w:lang w:eastAsia="en-US"/>
        </w:rPr>
        <w:t xml:space="preserve">s DCF analysis projects </w:t>
      </w:r>
      <w:r w:rsidR="00EB46C0" w:rsidRPr="0018093C">
        <w:rPr>
          <w:rFonts w:ascii="Times New Roman" w:hAnsi="Times New Roman"/>
          <w:snapToGrid w:val="0"/>
          <w:lang w:eastAsia="en-US"/>
        </w:rPr>
        <w:t xml:space="preserve">because </w:t>
      </w:r>
      <w:r w:rsidR="002A4BF6" w:rsidRPr="0018093C">
        <w:rPr>
          <w:rFonts w:ascii="Times New Roman" w:hAnsi="Times New Roman"/>
          <w:snapToGrid w:val="0"/>
          <w:lang w:eastAsia="en-US"/>
        </w:rPr>
        <w:t xml:space="preserve">Mr. Hill uses much larger ROEs in his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methodology</w:t>
      </w:r>
      <w:r w:rsidRPr="0018093C">
        <w:rPr>
          <w:rFonts w:ascii="Times New Roman" w:hAnsi="Times New Roman"/>
          <w:snapToGrid w:val="0"/>
          <w:lang w:eastAsia="en-US"/>
        </w:rPr>
        <w:t>.</w:t>
      </w:r>
    </w:p>
    <w:p w14:paraId="09B41EC6" w14:textId="77777777" w:rsidR="003E40B8" w:rsidRPr="0018093C" w:rsidRDefault="003E40B8" w:rsidP="00370583">
      <w:pPr>
        <w:pStyle w:val="answer"/>
        <w:ind w:firstLine="0"/>
        <w:rPr>
          <w:rFonts w:ascii="Times New Roman" w:hAnsi="Times New Roman"/>
          <w:snapToGrid w:val="0"/>
          <w:lang w:eastAsia="en-US"/>
        </w:rPr>
      </w:pPr>
      <w:r w:rsidRPr="0018093C">
        <w:rPr>
          <w:rFonts w:ascii="Times New Roman" w:hAnsi="Times New Roman"/>
          <w:snapToGrid w:val="0"/>
          <w:lang w:eastAsia="en-US"/>
        </w:rPr>
        <w:t>In brief,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implementation of the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growth method</w:t>
      </w:r>
      <w:r w:rsidR="00EB46C0" w:rsidRPr="0018093C">
        <w:rPr>
          <w:rFonts w:ascii="Times New Roman" w:hAnsi="Times New Roman"/>
          <w:snapToGrid w:val="0"/>
          <w:lang w:eastAsia="en-US"/>
        </w:rPr>
        <w:t>ology</w:t>
      </w:r>
      <w:r w:rsidRPr="0018093C">
        <w:rPr>
          <w:rFonts w:ascii="Times New Roman" w:hAnsi="Times New Roman"/>
          <w:snapToGrid w:val="0"/>
          <w:lang w:eastAsia="en-US"/>
        </w:rPr>
        <w:t xml:space="preserve"> is logically circular because it assumes a ROE in a regulatory process that is designed to estimat</w:t>
      </w:r>
      <w:r w:rsidR="00EB46C0" w:rsidRPr="0018093C">
        <w:rPr>
          <w:rFonts w:ascii="Times New Roman" w:hAnsi="Times New Roman"/>
          <w:snapToGrid w:val="0"/>
          <w:lang w:eastAsia="en-US"/>
        </w:rPr>
        <w:t>e the fair and reasonable ROE.</w:t>
      </w:r>
    </w:p>
    <w:p w14:paraId="5E0D573D"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70583" w:rsidRPr="0018093C">
        <w:rPr>
          <w:rFonts w:ascii="Times New Roman" w:hAnsi="Times New Roman"/>
          <w:snapToGrid w:val="0"/>
          <w:lang w:eastAsia="en-US"/>
        </w:rPr>
        <w:t xml:space="preserve">Is the </w:t>
      </w:r>
      <w:r w:rsidR="00EB46C0" w:rsidRPr="0018093C">
        <w:rPr>
          <w:rFonts w:ascii="Times New Roman" w:hAnsi="Times New Roman"/>
          <w:snapToGrid w:val="0"/>
          <w:lang w:eastAsia="en-US"/>
        </w:rPr>
        <w:t xml:space="preserve">sustainable </w:t>
      </w:r>
      <w:r w:rsidR="00370583" w:rsidRPr="0018093C">
        <w:rPr>
          <w:rFonts w:ascii="Times New Roman" w:hAnsi="Times New Roman"/>
          <w:snapToGrid w:val="0"/>
          <w:lang w:eastAsia="en-US"/>
        </w:rPr>
        <w:t>growth method</w:t>
      </w:r>
      <w:r w:rsidR="00EB46C0" w:rsidRPr="0018093C">
        <w:rPr>
          <w:rFonts w:ascii="Times New Roman" w:hAnsi="Times New Roman"/>
          <w:snapToGrid w:val="0"/>
          <w:lang w:eastAsia="en-US"/>
        </w:rPr>
        <w:t>ology</w:t>
      </w:r>
      <w:r w:rsidR="00370583" w:rsidRPr="0018093C">
        <w:rPr>
          <w:rFonts w:ascii="Times New Roman" w:hAnsi="Times New Roman"/>
          <w:snapToGrid w:val="0"/>
          <w:lang w:eastAsia="en-US"/>
        </w:rPr>
        <w:t xml:space="preserve"> consistent with the empirical </w:t>
      </w:r>
      <w:r w:rsidR="00EB46C0" w:rsidRPr="0018093C">
        <w:rPr>
          <w:rFonts w:ascii="Times New Roman" w:hAnsi="Times New Roman"/>
          <w:snapToGrid w:val="0"/>
          <w:lang w:eastAsia="en-US"/>
        </w:rPr>
        <w:t xml:space="preserve">financial </w:t>
      </w:r>
      <w:r w:rsidR="00370583" w:rsidRPr="0018093C">
        <w:rPr>
          <w:rFonts w:ascii="Times New Roman" w:hAnsi="Times New Roman"/>
          <w:snapToGrid w:val="0"/>
          <w:lang w:eastAsia="en-US"/>
        </w:rPr>
        <w:t>evidence?</w:t>
      </w:r>
    </w:p>
    <w:p w14:paraId="40D899AC"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it is not.  The second difficulty with the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 xml:space="preserve">methodology </w:t>
      </w:r>
      <w:r w:rsidRPr="0018093C">
        <w:rPr>
          <w:rFonts w:ascii="Times New Roman" w:hAnsi="Times New Roman"/>
          <w:snapToGrid w:val="0"/>
          <w:lang w:eastAsia="en-US"/>
        </w:rPr>
        <w:t xml:space="preserve">is that the empirical finance literature demonstrates this particular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of determining growth </w:t>
      </w:r>
      <w:r w:rsidR="00EB46C0" w:rsidRPr="0018093C">
        <w:rPr>
          <w:rFonts w:ascii="Times New Roman" w:hAnsi="Times New Roman"/>
          <w:snapToGrid w:val="0"/>
          <w:lang w:eastAsia="en-US"/>
        </w:rPr>
        <w:t>(i) </w:t>
      </w:r>
      <w:r w:rsidRPr="0018093C">
        <w:rPr>
          <w:rFonts w:ascii="Times New Roman" w:hAnsi="Times New Roman"/>
          <w:snapToGrid w:val="0"/>
          <w:lang w:eastAsia="en-US"/>
        </w:rPr>
        <w:t>is a very poor explanatory variable of market value</w:t>
      </w:r>
      <w:r w:rsidR="00EB46C0"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and </w:t>
      </w:r>
      <w:r w:rsidR="00EB46C0" w:rsidRPr="0018093C">
        <w:rPr>
          <w:rFonts w:ascii="Times New Roman" w:hAnsi="Times New Roman"/>
          <w:snapToGrid w:val="0"/>
          <w:lang w:eastAsia="en-US"/>
        </w:rPr>
        <w:t>(ii) </w:t>
      </w:r>
      <w:r w:rsidRPr="0018093C">
        <w:rPr>
          <w:rFonts w:ascii="Times New Roman" w:hAnsi="Times New Roman"/>
          <w:snapToGrid w:val="0"/>
          <w:lang w:eastAsia="en-US"/>
        </w:rPr>
        <w:t>is not as significantly correlated to measures of value, such as stock pr</w:t>
      </w:r>
      <w:r w:rsidR="00EB46C0" w:rsidRPr="0018093C">
        <w:rPr>
          <w:rFonts w:ascii="Times New Roman" w:hAnsi="Times New Roman"/>
          <w:snapToGrid w:val="0"/>
          <w:lang w:eastAsia="en-US"/>
        </w:rPr>
        <w:t>ice and price/earnings ratios.</w:t>
      </w:r>
    </w:p>
    <w:p w14:paraId="508C4582"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70583" w:rsidRPr="0018093C">
        <w:rPr>
          <w:rFonts w:ascii="Times New Roman" w:hAnsi="Times New Roman"/>
          <w:snapToGrid w:val="0"/>
          <w:lang w:eastAsia="en-US"/>
        </w:rPr>
        <w:t>Are Value Line</w:t>
      </w:r>
      <w:r w:rsidR="00942E42" w:rsidRPr="0018093C">
        <w:rPr>
          <w:rFonts w:ascii="Times New Roman" w:hAnsi="Times New Roman"/>
          <w:snapToGrid w:val="0"/>
          <w:lang w:eastAsia="en-US"/>
        </w:rPr>
        <w:t>’</w:t>
      </w:r>
      <w:r w:rsidR="00370583" w:rsidRPr="0018093C">
        <w:rPr>
          <w:rFonts w:ascii="Times New Roman" w:hAnsi="Times New Roman"/>
          <w:snapToGrid w:val="0"/>
          <w:lang w:eastAsia="en-US"/>
        </w:rPr>
        <w:t>s ROE and retention ratio estimates representative of the market consensus?</w:t>
      </w:r>
    </w:p>
    <w:p w14:paraId="305366E4"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not necessarily.  The third difficulty with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 xml:space="preserve">methodology </w:t>
      </w:r>
      <w:r w:rsidRPr="0018093C">
        <w:rPr>
          <w:rFonts w:ascii="Times New Roman" w:hAnsi="Times New Roman"/>
          <w:snapToGrid w:val="0"/>
          <w:lang w:eastAsia="en-US"/>
        </w:rPr>
        <w:t>is that exclusive reliance on Value Line forecasts of ROE and retention ratio</w:t>
      </w:r>
      <w:r w:rsidR="00EB46C0" w:rsidRPr="0018093C">
        <w:rPr>
          <w:rFonts w:ascii="Times New Roman" w:hAnsi="Times New Roman"/>
          <w:snapToGrid w:val="0"/>
          <w:lang w:eastAsia="en-US"/>
        </w:rPr>
        <w:t>s</w:t>
      </w:r>
      <w:r w:rsidRPr="0018093C">
        <w:rPr>
          <w:rFonts w:ascii="Times New Roman" w:hAnsi="Times New Roman"/>
          <w:snapToGrid w:val="0"/>
          <w:lang w:eastAsia="en-US"/>
        </w:rPr>
        <w:t xml:space="preserve"> </w:t>
      </w:r>
      <w:r w:rsidR="00EB46C0" w:rsidRPr="0018093C">
        <w:rPr>
          <w:rFonts w:ascii="Times New Roman" w:hAnsi="Times New Roman"/>
          <w:snapToGrid w:val="0"/>
          <w:lang w:eastAsia="en-US"/>
        </w:rPr>
        <w:t>run</w:t>
      </w:r>
      <w:r w:rsidRPr="0018093C">
        <w:rPr>
          <w:rFonts w:ascii="Times New Roman" w:hAnsi="Times New Roman"/>
          <w:snapToGrid w:val="0"/>
          <w:lang w:eastAsia="en-US"/>
        </w:rPr>
        <w:t xml:space="preserve"> the risk that such forecasts are not representative of</w:t>
      </w:r>
      <w:r w:rsidR="00EB46C0" w:rsidRPr="0018093C">
        <w:rPr>
          <w:rFonts w:ascii="Times New Roman" w:hAnsi="Times New Roman"/>
          <w:snapToGrid w:val="0"/>
          <w:lang w:eastAsia="en-US"/>
        </w:rPr>
        <w:t xml:space="preserve"> investors</w:t>
      </w:r>
      <w:r w:rsidR="00942E42" w:rsidRPr="0018093C">
        <w:rPr>
          <w:rFonts w:ascii="Times New Roman" w:hAnsi="Times New Roman"/>
          <w:snapToGrid w:val="0"/>
          <w:lang w:eastAsia="en-US"/>
        </w:rPr>
        <w:t>’</w:t>
      </w:r>
      <w:r w:rsidR="00EB46C0" w:rsidRPr="0018093C">
        <w:rPr>
          <w:rFonts w:ascii="Times New Roman" w:hAnsi="Times New Roman"/>
          <w:snapToGrid w:val="0"/>
          <w:lang w:eastAsia="en-US"/>
        </w:rPr>
        <w:t xml:space="preserve"> consensus forecast.</w:t>
      </w:r>
    </w:p>
    <w:p w14:paraId="0A9F0A6E"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70583" w:rsidRPr="0018093C">
        <w:rPr>
          <w:rFonts w:ascii="Times New Roman" w:hAnsi="Times New Roman"/>
          <w:snapToGrid w:val="0"/>
          <w:lang w:eastAsia="en-US"/>
        </w:rPr>
        <w:t>What is the fourth problem with Mr.</w:t>
      </w:r>
      <w:r w:rsidR="000018A4" w:rsidRPr="0018093C">
        <w:rPr>
          <w:rFonts w:ascii="Times New Roman" w:hAnsi="Times New Roman"/>
          <w:snapToGrid w:val="0"/>
          <w:lang w:eastAsia="en-US"/>
        </w:rPr>
        <w:t> </w:t>
      </w:r>
      <w:r w:rsidR="00370583"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70583" w:rsidRPr="0018093C">
        <w:rPr>
          <w:rFonts w:ascii="Times New Roman" w:hAnsi="Times New Roman"/>
          <w:snapToGrid w:val="0"/>
          <w:lang w:eastAsia="en-US"/>
        </w:rPr>
        <w:t xml:space="preserve">s </w:t>
      </w:r>
      <w:r w:rsidR="00EB46C0" w:rsidRPr="0018093C">
        <w:rPr>
          <w:rFonts w:ascii="Times New Roman" w:hAnsi="Times New Roman"/>
          <w:snapToGrid w:val="0"/>
          <w:lang w:eastAsia="en-US"/>
        </w:rPr>
        <w:t xml:space="preserve">sustainable </w:t>
      </w:r>
      <w:r w:rsidR="00370583" w:rsidRPr="0018093C">
        <w:rPr>
          <w:rFonts w:ascii="Times New Roman" w:hAnsi="Times New Roman"/>
          <w:snapToGrid w:val="0"/>
          <w:lang w:eastAsia="en-US"/>
        </w:rPr>
        <w:t>growth method</w:t>
      </w:r>
      <w:r w:rsidR="00EB46C0" w:rsidRPr="0018093C">
        <w:rPr>
          <w:rFonts w:ascii="Times New Roman" w:hAnsi="Times New Roman"/>
          <w:snapToGrid w:val="0"/>
          <w:lang w:eastAsia="en-US"/>
        </w:rPr>
        <w:t>ology</w:t>
      </w:r>
      <w:r w:rsidR="00370583" w:rsidRPr="0018093C">
        <w:rPr>
          <w:rFonts w:ascii="Times New Roman" w:hAnsi="Times New Roman"/>
          <w:snapToGrid w:val="0"/>
          <w:lang w:eastAsia="en-US"/>
        </w:rPr>
        <w:t>?</w:t>
      </w:r>
    </w:p>
    <w:p w14:paraId="125FCA06"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The fourth difficulty with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EB46C0" w:rsidRPr="0018093C">
        <w:rPr>
          <w:rFonts w:ascii="Times New Roman" w:hAnsi="Times New Roman"/>
          <w:snapToGrid w:val="0"/>
          <w:lang w:eastAsia="en-US"/>
        </w:rPr>
        <w:t xml:space="preserve">sustainable growth methodology </w:t>
      </w:r>
      <w:r w:rsidRPr="0018093C">
        <w:rPr>
          <w:rFonts w:ascii="Times New Roman" w:hAnsi="Times New Roman"/>
          <w:snapToGrid w:val="0"/>
          <w:lang w:eastAsia="en-US"/>
        </w:rPr>
        <w:t>is that the forecasts of the expected return on equity published by Value Line are based on end</w:t>
      </w:r>
      <w:r w:rsidR="00EB46C0" w:rsidRPr="0018093C">
        <w:rPr>
          <w:rFonts w:ascii="Times New Roman" w:hAnsi="Times New Roman"/>
          <w:snapToGrid w:val="0"/>
          <w:lang w:eastAsia="en-US"/>
        </w:rPr>
        <w:t>-</w:t>
      </w:r>
      <w:r w:rsidRPr="0018093C">
        <w:rPr>
          <w:rFonts w:ascii="Times New Roman" w:hAnsi="Times New Roman"/>
          <w:snapToGrid w:val="0"/>
          <w:lang w:eastAsia="en-US"/>
        </w:rPr>
        <w:t>of-period book equity rather than on average book equity.  The following formula</w:t>
      </w:r>
      <w:r w:rsidR="00E55AD4" w:rsidRPr="0018093C">
        <w:rPr>
          <w:rFonts w:ascii="Times New Roman" w:hAnsi="Times New Roman"/>
          <w:snapToGrid w:val="0"/>
          <w:lang w:eastAsia="en-US"/>
        </w:rPr>
        <w:t xml:space="preserve"> </w:t>
      </w:r>
      <w:r w:rsidRPr="0018093C">
        <w:rPr>
          <w:rFonts w:ascii="Times New Roman" w:hAnsi="Times New Roman"/>
          <w:snapToGrid w:val="0"/>
          <w:lang w:eastAsia="en-US"/>
        </w:rPr>
        <w:t>adjusts the reported end-of-year values so that they are based on average common equity, which is the common regulatory practice:</w:t>
      </w:r>
      <w:r w:rsidR="002A4BF6" w:rsidRPr="0018093C">
        <w:rPr>
          <w:rStyle w:val="FootnoteReference"/>
          <w:rFonts w:ascii="Times New Roman" w:hAnsi="Times New Roman"/>
          <w:snapToGrid w:val="0"/>
          <w:lang w:eastAsia="en-US"/>
        </w:rPr>
        <w:footnoteReference w:id="35"/>
      </w:r>
    </w:p>
    <w:tbl>
      <w:tblPr>
        <w:tblStyle w:val="TableGrid"/>
        <w:tblW w:w="289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
        <w:gridCol w:w="483"/>
        <w:gridCol w:w="1365"/>
      </w:tblGrid>
      <w:tr w:rsidR="00654411" w:rsidRPr="0018093C" w14:paraId="65000DBC" w14:textId="77777777" w:rsidTr="00024BD7">
        <w:tc>
          <w:tcPr>
            <w:tcW w:w="523" w:type="dxa"/>
            <w:vMerge w:val="restart"/>
            <w:vAlign w:val="center"/>
          </w:tcPr>
          <w:p w14:paraId="7FD5F429"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r</w:t>
            </w:r>
            <w:r w:rsidRPr="0018093C">
              <w:rPr>
                <w:rFonts w:ascii="Times New Roman" w:hAnsi="Times New Roman"/>
                <w:snapToGrid w:val="0"/>
                <w:vertAlign w:val="subscript"/>
                <w:lang w:eastAsia="en-US"/>
              </w:rPr>
              <w:t>a</w:t>
            </w:r>
          </w:p>
        </w:tc>
        <w:tc>
          <w:tcPr>
            <w:tcW w:w="523" w:type="dxa"/>
            <w:vMerge w:val="restart"/>
            <w:vAlign w:val="center"/>
          </w:tcPr>
          <w:p w14:paraId="4E04BAA3"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w:t>
            </w:r>
          </w:p>
        </w:tc>
        <w:tc>
          <w:tcPr>
            <w:tcW w:w="483" w:type="dxa"/>
            <w:vMerge w:val="restart"/>
            <w:vAlign w:val="center"/>
          </w:tcPr>
          <w:p w14:paraId="2678CEDE" w14:textId="77777777" w:rsidR="00654411" w:rsidRPr="0018093C" w:rsidRDefault="00024BD7"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R</w:t>
            </w:r>
            <w:r w:rsidR="00654411" w:rsidRPr="0018093C">
              <w:rPr>
                <w:rFonts w:ascii="Times New Roman" w:hAnsi="Times New Roman"/>
                <w:snapToGrid w:val="0"/>
                <w:vertAlign w:val="subscript"/>
                <w:lang w:eastAsia="en-US"/>
              </w:rPr>
              <w:t>t</w:t>
            </w:r>
          </w:p>
        </w:tc>
        <w:tc>
          <w:tcPr>
            <w:tcW w:w="1365" w:type="dxa"/>
            <w:tcBorders>
              <w:bottom w:val="single" w:sz="4" w:space="0" w:color="auto"/>
            </w:tcBorders>
          </w:tcPr>
          <w:p w14:paraId="03A4D15A"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2B</w:t>
            </w:r>
            <w:r w:rsidRPr="0018093C">
              <w:rPr>
                <w:rFonts w:ascii="Times New Roman" w:hAnsi="Times New Roman"/>
                <w:snapToGrid w:val="0"/>
                <w:vertAlign w:val="subscript"/>
                <w:lang w:eastAsia="en-US"/>
              </w:rPr>
              <w:t>t</w:t>
            </w:r>
          </w:p>
        </w:tc>
      </w:tr>
      <w:tr w:rsidR="00654411" w:rsidRPr="0018093C" w14:paraId="31817003" w14:textId="77777777" w:rsidTr="00024BD7">
        <w:tc>
          <w:tcPr>
            <w:tcW w:w="523" w:type="dxa"/>
            <w:vMerge/>
          </w:tcPr>
          <w:p w14:paraId="4E1BCD4C" w14:textId="77777777" w:rsidR="00654411" w:rsidRPr="0018093C" w:rsidRDefault="00654411" w:rsidP="00654411">
            <w:pPr>
              <w:pStyle w:val="answer"/>
              <w:spacing w:before="0" w:after="0" w:line="240" w:lineRule="auto"/>
              <w:ind w:left="0" w:firstLine="0"/>
              <w:rPr>
                <w:rFonts w:ascii="Times New Roman" w:hAnsi="Times New Roman"/>
                <w:snapToGrid w:val="0"/>
                <w:lang w:eastAsia="en-US"/>
              </w:rPr>
            </w:pPr>
          </w:p>
        </w:tc>
        <w:tc>
          <w:tcPr>
            <w:tcW w:w="523" w:type="dxa"/>
            <w:vMerge/>
          </w:tcPr>
          <w:p w14:paraId="1B9FBAF2" w14:textId="77777777" w:rsidR="00654411" w:rsidRPr="0018093C" w:rsidRDefault="00654411" w:rsidP="00914190">
            <w:pPr>
              <w:pStyle w:val="answer"/>
              <w:spacing w:before="0" w:after="0" w:line="240" w:lineRule="auto"/>
              <w:ind w:left="0" w:firstLine="0"/>
              <w:rPr>
                <w:rFonts w:ascii="Times New Roman" w:hAnsi="Times New Roman"/>
                <w:snapToGrid w:val="0"/>
                <w:lang w:eastAsia="en-US"/>
              </w:rPr>
            </w:pPr>
          </w:p>
        </w:tc>
        <w:tc>
          <w:tcPr>
            <w:tcW w:w="483" w:type="dxa"/>
            <w:vMerge/>
          </w:tcPr>
          <w:p w14:paraId="59D3A3B0" w14:textId="77777777" w:rsidR="00654411" w:rsidRPr="0018093C" w:rsidRDefault="00654411" w:rsidP="00654411">
            <w:pPr>
              <w:pStyle w:val="answer"/>
              <w:spacing w:before="0" w:after="0" w:line="240" w:lineRule="auto"/>
              <w:ind w:left="0" w:firstLine="0"/>
              <w:rPr>
                <w:rFonts w:ascii="Times New Roman" w:hAnsi="Times New Roman"/>
                <w:snapToGrid w:val="0"/>
                <w:lang w:eastAsia="en-US"/>
              </w:rPr>
            </w:pPr>
          </w:p>
        </w:tc>
        <w:tc>
          <w:tcPr>
            <w:tcW w:w="1365" w:type="dxa"/>
            <w:tcBorders>
              <w:top w:val="single" w:sz="4" w:space="0" w:color="auto"/>
            </w:tcBorders>
          </w:tcPr>
          <w:p w14:paraId="273B859C"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B</w:t>
            </w:r>
            <w:r w:rsidRPr="0018093C">
              <w:rPr>
                <w:rFonts w:ascii="Times New Roman" w:hAnsi="Times New Roman"/>
                <w:snapToGrid w:val="0"/>
                <w:vertAlign w:val="subscript"/>
                <w:lang w:eastAsia="en-US"/>
              </w:rPr>
              <w:t>t</w:t>
            </w:r>
            <w:r w:rsidRPr="0018093C">
              <w:rPr>
                <w:rFonts w:ascii="Times New Roman" w:hAnsi="Times New Roman"/>
                <w:snapToGrid w:val="0"/>
                <w:lang w:eastAsia="en-US"/>
              </w:rPr>
              <w:t xml:space="preserve"> +</w:t>
            </w:r>
            <w:r w:rsidR="00024BD7" w:rsidRPr="0018093C">
              <w:rPr>
                <w:rFonts w:ascii="Times New Roman" w:hAnsi="Times New Roman"/>
                <w:snapToGrid w:val="0"/>
                <w:lang w:eastAsia="en-US"/>
              </w:rPr>
              <w:t xml:space="preserve"> B</w:t>
            </w:r>
            <w:r w:rsidR="00024BD7" w:rsidRPr="0018093C">
              <w:rPr>
                <w:rFonts w:ascii="Times New Roman" w:hAnsi="Times New Roman"/>
                <w:snapToGrid w:val="0"/>
                <w:vertAlign w:val="subscript"/>
                <w:lang w:eastAsia="en-US"/>
              </w:rPr>
              <w:t>t</w:t>
            </w:r>
            <w:r w:rsidR="00024BD7" w:rsidRPr="0018093C">
              <w:rPr>
                <w:rFonts w:ascii="Times New Roman" w:hAnsi="Times New Roman"/>
                <w:snapToGrid w:val="0"/>
                <w:lang w:eastAsia="en-US"/>
              </w:rPr>
              <w:t>-</w:t>
            </w:r>
            <w:r w:rsidRPr="0018093C">
              <w:rPr>
                <w:rFonts w:ascii="Times New Roman" w:hAnsi="Times New Roman"/>
                <w:snapToGrid w:val="0"/>
                <w:lang w:eastAsia="en-US"/>
              </w:rPr>
              <w:t>1</w:t>
            </w:r>
          </w:p>
        </w:tc>
      </w:tr>
    </w:tbl>
    <w:p w14:paraId="4DB301B9" w14:textId="77777777" w:rsidR="003E40B8" w:rsidRPr="0018093C" w:rsidRDefault="00024BD7" w:rsidP="00024BD7">
      <w:pPr>
        <w:pStyle w:val="answer"/>
        <w:tabs>
          <w:tab w:val="left" w:pos="3060"/>
          <w:tab w:val="left" w:pos="3420"/>
        </w:tabs>
        <w:spacing w:before="360" w:after="360" w:line="240" w:lineRule="auto"/>
        <w:ind w:left="2434" w:hanging="994"/>
        <w:rPr>
          <w:rFonts w:ascii="Times New Roman" w:hAnsi="Times New Roman"/>
          <w:snapToGrid w:val="0"/>
          <w:lang w:eastAsia="en-US"/>
        </w:rPr>
      </w:pPr>
      <w:r w:rsidRPr="0018093C">
        <w:rPr>
          <w:rFonts w:ascii="Times New Roman" w:hAnsi="Times New Roman"/>
          <w:snapToGrid w:val="0"/>
          <w:lang w:eastAsia="en-US"/>
        </w:rPr>
        <w:t>Where:</w:t>
      </w:r>
      <w:r w:rsidRPr="0018093C">
        <w:rPr>
          <w:rFonts w:ascii="Times New Roman" w:hAnsi="Times New Roman"/>
          <w:snapToGrid w:val="0"/>
          <w:lang w:eastAsia="en-US"/>
        </w:rPr>
        <w:tab/>
        <w:t>r</w:t>
      </w:r>
      <w:r w:rsidRPr="0018093C">
        <w:rPr>
          <w:rFonts w:ascii="Times New Roman" w:hAnsi="Times New Roman"/>
          <w:snapToGrid w:val="0"/>
          <w:vertAlign w:val="subscript"/>
          <w:lang w:eastAsia="en-US"/>
        </w:rPr>
        <w:t>a</w:t>
      </w:r>
      <w:r w:rsidRPr="0018093C">
        <w:rPr>
          <w:rFonts w:ascii="Times New Roman" w:hAnsi="Times New Roman"/>
          <w:snapToGrid w:val="0"/>
          <w:lang w:eastAsia="en-US"/>
        </w:rPr>
        <w:tab/>
        <w:t>=</w:t>
      </w:r>
      <w:r w:rsidRPr="0018093C">
        <w:rPr>
          <w:rFonts w:ascii="Times New Roman" w:hAnsi="Times New Roman"/>
          <w:snapToGrid w:val="0"/>
          <w:lang w:eastAsia="en-US"/>
        </w:rPr>
        <w:tab/>
      </w:r>
      <w:r w:rsidR="003E40B8" w:rsidRPr="0018093C">
        <w:rPr>
          <w:rFonts w:ascii="Times New Roman" w:hAnsi="Times New Roman"/>
          <w:snapToGrid w:val="0"/>
          <w:lang w:eastAsia="en-US"/>
        </w:rPr>
        <w:t>return on average equity</w:t>
      </w:r>
      <w:r w:rsidRPr="0018093C">
        <w:rPr>
          <w:rFonts w:ascii="Times New Roman" w:hAnsi="Times New Roman"/>
          <w:snapToGrid w:val="0"/>
          <w:lang w:eastAsia="en-US"/>
        </w:rPr>
        <w:br/>
        <w:t>r</w:t>
      </w:r>
      <w:r w:rsidRPr="0018093C">
        <w:rPr>
          <w:rFonts w:ascii="Times New Roman" w:hAnsi="Times New Roman"/>
          <w:snapToGrid w:val="0"/>
          <w:vertAlign w:val="subscript"/>
          <w:lang w:eastAsia="en-US"/>
        </w:rPr>
        <w:t>t</w:t>
      </w:r>
      <w:r w:rsidR="003E40B8" w:rsidRPr="0018093C">
        <w:rPr>
          <w:rFonts w:ascii="Times New Roman" w:hAnsi="Times New Roman"/>
          <w:snapToGrid w:val="0"/>
          <w:lang w:eastAsia="en-US"/>
        </w:rPr>
        <w:tab/>
        <w:t>=</w:t>
      </w:r>
      <w:r w:rsidRPr="0018093C">
        <w:rPr>
          <w:rFonts w:ascii="Times New Roman" w:hAnsi="Times New Roman"/>
          <w:snapToGrid w:val="0"/>
          <w:lang w:eastAsia="en-US"/>
        </w:rPr>
        <w:tab/>
      </w:r>
      <w:r w:rsidR="003E40B8" w:rsidRPr="0018093C">
        <w:rPr>
          <w:rFonts w:ascii="Times New Roman" w:hAnsi="Times New Roman"/>
          <w:snapToGrid w:val="0"/>
          <w:lang w:eastAsia="en-US"/>
        </w:rPr>
        <w:t>return on year-end equity as reported</w:t>
      </w:r>
      <w:r w:rsidRPr="0018093C">
        <w:rPr>
          <w:rFonts w:ascii="Times New Roman" w:hAnsi="Times New Roman"/>
          <w:snapToGrid w:val="0"/>
          <w:lang w:eastAsia="en-US"/>
        </w:rPr>
        <w:br/>
        <w:t>B</w:t>
      </w:r>
      <w:r w:rsidRPr="0018093C">
        <w:rPr>
          <w:rFonts w:ascii="Times New Roman" w:hAnsi="Times New Roman"/>
          <w:snapToGrid w:val="0"/>
          <w:vertAlign w:val="subscript"/>
          <w:lang w:eastAsia="en-US"/>
        </w:rPr>
        <w:t>t</w:t>
      </w:r>
      <w:r w:rsidR="003E40B8" w:rsidRPr="0018093C">
        <w:rPr>
          <w:rFonts w:ascii="Times New Roman" w:hAnsi="Times New Roman"/>
          <w:snapToGrid w:val="0"/>
          <w:lang w:eastAsia="en-US"/>
        </w:rPr>
        <w:tab/>
        <w:t>=</w:t>
      </w:r>
      <w:r w:rsidRPr="0018093C">
        <w:rPr>
          <w:rFonts w:ascii="Times New Roman" w:hAnsi="Times New Roman"/>
          <w:snapToGrid w:val="0"/>
          <w:lang w:eastAsia="en-US"/>
        </w:rPr>
        <w:tab/>
      </w:r>
      <w:r w:rsidR="003E40B8" w:rsidRPr="0018093C">
        <w:rPr>
          <w:rFonts w:ascii="Times New Roman" w:hAnsi="Times New Roman"/>
          <w:snapToGrid w:val="0"/>
          <w:lang w:eastAsia="en-US"/>
        </w:rPr>
        <w:t>reported year-end book equity of the current year</w:t>
      </w:r>
      <w:r w:rsidRPr="0018093C">
        <w:rPr>
          <w:rFonts w:ascii="Times New Roman" w:hAnsi="Times New Roman"/>
          <w:snapToGrid w:val="0"/>
          <w:lang w:eastAsia="en-US"/>
        </w:rPr>
        <w:br/>
      </w:r>
      <w:r w:rsidR="003E40B8" w:rsidRPr="0018093C">
        <w:rPr>
          <w:rFonts w:ascii="Times New Roman" w:hAnsi="Times New Roman"/>
          <w:snapToGrid w:val="0"/>
          <w:lang w:eastAsia="en-US"/>
        </w:rPr>
        <w:t>B</w:t>
      </w:r>
      <w:r w:rsidR="003E40B8" w:rsidRPr="0018093C">
        <w:rPr>
          <w:rFonts w:ascii="Times New Roman" w:hAnsi="Times New Roman"/>
          <w:snapToGrid w:val="0"/>
          <w:vertAlign w:val="subscript"/>
          <w:lang w:eastAsia="en-US"/>
        </w:rPr>
        <w:t>t</w:t>
      </w:r>
      <w:r w:rsidR="003E40B8" w:rsidRPr="0018093C">
        <w:rPr>
          <w:rFonts w:ascii="Times New Roman" w:hAnsi="Times New Roman"/>
          <w:snapToGrid w:val="0"/>
          <w:lang w:eastAsia="en-US"/>
        </w:rPr>
        <w:t>-1</w:t>
      </w:r>
      <w:r w:rsidRPr="0018093C">
        <w:rPr>
          <w:rFonts w:ascii="Times New Roman" w:hAnsi="Times New Roman"/>
          <w:snapToGrid w:val="0"/>
          <w:lang w:eastAsia="en-US"/>
        </w:rPr>
        <w:tab/>
      </w:r>
      <w:r w:rsidR="003E40B8" w:rsidRPr="0018093C">
        <w:rPr>
          <w:rFonts w:ascii="Times New Roman" w:hAnsi="Times New Roman"/>
          <w:snapToGrid w:val="0"/>
          <w:lang w:eastAsia="en-US"/>
        </w:rPr>
        <w:t>=</w:t>
      </w:r>
      <w:r w:rsidRPr="0018093C">
        <w:rPr>
          <w:rFonts w:ascii="Times New Roman" w:hAnsi="Times New Roman"/>
          <w:snapToGrid w:val="0"/>
          <w:lang w:eastAsia="en-US"/>
        </w:rPr>
        <w:tab/>
      </w:r>
      <w:r w:rsidR="003E40B8" w:rsidRPr="0018093C">
        <w:rPr>
          <w:rFonts w:ascii="Times New Roman" w:hAnsi="Times New Roman"/>
          <w:snapToGrid w:val="0"/>
          <w:lang w:eastAsia="en-US"/>
        </w:rPr>
        <w:t>reported year-end book equity of the previous year</w:t>
      </w:r>
    </w:p>
    <w:p w14:paraId="6755FFDB" w14:textId="77777777" w:rsidR="003E40B8" w:rsidRPr="0018093C" w:rsidRDefault="003E40B8" w:rsidP="00024BD7">
      <w:pPr>
        <w:pStyle w:val="answer"/>
        <w:ind w:firstLine="0"/>
        <w:rPr>
          <w:rFonts w:ascii="Times New Roman" w:hAnsi="Times New Roman"/>
          <w:snapToGrid w:val="0"/>
          <w:lang w:eastAsia="en-US"/>
        </w:rPr>
      </w:pPr>
      <w:r w:rsidRPr="0018093C">
        <w:rPr>
          <w:rFonts w:ascii="Times New Roman" w:hAnsi="Times New Roman"/>
          <w:snapToGrid w:val="0"/>
          <w:lang w:eastAsia="en-US"/>
        </w:rPr>
        <w:t>The result of this error is that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DCF estimates are understated by some 10-20 basis points, depending on the magnitude of the book value growth rate.</w:t>
      </w:r>
    </w:p>
    <w:p w14:paraId="694552BE" w14:textId="77777777" w:rsidR="003E40B8" w:rsidRPr="0018093C" w:rsidRDefault="0010342F" w:rsidP="00D64DC2">
      <w:pPr>
        <w:pStyle w:val="Heading4"/>
      </w:pPr>
      <w:bookmarkStart w:id="12" w:name="_Toc406751104"/>
      <w:r w:rsidRPr="0018093C">
        <w:lastRenderedPageBreak/>
        <w:t>c</w:t>
      </w:r>
      <w:r w:rsidR="003E40B8" w:rsidRPr="0018093C">
        <w:t>.</w:t>
      </w:r>
      <w:r w:rsidR="003E40B8" w:rsidRPr="0018093C">
        <w:tab/>
      </w:r>
      <w:r w:rsidR="00024BD7" w:rsidRPr="0018093C">
        <w:t>Mr.</w:t>
      </w:r>
      <w:r w:rsidR="000018A4" w:rsidRPr="0018093C">
        <w:t> </w:t>
      </w:r>
      <w:r w:rsidR="00024BD7" w:rsidRPr="0018093C">
        <w:t xml:space="preserve">Hill </w:t>
      </w:r>
      <w:r w:rsidRPr="0018093C">
        <w:t xml:space="preserve">Erroneously Relies </w:t>
      </w:r>
      <w:r w:rsidR="00024BD7" w:rsidRPr="0018093C">
        <w:t xml:space="preserve">on </w:t>
      </w:r>
      <w:r w:rsidRPr="0018093C">
        <w:t xml:space="preserve">Historical Growth Rates </w:t>
      </w:r>
      <w:r w:rsidR="00024BD7" w:rsidRPr="0018093C">
        <w:t xml:space="preserve">in </w:t>
      </w:r>
      <w:r w:rsidRPr="0018093C">
        <w:t xml:space="preserve">His </w:t>
      </w:r>
      <w:r w:rsidR="00024BD7" w:rsidRPr="0018093C">
        <w:t xml:space="preserve">DCF </w:t>
      </w:r>
      <w:r w:rsidRPr="0018093C">
        <w:t>A</w:t>
      </w:r>
      <w:r w:rsidR="00024BD7" w:rsidRPr="0018093C">
        <w:t>nalysis</w:t>
      </w:r>
      <w:bookmarkEnd w:id="12"/>
    </w:p>
    <w:p w14:paraId="2384293A"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024BD7" w:rsidRPr="0018093C">
        <w:rPr>
          <w:rFonts w:ascii="Times New Roman" w:hAnsi="Times New Roman"/>
          <w:snapToGrid w:val="0"/>
          <w:lang w:eastAsia="en-US"/>
        </w:rPr>
        <w:t>Please discuss the use of historical growth rates in applying the DCF model</w:t>
      </w:r>
      <w:r w:rsidRPr="0018093C">
        <w:rPr>
          <w:rFonts w:ascii="Times New Roman" w:hAnsi="Times New Roman"/>
          <w:snapToGrid w:val="0"/>
          <w:lang w:eastAsia="en-US"/>
        </w:rPr>
        <w:t xml:space="preserve">. </w:t>
      </w:r>
    </w:p>
    <w:p w14:paraId="202E669F"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942E42" w:rsidRPr="0018093C">
        <w:rPr>
          <w:rFonts w:ascii="Times New Roman" w:hAnsi="Times New Roman"/>
          <w:snapToGrid w:val="0"/>
          <w:lang w:eastAsia="en-US"/>
        </w:rPr>
        <w:t> </w:t>
      </w:r>
      <w:r w:rsidRPr="0018093C">
        <w:rPr>
          <w:rFonts w:ascii="Times New Roman" w:hAnsi="Times New Roman"/>
          <w:snapToGrid w:val="0"/>
          <w:lang w:eastAsia="en-US"/>
        </w:rPr>
        <w:t xml:space="preserve">Hill </w:t>
      </w:r>
      <w:r w:rsidR="00942E42" w:rsidRPr="0018093C">
        <w:rPr>
          <w:rFonts w:ascii="Times New Roman" w:hAnsi="Times New Roman"/>
          <w:snapToGrid w:val="0"/>
          <w:lang w:eastAsia="en-US"/>
        </w:rPr>
        <w:t xml:space="preserve">inappropriately </w:t>
      </w:r>
      <w:r w:rsidRPr="0018093C">
        <w:rPr>
          <w:rFonts w:ascii="Times New Roman" w:hAnsi="Times New Roman"/>
          <w:snapToGrid w:val="0"/>
          <w:lang w:eastAsia="en-US"/>
        </w:rPr>
        <w:t xml:space="preserve">considers historical growth rates in arriving at proxies for the DCF growth forecast component.  </w:t>
      </w:r>
      <w:r w:rsidR="00D85127" w:rsidRPr="0018093C">
        <w:rPr>
          <w:rFonts w:ascii="Times New Roman" w:hAnsi="Times New Roman"/>
          <w:snapToGrid w:val="0"/>
          <w:lang w:eastAsia="en-US"/>
        </w:rPr>
        <w:t>Indeed, s</w:t>
      </w:r>
      <w:r w:rsidRPr="0018093C">
        <w:rPr>
          <w:rFonts w:ascii="Times New Roman" w:hAnsi="Times New Roman"/>
          <w:snapToGrid w:val="0"/>
          <w:lang w:eastAsia="en-US"/>
        </w:rPr>
        <w:t>even of the fifteen growth proxies referred to by Mr.</w:t>
      </w:r>
      <w:r w:rsidR="00942E42" w:rsidRPr="0018093C">
        <w:rPr>
          <w:rFonts w:ascii="Times New Roman" w:hAnsi="Times New Roman"/>
          <w:snapToGrid w:val="0"/>
          <w:lang w:eastAsia="en-US"/>
        </w:rPr>
        <w:t> </w:t>
      </w:r>
      <w:r w:rsidRPr="0018093C">
        <w:rPr>
          <w:rFonts w:ascii="Times New Roman" w:hAnsi="Times New Roman"/>
          <w:snapToGrid w:val="0"/>
          <w:lang w:eastAsia="en-US"/>
        </w:rPr>
        <w:t>Hill are historical.  It may be reasonable to assume that historical growth rates in dividends/earnings influence investors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assessment of the long-run growth rate forecast of future dividends/earnings if the company and industry are stable.  Because of structural changes in the energy industry,</w:t>
      </w:r>
      <w:r w:rsidR="00D85127" w:rsidRPr="0018093C">
        <w:rPr>
          <w:rStyle w:val="FootnoteReference"/>
          <w:rFonts w:ascii="Times New Roman" w:hAnsi="Times New Roman"/>
          <w:snapToGrid w:val="0"/>
          <w:lang w:eastAsia="en-US"/>
        </w:rPr>
        <w:footnoteReference w:id="36"/>
      </w:r>
      <w:r w:rsidR="00D85127" w:rsidRPr="0018093C">
        <w:rPr>
          <w:rFonts w:ascii="Times New Roman" w:hAnsi="Times New Roman"/>
          <w:snapToGrid w:val="0"/>
          <w:lang w:eastAsia="en-US"/>
        </w:rPr>
        <w:t xml:space="preserve"> </w:t>
      </w:r>
      <w:r w:rsidRPr="0018093C">
        <w:rPr>
          <w:rFonts w:ascii="Times New Roman" w:hAnsi="Times New Roman"/>
          <w:snapToGrid w:val="0"/>
          <w:lang w:eastAsia="en-US"/>
        </w:rPr>
        <w:t>however, historical growth rates have little relevance as proxies for long-term growth forecasts.  Moreover, historical growth rates are largely redundant because such historical growth patterns are already incorporated in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 that should be used in the DCF model.</w:t>
      </w:r>
    </w:p>
    <w:p w14:paraId="2F239F5B"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024BD7" w:rsidRPr="0018093C">
        <w:rPr>
          <w:rFonts w:ascii="Times New Roman" w:hAnsi="Times New Roman"/>
          <w:snapToGrid w:val="0"/>
          <w:lang w:eastAsia="en-US"/>
        </w:rPr>
        <w:t>What do you conclude from Mr.</w:t>
      </w:r>
      <w:r w:rsidR="000018A4" w:rsidRPr="0018093C">
        <w:rPr>
          <w:rFonts w:ascii="Times New Roman" w:hAnsi="Times New Roman"/>
          <w:snapToGrid w:val="0"/>
          <w:lang w:eastAsia="en-US"/>
        </w:rPr>
        <w:t> </w:t>
      </w:r>
      <w:r w:rsidR="00024BD7"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024BD7" w:rsidRPr="0018093C">
        <w:rPr>
          <w:rFonts w:ascii="Times New Roman" w:hAnsi="Times New Roman"/>
          <w:snapToGrid w:val="0"/>
          <w:lang w:eastAsia="en-US"/>
        </w:rPr>
        <w:t>s use of historical growth rates</w:t>
      </w:r>
      <w:r w:rsidRPr="0018093C">
        <w:rPr>
          <w:rFonts w:ascii="Times New Roman" w:hAnsi="Times New Roman"/>
          <w:snapToGrid w:val="0"/>
          <w:lang w:eastAsia="en-US"/>
        </w:rPr>
        <w:t xml:space="preserve">? </w:t>
      </w:r>
    </w:p>
    <w:p w14:paraId="04A52560"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Although Mr.</w:t>
      </w:r>
      <w:r w:rsidR="00D85127" w:rsidRPr="0018093C">
        <w:rPr>
          <w:rFonts w:ascii="Times New Roman" w:hAnsi="Times New Roman"/>
          <w:snapToGrid w:val="0"/>
          <w:lang w:eastAsia="en-US"/>
        </w:rPr>
        <w:t> </w:t>
      </w:r>
      <w:r w:rsidRPr="0018093C">
        <w:rPr>
          <w:rFonts w:ascii="Times New Roman" w:hAnsi="Times New Roman"/>
          <w:snapToGrid w:val="0"/>
          <w:lang w:eastAsia="en-US"/>
        </w:rPr>
        <w:t>Hill reports and discusses historical growth rates and growth rate forecasts, it is difficult to discern from the discussion of each company</w:t>
      </w:r>
      <w:r w:rsidR="00942E42" w:rsidRPr="0018093C">
        <w:rPr>
          <w:rFonts w:ascii="Times New Roman" w:hAnsi="Times New Roman"/>
          <w:snapToGrid w:val="0"/>
          <w:lang w:eastAsia="en-US"/>
        </w:rPr>
        <w:t>’</w:t>
      </w:r>
      <w:r w:rsidRPr="0018093C">
        <w:rPr>
          <w:rFonts w:ascii="Times New Roman" w:hAnsi="Times New Roman"/>
          <w:snapToGrid w:val="0"/>
          <w:lang w:eastAsia="en-US"/>
        </w:rPr>
        <w:t>s growth rate to what extent, if any, Mr.</w:t>
      </w:r>
      <w:r w:rsidR="00D85127" w:rsidRPr="0018093C">
        <w:rPr>
          <w:rFonts w:ascii="Times New Roman" w:hAnsi="Times New Roman"/>
          <w:snapToGrid w:val="0"/>
          <w:lang w:eastAsia="en-US"/>
        </w:rPr>
        <w:t> </w:t>
      </w:r>
      <w:r w:rsidRPr="0018093C">
        <w:rPr>
          <w:rFonts w:ascii="Times New Roman" w:hAnsi="Times New Roman"/>
          <w:snapToGrid w:val="0"/>
          <w:lang w:eastAsia="en-US"/>
        </w:rPr>
        <w:t>Hill relies on historical growth rates and dividend growth rate forecasts</w:t>
      </w:r>
      <w:r w:rsidR="00E71841" w:rsidRPr="0018093C">
        <w:rPr>
          <w:rFonts w:ascii="Times New Roman" w:hAnsi="Times New Roman"/>
          <w:snapToGrid w:val="0"/>
          <w:lang w:eastAsia="en-US"/>
        </w:rPr>
        <w:t>.  (Admittedly, given the arbitrary nature of his final choice of growth estimates, it is not clear as to what weight Mr. Hill accords any of his cited growth rates, let alone historical growth rates.)  If, however, Mr.</w:t>
      </w:r>
      <w:r w:rsidR="000018A4" w:rsidRPr="0018093C">
        <w:rPr>
          <w:rFonts w:ascii="Times New Roman" w:hAnsi="Times New Roman"/>
          <w:snapToGrid w:val="0"/>
          <w:lang w:eastAsia="en-US"/>
        </w:rPr>
        <w:t> </w:t>
      </w:r>
      <w:r w:rsidR="00E71841" w:rsidRPr="0018093C">
        <w:rPr>
          <w:rFonts w:ascii="Times New Roman" w:hAnsi="Times New Roman"/>
          <w:snapToGrid w:val="0"/>
          <w:lang w:eastAsia="en-US"/>
        </w:rPr>
        <w:t xml:space="preserve">Hill relies </w:t>
      </w:r>
      <w:r w:rsidR="00E71841" w:rsidRPr="0018093C">
        <w:rPr>
          <w:rFonts w:ascii="Times New Roman" w:hAnsi="Times New Roman"/>
          <w:snapToGrid w:val="0"/>
          <w:lang w:eastAsia="en-US"/>
        </w:rPr>
        <w:lastRenderedPageBreak/>
        <w:t xml:space="preserve">on historical growth rates and dividend growth rate forecasts </w:t>
      </w:r>
      <w:r w:rsidRPr="0018093C">
        <w:rPr>
          <w:rFonts w:ascii="Times New Roman" w:hAnsi="Times New Roman"/>
          <w:snapToGrid w:val="0"/>
          <w:lang w:eastAsia="en-US"/>
        </w:rPr>
        <w:t>reported by Value Line</w:t>
      </w:r>
      <w:r w:rsidR="00E71841" w:rsidRPr="0018093C">
        <w:rPr>
          <w:rFonts w:ascii="Times New Roman" w:hAnsi="Times New Roman"/>
          <w:snapToGrid w:val="0"/>
          <w:lang w:eastAsia="en-US"/>
        </w:rPr>
        <w:t xml:space="preserve">, </w:t>
      </w:r>
      <w:r w:rsidRPr="0018093C">
        <w:rPr>
          <w:rFonts w:ascii="Times New Roman" w:hAnsi="Times New Roman"/>
          <w:snapToGrid w:val="0"/>
          <w:lang w:eastAsia="en-US"/>
        </w:rPr>
        <w:t>he does so perilously.</w:t>
      </w:r>
    </w:p>
    <w:p w14:paraId="4E979A02" w14:textId="77777777" w:rsidR="00024BD7" w:rsidRPr="0018093C" w:rsidRDefault="003E40B8" w:rsidP="00024BD7">
      <w:pPr>
        <w:pStyle w:val="answer"/>
        <w:ind w:firstLine="0"/>
        <w:rPr>
          <w:rFonts w:ascii="Times New Roman" w:hAnsi="Times New Roman"/>
          <w:snapToGrid w:val="0"/>
          <w:lang w:eastAsia="en-US"/>
        </w:rPr>
      </w:pPr>
      <w:r w:rsidRPr="0018093C">
        <w:rPr>
          <w:rFonts w:ascii="Times New Roman" w:hAnsi="Times New Roman"/>
          <w:snapToGrid w:val="0"/>
          <w:lang w:eastAsia="en-US"/>
        </w:rPr>
        <w:t>One would expect that averages of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growth forecasts, such as those contained in IBES, First Call, Reuters, or Zacks, are more reliable estimates of the investors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consensus expectations than either historical growth rates or one particular firm</w:t>
      </w:r>
      <w:r w:rsidR="00942E42" w:rsidRPr="0018093C">
        <w:rPr>
          <w:rFonts w:ascii="Times New Roman" w:hAnsi="Times New Roman"/>
          <w:snapToGrid w:val="0"/>
          <w:lang w:eastAsia="en-US"/>
        </w:rPr>
        <w:t>’</w:t>
      </w:r>
      <w:r w:rsidRPr="0018093C">
        <w:rPr>
          <w:rFonts w:ascii="Times New Roman" w:hAnsi="Times New Roman"/>
          <w:snapToGrid w:val="0"/>
          <w:lang w:eastAsia="en-US"/>
        </w:rPr>
        <w:t>s dividend growth forecast.  As discussed in my direct testimony, the empirical finance literature</w:t>
      </w:r>
      <w:r w:rsidR="00E71841" w:rsidRPr="0018093C">
        <w:rPr>
          <w:rStyle w:val="FootnoteReference"/>
          <w:rFonts w:ascii="Times New Roman" w:hAnsi="Times New Roman"/>
          <w:snapToGrid w:val="0"/>
          <w:lang w:eastAsia="en-US"/>
        </w:rPr>
        <w:footnoteReference w:id="37"/>
      </w:r>
      <w:r w:rsidR="00E71841" w:rsidRPr="0018093C">
        <w:rPr>
          <w:rFonts w:ascii="Times New Roman" w:hAnsi="Times New Roman"/>
          <w:snapToGrid w:val="0"/>
          <w:lang w:eastAsia="en-US"/>
        </w:rPr>
        <w:t xml:space="preserve"> </w:t>
      </w:r>
      <w:r w:rsidRPr="0018093C">
        <w:rPr>
          <w:rFonts w:ascii="Times New Roman" w:hAnsi="Times New Roman"/>
          <w:snapToGrid w:val="0"/>
          <w:lang w:eastAsia="en-US"/>
        </w:rPr>
        <w:t>has demonstrated that consensus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 (i)</w:t>
      </w:r>
      <w:r w:rsidR="00E71841" w:rsidRPr="0018093C">
        <w:rPr>
          <w:rFonts w:ascii="Times New Roman" w:hAnsi="Times New Roman"/>
          <w:snapToGrid w:val="0"/>
          <w:lang w:eastAsia="en-US"/>
        </w:rPr>
        <w:t> </w:t>
      </w:r>
      <w:r w:rsidRPr="0018093C">
        <w:rPr>
          <w:rFonts w:ascii="Times New Roman" w:hAnsi="Times New Roman"/>
          <w:snapToGrid w:val="0"/>
          <w:lang w:eastAsia="en-US"/>
        </w:rPr>
        <w:t>are reflected in stock prices, (ii)</w:t>
      </w:r>
      <w:r w:rsidR="00E71841" w:rsidRPr="0018093C">
        <w:rPr>
          <w:rFonts w:ascii="Times New Roman" w:hAnsi="Times New Roman"/>
          <w:snapToGrid w:val="0"/>
          <w:lang w:eastAsia="en-US"/>
        </w:rPr>
        <w:t> </w:t>
      </w:r>
      <w:r w:rsidRPr="0018093C">
        <w:rPr>
          <w:rFonts w:ascii="Times New Roman" w:hAnsi="Times New Roman"/>
          <w:snapToGrid w:val="0"/>
          <w:lang w:eastAsia="en-US"/>
        </w:rPr>
        <w:t>possess a high explanatory power of equity values, and (iii)</w:t>
      </w:r>
      <w:r w:rsidR="00E71841" w:rsidRPr="0018093C">
        <w:rPr>
          <w:rFonts w:ascii="Times New Roman" w:hAnsi="Times New Roman"/>
          <w:snapToGrid w:val="0"/>
          <w:lang w:eastAsia="en-US"/>
        </w:rPr>
        <w:t> </w:t>
      </w:r>
      <w:r w:rsidRPr="0018093C">
        <w:rPr>
          <w:rFonts w:ascii="Times New Roman" w:hAnsi="Times New Roman"/>
          <w:snapToGrid w:val="0"/>
          <w:lang w:eastAsia="en-US"/>
        </w:rPr>
        <w:t>are used by investors.</w:t>
      </w:r>
    </w:p>
    <w:p w14:paraId="28FC192B" w14:textId="77777777" w:rsidR="003E40B8" w:rsidRPr="0018093C" w:rsidRDefault="003E40B8" w:rsidP="00024BD7">
      <w:pPr>
        <w:pStyle w:val="answer"/>
        <w:ind w:firstLine="0"/>
        <w:rPr>
          <w:rFonts w:ascii="Times New Roman" w:hAnsi="Times New Roman"/>
          <w:snapToGrid w:val="0"/>
          <w:lang w:eastAsia="en-US"/>
        </w:rPr>
      </w:pPr>
      <w:r w:rsidRPr="0018093C">
        <w:rPr>
          <w:rFonts w:ascii="Times New Roman" w:hAnsi="Times New Roman"/>
          <w:snapToGrid w:val="0"/>
          <w:lang w:eastAsia="en-US"/>
        </w:rPr>
        <w:t>Moreover, it is necessary to use earnings forecasts rather than dividend forecasts because of the extreme scarcity of dividend forecasts compared to the availability of earnings forecasts.  Given the paucity and variability of dividend forecasts, use of dividend forecasts produces unreliable DCF results.</w:t>
      </w:r>
    </w:p>
    <w:p w14:paraId="6A5E4350" w14:textId="77777777" w:rsidR="003E40B8" w:rsidRPr="0018093C" w:rsidRDefault="00E71841" w:rsidP="00D64DC2">
      <w:pPr>
        <w:pStyle w:val="Heading2"/>
      </w:pPr>
      <w:bookmarkStart w:id="13" w:name="_Toc406751105"/>
      <w:r w:rsidRPr="0018093C">
        <w:t>C</w:t>
      </w:r>
      <w:r w:rsidR="003E40B8" w:rsidRPr="0018093C">
        <w:t>.</w:t>
      </w:r>
      <w:r w:rsidR="003E40B8" w:rsidRPr="0018093C">
        <w:tab/>
      </w:r>
      <w:r w:rsidR="001F3034" w:rsidRPr="0018093C">
        <w:t>Mr.</w:t>
      </w:r>
      <w:r w:rsidR="000018A4" w:rsidRPr="0018093C">
        <w:t> </w:t>
      </w:r>
      <w:r w:rsidR="001F3034" w:rsidRPr="0018093C">
        <w:t>Hill</w:t>
      </w:r>
      <w:r w:rsidR="00942E42" w:rsidRPr="0018093C">
        <w:t>’</w:t>
      </w:r>
      <w:r w:rsidR="001F3034" w:rsidRPr="0018093C">
        <w:t>s CAPM Results Should be Given Very Little, If Any, Weight Because Mr.</w:t>
      </w:r>
      <w:r w:rsidR="000018A4" w:rsidRPr="0018093C">
        <w:t> </w:t>
      </w:r>
      <w:r w:rsidR="001F3034" w:rsidRPr="0018093C">
        <w:t>Hill Has Relied on Erroneous Data Inputs.</w:t>
      </w:r>
      <w:bookmarkEnd w:id="13"/>
    </w:p>
    <w:p w14:paraId="3D4932D9"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F3034" w:rsidRPr="0018093C">
        <w:rPr>
          <w:rFonts w:ascii="Times New Roman" w:hAnsi="Times New Roman"/>
          <w:snapToGrid w:val="0"/>
          <w:lang w:eastAsia="en-US"/>
        </w:rPr>
        <w:t>Did Mr.</w:t>
      </w:r>
      <w:r w:rsidR="000018A4" w:rsidRPr="0018093C">
        <w:rPr>
          <w:rFonts w:ascii="Times New Roman" w:hAnsi="Times New Roman"/>
          <w:snapToGrid w:val="0"/>
          <w:lang w:eastAsia="en-US"/>
        </w:rPr>
        <w:t> </w:t>
      </w:r>
      <w:r w:rsidR="001F3034" w:rsidRPr="0018093C">
        <w:rPr>
          <w:rFonts w:ascii="Times New Roman" w:hAnsi="Times New Roman"/>
          <w:snapToGrid w:val="0"/>
          <w:lang w:eastAsia="en-US"/>
        </w:rPr>
        <w:t>Hill implement a CAPM analysis</w:t>
      </w:r>
      <w:r w:rsidRPr="0018093C">
        <w:rPr>
          <w:rFonts w:ascii="Times New Roman" w:hAnsi="Times New Roman"/>
          <w:snapToGrid w:val="0"/>
          <w:lang w:eastAsia="en-US"/>
        </w:rPr>
        <w:t xml:space="preserve">? </w:t>
      </w:r>
    </w:p>
    <w:p w14:paraId="3C30800E"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Yes, he did.</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0018A4" w:rsidRPr="0018093C">
        <w:rPr>
          <w:rFonts w:ascii="Times New Roman" w:hAnsi="Times New Roman"/>
          <w:snapToGrid w:val="0"/>
          <w:lang w:eastAsia="en-US"/>
        </w:rPr>
        <w:t> </w:t>
      </w:r>
      <w:r w:rsidRPr="0018093C">
        <w:rPr>
          <w:rFonts w:ascii="Times New Roman" w:hAnsi="Times New Roman"/>
          <w:snapToGrid w:val="0"/>
          <w:lang w:eastAsia="en-US"/>
        </w:rPr>
        <w:t>Hill performs a CAPM analysis of ROE</w:t>
      </w:r>
      <w:r w:rsidR="00F01F94" w:rsidRPr="0018093C">
        <w:rPr>
          <w:rFonts w:ascii="Times New Roman" w:hAnsi="Times New Roman"/>
          <w:snapToGrid w:val="0"/>
          <w:lang w:eastAsia="en-US"/>
        </w:rPr>
        <w:t>.</w:t>
      </w:r>
      <w:r w:rsidR="00F01F94" w:rsidRPr="0018093C">
        <w:rPr>
          <w:rStyle w:val="FootnoteReference"/>
          <w:rFonts w:ascii="Times New Roman" w:hAnsi="Times New Roman"/>
          <w:snapToGrid w:val="0"/>
          <w:lang w:eastAsia="en-US"/>
        </w:rPr>
        <w:footnoteReference w:id="38"/>
      </w:r>
      <w:r w:rsidR="000018A4"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F01F94" w:rsidRPr="0018093C">
        <w:rPr>
          <w:rFonts w:ascii="Times New Roman" w:hAnsi="Times New Roman"/>
          <w:snapToGrid w:val="0"/>
          <w:lang w:eastAsia="en-US"/>
        </w:rPr>
        <w:t> </w:t>
      </w:r>
      <w:r w:rsidRPr="0018093C">
        <w:rPr>
          <w:rFonts w:ascii="Times New Roman" w:hAnsi="Times New Roman"/>
          <w:snapToGrid w:val="0"/>
          <w:lang w:eastAsia="en-US"/>
        </w:rPr>
        <w:t>Hill uses a risk-free rate of 3.4%,</w:t>
      </w:r>
      <w:r w:rsidR="00F01F94" w:rsidRPr="0018093C">
        <w:rPr>
          <w:rStyle w:val="FootnoteReference"/>
          <w:rFonts w:ascii="Times New Roman" w:hAnsi="Times New Roman"/>
          <w:snapToGrid w:val="0"/>
          <w:lang w:eastAsia="en-US"/>
        </w:rPr>
        <w:footnoteReference w:id="39"/>
      </w:r>
      <w:r w:rsidRPr="0018093C">
        <w:rPr>
          <w:rFonts w:ascii="Times New Roman" w:hAnsi="Times New Roman"/>
          <w:snapToGrid w:val="0"/>
          <w:lang w:eastAsia="en-US"/>
        </w:rPr>
        <w:t xml:space="preserve"> a Value Line beta estimates of 0.67,</w:t>
      </w:r>
      <w:r w:rsidR="009A2327" w:rsidRPr="0018093C">
        <w:rPr>
          <w:rStyle w:val="FootnoteReference"/>
          <w:rFonts w:ascii="Times New Roman" w:hAnsi="Times New Roman"/>
          <w:snapToGrid w:val="0"/>
          <w:lang w:eastAsia="en-US"/>
        </w:rPr>
        <w:footnoteReference w:id="40"/>
      </w:r>
      <w:r w:rsidRPr="0018093C">
        <w:rPr>
          <w:rFonts w:ascii="Times New Roman" w:hAnsi="Times New Roman"/>
          <w:snapToGrid w:val="0"/>
          <w:lang w:eastAsia="en-US"/>
        </w:rPr>
        <w:t xml:space="preserve"> and a </w:t>
      </w:r>
      <w:r w:rsidR="009A2327"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of 6.0%.</w:t>
      </w:r>
      <w:r w:rsidR="009A2327" w:rsidRPr="0018093C">
        <w:rPr>
          <w:rStyle w:val="FootnoteReference"/>
          <w:rFonts w:ascii="Times New Roman" w:hAnsi="Times New Roman"/>
          <w:snapToGrid w:val="0"/>
          <w:lang w:eastAsia="en-US"/>
        </w:rPr>
        <w:footnoteReference w:id="41"/>
      </w:r>
    </w:p>
    <w:p w14:paraId="2BAD6F08" w14:textId="77777777" w:rsidR="005F0F00" w:rsidRPr="0018093C" w:rsidRDefault="005F0F00" w:rsidP="00D64DC2">
      <w:pPr>
        <w:pStyle w:val="Heading3"/>
      </w:pPr>
      <w:bookmarkStart w:id="14" w:name="_Toc406751106"/>
      <w:r w:rsidRPr="0018093C">
        <w:lastRenderedPageBreak/>
        <w:t>1.</w:t>
      </w:r>
      <w:r w:rsidRPr="0018093C">
        <w:tab/>
        <w:t>Mr.</w:t>
      </w:r>
      <w:r w:rsidR="000018A4" w:rsidRPr="0018093C">
        <w:t> </w:t>
      </w:r>
      <w:r w:rsidRPr="0018093C">
        <w:t>Hill Uses an Inappropriate Risk-Free Rate In His CAPM Analysis</w:t>
      </w:r>
      <w:bookmarkEnd w:id="14"/>
    </w:p>
    <w:p w14:paraId="3789467F"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9A2327" w:rsidRPr="0018093C">
        <w:rPr>
          <w:rFonts w:ascii="Times New Roman" w:hAnsi="Times New Roman"/>
          <w:snapToGrid w:val="0"/>
          <w:lang w:eastAsia="en-US"/>
        </w:rPr>
        <w:t>D</w:t>
      </w:r>
      <w:r w:rsidR="001F3034" w:rsidRPr="0018093C">
        <w:rPr>
          <w:rFonts w:ascii="Times New Roman" w:hAnsi="Times New Roman"/>
          <w:snapToGrid w:val="0"/>
          <w:lang w:eastAsia="en-US"/>
        </w:rPr>
        <w:t>o you agree with Mr.</w:t>
      </w:r>
      <w:r w:rsidR="000018A4" w:rsidRPr="0018093C">
        <w:rPr>
          <w:rFonts w:ascii="Times New Roman" w:hAnsi="Times New Roman"/>
          <w:snapToGrid w:val="0"/>
          <w:lang w:eastAsia="en-US"/>
        </w:rPr>
        <w:t> </w:t>
      </w:r>
      <w:r w:rsidR="001F3034"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1F3034" w:rsidRPr="0018093C">
        <w:rPr>
          <w:rFonts w:ascii="Times New Roman" w:hAnsi="Times New Roman"/>
          <w:snapToGrid w:val="0"/>
          <w:lang w:eastAsia="en-US"/>
        </w:rPr>
        <w:t xml:space="preserve">s risk-free rate estimate in </w:t>
      </w:r>
      <w:r w:rsidR="005F0F00" w:rsidRPr="0018093C">
        <w:rPr>
          <w:rFonts w:ascii="Times New Roman" w:hAnsi="Times New Roman"/>
          <w:snapToGrid w:val="0"/>
          <w:lang w:eastAsia="en-US"/>
        </w:rPr>
        <w:t xml:space="preserve">his </w:t>
      </w:r>
      <w:r w:rsidR="001F3034" w:rsidRPr="0018093C">
        <w:rPr>
          <w:rFonts w:ascii="Times New Roman" w:hAnsi="Times New Roman"/>
          <w:snapToGrid w:val="0"/>
          <w:lang w:eastAsia="en-US"/>
        </w:rPr>
        <w:t>CAPM</w:t>
      </w:r>
      <w:r w:rsidR="005F0F00" w:rsidRPr="0018093C">
        <w:rPr>
          <w:rFonts w:ascii="Times New Roman" w:hAnsi="Times New Roman"/>
          <w:snapToGrid w:val="0"/>
          <w:lang w:eastAsia="en-US"/>
        </w:rPr>
        <w:t xml:space="preserve"> analysis</w:t>
      </w:r>
      <w:r w:rsidRPr="0018093C">
        <w:rPr>
          <w:rFonts w:ascii="Times New Roman" w:hAnsi="Times New Roman"/>
          <w:snapToGrid w:val="0"/>
          <w:lang w:eastAsia="en-US"/>
        </w:rPr>
        <w:t>?</w:t>
      </w:r>
    </w:p>
    <w:p w14:paraId="28623FA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risk-free rate estimate </w:t>
      </w:r>
      <w:r w:rsidR="004E4F05" w:rsidRPr="0018093C">
        <w:rPr>
          <w:rFonts w:ascii="Times New Roman" w:hAnsi="Times New Roman"/>
          <w:snapToGrid w:val="0"/>
          <w:lang w:eastAsia="en-US"/>
        </w:rPr>
        <w:t>of 3.4%</w:t>
      </w:r>
      <w:r w:rsidR="004E4F05" w:rsidRPr="0018093C">
        <w:rPr>
          <w:rStyle w:val="FootnoteReference"/>
          <w:rFonts w:ascii="Times New Roman" w:hAnsi="Times New Roman"/>
          <w:snapToGrid w:val="0"/>
          <w:lang w:eastAsia="en-US"/>
        </w:rPr>
        <w:footnoteReference w:id="42"/>
      </w:r>
      <w:r w:rsidR="004E4F05" w:rsidRPr="0018093C">
        <w:rPr>
          <w:rFonts w:ascii="Times New Roman" w:hAnsi="Times New Roman"/>
          <w:snapToGrid w:val="0"/>
          <w:lang w:eastAsia="en-US"/>
        </w:rPr>
        <w:t xml:space="preserve"> </w:t>
      </w:r>
      <w:r w:rsidRPr="0018093C">
        <w:rPr>
          <w:rFonts w:ascii="Times New Roman" w:hAnsi="Times New Roman"/>
          <w:snapToGrid w:val="0"/>
          <w:lang w:eastAsia="en-US"/>
        </w:rPr>
        <w:t>is far too low for purposes of applying the CAPM.</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As shown in my </w:t>
      </w:r>
      <w:r w:rsidR="009A2327" w:rsidRPr="0018093C">
        <w:rPr>
          <w:rFonts w:ascii="Times New Roman" w:hAnsi="Times New Roman"/>
          <w:snapToGrid w:val="0"/>
          <w:lang w:eastAsia="en-US"/>
        </w:rPr>
        <w:t>prefiled direct testimony in this proceeding</w:t>
      </w:r>
      <w:r w:rsidRPr="0018093C">
        <w:rPr>
          <w:rFonts w:ascii="Times New Roman" w:hAnsi="Times New Roman"/>
          <w:snapToGrid w:val="0"/>
          <w:lang w:eastAsia="en-US"/>
        </w:rPr>
        <w:t xml:space="preserve">, Global Insight, Value Line and Consensus Forecasts all project higher long-term Treasury </w:t>
      </w:r>
      <w:r w:rsidR="009A2327" w:rsidRPr="0018093C">
        <w:rPr>
          <w:rFonts w:ascii="Times New Roman" w:hAnsi="Times New Roman"/>
          <w:snapToGrid w:val="0"/>
          <w:lang w:eastAsia="en-US"/>
        </w:rPr>
        <w:t>interest rates rising to an average of 4.6%.</w:t>
      </w:r>
      <w:r w:rsidR="009A2327" w:rsidRPr="0018093C">
        <w:rPr>
          <w:rStyle w:val="FootnoteReference"/>
          <w:rFonts w:ascii="Times New Roman" w:hAnsi="Times New Roman"/>
          <w:snapToGrid w:val="0"/>
          <w:lang w:eastAsia="en-US"/>
        </w:rPr>
        <w:footnoteReference w:id="43"/>
      </w:r>
    </w:p>
    <w:p w14:paraId="5C3057AF" w14:textId="19D33CB5" w:rsidR="003E40B8" w:rsidRPr="0018093C" w:rsidRDefault="003E40B8" w:rsidP="001F3034">
      <w:pPr>
        <w:pStyle w:val="answer"/>
        <w:ind w:firstLine="0"/>
        <w:rPr>
          <w:rFonts w:ascii="Times New Roman" w:hAnsi="Times New Roman"/>
          <w:snapToGrid w:val="0"/>
          <w:lang w:eastAsia="en-US"/>
        </w:rPr>
      </w:pPr>
      <w:r w:rsidRPr="0018093C">
        <w:rPr>
          <w:rFonts w:ascii="Times New Roman" w:hAnsi="Times New Roman"/>
          <w:snapToGrid w:val="0"/>
          <w:lang w:eastAsia="en-US"/>
        </w:rPr>
        <w:t>Mr.</w:t>
      </w:r>
      <w:r w:rsidR="005F0F00" w:rsidRPr="0018093C">
        <w:rPr>
          <w:rFonts w:ascii="Times New Roman" w:hAnsi="Times New Roman"/>
          <w:snapToGrid w:val="0"/>
          <w:lang w:eastAsia="en-US"/>
        </w:rPr>
        <w:t> </w:t>
      </w:r>
      <w:r w:rsidRPr="0018093C">
        <w:rPr>
          <w:rFonts w:ascii="Times New Roman" w:hAnsi="Times New Roman"/>
          <w:snapToGrid w:val="0"/>
          <w:lang w:eastAsia="en-US"/>
        </w:rPr>
        <w:t xml:space="preserve">Hill should have relied on projected </w:t>
      </w:r>
      <w:r w:rsidR="005F0F00" w:rsidRPr="0018093C">
        <w:rPr>
          <w:rFonts w:ascii="Times New Roman" w:hAnsi="Times New Roman"/>
          <w:snapToGrid w:val="0"/>
          <w:lang w:eastAsia="en-US"/>
        </w:rPr>
        <w:t xml:space="preserve">long-term Treasury interest rates </w:t>
      </w:r>
      <w:r w:rsidRPr="0018093C">
        <w:rPr>
          <w:rFonts w:ascii="Times New Roman" w:hAnsi="Times New Roman"/>
          <w:snapToGrid w:val="0"/>
          <w:lang w:eastAsia="en-US"/>
        </w:rPr>
        <w:t>for the simple reason that investors price securities on the basis o</w:t>
      </w:r>
      <w:r w:rsidR="00DB2A7A" w:rsidRPr="0018093C">
        <w:rPr>
          <w:rFonts w:ascii="Times New Roman" w:hAnsi="Times New Roman"/>
          <w:snapToGrid w:val="0"/>
          <w:lang w:eastAsia="en-US"/>
        </w:rPr>
        <w:t>f</w:t>
      </w:r>
      <w:r w:rsidRPr="0018093C">
        <w:rPr>
          <w:rFonts w:ascii="Times New Roman" w:hAnsi="Times New Roman"/>
          <w:snapToGrid w:val="0"/>
          <w:lang w:eastAsia="en-US"/>
        </w:rPr>
        <w:t xml:space="preserve"> long-term expectations, including interest rates.  The CAPM is a prospective</w:t>
      </w:r>
      <w:r w:rsidR="005F0F00" w:rsidRPr="0018093C">
        <w:rPr>
          <w:rFonts w:ascii="Times New Roman" w:hAnsi="Times New Roman"/>
          <w:snapToGrid w:val="0"/>
          <w:lang w:eastAsia="en-US"/>
        </w:rPr>
        <w:t xml:space="preserve"> (i.e., </w:t>
      </w:r>
      <w:r w:rsidRPr="0018093C">
        <w:rPr>
          <w:rFonts w:ascii="Times New Roman" w:hAnsi="Times New Roman"/>
          <w:snapToGrid w:val="0"/>
          <w:lang w:eastAsia="en-US"/>
        </w:rPr>
        <w:t>forward-looking</w:t>
      </w:r>
      <w:r w:rsidR="005F0F00" w:rsidRPr="0018093C">
        <w:rPr>
          <w:rFonts w:ascii="Times New Roman" w:hAnsi="Times New Roman"/>
          <w:snapToGrid w:val="0"/>
          <w:lang w:eastAsia="en-US"/>
        </w:rPr>
        <w:t xml:space="preserve">) </w:t>
      </w:r>
      <w:r w:rsidRPr="0018093C">
        <w:rPr>
          <w:rFonts w:ascii="Times New Roman" w:hAnsi="Times New Roman"/>
          <w:snapToGrid w:val="0"/>
          <w:lang w:eastAsia="en-US"/>
        </w:rPr>
        <w:t>model.  Mr.</w:t>
      </w:r>
      <w:r w:rsidR="005F0F00" w:rsidRPr="0018093C">
        <w:rPr>
          <w:rFonts w:ascii="Times New Roman" w:hAnsi="Times New Roman"/>
          <w:snapToGrid w:val="0"/>
          <w:lang w:eastAsia="en-US"/>
        </w:rPr>
        <w:t> </w:t>
      </w:r>
      <w:r w:rsidRPr="0018093C">
        <w:rPr>
          <w:rFonts w:ascii="Times New Roman" w:hAnsi="Times New Roman"/>
          <w:snapToGrid w:val="0"/>
          <w:lang w:eastAsia="en-US"/>
        </w:rPr>
        <w:t xml:space="preserve">Hill himself </w:t>
      </w:r>
      <w:r w:rsidR="005F0F00" w:rsidRPr="0018093C">
        <w:rPr>
          <w:rFonts w:ascii="Times New Roman" w:hAnsi="Times New Roman"/>
          <w:snapToGrid w:val="0"/>
          <w:lang w:eastAsia="en-US"/>
        </w:rPr>
        <w:t>concedes that “[c]ost of capital is not set for ratemaking purposes by looking back at what happened in the past”</w:t>
      </w:r>
      <w:r w:rsidR="005F0F00" w:rsidRPr="0018093C">
        <w:rPr>
          <w:rStyle w:val="FootnoteReference"/>
          <w:rFonts w:ascii="Times New Roman" w:hAnsi="Times New Roman"/>
          <w:snapToGrid w:val="0"/>
          <w:lang w:eastAsia="en-US"/>
        </w:rPr>
        <w:footnoteReference w:id="44"/>
      </w:r>
      <w:r w:rsidR="005F0F00" w:rsidRPr="0018093C">
        <w:rPr>
          <w:rFonts w:ascii="Times New Roman" w:hAnsi="Times New Roman"/>
          <w:snapToGrid w:val="0"/>
          <w:lang w:eastAsia="en-US"/>
        </w:rPr>
        <w:t xml:space="preserve"> and that </w:t>
      </w:r>
      <w:r w:rsidRPr="0018093C">
        <w:rPr>
          <w:rFonts w:ascii="Times New Roman" w:hAnsi="Times New Roman"/>
          <w:snapToGrid w:val="0"/>
          <w:lang w:eastAsia="en-US"/>
        </w:rPr>
        <w:t xml:space="preserve"> </w:t>
      </w:r>
      <w:r w:rsidR="00942E42" w:rsidRPr="0018093C">
        <w:rPr>
          <w:rFonts w:ascii="Times New Roman" w:hAnsi="Times New Roman"/>
          <w:snapToGrid w:val="0"/>
          <w:lang w:eastAsia="en-US"/>
        </w:rPr>
        <w:t>“</w:t>
      </w:r>
      <w:r w:rsidR="005F0F00" w:rsidRPr="0018093C">
        <w:rPr>
          <w:rFonts w:ascii="Times New Roman" w:hAnsi="Times New Roman"/>
          <w:snapToGrid w:val="0"/>
          <w:lang w:eastAsia="en-US"/>
        </w:rPr>
        <w:t>[e]</w:t>
      </w:r>
      <w:r w:rsidRPr="0018093C">
        <w:rPr>
          <w:rFonts w:ascii="Times New Roman" w:hAnsi="Times New Roman"/>
          <w:snapToGrid w:val="0"/>
          <w:lang w:eastAsia="en-US"/>
        </w:rPr>
        <w:t>quity capital cost estimates are forward-looking and must take into account current market expectations for the future.</w:t>
      </w:r>
      <w:r w:rsidR="00942E42" w:rsidRPr="0018093C">
        <w:rPr>
          <w:rFonts w:ascii="Times New Roman" w:hAnsi="Times New Roman"/>
          <w:snapToGrid w:val="0"/>
          <w:lang w:eastAsia="en-US"/>
        </w:rPr>
        <w:t>”</w:t>
      </w:r>
      <w:r w:rsidR="005F0F00" w:rsidRPr="0018093C">
        <w:rPr>
          <w:rStyle w:val="FootnoteReference"/>
          <w:rFonts w:ascii="Times New Roman" w:hAnsi="Times New Roman"/>
          <w:snapToGrid w:val="0"/>
          <w:lang w:eastAsia="en-US"/>
        </w:rPr>
        <w:footnoteReference w:id="45"/>
      </w:r>
      <w:r w:rsidRPr="0018093C">
        <w:rPr>
          <w:rFonts w:ascii="Times New Roman" w:hAnsi="Times New Roman"/>
          <w:snapToGrid w:val="0"/>
          <w:lang w:eastAsia="en-US"/>
        </w:rPr>
        <w:t xml:space="preserve">  Mr.</w:t>
      </w:r>
      <w:r w:rsidR="005F0F00" w:rsidRPr="0018093C">
        <w:rPr>
          <w:rFonts w:ascii="Times New Roman" w:hAnsi="Times New Roman"/>
          <w:snapToGrid w:val="0"/>
          <w:lang w:eastAsia="en-US"/>
        </w:rPr>
        <w:t> </w:t>
      </w:r>
      <w:r w:rsidRPr="0018093C">
        <w:rPr>
          <w:rFonts w:ascii="Times New Roman" w:hAnsi="Times New Roman"/>
          <w:snapToGrid w:val="0"/>
          <w:lang w:eastAsia="en-US"/>
        </w:rPr>
        <w:t xml:space="preserve">Hill should have heeded his own advice.  </w:t>
      </w:r>
      <w:r w:rsidR="005F0F00" w:rsidRPr="0018093C">
        <w:rPr>
          <w:rFonts w:ascii="Times New Roman" w:hAnsi="Times New Roman"/>
          <w:snapToGrid w:val="0"/>
          <w:lang w:eastAsia="en-US"/>
        </w:rPr>
        <w:t xml:space="preserve">Instead, </w:t>
      </w:r>
      <w:r w:rsidRPr="0018093C">
        <w:rPr>
          <w:rFonts w:ascii="Times New Roman" w:hAnsi="Times New Roman"/>
          <w:snapToGrid w:val="0"/>
          <w:lang w:eastAsia="en-US"/>
        </w:rPr>
        <w:t>Mr.</w:t>
      </w:r>
      <w:r w:rsidR="005F0F00" w:rsidRPr="0018093C">
        <w:rPr>
          <w:rFonts w:ascii="Times New Roman" w:hAnsi="Times New Roman"/>
          <w:snapToGrid w:val="0"/>
          <w:lang w:eastAsia="en-US"/>
        </w:rPr>
        <w:t> </w:t>
      </w:r>
      <w:r w:rsidRPr="0018093C">
        <w:rPr>
          <w:rFonts w:ascii="Times New Roman" w:hAnsi="Times New Roman"/>
          <w:snapToGrid w:val="0"/>
          <w:lang w:eastAsia="en-US"/>
        </w:rPr>
        <w:t>Hill</w:t>
      </w:r>
      <w:r w:rsidR="005F0F00" w:rsidRPr="0018093C">
        <w:rPr>
          <w:rFonts w:ascii="Times New Roman" w:hAnsi="Times New Roman"/>
          <w:snapToGrid w:val="0"/>
          <w:lang w:eastAsia="en-US"/>
        </w:rPr>
        <w:t xml:space="preserve"> significantly understates his </w:t>
      </w:r>
      <w:r w:rsidRPr="0018093C">
        <w:rPr>
          <w:rFonts w:ascii="Times New Roman" w:hAnsi="Times New Roman"/>
          <w:snapToGrid w:val="0"/>
          <w:lang w:eastAsia="en-US"/>
        </w:rPr>
        <w:t xml:space="preserve">CAPM </w:t>
      </w:r>
      <w:r w:rsidR="005F0F00" w:rsidRPr="0018093C">
        <w:rPr>
          <w:rFonts w:ascii="Times New Roman" w:hAnsi="Times New Roman"/>
          <w:snapToGrid w:val="0"/>
          <w:lang w:eastAsia="en-US"/>
        </w:rPr>
        <w:t xml:space="preserve">projections by using a risk-free rate that is approximately </w:t>
      </w:r>
      <w:r w:rsidRPr="0018093C">
        <w:rPr>
          <w:rFonts w:ascii="Times New Roman" w:hAnsi="Times New Roman"/>
          <w:snapToGrid w:val="0"/>
          <w:lang w:eastAsia="en-US"/>
        </w:rPr>
        <w:t xml:space="preserve">1.2% (4.6% - 3.4% = 1.2%) </w:t>
      </w:r>
      <w:r w:rsidR="005F0F00" w:rsidRPr="0018093C">
        <w:rPr>
          <w:rFonts w:ascii="Times New Roman" w:hAnsi="Times New Roman"/>
          <w:snapToGrid w:val="0"/>
          <w:lang w:eastAsia="en-US"/>
        </w:rPr>
        <w:t>lower than projected.</w:t>
      </w:r>
    </w:p>
    <w:p w14:paraId="45A0BE00" w14:textId="77777777" w:rsidR="00A13A19" w:rsidRPr="0018093C" w:rsidRDefault="00A13A19" w:rsidP="00D64DC2">
      <w:pPr>
        <w:pStyle w:val="Heading3"/>
      </w:pPr>
      <w:bookmarkStart w:id="15" w:name="_Toc406751107"/>
      <w:r w:rsidRPr="0018093C">
        <w:lastRenderedPageBreak/>
        <w:t>2.</w:t>
      </w:r>
      <w:r w:rsidRPr="0018093C">
        <w:tab/>
        <w:t>Mr. Hill’s Average Beta is a Function of the Unnecessarily Small Sample Group of Comparable Utilities in Analyses</w:t>
      </w:r>
      <w:bookmarkEnd w:id="15"/>
    </w:p>
    <w:p w14:paraId="42A5CF48" w14:textId="77777777" w:rsidR="00A13A19" w:rsidRPr="0018093C" w:rsidRDefault="00A13A19" w:rsidP="00A13A19">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How does Mr. Hill calculate the beta component for his CAPM analysis?</w:t>
      </w:r>
    </w:p>
    <w:p w14:paraId="6E0DC95B" w14:textId="77777777" w:rsidR="00A13A19" w:rsidRPr="0018093C" w:rsidRDefault="00A13A19" w:rsidP="00A13A19">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 Hill uses the average beta coefficient of 0.67 derived from the fifteen utilities in his comparable group.</w:t>
      </w:r>
      <w:r w:rsidRPr="0018093C">
        <w:rPr>
          <w:rStyle w:val="FootnoteReference"/>
          <w:rFonts w:ascii="Times New Roman" w:hAnsi="Times New Roman"/>
          <w:snapToGrid w:val="0"/>
          <w:lang w:eastAsia="en-US"/>
        </w:rPr>
        <w:footnoteReference w:id="46"/>
      </w:r>
      <w:r w:rsidRPr="0018093C">
        <w:rPr>
          <w:rFonts w:ascii="Times New Roman" w:hAnsi="Times New Roman"/>
          <w:snapToGrid w:val="0"/>
          <w:lang w:eastAsia="en-US"/>
        </w:rPr>
        <w:t xml:space="preserve">  Mr. Hill’s calculation of an average beta coefficient of 0.67 is correct.  As stated above, however, Mr. Hill’s analysis relies upon an unnecessarily small sample group of comparable utilities.  If Mr. Hill were to expand the number of utilities in the sample group, then his beta coefficient would be more likely to generate an accurate projection.</w:t>
      </w:r>
      <w:r w:rsidR="000A5B6E" w:rsidRPr="0018093C">
        <w:rPr>
          <w:rFonts w:ascii="Times New Roman" w:hAnsi="Times New Roman"/>
          <w:snapToGrid w:val="0"/>
          <w:lang w:eastAsia="en-US"/>
        </w:rPr>
        <w:t xml:space="preserve">  I relied on a beta estimate of </w:t>
      </w:r>
      <w:r w:rsidR="00FB2F5D" w:rsidRPr="0018093C">
        <w:rPr>
          <w:rFonts w:ascii="Times New Roman" w:hAnsi="Times New Roman"/>
          <w:snapToGrid w:val="0"/>
          <w:lang w:eastAsia="en-US"/>
        </w:rPr>
        <w:t>0.74, Mr. Parcell relied on 0.74</w:t>
      </w:r>
      <w:r w:rsidR="000A5B6E" w:rsidRPr="0018093C">
        <w:rPr>
          <w:rFonts w:ascii="Times New Roman" w:hAnsi="Times New Roman"/>
          <w:snapToGrid w:val="0"/>
          <w:lang w:eastAsia="en-US"/>
        </w:rPr>
        <w:t xml:space="preserve">, and Mr. Gorman </w:t>
      </w:r>
      <w:r w:rsidR="00FB2F5D" w:rsidRPr="0018093C">
        <w:rPr>
          <w:rFonts w:ascii="Times New Roman" w:hAnsi="Times New Roman"/>
          <w:snapToGrid w:val="0"/>
          <w:lang w:eastAsia="en-US"/>
        </w:rPr>
        <w:t>relied on 0.75, all of which exceed</w:t>
      </w:r>
      <w:r w:rsidR="000A5B6E" w:rsidRPr="0018093C">
        <w:rPr>
          <w:rFonts w:ascii="Times New Roman" w:hAnsi="Times New Roman"/>
          <w:snapToGrid w:val="0"/>
          <w:lang w:eastAsia="en-US"/>
        </w:rPr>
        <w:t xml:space="preserve"> Mr. Hill’s low estimate of 0.67.</w:t>
      </w:r>
    </w:p>
    <w:p w14:paraId="21F29DD9" w14:textId="77777777" w:rsidR="005F0F00" w:rsidRPr="0018093C" w:rsidRDefault="00A13A19" w:rsidP="00D64DC2">
      <w:pPr>
        <w:pStyle w:val="Heading3"/>
      </w:pPr>
      <w:bookmarkStart w:id="16" w:name="_Toc406751108"/>
      <w:r w:rsidRPr="0018093C">
        <w:t>3</w:t>
      </w:r>
      <w:r w:rsidR="005F0F00" w:rsidRPr="0018093C">
        <w:t>.</w:t>
      </w:r>
      <w:r w:rsidR="005F0F00" w:rsidRPr="0018093C">
        <w:tab/>
        <w:t>Mr.</w:t>
      </w:r>
      <w:r w:rsidR="000018A4" w:rsidRPr="0018093C">
        <w:t> </w:t>
      </w:r>
      <w:r w:rsidR="005F0F00" w:rsidRPr="0018093C">
        <w:t>Hill Uses an Inappropriate Market Risk Premium Rate In His CAPM Analysis</w:t>
      </w:r>
      <w:bookmarkEnd w:id="16"/>
    </w:p>
    <w:p w14:paraId="739E55FC" w14:textId="77777777" w:rsidR="005F0F00" w:rsidRPr="0018093C" w:rsidRDefault="005F0F00" w:rsidP="005F0F00">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 you agree with Mr.</w:t>
      </w:r>
      <w:r w:rsidR="000018A4" w:rsidRPr="0018093C">
        <w:rPr>
          <w:rFonts w:ascii="Times New Roman" w:hAnsi="Times New Roman"/>
          <w:snapToGrid w:val="0"/>
          <w:lang w:eastAsia="en-US"/>
        </w:rPr>
        <w:t> </w:t>
      </w:r>
      <w:r w:rsidRPr="0018093C">
        <w:rPr>
          <w:rFonts w:ascii="Times New Roman" w:hAnsi="Times New Roman"/>
          <w:snapToGrid w:val="0"/>
          <w:lang w:eastAsia="en-US"/>
        </w:rPr>
        <w:t>Hill’s market risk premium estimate in his CAPM analysis?</w:t>
      </w:r>
    </w:p>
    <w:p w14:paraId="1C55A1AE" w14:textId="77777777" w:rsidR="004E4F05"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 do not.</w:t>
      </w:r>
      <w:r w:rsidR="004E4F05"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In order to determine the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component of his CAPM analysis, Mr.</w:t>
      </w:r>
      <w:r w:rsidR="000018A4" w:rsidRPr="0018093C">
        <w:rPr>
          <w:rFonts w:ascii="Times New Roman" w:hAnsi="Times New Roman"/>
          <w:snapToGrid w:val="0"/>
          <w:lang w:eastAsia="en-US"/>
        </w:rPr>
        <w:t> </w:t>
      </w:r>
      <w:r w:rsidRPr="0018093C">
        <w:rPr>
          <w:rFonts w:ascii="Times New Roman" w:hAnsi="Times New Roman"/>
          <w:snapToGrid w:val="0"/>
          <w:lang w:eastAsia="en-US"/>
        </w:rPr>
        <w:t xml:space="preserve">Hill uses the long-term 6.0% historical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 xml:space="preserve">reported in the Morningstar (formerly Ibbotson Associates) 2011 edition of </w:t>
      </w:r>
      <w:r w:rsidRPr="0018093C">
        <w:rPr>
          <w:rFonts w:ascii="Times New Roman" w:hAnsi="Times New Roman"/>
          <w:i/>
          <w:snapToGrid w:val="0"/>
          <w:lang w:eastAsia="en-US"/>
        </w:rPr>
        <w:t>Stocks, Bonds, Bills and Inflation</w:t>
      </w:r>
      <w:r w:rsidRPr="0018093C">
        <w:rPr>
          <w:rFonts w:ascii="Times New Roman" w:hAnsi="Times New Roman"/>
          <w:snapToGrid w:val="0"/>
          <w:lang w:eastAsia="en-US"/>
        </w:rPr>
        <w:t>.</w:t>
      </w:r>
      <w:r w:rsidR="004E4F05" w:rsidRPr="0018093C">
        <w:rPr>
          <w:rStyle w:val="FootnoteReference"/>
          <w:rFonts w:ascii="Times New Roman" w:hAnsi="Times New Roman"/>
          <w:snapToGrid w:val="0"/>
          <w:lang w:eastAsia="en-US"/>
        </w:rPr>
        <w:footnoteReference w:id="47"/>
      </w:r>
    </w:p>
    <w:p w14:paraId="1C2850E0" w14:textId="77777777" w:rsidR="004E4F05" w:rsidRPr="0018093C" w:rsidRDefault="004E4F05" w:rsidP="004E4F05">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This market risk premium of 6.0% is incorrect for </w:t>
      </w:r>
      <w:r w:rsidR="003E40B8" w:rsidRPr="0018093C">
        <w:rPr>
          <w:rFonts w:ascii="Times New Roman" w:hAnsi="Times New Roman"/>
          <w:snapToGrid w:val="0"/>
          <w:lang w:eastAsia="en-US"/>
        </w:rPr>
        <w:t>two reasons.</w:t>
      </w:r>
      <w:r w:rsidR="00B25CB4"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First, the Morningstar (formerly Ibbotson Associates) 2011</w:t>
      </w:r>
      <w:r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edition of </w:t>
      </w:r>
      <w:r w:rsidR="003E40B8" w:rsidRPr="0018093C">
        <w:rPr>
          <w:rFonts w:ascii="Times New Roman" w:hAnsi="Times New Roman"/>
          <w:i/>
          <w:snapToGrid w:val="0"/>
          <w:lang w:eastAsia="en-US"/>
        </w:rPr>
        <w:t>Stocks, Bonds, Bills and Inflation</w:t>
      </w:r>
      <w:r w:rsidR="003E40B8" w:rsidRPr="0018093C">
        <w:rPr>
          <w:rFonts w:ascii="Times New Roman" w:hAnsi="Times New Roman"/>
          <w:snapToGrid w:val="0"/>
          <w:lang w:eastAsia="en-US"/>
        </w:rPr>
        <w:t xml:space="preserve"> on which Mr.</w:t>
      </w:r>
      <w:r w:rsidR="000018A4" w:rsidRPr="0018093C">
        <w:rPr>
          <w:rFonts w:ascii="Times New Roman" w:hAnsi="Times New Roman"/>
          <w:snapToGrid w:val="0"/>
          <w:lang w:eastAsia="en-US"/>
        </w:rPr>
        <w:t> </w:t>
      </w:r>
      <w:r w:rsidR="003E40B8" w:rsidRPr="0018093C">
        <w:rPr>
          <w:rFonts w:ascii="Times New Roman" w:hAnsi="Times New Roman"/>
          <w:snapToGrid w:val="0"/>
          <w:lang w:eastAsia="en-US"/>
        </w:rPr>
        <w:t>Hill relies reports returns for the period ending in 2010, and therefore is quite stale.  Mr.</w:t>
      </w:r>
      <w:r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Hill should have </w:t>
      </w:r>
      <w:r w:rsidRPr="0018093C">
        <w:rPr>
          <w:rFonts w:ascii="Times New Roman" w:hAnsi="Times New Roman"/>
          <w:snapToGrid w:val="0"/>
          <w:lang w:eastAsia="en-US"/>
        </w:rPr>
        <w:t xml:space="preserve">instead </w:t>
      </w:r>
      <w:r w:rsidR="003E40B8" w:rsidRPr="0018093C">
        <w:rPr>
          <w:rFonts w:ascii="Times New Roman" w:hAnsi="Times New Roman"/>
          <w:snapToGrid w:val="0"/>
          <w:lang w:eastAsia="en-US"/>
        </w:rPr>
        <w:t>relied on the 2013</w:t>
      </w:r>
      <w:r w:rsidRPr="0018093C">
        <w:rPr>
          <w:rFonts w:ascii="Times New Roman" w:hAnsi="Times New Roman"/>
          <w:snapToGrid w:val="0"/>
          <w:lang w:eastAsia="en-US"/>
        </w:rPr>
        <w:t xml:space="preserve"> edition of </w:t>
      </w:r>
      <w:r w:rsidRPr="0018093C">
        <w:rPr>
          <w:rFonts w:ascii="Times New Roman" w:hAnsi="Times New Roman"/>
          <w:i/>
          <w:snapToGrid w:val="0"/>
          <w:lang w:eastAsia="en-US"/>
        </w:rPr>
        <w:t>Stocks, Bonds, Bills and Inflation</w:t>
      </w:r>
      <w:r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which reports historical returns for the period ending in 2012.</w:t>
      </w:r>
    </w:p>
    <w:p w14:paraId="51B371D9" w14:textId="77777777" w:rsidR="00DA1696" w:rsidRPr="0018093C" w:rsidRDefault="003E40B8" w:rsidP="004E4F05">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the proper way to estimate the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 xml:space="preserve">from historical data is to use the income return, not total returns, on government bonds.  The long-term (1926-2012)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based on income returns, as required, is 6.7%, and not the 6.0% used by Mr.</w:t>
      </w:r>
      <w:r w:rsidR="00DA1696" w:rsidRPr="0018093C">
        <w:rPr>
          <w:rFonts w:ascii="Times New Roman" w:hAnsi="Times New Roman"/>
          <w:snapToGrid w:val="0"/>
          <w:lang w:eastAsia="en-US"/>
        </w:rPr>
        <w:t> </w:t>
      </w:r>
      <w:r w:rsidRPr="0018093C">
        <w:rPr>
          <w:rFonts w:ascii="Times New Roman" w:hAnsi="Times New Roman"/>
          <w:snapToGrid w:val="0"/>
          <w:lang w:eastAsia="en-US"/>
        </w:rPr>
        <w:t>Hill.</w:t>
      </w:r>
    </w:p>
    <w:p w14:paraId="6C236ED1" w14:textId="77777777" w:rsidR="003E40B8" w:rsidRPr="0018093C" w:rsidRDefault="003E40B8" w:rsidP="004E4F05">
      <w:pPr>
        <w:pStyle w:val="answer"/>
        <w:ind w:firstLine="0"/>
        <w:rPr>
          <w:rFonts w:ascii="Times New Roman" w:hAnsi="Times New Roman"/>
          <w:snapToGrid w:val="0"/>
          <w:lang w:eastAsia="en-US"/>
        </w:rPr>
      </w:pPr>
      <w:r w:rsidRPr="0018093C">
        <w:rPr>
          <w:rFonts w:ascii="Times New Roman" w:hAnsi="Times New Roman"/>
          <w:snapToGrid w:val="0"/>
          <w:lang w:eastAsia="en-US"/>
        </w:rPr>
        <w:t>Morningstar recommends use of the income return on government bonds as a more reliable estimate of the historical market risk premium because the income component of total bond return (i.e., the coupon rate) is a better estimate of expected return than the total return (i.e., the coupon rate + capital gain).</w:t>
      </w:r>
      <w:r w:rsidR="007A5C88" w:rsidRPr="0018093C">
        <w:rPr>
          <w:rStyle w:val="FootnoteReference"/>
          <w:rFonts w:ascii="Times New Roman" w:hAnsi="Times New Roman"/>
          <w:snapToGrid w:val="0"/>
          <w:lang w:eastAsia="en-US"/>
        </w:rPr>
        <w:footnoteReference w:id="48"/>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In other words, bond investors focus on income rather than realized capital gains/losses.  This correction alone increases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CAPM estimate by 47</w:t>
      </w:r>
      <w:r w:rsidR="000018A4" w:rsidRPr="0018093C">
        <w:rPr>
          <w:rFonts w:ascii="Times New Roman" w:hAnsi="Times New Roman"/>
          <w:snapToGrid w:val="0"/>
          <w:lang w:eastAsia="en-US"/>
        </w:rPr>
        <w:t> </w:t>
      </w:r>
      <w:r w:rsidRPr="0018093C">
        <w:rPr>
          <w:rFonts w:ascii="Times New Roman" w:hAnsi="Times New Roman"/>
          <w:snapToGrid w:val="0"/>
          <w:lang w:eastAsia="en-US"/>
        </w:rPr>
        <w:t>basis points (</w:t>
      </w:r>
      <w:r w:rsidR="000018A4" w:rsidRPr="0018093C">
        <w:rPr>
          <w:rFonts w:ascii="Times New Roman" w:hAnsi="Times New Roman"/>
          <w:snapToGrid w:val="0"/>
          <w:lang w:eastAsia="en-US"/>
        </w:rPr>
        <w:t xml:space="preserve">i.e., </w:t>
      </w:r>
      <w:r w:rsidRPr="0018093C">
        <w:rPr>
          <w:rFonts w:ascii="Times New Roman" w:hAnsi="Times New Roman"/>
          <w:snapToGrid w:val="0"/>
          <w:lang w:eastAsia="en-US"/>
        </w:rPr>
        <w:t xml:space="preserve">the </w:t>
      </w:r>
      <w:r w:rsidR="000018A4" w:rsidRPr="0018093C">
        <w:rPr>
          <w:rFonts w:ascii="Times New Roman" w:hAnsi="Times New Roman"/>
          <w:snapToGrid w:val="0"/>
          <w:lang w:eastAsia="en-US"/>
        </w:rPr>
        <w:t xml:space="preserve">product of (a) the </w:t>
      </w:r>
      <w:r w:rsidRPr="0018093C">
        <w:rPr>
          <w:rFonts w:ascii="Times New Roman" w:hAnsi="Times New Roman"/>
          <w:snapToGrid w:val="0"/>
          <w:lang w:eastAsia="en-US"/>
        </w:rPr>
        <w:t xml:space="preserve">difference between </w:t>
      </w:r>
      <w:r w:rsidR="000018A4" w:rsidRPr="0018093C">
        <w:rPr>
          <w:rFonts w:ascii="Times New Roman" w:hAnsi="Times New Roman"/>
          <w:snapToGrid w:val="0"/>
          <w:lang w:eastAsia="en-US"/>
        </w:rPr>
        <w:t xml:space="preserve">the long-term market risk premium of 6.7% and Mr. Hill’s market risk premium of </w:t>
      </w:r>
      <w:r w:rsidRPr="0018093C">
        <w:rPr>
          <w:rFonts w:ascii="Times New Roman" w:hAnsi="Times New Roman"/>
          <w:snapToGrid w:val="0"/>
          <w:lang w:eastAsia="en-US"/>
        </w:rPr>
        <w:t xml:space="preserve">6.0% </w:t>
      </w:r>
      <w:r w:rsidR="000018A4" w:rsidRPr="0018093C">
        <w:rPr>
          <w:rFonts w:ascii="Times New Roman" w:hAnsi="Times New Roman"/>
          <w:snapToGrid w:val="0"/>
          <w:lang w:eastAsia="en-US"/>
        </w:rPr>
        <w:t>multiplied by (b) </w:t>
      </w:r>
      <w:r w:rsidRPr="0018093C">
        <w:rPr>
          <w:rFonts w:ascii="Times New Roman" w:hAnsi="Times New Roman"/>
          <w:snapToGrid w:val="0"/>
          <w:lang w:eastAsia="en-US"/>
        </w:rPr>
        <w:t>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average beta of 0.67). </w:t>
      </w:r>
    </w:p>
    <w:p w14:paraId="265F31BA" w14:textId="77777777" w:rsidR="00E71841" w:rsidRPr="0018093C" w:rsidRDefault="000018A4" w:rsidP="00D64DC2">
      <w:pPr>
        <w:pStyle w:val="Heading2"/>
      </w:pPr>
      <w:bookmarkStart w:id="17" w:name="_Toc406751109"/>
      <w:r w:rsidRPr="0018093C">
        <w:lastRenderedPageBreak/>
        <w:t>D</w:t>
      </w:r>
      <w:r w:rsidR="00E71841" w:rsidRPr="0018093C">
        <w:t>.</w:t>
      </w:r>
      <w:r w:rsidR="00E71841" w:rsidRPr="0018093C">
        <w:tab/>
        <w:t>Mr.</w:t>
      </w:r>
      <w:r w:rsidRPr="0018093C">
        <w:t> </w:t>
      </w:r>
      <w:r w:rsidR="00E71841" w:rsidRPr="0018093C">
        <w:t xml:space="preserve">Hill Improperly Uses </w:t>
      </w:r>
      <w:r w:rsidR="00876B77" w:rsidRPr="0018093C">
        <w:t xml:space="preserve">a Modified Earning Price Ratio and Market-to-Book Ratio Analyses, Each of Which is a </w:t>
      </w:r>
      <w:r w:rsidR="00E71841" w:rsidRPr="0018093C">
        <w:t>Disguised Versions of the DCF</w:t>
      </w:r>
      <w:bookmarkEnd w:id="17"/>
    </w:p>
    <w:p w14:paraId="2D037254" w14:textId="77777777" w:rsidR="00E71841" w:rsidRPr="0018093C" w:rsidRDefault="00E71841" w:rsidP="00E7184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Does Mr.</w:t>
      </w:r>
      <w:r w:rsidR="000127D7" w:rsidRPr="0018093C">
        <w:rPr>
          <w:rFonts w:ascii="Times New Roman" w:hAnsi="Times New Roman"/>
          <w:snapToGrid w:val="0"/>
          <w:lang w:eastAsia="en-US"/>
        </w:rPr>
        <w:t> </w:t>
      </w:r>
      <w:r w:rsidRPr="0018093C">
        <w:rPr>
          <w:rFonts w:ascii="Times New Roman" w:hAnsi="Times New Roman"/>
          <w:snapToGrid w:val="0"/>
          <w:lang w:eastAsia="en-US"/>
        </w:rPr>
        <w:t>Hill rely on additional approaches in arriving at his final recommend</w:t>
      </w:r>
      <w:r w:rsidR="000127D7" w:rsidRPr="0018093C">
        <w:rPr>
          <w:rFonts w:ascii="Times New Roman" w:hAnsi="Times New Roman"/>
          <w:snapToGrid w:val="0"/>
          <w:lang w:eastAsia="en-US"/>
        </w:rPr>
        <w:t>ed ROE for PSE</w:t>
      </w:r>
      <w:r w:rsidRPr="0018093C">
        <w:rPr>
          <w:rFonts w:ascii="Times New Roman" w:hAnsi="Times New Roman"/>
          <w:snapToGrid w:val="0"/>
          <w:lang w:eastAsia="en-US"/>
        </w:rPr>
        <w:t>?</w:t>
      </w:r>
    </w:p>
    <w:p w14:paraId="7845DE79" w14:textId="77777777" w:rsidR="00E71841" w:rsidRPr="0018093C" w:rsidRDefault="00E71841"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Yes.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employs </w:t>
      </w:r>
      <w:r w:rsidR="000127D7" w:rsidRPr="0018093C">
        <w:rPr>
          <w:rFonts w:ascii="Times New Roman" w:hAnsi="Times New Roman"/>
          <w:snapToGrid w:val="0"/>
          <w:lang w:eastAsia="en-US"/>
        </w:rPr>
        <w:t>both a Modified Earnings-Price Ratio analysis</w:t>
      </w:r>
      <w:r w:rsidR="008A0770" w:rsidRPr="0018093C">
        <w:rPr>
          <w:rStyle w:val="FootnoteReference"/>
          <w:rFonts w:ascii="Times New Roman" w:hAnsi="Times New Roman"/>
          <w:snapToGrid w:val="0"/>
          <w:lang w:eastAsia="en-US"/>
        </w:rPr>
        <w:footnoteReference w:id="49"/>
      </w:r>
      <w:r w:rsidR="000127D7" w:rsidRPr="0018093C">
        <w:rPr>
          <w:rFonts w:ascii="Times New Roman" w:hAnsi="Times New Roman"/>
          <w:snapToGrid w:val="0"/>
          <w:lang w:eastAsia="en-US"/>
        </w:rPr>
        <w:t xml:space="preserve"> and a Market-To-Book Ratio analysis</w:t>
      </w:r>
      <w:r w:rsidR="008A0770" w:rsidRPr="0018093C">
        <w:rPr>
          <w:rStyle w:val="FootnoteReference"/>
          <w:rFonts w:ascii="Times New Roman" w:hAnsi="Times New Roman"/>
          <w:snapToGrid w:val="0"/>
          <w:lang w:eastAsia="en-US"/>
        </w:rPr>
        <w:footnoteReference w:id="50"/>
      </w:r>
      <w:r w:rsidR="000127D7"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in arriving at </w:t>
      </w:r>
      <w:r w:rsidR="000127D7" w:rsidRPr="0018093C">
        <w:rPr>
          <w:rFonts w:ascii="Times New Roman" w:hAnsi="Times New Roman"/>
          <w:snapToGrid w:val="0"/>
          <w:lang w:eastAsia="en-US"/>
        </w:rPr>
        <w:t>h</w:t>
      </w:r>
      <w:r w:rsidRPr="0018093C">
        <w:rPr>
          <w:rFonts w:ascii="Times New Roman" w:hAnsi="Times New Roman"/>
          <w:snapToGrid w:val="0"/>
          <w:lang w:eastAsia="en-US"/>
        </w:rPr>
        <w:t xml:space="preserve">is final </w:t>
      </w:r>
      <w:r w:rsidR="000127D7" w:rsidRPr="0018093C">
        <w:rPr>
          <w:rFonts w:ascii="Times New Roman" w:hAnsi="Times New Roman"/>
          <w:snapToGrid w:val="0"/>
          <w:lang w:eastAsia="en-US"/>
        </w:rPr>
        <w:t>recommended ROE for PSE.</w:t>
      </w:r>
    </w:p>
    <w:p w14:paraId="2B74BF9E" w14:textId="77777777" w:rsidR="00876B77" w:rsidRPr="0018093C" w:rsidRDefault="00876B77" w:rsidP="00D64DC2">
      <w:pPr>
        <w:pStyle w:val="Heading3"/>
      </w:pPr>
      <w:bookmarkStart w:id="18" w:name="_Toc406751110"/>
      <w:r w:rsidRPr="0018093C">
        <w:t>1.</w:t>
      </w:r>
      <w:r w:rsidRPr="0018093C">
        <w:tab/>
        <w:t>Mr. Hill’s Modified Earnings-Price Ratio Analysis is Inappropriate and Inapplicable</w:t>
      </w:r>
      <w:bookmarkEnd w:id="18"/>
    </w:p>
    <w:p w14:paraId="38E7ED63" w14:textId="77777777" w:rsidR="00E71841" w:rsidRPr="0018093C" w:rsidRDefault="00E71841" w:rsidP="00E7184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 xml:space="preserve">Is the Modified Earnings-Price Ratio </w:t>
      </w:r>
      <w:r w:rsidR="00876B77" w:rsidRPr="0018093C">
        <w:rPr>
          <w:rFonts w:ascii="Times New Roman" w:hAnsi="Times New Roman"/>
          <w:snapToGrid w:val="0"/>
          <w:lang w:eastAsia="en-US"/>
        </w:rPr>
        <w:t xml:space="preserve">methodology </w:t>
      </w:r>
      <w:r w:rsidRPr="0018093C">
        <w:rPr>
          <w:rFonts w:ascii="Times New Roman" w:hAnsi="Times New Roman"/>
          <w:snapToGrid w:val="0"/>
          <w:lang w:eastAsia="en-US"/>
        </w:rPr>
        <w:t xml:space="preserve">appropriate and applicable? </w:t>
      </w:r>
    </w:p>
    <w:p w14:paraId="348AB267" w14:textId="77777777" w:rsidR="00E71841" w:rsidRPr="0018093C" w:rsidRDefault="00E71841"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876B77" w:rsidRPr="0018093C">
        <w:rPr>
          <w:rFonts w:ascii="Times New Roman" w:hAnsi="Times New Roman"/>
          <w:snapToGrid w:val="0"/>
          <w:lang w:eastAsia="en-US"/>
        </w:rPr>
        <w:t xml:space="preserve">The Modified Earnings-Price Ratio </w:t>
      </w:r>
      <w:r w:rsidR="008A0770" w:rsidRPr="0018093C">
        <w:rPr>
          <w:rFonts w:ascii="Times New Roman" w:hAnsi="Times New Roman"/>
          <w:snapToGrid w:val="0"/>
          <w:lang w:eastAsia="en-US"/>
        </w:rPr>
        <w:t>methodology</w:t>
      </w:r>
      <w:r w:rsidR="00876B77" w:rsidRPr="0018093C">
        <w:rPr>
          <w:rFonts w:ascii="Times New Roman" w:hAnsi="Times New Roman"/>
          <w:snapToGrid w:val="0"/>
          <w:lang w:eastAsia="en-US"/>
        </w:rPr>
        <w:t xml:space="preserve"> is inappropriate and inapplicable.  </w:t>
      </w:r>
      <w:r w:rsidR="000127D7" w:rsidRPr="0018093C">
        <w:rPr>
          <w:rFonts w:ascii="Times New Roman" w:hAnsi="Times New Roman"/>
          <w:snapToGrid w:val="0"/>
          <w:lang w:eastAsia="en-US"/>
        </w:rPr>
        <w:t xml:space="preserve">According to </w:t>
      </w:r>
      <w:r w:rsidR="00876B77" w:rsidRPr="0018093C">
        <w:rPr>
          <w:rFonts w:ascii="Times New Roman" w:hAnsi="Times New Roman"/>
          <w:snapToGrid w:val="0"/>
          <w:lang w:eastAsia="en-US"/>
        </w:rPr>
        <w:t>the Modified Earnings-Price Ratio methodology</w:t>
      </w:r>
      <w:r w:rsidR="000127D7" w:rsidRPr="0018093C">
        <w:rPr>
          <w:rFonts w:ascii="Times New Roman" w:hAnsi="Times New Roman"/>
          <w:snapToGrid w:val="0"/>
          <w:lang w:eastAsia="en-US"/>
        </w:rPr>
        <w:t>, the return of earnings to shareholders is the cost to the company of equity funds, and the same rate of return must be earned on equity-financed assets to equal the cost rate.</w:t>
      </w:r>
      <w:r w:rsidR="00876B77" w:rsidRPr="0018093C">
        <w:rPr>
          <w:rFonts w:ascii="Times New Roman" w:hAnsi="Times New Roman"/>
          <w:snapToGrid w:val="0"/>
          <w:lang w:eastAsia="en-US"/>
        </w:rPr>
        <w:t xml:space="preserve">  </w:t>
      </w:r>
      <w:r w:rsidRPr="0018093C">
        <w:rPr>
          <w:rFonts w:ascii="Times New Roman" w:hAnsi="Times New Roman"/>
          <w:snapToGrid w:val="0"/>
          <w:lang w:eastAsia="en-US"/>
        </w:rPr>
        <w:t>The corporate finance literature in the 1960s extensively discussed the Earnings-Price Ratio methodology that lies at the root of Mr.</w:t>
      </w:r>
      <w:r w:rsidR="00876B77" w:rsidRPr="0018093C">
        <w:rPr>
          <w:rFonts w:ascii="Times New Roman" w:hAnsi="Times New Roman"/>
          <w:snapToGrid w:val="0"/>
          <w:lang w:eastAsia="en-US"/>
        </w:rPr>
        <w:t> </w:t>
      </w:r>
      <w:r w:rsidRPr="0018093C">
        <w:rPr>
          <w:rFonts w:ascii="Times New Roman" w:hAnsi="Times New Roman"/>
          <w:snapToGrid w:val="0"/>
          <w:lang w:eastAsia="en-US"/>
        </w:rPr>
        <w:t xml:space="preserve">Hill’s Modified Earnings-Price Ratio method.  Indeed, the Earnings-Price Ratio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enjoyed some brief notoriety in regulatory proceedings during that period.</w:t>
      </w:r>
    </w:p>
    <w:p w14:paraId="47EADF2D" w14:textId="77777777" w:rsidR="00E71841"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Today, however, the Earnings-Price Ratio method</w:t>
      </w:r>
      <w:r w:rsidR="00876B77" w:rsidRPr="0018093C">
        <w:rPr>
          <w:rFonts w:ascii="Times New Roman" w:hAnsi="Times New Roman"/>
          <w:snapToGrid w:val="0"/>
          <w:lang w:eastAsia="en-US"/>
        </w:rPr>
        <w:t>ology</w:t>
      </w:r>
      <w:r w:rsidRPr="0018093C">
        <w:rPr>
          <w:rFonts w:ascii="Times New Roman" w:hAnsi="Times New Roman"/>
          <w:snapToGrid w:val="0"/>
          <w:lang w:eastAsia="en-US"/>
        </w:rPr>
        <w:t xml:space="preserve"> has vanished from use because it produces unreliable results.  In fact, the Earnings-Price Ratio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constitutes an accurate measure of the cost of equity (and collapses into the standard constant-growth DCF model) only under two very limited circumstances:</w:t>
      </w:r>
    </w:p>
    <w:p w14:paraId="18809F4F" w14:textId="77777777" w:rsidR="008A0770" w:rsidRPr="0018093C" w:rsidRDefault="00E71841" w:rsidP="00E7184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(1)</w:t>
      </w:r>
      <w:r w:rsidRPr="0018093C">
        <w:rPr>
          <w:rFonts w:ascii="Times New Roman" w:hAnsi="Times New Roman"/>
          <w:snapToGrid w:val="0"/>
          <w:lang w:eastAsia="en-US"/>
        </w:rPr>
        <w:tab/>
        <w:t>the company must pay all earnings out in dividends, and</w:t>
      </w:r>
    </w:p>
    <w:p w14:paraId="196C6B00" w14:textId="77777777" w:rsidR="00E71841" w:rsidRPr="0018093C" w:rsidRDefault="00E71841" w:rsidP="00E7184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(2)</w:t>
      </w:r>
      <w:r w:rsidRPr="0018093C">
        <w:rPr>
          <w:rFonts w:ascii="Times New Roman" w:hAnsi="Times New Roman"/>
          <w:snapToGrid w:val="0"/>
          <w:lang w:eastAsia="en-US"/>
        </w:rPr>
        <w:tab/>
        <w:t>the company must be an “ordinary” firm, (i.e., a company without profitable opportunities earning a return on new investments equal to the cost of equity).</w:t>
      </w:r>
    </w:p>
    <w:p w14:paraId="6F51958C" w14:textId="77777777" w:rsidR="008A0770"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t>Neither of these circumstances is present here</w:t>
      </w:r>
      <w:r w:rsidR="008A0770" w:rsidRPr="0018093C">
        <w:rPr>
          <w:rFonts w:ascii="Times New Roman" w:hAnsi="Times New Roman"/>
          <w:snapToGrid w:val="0"/>
          <w:lang w:eastAsia="en-US"/>
        </w:rPr>
        <w:t xml:space="preserve">.  Therefore, </w:t>
      </w:r>
      <w:r w:rsidRPr="0018093C">
        <w:rPr>
          <w:rFonts w:ascii="Times New Roman" w:hAnsi="Times New Roman"/>
          <w:snapToGrid w:val="0"/>
          <w:lang w:eastAsia="en-US"/>
        </w:rPr>
        <w:t>the Commission should reject Mr.</w:t>
      </w:r>
      <w:r w:rsidR="008A0770" w:rsidRPr="0018093C">
        <w:rPr>
          <w:rFonts w:ascii="Times New Roman" w:hAnsi="Times New Roman"/>
          <w:snapToGrid w:val="0"/>
          <w:lang w:eastAsia="en-US"/>
        </w:rPr>
        <w:t> </w:t>
      </w:r>
      <w:r w:rsidRPr="0018093C">
        <w:rPr>
          <w:rFonts w:ascii="Times New Roman" w:hAnsi="Times New Roman"/>
          <w:snapToGrid w:val="0"/>
          <w:lang w:eastAsia="en-US"/>
        </w:rPr>
        <w:t>Hill’s Modified Earnings-Price Ratio</w:t>
      </w:r>
      <w:r w:rsidR="008A0770" w:rsidRPr="0018093C">
        <w:rPr>
          <w:rFonts w:ascii="Times New Roman" w:hAnsi="Times New Roman"/>
          <w:snapToGrid w:val="0"/>
          <w:lang w:eastAsia="en-US"/>
        </w:rPr>
        <w:t xml:space="preserve"> methodology</w:t>
      </w:r>
      <w:r w:rsidRPr="0018093C">
        <w:rPr>
          <w:rFonts w:ascii="Times New Roman" w:hAnsi="Times New Roman"/>
          <w:snapToGrid w:val="0"/>
          <w:lang w:eastAsia="en-US"/>
        </w:rPr>
        <w:t>.</w:t>
      </w:r>
    </w:p>
    <w:p w14:paraId="27E2FEB1" w14:textId="77777777" w:rsidR="00E71841"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t>Furthermore, the Modified Earnings-Price Ratio</w:t>
      </w:r>
      <w:r w:rsidR="008A0770" w:rsidRPr="0018093C">
        <w:rPr>
          <w:rFonts w:ascii="Times New Roman" w:hAnsi="Times New Roman"/>
          <w:snapToGrid w:val="0"/>
          <w:lang w:eastAsia="en-US"/>
        </w:rPr>
        <w:t xml:space="preserve"> methodology</w:t>
      </w:r>
      <w:r w:rsidRPr="0018093C">
        <w:rPr>
          <w:rFonts w:ascii="Times New Roman" w:hAnsi="Times New Roman"/>
          <w:snapToGrid w:val="0"/>
          <w:lang w:eastAsia="en-US"/>
        </w:rPr>
        <w:t xml:space="preserve">, like the </w:t>
      </w:r>
      <w:r w:rsidR="008A077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8A0770" w:rsidRPr="0018093C">
        <w:rPr>
          <w:rFonts w:ascii="Times New Roman" w:hAnsi="Times New Roman"/>
          <w:snapToGrid w:val="0"/>
          <w:lang w:eastAsia="en-US"/>
        </w:rPr>
        <w:t xml:space="preserve">rate methodology </w:t>
      </w:r>
      <w:r w:rsidRPr="0018093C">
        <w:rPr>
          <w:rFonts w:ascii="Times New Roman" w:hAnsi="Times New Roman"/>
          <w:snapToGrid w:val="0"/>
          <w:lang w:eastAsia="en-US"/>
        </w:rPr>
        <w:t>discussed above, is logically circular because it requires an assumed ROE, which is the very quantity the model is trying to estimate.</w:t>
      </w:r>
    </w:p>
    <w:p w14:paraId="4A519641" w14:textId="77777777" w:rsidR="00E71841" w:rsidRPr="0018093C" w:rsidRDefault="00E71841" w:rsidP="00E7184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Is Mr.</w:t>
      </w:r>
      <w:r w:rsidR="008A0770" w:rsidRPr="0018093C">
        <w:rPr>
          <w:rFonts w:ascii="Times New Roman" w:hAnsi="Times New Roman"/>
          <w:snapToGrid w:val="0"/>
          <w:lang w:eastAsia="en-US"/>
        </w:rPr>
        <w:t> </w:t>
      </w:r>
      <w:r w:rsidRPr="0018093C">
        <w:rPr>
          <w:rFonts w:ascii="Times New Roman" w:hAnsi="Times New Roman"/>
          <w:snapToGrid w:val="0"/>
          <w:lang w:eastAsia="en-US"/>
        </w:rPr>
        <w:t>Hill’s Modified Earning-Price Ratio methodology any different from the traditional Earning-Price Ratio methodology?</w:t>
      </w:r>
    </w:p>
    <w:p w14:paraId="36FE202B" w14:textId="77777777" w:rsidR="00E71841" w:rsidRPr="0018093C" w:rsidRDefault="00E71841"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8A0770" w:rsidRPr="0018093C">
        <w:rPr>
          <w:rFonts w:ascii="Times New Roman" w:hAnsi="Times New Roman"/>
          <w:snapToGrid w:val="0"/>
          <w:lang w:eastAsia="en-US"/>
        </w:rPr>
        <w:t xml:space="preserve">Mr. Hill’s Modified Earning-Price Ratio methodology and the traditional Earning-Price Ratio methodology </w:t>
      </w:r>
      <w:r w:rsidRPr="0018093C">
        <w:rPr>
          <w:rFonts w:ascii="Times New Roman" w:hAnsi="Times New Roman"/>
          <w:snapToGrid w:val="0"/>
          <w:lang w:eastAsia="en-US"/>
        </w:rPr>
        <w:t xml:space="preserve">are equivalent.  The relationship between the </w:t>
      </w:r>
      <w:r w:rsidR="008A0770" w:rsidRPr="0018093C">
        <w:rPr>
          <w:rFonts w:ascii="Times New Roman" w:hAnsi="Times New Roman"/>
          <w:snapToGrid w:val="0"/>
          <w:lang w:eastAsia="en-US"/>
        </w:rPr>
        <w:t xml:space="preserve">Modified Earnings-Price Ratio and the traditional </w:t>
      </w:r>
      <w:r w:rsidRPr="0018093C">
        <w:rPr>
          <w:rFonts w:ascii="Times New Roman" w:hAnsi="Times New Roman"/>
          <w:snapToGrid w:val="0"/>
          <w:lang w:eastAsia="en-US"/>
        </w:rPr>
        <w:t>Earnings-Price Ratio can easily be seen from Mr.</w:t>
      </w:r>
      <w:r w:rsidR="008A0770" w:rsidRPr="0018093C">
        <w:rPr>
          <w:rFonts w:ascii="Times New Roman" w:hAnsi="Times New Roman"/>
          <w:snapToGrid w:val="0"/>
          <w:lang w:eastAsia="en-US"/>
        </w:rPr>
        <w:t> </w:t>
      </w:r>
      <w:r w:rsidRPr="0018093C">
        <w:rPr>
          <w:rFonts w:ascii="Times New Roman" w:hAnsi="Times New Roman"/>
          <w:snapToGrid w:val="0"/>
          <w:lang w:eastAsia="en-US"/>
        </w:rPr>
        <w:t>Hill’s testimony.</w:t>
      </w:r>
      <w:r w:rsidR="0061635F" w:rsidRPr="0018093C">
        <w:rPr>
          <w:rStyle w:val="FootnoteReference"/>
          <w:rFonts w:ascii="Times New Roman" w:hAnsi="Times New Roman"/>
          <w:snapToGrid w:val="0"/>
          <w:lang w:eastAsia="en-US"/>
        </w:rPr>
        <w:footnoteReference w:id="51"/>
      </w:r>
      <w:r w:rsidRPr="0018093C">
        <w:rPr>
          <w:rFonts w:ascii="Times New Roman" w:hAnsi="Times New Roman"/>
          <w:snapToGrid w:val="0"/>
          <w:lang w:eastAsia="en-US"/>
        </w:rPr>
        <w:t xml:space="preserve">  </w:t>
      </w:r>
      <w:r w:rsidR="0061635F" w:rsidRPr="0018093C">
        <w:rPr>
          <w:rFonts w:ascii="Times New Roman" w:hAnsi="Times New Roman"/>
          <w:snapToGrid w:val="0"/>
          <w:lang w:eastAsia="en-US"/>
        </w:rPr>
        <w:t xml:space="preserve">Professors Edwin Elton and Martin Gruber </w:t>
      </w:r>
      <w:r w:rsidRPr="0018093C">
        <w:rPr>
          <w:rFonts w:ascii="Times New Roman" w:hAnsi="Times New Roman"/>
          <w:snapToGrid w:val="0"/>
          <w:lang w:eastAsia="en-US"/>
        </w:rPr>
        <w:lastRenderedPageBreak/>
        <w:t>posit the following formula</w:t>
      </w:r>
      <w:r w:rsidR="0061635F" w:rsidRPr="0018093C">
        <w:rPr>
          <w:rFonts w:ascii="Times New Roman" w:hAnsi="Times New Roman"/>
          <w:snapToGrid w:val="0"/>
          <w:lang w:eastAsia="en-US"/>
        </w:rPr>
        <w:t>,</w:t>
      </w:r>
      <w:r w:rsidR="0061635F" w:rsidRPr="0018093C">
        <w:rPr>
          <w:rStyle w:val="FootnoteReference"/>
          <w:rFonts w:ascii="Times New Roman" w:hAnsi="Times New Roman"/>
          <w:snapToGrid w:val="0"/>
          <w:lang w:eastAsia="en-US"/>
        </w:rPr>
        <w:footnoteReference w:id="52"/>
      </w:r>
      <w:r w:rsidRPr="0018093C">
        <w:rPr>
          <w:rFonts w:ascii="Times New Roman" w:hAnsi="Times New Roman"/>
          <w:snapToGrid w:val="0"/>
          <w:lang w:eastAsia="en-US"/>
        </w:rPr>
        <w:t xml:space="preserve"> which appears as equation (3) on page</w:t>
      </w:r>
      <w:r w:rsidR="0061635F" w:rsidRPr="0018093C">
        <w:rPr>
          <w:rFonts w:ascii="Times New Roman" w:hAnsi="Times New Roman"/>
          <w:snapToGrid w:val="0"/>
          <w:lang w:eastAsia="en-US"/>
        </w:rPr>
        <w:t> </w:t>
      </w:r>
      <w:r w:rsidRPr="0018093C">
        <w:rPr>
          <w:rFonts w:ascii="Times New Roman" w:hAnsi="Times New Roman"/>
          <w:snapToGrid w:val="0"/>
          <w:lang w:eastAsia="en-US"/>
        </w:rPr>
        <w:t>37 of Mr.</w:t>
      </w:r>
      <w:r w:rsidR="0061635F" w:rsidRPr="0018093C">
        <w:rPr>
          <w:rFonts w:ascii="Times New Roman" w:hAnsi="Times New Roman"/>
          <w:snapToGrid w:val="0"/>
          <w:lang w:eastAsia="en-US"/>
        </w:rPr>
        <w:t> </w:t>
      </w:r>
      <w:r w:rsidRPr="0018093C">
        <w:rPr>
          <w:rFonts w:ascii="Times New Roman" w:hAnsi="Times New Roman"/>
          <w:snapToGrid w:val="0"/>
          <w:lang w:eastAsia="en-US"/>
        </w:rPr>
        <w:t xml:space="preserve">Hill’s testimony. </w:t>
      </w:r>
    </w:p>
    <w:tbl>
      <w:tblPr>
        <w:tblStyle w:val="TableGrid"/>
        <w:tblW w:w="2411"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
        <w:gridCol w:w="1365"/>
      </w:tblGrid>
      <w:tr w:rsidR="00E71841" w:rsidRPr="0018093C" w14:paraId="3CBDCC3E" w14:textId="77777777" w:rsidTr="005F0F00">
        <w:tc>
          <w:tcPr>
            <w:tcW w:w="523" w:type="dxa"/>
            <w:vMerge w:val="restart"/>
            <w:vAlign w:val="center"/>
          </w:tcPr>
          <w:p w14:paraId="4E24E251"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k</w:t>
            </w:r>
          </w:p>
        </w:tc>
        <w:tc>
          <w:tcPr>
            <w:tcW w:w="523" w:type="dxa"/>
            <w:vMerge w:val="restart"/>
            <w:vAlign w:val="center"/>
          </w:tcPr>
          <w:p w14:paraId="780B2F50"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w:t>
            </w:r>
          </w:p>
        </w:tc>
        <w:tc>
          <w:tcPr>
            <w:tcW w:w="1365" w:type="dxa"/>
            <w:tcBorders>
              <w:bottom w:val="single" w:sz="4" w:space="0" w:color="auto"/>
            </w:tcBorders>
          </w:tcPr>
          <w:p w14:paraId="602313DC"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(1-b)E</w:t>
            </w:r>
          </w:p>
        </w:tc>
      </w:tr>
      <w:tr w:rsidR="00E71841" w:rsidRPr="0018093C" w14:paraId="09C956D7" w14:textId="77777777" w:rsidTr="005F0F00">
        <w:tc>
          <w:tcPr>
            <w:tcW w:w="523" w:type="dxa"/>
            <w:vMerge/>
          </w:tcPr>
          <w:p w14:paraId="585140E3" w14:textId="77777777" w:rsidR="00E71841" w:rsidRPr="0018093C" w:rsidRDefault="00E71841" w:rsidP="005F0F00">
            <w:pPr>
              <w:pStyle w:val="answer"/>
              <w:spacing w:before="0" w:after="0" w:line="240" w:lineRule="auto"/>
              <w:ind w:left="0" w:firstLine="0"/>
              <w:rPr>
                <w:rFonts w:ascii="Times New Roman" w:hAnsi="Times New Roman"/>
                <w:snapToGrid w:val="0"/>
                <w:lang w:eastAsia="en-US"/>
              </w:rPr>
            </w:pPr>
          </w:p>
        </w:tc>
        <w:tc>
          <w:tcPr>
            <w:tcW w:w="523" w:type="dxa"/>
            <w:vMerge/>
          </w:tcPr>
          <w:p w14:paraId="4033208D" w14:textId="77777777" w:rsidR="00E71841" w:rsidRPr="0018093C" w:rsidRDefault="00E71841" w:rsidP="005F0F00">
            <w:pPr>
              <w:pStyle w:val="answer"/>
              <w:spacing w:before="0" w:after="0" w:line="240" w:lineRule="auto"/>
              <w:ind w:left="0" w:firstLine="0"/>
              <w:rPr>
                <w:rFonts w:ascii="Times New Roman" w:hAnsi="Times New Roman"/>
                <w:snapToGrid w:val="0"/>
                <w:lang w:eastAsia="en-US"/>
              </w:rPr>
            </w:pPr>
          </w:p>
        </w:tc>
        <w:tc>
          <w:tcPr>
            <w:tcW w:w="1365" w:type="dxa"/>
            <w:tcBorders>
              <w:top w:val="single" w:sz="4" w:space="0" w:color="auto"/>
            </w:tcBorders>
          </w:tcPr>
          <w:p w14:paraId="0474A422"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(1-cb)P</w:t>
            </w:r>
          </w:p>
        </w:tc>
      </w:tr>
    </w:tbl>
    <w:p w14:paraId="0C152936" w14:textId="77777777" w:rsidR="00E71841" w:rsidRPr="0018093C" w:rsidRDefault="00E71841" w:rsidP="00E71841">
      <w:pPr>
        <w:pStyle w:val="answer"/>
        <w:tabs>
          <w:tab w:val="left" w:pos="2700"/>
          <w:tab w:val="left" w:pos="2970"/>
        </w:tabs>
        <w:spacing w:before="360" w:after="0" w:line="240" w:lineRule="auto"/>
        <w:ind w:left="2434" w:hanging="994"/>
        <w:rPr>
          <w:rFonts w:ascii="Times New Roman" w:hAnsi="Times New Roman"/>
          <w:snapToGrid w:val="0"/>
          <w:lang w:eastAsia="en-US"/>
        </w:rPr>
      </w:pPr>
      <w:r w:rsidRPr="0018093C">
        <w:rPr>
          <w:rFonts w:ascii="Times New Roman" w:hAnsi="Times New Roman"/>
          <w:snapToGrid w:val="0"/>
          <w:lang w:eastAsia="en-US"/>
        </w:rPr>
        <w:t>Where:</w:t>
      </w:r>
      <w:r w:rsidRPr="0018093C">
        <w:rPr>
          <w:rFonts w:ascii="Times New Roman" w:hAnsi="Times New Roman"/>
          <w:snapToGrid w:val="0"/>
          <w:lang w:eastAsia="en-US"/>
        </w:rPr>
        <w:tab/>
        <w:t>k</w:t>
      </w:r>
      <w:r w:rsidRPr="0018093C">
        <w:rPr>
          <w:rFonts w:ascii="Times New Roman" w:hAnsi="Times New Roman"/>
          <w:snapToGrid w:val="0"/>
          <w:lang w:eastAsia="en-US"/>
        </w:rPr>
        <w:tab/>
        <w:t>=</w:t>
      </w:r>
      <w:r w:rsidRPr="0018093C">
        <w:rPr>
          <w:rFonts w:ascii="Times New Roman" w:hAnsi="Times New Roman"/>
          <w:snapToGrid w:val="0"/>
          <w:lang w:eastAsia="en-US"/>
        </w:rPr>
        <w:tab/>
        <w:t>cost of equity capital</w:t>
      </w:r>
    </w:p>
    <w:p w14:paraId="22DAAB73" w14:textId="77777777" w:rsidR="00E71841" w:rsidRPr="0018093C" w:rsidRDefault="00E71841" w:rsidP="00E71841">
      <w:pPr>
        <w:pStyle w:val="answer"/>
        <w:tabs>
          <w:tab w:val="left" w:pos="2700"/>
          <w:tab w:val="left" w:pos="2970"/>
        </w:tabs>
        <w:spacing w:before="0" w:after="0" w:line="240" w:lineRule="auto"/>
        <w:ind w:left="2434" w:hanging="4"/>
        <w:rPr>
          <w:rFonts w:ascii="Times New Roman" w:hAnsi="Times New Roman"/>
          <w:snapToGrid w:val="0"/>
          <w:lang w:eastAsia="en-US"/>
        </w:rPr>
      </w:pPr>
      <w:r w:rsidRPr="0018093C">
        <w:rPr>
          <w:rFonts w:ascii="Times New Roman" w:hAnsi="Times New Roman"/>
          <w:snapToGrid w:val="0"/>
          <w:lang w:eastAsia="en-US"/>
        </w:rPr>
        <w:t>b</w:t>
      </w:r>
      <w:r w:rsidRPr="0018093C">
        <w:rPr>
          <w:rFonts w:ascii="Times New Roman" w:hAnsi="Times New Roman"/>
          <w:snapToGrid w:val="0"/>
          <w:lang w:eastAsia="en-US"/>
        </w:rPr>
        <w:tab/>
        <w:t>=</w:t>
      </w:r>
      <w:r w:rsidRPr="0018093C">
        <w:rPr>
          <w:rFonts w:ascii="Times New Roman" w:hAnsi="Times New Roman"/>
          <w:snapToGrid w:val="0"/>
          <w:lang w:eastAsia="en-US"/>
        </w:rPr>
        <w:tab/>
        <w:t>retention ratio</w:t>
      </w:r>
    </w:p>
    <w:p w14:paraId="39F02269" w14:textId="77777777" w:rsidR="00E71841" w:rsidRPr="0018093C" w:rsidRDefault="00E71841" w:rsidP="00E71841">
      <w:pPr>
        <w:pStyle w:val="answer"/>
        <w:tabs>
          <w:tab w:val="left" w:pos="2700"/>
          <w:tab w:val="left" w:pos="2970"/>
        </w:tabs>
        <w:spacing w:before="0" w:after="0" w:line="240" w:lineRule="auto"/>
        <w:ind w:left="2434" w:hanging="4"/>
        <w:rPr>
          <w:rFonts w:ascii="Times New Roman" w:hAnsi="Times New Roman"/>
          <w:snapToGrid w:val="0"/>
          <w:lang w:eastAsia="en-US"/>
        </w:rPr>
      </w:pPr>
      <w:r w:rsidRPr="0018093C">
        <w:rPr>
          <w:rFonts w:ascii="Times New Roman" w:hAnsi="Times New Roman"/>
          <w:snapToGrid w:val="0"/>
          <w:lang w:eastAsia="en-US"/>
        </w:rPr>
        <w:t>E</w:t>
      </w:r>
      <w:r w:rsidRPr="0018093C">
        <w:rPr>
          <w:rFonts w:ascii="Times New Roman" w:hAnsi="Times New Roman"/>
          <w:snapToGrid w:val="0"/>
          <w:lang w:eastAsia="en-US"/>
        </w:rPr>
        <w:tab/>
        <w:t>=</w:t>
      </w:r>
      <w:r w:rsidRPr="0018093C">
        <w:rPr>
          <w:rFonts w:ascii="Times New Roman" w:hAnsi="Times New Roman"/>
          <w:snapToGrid w:val="0"/>
          <w:lang w:eastAsia="en-US"/>
        </w:rPr>
        <w:tab/>
        <w:t>earnings</w:t>
      </w:r>
    </w:p>
    <w:p w14:paraId="4C64E27F" w14:textId="77777777" w:rsidR="00E71841" w:rsidRPr="0018093C" w:rsidRDefault="00E71841" w:rsidP="00E71841">
      <w:pPr>
        <w:pStyle w:val="answer"/>
        <w:tabs>
          <w:tab w:val="left" w:pos="2700"/>
          <w:tab w:val="left" w:pos="2970"/>
        </w:tabs>
        <w:spacing w:before="0" w:after="0" w:line="240" w:lineRule="auto"/>
        <w:ind w:left="2434" w:hanging="4"/>
        <w:rPr>
          <w:rFonts w:ascii="Times New Roman" w:hAnsi="Times New Roman"/>
          <w:snapToGrid w:val="0"/>
          <w:lang w:eastAsia="en-US"/>
        </w:rPr>
      </w:pPr>
      <w:r w:rsidRPr="0018093C">
        <w:rPr>
          <w:rFonts w:ascii="Times New Roman" w:hAnsi="Times New Roman"/>
          <w:snapToGrid w:val="0"/>
          <w:lang w:eastAsia="en-US"/>
        </w:rPr>
        <w:t>P</w:t>
      </w:r>
      <w:r w:rsidRPr="0018093C">
        <w:rPr>
          <w:rFonts w:ascii="Times New Roman" w:hAnsi="Times New Roman"/>
          <w:snapToGrid w:val="0"/>
          <w:lang w:eastAsia="en-US"/>
        </w:rPr>
        <w:tab/>
        <w:t>=</w:t>
      </w:r>
      <w:r w:rsidRPr="0018093C">
        <w:rPr>
          <w:rFonts w:ascii="Times New Roman" w:hAnsi="Times New Roman"/>
          <w:snapToGrid w:val="0"/>
          <w:lang w:eastAsia="en-US"/>
        </w:rPr>
        <w:tab/>
        <w:t>market price</w:t>
      </w:r>
    </w:p>
    <w:p w14:paraId="5551FF7F" w14:textId="77777777" w:rsidR="00E71841" w:rsidRPr="0018093C" w:rsidRDefault="00E71841" w:rsidP="00E71841">
      <w:pPr>
        <w:pStyle w:val="answer"/>
        <w:tabs>
          <w:tab w:val="left" w:pos="2700"/>
          <w:tab w:val="left" w:pos="2970"/>
        </w:tabs>
        <w:spacing w:before="0" w:after="360" w:line="240" w:lineRule="auto"/>
        <w:ind w:left="2981" w:hanging="547"/>
        <w:rPr>
          <w:rFonts w:ascii="Times New Roman" w:hAnsi="Times New Roman"/>
          <w:snapToGrid w:val="0"/>
          <w:lang w:eastAsia="en-US"/>
        </w:rPr>
      </w:pPr>
      <w:r w:rsidRPr="0018093C">
        <w:rPr>
          <w:rFonts w:ascii="Times New Roman" w:hAnsi="Times New Roman"/>
          <w:snapToGrid w:val="0"/>
          <w:lang w:eastAsia="en-US"/>
        </w:rPr>
        <w:t>c</w:t>
      </w:r>
      <w:r w:rsidRPr="0018093C">
        <w:rPr>
          <w:rFonts w:ascii="Times New Roman" w:hAnsi="Times New Roman"/>
          <w:snapToGrid w:val="0"/>
          <w:lang w:eastAsia="en-US"/>
        </w:rPr>
        <w:tab/>
        <w:t>=</w:t>
      </w:r>
      <w:r w:rsidRPr="0018093C">
        <w:rPr>
          <w:rFonts w:ascii="Times New Roman" w:hAnsi="Times New Roman"/>
          <w:snapToGrid w:val="0"/>
          <w:lang w:eastAsia="en-US"/>
        </w:rPr>
        <w:tab/>
        <w:t>is the ratio of the expected return on equity to the cost of equity capital (ROE/k)</w:t>
      </w:r>
    </w:p>
    <w:p w14:paraId="45C3916A" w14:textId="77777777" w:rsidR="00E71841"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t>Because the process of regulation sets the return on equity equal to the cost of equity</w:t>
      </w:r>
      <w:r w:rsidR="0061635F" w:rsidRPr="0018093C">
        <w:rPr>
          <w:rFonts w:ascii="Times New Roman" w:hAnsi="Times New Roman"/>
          <w:snapToGrid w:val="0"/>
          <w:lang w:eastAsia="en-US"/>
        </w:rPr>
        <w:t xml:space="preserve"> (i.e., </w:t>
      </w:r>
      <w:r w:rsidRPr="0018093C">
        <w:rPr>
          <w:rFonts w:ascii="Times New Roman" w:hAnsi="Times New Roman"/>
          <w:snapToGrid w:val="0"/>
          <w:lang w:eastAsia="en-US"/>
        </w:rPr>
        <w:t>ROE is set equal to “k” by the regulator</w:t>
      </w:r>
      <w:r w:rsidR="0061635F" w:rsidRPr="0018093C">
        <w:rPr>
          <w:rFonts w:ascii="Times New Roman" w:hAnsi="Times New Roman"/>
          <w:snapToGrid w:val="0"/>
          <w:lang w:eastAsia="en-US"/>
        </w:rPr>
        <w:t>)</w:t>
      </w:r>
      <w:r w:rsidRPr="0018093C">
        <w:rPr>
          <w:rFonts w:ascii="Times New Roman" w:hAnsi="Times New Roman"/>
          <w:snapToGrid w:val="0"/>
          <w:lang w:eastAsia="en-US"/>
        </w:rPr>
        <w:t>, “c” equals 1.0 in the above formula.  Thus k = E/P, and the two methodologies are equivalent.</w:t>
      </w:r>
    </w:p>
    <w:p w14:paraId="7AAE6705" w14:textId="77777777" w:rsidR="0061635F" w:rsidRPr="0018093C" w:rsidRDefault="0061635F" w:rsidP="00D64DC2">
      <w:pPr>
        <w:pStyle w:val="Heading3"/>
      </w:pPr>
      <w:bookmarkStart w:id="19" w:name="_Toc406751111"/>
      <w:r w:rsidRPr="0018093C">
        <w:t>2.</w:t>
      </w:r>
      <w:r w:rsidRPr="0018093C">
        <w:tab/>
        <w:t>Mr. Hill’s Market-to-Book Ratio Analysis is Also Inappropriate and Inapplicable</w:t>
      </w:r>
      <w:bookmarkEnd w:id="19"/>
    </w:p>
    <w:p w14:paraId="0FB33104" w14:textId="77777777" w:rsidR="0061635F" w:rsidRPr="0018093C" w:rsidRDefault="0061635F" w:rsidP="0061635F">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 xml:space="preserve">Is the Market-to-Book Ratio methodology appropriate and applicable? </w:t>
      </w:r>
    </w:p>
    <w:p w14:paraId="686C2637" w14:textId="77777777" w:rsidR="00E71841" w:rsidRPr="0018093C" w:rsidRDefault="0061635F"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The </w:t>
      </w:r>
      <w:r w:rsidR="0057475F" w:rsidRPr="0018093C">
        <w:rPr>
          <w:rFonts w:ascii="Times New Roman" w:hAnsi="Times New Roman"/>
          <w:snapToGrid w:val="0"/>
          <w:lang w:eastAsia="en-US"/>
        </w:rPr>
        <w:t xml:space="preserve">Market-to-Book Ratio </w:t>
      </w:r>
      <w:r w:rsidRPr="0018093C">
        <w:rPr>
          <w:rFonts w:ascii="Times New Roman" w:hAnsi="Times New Roman"/>
          <w:snapToGrid w:val="0"/>
          <w:lang w:eastAsia="en-US"/>
        </w:rPr>
        <w:t xml:space="preserve">methodology is inappropriate and inapplicable.  </w:t>
      </w:r>
      <w:r w:rsidR="0057475F" w:rsidRPr="0018093C">
        <w:rPr>
          <w:rFonts w:ascii="Times New Roman" w:hAnsi="Times New Roman"/>
          <w:snapToGrid w:val="0"/>
          <w:lang w:eastAsia="en-US"/>
        </w:rPr>
        <w:t xml:space="preserve">Indeed, Mr. Hill admits </w:t>
      </w:r>
      <w:r w:rsidR="00E71841" w:rsidRPr="0018093C">
        <w:rPr>
          <w:rFonts w:ascii="Times New Roman" w:hAnsi="Times New Roman"/>
          <w:snapToGrid w:val="0"/>
          <w:lang w:eastAsia="en-US"/>
        </w:rPr>
        <w:t xml:space="preserve">that the </w:t>
      </w:r>
      <w:r w:rsidR="0057475F" w:rsidRPr="0018093C">
        <w:rPr>
          <w:rFonts w:ascii="Times New Roman" w:hAnsi="Times New Roman"/>
          <w:snapToGrid w:val="0"/>
          <w:lang w:eastAsia="en-US"/>
        </w:rPr>
        <w:t xml:space="preserve">Market-to-Book Ratio methodology </w:t>
      </w:r>
      <w:r w:rsidR="00E71841" w:rsidRPr="0018093C">
        <w:rPr>
          <w:rFonts w:ascii="Times New Roman" w:hAnsi="Times New Roman"/>
          <w:snapToGrid w:val="0"/>
          <w:lang w:eastAsia="en-US"/>
        </w:rPr>
        <w:t>is redundant: “This method is derived algebraically from the DCF model and therefore, cannot be considered a strictly independent check of that method.”</w:t>
      </w:r>
      <w:r w:rsidR="0057475F" w:rsidRPr="0018093C">
        <w:rPr>
          <w:rStyle w:val="FootnoteReference"/>
          <w:rFonts w:ascii="Times New Roman" w:hAnsi="Times New Roman"/>
          <w:snapToGrid w:val="0"/>
          <w:lang w:eastAsia="en-US"/>
        </w:rPr>
        <w:footnoteReference w:id="53"/>
      </w:r>
      <w:r w:rsidR="00E71841" w:rsidRPr="0018093C">
        <w:rPr>
          <w:rFonts w:ascii="Times New Roman" w:hAnsi="Times New Roman"/>
          <w:snapToGrid w:val="0"/>
          <w:lang w:eastAsia="en-US"/>
        </w:rPr>
        <w:t xml:space="preserve">  Furthermore, the </w:t>
      </w:r>
      <w:r w:rsidR="0057475F" w:rsidRPr="0018093C">
        <w:rPr>
          <w:rFonts w:ascii="Times New Roman" w:hAnsi="Times New Roman"/>
          <w:snapToGrid w:val="0"/>
          <w:lang w:eastAsia="en-US"/>
        </w:rPr>
        <w:t>Market-to-Book Ratio methodology</w:t>
      </w:r>
      <w:r w:rsidR="00E71841" w:rsidRPr="0018093C">
        <w:rPr>
          <w:rFonts w:ascii="Times New Roman" w:hAnsi="Times New Roman"/>
          <w:snapToGrid w:val="0"/>
          <w:lang w:eastAsia="en-US"/>
        </w:rPr>
        <w:t xml:space="preserve">, like both the </w:t>
      </w:r>
      <w:r w:rsidR="0057475F" w:rsidRPr="0018093C">
        <w:rPr>
          <w:rFonts w:ascii="Times New Roman" w:hAnsi="Times New Roman"/>
          <w:snapToGrid w:val="0"/>
          <w:lang w:eastAsia="en-US"/>
        </w:rPr>
        <w:t xml:space="preserve">sustainable growth </w:t>
      </w:r>
      <w:r w:rsidR="00E71841" w:rsidRPr="0018093C">
        <w:rPr>
          <w:rFonts w:ascii="Times New Roman" w:hAnsi="Times New Roman"/>
          <w:snapToGrid w:val="0"/>
          <w:lang w:eastAsia="en-US"/>
        </w:rPr>
        <w:t>method</w:t>
      </w:r>
      <w:r w:rsidR="0057475F" w:rsidRPr="0018093C">
        <w:rPr>
          <w:rFonts w:ascii="Times New Roman" w:hAnsi="Times New Roman"/>
          <w:snapToGrid w:val="0"/>
          <w:lang w:eastAsia="en-US"/>
        </w:rPr>
        <w:t>ology</w:t>
      </w:r>
      <w:r w:rsidR="00E71841" w:rsidRPr="0018093C">
        <w:rPr>
          <w:rFonts w:ascii="Times New Roman" w:hAnsi="Times New Roman"/>
          <w:snapToGrid w:val="0"/>
          <w:lang w:eastAsia="en-US"/>
        </w:rPr>
        <w:t xml:space="preserve"> and the Modified Earnings Price Ratio </w:t>
      </w:r>
      <w:r w:rsidR="0057475F" w:rsidRPr="0018093C">
        <w:rPr>
          <w:rFonts w:ascii="Times New Roman" w:hAnsi="Times New Roman"/>
          <w:snapToGrid w:val="0"/>
          <w:lang w:eastAsia="en-US"/>
        </w:rPr>
        <w:t xml:space="preserve">methodology </w:t>
      </w:r>
      <w:r w:rsidR="00E71841" w:rsidRPr="0018093C">
        <w:rPr>
          <w:rFonts w:ascii="Times New Roman" w:hAnsi="Times New Roman"/>
          <w:snapToGrid w:val="0"/>
          <w:lang w:eastAsia="en-US"/>
        </w:rPr>
        <w:t xml:space="preserve">discussed </w:t>
      </w:r>
      <w:r w:rsidR="00E71841" w:rsidRPr="0018093C">
        <w:rPr>
          <w:rFonts w:ascii="Times New Roman" w:hAnsi="Times New Roman"/>
          <w:snapToGrid w:val="0"/>
          <w:lang w:eastAsia="en-US"/>
        </w:rPr>
        <w:lastRenderedPageBreak/>
        <w:t>above, is logically circular because it requires an assumed ROE, which is the very quantity the model is trying to estimate.</w:t>
      </w:r>
    </w:p>
    <w:p w14:paraId="1802FBED" w14:textId="77777777" w:rsidR="003E40B8" w:rsidRPr="0018093C" w:rsidRDefault="00087381" w:rsidP="00D64DC2">
      <w:pPr>
        <w:pStyle w:val="Heading2"/>
      </w:pPr>
      <w:bookmarkStart w:id="20" w:name="_Toc406751112"/>
      <w:r w:rsidRPr="0018093C">
        <w:t>E</w:t>
      </w:r>
      <w:r w:rsidR="00777B8D" w:rsidRPr="0018093C">
        <w:t>.</w:t>
      </w:r>
      <w:r w:rsidR="003E40B8" w:rsidRPr="0018093C">
        <w:tab/>
      </w:r>
      <w:r w:rsidR="001F3034" w:rsidRPr="0018093C">
        <w:t xml:space="preserve">The Commission Should Reject </w:t>
      </w:r>
      <w:r w:rsidRPr="0018093C">
        <w:t>Mr. Hill</w:t>
      </w:r>
      <w:r w:rsidR="00942E42" w:rsidRPr="0018093C">
        <w:t>’</w:t>
      </w:r>
      <w:r w:rsidR="001F3034" w:rsidRPr="0018093C">
        <w:t>s Downward ROE Adjustment Of 35</w:t>
      </w:r>
      <w:r w:rsidR="0057475F" w:rsidRPr="0018093C">
        <w:t> </w:t>
      </w:r>
      <w:r w:rsidR="001F3034" w:rsidRPr="0018093C">
        <w:t>Basis Points For Decoupling</w:t>
      </w:r>
      <w:r w:rsidR="003E40B8" w:rsidRPr="0018093C">
        <w:t>.</w:t>
      </w:r>
      <w:bookmarkEnd w:id="20"/>
    </w:p>
    <w:p w14:paraId="458774CF" w14:textId="77777777" w:rsidR="003E40B8" w:rsidRPr="0018093C" w:rsidRDefault="00777B8D"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003E40B8" w:rsidRPr="0018093C">
        <w:rPr>
          <w:rFonts w:ascii="Times New Roman" w:hAnsi="Times New Roman"/>
          <w:snapToGrid w:val="0"/>
          <w:lang w:eastAsia="en-US"/>
        </w:rPr>
        <w:tab/>
      </w:r>
      <w:r w:rsidR="001F3034" w:rsidRPr="0018093C">
        <w:rPr>
          <w:rFonts w:ascii="Times New Roman" w:hAnsi="Times New Roman"/>
          <w:snapToGrid w:val="0"/>
          <w:lang w:eastAsia="en-US"/>
        </w:rPr>
        <w:t>Do you</w:t>
      </w:r>
      <w:r w:rsidR="0057475F" w:rsidRPr="0018093C">
        <w:rPr>
          <w:rFonts w:ascii="Times New Roman" w:hAnsi="Times New Roman"/>
          <w:snapToGrid w:val="0"/>
          <w:lang w:eastAsia="en-US"/>
        </w:rPr>
        <w:t xml:space="preserve"> </w:t>
      </w:r>
      <w:r w:rsidR="001F3034" w:rsidRPr="0018093C">
        <w:rPr>
          <w:rFonts w:ascii="Times New Roman" w:hAnsi="Times New Roman"/>
          <w:snapToGrid w:val="0"/>
          <w:lang w:eastAsia="en-US"/>
        </w:rPr>
        <w:t xml:space="preserve">agree with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1F3034" w:rsidRPr="0018093C">
        <w:rPr>
          <w:rFonts w:ascii="Times New Roman" w:hAnsi="Times New Roman"/>
          <w:snapToGrid w:val="0"/>
          <w:lang w:eastAsia="en-US"/>
        </w:rPr>
        <w:t>s 35</w:t>
      </w:r>
      <w:r w:rsidR="0057475F" w:rsidRPr="0018093C">
        <w:rPr>
          <w:rFonts w:ascii="Times New Roman" w:hAnsi="Times New Roman"/>
          <w:snapToGrid w:val="0"/>
          <w:lang w:eastAsia="en-US"/>
        </w:rPr>
        <w:t> </w:t>
      </w:r>
      <w:r w:rsidR="001F3034" w:rsidRPr="0018093C">
        <w:rPr>
          <w:rFonts w:ascii="Times New Roman" w:hAnsi="Times New Roman"/>
          <w:snapToGrid w:val="0"/>
          <w:lang w:eastAsia="en-US"/>
        </w:rPr>
        <w:t>basis points downward adjustment to ROE for decoupling?</w:t>
      </w:r>
    </w:p>
    <w:p w14:paraId="78990E80" w14:textId="77777777" w:rsidR="00307FEB"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 do not.</w:t>
      </w:r>
      <w:r w:rsidR="00B25CB4"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devotes eighteen pages of his testimony in an attempt to quantify the impact of decoupling on </w:t>
      </w:r>
      <w:r w:rsidR="0057475F" w:rsidRPr="0018093C">
        <w:rPr>
          <w:rFonts w:ascii="Times New Roman" w:hAnsi="Times New Roman"/>
          <w:snapToGrid w:val="0"/>
          <w:lang w:eastAsia="en-US"/>
        </w:rPr>
        <w:t xml:space="preserve">PSE’s </w:t>
      </w:r>
      <w:r w:rsidRPr="0018093C">
        <w:rPr>
          <w:rFonts w:ascii="Times New Roman" w:hAnsi="Times New Roman"/>
          <w:snapToGrid w:val="0"/>
          <w:lang w:eastAsia="en-US"/>
        </w:rPr>
        <w:t xml:space="preserve">risk.  </w:t>
      </w:r>
      <w:r w:rsidR="0057475F" w:rsidRPr="0018093C">
        <w:rPr>
          <w:rFonts w:ascii="Times New Roman" w:hAnsi="Times New Roman"/>
          <w:snapToGrid w:val="0"/>
          <w:lang w:eastAsia="en-US"/>
        </w:rPr>
        <w:t xml:space="preserve">Although </w:t>
      </w:r>
      <w:r w:rsidRPr="0018093C">
        <w:rPr>
          <w:rFonts w:ascii="Times New Roman" w:hAnsi="Times New Roman"/>
          <w:snapToGrid w:val="0"/>
          <w:lang w:eastAsia="en-US"/>
        </w:rPr>
        <w:t>risk-mitigating mechanisms</w:t>
      </w:r>
      <w:r w:rsidR="0057475F" w:rsidRPr="0018093C">
        <w:rPr>
          <w:rFonts w:ascii="Times New Roman" w:hAnsi="Times New Roman"/>
          <w:snapToGrid w:val="0"/>
          <w:lang w:eastAsia="en-US"/>
        </w:rPr>
        <w:t>,</w:t>
      </w:r>
      <w:r w:rsidRPr="0018093C">
        <w:rPr>
          <w:rFonts w:ascii="Times New Roman" w:hAnsi="Times New Roman"/>
          <w:snapToGrid w:val="0"/>
          <w:lang w:eastAsia="en-US"/>
        </w:rPr>
        <w:t xml:space="preserve"> such as decoupling</w:t>
      </w:r>
      <w:r w:rsidR="0057475F"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57475F" w:rsidRPr="0018093C">
        <w:rPr>
          <w:rFonts w:ascii="Times New Roman" w:hAnsi="Times New Roman"/>
          <w:snapToGrid w:val="0"/>
          <w:lang w:eastAsia="en-US"/>
        </w:rPr>
        <w:t xml:space="preserve">may </w:t>
      </w:r>
      <w:r w:rsidRPr="0018093C">
        <w:rPr>
          <w:rFonts w:ascii="Times New Roman" w:hAnsi="Times New Roman"/>
          <w:snapToGrid w:val="0"/>
          <w:lang w:eastAsia="en-US"/>
        </w:rPr>
        <w:t>reduce risk on an absolute basis, they do not necessarily do so on a relative basis</w:t>
      </w:r>
      <w:r w:rsidR="0057475F" w:rsidRPr="0018093C">
        <w:rPr>
          <w:rFonts w:ascii="Times New Roman" w:hAnsi="Times New Roman"/>
          <w:snapToGrid w:val="0"/>
          <w:lang w:eastAsia="en-US"/>
        </w:rPr>
        <w:t xml:space="preserve"> (i.e., </w:t>
      </w:r>
      <w:r w:rsidRPr="0018093C">
        <w:rPr>
          <w:rFonts w:ascii="Times New Roman" w:hAnsi="Times New Roman"/>
          <w:snapToGrid w:val="0"/>
          <w:lang w:eastAsia="en-US"/>
        </w:rPr>
        <w:t>compared to other utilities</w:t>
      </w:r>
      <w:r w:rsidR="0057475F" w:rsidRPr="0018093C">
        <w:rPr>
          <w:rFonts w:ascii="Times New Roman" w:hAnsi="Times New Roman"/>
          <w:snapToGrid w:val="0"/>
          <w:lang w:eastAsia="en-US"/>
        </w:rPr>
        <w:t>)</w:t>
      </w:r>
      <w:r w:rsidRPr="0018093C">
        <w:rPr>
          <w:rFonts w:ascii="Times New Roman" w:hAnsi="Times New Roman"/>
          <w:snapToGrid w:val="0"/>
          <w:lang w:eastAsia="en-US"/>
        </w:rPr>
        <w:t>.  For example, a</w:t>
      </w:r>
      <w:r w:rsidR="0057475F" w:rsidRPr="0018093C">
        <w:rPr>
          <w:rFonts w:ascii="Times New Roman" w:hAnsi="Times New Roman"/>
          <w:snapToGrid w:val="0"/>
          <w:lang w:eastAsia="en-US"/>
        </w:rPr>
        <w:t xml:space="preserve">n energy cost </w:t>
      </w:r>
      <w:r w:rsidRPr="0018093C">
        <w:rPr>
          <w:rFonts w:ascii="Times New Roman" w:hAnsi="Times New Roman"/>
          <w:snapToGrid w:val="0"/>
          <w:lang w:eastAsia="en-US"/>
        </w:rPr>
        <w:t xml:space="preserve">adjustment </w:t>
      </w:r>
      <w:r w:rsidR="0057475F" w:rsidRPr="0018093C">
        <w:rPr>
          <w:rFonts w:ascii="Times New Roman" w:hAnsi="Times New Roman"/>
          <w:snapToGrid w:val="0"/>
          <w:lang w:eastAsia="en-US"/>
        </w:rPr>
        <w:t xml:space="preserve">mechanism may reduce absolute risk, but it </w:t>
      </w:r>
      <w:r w:rsidRPr="0018093C">
        <w:rPr>
          <w:rFonts w:ascii="Times New Roman" w:hAnsi="Times New Roman"/>
          <w:snapToGrid w:val="0"/>
          <w:lang w:eastAsia="en-US"/>
        </w:rPr>
        <w:t xml:space="preserve">does not reduce relative risk </w:t>
      </w:r>
      <w:r w:rsidR="0057475F" w:rsidRPr="0018093C">
        <w:rPr>
          <w:rFonts w:ascii="Times New Roman" w:hAnsi="Times New Roman"/>
          <w:snapToGrid w:val="0"/>
          <w:lang w:eastAsia="en-US"/>
        </w:rPr>
        <w:t xml:space="preserve">because </w:t>
      </w:r>
      <w:r w:rsidRPr="0018093C">
        <w:rPr>
          <w:rFonts w:ascii="Times New Roman" w:hAnsi="Times New Roman"/>
          <w:snapToGrid w:val="0"/>
          <w:lang w:eastAsia="en-US"/>
        </w:rPr>
        <w:t xml:space="preserve">most utilities in the industry </w:t>
      </w:r>
      <w:r w:rsidR="0057475F" w:rsidRPr="0018093C">
        <w:rPr>
          <w:rFonts w:ascii="Times New Roman" w:hAnsi="Times New Roman"/>
          <w:snapToGrid w:val="0"/>
          <w:lang w:eastAsia="en-US"/>
        </w:rPr>
        <w:t xml:space="preserve">have </w:t>
      </w:r>
      <w:r w:rsidRPr="0018093C">
        <w:rPr>
          <w:rFonts w:ascii="Times New Roman" w:hAnsi="Times New Roman"/>
          <w:snapToGrid w:val="0"/>
          <w:lang w:eastAsia="en-US"/>
        </w:rPr>
        <w:t>some form of energy cost adjustment mechanism.  The approval of adjustment clauses, ROE incentives riders, trackers, forward test years, and cost recovery mechanisms by regulatory commissions is widespread in the utility business and is already largely embedded in financial data, such as bond rating and business risk scores.</w:t>
      </w:r>
    </w:p>
    <w:p w14:paraId="22CE3485" w14:textId="77777777" w:rsidR="00307FEB" w:rsidRPr="0018093C" w:rsidRDefault="0057475F"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Although </w:t>
      </w:r>
      <w:r w:rsidR="003E40B8" w:rsidRPr="0018093C">
        <w:rPr>
          <w:rFonts w:ascii="Times New Roman" w:hAnsi="Times New Roman"/>
          <w:snapToGrid w:val="0"/>
          <w:lang w:eastAsia="en-US"/>
        </w:rPr>
        <w:t>adjustment clauses, riders, and cost tracking mechanisms may mitigate (on an absolute basis but not on a relative basis) a portion of the risk and uncertainty related to the day-to-day management of PSE</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s operations, there are other significant factors to consider that work in the reverse direction for PSE, for example</w:t>
      </w:r>
      <w:r w:rsidR="00602189" w:rsidRPr="0018093C">
        <w:rPr>
          <w:rFonts w:ascii="Times New Roman" w:hAnsi="Times New Roman"/>
          <w:snapToGrid w:val="0"/>
          <w:lang w:eastAsia="en-US"/>
        </w:rPr>
        <w:t xml:space="preserve">, PSE’s </w:t>
      </w:r>
      <w:r w:rsidR="003E40B8" w:rsidRPr="0018093C">
        <w:rPr>
          <w:rFonts w:ascii="Times New Roman" w:hAnsi="Times New Roman"/>
          <w:snapToGrid w:val="0"/>
          <w:lang w:eastAsia="en-US"/>
        </w:rPr>
        <w:t xml:space="preserve">dependence on substantial capital spending program to refurbish an aging infrastructure and regulatory risks, </w:t>
      </w:r>
      <w:r w:rsidR="00602189" w:rsidRPr="0018093C">
        <w:rPr>
          <w:rFonts w:ascii="Times New Roman" w:hAnsi="Times New Roman"/>
          <w:snapToGrid w:val="0"/>
          <w:lang w:eastAsia="en-US"/>
        </w:rPr>
        <w:t xml:space="preserve">particularly in light of PSE’s </w:t>
      </w:r>
      <w:r w:rsidR="003E40B8" w:rsidRPr="0018093C">
        <w:rPr>
          <w:rFonts w:ascii="Times New Roman" w:hAnsi="Times New Roman"/>
          <w:snapToGrid w:val="0"/>
          <w:lang w:eastAsia="en-US"/>
        </w:rPr>
        <w:t xml:space="preserve">inability </w:t>
      </w:r>
      <w:r w:rsidR="003E40B8" w:rsidRPr="0018093C">
        <w:rPr>
          <w:rFonts w:ascii="Times New Roman" w:hAnsi="Times New Roman"/>
          <w:snapToGrid w:val="0"/>
          <w:lang w:eastAsia="en-US"/>
        </w:rPr>
        <w:lastRenderedPageBreak/>
        <w:t>to earn its allowed return in recent years.</w:t>
      </w:r>
      <w:r w:rsidR="00B25CB4"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These additional factors largely offset the presence of the aforementione</w:t>
      </w:r>
      <w:r w:rsidR="00307FEB" w:rsidRPr="0018093C">
        <w:rPr>
          <w:rFonts w:ascii="Times New Roman" w:hAnsi="Times New Roman"/>
          <w:snapToGrid w:val="0"/>
          <w:lang w:eastAsia="en-US"/>
        </w:rPr>
        <w:t>d risk-mitigating mechanisms.</w:t>
      </w:r>
    </w:p>
    <w:p w14:paraId="5BC19B12"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My own view is that any risk-mitigating impact that decoupling could have on </w:t>
      </w:r>
      <w:r w:rsidR="00602189" w:rsidRPr="0018093C">
        <w:rPr>
          <w:rFonts w:ascii="Times New Roman" w:hAnsi="Times New Roman"/>
          <w:snapToGrid w:val="0"/>
          <w:lang w:eastAsia="en-US"/>
        </w:rPr>
        <w:t>PSE</w:t>
      </w:r>
      <w:r w:rsidR="00942E42" w:rsidRPr="0018093C">
        <w:rPr>
          <w:rFonts w:ascii="Times New Roman" w:hAnsi="Times New Roman"/>
          <w:snapToGrid w:val="0"/>
          <w:lang w:eastAsia="en-US"/>
        </w:rPr>
        <w:t>’</w:t>
      </w:r>
      <w:r w:rsidRPr="0018093C">
        <w:rPr>
          <w:rFonts w:ascii="Times New Roman" w:hAnsi="Times New Roman"/>
          <w:snapToGrid w:val="0"/>
          <w:lang w:eastAsia="en-US"/>
        </w:rPr>
        <w:t>s risk profile is reflected in the capital market data of the comparable companies</w:t>
      </w:r>
      <w:r w:rsidR="00602189" w:rsidRPr="0018093C">
        <w:rPr>
          <w:rFonts w:ascii="Times New Roman" w:hAnsi="Times New Roman"/>
          <w:snapToGrid w:val="0"/>
          <w:lang w:eastAsia="en-US"/>
        </w:rPr>
        <w:t xml:space="preserve"> </w:t>
      </w:r>
      <w:r w:rsidRPr="0018093C">
        <w:rPr>
          <w:rFonts w:ascii="Times New Roman" w:hAnsi="Times New Roman"/>
          <w:snapToGrid w:val="0"/>
          <w:lang w:eastAsia="en-US"/>
        </w:rPr>
        <w:t>and that the risk impact of these mechanisms is offset by several factors that work in the reverse direction.</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As explained in my direct testimony, the market-derived cost of common equity for other utility companies already incorporates the results of decoupling and/or similar mechanisms so that no further adjustment is appropriate or reasonable in determining the cost of common equity for PSE.</w:t>
      </w:r>
      <w:r w:rsidR="00602189" w:rsidRPr="0018093C">
        <w:rPr>
          <w:rStyle w:val="FootnoteReference"/>
          <w:rFonts w:ascii="Times New Roman" w:hAnsi="Times New Roman"/>
          <w:snapToGrid w:val="0"/>
          <w:lang w:eastAsia="en-US"/>
        </w:rPr>
        <w:footnoteReference w:id="54"/>
      </w:r>
      <w:r w:rsidR="0060218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Decoupling and other similar risk-mitigating mechanisms are becoming the norm for regulated utilities across the U.S.  In short, a downward ROE adjustment as recommended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if applied, wo</w:t>
      </w:r>
      <w:r w:rsidR="00602189" w:rsidRPr="0018093C">
        <w:rPr>
          <w:rFonts w:ascii="Times New Roman" w:hAnsi="Times New Roman"/>
          <w:snapToGrid w:val="0"/>
          <w:lang w:eastAsia="en-US"/>
        </w:rPr>
        <w:t>uld constitute double-counting.</w:t>
      </w:r>
    </w:p>
    <w:p w14:paraId="2D66E9B1" w14:textId="77777777" w:rsidR="003E40B8" w:rsidRPr="0018093C" w:rsidRDefault="00087381" w:rsidP="00D64DC2">
      <w:pPr>
        <w:pStyle w:val="Heading2"/>
      </w:pPr>
      <w:bookmarkStart w:id="21" w:name="_Toc406751113"/>
      <w:r w:rsidRPr="0018093C">
        <w:lastRenderedPageBreak/>
        <w:t>F</w:t>
      </w:r>
      <w:r w:rsidR="00777B8D" w:rsidRPr="0018093C">
        <w:t>.</w:t>
      </w:r>
      <w:r w:rsidR="003E40B8" w:rsidRPr="0018093C">
        <w:tab/>
      </w:r>
      <w:r w:rsidR="00307FEB" w:rsidRPr="0018093C">
        <w:t>Mr</w:t>
      </w:r>
      <w:r w:rsidR="00D64DC2" w:rsidRPr="0018093C">
        <w:t>. </w:t>
      </w:r>
      <w:r w:rsidR="00307FEB" w:rsidRPr="0018093C">
        <w:t>Hill</w:t>
      </w:r>
      <w:r w:rsidR="00942E42" w:rsidRPr="0018093C">
        <w:t>’</w:t>
      </w:r>
      <w:r w:rsidR="00307FEB" w:rsidRPr="0018093C">
        <w:t>s Criticisms Of My Testimony Are Unfounded And Without Merit, And Should Be Ignored By The Commission</w:t>
      </w:r>
      <w:r w:rsidR="003E40B8" w:rsidRPr="0018093C">
        <w:t>.</w:t>
      </w:r>
      <w:bookmarkEnd w:id="21"/>
    </w:p>
    <w:p w14:paraId="601FF135" w14:textId="77777777" w:rsidR="00D64DC2" w:rsidRPr="0018093C" w:rsidRDefault="00D64DC2" w:rsidP="00D64DC2">
      <w:pPr>
        <w:pStyle w:val="Heading3"/>
      </w:pPr>
      <w:bookmarkStart w:id="22" w:name="_Toc406751114"/>
      <w:r w:rsidRPr="0018093C">
        <w:t>1.</w:t>
      </w:r>
      <w:r w:rsidRPr="0018093C">
        <w:tab/>
        <w:t>Mr. Hill’s Criticisms Of My DCF Analyses Are Unfounded And Without Merit</w:t>
      </w:r>
      <w:bookmarkEnd w:id="22"/>
    </w:p>
    <w:p w14:paraId="44756A27" w14:textId="77777777" w:rsidR="003E40B8" w:rsidRPr="0018093C" w:rsidRDefault="00D64DC2" w:rsidP="00D64DC2">
      <w:pPr>
        <w:pStyle w:val="Heading4"/>
      </w:pPr>
      <w:bookmarkStart w:id="23" w:name="_Toc406751115"/>
      <w:r w:rsidRPr="0018093C">
        <w:t>a</w:t>
      </w:r>
      <w:r w:rsidR="00777B8D" w:rsidRPr="0018093C">
        <w:t>.</w:t>
      </w:r>
      <w:r w:rsidR="00777B8D" w:rsidRPr="0018093C">
        <w:tab/>
      </w:r>
      <w:r w:rsidRPr="0018093C">
        <w:t>The Dividend Yield Used in My DCF Analyses Does Not Double-Count the Expected Dividend Yield for Growth</w:t>
      </w:r>
      <w:bookmarkEnd w:id="23"/>
    </w:p>
    <w:p w14:paraId="67762339"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Is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criticism that you multiplied the spot dividend yield by one plus the expected growth rate (1 + g) warranted</w:t>
      </w:r>
      <w:r w:rsidRPr="0018093C">
        <w:rPr>
          <w:rFonts w:ascii="Times New Roman" w:hAnsi="Times New Roman"/>
          <w:snapToGrid w:val="0"/>
          <w:lang w:eastAsia="en-US"/>
        </w:rPr>
        <w:t>?</w:t>
      </w:r>
    </w:p>
    <w:p w14:paraId="3A321F5E"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The basic annual DCF model ignores the time value of quarterly dividend payments and assumes dividends are paid once a year at the end of the year.  Because the appropriate dividend to use in a DCF model is the prospective dividend for all companies that have positive growth rate forecasts, the dividend for all companies should be increased by the (1 + g) factor.  Multiplying the spot dividend yield by (1 + g) is actually a conservative attempt to capture the reality of quarterly dividend payments and understates the expected return on equity.  Use of this method is conservative in the sense that the annual DCF model ignores the more frequent compounding of quarterly dividends.</w:t>
      </w:r>
    </w:p>
    <w:p w14:paraId="2FEA34F0"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Did you double-count the expected dividend yield for growth</w:t>
      </w:r>
      <w:r w:rsidRPr="0018093C">
        <w:rPr>
          <w:rFonts w:ascii="Times New Roman" w:hAnsi="Times New Roman"/>
          <w:snapToGrid w:val="0"/>
          <w:lang w:eastAsia="en-US"/>
        </w:rPr>
        <w:t>?</w:t>
      </w:r>
    </w:p>
    <w:p w14:paraId="46FDA238"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Contrary to assertions of Mr.</w:t>
      </w:r>
      <w:r w:rsidR="00602189" w:rsidRPr="0018093C">
        <w:rPr>
          <w:rFonts w:ascii="Times New Roman" w:hAnsi="Times New Roman"/>
          <w:snapToGrid w:val="0"/>
          <w:lang w:eastAsia="en-US"/>
        </w:rPr>
        <w:t> </w:t>
      </w:r>
      <w:r w:rsidRPr="0018093C">
        <w:rPr>
          <w:rFonts w:ascii="Times New Roman" w:hAnsi="Times New Roman"/>
          <w:snapToGrid w:val="0"/>
          <w:lang w:eastAsia="en-US"/>
        </w:rPr>
        <w:t>Hill,</w:t>
      </w:r>
      <w:r w:rsidR="00602189" w:rsidRPr="0018093C">
        <w:rPr>
          <w:rStyle w:val="FootnoteReference"/>
          <w:rFonts w:ascii="Times New Roman" w:hAnsi="Times New Roman"/>
          <w:snapToGrid w:val="0"/>
          <w:lang w:eastAsia="en-US"/>
        </w:rPr>
        <w:footnoteReference w:id="55"/>
      </w:r>
      <w:r w:rsidRPr="0018093C">
        <w:rPr>
          <w:rFonts w:ascii="Times New Roman" w:hAnsi="Times New Roman"/>
          <w:snapToGrid w:val="0"/>
          <w:lang w:eastAsia="en-US"/>
        </w:rPr>
        <w:t xml:space="preserve"> I did not overstate the dividend yield by double-counting the dividend increase.  This is because I used the </w:t>
      </w:r>
      <w:r w:rsidR="00942E42" w:rsidRPr="0018093C">
        <w:rPr>
          <w:rFonts w:ascii="Times New Roman" w:hAnsi="Times New Roman"/>
          <w:snapToGrid w:val="0"/>
          <w:lang w:eastAsia="en-US"/>
        </w:rPr>
        <w:t>“</w:t>
      </w:r>
      <w:r w:rsidRPr="0018093C">
        <w:rPr>
          <w:rFonts w:ascii="Times New Roman" w:hAnsi="Times New Roman"/>
          <w:snapToGrid w:val="0"/>
          <w:lang w:eastAsia="en-US"/>
        </w:rPr>
        <w:t>current dividend yield</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as defined by Value Line in the Value Line Investment Analyzer software and not the dividend yield figure </w:t>
      </w:r>
      <w:r w:rsidR="00D64DC2" w:rsidRPr="0018093C">
        <w:rPr>
          <w:rFonts w:ascii="Times New Roman" w:hAnsi="Times New Roman"/>
          <w:snapToGrid w:val="0"/>
          <w:lang w:eastAsia="en-US"/>
        </w:rPr>
        <w:t xml:space="preserve">to which </w:t>
      </w:r>
      <w:r w:rsidRPr="0018093C">
        <w:rPr>
          <w:rFonts w:ascii="Times New Roman" w:hAnsi="Times New Roman"/>
          <w:snapToGrid w:val="0"/>
          <w:lang w:eastAsia="en-US"/>
        </w:rPr>
        <w:t>Mr.</w:t>
      </w:r>
      <w:r w:rsidR="00D64DC2" w:rsidRPr="0018093C">
        <w:rPr>
          <w:rFonts w:ascii="Times New Roman" w:hAnsi="Times New Roman"/>
          <w:snapToGrid w:val="0"/>
          <w:lang w:eastAsia="en-US"/>
        </w:rPr>
        <w:t> </w:t>
      </w:r>
      <w:r w:rsidRPr="0018093C">
        <w:rPr>
          <w:rFonts w:ascii="Times New Roman" w:hAnsi="Times New Roman"/>
          <w:snapToGrid w:val="0"/>
          <w:lang w:eastAsia="en-US"/>
        </w:rPr>
        <w:t xml:space="preserve">Hill </w:t>
      </w:r>
      <w:r w:rsidR="00D64DC2" w:rsidRPr="0018093C">
        <w:rPr>
          <w:rFonts w:ascii="Times New Roman" w:hAnsi="Times New Roman"/>
          <w:snapToGrid w:val="0"/>
          <w:lang w:eastAsia="en-US"/>
        </w:rPr>
        <w:t>refers</w:t>
      </w:r>
      <w:r w:rsidRPr="0018093C">
        <w:rPr>
          <w:rFonts w:ascii="Times New Roman" w:hAnsi="Times New Roman"/>
          <w:snapToGrid w:val="0"/>
          <w:lang w:eastAsia="en-US"/>
        </w:rPr>
        <w:t xml:space="preserve">, and then </w:t>
      </w:r>
      <w:r w:rsidRPr="0018093C">
        <w:rPr>
          <w:rFonts w:ascii="Times New Roman" w:hAnsi="Times New Roman"/>
          <w:snapToGrid w:val="0"/>
          <w:lang w:eastAsia="en-US"/>
        </w:rPr>
        <w:lastRenderedPageBreak/>
        <w:t>grossed up the current dividend yield to produce the expected dividend yield required by the DCF model.</w:t>
      </w:r>
    </w:p>
    <w:p w14:paraId="0B451FAE" w14:textId="77777777" w:rsidR="00D64DC2" w:rsidRPr="0018093C" w:rsidRDefault="00D64DC2" w:rsidP="00D64DC2">
      <w:pPr>
        <w:pStyle w:val="Heading4"/>
      </w:pPr>
      <w:bookmarkStart w:id="24" w:name="_Toc406751116"/>
      <w:r w:rsidRPr="0018093C">
        <w:t>b.</w:t>
      </w:r>
      <w:r w:rsidRPr="0018093C">
        <w:tab/>
        <w:t>Analysts’ Growth Rate Forecasts Are Reasonable Indicators Of Investor Expectations</w:t>
      </w:r>
      <w:bookmarkEnd w:id="24"/>
    </w:p>
    <w:p w14:paraId="75DD07CF"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Is reliance on analysts</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 xml:space="preserve"> earnings growth forecasts in the DCF model problematic</w:t>
      </w:r>
      <w:r w:rsidRPr="0018093C">
        <w:rPr>
          <w:rFonts w:ascii="Times New Roman" w:hAnsi="Times New Roman"/>
          <w:snapToGrid w:val="0"/>
          <w:lang w:eastAsia="en-US"/>
        </w:rPr>
        <w:t>?</w:t>
      </w:r>
    </w:p>
    <w:p w14:paraId="3B8199D8" w14:textId="77777777" w:rsidR="00307FEB" w:rsidRPr="0018093C" w:rsidRDefault="00D64DC2"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Mr. Hill criticizes my DCF results because they rely solely on projected earnings growth.</w:t>
      </w:r>
      <w:r w:rsidRPr="0018093C">
        <w:rPr>
          <w:rStyle w:val="FootnoteReference"/>
          <w:rFonts w:ascii="Times New Roman" w:hAnsi="Times New Roman"/>
          <w:snapToGrid w:val="0"/>
          <w:lang w:eastAsia="en-US"/>
        </w:rPr>
        <w:footnoteReference w:id="56"/>
      </w:r>
      <w:r w:rsidR="00052B0C" w:rsidRPr="0018093C">
        <w:rPr>
          <w:rFonts w:ascii="Times New Roman" w:hAnsi="Times New Roman"/>
          <w:snapToGrid w:val="0"/>
          <w:lang w:eastAsia="en-US"/>
        </w:rPr>
        <w:t xml:space="preserve">  As discussed above, p</w:t>
      </w:r>
      <w:r w:rsidR="003E40B8" w:rsidRPr="0018093C">
        <w:rPr>
          <w:rFonts w:ascii="Times New Roman" w:hAnsi="Times New Roman"/>
          <w:snapToGrid w:val="0"/>
          <w:lang w:eastAsia="en-US"/>
        </w:rPr>
        <w:t xml:space="preserve">ublished studies in </w:t>
      </w:r>
      <w:r w:rsidR="00052B0C" w:rsidRPr="0018093C">
        <w:rPr>
          <w:rFonts w:ascii="Times New Roman" w:hAnsi="Times New Roman"/>
          <w:snapToGrid w:val="0"/>
          <w:lang w:eastAsia="en-US"/>
        </w:rPr>
        <w:t xml:space="preserve">peer-reviewed </w:t>
      </w:r>
      <w:r w:rsidR="003E40B8" w:rsidRPr="0018093C">
        <w:rPr>
          <w:rFonts w:ascii="Times New Roman" w:hAnsi="Times New Roman"/>
          <w:snapToGrid w:val="0"/>
          <w:lang w:eastAsia="en-US"/>
        </w:rPr>
        <w:t>academic literature demonstrate that (i)</w:t>
      </w:r>
      <w:r w:rsidR="00052B0C" w:rsidRPr="0018093C">
        <w:rPr>
          <w:rFonts w:ascii="Times New Roman" w:hAnsi="Times New Roman"/>
          <w:snapToGrid w:val="0"/>
          <w:lang w:eastAsia="en-US"/>
        </w:rPr>
        <w:t> </w:t>
      </w:r>
      <w:r w:rsidR="003E40B8" w:rsidRPr="0018093C">
        <w:rPr>
          <w:rFonts w:ascii="Times New Roman" w:hAnsi="Times New Roman"/>
          <w:snapToGrid w:val="0"/>
          <w:lang w:eastAsia="en-US"/>
        </w:rPr>
        <w:t>analysts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growth rate forecasts are reasonable indicators of investor expectations, and (ii)</w:t>
      </w:r>
      <w:r w:rsidR="00052B0C" w:rsidRPr="0018093C">
        <w:rPr>
          <w:rFonts w:ascii="Times New Roman" w:hAnsi="Times New Roman"/>
          <w:snapToGrid w:val="0"/>
          <w:lang w:eastAsia="en-US"/>
        </w:rPr>
        <w:t> </w:t>
      </w:r>
      <w:r w:rsidR="003E40B8" w:rsidRPr="0018093C">
        <w:rPr>
          <w:rFonts w:ascii="Times New Roman" w:hAnsi="Times New Roman"/>
          <w:snapToGrid w:val="0"/>
          <w:lang w:eastAsia="en-US"/>
        </w:rPr>
        <w:t>investors rely on such forecasts.  There is an abundance of evidence attesting to the importance of earnings in assessing investors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expectations.</w:t>
      </w:r>
    </w:p>
    <w:p w14:paraId="75F7C0DE" w14:textId="77777777" w:rsidR="00307FEB"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First, the sheer volume of earnings forecasts available from the investment community relative to the scarcity of dividend forecasts attests to their importance.  To illustrate, Value Line, Zacks Investment, First Call Thompson, Reuters, Yahoo Finance, and Multex provide comprehensive compilations of investors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to name some.  The fact that these investment information providers focus on growth in earnings rather than growth in dividends indicates that the investment community regards earnings growth as a superior indicator of future long-term growth.</w:t>
      </w:r>
    </w:p>
    <w:p w14:paraId="3CAEF6D7"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Second, Value Line</w:t>
      </w:r>
      <w:r w:rsidR="00942E42" w:rsidRPr="0018093C">
        <w:rPr>
          <w:rFonts w:ascii="Times New Roman" w:hAnsi="Times New Roman"/>
          <w:snapToGrid w:val="0"/>
          <w:lang w:eastAsia="en-US"/>
        </w:rPr>
        <w:t>’</w:t>
      </w:r>
      <w:r w:rsidRPr="0018093C">
        <w:rPr>
          <w:rFonts w:ascii="Times New Roman" w:hAnsi="Times New Roman"/>
          <w:snapToGrid w:val="0"/>
          <w:lang w:eastAsia="en-US"/>
        </w:rPr>
        <w:t>s principal investment rating assigned to individual stocks, Timeliness Rank, is based primarily on earnings, accounting for 65% of the ranking</w:t>
      </w:r>
      <w:r w:rsidR="00052B0C" w:rsidRPr="0018093C">
        <w:rPr>
          <w:rFonts w:ascii="Times New Roman" w:hAnsi="Times New Roman"/>
          <w:snapToGrid w:val="0"/>
          <w:lang w:eastAsia="en-US"/>
        </w:rPr>
        <w:t>.</w:t>
      </w:r>
    </w:p>
    <w:p w14:paraId="1F40690E" w14:textId="77777777" w:rsidR="0073566D"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Third, published studies in the academic literature demonstrate that growth forecasts made by security analysts are reasonable indicators of investor expectations, and that investors rely on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w:t>
      </w:r>
      <w:r w:rsidR="00833AC1" w:rsidRPr="0018093C">
        <w:rPr>
          <w:rFonts w:ascii="Times New Roman" w:hAnsi="Times New Roman"/>
          <w:snapToGrid w:val="0"/>
          <w:lang w:eastAsia="en-US"/>
        </w:rPr>
        <w:t xml:space="preserve">  Professors John G. Cragg and Burton G. Malkiel </w:t>
      </w:r>
      <w:r w:rsidRPr="0018093C">
        <w:rPr>
          <w:rFonts w:ascii="Times New Roman" w:hAnsi="Times New Roman"/>
          <w:snapToGrid w:val="0"/>
          <w:lang w:eastAsia="en-US"/>
        </w:rPr>
        <w:t>present detailed empirical evidence that the average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expectation is more similar to expectations being reflected in the marketplace than are historical growth rates, and represents the best possible source of DCF growth rates.</w:t>
      </w:r>
      <w:r w:rsidR="00833AC1" w:rsidRPr="0018093C">
        <w:rPr>
          <w:rStyle w:val="FootnoteReference"/>
          <w:rFonts w:ascii="Times New Roman" w:hAnsi="Times New Roman"/>
          <w:snapToGrid w:val="0"/>
          <w:lang w:eastAsia="en-US"/>
        </w:rPr>
        <w:footnoteReference w:id="57"/>
      </w:r>
      <w:r w:rsidR="00833AC1" w:rsidRPr="0018093C">
        <w:rPr>
          <w:rFonts w:ascii="Times New Roman" w:hAnsi="Times New Roman"/>
          <w:snapToGrid w:val="0"/>
          <w:lang w:eastAsia="en-US"/>
        </w:rPr>
        <w:t xml:space="preserve">  Professors </w:t>
      </w:r>
      <w:r w:rsidRPr="0018093C">
        <w:rPr>
          <w:rFonts w:ascii="Times New Roman" w:hAnsi="Times New Roman"/>
          <w:snapToGrid w:val="0"/>
          <w:lang w:eastAsia="en-US"/>
        </w:rPr>
        <w:t xml:space="preserve">Cragg and Malkiel </w:t>
      </w:r>
      <w:r w:rsidR="00833AC1" w:rsidRPr="0018093C">
        <w:rPr>
          <w:rFonts w:ascii="Times New Roman" w:hAnsi="Times New Roman"/>
          <w:snapToGrid w:val="0"/>
          <w:lang w:eastAsia="en-US"/>
        </w:rPr>
        <w:t xml:space="preserve">also </w:t>
      </w:r>
      <w:r w:rsidRPr="0018093C">
        <w:rPr>
          <w:rFonts w:ascii="Times New Roman" w:hAnsi="Times New Roman"/>
          <w:snapToGrid w:val="0"/>
          <w:lang w:eastAsia="en-US"/>
        </w:rPr>
        <w:t>show that historical growth rates do not contain any information that is not already impounded in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w:t>
      </w:r>
      <w:r w:rsidR="00833AC1" w:rsidRPr="0018093C">
        <w:rPr>
          <w:rStyle w:val="FootnoteReference"/>
          <w:rFonts w:ascii="Times New Roman" w:hAnsi="Times New Roman"/>
          <w:snapToGrid w:val="0"/>
          <w:lang w:eastAsia="en-US"/>
        </w:rPr>
        <w:footnoteReference w:id="58"/>
      </w:r>
      <w:r w:rsidRPr="0018093C">
        <w:rPr>
          <w:rFonts w:ascii="Times New Roman" w:hAnsi="Times New Roman"/>
          <w:snapToGrid w:val="0"/>
          <w:lang w:eastAsia="en-US"/>
        </w:rPr>
        <w:t xml:space="preserve">  A study by Professors </w:t>
      </w:r>
      <w:r w:rsidR="00833AC1" w:rsidRPr="0018093C">
        <w:rPr>
          <w:rFonts w:ascii="Times New Roman" w:hAnsi="Times New Roman"/>
          <w:snapToGrid w:val="0"/>
          <w:lang w:eastAsia="en-US"/>
        </w:rPr>
        <w:t xml:space="preserve">James H Vander Weide and Willard T. Carleton </w:t>
      </w:r>
      <w:r w:rsidRPr="0018093C">
        <w:rPr>
          <w:rFonts w:ascii="Times New Roman" w:hAnsi="Times New Roman"/>
          <w:snapToGrid w:val="0"/>
          <w:lang w:eastAsia="en-US"/>
        </w:rPr>
        <w:t>also confirms the superiority of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 over historical growth extrapolations.</w:t>
      </w:r>
      <w:r w:rsidR="00833AC1" w:rsidRPr="0018093C">
        <w:rPr>
          <w:rStyle w:val="FootnoteReference"/>
          <w:rFonts w:ascii="Times New Roman" w:hAnsi="Times New Roman"/>
          <w:snapToGrid w:val="0"/>
          <w:lang w:eastAsia="en-US"/>
        </w:rPr>
        <w:footnoteReference w:id="59"/>
      </w:r>
      <w:r w:rsidR="0073566D"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Another study by </w:t>
      </w:r>
      <w:r w:rsidR="0073566D" w:rsidRPr="0018093C">
        <w:rPr>
          <w:rFonts w:ascii="Times New Roman" w:hAnsi="Times New Roman"/>
          <w:snapToGrid w:val="0"/>
          <w:lang w:eastAsia="en-US"/>
        </w:rPr>
        <w:t>Professors Stephen G. Timme and Peter C. Eisemann produced similar results.</w:t>
      </w:r>
      <w:r w:rsidR="0073566D" w:rsidRPr="0018093C">
        <w:rPr>
          <w:rStyle w:val="FootnoteReference"/>
          <w:rFonts w:ascii="Times New Roman" w:hAnsi="Times New Roman"/>
          <w:snapToGrid w:val="0"/>
          <w:lang w:eastAsia="en-US"/>
        </w:rPr>
        <w:footnoteReference w:id="60"/>
      </w:r>
    </w:p>
    <w:p w14:paraId="050AF47D"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73566D"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73566D" w:rsidRPr="0018093C">
        <w:rPr>
          <w:rFonts w:ascii="Times New Roman" w:hAnsi="Times New Roman"/>
          <w:snapToGrid w:val="0"/>
          <w:lang w:eastAsia="en-US"/>
        </w:rPr>
        <w:t xml:space="preserve">’s criticism that </w:t>
      </w:r>
      <w:r w:rsidR="00307FEB" w:rsidRPr="0018093C">
        <w:rPr>
          <w:rFonts w:ascii="Times New Roman" w:hAnsi="Times New Roman"/>
          <w:snapToGrid w:val="0"/>
          <w:lang w:eastAsia="en-US"/>
        </w:rPr>
        <w:t>earnings growth projections are overly optimistic</w:t>
      </w:r>
      <w:r w:rsidRPr="0018093C">
        <w:rPr>
          <w:rFonts w:ascii="Times New Roman" w:hAnsi="Times New Roman"/>
          <w:snapToGrid w:val="0"/>
          <w:lang w:eastAsia="en-US"/>
        </w:rPr>
        <w:t>?</w:t>
      </w:r>
    </w:p>
    <w:p w14:paraId="10520DF2" w14:textId="2EB99FA4"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73566D" w:rsidRPr="0018093C">
        <w:rPr>
          <w:rFonts w:ascii="Times New Roman" w:hAnsi="Times New Roman"/>
          <w:snapToGrid w:val="0"/>
          <w:lang w:eastAsia="en-US"/>
        </w:rPr>
        <w:t> </w:t>
      </w:r>
      <w:r w:rsidRPr="0018093C">
        <w:rPr>
          <w:rFonts w:ascii="Times New Roman" w:hAnsi="Times New Roman"/>
          <w:snapToGrid w:val="0"/>
          <w:lang w:eastAsia="en-US"/>
        </w:rPr>
        <w:t>Hill denounces the use of financial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on the grounds that such forecasts are </w:t>
      </w:r>
      <w:r w:rsidR="00942E42" w:rsidRPr="0018093C">
        <w:rPr>
          <w:rFonts w:ascii="Times New Roman" w:hAnsi="Times New Roman"/>
          <w:snapToGrid w:val="0"/>
          <w:lang w:eastAsia="en-US"/>
        </w:rPr>
        <w:t>“</w:t>
      </w:r>
      <w:r w:rsidRPr="0018093C">
        <w:rPr>
          <w:rFonts w:ascii="Times New Roman" w:hAnsi="Times New Roman"/>
          <w:snapToGrid w:val="0"/>
          <w:lang w:eastAsia="en-US"/>
        </w:rPr>
        <w:t>rosy</w:t>
      </w:r>
      <w:r w:rsidR="00942E42" w:rsidRPr="0018093C">
        <w:rPr>
          <w:rFonts w:ascii="Times New Roman" w:hAnsi="Times New Roman"/>
          <w:snapToGrid w:val="0"/>
          <w:lang w:eastAsia="en-US"/>
        </w:rPr>
        <w:t>”</w:t>
      </w:r>
      <w:r w:rsidRPr="0018093C">
        <w:rPr>
          <w:rFonts w:ascii="Times New Roman" w:hAnsi="Times New Roman"/>
          <w:snapToGrid w:val="0"/>
          <w:lang w:eastAsia="en-US"/>
        </w:rPr>
        <w:t>.</w:t>
      </w:r>
      <w:r w:rsidR="0073566D" w:rsidRPr="0018093C">
        <w:rPr>
          <w:rStyle w:val="FootnoteReference"/>
          <w:rFonts w:ascii="Times New Roman" w:hAnsi="Times New Roman"/>
          <w:snapToGrid w:val="0"/>
          <w:lang w:eastAsia="en-US"/>
        </w:rPr>
        <w:footnoteReference w:id="61"/>
      </w:r>
      <w:r w:rsidRPr="0018093C">
        <w:rPr>
          <w:rFonts w:ascii="Times New Roman" w:hAnsi="Times New Roman"/>
          <w:snapToGrid w:val="0"/>
          <w:lang w:eastAsia="en-US"/>
        </w:rPr>
        <w:t xml:space="preserve"> </w:t>
      </w:r>
      <w:r w:rsidR="0073566D"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disagree, at least for utility stocks.  Using virtually all publicly available analyst earnings forecasts for a large sample of companies (over 23,000 individual forecasts by 100 analyst firms), </w:t>
      </w:r>
      <w:r w:rsidR="0073566D" w:rsidRPr="0018093C">
        <w:rPr>
          <w:rFonts w:ascii="Times New Roman" w:hAnsi="Times New Roman"/>
          <w:snapToGrid w:val="0"/>
          <w:lang w:eastAsia="en-US"/>
        </w:rPr>
        <w:t xml:space="preserve">Professors </w:t>
      </w:r>
      <w:r w:rsidRPr="0018093C">
        <w:rPr>
          <w:rFonts w:ascii="Times New Roman" w:hAnsi="Times New Roman"/>
          <w:snapToGrid w:val="0"/>
          <w:lang w:eastAsia="en-US"/>
        </w:rPr>
        <w:t>Lys and Sohn show that stock returns respond to individual analyst earnings forecasts, even when they are closely preceded by earnings forecasts made by other analysts or by corporate accounting disclosures.</w:t>
      </w:r>
      <w:r w:rsidR="007A5C88" w:rsidRPr="0018093C">
        <w:rPr>
          <w:rStyle w:val="FootnoteReference"/>
          <w:rFonts w:ascii="Times New Roman" w:hAnsi="Times New Roman"/>
          <w:snapToGrid w:val="0"/>
          <w:lang w:eastAsia="en-US"/>
        </w:rPr>
        <w:footnoteReference w:id="62"/>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Using actual and </w:t>
      </w:r>
      <w:proofErr w:type="spellStart"/>
      <w:r w:rsidRPr="0018093C">
        <w:rPr>
          <w:rFonts w:ascii="Times New Roman" w:hAnsi="Times New Roman"/>
          <w:snapToGrid w:val="0"/>
          <w:lang w:eastAsia="en-US"/>
        </w:rPr>
        <w:t>IBES</w:t>
      </w:r>
      <w:proofErr w:type="spellEnd"/>
      <w:r w:rsidRPr="0018093C">
        <w:rPr>
          <w:rFonts w:ascii="Times New Roman" w:hAnsi="Times New Roman"/>
          <w:snapToGrid w:val="0"/>
          <w:lang w:eastAsia="en-US"/>
        </w:rPr>
        <w:t xml:space="preserve"> data from 1982</w:t>
      </w:r>
      <w:r w:rsidR="00E74AA6">
        <w:rPr>
          <w:rFonts w:ascii="Times New Roman" w:hAnsi="Times New Roman"/>
          <w:snapToGrid w:val="0"/>
          <w:lang w:eastAsia="en-US"/>
        </w:rPr>
        <w:t>-</w:t>
      </w:r>
      <w:r w:rsidRPr="0018093C">
        <w:rPr>
          <w:rFonts w:ascii="Times New Roman" w:hAnsi="Times New Roman"/>
          <w:snapToGrid w:val="0"/>
          <w:lang w:eastAsia="en-US"/>
        </w:rPr>
        <w:t xml:space="preserve">1995, </w:t>
      </w:r>
      <w:r w:rsidR="0073566D" w:rsidRPr="0018093C">
        <w:rPr>
          <w:rFonts w:ascii="Times New Roman" w:hAnsi="Times New Roman"/>
          <w:snapToGrid w:val="0"/>
          <w:lang w:eastAsia="en-US"/>
        </w:rPr>
        <w:t xml:space="preserve">Professors </w:t>
      </w:r>
      <w:proofErr w:type="spellStart"/>
      <w:r w:rsidRPr="0018093C">
        <w:rPr>
          <w:rFonts w:ascii="Times New Roman" w:hAnsi="Times New Roman"/>
          <w:snapToGrid w:val="0"/>
          <w:lang w:eastAsia="en-US"/>
        </w:rPr>
        <w:t>Easterwood</w:t>
      </w:r>
      <w:proofErr w:type="spellEnd"/>
      <w:r w:rsidRPr="0018093C">
        <w:rPr>
          <w:rFonts w:ascii="Times New Roman" w:hAnsi="Times New Roman"/>
          <w:snapToGrid w:val="0"/>
          <w:lang w:eastAsia="en-US"/>
        </w:rPr>
        <w:t xml:space="preserve"> and Nutt regress the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 errors against either historical earnings changes or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forecasting errors in the prior years.</w:t>
      </w:r>
      <w:r w:rsidR="007A5C88" w:rsidRPr="0018093C">
        <w:rPr>
          <w:rStyle w:val="FootnoteReference"/>
          <w:rFonts w:ascii="Times New Roman" w:hAnsi="Times New Roman"/>
          <w:snapToGrid w:val="0"/>
          <w:lang w:eastAsia="en-US"/>
        </w:rPr>
        <w:footnoteReference w:id="63"/>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Results show that analysts tend to under-react to negative earnings information, but overreact to positive earnings information.</w:t>
      </w:r>
    </w:p>
    <w:p w14:paraId="36EDA8AC" w14:textId="77777777" w:rsidR="0073566D"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The more recent studies provide evidence that analysts make biased forecasts and misinterpret the impact of new information.</w:t>
      </w:r>
      <w:r w:rsidR="007A5C88" w:rsidRPr="0018093C">
        <w:rPr>
          <w:rStyle w:val="FootnoteReference"/>
          <w:rFonts w:ascii="Times New Roman" w:hAnsi="Times New Roman"/>
          <w:snapToGrid w:val="0"/>
          <w:lang w:eastAsia="en-US"/>
        </w:rPr>
        <w:footnoteReference w:id="64"/>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For example, several studies in the early 1990s suggest that analysts either systematically underreact or overreact to </w:t>
      </w:r>
      <w:r w:rsidRPr="0018093C">
        <w:rPr>
          <w:rFonts w:ascii="Times New Roman" w:hAnsi="Times New Roman"/>
          <w:snapToGrid w:val="0"/>
          <w:lang w:eastAsia="en-US"/>
        </w:rPr>
        <w:lastRenderedPageBreak/>
        <w:t xml:space="preserve">new information.  </w:t>
      </w:r>
      <w:r w:rsidR="0073566D" w:rsidRPr="0018093C">
        <w:rPr>
          <w:rFonts w:ascii="Times New Roman" w:hAnsi="Times New Roman"/>
          <w:snapToGrid w:val="0"/>
          <w:lang w:eastAsia="en-US"/>
        </w:rPr>
        <w:t xml:space="preserve">Professors </w:t>
      </w:r>
      <w:r w:rsidRPr="0018093C">
        <w:rPr>
          <w:rFonts w:ascii="Times New Roman" w:hAnsi="Times New Roman"/>
          <w:snapToGrid w:val="0"/>
          <w:lang w:eastAsia="en-US"/>
        </w:rPr>
        <w:t>Easterwood and Nutt discriminate between these different reactions and reported that analysts underreact to negative information, but overreact to positive information.</w:t>
      </w:r>
    </w:p>
    <w:p w14:paraId="566CAB52" w14:textId="77777777" w:rsidR="00307FEB"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The recent studies do not necessarily contradict the earlier literature.  The earlier research focused on whether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are better at forecasting future earnings than historical averages, whereas the recent literature investigates whether the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are unbiased estimates of future earnings.  It is possible that even if the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 are biased, they are still closer to future earnings than the historical averages, although this hypothesis has not been tested in the recent studies.  One way to assess the concern that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 may be biased upward is to incorporate into the analysis the growth forecasts of independent research firms, such as Value Line, in addition to the analyst consensus forecast.  Unlike investment banking firms and stock brokerage firms, independent research firms such as Value Line have no incentive to distort earnings growth estimates in order to bolster interest in common stocks.</w:t>
      </w:r>
    </w:p>
    <w:p w14:paraId="21F544A7"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The magnitude of the optimism bias for large rate-regulated companies in stable segments of an industry is likely to be very small.  Empirically, the severity of the optimism problem is unclear for regulated utilities, if a problem exists at all.  It is interesting to note that Value Line forecasts for utility companies made by independent analysts with no incentive for over- or understating growth forecasts are not materially different from those published by analysts in security firms with incentives not based on forecast accuracy, a</w:t>
      </w:r>
      <w:r w:rsidR="00BD5DC0" w:rsidRPr="0018093C">
        <w:rPr>
          <w:rFonts w:ascii="Times New Roman" w:hAnsi="Times New Roman"/>
          <w:snapToGrid w:val="0"/>
          <w:lang w:eastAsia="en-US"/>
        </w:rPr>
        <w:t>nd may in fact be more robust.</w:t>
      </w:r>
    </w:p>
    <w:p w14:paraId="595788AB" w14:textId="77777777" w:rsidR="003E40B8" w:rsidRPr="0018093C" w:rsidRDefault="0073566D" w:rsidP="0073566D">
      <w:pPr>
        <w:pStyle w:val="Heading4"/>
      </w:pPr>
      <w:bookmarkStart w:id="25" w:name="_Toc406751117"/>
      <w:r w:rsidRPr="0018093C">
        <w:lastRenderedPageBreak/>
        <w:t>c</w:t>
      </w:r>
      <w:r w:rsidR="00777B8D" w:rsidRPr="0018093C">
        <w:t>.</w:t>
      </w:r>
      <w:r w:rsidR="003E40B8" w:rsidRPr="0018093C">
        <w:tab/>
      </w:r>
      <w:r w:rsidR="00307FEB" w:rsidRPr="0018093C">
        <w:t xml:space="preserve">Market-To-Book </w:t>
      </w:r>
      <w:r w:rsidR="003E40B8" w:rsidRPr="0018093C">
        <w:t xml:space="preserve">(M/B) </w:t>
      </w:r>
      <w:r w:rsidR="00307FEB" w:rsidRPr="0018093C">
        <w:t>Ratios</w:t>
      </w:r>
      <w:bookmarkEnd w:id="25"/>
    </w:p>
    <w:p w14:paraId="0E22E556"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00777B8D" w:rsidRPr="0018093C">
        <w:rPr>
          <w:rFonts w:ascii="Times New Roman" w:hAnsi="Times New Roman"/>
          <w:snapToGrid w:val="0"/>
          <w:lang w:eastAsia="en-US"/>
        </w:rPr>
        <w:tab/>
      </w:r>
      <w:r w:rsidR="0073566D" w:rsidRPr="0018093C">
        <w:rPr>
          <w:rFonts w:ascii="Times New Roman" w:hAnsi="Times New Roman"/>
          <w:snapToGrid w:val="0"/>
          <w:lang w:eastAsia="en-US"/>
        </w:rPr>
        <w:t>Di</w:t>
      </w:r>
      <w:r w:rsidR="00307FEB" w:rsidRPr="0018093C">
        <w:rPr>
          <w:rFonts w:ascii="Times New Roman" w:hAnsi="Times New Roman"/>
          <w:snapToGrid w:val="0"/>
          <w:lang w:eastAsia="en-US"/>
        </w:rPr>
        <w:t>d you provide any testimony in this proceeding regarding whether DCF cost estimates are reliable when utility stock prices are different from book value?</w:t>
      </w:r>
    </w:p>
    <w:p w14:paraId="6BC4C638" w14:textId="77777777" w:rsidR="00307FEB" w:rsidRPr="0018093C" w:rsidRDefault="003E40B8" w:rsidP="00307FEB">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Nowhere in my direct testimony is there any reference to </w:t>
      </w:r>
      <w:r w:rsidR="0073566D" w:rsidRPr="0018093C">
        <w:rPr>
          <w:rFonts w:ascii="Times New Roman" w:hAnsi="Times New Roman"/>
          <w:snapToGrid w:val="0"/>
          <w:lang w:eastAsia="en-US"/>
        </w:rPr>
        <w:t xml:space="preserve">the issue of whether DCF cost estimates are reliable when utility stock prices are different from book value.  Nonetheless, </w:t>
      </w:r>
      <w:r w:rsidRPr="0018093C">
        <w:rPr>
          <w:rFonts w:ascii="Times New Roman" w:hAnsi="Times New Roman"/>
          <w:snapToGrid w:val="0"/>
          <w:lang w:eastAsia="en-US"/>
        </w:rPr>
        <w:t>Mr.</w:t>
      </w:r>
      <w:r w:rsidR="0073566D" w:rsidRPr="0018093C">
        <w:rPr>
          <w:rFonts w:ascii="Times New Roman" w:hAnsi="Times New Roman"/>
          <w:snapToGrid w:val="0"/>
          <w:lang w:eastAsia="en-US"/>
        </w:rPr>
        <w:t> </w:t>
      </w:r>
      <w:r w:rsidRPr="0018093C">
        <w:rPr>
          <w:rFonts w:ascii="Times New Roman" w:hAnsi="Times New Roman"/>
          <w:snapToGrid w:val="0"/>
          <w:lang w:eastAsia="en-US"/>
        </w:rPr>
        <w:t>Hill goes on a multi-page criticism of this issue because it was brought up some six years ago in my testimony from a 2008 PSE rate proceeding and because it is discussed in one of my textbooks reaching back to 1984.</w:t>
      </w:r>
      <w:r w:rsidR="00BD5DC0" w:rsidRPr="0018093C">
        <w:rPr>
          <w:rStyle w:val="FootnoteReference"/>
          <w:rFonts w:ascii="Times New Roman" w:hAnsi="Times New Roman"/>
          <w:snapToGrid w:val="0"/>
          <w:lang w:eastAsia="en-US"/>
        </w:rPr>
        <w:footnoteReference w:id="65"/>
      </w:r>
    </w:p>
    <w:p w14:paraId="76F53219"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It is inexplicable why Mr.</w:t>
      </w:r>
      <w:r w:rsidR="00BD5DC0" w:rsidRPr="0018093C">
        <w:rPr>
          <w:rFonts w:ascii="Times New Roman" w:hAnsi="Times New Roman"/>
          <w:snapToGrid w:val="0"/>
          <w:lang w:eastAsia="en-US"/>
        </w:rPr>
        <w:t> </w:t>
      </w:r>
      <w:r w:rsidRPr="0018093C">
        <w:rPr>
          <w:rFonts w:ascii="Times New Roman" w:hAnsi="Times New Roman"/>
          <w:snapToGrid w:val="0"/>
          <w:lang w:eastAsia="en-US"/>
        </w:rPr>
        <w:t>Hill would raise this issue in this proceeding.  There are alternative outlets if Mr.</w:t>
      </w:r>
      <w:r w:rsidR="00BD5DC0" w:rsidRPr="0018093C">
        <w:rPr>
          <w:rFonts w:ascii="Times New Roman" w:hAnsi="Times New Roman"/>
          <w:snapToGrid w:val="0"/>
          <w:lang w:eastAsia="en-US"/>
        </w:rPr>
        <w:t> </w:t>
      </w:r>
      <w:r w:rsidRPr="0018093C">
        <w:rPr>
          <w:rFonts w:ascii="Times New Roman" w:hAnsi="Times New Roman"/>
          <w:snapToGrid w:val="0"/>
          <w:lang w:eastAsia="en-US"/>
        </w:rPr>
        <w:t>Hill wishes to criticize my position on issues dating back to 1984.  The Commission should completely ignore Mr.</w:t>
      </w:r>
      <w:r w:rsidR="00BD5DC0"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discussion on this issue from pages</w:t>
      </w:r>
      <w:r w:rsidR="006C5053" w:rsidRPr="0018093C">
        <w:rPr>
          <w:rFonts w:ascii="Times New Roman" w:hAnsi="Times New Roman"/>
          <w:snapToGrid w:val="0"/>
          <w:lang w:eastAsia="en-US"/>
        </w:rPr>
        <w:t xml:space="preserve"> 57 </w:t>
      </w:r>
      <w:r w:rsidRPr="0018093C">
        <w:rPr>
          <w:rFonts w:ascii="Times New Roman" w:hAnsi="Times New Roman"/>
          <w:snapToGrid w:val="0"/>
          <w:lang w:eastAsia="en-US"/>
        </w:rPr>
        <w:t xml:space="preserve">to </w:t>
      </w:r>
      <w:r w:rsidR="006C5053" w:rsidRPr="0018093C">
        <w:rPr>
          <w:rFonts w:ascii="Times New Roman" w:hAnsi="Times New Roman"/>
          <w:snapToGrid w:val="0"/>
          <w:lang w:eastAsia="en-US"/>
        </w:rPr>
        <w:t>65</w:t>
      </w:r>
      <w:r w:rsidRPr="0018093C">
        <w:rPr>
          <w:rFonts w:ascii="Times New Roman" w:hAnsi="Times New Roman"/>
          <w:snapToGrid w:val="0"/>
          <w:lang w:eastAsia="en-US"/>
        </w:rPr>
        <w:t xml:space="preserve"> of his testimony.  For the record, however, I reiterate my position on this issue that when utility market prices are above book value the DCF understates the cost of equity capital.  Should the Commission attach any importance to this long buried issue, I respond below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w:t>
      </w:r>
      <w:r w:rsidR="006C5053" w:rsidRPr="0018093C">
        <w:rPr>
          <w:rFonts w:ascii="Times New Roman" w:hAnsi="Times New Roman"/>
          <w:snapToGrid w:val="0"/>
          <w:lang w:eastAsia="en-US"/>
        </w:rPr>
        <w:t xml:space="preserve"> criticisms</w:t>
      </w:r>
      <w:r w:rsidRPr="0018093C">
        <w:rPr>
          <w:rFonts w:ascii="Times New Roman" w:hAnsi="Times New Roman"/>
          <w:snapToGrid w:val="0"/>
          <w:lang w:eastAsia="en-US"/>
        </w:rPr>
        <w:t>.</w:t>
      </w:r>
    </w:p>
    <w:p w14:paraId="378FEEAE"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07FEB" w:rsidRPr="0018093C">
        <w:rPr>
          <w:rFonts w:ascii="Times New Roman" w:hAnsi="Times New Roman"/>
          <w:snapToGrid w:val="0"/>
          <w:lang w:eastAsia="en-US"/>
        </w:rPr>
        <w:t>Is Mr.</w:t>
      </w:r>
      <w:r w:rsidR="006C5053" w:rsidRPr="0018093C">
        <w:rPr>
          <w:rFonts w:ascii="Times New Roman" w:hAnsi="Times New Roman"/>
          <w:snapToGrid w:val="0"/>
          <w:lang w:eastAsia="en-US"/>
        </w:rPr>
        <w:t> </w:t>
      </w:r>
      <w:r w:rsidR="00307FEB" w:rsidRPr="0018093C">
        <w:rPr>
          <w:rFonts w:ascii="Times New Roman" w:hAnsi="Times New Roman"/>
          <w:snapToGrid w:val="0"/>
          <w:lang w:eastAsia="en-US"/>
        </w:rPr>
        <w:t>Hill correct in his claims that there are inconsistencies in your published works regarding the DCF model and Market-to-Book ratios</w:t>
      </w:r>
      <w:r w:rsidRPr="0018093C">
        <w:rPr>
          <w:rFonts w:ascii="Times New Roman" w:hAnsi="Times New Roman"/>
          <w:snapToGrid w:val="0"/>
          <w:lang w:eastAsia="en-US"/>
        </w:rPr>
        <w:t>?</w:t>
      </w:r>
    </w:p>
    <w:p w14:paraId="27C45DF5" w14:textId="77777777" w:rsidR="003E40B8" w:rsidRPr="0018093C" w:rsidRDefault="003E40B8" w:rsidP="006C505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In his testimony, Mr.</w:t>
      </w:r>
      <w:r w:rsidR="006C5053" w:rsidRPr="0018093C">
        <w:rPr>
          <w:rFonts w:ascii="Times New Roman" w:hAnsi="Times New Roman"/>
          <w:snapToGrid w:val="0"/>
          <w:lang w:eastAsia="en-US"/>
        </w:rPr>
        <w:t> </w:t>
      </w:r>
      <w:r w:rsidRPr="0018093C">
        <w:rPr>
          <w:rFonts w:ascii="Times New Roman" w:hAnsi="Times New Roman"/>
          <w:snapToGrid w:val="0"/>
          <w:lang w:eastAsia="en-US"/>
        </w:rPr>
        <w:t xml:space="preserve">Hill argues that the 1984 edition of my book (thirty years ago) failed to criticize the ability of the DCF model to accurately estimate the cost of equity depending </w:t>
      </w:r>
      <w:r w:rsidR="006C5053" w:rsidRPr="0018093C">
        <w:rPr>
          <w:rFonts w:ascii="Times New Roman" w:hAnsi="Times New Roman"/>
          <w:snapToGrid w:val="0"/>
          <w:lang w:eastAsia="en-US"/>
        </w:rPr>
        <w:t>on the Market-to-Book ratio of utilities.</w:t>
      </w:r>
      <w:r w:rsidR="006C5053" w:rsidRPr="0018093C">
        <w:rPr>
          <w:rStyle w:val="FootnoteReference"/>
          <w:rFonts w:ascii="Times New Roman" w:hAnsi="Times New Roman"/>
          <w:snapToGrid w:val="0"/>
          <w:lang w:eastAsia="en-US"/>
        </w:rPr>
        <w:footnoteReference w:id="66"/>
      </w:r>
      <w:r w:rsidR="006C5053"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6C5053" w:rsidRPr="0018093C">
        <w:rPr>
          <w:rFonts w:ascii="Times New Roman" w:hAnsi="Times New Roman"/>
          <w:snapToGrid w:val="0"/>
          <w:lang w:eastAsia="en-US"/>
        </w:rPr>
        <w:t> </w:t>
      </w:r>
      <w:r w:rsidRPr="0018093C">
        <w:rPr>
          <w:rFonts w:ascii="Times New Roman" w:hAnsi="Times New Roman"/>
          <w:snapToGrid w:val="0"/>
          <w:lang w:eastAsia="en-US"/>
        </w:rPr>
        <w:t>Hill fails to recognize</w:t>
      </w:r>
      <w:r w:rsidR="006C5053" w:rsidRPr="0018093C">
        <w:rPr>
          <w:rFonts w:ascii="Times New Roman" w:hAnsi="Times New Roman"/>
          <w:snapToGrid w:val="0"/>
          <w:lang w:eastAsia="en-US"/>
        </w:rPr>
        <w:t>, however,</w:t>
      </w:r>
      <w:r w:rsidRPr="0018093C">
        <w:rPr>
          <w:rFonts w:ascii="Times New Roman" w:hAnsi="Times New Roman"/>
          <w:snapToGrid w:val="0"/>
          <w:lang w:eastAsia="en-US"/>
        </w:rPr>
        <w:t xml:space="preserve"> that the ability of the DCF model to estimate the cost of equity accurately depending on the </w:t>
      </w:r>
      <w:r w:rsidR="0012523B" w:rsidRPr="0018093C">
        <w:rPr>
          <w:rFonts w:ascii="Times New Roman" w:hAnsi="Times New Roman"/>
          <w:snapToGrid w:val="0"/>
          <w:lang w:eastAsia="en-US"/>
        </w:rPr>
        <w:t xml:space="preserve">Market-to-Book ratio </w:t>
      </w:r>
      <w:r w:rsidRPr="0018093C">
        <w:rPr>
          <w:rFonts w:ascii="Times New Roman" w:hAnsi="Times New Roman"/>
          <w:snapToGrid w:val="0"/>
          <w:lang w:eastAsia="en-US"/>
        </w:rPr>
        <w:t>of utilities was simply not an issue for utilities more than a quarter century ago because utilities were trading at market prices very close to book value.  Similarly, it was not an important issue when Professor Gordon developed the DCF model in the mid-1960s.  Instead of reaching back some 30</w:t>
      </w:r>
      <w:r w:rsidR="006C5053" w:rsidRPr="0018093C">
        <w:rPr>
          <w:rFonts w:ascii="Times New Roman" w:hAnsi="Times New Roman"/>
          <w:snapToGrid w:val="0"/>
          <w:lang w:eastAsia="en-US"/>
        </w:rPr>
        <w:t> </w:t>
      </w:r>
      <w:r w:rsidRPr="0018093C">
        <w:rPr>
          <w:rFonts w:ascii="Times New Roman" w:hAnsi="Times New Roman"/>
          <w:snapToGrid w:val="0"/>
          <w:lang w:eastAsia="en-US"/>
        </w:rPr>
        <w:t>years, perhaps Mr.</w:t>
      </w:r>
      <w:r w:rsidR="006C5053" w:rsidRPr="0018093C">
        <w:rPr>
          <w:rFonts w:ascii="Times New Roman" w:hAnsi="Times New Roman"/>
          <w:snapToGrid w:val="0"/>
          <w:lang w:eastAsia="en-US"/>
        </w:rPr>
        <w:t> </w:t>
      </w:r>
      <w:r w:rsidRPr="0018093C">
        <w:rPr>
          <w:rFonts w:ascii="Times New Roman" w:hAnsi="Times New Roman"/>
          <w:snapToGrid w:val="0"/>
          <w:lang w:eastAsia="en-US"/>
        </w:rPr>
        <w:t>Hill should have consulted the 1994</w:t>
      </w:r>
      <w:r w:rsidR="006C5053" w:rsidRPr="0018093C">
        <w:rPr>
          <w:rFonts w:ascii="Times New Roman" w:hAnsi="Times New Roman"/>
          <w:snapToGrid w:val="0"/>
          <w:lang w:eastAsia="en-US"/>
        </w:rPr>
        <w:t xml:space="preserve"> and 2006 editions of my book, </w:t>
      </w:r>
      <w:r w:rsidRPr="0018093C">
        <w:rPr>
          <w:rFonts w:ascii="Times New Roman" w:hAnsi="Times New Roman"/>
          <w:snapToGrid w:val="0"/>
          <w:lang w:eastAsia="en-US"/>
        </w:rPr>
        <w:t>each of which discusses at length the chronic inability of the DCF model to accurately estimate investor returns when Market-to-Book ratios deviate markedly from unity.</w:t>
      </w:r>
    </w:p>
    <w:p w14:paraId="33554431"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Is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contention that your views on the applicability of the DCF have changed since 1984 correct</w:t>
      </w:r>
      <w:r w:rsidRPr="0018093C">
        <w:rPr>
          <w:rFonts w:ascii="Times New Roman" w:hAnsi="Times New Roman"/>
          <w:snapToGrid w:val="0"/>
          <w:lang w:eastAsia="en-US"/>
        </w:rPr>
        <w:t>?</w:t>
      </w:r>
    </w:p>
    <w:p w14:paraId="6925CA83"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has distorted my views from my 1984 book.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falsely asserts that there is no reference to the DCF understating the cost of equity in my 1984 text when </w:t>
      </w:r>
      <w:r w:rsidR="006C5053" w:rsidRPr="0018093C">
        <w:rPr>
          <w:rFonts w:ascii="Times New Roman" w:hAnsi="Times New Roman"/>
          <w:snapToGrid w:val="0"/>
          <w:lang w:eastAsia="en-US"/>
        </w:rPr>
        <w:t xml:space="preserve">Market-to-Book ratios </w:t>
      </w:r>
      <w:r w:rsidRPr="0018093C">
        <w:rPr>
          <w:rFonts w:ascii="Times New Roman" w:hAnsi="Times New Roman"/>
          <w:snapToGrid w:val="0"/>
          <w:lang w:eastAsia="en-US"/>
        </w:rPr>
        <w:t xml:space="preserve">are below </w:t>
      </w:r>
      <w:r w:rsidR="006C1759" w:rsidRPr="0018093C">
        <w:rPr>
          <w:rFonts w:ascii="Times New Roman" w:hAnsi="Times New Roman"/>
          <w:snapToGrid w:val="0"/>
          <w:lang w:eastAsia="en-US"/>
        </w:rPr>
        <w:t>one</w:t>
      </w:r>
      <w:r w:rsidRPr="0018093C">
        <w:rPr>
          <w:rFonts w:ascii="Times New Roman" w:hAnsi="Times New Roman"/>
          <w:snapToGrid w:val="0"/>
          <w:lang w:eastAsia="en-US"/>
        </w:rPr>
        <w:t xml:space="preserve">.  In late 1984 when the book was published, </w:t>
      </w:r>
      <w:r w:rsidR="006C5053" w:rsidRPr="0018093C">
        <w:rPr>
          <w:rFonts w:ascii="Times New Roman" w:hAnsi="Times New Roman"/>
          <w:snapToGrid w:val="0"/>
          <w:lang w:eastAsia="en-US"/>
        </w:rPr>
        <w:t xml:space="preserve">Market-to-Book ratios </w:t>
      </w:r>
      <w:r w:rsidRPr="0018093C">
        <w:rPr>
          <w:rFonts w:ascii="Times New Roman" w:hAnsi="Times New Roman"/>
          <w:snapToGrid w:val="0"/>
          <w:lang w:eastAsia="en-US"/>
        </w:rPr>
        <w:t xml:space="preserve">were at nearly </w:t>
      </w:r>
      <w:r w:rsidR="006C1759" w:rsidRPr="0018093C">
        <w:rPr>
          <w:rFonts w:ascii="Times New Roman" w:hAnsi="Times New Roman"/>
          <w:snapToGrid w:val="0"/>
          <w:lang w:eastAsia="en-US"/>
        </w:rPr>
        <w:t>one</w:t>
      </w:r>
      <w:r w:rsidRPr="0018093C">
        <w:rPr>
          <w:rFonts w:ascii="Times New Roman" w:hAnsi="Times New Roman"/>
          <w:snapToGrid w:val="0"/>
          <w:lang w:eastAsia="en-US"/>
        </w:rPr>
        <w:t xml:space="preserve">.  Indeed, </w:t>
      </w:r>
      <w:r w:rsidR="006C5053" w:rsidRPr="0018093C">
        <w:rPr>
          <w:rFonts w:ascii="Times New Roman" w:hAnsi="Times New Roman"/>
          <w:snapToGrid w:val="0"/>
          <w:lang w:eastAsia="en-US"/>
        </w:rPr>
        <w:t xml:space="preserve">Market-to-Book </w:t>
      </w:r>
      <w:r w:rsidRPr="0018093C">
        <w:rPr>
          <w:rFonts w:ascii="Times New Roman" w:hAnsi="Times New Roman"/>
          <w:snapToGrid w:val="0"/>
          <w:lang w:eastAsia="en-US"/>
        </w:rPr>
        <w:t xml:space="preserve">ratios have been well above </w:t>
      </w:r>
      <w:r w:rsidR="006C1759" w:rsidRPr="0018093C">
        <w:rPr>
          <w:rFonts w:ascii="Times New Roman" w:hAnsi="Times New Roman"/>
          <w:snapToGrid w:val="0"/>
          <w:lang w:eastAsia="en-US"/>
        </w:rPr>
        <w:t>one</w:t>
      </w:r>
      <w:r w:rsidRPr="0018093C">
        <w:rPr>
          <w:rFonts w:ascii="Times New Roman" w:hAnsi="Times New Roman"/>
          <w:snapToGrid w:val="0"/>
          <w:lang w:eastAsia="en-US"/>
        </w:rPr>
        <w:t xml:space="preserve"> for over thirty years.</w:t>
      </w:r>
    </w:p>
    <w:p w14:paraId="69D70510"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The reference to the understatement of the cost of equity when </w:t>
      </w:r>
      <w:r w:rsidR="006C5053" w:rsidRPr="0018093C">
        <w:rPr>
          <w:rFonts w:ascii="Times New Roman" w:hAnsi="Times New Roman"/>
          <w:snapToGrid w:val="0"/>
          <w:lang w:eastAsia="en-US"/>
        </w:rPr>
        <w:t xml:space="preserve">Market-to-Book </w:t>
      </w:r>
      <w:r w:rsidRPr="0018093C">
        <w:rPr>
          <w:rFonts w:ascii="Times New Roman" w:hAnsi="Times New Roman"/>
          <w:snapToGrid w:val="0"/>
          <w:lang w:eastAsia="en-US"/>
        </w:rPr>
        <w:t>ratios are slightly below one referred to the dilutive effects of issuing stock below book value and the necessity of allowing for flotation cost.</w:t>
      </w:r>
    </w:p>
    <w:p w14:paraId="78EA3237"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discussion of your numerical example regarding the reliability of DCF estimates</w:t>
      </w:r>
      <w:r w:rsidRPr="0018093C">
        <w:rPr>
          <w:rFonts w:ascii="Times New Roman" w:hAnsi="Times New Roman"/>
          <w:snapToGrid w:val="0"/>
          <w:lang w:eastAsia="en-US"/>
        </w:rPr>
        <w:t>?</w:t>
      </w:r>
    </w:p>
    <w:p w14:paraId="4B956E67" w14:textId="77777777" w:rsidR="006C1759"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reaches back to old testimonies and digs out a numerical example from an old PSE</w:t>
      </w:r>
      <w:r w:rsidR="006C175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rebuttal and concludes that this particular numerical example does not show that the DCF understates the cost of equity when the </w:t>
      </w:r>
      <w:r w:rsidR="006C1759" w:rsidRPr="0018093C">
        <w:rPr>
          <w:rFonts w:ascii="Times New Roman" w:hAnsi="Times New Roman"/>
          <w:snapToGrid w:val="0"/>
          <w:lang w:eastAsia="en-US"/>
        </w:rPr>
        <w:t xml:space="preserve">Market-to-Book </w:t>
      </w:r>
      <w:r w:rsidRPr="0018093C">
        <w:rPr>
          <w:rFonts w:ascii="Times New Roman" w:hAnsi="Times New Roman"/>
          <w:snapToGrid w:val="0"/>
          <w:lang w:eastAsia="en-US"/>
        </w:rPr>
        <w:t xml:space="preserve">ratio exceeds </w:t>
      </w:r>
      <w:r w:rsidR="006C1759" w:rsidRPr="0018093C">
        <w:rPr>
          <w:rFonts w:ascii="Times New Roman" w:hAnsi="Times New Roman"/>
          <w:snapToGrid w:val="0"/>
          <w:lang w:eastAsia="en-US"/>
        </w:rPr>
        <w:t>one</w:t>
      </w:r>
      <w:r w:rsidRPr="0018093C">
        <w:rPr>
          <w:rFonts w:ascii="Times New Roman" w:hAnsi="Times New Roman"/>
          <w:snapToGrid w:val="0"/>
          <w:lang w:eastAsia="en-US"/>
        </w:rPr>
        <w:t>.</w:t>
      </w:r>
      <w:r w:rsidR="006C1759" w:rsidRPr="0018093C">
        <w:rPr>
          <w:rStyle w:val="FootnoteReference"/>
          <w:rFonts w:ascii="Times New Roman" w:hAnsi="Times New Roman"/>
          <w:snapToGrid w:val="0"/>
          <w:lang w:eastAsia="en-US"/>
        </w:rPr>
        <w:footnoteReference w:id="67"/>
      </w:r>
    </w:p>
    <w:p w14:paraId="3EB93A2A" w14:textId="77777777" w:rsidR="003E40B8" w:rsidRPr="0018093C" w:rsidRDefault="00087381" w:rsidP="006C1759">
      <w:pPr>
        <w:pStyle w:val="answer"/>
        <w:ind w:firstLine="0"/>
        <w:rPr>
          <w:rFonts w:ascii="Times New Roman" w:hAnsi="Times New Roman"/>
          <w:snapToGrid w:val="0"/>
          <w:lang w:eastAsia="en-US"/>
        </w:rPr>
      </w:pPr>
      <w:r w:rsidRPr="0018093C">
        <w:rPr>
          <w:rFonts w:ascii="Times New Roman" w:hAnsi="Times New Roman"/>
          <w:snapToGrid w:val="0"/>
          <w:lang w:eastAsia="en-US"/>
        </w:rPr>
        <w:t>Mr. Hill</w:t>
      </w:r>
      <w:r w:rsidR="003E40B8" w:rsidRPr="0018093C">
        <w:rPr>
          <w:rFonts w:ascii="Times New Roman" w:hAnsi="Times New Roman"/>
          <w:snapToGrid w:val="0"/>
          <w:lang w:eastAsia="en-US"/>
        </w:rPr>
        <w:t xml:space="preserve"> appears to be confused on this subject.  First, the allowed return of 10% is not assumed to be determined by the DCF, as claimed by </w:t>
      </w:r>
      <w:r w:rsidRPr="0018093C">
        <w:rPr>
          <w:rFonts w:ascii="Times New Roman" w:hAnsi="Times New Roman"/>
          <w:snapToGrid w:val="0"/>
          <w:lang w:eastAsia="en-US"/>
        </w:rPr>
        <w:t>Mr. Hill</w:t>
      </w:r>
      <w:r w:rsidR="006C1759" w:rsidRPr="0018093C">
        <w:rPr>
          <w:rFonts w:ascii="Times New Roman" w:hAnsi="Times New Roman"/>
          <w:snapToGrid w:val="0"/>
          <w:lang w:eastAsia="en-US"/>
        </w:rPr>
        <w:t>.</w:t>
      </w:r>
      <w:r w:rsidR="006C1759" w:rsidRPr="0018093C">
        <w:rPr>
          <w:rStyle w:val="FootnoteReference"/>
          <w:rFonts w:ascii="Times New Roman" w:hAnsi="Times New Roman"/>
          <w:snapToGrid w:val="0"/>
          <w:lang w:eastAsia="en-US"/>
        </w:rPr>
        <w:footnoteReference w:id="68"/>
      </w:r>
      <w:r w:rsidR="003E40B8" w:rsidRPr="0018093C">
        <w:rPr>
          <w:rFonts w:ascii="Times New Roman" w:hAnsi="Times New Roman"/>
          <w:snapToGrid w:val="0"/>
          <w:lang w:eastAsia="en-US"/>
        </w:rPr>
        <w:t xml:space="preserve"> </w:t>
      </w:r>
      <w:r w:rsidR="006C1759"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Such an assumption would be circular.  The allowed return of 10% is assumed to be determined exogenously by the CAPM or the Risk Premium method, for example.</w:t>
      </w:r>
    </w:p>
    <w:p w14:paraId="62F92171" w14:textId="77777777" w:rsidR="00307FEB"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The numerical example is quite simple despite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attempts to confuse the issue.  A stock is trading at $100 and the investor requires a 10% return, so that $10 of earnings are needed.  But the regulatory body applies the 10% return to a $50 book value.  So, there are only $5 of earnings available to the investor, and the realized return is only 5%.  It is that simple.</w:t>
      </w:r>
    </w:p>
    <w:p w14:paraId="0A84D122" w14:textId="2D092189"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To pursue the analogy provided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w:t>
      </w:r>
      <w:r w:rsidR="006C1759" w:rsidRPr="0018093C">
        <w:rPr>
          <w:rStyle w:val="FootnoteReference"/>
          <w:rFonts w:ascii="Times New Roman" w:hAnsi="Times New Roman"/>
          <w:snapToGrid w:val="0"/>
          <w:lang w:eastAsia="en-US"/>
        </w:rPr>
        <w:footnoteReference w:id="69"/>
      </w:r>
      <w:r w:rsidRPr="0018093C">
        <w:rPr>
          <w:rFonts w:ascii="Times New Roman" w:hAnsi="Times New Roman"/>
          <w:snapToGrid w:val="0"/>
          <w:lang w:eastAsia="en-US"/>
        </w:rPr>
        <w:t xml:space="preserve"> imagine a broker trying to sell to an investor with a return requirement of 10%</w:t>
      </w:r>
      <w:r w:rsidR="00E74AA6">
        <w:rPr>
          <w:rFonts w:ascii="Times New Roman" w:hAnsi="Times New Roman"/>
          <w:snapToGrid w:val="0"/>
          <w:lang w:eastAsia="en-US"/>
        </w:rPr>
        <w:t>,</w:t>
      </w:r>
      <w:r w:rsidRPr="0018093C">
        <w:rPr>
          <w:rFonts w:ascii="Times New Roman" w:hAnsi="Times New Roman"/>
          <w:snapToGrid w:val="0"/>
          <w:lang w:eastAsia="en-US"/>
        </w:rPr>
        <w:t xml:space="preserve"> a utility stock priced at $100 per share</w:t>
      </w:r>
      <w:r w:rsidR="00E74AA6">
        <w:rPr>
          <w:rFonts w:ascii="Times New Roman" w:hAnsi="Times New Roman"/>
          <w:snapToGrid w:val="0"/>
          <w:lang w:eastAsia="en-US"/>
        </w:rPr>
        <w:t>,</w:t>
      </w:r>
      <w:r w:rsidRPr="0018093C">
        <w:rPr>
          <w:rFonts w:ascii="Times New Roman" w:hAnsi="Times New Roman"/>
          <w:snapToGrid w:val="0"/>
          <w:lang w:eastAsia="en-US"/>
        </w:rPr>
        <w:t xml:space="preserve"> and whose </w:t>
      </w:r>
      <w:r w:rsidR="006C1759" w:rsidRPr="0018093C">
        <w:rPr>
          <w:rFonts w:ascii="Times New Roman" w:hAnsi="Times New Roman"/>
          <w:snapToGrid w:val="0"/>
          <w:lang w:eastAsia="en-US"/>
        </w:rPr>
        <w:t xml:space="preserve">Market-to-Book </w:t>
      </w:r>
      <w:r w:rsidRPr="0018093C">
        <w:rPr>
          <w:rFonts w:ascii="Times New Roman" w:hAnsi="Times New Roman"/>
          <w:snapToGrid w:val="0"/>
          <w:lang w:eastAsia="en-US"/>
        </w:rPr>
        <w:t xml:space="preserve">ratio is 2.0.  The broker would say to the investor:  </w:t>
      </w:r>
      <w:r w:rsidR="00942E42" w:rsidRPr="0018093C">
        <w:rPr>
          <w:rFonts w:ascii="Times New Roman" w:hAnsi="Times New Roman"/>
          <w:snapToGrid w:val="0"/>
          <w:lang w:eastAsia="en-US"/>
        </w:rPr>
        <w:t>“</w:t>
      </w:r>
      <w:r w:rsidRPr="0018093C">
        <w:rPr>
          <w:rFonts w:ascii="Times New Roman" w:hAnsi="Times New Roman"/>
          <w:snapToGrid w:val="0"/>
          <w:lang w:eastAsia="en-US"/>
        </w:rPr>
        <w:t>I</w:t>
      </w:r>
      <w:r w:rsidR="00942E42" w:rsidRPr="0018093C">
        <w:rPr>
          <w:rFonts w:ascii="Times New Roman" w:hAnsi="Times New Roman"/>
          <w:snapToGrid w:val="0"/>
          <w:lang w:eastAsia="en-US"/>
        </w:rPr>
        <w:t>’</w:t>
      </w:r>
      <w:r w:rsidRPr="0018093C">
        <w:rPr>
          <w:rFonts w:ascii="Times New Roman" w:hAnsi="Times New Roman"/>
          <w:snapToGrid w:val="0"/>
          <w:lang w:eastAsia="en-US"/>
        </w:rPr>
        <w:t>ve got a stock for you that</w:t>
      </w:r>
      <w:r w:rsidR="00942E42" w:rsidRPr="0018093C">
        <w:rPr>
          <w:rFonts w:ascii="Times New Roman" w:hAnsi="Times New Roman"/>
          <w:snapToGrid w:val="0"/>
          <w:lang w:eastAsia="en-US"/>
        </w:rPr>
        <w:t>’</w:t>
      </w:r>
      <w:r w:rsidRPr="0018093C">
        <w:rPr>
          <w:rFonts w:ascii="Times New Roman" w:hAnsi="Times New Roman"/>
          <w:snapToGrid w:val="0"/>
          <w:lang w:eastAsia="en-US"/>
        </w:rPr>
        <w:t>s going to pay a 10% return on a $50 book value – in other words one share will get you $5 but each share has to drop from $100 to $50 in order for the price to drop to book value.  Are you interested?</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No rational investor would pay $100 for a stock that is going to drop to $50.  In short, the analogy defies logic.</w:t>
      </w:r>
    </w:p>
    <w:p w14:paraId="2457BA1A" w14:textId="77777777" w:rsidR="00087381" w:rsidRPr="0018093C" w:rsidRDefault="00087381" w:rsidP="00087381">
      <w:pPr>
        <w:pStyle w:val="Heading3"/>
      </w:pPr>
      <w:bookmarkStart w:id="26" w:name="_Toc406751118"/>
      <w:r w:rsidRPr="0018093C">
        <w:t>2.</w:t>
      </w:r>
      <w:r w:rsidRPr="0018093C">
        <w:tab/>
        <w:t>Mr. Hill’s Criticisms Of My CAPM Analyses Are Unfounded And Without Merit</w:t>
      </w:r>
      <w:bookmarkEnd w:id="26"/>
    </w:p>
    <w:p w14:paraId="548B4C7D" w14:textId="77777777" w:rsidR="003E40B8" w:rsidRPr="0018093C" w:rsidRDefault="00087381" w:rsidP="00087381">
      <w:pPr>
        <w:pStyle w:val="Heading4"/>
      </w:pPr>
      <w:bookmarkStart w:id="27" w:name="_Toc406751119"/>
      <w:r w:rsidRPr="0018093C">
        <w:t>a</w:t>
      </w:r>
      <w:r w:rsidR="00777B8D" w:rsidRPr="0018093C">
        <w:t>.</w:t>
      </w:r>
      <w:r w:rsidR="00777B8D" w:rsidRPr="0018093C">
        <w:tab/>
      </w:r>
      <w:r w:rsidR="00696AB0" w:rsidRPr="0018093C">
        <w:t xml:space="preserve">Use of Projected Long-Term Treasury Interest Rates as the Risk-Free Rate for </w:t>
      </w:r>
      <w:r w:rsidR="003E40B8" w:rsidRPr="0018093C">
        <w:t xml:space="preserve">CAPM </w:t>
      </w:r>
      <w:r w:rsidR="00696AB0" w:rsidRPr="0018093C">
        <w:t>is Entirely Appropriate</w:t>
      </w:r>
      <w:bookmarkEnd w:id="27"/>
    </w:p>
    <w:p w14:paraId="7F023777" w14:textId="77777777" w:rsidR="003E40B8" w:rsidRPr="0018093C" w:rsidRDefault="00777B8D"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003E40B8"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Do you agree with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criticism of your risk-free rate in your CAPM analysis</w:t>
      </w:r>
      <w:r w:rsidR="003E40B8" w:rsidRPr="0018093C">
        <w:rPr>
          <w:rFonts w:ascii="Times New Roman" w:hAnsi="Times New Roman"/>
          <w:snapToGrid w:val="0"/>
          <w:lang w:eastAsia="en-US"/>
        </w:rPr>
        <w:t>?</w:t>
      </w:r>
    </w:p>
    <w:p w14:paraId="1316CB31" w14:textId="3DE4A786" w:rsidR="001B7F8C" w:rsidRPr="0018093C" w:rsidRDefault="00307FEB" w:rsidP="001B7F8C">
      <w:pPr>
        <w:pStyle w:val="answer"/>
        <w:rPr>
          <w:rFonts w:ascii="Times New Roman" w:hAnsi="Times New Roman"/>
          <w:snapToGrid w:val="0"/>
          <w:lang w:eastAsia="en-US"/>
        </w:rPr>
      </w:pPr>
      <w:r w:rsidRPr="0018093C">
        <w:rPr>
          <w:rFonts w:ascii="Times New Roman" w:hAnsi="Times New Roman"/>
          <w:snapToGrid w:val="0"/>
          <w:lang w:eastAsia="en-US"/>
        </w:rPr>
        <w:t>A.</w:t>
      </w:r>
      <w:r w:rsidR="003E40B8" w:rsidRPr="0018093C">
        <w:rPr>
          <w:rFonts w:ascii="Times New Roman" w:hAnsi="Times New Roman"/>
          <w:snapToGrid w:val="0"/>
          <w:lang w:eastAsia="en-US"/>
        </w:rPr>
        <w:tab/>
        <w:t xml:space="preserve">No, I do not.  </w:t>
      </w:r>
      <w:r w:rsidR="00087381" w:rsidRPr="0018093C">
        <w:rPr>
          <w:rFonts w:ascii="Times New Roman" w:hAnsi="Times New Roman"/>
          <w:snapToGrid w:val="0"/>
          <w:lang w:eastAsia="en-US"/>
        </w:rPr>
        <w:t>Mr. Hill</w:t>
      </w:r>
      <w:r w:rsidR="003E40B8" w:rsidRPr="0018093C">
        <w:rPr>
          <w:rFonts w:ascii="Times New Roman" w:hAnsi="Times New Roman"/>
          <w:snapToGrid w:val="0"/>
          <w:lang w:eastAsia="en-US"/>
        </w:rPr>
        <w:t xml:space="preserve"> argues that I should have relied on current yields rather than on yield forecasts.</w:t>
      </w:r>
      <w:r w:rsidR="00696AB0" w:rsidRPr="0018093C">
        <w:rPr>
          <w:rStyle w:val="FootnoteReference"/>
          <w:rFonts w:ascii="Times New Roman" w:hAnsi="Times New Roman"/>
          <w:snapToGrid w:val="0"/>
          <w:lang w:eastAsia="en-US"/>
        </w:rPr>
        <w:footnoteReference w:id="70"/>
      </w:r>
      <w:r w:rsidR="003E40B8" w:rsidRPr="0018093C">
        <w:rPr>
          <w:rFonts w:ascii="Times New Roman" w:hAnsi="Times New Roman"/>
          <w:snapToGrid w:val="0"/>
          <w:lang w:eastAsia="en-US"/>
        </w:rPr>
        <w:t xml:space="preserve">  </w:t>
      </w:r>
      <w:r w:rsidR="001B7F8C" w:rsidRPr="0018093C">
        <w:rPr>
          <w:rFonts w:ascii="Times New Roman" w:hAnsi="Times New Roman"/>
          <w:snapToGrid w:val="0"/>
          <w:lang w:eastAsia="en-US"/>
        </w:rPr>
        <w:t>As discussed above, the CAPM is a prospective (i.e., forward-looking) model, and the use of projected long-term Treasury interest rates is entirely appropriate because investors price securities on the basis o</w:t>
      </w:r>
      <w:r w:rsidR="00DB2A7A" w:rsidRPr="0018093C">
        <w:rPr>
          <w:rFonts w:ascii="Times New Roman" w:hAnsi="Times New Roman"/>
          <w:snapToGrid w:val="0"/>
          <w:lang w:eastAsia="en-US"/>
        </w:rPr>
        <w:t>f</w:t>
      </w:r>
      <w:r w:rsidR="001B7F8C" w:rsidRPr="0018093C">
        <w:rPr>
          <w:rFonts w:ascii="Times New Roman" w:hAnsi="Times New Roman"/>
          <w:snapToGrid w:val="0"/>
          <w:lang w:eastAsia="en-US"/>
        </w:rPr>
        <w:t xml:space="preserve"> long-term expectations, including interest rates.  Mr. Hill himself concedes that “[c]ost of capital is not set for ratemaking purposes by looking back at what happened in </w:t>
      </w:r>
      <w:r w:rsidR="001B7F8C" w:rsidRPr="0018093C">
        <w:rPr>
          <w:rFonts w:ascii="Times New Roman" w:hAnsi="Times New Roman"/>
          <w:snapToGrid w:val="0"/>
          <w:lang w:eastAsia="en-US"/>
        </w:rPr>
        <w:lastRenderedPageBreak/>
        <w:t>the past”</w:t>
      </w:r>
      <w:r w:rsidR="001B7F8C" w:rsidRPr="0018093C">
        <w:rPr>
          <w:rStyle w:val="FootnoteReference"/>
          <w:rFonts w:ascii="Times New Roman" w:hAnsi="Times New Roman"/>
          <w:snapToGrid w:val="0"/>
          <w:lang w:eastAsia="en-US"/>
        </w:rPr>
        <w:footnoteReference w:id="71"/>
      </w:r>
      <w:r w:rsidR="001B7F8C" w:rsidRPr="0018093C">
        <w:rPr>
          <w:rFonts w:ascii="Times New Roman" w:hAnsi="Times New Roman"/>
          <w:snapToGrid w:val="0"/>
          <w:lang w:eastAsia="en-US"/>
        </w:rPr>
        <w:t xml:space="preserve"> and that  “[e]quity capital cost estimates are forward-looking and must take into account current market expectations for the future.”</w:t>
      </w:r>
      <w:r w:rsidR="001B7F8C" w:rsidRPr="0018093C">
        <w:rPr>
          <w:rStyle w:val="FootnoteReference"/>
          <w:rFonts w:ascii="Times New Roman" w:hAnsi="Times New Roman"/>
          <w:snapToGrid w:val="0"/>
          <w:lang w:eastAsia="en-US"/>
        </w:rPr>
        <w:footnoteReference w:id="72"/>
      </w:r>
      <w:r w:rsidR="001B7F8C" w:rsidRPr="0018093C">
        <w:rPr>
          <w:rFonts w:ascii="Times New Roman" w:hAnsi="Times New Roman"/>
          <w:snapToGrid w:val="0"/>
          <w:lang w:eastAsia="en-US"/>
        </w:rPr>
        <w:t xml:space="preserve">  Therefore, the use of current yields rather than yield forecasts is appropriate.</w:t>
      </w:r>
    </w:p>
    <w:p w14:paraId="6C7DCD1F" w14:textId="77777777" w:rsidR="00696AB0" w:rsidRPr="0018093C" w:rsidRDefault="00696AB0" w:rsidP="00696AB0">
      <w:pPr>
        <w:pStyle w:val="Heading4"/>
      </w:pPr>
      <w:bookmarkStart w:id="28" w:name="_Toc406751120"/>
      <w:r w:rsidRPr="0018093C">
        <w:t>b.</w:t>
      </w:r>
      <w:r w:rsidRPr="0018093C">
        <w:tab/>
        <w:t>Mr. Hill Does Not Take Issue With the Beta of 0.72 for Purposes of the CAPM</w:t>
      </w:r>
      <w:bookmarkEnd w:id="28"/>
    </w:p>
    <w:p w14:paraId="3133128D" w14:textId="77777777" w:rsidR="00696AB0" w:rsidRPr="0018093C" w:rsidRDefault="00696AB0" w:rsidP="00696AB0">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Does Mr. Hill criticize your use of a beta of 0.72 for the CAPM?</w:t>
      </w:r>
    </w:p>
    <w:p w14:paraId="0F5B8178" w14:textId="77777777" w:rsidR="00696AB0" w:rsidRPr="0018093C" w:rsidRDefault="00696AB0" w:rsidP="00696AB0">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Mr. Hill does not criticize </w:t>
      </w:r>
      <w:r w:rsidR="008E3C61" w:rsidRPr="0018093C">
        <w:rPr>
          <w:rFonts w:ascii="Times New Roman" w:hAnsi="Times New Roman"/>
          <w:snapToGrid w:val="0"/>
          <w:lang w:eastAsia="en-US"/>
        </w:rPr>
        <w:t xml:space="preserve">the </w:t>
      </w:r>
      <w:r w:rsidRPr="0018093C">
        <w:rPr>
          <w:rFonts w:ascii="Times New Roman" w:hAnsi="Times New Roman"/>
          <w:snapToGrid w:val="0"/>
          <w:lang w:eastAsia="en-US"/>
        </w:rPr>
        <w:t>use of a beta of 0.72 for the CAPM.</w:t>
      </w:r>
    </w:p>
    <w:p w14:paraId="44828EB1" w14:textId="77777777" w:rsidR="003E40B8" w:rsidRPr="0018093C" w:rsidRDefault="00696AB0" w:rsidP="00087381">
      <w:pPr>
        <w:pStyle w:val="Heading4"/>
      </w:pPr>
      <w:bookmarkStart w:id="29" w:name="_Toc406751121"/>
      <w:r w:rsidRPr="0018093C">
        <w:t>c</w:t>
      </w:r>
      <w:r w:rsidR="00777B8D" w:rsidRPr="0018093C">
        <w:t>.</w:t>
      </w:r>
      <w:r w:rsidR="003E40B8" w:rsidRPr="0018093C">
        <w:tab/>
        <w:t xml:space="preserve">CAPM </w:t>
      </w:r>
      <w:r w:rsidR="00307FEB" w:rsidRPr="0018093C">
        <w:t>Market Risk Premium</w:t>
      </w:r>
      <w:bookmarkEnd w:id="29"/>
    </w:p>
    <w:p w14:paraId="5FA8FBAF"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 xml:space="preserve">s criticism of your historical </w:t>
      </w:r>
      <w:r w:rsidR="00696AB0" w:rsidRPr="0018093C">
        <w:rPr>
          <w:rFonts w:ascii="Times New Roman" w:hAnsi="Times New Roman"/>
          <w:snapToGrid w:val="0"/>
          <w:lang w:eastAsia="en-US"/>
        </w:rPr>
        <w:t xml:space="preserve">Market Risk Premium </w:t>
      </w:r>
      <w:r w:rsidR="00307FEB" w:rsidRPr="0018093C">
        <w:rPr>
          <w:rFonts w:ascii="Times New Roman" w:hAnsi="Times New Roman"/>
          <w:snapToGrid w:val="0"/>
          <w:lang w:eastAsia="en-US"/>
        </w:rPr>
        <w:t>estimate in the CAPM analysis</w:t>
      </w:r>
      <w:r w:rsidRPr="0018093C">
        <w:rPr>
          <w:rFonts w:ascii="Times New Roman" w:hAnsi="Times New Roman"/>
          <w:snapToGrid w:val="0"/>
          <w:lang w:eastAsia="en-US"/>
        </w:rPr>
        <w:t>?</w:t>
      </w:r>
    </w:p>
    <w:p w14:paraId="70CC4B2D" w14:textId="77777777" w:rsidR="008E3C61"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criticizes </w:t>
      </w:r>
      <w:r w:rsidR="00696AB0" w:rsidRPr="0018093C">
        <w:rPr>
          <w:rFonts w:ascii="Times New Roman" w:hAnsi="Times New Roman"/>
          <w:snapToGrid w:val="0"/>
          <w:lang w:eastAsia="en-US"/>
        </w:rPr>
        <w:t xml:space="preserve">my use of </w:t>
      </w:r>
      <w:r w:rsidRPr="0018093C">
        <w:rPr>
          <w:rFonts w:ascii="Times New Roman" w:hAnsi="Times New Roman"/>
          <w:snapToGrid w:val="0"/>
          <w:lang w:eastAsia="en-US"/>
        </w:rPr>
        <w:t xml:space="preserve">historical </w:t>
      </w:r>
      <w:r w:rsidR="00696AB0" w:rsidRPr="0018093C">
        <w:rPr>
          <w:rFonts w:ascii="Times New Roman" w:hAnsi="Times New Roman"/>
          <w:snapToGrid w:val="0"/>
          <w:lang w:eastAsia="en-US"/>
        </w:rPr>
        <w:t xml:space="preserve">market risk premia </w:t>
      </w:r>
      <w:r w:rsidRPr="0018093C">
        <w:rPr>
          <w:rFonts w:ascii="Times New Roman" w:hAnsi="Times New Roman"/>
          <w:snapToGrid w:val="0"/>
          <w:lang w:eastAsia="en-US"/>
        </w:rPr>
        <w:t xml:space="preserve">on two grounds.  First, </w:t>
      </w:r>
      <w:r w:rsidR="00696AB0" w:rsidRPr="0018093C">
        <w:rPr>
          <w:rFonts w:ascii="Times New Roman" w:hAnsi="Times New Roman"/>
          <w:snapToGrid w:val="0"/>
          <w:lang w:eastAsia="en-US"/>
        </w:rPr>
        <w:t xml:space="preserve">Mr. Hill criticizes my reliance on </w:t>
      </w:r>
      <w:r w:rsidRPr="0018093C">
        <w:rPr>
          <w:rFonts w:ascii="Times New Roman" w:hAnsi="Times New Roman"/>
          <w:snapToGrid w:val="0"/>
          <w:lang w:eastAsia="en-US"/>
        </w:rPr>
        <w:t>interest rate forecasts instead of current interest rates</w:t>
      </w:r>
      <w:r w:rsidR="008E3C61" w:rsidRPr="0018093C">
        <w:rPr>
          <w:rFonts w:ascii="Times New Roman" w:hAnsi="Times New Roman"/>
          <w:snapToGrid w:val="0"/>
          <w:lang w:eastAsia="en-US"/>
        </w:rPr>
        <w:t xml:space="preserve"> for the risk-free rate</w:t>
      </w:r>
      <w:r w:rsidRPr="0018093C">
        <w:rPr>
          <w:rFonts w:ascii="Times New Roman" w:hAnsi="Times New Roman"/>
          <w:snapToGrid w:val="0"/>
          <w:lang w:eastAsia="en-US"/>
        </w:rPr>
        <w:t>.</w:t>
      </w:r>
      <w:r w:rsidR="008E3C61" w:rsidRPr="0018093C">
        <w:rPr>
          <w:rStyle w:val="FootnoteReference"/>
          <w:rFonts w:ascii="Times New Roman" w:hAnsi="Times New Roman"/>
          <w:snapToGrid w:val="0"/>
          <w:lang w:eastAsia="en-US"/>
        </w:rPr>
        <w:footnoteReference w:id="73"/>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have already </w:t>
      </w:r>
      <w:r w:rsidR="008E3C61" w:rsidRPr="0018093C">
        <w:rPr>
          <w:rFonts w:ascii="Times New Roman" w:hAnsi="Times New Roman"/>
          <w:snapToGrid w:val="0"/>
          <w:lang w:eastAsia="en-US"/>
        </w:rPr>
        <w:t>addressed above the fact that the use of projected long-term Treasury interest rates is entirely appropriate because investors price securities on the basis on long-term expectations, including interest rates</w:t>
      </w:r>
    </w:p>
    <w:p w14:paraId="686CFF0C" w14:textId="7356A98D" w:rsidR="00772300" w:rsidRPr="0018093C" w:rsidRDefault="003E40B8" w:rsidP="00772300">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w:t>
      </w:r>
      <w:r w:rsidR="008E3C61" w:rsidRPr="0018093C">
        <w:rPr>
          <w:rFonts w:ascii="Times New Roman" w:hAnsi="Times New Roman"/>
          <w:snapToGrid w:val="0"/>
          <w:lang w:eastAsia="en-US"/>
        </w:rPr>
        <w:t>Mr.</w:t>
      </w:r>
      <w:r w:rsidR="00772300" w:rsidRPr="0018093C">
        <w:rPr>
          <w:rFonts w:ascii="Times New Roman" w:hAnsi="Times New Roman"/>
          <w:snapToGrid w:val="0"/>
          <w:lang w:eastAsia="en-US"/>
        </w:rPr>
        <w:t> </w:t>
      </w:r>
      <w:r w:rsidR="008E3C61" w:rsidRPr="0018093C">
        <w:rPr>
          <w:rFonts w:ascii="Times New Roman" w:hAnsi="Times New Roman"/>
          <w:snapToGrid w:val="0"/>
          <w:lang w:eastAsia="en-US"/>
        </w:rPr>
        <w:t xml:space="preserve">Hill asserts that the market risk premium of </w:t>
      </w:r>
      <w:r w:rsidRPr="0018093C">
        <w:rPr>
          <w:rFonts w:ascii="Times New Roman" w:hAnsi="Times New Roman"/>
          <w:snapToGrid w:val="0"/>
          <w:lang w:eastAsia="en-US"/>
        </w:rPr>
        <w:t xml:space="preserve">7.2% </w:t>
      </w:r>
      <w:r w:rsidR="008E3C61" w:rsidRPr="0018093C">
        <w:rPr>
          <w:rFonts w:ascii="Times New Roman" w:hAnsi="Times New Roman"/>
          <w:snapToGrid w:val="0"/>
          <w:lang w:eastAsia="en-US"/>
        </w:rPr>
        <w:t>is overstated.</w:t>
      </w:r>
      <w:r w:rsidR="008E3C61" w:rsidRPr="0018093C">
        <w:rPr>
          <w:rStyle w:val="FootnoteReference"/>
          <w:rFonts w:ascii="Times New Roman" w:hAnsi="Times New Roman"/>
          <w:snapToGrid w:val="0"/>
          <w:lang w:eastAsia="en-US"/>
        </w:rPr>
        <w:footnoteReference w:id="74"/>
      </w:r>
      <w:r w:rsidR="008E3C61" w:rsidRPr="0018093C">
        <w:rPr>
          <w:rFonts w:ascii="Times New Roman" w:hAnsi="Times New Roman"/>
          <w:snapToGrid w:val="0"/>
          <w:lang w:eastAsia="en-US"/>
        </w:rPr>
        <w:t xml:space="preserve">  </w:t>
      </w:r>
      <w:r w:rsidR="00772300" w:rsidRPr="0018093C">
        <w:rPr>
          <w:rFonts w:ascii="Times New Roman" w:hAnsi="Times New Roman"/>
          <w:snapToGrid w:val="0"/>
          <w:lang w:eastAsia="en-US"/>
        </w:rPr>
        <w:t xml:space="preserve">For example, Mr. Hill </w:t>
      </w:r>
      <w:r w:rsidRPr="0018093C">
        <w:rPr>
          <w:rFonts w:ascii="Times New Roman" w:hAnsi="Times New Roman"/>
          <w:snapToGrid w:val="0"/>
          <w:lang w:eastAsia="en-US"/>
        </w:rPr>
        <w:t xml:space="preserve">asserts that </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much of the market risk premium discussion in the literature of financial economics over the past two decades has supported the </w:t>
      </w:r>
      <w:r w:rsidRPr="0018093C">
        <w:rPr>
          <w:rFonts w:ascii="Times New Roman" w:hAnsi="Times New Roman"/>
          <w:snapToGrid w:val="0"/>
          <w:lang w:eastAsia="en-US"/>
        </w:rPr>
        <w:lastRenderedPageBreak/>
        <w:t>notion that investor</w:t>
      </w:r>
      <w:r w:rsidR="00DB2A7A" w:rsidRPr="0018093C">
        <w:rPr>
          <w:rFonts w:ascii="Times New Roman" w:hAnsi="Times New Roman"/>
          <w:snapToGrid w:val="0"/>
          <w:lang w:eastAsia="en-US"/>
        </w:rPr>
        <w: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market risk premium expectations are likely to be below those long-term historical averages (4 percent-6.0 percent)</w:t>
      </w:r>
      <w:r w:rsidR="00942E42" w:rsidRPr="0018093C">
        <w:rPr>
          <w:rFonts w:ascii="Times New Roman" w:hAnsi="Times New Roman"/>
          <w:snapToGrid w:val="0"/>
          <w:lang w:eastAsia="en-US"/>
        </w:rPr>
        <w:t>”</w:t>
      </w:r>
      <w:r w:rsidRPr="0018093C">
        <w:rPr>
          <w:rFonts w:ascii="Times New Roman" w:hAnsi="Times New Roman"/>
          <w:snapToGrid w:val="0"/>
          <w:lang w:eastAsia="en-US"/>
        </w:rPr>
        <w:t>.</w:t>
      </w:r>
      <w:r w:rsidR="00772300" w:rsidRPr="0018093C">
        <w:rPr>
          <w:rStyle w:val="FootnoteReference"/>
          <w:rFonts w:ascii="Times New Roman" w:hAnsi="Times New Roman"/>
          <w:snapToGrid w:val="0"/>
          <w:lang w:eastAsia="en-US"/>
        </w:rPr>
        <w:footnoteReference w:id="75"/>
      </w:r>
      <w:r w:rsidR="00B25CB4" w:rsidRPr="0018093C">
        <w:rPr>
          <w:rFonts w:ascii="Times New Roman" w:hAnsi="Times New Roman"/>
          <w:snapToGrid w:val="0"/>
          <w:lang w:eastAsia="en-US"/>
        </w:rPr>
        <w:t xml:space="preserve">  </w:t>
      </w:r>
      <w:r w:rsidR="00772300" w:rsidRPr="0018093C">
        <w:rPr>
          <w:rFonts w:ascii="Times New Roman" w:hAnsi="Times New Roman"/>
          <w:snapToGrid w:val="0"/>
          <w:lang w:eastAsia="en-US"/>
        </w:rPr>
        <w:t xml:space="preserve">Mr. Hill </w:t>
      </w:r>
      <w:r w:rsidRPr="0018093C">
        <w:rPr>
          <w:rFonts w:ascii="Times New Roman" w:hAnsi="Times New Roman"/>
          <w:snapToGrid w:val="0"/>
          <w:lang w:eastAsia="en-US"/>
        </w:rPr>
        <w:t xml:space="preserve">cites the work of Dimson, Staunton and Marsh, </w:t>
      </w:r>
      <w:r w:rsidR="00772300" w:rsidRPr="0018093C">
        <w:rPr>
          <w:rFonts w:ascii="Times New Roman" w:hAnsi="Times New Roman"/>
          <w:snapToGrid w:val="0"/>
          <w:lang w:eastAsia="en-US"/>
        </w:rPr>
        <w:t xml:space="preserve">in which </w:t>
      </w:r>
      <w:r w:rsidRPr="0018093C">
        <w:rPr>
          <w:rFonts w:ascii="Times New Roman" w:hAnsi="Times New Roman"/>
          <w:snapToGrid w:val="0"/>
          <w:lang w:eastAsia="en-US"/>
        </w:rPr>
        <w:t>the authors review</w:t>
      </w:r>
      <w:r w:rsidR="00772300" w:rsidRPr="0018093C">
        <w:rPr>
          <w:rFonts w:ascii="Times New Roman" w:hAnsi="Times New Roman"/>
          <w:snapToGrid w:val="0"/>
          <w:lang w:eastAsia="en-US"/>
        </w:rPr>
        <w:t>ed</w:t>
      </w:r>
      <w:r w:rsidRPr="0018093C">
        <w:rPr>
          <w:rFonts w:ascii="Times New Roman" w:hAnsi="Times New Roman"/>
          <w:snapToGrid w:val="0"/>
          <w:lang w:eastAsia="en-US"/>
        </w:rPr>
        <w:t xml:space="preserve"> a longer-term data set than that used by Morningstar and conclude</w:t>
      </w:r>
      <w:r w:rsidR="00772300" w:rsidRPr="0018093C">
        <w:rPr>
          <w:rFonts w:ascii="Times New Roman" w:hAnsi="Times New Roman"/>
          <w:snapToGrid w:val="0"/>
          <w:lang w:eastAsia="en-US"/>
        </w:rPr>
        <w:t>d</w:t>
      </w:r>
      <w:r w:rsidRPr="0018093C">
        <w:rPr>
          <w:rFonts w:ascii="Times New Roman" w:hAnsi="Times New Roman"/>
          <w:snapToGrid w:val="0"/>
          <w:lang w:eastAsia="en-US"/>
        </w:rPr>
        <w:t xml:space="preserve"> that market risk premiums expected in the future are below the historical averages published by Morningstar.</w:t>
      </w:r>
      <w:r w:rsidR="00772300" w:rsidRPr="0018093C">
        <w:rPr>
          <w:rStyle w:val="FootnoteReference"/>
          <w:rFonts w:ascii="Times New Roman" w:hAnsi="Times New Roman"/>
          <w:snapToGrid w:val="0"/>
          <w:lang w:eastAsia="en-US"/>
        </w:rPr>
        <w:footnoteReference w:id="76"/>
      </w:r>
    </w:p>
    <w:p w14:paraId="38815962"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772300" w:rsidRPr="0018093C">
        <w:rPr>
          <w:rFonts w:ascii="Times New Roman" w:hAnsi="Times New Roman"/>
          <w:snapToGrid w:val="0"/>
          <w:lang w:eastAsia="en-US"/>
        </w:rPr>
        <w:t>C</w:t>
      </w:r>
      <w:r w:rsidR="00307FEB" w:rsidRPr="0018093C">
        <w:rPr>
          <w:rFonts w:ascii="Times New Roman" w:hAnsi="Times New Roman"/>
          <w:snapToGrid w:val="0"/>
          <w:lang w:eastAsia="en-US"/>
        </w:rPr>
        <w:t xml:space="preserve">an you comment on the </w:t>
      </w:r>
      <w:r w:rsidR="00772300" w:rsidRPr="0018093C">
        <w:rPr>
          <w:rFonts w:ascii="Times New Roman" w:hAnsi="Times New Roman"/>
          <w:snapToGrid w:val="0"/>
          <w:lang w:eastAsia="en-US"/>
        </w:rPr>
        <w:t xml:space="preserve">materials </w:t>
      </w:r>
      <w:r w:rsidR="00307FEB" w:rsidRPr="0018093C">
        <w:rPr>
          <w:rFonts w:ascii="Times New Roman" w:hAnsi="Times New Roman"/>
          <w:snapToGrid w:val="0"/>
          <w:lang w:eastAsia="en-US"/>
        </w:rPr>
        <w:t>published by Dimson, Staunton, and March</w:t>
      </w:r>
      <w:r w:rsidR="00772300" w:rsidRPr="0018093C">
        <w:rPr>
          <w:rFonts w:ascii="Times New Roman" w:hAnsi="Times New Roman"/>
          <w:snapToGrid w:val="0"/>
          <w:lang w:eastAsia="en-US"/>
        </w:rPr>
        <w:t xml:space="preserve"> and cited by Mr. Hill</w:t>
      </w:r>
      <w:r w:rsidRPr="0018093C">
        <w:rPr>
          <w:rFonts w:ascii="Times New Roman" w:hAnsi="Times New Roman"/>
          <w:snapToGrid w:val="0"/>
          <w:lang w:eastAsia="en-US"/>
        </w:rPr>
        <w:t>?</w:t>
      </w:r>
    </w:p>
    <w:p w14:paraId="554EDF44" w14:textId="34E4D85C" w:rsidR="00F86DC5"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772300" w:rsidRPr="0018093C">
        <w:rPr>
          <w:rFonts w:ascii="Times New Roman" w:hAnsi="Times New Roman"/>
          <w:snapToGrid w:val="0"/>
          <w:lang w:eastAsia="en-US"/>
        </w:rPr>
        <w:t>As stated above</w:t>
      </w:r>
      <w:r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cites the published work by Dimson, Marsh, and Staunton</w:t>
      </w:r>
      <w:r w:rsidR="00772300" w:rsidRPr="0018093C">
        <w:rPr>
          <w:rFonts w:ascii="Times New Roman" w:hAnsi="Times New Roman"/>
          <w:snapToGrid w:val="0"/>
          <w:lang w:eastAsia="en-US"/>
        </w:rPr>
        <w:t>,</w:t>
      </w:r>
      <w:r w:rsidRPr="0018093C">
        <w:rPr>
          <w:rFonts w:ascii="Times New Roman" w:hAnsi="Times New Roman"/>
          <w:snapToGrid w:val="0"/>
          <w:lang w:eastAsia="en-US"/>
        </w:rPr>
        <w:t xml:space="preserve"> which concludes that current </w:t>
      </w:r>
      <w:r w:rsidR="00772300" w:rsidRPr="0018093C">
        <w:rPr>
          <w:rFonts w:ascii="Times New Roman" w:hAnsi="Times New Roman"/>
          <w:snapToGrid w:val="0"/>
          <w:lang w:eastAsia="en-US"/>
        </w:rPr>
        <w:t xml:space="preserve">Market Risk Premia </w:t>
      </w:r>
      <w:r w:rsidRPr="0018093C">
        <w:rPr>
          <w:rFonts w:ascii="Times New Roman" w:hAnsi="Times New Roman"/>
          <w:snapToGrid w:val="0"/>
          <w:lang w:eastAsia="en-US"/>
        </w:rPr>
        <w:t xml:space="preserve">are less than historical </w:t>
      </w:r>
      <w:r w:rsidR="00772300" w:rsidRPr="0018093C">
        <w:rPr>
          <w:rFonts w:ascii="Times New Roman" w:hAnsi="Times New Roman"/>
          <w:snapToGrid w:val="0"/>
          <w:lang w:eastAsia="en-US"/>
        </w:rPr>
        <w:t>Market Risk Premia</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 xml:space="preserve">This study, however, reports returns </w:t>
      </w:r>
      <w:r w:rsidRPr="0018093C">
        <w:rPr>
          <w:rFonts w:ascii="Times New Roman" w:hAnsi="Times New Roman"/>
          <w:snapToGrid w:val="0"/>
          <w:lang w:eastAsia="en-US"/>
        </w:rPr>
        <w:t>over the period 1900 to 2000 for twelve countries, representing 90% of today</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world market capitalization.  In that study, the authors report an average </w:t>
      </w:r>
      <w:r w:rsidR="00F86DC5" w:rsidRPr="0018093C">
        <w:rPr>
          <w:rFonts w:ascii="Times New Roman" w:hAnsi="Times New Roman"/>
          <w:snapToGrid w:val="0"/>
          <w:lang w:eastAsia="en-US"/>
        </w:rPr>
        <w:t>Market Risk P</w:t>
      </w:r>
      <w:r w:rsidRPr="0018093C">
        <w:rPr>
          <w:rFonts w:ascii="Times New Roman" w:hAnsi="Times New Roman"/>
          <w:snapToGrid w:val="0"/>
          <w:lang w:eastAsia="en-US"/>
        </w:rPr>
        <w:t>remium of 5.6%</w:t>
      </w:r>
      <w:r w:rsidR="00F86DC5" w:rsidRPr="0018093C">
        <w:rPr>
          <w:rFonts w:ascii="Times New Roman" w:hAnsi="Times New Roman"/>
          <w:snapToGrid w:val="0"/>
          <w:lang w:eastAsia="en-US"/>
        </w:rPr>
        <w:t xml:space="preserve"> for all countries</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 xml:space="preserve">but an average Market Risk Premium of </w:t>
      </w:r>
      <w:r w:rsidRPr="0018093C">
        <w:rPr>
          <w:rFonts w:ascii="Times New Roman" w:hAnsi="Times New Roman"/>
          <w:snapToGrid w:val="0"/>
          <w:lang w:eastAsia="en-US"/>
        </w:rPr>
        <w:t>7.0%</w:t>
      </w:r>
      <w:r w:rsidR="00F86DC5" w:rsidRPr="0018093C">
        <w:rPr>
          <w:rFonts w:ascii="Times New Roman" w:hAnsi="Times New Roman"/>
          <w:snapToGrid w:val="0"/>
          <w:lang w:eastAsia="en-US"/>
        </w:rPr>
        <w:t xml:space="preserve"> for the United States</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 xml:space="preserve">Moreover, Market Risk Premia were </w:t>
      </w:r>
      <w:r w:rsidRPr="0018093C">
        <w:rPr>
          <w:rFonts w:ascii="Times New Roman" w:hAnsi="Times New Roman"/>
          <w:snapToGrid w:val="0"/>
          <w:lang w:eastAsia="en-US"/>
        </w:rPr>
        <w:t xml:space="preserve">generally higher for the second half </w:t>
      </w:r>
      <w:r w:rsidR="00F86DC5" w:rsidRPr="0018093C">
        <w:rPr>
          <w:rFonts w:ascii="Times New Roman" w:hAnsi="Times New Roman"/>
          <w:snapToGrid w:val="0"/>
          <w:lang w:eastAsia="en-US"/>
        </w:rPr>
        <w:t xml:space="preserve">of the twentieth </w:t>
      </w:r>
      <w:r w:rsidRPr="0018093C">
        <w:rPr>
          <w:rFonts w:ascii="Times New Roman" w:hAnsi="Times New Roman"/>
          <w:snapToGrid w:val="0"/>
          <w:lang w:eastAsia="en-US"/>
        </w:rPr>
        <w:t xml:space="preserve">century than for the first.  For example, the </w:t>
      </w:r>
      <w:r w:rsidR="00F86DC5" w:rsidRPr="0018093C">
        <w:rPr>
          <w:rFonts w:ascii="Times New Roman" w:hAnsi="Times New Roman"/>
          <w:snapToGrid w:val="0"/>
          <w:lang w:eastAsia="en-US"/>
        </w:rPr>
        <w:t xml:space="preserve">average Market Risk Premium in the first half of the twentieth century was </w:t>
      </w:r>
      <w:r w:rsidRPr="0018093C">
        <w:rPr>
          <w:rFonts w:ascii="Times New Roman" w:hAnsi="Times New Roman"/>
          <w:snapToGrid w:val="0"/>
          <w:lang w:eastAsia="en-US"/>
        </w:rPr>
        <w:t xml:space="preserve">5% </w:t>
      </w:r>
      <w:r w:rsidR="00F86DC5" w:rsidRPr="0018093C">
        <w:rPr>
          <w:rFonts w:ascii="Times New Roman" w:hAnsi="Times New Roman"/>
          <w:snapToGrid w:val="0"/>
          <w:lang w:eastAsia="en-US"/>
        </w:rPr>
        <w:t>for the United States</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and the average Market Risk Premium in the second half of the twentieth century was 7.</w:t>
      </w:r>
      <w:r w:rsidR="00DB2A7A" w:rsidRPr="0018093C">
        <w:rPr>
          <w:rFonts w:ascii="Times New Roman" w:hAnsi="Times New Roman"/>
          <w:snapToGrid w:val="0"/>
          <w:lang w:eastAsia="en-US"/>
        </w:rPr>
        <w:t>5% for the United States.</w:t>
      </w:r>
    </w:p>
    <w:p w14:paraId="4DD8054D"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A second approach to estimate the </w:t>
      </w:r>
      <w:r w:rsidR="00F86DC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is prospective in nature and consists of applying the DCF model to an aggregate equity index, as I did in my direct testimony.  A prospective study by Harris, Marston, Mishra, and O</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Brien </w:t>
      </w:r>
      <w:r w:rsidR="00C06508" w:rsidRPr="0018093C">
        <w:rPr>
          <w:rFonts w:ascii="Times New Roman" w:hAnsi="Times New Roman"/>
          <w:snapToGrid w:val="0"/>
          <w:lang w:eastAsia="en-US"/>
        </w:rPr>
        <w:t xml:space="preserve">cited in my direct study </w:t>
      </w:r>
      <w:r w:rsidRPr="0018093C">
        <w:rPr>
          <w:rFonts w:ascii="Times New Roman" w:hAnsi="Times New Roman"/>
          <w:snapToGrid w:val="0"/>
          <w:lang w:eastAsia="en-US"/>
        </w:rPr>
        <w:t xml:space="preserve">provides estimates of the </w:t>
      </w:r>
      <w:r w:rsidRPr="0018093C">
        <w:rPr>
          <w:rFonts w:ascii="Times New Roman" w:hAnsi="Times New Roman"/>
          <w:i/>
          <w:snapToGrid w:val="0"/>
          <w:lang w:eastAsia="en-US"/>
        </w:rPr>
        <w:t>ex ante</w:t>
      </w:r>
      <w:r w:rsidRPr="0018093C">
        <w:rPr>
          <w:rFonts w:ascii="Times New Roman" w:hAnsi="Times New Roman"/>
          <w:snapToGrid w:val="0"/>
          <w:lang w:eastAsia="en-US"/>
        </w:rPr>
        <w:t xml:space="preserve"> expected returns for S&amp;P 500 companies over the period 1983-1998.</w:t>
      </w:r>
      <w:r w:rsidR="00C06508" w:rsidRPr="0018093C">
        <w:rPr>
          <w:rStyle w:val="FootnoteReference"/>
          <w:rFonts w:ascii="Times New Roman" w:hAnsi="Times New Roman"/>
          <w:snapToGrid w:val="0"/>
          <w:lang w:eastAsia="en-US"/>
        </w:rPr>
        <w:footnoteReference w:id="77"/>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From that study, the average </w:t>
      </w:r>
      <w:r w:rsidR="00C06508"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estimate for the overall period is 7.2%, the same as used in my CAPM analysis</w:t>
      </w:r>
      <w:r w:rsidR="00C0650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and higher </w:t>
      </w:r>
      <w:r w:rsidR="00C06508" w:rsidRPr="0018093C">
        <w:rPr>
          <w:rFonts w:ascii="Times New Roman" w:hAnsi="Times New Roman"/>
          <w:snapToGrid w:val="0"/>
          <w:lang w:eastAsia="en-US"/>
        </w:rPr>
        <w:t xml:space="preserve">than </w:t>
      </w:r>
      <w:r w:rsidRPr="0018093C">
        <w:rPr>
          <w:rFonts w:ascii="Times New Roman" w:hAnsi="Times New Roman"/>
          <w:snapToGrid w:val="0"/>
          <w:lang w:eastAsia="en-US"/>
        </w:rPr>
        <w:t xml:space="preserve">the historical </w:t>
      </w:r>
      <w:r w:rsidR="00C06508" w:rsidRPr="0018093C">
        <w:rPr>
          <w:rFonts w:ascii="Times New Roman" w:hAnsi="Times New Roman"/>
          <w:snapToGrid w:val="0"/>
          <w:lang w:eastAsia="en-US"/>
        </w:rPr>
        <w:t>Market Risk Premium reported in Morningstar.</w:t>
      </w:r>
    </w:p>
    <w:p w14:paraId="73502D64"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 xml:space="preserve">s criticism that </w:t>
      </w:r>
      <w:r w:rsidR="00C06508" w:rsidRPr="0018093C">
        <w:rPr>
          <w:rFonts w:ascii="Times New Roman" w:hAnsi="Times New Roman"/>
          <w:snapToGrid w:val="0"/>
          <w:lang w:eastAsia="en-US"/>
        </w:rPr>
        <w:t xml:space="preserve">the Market Risk Premium </w:t>
      </w:r>
      <w:r w:rsidR="00307FEB" w:rsidRPr="0018093C">
        <w:rPr>
          <w:rFonts w:ascii="Times New Roman" w:hAnsi="Times New Roman"/>
          <w:snapToGrid w:val="0"/>
          <w:lang w:eastAsia="en-US"/>
        </w:rPr>
        <w:t>estimate of 7.2% is the upper end of a range espoused by Brealey &amp; Myer</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textbook</w:t>
      </w:r>
      <w:r w:rsidRPr="0018093C">
        <w:rPr>
          <w:rFonts w:ascii="Times New Roman" w:hAnsi="Times New Roman"/>
          <w:snapToGrid w:val="0"/>
          <w:lang w:eastAsia="en-US"/>
        </w:rPr>
        <w:t>?</w:t>
      </w:r>
    </w:p>
    <w:p w14:paraId="65EA4E09" w14:textId="77777777" w:rsidR="006335EC"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argues that </w:t>
      </w:r>
      <w:r w:rsidR="00C06508" w:rsidRPr="0018093C">
        <w:rPr>
          <w:rFonts w:ascii="Times New Roman" w:hAnsi="Times New Roman"/>
          <w:snapToGrid w:val="0"/>
          <w:lang w:eastAsia="en-US"/>
        </w:rPr>
        <w:t xml:space="preserve">the Market Risk Premium </w:t>
      </w:r>
      <w:r w:rsidRPr="0018093C">
        <w:rPr>
          <w:rFonts w:ascii="Times New Roman" w:hAnsi="Times New Roman"/>
          <w:snapToGrid w:val="0"/>
          <w:lang w:eastAsia="en-US"/>
        </w:rPr>
        <w:t xml:space="preserve">estimate of 7.2% is at the upper end of a range espoused by </w:t>
      </w:r>
      <w:r w:rsidR="006335EC" w:rsidRPr="0018093C">
        <w:rPr>
          <w:rFonts w:ascii="Times New Roman" w:hAnsi="Times New Roman"/>
          <w:snapToGrid w:val="0"/>
          <w:lang w:eastAsia="en-US"/>
        </w:rPr>
        <w:t xml:space="preserve">the 2006 edition of the </w:t>
      </w:r>
      <w:r w:rsidRPr="0018093C">
        <w:rPr>
          <w:rFonts w:ascii="Times New Roman" w:hAnsi="Times New Roman"/>
          <w:snapToGrid w:val="0"/>
          <w:lang w:eastAsia="en-US"/>
        </w:rPr>
        <w:t xml:space="preserve">Brealey </w:t>
      </w:r>
      <w:r w:rsidR="006335EC" w:rsidRPr="0018093C">
        <w:rPr>
          <w:rFonts w:ascii="Times New Roman" w:hAnsi="Times New Roman"/>
          <w:snapToGrid w:val="0"/>
          <w:lang w:eastAsia="en-US"/>
        </w:rPr>
        <w:t>and</w:t>
      </w:r>
      <w:r w:rsidRPr="0018093C">
        <w:rPr>
          <w:rFonts w:ascii="Times New Roman" w:hAnsi="Times New Roman"/>
          <w:snapToGrid w:val="0"/>
          <w:lang w:eastAsia="en-US"/>
        </w:rPr>
        <w:t xml:space="preserve"> Myers textbook and is thus overstated.</w:t>
      </w:r>
      <w:r w:rsidR="00C06508" w:rsidRPr="0018093C">
        <w:rPr>
          <w:rStyle w:val="FootnoteReference"/>
          <w:rFonts w:ascii="Times New Roman" w:hAnsi="Times New Roman"/>
          <w:snapToGrid w:val="0"/>
          <w:lang w:eastAsia="en-US"/>
        </w:rPr>
        <w:footnoteReference w:id="78"/>
      </w:r>
      <w:r w:rsidR="00C0650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have </w:t>
      </w:r>
      <w:r w:rsidR="006335EC" w:rsidRPr="0018093C">
        <w:rPr>
          <w:rFonts w:ascii="Times New Roman" w:hAnsi="Times New Roman"/>
          <w:snapToGrid w:val="0"/>
          <w:lang w:eastAsia="en-US"/>
        </w:rPr>
        <w:t xml:space="preserve">several </w:t>
      </w:r>
      <w:r w:rsidRPr="0018093C">
        <w:rPr>
          <w:rFonts w:ascii="Times New Roman" w:hAnsi="Times New Roman"/>
          <w:snapToGrid w:val="0"/>
          <w:lang w:eastAsia="en-US"/>
        </w:rPr>
        <w:t>responses.</w:t>
      </w:r>
    </w:p>
    <w:p w14:paraId="68C0A115" w14:textId="763ED0F4" w:rsidR="006335EC" w:rsidRPr="0018093C" w:rsidRDefault="003E40B8" w:rsidP="006335EC">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First, </w:t>
      </w:r>
      <w:r w:rsidR="006335EC" w:rsidRPr="0018093C">
        <w:rPr>
          <w:rFonts w:ascii="Times New Roman" w:hAnsi="Times New Roman"/>
          <w:snapToGrid w:val="0"/>
          <w:lang w:eastAsia="en-US"/>
        </w:rPr>
        <w:t>the 2010 edition of the Brealey, Myers, and Allen textbook takes no official position with respect to any “official” Market Risk Premium estimate and acknowledges the various disagreeing data:</w:t>
      </w:r>
    </w:p>
    <w:p w14:paraId="40F09F76" w14:textId="77777777" w:rsidR="006335EC" w:rsidRPr="0018093C" w:rsidRDefault="006335EC" w:rsidP="006335EC">
      <w:pPr>
        <w:pStyle w:val="answer"/>
        <w:spacing w:before="0" w:after="280" w:line="240" w:lineRule="auto"/>
        <w:ind w:left="1440" w:right="720" w:firstLine="0"/>
        <w:rPr>
          <w:rFonts w:ascii="Times New Roman" w:hAnsi="Times New Roman"/>
          <w:snapToGrid w:val="0"/>
          <w:lang w:eastAsia="en-US"/>
        </w:rPr>
      </w:pPr>
      <w:r w:rsidRPr="0018093C">
        <w:rPr>
          <w:rFonts w:ascii="Times New Roman" w:hAnsi="Times New Roman"/>
          <w:snapToGrid w:val="0"/>
          <w:lang w:eastAsia="en-US"/>
        </w:rPr>
        <w:t xml:space="preserve">Even with over 100 years of data, we can’t estimate the market risk premium exactly; nor can we be sure that investors today are demanding the same reward for risk that they were 50 or 100 years </w:t>
      </w:r>
      <w:r w:rsidRPr="0018093C">
        <w:rPr>
          <w:rFonts w:ascii="Times New Roman" w:hAnsi="Times New Roman"/>
          <w:snapToGrid w:val="0"/>
          <w:lang w:eastAsia="en-US"/>
        </w:rPr>
        <w:lastRenderedPageBreak/>
        <w:t xml:space="preserve">ago.  All this leaves plenty of room for argument about what the risk premium </w:t>
      </w:r>
      <w:r w:rsidRPr="0018093C">
        <w:rPr>
          <w:rFonts w:ascii="Times New Roman" w:hAnsi="Times New Roman"/>
          <w:i/>
          <w:snapToGrid w:val="0"/>
          <w:lang w:eastAsia="en-US"/>
        </w:rPr>
        <w:t>really</w:t>
      </w:r>
      <w:r w:rsidRPr="0018093C">
        <w:rPr>
          <w:rFonts w:ascii="Times New Roman" w:hAnsi="Times New Roman"/>
          <w:snapToGrid w:val="0"/>
          <w:lang w:eastAsia="en-US"/>
        </w:rPr>
        <w:t xml:space="preserve"> is.</w:t>
      </w:r>
      <w:r w:rsidRPr="0018093C">
        <w:rPr>
          <w:rStyle w:val="FootnoteReference"/>
          <w:rFonts w:ascii="Times New Roman" w:hAnsi="Times New Roman"/>
          <w:snapToGrid w:val="0"/>
          <w:lang w:eastAsia="en-US"/>
        </w:rPr>
        <w:footnoteReference w:id="79"/>
      </w:r>
    </w:p>
    <w:p w14:paraId="6A223CDE" w14:textId="6B27545D" w:rsidR="006335EC" w:rsidRPr="0018093C" w:rsidRDefault="006335EC" w:rsidP="006335EC">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Indeed, the closest that the 2010 edition comes to endorsing an “official” Market Risk Premium estimate is when the text </w:t>
      </w:r>
      <w:r w:rsidR="0055048E" w:rsidRPr="0018093C">
        <w:rPr>
          <w:rFonts w:ascii="Times New Roman" w:hAnsi="Times New Roman"/>
          <w:snapToGrid w:val="0"/>
          <w:lang w:eastAsia="en-US"/>
        </w:rPr>
        <w:t>acknowledges that the Market Risk Premium has average</w:t>
      </w:r>
      <w:r w:rsidR="00DB2A7A" w:rsidRPr="0018093C">
        <w:rPr>
          <w:rFonts w:ascii="Times New Roman" w:hAnsi="Times New Roman"/>
          <w:snapToGrid w:val="0"/>
          <w:lang w:eastAsia="en-US"/>
        </w:rPr>
        <w:t>d</w:t>
      </w:r>
      <w:r w:rsidR="0055048E" w:rsidRPr="0018093C">
        <w:rPr>
          <w:rFonts w:ascii="Times New Roman" w:hAnsi="Times New Roman"/>
          <w:snapToGrid w:val="0"/>
          <w:lang w:eastAsia="en-US"/>
        </w:rPr>
        <w:t xml:space="preserve"> 7.1% a year since 1900:</w:t>
      </w:r>
    </w:p>
    <w:p w14:paraId="3E860A08" w14:textId="77777777" w:rsidR="006335EC" w:rsidRPr="0018093C" w:rsidRDefault="006335EC" w:rsidP="0055048E">
      <w:pPr>
        <w:pStyle w:val="answer"/>
        <w:spacing w:before="0" w:after="280" w:line="240" w:lineRule="auto"/>
        <w:ind w:left="1440" w:right="720" w:firstLine="0"/>
        <w:rPr>
          <w:rFonts w:ascii="Times New Roman" w:hAnsi="Times New Roman"/>
          <w:snapToGrid w:val="0"/>
          <w:lang w:eastAsia="en-US"/>
        </w:rPr>
      </w:pPr>
      <w:r w:rsidRPr="0018093C">
        <w:rPr>
          <w:rFonts w:ascii="Times New Roman" w:hAnsi="Times New Roman"/>
          <w:snapToGrid w:val="0"/>
          <w:lang w:eastAsia="en-US"/>
        </w:rPr>
        <w:t>The</w:t>
      </w:r>
      <w:r w:rsidR="0055048E"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difference between the return on the market and the interest rate is termed the </w:t>
      </w:r>
      <w:r w:rsidRPr="0018093C">
        <w:rPr>
          <w:rFonts w:ascii="Times New Roman" w:hAnsi="Times New Roman"/>
          <w:i/>
          <w:snapToGrid w:val="0"/>
          <w:lang w:eastAsia="en-US"/>
        </w:rPr>
        <w:t>market risk</w:t>
      </w:r>
      <w:r w:rsidR="0055048E" w:rsidRPr="0018093C">
        <w:rPr>
          <w:rFonts w:ascii="Times New Roman" w:hAnsi="Times New Roman"/>
          <w:i/>
          <w:snapToGrid w:val="0"/>
          <w:lang w:eastAsia="en-US"/>
        </w:rPr>
        <w:t xml:space="preserve"> </w:t>
      </w:r>
      <w:r w:rsidRPr="0018093C">
        <w:rPr>
          <w:rFonts w:ascii="Times New Roman" w:hAnsi="Times New Roman"/>
          <w:i/>
          <w:snapToGrid w:val="0"/>
          <w:lang w:eastAsia="en-US"/>
        </w:rPr>
        <w:t>premium</w:t>
      </w:r>
      <w:r w:rsidRPr="0018093C">
        <w:rPr>
          <w:rFonts w:ascii="Times New Roman" w:hAnsi="Times New Roman"/>
          <w:snapToGrid w:val="0"/>
          <w:lang w:eastAsia="en-US"/>
        </w:rPr>
        <w:t xml:space="preserve">. </w:t>
      </w:r>
      <w:r w:rsidR="0055048E" w:rsidRPr="0018093C">
        <w:rPr>
          <w:rFonts w:ascii="Times New Roman" w:hAnsi="Times New Roman"/>
          <w:snapToGrid w:val="0"/>
          <w:lang w:eastAsia="en-US"/>
        </w:rPr>
        <w:t xml:space="preserve"> </w:t>
      </w:r>
      <w:r w:rsidRPr="0018093C">
        <w:rPr>
          <w:rFonts w:ascii="Times New Roman" w:hAnsi="Times New Roman"/>
          <w:snapToGrid w:val="0"/>
          <w:lang w:eastAsia="en-US"/>
        </w:rPr>
        <w:t>Since 1900 the market risk premium (r</w:t>
      </w:r>
      <w:r w:rsidRPr="0018093C">
        <w:rPr>
          <w:rFonts w:ascii="Times New Roman" w:hAnsi="Times New Roman"/>
          <w:snapToGrid w:val="0"/>
          <w:vertAlign w:val="subscript"/>
          <w:lang w:eastAsia="en-US"/>
        </w:rPr>
        <w:t>m</w:t>
      </w:r>
      <w:r w:rsidRPr="0018093C">
        <w:rPr>
          <w:rFonts w:ascii="Times New Roman" w:hAnsi="Times New Roman"/>
          <w:snapToGrid w:val="0"/>
          <w:lang w:eastAsia="en-US"/>
        </w:rPr>
        <w:t xml:space="preserve"> </w:t>
      </w:r>
      <w:r w:rsidR="0055048E" w:rsidRPr="0018093C">
        <w:rPr>
          <w:rFonts w:ascii="Times New Roman" w:hAnsi="Times New Roman"/>
          <w:snapToGrid w:val="0"/>
          <w:lang w:eastAsia="en-US"/>
        </w:rPr>
        <w:t>-</w:t>
      </w:r>
      <w:r w:rsidRPr="0018093C">
        <w:rPr>
          <w:rFonts w:ascii="Times New Roman" w:hAnsi="Times New Roman"/>
          <w:snapToGrid w:val="0"/>
          <w:lang w:eastAsia="en-US"/>
        </w:rPr>
        <w:t xml:space="preserve"> r</w:t>
      </w:r>
      <w:r w:rsidRPr="0018093C">
        <w:rPr>
          <w:rFonts w:ascii="Times New Roman" w:hAnsi="Times New Roman"/>
          <w:snapToGrid w:val="0"/>
          <w:vertAlign w:val="subscript"/>
          <w:lang w:eastAsia="en-US"/>
        </w:rPr>
        <w:t>f</w:t>
      </w:r>
      <w:r w:rsidRPr="0018093C">
        <w:rPr>
          <w:rFonts w:ascii="Times New Roman" w:hAnsi="Times New Roman"/>
          <w:snapToGrid w:val="0"/>
          <w:lang w:eastAsia="en-US"/>
        </w:rPr>
        <w:t xml:space="preserve"> ) has averaged 7.1% a year.</w:t>
      </w:r>
      <w:r w:rsidR="0055048E" w:rsidRPr="0018093C">
        <w:rPr>
          <w:rStyle w:val="FootnoteReference"/>
          <w:rFonts w:ascii="Times New Roman" w:hAnsi="Times New Roman"/>
          <w:snapToGrid w:val="0"/>
          <w:lang w:eastAsia="en-US"/>
        </w:rPr>
        <w:footnoteReference w:id="80"/>
      </w:r>
    </w:p>
    <w:p w14:paraId="373BB8A3" w14:textId="77777777" w:rsidR="0055048E" w:rsidRPr="0018093C" w:rsidRDefault="0055048E" w:rsidP="0055048E">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even if the Market Risk Premium estimate of 7.2% were at the upper end of a range (which it is not), </w:t>
      </w:r>
      <w:r w:rsidR="003E40B8" w:rsidRPr="0018093C">
        <w:rPr>
          <w:rFonts w:ascii="Times New Roman" w:hAnsi="Times New Roman"/>
          <w:snapToGrid w:val="0"/>
          <w:lang w:eastAsia="en-US"/>
        </w:rPr>
        <w:t xml:space="preserve">it </w:t>
      </w:r>
      <w:r w:rsidRPr="0018093C">
        <w:rPr>
          <w:rFonts w:ascii="Times New Roman" w:hAnsi="Times New Roman"/>
          <w:snapToGrid w:val="0"/>
          <w:lang w:eastAsia="en-US"/>
        </w:rPr>
        <w:t xml:space="preserve">would </w:t>
      </w:r>
      <w:r w:rsidR="003E40B8" w:rsidRPr="0018093C">
        <w:rPr>
          <w:rFonts w:ascii="Times New Roman" w:hAnsi="Times New Roman"/>
          <w:snapToGrid w:val="0"/>
          <w:lang w:eastAsia="en-US"/>
        </w:rPr>
        <w:t xml:space="preserve">not </w:t>
      </w:r>
      <w:r w:rsidRPr="0018093C">
        <w:rPr>
          <w:rFonts w:ascii="Times New Roman" w:hAnsi="Times New Roman"/>
          <w:snapToGrid w:val="0"/>
          <w:lang w:eastAsia="en-US"/>
        </w:rPr>
        <w:t xml:space="preserve">be </w:t>
      </w:r>
      <w:r w:rsidR="003E40B8" w:rsidRPr="0018093C">
        <w:rPr>
          <w:rFonts w:ascii="Times New Roman" w:hAnsi="Times New Roman"/>
          <w:snapToGrid w:val="0"/>
          <w:lang w:eastAsia="en-US"/>
        </w:rPr>
        <w:t xml:space="preserve">surprising that the </w:t>
      </w:r>
      <w:r w:rsidRPr="0018093C">
        <w:rPr>
          <w:rFonts w:ascii="Times New Roman" w:hAnsi="Times New Roman"/>
          <w:snapToGrid w:val="0"/>
          <w:lang w:eastAsia="en-US"/>
        </w:rPr>
        <w:t xml:space="preserve">Market Risk Premium estimate </w:t>
      </w:r>
      <w:r w:rsidR="003E40B8" w:rsidRPr="0018093C">
        <w:rPr>
          <w:rFonts w:ascii="Times New Roman" w:hAnsi="Times New Roman"/>
          <w:snapToGrid w:val="0"/>
          <w:lang w:eastAsia="en-US"/>
        </w:rPr>
        <w:t>has reached the upper end of the historical range, given the fundamental structural upward shift in risk aversion that occurred and the re</w:t>
      </w:r>
      <w:r w:rsidRPr="0018093C">
        <w:rPr>
          <w:rFonts w:ascii="Times New Roman" w:hAnsi="Times New Roman"/>
          <w:snapToGrid w:val="0"/>
          <w:lang w:eastAsia="en-US"/>
        </w:rPr>
        <w:t>-</w:t>
      </w:r>
      <w:r w:rsidR="003E40B8" w:rsidRPr="0018093C">
        <w:rPr>
          <w:rFonts w:ascii="Times New Roman" w:hAnsi="Times New Roman"/>
          <w:snapToGrid w:val="0"/>
          <w:lang w:eastAsia="en-US"/>
        </w:rPr>
        <w:t>pricing of risk following the 2008-9 financial crisis and given the continuing uncertainties related to the domestic and European economies.</w:t>
      </w:r>
    </w:p>
    <w:p w14:paraId="092715FE" w14:textId="77777777" w:rsidR="003E40B8" w:rsidRPr="0018093C" w:rsidRDefault="0055048E" w:rsidP="0055048E">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Finally, </w:t>
      </w:r>
      <w:r w:rsidR="003E40B8" w:rsidRPr="0018093C">
        <w:rPr>
          <w:rFonts w:ascii="Times New Roman" w:hAnsi="Times New Roman"/>
          <w:snapToGrid w:val="0"/>
          <w:lang w:eastAsia="en-US"/>
        </w:rPr>
        <w:t xml:space="preserve">I did not rely solely on </w:t>
      </w:r>
      <w:r w:rsidRPr="0018093C">
        <w:rPr>
          <w:rFonts w:ascii="Times New Roman" w:hAnsi="Times New Roman"/>
          <w:snapToGrid w:val="0"/>
          <w:lang w:eastAsia="en-US"/>
        </w:rPr>
        <w:t xml:space="preserve">the </w:t>
      </w:r>
      <w:r w:rsidR="003E40B8" w:rsidRPr="0018093C">
        <w:rPr>
          <w:rFonts w:ascii="Times New Roman" w:hAnsi="Times New Roman"/>
          <w:snapToGrid w:val="0"/>
          <w:lang w:eastAsia="en-US"/>
        </w:rPr>
        <w:t xml:space="preserve">historical </w:t>
      </w:r>
      <w:r w:rsidRPr="0018093C">
        <w:rPr>
          <w:rFonts w:ascii="Times New Roman" w:hAnsi="Times New Roman"/>
          <w:snapToGrid w:val="0"/>
          <w:lang w:eastAsia="en-US"/>
        </w:rPr>
        <w:t xml:space="preserve">Market Risk Premium estimate </w:t>
      </w:r>
      <w:r w:rsidR="003E40B8" w:rsidRPr="0018093C">
        <w:rPr>
          <w:rFonts w:ascii="Times New Roman" w:hAnsi="Times New Roman"/>
          <w:snapToGrid w:val="0"/>
          <w:lang w:eastAsia="en-US"/>
        </w:rPr>
        <w:t xml:space="preserve">in my CAPM analysis.  I also applied a prospective (forward-looking) analysis which indicated </w:t>
      </w:r>
      <w:r w:rsidRPr="0018093C">
        <w:rPr>
          <w:rFonts w:ascii="Times New Roman" w:hAnsi="Times New Roman"/>
          <w:snapToGrid w:val="0"/>
          <w:lang w:eastAsia="en-US"/>
        </w:rPr>
        <w:t xml:space="preserve">a </w:t>
      </w:r>
      <w:r w:rsidR="003E40B8" w:rsidRPr="0018093C">
        <w:rPr>
          <w:rFonts w:ascii="Times New Roman" w:hAnsi="Times New Roman"/>
          <w:snapToGrid w:val="0"/>
          <w:lang w:eastAsia="en-US"/>
        </w:rPr>
        <w:t xml:space="preserve">much higher </w:t>
      </w:r>
      <w:r w:rsidRPr="0018093C">
        <w:rPr>
          <w:rFonts w:ascii="Times New Roman" w:hAnsi="Times New Roman"/>
          <w:snapToGrid w:val="0"/>
          <w:lang w:eastAsia="en-US"/>
        </w:rPr>
        <w:t xml:space="preserve">Market Risk Premium estimate </w:t>
      </w:r>
      <w:r w:rsidR="003E40B8" w:rsidRPr="0018093C">
        <w:rPr>
          <w:rFonts w:ascii="Times New Roman" w:hAnsi="Times New Roman"/>
          <w:snapToGrid w:val="0"/>
          <w:lang w:eastAsia="en-US"/>
        </w:rPr>
        <w:t>than history would suggest.</w:t>
      </w:r>
    </w:p>
    <w:p w14:paraId="3B835D68"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your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criticism that you have mismatched stock returns and bond returns</w:t>
      </w:r>
      <w:r w:rsidRPr="0018093C">
        <w:rPr>
          <w:rFonts w:ascii="Times New Roman" w:hAnsi="Times New Roman"/>
          <w:snapToGrid w:val="0"/>
          <w:lang w:eastAsia="en-US"/>
        </w:rPr>
        <w:t>?</w:t>
      </w:r>
    </w:p>
    <w:p w14:paraId="39A33819" w14:textId="492C3C8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asserts that I have mismatched stock returns and bond returns because the former are realized returns while the </w:t>
      </w:r>
      <w:r w:rsidR="00DB2A7A" w:rsidRPr="0018093C">
        <w:rPr>
          <w:rFonts w:ascii="Times New Roman" w:hAnsi="Times New Roman"/>
          <w:snapToGrid w:val="0"/>
          <w:lang w:eastAsia="en-US"/>
        </w:rPr>
        <w:t>latter</w:t>
      </w:r>
      <w:r w:rsidRPr="0018093C">
        <w:rPr>
          <w:rFonts w:ascii="Times New Roman" w:hAnsi="Times New Roman"/>
          <w:snapToGrid w:val="0"/>
          <w:lang w:eastAsia="en-US"/>
        </w:rPr>
        <w:t xml:space="preserve"> are expected returns.</w:t>
      </w:r>
      <w:r w:rsidR="0055048E" w:rsidRPr="0018093C">
        <w:rPr>
          <w:rStyle w:val="FootnoteReference"/>
          <w:rFonts w:ascii="Times New Roman" w:hAnsi="Times New Roman"/>
          <w:snapToGrid w:val="0"/>
          <w:lang w:eastAsia="en-US"/>
        </w:rPr>
        <w:footnoteReference w:id="81"/>
      </w:r>
      <w:r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would be correct if I had relied on short time periods.  Obviously, over very long time periods on which I relied, investor expectations are realized.  Otherwise, investors would never invest money in stocks.</w:t>
      </w:r>
    </w:p>
    <w:p w14:paraId="45ABDE57"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7754F8"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7754F8" w:rsidRPr="0018093C">
        <w:rPr>
          <w:rFonts w:ascii="Times New Roman" w:hAnsi="Times New Roman"/>
          <w:snapToGrid w:val="0"/>
          <w:lang w:eastAsia="en-US"/>
        </w:rPr>
        <w:t>’s</w:t>
      </w:r>
      <w:r w:rsidR="00307FEB" w:rsidRPr="0018093C">
        <w:rPr>
          <w:rFonts w:ascii="Times New Roman" w:hAnsi="Times New Roman"/>
          <w:snapToGrid w:val="0"/>
          <w:lang w:eastAsia="en-US"/>
        </w:rPr>
        <w:t xml:space="preserve"> claims that research by Fama </w:t>
      </w:r>
      <w:r w:rsidR="007754F8" w:rsidRPr="0018093C">
        <w:rPr>
          <w:rFonts w:ascii="Times New Roman" w:hAnsi="Times New Roman"/>
          <w:snapToGrid w:val="0"/>
          <w:lang w:eastAsia="en-US"/>
        </w:rPr>
        <w:t xml:space="preserve">and </w:t>
      </w:r>
      <w:r w:rsidR="00307FEB" w:rsidRPr="0018093C">
        <w:rPr>
          <w:rFonts w:ascii="Times New Roman" w:hAnsi="Times New Roman"/>
          <w:snapToGrid w:val="0"/>
          <w:lang w:eastAsia="en-US"/>
        </w:rPr>
        <w:t>French in 2003 was based on long-term expected returns of stocks and bonds, and indicated returns in the range of 2.6% - 4.3%</w:t>
      </w:r>
      <w:r w:rsidRPr="0018093C">
        <w:rPr>
          <w:rFonts w:ascii="Times New Roman" w:hAnsi="Times New Roman"/>
          <w:snapToGrid w:val="0"/>
          <w:lang w:eastAsia="en-US"/>
        </w:rPr>
        <w:t>?</w:t>
      </w:r>
      <w:r w:rsidR="007754F8" w:rsidRPr="0018093C">
        <w:rPr>
          <w:rStyle w:val="FootnoteReference"/>
          <w:rFonts w:ascii="Times New Roman" w:hAnsi="Times New Roman"/>
          <w:snapToGrid w:val="0"/>
          <w:lang w:eastAsia="en-US"/>
        </w:rPr>
        <w:footnoteReference w:id="82"/>
      </w:r>
    </w:p>
    <w:p w14:paraId="6D7D7F7A"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I have several responses.  First the Fama</w:t>
      </w:r>
      <w:r w:rsidR="007754F8" w:rsidRPr="0018093C">
        <w:rPr>
          <w:rFonts w:ascii="Times New Roman" w:hAnsi="Times New Roman"/>
          <w:snapToGrid w:val="0"/>
          <w:lang w:eastAsia="en-US"/>
        </w:rPr>
        <w:t xml:space="preserve"> and </w:t>
      </w:r>
      <w:r w:rsidRPr="0018093C">
        <w:rPr>
          <w:rFonts w:ascii="Times New Roman" w:hAnsi="Times New Roman"/>
          <w:snapToGrid w:val="0"/>
          <w:lang w:eastAsia="en-US"/>
        </w:rPr>
        <w:t>French research on historical returns</w:t>
      </w:r>
      <w:r w:rsidR="007754F8" w:rsidRPr="0018093C">
        <w:rPr>
          <w:rStyle w:val="FootnoteReference"/>
          <w:rFonts w:ascii="Times New Roman" w:hAnsi="Times New Roman"/>
          <w:snapToGrid w:val="0"/>
          <w:lang w:eastAsia="en-US"/>
        </w:rPr>
        <w:footnoteReference w:id="83"/>
      </w:r>
      <w:r w:rsidR="007754F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is not based on expected returns, contrary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assertion</w:t>
      </w:r>
      <w:r w:rsidR="007754F8" w:rsidRPr="0018093C">
        <w:rPr>
          <w:rFonts w:ascii="Times New Roman" w:hAnsi="Times New Roman"/>
          <w:snapToGrid w:val="0"/>
          <w:lang w:eastAsia="en-US"/>
        </w:rPr>
        <w:t xml:space="preserve">.  Rather, the research </w:t>
      </w:r>
      <w:r w:rsidRPr="0018093C">
        <w:rPr>
          <w:rFonts w:ascii="Times New Roman" w:hAnsi="Times New Roman"/>
          <w:snapToGrid w:val="0"/>
          <w:lang w:eastAsia="en-US"/>
        </w:rPr>
        <w:t xml:space="preserve">is based on returns drawn from the Center for Research in Security Prices (the well known </w:t>
      </w:r>
      <w:r w:rsidR="00942E42" w:rsidRPr="0018093C">
        <w:rPr>
          <w:rFonts w:ascii="Times New Roman" w:hAnsi="Times New Roman"/>
          <w:snapToGrid w:val="0"/>
          <w:lang w:eastAsia="en-US"/>
        </w:rPr>
        <w:t>“</w:t>
      </w:r>
      <w:r w:rsidRPr="0018093C">
        <w:rPr>
          <w:rFonts w:ascii="Times New Roman" w:hAnsi="Times New Roman"/>
          <w:snapToGrid w:val="0"/>
          <w:lang w:eastAsia="en-US"/>
        </w:rPr>
        <w:t>CRSP</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files)</w:t>
      </w:r>
      <w:r w:rsidR="007754F8" w:rsidRPr="0018093C">
        <w:rPr>
          <w:rFonts w:ascii="Times New Roman" w:hAnsi="Times New Roman"/>
          <w:snapToGrid w:val="0"/>
          <w:lang w:eastAsia="en-US"/>
        </w:rPr>
        <w:t>,</w:t>
      </w:r>
      <w:r w:rsidRPr="0018093C">
        <w:rPr>
          <w:rFonts w:ascii="Times New Roman" w:hAnsi="Times New Roman"/>
          <w:snapToGrid w:val="0"/>
          <w:lang w:eastAsia="en-US"/>
        </w:rPr>
        <w:t xml:space="preserve"> as is most of the published empirical research on returns.  Those returns are measured as change in stock price over a given period plus dividend, and are indeed h</w:t>
      </w:r>
      <w:r w:rsidR="007754F8" w:rsidRPr="0018093C">
        <w:rPr>
          <w:rFonts w:ascii="Times New Roman" w:hAnsi="Times New Roman"/>
          <w:snapToGrid w:val="0"/>
          <w:lang w:eastAsia="en-US"/>
        </w:rPr>
        <w:t>istorical returns.</w:t>
      </w:r>
    </w:p>
    <w:p w14:paraId="02905D4A" w14:textId="1C2CF3A7" w:rsidR="007754F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Second, if the Fama</w:t>
      </w:r>
      <w:r w:rsidR="007754F8" w:rsidRPr="0018093C">
        <w:rPr>
          <w:rFonts w:ascii="Times New Roman" w:hAnsi="Times New Roman"/>
          <w:snapToGrid w:val="0"/>
          <w:lang w:eastAsia="en-US"/>
        </w:rPr>
        <w:t xml:space="preserve"> and </w:t>
      </w:r>
      <w:r w:rsidRPr="0018093C">
        <w:rPr>
          <w:rFonts w:ascii="Times New Roman" w:hAnsi="Times New Roman"/>
          <w:snapToGrid w:val="0"/>
          <w:lang w:eastAsia="en-US"/>
        </w:rPr>
        <w:t xml:space="preserve">French research cited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indicated returns in the range of 2.6% - 4.3%, it is puzzling as to why </w:t>
      </w:r>
      <w:r w:rsidR="007754F8" w:rsidRPr="0018093C">
        <w:rPr>
          <w:rFonts w:ascii="Times New Roman" w:hAnsi="Times New Roman"/>
          <w:snapToGrid w:val="0"/>
          <w:lang w:eastAsia="en-US"/>
        </w:rPr>
        <w:t xml:space="preserve">Mr. Hill would have </w:t>
      </w:r>
      <w:r w:rsidRPr="0018093C">
        <w:rPr>
          <w:rFonts w:ascii="Times New Roman" w:hAnsi="Times New Roman"/>
          <w:snapToGrid w:val="0"/>
          <w:lang w:eastAsia="en-US"/>
        </w:rPr>
        <w:t xml:space="preserve">selected </w:t>
      </w:r>
      <w:r w:rsidR="007754F8" w:rsidRPr="0018093C">
        <w:rPr>
          <w:rFonts w:ascii="Times New Roman" w:hAnsi="Times New Roman"/>
          <w:snapToGrid w:val="0"/>
          <w:lang w:eastAsia="en-US"/>
        </w:rPr>
        <w:t xml:space="preserve">a </w:t>
      </w:r>
      <w:r w:rsidR="007754F8" w:rsidRPr="0018093C">
        <w:rPr>
          <w:rFonts w:ascii="Times New Roman" w:hAnsi="Times New Roman"/>
          <w:snapToGrid w:val="0"/>
          <w:lang w:eastAsia="en-US"/>
        </w:rPr>
        <w:lastRenderedPageBreak/>
        <w:t xml:space="preserve">Market Risk </w:t>
      </w:r>
      <w:r w:rsidR="00EE2CA9" w:rsidRPr="0018093C">
        <w:rPr>
          <w:rFonts w:ascii="Times New Roman" w:hAnsi="Times New Roman"/>
          <w:snapToGrid w:val="0"/>
          <w:lang w:eastAsia="en-US"/>
        </w:rPr>
        <w:t>Pre</w:t>
      </w:r>
      <w:r w:rsidR="007754F8" w:rsidRPr="0018093C">
        <w:rPr>
          <w:rFonts w:ascii="Times New Roman" w:hAnsi="Times New Roman"/>
          <w:snapToGrid w:val="0"/>
          <w:lang w:eastAsia="en-US"/>
        </w:rPr>
        <w:t>m</w:t>
      </w:r>
      <w:r w:rsidR="00EE2CA9" w:rsidRPr="0018093C">
        <w:rPr>
          <w:rFonts w:ascii="Times New Roman" w:hAnsi="Times New Roman"/>
          <w:snapToGrid w:val="0"/>
          <w:lang w:eastAsia="en-US"/>
        </w:rPr>
        <w:t>i</w:t>
      </w:r>
      <w:r w:rsidR="007754F8" w:rsidRPr="0018093C">
        <w:rPr>
          <w:rFonts w:ascii="Times New Roman" w:hAnsi="Times New Roman"/>
          <w:snapToGrid w:val="0"/>
          <w:lang w:eastAsia="en-US"/>
        </w:rPr>
        <w:t xml:space="preserve">um estimate of </w:t>
      </w:r>
      <w:r w:rsidRPr="0018093C">
        <w:rPr>
          <w:rFonts w:ascii="Times New Roman" w:hAnsi="Times New Roman"/>
          <w:snapToGrid w:val="0"/>
          <w:lang w:eastAsia="en-US"/>
        </w:rPr>
        <w:t xml:space="preserve">6% for </w:t>
      </w:r>
      <w:r w:rsidR="007754F8" w:rsidRPr="0018093C">
        <w:rPr>
          <w:rFonts w:ascii="Times New Roman" w:hAnsi="Times New Roman"/>
          <w:snapToGrid w:val="0"/>
          <w:lang w:eastAsia="en-US"/>
        </w:rPr>
        <w:t xml:space="preserve">his </w:t>
      </w:r>
      <w:r w:rsidRPr="0018093C">
        <w:rPr>
          <w:rFonts w:ascii="Times New Roman" w:hAnsi="Times New Roman"/>
          <w:snapToGrid w:val="0"/>
          <w:lang w:eastAsia="en-US"/>
        </w:rPr>
        <w:t>CAPM analysis and not 2.6% - 4.3%.</w:t>
      </w:r>
    </w:p>
    <w:p w14:paraId="77579DFF" w14:textId="16ADC600" w:rsidR="007754F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Third, the </w:t>
      </w:r>
      <w:r w:rsidR="007754F8" w:rsidRPr="0018093C">
        <w:rPr>
          <w:rFonts w:ascii="Times New Roman" w:hAnsi="Times New Roman"/>
          <w:snapToGrid w:val="0"/>
          <w:lang w:eastAsia="en-US"/>
        </w:rPr>
        <w:t xml:space="preserve">Market Risk Premium estimate of </w:t>
      </w:r>
      <w:r w:rsidRPr="0018093C">
        <w:rPr>
          <w:rFonts w:ascii="Times New Roman" w:hAnsi="Times New Roman"/>
          <w:snapToGrid w:val="0"/>
          <w:lang w:eastAsia="en-US"/>
        </w:rPr>
        <w:t xml:space="preserve">6% reported in the Morningstar study and used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is based on historical bond returns and historical stock returns, the very thing he accuses me </w:t>
      </w:r>
      <w:r w:rsidR="00DB2A7A" w:rsidRPr="0018093C">
        <w:rPr>
          <w:rFonts w:ascii="Times New Roman" w:hAnsi="Times New Roman"/>
          <w:snapToGrid w:val="0"/>
          <w:lang w:eastAsia="en-US"/>
        </w:rPr>
        <w:t>of</w:t>
      </w:r>
      <w:r w:rsidRPr="0018093C">
        <w:rPr>
          <w:rFonts w:ascii="Times New Roman" w:hAnsi="Times New Roman"/>
          <w:snapToGrid w:val="0"/>
          <w:lang w:eastAsia="en-US"/>
        </w:rPr>
        <w:t xml:space="preserve"> doing.</w:t>
      </w:r>
    </w:p>
    <w:p w14:paraId="77552FBB" w14:textId="77777777" w:rsidR="00EC5E69" w:rsidRPr="0018093C" w:rsidRDefault="00EC5E69"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Finally</w:t>
      </w:r>
      <w:r w:rsidR="003E40B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the </w:t>
      </w:r>
      <w:r w:rsidR="003E40B8" w:rsidRPr="0018093C">
        <w:rPr>
          <w:rFonts w:ascii="Times New Roman" w:hAnsi="Times New Roman"/>
          <w:snapToGrid w:val="0"/>
          <w:lang w:eastAsia="en-US"/>
        </w:rPr>
        <w:t xml:space="preserve">reference to </w:t>
      </w:r>
      <w:r w:rsidRPr="0018093C">
        <w:rPr>
          <w:rFonts w:ascii="Times New Roman" w:hAnsi="Times New Roman"/>
          <w:snapToGrid w:val="0"/>
          <w:lang w:eastAsia="en-US"/>
        </w:rPr>
        <w:t xml:space="preserve">a Market Risk Premium estimate in </w:t>
      </w:r>
      <w:r w:rsidR="003E40B8" w:rsidRPr="0018093C">
        <w:rPr>
          <w:rFonts w:ascii="Times New Roman" w:hAnsi="Times New Roman"/>
          <w:snapToGrid w:val="0"/>
          <w:lang w:eastAsia="en-US"/>
        </w:rPr>
        <w:t xml:space="preserve">the 2.6% - 4.3% range </w:t>
      </w:r>
      <w:r w:rsidRPr="0018093C">
        <w:rPr>
          <w:rFonts w:ascii="Times New Roman" w:hAnsi="Times New Roman"/>
          <w:snapToGrid w:val="0"/>
          <w:lang w:eastAsia="en-US"/>
        </w:rPr>
        <w:t>is puzzling when Mr. Hill acknowledges as follows:</w:t>
      </w:r>
    </w:p>
    <w:p w14:paraId="1A14FFAA" w14:textId="77777777" w:rsidR="00B25CB4" w:rsidRPr="0018093C" w:rsidRDefault="003E40B8" w:rsidP="00EC5E69">
      <w:pPr>
        <w:pStyle w:val="answer"/>
        <w:spacing w:before="0" w:after="280" w:line="240" w:lineRule="auto"/>
        <w:ind w:left="1440" w:right="720" w:firstLine="0"/>
        <w:rPr>
          <w:rFonts w:ascii="Times New Roman" w:hAnsi="Times New Roman"/>
          <w:snapToGrid w:val="0"/>
          <w:lang w:eastAsia="en-US"/>
        </w:rPr>
      </w:pPr>
      <w:r w:rsidRPr="0018093C">
        <w:rPr>
          <w:rFonts w:ascii="Times New Roman" w:hAnsi="Times New Roman"/>
          <w:snapToGrid w:val="0"/>
          <w:lang w:eastAsia="en-US"/>
        </w:rPr>
        <w:t xml:space="preserve">Brealey and Meyers </w:t>
      </w:r>
      <w:r w:rsidR="00EC5E69" w:rsidRPr="0018093C">
        <w:rPr>
          <w:rFonts w:ascii="Times New Roman" w:hAnsi="Times New Roman"/>
          <w:snapToGrid w:val="0"/>
          <w:lang w:eastAsia="en-US"/>
        </w:rPr>
        <w:t xml:space="preserve">[sic] </w:t>
      </w:r>
      <w:r w:rsidRPr="0018093C">
        <w:rPr>
          <w:rFonts w:ascii="Times New Roman" w:hAnsi="Times New Roman"/>
          <w:snapToGrid w:val="0"/>
          <w:lang w:eastAsia="en-US"/>
        </w:rPr>
        <w:t>conclude, based on their review of the recent evidence regarding the market risk premium, that a reasonable range of arithmetic equity premiums above short-term Treasury Bills is 5 percent to 8 percent.</w:t>
      </w:r>
      <w:r w:rsidR="00EC5E69" w:rsidRPr="0018093C">
        <w:rPr>
          <w:rStyle w:val="FootnoteReference"/>
          <w:rFonts w:ascii="Times New Roman" w:hAnsi="Times New Roman"/>
          <w:snapToGrid w:val="0"/>
          <w:lang w:eastAsia="en-US"/>
        </w:rPr>
        <w:footnoteReference w:id="84"/>
      </w:r>
    </w:p>
    <w:p w14:paraId="32A0D16F" w14:textId="77777777" w:rsidR="003E40B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This </w:t>
      </w:r>
      <w:r w:rsidR="00EC5E69" w:rsidRPr="0018093C">
        <w:rPr>
          <w:rFonts w:ascii="Times New Roman" w:hAnsi="Times New Roman"/>
          <w:snapToGrid w:val="0"/>
          <w:lang w:eastAsia="en-US"/>
        </w:rPr>
        <w:t xml:space="preserve">acknowledgement is </w:t>
      </w:r>
      <w:r w:rsidRPr="0018093C">
        <w:rPr>
          <w:rFonts w:ascii="Times New Roman" w:hAnsi="Times New Roman"/>
          <w:snapToGrid w:val="0"/>
          <w:lang w:eastAsia="en-US"/>
        </w:rPr>
        <w:t>highly contradictory</w:t>
      </w:r>
      <w:r w:rsidR="00EC5E69" w:rsidRPr="0018093C">
        <w:rPr>
          <w:rFonts w:ascii="Times New Roman" w:hAnsi="Times New Roman"/>
          <w:snapToGrid w:val="0"/>
          <w:lang w:eastAsia="en-US"/>
        </w:rPr>
        <w:t xml:space="preserve"> to any suggestion that the Market Risk Premium estimate falls in the 2.6% - 4.3% range</w:t>
      </w:r>
      <w:r w:rsidRPr="0018093C">
        <w:rPr>
          <w:rFonts w:ascii="Times New Roman" w:hAnsi="Times New Roman"/>
          <w:snapToGrid w:val="0"/>
          <w:lang w:eastAsia="en-US"/>
        </w:rPr>
        <w:t>.</w:t>
      </w:r>
    </w:p>
    <w:p w14:paraId="5E8F5D66" w14:textId="77777777" w:rsidR="003E40B8" w:rsidRPr="0018093C" w:rsidRDefault="00087381" w:rsidP="00087381">
      <w:pPr>
        <w:pStyle w:val="Heading4"/>
      </w:pPr>
      <w:bookmarkStart w:id="30" w:name="_Toc406751122"/>
      <w:r w:rsidRPr="0018093C">
        <w:t>c</w:t>
      </w:r>
      <w:r w:rsidR="00965D31" w:rsidRPr="0018093C">
        <w:t>.</w:t>
      </w:r>
      <w:r w:rsidR="003E40B8" w:rsidRPr="0018093C">
        <w:tab/>
      </w:r>
      <w:r w:rsidR="00B25CB4" w:rsidRPr="0018093C">
        <w:t xml:space="preserve">Empirical </w:t>
      </w:r>
      <w:r w:rsidR="003E40B8" w:rsidRPr="0018093C">
        <w:t>CAPM</w:t>
      </w:r>
      <w:bookmarkEnd w:id="30"/>
    </w:p>
    <w:p w14:paraId="3CFEF63C"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Please comment on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assessment of the Empirical CAPM used in your testimony.</w:t>
      </w:r>
    </w:p>
    <w:p w14:paraId="1C39300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erroneously asserts that use of </w:t>
      </w:r>
      <w:r w:rsidR="00942E42" w:rsidRPr="0018093C">
        <w:rPr>
          <w:rFonts w:ascii="Times New Roman" w:hAnsi="Times New Roman"/>
          <w:snapToGrid w:val="0"/>
          <w:lang w:eastAsia="en-US"/>
        </w:rPr>
        <w:t>“</w:t>
      </w:r>
      <w:r w:rsidRPr="0018093C">
        <w:rPr>
          <w:rFonts w:ascii="Times New Roman" w:hAnsi="Times New Roman"/>
          <w:snapToGrid w:val="0"/>
          <w:lang w:eastAsia="en-US"/>
        </w:rPr>
        <w:t>adjusted</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betas with an Empirical CAPM analysis double-counts the effect of changing the slope of the capital market line.</w:t>
      </w:r>
      <w:r w:rsidR="00EC5E69" w:rsidRPr="0018093C">
        <w:rPr>
          <w:rStyle w:val="FootnoteReference"/>
          <w:rFonts w:ascii="Times New Roman" w:hAnsi="Times New Roman"/>
          <w:snapToGrid w:val="0"/>
          <w:lang w:eastAsia="en-US"/>
        </w:rPr>
        <w:footnoteReference w:id="85"/>
      </w:r>
      <w:r w:rsidRPr="0018093C">
        <w:rPr>
          <w:rFonts w:ascii="Times New Roman" w:hAnsi="Times New Roman"/>
          <w:snapToGrid w:val="0"/>
          <w:lang w:eastAsia="en-US"/>
        </w:rPr>
        <w:t xml:space="preserve">  Contrary to such suggestion, the Empirical CAPM is not an adjustment (increase or decrease) in beta.  Instead, the Empirical CAPM is a formal </w:t>
      </w:r>
      <w:r w:rsidRPr="0018093C">
        <w:rPr>
          <w:rFonts w:ascii="Times New Roman" w:hAnsi="Times New Roman"/>
          <w:snapToGrid w:val="0"/>
          <w:lang w:eastAsia="en-US"/>
        </w:rPr>
        <w:lastRenderedPageBreak/>
        <w:t xml:space="preserve">recognition of the fact that empirical evidence demonstrates that the observed risk-return tradeoff is flatter than predicted by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CAPM.</w:t>
      </w:r>
    </w:p>
    <w:p w14:paraId="58F3E996" w14:textId="77777777" w:rsidR="00B25CB4"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The Empirical CAPM and the use of adjusted betas comprise two separate features of asset pricing.  Assuming </w:t>
      </w:r>
      <w:r w:rsidRPr="0018093C">
        <w:rPr>
          <w:rFonts w:ascii="Times New Roman" w:hAnsi="Times New Roman"/>
          <w:i/>
          <w:snapToGrid w:val="0"/>
          <w:lang w:eastAsia="en-US"/>
        </w:rPr>
        <w:t>arguendo</w:t>
      </w:r>
      <w:r w:rsidRPr="0018093C">
        <w:rPr>
          <w:rFonts w:ascii="Times New Roman" w:hAnsi="Times New Roman"/>
          <w:snapToGrid w:val="0"/>
          <w:lang w:eastAsia="en-US"/>
        </w:rPr>
        <w:t xml:space="preserve"> a company</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beta is estimated accurately,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CAPM will still understate the return for low-beta stocks.  Furthermore, if a company</w:t>
      </w:r>
      <w:r w:rsidR="00942E42" w:rsidRPr="0018093C">
        <w:rPr>
          <w:rFonts w:ascii="Times New Roman" w:hAnsi="Times New Roman"/>
          <w:snapToGrid w:val="0"/>
          <w:lang w:eastAsia="en-US"/>
        </w:rPr>
        <w:t>’</w:t>
      </w:r>
      <w:r w:rsidRPr="0018093C">
        <w:rPr>
          <w:rFonts w:ascii="Times New Roman" w:hAnsi="Times New Roman"/>
          <w:snapToGrid w:val="0"/>
          <w:lang w:eastAsia="en-US"/>
        </w:rPr>
        <w:t>s beta is understated, the Empirical CAPM will also understate the return for low-beta stocks.  Both adjustments are necessary.</w:t>
      </w:r>
    </w:p>
    <w:p w14:paraId="2054FB0F" w14:textId="77777777" w:rsidR="00B25CB4"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The graph </w:t>
      </w:r>
      <w:r w:rsidR="00BD44DA" w:rsidRPr="0018093C">
        <w:rPr>
          <w:rFonts w:ascii="Times New Roman" w:hAnsi="Times New Roman"/>
          <w:snapToGrid w:val="0"/>
          <w:lang w:eastAsia="en-US"/>
        </w:rPr>
        <w:t xml:space="preserve">presented in my prefiled direct </w:t>
      </w:r>
      <w:r w:rsidRPr="0018093C">
        <w:rPr>
          <w:rFonts w:ascii="Times New Roman" w:hAnsi="Times New Roman"/>
          <w:snapToGrid w:val="0"/>
          <w:lang w:eastAsia="en-US"/>
        </w:rPr>
        <w:t>testimony</w:t>
      </w:r>
      <w:r w:rsidR="00BD44DA" w:rsidRPr="0018093C">
        <w:rPr>
          <w:rStyle w:val="FootnoteReference"/>
          <w:rFonts w:ascii="Times New Roman" w:hAnsi="Times New Roman"/>
          <w:snapToGrid w:val="0"/>
          <w:lang w:eastAsia="en-US"/>
        </w:rPr>
        <w:footnoteReference w:id="86"/>
      </w:r>
      <w:r w:rsidRPr="0018093C">
        <w:rPr>
          <w:rFonts w:ascii="Times New Roman" w:hAnsi="Times New Roman"/>
          <w:snapToGrid w:val="0"/>
          <w:lang w:eastAsia="en-US"/>
        </w:rPr>
        <w:t xml:space="preserve"> demonstrates that the Empirical CAPM is a return (vertical axis) adjustment and not a beta (horizontal axis) adjustment.  Moreover, the use of adjusted betas compensates for interest rate sensitivity of utility stocks not captured by unadjusted betas.</w:t>
      </w:r>
    </w:p>
    <w:p w14:paraId="77302093" w14:textId="77777777" w:rsidR="00B25CB4"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With respect to the empirical validity of the plain vanilla CAPM, empirical studies of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 xml:space="preserve">CAPM to determine to what extent security returns and betas are related in the manner predicted by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CAPM have supported the conclusion that (i)</w:t>
      </w:r>
      <w:r w:rsidR="00BD44DA" w:rsidRPr="0018093C">
        <w:rPr>
          <w:rFonts w:ascii="Times New Roman" w:hAnsi="Times New Roman"/>
          <w:snapToGrid w:val="0"/>
          <w:lang w:eastAsia="en-US"/>
        </w:rPr>
        <w:t> </w:t>
      </w:r>
      <w:r w:rsidRPr="0018093C">
        <w:rPr>
          <w:rFonts w:ascii="Times New Roman" w:hAnsi="Times New Roman"/>
          <w:snapToGrid w:val="0"/>
          <w:lang w:eastAsia="en-US"/>
        </w:rPr>
        <w:t>beta is related to security returns, (ii)</w:t>
      </w:r>
      <w:r w:rsidR="00BD44DA" w:rsidRPr="0018093C">
        <w:rPr>
          <w:rFonts w:ascii="Times New Roman" w:hAnsi="Times New Roman"/>
          <w:snapToGrid w:val="0"/>
          <w:lang w:eastAsia="en-US"/>
        </w:rPr>
        <w:t> </w:t>
      </w:r>
      <w:r w:rsidRPr="0018093C">
        <w:rPr>
          <w:rFonts w:ascii="Times New Roman" w:hAnsi="Times New Roman"/>
          <w:snapToGrid w:val="0"/>
          <w:lang w:eastAsia="en-US"/>
        </w:rPr>
        <w:t>the risk-return tradeoff is positive, and (iii)</w:t>
      </w:r>
      <w:r w:rsidR="00BD44DA" w:rsidRPr="0018093C">
        <w:rPr>
          <w:rFonts w:ascii="Times New Roman" w:hAnsi="Times New Roman"/>
          <w:snapToGrid w:val="0"/>
          <w:lang w:eastAsia="en-US"/>
        </w:rPr>
        <w:t> </w:t>
      </w:r>
      <w:r w:rsidRPr="0018093C">
        <w:rPr>
          <w:rFonts w:ascii="Times New Roman" w:hAnsi="Times New Roman"/>
          <w:snapToGrid w:val="0"/>
          <w:lang w:eastAsia="en-US"/>
        </w:rPr>
        <w:t xml:space="preserve">the relationship is linear.  The contradictory finding is that the risk-return tradeoff is not as steeply sloped as predicted by CAPM.  In other words, low-beta securities earn returns somewhat higher than the CAPM would predict, and high-beta securities earn returns somewhat less the </w:t>
      </w:r>
      <w:r w:rsidRPr="0018093C">
        <w:rPr>
          <w:rFonts w:ascii="Times New Roman" w:hAnsi="Times New Roman"/>
          <w:snapToGrid w:val="0"/>
          <w:lang w:eastAsia="en-US"/>
        </w:rPr>
        <w:lastRenderedPageBreak/>
        <w:t>CAPM would predict.  This is one of the most celebrated finding in the finance literature</w:t>
      </w:r>
    </w:p>
    <w:p w14:paraId="0C5E951A" w14:textId="77777777" w:rsidR="003E40B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In sum, a plain vanilla CAPM will understate the return required for low-beta securities and overstate the return required for high-beta securities.  The Empirical CAPM refines the plain vanilla CAPM to account for this phenomenon.</w:t>
      </w:r>
    </w:p>
    <w:p w14:paraId="238AB6ED" w14:textId="77777777" w:rsidR="00087381" w:rsidRPr="0018093C" w:rsidRDefault="00087381" w:rsidP="00087381">
      <w:pPr>
        <w:pStyle w:val="Heading3"/>
      </w:pPr>
      <w:bookmarkStart w:id="31" w:name="_Toc406751123"/>
      <w:r w:rsidRPr="0018093C">
        <w:t>3.</w:t>
      </w:r>
      <w:r w:rsidRPr="0018093C">
        <w:tab/>
        <w:t>Mr. Hill’s Criticisms Of My Risk Premium Analyses Are Unfounded And Without Merit</w:t>
      </w:r>
      <w:bookmarkEnd w:id="31"/>
    </w:p>
    <w:p w14:paraId="1B986995"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criticism of your historical risk premium studies</w:t>
      </w:r>
      <w:r w:rsidRPr="0018093C">
        <w:rPr>
          <w:rFonts w:ascii="Times New Roman" w:hAnsi="Times New Roman"/>
          <w:snapToGrid w:val="0"/>
          <w:lang w:eastAsia="en-US"/>
        </w:rPr>
        <w:t>?</w:t>
      </w:r>
    </w:p>
    <w:p w14:paraId="4117378B" w14:textId="77777777" w:rsidR="00BD44DA"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directs two criticisms at my historical risk premium studies.</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First, </w:t>
      </w:r>
      <w:r w:rsidR="00BD44DA" w:rsidRPr="0018093C">
        <w:rPr>
          <w:rFonts w:ascii="Times New Roman" w:hAnsi="Times New Roman"/>
          <w:snapToGrid w:val="0"/>
          <w:lang w:eastAsia="en-US"/>
        </w:rPr>
        <w:t>Mr. Hill</w:t>
      </w:r>
      <w:r w:rsidRPr="0018093C">
        <w:rPr>
          <w:rFonts w:ascii="Times New Roman" w:hAnsi="Times New Roman"/>
          <w:snapToGrid w:val="0"/>
          <w:lang w:eastAsia="en-US"/>
        </w:rPr>
        <w:t xml:space="preserve"> </w:t>
      </w:r>
      <w:r w:rsidR="00BD44DA" w:rsidRPr="0018093C">
        <w:rPr>
          <w:rFonts w:ascii="Times New Roman" w:hAnsi="Times New Roman"/>
          <w:snapToGrid w:val="0"/>
          <w:lang w:eastAsia="en-US"/>
        </w:rPr>
        <w:t xml:space="preserve">asserts that I </w:t>
      </w:r>
      <w:r w:rsidRPr="0018093C">
        <w:rPr>
          <w:rFonts w:ascii="Times New Roman" w:hAnsi="Times New Roman"/>
          <w:snapToGrid w:val="0"/>
          <w:lang w:eastAsia="en-US"/>
        </w:rPr>
        <w:t>should have relied on current interest rates rather than forecasts.</w:t>
      </w:r>
      <w:r w:rsidR="00BD44DA" w:rsidRPr="0018093C">
        <w:rPr>
          <w:rStyle w:val="FootnoteReference"/>
          <w:rFonts w:ascii="Times New Roman" w:hAnsi="Times New Roman"/>
          <w:snapToGrid w:val="0"/>
          <w:lang w:eastAsia="en-US"/>
        </w:rPr>
        <w:footnoteReference w:id="87"/>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have already rebutted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on that issue </w:t>
      </w:r>
      <w:r w:rsidR="00BD44DA" w:rsidRPr="0018093C">
        <w:rPr>
          <w:rFonts w:ascii="Times New Roman" w:hAnsi="Times New Roman"/>
          <w:snapToGrid w:val="0"/>
          <w:lang w:eastAsia="en-US"/>
        </w:rPr>
        <w:t>numerous times in this prefiled rebuttal testimony</w:t>
      </w:r>
      <w:r w:rsidRPr="0018093C">
        <w:rPr>
          <w:rFonts w:ascii="Times New Roman" w:hAnsi="Times New Roman"/>
          <w:snapToGrid w:val="0"/>
          <w:lang w:eastAsia="en-US"/>
        </w:rPr>
        <w:t>.</w:t>
      </w:r>
    </w:p>
    <w:p w14:paraId="32BAB51A" w14:textId="77777777" w:rsidR="003E40B8" w:rsidRPr="0018093C" w:rsidRDefault="003E40B8" w:rsidP="00BD44DA">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w:t>
      </w:r>
      <w:r w:rsidR="00BD44DA" w:rsidRPr="0018093C">
        <w:rPr>
          <w:rFonts w:ascii="Times New Roman" w:hAnsi="Times New Roman"/>
          <w:snapToGrid w:val="0"/>
          <w:lang w:eastAsia="en-US"/>
        </w:rPr>
        <w:t xml:space="preserve">Mr. Hill </w:t>
      </w:r>
      <w:r w:rsidRPr="0018093C">
        <w:rPr>
          <w:rFonts w:ascii="Times New Roman" w:hAnsi="Times New Roman"/>
          <w:snapToGrid w:val="0"/>
          <w:lang w:eastAsia="en-US"/>
        </w:rPr>
        <w:t xml:space="preserve">questions the well-known inverse relationship between interest rates and risk premium and cites a study by Professors John Graham and Campbell Harvey published in a </w:t>
      </w:r>
      <w:r w:rsidR="00C273FB" w:rsidRPr="0018093C">
        <w:rPr>
          <w:rFonts w:ascii="Times New Roman" w:hAnsi="Times New Roman"/>
          <w:snapToGrid w:val="0"/>
          <w:lang w:eastAsia="en-US"/>
        </w:rPr>
        <w:t xml:space="preserve">trade </w:t>
      </w:r>
      <w:r w:rsidRPr="0018093C">
        <w:rPr>
          <w:rFonts w:ascii="Times New Roman" w:hAnsi="Times New Roman"/>
          <w:snapToGrid w:val="0"/>
          <w:lang w:eastAsia="en-US"/>
        </w:rPr>
        <w:t>magazine in 1999.</w:t>
      </w:r>
      <w:r w:rsidR="00C273FB" w:rsidRPr="0018093C">
        <w:rPr>
          <w:rStyle w:val="FootnoteReference"/>
          <w:rFonts w:ascii="Times New Roman" w:hAnsi="Times New Roman"/>
          <w:snapToGrid w:val="0"/>
          <w:lang w:eastAsia="en-US"/>
        </w:rPr>
        <w:footnoteReference w:id="88"/>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Notwithstanding the fact that </w:t>
      </w:r>
      <w:r w:rsidR="00C273FB" w:rsidRPr="0018093C">
        <w:rPr>
          <w:rFonts w:ascii="Times New Roman" w:hAnsi="Times New Roman"/>
          <w:snapToGrid w:val="0"/>
          <w:lang w:eastAsia="en-US"/>
        </w:rPr>
        <w:t xml:space="preserve">trade </w:t>
      </w:r>
      <w:r w:rsidRPr="0018093C">
        <w:rPr>
          <w:rFonts w:ascii="Times New Roman" w:hAnsi="Times New Roman"/>
          <w:snapToGrid w:val="0"/>
          <w:lang w:eastAsia="en-US"/>
        </w:rPr>
        <w:t xml:space="preserve">magazine articles </w:t>
      </w:r>
      <w:r w:rsidR="00C273FB" w:rsidRPr="0018093C">
        <w:rPr>
          <w:rFonts w:ascii="Times New Roman" w:hAnsi="Times New Roman"/>
          <w:snapToGrid w:val="0"/>
          <w:lang w:eastAsia="en-US"/>
        </w:rPr>
        <w:t xml:space="preserve">are </w:t>
      </w:r>
      <w:r w:rsidRPr="0018093C">
        <w:rPr>
          <w:rFonts w:ascii="Times New Roman" w:hAnsi="Times New Roman"/>
          <w:snapToGrid w:val="0"/>
          <w:lang w:eastAsia="en-US"/>
        </w:rPr>
        <w:t>hardly the kind of serious evidence the Commission should rely on when examining this issue</w:t>
      </w:r>
      <w:r w:rsidR="00C273FB" w:rsidRPr="0018093C">
        <w:rPr>
          <w:rFonts w:ascii="Times New Roman" w:hAnsi="Times New Roman"/>
          <w:snapToGrid w:val="0"/>
          <w:lang w:eastAsia="en-US"/>
        </w:rPr>
        <w:t xml:space="preserve">, </w:t>
      </w:r>
      <w:r w:rsidRPr="0018093C">
        <w:rPr>
          <w:rFonts w:ascii="Times New Roman" w:hAnsi="Times New Roman"/>
          <w:snapToGrid w:val="0"/>
          <w:lang w:eastAsia="en-US"/>
        </w:rPr>
        <w:t>there is an abundance of published academic evidence supporting the relationship.</w:t>
      </w:r>
    </w:p>
    <w:p w14:paraId="3FC2659C"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00965D31" w:rsidRPr="0018093C">
        <w:rPr>
          <w:rFonts w:ascii="Times New Roman" w:hAnsi="Times New Roman"/>
          <w:snapToGrid w:val="0"/>
          <w:lang w:eastAsia="en-US"/>
        </w:rPr>
        <w:tab/>
      </w:r>
      <w:r w:rsidR="00B25CB4" w:rsidRPr="0018093C">
        <w:rPr>
          <w:rFonts w:ascii="Times New Roman" w:hAnsi="Times New Roman"/>
          <w:snapToGrid w:val="0"/>
          <w:lang w:eastAsia="en-US"/>
        </w:rPr>
        <w:t>Please discuss the relationship between the level of interest rates and utility risk premiums</w:t>
      </w:r>
      <w:r w:rsidRPr="0018093C">
        <w:rPr>
          <w:rFonts w:ascii="Times New Roman" w:hAnsi="Times New Roman"/>
          <w:snapToGrid w:val="0"/>
          <w:lang w:eastAsia="en-US"/>
        </w:rPr>
        <w:t>.</w:t>
      </w:r>
    </w:p>
    <w:p w14:paraId="1FC0F03C" w14:textId="0ABA6C3F" w:rsidR="003E40B8" w:rsidRPr="0018093C" w:rsidRDefault="003E40B8" w:rsidP="00C21B5C">
      <w:pPr>
        <w:spacing w:line="480" w:lineRule="auto"/>
        <w:ind w:left="720" w:hanging="720"/>
        <w:rPr>
          <w:color w:val="000000"/>
          <w:szCs w:val="24"/>
        </w:rPr>
      </w:pPr>
      <w:r w:rsidRPr="0018093C">
        <w:rPr>
          <w:snapToGrid w:val="0"/>
          <w:lang w:eastAsia="en-US"/>
        </w:rPr>
        <w:t>A.</w:t>
      </w:r>
      <w:r w:rsidR="00B25CB4" w:rsidRPr="0018093C">
        <w:rPr>
          <w:snapToGrid w:val="0"/>
          <w:lang w:eastAsia="en-US"/>
        </w:rPr>
        <w:tab/>
      </w:r>
      <w:r w:rsidRPr="0018093C">
        <w:rPr>
          <w:snapToGrid w:val="0"/>
          <w:lang w:eastAsia="en-US"/>
        </w:rPr>
        <w:t xml:space="preserve">Contrary to </w:t>
      </w:r>
      <w:r w:rsidR="00087381" w:rsidRPr="0018093C">
        <w:rPr>
          <w:snapToGrid w:val="0"/>
          <w:lang w:eastAsia="en-US"/>
        </w:rPr>
        <w:t>Mr. Hill</w:t>
      </w:r>
      <w:r w:rsidR="00942E42" w:rsidRPr="0018093C">
        <w:rPr>
          <w:snapToGrid w:val="0"/>
          <w:lang w:eastAsia="en-US"/>
        </w:rPr>
        <w:t>’</w:t>
      </w:r>
      <w:r w:rsidRPr="0018093C">
        <w:rPr>
          <w:snapToGrid w:val="0"/>
          <w:lang w:eastAsia="en-US"/>
        </w:rPr>
        <w:t xml:space="preserve">s contention that the finance literature does not endorse the notion that the risk premium shrinks as interest rates decline, there is an abundance of studies that support the notion. </w:t>
      </w:r>
      <w:r w:rsidR="00C273FB" w:rsidRPr="0018093C">
        <w:rPr>
          <w:snapToGrid w:val="0"/>
          <w:lang w:eastAsia="en-US"/>
        </w:rPr>
        <w:t xml:space="preserve"> </w:t>
      </w:r>
      <w:r w:rsidRPr="0018093C">
        <w:rPr>
          <w:snapToGrid w:val="0"/>
          <w:lang w:eastAsia="en-US"/>
        </w:rPr>
        <w:t>Published studies by Brigham, Shome, and Vinson</w:t>
      </w:r>
      <w:r w:rsidR="00C273FB" w:rsidRPr="0018093C">
        <w:rPr>
          <w:snapToGrid w:val="0"/>
          <w:lang w:eastAsia="en-US"/>
        </w:rPr>
        <w:t>;</w:t>
      </w:r>
      <w:r w:rsidR="00C273FB" w:rsidRPr="0018093C">
        <w:rPr>
          <w:rStyle w:val="FootnoteReference"/>
          <w:snapToGrid w:val="0"/>
          <w:lang w:eastAsia="en-US"/>
        </w:rPr>
        <w:footnoteReference w:id="89"/>
      </w:r>
      <w:r w:rsidR="00C273FB" w:rsidRPr="0018093C">
        <w:rPr>
          <w:snapToGrid w:val="0"/>
          <w:lang w:eastAsia="en-US"/>
        </w:rPr>
        <w:t xml:space="preserve"> </w:t>
      </w:r>
      <w:r w:rsidRPr="0018093C">
        <w:rPr>
          <w:snapToGrid w:val="0"/>
          <w:lang w:eastAsia="en-US"/>
        </w:rPr>
        <w:t>Harris</w:t>
      </w:r>
      <w:r w:rsidR="00A1311E" w:rsidRPr="0018093C">
        <w:rPr>
          <w:snapToGrid w:val="0"/>
          <w:lang w:eastAsia="en-US"/>
        </w:rPr>
        <w:t>;</w:t>
      </w:r>
      <w:r w:rsidR="00A1311E" w:rsidRPr="0018093C">
        <w:rPr>
          <w:rStyle w:val="FootnoteReference"/>
          <w:snapToGrid w:val="0"/>
          <w:lang w:eastAsia="en-US"/>
        </w:rPr>
        <w:footnoteReference w:id="90"/>
      </w:r>
      <w:r w:rsidRPr="0018093C">
        <w:rPr>
          <w:snapToGrid w:val="0"/>
          <w:lang w:eastAsia="en-US"/>
        </w:rPr>
        <w:t xml:space="preserve"> Harris and Marston</w:t>
      </w:r>
      <w:r w:rsidR="00CB17BE" w:rsidRPr="0018093C">
        <w:rPr>
          <w:snapToGrid w:val="0"/>
          <w:lang w:eastAsia="en-US"/>
        </w:rPr>
        <w:t>;</w:t>
      </w:r>
      <w:r w:rsidR="00CB17BE" w:rsidRPr="0018093C">
        <w:rPr>
          <w:rStyle w:val="FootnoteReference"/>
          <w:snapToGrid w:val="0"/>
          <w:lang w:eastAsia="en-US"/>
        </w:rPr>
        <w:footnoteReference w:id="91"/>
      </w:r>
      <w:r w:rsidRPr="0018093C">
        <w:rPr>
          <w:snapToGrid w:val="0"/>
          <w:lang w:eastAsia="en-US"/>
        </w:rPr>
        <w:t xml:space="preserve"> Carleton, Chambers, and Lakonishok</w:t>
      </w:r>
      <w:r w:rsidR="00CB17BE" w:rsidRPr="0018093C">
        <w:rPr>
          <w:snapToGrid w:val="0"/>
          <w:lang w:eastAsia="en-US"/>
        </w:rPr>
        <w:t>;</w:t>
      </w:r>
      <w:r w:rsidR="00CB17BE" w:rsidRPr="0018093C">
        <w:rPr>
          <w:rStyle w:val="FootnoteReference"/>
          <w:snapToGrid w:val="0"/>
          <w:lang w:eastAsia="en-US"/>
        </w:rPr>
        <w:footnoteReference w:id="92"/>
      </w:r>
      <w:r w:rsidR="00A1311E" w:rsidRPr="0018093C">
        <w:rPr>
          <w:snapToGrid w:val="0"/>
          <w:lang w:eastAsia="en-US"/>
        </w:rPr>
        <w:t xml:space="preserve"> </w:t>
      </w:r>
      <w:r w:rsidRPr="0018093C">
        <w:rPr>
          <w:snapToGrid w:val="0"/>
          <w:lang w:eastAsia="en-US"/>
        </w:rPr>
        <w:t>Maddox, Pippert and Sullivan</w:t>
      </w:r>
      <w:r w:rsidR="00A1311E" w:rsidRPr="0018093C">
        <w:rPr>
          <w:snapToGrid w:val="0"/>
          <w:lang w:eastAsia="en-US"/>
        </w:rPr>
        <w:t>;</w:t>
      </w:r>
      <w:r w:rsidR="00A1311E" w:rsidRPr="0018093C">
        <w:rPr>
          <w:rStyle w:val="FootnoteReference"/>
          <w:snapToGrid w:val="0"/>
          <w:lang w:eastAsia="en-US"/>
        </w:rPr>
        <w:footnoteReference w:id="93"/>
      </w:r>
      <w:r w:rsidR="00A1311E" w:rsidRPr="0018093C">
        <w:rPr>
          <w:snapToGrid w:val="0"/>
          <w:lang w:eastAsia="en-US"/>
        </w:rPr>
        <w:t xml:space="preserve"> </w:t>
      </w:r>
      <w:r w:rsidRPr="0018093C">
        <w:rPr>
          <w:snapToGrid w:val="0"/>
          <w:lang w:eastAsia="en-US"/>
        </w:rPr>
        <w:t xml:space="preserve">and others demonstrate that, beginning in 1980, risk premiums varied inversely with the level of interest rates, rising when rates fell and declining when interest rates rose.  </w:t>
      </w:r>
      <w:r w:rsidR="00C21B5C" w:rsidRPr="0018093C">
        <w:rPr>
          <w:spacing w:val="-3"/>
          <w:szCs w:val="24"/>
        </w:rPr>
        <w:t xml:space="preserve">Regulators have recognized this tendency as well.   </w:t>
      </w:r>
      <w:r w:rsidR="00C21B5C" w:rsidRPr="0018093C">
        <w:rPr>
          <w:color w:val="000000"/>
          <w:szCs w:val="24"/>
        </w:rPr>
        <w:t>The California Public Utility Commission also recognizes that the cost of equity does not move in tandem with interest rates, and its long-standing practice has been to adjust the cost of equity by one-half to two-thirds of the change in bond yields.</w:t>
      </w:r>
    </w:p>
    <w:p w14:paraId="47CCEA1D" w14:textId="77777777" w:rsidR="000E09EF"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The reason for this relationship is that when interest rates rise, bondholders, whose interest rates are fixed, often suffered a decrease in the market value of their bonds, experiencing a capital loss. This is referred to as interest rate risk.  Stockholders, on the other hand, are more concerned with the firm</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earning </w:t>
      </w:r>
      <w:r w:rsidRPr="0018093C">
        <w:rPr>
          <w:rFonts w:ascii="Times New Roman" w:hAnsi="Times New Roman"/>
          <w:snapToGrid w:val="0"/>
          <w:lang w:eastAsia="en-US"/>
        </w:rPr>
        <w:lastRenderedPageBreak/>
        <w:t xml:space="preserve">power.  In order to avoid interest rate risk in an environment of rising interest rates, investors tend to become more willing to undertake equity investments which, although subject to some fear of loss of earning power, are less sensitive to the fear of interest rate risk.  The resulting increase in the supply of funds available for such equity investments causes a downward pressure on the market price for equity.  </w:t>
      </w:r>
    </w:p>
    <w:p w14:paraId="1B3E3CD8" w14:textId="77777777" w:rsidR="00B25CB4" w:rsidRPr="0018093C" w:rsidRDefault="000E09EF"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G</w:t>
      </w:r>
      <w:r w:rsidR="003E40B8" w:rsidRPr="0018093C">
        <w:rPr>
          <w:rFonts w:ascii="Times New Roman" w:hAnsi="Times New Roman"/>
          <w:snapToGrid w:val="0"/>
          <w:lang w:eastAsia="en-US"/>
        </w:rPr>
        <w:t>enerally</w:t>
      </w:r>
      <w:r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it is observed that if bondholders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fear of interest rate risk exceeds shareholders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fear of loss of earning power, the risk differential will narrow and hence the risk premium will shrink.  This is particularly true in high inflation environments.  Interest rates rise as a result of accelerating inflation, and the interest rate risk of bonds intensifies more than the earnings risk of common stocks, which are partially hedged from the ravages of inflation.  This phenomenon has been termed as a </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lock in</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premium.  Conversely</w:t>
      </w:r>
      <w:r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in low interest rate environments, as is the case currently, when bondholders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interest rate fears subside and shareholders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loss of earning power dominate, the risk differential will widen and hence the risk premium will increase.</w:t>
      </w:r>
    </w:p>
    <w:p w14:paraId="3DB0E9EF" w14:textId="77777777" w:rsidR="003E40B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In short, the empirical evidence from the published academic literature demonstrates that the risk premium varies inversely with the level of interest rates, and not proportionately, as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sugg</w:t>
      </w:r>
      <w:r w:rsidR="000E09EF" w:rsidRPr="0018093C">
        <w:rPr>
          <w:rFonts w:ascii="Times New Roman" w:hAnsi="Times New Roman"/>
          <w:snapToGrid w:val="0"/>
          <w:lang w:eastAsia="en-US"/>
        </w:rPr>
        <w:t>ests.</w:t>
      </w:r>
    </w:p>
    <w:p w14:paraId="470B49E5" w14:textId="77777777" w:rsidR="003E40B8" w:rsidRPr="0018093C" w:rsidRDefault="00087381" w:rsidP="00087381">
      <w:pPr>
        <w:pStyle w:val="Heading2"/>
      </w:pPr>
      <w:bookmarkStart w:id="32" w:name="_Toc406751124"/>
      <w:r w:rsidRPr="0018093C">
        <w:lastRenderedPageBreak/>
        <w:t>G</w:t>
      </w:r>
      <w:r w:rsidR="00965D31" w:rsidRPr="0018093C">
        <w:t>.</w:t>
      </w:r>
      <w:r w:rsidR="00965D31" w:rsidRPr="0018093C">
        <w:tab/>
      </w:r>
      <w:r w:rsidR="00B25CB4" w:rsidRPr="0018093C">
        <w:t>Conclusions</w:t>
      </w:r>
      <w:bookmarkEnd w:id="32"/>
    </w:p>
    <w:p w14:paraId="171EA864"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returns are investors expecting for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group of companies</w:t>
      </w:r>
      <w:r w:rsidRPr="0018093C">
        <w:rPr>
          <w:rFonts w:ascii="Times New Roman" w:hAnsi="Times New Roman"/>
          <w:snapToGrid w:val="0"/>
          <w:lang w:eastAsia="en-US"/>
        </w:rPr>
        <w:t>?</w:t>
      </w:r>
    </w:p>
    <w:p w14:paraId="0E2EC1C6"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As shown </w:t>
      </w:r>
      <w:r w:rsidR="000E09EF" w:rsidRPr="0018093C">
        <w:rPr>
          <w:rFonts w:ascii="Times New Roman" w:hAnsi="Times New Roman"/>
          <w:snapToGrid w:val="0"/>
          <w:lang w:eastAsia="en-US"/>
        </w:rPr>
        <w:t>in Table 3 above</w:t>
      </w:r>
      <w:r w:rsidRPr="0018093C">
        <w:rPr>
          <w:rFonts w:ascii="Times New Roman" w:hAnsi="Times New Roman"/>
          <w:snapToGrid w:val="0"/>
          <w:lang w:eastAsia="en-US"/>
        </w:rPr>
        <w:t>, investors are expecting an average ROE of 9.7%</w:t>
      </w:r>
      <w:r w:rsidR="000E09EF"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0E09EF" w:rsidRPr="0018093C">
        <w:rPr>
          <w:rFonts w:ascii="Times New Roman" w:hAnsi="Times New Roman"/>
          <w:snapToGrid w:val="0"/>
          <w:lang w:eastAsia="en-US"/>
        </w:rPr>
        <w:t>9</w:t>
      </w:r>
      <w:r w:rsidRPr="0018093C">
        <w:rPr>
          <w:rFonts w:ascii="Times New Roman" w:hAnsi="Times New Roman"/>
          <w:snapToGrid w:val="0"/>
          <w:lang w:eastAsia="en-US"/>
        </w:rPr>
        <w:t>.</w:t>
      </w:r>
      <w:r w:rsidR="000E09EF" w:rsidRPr="0018093C">
        <w:rPr>
          <w:rFonts w:ascii="Times New Roman" w:hAnsi="Times New Roman"/>
          <w:snapToGrid w:val="0"/>
          <w:lang w:eastAsia="en-US"/>
        </w:rPr>
        <w:t>9</w:t>
      </w:r>
      <w:r w:rsidRPr="0018093C">
        <w:rPr>
          <w:rFonts w:ascii="Times New Roman" w:hAnsi="Times New Roman"/>
          <w:snapToGrid w:val="0"/>
          <w:lang w:eastAsia="en-US"/>
        </w:rPr>
        <w:t>%</w:t>
      </w:r>
      <w:r w:rsidR="000E09EF" w:rsidRPr="0018093C">
        <w:rPr>
          <w:rFonts w:ascii="Times New Roman" w:hAnsi="Times New Roman"/>
          <w:snapToGrid w:val="0"/>
          <w:lang w:eastAsia="en-US"/>
        </w:rPr>
        <w:t xml:space="preserve">, and 10.2% in 2013, </w:t>
      </w:r>
      <w:r w:rsidRPr="0018093C">
        <w:rPr>
          <w:rFonts w:ascii="Times New Roman" w:hAnsi="Times New Roman"/>
          <w:snapToGrid w:val="0"/>
          <w:lang w:eastAsia="en-US"/>
        </w:rPr>
        <w:t xml:space="preserve">2014, </w:t>
      </w:r>
      <w:r w:rsidR="000E09EF" w:rsidRPr="0018093C">
        <w:rPr>
          <w:rFonts w:ascii="Times New Roman" w:hAnsi="Times New Roman"/>
          <w:snapToGrid w:val="0"/>
          <w:lang w:eastAsia="en-US"/>
        </w:rPr>
        <w:t xml:space="preserve">and 2016-18, </w:t>
      </w:r>
      <w:r w:rsidRPr="0018093C">
        <w:rPr>
          <w:rFonts w:ascii="Times New Roman" w:hAnsi="Times New Roman"/>
          <w:snapToGrid w:val="0"/>
          <w:lang w:eastAsia="en-US"/>
        </w:rPr>
        <w:t xml:space="preserve">respectively, for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group of companies.</w:t>
      </w:r>
    </w:p>
    <w:p w14:paraId="32CC7A4F"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is the average authorized ROE for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group of companies</w:t>
      </w:r>
      <w:r w:rsidRPr="0018093C">
        <w:rPr>
          <w:rFonts w:ascii="Times New Roman" w:hAnsi="Times New Roman"/>
          <w:snapToGrid w:val="0"/>
          <w:lang w:eastAsia="en-US"/>
        </w:rPr>
        <w:t>?</w:t>
      </w:r>
    </w:p>
    <w:p w14:paraId="697CF712" w14:textId="77777777" w:rsidR="00822C74" w:rsidRPr="0018093C" w:rsidRDefault="00B25CB4" w:rsidP="00822C74">
      <w:pPr>
        <w:pStyle w:val="answer"/>
        <w:rPr>
          <w:rFonts w:ascii="Times New Roman" w:hAnsi="Times New Roman"/>
          <w:snapToGrid w:val="0"/>
          <w:lang w:eastAsia="en-US"/>
        </w:rPr>
      </w:pPr>
      <w:r w:rsidRPr="0018093C">
        <w:rPr>
          <w:rFonts w:ascii="Times New Roman" w:hAnsi="Times New Roman"/>
          <w:snapToGrid w:val="0"/>
          <w:lang w:eastAsia="en-US"/>
        </w:rPr>
        <w:t>A.</w:t>
      </w:r>
      <w:r w:rsidR="003E40B8" w:rsidRPr="0018093C">
        <w:rPr>
          <w:rFonts w:ascii="Times New Roman" w:hAnsi="Times New Roman"/>
          <w:snapToGrid w:val="0"/>
          <w:lang w:eastAsia="en-US"/>
        </w:rPr>
        <w:tab/>
        <w:t xml:space="preserve">The average </w:t>
      </w:r>
      <w:r w:rsidR="00822C74" w:rsidRPr="0018093C">
        <w:rPr>
          <w:rFonts w:ascii="Times New Roman" w:hAnsi="Times New Roman"/>
          <w:snapToGrid w:val="0"/>
          <w:lang w:eastAsia="en-US"/>
        </w:rPr>
        <w:t xml:space="preserve">allowed ROEs for Mr. Hill’s sample group of comparable electric and combination electric and gas utilities were 10.57% and 10.51% reported by </w:t>
      </w:r>
      <w:r w:rsidR="00822C74" w:rsidRPr="0018093C">
        <w:rPr>
          <w:rFonts w:ascii="Times New Roman" w:hAnsi="Times New Roman"/>
          <w:i/>
          <w:snapToGrid w:val="0"/>
          <w:lang w:eastAsia="en-US"/>
        </w:rPr>
        <w:t>AUS Monthly Reports</w:t>
      </w:r>
      <w:r w:rsidR="00822C74" w:rsidRPr="0018093C">
        <w:rPr>
          <w:rFonts w:ascii="Times New Roman" w:hAnsi="Times New Roman"/>
          <w:snapToGrid w:val="0"/>
          <w:lang w:eastAsia="en-US"/>
        </w:rPr>
        <w:t xml:space="preserve"> for the same utilities in May 2013 and December 2014, respectively:</w:t>
      </w:r>
    </w:p>
    <w:p w14:paraId="7A1F6D97"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What is the average allowed ROE for electric utilities in recent orders</w:t>
      </w:r>
      <w:r w:rsidRPr="0018093C">
        <w:rPr>
          <w:rFonts w:ascii="Times New Roman" w:hAnsi="Times New Roman"/>
          <w:snapToGrid w:val="0"/>
          <w:lang w:eastAsia="en-US"/>
        </w:rPr>
        <w:t>?</w:t>
      </w:r>
    </w:p>
    <w:p w14:paraId="22BC23F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 xml:space="preserve">A. </w:t>
      </w:r>
      <w:r w:rsidRPr="0018093C">
        <w:rPr>
          <w:rFonts w:ascii="Times New Roman" w:hAnsi="Times New Roman"/>
          <w:snapToGrid w:val="0"/>
          <w:lang w:eastAsia="en-US"/>
        </w:rPr>
        <w:tab/>
      </w:r>
      <w:r w:rsidR="00822C74" w:rsidRPr="0018093C">
        <w:rPr>
          <w:rFonts w:ascii="Times New Roman" w:hAnsi="Times New Roman"/>
          <w:snapToGrid w:val="0"/>
          <w:lang w:eastAsia="en-US"/>
        </w:rPr>
        <w:t>Using data reported by Regulatory Research Associates (now SNL) for ROE decisions rendered for the twelve months ending in December 2013, the average allowed ROE for electric utilities was 10.0%.</w:t>
      </w:r>
      <w:r w:rsidR="00822C74" w:rsidRPr="0018093C">
        <w:rPr>
          <w:rStyle w:val="FootnoteReference"/>
          <w:rFonts w:ascii="Times New Roman" w:hAnsi="Times New Roman"/>
          <w:snapToGrid w:val="0"/>
          <w:lang w:eastAsia="en-US"/>
        </w:rPr>
        <w:footnoteReference w:id="94"/>
      </w:r>
      <w:r w:rsidR="00822C74" w:rsidRPr="0018093C">
        <w:rPr>
          <w:rFonts w:ascii="Times New Roman" w:hAnsi="Times New Roman"/>
          <w:snapToGrid w:val="0"/>
          <w:lang w:eastAsia="en-US"/>
        </w:rPr>
        <w:t xml:space="preserve">  For the first three quarters of 2014, the average allowed ROE for electric utilities is identical at 10.0%.</w:t>
      </w:r>
      <w:r w:rsidR="00822C74" w:rsidRPr="0018093C">
        <w:rPr>
          <w:rStyle w:val="FootnoteReference"/>
          <w:rFonts w:ascii="Times New Roman" w:hAnsi="Times New Roman"/>
          <w:snapToGrid w:val="0"/>
          <w:lang w:eastAsia="en-US"/>
        </w:rPr>
        <w:footnoteReference w:id="95"/>
      </w:r>
    </w:p>
    <w:p w14:paraId="26BC2946"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B25CB4" w:rsidRPr="0018093C">
        <w:rPr>
          <w:rFonts w:ascii="Times New Roman" w:hAnsi="Times New Roman"/>
          <w:snapToGrid w:val="0"/>
          <w:lang w:eastAsia="en-US"/>
        </w:rPr>
        <w:t>What is the average currently allowed ROE for electric utilities</w:t>
      </w:r>
      <w:r w:rsidRPr="0018093C">
        <w:rPr>
          <w:rFonts w:ascii="Times New Roman" w:hAnsi="Times New Roman"/>
          <w:snapToGrid w:val="0"/>
          <w:lang w:eastAsia="en-US"/>
        </w:rPr>
        <w:t>?</w:t>
      </w:r>
    </w:p>
    <w:p w14:paraId="1B882FE8" w14:textId="77777777" w:rsidR="00CB7D2A" w:rsidRPr="0018093C" w:rsidRDefault="003E40B8" w:rsidP="00CB7D2A">
      <w:pPr>
        <w:pStyle w:val="answer"/>
        <w:rPr>
          <w:rFonts w:ascii="Times New Roman" w:hAnsi="Times New Roman"/>
          <w:snapToGrid w:val="0"/>
          <w:lang w:eastAsia="en-US"/>
        </w:rPr>
      </w:pPr>
      <w:r w:rsidRPr="0018093C">
        <w:rPr>
          <w:rFonts w:ascii="Times New Roman" w:hAnsi="Times New Roman"/>
          <w:snapToGrid w:val="0"/>
          <w:lang w:eastAsia="en-US"/>
        </w:rPr>
        <w:t xml:space="preserve">A. </w:t>
      </w:r>
      <w:r w:rsidRPr="0018093C">
        <w:rPr>
          <w:rFonts w:ascii="Times New Roman" w:hAnsi="Times New Roman"/>
          <w:snapToGrid w:val="0"/>
          <w:lang w:eastAsia="en-US"/>
        </w:rPr>
        <w:tab/>
      </w:r>
      <w:r w:rsidR="00CB7D2A" w:rsidRPr="0018093C">
        <w:rPr>
          <w:rFonts w:ascii="Times New Roman" w:hAnsi="Times New Roman"/>
          <w:snapToGrid w:val="0"/>
          <w:lang w:eastAsia="en-US"/>
        </w:rPr>
        <w:t>The average allowed ROE in May 2013 for electric utilities and combination electric and gas utilities was 10.52% and 10.27%, respectively.</w:t>
      </w:r>
      <w:r w:rsidR="00CB7D2A" w:rsidRPr="0018093C">
        <w:rPr>
          <w:rStyle w:val="FootnoteReference"/>
          <w:rFonts w:ascii="Times New Roman" w:hAnsi="Times New Roman"/>
          <w:snapToGrid w:val="0"/>
          <w:lang w:eastAsia="en-US"/>
        </w:rPr>
        <w:footnoteReference w:id="96"/>
      </w:r>
      <w:r w:rsidR="00CB7D2A" w:rsidRPr="0018093C">
        <w:rPr>
          <w:rFonts w:ascii="Times New Roman" w:hAnsi="Times New Roman"/>
          <w:snapToGrid w:val="0"/>
          <w:lang w:eastAsia="en-US"/>
        </w:rPr>
        <w:t xml:space="preserve">  The average allowed ROE in December 2014 for electric utilities and combination electric and gas utilities was 10.45% and 10.33%, respectively.</w:t>
      </w:r>
      <w:r w:rsidR="00CB7D2A" w:rsidRPr="0018093C">
        <w:rPr>
          <w:rStyle w:val="FootnoteReference"/>
          <w:rFonts w:ascii="Times New Roman" w:hAnsi="Times New Roman"/>
          <w:snapToGrid w:val="0"/>
          <w:lang w:eastAsia="en-US"/>
        </w:rPr>
        <w:footnoteReference w:id="97"/>
      </w:r>
    </w:p>
    <w:p w14:paraId="52A2AA14"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ROE does </w:t>
      </w:r>
      <w:r w:rsidR="00087381" w:rsidRPr="0018093C">
        <w:rPr>
          <w:rFonts w:ascii="Times New Roman" w:hAnsi="Times New Roman"/>
          <w:snapToGrid w:val="0"/>
          <w:lang w:eastAsia="en-US"/>
        </w:rPr>
        <w:t>Mr. Hill</w:t>
      </w:r>
      <w:r w:rsidR="00B25CB4" w:rsidRPr="0018093C">
        <w:rPr>
          <w:rFonts w:ascii="Times New Roman" w:hAnsi="Times New Roman"/>
          <w:snapToGrid w:val="0"/>
          <w:lang w:eastAsia="en-US"/>
        </w:rPr>
        <w:t xml:space="preserve"> recommend</w:t>
      </w:r>
      <w:r w:rsidRPr="0018093C">
        <w:rPr>
          <w:rFonts w:ascii="Times New Roman" w:hAnsi="Times New Roman"/>
          <w:snapToGrid w:val="0"/>
          <w:lang w:eastAsia="en-US"/>
        </w:rPr>
        <w:t>?</w:t>
      </w:r>
    </w:p>
    <w:p w14:paraId="45639017"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recommended ROE is only 8.65%, well below the above benchmark returns.</w:t>
      </w:r>
    </w:p>
    <w:p w14:paraId="179B9F7E"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do you conclude from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recommended ROE</w:t>
      </w:r>
      <w:r w:rsidRPr="0018093C">
        <w:rPr>
          <w:rFonts w:ascii="Times New Roman" w:hAnsi="Times New Roman"/>
          <w:snapToGrid w:val="0"/>
          <w:lang w:eastAsia="en-US"/>
        </w:rPr>
        <w:t>?</w:t>
      </w:r>
    </w:p>
    <w:p w14:paraId="4842762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understates the appropriate ROE for PSE.  The inability to scientifically replicate his DCF growth rates, the mainstay of his recommendation, casts a serious doubt on the reasonableness and statistical validity of his recommendation.</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Leaving alone the inability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arbitrary DCF growth rates, </w:t>
      </w:r>
      <w:r w:rsidR="001007D2" w:rsidRPr="0018093C">
        <w:rPr>
          <w:rFonts w:ascii="Times New Roman" w:hAnsi="Times New Roman"/>
          <w:snapToGrid w:val="0"/>
          <w:lang w:eastAsia="en-US"/>
        </w:rPr>
        <w:t xml:space="preserve">Table 4 below </w:t>
      </w:r>
      <w:r w:rsidRPr="0018093C">
        <w:rPr>
          <w:rFonts w:ascii="Times New Roman" w:hAnsi="Times New Roman"/>
          <w:snapToGrid w:val="0"/>
          <w:lang w:eastAsia="en-US"/>
        </w:rPr>
        <w:t xml:space="preserve">summarizes additional reasons why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ROE understates an appropriate ROE for PSE:</w:t>
      </w:r>
    </w:p>
    <w:p w14:paraId="38BB4D52" w14:textId="77777777" w:rsidR="001007D2" w:rsidRPr="0018093C" w:rsidRDefault="001007D2" w:rsidP="001007D2">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4</w:t>
      </w:r>
      <w:r w:rsidRPr="0018093C">
        <w:rPr>
          <w:rFonts w:ascii="Times New Roman" w:hAnsi="Times New Roman"/>
          <w:b/>
          <w:snapToGrid w:val="0"/>
          <w:lang w:eastAsia="en-US"/>
        </w:rPr>
        <w:br/>
        <w:t>Sources of Understatement in Mr. Hill’s Recommended ROE</w:t>
      </w:r>
    </w:p>
    <w:tbl>
      <w:tblPr>
        <w:tblStyle w:val="TableGrid"/>
        <w:tblW w:w="0" w:type="auto"/>
        <w:jc w:val="center"/>
        <w:tblInd w:w="720" w:type="dxa"/>
        <w:tblLook w:val="04A0" w:firstRow="1" w:lastRow="0" w:firstColumn="1" w:lastColumn="0" w:noHBand="0" w:noVBand="1"/>
      </w:tblPr>
      <w:tblGrid>
        <w:gridCol w:w="3932"/>
        <w:gridCol w:w="1869"/>
      </w:tblGrid>
      <w:tr w:rsidR="007B515B" w:rsidRPr="0018093C" w14:paraId="4CAFC72D" w14:textId="77777777" w:rsidTr="00957E5B">
        <w:trPr>
          <w:jc w:val="center"/>
        </w:trPr>
        <w:tc>
          <w:tcPr>
            <w:tcW w:w="3932" w:type="dxa"/>
            <w:shd w:val="clear" w:color="auto" w:fill="D9D9D9" w:themeFill="background1" w:themeFillShade="D9"/>
            <w:vAlign w:val="bottom"/>
          </w:tcPr>
          <w:p w14:paraId="04922181" w14:textId="77777777" w:rsidR="007B515B" w:rsidRPr="0018093C" w:rsidRDefault="007B515B" w:rsidP="007B515B">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Source</w:t>
            </w:r>
          </w:p>
        </w:tc>
        <w:tc>
          <w:tcPr>
            <w:tcW w:w="1869" w:type="dxa"/>
            <w:shd w:val="clear" w:color="auto" w:fill="D9D9D9" w:themeFill="background1" w:themeFillShade="D9"/>
            <w:vAlign w:val="bottom"/>
          </w:tcPr>
          <w:p w14:paraId="751BF5C0" w14:textId="77777777" w:rsidR="007B515B" w:rsidRPr="0018093C" w:rsidRDefault="007B515B" w:rsidP="007B515B">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Basis Points</w:t>
            </w:r>
            <w:r w:rsidRPr="0018093C">
              <w:rPr>
                <w:rFonts w:ascii="Times New Roman" w:hAnsi="Times New Roman"/>
                <w:b/>
                <w:snapToGrid w:val="0"/>
                <w:lang w:eastAsia="en-US"/>
              </w:rPr>
              <w:br/>
              <w:t>Understatement</w:t>
            </w:r>
          </w:p>
        </w:tc>
      </w:tr>
      <w:tr w:rsidR="00957E5B" w:rsidRPr="0018093C" w14:paraId="7A9882C1" w14:textId="77777777" w:rsidTr="00914190">
        <w:trPr>
          <w:jc w:val="center"/>
        </w:trPr>
        <w:tc>
          <w:tcPr>
            <w:tcW w:w="3932" w:type="dxa"/>
          </w:tcPr>
          <w:p w14:paraId="0E78F014" w14:textId="77777777" w:rsidR="00957E5B" w:rsidRPr="0018093C" w:rsidRDefault="00957E5B" w:rsidP="00914190">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CAPM Risk-Free Rate</w:t>
            </w:r>
          </w:p>
        </w:tc>
        <w:tc>
          <w:tcPr>
            <w:tcW w:w="1869" w:type="dxa"/>
          </w:tcPr>
          <w:p w14:paraId="509EE3DD"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120</w:t>
            </w:r>
          </w:p>
        </w:tc>
      </w:tr>
      <w:tr w:rsidR="00957E5B" w:rsidRPr="0018093C" w14:paraId="49727C5A" w14:textId="77777777" w:rsidTr="00914190">
        <w:trPr>
          <w:jc w:val="center"/>
        </w:trPr>
        <w:tc>
          <w:tcPr>
            <w:tcW w:w="3932" w:type="dxa"/>
          </w:tcPr>
          <w:p w14:paraId="47DD0E6A" w14:textId="77777777" w:rsidR="00957E5B" w:rsidRPr="0018093C" w:rsidRDefault="00957E5B" w:rsidP="00957E5B">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CAPM MRP</w:t>
            </w:r>
          </w:p>
        </w:tc>
        <w:tc>
          <w:tcPr>
            <w:tcW w:w="1869" w:type="dxa"/>
          </w:tcPr>
          <w:p w14:paraId="067ECC5B"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47</w:t>
            </w:r>
          </w:p>
        </w:tc>
      </w:tr>
      <w:tr w:rsidR="00957E5B" w:rsidRPr="0018093C" w14:paraId="31DC8AD7" w14:textId="77777777" w:rsidTr="00914190">
        <w:trPr>
          <w:jc w:val="center"/>
        </w:trPr>
        <w:tc>
          <w:tcPr>
            <w:tcW w:w="3932" w:type="dxa"/>
          </w:tcPr>
          <w:p w14:paraId="48195280" w14:textId="77777777" w:rsidR="00957E5B" w:rsidRPr="0018093C" w:rsidRDefault="00957E5B" w:rsidP="00957E5B">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Sustainable Growth Calculation</w:t>
            </w:r>
          </w:p>
        </w:tc>
        <w:tc>
          <w:tcPr>
            <w:tcW w:w="1869" w:type="dxa"/>
          </w:tcPr>
          <w:p w14:paraId="0E7ECF1F"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w:t>
            </w:r>
          </w:p>
        </w:tc>
      </w:tr>
      <w:tr w:rsidR="00957E5B" w:rsidRPr="0018093C" w14:paraId="7DDADBEE" w14:textId="77777777" w:rsidTr="00914190">
        <w:trPr>
          <w:jc w:val="center"/>
        </w:trPr>
        <w:tc>
          <w:tcPr>
            <w:tcW w:w="3932" w:type="dxa"/>
          </w:tcPr>
          <w:p w14:paraId="74C724E2" w14:textId="77777777" w:rsidR="00957E5B" w:rsidRPr="0018093C" w:rsidRDefault="00957E5B" w:rsidP="00957E5B">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Decoupling Adjustment</w:t>
            </w:r>
          </w:p>
        </w:tc>
        <w:tc>
          <w:tcPr>
            <w:tcW w:w="1869" w:type="dxa"/>
          </w:tcPr>
          <w:p w14:paraId="16DED695"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35</w:t>
            </w:r>
          </w:p>
        </w:tc>
      </w:tr>
    </w:tbl>
    <w:p w14:paraId="50343671" w14:textId="77777777" w:rsidR="003E40B8" w:rsidRPr="0018093C" w:rsidRDefault="003E40B8" w:rsidP="00957E5B">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 xml:space="preserve">Correction of these understatements would increase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ROE to at least the 9.8% ROE authorized by the Commission in 2013. </w:t>
      </w:r>
    </w:p>
    <w:p w14:paraId="7E1965FD"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Has </w:t>
      </w:r>
      <w:r w:rsidR="00087381" w:rsidRPr="0018093C">
        <w:rPr>
          <w:rFonts w:ascii="Times New Roman" w:hAnsi="Times New Roman"/>
          <w:snapToGrid w:val="0"/>
          <w:lang w:eastAsia="en-US"/>
        </w:rPr>
        <w:t>Mr. Hill</w:t>
      </w:r>
      <w:r w:rsidR="00B25CB4" w:rsidRPr="0018093C">
        <w:rPr>
          <w:rFonts w:ascii="Times New Roman" w:hAnsi="Times New Roman"/>
          <w:snapToGrid w:val="0"/>
          <w:lang w:eastAsia="en-US"/>
        </w:rPr>
        <w:t xml:space="preserve"> presented any arguments in his testimony that would cause you to alter any of your recommendations and methodologies</w:t>
      </w:r>
      <w:r w:rsidRPr="0018093C">
        <w:rPr>
          <w:rFonts w:ascii="Times New Roman" w:hAnsi="Times New Roman"/>
          <w:snapToGrid w:val="0"/>
          <w:lang w:eastAsia="en-US"/>
        </w:rPr>
        <w:t>?</w:t>
      </w:r>
    </w:p>
    <w:p w14:paraId="2F6A8C0E" w14:textId="77777777" w:rsidR="003E40B8" w:rsidRPr="0018093C" w:rsidRDefault="00CB7D2A"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3E40B8" w:rsidRPr="0018093C">
        <w:rPr>
          <w:rFonts w:ascii="Times New Roman" w:hAnsi="Times New Roman"/>
          <w:snapToGrid w:val="0"/>
          <w:lang w:eastAsia="en-US"/>
        </w:rPr>
        <w:t>No, he has not.</w:t>
      </w:r>
    </w:p>
    <w:p w14:paraId="258BB35A" w14:textId="77777777" w:rsidR="007A5C88" w:rsidRPr="0018093C" w:rsidRDefault="007A5C88" w:rsidP="007A5C88">
      <w:pPr>
        <w:keepNext/>
        <w:keepLines/>
        <w:spacing w:before="240" w:after="320" w:line="240" w:lineRule="atLeast"/>
        <w:ind w:left="720" w:right="720" w:firstLine="0"/>
        <w:jc w:val="center"/>
        <w:outlineLvl w:val="0"/>
        <w:rPr>
          <w:b/>
        </w:rPr>
      </w:pPr>
      <w:bookmarkStart w:id="33" w:name="_Toc406075025"/>
      <w:bookmarkStart w:id="34" w:name="_Toc406751125"/>
      <w:r w:rsidRPr="0018093C">
        <w:rPr>
          <w:b/>
        </w:rPr>
        <w:t>III.</w:t>
      </w:r>
      <w:r w:rsidRPr="0018093C">
        <w:rPr>
          <w:b/>
        </w:rPr>
        <w:tab/>
        <w:t>REBUTTAL TO MR.</w:t>
      </w:r>
      <w:r w:rsidR="00087381" w:rsidRPr="0018093C">
        <w:rPr>
          <w:b/>
        </w:rPr>
        <w:t> </w:t>
      </w:r>
      <w:r w:rsidRPr="0018093C">
        <w:rPr>
          <w:b/>
        </w:rPr>
        <w:t>GORMAN</w:t>
      </w:r>
      <w:r w:rsidR="00942E42" w:rsidRPr="0018093C">
        <w:rPr>
          <w:b/>
        </w:rPr>
        <w:t>’</w:t>
      </w:r>
      <w:r w:rsidRPr="0018093C">
        <w:rPr>
          <w:b/>
        </w:rPr>
        <w:t>S TESTIMONY</w:t>
      </w:r>
      <w:bookmarkEnd w:id="33"/>
      <w:bookmarkEnd w:id="34"/>
    </w:p>
    <w:p w14:paraId="7B6C5B5C"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Please summarize Mr.</w:t>
      </w:r>
      <w:r w:rsidR="00087381" w:rsidRPr="0018093C">
        <w:rPr>
          <w:b/>
        </w:rPr>
        <w:t> </w:t>
      </w:r>
      <w:r w:rsidRPr="0018093C">
        <w:rPr>
          <w:b/>
        </w:rPr>
        <w:t>Gorman</w:t>
      </w:r>
      <w:r w:rsidR="00942E42" w:rsidRPr="0018093C">
        <w:rPr>
          <w:b/>
        </w:rPr>
        <w:t>’</w:t>
      </w:r>
      <w:r w:rsidRPr="0018093C">
        <w:rPr>
          <w:b/>
        </w:rPr>
        <w:t>s recommended ROE.</w:t>
      </w:r>
    </w:p>
    <w:p w14:paraId="06F9C632" w14:textId="77777777" w:rsidR="007A5C88" w:rsidRPr="0018093C" w:rsidRDefault="007A5C88" w:rsidP="007A5C88">
      <w:pPr>
        <w:spacing w:before="120" w:after="120" w:line="480" w:lineRule="auto"/>
        <w:ind w:left="720" w:hanging="720"/>
      </w:pPr>
      <w:r w:rsidRPr="0018093C">
        <w:t>A.</w:t>
      </w:r>
      <w:r w:rsidRPr="0018093C">
        <w:tab/>
      </w:r>
      <w:r w:rsidR="00087381" w:rsidRPr="0018093C">
        <w:rPr>
          <w:snapToGrid w:val="0"/>
          <w:lang w:eastAsia="en-US"/>
        </w:rPr>
        <w:t>Mr. Gorman</w:t>
      </w:r>
      <w:r w:rsidRPr="0018093C">
        <w:t xml:space="preserve"> recommends a</w:t>
      </w:r>
      <w:r w:rsidR="00CB7D2A" w:rsidRPr="0018093C">
        <w:t>n</w:t>
      </w:r>
      <w:r w:rsidRPr="0018093C">
        <w:t xml:space="preserve"> ROE for PSE of 9.30%, which is at the midpoint of his esti</w:t>
      </w:r>
      <w:r w:rsidR="00CB7D2A" w:rsidRPr="0018093C">
        <w:t>mated range of 9.00% to 9.60%.</w:t>
      </w:r>
      <w:r w:rsidR="00CB7D2A" w:rsidRPr="0018093C">
        <w:rPr>
          <w:rStyle w:val="FootnoteReference"/>
          <w:snapToGrid w:val="0"/>
          <w:lang w:eastAsia="en-US"/>
        </w:rPr>
        <w:footnoteReference w:id="98"/>
      </w:r>
      <w:r w:rsidR="00CB7D2A" w:rsidRPr="0018093C">
        <w:t xml:space="preserve"> </w:t>
      </w:r>
      <w:r w:rsidRPr="0018093C">
        <w:t xml:space="preserve"> </w:t>
      </w:r>
      <w:r w:rsidR="00087381" w:rsidRPr="0018093C">
        <w:rPr>
          <w:snapToGrid w:val="0"/>
          <w:lang w:eastAsia="en-US"/>
        </w:rPr>
        <w:t>Mr. Gorman</w:t>
      </w:r>
      <w:r w:rsidRPr="0018093C">
        <w:t xml:space="preserve"> relies on a traditional constant growth DCF, a three-stage DCF analysis, a CAPM analysis, and a Risk Premium analysis.  His results are summarized in tabular form on page</w:t>
      </w:r>
      <w:r w:rsidR="00CB7D2A" w:rsidRPr="0018093C">
        <w:t> 36 of his testimony.</w:t>
      </w:r>
    </w:p>
    <w:p w14:paraId="55A53AB1" w14:textId="44D00708" w:rsidR="00D23389" w:rsidRPr="0018093C" w:rsidRDefault="00D23389" w:rsidP="006C258D">
      <w:pPr>
        <w:keepNext/>
        <w:keepLines/>
        <w:spacing w:before="120" w:after="120" w:line="480" w:lineRule="auto"/>
        <w:ind w:left="720" w:hanging="720"/>
        <w:rPr>
          <w:b/>
        </w:rPr>
      </w:pPr>
      <w:r w:rsidRPr="0018093C">
        <w:rPr>
          <w:b/>
        </w:rPr>
        <w:lastRenderedPageBreak/>
        <w:t>Q.</w:t>
      </w:r>
      <w:r w:rsidRPr="0018093C">
        <w:rPr>
          <w:b/>
        </w:rPr>
        <w:tab/>
      </w:r>
      <w:r w:rsidR="006C258D" w:rsidRPr="0018093C">
        <w:rPr>
          <w:b/>
        </w:rPr>
        <w:t>Do you have a general comment on Mr. Gorman’s position in this proceeding</w:t>
      </w:r>
      <w:r w:rsidRPr="0018093C">
        <w:rPr>
          <w:b/>
        </w:rPr>
        <w:t>?</w:t>
      </w:r>
    </w:p>
    <w:p w14:paraId="3EC96EFE" w14:textId="21E15CB2" w:rsidR="00D23389" w:rsidRPr="0018093C" w:rsidRDefault="00D23389" w:rsidP="006C258D">
      <w:pPr>
        <w:spacing w:before="120" w:after="120" w:line="480" w:lineRule="auto"/>
        <w:ind w:left="720" w:hanging="720"/>
      </w:pPr>
      <w:r w:rsidRPr="0018093C">
        <w:t>A.</w:t>
      </w:r>
      <w:r w:rsidRPr="0018093C">
        <w:tab/>
        <w:t>Yes, I do. On April 26, 2013, Mr. Gorman filed response testimony in Dockets UE-121697 concerning PSE’s current cost of equity at that time.  At that time, he recommended a ROE of 9.3%.  Mr. Gorman’s ROE recommendation of 9.3% under current capital market conditions is identical at 9.3%.  To quote Mr.</w:t>
      </w:r>
      <w:r w:rsidR="00EE2CA9" w:rsidRPr="0018093C">
        <w:t> </w:t>
      </w:r>
      <w:r w:rsidRPr="0018093C">
        <w:t>Gorman:</w:t>
      </w:r>
    </w:p>
    <w:p w14:paraId="1C52B4D9" w14:textId="60D8D05D" w:rsidR="00EE2CA9" w:rsidRPr="0018093C" w:rsidRDefault="00EE2CA9" w:rsidP="00EE2CA9">
      <w:pPr>
        <w:spacing w:after="280" w:line="240" w:lineRule="auto"/>
        <w:ind w:left="1440" w:right="720" w:firstLine="0"/>
        <w:jc w:val="both"/>
      </w:pPr>
      <w:r w:rsidRPr="0018093C">
        <w:t>This information clearly supports the same finding for a current return on equity in this case as existed in April 2013.</w:t>
      </w:r>
      <w:r w:rsidRPr="0018093C">
        <w:rPr>
          <w:rStyle w:val="FootnoteReference"/>
          <w:snapToGrid w:val="0"/>
          <w:lang w:eastAsia="en-US"/>
        </w:rPr>
        <w:footnoteReference w:id="99"/>
      </w:r>
    </w:p>
    <w:p w14:paraId="5DC58BBB" w14:textId="77B6A23B" w:rsidR="00EE2CA9" w:rsidRPr="0018093C" w:rsidRDefault="00EE2CA9" w:rsidP="00EE2CA9">
      <w:pPr>
        <w:spacing w:after="280" w:line="240" w:lineRule="auto"/>
        <w:ind w:left="1440" w:right="720" w:firstLine="0"/>
        <w:jc w:val="both"/>
      </w:pPr>
      <w:r w:rsidRPr="0018093C">
        <w:t xml:space="preserve">. . . </w:t>
      </w:r>
    </w:p>
    <w:p w14:paraId="50B3E62E" w14:textId="2BF0B0D7" w:rsidR="00D23389" w:rsidRPr="0018093C" w:rsidRDefault="00D23389" w:rsidP="00EE2CA9">
      <w:pPr>
        <w:spacing w:after="280" w:line="240" w:lineRule="auto"/>
        <w:ind w:left="1440" w:right="720" w:firstLine="0"/>
        <w:jc w:val="both"/>
      </w:pPr>
      <w:r w:rsidRPr="0018093C">
        <w:t>My recommended return on equity was made in an environment where utility bond yields and Treasury bond yields were nearly comparable to where they are today.</w:t>
      </w:r>
      <w:r w:rsidR="00EE2CA9" w:rsidRPr="0018093C">
        <w:rPr>
          <w:rStyle w:val="FootnoteReference"/>
          <w:snapToGrid w:val="0"/>
          <w:lang w:eastAsia="en-US"/>
        </w:rPr>
        <w:footnoteReference w:id="100"/>
      </w:r>
    </w:p>
    <w:p w14:paraId="373523B0" w14:textId="77777777" w:rsidR="00D95696" w:rsidRPr="0018093C" w:rsidRDefault="00D95696" w:rsidP="00D95696">
      <w:pPr>
        <w:pStyle w:val="Heading2"/>
      </w:pPr>
      <w:bookmarkStart w:id="35" w:name="_Toc406751126"/>
      <w:r w:rsidRPr="0018093C">
        <w:t>A.</w:t>
      </w:r>
      <w:r w:rsidRPr="0018093C">
        <w:tab/>
        <w:t>Mr. Gorman’s Recommended ROE for PSE is Outside the Mainstream for Electric and Combination Electric and Gas Utilities</w:t>
      </w:r>
      <w:bookmarkEnd w:id="35"/>
    </w:p>
    <w:p w14:paraId="0CA6E145"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r>
      <w:r w:rsidR="00D95696" w:rsidRPr="0018093C">
        <w:rPr>
          <w:b/>
        </w:rPr>
        <w:t>P</w:t>
      </w:r>
      <w:r w:rsidRPr="0018093C">
        <w:rPr>
          <w:b/>
        </w:rPr>
        <w:t>lease comment on recent decisions regarding allowed ROEs for electric utilities.</w:t>
      </w:r>
    </w:p>
    <w:p w14:paraId="791CCEBB" w14:textId="77777777" w:rsidR="00D95696" w:rsidRPr="0018093C" w:rsidRDefault="007A5C88" w:rsidP="00D95696">
      <w:pPr>
        <w:spacing w:before="120" w:after="120" w:line="480" w:lineRule="auto"/>
        <w:ind w:left="720" w:hanging="720"/>
      </w:pPr>
      <w:r w:rsidRPr="0018093C">
        <w:t>A.</w:t>
      </w:r>
      <w:r w:rsidRPr="0018093C">
        <w:tab/>
        <w:t xml:space="preserve">As was the case with </w:t>
      </w:r>
      <w:r w:rsidR="00087381" w:rsidRPr="0018093C">
        <w:rPr>
          <w:snapToGrid w:val="0"/>
          <w:lang w:eastAsia="en-US"/>
        </w:rPr>
        <w:t>Mr. Hill</w:t>
      </w:r>
      <w:r w:rsidRPr="0018093C">
        <w:t xml:space="preserve">, the ROE recommended by </w:t>
      </w:r>
      <w:r w:rsidR="00087381" w:rsidRPr="0018093C">
        <w:rPr>
          <w:snapToGrid w:val="0"/>
          <w:lang w:eastAsia="en-US"/>
        </w:rPr>
        <w:t>Mr. Gorman</w:t>
      </w:r>
      <w:r w:rsidRPr="0018093C">
        <w:t xml:space="preserve"> is outside the range of currently authorized ROEs for electric </w:t>
      </w:r>
      <w:r w:rsidR="00D95696" w:rsidRPr="0018093C">
        <w:t xml:space="preserve">and combination electric and gas </w:t>
      </w:r>
      <w:r w:rsidRPr="0018093C">
        <w:t xml:space="preserve">utilities in the United States and outside the zone of currently authorized ROEs for </w:t>
      </w:r>
      <w:r w:rsidR="00087381" w:rsidRPr="0018093C">
        <w:rPr>
          <w:snapToGrid w:val="0"/>
          <w:lang w:eastAsia="en-US"/>
        </w:rPr>
        <w:t>Mr. </w:t>
      </w:r>
      <w:r w:rsidR="00D95696" w:rsidRPr="0018093C">
        <w:rPr>
          <w:snapToGrid w:val="0"/>
          <w:lang w:eastAsia="en-US"/>
        </w:rPr>
        <w:t>Gorman</w:t>
      </w:r>
      <w:r w:rsidR="00942E42" w:rsidRPr="0018093C">
        <w:t>’</w:t>
      </w:r>
      <w:r w:rsidRPr="0018093C">
        <w:t xml:space="preserve">s own sample of comparable companies.  </w:t>
      </w:r>
      <w:r w:rsidR="00D95696" w:rsidRPr="0018093C">
        <w:t xml:space="preserve">As discussed above, </w:t>
      </w:r>
      <w:r w:rsidR="00D95696" w:rsidRPr="0018093C">
        <w:rPr>
          <w:snapToGrid w:val="0"/>
          <w:lang w:eastAsia="en-US"/>
        </w:rPr>
        <w:t xml:space="preserve">data reported by Regulatory Research Associates (now SNL) for ROE </w:t>
      </w:r>
      <w:r w:rsidR="00D95696" w:rsidRPr="0018093C">
        <w:rPr>
          <w:snapToGrid w:val="0"/>
          <w:lang w:eastAsia="en-US"/>
        </w:rPr>
        <w:lastRenderedPageBreak/>
        <w:t>decisions rendered for the twelve months ending in December 2013 provides that the average allowed ROE for electric utilities was 10.0%.</w:t>
      </w:r>
      <w:r w:rsidR="00D95696" w:rsidRPr="0018093C">
        <w:rPr>
          <w:rStyle w:val="FootnoteReference"/>
          <w:snapToGrid w:val="0"/>
          <w:lang w:eastAsia="en-US"/>
        </w:rPr>
        <w:footnoteReference w:id="101"/>
      </w:r>
      <w:r w:rsidR="00D95696" w:rsidRPr="0018093C">
        <w:rPr>
          <w:snapToGrid w:val="0"/>
          <w:lang w:eastAsia="en-US"/>
        </w:rPr>
        <w:t xml:space="preserve">  For the first three quarters of 2014, the average allowed ROE for electric utilities is identical at 10.0%.</w:t>
      </w:r>
      <w:r w:rsidR="00D95696" w:rsidRPr="0018093C">
        <w:rPr>
          <w:rStyle w:val="FootnoteReference"/>
          <w:snapToGrid w:val="0"/>
          <w:lang w:eastAsia="en-US"/>
        </w:rPr>
        <w:footnoteReference w:id="102"/>
      </w:r>
      <w:r w:rsidR="00D95696" w:rsidRPr="0018093C">
        <w:rPr>
          <w:snapToGrid w:val="0"/>
          <w:lang w:eastAsia="en-US"/>
        </w:rPr>
        <w:t xml:space="preserve">  These results suggest two things:</w:t>
      </w:r>
    </w:p>
    <w:p w14:paraId="6133E4C0" w14:textId="77777777" w:rsidR="00D95696" w:rsidRPr="0018093C" w:rsidRDefault="00D95696" w:rsidP="00D9569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capital market conditions did not change materially during the period January 1, 2013, through September 30, 2014, given that the average allowed ROEs of electric utilities granted by state regulatory agencies during this period remained unchanged; and</w:t>
      </w:r>
    </w:p>
    <w:p w14:paraId="1EDB8DAB" w14:textId="77777777" w:rsidR="00D95696" w:rsidRPr="0018093C" w:rsidRDefault="00D95696" w:rsidP="00D9569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 xml:space="preserve">the average allowed ROEs of electric utilities granted by state regulatory agencies during the period January 1, 2013, through September 30, 2014, are in excess of Mr. Gorman’s recommended ROE of 9.3% for PSE. </w:t>
      </w:r>
    </w:p>
    <w:p w14:paraId="67D68C85" w14:textId="77777777" w:rsidR="00D95696" w:rsidRPr="0018093C" w:rsidRDefault="00D95696" w:rsidP="00D95696">
      <w:pPr>
        <w:pStyle w:val="Heading2"/>
      </w:pPr>
      <w:bookmarkStart w:id="36" w:name="_Toc406751127"/>
      <w:bookmarkStart w:id="37" w:name="_Toc406075026"/>
      <w:r w:rsidRPr="0018093C">
        <w:t>B.</w:t>
      </w:r>
      <w:r w:rsidRPr="0018093C">
        <w:tab/>
        <w:t>Mr. Gorman’s DCF Results Should be Given Very Little, If Any, Weight Because Mr. Gorman Has Relied on Erroneous Data Inputs</w:t>
      </w:r>
      <w:bookmarkEnd w:id="36"/>
    </w:p>
    <w:p w14:paraId="2CD9BB62" w14:textId="77777777" w:rsidR="00D95696" w:rsidRPr="0018093C" w:rsidRDefault="00D95696" w:rsidP="00D95696">
      <w:pPr>
        <w:pStyle w:val="Heading3"/>
      </w:pPr>
      <w:bookmarkStart w:id="38" w:name="_Toc406751128"/>
      <w:r w:rsidRPr="0018093C">
        <w:t>1.</w:t>
      </w:r>
      <w:r w:rsidRPr="0018093C">
        <w:tab/>
        <w:t>Mr. Gorman Relies on the Sustainable Growth Methodology in the DCF Analysis Whereby He is Forced to Assume the Answer to Implement the Methodology.</w:t>
      </w:r>
      <w:bookmarkEnd w:id="38"/>
    </w:p>
    <w:bookmarkEnd w:id="37"/>
    <w:p w14:paraId="37F67C1D"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Please comment on </w:t>
      </w:r>
      <w:r w:rsidR="00087381" w:rsidRPr="0018093C">
        <w:rPr>
          <w:b/>
          <w:snapToGrid w:val="0"/>
          <w:lang w:eastAsia="en-US"/>
        </w:rPr>
        <w:t>Mr. Gorman</w:t>
      </w:r>
      <w:r w:rsidR="00942E42" w:rsidRPr="0018093C">
        <w:rPr>
          <w:b/>
        </w:rPr>
        <w:t>’</w:t>
      </w:r>
      <w:r w:rsidRPr="0018093C">
        <w:rPr>
          <w:b/>
        </w:rPr>
        <w:t xml:space="preserve">s </w:t>
      </w:r>
      <w:r w:rsidR="00D95696" w:rsidRPr="0018093C">
        <w:rPr>
          <w:b/>
        </w:rPr>
        <w:t xml:space="preserve">sustainable </w:t>
      </w:r>
      <w:r w:rsidRPr="0018093C">
        <w:rPr>
          <w:b/>
        </w:rPr>
        <w:t xml:space="preserve">growth estimate in the DCF model. </w:t>
      </w:r>
    </w:p>
    <w:p w14:paraId="06043264" w14:textId="77777777" w:rsidR="007A5C88" w:rsidRPr="0018093C" w:rsidRDefault="007A5C88" w:rsidP="001007D2">
      <w:pPr>
        <w:spacing w:before="120" w:after="120" w:line="480" w:lineRule="auto"/>
        <w:ind w:left="720" w:hanging="720"/>
        <w:rPr>
          <w:rFonts w:eastAsia="SimSun"/>
        </w:rPr>
      </w:pPr>
      <w:r w:rsidRPr="0018093C">
        <w:t>A.</w:t>
      </w:r>
      <w:r w:rsidRPr="0018093C">
        <w:tab/>
      </w:r>
      <w:r w:rsidR="00D95696" w:rsidRPr="0018093C">
        <w:t xml:space="preserve">Like Mr. Hill, </w:t>
      </w:r>
      <w:r w:rsidR="00087381" w:rsidRPr="0018093C">
        <w:rPr>
          <w:snapToGrid w:val="0"/>
          <w:lang w:eastAsia="en-US"/>
        </w:rPr>
        <w:t>Mr. Gorman</w:t>
      </w:r>
      <w:r w:rsidRPr="0018093C">
        <w:t xml:space="preserve"> </w:t>
      </w:r>
      <w:r w:rsidR="00D95696" w:rsidRPr="0018093C">
        <w:t>relied</w:t>
      </w:r>
      <w:r w:rsidRPr="0018093C">
        <w:t xml:space="preserve"> on the </w:t>
      </w:r>
      <w:r w:rsidR="00D95696" w:rsidRPr="0018093C">
        <w:t xml:space="preserve">sustainable </w:t>
      </w:r>
      <w:r w:rsidRPr="0018093C">
        <w:t>growth approach</w:t>
      </w:r>
      <w:r w:rsidR="00D95696" w:rsidRPr="0018093C">
        <w:t xml:space="preserve"> to estimate the growth component of the DCF model.  </w:t>
      </w:r>
      <w:r w:rsidRPr="0018093C">
        <w:t xml:space="preserve">Earlier in my rebuttal of </w:t>
      </w:r>
      <w:r w:rsidR="00087381" w:rsidRPr="0018093C">
        <w:rPr>
          <w:snapToGrid w:val="0"/>
          <w:lang w:eastAsia="en-US"/>
        </w:rPr>
        <w:t>Mr. Hill</w:t>
      </w:r>
      <w:r w:rsidRPr="0018093C">
        <w:t>, I discussed four reasons why I disagree with the internal growth technique, mainly the inhe</w:t>
      </w:r>
      <w:r w:rsidR="001007D2" w:rsidRPr="0018093C">
        <w:t>rent circularity of the method.</w:t>
      </w:r>
    </w:p>
    <w:p w14:paraId="6A0DCF3D" w14:textId="77777777" w:rsidR="007A5C88" w:rsidRPr="0018093C" w:rsidRDefault="001007D2" w:rsidP="001007D2">
      <w:pPr>
        <w:pStyle w:val="Heading3"/>
      </w:pPr>
      <w:bookmarkStart w:id="39" w:name="_Toc406075027"/>
      <w:bookmarkStart w:id="40" w:name="_Toc406751129"/>
      <w:r w:rsidRPr="0018093C">
        <w:lastRenderedPageBreak/>
        <w:t>2.</w:t>
      </w:r>
      <w:r w:rsidRPr="0018093C">
        <w:tab/>
        <w:t xml:space="preserve">Mr. Gorman’s Multi-Stage </w:t>
      </w:r>
      <w:r w:rsidR="007A5C88" w:rsidRPr="0018093C">
        <w:t xml:space="preserve">DCF </w:t>
      </w:r>
      <w:r w:rsidRPr="0018093C">
        <w:t>Analysis Relies Upon an Artificially Low Gross Domestic Product (“</w:t>
      </w:r>
      <w:r w:rsidR="007A5C88" w:rsidRPr="0018093C">
        <w:t>GDP</w:t>
      </w:r>
      <w:r w:rsidRPr="0018093C">
        <w:t>”)</w:t>
      </w:r>
      <w:r w:rsidR="007A5C88" w:rsidRPr="0018093C">
        <w:t xml:space="preserve"> Growth</w:t>
      </w:r>
      <w:bookmarkEnd w:id="39"/>
      <w:r w:rsidRPr="0018093C">
        <w:t xml:space="preserve"> Rate for the Long-Term Growth Rate</w:t>
      </w:r>
      <w:bookmarkEnd w:id="40"/>
    </w:p>
    <w:p w14:paraId="2ED437BE"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What DCF third-stage growth rate for the overall economy does </w:t>
      </w:r>
      <w:r w:rsidR="00087381" w:rsidRPr="0018093C">
        <w:rPr>
          <w:b/>
          <w:snapToGrid w:val="0"/>
          <w:lang w:eastAsia="en-US"/>
        </w:rPr>
        <w:t>Mr. Gorman</w:t>
      </w:r>
      <w:r w:rsidRPr="0018093C">
        <w:rPr>
          <w:b/>
        </w:rPr>
        <w:t xml:space="preserve"> adopt in his multi-stage DCF analysis?</w:t>
      </w:r>
    </w:p>
    <w:p w14:paraId="1E6B5309" w14:textId="77777777" w:rsidR="007A5C88" w:rsidRPr="0018093C" w:rsidRDefault="007A5C88" w:rsidP="007A5C88">
      <w:pPr>
        <w:spacing w:before="120" w:after="120" w:line="480" w:lineRule="auto"/>
        <w:ind w:left="720" w:hanging="720"/>
        <w:rPr>
          <w:rFonts w:eastAsia="SimSun"/>
        </w:rPr>
      </w:pPr>
      <w:r w:rsidRPr="0018093C">
        <w:t>A.</w:t>
      </w:r>
      <w:r w:rsidRPr="0018093C">
        <w:tab/>
      </w:r>
      <w:r w:rsidR="00087381" w:rsidRPr="0018093C">
        <w:rPr>
          <w:snapToGrid w:val="0"/>
          <w:lang w:eastAsia="en-US"/>
        </w:rPr>
        <w:t>Mr. Gorman</w:t>
      </w:r>
      <w:r w:rsidRPr="0018093C">
        <w:t xml:space="preserve"> adopts a range of 4.45% - 4.75% as his long-term growth of the gross domestic product (</w:t>
      </w:r>
      <w:r w:rsidR="00942E42" w:rsidRPr="0018093C">
        <w:t>“</w:t>
      </w:r>
      <w:r w:rsidRPr="0018093C">
        <w:t>GDP</w:t>
      </w:r>
      <w:r w:rsidR="00942E42" w:rsidRPr="0018093C">
        <w:t>”</w:t>
      </w:r>
      <w:r w:rsidRPr="0018093C">
        <w:t>) based on the projection from Blue Chip Economic Indicators October 2014.</w:t>
      </w:r>
      <w:r w:rsidR="001007D2" w:rsidRPr="0018093C">
        <w:rPr>
          <w:rStyle w:val="FootnoteReference"/>
          <w:snapToGrid w:val="0"/>
          <w:lang w:eastAsia="en-US"/>
        </w:rPr>
        <w:footnoteReference w:id="103"/>
      </w:r>
    </w:p>
    <w:p w14:paraId="165D4009"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r>
      <w:r w:rsidR="001007D2" w:rsidRPr="0018093C">
        <w:rPr>
          <w:b/>
        </w:rPr>
        <w:t>D</w:t>
      </w:r>
      <w:r w:rsidRPr="0018093C">
        <w:rPr>
          <w:b/>
        </w:rPr>
        <w:t>o you agree with this estimate of GDP growth?</w:t>
      </w:r>
    </w:p>
    <w:p w14:paraId="126E62DA" w14:textId="77777777" w:rsidR="007A5C88" w:rsidRPr="0018093C" w:rsidRDefault="007A5C88" w:rsidP="007A5C88">
      <w:pPr>
        <w:spacing w:before="120" w:after="120" w:line="480" w:lineRule="auto"/>
        <w:ind w:left="720" w:hanging="720"/>
        <w:rPr>
          <w:rFonts w:eastAsia="SimSun"/>
        </w:rPr>
      </w:pPr>
      <w:r w:rsidRPr="0018093C">
        <w:t>A.</w:t>
      </w:r>
      <w:r w:rsidRPr="0018093C">
        <w:tab/>
        <w:t>No, I do not</w:t>
      </w:r>
      <w:r w:rsidR="001007D2" w:rsidRPr="0018093C">
        <w:t xml:space="preserve"> agree with this estimate of GDP growth because </w:t>
      </w:r>
      <w:r w:rsidRPr="0018093C">
        <w:t xml:space="preserve">it is too low.  </w:t>
      </w:r>
      <w:r w:rsidR="00087381" w:rsidRPr="0018093C">
        <w:rPr>
          <w:snapToGrid w:val="0"/>
          <w:lang w:eastAsia="en-US"/>
        </w:rPr>
        <w:t>Mr. Gorman</w:t>
      </w:r>
      <w:r w:rsidRPr="0018093C">
        <w:t xml:space="preserve"> should have used 5.0% as the long-term GDP growth rate.</w:t>
      </w:r>
      <w:r w:rsidR="00402438" w:rsidRPr="0018093C">
        <w:t xml:space="preserve">  </w:t>
      </w:r>
      <w:r w:rsidRPr="0018093C">
        <w:t>A long-term forecast of nominal growth in GDP can be formulated by combining a long-term inflation estimate with a long-term real growth rate forecast as follows:</w:t>
      </w:r>
    </w:p>
    <w:p w14:paraId="2FD306E9" w14:textId="77777777" w:rsidR="007A5C88" w:rsidRPr="0018093C" w:rsidRDefault="007A5C88" w:rsidP="007A5C88">
      <w:pPr>
        <w:spacing w:before="120" w:after="120" w:line="480" w:lineRule="auto"/>
        <w:ind w:firstLine="0"/>
        <w:jc w:val="center"/>
        <w:rPr>
          <w:rFonts w:eastAsia="SimSun"/>
        </w:rPr>
      </w:pPr>
      <w:r w:rsidRPr="0018093C">
        <w:t>(1 + nominal GDP growth) = (1 + inflation)(1  + real GDP growth)</w:t>
      </w:r>
    </w:p>
    <w:p w14:paraId="4DBCD795" w14:textId="77777777" w:rsidR="007A5C88" w:rsidRPr="0018093C" w:rsidRDefault="007A5C88" w:rsidP="007A5C88">
      <w:pPr>
        <w:spacing w:before="120" w:after="120" w:line="480" w:lineRule="auto"/>
        <w:ind w:left="720" w:firstLine="0"/>
        <w:rPr>
          <w:rFonts w:eastAsia="SimSun"/>
        </w:rPr>
      </w:pPr>
      <w:r w:rsidRPr="0018093C">
        <w:t xml:space="preserve">Two quantities are therefore needed: </w:t>
      </w:r>
      <w:r w:rsidR="001007D2" w:rsidRPr="0018093C">
        <w:t xml:space="preserve"> (i) </w:t>
      </w:r>
      <w:r w:rsidRPr="0018093C">
        <w:t>a long-term inflation forecast</w:t>
      </w:r>
      <w:r w:rsidR="001007D2" w:rsidRPr="0018093C">
        <w:t xml:space="preserve"> </w:t>
      </w:r>
      <w:r w:rsidRPr="0018093C">
        <w:t xml:space="preserve">and </w:t>
      </w:r>
      <w:r w:rsidR="001007D2" w:rsidRPr="0018093C">
        <w:t>(ii) </w:t>
      </w:r>
      <w:r w:rsidRPr="0018093C">
        <w:t>a</w:t>
      </w:r>
      <w:r w:rsidR="001007D2" w:rsidRPr="0018093C">
        <w:t> </w:t>
      </w:r>
      <w:r w:rsidRPr="0018093C">
        <w:t>long-term real GDP forecast.  The equation is then solv</w:t>
      </w:r>
      <w:r w:rsidR="001007D2" w:rsidRPr="0018093C">
        <w:t>ed for the nominal GDP growth.</w:t>
      </w:r>
    </w:p>
    <w:p w14:paraId="60A75F25"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How did you determine the long-term GDP growth and inflation forecasts?</w:t>
      </w:r>
    </w:p>
    <w:p w14:paraId="0FF9FD7D" w14:textId="77777777" w:rsidR="007A5C88" w:rsidRPr="0018093C" w:rsidRDefault="007A5C88" w:rsidP="007A5C88">
      <w:pPr>
        <w:spacing w:before="120" w:after="120" w:line="480" w:lineRule="auto"/>
        <w:ind w:left="720" w:hanging="720"/>
        <w:rPr>
          <w:rFonts w:eastAsia="SimSun"/>
        </w:rPr>
      </w:pPr>
      <w:r w:rsidRPr="0018093C">
        <w:t>A.</w:t>
      </w:r>
      <w:r w:rsidRPr="0018093C">
        <w:tab/>
        <w:t xml:space="preserve">As shown in </w:t>
      </w:r>
      <w:r w:rsidR="001007D2" w:rsidRPr="0018093C">
        <w:t>T</w:t>
      </w:r>
      <w:r w:rsidRPr="0018093C">
        <w:t>able</w:t>
      </w:r>
      <w:r w:rsidR="001007D2" w:rsidRPr="0018093C">
        <w:t> 5</w:t>
      </w:r>
      <w:r w:rsidRPr="0018093C">
        <w:t xml:space="preserve"> below, I examined the long-term real GDP growth, the real GDP deflator and the Consumer Price Index (</w:t>
      </w:r>
      <w:r w:rsidR="00942E42" w:rsidRPr="0018093C">
        <w:t>“</w:t>
      </w:r>
      <w:r w:rsidRPr="0018093C">
        <w:t>CPI</w:t>
      </w:r>
      <w:r w:rsidR="00942E42" w:rsidRPr="0018093C">
        <w:t>”</w:t>
      </w:r>
      <w:r w:rsidRPr="0018093C">
        <w:t>) forecasts from several sources.</w:t>
      </w:r>
    </w:p>
    <w:p w14:paraId="047E5F3C" w14:textId="77777777" w:rsidR="001007D2" w:rsidRPr="0018093C" w:rsidRDefault="001007D2" w:rsidP="001007D2">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w:t>
      </w:r>
      <w:r w:rsidR="00AB0FD8" w:rsidRPr="0018093C">
        <w:rPr>
          <w:rFonts w:ascii="Times New Roman" w:hAnsi="Times New Roman"/>
          <w:b/>
          <w:snapToGrid w:val="0"/>
          <w:lang w:eastAsia="en-US"/>
        </w:rPr>
        <w:t>5</w:t>
      </w:r>
      <w:r w:rsidRPr="0018093C">
        <w:rPr>
          <w:rFonts w:ascii="Times New Roman" w:hAnsi="Times New Roman"/>
          <w:b/>
          <w:snapToGrid w:val="0"/>
          <w:lang w:eastAsia="en-US"/>
        </w:rPr>
        <w:br/>
      </w:r>
      <w:r w:rsidR="00AB0FD8" w:rsidRPr="0018093C">
        <w:rPr>
          <w:rFonts w:ascii="Times New Roman" w:eastAsia="SimSun" w:hAnsi="Times New Roman"/>
          <w:b/>
          <w:spacing w:val="-3"/>
          <w:szCs w:val="24"/>
        </w:rPr>
        <w:t>Long-Term Real GDP and Inflation Forecasts</w:t>
      </w:r>
    </w:p>
    <w:tbl>
      <w:tblPr>
        <w:tblW w:w="6890" w:type="dxa"/>
        <w:jc w:val="center"/>
        <w:tblInd w:w="1440" w:type="dxa"/>
        <w:tblLook w:val="04A0" w:firstRow="1" w:lastRow="0" w:firstColumn="1" w:lastColumn="0" w:noHBand="0" w:noVBand="1"/>
      </w:tblPr>
      <w:tblGrid>
        <w:gridCol w:w="1800"/>
        <w:gridCol w:w="1430"/>
        <w:gridCol w:w="1440"/>
        <w:gridCol w:w="920"/>
        <w:gridCol w:w="1300"/>
      </w:tblGrid>
      <w:tr w:rsidR="007A5C88" w:rsidRPr="0018093C" w14:paraId="71C4AC7E" w14:textId="77777777" w:rsidTr="00AB0FD8">
        <w:trPr>
          <w:trHeight w:val="360"/>
          <w:jc w:val="center"/>
        </w:trPr>
        <w:tc>
          <w:tcPr>
            <w:tcW w:w="1800" w:type="dxa"/>
            <w:tcBorders>
              <w:top w:val="nil"/>
              <w:left w:val="nil"/>
              <w:bottom w:val="nil"/>
              <w:right w:val="nil"/>
            </w:tcBorders>
            <w:shd w:val="clear" w:color="auto" w:fill="auto"/>
            <w:noWrap/>
            <w:vAlign w:val="bottom"/>
            <w:hideMark/>
          </w:tcPr>
          <w:p w14:paraId="7F182476"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szCs w:val="24"/>
                <w:lang w:eastAsia="en-US"/>
              </w:rPr>
            </w:pPr>
          </w:p>
        </w:tc>
        <w:tc>
          <w:tcPr>
            <w:tcW w:w="1430" w:type="dxa"/>
            <w:tcBorders>
              <w:top w:val="nil"/>
              <w:left w:val="nil"/>
              <w:bottom w:val="nil"/>
              <w:right w:val="nil"/>
            </w:tcBorders>
            <w:shd w:val="clear" w:color="auto" w:fill="auto"/>
            <w:noWrap/>
            <w:vAlign w:val="bottom"/>
            <w:hideMark/>
          </w:tcPr>
          <w:p w14:paraId="5C3BAE63"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(1)</w:t>
            </w:r>
          </w:p>
        </w:tc>
        <w:tc>
          <w:tcPr>
            <w:tcW w:w="1440" w:type="dxa"/>
            <w:tcBorders>
              <w:top w:val="nil"/>
              <w:left w:val="nil"/>
              <w:bottom w:val="nil"/>
              <w:right w:val="nil"/>
            </w:tcBorders>
            <w:shd w:val="clear" w:color="auto" w:fill="auto"/>
            <w:noWrap/>
            <w:vAlign w:val="bottom"/>
            <w:hideMark/>
          </w:tcPr>
          <w:p w14:paraId="789DFEFA"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(2)</w:t>
            </w:r>
          </w:p>
        </w:tc>
        <w:tc>
          <w:tcPr>
            <w:tcW w:w="920" w:type="dxa"/>
            <w:tcBorders>
              <w:top w:val="nil"/>
              <w:left w:val="nil"/>
              <w:bottom w:val="nil"/>
              <w:right w:val="nil"/>
            </w:tcBorders>
            <w:shd w:val="clear" w:color="auto" w:fill="auto"/>
            <w:noWrap/>
            <w:vAlign w:val="bottom"/>
            <w:hideMark/>
          </w:tcPr>
          <w:p w14:paraId="604BB60D"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(3)</w:t>
            </w:r>
          </w:p>
        </w:tc>
        <w:tc>
          <w:tcPr>
            <w:tcW w:w="1300" w:type="dxa"/>
            <w:tcBorders>
              <w:top w:val="nil"/>
              <w:left w:val="nil"/>
              <w:bottom w:val="nil"/>
              <w:right w:val="nil"/>
            </w:tcBorders>
            <w:shd w:val="clear" w:color="auto" w:fill="auto"/>
            <w:noWrap/>
            <w:vAlign w:val="bottom"/>
            <w:hideMark/>
          </w:tcPr>
          <w:p w14:paraId="53940D07"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(4)</w:t>
            </w:r>
          </w:p>
        </w:tc>
      </w:tr>
      <w:tr w:rsidR="007A5C88" w:rsidRPr="0018093C" w14:paraId="19406B38"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211A4DA5"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p>
        </w:tc>
        <w:tc>
          <w:tcPr>
            <w:tcW w:w="1430" w:type="dxa"/>
            <w:tcBorders>
              <w:top w:val="nil"/>
              <w:left w:val="nil"/>
              <w:bottom w:val="nil"/>
              <w:right w:val="nil"/>
            </w:tcBorders>
            <w:shd w:val="clear" w:color="auto" w:fill="auto"/>
            <w:noWrap/>
            <w:vAlign w:val="bottom"/>
            <w:hideMark/>
          </w:tcPr>
          <w:p w14:paraId="09216DC4"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Real GDP Gth</w:t>
            </w:r>
          </w:p>
        </w:tc>
        <w:tc>
          <w:tcPr>
            <w:tcW w:w="1440" w:type="dxa"/>
            <w:tcBorders>
              <w:top w:val="nil"/>
              <w:left w:val="nil"/>
              <w:bottom w:val="nil"/>
              <w:right w:val="nil"/>
            </w:tcBorders>
            <w:shd w:val="clear" w:color="auto" w:fill="auto"/>
            <w:noWrap/>
            <w:vAlign w:val="bottom"/>
            <w:hideMark/>
          </w:tcPr>
          <w:p w14:paraId="627C9BDE"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GDP Deflator</w:t>
            </w:r>
          </w:p>
        </w:tc>
        <w:tc>
          <w:tcPr>
            <w:tcW w:w="920" w:type="dxa"/>
            <w:tcBorders>
              <w:top w:val="nil"/>
              <w:left w:val="nil"/>
              <w:bottom w:val="nil"/>
              <w:right w:val="nil"/>
            </w:tcBorders>
            <w:shd w:val="clear" w:color="auto" w:fill="auto"/>
            <w:noWrap/>
            <w:vAlign w:val="bottom"/>
            <w:hideMark/>
          </w:tcPr>
          <w:p w14:paraId="61747F2B"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CPI</w:t>
            </w:r>
          </w:p>
        </w:tc>
        <w:tc>
          <w:tcPr>
            <w:tcW w:w="1300" w:type="dxa"/>
            <w:tcBorders>
              <w:top w:val="nil"/>
              <w:left w:val="nil"/>
              <w:bottom w:val="nil"/>
              <w:right w:val="nil"/>
            </w:tcBorders>
            <w:shd w:val="clear" w:color="auto" w:fill="auto"/>
            <w:noWrap/>
            <w:vAlign w:val="bottom"/>
            <w:hideMark/>
          </w:tcPr>
          <w:p w14:paraId="4D3F8790"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30-yr - TIPS</w:t>
            </w:r>
          </w:p>
        </w:tc>
      </w:tr>
      <w:tr w:rsidR="007A5C88" w:rsidRPr="0018093C" w14:paraId="1DC0D033"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575DF6E5"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Value Line</w:t>
            </w:r>
          </w:p>
        </w:tc>
        <w:tc>
          <w:tcPr>
            <w:tcW w:w="1430" w:type="dxa"/>
            <w:tcBorders>
              <w:top w:val="nil"/>
              <w:left w:val="nil"/>
              <w:bottom w:val="nil"/>
              <w:right w:val="nil"/>
            </w:tcBorders>
            <w:shd w:val="clear" w:color="auto" w:fill="auto"/>
            <w:noWrap/>
            <w:vAlign w:val="bottom"/>
            <w:hideMark/>
          </w:tcPr>
          <w:p w14:paraId="4AD587D5"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3.2%</w:t>
            </w:r>
          </w:p>
        </w:tc>
        <w:tc>
          <w:tcPr>
            <w:tcW w:w="1440" w:type="dxa"/>
            <w:tcBorders>
              <w:top w:val="nil"/>
              <w:left w:val="nil"/>
              <w:bottom w:val="nil"/>
              <w:right w:val="nil"/>
            </w:tcBorders>
            <w:shd w:val="clear" w:color="auto" w:fill="auto"/>
            <w:noWrap/>
            <w:vAlign w:val="bottom"/>
            <w:hideMark/>
          </w:tcPr>
          <w:p w14:paraId="7CC8CBA5"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1.8%</w:t>
            </w:r>
          </w:p>
        </w:tc>
        <w:tc>
          <w:tcPr>
            <w:tcW w:w="920" w:type="dxa"/>
            <w:tcBorders>
              <w:top w:val="nil"/>
              <w:left w:val="nil"/>
              <w:bottom w:val="nil"/>
              <w:right w:val="nil"/>
            </w:tcBorders>
            <w:shd w:val="clear" w:color="auto" w:fill="auto"/>
            <w:noWrap/>
            <w:vAlign w:val="bottom"/>
            <w:hideMark/>
          </w:tcPr>
          <w:p w14:paraId="3E396DE8"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2.3%</w:t>
            </w:r>
          </w:p>
        </w:tc>
        <w:tc>
          <w:tcPr>
            <w:tcW w:w="1300" w:type="dxa"/>
            <w:tcBorders>
              <w:top w:val="nil"/>
              <w:left w:val="nil"/>
              <w:bottom w:val="nil"/>
              <w:right w:val="nil"/>
            </w:tcBorders>
            <w:shd w:val="clear" w:color="auto" w:fill="auto"/>
            <w:noWrap/>
            <w:vAlign w:val="bottom"/>
            <w:hideMark/>
          </w:tcPr>
          <w:p w14:paraId="3C3A2596"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2BE533F2"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08FFECCD"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Global Insight</w:t>
            </w:r>
          </w:p>
        </w:tc>
        <w:tc>
          <w:tcPr>
            <w:tcW w:w="1430" w:type="dxa"/>
            <w:tcBorders>
              <w:top w:val="nil"/>
              <w:left w:val="nil"/>
              <w:bottom w:val="nil"/>
              <w:right w:val="nil"/>
            </w:tcBorders>
            <w:shd w:val="clear" w:color="auto" w:fill="auto"/>
            <w:noWrap/>
            <w:vAlign w:val="bottom"/>
            <w:hideMark/>
          </w:tcPr>
          <w:p w14:paraId="5D2C37C2"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c>
          <w:tcPr>
            <w:tcW w:w="1440" w:type="dxa"/>
            <w:tcBorders>
              <w:top w:val="nil"/>
              <w:left w:val="nil"/>
              <w:bottom w:val="nil"/>
              <w:right w:val="nil"/>
            </w:tcBorders>
            <w:shd w:val="clear" w:color="auto" w:fill="auto"/>
            <w:noWrap/>
            <w:vAlign w:val="bottom"/>
            <w:hideMark/>
          </w:tcPr>
          <w:p w14:paraId="0463EBAA"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2.0%</w:t>
            </w:r>
          </w:p>
        </w:tc>
        <w:tc>
          <w:tcPr>
            <w:tcW w:w="920" w:type="dxa"/>
            <w:tcBorders>
              <w:top w:val="nil"/>
              <w:left w:val="nil"/>
              <w:bottom w:val="nil"/>
              <w:right w:val="nil"/>
            </w:tcBorders>
            <w:shd w:val="clear" w:color="auto" w:fill="auto"/>
            <w:noWrap/>
            <w:vAlign w:val="bottom"/>
            <w:hideMark/>
          </w:tcPr>
          <w:p w14:paraId="0854989A"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2.3%</w:t>
            </w:r>
          </w:p>
        </w:tc>
        <w:tc>
          <w:tcPr>
            <w:tcW w:w="1300" w:type="dxa"/>
            <w:tcBorders>
              <w:top w:val="nil"/>
              <w:left w:val="nil"/>
              <w:bottom w:val="nil"/>
              <w:right w:val="nil"/>
            </w:tcBorders>
            <w:shd w:val="clear" w:color="auto" w:fill="auto"/>
            <w:noWrap/>
            <w:vAlign w:val="bottom"/>
            <w:hideMark/>
          </w:tcPr>
          <w:p w14:paraId="306EF622"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288C1CB1"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13068A3B"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EIA</w:t>
            </w:r>
          </w:p>
        </w:tc>
        <w:tc>
          <w:tcPr>
            <w:tcW w:w="1430" w:type="dxa"/>
            <w:tcBorders>
              <w:top w:val="nil"/>
              <w:left w:val="nil"/>
              <w:bottom w:val="nil"/>
              <w:right w:val="nil"/>
            </w:tcBorders>
            <w:shd w:val="clear" w:color="auto" w:fill="auto"/>
            <w:noWrap/>
            <w:vAlign w:val="bottom"/>
            <w:hideMark/>
          </w:tcPr>
          <w:p w14:paraId="7CF1BF90"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c>
          <w:tcPr>
            <w:tcW w:w="1440" w:type="dxa"/>
            <w:tcBorders>
              <w:top w:val="nil"/>
              <w:left w:val="nil"/>
              <w:bottom w:val="nil"/>
              <w:right w:val="nil"/>
            </w:tcBorders>
            <w:shd w:val="clear" w:color="auto" w:fill="auto"/>
            <w:noWrap/>
            <w:vAlign w:val="bottom"/>
            <w:hideMark/>
          </w:tcPr>
          <w:p w14:paraId="614EF81D"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1.8%</w:t>
            </w:r>
          </w:p>
        </w:tc>
        <w:tc>
          <w:tcPr>
            <w:tcW w:w="920" w:type="dxa"/>
            <w:tcBorders>
              <w:top w:val="nil"/>
              <w:left w:val="nil"/>
              <w:bottom w:val="nil"/>
              <w:right w:val="nil"/>
            </w:tcBorders>
            <w:shd w:val="clear" w:color="auto" w:fill="auto"/>
            <w:noWrap/>
            <w:vAlign w:val="bottom"/>
            <w:hideMark/>
          </w:tcPr>
          <w:p w14:paraId="2D9153AB"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2.1%</w:t>
            </w:r>
          </w:p>
        </w:tc>
        <w:tc>
          <w:tcPr>
            <w:tcW w:w="1300" w:type="dxa"/>
            <w:tcBorders>
              <w:top w:val="nil"/>
              <w:left w:val="nil"/>
              <w:bottom w:val="nil"/>
              <w:right w:val="nil"/>
            </w:tcBorders>
            <w:shd w:val="clear" w:color="auto" w:fill="auto"/>
            <w:noWrap/>
            <w:vAlign w:val="bottom"/>
            <w:hideMark/>
          </w:tcPr>
          <w:p w14:paraId="3B438683"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5217ADA9"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2235889F"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World Bank</w:t>
            </w:r>
          </w:p>
        </w:tc>
        <w:tc>
          <w:tcPr>
            <w:tcW w:w="1430" w:type="dxa"/>
            <w:tcBorders>
              <w:top w:val="nil"/>
              <w:left w:val="nil"/>
              <w:bottom w:val="nil"/>
              <w:right w:val="nil"/>
            </w:tcBorders>
            <w:shd w:val="clear" w:color="auto" w:fill="auto"/>
            <w:noWrap/>
            <w:vAlign w:val="bottom"/>
            <w:hideMark/>
          </w:tcPr>
          <w:p w14:paraId="7AC6F8D3"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3.0%</w:t>
            </w:r>
          </w:p>
        </w:tc>
        <w:tc>
          <w:tcPr>
            <w:tcW w:w="1440" w:type="dxa"/>
            <w:tcBorders>
              <w:top w:val="nil"/>
              <w:left w:val="nil"/>
              <w:bottom w:val="nil"/>
              <w:right w:val="nil"/>
            </w:tcBorders>
            <w:shd w:val="clear" w:color="auto" w:fill="auto"/>
            <w:noWrap/>
            <w:vAlign w:val="bottom"/>
            <w:hideMark/>
          </w:tcPr>
          <w:p w14:paraId="3E44B847"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w:t>
            </w:r>
          </w:p>
        </w:tc>
        <w:tc>
          <w:tcPr>
            <w:tcW w:w="920" w:type="dxa"/>
            <w:tcBorders>
              <w:top w:val="nil"/>
              <w:left w:val="nil"/>
              <w:bottom w:val="nil"/>
              <w:right w:val="nil"/>
            </w:tcBorders>
            <w:shd w:val="clear" w:color="auto" w:fill="auto"/>
            <w:noWrap/>
            <w:vAlign w:val="bottom"/>
            <w:hideMark/>
          </w:tcPr>
          <w:p w14:paraId="6D5E5EEC"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2.2%</w:t>
            </w:r>
          </w:p>
        </w:tc>
        <w:tc>
          <w:tcPr>
            <w:tcW w:w="1300" w:type="dxa"/>
            <w:tcBorders>
              <w:top w:val="nil"/>
              <w:left w:val="nil"/>
              <w:bottom w:val="nil"/>
              <w:right w:val="nil"/>
            </w:tcBorders>
            <w:shd w:val="clear" w:color="auto" w:fill="auto"/>
            <w:noWrap/>
            <w:vAlign w:val="bottom"/>
            <w:hideMark/>
          </w:tcPr>
          <w:p w14:paraId="586C697C"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78666EBF"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716E10A5" w14:textId="77777777" w:rsidR="007A5C88" w:rsidRPr="0018093C" w:rsidRDefault="007A5C88" w:rsidP="00AB0FD8">
            <w:pPr>
              <w:widowControl w:val="0"/>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CBO</w:t>
            </w:r>
          </w:p>
        </w:tc>
        <w:tc>
          <w:tcPr>
            <w:tcW w:w="1430" w:type="dxa"/>
            <w:tcBorders>
              <w:top w:val="nil"/>
              <w:left w:val="nil"/>
              <w:bottom w:val="nil"/>
              <w:right w:val="nil"/>
            </w:tcBorders>
            <w:shd w:val="clear" w:color="auto" w:fill="auto"/>
            <w:noWrap/>
            <w:vAlign w:val="bottom"/>
            <w:hideMark/>
          </w:tcPr>
          <w:p w14:paraId="26818B7F"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2.1%</w:t>
            </w:r>
          </w:p>
        </w:tc>
        <w:tc>
          <w:tcPr>
            <w:tcW w:w="1440" w:type="dxa"/>
            <w:tcBorders>
              <w:top w:val="nil"/>
              <w:left w:val="nil"/>
              <w:bottom w:val="nil"/>
              <w:right w:val="nil"/>
            </w:tcBorders>
            <w:shd w:val="clear" w:color="auto" w:fill="auto"/>
            <w:noWrap/>
            <w:vAlign w:val="bottom"/>
            <w:hideMark/>
          </w:tcPr>
          <w:p w14:paraId="52D13CDC"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2.0%</w:t>
            </w:r>
          </w:p>
        </w:tc>
        <w:tc>
          <w:tcPr>
            <w:tcW w:w="920" w:type="dxa"/>
            <w:tcBorders>
              <w:top w:val="nil"/>
              <w:left w:val="nil"/>
              <w:bottom w:val="nil"/>
              <w:right w:val="nil"/>
            </w:tcBorders>
            <w:shd w:val="clear" w:color="auto" w:fill="auto"/>
            <w:noWrap/>
            <w:vAlign w:val="bottom"/>
            <w:hideMark/>
          </w:tcPr>
          <w:p w14:paraId="4018A6D4"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c>
          <w:tcPr>
            <w:tcW w:w="1300" w:type="dxa"/>
            <w:tcBorders>
              <w:top w:val="nil"/>
              <w:left w:val="nil"/>
              <w:bottom w:val="nil"/>
              <w:right w:val="nil"/>
            </w:tcBorders>
            <w:shd w:val="clear" w:color="auto" w:fill="auto"/>
            <w:noWrap/>
            <w:vAlign w:val="bottom"/>
            <w:hideMark/>
          </w:tcPr>
          <w:p w14:paraId="0CC4E3DE"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bl>
    <w:p w14:paraId="0CB390F2" w14:textId="77777777" w:rsidR="007A5C88" w:rsidRPr="0018093C" w:rsidRDefault="007A5C88" w:rsidP="007A5C88">
      <w:pPr>
        <w:spacing w:before="360" w:after="120" w:line="480" w:lineRule="auto"/>
        <w:ind w:left="720" w:firstLine="0"/>
      </w:pPr>
      <w:r w:rsidRPr="0018093C">
        <w:t>Column</w:t>
      </w:r>
      <w:r w:rsidR="00AB0FD8" w:rsidRPr="0018093C">
        <w:t> </w:t>
      </w:r>
      <w:r w:rsidRPr="0018093C">
        <w:t xml:space="preserve">1 </w:t>
      </w:r>
      <w:r w:rsidR="00AB0FD8" w:rsidRPr="0018093C">
        <w:t xml:space="preserve">of Table 5 </w:t>
      </w:r>
      <w:r w:rsidRPr="0018093C">
        <w:t xml:space="preserve">displays the real GDP growth forecasts from </w:t>
      </w:r>
      <w:r w:rsidR="00AB0FD8" w:rsidRPr="0018093C">
        <w:t xml:space="preserve">five </w:t>
      </w:r>
      <w:r w:rsidRPr="0018093C">
        <w:t xml:space="preserve">prominent sources: </w:t>
      </w:r>
      <w:r w:rsidR="00AB0FD8" w:rsidRPr="0018093C">
        <w:t xml:space="preserve"> </w:t>
      </w:r>
      <w:r w:rsidRPr="0018093C">
        <w:t xml:space="preserve">Value Line, Global Insight, Energy </w:t>
      </w:r>
      <w:r w:rsidR="00C16B04" w:rsidRPr="0018093C">
        <w:t>Information Administration (“EIA”)</w:t>
      </w:r>
      <w:r w:rsidRPr="0018093C">
        <w:t>, World Bank and the Congressional Budget Office (</w:t>
      </w:r>
      <w:r w:rsidR="00942E42" w:rsidRPr="0018093C">
        <w:t>“</w:t>
      </w:r>
      <w:r w:rsidRPr="0018093C">
        <w:t>CBO</w:t>
      </w:r>
      <w:r w:rsidR="00942E42" w:rsidRPr="0018093C">
        <w:t>”</w:t>
      </w:r>
      <w:r w:rsidRPr="0018093C">
        <w:t>).  Column</w:t>
      </w:r>
      <w:r w:rsidR="00AB0FD8" w:rsidRPr="0018093C">
        <w:t> </w:t>
      </w:r>
      <w:r w:rsidRPr="0018093C">
        <w:t xml:space="preserve">2 </w:t>
      </w:r>
      <w:r w:rsidR="00AB0FD8" w:rsidRPr="0018093C">
        <w:t xml:space="preserve">of Table 5 </w:t>
      </w:r>
      <w:r w:rsidRPr="0018093C">
        <w:t xml:space="preserve">shows the GDP deflator forecast from the same sources </w:t>
      </w:r>
      <w:r w:rsidR="00AB0FD8" w:rsidRPr="0018093C">
        <w:t xml:space="preserve">(other than the </w:t>
      </w:r>
      <w:r w:rsidRPr="0018093C">
        <w:t>World Bank</w:t>
      </w:r>
      <w:r w:rsidR="00AB0FD8" w:rsidRPr="0018093C">
        <w:t xml:space="preserve">).  </w:t>
      </w:r>
      <w:r w:rsidRPr="0018093C">
        <w:t>Column</w:t>
      </w:r>
      <w:r w:rsidR="00AB0FD8" w:rsidRPr="0018093C">
        <w:t> </w:t>
      </w:r>
      <w:r w:rsidRPr="0018093C">
        <w:t xml:space="preserve">3 </w:t>
      </w:r>
      <w:r w:rsidR="00AB0FD8" w:rsidRPr="0018093C">
        <w:t xml:space="preserve">of Table 5 </w:t>
      </w:r>
      <w:r w:rsidRPr="0018093C">
        <w:t>shows the long-term CPI forecast from all five s</w:t>
      </w:r>
      <w:r w:rsidR="00AB0FD8" w:rsidRPr="0018093C">
        <w:t xml:space="preserve">ources.  </w:t>
      </w:r>
      <w:r w:rsidRPr="0018093C">
        <w:t>Column</w:t>
      </w:r>
      <w:r w:rsidR="00AB0FD8" w:rsidRPr="0018093C">
        <w:t> </w:t>
      </w:r>
      <w:r w:rsidRPr="0018093C">
        <w:t xml:space="preserve">4 </w:t>
      </w:r>
      <w:r w:rsidR="00AB0FD8" w:rsidRPr="0018093C">
        <w:t xml:space="preserve">of Table 5 </w:t>
      </w:r>
      <w:r w:rsidRPr="0018093C">
        <w:t>calculates the long-term inflation rate implied in current 30-year U.S. Treasury bond yields by subtracting the yield on 30-year inflation-protected bonds (</w:t>
      </w:r>
      <w:r w:rsidR="00942E42" w:rsidRPr="0018093C">
        <w:t>“</w:t>
      </w:r>
      <w:r w:rsidRPr="0018093C">
        <w:t>TIPS</w:t>
      </w:r>
      <w:r w:rsidR="00942E42" w:rsidRPr="0018093C">
        <w:t>”</w:t>
      </w:r>
      <w:r w:rsidRPr="0018093C">
        <w:t>) from the nominal yield on 30-year bonds.</w:t>
      </w:r>
    </w:p>
    <w:p w14:paraId="5FCC5B9E" w14:textId="77777777" w:rsidR="007A5C88" w:rsidRPr="0018093C" w:rsidRDefault="00AB0FD8" w:rsidP="007A5C88">
      <w:pPr>
        <w:spacing w:before="120" w:after="120" w:line="480" w:lineRule="auto"/>
        <w:ind w:left="720" w:firstLine="0"/>
      </w:pPr>
      <w:r w:rsidRPr="0018093C">
        <w:t xml:space="preserve">Table 6 </w:t>
      </w:r>
      <w:r w:rsidR="007A5C88" w:rsidRPr="0018093C">
        <w:t>below shows the nominal GDP growth forecast obtained by substituting the real GDP growth forecast and the long-term inflation forecast in the following equation for each of the five forecasters:</w:t>
      </w:r>
    </w:p>
    <w:p w14:paraId="3DE3B615" w14:textId="77777777" w:rsidR="007A5C88" w:rsidRPr="0018093C" w:rsidRDefault="007A5C88" w:rsidP="007A5C88">
      <w:pPr>
        <w:spacing w:before="120" w:after="120" w:line="480" w:lineRule="auto"/>
        <w:ind w:left="720" w:hanging="720"/>
        <w:jc w:val="center"/>
      </w:pPr>
      <w:r w:rsidRPr="0018093C">
        <w:t>(1 + nominal GDP growth) = (1 + inflation)(1  + real GDP growth)</w:t>
      </w:r>
    </w:p>
    <w:p w14:paraId="63CD1CDE" w14:textId="77777777" w:rsidR="007A5C88" w:rsidRPr="0018093C" w:rsidRDefault="00AB0FD8" w:rsidP="00AB0FD8">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6</w:t>
      </w:r>
      <w:r w:rsidRPr="0018093C">
        <w:rPr>
          <w:rFonts w:ascii="Times New Roman" w:hAnsi="Times New Roman"/>
          <w:b/>
          <w:snapToGrid w:val="0"/>
          <w:lang w:eastAsia="en-US"/>
        </w:rPr>
        <w:br/>
      </w:r>
      <w:r w:rsidRPr="0018093C">
        <w:rPr>
          <w:rFonts w:ascii="Times New Roman" w:eastAsia="SimSun" w:hAnsi="Times New Roman"/>
          <w:b/>
          <w:spacing w:val="-3"/>
          <w:szCs w:val="24"/>
        </w:rPr>
        <w:t>Nominal GDP Forecasts</w:t>
      </w:r>
    </w:p>
    <w:tbl>
      <w:tblPr>
        <w:tblW w:w="8760" w:type="dxa"/>
        <w:tblInd w:w="93" w:type="dxa"/>
        <w:tblLook w:val="04A0" w:firstRow="1" w:lastRow="0" w:firstColumn="1" w:lastColumn="0" w:noHBand="0" w:noVBand="1"/>
      </w:tblPr>
      <w:tblGrid>
        <w:gridCol w:w="1900"/>
        <w:gridCol w:w="1720"/>
        <w:gridCol w:w="1780"/>
        <w:gridCol w:w="1760"/>
        <w:gridCol w:w="1600"/>
      </w:tblGrid>
      <w:tr w:rsidR="007A5C88" w:rsidRPr="0018093C" w14:paraId="2CF0E007" w14:textId="77777777" w:rsidTr="009013C9">
        <w:trPr>
          <w:trHeight w:val="360"/>
        </w:trPr>
        <w:tc>
          <w:tcPr>
            <w:tcW w:w="1900" w:type="dxa"/>
            <w:tcBorders>
              <w:top w:val="nil"/>
              <w:left w:val="nil"/>
              <w:bottom w:val="nil"/>
              <w:right w:val="nil"/>
            </w:tcBorders>
            <w:shd w:val="clear" w:color="auto" w:fill="auto"/>
            <w:noWrap/>
            <w:vAlign w:val="bottom"/>
            <w:hideMark/>
          </w:tcPr>
          <w:p w14:paraId="4ED9574D" w14:textId="77777777" w:rsidR="007A5C88" w:rsidRPr="0018093C" w:rsidRDefault="007A5C88" w:rsidP="00AB0FD8">
            <w:pPr>
              <w:keepNext/>
              <w:keepLines/>
              <w:spacing w:before="60" w:after="60" w:line="240" w:lineRule="auto"/>
              <w:ind w:firstLine="0"/>
              <w:jc w:val="center"/>
              <w:rPr>
                <w:color w:val="000000"/>
                <w:szCs w:val="24"/>
                <w:lang w:eastAsia="en-US"/>
              </w:rPr>
            </w:pPr>
          </w:p>
        </w:tc>
        <w:tc>
          <w:tcPr>
            <w:tcW w:w="1720" w:type="dxa"/>
            <w:tcBorders>
              <w:top w:val="nil"/>
              <w:left w:val="nil"/>
              <w:bottom w:val="nil"/>
              <w:right w:val="nil"/>
            </w:tcBorders>
            <w:shd w:val="clear" w:color="auto" w:fill="auto"/>
            <w:noWrap/>
            <w:vAlign w:val="bottom"/>
            <w:hideMark/>
          </w:tcPr>
          <w:p w14:paraId="02F6F8F9"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(1)</w:t>
            </w:r>
          </w:p>
        </w:tc>
        <w:tc>
          <w:tcPr>
            <w:tcW w:w="1780" w:type="dxa"/>
            <w:tcBorders>
              <w:top w:val="nil"/>
              <w:left w:val="nil"/>
              <w:bottom w:val="nil"/>
              <w:right w:val="nil"/>
            </w:tcBorders>
            <w:shd w:val="clear" w:color="auto" w:fill="auto"/>
            <w:noWrap/>
            <w:vAlign w:val="bottom"/>
            <w:hideMark/>
          </w:tcPr>
          <w:p w14:paraId="57BA0D5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(2)</w:t>
            </w:r>
          </w:p>
        </w:tc>
        <w:tc>
          <w:tcPr>
            <w:tcW w:w="1760" w:type="dxa"/>
            <w:tcBorders>
              <w:top w:val="nil"/>
              <w:left w:val="nil"/>
              <w:bottom w:val="nil"/>
              <w:right w:val="nil"/>
            </w:tcBorders>
            <w:shd w:val="clear" w:color="auto" w:fill="auto"/>
            <w:noWrap/>
            <w:vAlign w:val="bottom"/>
            <w:hideMark/>
          </w:tcPr>
          <w:p w14:paraId="179DEAB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(3)</w:t>
            </w:r>
          </w:p>
        </w:tc>
        <w:tc>
          <w:tcPr>
            <w:tcW w:w="1600" w:type="dxa"/>
            <w:tcBorders>
              <w:top w:val="nil"/>
              <w:left w:val="nil"/>
              <w:bottom w:val="nil"/>
              <w:right w:val="nil"/>
            </w:tcBorders>
            <w:shd w:val="clear" w:color="auto" w:fill="auto"/>
            <w:noWrap/>
            <w:vAlign w:val="bottom"/>
            <w:hideMark/>
          </w:tcPr>
          <w:p w14:paraId="20425CDA"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w:t>
            </w:r>
          </w:p>
        </w:tc>
      </w:tr>
      <w:tr w:rsidR="007A5C88" w:rsidRPr="0018093C" w14:paraId="15787F11" w14:textId="77777777" w:rsidTr="009013C9">
        <w:trPr>
          <w:trHeight w:val="300"/>
        </w:trPr>
        <w:tc>
          <w:tcPr>
            <w:tcW w:w="1900" w:type="dxa"/>
            <w:tcBorders>
              <w:top w:val="nil"/>
              <w:left w:val="nil"/>
              <w:bottom w:val="nil"/>
              <w:right w:val="nil"/>
            </w:tcBorders>
            <w:shd w:val="clear" w:color="auto" w:fill="auto"/>
            <w:noWrap/>
            <w:vAlign w:val="bottom"/>
            <w:hideMark/>
          </w:tcPr>
          <w:p w14:paraId="2FCF354D" w14:textId="77777777" w:rsidR="007A5C88" w:rsidRPr="0018093C" w:rsidRDefault="007A5C88" w:rsidP="00AB0FD8">
            <w:pPr>
              <w:keepNext/>
              <w:keepLines/>
              <w:spacing w:before="60" w:after="60" w:line="240" w:lineRule="auto"/>
              <w:ind w:firstLine="0"/>
              <w:rPr>
                <w:color w:val="000000"/>
                <w:szCs w:val="24"/>
                <w:lang w:eastAsia="en-US"/>
              </w:rPr>
            </w:pPr>
          </w:p>
        </w:tc>
        <w:tc>
          <w:tcPr>
            <w:tcW w:w="1720" w:type="dxa"/>
            <w:tcBorders>
              <w:top w:val="nil"/>
              <w:left w:val="nil"/>
              <w:bottom w:val="nil"/>
              <w:right w:val="nil"/>
            </w:tcBorders>
            <w:shd w:val="clear" w:color="auto" w:fill="auto"/>
            <w:noWrap/>
            <w:vAlign w:val="bottom"/>
            <w:hideMark/>
          </w:tcPr>
          <w:p w14:paraId="3B3C8CC3"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Nom Gth</w:t>
            </w:r>
          </w:p>
        </w:tc>
        <w:tc>
          <w:tcPr>
            <w:tcW w:w="1780" w:type="dxa"/>
            <w:tcBorders>
              <w:top w:val="nil"/>
              <w:left w:val="nil"/>
              <w:bottom w:val="nil"/>
              <w:right w:val="nil"/>
            </w:tcBorders>
            <w:shd w:val="clear" w:color="auto" w:fill="auto"/>
            <w:noWrap/>
            <w:vAlign w:val="bottom"/>
            <w:hideMark/>
          </w:tcPr>
          <w:p w14:paraId="1CF0DAC0"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Nom Gth</w:t>
            </w:r>
          </w:p>
        </w:tc>
        <w:tc>
          <w:tcPr>
            <w:tcW w:w="1760" w:type="dxa"/>
            <w:tcBorders>
              <w:top w:val="nil"/>
              <w:left w:val="nil"/>
              <w:bottom w:val="nil"/>
              <w:right w:val="nil"/>
            </w:tcBorders>
            <w:shd w:val="clear" w:color="auto" w:fill="auto"/>
            <w:noWrap/>
            <w:vAlign w:val="bottom"/>
            <w:hideMark/>
          </w:tcPr>
          <w:p w14:paraId="5F04BD4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Nom Gth</w:t>
            </w:r>
          </w:p>
        </w:tc>
        <w:tc>
          <w:tcPr>
            <w:tcW w:w="1600" w:type="dxa"/>
            <w:tcBorders>
              <w:top w:val="nil"/>
              <w:left w:val="nil"/>
              <w:bottom w:val="nil"/>
              <w:right w:val="nil"/>
            </w:tcBorders>
            <w:shd w:val="clear" w:color="auto" w:fill="auto"/>
            <w:noWrap/>
            <w:vAlign w:val="bottom"/>
            <w:hideMark/>
          </w:tcPr>
          <w:p w14:paraId="53DE6293" w14:textId="77777777" w:rsidR="007A5C88" w:rsidRPr="0018093C" w:rsidRDefault="00AB0FD8" w:rsidP="00AB0FD8">
            <w:pPr>
              <w:keepNext/>
              <w:keepLines/>
              <w:spacing w:before="60" w:after="60" w:line="240" w:lineRule="auto"/>
              <w:ind w:firstLine="0"/>
              <w:jc w:val="center"/>
              <w:rPr>
                <w:color w:val="000000"/>
                <w:szCs w:val="24"/>
                <w:lang w:eastAsia="en-US"/>
              </w:rPr>
            </w:pPr>
            <w:r w:rsidRPr="0018093C">
              <w:rPr>
                <w:color w:val="000000"/>
                <w:szCs w:val="24"/>
                <w:lang w:eastAsia="en-US"/>
              </w:rPr>
              <w:t>Average</w:t>
            </w:r>
          </w:p>
        </w:tc>
      </w:tr>
      <w:tr w:rsidR="007A5C88" w:rsidRPr="0018093C" w14:paraId="1D11B92E" w14:textId="77777777" w:rsidTr="009013C9">
        <w:trPr>
          <w:trHeight w:val="300"/>
        </w:trPr>
        <w:tc>
          <w:tcPr>
            <w:tcW w:w="1900" w:type="dxa"/>
            <w:tcBorders>
              <w:top w:val="nil"/>
              <w:left w:val="nil"/>
              <w:bottom w:val="nil"/>
              <w:right w:val="nil"/>
            </w:tcBorders>
            <w:shd w:val="clear" w:color="auto" w:fill="auto"/>
            <w:noWrap/>
            <w:vAlign w:val="bottom"/>
            <w:hideMark/>
          </w:tcPr>
          <w:p w14:paraId="4AAF6499" w14:textId="77777777" w:rsidR="007A5C88" w:rsidRPr="0018093C" w:rsidRDefault="007A5C88" w:rsidP="00AB0FD8">
            <w:pPr>
              <w:keepNext/>
              <w:keepLines/>
              <w:spacing w:before="60" w:after="60" w:line="240" w:lineRule="auto"/>
              <w:ind w:firstLine="0"/>
              <w:jc w:val="center"/>
              <w:rPr>
                <w:color w:val="000000"/>
                <w:szCs w:val="24"/>
                <w:lang w:eastAsia="en-US"/>
              </w:rPr>
            </w:pPr>
          </w:p>
        </w:tc>
        <w:tc>
          <w:tcPr>
            <w:tcW w:w="1720" w:type="dxa"/>
            <w:tcBorders>
              <w:top w:val="nil"/>
              <w:left w:val="nil"/>
              <w:bottom w:val="nil"/>
              <w:right w:val="nil"/>
            </w:tcBorders>
            <w:shd w:val="clear" w:color="auto" w:fill="auto"/>
            <w:noWrap/>
            <w:vAlign w:val="bottom"/>
            <w:hideMark/>
          </w:tcPr>
          <w:p w14:paraId="45B32EFA"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Deflat</w:t>
            </w:r>
          </w:p>
        </w:tc>
        <w:tc>
          <w:tcPr>
            <w:tcW w:w="1780" w:type="dxa"/>
            <w:tcBorders>
              <w:top w:val="nil"/>
              <w:left w:val="nil"/>
              <w:bottom w:val="nil"/>
              <w:right w:val="nil"/>
            </w:tcBorders>
            <w:shd w:val="clear" w:color="auto" w:fill="auto"/>
            <w:noWrap/>
            <w:vAlign w:val="bottom"/>
            <w:hideMark/>
          </w:tcPr>
          <w:p w14:paraId="061E0E2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CPI</w:t>
            </w:r>
          </w:p>
        </w:tc>
        <w:tc>
          <w:tcPr>
            <w:tcW w:w="1760" w:type="dxa"/>
            <w:tcBorders>
              <w:top w:val="nil"/>
              <w:left w:val="nil"/>
              <w:bottom w:val="nil"/>
              <w:right w:val="nil"/>
            </w:tcBorders>
            <w:shd w:val="clear" w:color="auto" w:fill="auto"/>
            <w:noWrap/>
            <w:vAlign w:val="bottom"/>
            <w:hideMark/>
          </w:tcPr>
          <w:p w14:paraId="4A11C62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TIPS</w:t>
            </w:r>
          </w:p>
        </w:tc>
        <w:tc>
          <w:tcPr>
            <w:tcW w:w="1600" w:type="dxa"/>
            <w:tcBorders>
              <w:top w:val="nil"/>
              <w:left w:val="nil"/>
              <w:bottom w:val="nil"/>
              <w:right w:val="nil"/>
            </w:tcBorders>
            <w:shd w:val="clear" w:color="auto" w:fill="auto"/>
            <w:noWrap/>
            <w:vAlign w:val="bottom"/>
            <w:hideMark/>
          </w:tcPr>
          <w:p w14:paraId="26EAE9A2" w14:textId="77777777" w:rsidR="007A5C88" w:rsidRPr="0018093C" w:rsidRDefault="007A5C88" w:rsidP="00AB0FD8">
            <w:pPr>
              <w:keepNext/>
              <w:keepLines/>
              <w:spacing w:before="60" w:after="60" w:line="240" w:lineRule="auto"/>
              <w:ind w:firstLine="0"/>
              <w:rPr>
                <w:color w:val="000000"/>
                <w:szCs w:val="24"/>
                <w:lang w:eastAsia="en-US"/>
              </w:rPr>
            </w:pPr>
          </w:p>
        </w:tc>
      </w:tr>
      <w:tr w:rsidR="007A5C88" w:rsidRPr="0018093C" w14:paraId="699ACCBC" w14:textId="77777777" w:rsidTr="009013C9">
        <w:trPr>
          <w:trHeight w:val="300"/>
        </w:trPr>
        <w:tc>
          <w:tcPr>
            <w:tcW w:w="1900" w:type="dxa"/>
            <w:tcBorders>
              <w:top w:val="nil"/>
              <w:left w:val="nil"/>
              <w:bottom w:val="nil"/>
              <w:right w:val="nil"/>
            </w:tcBorders>
            <w:shd w:val="clear" w:color="auto" w:fill="auto"/>
            <w:noWrap/>
            <w:vAlign w:val="bottom"/>
            <w:hideMark/>
          </w:tcPr>
          <w:p w14:paraId="4BF9DE92" w14:textId="77777777" w:rsidR="007A5C88" w:rsidRPr="0018093C" w:rsidRDefault="007A5C88" w:rsidP="00AB0FD8">
            <w:pPr>
              <w:keepNext/>
              <w:keepLines/>
              <w:spacing w:before="60" w:after="60" w:line="240" w:lineRule="auto"/>
              <w:ind w:firstLine="0"/>
              <w:rPr>
                <w:color w:val="000000"/>
                <w:szCs w:val="24"/>
                <w:lang w:eastAsia="en-US"/>
              </w:rPr>
            </w:pPr>
            <w:r w:rsidRPr="0018093C">
              <w:rPr>
                <w:color w:val="000000"/>
                <w:szCs w:val="24"/>
                <w:lang w:eastAsia="en-US"/>
              </w:rPr>
              <w:t>Value Line</w:t>
            </w:r>
          </w:p>
        </w:tc>
        <w:tc>
          <w:tcPr>
            <w:tcW w:w="1720" w:type="dxa"/>
            <w:tcBorders>
              <w:top w:val="nil"/>
              <w:left w:val="nil"/>
              <w:bottom w:val="nil"/>
              <w:right w:val="nil"/>
            </w:tcBorders>
            <w:shd w:val="clear" w:color="auto" w:fill="auto"/>
            <w:noWrap/>
            <w:vAlign w:val="bottom"/>
            <w:hideMark/>
          </w:tcPr>
          <w:p w14:paraId="4BDC5E1B"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5.1%</w:t>
            </w:r>
          </w:p>
        </w:tc>
        <w:tc>
          <w:tcPr>
            <w:tcW w:w="1780" w:type="dxa"/>
            <w:tcBorders>
              <w:top w:val="nil"/>
              <w:left w:val="nil"/>
              <w:bottom w:val="nil"/>
              <w:right w:val="nil"/>
            </w:tcBorders>
            <w:shd w:val="clear" w:color="auto" w:fill="auto"/>
            <w:noWrap/>
            <w:vAlign w:val="bottom"/>
            <w:hideMark/>
          </w:tcPr>
          <w:p w14:paraId="60130E3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5.6%</w:t>
            </w:r>
          </w:p>
        </w:tc>
        <w:tc>
          <w:tcPr>
            <w:tcW w:w="1760" w:type="dxa"/>
            <w:tcBorders>
              <w:top w:val="nil"/>
              <w:left w:val="nil"/>
              <w:bottom w:val="nil"/>
              <w:right w:val="nil"/>
            </w:tcBorders>
            <w:shd w:val="clear" w:color="auto" w:fill="auto"/>
            <w:noWrap/>
            <w:vAlign w:val="bottom"/>
            <w:hideMark/>
          </w:tcPr>
          <w:p w14:paraId="56146C94"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5.7%</w:t>
            </w:r>
          </w:p>
        </w:tc>
        <w:tc>
          <w:tcPr>
            <w:tcW w:w="1600" w:type="dxa"/>
            <w:tcBorders>
              <w:top w:val="nil"/>
              <w:left w:val="nil"/>
              <w:bottom w:val="nil"/>
              <w:right w:val="nil"/>
            </w:tcBorders>
            <w:shd w:val="clear" w:color="auto" w:fill="auto"/>
            <w:noWrap/>
            <w:vAlign w:val="bottom"/>
            <w:hideMark/>
          </w:tcPr>
          <w:p w14:paraId="6896507D"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5.4%</w:t>
            </w:r>
          </w:p>
        </w:tc>
      </w:tr>
      <w:tr w:rsidR="007A5C88" w:rsidRPr="0018093C" w14:paraId="4A6F26EF" w14:textId="77777777" w:rsidTr="009013C9">
        <w:trPr>
          <w:trHeight w:val="300"/>
        </w:trPr>
        <w:tc>
          <w:tcPr>
            <w:tcW w:w="1900" w:type="dxa"/>
            <w:tcBorders>
              <w:top w:val="nil"/>
              <w:left w:val="nil"/>
              <w:bottom w:val="nil"/>
              <w:right w:val="nil"/>
            </w:tcBorders>
            <w:shd w:val="clear" w:color="auto" w:fill="auto"/>
            <w:noWrap/>
            <w:vAlign w:val="bottom"/>
            <w:hideMark/>
          </w:tcPr>
          <w:p w14:paraId="72AD35C4" w14:textId="77777777" w:rsidR="007A5C88" w:rsidRPr="0018093C" w:rsidRDefault="007A5C88" w:rsidP="00AB0FD8">
            <w:pPr>
              <w:keepNext/>
              <w:keepLines/>
              <w:spacing w:before="60" w:after="60" w:line="240" w:lineRule="auto"/>
              <w:ind w:firstLine="0"/>
              <w:rPr>
                <w:color w:val="000000"/>
                <w:szCs w:val="24"/>
                <w:lang w:eastAsia="en-US"/>
              </w:rPr>
            </w:pPr>
            <w:r w:rsidRPr="0018093C">
              <w:rPr>
                <w:color w:val="000000"/>
                <w:szCs w:val="24"/>
                <w:lang w:eastAsia="en-US"/>
              </w:rPr>
              <w:t>Global Insight</w:t>
            </w:r>
          </w:p>
        </w:tc>
        <w:tc>
          <w:tcPr>
            <w:tcW w:w="1720" w:type="dxa"/>
            <w:tcBorders>
              <w:top w:val="nil"/>
              <w:left w:val="nil"/>
              <w:bottom w:val="nil"/>
              <w:right w:val="nil"/>
            </w:tcBorders>
            <w:shd w:val="clear" w:color="auto" w:fill="auto"/>
            <w:noWrap/>
            <w:vAlign w:val="bottom"/>
            <w:hideMark/>
          </w:tcPr>
          <w:p w14:paraId="79F48880"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4.4%</w:t>
            </w:r>
          </w:p>
        </w:tc>
        <w:tc>
          <w:tcPr>
            <w:tcW w:w="1780" w:type="dxa"/>
            <w:tcBorders>
              <w:top w:val="nil"/>
              <w:left w:val="nil"/>
              <w:bottom w:val="nil"/>
              <w:right w:val="nil"/>
            </w:tcBorders>
            <w:shd w:val="clear" w:color="auto" w:fill="auto"/>
            <w:noWrap/>
            <w:vAlign w:val="bottom"/>
            <w:hideMark/>
          </w:tcPr>
          <w:p w14:paraId="352590B6"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4.8%</w:t>
            </w:r>
          </w:p>
        </w:tc>
        <w:tc>
          <w:tcPr>
            <w:tcW w:w="1760" w:type="dxa"/>
            <w:tcBorders>
              <w:top w:val="nil"/>
              <w:left w:val="nil"/>
              <w:bottom w:val="nil"/>
              <w:right w:val="nil"/>
            </w:tcBorders>
            <w:shd w:val="clear" w:color="auto" w:fill="auto"/>
            <w:noWrap/>
            <w:vAlign w:val="bottom"/>
            <w:hideMark/>
          </w:tcPr>
          <w:p w14:paraId="7D2D537B"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4.9%</w:t>
            </w:r>
          </w:p>
        </w:tc>
        <w:tc>
          <w:tcPr>
            <w:tcW w:w="1600" w:type="dxa"/>
            <w:tcBorders>
              <w:top w:val="nil"/>
              <w:left w:val="nil"/>
              <w:bottom w:val="nil"/>
              <w:right w:val="nil"/>
            </w:tcBorders>
            <w:shd w:val="clear" w:color="auto" w:fill="auto"/>
            <w:noWrap/>
            <w:vAlign w:val="bottom"/>
            <w:hideMark/>
          </w:tcPr>
          <w:p w14:paraId="4EE88CD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4.7%</w:t>
            </w:r>
          </w:p>
        </w:tc>
      </w:tr>
      <w:tr w:rsidR="007A5C88" w:rsidRPr="0018093C" w14:paraId="61892A82" w14:textId="77777777" w:rsidTr="009013C9">
        <w:trPr>
          <w:trHeight w:val="300"/>
        </w:trPr>
        <w:tc>
          <w:tcPr>
            <w:tcW w:w="1900" w:type="dxa"/>
            <w:tcBorders>
              <w:top w:val="nil"/>
              <w:left w:val="nil"/>
              <w:bottom w:val="nil"/>
              <w:right w:val="nil"/>
            </w:tcBorders>
            <w:shd w:val="clear" w:color="auto" w:fill="auto"/>
            <w:noWrap/>
            <w:vAlign w:val="bottom"/>
            <w:hideMark/>
          </w:tcPr>
          <w:p w14:paraId="25358614" w14:textId="77777777" w:rsidR="007A5C88" w:rsidRPr="0018093C" w:rsidRDefault="007A5C88" w:rsidP="00C16B04">
            <w:pPr>
              <w:keepNext/>
              <w:keepLines/>
              <w:spacing w:before="60" w:after="60" w:line="240" w:lineRule="auto"/>
              <w:ind w:firstLine="0"/>
              <w:rPr>
                <w:color w:val="000000"/>
                <w:szCs w:val="24"/>
                <w:lang w:eastAsia="en-US"/>
              </w:rPr>
            </w:pPr>
            <w:r w:rsidRPr="0018093C">
              <w:rPr>
                <w:color w:val="000000"/>
                <w:szCs w:val="24"/>
                <w:lang w:eastAsia="en-US"/>
              </w:rPr>
              <w:t>EIA</w:t>
            </w:r>
          </w:p>
        </w:tc>
        <w:tc>
          <w:tcPr>
            <w:tcW w:w="1720" w:type="dxa"/>
            <w:tcBorders>
              <w:top w:val="nil"/>
              <w:left w:val="nil"/>
              <w:bottom w:val="nil"/>
              <w:right w:val="nil"/>
            </w:tcBorders>
            <w:shd w:val="clear" w:color="auto" w:fill="auto"/>
            <w:noWrap/>
            <w:vAlign w:val="bottom"/>
            <w:hideMark/>
          </w:tcPr>
          <w:p w14:paraId="11656C49"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4.2%</w:t>
            </w:r>
          </w:p>
        </w:tc>
        <w:tc>
          <w:tcPr>
            <w:tcW w:w="1780" w:type="dxa"/>
            <w:tcBorders>
              <w:top w:val="nil"/>
              <w:left w:val="nil"/>
              <w:bottom w:val="nil"/>
              <w:right w:val="nil"/>
            </w:tcBorders>
            <w:shd w:val="clear" w:color="auto" w:fill="auto"/>
            <w:noWrap/>
            <w:vAlign w:val="bottom"/>
            <w:hideMark/>
          </w:tcPr>
          <w:p w14:paraId="7AF7D6C7"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c>
          <w:tcPr>
            <w:tcW w:w="1760" w:type="dxa"/>
            <w:tcBorders>
              <w:top w:val="nil"/>
              <w:left w:val="nil"/>
              <w:bottom w:val="nil"/>
              <w:right w:val="nil"/>
            </w:tcBorders>
            <w:shd w:val="clear" w:color="auto" w:fill="auto"/>
            <w:noWrap/>
            <w:vAlign w:val="bottom"/>
            <w:hideMark/>
          </w:tcPr>
          <w:p w14:paraId="10F77B3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4.9%</w:t>
            </w:r>
          </w:p>
        </w:tc>
        <w:tc>
          <w:tcPr>
            <w:tcW w:w="1600" w:type="dxa"/>
            <w:tcBorders>
              <w:top w:val="nil"/>
              <w:left w:val="nil"/>
              <w:bottom w:val="nil"/>
              <w:right w:val="nil"/>
            </w:tcBorders>
            <w:shd w:val="clear" w:color="auto" w:fill="auto"/>
            <w:noWrap/>
            <w:vAlign w:val="bottom"/>
            <w:hideMark/>
          </w:tcPr>
          <w:p w14:paraId="013ECE9E"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r>
      <w:tr w:rsidR="007A5C88" w:rsidRPr="0018093C" w14:paraId="52F04217" w14:textId="77777777" w:rsidTr="009013C9">
        <w:trPr>
          <w:trHeight w:val="300"/>
        </w:trPr>
        <w:tc>
          <w:tcPr>
            <w:tcW w:w="1900" w:type="dxa"/>
            <w:tcBorders>
              <w:top w:val="nil"/>
              <w:left w:val="nil"/>
              <w:bottom w:val="nil"/>
              <w:right w:val="nil"/>
            </w:tcBorders>
            <w:shd w:val="clear" w:color="auto" w:fill="auto"/>
            <w:noWrap/>
            <w:vAlign w:val="bottom"/>
            <w:hideMark/>
          </w:tcPr>
          <w:p w14:paraId="6630B663" w14:textId="77777777" w:rsidR="007A5C88" w:rsidRPr="0018093C" w:rsidRDefault="007A5C88" w:rsidP="00C16B04">
            <w:pPr>
              <w:keepNext/>
              <w:keepLines/>
              <w:spacing w:before="60" w:after="60" w:line="240" w:lineRule="auto"/>
              <w:ind w:firstLine="0"/>
              <w:rPr>
                <w:color w:val="000000"/>
                <w:szCs w:val="24"/>
                <w:lang w:eastAsia="en-US"/>
              </w:rPr>
            </w:pPr>
            <w:r w:rsidRPr="0018093C">
              <w:rPr>
                <w:color w:val="000000"/>
                <w:szCs w:val="24"/>
                <w:lang w:eastAsia="en-US"/>
              </w:rPr>
              <w:t>World Bank</w:t>
            </w:r>
          </w:p>
        </w:tc>
        <w:tc>
          <w:tcPr>
            <w:tcW w:w="1720" w:type="dxa"/>
            <w:tcBorders>
              <w:top w:val="nil"/>
              <w:left w:val="nil"/>
              <w:bottom w:val="nil"/>
              <w:right w:val="nil"/>
            </w:tcBorders>
            <w:shd w:val="clear" w:color="auto" w:fill="auto"/>
            <w:noWrap/>
            <w:vAlign w:val="bottom"/>
            <w:hideMark/>
          </w:tcPr>
          <w:p w14:paraId="75D1CE40" w14:textId="77777777" w:rsidR="007A5C88" w:rsidRPr="0018093C" w:rsidRDefault="007A5C88" w:rsidP="00AB0FD8">
            <w:pPr>
              <w:keepNext/>
              <w:keepLines/>
              <w:spacing w:before="60" w:after="60" w:line="240" w:lineRule="auto"/>
              <w:ind w:firstLine="0"/>
              <w:jc w:val="center"/>
              <w:rPr>
                <w:color w:val="000000"/>
                <w:szCs w:val="24"/>
                <w:lang w:eastAsia="en-US"/>
              </w:rPr>
            </w:pPr>
          </w:p>
        </w:tc>
        <w:tc>
          <w:tcPr>
            <w:tcW w:w="1780" w:type="dxa"/>
            <w:tcBorders>
              <w:top w:val="nil"/>
              <w:left w:val="nil"/>
              <w:bottom w:val="nil"/>
              <w:right w:val="nil"/>
            </w:tcBorders>
            <w:shd w:val="clear" w:color="auto" w:fill="auto"/>
            <w:noWrap/>
            <w:vAlign w:val="bottom"/>
            <w:hideMark/>
          </w:tcPr>
          <w:p w14:paraId="0CE268BC"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5.3%</w:t>
            </w:r>
          </w:p>
        </w:tc>
        <w:tc>
          <w:tcPr>
            <w:tcW w:w="1760" w:type="dxa"/>
            <w:tcBorders>
              <w:top w:val="nil"/>
              <w:left w:val="nil"/>
              <w:bottom w:val="nil"/>
              <w:right w:val="nil"/>
            </w:tcBorders>
            <w:shd w:val="clear" w:color="auto" w:fill="auto"/>
            <w:noWrap/>
            <w:vAlign w:val="bottom"/>
            <w:hideMark/>
          </w:tcPr>
          <w:p w14:paraId="64D8B4F5"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5.5%</w:t>
            </w:r>
          </w:p>
        </w:tc>
        <w:tc>
          <w:tcPr>
            <w:tcW w:w="1600" w:type="dxa"/>
            <w:tcBorders>
              <w:top w:val="nil"/>
              <w:left w:val="nil"/>
              <w:bottom w:val="nil"/>
              <w:right w:val="nil"/>
            </w:tcBorders>
            <w:shd w:val="clear" w:color="auto" w:fill="auto"/>
            <w:noWrap/>
            <w:vAlign w:val="bottom"/>
            <w:hideMark/>
          </w:tcPr>
          <w:p w14:paraId="68A311D7"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5.4%</w:t>
            </w:r>
          </w:p>
        </w:tc>
      </w:tr>
      <w:tr w:rsidR="007A5C88" w:rsidRPr="0018093C" w14:paraId="358F545E" w14:textId="77777777" w:rsidTr="009013C9">
        <w:trPr>
          <w:trHeight w:val="300"/>
        </w:trPr>
        <w:tc>
          <w:tcPr>
            <w:tcW w:w="1900" w:type="dxa"/>
            <w:tcBorders>
              <w:top w:val="nil"/>
              <w:left w:val="nil"/>
              <w:bottom w:val="nil"/>
              <w:right w:val="nil"/>
            </w:tcBorders>
            <w:shd w:val="clear" w:color="auto" w:fill="auto"/>
            <w:noWrap/>
            <w:vAlign w:val="bottom"/>
            <w:hideMark/>
          </w:tcPr>
          <w:p w14:paraId="66245627" w14:textId="77777777" w:rsidR="007A5C88" w:rsidRPr="0018093C" w:rsidRDefault="007A5C88" w:rsidP="00C16B04">
            <w:pPr>
              <w:keepNext/>
              <w:keepLines/>
              <w:spacing w:before="60" w:after="60" w:line="240" w:lineRule="auto"/>
              <w:ind w:firstLine="0"/>
              <w:rPr>
                <w:color w:val="000000"/>
                <w:szCs w:val="24"/>
                <w:lang w:eastAsia="en-US"/>
              </w:rPr>
            </w:pPr>
            <w:r w:rsidRPr="0018093C">
              <w:rPr>
                <w:color w:val="000000"/>
                <w:szCs w:val="24"/>
                <w:lang w:eastAsia="en-US"/>
              </w:rPr>
              <w:t>CBO</w:t>
            </w:r>
          </w:p>
        </w:tc>
        <w:tc>
          <w:tcPr>
            <w:tcW w:w="1720" w:type="dxa"/>
            <w:tcBorders>
              <w:top w:val="nil"/>
              <w:left w:val="nil"/>
              <w:bottom w:val="nil"/>
              <w:right w:val="nil"/>
            </w:tcBorders>
            <w:shd w:val="clear" w:color="auto" w:fill="auto"/>
            <w:noWrap/>
            <w:vAlign w:val="bottom"/>
            <w:hideMark/>
          </w:tcPr>
          <w:p w14:paraId="1B0A024B"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4.1%</w:t>
            </w:r>
          </w:p>
        </w:tc>
        <w:tc>
          <w:tcPr>
            <w:tcW w:w="1780" w:type="dxa"/>
            <w:tcBorders>
              <w:top w:val="nil"/>
              <w:left w:val="nil"/>
              <w:bottom w:val="nil"/>
              <w:right w:val="nil"/>
            </w:tcBorders>
            <w:shd w:val="clear" w:color="auto" w:fill="auto"/>
            <w:noWrap/>
            <w:vAlign w:val="bottom"/>
            <w:hideMark/>
          </w:tcPr>
          <w:p w14:paraId="6A06AED7"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c>
          <w:tcPr>
            <w:tcW w:w="1760" w:type="dxa"/>
            <w:tcBorders>
              <w:top w:val="nil"/>
              <w:left w:val="nil"/>
              <w:bottom w:val="nil"/>
              <w:right w:val="nil"/>
            </w:tcBorders>
            <w:shd w:val="clear" w:color="auto" w:fill="auto"/>
            <w:noWrap/>
            <w:vAlign w:val="bottom"/>
            <w:hideMark/>
          </w:tcPr>
          <w:p w14:paraId="1D6E65C5"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c>
          <w:tcPr>
            <w:tcW w:w="1600" w:type="dxa"/>
            <w:tcBorders>
              <w:top w:val="nil"/>
              <w:left w:val="nil"/>
              <w:bottom w:val="nil"/>
              <w:right w:val="nil"/>
            </w:tcBorders>
            <w:shd w:val="clear" w:color="auto" w:fill="auto"/>
            <w:noWrap/>
            <w:vAlign w:val="bottom"/>
            <w:hideMark/>
          </w:tcPr>
          <w:p w14:paraId="2F42ED1E"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4.4%</w:t>
            </w:r>
          </w:p>
        </w:tc>
      </w:tr>
      <w:tr w:rsidR="007A5C88" w:rsidRPr="0018093C" w14:paraId="2EA9829F" w14:textId="77777777" w:rsidTr="009013C9">
        <w:trPr>
          <w:trHeight w:val="320"/>
        </w:trPr>
        <w:tc>
          <w:tcPr>
            <w:tcW w:w="1900" w:type="dxa"/>
            <w:tcBorders>
              <w:top w:val="nil"/>
              <w:left w:val="nil"/>
              <w:bottom w:val="nil"/>
              <w:right w:val="nil"/>
            </w:tcBorders>
            <w:shd w:val="clear" w:color="auto" w:fill="auto"/>
            <w:noWrap/>
            <w:vAlign w:val="bottom"/>
            <w:hideMark/>
          </w:tcPr>
          <w:p w14:paraId="56A46407" w14:textId="77777777" w:rsidR="007A5C88" w:rsidRPr="0018093C" w:rsidRDefault="007A5C88" w:rsidP="00AB0FD8">
            <w:pPr>
              <w:keepNext/>
              <w:keepLines/>
              <w:spacing w:before="60" w:after="60" w:line="240" w:lineRule="auto"/>
              <w:ind w:firstLine="0"/>
              <w:rPr>
                <w:color w:val="000000"/>
                <w:szCs w:val="24"/>
                <w:lang w:eastAsia="en-US"/>
              </w:rPr>
            </w:pPr>
          </w:p>
        </w:tc>
        <w:tc>
          <w:tcPr>
            <w:tcW w:w="1720" w:type="dxa"/>
            <w:tcBorders>
              <w:top w:val="nil"/>
              <w:left w:val="nil"/>
              <w:bottom w:val="nil"/>
              <w:right w:val="nil"/>
            </w:tcBorders>
            <w:shd w:val="clear" w:color="auto" w:fill="auto"/>
            <w:noWrap/>
            <w:vAlign w:val="bottom"/>
            <w:hideMark/>
          </w:tcPr>
          <w:p w14:paraId="7B9E3E20" w14:textId="77777777" w:rsidR="007A5C88" w:rsidRPr="0018093C" w:rsidRDefault="007A5C88" w:rsidP="00AB0FD8">
            <w:pPr>
              <w:keepNext/>
              <w:keepLines/>
              <w:spacing w:before="60" w:after="60" w:line="240" w:lineRule="auto"/>
              <w:ind w:firstLine="0"/>
              <w:rPr>
                <w:color w:val="000000"/>
                <w:szCs w:val="24"/>
                <w:lang w:eastAsia="en-US"/>
              </w:rPr>
            </w:pPr>
          </w:p>
        </w:tc>
        <w:tc>
          <w:tcPr>
            <w:tcW w:w="1780" w:type="dxa"/>
            <w:tcBorders>
              <w:top w:val="nil"/>
              <w:left w:val="nil"/>
              <w:bottom w:val="nil"/>
              <w:right w:val="nil"/>
            </w:tcBorders>
            <w:shd w:val="clear" w:color="auto" w:fill="auto"/>
            <w:noWrap/>
            <w:vAlign w:val="bottom"/>
            <w:hideMark/>
          </w:tcPr>
          <w:p w14:paraId="00C24CD0" w14:textId="77777777" w:rsidR="007A5C88" w:rsidRPr="0018093C" w:rsidRDefault="007A5C88" w:rsidP="00AB0FD8">
            <w:pPr>
              <w:keepNext/>
              <w:keepLines/>
              <w:spacing w:before="60" w:after="60" w:line="240" w:lineRule="auto"/>
              <w:ind w:firstLine="0"/>
              <w:rPr>
                <w:color w:val="000000"/>
                <w:szCs w:val="24"/>
                <w:lang w:eastAsia="en-US"/>
              </w:rPr>
            </w:pPr>
          </w:p>
        </w:tc>
        <w:tc>
          <w:tcPr>
            <w:tcW w:w="1760" w:type="dxa"/>
            <w:tcBorders>
              <w:top w:val="nil"/>
              <w:left w:val="nil"/>
              <w:bottom w:val="nil"/>
              <w:right w:val="nil"/>
            </w:tcBorders>
            <w:shd w:val="clear" w:color="auto" w:fill="auto"/>
            <w:noWrap/>
            <w:vAlign w:val="bottom"/>
            <w:hideMark/>
          </w:tcPr>
          <w:p w14:paraId="39096C5A" w14:textId="77777777" w:rsidR="007A5C88" w:rsidRPr="0018093C" w:rsidRDefault="007A5C88" w:rsidP="00AB0FD8">
            <w:pPr>
              <w:keepNext/>
              <w:keepLines/>
              <w:spacing w:before="60" w:after="60" w:line="240" w:lineRule="auto"/>
              <w:ind w:firstLine="0"/>
              <w:jc w:val="right"/>
              <w:rPr>
                <w:b/>
                <w:color w:val="000000"/>
                <w:szCs w:val="24"/>
                <w:lang w:eastAsia="en-US"/>
              </w:rPr>
            </w:pPr>
            <w:r w:rsidRPr="0018093C">
              <w:rPr>
                <w:b/>
                <w:color w:val="000000"/>
                <w:szCs w:val="24"/>
                <w:lang w:eastAsia="en-US"/>
              </w:rPr>
              <w:t>Average</w:t>
            </w:r>
          </w:p>
        </w:tc>
        <w:tc>
          <w:tcPr>
            <w:tcW w:w="1600" w:type="dxa"/>
            <w:tcBorders>
              <w:top w:val="nil"/>
              <w:left w:val="nil"/>
              <w:bottom w:val="nil"/>
              <w:right w:val="nil"/>
            </w:tcBorders>
            <w:shd w:val="clear" w:color="auto" w:fill="auto"/>
            <w:noWrap/>
            <w:vAlign w:val="bottom"/>
            <w:hideMark/>
          </w:tcPr>
          <w:p w14:paraId="398E99A8" w14:textId="77777777" w:rsidR="007A5C88" w:rsidRPr="0018093C" w:rsidRDefault="007A5C88" w:rsidP="00AB0FD8">
            <w:pPr>
              <w:keepNext/>
              <w:keepLines/>
              <w:spacing w:before="60" w:after="60" w:line="240" w:lineRule="auto"/>
              <w:ind w:firstLine="0"/>
              <w:jc w:val="center"/>
              <w:rPr>
                <w:b/>
                <w:bCs/>
                <w:color w:val="000000"/>
                <w:sz w:val="28"/>
                <w:szCs w:val="28"/>
                <w:lang w:eastAsia="en-US"/>
              </w:rPr>
            </w:pPr>
            <w:r w:rsidRPr="0018093C">
              <w:rPr>
                <w:b/>
                <w:bCs/>
                <w:color w:val="000000"/>
                <w:sz w:val="28"/>
                <w:szCs w:val="28"/>
                <w:lang w:eastAsia="en-US"/>
              </w:rPr>
              <w:t>4.9%</w:t>
            </w:r>
          </w:p>
        </w:tc>
      </w:tr>
    </w:tbl>
    <w:p w14:paraId="3804D744" w14:textId="77777777" w:rsidR="007A5C88" w:rsidRPr="0018093C" w:rsidRDefault="007A5C88" w:rsidP="007A5C88">
      <w:pPr>
        <w:spacing w:before="360" w:after="120" w:line="480" w:lineRule="auto"/>
        <w:ind w:left="720" w:firstLine="0"/>
      </w:pPr>
      <w:r w:rsidRPr="0018093C">
        <w:t>This produces an average long-term expected GDP nominal growth rate of 4.9%</w:t>
      </w:r>
    </w:p>
    <w:p w14:paraId="2CC32CD0"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How does this estimate compare with the actual long-term nominal GDP growth?</w:t>
      </w:r>
    </w:p>
    <w:p w14:paraId="569AEA9F" w14:textId="5943B222" w:rsidR="007A5C88" w:rsidRPr="0018093C" w:rsidRDefault="007A5C88" w:rsidP="007A5C88">
      <w:pPr>
        <w:spacing w:before="120" w:after="120" w:line="480" w:lineRule="auto"/>
        <w:ind w:left="720" w:hanging="720"/>
        <w:rPr>
          <w:rFonts w:eastAsia="SimSun"/>
        </w:rPr>
      </w:pPr>
      <w:r w:rsidRPr="0018093C">
        <w:t>A.</w:t>
      </w:r>
      <w:r w:rsidRPr="0018093C">
        <w:tab/>
      </w:r>
      <w:r w:rsidR="009466F7" w:rsidRPr="0018093C">
        <w:t xml:space="preserve">As shown on Exhibit RAMREB-1, the actual GDP growth over the past 39 years is 5.0%, </w:t>
      </w:r>
      <w:r w:rsidRPr="0018093C">
        <w:t>which is almost identical to the 4.9% forecast.</w:t>
      </w:r>
    </w:p>
    <w:p w14:paraId="1027C568"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In light of those results, what GDP growth forecast should </w:t>
      </w:r>
      <w:r w:rsidR="00087381" w:rsidRPr="0018093C">
        <w:rPr>
          <w:b/>
          <w:snapToGrid w:val="0"/>
          <w:lang w:eastAsia="en-US"/>
        </w:rPr>
        <w:t>Mr. Gorman</w:t>
      </w:r>
      <w:r w:rsidRPr="0018093C">
        <w:rPr>
          <w:b/>
        </w:rPr>
        <w:t xml:space="preserve"> have adopted in his multiple-stage DCF model?</w:t>
      </w:r>
    </w:p>
    <w:p w14:paraId="60CCF2FB" w14:textId="77777777" w:rsidR="007A5C88" w:rsidRPr="0018093C" w:rsidRDefault="007A5C88" w:rsidP="007A5C88">
      <w:pPr>
        <w:spacing w:before="120" w:after="120" w:line="480" w:lineRule="auto"/>
        <w:ind w:left="720" w:hanging="720"/>
        <w:rPr>
          <w:rFonts w:eastAsia="SimSun"/>
        </w:rPr>
      </w:pPr>
      <w:r w:rsidRPr="0018093C">
        <w:t>A.</w:t>
      </w:r>
      <w:r w:rsidRPr="0018093C">
        <w:tab/>
        <w:t xml:space="preserve">A reasonable estimate is 5.0% rather than </w:t>
      </w:r>
      <w:r w:rsidR="00087381" w:rsidRPr="0018093C">
        <w:rPr>
          <w:snapToGrid w:val="0"/>
          <w:lang w:eastAsia="en-US"/>
        </w:rPr>
        <w:t>Mr. Gorman</w:t>
      </w:r>
      <w:r w:rsidR="00942E42" w:rsidRPr="0018093C">
        <w:t>’</w:t>
      </w:r>
      <w:r w:rsidRPr="0018093C">
        <w:t>s range of 4.45% - 4.75%.</w:t>
      </w:r>
    </w:p>
    <w:p w14:paraId="31927CF9" w14:textId="77777777" w:rsidR="00AB0FD8" w:rsidRPr="0018093C" w:rsidRDefault="00AB0FD8" w:rsidP="00AB0FD8">
      <w:pPr>
        <w:pStyle w:val="Heading2"/>
      </w:pPr>
      <w:bookmarkStart w:id="41" w:name="_Toc406751130"/>
      <w:bookmarkStart w:id="42" w:name="_Toc406075028"/>
      <w:r w:rsidRPr="0018093C">
        <w:lastRenderedPageBreak/>
        <w:t>C.</w:t>
      </w:r>
      <w:r w:rsidRPr="0018093C">
        <w:tab/>
        <w:t>Mr. Gorman’s CAPM Results Should be Given Very Little, If Any, Weight Because Mr. Gorman Has Relied on Erroneous Data Inputs.</w:t>
      </w:r>
      <w:bookmarkEnd w:id="41"/>
    </w:p>
    <w:p w14:paraId="5BD1249D" w14:textId="77777777" w:rsidR="007A5C88" w:rsidRPr="0018093C" w:rsidRDefault="00AB0FD8" w:rsidP="00AB0FD8">
      <w:pPr>
        <w:pStyle w:val="Heading3"/>
      </w:pPr>
      <w:bookmarkStart w:id="43" w:name="_Toc406751131"/>
      <w:r w:rsidRPr="0018093C">
        <w:t>1</w:t>
      </w:r>
      <w:r w:rsidR="007A5C88" w:rsidRPr="0018093C">
        <w:t>.</w:t>
      </w:r>
      <w:r w:rsidR="007A5C88" w:rsidRPr="0018093C">
        <w:tab/>
      </w:r>
      <w:r w:rsidR="00C16B04" w:rsidRPr="0018093C">
        <w:t xml:space="preserve">Mr. Gorman’s Uses a </w:t>
      </w:r>
      <w:r w:rsidR="007A5C88" w:rsidRPr="0018093C">
        <w:t>Risk-Free Rate</w:t>
      </w:r>
      <w:bookmarkEnd w:id="42"/>
      <w:r w:rsidR="00C16B04" w:rsidRPr="0018093C">
        <w:t xml:space="preserve"> in His CAPM Analysis that is Far Too Low</w:t>
      </w:r>
      <w:bookmarkEnd w:id="43"/>
    </w:p>
    <w:p w14:paraId="017671CE"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What risk-free rate does </w:t>
      </w:r>
      <w:r w:rsidR="00087381" w:rsidRPr="0018093C">
        <w:rPr>
          <w:b/>
          <w:snapToGrid w:val="0"/>
          <w:lang w:eastAsia="en-US"/>
        </w:rPr>
        <w:t>Mr. Gorman</w:t>
      </w:r>
      <w:r w:rsidRPr="0018093C">
        <w:rPr>
          <w:b/>
        </w:rPr>
        <w:t xml:space="preserve"> adopt in his CAPM and risk premium analyses?</w:t>
      </w:r>
    </w:p>
    <w:p w14:paraId="37F8AC5A" w14:textId="525318ED" w:rsidR="007A5C88" w:rsidRPr="0018093C" w:rsidRDefault="007A5C88" w:rsidP="007A5C88">
      <w:pPr>
        <w:spacing w:before="120" w:after="120" w:line="480" w:lineRule="auto"/>
        <w:ind w:left="720" w:hanging="720"/>
        <w:rPr>
          <w:rFonts w:eastAsia="SimSun"/>
        </w:rPr>
      </w:pPr>
      <w:r w:rsidRPr="0018093C">
        <w:t>A.</w:t>
      </w:r>
      <w:r w:rsidRPr="0018093C">
        <w:tab/>
      </w:r>
      <w:r w:rsidR="00087381" w:rsidRPr="0018093C">
        <w:rPr>
          <w:snapToGrid w:val="0"/>
          <w:lang w:eastAsia="en-US"/>
        </w:rPr>
        <w:t>Mr. Gorman</w:t>
      </w:r>
      <w:r w:rsidRPr="0018093C">
        <w:t xml:space="preserve"> uses Blue Chip Financial Forecasts</w:t>
      </w:r>
      <w:r w:rsidR="00942E42" w:rsidRPr="0018093C">
        <w:t>’</w:t>
      </w:r>
      <w:r w:rsidRPr="0018093C">
        <w:t xml:space="preserve"> projected 30-year Treasury bond yield of 4.10% as his risk-free input in the C</w:t>
      </w:r>
      <w:r w:rsidR="00AB0FD8" w:rsidRPr="0018093C">
        <w:t>APM and Risk Premium analyses.</w:t>
      </w:r>
      <w:r w:rsidR="0045057F" w:rsidRPr="0018093C">
        <w:rPr>
          <w:rStyle w:val="FootnoteReference"/>
          <w:snapToGrid w:val="0"/>
          <w:lang w:eastAsia="en-US"/>
        </w:rPr>
        <w:footnoteReference w:id="104"/>
      </w:r>
      <w:r w:rsidR="0045057F" w:rsidRPr="0018093C">
        <w:t xml:space="preserve">  This risk-free rate is far too low.</w:t>
      </w:r>
      <w:r w:rsidR="0045057F" w:rsidRPr="0018093C">
        <w:rPr>
          <w:rFonts w:eastAsia="SimSun"/>
        </w:rPr>
        <w:t xml:space="preserve">  </w:t>
      </w:r>
      <w:r w:rsidR="00087381" w:rsidRPr="0018093C">
        <w:rPr>
          <w:snapToGrid w:val="0"/>
          <w:lang w:eastAsia="en-US"/>
        </w:rPr>
        <w:t>Mr. Gorman</w:t>
      </w:r>
      <w:r w:rsidRPr="0018093C">
        <w:t xml:space="preserve"> should have used </w:t>
      </w:r>
      <w:r w:rsidR="0045057F" w:rsidRPr="0018093C">
        <w:t xml:space="preserve">the same risk-free rate estimate of </w:t>
      </w:r>
      <w:r w:rsidRPr="0018093C">
        <w:t xml:space="preserve">5.0% </w:t>
      </w:r>
      <w:r w:rsidR="0045057F" w:rsidRPr="0018093C">
        <w:t>that I used for purposes of my</w:t>
      </w:r>
      <w:r w:rsidR="009466F7" w:rsidRPr="0018093C">
        <w:t xml:space="preserve"> CAPM analyses </w:t>
      </w:r>
      <w:r w:rsidRPr="0018093C">
        <w:t xml:space="preserve">based on several projections. </w:t>
      </w:r>
    </w:p>
    <w:p w14:paraId="59F8BB3B" w14:textId="77777777" w:rsidR="007A5C88" w:rsidRPr="0018093C" w:rsidRDefault="0045057F" w:rsidP="0045057F">
      <w:pPr>
        <w:spacing w:before="120" w:after="120" w:line="480" w:lineRule="auto"/>
        <w:ind w:left="720" w:firstLine="0"/>
      </w:pPr>
      <w:r w:rsidRPr="0018093C">
        <w:t>T</w:t>
      </w:r>
      <w:r w:rsidR="007A5C88" w:rsidRPr="0018093C">
        <w:t>able</w:t>
      </w:r>
      <w:r w:rsidRPr="0018093C">
        <w:t> 7</w:t>
      </w:r>
      <w:r w:rsidR="007A5C88" w:rsidRPr="0018093C">
        <w:t xml:space="preserve"> below reports the forecast yields on 30-year U.S. Treasury bonds from various prominent sources, including Global Insight, Value Line, CBO, and EIA Energy </w:t>
      </w:r>
      <w:r w:rsidRPr="0018093C">
        <w:t>Outlook</w:t>
      </w:r>
    </w:p>
    <w:p w14:paraId="3633B720" w14:textId="77777777" w:rsidR="0045057F" w:rsidRPr="0018093C" w:rsidRDefault="0045057F" w:rsidP="0045057F">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Table 6</w:t>
      </w:r>
      <w:r w:rsidRPr="0018093C">
        <w:rPr>
          <w:rFonts w:ascii="Times New Roman" w:hAnsi="Times New Roman"/>
          <w:b/>
          <w:snapToGrid w:val="0"/>
          <w:lang w:eastAsia="en-US"/>
        </w:rPr>
        <w:br/>
      </w:r>
      <w:r w:rsidR="00C16B04" w:rsidRPr="0018093C">
        <w:rPr>
          <w:rFonts w:ascii="Times New Roman" w:eastAsia="SimSun" w:hAnsi="Times New Roman"/>
          <w:b/>
          <w:spacing w:val="-3"/>
          <w:szCs w:val="24"/>
        </w:rPr>
        <w:t>30-Year Treasury Bond Yield Forecasts</w:t>
      </w:r>
    </w:p>
    <w:tbl>
      <w:tblPr>
        <w:tblW w:w="7360" w:type="dxa"/>
        <w:jc w:val="center"/>
        <w:tblInd w:w="576" w:type="dxa"/>
        <w:tblLook w:val="04A0" w:firstRow="1" w:lastRow="0" w:firstColumn="1" w:lastColumn="0" w:noHBand="0" w:noVBand="1"/>
      </w:tblPr>
      <w:tblGrid>
        <w:gridCol w:w="2220"/>
        <w:gridCol w:w="840"/>
        <w:gridCol w:w="840"/>
        <w:gridCol w:w="820"/>
        <w:gridCol w:w="860"/>
        <w:gridCol w:w="780"/>
        <w:gridCol w:w="1000"/>
      </w:tblGrid>
      <w:tr w:rsidR="007A5C88" w:rsidRPr="0018093C" w14:paraId="5D8DEE99" w14:textId="77777777" w:rsidTr="00C16B04">
        <w:trPr>
          <w:trHeight w:val="300"/>
          <w:jc w:val="center"/>
        </w:trPr>
        <w:tc>
          <w:tcPr>
            <w:tcW w:w="2220" w:type="dxa"/>
            <w:tcBorders>
              <w:top w:val="nil"/>
              <w:left w:val="nil"/>
              <w:bottom w:val="nil"/>
              <w:right w:val="nil"/>
            </w:tcBorders>
            <w:shd w:val="clear" w:color="auto" w:fill="auto"/>
            <w:noWrap/>
            <w:vAlign w:val="bottom"/>
            <w:hideMark/>
          </w:tcPr>
          <w:p w14:paraId="790527A7" w14:textId="77777777" w:rsidR="007A5C88" w:rsidRPr="0018093C" w:rsidRDefault="007A5C88" w:rsidP="00EE2CA9">
            <w:pPr>
              <w:keepNext/>
              <w:keepLines/>
              <w:overflowPunct w:val="0"/>
              <w:autoSpaceDE w:val="0"/>
              <w:autoSpaceDN w:val="0"/>
              <w:adjustRightInd w:val="0"/>
              <w:spacing w:before="60" w:after="60" w:line="240" w:lineRule="auto"/>
              <w:ind w:firstLine="0"/>
              <w:textAlignment w:val="baseline"/>
              <w:rPr>
                <w:lang w:eastAsia="en-US"/>
              </w:rPr>
            </w:pPr>
          </w:p>
        </w:tc>
        <w:tc>
          <w:tcPr>
            <w:tcW w:w="840" w:type="dxa"/>
            <w:tcBorders>
              <w:top w:val="nil"/>
              <w:left w:val="nil"/>
              <w:bottom w:val="nil"/>
              <w:right w:val="nil"/>
            </w:tcBorders>
            <w:shd w:val="clear" w:color="auto" w:fill="auto"/>
            <w:noWrap/>
            <w:vAlign w:val="center"/>
            <w:hideMark/>
          </w:tcPr>
          <w:p w14:paraId="55CF3A7C"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2015</w:t>
            </w:r>
          </w:p>
        </w:tc>
        <w:tc>
          <w:tcPr>
            <w:tcW w:w="840" w:type="dxa"/>
            <w:tcBorders>
              <w:top w:val="nil"/>
              <w:left w:val="nil"/>
              <w:bottom w:val="nil"/>
              <w:right w:val="nil"/>
            </w:tcBorders>
            <w:shd w:val="clear" w:color="auto" w:fill="auto"/>
            <w:noWrap/>
            <w:vAlign w:val="center"/>
            <w:hideMark/>
          </w:tcPr>
          <w:p w14:paraId="0A039AF7"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2016</w:t>
            </w:r>
          </w:p>
        </w:tc>
        <w:tc>
          <w:tcPr>
            <w:tcW w:w="820" w:type="dxa"/>
            <w:tcBorders>
              <w:top w:val="nil"/>
              <w:left w:val="nil"/>
              <w:bottom w:val="nil"/>
              <w:right w:val="nil"/>
            </w:tcBorders>
            <w:shd w:val="clear" w:color="auto" w:fill="auto"/>
            <w:noWrap/>
            <w:vAlign w:val="center"/>
            <w:hideMark/>
          </w:tcPr>
          <w:p w14:paraId="475CA922"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2017</w:t>
            </w:r>
          </w:p>
        </w:tc>
        <w:tc>
          <w:tcPr>
            <w:tcW w:w="860" w:type="dxa"/>
            <w:tcBorders>
              <w:top w:val="nil"/>
              <w:left w:val="nil"/>
              <w:bottom w:val="nil"/>
              <w:right w:val="nil"/>
            </w:tcBorders>
            <w:shd w:val="clear" w:color="auto" w:fill="auto"/>
            <w:noWrap/>
            <w:vAlign w:val="center"/>
            <w:hideMark/>
          </w:tcPr>
          <w:p w14:paraId="48D1480E"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2018</w:t>
            </w:r>
          </w:p>
        </w:tc>
        <w:tc>
          <w:tcPr>
            <w:tcW w:w="780" w:type="dxa"/>
            <w:tcBorders>
              <w:top w:val="nil"/>
              <w:left w:val="nil"/>
              <w:bottom w:val="nil"/>
              <w:right w:val="nil"/>
            </w:tcBorders>
            <w:shd w:val="clear" w:color="auto" w:fill="auto"/>
            <w:noWrap/>
            <w:vAlign w:val="center"/>
            <w:hideMark/>
          </w:tcPr>
          <w:p w14:paraId="1FC61E9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2020</w:t>
            </w:r>
          </w:p>
        </w:tc>
        <w:tc>
          <w:tcPr>
            <w:tcW w:w="1000" w:type="dxa"/>
            <w:tcBorders>
              <w:top w:val="nil"/>
              <w:left w:val="nil"/>
              <w:bottom w:val="nil"/>
              <w:right w:val="nil"/>
            </w:tcBorders>
            <w:shd w:val="clear" w:color="auto" w:fill="auto"/>
            <w:noWrap/>
            <w:vAlign w:val="bottom"/>
            <w:hideMark/>
          </w:tcPr>
          <w:p w14:paraId="0E90A170"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long-term</w:t>
            </w:r>
          </w:p>
        </w:tc>
      </w:tr>
      <w:tr w:rsidR="007A5C88" w:rsidRPr="0018093C" w14:paraId="58FF5658"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2907442B" w14:textId="77777777" w:rsidR="007A5C88" w:rsidRPr="0018093C" w:rsidRDefault="007A5C88" w:rsidP="00EE2CA9">
            <w:pPr>
              <w:keepNext/>
              <w:keepLines/>
              <w:overflowPunct w:val="0"/>
              <w:autoSpaceDE w:val="0"/>
              <w:autoSpaceDN w:val="0"/>
              <w:adjustRightInd w:val="0"/>
              <w:spacing w:before="60" w:after="60" w:line="240" w:lineRule="auto"/>
              <w:ind w:firstLine="0"/>
              <w:jc w:val="both"/>
              <w:textAlignment w:val="baseline"/>
              <w:rPr>
                <w:lang w:eastAsia="en-US"/>
              </w:rPr>
            </w:pPr>
            <w:r w:rsidRPr="0018093C">
              <w:rPr>
                <w:lang w:eastAsia="en-US"/>
              </w:rPr>
              <w:t>Global Insight</w:t>
            </w:r>
          </w:p>
        </w:tc>
        <w:tc>
          <w:tcPr>
            <w:tcW w:w="840" w:type="dxa"/>
            <w:tcBorders>
              <w:top w:val="nil"/>
              <w:left w:val="nil"/>
              <w:bottom w:val="nil"/>
              <w:right w:val="nil"/>
            </w:tcBorders>
            <w:shd w:val="clear" w:color="auto" w:fill="auto"/>
            <w:noWrap/>
            <w:vAlign w:val="center"/>
            <w:hideMark/>
          </w:tcPr>
          <w:p w14:paraId="16CEDE45"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4.2</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1931BCD5"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4.5</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242600F6"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860" w:type="dxa"/>
            <w:tcBorders>
              <w:top w:val="nil"/>
              <w:left w:val="nil"/>
              <w:bottom w:val="nil"/>
              <w:right w:val="nil"/>
            </w:tcBorders>
            <w:shd w:val="clear" w:color="auto" w:fill="auto"/>
            <w:noWrap/>
            <w:vAlign w:val="center"/>
            <w:hideMark/>
          </w:tcPr>
          <w:p w14:paraId="60FF9F1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780" w:type="dxa"/>
            <w:tcBorders>
              <w:top w:val="nil"/>
              <w:left w:val="nil"/>
              <w:bottom w:val="nil"/>
              <w:right w:val="nil"/>
            </w:tcBorders>
            <w:shd w:val="clear" w:color="auto" w:fill="auto"/>
            <w:noWrap/>
            <w:vAlign w:val="center"/>
            <w:hideMark/>
          </w:tcPr>
          <w:p w14:paraId="4986A792"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1000" w:type="dxa"/>
            <w:tcBorders>
              <w:top w:val="nil"/>
              <w:left w:val="nil"/>
              <w:bottom w:val="nil"/>
              <w:right w:val="nil"/>
            </w:tcBorders>
            <w:shd w:val="clear" w:color="auto" w:fill="auto"/>
            <w:noWrap/>
            <w:vAlign w:val="center"/>
            <w:hideMark/>
          </w:tcPr>
          <w:p w14:paraId="4DD755B1"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r>
      <w:tr w:rsidR="007A5C88" w:rsidRPr="0018093C" w14:paraId="35BF24DA"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56A04F26" w14:textId="77777777" w:rsidR="007A5C88" w:rsidRPr="0018093C" w:rsidRDefault="007A5C88" w:rsidP="00EE2CA9">
            <w:pPr>
              <w:keepNext/>
              <w:keepLines/>
              <w:overflowPunct w:val="0"/>
              <w:autoSpaceDE w:val="0"/>
              <w:autoSpaceDN w:val="0"/>
              <w:adjustRightInd w:val="0"/>
              <w:spacing w:before="60" w:after="60" w:line="240" w:lineRule="auto"/>
              <w:ind w:firstLine="0"/>
              <w:jc w:val="both"/>
              <w:textAlignment w:val="baseline"/>
              <w:rPr>
                <w:lang w:eastAsia="en-US"/>
              </w:rPr>
            </w:pPr>
            <w:r w:rsidRPr="0018093C">
              <w:rPr>
                <w:lang w:eastAsia="en-US"/>
              </w:rPr>
              <w:t>Value Line</w:t>
            </w:r>
          </w:p>
        </w:tc>
        <w:tc>
          <w:tcPr>
            <w:tcW w:w="840" w:type="dxa"/>
            <w:tcBorders>
              <w:top w:val="nil"/>
              <w:left w:val="nil"/>
              <w:bottom w:val="nil"/>
              <w:right w:val="nil"/>
            </w:tcBorders>
            <w:shd w:val="clear" w:color="auto" w:fill="auto"/>
            <w:noWrap/>
            <w:vAlign w:val="center"/>
            <w:hideMark/>
          </w:tcPr>
          <w:p w14:paraId="5F095532"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3.8</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04164AB1"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4.3</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663C0E83"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4.8</w:t>
            </w:r>
            <w:r w:rsidR="00402438" w:rsidRPr="0018093C">
              <w:rPr>
                <w:lang w:eastAsia="en-US"/>
              </w:rPr>
              <w:t>%</w:t>
            </w:r>
          </w:p>
        </w:tc>
        <w:tc>
          <w:tcPr>
            <w:tcW w:w="860" w:type="dxa"/>
            <w:tcBorders>
              <w:top w:val="nil"/>
              <w:left w:val="nil"/>
              <w:bottom w:val="nil"/>
              <w:right w:val="nil"/>
            </w:tcBorders>
            <w:shd w:val="clear" w:color="auto" w:fill="auto"/>
            <w:noWrap/>
            <w:vAlign w:val="bottom"/>
            <w:hideMark/>
          </w:tcPr>
          <w:p w14:paraId="2905A9DB"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4.8</w:t>
            </w:r>
            <w:r w:rsidR="00402438" w:rsidRPr="0018093C">
              <w:rPr>
                <w:lang w:eastAsia="en-US"/>
              </w:rPr>
              <w:t>%</w:t>
            </w:r>
          </w:p>
        </w:tc>
        <w:tc>
          <w:tcPr>
            <w:tcW w:w="780" w:type="dxa"/>
            <w:tcBorders>
              <w:top w:val="nil"/>
              <w:left w:val="nil"/>
              <w:bottom w:val="nil"/>
              <w:right w:val="nil"/>
            </w:tcBorders>
            <w:shd w:val="clear" w:color="auto" w:fill="auto"/>
            <w:noWrap/>
            <w:vAlign w:val="bottom"/>
            <w:hideMark/>
          </w:tcPr>
          <w:p w14:paraId="5952107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w:t>
            </w:r>
          </w:p>
        </w:tc>
        <w:tc>
          <w:tcPr>
            <w:tcW w:w="1000" w:type="dxa"/>
            <w:tcBorders>
              <w:top w:val="nil"/>
              <w:left w:val="nil"/>
              <w:bottom w:val="nil"/>
              <w:right w:val="nil"/>
            </w:tcBorders>
            <w:shd w:val="clear" w:color="auto" w:fill="auto"/>
            <w:noWrap/>
            <w:vAlign w:val="bottom"/>
            <w:hideMark/>
          </w:tcPr>
          <w:p w14:paraId="3C4ECA9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w:t>
            </w:r>
          </w:p>
        </w:tc>
      </w:tr>
      <w:tr w:rsidR="007A5C88" w:rsidRPr="0018093C" w14:paraId="28C0E723" w14:textId="77777777" w:rsidTr="00C16B04">
        <w:trPr>
          <w:trHeight w:val="300"/>
          <w:jc w:val="center"/>
        </w:trPr>
        <w:tc>
          <w:tcPr>
            <w:tcW w:w="2220" w:type="dxa"/>
            <w:tcBorders>
              <w:top w:val="nil"/>
              <w:left w:val="nil"/>
              <w:bottom w:val="nil"/>
              <w:right w:val="nil"/>
            </w:tcBorders>
            <w:shd w:val="clear" w:color="auto" w:fill="auto"/>
            <w:noWrap/>
            <w:vAlign w:val="bottom"/>
            <w:hideMark/>
          </w:tcPr>
          <w:p w14:paraId="00F58DCD" w14:textId="77777777" w:rsidR="007A5C88" w:rsidRPr="0018093C" w:rsidRDefault="007A5C88" w:rsidP="00EE2CA9">
            <w:pPr>
              <w:keepNext/>
              <w:keepLines/>
              <w:overflowPunct w:val="0"/>
              <w:autoSpaceDE w:val="0"/>
              <w:autoSpaceDN w:val="0"/>
              <w:adjustRightInd w:val="0"/>
              <w:spacing w:before="60" w:after="60" w:line="240" w:lineRule="auto"/>
              <w:ind w:firstLine="0"/>
              <w:textAlignment w:val="baseline"/>
              <w:rPr>
                <w:lang w:eastAsia="en-US"/>
              </w:rPr>
            </w:pPr>
            <w:r w:rsidRPr="0018093C">
              <w:rPr>
                <w:lang w:eastAsia="en-US"/>
              </w:rPr>
              <w:t>CBO</w:t>
            </w:r>
          </w:p>
        </w:tc>
        <w:tc>
          <w:tcPr>
            <w:tcW w:w="840" w:type="dxa"/>
            <w:tcBorders>
              <w:top w:val="nil"/>
              <w:left w:val="nil"/>
              <w:bottom w:val="nil"/>
              <w:right w:val="nil"/>
            </w:tcBorders>
            <w:shd w:val="clear" w:color="auto" w:fill="auto"/>
            <w:noWrap/>
            <w:vAlign w:val="bottom"/>
            <w:hideMark/>
          </w:tcPr>
          <w:p w14:paraId="674D9357" w14:textId="77777777" w:rsidR="007A5C88" w:rsidRPr="0018093C" w:rsidRDefault="00C16B04"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4.2</w:t>
            </w:r>
            <w:r w:rsidR="00402438" w:rsidRPr="0018093C">
              <w:rPr>
                <w:lang w:eastAsia="en-US"/>
              </w:rPr>
              <w:t>%</w:t>
            </w:r>
          </w:p>
        </w:tc>
        <w:tc>
          <w:tcPr>
            <w:tcW w:w="840" w:type="dxa"/>
            <w:tcBorders>
              <w:top w:val="nil"/>
              <w:left w:val="nil"/>
              <w:bottom w:val="nil"/>
              <w:right w:val="nil"/>
            </w:tcBorders>
            <w:shd w:val="clear" w:color="auto" w:fill="auto"/>
            <w:noWrap/>
            <w:vAlign w:val="bottom"/>
            <w:hideMark/>
          </w:tcPr>
          <w:p w14:paraId="261A4E58"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4.8</w:t>
            </w:r>
            <w:r w:rsidR="00402438" w:rsidRPr="0018093C">
              <w:rPr>
                <w:lang w:eastAsia="en-US"/>
              </w:rPr>
              <w:t>%</w:t>
            </w:r>
          </w:p>
        </w:tc>
        <w:tc>
          <w:tcPr>
            <w:tcW w:w="820" w:type="dxa"/>
            <w:tcBorders>
              <w:top w:val="nil"/>
              <w:left w:val="nil"/>
              <w:bottom w:val="nil"/>
              <w:right w:val="nil"/>
            </w:tcBorders>
            <w:shd w:val="clear" w:color="auto" w:fill="auto"/>
            <w:noWrap/>
            <w:vAlign w:val="bottom"/>
            <w:hideMark/>
          </w:tcPr>
          <w:p w14:paraId="5A3C4DD3"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5.2</w:t>
            </w:r>
            <w:r w:rsidR="00402438" w:rsidRPr="0018093C">
              <w:rPr>
                <w:lang w:eastAsia="en-US"/>
              </w:rPr>
              <w:t>%</w:t>
            </w:r>
          </w:p>
        </w:tc>
        <w:tc>
          <w:tcPr>
            <w:tcW w:w="860" w:type="dxa"/>
            <w:tcBorders>
              <w:top w:val="nil"/>
              <w:left w:val="nil"/>
              <w:bottom w:val="nil"/>
              <w:right w:val="nil"/>
            </w:tcBorders>
            <w:shd w:val="clear" w:color="auto" w:fill="auto"/>
            <w:noWrap/>
            <w:vAlign w:val="bottom"/>
            <w:hideMark/>
          </w:tcPr>
          <w:p w14:paraId="568278E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5.5</w:t>
            </w:r>
            <w:r w:rsidR="00402438" w:rsidRPr="0018093C">
              <w:rPr>
                <w:lang w:eastAsia="en-US"/>
              </w:rPr>
              <w:t>%</w:t>
            </w:r>
          </w:p>
        </w:tc>
        <w:tc>
          <w:tcPr>
            <w:tcW w:w="780" w:type="dxa"/>
            <w:tcBorders>
              <w:top w:val="nil"/>
              <w:left w:val="nil"/>
              <w:bottom w:val="nil"/>
              <w:right w:val="nil"/>
            </w:tcBorders>
            <w:shd w:val="clear" w:color="auto" w:fill="auto"/>
            <w:noWrap/>
            <w:vAlign w:val="bottom"/>
            <w:hideMark/>
          </w:tcPr>
          <w:p w14:paraId="666553A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5.5</w:t>
            </w:r>
            <w:r w:rsidR="00402438" w:rsidRPr="0018093C">
              <w:rPr>
                <w:lang w:eastAsia="en-US"/>
              </w:rPr>
              <w:t>%</w:t>
            </w:r>
          </w:p>
        </w:tc>
        <w:tc>
          <w:tcPr>
            <w:tcW w:w="1000" w:type="dxa"/>
            <w:tcBorders>
              <w:top w:val="nil"/>
              <w:left w:val="nil"/>
              <w:bottom w:val="nil"/>
              <w:right w:val="nil"/>
            </w:tcBorders>
            <w:shd w:val="clear" w:color="auto" w:fill="auto"/>
            <w:noWrap/>
            <w:vAlign w:val="bottom"/>
            <w:hideMark/>
          </w:tcPr>
          <w:p w14:paraId="5846A1FA"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5.5</w:t>
            </w:r>
            <w:r w:rsidR="00402438" w:rsidRPr="0018093C">
              <w:rPr>
                <w:lang w:eastAsia="en-US"/>
              </w:rPr>
              <w:t>%</w:t>
            </w:r>
          </w:p>
        </w:tc>
      </w:tr>
      <w:tr w:rsidR="007A5C88" w:rsidRPr="0018093C" w14:paraId="0EF4E6F9"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0B6FF219" w14:textId="77777777" w:rsidR="007A5C88" w:rsidRPr="0018093C" w:rsidRDefault="007A5C88" w:rsidP="00EE2CA9">
            <w:pPr>
              <w:keepNext/>
              <w:keepLines/>
              <w:overflowPunct w:val="0"/>
              <w:autoSpaceDE w:val="0"/>
              <w:autoSpaceDN w:val="0"/>
              <w:adjustRightInd w:val="0"/>
              <w:spacing w:before="60" w:after="60" w:line="240" w:lineRule="auto"/>
              <w:ind w:firstLine="0"/>
              <w:jc w:val="both"/>
              <w:textAlignment w:val="baseline"/>
              <w:rPr>
                <w:lang w:eastAsia="en-US"/>
              </w:rPr>
            </w:pPr>
            <w:r w:rsidRPr="0018093C">
              <w:rPr>
                <w:lang w:eastAsia="en-US"/>
              </w:rPr>
              <w:t xml:space="preserve">EIA </w:t>
            </w:r>
          </w:p>
        </w:tc>
        <w:tc>
          <w:tcPr>
            <w:tcW w:w="840" w:type="dxa"/>
            <w:tcBorders>
              <w:top w:val="nil"/>
              <w:left w:val="nil"/>
              <w:bottom w:val="nil"/>
              <w:right w:val="nil"/>
            </w:tcBorders>
            <w:shd w:val="clear" w:color="auto" w:fill="auto"/>
            <w:noWrap/>
            <w:vAlign w:val="center"/>
            <w:hideMark/>
          </w:tcPr>
          <w:p w14:paraId="60A76E6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3.4</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1242CCD8"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4.4</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27B93E21"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5.1</w:t>
            </w:r>
            <w:r w:rsidR="00402438" w:rsidRPr="0018093C">
              <w:rPr>
                <w:lang w:eastAsia="en-US"/>
              </w:rPr>
              <w:t>%</w:t>
            </w:r>
          </w:p>
        </w:tc>
        <w:tc>
          <w:tcPr>
            <w:tcW w:w="860" w:type="dxa"/>
            <w:tcBorders>
              <w:top w:val="nil"/>
              <w:left w:val="nil"/>
              <w:bottom w:val="nil"/>
              <w:right w:val="nil"/>
            </w:tcBorders>
            <w:shd w:val="clear" w:color="auto" w:fill="auto"/>
            <w:noWrap/>
            <w:vAlign w:val="center"/>
            <w:hideMark/>
          </w:tcPr>
          <w:p w14:paraId="089152A8"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5.4</w:t>
            </w:r>
            <w:r w:rsidR="00402438" w:rsidRPr="0018093C">
              <w:rPr>
                <w:lang w:eastAsia="en-US"/>
              </w:rPr>
              <w:t>%</w:t>
            </w:r>
          </w:p>
        </w:tc>
        <w:tc>
          <w:tcPr>
            <w:tcW w:w="780" w:type="dxa"/>
            <w:tcBorders>
              <w:top w:val="nil"/>
              <w:left w:val="nil"/>
              <w:bottom w:val="nil"/>
              <w:right w:val="nil"/>
            </w:tcBorders>
            <w:shd w:val="clear" w:color="auto" w:fill="auto"/>
            <w:noWrap/>
            <w:vAlign w:val="bottom"/>
            <w:hideMark/>
          </w:tcPr>
          <w:p w14:paraId="4A1CA24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1000" w:type="dxa"/>
            <w:tcBorders>
              <w:top w:val="nil"/>
              <w:left w:val="nil"/>
              <w:bottom w:val="nil"/>
              <w:right w:val="nil"/>
            </w:tcBorders>
            <w:shd w:val="clear" w:color="auto" w:fill="auto"/>
            <w:noWrap/>
            <w:vAlign w:val="bottom"/>
            <w:hideMark/>
          </w:tcPr>
          <w:p w14:paraId="4789DD20"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5.0</w:t>
            </w:r>
            <w:r w:rsidR="00402438" w:rsidRPr="0018093C">
              <w:rPr>
                <w:lang w:eastAsia="en-US"/>
              </w:rPr>
              <w:t>%</w:t>
            </w:r>
          </w:p>
        </w:tc>
      </w:tr>
      <w:tr w:rsidR="007A5C88" w:rsidRPr="0018093C" w14:paraId="27EB3544"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644DA9D5" w14:textId="77777777" w:rsidR="007A5C88" w:rsidRPr="0018093C" w:rsidRDefault="007A5C88" w:rsidP="00C16B04">
            <w:pPr>
              <w:widowControl w:val="0"/>
              <w:overflowPunct w:val="0"/>
              <w:autoSpaceDE w:val="0"/>
              <w:autoSpaceDN w:val="0"/>
              <w:adjustRightInd w:val="0"/>
              <w:spacing w:before="60" w:after="60" w:line="240" w:lineRule="auto"/>
              <w:ind w:firstLine="0"/>
              <w:jc w:val="both"/>
              <w:textAlignment w:val="baseline"/>
              <w:rPr>
                <w:b/>
                <w:bCs/>
                <w:lang w:eastAsia="en-US"/>
              </w:rPr>
            </w:pPr>
            <w:r w:rsidRPr="0018093C">
              <w:rPr>
                <w:b/>
                <w:bCs/>
                <w:lang w:eastAsia="en-US"/>
              </w:rPr>
              <w:t>AVERAGE</w:t>
            </w:r>
          </w:p>
        </w:tc>
        <w:tc>
          <w:tcPr>
            <w:tcW w:w="840" w:type="dxa"/>
            <w:tcBorders>
              <w:top w:val="nil"/>
              <w:left w:val="nil"/>
              <w:bottom w:val="nil"/>
              <w:right w:val="nil"/>
            </w:tcBorders>
            <w:shd w:val="clear" w:color="auto" w:fill="auto"/>
            <w:noWrap/>
            <w:vAlign w:val="center"/>
            <w:hideMark/>
          </w:tcPr>
          <w:p w14:paraId="1279463F"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3.9</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518887A6"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4.5</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7DC8BDF2"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4.9</w:t>
            </w:r>
            <w:r w:rsidR="00402438" w:rsidRPr="0018093C">
              <w:rPr>
                <w:lang w:eastAsia="en-US"/>
              </w:rPr>
              <w:t>%</w:t>
            </w:r>
          </w:p>
        </w:tc>
        <w:tc>
          <w:tcPr>
            <w:tcW w:w="860" w:type="dxa"/>
            <w:tcBorders>
              <w:top w:val="nil"/>
              <w:left w:val="nil"/>
              <w:bottom w:val="nil"/>
              <w:right w:val="nil"/>
            </w:tcBorders>
            <w:shd w:val="clear" w:color="auto" w:fill="auto"/>
            <w:noWrap/>
            <w:vAlign w:val="center"/>
            <w:hideMark/>
          </w:tcPr>
          <w:p w14:paraId="192BFA88"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5.1</w:t>
            </w:r>
            <w:r w:rsidR="00402438" w:rsidRPr="0018093C">
              <w:rPr>
                <w:lang w:eastAsia="en-US"/>
              </w:rPr>
              <w:t>%</w:t>
            </w:r>
          </w:p>
        </w:tc>
        <w:tc>
          <w:tcPr>
            <w:tcW w:w="780" w:type="dxa"/>
            <w:tcBorders>
              <w:top w:val="nil"/>
              <w:left w:val="nil"/>
              <w:bottom w:val="nil"/>
              <w:right w:val="nil"/>
            </w:tcBorders>
            <w:shd w:val="clear" w:color="auto" w:fill="auto"/>
            <w:noWrap/>
            <w:vAlign w:val="center"/>
            <w:hideMark/>
          </w:tcPr>
          <w:p w14:paraId="4736F292"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4.9</w:t>
            </w:r>
            <w:r w:rsidR="00402438" w:rsidRPr="0018093C">
              <w:rPr>
                <w:lang w:eastAsia="en-US"/>
              </w:rPr>
              <w:t>%</w:t>
            </w:r>
          </w:p>
        </w:tc>
        <w:tc>
          <w:tcPr>
            <w:tcW w:w="1000" w:type="dxa"/>
            <w:tcBorders>
              <w:top w:val="nil"/>
              <w:left w:val="nil"/>
              <w:bottom w:val="nil"/>
              <w:right w:val="nil"/>
            </w:tcBorders>
            <w:shd w:val="clear" w:color="auto" w:fill="auto"/>
            <w:noWrap/>
            <w:vAlign w:val="center"/>
            <w:hideMark/>
          </w:tcPr>
          <w:p w14:paraId="2204A99A"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5.0</w:t>
            </w:r>
            <w:r w:rsidR="00402438" w:rsidRPr="0018093C">
              <w:rPr>
                <w:lang w:eastAsia="en-US"/>
              </w:rPr>
              <w:t>%</w:t>
            </w:r>
          </w:p>
        </w:tc>
      </w:tr>
    </w:tbl>
    <w:p w14:paraId="05672DA6" w14:textId="77777777" w:rsidR="0045057F" w:rsidRPr="0018093C" w:rsidRDefault="0045057F" w:rsidP="00C16B04">
      <w:pPr>
        <w:spacing w:before="360" w:after="120" w:line="480" w:lineRule="auto"/>
        <w:ind w:left="720" w:firstLine="0"/>
      </w:pPr>
      <w:r w:rsidRPr="0018093C">
        <w:lastRenderedPageBreak/>
        <w:t>The forecasts are remarkably consistent, pointing to a 5.0% yield on U.S. Treasury Bonds in the next several years.  It is also noteworthy that the historical return on long-term U.S. Treasury bonds has averaged 5.1% over the long period 1926-2013.</w:t>
      </w:r>
    </w:p>
    <w:p w14:paraId="624EF8C4" w14:textId="77777777" w:rsidR="007A5C88" w:rsidRPr="0018093C" w:rsidRDefault="007A5C88" w:rsidP="00C16B04">
      <w:pPr>
        <w:spacing w:before="120" w:after="120" w:line="480" w:lineRule="auto"/>
        <w:ind w:left="720" w:firstLine="0"/>
      </w:pPr>
      <w:r w:rsidRPr="0018093C">
        <w:t xml:space="preserve">The average 30 year long-term bond yield forecast for the next several years from the four sources is 5.0%.  The rising yield forecasts are also quite consistent with the sharply upward-sloping yield curve observed at this time. </w:t>
      </w:r>
    </w:p>
    <w:p w14:paraId="0AAA71A4" w14:textId="77777777" w:rsidR="007A5C88" w:rsidRPr="0018093C" w:rsidRDefault="007A5C88" w:rsidP="00C16B04">
      <w:pPr>
        <w:spacing w:before="120" w:after="120" w:line="480" w:lineRule="auto"/>
        <w:ind w:left="720" w:firstLine="0"/>
        <w:rPr>
          <w:rFonts w:eastAsia="SimSun"/>
        </w:rPr>
      </w:pPr>
      <w:r w:rsidRPr="0018093C">
        <w:t xml:space="preserve">As a result, </w:t>
      </w:r>
      <w:r w:rsidR="00087381" w:rsidRPr="0018093C">
        <w:rPr>
          <w:snapToGrid w:val="0"/>
          <w:lang w:eastAsia="en-US"/>
        </w:rPr>
        <w:t>Mr. Gorman</w:t>
      </w:r>
      <w:r w:rsidR="00942E42" w:rsidRPr="0018093C">
        <w:t>’</w:t>
      </w:r>
      <w:r w:rsidRPr="0018093C">
        <w:t xml:space="preserve">s CAPM and Risk Premium estimates are understated by </w:t>
      </w:r>
      <w:r w:rsidR="00C16B04" w:rsidRPr="0018093C">
        <w:t xml:space="preserve">approximately </w:t>
      </w:r>
      <w:r w:rsidRPr="0018093C">
        <w:t>90 basis points (5.0% - 4.1% = 0.9).</w:t>
      </w:r>
      <w:r w:rsidR="00402438" w:rsidRPr="0018093C">
        <w:t xml:space="preserve">  </w:t>
      </w:r>
      <w:r w:rsidRPr="0018093C">
        <w:t xml:space="preserve">That in itself would raise his recommended ROE of 9.3% to well above </w:t>
      </w:r>
      <w:r w:rsidR="00C16B04" w:rsidRPr="0018093C">
        <w:t xml:space="preserve">PSE’s current allowed ROE of </w:t>
      </w:r>
      <w:r w:rsidRPr="0018093C">
        <w:t>9.8%.</w:t>
      </w:r>
    </w:p>
    <w:p w14:paraId="47D64C69" w14:textId="77777777" w:rsidR="007A5C88" w:rsidRPr="0018093C" w:rsidRDefault="00E5032D" w:rsidP="00C16B04">
      <w:pPr>
        <w:pStyle w:val="Heading3"/>
      </w:pPr>
      <w:bookmarkStart w:id="44" w:name="_Toc406751132"/>
      <w:bookmarkStart w:id="45" w:name="_Toc406075029"/>
      <w:r w:rsidRPr="0018093C">
        <w:t>2</w:t>
      </w:r>
      <w:r w:rsidR="007A5C88" w:rsidRPr="0018093C">
        <w:t>.</w:t>
      </w:r>
      <w:r w:rsidR="007A5C88" w:rsidRPr="0018093C">
        <w:tab/>
      </w:r>
      <w:r w:rsidRPr="0018093C">
        <w:t>Mr. Gorman’s CAPM Analyses Relies Upon an Artificially Low Market Risk Premium</w:t>
      </w:r>
      <w:bookmarkEnd w:id="44"/>
      <w:r w:rsidRPr="0018093C">
        <w:t xml:space="preserve"> </w:t>
      </w:r>
      <w:bookmarkEnd w:id="45"/>
    </w:p>
    <w:p w14:paraId="033E3BF4"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r>
      <w:r w:rsidR="00087381" w:rsidRPr="0018093C">
        <w:rPr>
          <w:b/>
        </w:rPr>
        <w:t>H</w:t>
      </w:r>
      <w:r w:rsidRPr="0018093C">
        <w:rPr>
          <w:b/>
        </w:rPr>
        <w:t xml:space="preserve">ow does </w:t>
      </w:r>
      <w:r w:rsidR="00087381" w:rsidRPr="0018093C">
        <w:rPr>
          <w:b/>
          <w:snapToGrid w:val="0"/>
          <w:lang w:eastAsia="en-US"/>
        </w:rPr>
        <w:t>Mr. Gorman</w:t>
      </w:r>
      <w:r w:rsidRPr="0018093C">
        <w:rPr>
          <w:b/>
        </w:rPr>
        <w:t xml:space="preserve"> estimate the M</w:t>
      </w:r>
      <w:r w:rsidR="00C16B04" w:rsidRPr="0018093C">
        <w:rPr>
          <w:b/>
        </w:rPr>
        <w:t xml:space="preserve">arket Risk Premium </w:t>
      </w:r>
      <w:r w:rsidRPr="0018093C">
        <w:rPr>
          <w:b/>
        </w:rPr>
        <w:t>component of the CAPM?</w:t>
      </w:r>
    </w:p>
    <w:p w14:paraId="058EB106" w14:textId="77777777" w:rsidR="007A5C88" w:rsidRPr="0018093C" w:rsidRDefault="007A5C88" w:rsidP="007A5C88">
      <w:pPr>
        <w:spacing w:before="120" w:after="120" w:line="480" w:lineRule="auto"/>
        <w:ind w:left="720" w:hanging="720"/>
        <w:rPr>
          <w:rFonts w:eastAsia="SimSun"/>
        </w:rPr>
      </w:pPr>
      <w:r w:rsidRPr="0018093C">
        <w:t>A.</w:t>
      </w:r>
      <w:r w:rsidRPr="0018093C">
        <w:tab/>
        <w:t xml:space="preserve">In order to determine the </w:t>
      </w:r>
      <w:r w:rsidR="00C16B04" w:rsidRPr="0018093C">
        <w:t xml:space="preserve">Market Risk Premium </w:t>
      </w:r>
      <w:r w:rsidRPr="0018093C">
        <w:t xml:space="preserve">component of his CAPM analysis, </w:t>
      </w:r>
      <w:r w:rsidR="00087381" w:rsidRPr="0018093C">
        <w:rPr>
          <w:snapToGrid w:val="0"/>
          <w:lang w:eastAsia="en-US"/>
        </w:rPr>
        <w:t>Mr. Gorman</w:t>
      </w:r>
      <w:r w:rsidRPr="0018093C">
        <w:t xml:space="preserve"> relies on the Morningstar study of historical returns which estimates that the average total return on the S&amp;P 500 was 12.1%, and the total return on long-term Treasury bonds was 5.9%, indicating a MRP of 6.2% (12.1%</w:t>
      </w:r>
      <w:r w:rsidR="00E5032D" w:rsidRPr="0018093C">
        <w:t> </w:t>
      </w:r>
      <w:r w:rsidRPr="0018093C">
        <w:t>-</w:t>
      </w:r>
      <w:r w:rsidR="00E5032D" w:rsidRPr="0018093C">
        <w:t> </w:t>
      </w:r>
      <w:r w:rsidRPr="0018093C">
        <w:t>5.9% = 6.2%)</w:t>
      </w:r>
      <w:r w:rsidR="00E5032D" w:rsidRPr="0018093C">
        <w:t>.</w:t>
      </w:r>
      <w:r w:rsidR="00E5032D" w:rsidRPr="0018093C">
        <w:rPr>
          <w:rStyle w:val="FootnoteReference"/>
          <w:snapToGrid w:val="0"/>
          <w:lang w:eastAsia="en-US"/>
        </w:rPr>
        <w:footnoteReference w:id="105"/>
      </w:r>
    </w:p>
    <w:p w14:paraId="4E29DB31" w14:textId="77777777" w:rsidR="00E5032D" w:rsidRPr="0018093C" w:rsidRDefault="00E5032D" w:rsidP="00E5032D">
      <w:pPr>
        <w:spacing w:before="120" w:after="120" w:line="480" w:lineRule="auto"/>
        <w:ind w:left="720" w:firstLine="0"/>
      </w:pPr>
      <w:r w:rsidRPr="0018093C">
        <w:t xml:space="preserve">Although </w:t>
      </w:r>
      <w:r w:rsidR="007A5C88" w:rsidRPr="0018093C">
        <w:t xml:space="preserve">it is correct that over the period 1926 through 2013, the Morningstar study estimated that the average total return on the S&amp;P 500 was 12.1%, and the </w:t>
      </w:r>
      <w:r w:rsidR="007A5C88" w:rsidRPr="0018093C">
        <w:lastRenderedPageBreak/>
        <w:t xml:space="preserve">total return on long-term Treasury bonds was 5.9%, indicating a </w:t>
      </w:r>
      <w:r w:rsidRPr="0018093C">
        <w:t xml:space="preserve">Market Risk Premium </w:t>
      </w:r>
      <w:r w:rsidR="007A5C88" w:rsidRPr="0018093C">
        <w:t xml:space="preserve">of 6.2% (12.1% - 5.9% = 6.2%), this is not the proper way to estimate the </w:t>
      </w:r>
      <w:r w:rsidRPr="0018093C">
        <w:t xml:space="preserve">Market Risk Premium </w:t>
      </w:r>
      <w:r w:rsidR="007A5C88" w:rsidRPr="0018093C">
        <w:t>as the Morningstar study recommends.</w:t>
      </w:r>
      <w:r w:rsidR="00402438" w:rsidRPr="0018093C">
        <w:t xml:space="preserve">  </w:t>
      </w:r>
      <w:r w:rsidR="007A5C88" w:rsidRPr="0018093C">
        <w:t xml:space="preserve">The more accurate way to estimate the </w:t>
      </w:r>
      <w:r w:rsidRPr="0018093C">
        <w:t xml:space="preserve">Market Risk Premium </w:t>
      </w:r>
      <w:r w:rsidR="007A5C88" w:rsidRPr="0018093C">
        <w:t xml:space="preserve">from historical data is to use the income return, not total returns, on government bonds.  The long-term (1926-2013) </w:t>
      </w:r>
      <w:r w:rsidRPr="0018093C">
        <w:t xml:space="preserve">Market Risk Premium </w:t>
      </w:r>
      <w:r w:rsidR="007A5C88" w:rsidRPr="0018093C">
        <w:t>(based on income returns, as required) is 7.0%, rather than 6.2%.</w:t>
      </w:r>
    </w:p>
    <w:p w14:paraId="36CAD77C" w14:textId="77777777" w:rsidR="007A5C88" w:rsidRPr="0018093C" w:rsidRDefault="007A5C88" w:rsidP="00E5032D">
      <w:pPr>
        <w:spacing w:before="120" w:after="120" w:line="480" w:lineRule="auto"/>
        <w:ind w:left="720" w:firstLine="0"/>
        <w:rPr>
          <w:rFonts w:eastAsia="SimSun"/>
        </w:rPr>
      </w:pPr>
      <w:r w:rsidRPr="0018093C">
        <w:t>The income return on government bonds is a more reliable estimate of the historical market risk premium because the income component of total bond return (i.e., the coupon rate) is a better estimate of expected return than the total return (i.e., the coupon rate + capital gain).</w:t>
      </w:r>
      <w:r w:rsidR="00402438" w:rsidRPr="0018093C">
        <w:t xml:space="preserve">  </w:t>
      </w:r>
      <w:r w:rsidRPr="0018093C">
        <w:t xml:space="preserve">In other words, bond investors focus on income rather than realized capital gains/losses.  Coupling this estimate of 7.0% with </w:t>
      </w:r>
      <w:r w:rsidR="00087381" w:rsidRPr="0018093C">
        <w:rPr>
          <w:snapToGrid w:val="0"/>
          <w:lang w:eastAsia="en-US"/>
        </w:rPr>
        <w:t>Mr. Gorman</w:t>
      </w:r>
      <w:r w:rsidR="00942E42" w:rsidRPr="0018093C">
        <w:t>’</w:t>
      </w:r>
      <w:r w:rsidRPr="0018093C">
        <w:t xml:space="preserve">s prospective estimate of 7.3%, the average </w:t>
      </w:r>
      <w:r w:rsidR="00E5032D" w:rsidRPr="0018093C">
        <w:t xml:space="preserve">Market Risk Premium </w:t>
      </w:r>
      <w:r w:rsidRPr="0018093C">
        <w:t>becomes 7.</w:t>
      </w:r>
      <w:r w:rsidR="00E5032D" w:rsidRPr="0018093C">
        <w:t>15</w:t>
      </w:r>
      <w:r w:rsidRPr="0018093C">
        <w:t xml:space="preserve">% rather than </w:t>
      </w:r>
      <w:r w:rsidR="00087381" w:rsidRPr="0018093C">
        <w:rPr>
          <w:snapToGrid w:val="0"/>
          <w:lang w:eastAsia="en-US"/>
        </w:rPr>
        <w:t>Mr. Gorman</w:t>
      </w:r>
      <w:r w:rsidR="00942E42" w:rsidRPr="0018093C">
        <w:t>’</w:t>
      </w:r>
      <w:r w:rsidRPr="0018093C">
        <w:t xml:space="preserve">s 6.8% estimate. This correction alone increases </w:t>
      </w:r>
      <w:r w:rsidR="00087381" w:rsidRPr="0018093C">
        <w:rPr>
          <w:snapToGrid w:val="0"/>
          <w:lang w:eastAsia="en-US"/>
        </w:rPr>
        <w:t>Mr. Gorman</w:t>
      </w:r>
      <w:r w:rsidR="00942E42" w:rsidRPr="0018093C">
        <w:t>’</w:t>
      </w:r>
      <w:r w:rsidRPr="0018093C">
        <w:t>s CAPM estimate by 30</w:t>
      </w:r>
      <w:r w:rsidR="00E5032D" w:rsidRPr="0018093C">
        <w:t> </w:t>
      </w:r>
      <w:r w:rsidRPr="0018093C">
        <w:t>basis points (the difference between 6.8% and 7.2% times Mr.</w:t>
      </w:r>
      <w:r w:rsidR="00E5032D" w:rsidRPr="0018093C">
        <w:t> Gorman</w:t>
      </w:r>
      <w:r w:rsidR="00942E42" w:rsidRPr="0018093C">
        <w:t>’</w:t>
      </w:r>
      <w:r w:rsidRPr="0018093C">
        <w:t xml:space="preserve">s average beta of 0.75 for the companies in his peer groups. </w:t>
      </w:r>
    </w:p>
    <w:p w14:paraId="1EB981CC" w14:textId="77777777" w:rsidR="00101E38" w:rsidRPr="0018093C" w:rsidRDefault="00101E38" w:rsidP="00101E38">
      <w:pPr>
        <w:keepNext/>
        <w:keepLines/>
        <w:spacing w:before="360" w:after="360" w:line="240" w:lineRule="auto"/>
        <w:ind w:left="720" w:right="720" w:hanging="720"/>
        <w:outlineLvl w:val="1"/>
        <w:rPr>
          <w:b/>
          <w:u w:val="single"/>
        </w:rPr>
      </w:pPr>
      <w:bookmarkStart w:id="46" w:name="_Toc406751133"/>
      <w:bookmarkStart w:id="47" w:name="_Toc406075030"/>
      <w:r w:rsidRPr="0018093C">
        <w:rPr>
          <w:b/>
          <w:u w:val="single"/>
        </w:rPr>
        <w:t>D.</w:t>
      </w:r>
      <w:r w:rsidRPr="0018093C">
        <w:rPr>
          <w:b/>
          <w:u w:val="single"/>
        </w:rPr>
        <w:tab/>
        <w:t xml:space="preserve">Mr. Gorman’s </w:t>
      </w:r>
      <w:r w:rsidRPr="0018093C">
        <w:rPr>
          <w:b/>
          <w:snapToGrid w:val="0"/>
          <w:u w:val="single"/>
          <w:lang w:eastAsia="en-US"/>
        </w:rPr>
        <w:t>Historical Risk Premium Analysis</w:t>
      </w:r>
      <w:r w:rsidRPr="0018093C">
        <w:rPr>
          <w:b/>
          <w:u w:val="single"/>
        </w:rPr>
        <w:t xml:space="preserve"> Relies Upon an Artificially Low Interest Rate and Fails to Recognize the Inverse Relationship Between the Risk Premium and Interest Rates</w:t>
      </w:r>
      <w:bookmarkEnd w:id="46"/>
    </w:p>
    <w:bookmarkEnd w:id="47"/>
    <w:p w14:paraId="4DB5291A"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Do you agree with </w:t>
      </w:r>
      <w:r w:rsidR="00087381" w:rsidRPr="0018093C">
        <w:rPr>
          <w:b/>
          <w:snapToGrid w:val="0"/>
          <w:lang w:eastAsia="en-US"/>
        </w:rPr>
        <w:t>Mr. Gorman</w:t>
      </w:r>
      <w:r w:rsidR="00942E42" w:rsidRPr="0018093C">
        <w:rPr>
          <w:b/>
        </w:rPr>
        <w:t>’</w:t>
      </w:r>
      <w:r w:rsidRPr="0018093C">
        <w:rPr>
          <w:b/>
        </w:rPr>
        <w:t>s historical risk premium analysis?</w:t>
      </w:r>
    </w:p>
    <w:p w14:paraId="39F6BAEA" w14:textId="0B44EF03" w:rsidR="007A5C88" w:rsidRPr="0018093C" w:rsidRDefault="007A5C88" w:rsidP="006A6BBB">
      <w:pPr>
        <w:spacing w:before="120" w:after="120" w:line="480" w:lineRule="auto"/>
        <w:ind w:left="720" w:hanging="720"/>
        <w:rPr>
          <w:rFonts w:eastAsia="SimSun"/>
        </w:rPr>
      </w:pPr>
      <w:r w:rsidRPr="0018093C">
        <w:t>A.</w:t>
      </w:r>
      <w:r w:rsidRPr="0018093C">
        <w:tab/>
        <w:t>No, I do not.</w:t>
      </w:r>
      <w:r w:rsidR="00E5032D" w:rsidRPr="0018093C">
        <w:rPr>
          <w:rFonts w:eastAsia="SimSun"/>
        </w:rPr>
        <w:t xml:space="preserve">  </w:t>
      </w:r>
      <w:r w:rsidR="00087381" w:rsidRPr="0018093C">
        <w:rPr>
          <w:snapToGrid w:val="0"/>
          <w:lang w:eastAsia="en-US"/>
        </w:rPr>
        <w:t>Mr. Gorman</w:t>
      </w:r>
      <w:r w:rsidRPr="0018093C">
        <w:t xml:space="preserve"> estimated the difference between the required return on utility common equity investments and both U.S. Treasury and A-rated utilities </w:t>
      </w:r>
      <w:r w:rsidR="00DB2A7A" w:rsidRPr="0018093C">
        <w:lastRenderedPageBreak/>
        <w:t xml:space="preserve">bonds </w:t>
      </w:r>
      <w:r w:rsidRPr="0018093C">
        <w:t>over the 1986- 2014 period to arrive at two risk premia.</w:t>
      </w:r>
      <w:r w:rsidR="006A6BBB" w:rsidRPr="0018093C">
        <w:rPr>
          <w:rStyle w:val="FootnoteReference"/>
          <w:snapToGrid w:val="0"/>
          <w:lang w:eastAsia="en-US"/>
        </w:rPr>
        <w:footnoteReference w:id="106"/>
      </w:r>
      <w:r w:rsidR="006A6BBB" w:rsidRPr="0018093C">
        <w:rPr>
          <w:rFonts w:eastAsia="SimSun"/>
        </w:rPr>
        <w:t xml:space="preserve">  </w:t>
      </w:r>
      <w:r w:rsidRPr="0018093C">
        <w:t>Based on this analysis, as shown in his Exhibit No.</w:t>
      </w:r>
      <w:r w:rsidR="006A6BBB" w:rsidRPr="0018093C">
        <w:t> </w:t>
      </w:r>
      <w:r w:rsidRPr="0018093C">
        <w:t>___(MPG-34), the average indicated equity risk premium over U.S. Treasury bond yields has been 5.36% and 3.98% over Moody</w:t>
      </w:r>
      <w:r w:rsidR="00942E42" w:rsidRPr="0018093C">
        <w:t>’</w:t>
      </w:r>
      <w:r w:rsidR="006A6BBB" w:rsidRPr="0018093C">
        <w:t>s utility bond yield.</w:t>
      </w:r>
      <w:r w:rsidR="006A6BBB" w:rsidRPr="0018093C">
        <w:rPr>
          <w:rStyle w:val="FootnoteReference"/>
          <w:snapToGrid w:val="0"/>
          <w:lang w:eastAsia="en-US"/>
        </w:rPr>
        <w:footnoteReference w:id="107"/>
      </w:r>
    </w:p>
    <w:p w14:paraId="496D6F22"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What is wrong with </w:t>
      </w:r>
      <w:r w:rsidR="00087381" w:rsidRPr="0018093C">
        <w:rPr>
          <w:b/>
          <w:snapToGrid w:val="0"/>
          <w:lang w:eastAsia="en-US"/>
        </w:rPr>
        <w:t>Mr. Gorman</w:t>
      </w:r>
      <w:r w:rsidRPr="0018093C">
        <w:rPr>
          <w:b/>
        </w:rPr>
        <w:t xml:space="preserve"> historical risk premium estimates?</w:t>
      </w:r>
    </w:p>
    <w:p w14:paraId="064D5A2D" w14:textId="650C37B0" w:rsidR="007A5C88" w:rsidRPr="0018093C" w:rsidRDefault="007A5C88" w:rsidP="007A5C88">
      <w:pPr>
        <w:spacing w:before="120" w:after="120" w:line="480" w:lineRule="auto"/>
        <w:ind w:left="720" w:hanging="720"/>
        <w:rPr>
          <w:rFonts w:eastAsia="SimSun"/>
        </w:rPr>
      </w:pPr>
      <w:r w:rsidRPr="0018093C">
        <w:t>A.</w:t>
      </w:r>
      <w:r w:rsidRPr="0018093C">
        <w:tab/>
      </w:r>
      <w:r w:rsidR="006A6BBB" w:rsidRPr="0018093C">
        <w:rPr>
          <w:snapToGrid w:val="0"/>
          <w:lang w:eastAsia="en-US"/>
        </w:rPr>
        <w:t>Mr. Gorman</w:t>
      </w:r>
      <w:r w:rsidR="006A6BBB" w:rsidRPr="0018093C">
        <w:t xml:space="preserve"> historical risk premium estimates suffers two problems</w:t>
      </w:r>
      <w:r w:rsidRPr="0018093C">
        <w:t xml:space="preserve">.  First, </w:t>
      </w:r>
      <w:r w:rsidR="006A6BBB" w:rsidRPr="0018093C">
        <w:t xml:space="preserve">Mr. Gorman erroneously </w:t>
      </w:r>
      <w:r w:rsidRPr="0018093C">
        <w:t xml:space="preserve">based </w:t>
      </w:r>
      <w:r w:rsidR="006A6BBB" w:rsidRPr="0018093C">
        <w:t xml:space="preserve">his historical risk premium estimates </w:t>
      </w:r>
      <w:r w:rsidRPr="0018093C">
        <w:t xml:space="preserve">on a forecast Treasury Bond yield of 4.1% rather than 5.0%, </w:t>
      </w:r>
      <w:r w:rsidR="006A6BBB" w:rsidRPr="0018093C">
        <w:t xml:space="preserve">thereby </w:t>
      </w:r>
      <w:r w:rsidRPr="0018093C">
        <w:t xml:space="preserve">understating his cost of equity estimates by </w:t>
      </w:r>
      <w:r w:rsidR="006A6BBB" w:rsidRPr="0018093C">
        <w:t xml:space="preserve">approximately </w:t>
      </w:r>
      <w:r w:rsidRPr="0018093C">
        <w:t>90</w:t>
      </w:r>
      <w:r w:rsidR="006A6BBB" w:rsidRPr="0018093C">
        <w:t> </w:t>
      </w:r>
      <w:r w:rsidRPr="0018093C">
        <w:t xml:space="preserve">basis points.  I discussed the appropriate yield forecast </w:t>
      </w:r>
      <w:r w:rsidR="00101E38" w:rsidRPr="0018093C">
        <w:t>above</w:t>
      </w:r>
      <w:r w:rsidRPr="0018093C">
        <w:t xml:space="preserve">.  Second, </w:t>
      </w:r>
      <w:r w:rsidR="00087381" w:rsidRPr="0018093C">
        <w:rPr>
          <w:snapToGrid w:val="0"/>
          <w:lang w:eastAsia="en-US"/>
        </w:rPr>
        <w:t>Mr. Gorman</w:t>
      </w:r>
      <w:r w:rsidRPr="0018093C">
        <w:t xml:space="preserve"> failed to recognize the inverse relationship between the risk premium and interest rates, as I did in my </w:t>
      </w:r>
      <w:r w:rsidR="009466F7" w:rsidRPr="0018093C">
        <w:t>prefi</w:t>
      </w:r>
      <w:r w:rsidR="00101E38" w:rsidRPr="0018093C">
        <w:t xml:space="preserve">led </w:t>
      </w:r>
      <w:r w:rsidRPr="0018093C">
        <w:t xml:space="preserve">direct </w:t>
      </w:r>
      <w:r w:rsidR="00101E38" w:rsidRPr="0018093C">
        <w:t xml:space="preserve">testimony.  </w:t>
      </w:r>
      <w:r w:rsidRPr="0018093C">
        <w:t xml:space="preserve">Recognizing this well-known inverse relationship increases his cost of equity estimates by </w:t>
      </w:r>
      <w:r w:rsidR="00101E38" w:rsidRPr="0018093C">
        <w:t xml:space="preserve">approximately </w:t>
      </w:r>
      <w:r w:rsidRPr="0018093C">
        <w:t>another 30 basis points.</w:t>
      </w:r>
    </w:p>
    <w:p w14:paraId="60891642" w14:textId="77777777" w:rsidR="007A5C88" w:rsidRPr="0018093C" w:rsidRDefault="00101E38" w:rsidP="007A5C88">
      <w:pPr>
        <w:keepNext/>
        <w:keepLines/>
        <w:spacing w:before="360" w:after="360" w:line="240" w:lineRule="auto"/>
        <w:ind w:left="720" w:right="720" w:hanging="720"/>
        <w:outlineLvl w:val="1"/>
        <w:rPr>
          <w:b/>
          <w:i/>
          <w:snapToGrid w:val="0"/>
          <w:u w:val="single"/>
          <w:lang w:eastAsia="en-US"/>
        </w:rPr>
      </w:pPr>
      <w:bookmarkStart w:id="48" w:name="_Toc406075031"/>
      <w:bookmarkStart w:id="49" w:name="_Toc406751134"/>
      <w:r w:rsidRPr="0018093C">
        <w:rPr>
          <w:b/>
          <w:snapToGrid w:val="0"/>
          <w:u w:val="single"/>
          <w:lang w:eastAsia="en-US"/>
        </w:rPr>
        <w:t>E</w:t>
      </w:r>
      <w:r w:rsidR="007A5C88" w:rsidRPr="0018093C">
        <w:rPr>
          <w:b/>
          <w:snapToGrid w:val="0"/>
          <w:u w:val="single"/>
          <w:lang w:eastAsia="en-US"/>
        </w:rPr>
        <w:t>.</w:t>
      </w:r>
      <w:r w:rsidR="007A5C88" w:rsidRPr="0018093C">
        <w:rPr>
          <w:b/>
          <w:snapToGrid w:val="0"/>
          <w:u w:val="single"/>
          <w:lang w:eastAsia="en-US"/>
        </w:rPr>
        <w:tab/>
      </w:r>
      <w:r w:rsidR="00402438" w:rsidRPr="0018093C">
        <w:rPr>
          <w:b/>
          <w:snapToGrid w:val="0"/>
          <w:u w:val="single"/>
          <w:lang w:eastAsia="en-US"/>
        </w:rPr>
        <w:t xml:space="preserve">Mr. Gorman’s Prefiled Response Testimony Contains Two Minor </w:t>
      </w:r>
      <w:r w:rsidR="007A5C88" w:rsidRPr="0018093C">
        <w:rPr>
          <w:b/>
          <w:snapToGrid w:val="0"/>
          <w:u w:val="single"/>
          <w:lang w:eastAsia="en-US"/>
        </w:rPr>
        <w:t>Inconsistencies</w:t>
      </w:r>
      <w:bookmarkEnd w:id="48"/>
      <w:r w:rsidR="00402438" w:rsidRPr="0018093C">
        <w:rPr>
          <w:b/>
          <w:snapToGrid w:val="0"/>
          <w:u w:val="single"/>
          <w:lang w:eastAsia="en-US"/>
        </w:rPr>
        <w:t xml:space="preserve"> Regarding Beta and </w:t>
      </w:r>
      <w:r w:rsidR="00C676BE" w:rsidRPr="0018093C">
        <w:rPr>
          <w:b/>
          <w:snapToGrid w:val="0"/>
          <w:u w:val="single"/>
          <w:lang w:eastAsia="en-US"/>
        </w:rPr>
        <w:t>Projected Inflation Rates</w:t>
      </w:r>
      <w:bookmarkEnd w:id="49"/>
    </w:p>
    <w:p w14:paraId="0627DEBC"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Did you notice any inconsistencies in </w:t>
      </w:r>
      <w:r w:rsidR="00087381" w:rsidRPr="0018093C">
        <w:rPr>
          <w:b/>
          <w:snapToGrid w:val="0"/>
          <w:lang w:eastAsia="en-US"/>
        </w:rPr>
        <w:t>Mr. Gorman</w:t>
      </w:r>
      <w:r w:rsidR="00942E42" w:rsidRPr="0018093C">
        <w:rPr>
          <w:b/>
        </w:rPr>
        <w:t>’</w:t>
      </w:r>
      <w:r w:rsidRPr="0018093C">
        <w:rPr>
          <w:b/>
        </w:rPr>
        <w:t>s testimony?</w:t>
      </w:r>
    </w:p>
    <w:p w14:paraId="42989655" w14:textId="77777777" w:rsidR="00101E38" w:rsidRPr="0018093C" w:rsidRDefault="007A5C88" w:rsidP="007A5C88">
      <w:pPr>
        <w:spacing w:before="120" w:after="120" w:line="480" w:lineRule="auto"/>
        <w:ind w:left="720" w:hanging="720"/>
      </w:pPr>
      <w:r w:rsidRPr="0018093C">
        <w:t>A.</w:t>
      </w:r>
      <w:r w:rsidRPr="0018093C">
        <w:tab/>
        <w:t>Yes, I notice</w:t>
      </w:r>
      <w:r w:rsidR="00101E38" w:rsidRPr="0018093C">
        <w:t>d</w:t>
      </w:r>
      <w:r w:rsidRPr="0018093C">
        <w:t xml:space="preserve"> two minor inconsistencies.  First, </w:t>
      </w:r>
      <w:r w:rsidR="00087381" w:rsidRPr="0018093C">
        <w:rPr>
          <w:snapToGrid w:val="0"/>
          <w:lang w:eastAsia="en-US"/>
        </w:rPr>
        <w:t>Mr. Gorman</w:t>
      </w:r>
      <w:r w:rsidRPr="0018093C">
        <w:t xml:space="preserve"> </w:t>
      </w:r>
      <w:r w:rsidR="00101E38" w:rsidRPr="0018093C">
        <w:t xml:space="preserve">erroneously </w:t>
      </w:r>
      <w:r w:rsidRPr="0018093C">
        <w:t>refers to a beta estimate of 0.76 in his CAPM analysis.</w:t>
      </w:r>
      <w:r w:rsidR="00101E38" w:rsidRPr="0018093C">
        <w:rPr>
          <w:rStyle w:val="FootnoteReference"/>
          <w:snapToGrid w:val="0"/>
          <w:lang w:eastAsia="en-US"/>
        </w:rPr>
        <w:footnoteReference w:id="108"/>
      </w:r>
      <w:r w:rsidR="00101E38" w:rsidRPr="0018093C">
        <w:t xml:space="preserve">  The CAPM analyses in the </w:t>
      </w:r>
      <w:r w:rsidR="00101E38" w:rsidRPr="0018093C">
        <w:lastRenderedPageBreak/>
        <w:t xml:space="preserve">remainder of his testimony and supporting exhibits (most notably, </w:t>
      </w:r>
      <w:r w:rsidRPr="0018093C">
        <w:t xml:space="preserve">Exhibit </w:t>
      </w:r>
      <w:r w:rsidR="00101E38" w:rsidRPr="0018093C">
        <w:t>No. ___</w:t>
      </w:r>
      <w:r w:rsidRPr="0018093C">
        <w:t xml:space="preserve">(MPG-38), relies on </w:t>
      </w:r>
      <w:r w:rsidR="00101E38" w:rsidRPr="0018093C">
        <w:t xml:space="preserve">a beta of </w:t>
      </w:r>
      <w:r w:rsidR="00BD3C63" w:rsidRPr="0018093C">
        <w:t>0.75.</w:t>
      </w:r>
    </w:p>
    <w:p w14:paraId="72CC1205" w14:textId="4444F3E0" w:rsidR="00BD3C63" w:rsidRPr="0018093C" w:rsidRDefault="007A5C88" w:rsidP="00BD3C63">
      <w:pPr>
        <w:spacing w:before="120" w:after="120" w:line="480" w:lineRule="auto"/>
        <w:ind w:left="720" w:firstLine="0"/>
      </w:pPr>
      <w:r w:rsidRPr="0018093C">
        <w:t xml:space="preserve">Second, in deriving his </w:t>
      </w:r>
      <w:r w:rsidR="00101E38" w:rsidRPr="0018093C">
        <w:t xml:space="preserve">Market Risk Premium </w:t>
      </w:r>
      <w:r w:rsidRPr="0018093C">
        <w:t xml:space="preserve">estimate </w:t>
      </w:r>
      <w:r w:rsidR="00101E38" w:rsidRPr="0018093C">
        <w:t xml:space="preserve">for his </w:t>
      </w:r>
      <w:r w:rsidRPr="0018093C">
        <w:t>CAPM analys</w:t>
      </w:r>
      <w:r w:rsidR="00101E38" w:rsidRPr="0018093C">
        <w:t>e</w:t>
      </w:r>
      <w:r w:rsidRPr="0018093C">
        <w:t xml:space="preserve">s, </w:t>
      </w:r>
      <w:r w:rsidR="00101E38" w:rsidRPr="0018093C">
        <w:t xml:space="preserve">Mr. Gorman </w:t>
      </w:r>
      <w:r w:rsidR="00BD3C63" w:rsidRPr="0018093C">
        <w:t>relies on both (i) </w:t>
      </w:r>
      <w:r w:rsidRPr="0018093C">
        <w:t xml:space="preserve">a </w:t>
      </w:r>
      <w:r w:rsidR="00BD3C63" w:rsidRPr="0018093C">
        <w:t xml:space="preserve">current consensus analysts’ inflation projection, as measured by the Consumer Price Index, of </w:t>
      </w:r>
      <w:r w:rsidRPr="0018093C">
        <w:t>2.3% estimate</w:t>
      </w:r>
      <w:r w:rsidR="00BD3C63" w:rsidRPr="0018093C">
        <w:rPr>
          <w:rStyle w:val="FootnoteReference"/>
          <w:snapToGrid w:val="0"/>
          <w:lang w:eastAsia="en-US"/>
        </w:rPr>
        <w:footnoteReference w:id="109"/>
      </w:r>
      <w:r w:rsidRPr="0018093C">
        <w:t xml:space="preserve"> </w:t>
      </w:r>
      <w:r w:rsidR="00BD3C63" w:rsidRPr="0018093C">
        <w:t xml:space="preserve">and (ii) a GDP inflation rate of 2.1% over the 5-year and 10-year projection periods, respectively, as provided by </w:t>
      </w:r>
      <w:r w:rsidR="00BD3C63" w:rsidRPr="0018093C">
        <w:rPr>
          <w:i/>
        </w:rPr>
        <w:t>Blue Chip Economic Indicators</w:t>
      </w:r>
      <w:r w:rsidR="00BD3C63" w:rsidRPr="0018093C">
        <w:t>.</w:t>
      </w:r>
      <w:r w:rsidR="00BD3C63" w:rsidRPr="0018093C">
        <w:rPr>
          <w:rStyle w:val="FootnoteReference"/>
          <w:snapToGrid w:val="0"/>
          <w:lang w:eastAsia="en-US"/>
        </w:rPr>
        <w:footnoteReference w:id="110"/>
      </w:r>
      <w:r w:rsidR="00E74AA6">
        <w:t xml:space="preserve">  It is unclear why Dr. Gorman </w:t>
      </w:r>
      <w:r w:rsidR="00BA13B8">
        <w:t>used two different but relatively similar projected inflation rates.  He should have used one or the other—but not both—projected interest rates for purposes of consistency.</w:t>
      </w:r>
    </w:p>
    <w:p w14:paraId="19DC2D2D" w14:textId="77777777" w:rsidR="007A5C88" w:rsidRPr="0018093C" w:rsidRDefault="007A5C88" w:rsidP="007A5C88">
      <w:pPr>
        <w:keepNext/>
        <w:keepLines/>
        <w:spacing w:before="240" w:after="320" w:line="240" w:lineRule="atLeast"/>
        <w:ind w:left="720" w:right="720" w:firstLine="0"/>
        <w:jc w:val="center"/>
        <w:outlineLvl w:val="0"/>
        <w:rPr>
          <w:b/>
        </w:rPr>
      </w:pPr>
      <w:bookmarkStart w:id="51" w:name="_Toc229215975"/>
      <w:bookmarkStart w:id="52" w:name="_Toc294539822"/>
      <w:bookmarkStart w:id="53" w:name="_Toc406075032"/>
      <w:bookmarkStart w:id="54" w:name="_Toc406751135"/>
      <w:r w:rsidRPr="0018093C">
        <w:rPr>
          <w:b/>
        </w:rPr>
        <w:t>IV.</w:t>
      </w:r>
      <w:r w:rsidRPr="0018093C">
        <w:rPr>
          <w:b/>
        </w:rPr>
        <w:tab/>
        <w:t>CONCLUSION</w:t>
      </w:r>
      <w:bookmarkEnd w:id="51"/>
      <w:bookmarkEnd w:id="52"/>
      <w:bookmarkEnd w:id="53"/>
      <w:bookmarkEnd w:id="54"/>
    </w:p>
    <w:p w14:paraId="2EBDC56E"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Does that conclude your prefiled rebuttal testimony?</w:t>
      </w:r>
    </w:p>
    <w:p w14:paraId="414BDBA3" w14:textId="77777777" w:rsidR="00EF3696" w:rsidRPr="0018093C" w:rsidRDefault="007A5C88" w:rsidP="007A5C88">
      <w:pPr>
        <w:spacing w:before="120" w:after="120" w:line="480" w:lineRule="auto"/>
        <w:ind w:left="720" w:hanging="720"/>
        <w:rPr>
          <w:rFonts w:eastAsia="SimSun"/>
        </w:rPr>
      </w:pPr>
      <w:r w:rsidRPr="0018093C">
        <w:t>A.</w:t>
      </w:r>
      <w:r w:rsidRPr="0018093C">
        <w:tab/>
        <w:t>Yes, it does.</w:t>
      </w:r>
    </w:p>
    <w:sectPr w:rsidR="00EF3696" w:rsidRPr="0018093C"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3B9AE" w14:textId="77777777" w:rsidR="00792AD6" w:rsidRDefault="00792AD6">
      <w:r>
        <w:separator/>
      </w:r>
    </w:p>
  </w:endnote>
  <w:endnote w:type="continuationSeparator" w:id="0">
    <w:p w14:paraId="6BD8BBEF" w14:textId="77777777" w:rsidR="00792AD6" w:rsidRDefault="00792AD6">
      <w:r>
        <w:continuationSeparator/>
      </w:r>
    </w:p>
  </w:endnote>
  <w:endnote w:type="continuationNotice" w:id="1">
    <w:p w14:paraId="6EBEE1A6" w14:textId="77777777" w:rsidR="00792AD6" w:rsidRDefault="00792A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A562" w14:textId="77777777" w:rsidR="00792AD6" w:rsidRDefault="00792AD6"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1CE9B" w14:textId="77777777" w:rsidR="00792AD6" w:rsidRDefault="00792AD6">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14:paraId="29D007D2" w14:textId="77777777" w:rsidR="00792AD6" w:rsidRDefault="00792AD6">
    <w:pPr>
      <w:pStyle w:val="Footer"/>
      <w:tabs>
        <w:tab w:val="clear" w:pos="4507"/>
        <w:tab w:val="clear" w:pos="9000"/>
        <w:tab w:val="right" w:pos="8640"/>
      </w:tabs>
      <w:spacing w:line="240" w:lineRule="auto"/>
      <w:ind w:right="0" w:hanging="4"/>
      <w:rPr>
        <w:sz w:val="10"/>
        <w:szCs w:val="10"/>
      </w:rPr>
    </w:pPr>
  </w:p>
  <w:p w14:paraId="2CC8D257" w14:textId="77777777" w:rsidR="00792AD6" w:rsidRPr="00DB4898" w:rsidRDefault="00792AD6">
    <w:pPr>
      <w:pStyle w:val="Footer"/>
      <w:tabs>
        <w:tab w:val="clear" w:pos="4507"/>
        <w:tab w:val="clear" w:pos="9000"/>
        <w:tab w:val="right" w:pos="8640"/>
      </w:tabs>
      <w:ind w:hanging="4"/>
      <w:rPr>
        <w:sz w:val="24"/>
        <w:szCs w:val="24"/>
      </w:rPr>
    </w:pPr>
    <w:r w:rsidRPr="00DB4898">
      <w:rPr>
        <w:sz w:val="24"/>
        <w:szCs w:val="24"/>
      </w:rPr>
      <w:t xml:space="preserve">Prefiled </w:t>
    </w:r>
    <w:r>
      <w:rPr>
        <w:sz w:val="24"/>
        <w:szCs w:val="24"/>
      </w:rPr>
      <w:t xml:space="preserve">Rebuttal </w:t>
    </w:r>
    <w:r w:rsidRPr="00DB4898">
      <w:rPr>
        <w:sz w:val="24"/>
        <w:szCs w:val="24"/>
      </w:rPr>
      <w:t>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RAM</w:t>
    </w:r>
    <w:r w:rsidRPr="00DB4898">
      <w:rPr>
        <w:sz w:val="24"/>
        <w:szCs w:val="24"/>
      </w:rPr>
      <w:t>-</w:t>
    </w:r>
    <w:r>
      <w:rPr>
        <w:sz w:val="24"/>
        <w:szCs w:val="24"/>
      </w:rPr>
      <w:t>16</w:t>
    </w:r>
    <w:r w:rsidRPr="00DB4898">
      <w:rPr>
        <w:sz w:val="24"/>
        <w:szCs w:val="24"/>
      </w:rPr>
      <w:t>T)</w:t>
    </w:r>
  </w:p>
  <w:p w14:paraId="2F3A1F49" w14:textId="6EED7C00" w:rsidR="00792AD6" w:rsidRPr="00DB4898" w:rsidRDefault="00792AD6">
    <w:pPr>
      <w:pStyle w:val="Footer"/>
      <w:tabs>
        <w:tab w:val="clear" w:pos="4507"/>
        <w:tab w:val="clear" w:pos="9000"/>
        <w:tab w:val="right" w:pos="8640"/>
      </w:tabs>
      <w:ind w:hanging="4"/>
      <w:rPr>
        <w:rStyle w:val="PageNumber"/>
        <w:sz w:val="24"/>
        <w:szCs w:val="24"/>
      </w:rPr>
    </w:pPr>
    <w:r w:rsidRPr="00DB4898">
      <w:rPr>
        <w:sz w:val="24"/>
        <w:szCs w:val="24"/>
      </w:rPr>
      <w:t xml:space="preserve">(Nonconfidential) of </w:t>
    </w:r>
    <w:r>
      <w:rPr>
        <w:sz w:val="24"/>
        <w:szCs w:val="24"/>
      </w:rPr>
      <w:t>Dr. Roger A. Morin</w:t>
    </w:r>
    <w:r w:rsidRPr="00300621">
      <w:rPr>
        <w:sz w:val="24"/>
        <w:szCs w:val="24"/>
      </w:rPr>
      <w:tab/>
    </w:r>
    <w:r w:rsidRPr="00DB4898">
      <w:rPr>
        <w:sz w:val="24"/>
        <w:szCs w:val="24"/>
      </w:rPr>
      <w:t>Page</w:t>
    </w:r>
    <w:r w:rsidRPr="00300621">
      <w:rPr>
        <w:sz w:val="24"/>
        <w:szCs w:val="24"/>
      </w:rPr>
      <w:t> </w:t>
    </w:r>
    <w:r w:rsidR="00067A66" w:rsidRPr="00067A66">
      <w:rPr>
        <w:sz w:val="24"/>
        <w:szCs w:val="24"/>
      </w:rPr>
      <w:fldChar w:fldCharType="begin"/>
    </w:r>
    <w:r w:rsidR="00067A66" w:rsidRPr="00067A66">
      <w:rPr>
        <w:sz w:val="24"/>
        <w:szCs w:val="24"/>
      </w:rPr>
      <w:instrText xml:space="preserve"> PAGE   \* MERGEFORMAT </w:instrText>
    </w:r>
    <w:r w:rsidR="00067A66" w:rsidRPr="00067A66">
      <w:rPr>
        <w:sz w:val="24"/>
        <w:szCs w:val="24"/>
      </w:rPr>
      <w:fldChar w:fldCharType="separate"/>
    </w:r>
    <w:r w:rsidR="00067A66">
      <w:rPr>
        <w:noProof/>
        <w:sz w:val="24"/>
        <w:szCs w:val="24"/>
      </w:rPr>
      <w:t>iii</w:t>
    </w:r>
    <w:r w:rsidR="00067A66" w:rsidRPr="00067A66">
      <w:rPr>
        <w:noProof/>
        <w:sz w:val="24"/>
        <w:szCs w:val="24"/>
      </w:rPr>
      <w:fldChar w:fldCharType="end"/>
    </w:r>
    <w:r w:rsidRPr="00DB4898">
      <w:rPr>
        <w:rStyle w:val="PageNumber"/>
        <w:sz w:val="24"/>
        <w:szCs w:val="24"/>
      </w:rPr>
      <w:t xml:space="preserve"> of </w:t>
    </w:r>
    <w:r>
      <w:rPr>
        <w:sz w:val="24"/>
        <w:szCs w:val="24"/>
      </w:rPr>
      <w:t>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380D" w14:textId="77777777" w:rsidR="00792AD6" w:rsidRDefault="00792AD6">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136FF882" w14:textId="77777777" w:rsidR="00792AD6" w:rsidRDefault="00792AD6">
    <w:pPr>
      <w:pStyle w:val="Footer"/>
      <w:tabs>
        <w:tab w:val="clear" w:pos="4507"/>
        <w:tab w:val="clear" w:pos="9000"/>
        <w:tab w:val="right" w:pos="8640"/>
      </w:tabs>
      <w:spacing w:line="240" w:lineRule="auto"/>
      <w:ind w:right="0"/>
      <w:rPr>
        <w:sz w:val="10"/>
      </w:rPr>
    </w:pPr>
  </w:p>
  <w:p w14:paraId="499D4607" w14:textId="77777777" w:rsidR="00792AD6" w:rsidRPr="00DB4898" w:rsidRDefault="00792AD6">
    <w:pPr>
      <w:pStyle w:val="Footer"/>
      <w:tabs>
        <w:tab w:val="clear" w:pos="4507"/>
        <w:tab w:val="clear" w:pos="9000"/>
        <w:tab w:val="right" w:pos="8640"/>
      </w:tabs>
      <w:rPr>
        <w:sz w:val="24"/>
        <w:szCs w:val="24"/>
      </w:rPr>
    </w:pPr>
    <w:r w:rsidRPr="00DB4898">
      <w:rPr>
        <w:sz w:val="24"/>
        <w:szCs w:val="24"/>
      </w:rPr>
      <w:t xml:space="preserve">Prefiled </w:t>
    </w:r>
    <w:r>
      <w:rPr>
        <w:sz w:val="24"/>
        <w:szCs w:val="24"/>
      </w:rPr>
      <w:t xml:space="preserve">Rebuttal </w:t>
    </w:r>
    <w:r w:rsidRPr="00DB4898">
      <w:rPr>
        <w:sz w:val="24"/>
        <w:szCs w:val="24"/>
      </w:rPr>
      <w:t>Testimony</w:t>
    </w:r>
    <w:r w:rsidRPr="00DB4898">
      <w:rPr>
        <w:sz w:val="24"/>
        <w:szCs w:val="24"/>
      </w:rPr>
      <w:tab/>
      <w:t>Exhibit No. ___(</w:t>
    </w:r>
    <w:r>
      <w:rPr>
        <w:sz w:val="24"/>
        <w:szCs w:val="24"/>
      </w:rPr>
      <w:t>RAM</w:t>
    </w:r>
    <w:r w:rsidRPr="00DB4898">
      <w:rPr>
        <w:sz w:val="24"/>
        <w:szCs w:val="24"/>
      </w:rPr>
      <w:t>-</w:t>
    </w:r>
    <w:r>
      <w:rPr>
        <w:sz w:val="24"/>
        <w:szCs w:val="24"/>
      </w:rPr>
      <w:t>16</w:t>
    </w:r>
    <w:r w:rsidRPr="00DB4898">
      <w:rPr>
        <w:sz w:val="24"/>
        <w:szCs w:val="24"/>
      </w:rPr>
      <w:t>T)</w:t>
    </w:r>
  </w:p>
  <w:p w14:paraId="31945A3A" w14:textId="310D45F0" w:rsidR="00792AD6" w:rsidRPr="00965D31" w:rsidRDefault="00792AD6" w:rsidP="00965D31">
    <w:pPr>
      <w:pStyle w:val="Footer"/>
      <w:tabs>
        <w:tab w:val="clear" w:pos="4507"/>
        <w:tab w:val="clear" w:pos="9000"/>
        <w:tab w:val="right" w:pos="8640"/>
      </w:tabs>
      <w:rPr>
        <w:sz w:val="24"/>
        <w:szCs w:val="24"/>
      </w:rPr>
    </w:pPr>
    <w:r w:rsidRPr="00DB4898">
      <w:rPr>
        <w:sz w:val="24"/>
        <w:szCs w:val="24"/>
      </w:rPr>
      <w:t xml:space="preserve">(Nonconfidential) of </w:t>
    </w:r>
    <w:r>
      <w:rPr>
        <w:sz w:val="24"/>
        <w:szCs w:val="24"/>
      </w:rPr>
      <w:t>Dr. Roger A. Morin</w:t>
    </w:r>
    <w:r w:rsidRPr="00DB4898">
      <w:rPr>
        <w:sz w:val="24"/>
        <w:szCs w:val="24"/>
      </w:rPr>
      <w:tab/>
      <w:t>Page </w:t>
    </w:r>
    <w:r w:rsidR="00067A66" w:rsidRPr="00067A66">
      <w:rPr>
        <w:sz w:val="24"/>
        <w:szCs w:val="24"/>
      </w:rPr>
      <w:fldChar w:fldCharType="begin"/>
    </w:r>
    <w:r w:rsidR="00067A66" w:rsidRPr="00067A66">
      <w:rPr>
        <w:sz w:val="24"/>
        <w:szCs w:val="24"/>
      </w:rPr>
      <w:instrText xml:space="preserve"> PAGE   \* MERGEFORMAT </w:instrText>
    </w:r>
    <w:r w:rsidR="00067A66" w:rsidRPr="00067A66">
      <w:rPr>
        <w:sz w:val="24"/>
        <w:szCs w:val="24"/>
      </w:rPr>
      <w:fldChar w:fldCharType="separate"/>
    </w:r>
    <w:r w:rsidR="00067A66">
      <w:rPr>
        <w:noProof/>
        <w:sz w:val="24"/>
        <w:szCs w:val="24"/>
      </w:rPr>
      <w:t>61</w:t>
    </w:r>
    <w:r w:rsidR="00067A66" w:rsidRPr="00067A66">
      <w:rPr>
        <w:noProof/>
        <w:sz w:val="24"/>
        <w:szCs w:val="24"/>
      </w:rPr>
      <w:fldChar w:fldCharType="end"/>
    </w:r>
    <w:r w:rsidRPr="00DB4898">
      <w:rPr>
        <w:rStyle w:val="PageNumber"/>
        <w:sz w:val="24"/>
        <w:szCs w:val="24"/>
      </w:rPr>
      <w:t xml:space="preserve"> of </w:t>
    </w:r>
    <w:r>
      <w:rPr>
        <w:rStyle w:val="PageNumber"/>
        <w:sz w:val="24"/>
        <w:szCs w:val="24"/>
      </w:rPr>
      <w:t>6</w:t>
    </w:r>
    <w:r w:rsidR="00A855A5">
      <w:rPr>
        <w:rStyle w:val="PageNumber"/>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96B4B" w14:textId="77777777" w:rsidR="00792AD6" w:rsidRDefault="00792AD6">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5605E154" w14:textId="77777777" w:rsidR="00792AD6" w:rsidRDefault="00792AD6">
    <w:pPr>
      <w:pStyle w:val="Footer"/>
      <w:tabs>
        <w:tab w:val="clear" w:pos="4507"/>
        <w:tab w:val="clear" w:pos="9000"/>
        <w:tab w:val="right" w:pos="8640"/>
      </w:tabs>
      <w:spacing w:line="240" w:lineRule="auto"/>
      <w:ind w:left="-630" w:right="0" w:hanging="4"/>
      <w:rPr>
        <w:sz w:val="10"/>
      </w:rPr>
    </w:pPr>
  </w:p>
  <w:p w14:paraId="3AA23F7D" w14:textId="77777777" w:rsidR="00792AD6" w:rsidRDefault="00792AD6">
    <w:pPr>
      <w:pStyle w:val="Footer"/>
      <w:tabs>
        <w:tab w:val="clear" w:pos="4507"/>
        <w:tab w:val="clear" w:pos="9000"/>
        <w:tab w:val="right" w:pos="8640"/>
      </w:tabs>
      <w:ind w:left="-630" w:hanging="4"/>
    </w:pPr>
    <w:r>
      <w:t>Prefiled Direct Testimony of</w:t>
    </w:r>
    <w:r>
      <w:tab/>
      <w:t>Exhibit No. ___(JD-1CT)</w:t>
    </w:r>
  </w:p>
  <w:p w14:paraId="7D6A6E6E" w14:textId="77777777" w:rsidR="00792AD6" w:rsidRDefault="00792AD6">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771B71DC" w14:textId="77777777" w:rsidR="00792AD6" w:rsidRDefault="00792AD6"/>
  <w:p w14:paraId="72EC0785" w14:textId="77777777" w:rsidR="00792AD6" w:rsidRDefault="00792AD6"/>
  <w:p w14:paraId="63E96A3B" w14:textId="77777777" w:rsidR="00792AD6" w:rsidRDefault="00792A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5CB6B" w14:textId="77777777" w:rsidR="00792AD6" w:rsidRDefault="00792AD6">
      <w:r>
        <w:separator/>
      </w:r>
    </w:p>
  </w:footnote>
  <w:footnote w:type="continuationSeparator" w:id="0">
    <w:p w14:paraId="54853764" w14:textId="77777777" w:rsidR="00792AD6" w:rsidRDefault="00792AD6">
      <w:r>
        <w:continuationSeparator/>
      </w:r>
    </w:p>
  </w:footnote>
  <w:footnote w:type="continuationNotice" w:id="1">
    <w:p w14:paraId="56F03BBB" w14:textId="77777777" w:rsidR="00792AD6" w:rsidRDefault="00792AD6">
      <w:pPr>
        <w:spacing w:line="240" w:lineRule="auto"/>
      </w:pPr>
    </w:p>
  </w:footnote>
  <w:footnote w:id="2">
    <w:p w14:paraId="52AE2428"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C50F4E">
        <w:rPr>
          <w:i/>
          <w:snapToGrid w:val="0"/>
          <w:lang w:eastAsia="en-US"/>
        </w:rPr>
        <w:t>WUTC v. Puget Sound Energy, Inc.</w:t>
      </w:r>
      <w:r w:rsidRPr="00C50F4E">
        <w:rPr>
          <w:snapToGrid w:val="0"/>
          <w:lang w:eastAsia="en-US"/>
        </w:rPr>
        <w:t>, Order 08 Rejecting Tariff Sheets;</w:t>
      </w:r>
      <w:r>
        <w:rPr>
          <w:snapToGrid w:val="0"/>
          <w:lang w:eastAsia="en-US"/>
        </w:rPr>
        <w:t xml:space="preserve"> </w:t>
      </w:r>
      <w:r w:rsidRPr="00C50F4E">
        <w:rPr>
          <w:snapToGrid w:val="0"/>
          <w:lang w:eastAsia="en-US"/>
        </w:rPr>
        <w:t>Authorizing and Requiring Compliance Filing, Dockets UE-111048 and UG-111049</w:t>
      </w:r>
      <w:r>
        <w:rPr>
          <w:snapToGrid w:val="0"/>
          <w:lang w:eastAsia="en-US"/>
        </w:rPr>
        <w:t xml:space="preserve"> </w:t>
      </w:r>
      <w:r w:rsidRPr="00C50F4E">
        <w:rPr>
          <w:snapToGrid w:val="0"/>
          <w:lang w:eastAsia="en-US"/>
        </w:rPr>
        <w:t>(consolidated) (May 7, 2012).</w:t>
      </w:r>
    </w:p>
  </w:footnote>
  <w:footnote w:id="3">
    <w:p w14:paraId="7DADF74E"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C50F4E">
        <w:rPr>
          <w:i/>
          <w:snapToGrid w:val="0"/>
          <w:lang w:eastAsia="en-US"/>
        </w:rPr>
        <w:t>WUTC v. Puget Sound Energy, Inc.</w:t>
      </w:r>
      <w:r w:rsidRPr="00C50F4E">
        <w:rPr>
          <w:snapToGrid w:val="0"/>
          <w:lang w:eastAsia="en-US"/>
        </w:rPr>
        <w:t>, Order 07 Final Order Granting Petition,</w:t>
      </w:r>
      <w:r>
        <w:rPr>
          <w:snapToGrid w:val="0"/>
          <w:lang w:eastAsia="en-US"/>
        </w:rPr>
        <w:t xml:space="preserve"> </w:t>
      </w:r>
      <w:r w:rsidRPr="00C50F4E">
        <w:rPr>
          <w:snapToGrid w:val="0"/>
          <w:lang w:eastAsia="en-US"/>
        </w:rPr>
        <w:t>Dockets UE-121697, et al. (consolidated) (June 25, 2013).</w:t>
      </w:r>
    </w:p>
  </w:footnote>
  <w:footnote w:id="4">
    <w:p w14:paraId="15F5774E" w14:textId="158E2D2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914190">
        <w:rPr>
          <w:i/>
        </w:rPr>
        <w:t>See, e.g.,</w:t>
      </w:r>
      <w:r>
        <w:t xml:space="preserve"> Hill, Exh. No. ___(SGH-2T)</w:t>
      </w:r>
      <w:r w:rsidR="00E22ABB">
        <w:t>,</w:t>
      </w:r>
      <w:r>
        <w:t xml:space="preserve"> at page 7, line 16, through page 8, line 4.</w:t>
      </w:r>
    </w:p>
  </w:footnote>
  <w:footnote w:id="5">
    <w:p w14:paraId="04EEAA81" w14:textId="487324CD"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914190">
        <w:rPr>
          <w:i/>
        </w:rPr>
        <w:t>See</w:t>
      </w:r>
      <w:r>
        <w:rPr>
          <w:i/>
        </w:rPr>
        <w:t xml:space="preserve"> </w:t>
      </w:r>
      <w:r>
        <w:t>Hill, Exh. No. ___(SGH-2T</w:t>
      </w:r>
      <w:r w:rsidR="00E22ABB">
        <w:t>),</w:t>
      </w:r>
      <w:r>
        <w:t xml:space="preserve"> at page 16, line 19, through page 32, line 4.</w:t>
      </w:r>
    </w:p>
  </w:footnote>
  <w:footnote w:id="6">
    <w:p w14:paraId="530FCF0F" w14:textId="0B7DC506"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w:t>
      </w:r>
      <w:r>
        <w:t xml:space="preserve"> at page 42, lines 14-19.</w:t>
      </w:r>
    </w:p>
  </w:footnote>
  <w:footnote w:id="7">
    <w:p w14:paraId="20875522" w14:textId="523EF231"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w:t>
      </w:r>
      <w:r>
        <w:t xml:space="preserve"> at page 43, lines 4-7.</w:t>
      </w:r>
    </w:p>
  </w:footnote>
  <w:footnote w:id="8">
    <w:p w14:paraId="02D9B54C" w14:textId="71D0C16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D4C46">
        <w:rPr>
          <w:i/>
        </w:rPr>
        <w:t>See, e.g.,</w:t>
      </w:r>
      <w:r>
        <w:t xml:space="preserve"> Hill, Exh. No. ___(SGH-2T</w:t>
      </w:r>
      <w:r w:rsidR="00E22ABB">
        <w:t>),</w:t>
      </w:r>
      <w:r>
        <w:t xml:space="preserve"> at page 43, lines 7-10; </w:t>
      </w:r>
      <w:r w:rsidRPr="008D4C46">
        <w:rPr>
          <w:i/>
        </w:rPr>
        <w:t>see also</w:t>
      </w:r>
      <w:r>
        <w:t xml:space="preserve"> Hill, Exh. No. ___(SGH-2T</w:t>
      </w:r>
      <w:r w:rsidR="00E22ABB">
        <w:t>),</w:t>
      </w:r>
      <w:r>
        <w:t xml:space="preserve"> at page 7, lines 16-21.</w:t>
      </w:r>
    </w:p>
  </w:footnote>
  <w:footnote w:id="9">
    <w:p w14:paraId="750CE412" w14:textId="1368CD5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D4C46">
        <w:rPr>
          <w:i/>
        </w:rPr>
        <w:t>See, e.g.,</w:t>
      </w:r>
      <w:r>
        <w:t xml:space="preserve"> Hill, Exh. No. ___(SGH-2T</w:t>
      </w:r>
      <w:r w:rsidR="00E22ABB">
        <w:t>),</w:t>
      </w:r>
      <w:r>
        <w:t xml:space="preserve"> at page 44, lines 6-8; </w:t>
      </w:r>
      <w:r w:rsidRPr="008D4C46">
        <w:rPr>
          <w:i/>
        </w:rPr>
        <w:t>see also</w:t>
      </w:r>
      <w:r>
        <w:t xml:space="preserve"> Hill Exh. No. ___(SGH-2T</w:t>
      </w:r>
      <w:r w:rsidR="00E22ABB">
        <w:t xml:space="preserve">), </w:t>
      </w:r>
      <w:r>
        <w:t>at page 7, line 21, through page 8, line 4.</w:t>
      </w:r>
    </w:p>
  </w:footnote>
  <w:footnote w:id="10">
    <w:p w14:paraId="0A9680FA"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Decisions—Calendar 2013</w:t>
      </w:r>
      <w:r>
        <w:t xml:space="preserve"> at page 6 (Jan. 15, 2014).</w:t>
      </w:r>
    </w:p>
  </w:footnote>
  <w:footnote w:id="11">
    <w:p w14:paraId="4ADEB9BB"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w:t>
      </w:r>
      <w:r>
        <w:rPr>
          <w:i/>
        </w:rPr>
        <w:t xml:space="preserve">January-September </w:t>
      </w:r>
      <w:r w:rsidRPr="002B543F">
        <w:rPr>
          <w:i/>
        </w:rPr>
        <w:t>201</w:t>
      </w:r>
      <w:r>
        <w:rPr>
          <w:i/>
        </w:rPr>
        <w:t>4</w:t>
      </w:r>
      <w:r>
        <w:t xml:space="preserve"> at page 5 (Oct. 10, 2014).</w:t>
      </w:r>
    </w:p>
  </w:footnote>
  <w:footnote w:id="12">
    <w:p w14:paraId="5D881CA3"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13">
    <w:p w14:paraId="49BF9406"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(Dec. 2014).</w:t>
      </w:r>
    </w:p>
  </w:footnote>
  <w:footnote w:id="14">
    <w:p w14:paraId="559E78DA"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15">
    <w:p w14:paraId="3B8F38C2"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16">
    <w:p w14:paraId="00814418"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(Dec. 2014).</w:t>
      </w:r>
    </w:p>
  </w:footnote>
  <w:footnote w:id="17">
    <w:p w14:paraId="7A1E097B" w14:textId="77777777"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 at page 21, lines 6-13.</w:t>
      </w:r>
    </w:p>
  </w:footnote>
  <w:footnote w:id="18">
    <w:p w14:paraId="6D5EBFCC" w14:textId="2F4B3BA7"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20, lines 20-22.</w:t>
      </w:r>
    </w:p>
  </w:footnote>
  <w:footnote w:id="19">
    <w:p w14:paraId="66F0F41C" w14:textId="2F1797B4"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A713C0">
        <w:rPr>
          <w:i/>
        </w:rPr>
        <w:t>See, e.g,,</w:t>
      </w:r>
      <w:r>
        <w:t xml:space="preserve"> Morin, Exh. No. ___(RAM-1T</w:t>
      </w:r>
      <w:r w:rsidR="00E22ABB">
        <w:t xml:space="preserve">), </w:t>
      </w:r>
      <w:r>
        <w:t>at page 24, line 11, through page 25, line 1.</w:t>
      </w:r>
    </w:p>
  </w:footnote>
  <w:footnote w:id="20">
    <w:p w14:paraId="44D1D1E1" w14:textId="18F3582F"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Morin, Exh. No. ___(RAM-1T</w:t>
      </w:r>
      <w:r w:rsidR="00E22ABB">
        <w:t xml:space="preserve">), </w:t>
      </w:r>
      <w:r>
        <w:t>at page 21, line 14, through page 24, line 9.</w:t>
      </w:r>
    </w:p>
  </w:footnote>
  <w:footnote w:id="21">
    <w:p w14:paraId="406D7A4F" w14:textId="4A6CA426"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30, lines 7-8.</w:t>
      </w:r>
    </w:p>
  </w:footnote>
  <w:footnote w:id="22">
    <w:p w14:paraId="42F9ECCF" w14:textId="30DC5A83"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 xml:space="preserve">at page 30, lines 8-10; </w:t>
      </w:r>
      <w:r w:rsidRPr="00910AD2">
        <w:rPr>
          <w:i/>
        </w:rPr>
        <w:t>see also</w:t>
      </w:r>
      <w:r>
        <w:t xml:space="preserve"> Hill Exh. No. ___(SGH-8).</w:t>
      </w:r>
    </w:p>
  </w:footnote>
  <w:footnote w:id="23">
    <w:p w14:paraId="08FE9F50" w14:textId="2C668BF2"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19, lines 10-11.</w:t>
      </w:r>
    </w:p>
  </w:footnote>
  <w:footnote w:id="24">
    <w:p w14:paraId="2B3278EF" w14:textId="70B9B074"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19, lines 13-14.</w:t>
      </w:r>
    </w:p>
  </w:footnote>
  <w:footnote w:id="25">
    <w:p w14:paraId="4A563D7E" w14:textId="777D1980"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lines 5-6.</w:t>
      </w:r>
    </w:p>
  </w:footnote>
  <w:footnote w:id="26">
    <w:p w14:paraId="6981EE5A" w14:textId="4FD02BB3"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 7.</w:t>
      </w:r>
    </w:p>
  </w:footnote>
  <w:footnote w:id="27">
    <w:p w14:paraId="38A1DBE5" w14:textId="38DC9768"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lines 7-8.</w:t>
      </w:r>
    </w:p>
  </w:footnote>
  <w:footnote w:id="28">
    <w:p w14:paraId="347DBAEE" w14:textId="7D7E52EE"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lines 8-9.</w:t>
      </w:r>
    </w:p>
  </w:footnote>
  <w:footnote w:id="29">
    <w:p w14:paraId="56791506" w14:textId="7E3EA0B6"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24, lines 6-15.</w:t>
      </w:r>
    </w:p>
  </w:footnote>
  <w:footnote w:id="30">
    <w:p w14:paraId="7E287BD7" w14:textId="26BE91E9"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22, lines 6-8.</w:t>
      </w:r>
    </w:p>
  </w:footnote>
  <w:footnote w:id="31">
    <w:p w14:paraId="7223E030" w14:textId="08E597F2"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53244">
        <w:rPr>
          <w:i/>
        </w:rPr>
        <w:t>See, e.g.,</w:t>
      </w:r>
      <w:r>
        <w:t xml:space="preserve"> L</w:t>
      </w:r>
      <w:r w:rsidR="00E22ABB">
        <w:t>awrence</w:t>
      </w:r>
      <w:r>
        <w:t xml:space="preserve"> D. Brown</w:t>
      </w:r>
      <w:r w:rsidR="00E22ABB">
        <w:t> </w:t>
      </w:r>
      <w:r>
        <w:t>&amp; M</w:t>
      </w:r>
      <w:r w:rsidR="00E22ABB">
        <w:t>ichael</w:t>
      </w:r>
      <w:r>
        <w:t xml:space="preserve"> S. </w:t>
      </w:r>
      <w:proofErr w:type="spellStart"/>
      <w:r>
        <w:t>Rozeff</w:t>
      </w:r>
      <w:proofErr w:type="spellEnd"/>
      <w:r>
        <w:t xml:space="preserve">, </w:t>
      </w:r>
      <w:r w:rsidRPr="00E22ABB">
        <w:rPr>
          <w:i/>
        </w:rPr>
        <w:t>The Superiority of Analyst Forecasts as Measures of Expectations:  Earnings fr</w:t>
      </w:r>
      <w:r w:rsidRPr="004435B3">
        <w:rPr>
          <w:i/>
        </w:rPr>
        <w:t>om Evidence</w:t>
      </w:r>
      <w:r w:rsidRPr="004435B3">
        <w:t xml:space="preserve">, </w:t>
      </w:r>
      <w:r w:rsidR="001C6A32">
        <w:t xml:space="preserve">33 </w:t>
      </w:r>
      <w:r w:rsidRPr="004435B3">
        <w:t>J</w:t>
      </w:r>
      <w:r w:rsidR="001C6A32">
        <w:t xml:space="preserve">ournal of Finance </w:t>
      </w:r>
      <w:r w:rsidRPr="004435B3">
        <w:t xml:space="preserve">1-16 (1978); </w:t>
      </w:r>
      <w:r w:rsidR="00E22ABB" w:rsidRPr="004435B3">
        <w:t xml:space="preserve">Michael S. </w:t>
      </w:r>
      <w:proofErr w:type="spellStart"/>
      <w:r w:rsidR="00E22ABB" w:rsidRPr="004435B3">
        <w:t>Rozeff</w:t>
      </w:r>
      <w:proofErr w:type="spellEnd"/>
      <w:r w:rsidRPr="004435B3">
        <w:t xml:space="preserve">, </w:t>
      </w:r>
      <w:r w:rsidRPr="004435B3">
        <w:rPr>
          <w:i/>
        </w:rPr>
        <w:t>Predict</w:t>
      </w:r>
      <w:r w:rsidR="00E22ABB" w:rsidRPr="004435B3">
        <w:rPr>
          <w:i/>
        </w:rPr>
        <w:t xml:space="preserve">ing Long-Term Earnings Growth: </w:t>
      </w:r>
      <w:r w:rsidRPr="004435B3">
        <w:rPr>
          <w:i/>
        </w:rPr>
        <w:t>Comparisons of Expected Return Models, Submartingales and Value Line Analysts</w:t>
      </w:r>
      <w:r w:rsidRPr="004435B3">
        <w:t xml:space="preserve">, </w:t>
      </w:r>
      <w:r w:rsidR="001C6A32">
        <w:t xml:space="preserve">2 </w:t>
      </w:r>
      <w:r w:rsidRPr="004435B3">
        <w:t>J</w:t>
      </w:r>
      <w:r w:rsidR="001C6A32">
        <w:t xml:space="preserve">ournal of </w:t>
      </w:r>
      <w:r w:rsidRPr="004435B3">
        <w:t>Forecasting 425-35 (1983);</w:t>
      </w:r>
      <w:r>
        <w:t xml:space="preserve"> R. C</w:t>
      </w:r>
      <w:r w:rsidR="004435B3">
        <w:t>harles</w:t>
      </w:r>
      <w:r>
        <w:t xml:space="preserve"> Moyer, </w:t>
      </w:r>
      <w:r w:rsidRPr="005F09E7">
        <w:rPr>
          <w:i/>
        </w:rPr>
        <w:t>et al.</w:t>
      </w:r>
      <w:r>
        <w:t xml:space="preserve">, </w:t>
      </w:r>
      <w:r w:rsidRPr="004435B3">
        <w:rPr>
          <w:i/>
        </w:rPr>
        <w:t>The Accuracy of Long-Term Earnings Forecasts in the Electric Utility Industry</w:t>
      </w:r>
      <w:r>
        <w:t xml:space="preserve">, </w:t>
      </w:r>
      <w:r w:rsidR="001C6A32">
        <w:t xml:space="preserve">1 </w:t>
      </w:r>
      <w:r w:rsidR="004435B3">
        <w:t xml:space="preserve">International Journal of </w:t>
      </w:r>
      <w:r w:rsidRPr="004435B3">
        <w:t>Forecasting</w:t>
      </w:r>
      <w:r w:rsidRPr="00BC1F15">
        <w:rPr>
          <w:i/>
        </w:rPr>
        <w:t xml:space="preserve"> </w:t>
      </w:r>
      <w:r>
        <w:t xml:space="preserve">241-52 (1985); and </w:t>
      </w:r>
      <w:r w:rsidR="001C6A32">
        <w:t>Robert E. Chatfield</w:t>
      </w:r>
      <w:r>
        <w:t xml:space="preserve">, </w:t>
      </w:r>
      <w:r w:rsidRPr="00BC1F15">
        <w:rPr>
          <w:i/>
        </w:rPr>
        <w:t>et al</w:t>
      </w:r>
      <w:r>
        <w:t>.</w:t>
      </w:r>
      <w:r w:rsidR="004435B3">
        <w:t>,</w:t>
      </w:r>
      <w:r>
        <w:t xml:space="preserve"> </w:t>
      </w:r>
      <w:r w:rsidRPr="004435B3">
        <w:rPr>
          <w:i/>
        </w:rPr>
        <w:t>The Accuracy of Long-Term Earnings Forecasts for Industrial Firms</w:t>
      </w:r>
      <w:r>
        <w:t xml:space="preserve">, </w:t>
      </w:r>
      <w:r w:rsidR="004435B3">
        <w:t xml:space="preserve">28 </w:t>
      </w:r>
      <w:r w:rsidRPr="004435B3">
        <w:t>Quarterly J</w:t>
      </w:r>
      <w:r w:rsidR="004435B3">
        <w:t xml:space="preserve">ournal of </w:t>
      </w:r>
      <w:r w:rsidRPr="004435B3">
        <w:t>Business and Economics</w:t>
      </w:r>
      <w:r>
        <w:t xml:space="preserve"> 91-104 (1989).</w:t>
      </w:r>
    </w:p>
  </w:footnote>
  <w:footnote w:id="32">
    <w:p w14:paraId="655C7FA8" w14:textId="6B02CECA"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F15E6A">
        <w:rPr>
          <w:i/>
        </w:rPr>
        <w:t>See, e.g.,</w:t>
      </w:r>
      <w:r>
        <w:t xml:space="preserve"> Hill, Exh. No. ___(SGH-2T)</w:t>
      </w:r>
      <w:r w:rsidR="001C6A32">
        <w:t>,</w:t>
      </w:r>
      <w:r>
        <w:t xml:space="preserve"> at page 22, line 2, through page 3, line 16, and Hill, Exh. No. ___(SGH-5).</w:t>
      </w:r>
    </w:p>
  </w:footnote>
  <w:footnote w:id="33">
    <w:p w14:paraId="289A315D" w14:textId="409FECA0"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F15E6A">
        <w:rPr>
          <w:i/>
        </w:rPr>
        <w:t>See, e.g.,</w:t>
      </w:r>
      <w:r>
        <w:t xml:space="preserve"> Hill, Exh. No. ___(SGH-3)</w:t>
      </w:r>
      <w:r w:rsidR="001C6A32">
        <w:t>,</w:t>
      </w:r>
      <w:r>
        <w:t xml:space="preserve"> at page 1.</w:t>
      </w:r>
    </w:p>
  </w:footnote>
  <w:footnote w:id="34">
    <w:p w14:paraId="3E6494C0" w14:textId="5245A013"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F15E6A">
        <w:rPr>
          <w:i/>
        </w:rPr>
        <w:t>See, e.g.,</w:t>
      </w:r>
      <w:r>
        <w:t xml:space="preserve"> Hill, Exh. No. ___(SGH-3)</w:t>
      </w:r>
      <w:r w:rsidR="001C6A32">
        <w:t>,</w:t>
      </w:r>
      <w:r>
        <w:t xml:space="preserve"> at pages 2-3.</w:t>
      </w:r>
    </w:p>
  </w:footnote>
  <w:footnote w:id="35">
    <w:p w14:paraId="33AB6D08" w14:textId="77777777" w:rsidR="00792AD6" w:rsidRPr="002A4BF6" w:rsidRDefault="00792AD6" w:rsidP="00792AD6">
      <w:pPr>
        <w:pStyle w:val="FootnoteText"/>
        <w:keepLines/>
        <w:tabs>
          <w:tab w:val="left" w:pos="720"/>
        </w:tabs>
        <w:spacing w:before="60" w:after="60" w:line="240" w:lineRule="auto"/>
        <w:ind w:firstLine="360"/>
      </w:pPr>
      <w:r>
        <w:rPr>
          <w:rStyle w:val="FootnoteReference"/>
        </w:rPr>
        <w:footnoteRef/>
      </w:r>
      <w:r>
        <w:tab/>
      </w:r>
      <w:r w:rsidRPr="002A4BF6">
        <w:rPr>
          <w:i/>
        </w:rPr>
        <w:t>See</w:t>
      </w:r>
      <w:r>
        <w:t xml:space="preserve"> Roger A. Morin, </w:t>
      </w:r>
      <w:r w:rsidRPr="002A4BF6">
        <w:rPr>
          <w:i/>
        </w:rPr>
        <w:t>The New Regulatory Finance,</w:t>
      </w:r>
      <w:r>
        <w:t xml:space="preserve"> at chapter 9 (2006) for a discussion of this formula.</w:t>
      </w:r>
    </w:p>
  </w:footnote>
  <w:footnote w:id="36">
    <w:p w14:paraId="5282993B" w14:textId="77777777" w:rsidR="00792AD6" w:rsidRPr="002A4BF6" w:rsidRDefault="00792AD6" w:rsidP="00792AD6">
      <w:pPr>
        <w:pStyle w:val="FootnoteText"/>
        <w:keepLines/>
        <w:tabs>
          <w:tab w:val="left" w:pos="720"/>
        </w:tabs>
        <w:spacing w:before="60" w:after="60" w:line="240" w:lineRule="auto"/>
        <w:ind w:firstLine="360"/>
      </w:pPr>
      <w:r>
        <w:rPr>
          <w:rStyle w:val="FootnoteReference"/>
        </w:rPr>
        <w:footnoteRef/>
      </w:r>
      <w:r>
        <w:tab/>
        <w:t xml:space="preserve">Examples of structural changes in the energy industry include, without limitation, the following:  </w:t>
      </w:r>
      <w:r w:rsidRPr="00D85127">
        <w:t xml:space="preserve">enhanced focus </w:t>
      </w:r>
      <w:r>
        <w:t xml:space="preserve">on and </w:t>
      </w:r>
      <w:r w:rsidRPr="00D85127">
        <w:t xml:space="preserve">falling costs of distributed generation and other distributed energy resources; increasing customer, regulatory, and political interest in demand side management technologies; government programs to incentivize selected technologies; the declining price of natural gas; slowing economic growth trends; and </w:t>
      </w:r>
      <w:r>
        <w:t xml:space="preserve">variability in </w:t>
      </w:r>
      <w:r w:rsidRPr="00D85127">
        <w:t>electricity prices in certain areas of the country.</w:t>
      </w:r>
    </w:p>
  </w:footnote>
  <w:footnote w:id="37">
    <w:p w14:paraId="773D57A7" w14:textId="4A46FB5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53244">
        <w:rPr>
          <w:i/>
        </w:rPr>
        <w:t>See</w:t>
      </w:r>
      <w:r w:rsidR="001C6A32">
        <w:rPr>
          <w:i/>
        </w:rPr>
        <w:t xml:space="preserve"> </w:t>
      </w:r>
      <w:r w:rsidR="001C6A32">
        <w:t xml:space="preserve">footnote 30, </w:t>
      </w:r>
      <w:r w:rsidR="001C6A32" w:rsidRPr="001C6A32">
        <w:rPr>
          <w:i/>
        </w:rPr>
        <w:t>supra</w:t>
      </w:r>
      <w:r w:rsidR="001C6A32">
        <w:t>.</w:t>
      </w:r>
    </w:p>
  </w:footnote>
  <w:footnote w:id="38">
    <w:p w14:paraId="07589F1A" w14:textId="3F345E45"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53244">
        <w:rPr>
          <w:i/>
        </w:rPr>
        <w:t>See</w:t>
      </w:r>
      <w:r w:rsidRPr="00F01F94">
        <w:t xml:space="preserve"> Hill, </w:t>
      </w:r>
      <w:r>
        <w:t>Exh. No. ___(SGH-2T)</w:t>
      </w:r>
      <w:r w:rsidR="001C6A32">
        <w:t>,</w:t>
      </w:r>
      <w:r>
        <w:t xml:space="preserve"> at page 32, line 5, through page 35, line 2; </w:t>
      </w:r>
      <w:r w:rsidRPr="009A2327">
        <w:rPr>
          <w:i/>
        </w:rPr>
        <w:t>see also</w:t>
      </w:r>
      <w:r>
        <w:t xml:space="preserve"> </w:t>
      </w:r>
      <w:r w:rsidRPr="00F01F94">
        <w:t xml:space="preserve">Hill, </w:t>
      </w:r>
      <w:r>
        <w:t>Exh. No. ___(SGH-11).</w:t>
      </w:r>
    </w:p>
  </w:footnote>
  <w:footnote w:id="39">
    <w:p w14:paraId="6DDC5E9E" w14:textId="7E1535F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lines 14-21; </w:t>
      </w:r>
      <w:r w:rsidRPr="009A2327">
        <w:rPr>
          <w:i/>
        </w:rPr>
        <w:t>see also</w:t>
      </w:r>
      <w:r>
        <w:t xml:space="preserve"> </w:t>
      </w:r>
      <w:r w:rsidRPr="00F01F94">
        <w:t xml:space="preserve">Hill, </w:t>
      </w:r>
      <w:r>
        <w:t>Exh. No. ___(SGH-11).</w:t>
      </w:r>
    </w:p>
  </w:footnote>
  <w:footnote w:id="40">
    <w:p w14:paraId="3A26B9C0" w14:textId="0EC56842"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34, lines 14-19; </w:t>
      </w:r>
      <w:r w:rsidRPr="009A2327">
        <w:rPr>
          <w:i/>
        </w:rPr>
        <w:t>see also</w:t>
      </w:r>
      <w:r>
        <w:t xml:space="preserve"> </w:t>
      </w:r>
      <w:r w:rsidRPr="00F01F94">
        <w:t xml:space="preserve">Hill, </w:t>
      </w:r>
      <w:r>
        <w:t>Exh. No. ___(SGH-11).</w:t>
      </w:r>
    </w:p>
  </w:footnote>
  <w:footnote w:id="41">
    <w:p w14:paraId="7AB0D962" w14:textId="463D5FC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 23, through page 34, line 12; </w:t>
      </w:r>
      <w:r w:rsidRPr="009A2327">
        <w:rPr>
          <w:i/>
        </w:rPr>
        <w:t>see also</w:t>
      </w:r>
      <w:r>
        <w:t xml:space="preserve"> </w:t>
      </w:r>
      <w:r w:rsidRPr="00F01F94">
        <w:t xml:space="preserve">Hill, </w:t>
      </w:r>
      <w:r>
        <w:t>Exh. No. ___(SGH-11).</w:t>
      </w:r>
    </w:p>
  </w:footnote>
  <w:footnote w:id="42">
    <w:p w14:paraId="6D906E3F" w14:textId="3B8F364C"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lines 14-21; </w:t>
      </w:r>
      <w:r w:rsidRPr="009A2327">
        <w:rPr>
          <w:i/>
        </w:rPr>
        <w:t>see also</w:t>
      </w:r>
      <w:r>
        <w:t xml:space="preserve"> </w:t>
      </w:r>
      <w:r w:rsidRPr="00F01F94">
        <w:t xml:space="preserve">Hill, </w:t>
      </w:r>
      <w:r>
        <w:t>Exh. No. ___(SGH-11).</w:t>
      </w:r>
    </w:p>
  </w:footnote>
  <w:footnote w:id="43">
    <w:p w14:paraId="58E26B95" w14:textId="0022CA85" w:rsidR="00792AD6" w:rsidRDefault="00792AD6" w:rsidP="00792AD6">
      <w:pPr>
        <w:pStyle w:val="FootnoteText"/>
        <w:keepLines/>
        <w:tabs>
          <w:tab w:val="left" w:pos="720"/>
        </w:tabs>
        <w:spacing w:before="60" w:after="60" w:line="240" w:lineRule="auto"/>
        <w:ind w:firstLine="360"/>
      </w:pPr>
      <w:r>
        <w:rPr>
          <w:rStyle w:val="FootnoteReference"/>
        </w:rPr>
        <w:footnoteRef/>
      </w:r>
      <w:r>
        <w:tab/>
        <w:t>Morin</w:t>
      </w:r>
      <w:r w:rsidRPr="00F01F94">
        <w:t xml:space="preserve">, </w:t>
      </w:r>
      <w:r>
        <w:t>Exh. No. ___(RAM-1T)</w:t>
      </w:r>
      <w:r w:rsidR="001C6A32">
        <w:t>,</w:t>
      </w:r>
      <w:r>
        <w:t xml:space="preserve"> at page 44, line 4, through page 45, line 4.</w:t>
      </w:r>
    </w:p>
  </w:footnote>
  <w:footnote w:id="44">
    <w:p w14:paraId="01462759" w14:textId="51BFF9AD"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50, lines 7-8.</w:t>
      </w:r>
    </w:p>
  </w:footnote>
  <w:footnote w:id="45">
    <w:p w14:paraId="7B602A3D" w14:textId="4CDA45E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51, lines 9-10.</w:t>
      </w:r>
    </w:p>
  </w:footnote>
  <w:footnote w:id="46">
    <w:p w14:paraId="33416D1C" w14:textId="73166FC0" w:rsidR="00792AD6" w:rsidRDefault="00792AD6" w:rsidP="00792AD6">
      <w:pPr>
        <w:pStyle w:val="FootnoteText"/>
        <w:keepLines/>
        <w:tabs>
          <w:tab w:val="left" w:pos="720"/>
        </w:tabs>
        <w:spacing w:before="60" w:after="60" w:line="240" w:lineRule="auto"/>
        <w:ind w:firstLine="360"/>
      </w:pPr>
      <w:r>
        <w:rPr>
          <w:rStyle w:val="FootnoteReference"/>
        </w:rPr>
        <w:footnoteRef/>
      </w:r>
      <w:r>
        <w:tab/>
        <w:t>Hill</w:t>
      </w:r>
      <w:r w:rsidRPr="00F01F94">
        <w:t xml:space="preserve">, </w:t>
      </w:r>
      <w:r>
        <w:t>Exh. No. ___(SGH-2T)</w:t>
      </w:r>
      <w:r w:rsidR="001C6A32">
        <w:t>,</w:t>
      </w:r>
      <w:r>
        <w:t xml:space="preserve"> at page 34, lines 14-19.</w:t>
      </w:r>
    </w:p>
  </w:footnote>
  <w:footnote w:id="47">
    <w:p w14:paraId="70038F6E" w14:textId="3ECA154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 23, through page 34, line 12; </w:t>
      </w:r>
      <w:r w:rsidRPr="009A2327">
        <w:rPr>
          <w:i/>
        </w:rPr>
        <w:t>see also</w:t>
      </w:r>
      <w:r>
        <w:t xml:space="preserve"> </w:t>
      </w:r>
      <w:r w:rsidRPr="00F01F94">
        <w:t xml:space="preserve">Hill, </w:t>
      </w:r>
      <w:r>
        <w:t>Exh. No. ___(SGH-11).</w:t>
      </w:r>
    </w:p>
  </w:footnote>
  <w:footnote w:id="48">
    <w:p w14:paraId="53A25B02"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4A1235">
        <w:rPr>
          <w:i/>
        </w:rPr>
        <w:t>See</w:t>
      </w:r>
      <w:r w:rsidRPr="004A1235">
        <w:t xml:space="preserve"> Morningstar 2014 Yearbook: Valuation Edition.</w:t>
      </w:r>
    </w:p>
  </w:footnote>
  <w:footnote w:id="49">
    <w:p w14:paraId="168A32DF" w14:textId="5A88861E"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1C6A32">
        <w:t>,</w:t>
      </w:r>
      <w:r>
        <w:t xml:space="preserve"> at page 35, line 3, through page 39, line 17.</w:t>
      </w:r>
    </w:p>
  </w:footnote>
  <w:footnote w:id="50">
    <w:p w14:paraId="4ECE5201" w14:textId="428E034A"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1C6A32">
        <w:t>,</w:t>
      </w:r>
      <w:r>
        <w:t xml:space="preserve"> at page 39, line 18, through page 42, line 5.</w:t>
      </w:r>
    </w:p>
  </w:footnote>
  <w:footnote w:id="51">
    <w:p w14:paraId="5C2CC4A8" w14:textId="4A59FB72"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1C6A32">
        <w:t>,</w:t>
      </w:r>
      <w:r>
        <w:t xml:space="preserve"> at page 36, line 2, through page 38, line 16.</w:t>
      </w:r>
    </w:p>
  </w:footnote>
  <w:footnote w:id="52">
    <w:p w14:paraId="3C814822" w14:textId="5BD811C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61635F">
        <w:t>Edwin J. Elton</w:t>
      </w:r>
      <w:r>
        <w:t xml:space="preserve"> &amp; </w:t>
      </w:r>
      <w:r w:rsidRPr="0061635F">
        <w:t>Martin J. Gruber</w:t>
      </w:r>
      <w:r>
        <w:t xml:space="preserve">, </w:t>
      </w:r>
      <w:r w:rsidRPr="0061635F">
        <w:rPr>
          <w:i/>
        </w:rPr>
        <w:t>Modern Portfolio Theory and Investment Analysis</w:t>
      </w:r>
      <w:r w:rsidR="002C7703">
        <w:t xml:space="preserve"> </w:t>
      </w:r>
      <w:r>
        <w:t>401-04 (</w:t>
      </w:r>
      <w:r w:rsidR="002C7703">
        <w:t xml:space="preserve">5th ed. </w:t>
      </w:r>
      <w:r w:rsidRPr="0061635F">
        <w:t>1995</w:t>
      </w:r>
      <w:r>
        <w:t>).</w:t>
      </w:r>
    </w:p>
  </w:footnote>
  <w:footnote w:id="53">
    <w:p w14:paraId="46B917CB" w14:textId="0B2F08B7"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2C7703">
        <w:t>,</w:t>
      </w:r>
      <w:r>
        <w:t xml:space="preserve"> at page 39, line 23, through page 40, line 2.</w:t>
      </w:r>
    </w:p>
  </w:footnote>
  <w:footnote w:id="54">
    <w:p w14:paraId="45D29F9C" w14:textId="266E0CE7" w:rsidR="00792AD6" w:rsidRDefault="00792AD6" w:rsidP="00792AD6">
      <w:pPr>
        <w:pStyle w:val="FootnoteText"/>
        <w:keepLines/>
        <w:tabs>
          <w:tab w:val="left" w:pos="720"/>
        </w:tabs>
        <w:spacing w:before="60" w:after="60" w:line="240" w:lineRule="auto"/>
        <w:ind w:firstLine="360"/>
      </w:pPr>
      <w:r>
        <w:rPr>
          <w:rStyle w:val="FootnoteReference"/>
        </w:rPr>
        <w:footnoteRef/>
      </w:r>
      <w:r>
        <w:tab/>
        <w:t>Morin, Exh. No. ___(RAM-1T)</w:t>
      </w:r>
      <w:r w:rsidR="002C7703">
        <w:t>,</w:t>
      </w:r>
      <w:r>
        <w:t xml:space="preserve"> at page 68, lines 3-13.</w:t>
      </w:r>
    </w:p>
  </w:footnote>
  <w:footnote w:id="55">
    <w:p w14:paraId="3C420DD9" w14:textId="065BCD41"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2C7703">
        <w:t>,</w:t>
      </w:r>
      <w:r>
        <w:t xml:space="preserve"> at page 56, lines 9-23.</w:t>
      </w:r>
    </w:p>
  </w:footnote>
  <w:footnote w:id="56">
    <w:p w14:paraId="4D1A0011" w14:textId="6BF3E712"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w:t>
      </w:r>
      <w:r>
        <w:t>GH-2T)</w:t>
      </w:r>
      <w:r w:rsidR="002C7703">
        <w:t>,</w:t>
      </w:r>
      <w:r>
        <w:t xml:space="preserve"> at page 53, line 22, through page 54, line 4.</w:t>
      </w:r>
    </w:p>
  </w:footnote>
  <w:footnote w:id="57">
    <w:p w14:paraId="79817BE4"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33AC1">
        <w:t xml:space="preserve">John G. Cragg </w:t>
      </w:r>
      <w:r>
        <w:t xml:space="preserve">&amp; </w:t>
      </w:r>
      <w:r w:rsidRPr="00833AC1">
        <w:t>Burton G. Malkiel</w:t>
      </w:r>
      <w:r>
        <w:t xml:space="preserve">, </w:t>
      </w:r>
      <w:r w:rsidRPr="00833AC1">
        <w:rPr>
          <w:i/>
        </w:rPr>
        <w:t>Expectations and the Structure of Share Prices</w:t>
      </w:r>
      <w:r>
        <w:t xml:space="preserve"> (1982).</w:t>
      </w:r>
    </w:p>
  </w:footnote>
  <w:footnote w:id="58">
    <w:p w14:paraId="777AD35C"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33AC1">
        <w:rPr>
          <w:i/>
        </w:rPr>
        <w:t>Id.</w:t>
      </w:r>
    </w:p>
  </w:footnote>
  <w:footnote w:id="59">
    <w:p w14:paraId="3E0B623D" w14:textId="2CB80175"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1D1145">
        <w:rPr>
          <w:snapToGrid w:val="0"/>
          <w:lang w:eastAsia="en-US"/>
        </w:rPr>
        <w:t xml:space="preserve">James H Vander Weide &amp; Willard T. Carleton, </w:t>
      </w:r>
      <w:r w:rsidRPr="002C7703">
        <w:rPr>
          <w:i/>
          <w:snapToGrid w:val="0"/>
          <w:lang w:eastAsia="en-US"/>
        </w:rPr>
        <w:t>I</w:t>
      </w:r>
      <w:r w:rsidR="001D1145" w:rsidRPr="002C7703">
        <w:rPr>
          <w:i/>
          <w:snapToGrid w:val="0"/>
          <w:lang w:eastAsia="en-US"/>
        </w:rPr>
        <w:t>nv</w:t>
      </w:r>
      <w:r w:rsidRPr="002C7703">
        <w:rPr>
          <w:i/>
          <w:snapToGrid w:val="0"/>
          <w:lang w:eastAsia="en-US"/>
        </w:rPr>
        <w:t>estor Growth Expectations: Analysts vs. History</w:t>
      </w:r>
      <w:r w:rsidRPr="001D1145">
        <w:rPr>
          <w:snapToGrid w:val="0"/>
          <w:lang w:eastAsia="en-US"/>
        </w:rPr>
        <w:t xml:space="preserve">, </w:t>
      </w:r>
      <w:r w:rsidR="002C7703">
        <w:rPr>
          <w:snapToGrid w:val="0"/>
          <w:lang w:eastAsia="en-US"/>
        </w:rPr>
        <w:t xml:space="preserve">15 </w:t>
      </w:r>
      <w:r w:rsidRPr="002C7703">
        <w:rPr>
          <w:snapToGrid w:val="0"/>
          <w:lang w:eastAsia="en-US"/>
        </w:rPr>
        <w:t>The Journal of Portfolio Management</w:t>
      </w:r>
      <w:r w:rsidRPr="001D1145">
        <w:rPr>
          <w:snapToGrid w:val="0"/>
          <w:lang w:eastAsia="en-US"/>
        </w:rPr>
        <w:t xml:space="preserve"> 78-8</w:t>
      </w:r>
      <w:r w:rsidR="002C7703">
        <w:rPr>
          <w:snapToGrid w:val="0"/>
          <w:lang w:eastAsia="en-US"/>
        </w:rPr>
        <w:t>3</w:t>
      </w:r>
      <w:r w:rsidRPr="001D1145">
        <w:rPr>
          <w:snapToGrid w:val="0"/>
          <w:lang w:eastAsia="en-US"/>
        </w:rPr>
        <w:t xml:space="preserve"> (1988).</w:t>
      </w:r>
    </w:p>
  </w:footnote>
  <w:footnote w:id="60">
    <w:p w14:paraId="55C494B4" w14:textId="32556C64"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73566D">
        <w:rPr>
          <w:snapToGrid w:val="0"/>
          <w:lang w:eastAsia="en-US"/>
        </w:rPr>
        <w:t xml:space="preserve">Stephen G. Timme </w:t>
      </w:r>
      <w:r>
        <w:rPr>
          <w:snapToGrid w:val="0"/>
          <w:lang w:eastAsia="en-US"/>
        </w:rPr>
        <w:t>&amp;</w:t>
      </w:r>
      <w:r w:rsidRPr="0073566D">
        <w:rPr>
          <w:snapToGrid w:val="0"/>
          <w:lang w:eastAsia="en-US"/>
        </w:rPr>
        <w:t xml:space="preserve"> Peter C. Eisemann</w:t>
      </w:r>
      <w:r>
        <w:rPr>
          <w:snapToGrid w:val="0"/>
          <w:lang w:eastAsia="en-US"/>
        </w:rPr>
        <w:t xml:space="preserve">, </w:t>
      </w:r>
      <w:r w:rsidRPr="002C7703">
        <w:rPr>
          <w:i/>
          <w:snapToGrid w:val="0"/>
          <w:lang w:eastAsia="en-US"/>
        </w:rPr>
        <w:t>On the Use of Consensus Forecasts of Growth in the Constant Growth Model: The Case of Electric Utilities</w:t>
      </w:r>
      <w:r>
        <w:rPr>
          <w:snapToGrid w:val="0"/>
          <w:lang w:eastAsia="en-US"/>
        </w:rPr>
        <w:t>,</w:t>
      </w:r>
      <w:r w:rsidRPr="00833AC1">
        <w:rPr>
          <w:snapToGrid w:val="0"/>
          <w:lang w:eastAsia="en-US"/>
        </w:rPr>
        <w:t xml:space="preserve"> </w:t>
      </w:r>
      <w:r w:rsidR="002C7703">
        <w:rPr>
          <w:snapToGrid w:val="0"/>
          <w:lang w:eastAsia="en-US"/>
        </w:rPr>
        <w:t xml:space="preserve">18 </w:t>
      </w:r>
      <w:r w:rsidRPr="002C7703">
        <w:rPr>
          <w:snapToGrid w:val="0"/>
          <w:lang w:eastAsia="en-US"/>
        </w:rPr>
        <w:t xml:space="preserve">Financial Management </w:t>
      </w:r>
      <w:r w:rsidRPr="0073566D">
        <w:rPr>
          <w:snapToGrid w:val="0"/>
          <w:lang w:eastAsia="en-US"/>
        </w:rPr>
        <w:t xml:space="preserve">23-35 </w:t>
      </w:r>
      <w:r>
        <w:rPr>
          <w:snapToGrid w:val="0"/>
          <w:lang w:eastAsia="en-US"/>
        </w:rPr>
        <w:t>(</w:t>
      </w:r>
      <w:r w:rsidRPr="00833AC1">
        <w:rPr>
          <w:snapToGrid w:val="0"/>
          <w:lang w:eastAsia="en-US"/>
        </w:rPr>
        <w:t>198</w:t>
      </w:r>
      <w:r>
        <w:rPr>
          <w:snapToGrid w:val="0"/>
          <w:lang w:eastAsia="en-US"/>
        </w:rPr>
        <w:t>9)</w:t>
      </w:r>
      <w:r w:rsidRPr="00833AC1">
        <w:rPr>
          <w:snapToGrid w:val="0"/>
          <w:lang w:eastAsia="en-US"/>
        </w:rPr>
        <w:t>.</w:t>
      </w:r>
    </w:p>
  </w:footnote>
  <w:footnote w:id="61">
    <w:p w14:paraId="71898F5C" w14:textId="2B898FE2"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w:t>
      </w:r>
      <w:r>
        <w:t>GH-2T)</w:t>
      </w:r>
      <w:r w:rsidR="002C7703">
        <w:t>,</w:t>
      </w:r>
      <w:r>
        <w:t xml:space="preserve"> at page 27, line 8, through page 28, line 23.</w:t>
      </w:r>
    </w:p>
  </w:footnote>
  <w:footnote w:id="62">
    <w:p w14:paraId="454DB1AF" w14:textId="0C7B90FA" w:rsidR="00792AD6" w:rsidRDefault="00792AD6" w:rsidP="00792AD6">
      <w:pPr>
        <w:pStyle w:val="FootnoteText"/>
        <w:keepLines/>
        <w:tabs>
          <w:tab w:val="left" w:pos="720"/>
        </w:tabs>
        <w:spacing w:before="60" w:after="60" w:line="240" w:lineRule="auto"/>
        <w:ind w:firstLine="360"/>
      </w:pPr>
      <w:r w:rsidRPr="002C7703">
        <w:rPr>
          <w:rStyle w:val="FootnoteReference"/>
        </w:rPr>
        <w:footnoteRef/>
      </w:r>
      <w:r w:rsidRPr="002C7703">
        <w:tab/>
        <w:t xml:space="preserve">Thomas Lys &amp; Sungkyu Sohn, </w:t>
      </w:r>
      <w:r w:rsidRPr="002C7703">
        <w:rPr>
          <w:i/>
        </w:rPr>
        <w:t>The Association Between Revisions of Financial Analysts’ Earnings Forecasts and Security Price Changes</w:t>
      </w:r>
      <w:r w:rsidRPr="002C7703">
        <w:t xml:space="preserve">, </w:t>
      </w:r>
      <w:r w:rsidR="002C7703" w:rsidRPr="002C7703">
        <w:t>13</w:t>
      </w:r>
      <w:r w:rsidR="002C7703">
        <w:t xml:space="preserve"> </w:t>
      </w:r>
      <w:r w:rsidRPr="002C7703">
        <w:t>Journal of Accounting and Economics</w:t>
      </w:r>
      <w:r w:rsidR="002C7703">
        <w:t xml:space="preserve"> </w:t>
      </w:r>
      <w:r w:rsidRPr="002C7703">
        <w:t>341</w:t>
      </w:r>
      <w:r w:rsidRPr="002C7703">
        <w:noBreakHyphen/>
        <w:t>363 (1990).</w:t>
      </w:r>
    </w:p>
  </w:footnote>
  <w:footnote w:id="63">
    <w:p w14:paraId="50A66AC1" w14:textId="4C46DFC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17498A">
        <w:t xml:space="preserve">John Easterwood &amp; Stacey Nutt, </w:t>
      </w:r>
      <w:r w:rsidRPr="002C7703">
        <w:rPr>
          <w:i/>
        </w:rPr>
        <w:t xml:space="preserve">Inefficiency in Analysts’ Earnings Forecasts: Systematic </w:t>
      </w:r>
      <w:proofErr w:type="spellStart"/>
      <w:r w:rsidRPr="002C7703">
        <w:rPr>
          <w:i/>
        </w:rPr>
        <w:t>Misreaction</w:t>
      </w:r>
      <w:proofErr w:type="spellEnd"/>
      <w:r w:rsidRPr="002C7703">
        <w:rPr>
          <w:i/>
        </w:rPr>
        <w:t xml:space="preserve"> or Systematic Optimism?</w:t>
      </w:r>
      <w:r w:rsidR="002C7703">
        <w:t>,</w:t>
      </w:r>
      <w:r w:rsidRPr="0017498A">
        <w:t xml:space="preserve"> </w:t>
      </w:r>
      <w:r w:rsidR="002C7703">
        <w:t xml:space="preserve">54 </w:t>
      </w:r>
      <w:r w:rsidRPr="002C7703">
        <w:t>Journal of Finance</w:t>
      </w:r>
      <w:r w:rsidRPr="0017498A">
        <w:t xml:space="preserve"> 1777-1797 (1999).</w:t>
      </w:r>
    </w:p>
  </w:footnote>
  <w:footnote w:id="64">
    <w:p w14:paraId="1B5A4256" w14:textId="0E67FCB6"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E22ABB">
        <w:t xml:space="preserve">Other relevant papers corroborating the superiority of analysts forecasts as predictors of future returns versus historical growth rates include:  Dan Fried &amp; </w:t>
      </w:r>
      <w:proofErr w:type="spellStart"/>
      <w:r w:rsidRPr="00E22ABB">
        <w:t>Dov</w:t>
      </w:r>
      <w:proofErr w:type="spellEnd"/>
      <w:r w:rsidRPr="00E22ABB">
        <w:t xml:space="preserve"> </w:t>
      </w:r>
      <w:proofErr w:type="spellStart"/>
      <w:r w:rsidRPr="00E22ABB">
        <w:t>Givoly</w:t>
      </w:r>
      <w:proofErr w:type="spellEnd"/>
      <w:r w:rsidRPr="00E22ABB">
        <w:t xml:space="preserve">, </w:t>
      </w:r>
      <w:r w:rsidRPr="002C7703">
        <w:rPr>
          <w:i/>
        </w:rPr>
        <w:t>Financial Analysts Forecasts of Earnings: A Better Surrogate for Earning Expectations</w:t>
      </w:r>
      <w:r w:rsidRPr="00E22ABB">
        <w:t xml:space="preserve">, </w:t>
      </w:r>
      <w:r w:rsidR="002C7703">
        <w:t xml:space="preserve">4 </w:t>
      </w:r>
      <w:r w:rsidRPr="002C7703">
        <w:t xml:space="preserve">Journal of Accounting and </w:t>
      </w:r>
      <w:r w:rsidR="002C7703">
        <w:t>Economics</w:t>
      </w:r>
      <w:r w:rsidRPr="00E22ABB">
        <w:t xml:space="preserve"> 85-107 (1982); </w:t>
      </w:r>
      <w:r w:rsidR="002C7703">
        <w:t xml:space="preserve">R. Charles Moyer, </w:t>
      </w:r>
      <w:r w:rsidR="002C7703" w:rsidRPr="005F09E7">
        <w:rPr>
          <w:i/>
        </w:rPr>
        <w:t>et al.</w:t>
      </w:r>
      <w:r w:rsidR="002C7703">
        <w:t xml:space="preserve">, </w:t>
      </w:r>
      <w:r w:rsidR="002C7703" w:rsidRPr="004435B3">
        <w:rPr>
          <w:i/>
        </w:rPr>
        <w:t>The Accuracy of Long-Term Earnings Forecasts in the Electric Utility Industry</w:t>
      </w:r>
      <w:r w:rsidR="002C7703">
        <w:t xml:space="preserve">, 1 International Journal of </w:t>
      </w:r>
      <w:r w:rsidR="002C7703" w:rsidRPr="004435B3">
        <w:t>Forecasting</w:t>
      </w:r>
      <w:r w:rsidR="002C7703" w:rsidRPr="00BC1F15">
        <w:rPr>
          <w:i/>
        </w:rPr>
        <w:t xml:space="preserve"> </w:t>
      </w:r>
      <w:r w:rsidR="002C7703">
        <w:t xml:space="preserve">241-52 (1985); </w:t>
      </w:r>
      <w:r w:rsidRPr="00E22ABB">
        <w:t xml:space="preserve">and David Gordon, </w:t>
      </w:r>
      <w:r w:rsidRPr="004E43F8">
        <w:rPr>
          <w:i/>
        </w:rPr>
        <w:t>Choice Among Methods of Estimating Share Yield</w:t>
      </w:r>
      <w:r w:rsidRPr="00E22ABB">
        <w:t xml:space="preserve">, </w:t>
      </w:r>
      <w:r w:rsidR="004E43F8">
        <w:t xml:space="preserve">15 </w:t>
      </w:r>
      <w:r w:rsidRPr="004E43F8">
        <w:t>Journal of Portfolio Management</w:t>
      </w:r>
      <w:r w:rsidRPr="00E22ABB">
        <w:t xml:space="preserve"> 50-55 (1989).</w:t>
      </w:r>
    </w:p>
  </w:footnote>
  <w:footnote w:id="65">
    <w:p w14:paraId="70AF9702" w14:textId="71C78919"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57, line 16, through page 65, line 10.</w:t>
      </w:r>
    </w:p>
  </w:footnote>
  <w:footnote w:id="66">
    <w:p w14:paraId="1B4129A8" w14:textId="6208C991"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58, line 6, through page 60, line 11.</w:t>
      </w:r>
    </w:p>
  </w:footnote>
  <w:footnote w:id="67">
    <w:p w14:paraId="2DE7C44F" w14:textId="1EC34F56"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60, line 12, through page 64, line 10.</w:t>
      </w:r>
    </w:p>
  </w:footnote>
  <w:footnote w:id="68">
    <w:p w14:paraId="2F62DFF8" w14:textId="0BEAAC6C"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62, lines 9-13.</w:t>
      </w:r>
    </w:p>
  </w:footnote>
  <w:footnote w:id="69">
    <w:p w14:paraId="7F36FBB1" w14:textId="60B3DACE"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63, lines 3-21.</w:t>
      </w:r>
    </w:p>
  </w:footnote>
  <w:footnote w:id="70">
    <w:p w14:paraId="7B62A3E4" w14:textId="54AB878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70, lines 6, through page 72, line 5.</w:t>
      </w:r>
    </w:p>
  </w:footnote>
  <w:footnote w:id="71">
    <w:p w14:paraId="123665EE" w14:textId="542F31FB"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50, lines 7-8.</w:t>
      </w:r>
    </w:p>
  </w:footnote>
  <w:footnote w:id="72">
    <w:p w14:paraId="4BF117ED" w14:textId="78DFF08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51, lines 9-10.</w:t>
      </w:r>
    </w:p>
  </w:footnote>
  <w:footnote w:id="73">
    <w:p w14:paraId="7B2FCF56" w14:textId="0D9AF87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70, line 6, through page 72, line 5.</w:t>
      </w:r>
    </w:p>
  </w:footnote>
  <w:footnote w:id="74">
    <w:p w14:paraId="74321A30" w14:textId="4BE157D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65, lines 19, through page 70, line 5.</w:t>
      </w:r>
    </w:p>
  </w:footnote>
  <w:footnote w:id="75">
    <w:p w14:paraId="41239EB2" w14:textId="2E44B716"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66, lines 3-6.</w:t>
      </w:r>
    </w:p>
  </w:footnote>
  <w:footnote w:id="76">
    <w:p w14:paraId="0E8BE4DD"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 xml:space="preserve">Elroy </w:t>
      </w:r>
      <w:r w:rsidRPr="00772300">
        <w:rPr>
          <w:snapToGrid w:val="0"/>
          <w:lang w:eastAsia="en-US"/>
        </w:rPr>
        <w:t xml:space="preserve">Dimson, </w:t>
      </w:r>
      <w:r w:rsidRPr="00772300">
        <w:rPr>
          <w:i/>
          <w:snapToGrid w:val="0"/>
          <w:lang w:eastAsia="en-US"/>
        </w:rPr>
        <w:t>et al.</w:t>
      </w:r>
      <w:r>
        <w:rPr>
          <w:snapToGrid w:val="0"/>
          <w:lang w:eastAsia="en-US"/>
        </w:rPr>
        <w:t xml:space="preserve">, </w:t>
      </w:r>
      <w:r w:rsidRPr="00772300">
        <w:rPr>
          <w:i/>
          <w:snapToGrid w:val="0"/>
          <w:lang w:eastAsia="en-US"/>
        </w:rPr>
        <w:t>Triumph Of The Optimists</w:t>
      </w:r>
      <w:r>
        <w:rPr>
          <w:i/>
          <w:snapToGrid w:val="0"/>
          <w:lang w:eastAsia="en-US"/>
        </w:rPr>
        <w:t>:</w:t>
      </w:r>
      <w:r w:rsidRPr="00772300">
        <w:rPr>
          <w:i/>
          <w:snapToGrid w:val="0"/>
          <w:lang w:eastAsia="en-US"/>
        </w:rPr>
        <w:t xml:space="preserve"> 101 Years of Global Investment</w:t>
      </w:r>
      <w:r>
        <w:rPr>
          <w:i/>
          <w:snapToGrid w:val="0"/>
          <w:lang w:eastAsia="en-US"/>
        </w:rPr>
        <w:t xml:space="preserve"> </w:t>
      </w:r>
      <w:r w:rsidRPr="00772300">
        <w:rPr>
          <w:i/>
          <w:snapToGrid w:val="0"/>
          <w:lang w:eastAsia="en-US"/>
        </w:rPr>
        <w:t>Returns</w:t>
      </w:r>
      <w:r>
        <w:rPr>
          <w:snapToGrid w:val="0"/>
          <w:lang w:eastAsia="en-US"/>
        </w:rPr>
        <w:t xml:space="preserve"> (</w:t>
      </w:r>
      <w:r w:rsidRPr="00772300">
        <w:rPr>
          <w:snapToGrid w:val="0"/>
          <w:lang w:eastAsia="en-US"/>
        </w:rPr>
        <w:t>2002</w:t>
      </w:r>
      <w:r>
        <w:rPr>
          <w:snapToGrid w:val="0"/>
          <w:lang w:eastAsia="en-US"/>
        </w:rPr>
        <w:t>)</w:t>
      </w:r>
      <w:r w:rsidRPr="00772300">
        <w:rPr>
          <w:snapToGrid w:val="0"/>
          <w:lang w:eastAsia="en-US"/>
        </w:rPr>
        <w:t>.</w:t>
      </w:r>
    </w:p>
  </w:footnote>
  <w:footnote w:id="77">
    <w:p w14:paraId="27D7AFBA" w14:textId="1152AB0E"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 xml:space="preserve">R. S. Harris, </w:t>
      </w:r>
      <w:r w:rsidRPr="00C06508">
        <w:rPr>
          <w:i/>
          <w:snapToGrid w:val="0"/>
          <w:lang w:eastAsia="en-US"/>
        </w:rPr>
        <w:t>et al</w:t>
      </w:r>
      <w:r>
        <w:rPr>
          <w:snapToGrid w:val="0"/>
          <w:lang w:eastAsia="en-US"/>
        </w:rPr>
        <w:t xml:space="preserve">., </w:t>
      </w:r>
      <w:r w:rsidRPr="004E43F8">
        <w:rPr>
          <w:i/>
          <w:snapToGrid w:val="0"/>
          <w:lang w:eastAsia="en-US"/>
        </w:rPr>
        <w:t xml:space="preserve">Ex Ante Cost of Equity Estimates of S&amp;P 500 Firms: The Choice Between Global and Domestic </w:t>
      </w:r>
      <w:proofErr w:type="spellStart"/>
      <w:r w:rsidRPr="004E43F8">
        <w:rPr>
          <w:i/>
          <w:snapToGrid w:val="0"/>
          <w:lang w:eastAsia="en-US"/>
        </w:rPr>
        <w:t>CAPM</w:t>
      </w:r>
      <w:proofErr w:type="spellEnd"/>
      <w:r w:rsidRPr="00C06508">
        <w:rPr>
          <w:snapToGrid w:val="0"/>
          <w:lang w:eastAsia="en-US"/>
        </w:rPr>
        <w:t xml:space="preserve">, </w:t>
      </w:r>
      <w:r w:rsidR="004E43F8">
        <w:rPr>
          <w:snapToGrid w:val="0"/>
          <w:lang w:eastAsia="en-US"/>
        </w:rPr>
        <w:t xml:space="preserve">32 </w:t>
      </w:r>
      <w:r w:rsidRPr="004E43F8">
        <w:rPr>
          <w:snapToGrid w:val="0"/>
          <w:lang w:eastAsia="en-US"/>
        </w:rPr>
        <w:t>Financial Management</w:t>
      </w:r>
      <w:r w:rsidR="004E43F8">
        <w:rPr>
          <w:snapToGrid w:val="0"/>
          <w:lang w:eastAsia="en-US"/>
        </w:rPr>
        <w:t xml:space="preserve"> </w:t>
      </w:r>
      <w:r>
        <w:rPr>
          <w:snapToGrid w:val="0"/>
          <w:lang w:eastAsia="en-US"/>
        </w:rPr>
        <w:t>51-66 (2003)</w:t>
      </w:r>
      <w:r w:rsidRPr="00772300">
        <w:rPr>
          <w:snapToGrid w:val="0"/>
          <w:lang w:eastAsia="en-US"/>
        </w:rPr>
        <w:t>.</w:t>
      </w:r>
    </w:p>
  </w:footnote>
  <w:footnote w:id="78">
    <w:p w14:paraId="187D4A50" w14:textId="2B78EBCA"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66, line 8, through page 67, line 6.</w:t>
      </w:r>
    </w:p>
  </w:footnote>
  <w:footnote w:id="79">
    <w:p w14:paraId="1998AD71" w14:textId="4A8E4D70"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Richard A. Brealey, </w:t>
      </w:r>
      <w:r w:rsidRPr="006335EC">
        <w:rPr>
          <w:i/>
        </w:rPr>
        <w:t>et al.</w:t>
      </w:r>
      <w:r>
        <w:t xml:space="preserve">, </w:t>
      </w:r>
      <w:r w:rsidRPr="004E43F8">
        <w:rPr>
          <w:i/>
        </w:rPr>
        <w:t>Principles of Corporate Finance</w:t>
      </w:r>
      <w:r>
        <w:t xml:space="preserve"> 160 (</w:t>
      </w:r>
      <w:r w:rsidR="004E43F8">
        <w:t xml:space="preserve">10th ed. </w:t>
      </w:r>
      <w:r>
        <w:t>2010) (italics in original).</w:t>
      </w:r>
    </w:p>
  </w:footnote>
  <w:footnote w:id="80">
    <w:p w14:paraId="11427B61"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55048E">
        <w:rPr>
          <w:i/>
        </w:rPr>
        <w:t>Id</w:t>
      </w:r>
      <w:r>
        <w:t>. at page 192  (italics in original).</w:t>
      </w:r>
    </w:p>
  </w:footnote>
  <w:footnote w:id="81">
    <w:p w14:paraId="3E83FBF9" w14:textId="503D9D1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68, line 3, through page 69, line 11.</w:t>
      </w:r>
    </w:p>
  </w:footnote>
  <w:footnote w:id="82">
    <w:p w14:paraId="68666116" w14:textId="66C0B8F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68, line 18, through page 69, line 4.</w:t>
      </w:r>
    </w:p>
  </w:footnote>
  <w:footnote w:id="83">
    <w:p w14:paraId="3AA77CD5" w14:textId="50E78756"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7754F8">
        <w:rPr>
          <w:snapToGrid w:val="0"/>
          <w:lang w:eastAsia="en-US"/>
        </w:rPr>
        <w:t>Eugene F. Fama</w:t>
      </w:r>
      <w:r>
        <w:rPr>
          <w:snapToGrid w:val="0"/>
          <w:lang w:eastAsia="en-US"/>
        </w:rPr>
        <w:t xml:space="preserve"> &amp;</w:t>
      </w:r>
      <w:r w:rsidRPr="007754F8">
        <w:rPr>
          <w:snapToGrid w:val="0"/>
          <w:lang w:eastAsia="en-US"/>
        </w:rPr>
        <w:t xml:space="preserve"> Kenneth R. French</w:t>
      </w:r>
      <w:r>
        <w:rPr>
          <w:snapToGrid w:val="0"/>
          <w:lang w:eastAsia="en-US"/>
        </w:rPr>
        <w:t xml:space="preserve">, </w:t>
      </w:r>
      <w:r w:rsidRPr="004E43F8">
        <w:rPr>
          <w:i/>
          <w:snapToGrid w:val="0"/>
          <w:lang w:eastAsia="en-US"/>
        </w:rPr>
        <w:t>The Equity Premium</w:t>
      </w:r>
      <w:r>
        <w:rPr>
          <w:snapToGrid w:val="0"/>
          <w:lang w:eastAsia="en-US"/>
        </w:rPr>
        <w:t xml:space="preserve">, </w:t>
      </w:r>
      <w:r w:rsidR="004E43F8" w:rsidRPr="004E43F8">
        <w:rPr>
          <w:snapToGrid w:val="0"/>
          <w:lang w:eastAsia="en-US"/>
        </w:rPr>
        <w:t>57</w:t>
      </w:r>
      <w:r w:rsidR="004E43F8">
        <w:rPr>
          <w:i/>
          <w:snapToGrid w:val="0"/>
          <w:lang w:eastAsia="en-US"/>
        </w:rPr>
        <w:t> </w:t>
      </w:r>
      <w:r w:rsidRPr="004E43F8">
        <w:rPr>
          <w:snapToGrid w:val="0"/>
          <w:lang w:eastAsia="en-US"/>
        </w:rPr>
        <w:t>Journal of Finance</w:t>
      </w:r>
      <w:r>
        <w:rPr>
          <w:snapToGrid w:val="0"/>
          <w:lang w:eastAsia="en-US"/>
        </w:rPr>
        <w:t xml:space="preserve"> 637-59 </w:t>
      </w:r>
      <w:r w:rsidRPr="007754F8">
        <w:rPr>
          <w:snapToGrid w:val="0"/>
          <w:lang w:eastAsia="en-US"/>
        </w:rPr>
        <w:t>(2002)</w:t>
      </w:r>
      <w:r>
        <w:rPr>
          <w:snapToGrid w:val="0"/>
          <w:lang w:eastAsia="en-US"/>
        </w:rPr>
        <w:t>.</w:t>
      </w:r>
    </w:p>
  </w:footnote>
  <w:footnote w:id="84">
    <w:p w14:paraId="466CCA2D" w14:textId="2A125473"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66, lines 17-19.</w:t>
      </w:r>
    </w:p>
  </w:footnote>
  <w:footnote w:id="85">
    <w:p w14:paraId="5694EF2C" w14:textId="1C3E804B"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73, lines 9-11.</w:t>
      </w:r>
    </w:p>
  </w:footnote>
  <w:footnote w:id="86">
    <w:p w14:paraId="2AA8481F" w14:textId="24CC7FC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Morin, Exh. No. ___(RAM-1T)</w:t>
      </w:r>
      <w:r w:rsidR="004E43F8">
        <w:rPr>
          <w:snapToGrid w:val="0"/>
          <w:lang w:eastAsia="en-US"/>
        </w:rPr>
        <w:t>,</w:t>
      </w:r>
      <w:r>
        <w:rPr>
          <w:snapToGrid w:val="0"/>
          <w:lang w:eastAsia="en-US"/>
        </w:rPr>
        <w:t xml:space="preserve"> at page 41.</w:t>
      </w:r>
    </w:p>
  </w:footnote>
  <w:footnote w:id="87">
    <w:p w14:paraId="14E39EA3" w14:textId="6C7FDDF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75, lines 10-16.</w:t>
      </w:r>
    </w:p>
  </w:footnote>
  <w:footnote w:id="88">
    <w:p w14:paraId="7B4990BA" w14:textId="0073946B"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77, lines 6-15.</w:t>
      </w:r>
    </w:p>
  </w:footnote>
  <w:footnote w:id="89">
    <w:p w14:paraId="504234A4" w14:textId="1833D92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0E09EF">
        <w:rPr>
          <w:snapToGrid w:val="0"/>
          <w:lang w:eastAsia="en-US"/>
        </w:rPr>
        <w:t>Eugene</w:t>
      </w:r>
      <w:r>
        <w:rPr>
          <w:snapToGrid w:val="0"/>
          <w:lang w:eastAsia="en-US"/>
        </w:rPr>
        <w:t xml:space="preserve"> </w:t>
      </w:r>
      <w:r w:rsidRPr="00C273FB">
        <w:rPr>
          <w:snapToGrid w:val="0"/>
          <w:lang w:eastAsia="en-US"/>
        </w:rPr>
        <w:t>F.</w:t>
      </w:r>
      <w:r>
        <w:rPr>
          <w:snapToGrid w:val="0"/>
          <w:lang w:eastAsia="en-US"/>
        </w:rPr>
        <w:t xml:space="preserve"> </w:t>
      </w:r>
      <w:r w:rsidRPr="00C273FB">
        <w:rPr>
          <w:snapToGrid w:val="0"/>
          <w:lang w:eastAsia="en-US"/>
        </w:rPr>
        <w:t>Brigham,</w:t>
      </w:r>
      <w:r>
        <w:rPr>
          <w:snapToGrid w:val="0"/>
          <w:lang w:eastAsia="en-US"/>
        </w:rPr>
        <w:t xml:space="preserve"> </w:t>
      </w:r>
      <w:r w:rsidRPr="000E09EF">
        <w:rPr>
          <w:i/>
          <w:snapToGrid w:val="0"/>
          <w:lang w:eastAsia="en-US"/>
        </w:rPr>
        <w:t>et al</w:t>
      </w:r>
      <w:r>
        <w:rPr>
          <w:snapToGrid w:val="0"/>
          <w:lang w:eastAsia="en-US"/>
        </w:rPr>
        <w:t xml:space="preserve">., </w:t>
      </w:r>
      <w:r w:rsidRPr="004E43F8">
        <w:rPr>
          <w:i/>
          <w:snapToGrid w:val="0"/>
          <w:lang w:eastAsia="en-US"/>
        </w:rPr>
        <w:t>The Risk Premium Approach to Measuring a Utility’s Cost of Capital</w:t>
      </w:r>
      <w:r w:rsidRPr="00C273FB">
        <w:rPr>
          <w:snapToGrid w:val="0"/>
          <w:lang w:eastAsia="en-US"/>
        </w:rPr>
        <w:t xml:space="preserve">, </w:t>
      </w:r>
      <w:r w:rsidR="004E43F8">
        <w:rPr>
          <w:snapToGrid w:val="0"/>
          <w:lang w:eastAsia="en-US"/>
        </w:rPr>
        <w:t xml:space="preserve">14 </w:t>
      </w:r>
      <w:r w:rsidRPr="004E43F8">
        <w:rPr>
          <w:snapToGrid w:val="0"/>
          <w:lang w:eastAsia="en-US"/>
        </w:rPr>
        <w:t>Financial Management</w:t>
      </w:r>
      <w:r>
        <w:rPr>
          <w:snapToGrid w:val="0"/>
          <w:lang w:eastAsia="en-US"/>
        </w:rPr>
        <w:t xml:space="preserve"> </w:t>
      </w:r>
      <w:r w:rsidRPr="00C273FB">
        <w:rPr>
          <w:snapToGrid w:val="0"/>
          <w:lang w:eastAsia="en-US"/>
        </w:rPr>
        <w:t>33-45</w:t>
      </w:r>
      <w:r>
        <w:rPr>
          <w:snapToGrid w:val="0"/>
          <w:lang w:eastAsia="en-US"/>
        </w:rPr>
        <w:t xml:space="preserve"> (1985).</w:t>
      </w:r>
    </w:p>
  </w:footnote>
  <w:footnote w:id="90">
    <w:p w14:paraId="16EA6833" w14:textId="77C13E06" w:rsidR="00792AD6" w:rsidRDefault="00792AD6" w:rsidP="00792AD6">
      <w:pPr>
        <w:pStyle w:val="FootnoteText"/>
        <w:keepLines/>
        <w:tabs>
          <w:tab w:val="left" w:pos="720"/>
        </w:tabs>
        <w:spacing w:before="60" w:after="60" w:line="240" w:lineRule="auto"/>
        <w:ind w:firstLine="360"/>
      </w:pPr>
      <w:r>
        <w:rPr>
          <w:rStyle w:val="FootnoteReference"/>
        </w:rPr>
        <w:footnoteRef/>
      </w:r>
      <w:r>
        <w:tab/>
        <w:t>Robert S. Harris</w:t>
      </w:r>
      <w:r>
        <w:rPr>
          <w:snapToGrid w:val="0"/>
          <w:lang w:eastAsia="en-US"/>
        </w:rPr>
        <w:t xml:space="preserve">, </w:t>
      </w:r>
      <w:r w:rsidRPr="00B96846">
        <w:rPr>
          <w:i/>
          <w:snapToGrid w:val="0"/>
          <w:lang w:eastAsia="en-US"/>
        </w:rPr>
        <w:t>Using Analysts’ Growth Forecasts to Estimate Shareholder Require</w:t>
      </w:r>
      <w:r w:rsidR="006F7574" w:rsidRPr="00B96846">
        <w:rPr>
          <w:i/>
          <w:snapToGrid w:val="0"/>
          <w:lang w:eastAsia="en-US"/>
        </w:rPr>
        <w:t>d</w:t>
      </w:r>
      <w:r w:rsidRPr="00B96846">
        <w:rPr>
          <w:i/>
          <w:snapToGrid w:val="0"/>
          <w:lang w:eastAsia="en-US"/>
        </w:rPr>
        <w:t xml:space="preserve"> Rates of Return</w:t>
      </w:r>
      <w:r>
        <w:rPr>
          <w:snapToGrid w:val="0"/>
          <w:lang w:eastAsia="en-US"/>
        </w:rPr>
        <w:t>,</w:t>
      </w:r>
      <w:r w:rsidR="00B96846">
        <w:rPr>
          <w:snapToGrid w:val="0"/>
          <w:lang w:eastAsia="en-US"/>
        </w:rPr>
        <w:t xml:space="preserve"> 15 </w:t>
      </w:r>
      <w:r w:rsidRPr="00B96846">
        <w:rPr>
          <w:snapToGrid w:val="0"/>
          <w:lang w:eastAsia="en-US"/>
        </w:rPr>
        <w:t>Financial Management</w:t>
      </w:r>
      <w:r>
        <w:rPr>
          <w:snapToGrid w:val="0"/>
          <w:lang w:eastAsia="en-US"/>
        </w:rPr>
        <w:t xml:space="preserve"> 58</w:t>
      </w:r>
      <w:r w:rsidRPr="00C273FB">
        <w:rPr>
          <w:snapToGrid w:val="0"/>
          <w:lang w:eastAsia="en-US"/>
        </w:rPr>
        <w:t>-</w:t>
      </w:r>
      <w:r>
        <w:rPr>
          <w:snapToGrid w:val="0"/>
          <w:lang w:eastAsia="en-US"/>
        </w:rPr>
        <w:t>67 (198</w:t>
      </w:r>
      <w:r w:rsidR="00B96846">
        <w:rPr>
          <w:snapToGrid w:val="0"/>
          <w:lang w:eastAsia="en-US"/>
        </w:rPr>
        <w:t>6</w:t>
      </w:r>
      <w:r>
        <w:rPr>
          <w:snapToGrid w:val="0"/>
          <w:lang w:eastAsia="en-US"/>
        </w:rPr>
        <w:t>).</w:t>
      </w:r>
    </w:p>
  </w:footnote>
  <w:footnote w:id="91">
    <w:p w14:paraId="39AC203B" w14:textId="5997C81A" w:rsidR="00792AD6" w:rsidRDefault="00792AD6" w:rsidP="00792AD6">
      <w:pPr>
        <w:pStyle w:val="FootnoteText"/>
        <w:keepLines/>
        <w:tabs>
          <w:tab w:val="left" w:pos="720"/>
        </w:tabs>
        <w:spacing w:before="60" w:after="60" w:line="240" w:lineRule="auto"/>
        <w:ind w:firstLine="360"/>
      </w:pPr>
      <w:r>
        <w:rPr>
          <w:rStyle w:val="FootnoteReference"/>
        </w:rPr>
        <w:footnoteRef/>
      </w:r>
      <w:r>
        <w:tab/>
        <w:t>Robert S</w:t>
      </w:r>
      <w:r w:rsidRPr="00CB17BE">
        <w:rPr>
          <w:snapToGrid w:val="0"/>
          <w:lang w:eastAsia="en-US"/>
        </w:rPr>
        <w:t>. Harris</w:t>
      </w:r>
      <w:r>
        <w:rPr>
          <w:snapToGrid w:val="0"/>
          <w:lang w:eastAsia="en-US"/>
        </w:rPr>
        <w:t xml:space="preserve"> &amp; </w:t>
      </w:r>
      <w:r w:rsidRPr="000E09EF">
        <w:rPr>
          <w:snapToGrid w:val="0"/>
          <w:lang w:eastAsia="en-US"/>
        </w:rPr>
        <w:t>Felicia</w:t>
      </w:r>
      <w:r>
        <w:rPr>
          <w:snapToGrid w:val="0"/>
          <w:lang w:eastAsia="en-US"/>
        </w:rPr>
        <w:t xml:space="preserve"> </w:t>
      </w:r>
      <w:r w:rsidRPr="00CB17BE">
        <w:rPr>
          <w:snapToGrid w:val="0"/>
          <w:lang w:eastAsia="en-US"/>
        </w:rPr>
        <w:t>C.</w:t>
      </w:r>
      <w:r>
        <w:rPr>
          <w:snapToGrid w:val="0"/>
          <w:lang w:eastAsia="en-US"/>
        </w:rPr>
        <w:t xml:space="preserve"> </w:t>
      </w:r>
      <w:r w:rsidRPr="00CB17BE">
        <w:rPr>
          <w:snapToGrid w:val="0"/>
          <w:lang w:eastAsia="en-US"/>
        </w:rPr>
        <w:t>Marston</w:t>
      </w:r>
      <w:r>
        <w:rPr>
          <w:snapToGrid w:val="0"/>
          <w:lang w:eastAsia="en-US"/>
        </w:rPr>
        <w:t xml:space="preserve">, </w:t>
      </w:r>
      <w:r w:rsidRPr="00B96846">
        <w:rPr>
          <w:i/>
          <w:snapToGrid w:val="0"/>
          <w:lang w:eastAsia="en-US"/>
        </w:rPr>
        <w:t xml:space="preserve">Estimating Shareholder Risk </w:t>
      </w:r>
      <w:proofErr w:type="spellStart"/>
      <w:r w:rsidRPr="00B96846">
        <w:rPr>
          <w:i/>
          <w:snapToGrid w:val="0"/>
          <w:lang w:eastAsia="en-US"/>
        </w:rPr>
        <w:t>Premia</w:t>
      </w:r>
      <w:proofErr w:type="spellEnd"/>
      <w:r w:rsidRPr="00B96846">
        <w:rPr>
          <w:i/>
          <w:snapToGrid w:val="0"/>
          <w:lang w:eastAsia="en-US"/>
        </w:rPr>
        <w:t xml:space="preserve"> Using Analysts’ Growth Forecasts</w:t>
      </w:r>
      <w:r w:rsidRPr="00CB17BE">
        <w:rPr>
          <w:snapToGrid w:val="0"/>
          <w:lang w:eastAsia="en-US"/>
        </w:rPr>
        <w:t xml:space="preserve">, </w:t>
      </w:r>
      <w:r w:rsidR="00B96846">
        <w:rPr>
          <w:snapToGrid w:val="0"/>
          <w:lang w:eastAsia="en-US"/>
        </w:rPr>
        <w:t xml:space="preserve">21 </w:t>
      </w:r>
      <w:r w:rsidRPr="00B96846">
        <w:rPr>
          <w:snapToGrid w:val="0"/>
          <w:lang w:eastAsia="en-US"/>
        </w:rPr>
        <w:t>Financial Management</w:t>
      </w:r>
      <w:r>
        <w:rPr>
          <w:snapToGrid w:val="0"/>
          <w:lang w:eastAsia="en-US"/>
        </w:rPr>
        <w:t xml:space="preserve"> </w:t>
      </w:r>
      <w:r w:rsidRPr="00CB17BE">
        <w:rPr>
          <w:snapToGrid w:val="0"/>
          <w:lang w:eastAsia="en-US"/>
        </w:rPr>
        <w:t>63-70</w:t>
      </w:r>
      <w:r>
        <w:rPr>
          <w:snapToGrid w:val="0"/>
          <w:lang w:eastAsia="en-US"/>
        </w:rPr>
        <w:t xml:space="preserve"> (</w:t>
      </w:r>
      <w:r w:rsidRPr="00CB17BE">
        <w:rPr>
          <w:snapToGrid w:val="0"/>
          <w:lang w:eastAsia="en-US"/>
        </w:rPr>
        <w:t>1992</w:t>
      </w:r>
      <w:r>
        <w:rPr>
          <w:snapToGrid w:val="0"/>
          <w:lang w:eastAsia="en-US"/>
        </w:rPr>
        <w:t>)</w:t>
      </w:r>
      <w:r w:rsidRPr="00CB17BE">
        <w:rPr>
          <w:snapToGrid w:val="0"/>
          <w:lang w:eastAsia="en-US"/>
        </w:rPr>
        <w:t>,</w:t>
      </w:r>
    </w:p>
  </w:footnote>
  <w:footnote w:id="92">
    <w:p w14:paraId="1B5D37A6" w14:textId="54AE69D0" w:rsidR="00792AD6" w:rsidRDefault="00792AD6" w:rsidP="00792AD6">
      <w:pPr>
        <w:pStyle w:val="FootnoteText"/>
        <w:keepLines/>
        <w:tabs>
          <w:tab w:val="left" w:pos="720"/>
        </w:tabs>
        <w:spacing w:before="60" w:after="60" w:line="240" w:lineRule="auto"/>
        <w:ind w:firstLine="360"/>
      </w:pPr>
      <w:r>
        <w:rPr>
          <w:rStyle w:val="FootnoteReference"/>
        </w:rPr>
        <w:footnoteRef/>
      </w:r>
      <w:r>
        <w:tab/>
        <w:t>Willard</w:t>
      </w:r>
      <w:r>
        <w:rPr>
          <w:snapToGrid w:val="0"/>
          <w:lang w:eastAsia="en-US"/>
        </w:rPr>
        <w:t xml:space="preserve"> T</w:t>
      </w:r>
      <w:r w:rsidRPr="00CB17BE">
        <w:rPr>
          <w:snapToGrid w:val="0"/>
          <w:lang w:eastAsia="en-US"/>
        </w:rPr>
        <w:t xml:space="preserve">. </w:t>
      </w:r>
      <w:r>
        <w:rPr>
          <w:snapToGrid w:val="0"/>
          <w:lang w:eastAsia="en-US"/>
        </w:rPr>
        <w:t xml:space="preserve">Carleton, </w:t>
      </w:r>
      <w:r w:rsidRPr="00A1311E">
        <w:rPr>
          <w:i/>
          <w:snapToGrid w:val="0"/>
          <w:lang w:eastAsia="en-US"/>
        </w:rPr>
        <w:t>et al.</w:t>
      </w:r>
      <w:r>
        <w:rPr>
          <w:snapToGrid w:val="0"/>
          <w:lang w:eastAsia="en-US"/>
        </w:rPr>
        <w:t xml:space="preserve">, </w:t>
      </w:r>
      <w:r w:rsidRPr="00B96846">
        <w:rPr>
          <w:i/>
          <w:snapToGrid w:val="0"/>
          <w:lang w:eastAsia="en-US"/>
        </w:rPr>
        <w:t>Inflation Risk and Regulatory Lag</w:t>
      </w:r>
      <w:r>
        <w:rPr>
          <w:snapToGrid w:val="0"/>
          <w:lang w:eastAsia="en-US"/>
        </w:rPr>
        <w:t xml:space="preserve">, </w:t>
      </w:r>
      <w:r w:rsidR="00B96846">
        <w:rPr>
          <w:snapToGrid w:val="0"/>
          <w:lang w:eastAsia="en-US"/>
        </w:rPr>
        <w:t xml:space="preserve">38 Journal of </w:t>
      </w:r>
      <w:r w:rsidRPr="00B96846">
        <w:rPr>
          <w:snapToGrid w:val="0"/>
          <w:lang w:eastAsia="en-US"/>
        </w:rPr>
        <w:t xml:space="preserve">Financial </w:t>
      </w:r>
      <w:r>
        <w:rPr>
          <w:snapToGrid w:val="0"/>
          <w:lang w:eastAsia="en-US"/>
        </w:rPr>
        <w:t>419</w:t>
      </w:r>
      <w:r w:rsidRPr="00CB17BE">
        <w:rPr>
          <w:snapToGrid w:val="0"/>
          <w:lang w:eastAsia="en-US"/>
        </w:rPr>
        <w:t>-</w:t>
      </w:r>
      <w:r>
        <w:rPr>
          <w:snapToGrid w:val="0"/>
          <w:lang w:eastAsia="en-US"/>
        </w:rPr>
        <w:t>31 (1983).</w:t>
      </w:r>
    </w:p>
  </w:footnote>
  <w:footnote w:id="93">
    <w:p w14:paraId="622CA854" w14:textId="522DE99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1311E">
        <w:rPr>
          <w:snapToGrid w:val="0"/>
          <w:lang w:eastAsia="en-US"/>
        </w:rPr>
        <w:t xml:space="preserve">Farris M. Maddox, </w:t>
      </w:r>
      <w:r w:rsidRPr="00A1311E">
        <w:rPr>
          <w:i/>
          <w:snapToGrid w:val="0"/>
          <w:lang w:eastAsia="en-US"/>
        </w:rPr>
        <w:t>et al</w:t>
      </w:r>
      <w:r>
        <w:rPr>
          <w:snapToGrid w:val="0"/>
          <w:lang w:eastAsia="en-US"/>
        </w:rPr>
        <w:t xml:space="preserve">., </w:t>
      </w:r>
      <w:r w:rsidRPr="00B96846">
        <w:rPr>
          <w:i/>
          <w:snapToGrid w:val="0"/>
          <w:lang w:eastAsia="en-US"/>
        </w:rPr>
        <w:t>An Empirical Study of Ex Ante Risk Premiums for the Electric Utility Industry</w:t>
      </w:r>
      <w:r w:rsidRPr="00A1311E">
        <w:rPr>
          <w:snapToGrid w:val="0"/>
          <w:lang w:eastAsia="en-US"/>
        </w:rPr>
        <w:t xml:space="preserve">, </w:t>
      </w:r>
      <w:r w:rsidR="00A855A5">
        <w:rPr>
          <w:snapToGrid w:val="0"/>
          <w:lang w:eastAsia="en-US"/>
        </w:rPr>
        <w:t xml:space="preserve">24 </w:t>
      </w:r>
      <w:r w:rsidRPr="00A855A5">
        <w:rPr>
          <w:snapToGrid w:val="0"/>
          <w:lang w:eastAsia="en-US"/>
        </w:rPr>
        <w:t>Financial Management</w:t>
      </w:r>
      <w:r>
        <w:rPr>
          <w:snapToGrid w:val="0"/>
          <w:lang w:eastAsia="en-US"/>
        </w:rPr>
        <w:t xml:space="preserve"> 89-95 (</w:t>
      </w:r>
      <w:r w:rsidRPr="00A1311E">
        <w:rPr>
          <w:snapToGrid w:val="0"/>
          <w:lang w:eastAsia="en-US"/>
        </w:rPr>
        <w:t>1995</w:t>
      </w:r>
      <w:r>
        <w:rPr>
          <w:snapToGrid w:val="0"/>
          <w:lang w:eastAsia="en-US"/>
        </w:rPr>
        <w:t>)</w:t>
      </w:r>
      <w:r w:rsidRPr="00A1311E">
        <w:rPr>
          <w:snapToGrid w:val="0"/>
          <w:lang w:eastAsia="en-US"/>
        </w:rPr>
        <w:t>.</w:t>
      </w:r>
    </w:p>
  </w:footnote>
  <w:footnote w:id="94">
    <w:p w14:paraId="6642943A"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Decisions—Calendar 2013</w:t>
      </w:r>
      <w:r>
        <w:t xml:space="preserve"> at page 6 (Jan. 15, 2014).</w:t>
      </w:r>
    </w:p>
  </w:footnote>
  <w:footnote w:id="95">
    <w:p w14:paraId="233D5CA0"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w:t>
      </w:r>
      <w:r>
        <w:rPr>
          <w:i/>
        </w:rPr>
        <w:t xml:space="preserve">January-September </w:t>
      </w:r>
      <w:r w:rsidRPr="002B543F">
        <w:rPr>
          <w:i/>
        </w:rPr>
        <w:t>201</w:t>
      </w:r>
      <w:r>
        <w:rPr>
          <w:i/>
        </w:rPr>
        <w:t>4</w:t>
      </w:r>
      <w:r>
        <w:t xml:space="preserve"> at page 5 (Oct. 10, 2014).</w:t>
      </w:r>
    </w:p>
  </w:footnote>
  <w:footnote w:id="96">
    <w:p w14:paraId="04171AA7"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97">
    <w:p w14:paraId="056638CF"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(Dec. 2014).</w:t>
      </w:r>
    </w:p>
  </w:footnote>
  <w:footnote w:id="98">
    <w:p w14:paraId="3D9E2342" w14:textId="3124AA00"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 lines 7-9.</w:t>
      </w:r>
    </w:p>
  </w:footnote>
  <w:footnote w:id="99">
    <w:p w14:paraId="5FB32658" w14:textId="43FC3530" w:rsidR="00792AD6" w:rsidRDefault="00792AD6" w:rsidP="00792AD6">
      <w:pPr>
        <w:pStyle w:val="FootnoteText"/>
        <w:keepLines/>
        <w:tabs>
          <w:tab w:val="left" w:pos="720"/>
        </w:tabs>
        <w:spacing w:before="60" w:after="60" w:line="240" w:lineRule="auto"/>
        <w:ind w:firstLine="360"/>
      </w:pPr>
      <w:r>
        <w:rPr>
          <w:rStyle w:val="FootnoteReference"/>
        </w:rPr>
        <w:footnoteRef/>
      </w:r>
      <w:r>
        <w:tab/>
        <w:t>Gorman, Exh. No. ___(MPG-1T)</w:t>
      </w:r>
      <w:r w:rsidR="00A855A5">
        <w:t>,</w:t>
      </w:r>
      <w:r>
        <w:t xml:space="preserve"> at page 2, lines 1-2.</w:t>
      </w:r>
    </w:p>
  </w:footnote>
  <w:footnote w:id="100">
    <w:p w14:paraId="46285D27" w14:textId="57A71F17" w:rsidR="00792AD6" w:rsidRDefault="00792AD6" w:rsidP="00792AD6">
      <w:pPr>
        <w:pStyle w:val="FootnoteText"/>
        <w:keepLines/>
        <w:tabs>
          <w:tab w:val="left" w:pos="720"/>
        </w:tabs>
        <w:spacing w:before="60" w:after="60" w:line="240" w:lineRule="auto"/>
        <w:ind w:firstLine="360"/>
      </w:pPr>
      <w:r>
        <w:rPr>
          <w:rStyle w:val="FootnoteReference"/>
        </w:rPr>
        <w:footnoteRef/>
      </w:r>
      <w:r>
        <w:tab/>
        <w:t>Gorman, Exh. No. ___(MPG-1T)</w:t>
      </w:r>
      <w:r w:rsidR="00A855A5">
        <w:t>,</w:t>
      </w:r>
      <w:r>
        <w:t xml:space="preserve"> at page 2, lines 14-15.</w:t>
      </w:r>
    </w:p>
  </w:footnote>
  <w:footnote w:id="101">
    <w:p w14:paraId="76BB6E72"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Decisions—Calendar 2013</w:t>
      </w:r>
      <w:r>
        <w:t xml:space="preserve"> at page 6 (Jan. 15, 2014).</w:t>
      </w:r>
    </w:p>
  </w:footnote>
  <w:footnote w:id="102">
    <w:p w14:paraId="0F88F298"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w:t>
      </w:r>
      <w:r>
        <w:rPr>
          <w:i/>
        </w:rPr>
        <w:t xml:space="preserve">January-September </w:t>
      </w:r>
      <w:r w:rsidRPr="002B543F">
        <w:rPr>
          <w:i/>
        </w:rPr>
        <w:t>201</w:t>
      </w:r>
      <w:r>
        <w:rPr>
          <w:i/>
        </w:rPr>
        <w:t>4</w:t>
      </w:r>
      <w:r>
        <w:t xml:space="preserve"> at page 5 (Oct. 10, 2014).</w:t>
      </w:r>
    </w:p>
  </w:footnote>
  <w:footnote w:id="103">
    <w:p w14:paraId="13CF6958" w14:textId="09F281B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22, lines 5-12.</w:t>
      </w:r>
    </w:p>
  </w:footnote>
  <w:footnote w:id="104">
    <w:p w14:paraId="17090A52" w14:textId="359EC4D3"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31, lines 19-22.</w:t>
      </w:r>
    </w:p>
  </w:footnote>
  <w:footnote w:id="105">
    <w:p w14:paraId="50DDABDA" w14:textId="6801568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33, lines 11-17.</w:t>
      </w:r>
    </w:p>
  </w:footnote>
  <w:footnote w:id="106">
    <w:p w14:paraId="6316AFA5" w14:textId="16628D4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24, line 12, through page 25, line 17.</w:t>
      </w:r>
    </w:p>
  </w:footnote>
  <w:footnote w:id="107">
    <w:p w14:paraId="785D4AE5" w14:textId="5DD2DB1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25, line 18, through page 26, line 6.</w:t>
      </w:r>
    </w:p>
  </w:footnote>
  <w:footnote w:id="108">
    <w:p w14:paraId="2E0F19FF" w14:textId="7D2D178A"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 xml:space="preserve">Gorman, Exh. </w:t>
      </w:r>
      <w:bookmarkStart w:id="50" w:name="_GoBack"/>
      <w:bookmarkEnd w:id="50"/>
      <w:r>
        <w:rPr>
          <w:snapToGrid w:val="0"/>
          <w:lang w:eastAsia="en-US"/>
        </w:rPr>
        <w:t>No. ___(MPG-23T)</w:t>
      </w:r>
      <w:r w:rsidR="00A855A5">
        <w:rPr>
          <w:snapToGrid w:val="0"/>
          <w:lang w:eastAsia="en-US"/>
        </w:rPr>
        <w:t>,</w:t>
      </w:r>
      <w:r>
        <w:rPr>
          <w:snapToGrid w:val="0"/>
          <w:lang w:eastAsia="en-US"/>
        </w:rPr>
        <w:t xml:space="preserve"> at page 35, line 14.</w:t>
      </w:r>
    </w:p>
  </w:footnote>
  <w:footnote w:id="109">
    <w:p w14:paraId="14650735" w14:textId="45ECFCD2"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33, line 7.</w:t>
      </w:r>
    </w:p>
  </w:footnote>
  <w:footnote w:id="110">
    <w:p w14:paraId="02D23F3E" w14:textId="2FABEF83"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22, lines 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984D" w14:textId="77777777" w:rsidR="00792AD6" w:rsidRDefault="00792AD6">
    <w:pPr>
      <w:pStyle w:val="Header"/>
    </w:pPr>
    <w:r>
      <w:rPr>
        <w:noProof/>
        <w:lang w:eastAsia="en-US"/>
      </w:rPr>
      <mc:AlternateContent>
        <mc:Choice Requires="wps">
          <w:drawing>
            <wp:anchor distT="0" distB="0" distL="114293" distR="114293" simplePos="0" relativeHeight="251658240" behindDoc="0" locked="0" layoutInCell="0" allowOverlap="1" wp14:anchorId="62C203B9" wp14:editId="4815B835">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6169" w14:textId="77777777" w:rsidR="00792AD6" w:rsidRDefault="00792AD6">
    <w:pPr>
      <w:pStyle w:val="Header"/>
    </w:pPr>
    <w:r>
      <w:rPr>
        <w:noProof/>
        <w:lang w:eastAsia="en-US"/>
      </w:rPr>
      <mc:AlternateContent>
        <mc:Choice Requires="wps">
          <w:drawing>
            <wp:anchor distT="0" distB="0" distL="114293" distR="114293" simplePos="0" relativeHeight="251657216" behindDoc="0" locked="0" layoutInCell="1" allowOverlap="1" wp14:anchorId="0448A798" wp14:editId="725219A1">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21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3">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7">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3"/>
  </w:num>
  <w:num w:numId="2">
    <w:abstractNumId w:val="0"/>
  </w:num>
  <w:num w:numId="3">
    <w:abstractNumId w:val="14"/>
  </w:num>
  <w:num w:numId="4">
    <w:abstractNumId w:val="7"/>
  </w:num>
  <w:num w:numId="5">
    <w:abstractNumId w:val="11"/>
  </w:num>
  <w:num w:numId="6">
    <w:abstractNumId w:val="12"/>
  </w:num>
  <w:num w:numId="7">
    <w:abstractNumId w:val="16"/>
  </w:num>
  <w:num w:numId="8">
    <w:abstractNumId w:val="8"/>
  </w:num>
  <w:num w:numId="9">
    <w:abstractNumId w:val="18"/>
  </w:num>
  <w:num w:numId="10">
    <w:abstractNumId w:val="9"/>
  </w:num>
  <w:num w:numId="11">
    <w:abstractNumId w:val="10"/>
  </w:num>
  <w:num w:numId="12">
    <w:abstractNumId w:val="2"/>
  </w:num>
  <w:num w:numId="13">
    <w:abstractNumId w:val="1"/>
  </w:num>
  <w:num w:numId="14">
    <w:abstractNumId w:val="6"/>
  </w:num>
  <w:num w:numId="15">
    <w:abstractNumId w:val="17"/>
  </w:num>
  <w:num w:numId="16">
    <w:abstractNumId w:val="3"/>
  </w:num>
  <w:num w:numId="17">
    <w:abstractNumId w:val="4"/>
  </w:num>
  <w:num w:numId="18">
    <w:abstractNumId w:val="15"/>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18A4"/>
    <w:rsid w:val="00003202"/>
    <w:rsid w:val="00004D39"/>
    <w:rsid w:val="000059AC"/>
    <w:rsid w:val="0000691C"/>
    <w:rsid w:val="0000723E"/>
    <w:rsid w:val="000101C9"/>
    <w:rsid w:val="000108CD"/>
    <w:rsid w:val="00011CFB"/>
    <w:rsid w:val="00011FD7"/>
    <w:rsid w:val="000127D7"/>
    <w:rsid w:val="00013512"/>
    <w:rsid w:val="000139D8"/>
    <w:rsid w:val="00013D39"/>
    <w:rsid w:val="00014A80"/>
    <w:rsid w:val="00016520"/>
    <w:rsid w:val="000166B1"/>
    <w:rsid w:val="00016D72"/>
    <w:rsid w:val="00017290"/>
    <w:rsid w:val="00017DB9"/>
    <w:rsid w:val="000230FD"/>
    <w:rsid w:val="00023506"/>
    <w:rsid w:val="00024ADC"/>
    <w:rsid w:val="00024BD7"/>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1509"/>
    <w:rsid w:val="000528F5"/>
    <w:rsid w:val="00052A37"/>
    <w:rsid w:val="00052B0C"/>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67A66"/>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381"/>
    <w:rsid w:val="00087467"/>
    <w:rsid w:val="0008759C"/>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ADD"/>
    <w:rsid w:val="000A5408"/>
    <w:rsid w:val="000A5B6E"/>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09EF"/>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07D2"/>
    <w:rsid w:val="001010E0"/>
    <w:rsid w:val="00101E38"/>
    <w:rsid w:val="00102D02"/>
    <w:rsid w:val="0010342F"/>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23B"/>
    <w:rsid w:val="001254C0"/>
    <w:rsid w:val="001261B3"/>
    <w:rsid w:val="00126228"/>
    <w:rsid w:val="00126630"/>
    <w:rsid w:val="001310AA"/>
    <w:rsid w:val="001314A8"/>
    <w:rsid w:val="0013195B"/>
    <w:rsid w:val="001327F5"/>
    <w:rsid w:val="00132A7D"/>
    <w:rsid w:val="0013307F"/>
    <w:rsid w:val="00133145"/>
    <w:rsid w:val="001331FA"/>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3EF"/>
    <w:rsid w:val="0017273B"/>
    <w:rsid w:val="00172914"/>
    <w:rsid w:val="00174211"/>
    <w:rsid w:val="001744D8"/>
    <w:rsid w:val="0017489F"/>
    <w:rsid w:val="00175610"/>
    <w:rsid w:val="00175CC3"/>
    <w:rsid w:val="00175E3E"/>
    <w:rsid w:val="00176EB6"/>
    <w:rsid w:val="001773E8"/>
    <w:rsid w:val="0017762F"/>
    <w:rsid w:val="00177B8E"/>
    <w:rsid w:val="00180853"/>
    <w:rsid w:val="0018093C"/>
    <w:rsid w:val="00180C05"/>
    <w:rsid w:val="00180D8B"/>
    <w:rsid w:val="00181297"/>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B7F8C"/>
    <w:rsid w:val="001C05AF"/>
    <w:rsid w:val="001C1320"/>
    <w:rsid w:val="001C1757"/>
    <w:rsid w:val="001C2894"/>
    <w:rsid w:val="001C2995"/>
    <w:rsid w:val="001C33EE"/>
    <w:rsid w:val="001C4BB9"/>
    <w:rsid w:val="001C4E22"/>
    <w:rsid w:val="001C5700"/>
    <w:rsid w:val="001C5E73"/>
    <w:rsid w:val="001C60A1"/>
    <w:rsid w:val="001C6A32"/>
    <w:rsid w:val="001C7315"/>
    <w:rsid w:val="001D0F46"/>
    <w:rsid w:val="001D1145"/>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5E0B"/>
    <w:rsid w:val="001E694B"/>
    <w:rsid w:val="001F00F8"/>
    <w:rsid w:val="001F0975"/>
    <w:rsid w:val="001F0A40"/>
    <w:rsid w:val="001F0E2A"/>
    <w:rsid w:val="001F1031"/>
    <w:rsid w:val="001F12EA"/>
    <w:rsid w:val="001F2A1E"/>
    <w:rsid w:val="001F3034"/>
    <w:rsid w:val="001F3915"/>
    <w:rsid w:val="001F56EF"/>
    <w:rsid w:val="00200785"/>
    <w:rsid w:val="00200EAD"/>
    <w:rsid w:val="00202C2B"/>
    <w:rsid w:val="00203289"/>
    <w:rsid w:val="002032D3"/>
    <w:rsid w:val="00206603"/>
    <w:rsid w:val="00206824"/>
    <w:rsid w:val="00206F0F"/>
    <w:rsid w:val="00207F30"/>
    <w:rsid w:val="002107A7"/>
    <w:rsid w:val="00210A80"/>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687"/>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0E"/>
    <w:rsid w:val="00253D38"/>
    <w:rsid w:val="00253FF1"/>
    <w:rsid w:val="0025416C"/>
    <w:rsid w:val="00254DF0"/>
    <w:rsid w:val="00255EA6"/>
    <w:rsid w:val="00256613"/>
    <w:rsid w:val="002568DE"/>
    <w:rsid w:val="00256B34"/>
    <w:rsid w:val="0026033F"/>
    <w:rsid w:val="0026040C"/>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0CAC"/>
    <w:rsid w:val="0028186A"/>
    <w:rsid w:val="00281A03"/>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4BF6"/>
    <w:rsid w:val="002A52A3"/>
    <w:rsid w:val="002A5C68"/>
    <w:rsid w:val="002A6307"/>
    <w:rsid w:val="002A633A"/>
    <w:rsid w:val="002A6899"/>
    <w:rsid w:val="002A6C1E"/>
    <w:rsid w:val="002A6E55"/>
    <w:rsid w:val="002B0467"/>
    <w:rsid w:val="002B19A0"/>
    <w:rsid w:val="002B1D5B"/>
    <w:rsid w:val="002B1F0C"/>
    <w:rsid w:val="002B2ACD"/>
    <w:rsid w:val="002B45B6"/>
    <w:rsid w:val="002B543F"/>
    <w:rsid w:val="002B6A98"/>
    <w:rsid w:val="002B7714"/>
    <w:rsid w:val="002C06F4"/>
    <w:rsid w:val="002C091A"/>
    <w:rsid w:val="002C0A7C"/>
    <w:rsid w:val="002C1E94"/>
    <w:rsid w:val="002C2A01"/>
    <w:rsid w:val="002C3969"/>
    <w:rsid w:val="002C4A47"/>
    <w:rsid w:val="002C4BFB"/>
    <w:rsid w:val="002C50FA"/>
    <w:rsid w:val="002C68E6"/>
    <w:rsid w:val="002C7703"/>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07FE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583"/>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0B8"/>
    <w:rsid w:val="003E418E"/>
    <w:rsid w:val="003E55B5"/>
    <w:rsid w:val="003E605A"/>
    <w:rsid w:val="003E79BA"/>
    <w:rsid w:val="003F0460"/>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2438"/>
    <w:rsid w:val="00403AB3"/>
    <w:rsid w:val="00404152"/>
    <w:rsid w:val="00404453"/>
    <w:rsid w:val="0040534F"/>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275BD"/>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35B3"/>
    <w:rsid w:val="00445291"/>
    <w:rsid w:val="004479B6"/>
    <w:rsid w:val="0045057F"/>
    <w:rsid w:val="00452684"/>
    <w:rsid w:val="00453B78"/>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207"/>
    <w:rsid w:val="00490E67"/>
    <w:rsid w:val="00491146"/>
    <w:rsid w:val="00491BBE"/>
    <w:rsid w:val="00492D49"/>
    <w:rsid w:val="00492DF3"/>
    <w:rsid w:val="00493EFA"/>
    <w:rsid w:val="004949C9"/>
    <w:rsid w:val="00494CF7"/>
    <w:rsid w:val="00495281"/>
    <w:rsid w:val="00495F6C"/>
    <w:rsid w:val="0049768D"/>
    <w:rsid w:val="00497740"/>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3F8"/>
    <w:rsid w:val="004E4C32"/>
    <w:rsid w:val="004E4F05"/>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0162"/>
    <w:rsid w:val="005413FD"/>
    <w:rsid w:val="00541977"/>
    <w:rsid w:val="00542BDF"/>
    <w:rsid w:val="00542E4A"/>
    <w:rsid w:val="005447C6"/>
    <w:rsid w:val="00550151"/>
    <w:rsid w:val="005501CF"/>
    <w:rsid w:val="0055048E"/>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75F"/>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821"/>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245"/>
    <w:rsid w:val="005E63F8"/>
    <w:rsid w:val="005E6AA5"/>
    <w:rsid w:val="005E7106"/>
    <w:rsid w:val="005E7DF8"/>
    <w:rsid w:val="005F076D"/>
    <w:rsid w:val="005F09E7"/>
    <w:rsid w:val="005F0DAB"/>
    <w:rsid w:val="005F0F00"/>
    <w:rsid w:val="005F2A8D"/>
    <w:rsid w:val="005F2E6F"/>
    <w:rsid w:val="005F3825"/>
    <w:rsid w:val="005F76C3"/>
    <w:rsid w:val="00600207"/>
    <w:rsid w:val="00600A48"/>
    <w:rsid w:val="006016E2"/>
    <w:rsid w:val="00601F0F"/>
    <w:rsid w:val="00602189"/>
    <w:rsid w:val="006039AA"/>
    <w:rsid w:val="00603E13"/>
    <w:rsid w:val="006052DC"/>
    <w:rsid w:val="00605756"/>
    <w:rsid w:val="00605D54"/>
    <w:rsid w:val="006060D0"/>
    <w:rsid w:val="00607FCD"/>
    <w:rsid w:val="00610341"/>
    <w:rsid w:val="00610390"/>
    <w:rsid w:val="00610A97"/>
    <w:rsid w:val="00610DA4"/>
    <w:rsid w:val="006116C0"/>
    <w:rsid w:val="006116C9"/>
    <w:rsid w:val="00612582"/>
    <w:rsid w:val="00613400"/>
    <w:rsid w:val="0061358D"/>
    <w:rsid w:val="006145D3"/>
    <w:rsid w:val="00614AB0"/>
    <w:rsid w:val="006158B0"/>
    <w:rsid w:val="00615BA8"/>
    <w:rsid w:val="0061635F"/>
    <w:rsid w:val="00616400"/>
    <w:rsid w:val="00617A6B"/>
    <w:rsid w:val="006203EB"/>
    <w:rsid w:val="006219C1"/>
    <w:rsid w:val="00622D1F"/>
    <w:rsid w:val="00624398"/>
    <w:rsid w:val="006254D3"/>
    <w:rsid w:val="00625D99"/>
    <w:rsid w:val="00626651"/>
    <w:rsid w:val="00630315"/>
    <w:rsid w:val="006319EB"/>
    <w:rsid w:val="00632141"/>
    <w:rsid w:val="006335EC"/>
    <w:rsid w:val="00633834"/>
    <w:rsid w:val="00634A84"/>
    <w:rsid w:val="00635B8A"/>
    <w:rsid w:val="00636B02"/>
    <w:rsid w:val="00640E94"/>
    <w:rsid w:val="00641CBB"/>
    <w:rsid w:val="00643051"/>
    <w:rsid w:val="00643350"/>
    <w:rsid w:val="00643662"/>
    <w:rsid w:val="006476FF"/>
    <w:rsid w:val="00650CC9"/>
    <w:rsid w:val="006511CF"/>
    <w:rsid w:val="00652081"/>
    <w:rsid w:val="00652A50"/>
    <w:rsid w:val="00652CDE"/>
    <w:rsid w:val="0065378F"/>
    <w:rsid w:val="00653AB6"/>
    <w:rsid w:val="00653E0A"/>
    <w:rsid w:val="00654411"/>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96AB0"/>
    <w:rsid w:val="006A11C5"/>
    <w:rsid w:val="006A1A12"/>
    <w:rsid w:val="006A1E69"/>
    <w:rsid w:val="006A262E"/>
    <w:rsid w:val="006A36EB"/>
    <w:rsid w:val="006A3AD6"/>
    <w:rsid w:val="006A5744"/>
    <w:rsid w:val="006A5777"/>
    <w:rsid w:val="006A6BBB"/>
    <w:rsid w:val="006A7035"/>
    <w:rsid w:val="006A716E"/>
    <w:rsid w:val="006A74F5"/>
    <w:rsid w:val="006B0261"/>
    <w:rsid w:val="006B053C"/>
    <w:rsid w:val="006B09BA"/>
    <w:rsid w:val="006B3EB1"/>
    <w:rsid w:val="006B40A8"/>
    <w:rsid w:val="006B4712"/>
    <w:rsid w:val="006B4928"/>
    <w:rsid w:val="006B50D3"/>
    <w:rsid w:val="006B5757"/>
    <w:rsid w:val="006B79D5"/>
    <w:rsid w:val="006C0B06"/>
    <w:rsid w:val="006C15B5"/>
    <w:rsid w:val="006C1759"/>
    <w:rsid w:val="006C258D"/>
    <w:rsid w:val="006C25C2"/>
    <w:rsid w:val="006C27F1"/>
    <w:rsid w:val="006C2CC9"/>
    <w:rsid w:val="006C2ED2"/>
    <w:rsid w:val="006C4C28"/>
    <w:rsid w:val="006C4FA7"/>
    <w:rsid w:val="006C5053"/>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C8D"/>
    <w:rsid w:val="006F6E0E"/>
    <w:rsid w:val="006F7574"/>
    <w:rsid w:val="006F760B"/>
    <w:rsid w:val="00700519"/>
    <w:rsid w:val="00702F60"/>
    <w:rsid w:val="00704B71"/>
    <w:rsid w:val="0070506E"/>
    <w:rsid w:val="00705B81"/>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D14"/>
    <w:rsid w:val="00730F29"/>
    <w:rsid w:val="00733028"/>
    <w:rsid w:val="00734133"/>
    <w:rsid w:val="0073473E"/>
    <w:rsid w:val="00734B1C"/>
    <w:rsid w:val="0073566D"/>
    <w:rsid w:val="007371B6"/>
    <w:rsid w:val="00740171"/>
    <w:rsid w:val="00740915"/>
    <w:rsid w:val="00741A4C"/>
    <w:rsid w:val="00741D0C"/>
    <w:rsid w:val="0074210C"/>
    <w:rsid w:val="00742234"/>
    <w:rsid w:val="0074434B"/>
    <w:rsid w:val="0074503B"/>
    <w:rsid w:val="007468E8"/>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300"/>
    <w:rsid w:val="007732A5"/>
    <w:rsid w:val="0077386A"/>
    <w:rsid w:val="00774148"/>
    <w:rsid w:val="007745DC"/>
    <w:rsid w:val="007748F7"/>
    <w:rsid w:val="00774C7E"/>
    <w:rsid w:val="007754F8"/>
    <w:rsid w:val="00777698"/>
    <w:rsid w:val="007777BC"/>
    <w:rsid w:val="00777B8D"/>
    <w:rsid w:val="00780212"/>
    <w:rsid w:val="00780447"/>
    <w:rsid w:val="0078122C"/>
    <w:rsid w:val="00781394"/>
    <w:rsid w:val="0078192B"/>
    <w:rsid w:val="00784F4E"/>
    <w:rsid w:val="00786F84"/>
    <w:rsid w:val="00787143"/>
    <w:rsid w:val="00787792"/>
    <w:rsid w:val="007879A0"/>
    <w:rsid w:val="00787F86"/>
    <w:rsid w:val="007900B1"/>
    <w:rsid w:val="00790349"/>
    <w:rsid w:val="00790A7B"/>
    <w:rsid w:val="007912BD"/>
    <w:rsid w:val="007916C8"/>
    <w:rsid w:val="007916DE"/>
    <w:rsid w:val="00792AD6"/>
    <w:rsid w:val="0079317E"/>
    <w:rsid w:val="007939FA"/>
    <w:rsid w:val="00793ED4"/>
    <w:rsid w:val="00794888"/>
    <w:rsid w:val="00794A7D"/>
    <w:rsid w:val="00794BAC"/>
    <w:rsid w:val="00795240"/>
    <w:rsid w:val="007952D8"/>
    <w:rsid w:val="007955DE"/>
    <w:rsid w:val="007964B6"/>
    <w:rsid w:val="00796AB9"/>
    <w:rsid w:val="00796F84"/>
    <w:rsid w:val="00797920"/>
    <w:rsid w:val="007A0359"/>
    <w:rsid w:val="007A038A"/>
    <w:rsid w:val="007A09DE"/>
    <w:rsid w:val="007A1C4B"/>
    <w:rsid w:val="007A217C"/>
    <w:rsid w:val="007A264B"/>
    <w:rsid w:val="007A3634"/>
    <w:rsid w:val="007A50D7"/>
    <w:rsid w:val="007A524A"/>
    <w:rsid w:val="007A52B5"/>
    <w:rsid w:val="007A5C88"/>
    <w:rsid w:val="007A693A"/>
    <w:rsid w:val="007B071B"/>
    <w:rsid w:val="007B0D7A"/>
    <w:rsid w:val="007B2007"/>
    <w:rsid w:val="007B3174"/>
    <w:rsid w:val="007B413A"/>
    <w:rsid w:val="007B43E3"/>
    <w:rsid w:val="007B46B9"/>
    <w:rsid w:val="007B515B"/>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542"/>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2C74"/>
    <w:rsid w:val="008233AF"/>
    <w:rsid w:val="0082398C"/>
    <w:rsid w:val="00823BFE"/>
    <w:rsid w:val="00825E6E"/>
    <w:rsid w:val="00826186"/>
    <w:rsid w:val="008272EF"/>
    <w:rsid w:val="00827622"/>
    <w:rsid w:val="0083228E"/>
    <w:rsid w:val="008329CF"/>
    <w:rsid w:val="00832B64"/>
    <w:rsid w:val="00833992"/>
    <w:rsid w:val="00833AC1"/>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76B77"/>
    <w:rsid w:val="0088027C"/>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97B5B"/>
    <w:rsid w:val="008A059F"/>
    <w:rsid w:val="008A0770"/>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D4C46"/>
    <w:rsid w:val="008E00EF"/>
    <w:rsid w:val="008E1898"/>
    <w:rsid w:val="008E3C4E"/>
    <w:rsid w:val="008E3C61"/>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C9"/>
    <w:rsid w:val="009013D9"/>
    <w:rsid w:val="00902AA1"/>
    <w:rsid w:val="00904971"/>
    <w:rsid w:val="009067E4"/>
    <w:rsid w:val="00906937"/>
    <w:rsid w:val="009075DC"/>
    <w:rsid w:val="00907CA5"/>
    <w:rsid w:val="00910504"/>
    <w:rsid w:val="00910AD2"/>
    <w:rsid w:val="00911969"/>
    <w:rsid w:val="00912345"/>
    <w:rsid w:val="00912ACA"/>
    <w:rsid w:val="00912EEC"/>
    <w:rsid w:val="009139C3"/>
    <w:rsid w:val="00913CE6"/>
    <w:rsid w:val="00913F9B"/>
    <w:rsid w:val="00914190"/>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26F1"/>
    <w:rsid w:val="00942E42"/>
    <w:rsid w:val="0094330C"/>
    <w:rsid w:val="009466F7"/>
    <w:rsid w:val="00947B74"/>
    <w:rsid w:val="00947F23"/>
    <w:rsid w:val="00951136"/>
    <w:rsid w:val="00951590"/>
    <w:rsid w:val="0095175D"/>
    <w:rsid w:val="00951F47"/>
    <w:rsid w:val="00952690"/>
    <w:rsid w:val="00956EA5"/>
    <w:rsid w:val="00957E5B"/>
    <w:rsid w:val="00960171"/>
    <w:rsid w:val="00960DCD"/>
    <w:rsid w:val="00961E5B"/>
    <w:rsid w:val="009624E9"/>
    <w:rsid w:val="0096292D"/>
    <w:rsid w:val="00962B5B"/>
    <w:rsid w:val="00963942"/>
    <w:rsid w:val="00963C5F"/>
    <w:rsid w:val="00963E83"/>
    <w:rsid w:val="00963F3E"/>
    <w:rsid w:val="009647FA"/>
    <w:rsid w:val="00965D31"/>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4F7D"/>
    <w:rsid w:val="009956F8"/>
    <w:rsid w:val="009A0AD1"/>
    <w:rsid w:val="009A2327"/>
    <w:rsid w:val="009A3260"/>
    <w:rsid w:val="009A38BE"/>
    <w:rsid w:val="009A49FD"/>
    <w:rsid w:val="009A7BEE"/>
    <w:rsid w:val="009B0C25"/>
    <w:rsid w:val="009B0DB9"/>
    <w:rsid w:val="009B0E8E"/>
    <w:rsid w:val="009B0EB3"/>
    <w:rsid w:val="009B10D6"/>
    <w:rsid w:val="009B2DD1"/>
    <w:rsid w:val="009B45EE"/>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1E"/>
    <w:rsid w:val="00A1317E"/>
    <w:rsid w:val="00A1339F"/>
    <w:rsid w:val="00A13807"/>
    <w:rsid w:val="00A1390B"/>
    <w:rsid w:val="00A13A19"/>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244"/>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13C0"/>
    <w:rsid w:val="00A75BCB"/>
    <w:rsid w:val="00A766C4"/>
    <w:rsid w:val="00A76AF5"/>
    <w:rsid w:val="00A76BF9"/>
    <w:rsid w:val="00A76E2F"/>
    <w:rsid w:val="00A77667"/>
    <w:rsid w:val="00A8078F"/>
    <w:rsid w:val="00A81093"/>
    <w:rsid w:val="00A8135A"/>
    <w:rsid w:val="00A81A9C"/>
    <w:rsid w:val="00A83E17"/>
    <w:rsid w:val="00A84915"/>
    <w:rsid w:val="00A855A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0FD8"/>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654"/>
    <w:rsid w:val="00B00C32"/>
    <w:rsid w:val="00B01958"/>
    <w:rsid w:val="00B027A9"/>
    <w:rsid w:val="00B04716"/>
    <w:rsid w:val="00B04D94"/>
    <w:rsid w:val="00B0701E"/>
    <w:rsid w:val="00B07E93"/>
    <w:rsid w:val="00B10D55"/>
    <w:rsid w:val="00B11A09"/>
    <w:rsid w:val="00B11AD6"/>
    <w:rsid w:val="00B14675"/>
    <w:rsid w:val="00B15EDE"/>
    <w:rsid w:val="00B16DBD"/>
    <w:rsid w:val="00B205FF"/>
    <w:rsid w:val="00B2223B"/>
    <w:rsid w:val="00B22DF8"/>
    <w:rsid w:val="00B2355C"/>
    <w:rsid w:val="00B23A48"/>
    <w:rsid w:val="00B25CB4"/>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6995"/>
    <w:rsid w:val="00B87F43"/>
    <w:rsid w:val="00B919F8"/>
    <w:rsid w:val="00B93AF6"/>
    <w:rsid w:val="00B95891"/>
    <w:rsid w:val="00B96846"/>
    <w:rsid w:val="00B977F9"/>
    <w:rsid w:val="00B97BA8"/>
    <w:rsid w:val="00BA0677"/>
    <w:rsid w:val="00BA099E"/>
    <w:rsid w:val="00BA120F"/>
    <w:rsid w:val="00BA13B8"/>
    <w:rsid w:val="00BA17EA"/>
    <w:rsid w:val="00BA18DA"/>
    <w:rsid w:val="00BA1955"/>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1F15"/>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63"/>
    <w:rsid w:val="00BD3C91"/>
    <w:rsid w:val="00BD4170"/>
    <w:rsid w:val="00BD44DA"/>
    <w:rsid w:val="00BD5053"/>
    <w:rsid w:val="00BD50E5"/>
    <w:rsid w:val="00BD5285"/>
    <w:rsid w:val="00BD5D14"/>
    <w:rsid w:val="00BD5DC0"/>
    <w:rsid w:val="00BD6611"/>
    <w:rsid w:val="00BD6A19"/>
    <w:rsid w:val="00BD6B3D"/>
    <w:rsid w:val="00BD6B7E"/>
    <w:rsid w:val="00BE036F"/>
    <w:rsid w:val="00BE0B31"/>
    <w:rsid w:val="00BE0D4C"/>
    <w:rsid w:val="00BE0D5C"/>
    <w:rsid w:val="00BE165C"/>
    <w:rsid w:val="00BE1D8C"/>
    <w:rsid w:val="00BE20A5"/>
    <w:rsid w:val="00BE2A55"/>
    <w:rsid w:val="00BE2C97"/>
    <w:rsid w:val="00BE3AC1"/>
    <w:rsid w:val="00BE4420"/>
    <w:rsid w:val="00BE4ADC"/>
    <w:rsid w:val="00BE540B"/>
    <w:rsid w:val="00BE5962"/>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508"/>
    <w:rsid w:val="00C06A76"/>
    <w:rsid w:val="00C0752B"/>
    <w:rsid w:val="00C10B0E"/>
    <w:rsid w:val="00C10DC6"/>
    <w:rsid w:val="00C10FFE"/>
    <w:rsid w:val="00C11FC3"/>
    <w:rsid w:val="00C12228"/>
    <w:rsid w:val="00C1240D"/>
    <w:rsid w:val="00C12ADD"/>
    <w:rsid w:val="00C12C7D"/>
    <w:rsid w:val="00C135F3"/>
    <w:rsid w:val="00C14D1F"/>
    <w:rsid w:val="00C16B04"/>
    <w:rsid w:val="00C20A1F"/>
    <w:rsid w:val="00C20D21"/>
    <w:rsid w:val="00C20DD3"/>
    <w:rsid w:val="00C21B5C"/>
    <w:rsid w:val="00C22377"/>
    <w:rsid w:val="00C22D7C"/>
    <w:rsid w:val="00C23367"/>
    <w:rsid w:val="00C23F7A"/>
    <w:rsid w:val="00C27038"/>
    <w:rsid w:val="00C273FB"/>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0F4E"/>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6BE"/>
    <w:rsid w:val="00C67E9C"/>
    <w:rsid w:val="00C67F76"/>
    <w:rsid w:val="00C707EF"/>
    <w:rsid w:val="00C70AD4"/>
    <w:rsid w:val="00C71101"/>
    <w:rsid w:val="00C72096"/>
    <w:rsid w:val="00C72FF0"/>
    <w:rsid w:val="00C7326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5DB3"/>
    <w:rsid w:val="00CA6B1B"/>
    <w:rsid w:val="00CA6F2E"/>
    <w:rsid w:val="00CA7053"/>
    <w:rsid w:val="00CA7F28"/>
    <w:rsid w:val="00CB089E"/>
    <w:rsid w:val="00CB0A6C"/>
    <w:rsid w:val="00CB0BD7"/>
    <w:rsid w:val="00CB17BE"/>
    <w:rsid w:val="00CB2CDA"/>
    <w:rsid w:val="00CB2FDA"/>
    <w:rsid w:val="00CB3A67"/>
    <w:rsid w:val="00CB410C"/>
    <w:rsid w:val="00CB485B"/>
    <w:rsid w:val="00CB4A11"/>
    <w:rsid w:val="00CB5EA7"/>
    <w:rsid w:val="00CB6B51"/>
    <w:rsid w:val="00CB723F"/>
    <w:rsid w:val="00CB7A7C"/>
    <w:rsid w:val="00CB7D2A"/>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0935"/>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389"/>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6E0"/>
    <w:rsid w:val="00D63BF5"/>
    <w:rsid w:val="00D6474D"/>
    <w:rsid w:val="00D64DC2"/>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F66"/>
    <w:rsid w:val="00D847C4"/>
    <w:rsid w:val="00D84CCB"/>
    <w:rsid w:val="00D85127"/>
    <w:rsid w:val="00D8544C"/>
    <w:rsid w:val="00D863C2"/>
    <w:rsid w:val="00D87089"/>
    <w:rsid w:val="00D90EA9"/>
    <w:rsid w:val="00D90FF4"/>
    <w:rsid w:val="00D9161F"/>
    <w:rsid w:val="00D921F3"/>
    <w:rsid w:val="00D92830"/>
    <w:rsid w:val="00D9293B"/>
    <w:rsid w:val="00D94101"/>
    <w:rsid w:val="00D94BBE"/>
    <w:rsid w:val="00D95151"/>
    <w:rsid w:val="00D952E4"/>
    <w:rsid w:val="00D95696"/>
    <w:rsid w:val="00D971A4"/>
    <w:rsid w:val="00D978F7"/>
    <w:rsid w:val="00DA0153"/>
    <w:rsid w:val="00DA1696"/>
    <w:rsid w:val="00DA2DAB"/>
    <w:rsid w:val="00DA3D66"/>
    <w:rsid w:val="00DB0A6C"/>
    <w:rsid w:val="00DB0ABA"/>
    <w:rsid w:val="00DB0E0E"/>
    <w:rsid w:val="00DB2869"/>
    <w:rsid w:val="00DB2986"/>
    <w:rsid w:val="00DB2A7A"/>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6216"/>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2ABB"/>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37C9F"/>
    <w:rsid w:val="00E41290"/>
    <w:rsid w:val="00E416EB"/>
    <w:rsid w:val="00E416EE"/>
    <w:rsid w:val="00E4190F"/>
    <w:rsid w:val="00E4193E"/>
    <w:rsid w:val="00E42118"/>
    <w:rsid w:val="00E4294C"/>
    <w:rsid w:val="00E43439"/>
    <w:rsid w:val="00E437BD"/>
    <w:rsid w:val="00E44025"/>
    <w:rsid w:val="00E4462B"/>
    <w:rsid w:val="00E458CC"/>
    <w:rsid w:val="00E46107"/>
    <w:rsid w:val="00E467FB"/>
    <w:rsid w:val="00E5032D"/>
    <w:rsid w:val="00E514B5"/>
    <w:rsid w:val="00E51B87"/>
    <w:rsid w:val="00E5233D"/>
    <w:rsid w:val="00E52CCB"/>
    <w:rsid w:val="00E52F2C"/>
    <w:rsid w:val="00E52F45"/>
    <w:rsid w:val="00E53A95"/>
    <w:rsid w:val="00E53AC8"/>
    <w:rsid w:val="00E54077"/>
    <w:rsid w:val="00E54542"/>
    <w:rsid w:val="00E54A6E"/>
    <w:rsid w:val="00E55AD4"/>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841"/>
    <w:rsid w:val="00E71B6A"/>
    <w:rsid w:val="00E72890"/>
    <w:rsid w:val="00E73957"/>
    <w:rsid w:val="00E73AC1"/>
    <w:rsid w:val="00E74AA6"/>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6C0"/>
    <w:rsid w:val="00EB4A70"/>
    <w:rsid w:val="00EB4F3B"/>
    <w:rsid w:val="00EB62F4"/>
    <w:rsid w:val="00EB7873"/>
    <w:rsid w:val="00EB7C5E"/>
    <w:rsid w:val="00EC0779"/>
    <w:rsid w:val="00EC0797"/>
    <w:rsid w:val="00EC08C6"/>
    <w:rsid w:val="00EC0D89"/>
    <w:rsid w:val="00EC0F4B"/>
    <w:rsid w:val="00EC1761"/>
    <w:rsid w:val="00EC42A0"/>
    <w:rsid w:val="00EC4855"/>
    <w:rsid w:val="00EC48AB"/>
    <w:rsid w:val="00EC4FD6"/>
    <w:rsid w:val="00EC5350"/>
    <w:rsid w:val="00EC541D"/>
    <w:rsid w:val="00EC5596"/>
    <w:rsid w:val="00EC5B85"/>
    <w:rsid w:val="00EC5E69"/>
    <w:rsid w:val="00EC61B9"/>
    <w:rsid w:val="00ED274B"/>
    <w:rsid w:val="00ED3116"/>
    <w:rsid w:val="00ED3D8A"/>
    <w:rsid w:val="00ED423F"/>
    <w:rsid w:val="00ED5C89"/>
    <w:rsid w:val="00ED6024"/>
    <w:rsid w:val="00ED63B1"/>
    <w:rsid w:val="00ED687B"/>
    <w:rsid w:val="00ED6A6E"/>
    <w:rsid w:val="00ED6EB9"/>
    <w:rsid w:val="00ED7355"/>
    <w:rsid w:val="00ED7B6D"/>
    <w:rsid w:val="00EE0122"/>
    <w:rsid w:val="00EE0234"/>
    <w:rsid w:val="00EE0B22"/>
    <w:rsid w:val="00EE12F6"/>
    <w:rsid w:val="00EE1640"/>
    <w:rsid w:val="00EE1AC4"/>
    <w:rsid w:val="00EE20D1"/>
    <w:rsid w:val="00EE21E9"/>
    <w:rsid w:val="00EE2746"/>
    <w:rsid w:val="00EE2CA9"/>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1F94"/>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5E6A"/>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6C4"/>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77051"/>
    <w:rsid w:val="00F80814"/>
    <w:rsid w:val="00F83FCD"/>
    <w:rsid w:val="00F8418D"/>
    <w:rsid w:val="00F85D5F"/>
    <w:rsid w:val="00F86242"/>
    <w:rsid w:val="00F86AA2"/>
    <w:rsid w:val="00F86DC5"/>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B26"/>
    <w:rsid w:val="00F96CB9"/>
    <w:rsid w:val="00FA093D"/>
    <w:rsid w:val="00FA1DCB"/>
    <w:rsid w:val="00FA1FA0"/>
    <w:rsid w:val="00FA29D5"/>
    <w:rsid w:val="00FA31B2"/>
    <w:rsid w:val="00FA3672"/>
    <w:rsid w:val="00FA6A03"/>
    <w:rsid w:val="00FA70BD"/>
    <w:rsid w:val="00FB0784"/>
    <w:rsid w:val="00FB0BAC"/>
    <w:rsid w:val="00FB1380"/>
    <w:rsid w:val="00FB1671"/>
    <w:rsid w:val="00FB1952"/>
    <w:rsid w:val="00FB1B15"/>
    <w:rsid w:val="00FB1F00"/>
    <w:rsid w:val="00FB203C"/>
    <w:rsid w:val="00FB25A6"/>
    <w:rsid w:val="00FB2F5D"/>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A2E"/>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F6833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paragraph" w:customStyle="1" w:styleId="testimony">
    <w:name w:val="testimony"/>
    <w:basedOn w:val="Normal"/>
    <w:rsid w:val="00D23389"/>
    <w:pPr>
      <w:tabs>
        <w:tab w:val="left" w:pos="720"/>
        <w:tab w:val="left" w:pos="2160"/>
      </w:tabs>
      <w:spacing w:line="440" w:lineRule="atLeast"/>
      <w:ind w:hanging="360"/>
    </w:pPr>
    <w:rPr>
      <w:rFonts w:ascii="Times"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paragraph" w:customStyle="1" w:styleId="testimony">
    <w:name w:val="testimony"/>
    <w:basedOn w:val="Normal"/>
    <w:rsid w:val="00D23389"/>
    <w:pPr>
      <w:tabs>
        <w:tab w:val="left" w:pos="720"/>
        <w:tab w:val="left" w:pos="2160"/>
      </w:tabs>
      <w:spacing w:line="440" w:lineRule="atLeast"/>
      <w:ind w:hanging="360"/>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9143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BC9F66-2B62-4C67-B1BC-4860A7BBB911}"/>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0FF38668-D694-4225-8079-9973D997D843}"/>
</file>

<file path=customXml/itemProps4.xml><?xml version="1.0" encoding="utf-8"?>
<ds:datastoreItem xmlns:ds="http://schemas.openxmlformats.org/officeDocument/2006/customXml" ds:itemID="{85077B4C-6E2D-4AA9-BB4D-447118FE6FAF}"/>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66</Pages>
  <Words>13357</Words>
  <Characters>70204</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2014-12-19T21:07:00Z</dcterms:created>
  <dcterms:modified xsi:type="dcterms:W3CDTF">2014-12-19T21:08:00Z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GEAAO+/T9t20xwkbE73DRgrIP1uIXanyFsGKImPaiOdML/2rkZTN5vVzX+oiLEJKA5vLGnZmT22ZWg2M
kNkWYe7DJjCeUBkqRebVNUaL0iAY8nccYKuRRDwkXBlu97c455dzAiSrpXUyEXmAi2e+e4mVCF+s
sJaK+xm0z3vj8mLQFhXCPJnWZ5EwHBWQg/53BLiZwW6Zkq+jGOagdNwSCiVa9kypDSCRUk2XvvWg
DyrnfOpTUaxoXPmff</vt:lpwstr>
  </property>
  <property fmtid="{D5CDD505-2E9C-101B-9397-08002B2CF9AE}" pid="3" name="MAIL_MSG_ID2">
    <vt:lpwstr>X4bYFFFCAxs</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