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6C361C" w:rsidRDefault="00FC59C9" w:rsidP="00FC59C9">
      <w:pPr>
        <w:jc w:val="center"/>
        <w:rPr>
          <w:rFonts w:ascii="Arial" w:hAnsi="Arial" w:cs="Arial"/>
          <w:b/>
          <w:sz w:val="24"/>
          <w:szCs w:val="24"/>
        </w:rPr>
      </w:pPr>
      <w:bookmarkStart w:id="0" w:name="_GoBack"/>
      <w:bookmarkEnd w:id="0"/>
      <w:r w:rsidRPr="006C361C">
        <w:rPr>
          <w:rFonts w:ascii="Arial" w:hAnsi="Arial" w:cs="Arial"/>
          <w:b/>
          <w:sz w:val="24"/>
          <w:szCs w:val="24"/>
        </w:rPr>
        <w:t>Interconnection Rulemaking</w:t>
      </w:r>
    </w:p>
    <w:p w:rsidR="00FC59C9" w:rsidRPr="006C361C" w:rsidRDefault="00FC59C9" w:rsidP="00FC59C9">
      <w:pPr>
        <w:jc w:val="center"/>
        <w:rPr>
          <w:rFonts w:ascii="Arial" w:hAnsi="Arial" w:cs="Arial"/>
          <w:b/>
          <w:sz w:val="24"/>
          <w:szCs w:val="24"/>
        </w:rPr>
      </w:pPr>
      <w:r w:rsidRPr="006C361C">
        <w:rPr>
          <w:rFonts w:ascii="Arial" w:hAnsi="Arial" w:cs="Arial"/>
          <w:b/>
          <w:sz w:val="24"/>
          <w:szCs w:val="24"/>
        </w:rPr>
        <w:t>Docket UE-112133</w:t>
      </w:r>
    </w:p>
    <w:p w:rsidR="00FC59C9" w:rsidRPr="006C361C" w:rsidRDefault="00FC59C9" w:rsidP="00FC59C9">
      <w:pPr>
        <w:jc w:val="center"/>
        <w:rPr>
          <w:rFonts w:ascii="Arial" w:hAnsi="Arial" w:cs="Arial"/>
          <w:b/>
          <w:sz w:val="24"/>
          <w:szCs w:val="24"/>
        </w:rPr>
      </w:pPr>
      <w:r w:rsidRPr="006C361C">
        <w:rPr>
          <w:rFonts w:ascii="Arial" w:hAnsi="Arial" w:cs="Arial"/>
          <w:b/>
          <w:sz w:val="24"/>
          <w:szCs w:val="24"/>
        </w:rPr>
        <w:t>Comment Summary</w:t>
      </w:r>
      <w:r w:rsidR="00F63139">
        <w:rPr>
          <w:rFonts w:ascii="Arial" w:hAnsi="Arial" w:cs="Arial"/>
          <w:b/>
          <w:sz w:val="24"/>
          <w:szCs w:val="24"/>
        </w:rPr>
        <w:t xml:space="preserve"> for Comments of Sept. 7</w:t>
      </w:r>
      <w:r w:rsidR="00F63139" w:rsidRPr="00F63139">
        <w:rPr>
          <w:rFonts w:ascii="Arial" w:hAnsi="Arial" w:cs="Arial"/>
          <w:b/>
          <w:sz w:val="24"/>
          <w:szCs w:val="24"/>
          <w:vertAlign w:val="superscript"/>
        </w:rPr>
        <w:t>th</w:t>
      </w:r>
      <w:r w:rsidR="00F63139">
        <w:rPr>
          <w:rFonts w:ascii="Arial" w:hAnsi="Arial" w:cs="Arial"/>
          <w:b/>
          <w:sz w:val="24"/>
          <w:szCs w:val="24"/>
        </w:rPr>
        <w:t xml:space="preserve"> 2012</w:t>
      </w:r>
    </w:p>
    <w:p w:rsidR="00FC59C9" w:rsidRPr="00FC59C9" w:rsidRDefault="00FC59C9" w:rsidP="00AD3312">
      <w:pPr>
        <w:rPr>
          <w:rFonts w:ascii="Arial" w:hAnsi="Arial" w:cs="Arial"/>
          <w:sz w:val="24"/>
          <w:szCs w:val="24"/>
        </w:rPr>
      </w:pPr>
    </w:p>
    <w:tbl>
      <w:tblPr>
        <w:tblStyle w:val="TableGrid"/>
        <w:tblW w:w="13680" w:type="dxa"/>
        <w:tblInd w:w="-162" w:type="dxa"/>
        <w:tblLook w:val="04A0" w:firstRow="1" w:lastRow="0" w:firstColumn="1" w:lastColumn="0" w:noHBand="0" w:noVBand="1"/>
      </w:tblPr>
      <w:tblGrid>
        <w:gridCol w:w="1800"/>
        <w:gridCol w:w="2430"/>
        <w:gridCol w:w="9450"/>
      </w:tblGrid>
      <w:tr w:rsidR="001D78D7" w:rsidRPr="00FC59C9" w:rsidTr="001D78D7">
        <w:trPr>
          <w:tblHeader/>
        </w:trPr>
        <w:tc>
          <w:tcPr>
            <w:tcW w:w="1800" w:type="dxa"/>
            <w:shd w:val="clear" w:color="auto" w:fill="D9D9D9" w:themeFill="background1" w:themeFillShade="D9"/>
          </w:tcPr>
          <w:p w:rsidR="001D78D7" w:rsidRDefault="001D78D7" w:rsidP="00AD3312">
            <w:pPr>
              <w:rPr>
                <w:rFonts w:ascii="Arial" w:hAnsi="Arial" w:cs="Arial"/>
                <w:b/>
                <w:sz w:val="24"/>
                <w:szCs w:val="24"/>
              </w:rPr>
            </w:pPr>
            <w:r>
              <w:rPr>
                <w:rFonts w:ascii="Arial" w:hAnsi="Arial" w:cs="Arial"/>
                <w:b/>
                <w:sz w:val="24"/>
                <w:szCs w:val="24"/>
              </w:rPr>
              <w:t xml:space="preserve">Topic / </w:t>
            </w:r>
          </w:p>
          <w:p w:rsidR="001D78D7" w:rsidRPr="00FC59C9" w:rsidRDefault="001D78D7" w:rsidP="00AD3312">
            <w:pPr>
              <w:rPr>
                <w:rFonts w:ascii="Arial" w:hAnsi="Arial" w:cs="Arial"/>
                <w:b/>
                <w:sz w:val="24"/>
                <w:szCs w:val="24"/>
              </w:rPr>
            </w:pPr>
            <w:r>
              <w:rPr>
                <w:rFonts w:ascii="Arial" w:hAnsi="Arial" w:cs="Arial"/>
                <w:b/>
                <w:sz w:val="24"/>
                <w:szCs w:val="24"/>
              </w:rPr>
              <w:t>WAC Section</w:t>
            </w:r>
          </w:p>
        </w:tc>
        <w:tc>
          <w:tcPr>
            <w:tcW w:w="2430" w:type="dxa"/>
            <w:shd w:val="clear" w:color="auto" w:fill="D9D9D9" w:themeFill="background1" w:themeFillShade="D9"/>
          </w:tcPr>
          <w:p w:rsidR="001D78D7" w:rsidRPr="00FC59C9" w:rsidRDefault="001D78D7" w:rsidP="00AD3312">
            <w:pPr>
              <w:rPr>
                <w:rFonts w:ascii="Arial" w:hAnsi="Arial" w:cs="Arial"/>
                <w:b/>
                <w:sz w:val="24"/>
                <w:szCs w:val="24"/>
              </w:rPr>
            </w:pPr>
            <w:r w:rsidRPr="00FC59C9">
              <w:rPr>
                <w:rFonts w:ascii="Arial" w:hAnsi="Arial" w:cs="Arial"/>
                <w:b/>
                <w:sz w:val="24"/>
                <w:szCs w:val="24"/>
              </w:rPr>
              <w:t xml:space="preserve">Commenter </w:t>
            </w:r>
          </w:p>
        </w:tc>
        <w:tc>
          <w:tcPr>
            <w:tcW w:w="9450" w:type="dxa"/>
            <w:shd w:val="clear" w:color="auto" w:fill="D9D9D9" w:themeFill="background1" w:themeFillShade="D9"/>
          </w:tcPr>
          <w:p w:rsidR="001D78D7" w:rsidRPr="00FC59C9" w:rsidRDefault="001D78D7" w:rsidP="00AD3312">
            <w:pPr>
              <w:rPr>
                <w:rFonts w:ascii="Arial" w:hAnsi="Arial" w:cs="Arial"/>
                <w:b/>
                <w:sz w:val="24"/>
                <w:szCs w:val="24"/>
              </w:rPr>
            </w:pPr>
            <w:r w:rsidRPr="00FC59C9">
              <w:rPr>
                <w:rFonts w:ascii="Arial" w:hAnsi="Arial" w:cs="Arial"/>
                <w:b/>
                <w:sz w:val="24"/>
                <w:szCs w:val="24"/>
              </w:rPr>
              <w:t xml:space="preserve">Discussion </w:t>
            </w:r>
          </w:p>
        </w:tc>
      </w:tr>
      <w:tr w:rsidR="001D78D7" w:rsidRPr="00FC59C9" w:rsidTr="001D78D7">
        <w:tc>
          <w:tcPr>
            <w:tcW w:w="13680" w:type="dxa"/>
            <w:gridSpan w:val="3"/>
          </w:tcPr>
          <w:p w:rsidR="001D78D7" w:rsidRPr="008609E1" w:rsidRDefault="001D78D7" w:rsidP="001D78D7">
            <w:pPr>
              <w:spacing w:before="120" w:after="120"/>
              <w:rPr>
                <w:rFonts w:ascii="Arial" w:hAnsi="Arial" w:cs="Arial"/>
                <w:b/>
                <w:sz w:val="24"/>
                <w:szCs w:val="24"/>
              </w:rPr>
            </w:pPr>
            <w:r w:rsidRPr="008609E1">
              <w:rPr>
                <w:rFonts w:ascii="Arial" w:hAnsi="Arial" w:cs="Arial"/>
                <w:b/>
                <w:sz w:val="24"/>
                <w:szCs w:val="24"/>
              </w:rPr>
              <w:t>General</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F63139" w:rsidP="00AD3312">
            <w:pPr>
              <w:rPr>
                <w:rFonts w:ascii="Arial" w:hAnsi="Arial" w:cs="Arial"/>
                <w:sz w:val="24"/>
                <w:szCs w:val="24"/>
              </w:rPr>
            </w:pPr>
            <w:r>
              <w:rPr>
                <w:rFonts w:ascii="Arial" w:hAnsi="Arial" w:cs="Arial"/>
                <w:sz w:val="24"/>
                <w:szCs w:val="24"/>
              </w:rPr>
              <w:t>Dept. of Commerce, (ESSP)</w:t>
            </w:r>
          </w:p>
        </w:tc>
        <w:tc>
          <w:tcPr>
            <w:tcW w:w="9450" w:type="dxa"/>
          </w:tcPr>
          <w:p w:rsidR="00371B1C" w:rsidRPr="00371B1C" w:rsidRDefault="00371B1C" w:rsidP="00371B1C">
            <w:pPr>
              <w:pStyle w:val="ListParagraph"/>
              <w:numPr>
                <w:ilvl w:val="0"/>
                <w:numId w:val="5"/>
              </w:numPr>
              <w:rPr>
                <w:rFonts w:ascii="Arial" w:hAnsi="Arial" w:cs="Arial"/>
                <w:sz w:val="24"/>
                <w:szCs w:val="24"/>
              </w:rPr>
            </w:pPr>
            <w:r w:rsidRPr="00371B1C">
              <w:rPr>
                <w:rFonts w:ascii="Arial" w:hAnsi="Arial" w:cs="Arial"/>
                <w:sz w:val="24"/>
                <w:szCs w:val="24"/>
              </w:rPr>
              <w:t>Agrees with model rules on allowing utility discretion on new technology in lieu of EDS</w:t>
            </w:r>
          </w:p>
          <w:p w:rsidR="00371B1C" w:rsidRPr="00371B1C" w:rsidRDefault="00371B1C" w:rsidP="00371B1C">
            <w:pPr>
              <w:pStyle w:val="ListParagraph"/>
              <w:numPr>
                <w:ilvl w:val="0"/>
                <w:numId w:val="5"/>
              </w:numPr>
              <w:rPr>
                <w:rFonts w:ascii="Arial" w:hAnsi="Arial" w:cs="Arial"/>
                <w:sz w:val="24"/>
                <w:szCs w:val="24"/>
              </w:rPr>
            </w:pPr>
            <w:r w:rsidRPr="00371B1C">
              <w:rPr>
                <w:rFonts w:ascii="Arial" w:hAnsi="Arial" w:cs="Arial"/>
                <w:sz w:val="24"/>
                <w:szCs w:val="24"/>
              </w:rPr>
              <w:t>Agrees with 3 Tier system with different technical screens for all three.</w:t>
            </w:r>
          </w:p>
          <w:p w:rsidR="00371B1C" w:rsidRDefault="00371B1C" w:rsidP="00371B1C">
            <w:pPr>
              <w:pStyle w:val="ListParagraph"/>
              <w:numPr>
                <w:ilvl w:val="0"/>
                <w:numId w:val="5"/>
              </w:numPr>
              <w:rPr>
                <w:rFonts w:ascii="Arial" w:hAnsi="Arial" w:cs="Arial"/>
                <w:sz w:val="24"/>
                <w:szCs w:val="24"/>
              </w:rPr>
            </w:pPr>
            <w:r w:rsidRPr="00371B1C">
              <w:rPr>
                <w:rFonts w:ascii="Arial" w:hAnsi="Arial" w:cs="Arial"/>
                <w:sz w:val="24"/>
                <w:szCs w:val="24"/>
              </w:rPr>
              <w:t>Wants utility discretion on EDS</w:t>
            </w:r>
            <w:r>
              <w:rPr>
                <w:rFonts w:ascii="Arial" w:hAnsi="Arial" w:cs="Arial"/>
                <w:sz w:val="24"/>
                <w:szCs w:val="24"/>
              </w:rPr>
              <w:t xml:space="preserve"> to extend from 5kW to 10kW</w:t>
            </w:r>
          </w:p>
          <w:p w:rsidR="001D78D7" w:rsidRPr="00371B1C" w:rsidRDefault="00371B1C" w:rsidP="00371B1C">
            <w:pPr>
              <w:pStyle w:val="ListParagraph"/>
              <w:numPr>
                <w:ilvl w:val="0"/>
                <w:numId w:val="5"/>
              </w:numPr>
              <w:rPr>
                <w:rFonts w:ascii="Arial" w:hAnsi="Arial" w:cs="Arial"/>
                <w:sz w:val="24"/>
                <w:szCs w:val="24"/>
              </w:rPr>
            </w:pPr>
            <w:r>
              <w:rPr>
                <w:rFonts w:ascii="Arial" w:hAnsi="Arial" w:cs="Arial"/>
                <w:sz w:val="24"/>
                <w:szCs w:val="24"/>
              </w:rPr>
              <w:t>Wants new EZ (fast track)</w:t>
            </w:r>
            <w:r w:rsidR="00DE1F76">
              <w:rPr>
                <w:rFonts w:ascii="Arial" w:hAnsi="Arial" w:cs="Arial"/>
                <w:sz w:val="24"/>
                <w:szCs w:val="24"/>
              </w:rPr>
              <w:t xml:space="preserve"> for solar inverter-based facilities up to, at least 10kW, would like up to 25kW.</w:t>
            </w:r>
            <w:r w:rsidR="001D78D7" w:rsidRPr="00371B1C">
              <w:rPr>
                <w:rFonts w:ascii="Arial" w:hAnsi="Arial" w:cs="Arial"/>
                <w:sz w:val="24"/>
                <w:szCs w:val="24"/>
              </w:rPr>
              <w:t xml:space="preserve"> </w:t>
            </w:r>
          </w:p>
          <w:p w:rsidR="00844976" w:rsidRPr="00FC59C9" w:rsidRDefault="00844976">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F63139" w:rsidP="00AD3312">
            <w:pPr>
              <w:rPr>
                <w:rFonts w:ascii="Arial" w:hAnsi="Arial" w:cs="Arial"/>
                <w:sz w:val="24"/>
                <w:szCs w:val="24"/>
              </w:rPr>
            </w:pPr>
            <w:r>
              <w:rPr>
                <w:rFonts w:ascii="Arial" w:hAnsi="Arial" w:cs="Arial"/>
                <w:sz w:val="24"/>
                <w:szCs w:val="24"/>
              </w:rPr>
              <w:t>Solar City (SC)</w:t>
            </w:r>
          </w:p>
        </w:tc>
        <w:tc>
          <w:tcPr>
            <w:tcW w:w="9450" w:type="dxa"/>
          </w:tcPr>
          <w:p w:rsidR="001D78D7" w:rsidRDefault="00DE1F76" w:rsidP="00DE1F76">
            <w:pPr>
              <w:pStyle w:val="ListParagraph"/>
              <w:numPr>
                <w:ilvl w:val="0"/>
                <w:numId w:val="6"/>
              </w:numPr>
              <w:rPr>
                <w:rFonts w:ascii="Arial" w:hAnsi="Arial" w:cs="Arial"/>
                <w:sz w:val="24"/>
                <w:szCs w:val="24"/>
              </w:rPr>
            </w:pPr>
            <w:r>
              <w:rPr>
                <w:rFonts w:ascii="Arial" w:hAnsi="Arial" w:cs="Arial"/>
                <w:sz w:val="24"/>
                <w:szCs w:val="24"/>
              </w:rPr>
              <w:t>Wants a single item change, to include third party owners into the definition of “Customer Generator”.</w:t>
            </w:r>
          </w:p>
          <w:p w:rsidR="00DE1F76" w:rsidRDefault="00DE1F76" w:rsidP="00DE1F76">
            <w:pPr>
              <w:pStyle w:val="ListParagraph"/>
              <w:numPr>
                <w:ilvl w:val="0"/>
                <w:numId w:val="6"/>
              </w:numPr>
              <w:rPr>
                <w:rFonts w:ascii="Arial" w:hAnsi="Arial" w:cs="Arial"/>
                <w:sz w:val="24"/>
                <w:szCs w:val="24"/>
              </w:rPr>
            </w:pPr>
            <w:r>
              <w:rPr>
                <w:rFonts w:ascii="Arial" w:hAnsi="Arial" w:cs="Arial"/>
                <w:sz w:val="24"/>
                <w:szCs w:val="24"/>
              </w:rPr>
              <w:t>Th</w:t>
            </w:r>
            <w:r w:rsidR="00151BF2">
              <w:rPr>
                <w:rFonts w:ascii="Arial" w:hAnsi="Arial" w:cs="Arial"/>
                <w:sz w:val="24"/>
                <w:szCs w:val="24"/>
              </w:rPr>
              <w:t xml:space="preserve">ird party owners are investors </w:t>
            </w:r>
            <w:r>
              <w:rPr>
                <w:rFonts w:ascii="Arial" w:hAnsi="Arial" w:cs="Arial"/>
                <w:sz w:val="24"/>
                <w:szCs w:val="24"/>
              </w:rPr>
              <w:t xml:space="preserve">leasing or </w:t>
            </w:r>
            <w:r w:rsidR="002662C8">
              <w:rPr>
                <w:rFonts w:ascii="Arial" w:hAnsi="Arial" w:cs="Arial"/>
                <w:sz w:val="24"/>
                <w:szCs w:val="24"/>
              </w:rPr>
              <w:t>renting (</w:t>
            </w:r>
            <w:r>
              <w:rPr>
                <w:rFonts w:ascii="Arial" w:hAnsi="Arial" w:cs="Arial"/>
                <w:sz w:val="24"/>
                <w:szCs w:val="24"/>
              </w:rPr>
              <w:t>via power purchase) generating facilities to homeowners.</w:t>
            </w:r>
          </w:p>
          <w:p w:rsidR="00DE1F76" w:rsidRPr="00DE1F76" w:rsidRDefault="00DE1F76" w:rsidP="00DE1F76">
            <w:pPr>
              <w:pStyle w:val="ListParagraph"/>
              <w:numPr>
                <w:ilvl w:val="0"/>
                <w:numId w:val="6"/>
              </w:numPr>
              <w:rPr>
                <w:rFonts w:ascii="Arial" w:hAnsi="Arial" w:cs="Arial"/>
                <w:sz w:val="24"/>
                <w:szCs w:val="24"/>
              </w:rPr>
            </w:pPr>
            <w:r>
              <w:rPr>
                <w:rFonts w:ascii="Arial" w:hAnsi="Arial" w:cs="Arial"/>
                <w:sz w:val="24"/>
                <w:szCs w:val="24"/>
              </w:rPr>
              <w:t>Believes UTC has</w:t>
            </w:r>
            <w:r w:rsidR="00151BF2">
              <w:rPr>
                <w:rFonts w:ascii="Arial" w:hAnsi="Arial" w:cs="Arial"/>
                <w:sz w:val="24"/>
                <w:szCs w:val="24"/>
              </w:rPr>
              <w:t xml:space="preserve"> authority to make this inclusion without statutory changes.</w:t>
            </w:r>
          </w:p>
          <w:p w:rsidR="001D78D7" w:rsidRPr="00FC59C9"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F63139" w:rsidP="00AD3312">
            <w:pPr>
              <w:rPr>
                <w:rFonts w:ascii="Arial" w:hAnsi="Arial" w:cs="Arial"/>
                <w:sz w:val="24"/>
                <w:szCs w:val="24"/>
              </w:rPr>
            </w:pPr>
            <w:r>
              <w:rPr>
                <w:rFonts w:ascii="Arial" w:hAnsi="Arial" w:cs="Arial"/>
                <w:sz w:val="24"/>
                <w:szCs w:val="24"/>
              </w:rPr>
              <w:t>WPUDA Workgroup (WPUDA)</w:t>
            </w:r>
          </w:p>
        </w:tc>
        <w:tc>
          <w:tcPr>
            <w:tcW w:w="9450" w:type="dxa"/>
          </w:tcPr>
          <w:p w:rsidR="001D78D7" w:rsidRDefault="00151BF2" w:rsidP="00151BF2">
            <w:pPr>
              <w:pStyle w:val="ListParagraph"/>
              <w:numPr>
                <w:ilvl w:val="0"/>
                <w:numId w:val="7"/>
              </w:numPr>
              <w:rPr>
                <w:rFonts w:ascii="Arial" w:hAnsi="Arial" w:cs="Arial"/>
                <w:sz w:val="24"/>
                <w:szCs w:val="24"/>
              </w:rPr>
            </w:pPr>
            <w:r>
              <w:rPr>
                <w:rFonts w:ascii="Arial" w:hAnsi="Arial" w:cs="Arial"/>
                <w:sz w:val="24"/>
                <w:szCs w:val="24"/>
              </w:rPr>
              <w:t>Agrees with the model rules as presented</w:t>
            </w:r>
          </w:p>
          <w:p w:rsidR="00151BF2" w:rsidRDefault="00151BF2" w:rsidP="00151BF2">
            <w:pPr>
              <w:pStyle w:val="ListParagraph"/>
              <w:numPr>
                <w:ilvl w:val="0"/>
                <w:numId w:val="7"/>
              </w:numPr>
              <w:rPr>
                <w:rFonts w:ascii="Arial" w:hAnsi="Arial" w:cs="Arial"/>
                <w:sz w:val="24"/>
                <w:szCs w:val="24"/>
              </w:rPr>
            </w:pPr>
            <w:r>
              <w:rPr>
                <w:rFonts w:ascii="Arial" w:hAnsi="Arial" w:cs="Arial"/>
                <w:sz w:val="24"/>
                <w:szCs w:val="24"/>
              </w:rPr>
              <w:t>Answers’ the seven questions presented in the UTC’s Request for Comments</w:t>
            </w:r>
          </w:p>
          <w:p w:rsidR="00151BF2" w:rsidRPr="00151BF2" w:rsidRDefault="00151BF2" w:rsidP="00151BF2">
            <w:pPr>
              <w:pStyle w:val="ListParagraph"/>
              <w:numPr>
                <w:ilvl w:val="0"/>
                <w:numId w:val="7"/>
              </w:numPr>
              <w:rPr>
                <w:rFonts w:ascii="Arial" w:hAnsi="Arial" w:cs="Arial"/>
                <w:sz w:val="24"/>
                <w:szCs w:val="24"/>
              </w:rPr>
            </w:pPr>
            <w:r>
              <w:rPr>
                <w:rFonts w:ascii="Arial" w:hAnsi="Arial" w:cs="Arial"/>
                <w:sz w:val="24"/>
                <w:szCs w:val="24"/>
              </w:rPr>
              <w:t>See separate section on question responses</w:t>
            </w:r>
          </w:p>
          <w:p w:rsidR="001D78D7" w:rsidRDefault="001D78D7" w:rsidP="00DD488B">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F63139" w:rsidP="00116486">
            <w:pPr>
              <w:rPr>
                <w:rFonts w:ascii="Arial" w:hAnsi="Arial" w:cs="Arial"/>
                <w:sz w:val="24"/>
                <w:szCs w:val="24"/>
              </w:rPr>
            </w:pPr>
            <w:r>
              <w:rPr>
                <w:rFonts w:ascii="Arial" w:hAnsi="Arial" w:cs="Arial"/>
                <w:sz w:val="24"/>
                <w:szCs w:val="24"/>
              </w:rPr>
              <w:t>Avista</w:t>
            </w:r>
          </w:p>
        </w:tc>
        <w:tc>
          <w:tcPr>
            <w:tcW w:w="9450" w:type="dxa"/>
          </w:tcPr>
          <w:p w:rsidR="001D78D7" w:rsidRDefault="00151BF2" w:rsidP="00151BF2">
            <w:pPr>
              <w:pStyle w:val="ListParagraph"/>
              <w:numPr>
                <w:ilvl w:val="0"/>
                <w:numId w:val="8"/>
              </w:numPr>
              <w:rPr>
                <w:rFonts w:ascii="Arial" w:hAnsi="Arial" w:cs="Arial"/>
                <w:sz w:val="24"/>
                <w:szCs w:val="24"/>
              </w:rPr>
            </w:pPr>
            <w:r>
              <w:rPr>
                <w:rFonts w:ascii="Arial" w:hAnsi="Arial" w:cs="Arial"/>
                <w:sz w:val="24"/>
                <w:szCs w:val="24"/>
              </w:rPr>
              <w:t>Agrees with model rules as presented.</w:t>
            </w:r>
          </w:p>
          <w:p w:rsidR="00151BF2" w:rsidRDefault="00151BF2" w:rsidP="00151BF2">
            <w:pPr>
              <w:pStyle w:val="ListParagraph"/>
              <w:numPr>
                <w:ilvl w:val="0"/>
                <w:numId w:val="8"/>
              </w:numPr>
              <w:rPr>
                <w:rFonts w:ascii="Arial" w:hAnsi="Arial" w:cs="Arial"/>
                <w:sz w:val="24"/>
                <w:szCs w:val="24"/>
              </w:rPr>
            </w:pPr>
            <w:r>
              <w:rPr>
                <w:rFonts w:ascii="Arial" w:hAnsi="Arial" w:cs="Arial"/>
                <w:sz w:val="24"/>
                <w:szCs w:val="24"/>
              </w:rPr>
              <w:t>Answers the seven questions presented in the UTCs’ Request for Comments</w:t>
            </w:r>
          </w:p>
          <w:p w:rsidR="00151BF2" w:rsidRPr="00151BF2" w:rsidRDefault="00151BF2" w:rsidP="00151BF2">
            <w:pPr>
              <w:pStyle w:val="ListParagraph"/>
              <w:numPr>
                <w:ilvl w:val="0"/>
                <w:numId w:val="8"/>
              </w:numPr>
              <w:rPr>
                <w:rFonts w:ascii="Arial" w:hAnsi="Arial" w:cs="Arial"/>
                <w:sz w:val="24"/>
                <w:szCs w:val="24"/>
              </w:rPr>
            </w:pPr>
            <w:r>
              <w:rPr>
                <w:rFonts w:ascii="Arial" w:hAnsi="Arial" w:cs="Arial"/>
                <w:sz w:val="24"/>
                <w:szCs w:val="24"/>
              </w:rPr>
              <w:t>See separate section on question responses.</w:t>
            </w:r>
          </w:p>
          <w:p w:rsidR="001D78D7"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 xml:space="preserve"> </w:t>
            </w:r>
            <w:r w:rsidR="000C27E7">
              <w:rPr>
                <w:rFonts w:ascii="Arial" w:hAnsi="Arial" w:cs="Arial"/>
                <w:sz w:val="24"/>
                <w:szCs w:val="24"/>
              </w:rPr>
              <w:t>PacifiCorps</w:t>
            </w:r>
          </w:p>
        </w:tc>
        <w:tc>
          <w:tcPr>
            <w:tcW w:w="9450" w:type="dxa"/>
          </w:tcPr>
          <w:p w:rsidR="00151BF2" w:rsidRDefault="00151BF2" w:rsidP="00151BF2">
            <w:pPr>
              <w:pStyle w:val="ListParagraph"/>
              <w:numPr>
                <w:ilvl w:val="0"/>
                <w:numId w:val="9"/>
              </w:numPr>
              <w:rPr>
                <w:rFonts w:ascii="Arial" w:hAnsi="Arial" w:cs="Arial"/>
                <w:sz w:val="24"/>
                <w:szCs w:val="24"/>
              </w:rPr>
            </w:pPr>
            <w:r>
              <w:rPr>
                <w:rFonts w:ascii="Arial" w:hAnsi="Arial" w:cs="Arial"/>
                <w:sz w:val="24"/>
                <w:szCs w:val="24"/>
              </w:rPr>
              <w:t>Agrees with model rules as presented.</w:t>
            </w:r>
          </w:p>
          <w:p w:rsidR="00151BF2" w:rsidRDefault="00151BF2" w:rsidP="00151BF2">
            <w:pPr>
              <w:pStyle w:val="ListParagraph"/>
              <w:numPr>
                <w:ilvl w:val="0"/>
                <w:numId w:val="9"/>
              </w:numPr>
              <w:rPr>
                <w:rFonts w:ascii="Arial" w:hAnsi="Arial" w:cs="Arial"/>
                <w:sz w:val="24"/>
                <w:szCs w:val="24"/>
              </w:rPr>
            </w:pPr>
            <w:r>
              <w:rPr>
                <w:rFonts w:ascii="Arial" w:hAnsi="Arial" w:cs="Arial"/>
                <w:sz w:val="24"/>
                <w:szCs w:val="24"/>
              </w:rPr>
              <w:t>Answers the seven questions presented in the UTCs’ Request for Comments</w:t>
            </w:r>
          </w:p>
          <w:p w:rsidR="001D78D7" w:rsidRPr="00151BF2" w:rsidRDefault="00151BF2" w:rsidP="00151BF2">
            <w:pPr>
              <w:pStyle w:val="ListParagraph"/>
              <w:numPr>
                <w:ilvl w:val="0"/>
                <w:numId w:val="9"/>
              </w:numPr>
              <w:rPr>
                <w:rFonts w:ascii="Arial" w:hAnsi="Arial" w:cs="Arial"/>
                <w:sz w:val="24"/>
                <w:szCs w:val="24"/>
              </w:rPr>
            </w:pPr>
            <w:r>
              <w:rPr>
                <w:rFonts w:ascii="Arial" w:hAnsi="Arial" w:cs="Arial"/>
                <w:sz w:val="24"/>
                <w:szCs w:val="24"/>
              </w:rPr>
              <w:t>See separate section on question responses.</w:t>
            </w:r>
          </w:p>
          <w:p w:rsidR="001D78D7" w:rsidRDefault="001D78D7"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r>
              <w:rPr>
                <w:rFonts w:ascii="Arial" w:hAnsi="Arial" w:cs="Arial"/>
                <w:sz w:val="24"/>
                <w:szCs w:val="24"/>
              </w:rPr>
              <w:t>Local Energy Alliance of Washington (WALEA)</w:t>
            </w:r>
          </w:p>
          <w:p w:rsidR="000C27E7" w:rsidRPr="00FC59C9" w:rsidRDefault="000C27E7" w:rsidP="00AD3312">
            <w:pPr>
              <w:rPr>
                <w:rFonts w:ascii="Arial" w:hAnsi="Arial" w:cs="Arial"/>
                <w:sz w:val="24"/>
                <w:szCs w:val="24"/>
              </w:rPr>
            </w:pPr>
          </w:p>
        </w:tc>
        <w:tc>
          <w:tcPr>
            <w:tcW w:w="9450" w:type="dxa"/>
          </w:tcPr>
          <w:p w:rsidR="001D78D7" w:rsidRDefault="00D95441" w:rsidP="00151BF2">
            <w:pPr>
              <w:pStyle w:val="ListParagraph"/>
              <w:numPr>
                <w:ilvl w:val="0"/>
                <w:numId w:val="10"/>
              </w:numPr>
              <w:rPr>
                <w:rFonts w:ascii="Arial" w:hAnsi="Arial" w:cs="Arial"/>
                <w:sz w:val="24"/>
                <w:szCs w:val="24"/>
              </w:rPr>
            </w:pPr>
            <w:r>
              <w:rPr>
                <w:rFonts w:ascii="Arial" w:hAnsi="Arial" w:cs="Arial"/>
                <w:sz w:val="24"/>
                <w:szCs w:val="24"/>
              </w:rPr>
              <w:t xml:space="preserve">WA State too cautious and not </w:t>
            </w:r>
            <w:r w:rsidR="002662C8">
              <w:rPr>
                <w:rFonts w:ascii="Arial" w:hAnsi="Arial" w:cs="Arial"/>
                <w:sz w:val="24"/>
                <w:szCs w:val="24"/>
              </w:rPr>
              <w:t>an</w:t>
            </w:r>
            <w:r>
              <w:rPr>
                <w:rFonts w:ascii="Arial" w:hAnsi="Arial" w:cs="Arial"/>
                <w:sz w:val="24"/>
                <w:szCs w:val="24"/>
              </w:rPr>
              <w:t xml:space="preserve"> innovator or leader.</w:t>
            </w:r>
          </w:p>
          <w:p w:rsidR="00D95441" w:rsidRDefault="00D95441" w:rsidP="00151BF2">
            <w:pPr>
              <w:pStyle w:val="ListParagraph"/>
              <w:numPr>
                <w:ilvl w:val="0"/>
                <w:numId w:val="10"/>
              </w:numPr>
              <w:rPr>
                <w:rFonts w:ascii="Arial" w:hAnsi="Arial" w:cs="Arial"/>
                <w:sz w:val="24"/>
                <w:szCs w:val="24"/>
              </w:rPr>
            </w:pPr>
            <w:r>
              <w:rPr>
                <w:rFonts w:ascii="Arial" w:hAnsi="Arial" w:cs="Arial"/>
                <w:sz w:val="24"/>
                <w:szCs w:val="24"/>
              </w:rPr>
              <w:t>Model rules do not provide enough improvements for invert</w:t>
            </w:r>
            <w:r w:rsidR="00411408">
              <w:rPr>
                <w:rFonts w:ascii="Arial" w:hAnsi="Arial" w:cs="Arial"/>
                <w:sz w:val="24"/>
                <w:szCs w:val="24"/>
              </w:rPr>
              <w:t>-</w:t>
            </w:r>
            <w:r>
              <w:rPr>
                <w:rFonts w:ascii="Arial" w:hAnsi="Arial" w:cs="Arial"/>
                <w:sz w:val="24"/>
                <w:szCs w:val="24"/>
              </w:rPr>
              <w:t>based small scale solar facilities.</w:t>
            </w:r>
          </w:p>
          <w:p w:rsidR="00D95441" w:rsidRDefault="00D95441" w:rsidP="00151BF2">
            <w:pPr>
              <w:pStyle w:val="ListParagraph"/>
              <w:numPr>
                <w:ilvl w:val="0"/>
                <w:numId w:val="10"/>
              </w:numPr>
              <w:rPr>
                <w:rFonts w:ascii="Arial" w:hAnsi="Arial" w:cs="Arial"/>
                <w:sz w:val="24"/>
                <w:szCs w:val="24"/>
              </w:rPr>
            </w:pPr>
            <w:r>
              <w:rPr>
                <w:rFonts w:ascii="Arial" w:hAnsi="Arial" w:cs="Arial"/>
                <w:sz w:val="24"/>
                <w:szCs w:val="24"/>
              </w:rPr>
              <w:t>DG above10kW the model rules places all the casts burdens on the generator.</w:t>
            </w:r>
          </w:p>
          <w:p w:rsidR="00D95441" w:rsidRDefault="00D95441" w:rsidP="00151BF2">
            <w:pPr>
              <w:pStyle w:val="ListParagraph"/>
              <w:numPr>
                <w:ilvl w:val="0"/>
                <w:numId w:val="10"/>
              </w:numPr>
              <w:rPr>
                <w:rFonts w:ascii="Arial" w:hAnsi="Arial" w:cs="Arial"/>
                <w:sz w:val="24"/>
                <w:szCs w:val="24"/>
              </w:rPr>
            </w:pPr>
            <w:r>
              <w:rPr>
                <w:rFonts w:ascii="Arial" w:hAnsi="Arial" w:cs="Arial"/>
                <w:sz w:val="24"/>
                <w:szCs w:val="24"/>
              </w:rPr>
              <w:t>DG advocates want: 1.) Clear Standards; 2.) Defined process(s)</w:t>
            </w:r>
            <w:r w:rsidR="00411408">
              <w:rPr>
                <w:rFonts w:ascii="Arial" w:hAnsi="Arial" w:cs="Arial"/>
                <w:sz w:val="24"/>
                <w:szCs w:val="24"/>
              </w:rPr>
              <w:t>; &amp; 3.)Reasonable cost and benefit sharing.</w:t>
            </w:r>
          </w:p>
          <w:p w:rsidR="00411408" w:rsidRDefault="00411408" w:rsidP="00151BF2">
            <w:pPr>
              <w:pStyle w:val="ListParagraph"/>
              <w:numPr>
                <w:ilvl w:val="0"/>
                <w:numId w:val="10"/>
              </w:numPr>
              <w:rPr>
                <w:rFonts w:ascii="Arial" w:hAnsi="Arial" w:cs="Arial"/>
                <w:sz w:val="24"/>
                <w:szCs w:val="24"/>
              </w:rPr>
            </w:pPr>
            <w:r>
              <w:rPr>
                <w:rFonts w:ascii="Arial" w:hAnsi="Arial" w:cs="Arial"/>
                <w:sz w:val="24"/>
                <w:szCs w:val="24"/>
              </w:rPr>
              <w:t>Insurance requirements are too imposing and expensive.</w:t>
            </w:r>
          </w:p>
          <w:p w:rsidR="00411408" w:rsidRDefault="00411408" w:rsidP="00151BF2">
            <w:pPr>
              <w:pStyle w:val="ListParagraph"/>
              <w:numPr>
                <w:ilvl w:val="0"/>
                <w:numId w:val="10"/>
              </w:numPr>
              <w:rPr>
                <w:rFonts w:ascii="Arial" w:hAnsi="Arial" w:cs="Arial"/>
                <w:sz w:val="24"/>
                <w:szCs w:val="24"/>
              </w:rPr>
            </w:pPr>
            <w:r>
              <w:rPr>
                <w:rFonts w:ascii="Arial" w:hAnsi="Arial" w:cs="Arial"/>
                <w:sz w:val="24"/>
                <w:szCs w:val="24"/>
              </w:rPr>
              <w:t>EDS requirement is redundant and the Direct Transfer Trip should be required only when necessary.</w:t>
            </w:r>
          </w:p>
          <w:p w:rsidR="00411408" w:rsidRDefault="00411408" w:rsidP="00151BF2">
            <w:pPr>
              <w:pStyle w:val="ListParagraph"/>
              <w:numPr>
                <w:ilvl w:val="0"/>
                <w:numId w:val="10"/>
              </w:numPr>
              <w:rPr>
                <w:rFonts w:ascii="Arial" w:hAnsi="Arial" w:cs="Arial"/>
                <w:sz w:val="24"/>
                <w:szCs w:val="24"/>
              </w:rPr>
            </w:pPr>
            <w:r>
              <w:rPr>
                <w:rFonts w:ascii="Arial" w:hAnsi="Arial" w:cs="Arial"/>
                <w:sz w:val="24"/>
                <w:szCs w:val="24"/>
              </w:rPr>
              <w:t>Costs of required studies too expensive and burdensome</w:t>
            </w:r>
          </w:p>
          <w:p w:rsidR="00411408" w:rsidRPr="00151BF2" w:rsidRDefault="00411408" w:rsidP="00151BF2">
            <w:pPr>
              <w:pStyle w:val="ListParagraph"/>
              <w:numPr>
                <w:ilvl w:val="0"/>
                <w:numId w:val="10"/>
              </w:numPr>
              <w:rPr>
                <w:rFonts w:ascii="Arial" w:hAnsi="Arial" w:cs="Arial"/>
                <w:sz w:val="24"/>
                <w:szCs w:val="24"/>
              </w:rPr>
            </w:pPr>
            <w:r>
              <w:rPr>
                <w:rFonts w:ascii="Arial" w:hAnsi="Arial" w:cs="Arial"/>
                <w:sz w:val="24"/>
                <w:szCs w:val="24"/>
              </w:rPr>
              <w:t>Make DG an internal part of everyday utility business and simpler standardized processes.</w:t>
            </w:r>
          </w:p>
          <w:p w:rsidR="001D78D7" w:rsidRPr="00FC59C9" w:rsidRDefault="001D78D7" w:rsidP="00AD3312">
            <w:pPr>
              <w:rPr>
                <w:rFonts w:ascii="Arial" w:hAnsi="Arial" w:cs="Arial"/>
                <w:sz w:val="24"/>
                <w:szCs w:val="24"/>
              </w:rPr>
            </w:pPr>
          </w:p>
        </w:tc>
      </w:tr>
      <w:tr w:rsidR="000C27E7" w:rsidRPr="00FC59C9" w:rsidTr="001D78D7">
        <w:tc>
          <w:tcPr>
            <w:tcW w:w="1800" w:type="dxa"/>
          </w:tcPr>
          <w:p w:rsidR="000C27E7" w:rsidRPr="00FC59C9" w:rsidRDefault="000C27E7" w:rsidP="00AD3312">
            <w:pPr>
              <w:rPr>
                <w:rFonts w:ascii="Arial" w:hAnsi="Arial" w:cs="Arial"/>
                <w:sz w:val="24"/>
                <w:szCs w:val="24"/>
              </w:rPr>
            </w:pPr>
          </w:p>
        </w:tc>
        <w:tc>
          <w:tcPr>
            <w:tcW w:w="2430" w:type="dxa"/>
          </w:tcPr>
          <w:p w:rsidR="000C27E7" w:rsidRDefault="000C27E7" w:rsidP="00AD3312">
            <w:pPr>
              <w:rPr>
                <w:rFonts w:ascii="Arial" w:hAnsi="Arial" w:cs="Arial"/>
                <w:sz w:val="24"/>
                <w:szCs w:val="24"/>
              </w:rPr>
            </w:pPr>
            <w:r>
              <w:rPr>
                <w:rFonts w:ascii="Arial" w:hAnsi="Arial" w:cs="Arial"/>
                <w:sz w:val="24"/>
                <w:szCs w:val="24"/>
              </w:rPr>
              <w:t>Convivium Renewable Energy (CRE)</w:t>
            </w:r>
          </w:p>
        </w:tc>
        <w:tc>
          <w:tcPr>
            <w:tcW w:w="9450" w:type="dxa"/>
          </w:tcPr>
          <w:p w:rsidR="000C27E7" w:rsidRDefault="00270E76" w:rsidP="00411408">
            <w:pPr>
              <w:pStyle w:val="ListParagraph"/>
              <w:numPr>
                <w:ilvl w:val="0"/>
                <w:numId w:val="11"/>
              </w:numPr>
              <w:rPr>
                <w:rFonts w:ascii="Arial" w:hAnsi="Arial" w:cs="Arial"/>
                <w:sz w:val="24"/>
                <w:szCs w:val="24"/>
              </w:rPr>
            </w:pPr>
            <w:r>
              <w:rPr>
                <w:rFonts w:ascii="Arial" w:hAnsi="Arial" w:cs="Arial"/>
                <w:sz w:val="24"/>
                <w:szCs w:val="24"/>
              </w:rPr>
              <w:t>Agrees with “direct transfer trip” in model rule</w:t>
            </w:r>
          </w:p>
          <w:p w:rsidR="00270E76" w:rsidRDefault="00270E76" w:rsidP="00411408">
            <w:pPr>
              <w:pStyle w:val="ListParagraph"/>
              <w:numPr>
                <w:ilvl w:val="0"/>
                <w:numId w:val="11"/>
              </w:numPr>
              <w:rPr>
                <w:rFonts w:ascii="Arial" w:hAnsi="Arial" w:cs="Arial"/>
                <w:sz w:val="24"/>
                <w:szCs w:val="24"/>
              </w:rPr>
            </w:pPr>
            <w:r>
              <w:rPr>
                <w:rFonts w:ascii="Arial" w:hAnsi="Arial" w:cs="Arial"/>
                <w:sz w:val="24"/>
                <w:szCs w:val="24"/>
              </w:rPr>
              <w:t>Major concern regarding the need for and cost of insurance that can be required</w:t>
            </w:r>
          </w:p>
          <w:p w:rsidR="00270E76" w:rsidRDefault="00270E76" w:rsidP="00411408">
            <w:pPr>
              <w:pStyle w:val="ListParagraph"/>
              <w:numPr>
                <w:ilvl w:val="0"/>
                <w:numId w:val="11"/>
              </w:numPr>
              <w:rPr>
                <w:rFonts w:ascii="Arial" w:hAnsi="Arial" w:cs="Arial"/>
                <w:sz w:val="24"/>
                <w:szCs w:val="24"/>
              </w:rPr>
            </w:pPr>
            <w:r>
              <w:rPr>
                <w:rFonts w:ascii="Arial" w:hAnsi="Arial" w:cs="Arial"/>
                <w:sz w:val="24"/>
                <w:szCs w:val="24"/>
              </w:rPr>
              <w:t>Contends the utility is under little or no liability with installation of small facilities.</w:t>
            </w:r>
          </w:p>
          <w:p w:rsidR="00270E76" w:rsidRDefault="00270E76" w:rsidP="00411408">
            <w:pPr>
              <w:pStyle w:val="ListParagraph"/>
              <w:numPr>
                <w:ilvl w:val="0"/>
                <w:numId w:val="11"/>
              </w:numPr>
              <w:rPr>
                <w:rFonts w:ascii="Arial" w:hAnsi="Arial" w:cs="Arial"/>
                <w:sz w:val="24"/>
                <w:szCs w:val="24"/>
              </w:rPr>
            </w:pPr>
            <w:r>
              <w:rPr>
                <w:rFonts w:ascii="Arial" w:hAnsi="Arial" w:cs="Arial"/>
                <w:sz w:val="24"/>
                <w:szCs w:val="24"/>
              </w:rPr>
              <w:t>Insurance costs prohibits any customers from taking advantage of DG</w:t>
            </w:r>
          </w:p>
          <w:p w:rsidR="00270E76" w:rsidRDefault="00270E76" w:rsidP="006A55D4">
            <w:pPr>
              <w:pStyle w:val="ListParagraph"/>
              <w:numPr>
                <w:ilvl w:val="0"/>
                <w:numId w:val="11"/>
              </w:numPr>
              <w:rPr>
                <w:rFonts w:ascii="Arial" w:hAnsi="Arial" w:cs="Arial"/>
                <w:sz w:val="24"/>
                <w:szCs w:val="24"/>
              </w:rPr>
            </w:pPr>
            <w:r>
              <w:rPr>
                <w:rFonts w:ascii="Arial" w:hAnsi="Arial" w:cs="Arial"/>
                <w:sz w:val="24"/>
                <w:szCs w:val="24"/>
              </w:rPr>
              <w:t>Wants elimination of customer insurance requirements</w:t>
            </w:r>
            <w:r w:rsidR="006A55D4">
              <w:rPr>
                <w:rFonts w:ascii="Arial" w:hAnsi="Arial" w:cs="Arial"/>
                <w:sz w:val="24"/>
                <w:szCs w:val="24"/>
              </w:rPr>
              <w:t xml:space="preserve"> for DG under 5 M</w:t>
            </w:r>
            <w:r w:rsidR="006A55D4" w:rsidRPr="006A55D4">
              <w:rPr>
                <w:rFonts w:ascii="Arial" w:hAnsi="Arial" w:cs="Arial"/>
                <w:sz w:val="24"/>
                <w:szCs w:val="24"/>
              </w:rPr>
              <w:t>W</w:t>
            </w:r>
          </w:p>
          <w:p w:rsidR="006A55D4" w:rsidRDefault="006A55D4" w:rsidP="006A55D4">
            <w:pPr>
              <w:pStyle w:val="ListParagraph"/>
              <w:numPr>
                <w:ilvl w:val="0"/>
                <w:numId w:val="11"/>
              </w:numPr>
              <w:rPr>
                <w:rFonts w:ascii="Arial" w:hAnsi="Arial" w:cs="Arial"/>
                <w:sz w:val="24"/>
                <w:szCs w:val="24"/>
              </w:rPr>
            </w:pPr>
            <w:r>
              <w:rPr>
                <w:rFonts w:ascii="Arial" w:hAnsi="Arial" w:cs="Arial"/>
                <w:sz w:val="24"/>
                <w:szCs w:val="24"/>
              </w:rPr>
              <w:t>Wants standardized application fee schedule per kW bases for DG under 5 MW</w:t>
            </w:r>
          </w:p>
          <w:p w:rsidR="006A55D4" w:rsidRPr="006A55D4" w:rsidRDefault="006A55D4" w:rsidP="006A55D4">
            <w:pPr>
              <w:pStyle w:val="ListParagraph"/>
              <w:numPr>
                <w:ilvl w:val="0"/>
                <w:numId w:val="11"/>
              </w:numPr>
              <w:rPr>
                <w:rFonts w:ascii="Arial" w:hAnsi="Arial" w:cs="Arial"/>
                <w:sz w:val="24"/>
                <w:szCs w:val="24"/>
              </w:rPr>
            </w:pPr>
            <w:r>
              <w:rPr>
                <w:rFonts w:ascii="Arial" w:hAnsi="Arial" w:cs="Arial"/>
                <w:sz w:val="24"/>
                <w:szCs w:val="24"/>
              </w:rPr>
              <w:t>Wants utilities to develop average system costs structures for DG systems requirements such as substation modifications, changes in accounting systems, system wide studies, etc.  These average system costs should be equitably shared with all customer demands on the system over some period, such as annual costs.</w:t>
            </w:r>
          </w:p>
        </w:tc>
      </w:tr>
      <w:tr w:rsidR="000C27E7" w:rsidRPr="00FC59C9" w:rsidTr="001D78D7">
        <w:tc>
          <w:tcPr>
            <w:tcW w:w="1800" w:type="dxa"/>
          </w:tcPr>
          <w:p w:rsidR="000C27E7" w:rsidRPr="00FC59C9" w:rsidRDefault="000C27E7" w:rsidP="00AD3312">
            <w:pPr>
              <w:rPr>
                <w:rFonts w:ascii="Arial" w:hAnsi="Arial" w:cs="Arial"/>
                <w:sz w:val="24"/>
                <w:szCs w:val="24"/>
              </w:rPr>
            </w:pPr>
          </w:p>
        </w:tc>
        <w:tc>
          <w:tcPr>
            <w:tcW w:w="2430" w:type="dxa"/>
          </w:tcPr>
          <w:p w:rsidR="000C27E7" w:rsidRDefault="00D366ED" w:rsidP="00AD3312">
            <w:pPr>
              <w:rPr>
                <w:rFonts w:ascii="Arial" w:hAnsi="Arial" w:cs="Arial"/>
                <w:sz w:val="24"/>
                <w:szCs w:val="24"/>
              </w:rPr>
            </w:pPr>
            <w:r>
              <w:rPr>
                <w:rFonts w:ascii="Arial" w:hAnsi="Arial" w:cs="Arial"/>
                <w:sz w:val="24"/>
                <w:szCs w:val="24"/>
              </w:rPr>
              <w:t>Interstate Re</w:t>
            </w:r>
            <w:r w:rsidR="000C27E7">
              <w:rPr>
                <w:rFonts w:ascii="Arial" w:hAnsi="Arial" w:cs="Arial"/>
                <w:sz w:val="24"/>
                <w:szCs w:val="24"/>
              </w:rPr>
              <w:t>newable Energy Council (IREC)</w:t>
            </w:r>
          </w:p>
        </w:tc>
        <w:tc>
          <w:tcPr>
            <w:tcW w:w="9450" w:type="dxa"/>
          </w:tcPr>
          <w:p w:rsidR="000C27E7" w:rsidRDefault="006A55D4" w:rsidP="006A55D4">
            <w:pPr>
              <w:pStyle w:val="ListParagraph"/>
              <w:numPr>
                <w:ilvl w:val="0"/>
                <w:numId w:val="12"/>
              </w:numPr>
              <w:rPr>
                <w:rFonts w:ascii="Arial" w:hAnsi="Arial" w:cs="Arial"/>
                <w:sz w:val="24"/>
                <w:szCs w:val="24"/>
              </w:rPr>
            </w:pPr>
            <w:r>
              <w:rPr>
                <w:rFonts w:ascii="Arial" w:hAnsi="Arial" w:cs="Arial"/>
                <w:sz w:val="24"/>
                <w:szCs w:val="24"/>
              </w:rPr>
              <w:t>Allow Third Party Ownership through leasing arra</w:t>
            </w:r>
            <w:r w:rsidR="00CF6A39">
              <w:rPr>
                <w:rFonts w:ascii="Arial" w:hAnsi="Arial" w:cs="Arial"/>
                <w:sz w:val="24"/>
                <w:szCs w:val="24"/>
              </w:rPr>
              <w:t>ngements or retail power purchases</w:t>
            </w:r>
          </w:p>
          <w:p w:rsidR="00CF6A39" w:rsidRDefault="00B340EE" w:rsidP="006A55D4">
            <w:pPr>
              <w:pStyle w:val="ListParagraph"/>
              <w:numPr>
                <w:ilvl w:val="0"/>
                <w:numId w:val="12"/>
              </w:numPr>
              <w:rPr>
                <w:rFonts w:ascii="Arial" w:hAnsi="Arial" w:cs="Arial"/>
                <w:sz w:val="24"/>
                <w:szCs w:val="24"/>
              </w:rPr>
            </w:pPr>
            <w:r>
              <w:rPr>
                <w:rFonts w:ascii="Arial" w:hAnsi="Arial" w:cs="Arial"/>
                <w:sz w:val="24"/>
                <w:szCs w:val="24"/>
              </w:rPr>
              <w:t>Many states (through utility commissions and/or legislators) have found that third party owners are not Public Utilities, and therefore eligible as interconnect customers</w:t>
            </w:r>
          </w:p>
          <w:p w:rsidR="00B340EE" w:rsidRDefault="00B340EE" w:rsidP="006A55D4">
            <w:pPr>
              <w:pStyle w:val="ListParagraph"/>
              <w:numPr>
                <w:ilvl w:val="0"/>
                <w:numId w:val="12"/>
              </w:numPr>
              <w:rPr>
                <w:rFonts w:ascii="Arial" w:hAnsi="Arial" w:cs="Arial"/>
                <w:sz w:val="24"/>
                <w:szCs w:val="24"/>
              </w:rPr>
            </w:pPr>
            <w:r>
              <w:rPr>
                <w:rFonts w:ascii="Arial" w:hAnsi="Arial" w:cs="Arial"/>
                <w:sz w:val="24"/>
                <w:szCs w:val="24"/>
              </w:rPr>
              <w:lastRenderedPageBreak/>
              <w:t>Exceptions to Model Rules for large Utilities since larger utilities can act faster and more efficiently with larger staffs, more money and denser distribution centers with higher loads per area:</w:t>
            </w:r>
            <w:r w:rsidR="00536778">
              <w:rPr>
                <w:rFonts w:ascii="Arial" w:hAnsi="Arial" w:cs="Arial"/>
                <w:sz w:val="24"/>
                <w:szCs w:val="24"/>
              </w:rPr>
              <w:t xml:space="preserve"> 1.) Application timelines could be reduced; 2.) Waiver of  EDS for all inverter-based facilities, instead of only those less than 5kW; 3.) The upper limit for Tier #2 could be increased from 500kW to 2 MW.</w:t>
            </w:r>
            <w:r>
              <w:rPr>
                <w:rFonts w:ascii="Arial" w:hAnsi="Arial" w:cs="Arial"/>
                <w:sz w:val="24"/>
                <w:szCs w:val="24"/>
              </w:rPr>
              <w:t>.</w:t>
            </w:r>
          </w:p>
          <w:p w:rsidR="00536778" w:rsidRDefault="00536778" w:rsidP="006A55D4">
            <w:pPr>
              <w:pStyle w:val="ListParagraph"/>
              <w:numPr>
                <w:ilvl w:val="0"/>
                <w:numId w:val="12"/>
              </w:numPr>
              <w:rPr>
                <w:rFonts w:ascii="Arial" w:hAnsi="Arial" w:cs="Arial"/>
                <w:sz w:val="24"/>
                <w:szCs w:val="24"/>
              </w:rPr>
            </w:pPr>
            <w:r>
              <w:rPr>
                <w:rFonts w:ascii="Arial" w:hAnsi="Arial" w:cs="Arial"/>
                <w:sz w:val="24"/>
                <w:szCs w:val="24"/>
              </w:rPr>
              <w:t>Two gaps exist in the model rules: Gap #1 – Standardized Application Forms and Interconnectio</w:t>
            </w:r>
            <w:r w:rsidR="00D366ED">
              <w:rPr>
                <w:rFonts w:ascii="Arial" w:hAnsi="Arial" w:cs="Arial"/>
                <w:sz w:val="24"/>
                <w:szCs w:val="24"/>
              </w:rPr>
              <w:t>n</w:t>
            </w:r>
            <w:r>
              <w:rPr>
                <w:rFonts w:ascii="Arial" w:hAnsi="Arial" w:cs="Arial"/>
                <w:sz w:val="24"/>
                <w:szCs w:val="24"/>
              </w:rPr>
              <w:t xml:space="preserve"> Agreements should be required (3 examples of templates are PSE, OR rules, &amp; SGIP); Gap #2 – Application Fees need to be specified. </w:t>
            </w:r>
            <w:r w:rsidR="002662C8">
              <w:rPr>
                <w:rFonts w:ascii="Arial" w:hAnsi="Arial" w:cs="Arial"/>
                <w:sz w:val="24"/>
                <w:szCs w:val="24"/>
              </w:rPr>
              <w:t>(model</w:t>
            </w:r>
            <w:r>
              <w:rPr>
                <w:rFonts w:ascii="Arial" w:hAnsi="Arial" w:cs="Arial"/>
                <w:sz w:val="24"/>
                <w:szCs w:val="24"/>
              </w:rPr>
              <w:t xml:space="preserve"> could be OR fee structure of $100/Tier #1; $500/Tier #2; &amp; $1000/Tier #3.</w:t>
            </w:r>
          </w:p>
          <w:p w:rsidR="00536778" w:rsidRDefault="00536778" w:rsidP="006A55D4">
            <w:pPr>
              <w:pStyle w:val="ListParagraph"/>
              <w:numPr>
                <w:ilvl w:val="0"/>
                <w:numId w:val="12"/>
              </w:numPr>
              <w:rPr>
                <w:rFonts w:ascii="Arial" w:hAnsi="Arial" w:cs="Arial"/>
                <w:sz w:val="24"/>
                <w:szCs w:val="24"/>
              </w:rPr>
            </w:pPr>
            <w:r>
              <w:rPr>
                <w:rFonts w:ascii="Arial" w:hAnsi="Arial" w:cs="Arial"/>
                <w:sz w:val="24"/>
                <w:szCs w:val="24"/>
              </w:rPr>
              <w:t>IREC</w:t>
            </w:r>
            <w:r w:rsidR="00E64BF7">
              <w:rPr>
                <w:rFonts w:ascii="Arial" w:hAnsi="Arial" w:cs="Arial"/>
                <w:sz w:val="24"/>
                <w:szCs w:val="24"/>
              </w:rPr>
              <w:t xml:space="preserve"> responded to the seven questions found in the UTC</w:t>
            </w:r>
            <w:r w:rsidR="00D366ED">
              <w:rPr>
                <w:rFonts w:ascii="Arial" w:hAnsi="Arial" w:cs="Arial"/>
                <w:sz w:val="24"/>
                <w:szCs w:val="24"/>
              </w:rPr>
              <w:t xml:space="preserve"> Request for Comments ( See sepa</w:t>
            </w:r>
            <w:r w:rsidR="00E64BF7">
              <w:rPr>
                <w:rFonts w:ascii="Arial" w:hAnsi="Arial" w:cs="Arial"/>
                <w:sz w:val="24"/>
                <w:szCs w:val="24"/>
              </w:rPr>
              <w:t>rate section on response to questions)</w:t>
            </w:r>
          </w:p>
          <w:p w:rsidR="00B340EE" w:rsidRPr="006A55D4" w:rsidRDefault="00B340EE" w:rsidP="00B340EE">
            <w:pPr>
              <w:pStyle w:val="ListParagraph"/>
              <w:rPr>
                <w:rFonts w:ascii="Arial" w:hAnsi="Arial" w:cs="Arial"/>
                <w:sz w:val="24"/>
                <w:szCs w:val="24"/>
              </w:rPr>
            </w:pPr>
          </w:p>
        </w:tc>
      </w:tr>
      <w:tr w:rsidR="000C27E7" w:rsidRPr="00FC59C9" w:rsidTr="001D78D7">
        <w:tc>
          <w:tcPr>
            <w:tcW w:w="1800" w:type="dxa"/>
          </w:tcPr>
          <w:p w:rsidR="000C27E7" w:rsidRPr="00FC59C9" w:rsidRDefault="000C27E7" w:rsidP="00AD3312">
            <w:pPr>
              <w:rPr>
                <w:rFonts w:ascii="Arial" w:hAnsi="Arial" w:cs="Arial"/>
                <w:sz w:val="24"/>
                <w:szCs w:val="24"/>
              </w:rPr>
            </w:pPr>
          </w:p>
        </w:tc>
        <w:tc>
          <w:tcPr>
            <w:tcW w:w="2430" w:type="dxa"/>
          </w:tcPr>
          <w:p w:rsidR="000C27E7" w:rsidRDefault="000C27E7" w:rsidP="00AD3312">
            <w:pPr>
              <w:rPr>
                <w:rFonts w:ascii="Arial" w:hAnsi="Arial" w:cs="Arial"/>
                <w:sz w:val="24"/>
                <w:szCs w:val="24"/>
              </w:rPr>
            </w:pPr>
          </w:p>
        </w:tc>
        <w:tc>
          <w:tcPr>
            <w:tcW w:w="9450" w:type="dxa"/>
          </w:tcPr>
          <w:p w:rsidR="000C27E7" w:rsidRDefault="000C27E7" w:rsidP="00AD3312">
            <w:pPr>
              <w:rPr>
                <w:rFonts w:ascii="Arial" w:hAnsi="Arial" w:cs="Arial"/>
                <w:sz w:val="24"/>
                <w:szCs w:val="24"/>
              </w:rPr>
            </w:pPr>
          </w:p>
        </w:tc>
      </w:tr>
      <w:tr w:rsidR="001D78D7" w:rsidRPr="00FC59C9" w:rsidTr="001D78D7">
        <w:tc>
          <w:tcPr>
            <w:tcW w:w="13680" w:type="dxa"/>
            <w:gridSpan w:val="3"/>
          </w:tcPr>
          <w:p w:rsidR="001D78D7" w:rsidRPr="008609E1" w:rsidRDefault="00F062EF" w:rsidP="001D78D7">
            <w:pPr>
              <w:spacing w:before="120" w:after="120"/>
              <w:rPr>
                <w:rFonts w:ascii="Arial" w:hAnsi="Arial" w:cs="Arial"/>
                <w:b/>
                <w:sz w:val="24"/>
                <w:szCs w:val="24"/>
              </w:rPr>
            </w:pPr>
            <w:r>
              <w:rPr>
                <w:rFonts w:ascii="Arial" w:hAnsi="Arial" w:cs="Arial"/>
                <w:b/>
                <w:sz w:val="24"/>
                <w:szCs w:val="24"/>
              </w:rPr>
              <w:t>Specifics – 1.</w:t>
            </w:r>
            <w:r w:rsidR="001D78D7" w:rsidRPr="008609E1">
              <w:rPr>
                <w:rFonts w:ascii="Arial" w:hAnsi="Arial" w:cs="Arial"/>
                <w:b/>
                <w:sz w:val="24"/>
                <w:szCs w:val="24"/>
              </w:rPr>
              <w:t xml:space="preserve">Disconnect Switch – </w:t>
            </w:r>
            <w:hyperlink r:id="rId8" w:history="1">
              <w:r w:rsidR="001D78D7" w:rsidRPr="00F022DB">
                <w:rPr>
                  <w:rStyle w:val="Hyperlink"/>
                  <w:rFonts w:ascii="Arial" w:hAnsi="Arial" w:cs="Arial"/>
                  <w:b/>
                  <w:sz w:val="24"/>
                  <w:szCs w:val="24"/>
                </w:rPr>
                <w:t>WAC-480-108-020(2)</w:t>
              </w:r>
            </w:hyperlink>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9E5CC0" w:rsidP="00AD3312">
            <w:pPr>
              <w:rPr>
                <w:rFonts w:ascii="Arial" w:hAnsi="Arial" w:cs="Arial"/>
                <w:sz w:val="24"/>
                <w:szCs w:val="24"/>
              </w:rPr>
            </w:pPr>
            <w:r>
              <w:rPr>
                <w:rFonts w:ascii="Arial" w:hAnsi="Arial" w:cs="Arial"/>
                <w:sz w:val="24"/>
                <w:szCs w:val="24"/>
              </w:rPr>
              <w:t>WA. Dept. of Commerce – (ESSP)</w:t>
            </w:r>
          </w:p>
        </w:tc>
        <w:tc>
          <w:tcPr>
            <w:tcW w:w="9450" w:type="dxa"/>
          </w:tcPr>
          <w:p w:rsidR="001D78D7" w:rsidRDefault="001D78D7" w:rsidP="00AD3312">
            <w:pPr>
              <w:rPr>
                <w:rFonts w:ascii="Arial" w:hAnsi="Arial" w:cs="Arial"/>
                <w:sz w:val="24"/>
                <w:szCs w:val="24"/>
              </w:rPr>
            </w:pPr>
            <w:r>
              <w:rPr>
                <w:rFonts w:ascii="Arial" w:hAnsi="Arial" w:cs="Arial"/>
                <w:sz w:val="24"/>
                <w:szCs w:val="24"/>
              </w:rPr>
              <w:t xml:space="preserve"> </w:t>
            </w:r>
            <w:r w:rsidR="006E5BCE">
              <w:rPr>
                <w:rFonts w:ascii="Arial" w:hAnsi="Arial" w:cs="Arial"/>
                <w:sz w:val="24"/>
                <w:szCs w:val="24"/>
              </w:rPr>
              <w:t>Agrees with increasing utility discretion on use of new technology in lieu of use of disconnect switch.  Believe it can be eliminated for smaller systems up to 10 kW instead of existing 5 kW limitation. Cost saving goes beyond just the price of the switch.</w:t>
            </w:r>
            <w:r>
              <w:rPr>
                <w:rFonts w:ascii="Arial" w:hAnsi="Arial" w:cs="Arial"/>
                <w:sz w:val="24"/>
                <w:szCs w:val="24"/>
              </w:rPr>
              <w:t xml:space="preserve"> </w:t>
            </w:r>
            <w:r w:rsidR="006E5BCE">
              <w:rPr>
                <w:rFonts w:ascii="Arial" w:hAnsi="Arial" w:cs="Arial"/>
                <w:sz w:val="24"/>
                <w:szCs w:val="24"/>
              </w:rPr>
              <w:t xml:space="preserve"> Does not believe there is a </w:t>
            </w:r>
            <w:r w:rsidR="002662C8">
              <w:rPr>
                <w:rFonts w:ascii="Arial" w:hAnsi="Arial" w:cs="Arial"/>
                <w:sz w:val="24"/>
                <w:szCs w:val="24"/>
              </w:rPr>
              <w:t>safety</w:t>
            </w:r>
            <w:r w:rsidR="006E5BCE">
              <w:rPr>
                <w:rFonts w:ascii="Arial" w:hAnsi="Arial" w:cs="Arial"/>
                <w:sz w:val="24"/>
                <w:szCs w:val="24"/>
              </w:rPr>
              <w:t xml:space="preserve"> issue for small systems</w:t>
            </w:r>
          </w:p>
          <w:p w:rsidR="001D78D7" w:rsidRDefault="001D78D7" w:rsidP="00AD3312">
            <w:pPr>
              <w:rPr>
                <w:rFonts w:ascii="Arial" w:hAnsi="Arial" w:cs="Arial"/>
                <w:sz w:val="24"/>
                <w:szCs w:val="24"/>
              </w:rPr>
            </w:pPr>
          </w:p>
          <w:p w:rsidR="00A60EB2" w:rsidRDefault="00A60EB2" w:rsidP="00AD3312">
            <w:pPr>
              <w:rPr>
                <w:rFonts w:ascii="Arial" w:hAnsi="Arial" w:cs="Arial"/>
                <w:sz w:val="24"/>
                <w:szCs w:val="24"/>
              </w:rPr>
            </w:pPr>
          </w:p>
          <w:p w:rsidR="00A60EB2" w:rsidRDefault="00A60EB2" w:rsidP="00AD3312">
            <w:pPr>
              <w:rPr>
                <w:rFonts w:ascii="Arial" w:hAnsi="Arial" w:cs="Arial"/>
                <w:sz w:val="24"/>
                <w:szCs w:val="24"/>
              </w:rPr>
            </w:pPr>
          </w:p>
          <w:p w:rsidR="00A60EB2" w:rsidRPr="00FC59C9" w:rsidRDefault="00A60EB2"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9E5CC0" w:rsidP="00AD3312">
            <w:pPr>
              <w:rPr>
                <w:rFonts w:ascii="Arial" w:hAnsi="Arial" w:cs="Arial"/>
                <w:sz w:val="24"/>
                <w:szCs w:val="24"/>
              </w:rPr>
            </w:pPr>
            <w:r>
              <w:rPr>
                <w:rFonts w:ascii="Arial" w:hAnsi="Arial" w:cs="Arial"/>
                <w:sz w:val="24"/>
                <w:szCs w:val="24"/>
              </w:rPr>
              <w:t>Solar City – (SC)</w:t>
            </w:r>
          </w:p>
        </w:tc>
        <w:tc>
          <w:tcPr>
            <w:tcW w:w="9450" w:type="dxa"/>
          </w:tcPr>
          <w:p w:rsidR="001D78D7" w:rsidRPr="00FC59C9" w:rsidRDefault="006E5BCE" w:rsidP="006D3FC7">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WPUDA Workgroup – (WPUDA)</w:t>
            </w:r>
          </w:p>
        </w:tc>
        <w:tc>
          <w:tcPr>
            <w:tcW w:w="9450" w:type="dxa"/>
          </w:tcPr>
          <w:p w:rsidR="001D78D7" w:rsidRPr="00FC59C9" w:rsidRDefault="006E5BCE" w:rsidP="005D1FF7">
            <w:pPr>
              <w:rPr>
                <w:rFonts w:ascii="Arial" w:hAnsi="Arial" w:cs="Arial"/>
                <w:sz w:val="24"/>
                <w:szCs w:val="24"/>
              </w:rPr>
            </w:pPr>
            <w:r>
              <w:rPr>
                <w:rFonts w:ascii="Arial" w:hAnsi="Arial" w:cs="Arial"/>
                <w:sz w:val="24"/>
                <w:szCs w:val="24"/>
              </w:rPr>
              <w:t>No Comment, other than support of model rules as submitted for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Avista</w:t>
            </w:r>
          </w:p>
        </w:tc>
        <w:tc>
          <w:tcPr>
            <w:tcW w:w="9450" w:type="dxa"/>
          </w:tcPr>
          <w:p w:rsidR="001D78D7" w:rsidRDefault="006E5BCE" w:rsidP="00E24C1F">
            <w:pPr>
              <w:rPr>
                <w:rFonts w:ascii="Arial" w:hAnsi="Arial" w:cs="Arial"/>
                <w:sz w:val="24"/>
                <w:szCs w:val="24"/>
              </w:rPr>
            </w:pPr>
            <w:r>
              <w:rPr>
                <w:rFonts w:ascii="Arial" w:hAnsi="Arial" w:cs="Arial"/>
                <w:sz w:val="24"/>
                <w:szCs w:val="24"/>
              </w:rPr>
              <w:t>No Comment</w:t>
            </w:r>
          </w:p>
          <w:p w:rsidR="00A60EB2" w:rsidRDefault="00A60EB2" w:rsidP="00E24C1F">
            <w:pPr>
              <w:rPr>
                <w:rFonts w:ascii="Arial" w:hAnsi="Arial" w:cs="Arial"/>
                <w:sz w:val="24"/>
                <w:szCs w:val="24"/>
              </w:rPr>
            </w:pPr>
          </w:p>
          <w:p w:rsidR="00A60EB2" w:rsidRPr="00FC59C9" w:rsidRDefault="00A60EB2" w:rsidP="00E24C1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PacifiCorp</w:t>
            </w:r>
          </w:p>
        </w:tc>
        <w:tc>
          <w:tcPr>
            <w:tcW w:w="9450" w:type="dxa"/>
          </w:tcPr>
          <w:p w:rsidR="0022127F" w:rsidRDefault="006E5BCE" w:rsidP="00AD3312">
            <w:pPr>
              <w:rPr>
                <w:rFonts w:ascii="Arial" w:hAnsi="Arial" w:cs="Arial"/>
                <w:sz w:val="24"/>
                <w:szCs w:val="24"/>
              </w:rPr>
            </w:pPr>
            <w:r>
              <w:rPr>
                <w:rFonts w:ascii="Arial" w:hAnsi="Arial" w:cs="Arial"/>
                <w:sz w:val="24"/>
                <w:szCs w:val="24"/>
              </w:rPr>
              <w:t>No Comment</w:t>
            </w:r>
          </w:p>
          <w:p w:rsidR="00A60EB2" w:rsidRPr="00FC59C9" w:rsidRDefault="00A60EB2"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Local Energy Alliance of WA – (WAEA)</w:t>
            </w:r>
          </w:p>
        </w:tc>
        <w:tc>
          <w:tcPr>
            <w:tcW w:w="9450" w:type="dxa"/>
          </w:tcPr>
          <w:p w:rsidR="0022127F" w:rsidRPr="00FC59C9" w:rsidRDefault="000A2CBC" w:rsidP="006D3FC7">
            <w:pPr>
              <w:rPr>
                <w:rFonts w:ascii="Arial" w:hAnsi="Arial" w:cs="Arial"/>
                <w:sz w:val="24"/>
                <w:szCs w:val="24"/>
              </w:rPr>
            </w:pPr>
            <w:r>
              <w:rPr>
                <w:rFonts w:ascii="Arial" w:hAnsi="Arial" w:cs="Arial"/>
                <w:sz w:val="24"/>
                <w:szCs w:val="24"/>
              </w:rPr>
              <w:t>Switch is redundant, Not required in other states, Documented to be superfluous.  Model rule helps some, but still allows for too much Utility discretion.  Wants the switch eliminated for small systems</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Convivium Renewable Energy – (CRE)</w:t>
            </w:r>
          </w:p>
        </w:tc>
        <w:tc>
          <w:tcPr>
            <w:tcW w:w="9450" w:type="dxa"/>
          </w:tcPr>
          <w:p w:rsidR="001D78D7" w:rsidRDefault="000A2CBC" w:rsidP="00AD3312">
            <w:pPr>
              <w:rPr>
                <w:rFonts w:ascii="Arial" w:hAnsi="Arial" w:cs="Arial"/>
                <w:sz w:val="24"/>
                <w:szCs w:val="24"/>
              </w:rPr>
            </w:pPr>
            <w:r>
              <w:rPr>
                <w:rFonts w:ascii="Arial" w:hAnsi="Arial" w:cs="Arial"/>
                <w:sz w:val="24"/>
                <w:szCs w:val="24"/>
              </w:rPr>
              <w:t>O.K. with model rule changes.</w:t>
            </w:r>
          </w:p>
          <w:p w:rsidR="0022127F" w:rsidRPr="00FC59C9" w:rsidRDefault="0022127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D3FC7" w:rsidP="00AD3312">
            <w:pPr>
              <w:rPr>
                <w:rFonts w:ascii="Arial" w:hAnsi="Arial" w:cs="Arial"/>
                <w:sz w:val="24"/>
                <w:szCs w:val="24"/>
              </w:rPr>
            </w:pPr>
            <w:r>
              <w:rPr>
                <w:rFonts w:ascii="Arial" w:hAnsi="Arial" w:cs="Arial"/>
                <w:sz w:val="24"/>
                <w:szCs w:val="24"/>
              </w:rPr>
              <w:t>Interstate Renewable Energy Council – (IREC)</w:t>
            </w:r>
          </w:p>
        </w:tc>
        <w:tc>
          <w:tcPr>
            <w:tcW w:w="9450" w:type="dxa"/>
          </w:tcPr>
          <w:p w:rsidR="001D78D7" w:rsidRDefault="006F622C" w:rsidP="00AD3312">
            <w:pPr>
              <w:rPr>
                <w:rFonts w:ascii="Arial" w:hAnsi="Arial" w:cs="Arial"/>
                <w:sz w:val="24"/>
                <w:szCs w:val="24"/>
              </w:rPr>
            </w:pPr>
            <w:r>
              <w:rPr>
                <w:rFonts w:ascii="Times New Roman" w:hAnsi="Times New Roman" w:cs="Times New Roman"/>
                <w:sz w:val="24"/>
                <w:szCs w:val="24"/>
              </w:rPr>
              <w:t>The waiver of the External Disconnect Switch (EDS) for inverter-based generating facilities less the 5 kW should be expanded to cover all inverter-based generating</w:t>
            </w:r>
          </w:p>
          <w:p w:rsidR="0022127F" w:rsidRPr="00FC59C9" w:rsidRDefault="0022127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22127F" w:rsidRPr="00FC59C9" w:rsidRDefault="0022127F" w:rsidP="006D3FC7">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22127F" w:rsidRPr="00FC59C9" w:rsidRDefault="0022127F" w:rsidP="006D3FC7">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22127F" w:rsidRPr="00FC59C9" w:rsidRDefault="0022127F" w:rsidP="006D3FC7">
            <w:pPr>
              <w:rPr>
                <w:rFonts w:ascii="Arial" w:hAnsi="Arial" w:cs="Arial"/>
                <w:sz w:val="24"/>
                <w:szCs w:val="24"/>
              </w:rPr>
            </w:pPr>
          </w:p>
        </w:tc>
      </w:tr>
      <w:tr w:rsidR="001D78D7" w:rsidRPr="00FC59C9" w:rsidTr="001D78D7">
        <w:trPr>
          <w:trHeight w:val="278"/>
        </w:trPr>
        <w:tc>
          <w:tcPr>
            <w:tcW w:w="13680" w:type="dxa"/>
            <w:gridSpan w:val="3"/>
          </w:tcPr>
          <w:p w:rsidR="001D78D7" w:rsidRPr="008609E1" w:rsidRDefault="00F062EF" w:rsidP="00446455">
            <w:pPr>
              <w:spacing w:before="120" w:after="120"/>
              <w:rPr>
                <w:rFonts w:ascii="Arial" w:hAnsi="Arial" w:cs="Arial"/>
                <w:b/>
                <w:sz w:val="24"/>
                <w:szCs w:val="24"/>
              </w:rPr>
            </w:pPr>
            <w:r>
              <w:rPr>
                <w:rFonts w:ascii="Arial" w:hAnsi="Arial" w:cs="Arial"/>
                <w:b/>
                <w:sz w:val="24"/>
                <w:szCs w:val="24"/>
              </w:rPr>
              <w:t xml:space="preserve">Specifics – 2. </w:t>
            </w:r>
            <w:r w:rsidR="001D78D7" w:rsidRPr="008609E1">
              <w:rPr>
                <w:rFonts w:ascii="Arial" w:hAnsi="Arial" w:cs="Arial"/>
                <w:b/>
                <w:sz w:val="24"/>
                <w:szCs w:val="24"/>
              </w:rPr>
              <w:t xml:space="preserve">Insurance – </w:t>
            </w:r>
            <w:hyperlink r:id="rId9" w:history="1">
              <w:r w:rsidR="001D78D7" w:rsidRPr="00E90EDE">
                <w:rPr>
                  <w:rStyle w:val="Hyperlink"/>
                  <w:rFonts w:ascii="Arial" w:hAnsi="Arial" w:cs="Arial"/>
                  <w:b/>
                  <w:sz w:val="24"/>
                  <w:szCs w:val="24"/>
                </w:rPr>
                <w:t>WAC 480-108-040(9)</w:t>
              </w:r>
            </w:hyperlink>
            <w:r w:rsidR="007014A6">
              <w:rPr>
                <w:rFonts w:ascii="Arial" w:hAnsi="Arial" w:cs="Arial"/>
                <w:b/>
                <w:sz w:val="24"/>
                <w:szCs w:val="24"/>
              </w:rPr>
              <w:t xml:space="preserve">; </w:t>
            </w:r>
            <w:hyperlink r:id="rId10" w:history="1">
              <w:r w:rsidR="007014A6" w:rsidRPr="007014A6">
                <w:rPr>
                  <w:rStyle w:val="Hyperlink"/>
                  <w:rFonts w:ascii="Arial" w:hAnsi="Arial" w:cs="Arial"/>
                  <w:b/>
                  <w:sz w:val="24"/>
                  <w:szCs w:val="24"/>
                </w:rPr>
                <w:t>WAC 480-108-090(1)(d)</w:t>
              </w:r>
            </w:hyperlink>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210E0" w:rsidP="00205814">
            <w:pPr>
              <w:rPr>
                <w:rFonts w:ascii="Arial" w:hAnsi="Arial" w:cs="Arial"/>
                <w:sz w:val="24"/>
                <w:szCs w:val="24"/>
              </w:rPr>
            </w:pPr>
            <w:r>
              <w:rPr>
                <w:rFonts w:ascii="Arial" w:hAnsi="Arial" w:cs="Arial"/>
                <w:sz w:val="24"/>
                <w:szCs w:val="24"/>
              </w:rPr>
              <w:t>WA. Dept. of Commerce – (ESSP)</w:t>
            </w:r>
          </w:p>
        </w:tc>
        <w:tc>
          <w:tcPr>
            <w:tcW w:w="9450" w:type="dxa"/>
          </w:tcPr>
          <w:p w:rsidR="00446455" w:rsidRPr="00FC59C9" w:rsidRDefault="00CE3C34" w:rsidP="00E210E0">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E210E0" w:rsidP="00205814">
            <w:pPr>
              <w:rPr>
                <w:rFonts w:ascii="Arial" w:hAnsi="Arial" w:cs="Arial"/>
                <w:sz w:val="24"/>
                <w:szCs w:val="24"/>
              </w:rPr>
            </w:pPr>
            <w:r>
              <w:rPr>
                <w:rFonts w:ascii="Arial" w:hAnsi="Arial" w:cs="Arial"/>
                <w:sz w:val="24"/>
                <w:szCs w:val="24"/>
              </w:rPr>
              <w:t>Solar City – (SC)</w:t>
            </w:r>
          </w:p>
        </w:tc>
        <w:tc>
          <w:tcPr>
            <w:tcW w:w="9450" w:type="dxa"/>
          </w:tcPr>
          <w:p w:rsidR="00446455" w:rsidRDefault="00CE3C34" w:rsidP="00E210E0">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E210E0" w:rsidP="00205814">
            <w:pPr>
              <w:rPr>
                <w:rFonts w:ascii="Arial" w:hAnsi="Arial" w:cs="Arial"/>
                <w:sz w:val="24"/>
                <w:szCs w:val="24"/>
              </w:rPr>
            </w:pPr>
            <w:r>
              <w:rPr>
                <w:rFonts w:ascii="Arial" w:hAnsi="Arial" w:cs="Arial"/>
                <w:sz w:val="24"/>
                <w:szCs w:val="24"/>
              </w:rPr>
              <w:t>WPUDA Workgroup – (WPUDA)</w:t>
            </w:r>
          </w:p>
        </w:tc>
        <w:tc>
          <w:tcPr>
            <w:tcW w:w="9450" w:type="dxa"/>
          </w:tcPr>
          <w:p w:rsidR="001D4689" w:rsidRDefault="00CE3C34" w:rsidP="00D96092">
            <w:pPr>
              <w:rPr>
                <w:rFonts w:ascii="Arial" w:hAnsi="Arial" w:cs="Arial"/>
                <w:sz w:val="24"/>
                <w:szCs w:val="24"/>
              </w:rPr>
            </w:pPr>
            <w:r>
              <w:rPr>
                <w:rFonts w:ascii="Arial" w:hAnsi="Arial" w:cs="Arial"/>
                <w:sz w:val="24"/>
                <w:szCs w:val="24"/>
              </w:rPr>
              <w:t>No Comment</w:t>
            </w:r>
            <w:r w:rsidR="001D78D7">
              <w:rPr>
                <w:rFonts w:ascii="Arial" w:hAnsi="Arial" w:cs="Arial"/>
                <w:sz w:val="24"/>
                <w:szCs w:val="24"/>
              </w:rPr>
              <w:t xml:space="preserve">  </w:t>
            </w:r>
          </w:p>
          <w:p w:rsidR="00446455" w:rsidRDefault="00446455" w:rsidP="00D9609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E210E0" w:rsidP="00205814">
            <w:pPr>
              <w:rPr>
                <w:rFonts w:ascii="Arial" w:hAnsi="Arial" w:cs="Arial"/>
                <w:sz w:val="24"/>
                <w:szCs w:val="24"/>
              </w:rPr>
            </w:pPr>
            <w:r>
              <w:rPr>
                <w:rFonts w:ascii="Arial" w:hAnsi="Arial" w:cs="Arial"/>
                <w:sz w:val="24"/>
                <w:szCs w:val="24"/>
              </w:rPr>
              <w:t>Avista</w:t>
            </w:r>
          </w:p>
        </w:tc>
        <w:tc>
          <w:tcPr>
            <w:tcW w:w="9450" w:type="dxa"/>
          </w:tcPr>
          <w:p w:rsidR="00446455" w:rsidRDefault="00CE3C34" w:rsidP="00E210E0">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E210E0" w:rsidP="00205814">
            <w:pPr>
              <w:rPr>
                <w:rFonts w:ascii="Arial" w:hAnsi="Arial" w:cs="Arial"/>
                <w:sz w:val="24"/>
                <w:szCs w:val="24"/>
              </w:rPr>
            </w:pPr>
            <w:r>
              <w:rPr>
                <w:rFonts w:ascii="Arial" w:hAnsi="Arial" w:cs="Arial"/>
                <w:sz w:val="24"/>
                <w:szCs w:val="24"/>
              </w:rPr>
              <w:t>PacifiCorp</w:t>
            </w:r>
          </w:p>
        </w:tc>
        <w:tc>
          <w:tcPr>
            <w:tcW w:w="9450" w:type="dxa"/>
          </w:tcPr>
          <w:p w:rsidR="00446455" w:rsidRDefault="00CE3C34" w:rsidP="00E210E0">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E210E0" w:rsidP="00205814">
            <w:pPr>
              <w:rPr>
                <w:rFonts w:ascii="Arial" w:hAnsi="Arial" w:cs="Arial"/>
                <w:sz w:val="24"/>
                <w:szCs w:val="24"/>
              </w:rPr>
            </w:pPr>
            <w:r>
              <w:rPr>
                <w:rFonts w:ascii="Arial" w:hAnsi="Arial" w:cs="Arial"/>
                <w:sz w:val="24"/>
                <w:szCs w:val="24"/>
              </w:rPr>
              <w:t>Local Energy Alliance of WA.  – (WALRA)</w:t>
            </w:r>
          </w:p>
        </w:tc>
        <w:tc>
          <w:tcPr>
            <w:tcW w:w="9450" w:type="dxa"/>
          </w:tcPr>
          <w:p w:rsidR="00446455" w:rsidRDefault="00CB67C9" w:rsidP="00E210E0">
            <w:pPr>
              <w:rPr>
                <w:rFonts w:ascii="Times New Roman" w:hAnsi="Times New Roman" w:cs="Times New Roman"/>
                <w:sz w:val="24"/>
                <w:szCs w:val="24"/>
              </w:rPr>
            </w:pPr>
            <w:r>
              <w:rPr>
                <w:rFonts w:ascii="Times New Roman" w:hAnsi="Times New Roman" w:cs="Times New Roman"/>
                <w:sz w:val="24"/>
                <w:szCs w:val="24"/>
              </w:rPr>
              <w:t>Unfortunately, for DG above 10 kW this approach appears to put all the burdens on the developer.  The developer has to pay full costs for: 1.) studies for the utility to understand their own utility system, 2.) studies to determine what upgrades are needed in the utility’s own system to accommodate DG proposals, 3.) pay for any upgrades, and 4.) fully insure the utility system for any possible damage from DG interconnection.</w:t>
            </w:r>
          </w:p>
          <w:p w:rsidR="00CB67C9" w:rsidRDefault="00CB67C9" w:rsidP="00CB67C9">
            <w:pPr>
              <w:rPr>
                <w:rFonts w:ascii="Times New Roman" w:hAnsi="Times New Roman" w:cs="Times New Roman"/>
                <w:sz w:val="24"/>
                <w:szCs w:val="24"/>
              </w:rPr>
            </w:pPr>
            <w:r w:rsidRPr="00CB67C9">
              <w:rPr>
                <w:rFonts w:ascii="Times New Roman" w:hAnsi="Times New Roman" w:cs="Times New Roman"/>
                <w:sz w:val="24"/>
                <w:szCs w:val="24"/>
              </w:rPr>
              <w:t xml:space="preserve">Insurance: Utilities have too much discretion to require insurance from </w:t>
            </w:r>
            <w:r w:rsidR="002662C8" w:rsidRPr="00CB67C9">
              <w:rPr>
                <w:rFonts w:ascii="Times New Roman" w:hAnsi="Times New Roman" w:cs="Times New Roman"/>
                <w:sz w:val="24"/>
                <w:szCs w:val="24"/>
              </w:rPr>
              <w:t>non-net</w:t>
            </w:r>
            <w:r w:rsidRPr="00CB67C9">
              <w:rPr>
                <w:rFonts w:ascii="Times New Roman" w:hAnsi="Times New Roman" w:cs="Times New Roman"/>
                <w:sz w:val="24"/>
                <w:szCs w:val="24"/>
              </w:rPr>
              <w:t xml:space="preserve"> metered DG installers.  The actual risk is miniscule. Alternative insurance products are </w:t>
            </w:r>
            <w:r w:rsidR="002662C8" w:rsidRPr="00CB67C9">
              <w:rPr>
                <w:rFonts w:ascii="Times New Roman" w:hAnsi="Times New Roman" w:cs="Times New Roman"/>
                <w:sz w:val="24"/>
                <w:szCs w:val="24"/>
              </w:rPr>
              <w:t>prohibitive</w:t>
            </w:r>
            <w:r w:rsidRPr="00CB67C9">
              <w:rPr>
                <w:rFonts w:ascii="Times New Roman" w:hAnsi="Times New Roman" w:cs="Times New Roman"/>
                <w:sz w:val="24"/>
                <w:szCs w:val="24"/>
              </w:rPr>
              <w:t>.</w:t>
            </w:r>
          </w:p>
          <w:p w:rsidR="00CB67C9" w:rsidRPr="00CB67C9" w:rsidRDefault="00CB67C9" w:rsidP="00CB67C9">
            <w:pPr>
              <w:rPr>
                <w:rFonts w:ascii="Times New Roman" w:hAnsi="Times New Roman" w:cs="Times New Roman"/>
                <w:sz w:val="24"/>
                <w:szCs w:val="24"/>
              </w:rPr>
            </w:pPr>
            <w:r w:rsidRPr="00CB67C9">
              <w:rPr>
                <w:rFonts w:ascii="Times New Roman" w:hAnsi="Times New Roman" w:cs="Times New Roman"/>
                <w:sz w:val="24"/>
                <w:szCs w:val="24"/>
              </w:rPr>
              <w:lastRenderedPageBreak/>
              <w:t>The proposed rule does nothing to address the insurance issue.  Bad outcome!</w:t>
            </w:r>
          </w:p>
          <w:p w:rsidR="00CB67C9" w:rsidRPr="00CB67C9" w:rsidRDefault="00CB67C9" w:rsidP="00CB67C9">
            <w:pPr>
              <w:rPr>
                <w:rFonts w:ascii="Times New Roman" w:hAnsi="Times New Roman" w:cs="Times New Roman"/>
                <w:b/>
                <w:sz w:val="24"/>
                <w:szCs w:val="24"/>
              </w:rPr>
            </w:pPr>
          </w:p>
          <w:p w:rsidR="00CB67C9" w:rsidRDefault="00CB67C9" w:rsidP="00E210E0">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210E0" w:rsidP="00AD3312">
            <w:pPr>
              <w:rPr>
                <w:rFonts w:ascii="Arial" w:hAnsi="Arial" w:cs="Arial"/>
                <w:sz w:val="24"/>
                <w:szCs w:val="24"/>
              </w:rPr>
            </w:pPr>
            <w:r>
              <w:rPr>
                <w:rFonts w:ascii="Arial" w:hAnsi="Arial" w:cs="Arial"/>
                <w:sz w:val="24"/>
                <w:szCs w:val="24"/>
              </w:rPr>
              <w:t>Convivium Renewable Energy – (CRE)</w:t>
            </w:r>
          </w:p>
        </w:tc>
        <w:tc>
          <w:tcPr>
            <w:tcW w:w="9450" w:type="dxa"/>
          </w:tcPr>
          <w:p w:rsidR="00CB67C9" w:rsidRPr="00614427"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Very concerned about the insurance requirement and the resultant costs.</w:t>
            </w:r>
          </w:p>
          <w:p w:rsidR="00CB67C9" w:rsidRPr="00614427"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Concerned that the insurance issue is being used to unfairly block DG being installed</w:t>
            </w:r>
          </w:p>
          <w:p w:rsidR="00CB67C9" w:rsidRPr="009268D4"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Example of 25kW solar installation; costing $200K to install and generating less than $2000 in annual revenues; needs $2 million insurance policy, costing almost $5000.</w:t>
            </w:r>
          </w:p>
          <w:p w:rsidR="00CB67C9" w:rsidRPr="009268D4"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Contends the utility is under little or no additional liability risk for installation of these small systems</w:t>
            </w:r>
          </w:p>
          <w:p w:rsidR="00CB67C9" w:rsidRPr="009268D4"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Also, contends that this requirement is unfair compared to a net metering customer with the same utility requires no insurance at all.</w:t>
            </w:r>
          </w:p>
          <w:p w:rsidR="00CB67C9" w:rsidRPr="00FD464F"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DG should be available to all customers ranging from organized wind or solar developers to the small farmer with a single wind turbine</w:t>
            </w:r>
          </w:p>
          <w:p w:rsidR="00CB67C9" w:rsidRPr="00FD464F" w:rsidRDefault="00CB67C9" w:rsidP="00CB67C9">
            <w:pPr>
              <w:pStyle w:val="ListParagraph"/>
              <w:numPr>
                <w:ilvl w:val="0"/>
                <w:numId w:val="16"/>
              </w:numPr>
              <w:rPr>
                <w:rFonts w:ascii="Times New Roman" w:hAnsi="Times New Roman" w:cs="Times New Roman"/>
                <w:b/>
                <w:sz w:val="24"/>
                <w:szCs w:val="24"/>
              </w:rPr>
            </w:pPr>
            <w:r>
              <w:rPr>
                <w:rFonts w:ascii="Times New Roman" w:hAnsi="Times New Roman" w:cs="Times New Roman"/>
                <w:sz w:val="24"/>
                <w:szCs w:val="24"/>
              </w:rPr>
              <w:t>That goal requires controls on unnecessary insurance requirements; inflated interconnection costs; and unnecessary requirements for costly utility studies of their own utility system.</w:t>
            </w:r>
          </w:p>
          <w:p w:rsidR="00CB67C9" w:rsidRDefault="00CB67C9" w:rsidP="00CB67C9">
            <w:pPr>
              <w:rPr>
                <w:rFonts w:ascii="Times New Roman" w:hAnsi="Times New Roman" w:cs="Times New Roman"/>
                <w:b/>
                <w:sz w:val="24"/>
                <w:szCs w:val="24"/>
              </w:rPr>
            </w:pPr>
          </w:p>
          <w:p w:rsidR="00CB67C9" w:rsidRPr="0085664F" w:rsidRDefault="00CB67C9" w:rsidP="00CB67C9">
            <w:pPr>
              <w:pStyle w:val="ListParagraph"/>
              <w:numPr>
                <w:ilvl w:val="0"/>
                <w:numId w:val="17"/>
              </w:numPr>
              <w:rPr>
                <w:rFonts w:ascii="Times New Roman" w:hAnsi="Times New Roman" w:cs="Times New Roman"/>
                <w:b/>
                <w:sz w:val="24"/>
                <w:szCs w:val="24"/>
              </w:rPr>
            </w:pPr>
            <w:r>
              <w:rPr>
                <w:rFonts w:ascii="Times New Roman" w:hAnsi="Times New Roman" w:cs="Times New Roman"/>
                <w:sz w:val="24"/>
                <w:szCs w:val="24"/>
              </w:rPr>
              <w:t>Remove any requirement for customer insurance for interconnections under 5 MW.  Other non-cost methods of reducing perceived risk to the utility should be explored</w:t>
            </w:r>
          </w:p>
          <w:p w:rsidR="001C25FC" w:rsidRPr="00FC59C9" w:rsidRDefault="001C25FC" w:rsidP="00E210E0">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210E0" w:rsidP="00AD3312">
            <w:pPr>
              <w:rPr>
                <w:rFonts w:ascii="Arial" w:hAnsi="Arial" w:cs="Arial"/>
                <w:sz w:val="24"/>
                <w:szCs w:val="24"/>
              </w:rPr>
            </w:pPr>
            <w:r>
              <w:rPr>
                <w:rFonts w:ascii="Arial" w:hAnsi="Arial" w:cs="Arial"/>
                <w:sz w:val="24"/>
                <w:szCs w:val="24"/>
              </w:rPr>
              <w:t>Interstate Renewable Energy Council – (IREC)</w:t>
            </w:r>
          </w:p>
        </w:tc>
        <w:tc>
          <w:tcPr>
            <w:tcW w:w="9450" w:type="dxa"/>
          </w:tcPr>
          <w:p w:rsidR="00011905" w:rsidRDefault="00CB67C9" w:rsidP="001C25FC">
            <w:pPr>
              <w:rPr>
                <w:rFonts w:ascii="Arial" w:hAnsi="Arial" w:cs="Arial"/>
                <w:sz w:val="24"/>
                <w:szCs w:val="24"/>
              </w:rPr>
            </w:pPr>
            <w:r>
              <w:rPr>
                <w:rFonts w:ascii="Arial" w:hAnsi="Arial" w:cs="Arial"/>
                <w:sz w:val="24"/>
                <w:szCs w:val="24"/>
              </w:rPr>
              <w:t>No Comment</w:t>
            </w:r>
            <w:r w:rsidR="00446455">
              <w:rPr>
                <w:rFonts w:ascii="Arial" w:hAnsi="Arial" w:cs="Arial"/>
                <w:sz w:val="24"/>
                <w:szCs w:val="24"/>
              </w:rPr>
              <w:t xml:space="preserve">  </w:t>
            </w:r>
          </w:p>
          <w:p w:rsidR="001C25FC" w:rsidRPr="00FC59C9" w:rsidRDefault="001C25FC" w:rsidP="001C25FC">
            <w:pPr>
              <w:rPr>
                <w:rFonts w:ascii="Arial" w:hAnsi="Arial" w:cs="Arial"/>
                <w:sz w:val="24"/>
                <w:szCs w:val="24"/>
              </w:rPr>
            </w:pPr>
          </w:p>
        </w:tc>
      </w:tr>
      <w:tr w:rsidR="001D78D7" w:rsidRPr="00FC59C9" w:rsidTr="001D78D7">
        <w:tc>
          <w:tcPr>
            <w:tcW w:w="13680" w:type="dxa"/>
            <w:gridSpan w:val="3"/>
          </w:tcPr>
          <w:p w:rsidR="001D78D7" w:rsidRPr="008609E1" w:rsidRDefault="00F062EF" w:rsidP="00446455">
            <w:pPr>
              <w:spacing w:before="120" w:after="120"/>
              <w:rPr>
                <w:rFonts w:ascii="Arial" w:hAnsi="Arial" w:cs="Arial"/>
                <w:b/>
                <w:sz w:val="24"/>
                <w:szCs w:val="24"/>
              </w:rPr>
            </w:pPr>
            <w:r>
              <w:rPr>
                <w:rFonts w:ascii="Arial" w:hAnsi="Arial" w:cs="Arial"/>
                <w:b/>
                <w:sz w:val="24"/>
                <w:szCs w:val="24"/>
              </w:rPr>
              <w:t xml:space="preserve">Specifics – 3. </w:t>
            </w:r>
            <w:r w:rsidR="001D78D7" w:rsidRPr="008609E1">
              <w:rPr>
                <w:rFonts w:ascii="Arial" w:hAnsi="Arial" w:cs="Arial"/>
                <w:b/>
                <w:sz w:val="24"/>
                <w:szCs w:val="24"/>
              </w:rPr>
              <w:t xml:space="preserve">Interconnection Application Process – Simplified Rules – </w:t>
            </w:r>
            <w:hyperlink r:id="rId11" w:history="1">
              <w:r w:rsidR="001D78D7" w:rsidRPr="001C25FC">
                <w:rPr>
                  <w:rStyle w:val="Hyperlink"/>
                  <w:rFonts w:ascii="Arial" w:hAnsi="Arial" w:cs="Arial"/>
                  <w:b/>
                  <w:sz w:val="24"/>
                  <w:szCs w:val="24"/>
                </w:rPr>
                <w:t>WAC 480-108-080</w:t>
              </w:r>
            </w:hyperlink>
          </w:p>
        </w:tc>
      </w:tr>
      <w:tr w:rsidR="001D78D7" w:rsidRPr="00FC59C9" w:rsidTr="001D78D7">
        <w:tc>
          <w:tcPr>
            <w:tcW w:w="1800" w:type="dxa"/>
          </w:tcPr>
          <w:p w:rsidR="001D78D7" w:rsidRPr="00F062EF" w:rsidRDefault="00F062EF" w:rsidP="00F062EF">
            <w:pPr>
              <w:rPr>
                <w:rFonts w:ascii="Arial" w:hAnsi="Arial" w:cs="Arial"/>
                <w:b/>
                <w:sz w:val="24"/>
                <w:szCs w:val="24"/>
              </w:rPr>
            </w:pPr>
            <w:r>
              <w:rPr>
                <w:rFonts w:ascii="Arial" w:hAnsi="Arial" w:cs="Arial"/>
                <w:b/>
                <w:sz w:val="24"/>
                <w:szCs w:val="24"/>
              </w:rPr>
              <w:t>Multi-Tiered Approach</w:t>
            </w:r>
          </w:p>
        </w:tc>
        <w:tc>
          <w:tcPr>
            <w:tcW w:w="2430" w:type="dxa"/>
          </w:tcPr>
          <w:p w:rsidR="001D78D7" w:rsidRPr="00FC59C9" w:rsidRDefault="00E210E0" w:rsidP="00205814">
            <w:pPr>
              <w:rPr>
                <w:rFonts w:ascii="Arial" w:hAnsi="Arial" w:cs="Arial"/>
                <w:sz w:val="24"/>
                <w:szCs w:val="24"/>
              </w:rPr>
            </w:pPr>
            <w:r>
              <w:rPr>
                <w:rFonts w:ascii="Arial" w:hAnsi="Arial" w:cs="Arial"/>
                <w:sz w:val="24"/>
                <w:szCs w:val="24"/>
              </w:rPr>
              <w:t>WA. Dept. of Commerce – (ESSP)</w:t>
            </w:r>
          </w:p>
        </w:tc>
        <w:tc>
          <w:tcPr>
            <w:tcW w:w="9450" w:type="dxa"/>
          </w:tcPr>
          <w:p w:rsidR="00011905" w:rsidRPr="00FC59C9" w:rsidRDefault="0070060F" w:rsidP="00205814">
            <w:pPr>
              <w:rPr>
                <w:rFonts w:ascii="Arial" w:hAnsi="Arial" w:cs="Arial"/>
                <w:sz w:val="24"/>
                <w:szCs w:val="24"/>
              </w:rPr>
            </w:pPr>
            <w:r>
              <w:rPr>
                <w:rFonts w:ascii="Arial" w:hAnsi="Arial" w:cs="Arial"/>
                <w:sz w:val="24"/>
                <w:szCs w:val="24"/>
              </w:rPr>
              <w:t>Agrees with 3 Tier system including 3 different technical screening requirements</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210E0" w:rsidP="00AD3312">
            <w:pPr>
              <w:rPr>
                <w:rFonts w:ascii="Arial" w:hAnsi="Arial" w:cs="Arial"/>
                <w:sz w:val="24"/>
                <w:szCs w:val="24"/>
              </w:rPr>
            </w:pPr>
            <w:r>
              <w:rPr>
                <w:rFonts w:ascii="Arial" w:hAnsi="Arial" w:cs="Arial"/>
                <w:sz w:val="24"/>
                <w:szCs w:val="24"/>
              </w:rPr>
              <w:t>Solar City – (SC)</w:t>
            </w:r>
          </w:p>
        </w:tc>
        <w:tc>
          <w:tcPr>
            <w:tcW w:w="9450" w:type="dxa"/>
          </w:tcPr>
          <w:p w:rsidR="00DF1DF3" w:rsidRDefault="001D78D7" w:rsidP="00DB4B1F">
            <w:pPr>
              <w:rPr>
                <w:rFonts w:ascii="Arial" w:hAnsi="Arial" w:cs="Arial"/>
                <w:sz w:val="24"/>
                <w:szCs w:val="24"/>
              </w:rPr>
            </w:pPr>
            <w:r>
              <w:rPr>
                <w:rFonts w:ascii="Arial" w:hAnsi="Arial" w:cs="Arial"/>
                <w:sz w:val="24"/>
                <w:szCs w:val="24"/>
              </w:rPr>
              <w:t xml:space="preserve">. </w:t>
            </w:r>
            <w:r w:rsidR="0070060F">
              <w:rPr>
                <w:rFonts w:ascii="Arial" w:hAnsi="Arial" w:cs="Arial"/>
                <w:sz w:val="24"/>
                <w:szCs w:val="24"/>
              </w:rPr>
              <w:t>No Comment</w:t>
            </w:r>
          </w:p>
          <w:p w:rsidR="00DF1DF3" w:rsidRDefault="00DF1DF3" w:rsidP="00DB4B1F">
            <w:pPr>
              <w:rPr>
                <w:rFonts w:ascii="Arial" w:hAnsi="Arial" w:cs="Arial"/>
                <w:sz w:val="24"/>
                <w:szCs w:val="24"/>
              </w:rPr>
            </w:pPr>
          </w:p>
          <w:p w:rsidR="001D78D7" w:rsidRPr="00FC59C9" w:rsidRDefault="001D78D7" w:rsidP="00DB4B1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210E0" w:rsidP="00AD3312">
            <w:pPr>
              <w:rPr>
                <w:rFonts w:ascii="Arial" w:hAnsi="Arial" w:cs="Arial"/>
                <w:sz w:val="24"/>
                <w:szCs w:val="24"/>
              </w:rPr>
            </w:pPr>
            <w:r>
              <w:rPr>
                <w:rFonts w:ascii="Arial" w:hAnsi="Arial" w:cs="Arial"/>
                <w:sz w:val="24"/>
                <w:szCs w:val="24"/>
              </w:rPr>
              <w:t>WPUDA Workgroup – (WPUDA)</w:t>
            </w:r>
          </w:p>
        </w:tc>
        <w:tc>
          <w:tcPr>
            <w:tcW w:w="9450" w:type="dxa"/>
          </w:tcPr>
          <w:p w:rsidR="00011905" w:rsidRPr="00FC59C9" w:rsidRDefault="0070060F" w:rsidP="00CA170C">
            <w:pPr>
              <w:rPr>
                <w:rFonts w:ascii="Arial" w:hAnsi="Arial" w:cs="Arial"/>
                <w:sz w:val="24"/>
                <w:szCs w:val="24"/>
              </w:rPr>
            </w:pPr>
            <w:r>
              <w:rPr>
                <w:rFonts w:ascii="Arial" w:hAnsi="Arial" w:cs="Arial"/>
                <w:sz w:val="24"/>
                <w:szCs w:val="24"/>
              </w:rPr>
              <w:t>Supports the model rules as presented for comments</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CA170C" w:rsidP="00AD3312">
            <w:pPr>
              <w:rPr>
                <w:rFonts w:ascii="Arial" w:hAnsi="Arial" w:cs="Arial"/>
                <w:sz w:val="24"/>
                <w:szCs w:val="24"/>
              </w:rPr>
            </w:pPr>
            <w:r>
              <w:rPr>
                <w:rFonts w:ascii="Arial" w:hAnsi="Arial" w:cs="Arial"/>
                <w:sz w:val="24"/>
                <w:szCs w:val="24"/>
              </w:rPr>
              <w:t>Avista</w:t>
            </w:r>
            <w:r w:rsidR="001D78D7">
              <w:rPr>
                <w:rFonts w:ascii="Arial" w:hAnsi="Arial" w:cs="Arial"/>
                <w:sz w:val="24"/>
                <w:szCs w:val="24"/>
              </w:rPr>
              <w:t xml:space="preserve"> </w:t>
            </w:r>
          </w:p>
        </w:tc>
        <w:tc>
          <w:tcPr>
            <w:tcW w:w="9450" w:type="dxa"/>
          </w:tcPr>
          <w:p w:rsidR="001D78D7" w:rsidRPr="0070060F" w:rsidRDefault="0070060F" w:rsidP="0070060F">
            <w:pPr>
              <w:rPr>
                <w:rFonts w:ascii="Arial" w:hAnsi="Arial" w:cs="Arial"/>
                <w:sz w:val="24"/>
                <w:szCs w:val="24"/>
              </w:rPr>
            </w:pPr>
            <w:r w:rsidRPr="0070060F">
              <w:rPr>
                <w:rFonts w:ascii="Arial" w:hAnsi="Arial" w:cs="Arial"/>
                <w:sz w:val="24"/>
                <w:szCs w:val="24"/>
              </w:rPr>
              <w:t>Supports the model rules as presented for comments</w:t>
            </w:r>
            <w:r w:rsidR="001D78D7" w:rsidRPr="0070060F">
              <w:rPr>
                <w:rFonts w:ascii="Arial" w:hAnsi="Arial" w:cs="Arial"/>
                <w:sz w:val="24"/>
                <w:szCs w:val="24"/>
              </w:rPr>
              <w:t xml:space="preserve">.  </w:t>
            </w:r>
          </w:p>
          <w:p w:rsidR="001D78D7" w:rsidRPr="00FC59C9" w:rsidRDefault="001D78D7" w:rsidP="00E67FA5">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CA170C" w:rsidP="00AD3312">
            <w:pPr>
              <w:rPr>
                <w:rFonts w:ascii="Arial" w:hAnsi="Arial" w:cs="Arial"/>
                <w:sz w:val="24"/>
                <w:szCs w:val="24"/>
              </w:rPr>
            </w:pPr>
            <w:r>
              <w:rPr>
                <w:rFonts w:ascii="Arial" w:hAnsi="Arial" w:cs="Arial"/>
                <w:sz w:val="24"/>
                <w:szCs w:val="24"/>
              </w:rPr>
              <w:t>PacifiCorp</w:t>
            </w:r>
          </w:p>
        </w:tc>
        <w:tc>
          <w:tcPr>
            <w:tcW w:w="9450" w:type="dxa"/>
          </w:tcPr>
          <w:p w:rsidR="00011905" w:rsidRPr="00FC59C9" w:rsidRDefault="0070060F" w:rsidP="00CA170C">
            <w:pPr>
              <w:rPr>
                <w:rFonts w:ascii="Arial" w:hAnsi="Arial" w:cs="Arial"/>
                <w:sz w:val="24"/>
                <w:szCs w:val="24"/>
              </w:rPr>
            </w:pPr>
            <w:r>
              <w:rPr>
                <w:rFonts w:ascii="Arial" w:hAnsi="Arial" w:cs="Arial"/>
                <w:sz w:val="24"/>
                <w:szCs w:val="24"/>
              </w:rPr>
              <w:t>Supports the model rules as Presented for comments</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CA170C" w:rsidP="00AD3312">
            <w:pPr>
              <w:rPr>
                <w:rFonts w:ascii="Arial" w:hAnsi="Arial" w:cs="Arial"/>
                <w:sz w:val="24"/>
                <w:szCs w:val="24"/>
              </w:rPr>
            </w:pPr>
            <w:r>
              <w:rPr>
                <w:rFonts w:ascii="Arial" w:hAnsi="Arial" w:cs="Arial"/>
                <w:sz w:val="24"/>
                <w:szCs w:val="24"/>
              </w:rPr>
              <w:t>Local energy Alliance of WA – (WALEA)</w:t>
            </w:r>
          </w:p>
        </w:tc>
        <w:tc>
          <w:tcPr>
            <w:tcW w:w="9450" w:type="dxa"/>
          </w:tcPr>
          <w:p w:rsidR="00011905" w:rsidRDefault="0070060F" w:rsidP="00AD3312">
            <w:pPr>
              <w:rPr>
                <w:rFonts w:ascii="Arial" w:hAnsi="Arial" w:cs="Arial"/>
                <w:sz w:val="24"/>
                <w:szCs w:val="24"/>
              </w:rPr>
            </w:pPr>
            <w:r>
              <w:rPr>
                <w:rFonts w:ascii="Arial" w:hAnsi="Arial" w:cs="Arial"/>
                <w:sz w:val="24"/>
                <w:szCs w:val="24"/>
              </w:rPr>
              <w:t>The proposed interconnection rules are too cautious and do not catch up with other state rules that are leading the way.</w:t>
            </w:r>
          </w:p>
          <w:p w:rsidR="0070060F" w:rsidRPr="00FC59C9" w:rsidRDefault="0070060F" w:rsidP="00AD3312">
            <w:pPr>
              <w:rPr>
                <w:rFonts w:ascii="Arial" w:hAnsi="Arial" w:cs="Arial"/>
                <w:sz w:val="24"/>
                <w:szCs w:val="24"/>
              </w:rPr>
            </w:pPr>
            <w:r>
              <w:rPr>
                <w:rFonts w:ascii="Arial" w:hAnsi="Arial" w:cs="Arial"/>
                <w:sz w:val="24"/>
                <w:szCs w:val="24"/>
              </w:rPr>
              <w:t xml:space="preserve">Process:  </w:t>
            </w:r>
            <w:r w:rsidR="002662C8">
              <w:rPr>
                <w:rFonts w:ascii="Arial" w:hAnsi="Arial" w:cs="Arial"/>
                <w:sz w:val="24"/>
                <w:szCs w:val="24"/>
              </w:rPr>
              <w:t>Simpler</w:t>
            </w:r>
            <w:r>
              <w:rPr>
                <w:rFonts w:ascii="Arial" w:hAnsi="Arial" w:cs="Arial"/>
                <w:sz w:val="24"/>
                <w:szCs w:val="24"/>
              </w:rPr>
              <w:t xml:space="preserve"> standard processes are needed to make DG a normal part of utility business.  The proposed rule recommends a tiered interconnection process.  </w:t>
            </w:r>
            <w:r w:rsidR="002662C8">
              <w:rPr>
                <w:rFonts w:ascii="Arial" w:hAnsi="Arial" w:cs="Arial"/>
                <w:sz w:val="24"/>
                <w:szCs w:val="24"/>
              </w:rPr>
              <w:t>Good</w:t>
            </w:r>
            <w:r>
              <w:rPr>
                <w:rFonts w:ascii="Arial" w:hAnsi="Arial" w:cs="Arial"/>
                <w:sz w:val="24"/>
                <w:szCs w:val="24"/>
              </w:rPr>
              <w:t xml:space="preserve"> outcome!</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CA170C" w:rsidP="00AD3312">
            <w:pPr>
              <w:rPr>
                <w:rFonts w:ascii="Arial" w:hAnsi="Arial" w:cs="Arial"/>
                <w:sz w:val="24"/>
                <w:szCs w:val="24"/>
              </w:rPr>
            </w:pPr>
            <w:r>
              <w:rPr>
                <w:rFonts w:ascii="Arial" w:hAnsi="Arial" w:cs="Arial"/>
                <w:sz w:val="24"/>
                <w:szCs w:val="24"/>
              </w:rPr>
              <w:t>Convivium Renewable Energy – (CRE)</w:t>
            </w:r>
          </w:p>
        </w:tc>
        <w:tc>
          <w:tcPr>
            <w:tcW w:w="9450" w:type="dxa"/>
          </w:tcPr>
          <w:p w:rsidR="00011905" w:rsidRPr="00FC59C9" w:rsidRDefault="0070060F" w:rsidP="00CA170C">
            <w:pPr>
              <w:rPr>
                <w:rFonts w:ascii="Arial" w:hAnsi="Arial" w:cs="Arial"/>
                <w:sz w:val="24"/>
                <w:szCs w:val="24"/>
              </w:rPr>
            </w:pPr>
            <w:r>
              <w:rPr>
                <w:rFonts w:ascii="Arial" w:hAnsi="Arial" w:cs="Arial"/>
                <w:sz w:val="24"/>
                <w:szCs w:val="24"/>
              </w:rPr>
              <w:t>No Comment</w:t>
            </w: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CA170C" w:rsidP="00AD3312">
            <w:pPr>
              <w:rPr>
                <w:rFonts w:ascii="Arial" w:hAnsi="Arial" w:cs="Arial"/>
                <w:sz w:val="24"/>
                <w:szCs w:val="24"/>
              </w:rPr>
            </w:pPr>
            <w:r>
              <w:rPr>
                <w:rFonts w:ascii="Arial" w:hAnsi="Arial" w:cs="Arial"/>
                <w:sz w:val="24"/>
                <w:szCs w:val="24"/>
              </w:rPr>
              <w:t>Interstate Renewable Energy Council – IREC)</w:t>
            </w:r>
          </w:p>
        </w:tc>
        <w:tc>
          <w:tcPr>
            <w:tcW w:w="9450" w:type="dxa"/>
          </w:tcPr>
          <w:p w:rsidR="006F622C" w:rsidRPr="006F622C" w:rsidRDefault="006F622C" w:rsidP="006F622C">
            <w:pPr>
              <w:rPr>
                <w:rFonts w:ascii="Times New Roman" w:hAnsi="Times New Roman" w:cs="Times New Roman"/>
                <w:sz w:val="24"/>
                <w:szCs w:val="24"/>
              </w:rPr>
            </w:pPr>
            <w:r w:rsidRPr="006F622C">
              <w:rPr>
                <w:rFonts w:ascii="Times New Roman" w:hAnsi="Times New Roman" w:cs="Times New Roman"/>
                <w:sz w:val="24"/>
                <w:szCs w:val="24"/>
              </w:rPr>
              <w:t>IREC proposes the following rule revisions for larger IOU only, due to their abilities to act faster and more efficiently with large staffs and budgets.</w:t>
            </w:r>
          </w:p>
          <w:p w:rsidR="006F622C" w:rsidRPr="006F622C" w:rsidRDefault="006F622C" w:rsidP="006F622C">
            <w:pPr>
              <w:rPr>
                <w:rFonts w:ascii="Times New Roman" w:hAnsi="Times New Roman" w:cs="Times New Roman"/>
                <w:sz w:val="24"/>
                <w:szCs w:val="24"/>
              </w:rPr>
            </w:pPr>
            <w:r w:rsidRPr="006F622C">
              <w:rPr>
                <w:rFonts w:ascii="Times New Roman" w:hAnsi="Times New Roman" w:cs="Times New Roman"/>
                <w:sz w:val="24"/>
                <w:szCs w:val="24"/>
              </w:rPr>
              <w:t xml:space="preserve">Timelines for Tier 1 &amp; 2 could be reduced </w:t>
            </w:r>
            <w:r w:rsidR="002662C8" w:rsidRPr="006F622C">
              <w:rPr>
                <w:rFonts w:ascii="Times New Roman" w:hAnsi="Times New Roman" w:cs="Times New Roman"/>
                <w:sz w:val="24"/>
                <w:szCs w:val="24"/>
              </w:rPr>
              <w:t>to 25</w:t>
            </w:r>
            <w:r w:rsidRPr="006F622C">
              <w:rPr>
                <w:rFonts w:ascii="Times New Roman" w:hAnsi="Times New Roman" w:cs="Times New Roman"/>
                <w:sz w:val="24"/>
                <w:szCs w:val="24"/>
              </w:rPr>
              <w:t xml:space="preserve"> days for Tier 1 and 30 days for Tier 2 without undue burden on larger utilities.</w:t>
            </w:r>
          </w:p>
          <w:p w:rsidR="006F622C" w:rsidRPr="006F622C" w:rsidRDefault="006F622C" w:rsidP="006F622C">
            <w:pPr>
              <w:rPr>
                <w:rFonts w:ascii="Times New Roman" w:hAnsi="Times New Roman" w:cs="Times New Roman"/>
                <w:sz w:val="24"/>
                <w:szCs w:val="24"/>
              </w:rPr>
            </w:pPr>
            <w:r w:rsidRPr="006F622C">
              <w:rPr>
                <w:rFonts w:ascii="Times New Roman" w:hAnsi="Times New Roman" w:cs="Times New Roman"/>
                <w:sz w:val="24"/>
                <w:szCs w:val="24"/>
              </w:rPr>
              <w:t xml:space="preserve">The restriction </w:t>
            </w:r>
            <w:r w:rsidR="002662C8" w:rsidRPr="006F622C">
              <w:rPr>
                <w:rFonts w:ascii="Times New Roman" w:hAnsi="Times New Roman" w:cs="Times New Roman"/>
                <w:sz w:val="24"/>
                <w:szCs w:val="24"/>
              </w:rPr>
              <w:t>of a</w:t>
            </w:r>
            <w:r w:rsidRPr="006F622C">
              <w:rPr>
                <w:rFonts w:ascii="Times New Roman" w:hAnsi="Times New Roman" w:cs="Times New Roman"/>
                <w:sz w:val="24"/>
                <w:szCs w:val="24"/>
              </w:rPr>
              <w:t xml:space="preserve"> maximum of 500kW for Tier 2 may be acceptable for small rural utilities.  However, IREC argues that the three WA IOU’s have larger overall systems and the cap could easily be raised to the national norm of 2 MW.</w:t>
            </w:r>
          </w:p>
          <w:p w:rsidR="00011905" w:rsidRDefault="00011905" w:rsidP="00CA170C">
            <w:pPr>
              <w:rPr>
                <w:rFonts w:ascii="Arial" w:hAnsi="Arial" w:cs="Arial"/>
                <w:sz w:val="24"/>
                <w:szCs w:val="24"/>
              </w:rPr>
            </w:pP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1D78D7" w:rsidRDefault="001D78D7" w:rsidP="009F5538">
            <w:pPr>
              <w:rPr>
                <w:rFonts w:ascii="Arial" w:hAnsi="Arial" w:cs="Arial"/>
                <w:sz w:val="24"/>
                <w:szCs w:val="24"/>
              </w:rPr>
            </w:pPr>
            <w:r>
              <w:rPr>
                <w:rFonts w:ascii="Arial" w:hAnsi="Arial" w:cs="Arial"/>
                <w:sz w:val="24"/>
                <w:szCs w:val="24"/>
              </w:rPr>
              <w:t>.</w:t>
            </w:r>
          </w:p>
          <w:p w:rsidR="00011905" w:rsidRDefault="00011905" w:rsidP="009F5538">
            <w:pPr>
              <w:rPr>
                <w:rFonts w:ascii="Arial" w:hAnsi="Arial" w:cs="Arial"/>
                <w:sz w:val="24"/>
                <w:szCs w:val="24"/>
              </w:rPr>
            </w:pPr>
          </w:p>
        </w:tc>
      </w:tr>
      <w:tr w:rsidR="00011905" w:rsidRPr="00FC59C9" w:rsidTr="001D78D7">
        <w:tc>
          <w:tcPr>
            <w:tcW w:w="1800" w:type="dxa"/>
          </w:tcPr>
          <w:p w:rsidR="00011905" w:rsidRPr="00F062EF" w:rsidRDefault="00F062EF" w:rsidP="00AD3312">
            <w:pPr>
              <w:rPr>
                <w:rFonts w:ascii="Arial" w:hAnsi="Arial" w:cs="Arial"/>
                <w:b/>
                <w:sz w:val="24"/>
                <w:szCs w:val="24"/>
              </w:rPr>
            </w:pPr>
            <w:r>
              <w:rPr>
                <w:rFonts w:ascii="Arial" w:hAnsi="Arial" w:cs="Arial"/>
                <w:b/>
                <w:sz w:val="24"/>
                <w:szCs w:val="24"/>
              </w:rPr>
              <w:t>EZ or Fast Track System</w:t>
            </w:r>
          </w:p>
        </w:tc>
        <w:tc>
          <w:tcPr>
            <w:tcW w:w="2430" w:type="dxa"/>
          </w:tcPr>
          <w:p w:rsidR="00011905" w:rsidRDefault="006F622C" w:rsidP="00AD3312">
            <w:pPr>
              <w:rPr>
                <w:rFonts w:ascii="Arial" w:hAnsi="Arial" w:cs="Arial"/>
                <w:sz w:val="24"/>
                <w:szCs w:val="24"/>
              </w:rPr>
            </w:pPr>
            <w:r>
              <w:rPr>
                <w:rFonts w:ascii="Arial" w:hAnsi="Arial" w:cs="Arial"/>
                <w:sz w:val="24"/>
                <w:szCs w:val="24"/>
              </w:rPr>
              <w:t>WA. Dept. of Commerce – (ESSP)</w:t>
            </w:r>
          </w:p>
        </w:tc>
        <w:tc>
          <w:tcPr>
            <w:tcW w:w="9450" w:type="dxa"/>
          </w:tcPr>
          <w:p w:rsidR="006F622C" w:rsidRPr="006F622C" w:rsidRDefault="006F622C" w:rsidP="006F622C">
            <w:pPr>
              <w:rPr>
                <w:rFonts w:ascii="Times New Roman" w:hAnsi="Times New Roman" w:cs="Times New Roman"/>
                <w:sz w:val="24"/>
                <w:szCs w:val="24"/>
              </w:rPr>
            </w:pPr>
            <w:r w:rsidRPr="006F622C">
              <w:rPr>
                <w:rFonts w:ascii="Times New Roman" w:hAnsi="Times New Roman" w:cs="Times New Roman"/>
                <w:sz w:val="24"/>
                <w:szCs w:val="24"/>
              </w:rPr>
              <w:t>Adopt a fast track for solar inverter-based interconnection within Tier 1.;</w:t>
            </w:r>
          </w:p>
          <w:p w:rsidR="006F622C" w:rsidRDefault="006F622C" w:rsidP="006F622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recommend a “fast track” interconnection for solar projects; </w:t>
            </w:r>
          </w:p>
          <w:p w:rsidR="006F622C" w:rsidRDefault="006F622C" w:rsidP="006F622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FERC has a 10 kW EZ process; </w:t>
            </w:r>
          </w:p>
          <w:p w:rsidR="006F622C" w:rsidRDefault="006F622C" w:rsidP="006F622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Some NW Utilities have a100 kW EZ process; </w:t>
            </w:r>
          </w:p>
          <w:p w:rsidR="007014A6" w:rsidRPr="006F622C" w:rsidRDefault="006F622C" w:rsidP="009F553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ESSP recommends all Tier 1., inverter interconnects be EZ (25 kW)</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E723AE" w:rsidP="00AD3312">
            <w:pPr>
              <w:rPr>
                <w:rFonts w:ascii="Arial" w:hAnsi="Arial" w:cs="Arial"/>
                <w:sz w:val="24"/>
                <w:szCs w:val="24"/>
              </w:rPr>
            </w:pPr>
            <w:r>
              <w:rPr>
                <w:rFonts w:ascii="Arial" w:hAnsi="Arial" w:cs="Arial"/>
                <w:sz w:val="24"/>
                <w:szCs w:val="24"/>
              </w:rPr>
              <w:t>Local Energy Alliance of WA.</w:t>
            </w:r>
          </w:p>
        </w:tc>
        <w:tc>
          <w:tcPr>
            <w:tcW w:w="9450" w:type="dxa"/>
          </w:tcPr>
          <w:p w:rsidR="00E723AE" w:rsidRPr="00E723AE" w:rsidRDefault="00E723AE" w:rsidP="00E723AE">
            <w:pPr>
              <w:rPr>
                <w:rFonts w:ascii="Times New Roman" w:hAnsi="Times New Roman" w:cs="Times New Roman"/>
                <w:b/>
                <w:sz w:val="24"/>
                <w:szCs w:val="24"/>
              </w:rPr>
            </w:pPr>
            <w:r w:rsidRPr="00E723AE">
              <w:rPr>
                <w:rFonts w:ascii="Times New Roman" w:hAnsi="Times New Roman" w:cs="Times New Roman"/>
                <w:sz w:val="24"/>
                <w:szCs w:val="24"/>
              </w:rPr>
              <w:t>Process: Simpler standard processes are needed to make DG a normal part of utility operations.</w:t>
            </w:r>
          </w:p>
          <w:p w:rsidR="001D78D7" w:rsidRDefault="001D78D7" w:rsidP="00AD3312">
            <w:pPr>
              <w:rPr>
                <w:rFonts w:ascii="Arial" w:hAnsi="Arial" w:cs="Arial"/>
                <w:sz w:val="24"/>
                <w:szCs w:val="24"/>
              </w:rPr>
            </w:pPr>
          </w:p>
          <w:p w:rsidR="009B4B6F" w:rsidRPr="00FC59C9" w:rsidRDefault="009B4B6F" w:rsidP="00CA170C">
            <w:pPr>
              <w:rPr>
                <w:rFonts w:ascii="Arial" w:hAnsi="Arial" w:cs="Arial"/>
                <w:sz w:val="24"/>
                <w:szCs w:val="24"/>
              </w:rPr>
            </w:pPr>
          </w:p>
        </w:tc>
      </w:tr>
      <w:tr w:rsidR="001D78D7" w:rsidRPr="00FC59C9" w:rsidTr="001D78D7">
        <w:tc>
          <w:tcPr>
            <w:tcW w:w="1800" w:type="dxa"/>
          </w:tcPr>
          <w:p w:rsidR="001D78D7" w:rsidRPr="00E723AE" w:rsidRDefault="00F062EF" w:rsidP="00AD3312">
            <w:pPr>
              <w:rPr>
                <w:rFonts w:ascii="Arial" w:hAnsi="Arial" w:cs="Arial"/>
                <w:b/>
                <w:sz w:val="24"/>
                <w:szCs w:val="24"/>
              </w:rPr>
            </w:pPr>
            <w:r>
              <w:rPr>
                <w:rFonts w:ascii="Arial" w:hAnsi="Arial" w:cs="Arial"/>
                <w:sz w:val="24"/>
                <w:szCs w:val="24"/>
              </w:rPr>
              <w:t xml:space="preserve"> </w:t>
            </w:r>
            <w:r w:rsidR="00E723AE">
              <w:rPr>
                <w:rFonts w:ascii="Arial" w:hAnsi="Arial" w:cs="Arial"/>
                <w:b/>
                <w:sz w:val="24"/>
                <w:szCs w:val="24"/>
              </w:rPr>
              <w:t>Standardized Forms &amp; Fees</w:t>
            </w:r>
          </w:p>
        </w:tc>
        <w:tc>
          <w:tcPr>
            <w:tcW w:w="2430" w:type="dxa"/>
          </w:tcPr>
          <w:p w:rsidR="001D78D7" w:rsidRPr="00FC59C9" w:rsidRDefault="006D0816" w:rsidP="00AD3312">
            <w:pPr>
              <w:rPr>
                <w:rFonts w:ascii="Arial" w:hAnsi="Arial" w:cs="Arial"/>
                <w:sz w:val="24"/>
                <w:szCs w:val="24"/>
              </w:rPr>
            </w:pPr>
            <w:r>
              <w:rPr>
                <w:rFonts w:ascii="Arial" w:hAnsi="Arial" w:cs="Arial"/>
                <w:sz w:val="24"/>
                <w:szCs w:val="24"/>
              </w:rPr>
              <w:t>Local Energy Alliance of WA.</w:t>
            </w:r>
          </w:p>
        </w:tc>
        <w:tc>
          <w:tcPr>
            <w:tcW w:w="9450" w:type="dxa"/>
          </w:tcPr>
          <w:p w:rsidR="00E723AE" w:rsidRPr="006D0816" w:rsidRDefault="00E723AE" w:rsidP="006D0816">
            <w:pPr>
              <w:rPr>
                <w:rFonts w:ascii="Times New Roman" w:hAnsi="Times New Roman" w:cs="Times New Roman"/>
                <w:b/>
                <w:sz w:val="24"/>
                <w:szCs w:val="24"/>
              </w:rPr>
            </w:pPr>
            <w:r w:rsidRPr="006D0816">
              <w:rPr>
                <w:rFonts w:ascii="Times New Roman" w:hAnsi="Times New Roman" w:cs="Times New Roman"/>
                <w:sz w:val="24"/>
                <w:szCs w:val="24"/>
              </w:rPr>
              <w:t>Unfortunately, for DG above 10 kW this approach appears to put all the burdens on the developer.  The developer has to pay full costs for: 1.) studies for the utility to understand their own utility system, 2.) studies to determine what upgrades are needed in the utility’s own system to accommodate DG proposals, 3.) pay for any upgrades, and 4.) fully insure the utility system for any possible damage from DG interconnection.</w:t>
            </w:r>
          </w:p>
          <w:p w:rsidR="00E723AE" w:rsidRDefault="00E723AE" w:rsidP="006D0816">
            <w:pPr>
              <w:rPr>
                <w:rFonts w:ascii="Times New Roman" w:hAnsi="Times New Roman" w:cs="Times New Roman"/>
                <w:sz w:val="24"/>
                <w:szCs w:val="24"/>
              </w:rPr>
            </w:pPr>
            <w:r w:rsidRPr="006D0816">
              <w:rPr>
                <w:rFonts w:ascii="Times New Roman" w:hAnsi="Times New Roman" w:cs="Times New Roman"/>
                <w:sz w:val="24"/>
                <w:szCs w:val="24"/>
              </w:rPr>
              <w:t>DG Advocates want: 1.) Clear standards</w:t>
            </w:r>
            <w:r w:rsidR="002662C8" w:rsidRPr="006D0816">
              <w:rPr>
                <w:rFonts w:ascii="Times New Roman" w:hAnsi="Times New Roman" w:cs="Times New Roman"/>
                <w:sz w:val="24"/>
                <w:szCs w:val="24"/>
              </w:rPr>
              <w:t>, 2</w:t>
            </w:r>
            <w:r w:rsidRPr="006D0816">
              <w:rPr>
                <w:rFonts w:ascii="Times New Roman" w:hAnsi="Times New Roman" w:cs="Times New Roman"/>
                <w:sz w:val="24"/>
                <w:szCs w:val="24"/>
              </w:rPr>
              <w:t>.) Defined process, 3.</w:t>
            </w:r>
            <w:r w:rsidR="002662C8" w:rsidRPr="006D0816">
              <w:rPr>
                <w:rFonts w:ascii="Times New Roman" w:hAnsi="Times New Roman" w:cs="Times New Roman"/>
                <w:sz w:val="24"/>
                <w:szCs w:val="24"/>
              </w:rPr>
              <w:t>) Reasonable</w:t>
            </w:r>
            <w:r w:rsidRPr="006D0816">
              <w:rPr>
                <w:rFonts w:ascii="Times New Roman" w:hAnsi="Times New Roman" w:cs="Times New Roman"/>
                <w:sz w:val="24"/>
                <w:szCs w:val="24"/>
              </w:rPr>
              <w:t xml:space="preserve"> cost and benefit sharing.  DG Advocates also want the State of WA to lead in creating more distributed, efficient, and reliable energy systems on a level playing field.</w:t>
            </w:r>
          </w:p>
          <w:p w:rsidR="006D0816" w:rsidRPr="006D0816" w:rsidRDefault="006D0816" w:rsidP="006D0816">
            <w:pPr>
              <w:rPr>
                <w:rFonts w:ascii="Times New Roman" w:hAnsi="Times New Roman" w:cs="Times New Roman"/>
                <w:b/>
                <w:sz w:val="24"/>
                <w:szCs w:val="24"/>
              </w:rPr>
            </w:pPr>
            <w:r w:rsidRPr="006D0816">
              <w:rPr>
                <w:rFonts w:ascii="Times New Roman" w:hAnsi="Times New Roman" w:cs="Times New Roman"/>
                <w:sz w:val="24"/>
                <w:szCs w:val="24"/>
              </w:rPr>
              <w:t>Studies:  Utilities have unlimited freedom to require studies of their own systems at applicants expense.</w:t>
            </w:r>
          </w:p>
          <w:p w:rsidR="006D0816" w:rsidRPr="006D0816" w:rsidRDefault="006D0816" w:rsidP="006D0816">
            <w:pPr>
              <w:rPr>
                <w:rFonts w:ascii="Times New Roman" w:hAnsi="Times New Roman" w:cs="Times New Roman"/>
                <w:sz w:val="24"/>
                <w:szCs w:val="24"/>
              </w:rPr>
            </w:pPr>
            <w:r w:rsidRPr="006D0816">
              <w:rPr>
                <w:rFonts w:ascii="Times New Roman" w:hAnsi="Times New Roman" w:cs="Times New Roman"/>
                <w:sz w:val="24"/>
                <w:szCs w:val="24"/>
              </w:rPr>
              <w:t xml:space="preserve">The proposed rule does not limit the utility’s ability to charge interconnection customers to pay for understanding the utility’s own system.  Bad outcome! ( should charge standard interconnection fees per KW) </w:t>
            </w:r>
          </w:p>
          <w:p w:rsidR="006D0816" w:rsidRPr="006D0816" w:rsidRDefault="006D0816" w:rsidP="006D0816">
            <w:pPr>
              <w:rPr>
                <w:rFonts w:ascii="Times New Roman" w:hAnsi="Times New Roman" w:cs="Times New Roman"/>
                <w:b/>
                <w:sz w:val="24"/>
                <w:szCs w:val="24"/>
              </w:rPr>
            </w:pPr>
            <w:r w:rsidRPr="006D0816">
              <w:rPr>
                <w:rFonts w:ascii="Times New Roman" w:hAnsi="Times New Roman" w:cs="Times New Roman"/>
                <w:sz w:val="24"/>
                <w:szCs w:val="24"/>
              </w:rPr>
              <w:t>Process: Simpler standard processes are needed to make DG a normal part of utility operations.</w:t>
            </w:r>
          </w:p>
          <w:p w:rsidR="006D0816" w:rsidRPr="006D0816" w:rsidRDefault="006D0816" w:rsidP="006D0816">
            <w:pPr>
              <w:rPr>
                <w:rFonts w:ascii="Times New Roman" w:hAnsi="Times New Roman" w:cs="Times New Roman"/>
                <w:b/>
                <w:sz w:val="24"/>
                <w:szCs w:val="24"/>
              </w:rPr>
            </w:pPr>
          </w:p>
          <w:p w:rsidR="009B4B6F" w:rsidRPr="00FC59C9" w:rsidRDefault="009B4B6F" w:rsidP="00787E3E">
            <w:pPr>
              <w:rPr>
                <w:rFonts w:ascii="Arial" w:hAnsi="Arial" w:cs="Arial"/>
                <w:sz w:val="24"/>
                <w:szCs w:val="24"/>
              </w:rPr>
            </w:pPr>
          </w:p>
        </w:tc>
      </w:tr>
      <w:tr w:rsidR="001D78D7" w:rsidRPr="00FC59C9" w:rsidTr="001D78D7">
        <w:tc>
          <w:tcPr>
            <w:tcW w:w="1800" w:type="dxa"/>
          </w:tcPr>
          <w:p w:rsidR="001D78D7" w:rsidRPr="00FC59C9" w:rsidRDefault="00F062EF" w:rsidP="00AD3312">
            <w:pPr>
              <w:rPr>
                <w:rFonts w:ascii="Arial" w:hAnsi="Arial" w:cs="Arial"/>
                <w:sz w:val="24"/>
                <w:szCs w:val="24"/>
              </w:rPr>
            </w:pPr>
            <w:r>
              <w:rPr>
                <w:rFonts w:ascii="Arial" w:hAnsi="Arial" w:cs="Arial"/>
                <w:sz w:val="24"/>
                <w:szCs w:val="24"/>
              </w:rPr>
              <w:t xml:space="preserve">  </w:t>
            </w:r>
          </w:p>
        </w:tc>
        <w:tc>
          <w:tcPr>
            <w:tcW w:w="2430" w:type="dxa"/>
          </w:tcPr>
          <w:p w:rsidR="001D78D7" w:rsidRPr="00FC59C9" w:rsidRDefault="006D0816" w:rsidP="00AD3312">
            <w:pPr>
              <w:rPr>
                <w:rFonts w:ascii="Arial" w:hAnsi="Arial" w:cs="Arial"/>
                <w:sz w:val="24"/>
                <w:szCs w:val="24"/>
              </w:rPr>
            </w:pPr>
            <w:r>
              <w:rPr>
                <w:rFonts w:ascii="Arial" w:hAnsi="Arial" w:cs="Arial"/>
                <w:sz w:val="24"/>
                <w:szCs w:val="24"/>
              </w:rPr>
              <w:t>Convivium Renewable Energy – (CRE)</w:t>
            </w:r>
          </w:p>
        </w:tc>
        <w:tc>
          <w:tcPr>
            <w:tcW w:w="9450" w:type="dxa"/>
          </w:tcPr>
          <w:p w:rsidR="006D0816" w:rsidRPr="006D0816" w:rsidRDefault="001D78D7" w:rsidP="006D0816">
            <w:pPr>
              <w:rPr>
                <w:rFonts w:ascii="Times New Roman" w:hAnsi="Times New Roman" w:cs="Times New Roman"/>
                <w:sz w:val="24"/>
                <w:szCs w:val="24"/>
              </w:rPr>
            </w:pPr>
            <w:r w:rsidRPr="006D0816">
              <w:rPr>
                <w:rFonts w:ascii="Arial" w:hAnsi="Arial" w:cs="Arial"/>
                <w:sz w:val="24"/>
                <w:szCs w:val="24"/>
              </w:rPr>
              <w:t>.</w:t>
            </w:r>
            <w:r w:rsidR="006D0816" w:rsidRPr="006D0816">
              <w:rPr>
                <w:rFonts w:ascii="Times New Roman" w:hAnsi="Times New Roman" w:cs="Times New Roman"/>
                <w:sz w:val="24"/>
                <w:szCs w:val="24"/>
              </w:rPr>
              <w:t xml:space="preserve"> Create standardized interconnection application fee schedule per KW basis for interconnections under 5 MW.  Fee structure should cover average costs of studies and processing costs for an application.</w:t>
            </w:r>
          </w:p>
          <w:p w:rsidR="006D0816" w:rsidRPr="006D0816" w:rsidRDefault="006D0816" w:rsidP="006D0816">
            <w:pPr>
              <w:rPr>
                <w:rFonts w:ascii="Times New Roman" w:hAnsi="Times New Roman" w:cs="Times New Roman"/>
                <w:sz w:val="24"/>
                <w:szCs w:val="24"/>
              </w:rPr>
            </w:pPr>
            <w:r w:rsidRPr="006D0816">
              <w:rPr>
                <w:rFonts w:ascii="Times New Roman" w:hAnsi="Times New Roman" w:cs="Times New Roman"/>
                <w:sz w:val="24"/>
                <w:szCs w:val="24"/>
              </w:rPr>
              <w:t>Utilities should develop average system cost structures for such DG system requirements as substation modification, changes in accounting systems, system wide studies, etc.  These costs could then be averaged out over a period of time on all interconnections, rather than a financial burden on the first few DG applications.  These in-direct costs could then also be shared with all other customer demands on the system over the same period.</w:t>
            </w:r>
          </w:p>
          <w:p w:rsidR="001D78D7" w:rsidRDefault="001D78D7" w:rsidP="00AD3312">
            <w:pPr>
              <w:rPr>
                <w:rFonts w:ascii="Arial" w:hAnsi="Arial" w:cs="Arial"/>
                <w:sz w:val="24"/>
                <w:szCs w:val="24"/>
              </w:rPr>
            </w:pPr>
          </w:p>
          <w:p w:rsidR="009B4B6F" w:rsidRPr="00FC59C9" w:rsidRDefault="009B4B6F" w:rsidP="00AD3312">
            <w:pPr>
              <w:rPr>
                <w:rFonts w:ascii="Arial" w:hAnsi="Arial" w:cs="Arial"/>
                <w:sz w:val="24"/>
                <w:szCs w:val="24"/>
              </w:rPr>
            </w:pPr>
          </w:p>
        </w:tc>
      </w:tr>
      <w:tr w:rsidR="009B4B6F" w:rsidRPr="00FC59C9" w:rsidTr="001D78D7">
        <w:tc>
          <w:tcPr>
            <w:tcW w:w="1800" w:type="dxa"/>
          </w:tcPr>
          <w:p w:rsidR="009B4B6F" w:rsidRPr="00FC59C9" w:rsidRDefault="009B4B6F" w:rsidP="00AD3312">
            <w:pPr>
              <w:rPr>
                <w:rFonts w:ascii="Arial" w:hAnsi="Arial" w:cs="Arial"/>
                <w:sz w:val="24"/>
                <w:szCs w:val="24"/>
              </w:rPr>
            </w:pPr>
          </w:p>
        </w:tc>
        <w:tc>
          <w:tcPr>
            <w:tcW w:w="2430" w:type="dxa"/>
          </w:tcPr>
          <w:p w:rsidR="009B4B6F" w:rsidRPr="00FC59C9" w:rsidRDefault="006D0816" w:rsidP="00AD3312">
            <w:pPr>
              <w:rPr>
                <w:rFonts w:ascii="Arial" w:hAnsi="Arial" w:cs="Arial"/>
                <w:sz w:val="24"/>
                <w:szCs w:val="24"/>
              </w:rPr>
            </w:pPr>
            <w:r>
              <w:rPr>
                <w:rFonts w:ascii="Arial" w:hAnsi="Arial" w:cs="Arial"/>
                <w:sz w:val="24"/>
                <w:szCs w:val="24"/>
              </w:rPr>
              <w:t xml:space="preserve">Interstate Renewable Energy </w:t>
            </w:r>
            <w:r>
              <w:rPr>
                <w:rFonts w:ascii="Arial" w:hAnsi="Arial" w:cs="Arial"/>
                <w:sz w:val="24"/>
                <w:szCs w:val="24"/>
              </w:rPr>
              <w:lastRenderedPageBreak/>
              <w:t>Council – IREC)</w:t>
            </w:r>
          </w:p>
        </w:tc>
        <w:tc>
          <w:tcPr>
            <w:tcW w:w="9450" w:type="dxa"/>
          </w:tcPr>
          <w:p w:rsidR="006D0816" w:rsidRPr="006D0816" w:rsidRDefault="006D0816" w:rsidP="006D0816">
            <w:pPr>
              <w:rPr>
                <w:rFonts w:ascii="Times New Roman" w:hAnsi="Times New Roman" w:cs="Times New Roman"/>
                <w:sz w:val="24"/>
                <w:szCs w:val="24"/>
              </w:rPr>
            </w:pPr>
            <w:r w:rsidRPr="006D0816">
              <w:rPr>
                <w:rFonts w:ascii="Times New Roman" w:hAnsi="Times New Roman" w:cs="Times New Roman"/>
                <w:sz w:val="24"/>
                <w:szCs w:val="24"/>
              </w:rPr>
              <w:lastRenderedPageBreak/>
              <w:t xml:space="preserve"> Standardized Application Forms and Interconnection Agreements should be required:  Allowing each  utility to design its own forms creates additional application costs and </w:t>
            </w:r>
            <w:r w:rsidRPr="006D0816">
              <w:rPr>
                <w:rFonts w:ascii="Times New Roman" w:hAnsi="Times New Roman" w:cs="Times New Roman"/>
                <w:sz w:val="24"/>
                <w:szCs w:val="24"/>
              </w:rPr>
              <w:lastRenderedPageBreak/>
              <w:t xml:space="preserve">confusion for applicants; It also allows for some </w:t>
            </w:r>
            <w:r w:rsidR="002662C8" w:rsidRPr="006D0816">
              <w:rPr>
                <w:rFonts w:ascii="Times New Roman" w:hAnsi="Times New Roman" w:cs="Times New Roman"/>
                <w:sz w:val="24"/>
                <w:szCs w:val="24"/>
              </w:rPr>
              <w:t>utilities</w:t>
            </w:r>
            <w:r w:rsidRPr="006D0816">
              <w:rPr>
                <w:rFonts w:ascii="Times New Roman" w:hAnsi="Times New Roman" w:cs="Times New Roman"/>
                <w:sz w:val="24"/>
                <w:szCs w:val="24"/>
              </w:rPr>
              <w:t xml:space="preserve"> to severely limit the ability to apply for an interconnected facility at all; Three suggested forms could be used as templates, Puget Sound Energy, OR rules, &amp; SGIP; Under all conditions a standardized Interconnection Agreement should be required not just suggested to be developed on an application by application basis; </w:t>
            </w:r>
          </w:p>
          <w:p w:rsidR="006D0816" w:rsidRPr="006D0816" w:rsidRDefault="006D0816" w:rsidP="006D0816">
            <w:pPr>
              <w:rPr>
                <w:rFonts w:ascii="Times New Roman" w:hAnsi="Times New Roman" w:cs="Times New Roman"/>
                <w:sz w:val="24"/>
                <w:szCs w:val="24"/>
              </w:rPr>
            </w:pPr>
            <w:r w:rsidRPr="006D0816">
              <w:rPr>
                <w:rFonts w:ascii="Times New Roman" w:hAnsi="Times New Roman" w:cs="Times New Roman"/>
                <w:sz w:val="24"/>
                <w:szCs w:val="24"/>
              </w:rPr>
              <w:t>Application Fees need be specified:  Most states use some form of average cost of processing application; OR fee structure is the same as WA current rates and are $100 for Tier #1; $500 for Tier #2; and $1000 for Tier #3 (WA has no Tier #3 fee)</w:t>
            </w:r>
            <w:r w:rsidR="002662C8" w:rsidRPr="006D0816">
              <w:rPr>
                <w:rFonts w:ascii="Times New Roman" w:hAnsi="Times New Roman" w:cs="Times New Roman"/>
                <w:sz w:val="24"/>
                <w:szCs w:val="24"/>
              </w:rPr>
              <w:t>; Some</w:t>
            </w:r>
            <w:r w:rsidRPr="006D0816">
              <w:rPr>
                <w:rFonts w:ascii="Times New Roman" w:hAnsi="Times New Roman" w:cs="Times New Roman"/>
                <w:sz w:val="24"/>
                <w:szCs w:val="24"/>
              </w:rPr>
              <w:t xml:space="preserve"> states have a fee structure per kW, so larger and more complex facilities are assessed higher fees.</w:t>
            </w:r>
          </w:p>
          <w:p w:rsidR="006D0816" w:rsidRPr="00CA314E" w:rsidRDefault="006D0816" w:rsidP="006D0816">
            <w:pPr>
              <w:pStyle w:val="ListParagraph"/>
              <w:ind w:left="3600"/>
              <w:rPr>
                <w:rFonts w:ascii="Times New Roman" w:hAnsi="Times New Roman" w:cs="Times New Roman"/>
                <w:sz w:val="24"/>
                <w:szCs w:val="24"/>
              </w:rPr>
            </w:pPr>
          </w:p>
          <w:p w:rsidR="009B4B6F" w:rsidRPr="00FC59C9" w:rsidRDefault="009B4B6F" w:rsidP="00AD3312">
            <w:pPr>
              <w:rPr>
                <w:rFonts w:ascii="Arial" w:hAnsi="Arial" w:cs="Arial"/>
                <w:sz w:val="24"/>
                <w:szCs w:val="24"/>
              </w:rPr>
            </w:pPr>
          </w:p>
        </w:tc>
      </w:tr>
      <w:tr w:rsidR="009B4B6F" w:rsidRPr="00FC59C9" w:rsidTr="001D78D7">
        <w:tc>
          <w:tcPr>
            <w:tcW w:w="1800" w:type="dxa"/>
          </w:tcPr>
          <w:p w:rsidR="009B4B6F" w:rsidRPr="00FC59C9" w:rsidRDefault="009B4B6F" w:rsidP="00AD3312">
            <w:pPr>
              <w:rPr>
                <w:rFonts w:ascii="Arial" w:hAnsi="Arial" w:cs="Arial"/>
                <w:sz w:val="24"/>
                <w:szCs w:val="24"/>
              </w:rPr>
            </w:pPr>
          </w:p>
        </w:tc>
        <w:tc>
          <w:tcPr>
            <w:tcW w:w="2430" w:type="dxa"/>
          </w:tcPr>
          <w:p w:rsidR="009B4B6F" w:rsidRPr="00FC59C9" w:rsidRDefault="009B4B6F" w:rsidP="00AD3312">
            <w:pPr>
              <w:rPr>
                <w:rFonts w:ascii="Arial" w:hAnsi="Arial" w:cs="Arial"/>
                <w:sz w:val="24"/>
                <w:szCs w:val="24"/>
              </w:rPr>
            </w:pPr>
          </w:p>
        </w:tc>
        <w:tc>
          <w:tcPr>
            <w:tcW w:w="9450" w:type="dxa"/>
          </w:tcPr>
          <w:p w:rsidR="007014A6" w:rsidRPr="00FC59C9" w:rsidRDefault="007014A6" w:rsidP="00CA170C">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1D78D7" w:rsidRPr="00FC59C9" w:rsidRDefault="001D78D7" w:rsidP="00AD3312">
            <w:pPr>
              <w:rPr>
                <w:rFonts w:ascii="Arial" w:hAnsi="Arial" w:cs="Arial"/>
                <w:sz w:val="24"/>
                <w:szCs w:val="24"/>
              </w:rPr>
            </w:pPr>
            <w:r>
              <w:rPr>
                <w:rFonts w:ascii="Arial" w:hAnsi="Arial" w:cs="Arial"/>
                <w:sz w:val="24"/>
                <w:szCs w:val="24"/>
              </w:rPr>
              <w:t xml:space="preserve"> </w:t>
            </w:r>
          </w:p>
        </w:tc>
      </w:tr>
      <w:tr w:rsidR="001D78D7" w:rsidRPr="00FC59C9" w:rsidTr="001D78D7">
        <w:tc>
          <w:tcPr>
            <w:tcW w:w="13680" w:type="dxa"/>
            <w:gridSpan w:val="3"/>
          </w:tcPr>
          <w:p w:rsidR="001D78D7" w:rsidRPr="008609E1" w:rsidRDefault="00F062EF" w:rsidP="00446455">
            <w:pPr>
              <w:spacing w:before="120" w:after="120"/>
              <w:rPr>
                <w:rFonts w:ascii="Arial" w:hAnsi="Arial" w:cs="Arial"/>
                <w:b/>
                <w:sz w:val="24"/>
                <w:szCs w:val="24"/>
              </w:rPr>
            </w:pPr>
            <w:r>
              <w:rPr>
                <w:rFonts w:ascii="Arial" w:hAnsi="Arial" w:cs="Arial"/>
                <w:b/>
                <w:sz w:val="24"/>
                <w:szCs w:val="24"/>
              </w:rPr>
              <w:t xml:space="preserve">Specifics – 4. </w:t>
            </w:r>
            <w:r w:rsidR="009D4094">
              <w:rPr>
                <w:rFonts w:ascii="Arial" w:hAnsi="Arial" w:cs="Arial"/>
                <w:b/>
                <w:sz w:val="24"/>
                <w:szCs w:val="24"/>
              </w:rPr>
              <w:t>Direct Transfer Trip (DTT)</w:t>
            </w: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E1F74" w:rsidP="00AD3312">
            <w:pPr>
              <w:rPr>
                <w:rFonts w:ascii="Arial" w:hAnsi="Arial" w:cs="Arial"/>
                <w:sz w:val="24"/>
                <w:szCs w:val="24"/>
              </w:rPr>
            </w:pPr>
            <w:r>
              <w:rPr>
                <w:rFonts w:ascii="Arial" w:hAnsi="Arial" w:cs="Arial"/>
                <w:sz w:val="24"/>
                <w:szCs w:val="24"/>
              </w:rPr>
              <w:t>Local Energy Alliance of WA.</w:t>
            </w:r>
          </w:p>
        </w:tc>
        <w:tc>
          <w:tcPr>
            <w:tcW w:w="9450" w:type="dxa"/>
          </w:tcPr>
          <w:p w:rsidR="006E1F74" w:rsidRPr="006E1F74" w:rsidRDefault="006E1F74" w:rsidP="006E1F74">
            <w:pPr>
              <w:rPr>
                <w:rFonts w:ascii="Times New Roman" w:hAnsi="Times New Roman" w:cs="Times New Roman"/>
                <w:b/>
                <w:sz w:val="24"/>
                <w:szCs w:val="24"/>
              </w:rPr>
            </w:pPr>
            <w:r w:rsidRPr="006E1F74">
              <w:rPr>
                <w:rFonts w:ascii="Times New Roman" w:hAnsi="Times New Roman" w:cs="Times New Roman"/>
                <w:sz w:val="24"/>
                <w:szCs w:val="24"/>
              </w:rPr>
              <w:t>Direct Transfer Trip:  Requires the direct transfer trip as a policy.  Should be only in cases of proven need.</w:t>
            </w:r>
          </w:p>
          <w:p w:rsidR="009B4B6F" w:rsidRPr="00FC59C9" w:rsidRDefault="009B4B6F"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6E1F74" w:rsidP="00070268">
            <w:pPr>
              <w:rPr>
                <w:rFonts w:ascii="Arial" w:hAnsi="Arial" w:cs="Arial"/>
                <w:sz w:val="24"/>
                <w:szCs w:val="24"/>
              </w:rPr>
            </w:pPr>
            <w:r>
              <w:rPr>
                <w:rFonts w:ascii="Arial" w:hAnsi="Arial" w:cs="Arial"/>
                <w:sz w:val="24"/>
                <w:szCs w:val="24"/>
              </w:rPr>
              <w:t>Convivium Renewable Energy – (CRE)</w:t>
            </w:r>
          </w:p>
        </w:tc>
        <w:tc>
          <w:tcPr>
            <w:tcW w:w="9450" w:type="dxa"/>
          </w:tcPr>
          <w:p w:rsidR="006E1F74" w:rsidRPr="006E1F74" w:rsidRDefault="006E1F74" w:rsidP="006E1F74">
            <w:pPr>
              <w:rPr>
                <w:rFonts w:ascii="Times New Roman" w:hAnsi="Times New Roman" w:cs="Times New Roman"/>
                <w:b/>
                <w:sz w:val="24"/>
                <w:szCs w:val="24"/>
              </w:rPr>
            </w:pPr>
            <w:r w:rsidRPr="006E1F74">
              <w:rPr>
                <w:rFonts w:ascii="Times New Roman" w:hAnsi="Times New Roman" w:cs="Times New Roman"/>
                <w:sz w:val="24"/>
                <w:szCs w:val="24"/>
              </w:rPr>
              <w:t>Pleased with “direct transfer trip” portion of the proposed rule.</w:t>
            </w:r>
          </w:p>
          <w:p w:rsidR="009B4B6F" w:rsidRPr="00FC59C9" w:rsidRDefault="009B4B6F" w:rsidP="00070268">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9B4B6F" w:rsidRPr="00FC59C9" w:rsidRDefault="009B4B6F" w:rsidP="00B718BB">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Pr="00FC59C9" w:rsidRDefault="001D78D7" w:rsidP="00AD3312">
            <w:pPr>
              <w:rPr>
                <w:rFonts w:ascii="Arial" w:hAnsi="Arial" w:cs="Arial"/>
                <w:sz w:val="24"/>
                <w:szCs w:val="24"/>
              </w:rPr>
            </w:pPr>
          </w:p>
        </w:tc>
        <w:tc>
          <w:tcPr>
            <w:tcW w:w="9450" w:type="dxa"/>
          </w:tcPr>
          <w:p w:rsidR="009B4B6F" w:rsidRPr="00FC59C9" w:rsidRDefault="009B4B6F" w:rsidP="009D4094">
            <w:pPr>
              <w:rPr>
                <w:rFonts w:ascii="Arial" w:hAnsi="Arial" w:cs="Arial"/>
                <w:sz w:val="24"/>
                <w:szCs w:val="24"/>
              </w:rPr>
            </w:pPr>
          </w:p>
        </w:tc>
      </w:tr>
      <w:tr w:rsidR="001D78D7" w:rsidRPr="00FC59C9" w:rsidTr="001D78D7">
        <w:tc>
          <w:tcPr>
            <w:tcW w:w="13680" w:type="dxa"/>
            <w:gridSpan w:val="3"/>
          </w:tcPr>
          <w:p w:rsidR="001D78D7" w:rsidRPr="008609E1" w:rsidRDefault="00F062EF" w:rsidP="00446455">
            <w:pPr>
              <w:spacing w:before="120" w:after="120"/>
              <w:rPr>
                <w:rFonts w:ascii="Arial" w:hAnsi="Arial" w:cs="Arial"/>
                <w:b/>
                <w:sz w:val="24"/>
                <w:szCs w:val="24"/>
              </w:rPr>
            </w:pPr>
            <w:r>
              <w:rPr>
                <w:rFonts w:ascii="Arial" w:hAnsi="Arial" w:cs="Arial"/>
                <w:b/>
                <w:sz w:val="24"/>
                <w:szCs w:val="24"/>
              </w:rPr>
              <w:t xml:space="preserve">Specifics – 5. </w:t>
            </w:r>
            <w:r w:rsidR="001D78D7" w:rsidRPr="008609E1">
              <w:rPr>
                <w:rFonts w:ascii="Arial" w:hAnsi="Arial" w:cs="Arial"/>
                <w:b/>
                <w:sz w:val="24"/>
                <w:szCs w:val="24"/>
              </w:rPr>
              <w:t>Other Topics</w:t>
            </w:r>
          </w:p>
        </w:tc>
      </w:tr>
      <w:tr w:rsidR="001D78D7" w:rsidRPr="00FC59C9" w:rsidTr="001D78D7">
        <w:tc>
          <w:tcPr>
            <w:tcW w:w="1800" w:type="dxa"/>
          </w:tcPr>
          <w:p w:rsidR="001D78D7" w:rsidRPr="00F062EF" w:rsidRDefault="00F062EF" w:rsidP="00F062EF">
            <w:pPr>
              <w:rPr>
                <w:rFonts w:ascii="Arial" w:hAnsi="Arial" w:cs="Arial"/>
                <w:b/>
                <w:sz w:val="24"/>
                <w:szCs w:val="24"/>
              </w:rPr>
            </w:pPr>
            <w:r>
              <w:rPr>
                <w:rFonts w:ascii="Arial" w:hAnsi="Arial" w:cs="Arial"/>
                <w:b/>
                <w:sz w:val="24"/>
                <w:szCs w:val="24"/>
              </w:rPr>
              <w:t>A.</w:t>
            </w:r>
            <w:r w:rsidR="009D4094" w:rsidRPr="00F062EF">
              <w:rPr>
                <w:rFonts w:ascii="Arial" w:hAnsi="Arial" w:cs="Arial"/>
                <w:b/>
                <w:sz w:val="24"/>
                <w:szCs w:val="24"/>
              </w:rPr>
              <w:t>Third Party Ownership</w:t>
            </w:r>
          </w:p>
        </w:tc>
        <w:tc>
          <w:tcPr>
            <w:tcW w:w="2430" w:type="dxa"/>
          </w:tcPr>
          <w:p w:rsidR="001D78D7" w:rsidRPr="00FC59C9" w:rsidRDefault="000B6260" w:rsidP="00AD3312">
            <w:pPr>
              <w:rPr>
                <w:rFonts w:ascii="Arial" w:hAnsi="Arial" w:cs="Arial"/>
                <w:sz w:val="24"/>
                <w:szCs w:val="24"/>
              </w:rPr>
            </w:pPr>
            <w:r>
              <w:rPr>
                <w:rFonts w:ascii="Arial" w:hAnsi="Arial" w:cs="Arial"/>
                <w:sz w:val="24"/>
                <w:szCs w:val="24"/>
              </w:rPr>
              <w:t>Solar City – (SC)</w:t>
            </w:r>
          </w:p>
        </w:tc>
        <w:tc>
          <w:tcPr>
            <w:tcW w:w="9450" w:type="dxa"/>
          </w:tcPr>
          <w:p w:rsidR="000B6260" w:rsidRPr="000B6260" w:rsidRDefault="000B6260" w:rsidP="000B6260">
            <w:pPr>
              <w:rPr>
                <w:rFonts w:ascii="Times New Roman" w:hAnsi="Times New Roman" w:cs="Times New Roman"/>
                <w:b/>
                <w:sz w:val="24"/>
                <w:szCs w:val="24"/>
              </w:rPr>
            </w:pPr>
            <w:r w:rsidRPr="000B6260">
              <w:rPr>
                <w:rFonts w:ascii="Times New Roman" w:hAnsi="Times New Roman" w:cs="Times New Roman"/>
                <w:sz w:val="24"/>
                <w:szCs w:val="24"/>
              </w:rPr>
              <w:t xml:space="preserve">Request single change to allow the definition of “customer generator” to be changed to include third party owners; </w:t>
            </w:r>
          </w:p>
          <w:p w:rsidR="000B6260" w:rsidRPr="000B6260" w:rsidRDefault="000B6260" w:rsidP="000B6260">
            <w:pPr>
              <w:rPr>
                <w:rFonts w:ascii="Times New Roman" w:hAnsi="Times New Roman" w:cs="Times New Roman"/>
                <w:b/>
                <w:sz w:val="24"/>
                <w:szCs w:val="24"/>
              </w:rPr>
            </w:pPr>
            <w:r w:rsidRPr="000B6260">
              <w:rPr>
                <w:rFonts w:ascii="Times New Roman" w:hAnsi="Times New Roman" w:cs="Times New Roman"/>
                <w:sz w:val="24"/>
                <w:szCs w:val="24"/>
              </w:rPr>
              <w:t xml:space="preserve">third part owners would be investors leasing facilities to the homeowners and/or arrange for power purchases; </w:t>
            </w:r>
          </w:p>
          <w:p w:rsidR="000B6260" w:rsidRPr="000B6260" w:rsidRDefault="000B6260" w:rsidP="000B6260">
            <w:pPr>
              <w:rPr>
                <w:rFonts w:ascii="Times New Roman" w:hAnsi="Times New Roman" w:cs="Times New Roman"/>
                <w:b/>
                <w:sz w:val="24"/>
                <w:szCs w:val="24"/>
              </w:rPr>
            </w:pPr>
            <w:r w:rsidRPr="000B6260">
              <w:rPr>
                <w:rFonts w:ascii="Times New Roman" w:hAnsi="Times New Roman" w:cs="Times New Roman"/>
                <w:sz w:val="24"/>
                <w:szCs w:val="24"/>
              </w:rPr>
              <w:t xml:space="preserve">would allow for extensive expansion of the market base for single-family dwellings to participate in solar installations; </w:t>
            </w:r>
          </w:p>
          <w:p w:rsidR="000B6260" w:rsidRPr="00062ADF" w:rsidRDefault="000B6260" w:rsidP="000B6260">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lastRenderedPageBreak/>
              <w:t xml:space="preserve">believes that UTC has authority to clarify third party ownership in the rule by definition; </w:t>
            </w:r>
          </w:p>
          <w:p w:rsidR="000B6260" w:rsidRDefault="002662C8" w:rsidP="000B6260">
            <w:pPr>
              <w:pStyle w:val="ListParagraph"/>
              <w:numPr>
                <w:ilvl w:val="0"/>
                <w:numId w:val="24"/>
              </w:numPr>
              <w:rPr>
                <w:rFonts w:ascii="Times New Roman" w:hAnsi="Times New Roman" w:cs="Times New Roman"/>
                <w:b/>
                <w:sz w:val="24"/>
                <w:szCs w:val="24"/>
              </w:rPr>
            </w:pPr>
            <w:r>
              <w:rPr>
                <w:rFonts w:ascii="Times New Roman" w:hAnsi="Times New Roman" w:cs="Times New Roman"/>
                <w:sz w:val="24"/>
                <w:szCs w:val="24"/>
              </w:rPr>
              <w:t>Third party owners are</w:t>
            </w:r>
            <w:r w:rsidR="000B6260">
              <w:rPr>
                <w:rFonts w:ascii="Times New Roman" w:hAnsi="Times New Roman" w:cs="Times New Roman"/>
                <w:sz w:val="24"/>
                <w:szCs w:val="24"/>
              </w:rPr>
              <w:t xml:space="preserve"> endorsed by National Governors Association as a top ten innovation to help advance renewable energy goals.</w:t>
            </w:r>
          </w:p>
          <w:p w:rsidR="000B6260" w:rsidRDefault="000B6260" w:rsidP="000B6260">
            <w:pPr>
              <w:rPr>
                <w:rFonts w:ascii="Times New Roman" w:hAnsi="Times New Roman" w:cs="Times New Roman"/>
                <w:b/>
                <w:sz w:val="24"/>
                <w:szCs w:val="24"/>
              </w:rPr>
            </w:pPr>
          </w:p>
          <w:p w:rsidR="009B4B6F" w:rsidRPr="00FC59C9" w:rsidRDefault="009B4B6F" w:rsidP="009D4094">
            <w:pPr>
              <w:rPr>
                <w:rFonts w:ascii="Arial" w:hAnsi="Arial" w:cs="Arial"/>
                <w:sz w:val="24"/>
                <w:szCs w:val="24"/>
              </w:rPr>
            </w:pPr>
          </w:p>
        </w:tc>
      </w:tr>
      <w:tr w:rsidR="000B6260" w:rsidRPr="00FC59C9" w:rsidTr="001D78D7">
        <w:tc>
          <w:tcPr>
            <w:tcW w:w="1800" w:type="dxa"/>
          </w:tcPr>
          <w:p w:rsidR="000B6260" w:rsidRDefault="000B6260" w:rsidP="00F062EF">
            <w:pPr>
              <w:rPr>
                <w:rFonts w:ascii="Arial" w:hAnsi="Arial" w:cs="Arial"/>
                <w:b/>
                <w:sz w:val="24"/>
                <w:szCs w:val="24"/>
              </w:rPr>
            </w:pPr>
          </w:p>
        </w:tc>
        <w:tc>
          <w:tcPr>
            <w:tcW w:w="2430" w:type="dxa"/>
          </w:tcPr>
          <w:p w:rsidR="000B6260" w:rsidRDefault="000B6260" w:rsidP="00AD3312">
            <w:pPr>
              <w:rPr>
                <w:rFonts w:ascii="Arial" w:hAnsi="Arial" w:cs="Arial"/>
                <w:sz w:val="24"/>
                <w:szCs w:val="24"/>
              </w:rPr>
            </w:pPr>
            <w:r>
              <w:rPr>
                <w:rFonts w:ascii="Arial" w:hAnsi="Arial" w:cs="Arial"/>
                <w:sz w:val="24"/>
                <w:szCs w:val="24"/>
              </w:rPr>
              <w:t xml:space="preserve">Interstate </w:t>
            </w:r>
            <w:r w:rsidR="002662C8">
              <w:rPr>
                <w:rFonts w:ascii="Arial" w:hAnsi="Arial" w:cs="Arial"/>
                <w:sz w:val="24"/>
                <w:szCs w:val="24"/>
              </w:rPr>
              <w:t>Renewable</w:t>
            </w:r>
            <w:r>
              <w:rPr>
                <w:rFonts w:ascii="Arial" w:hAnsi="Arial" w:cs="Arial"/>
                <w:sz w:val="24"/>
                <w:szCs w:val="24"/>
              </w:rPr>
              <w:t xml:space="preserve"> Energy Council – (IREC)</w:t>
            </w:r>
          </w:p>
        </w:tc>
        <w:tc>
          <w:tcPr>
            <w:tcW w:w="9450" w:type="dxa"/>
          </w:tcPr>
          <w:p w:rsidR="000B6260" w:rsidRPr="000B6260" w:rsidRDefault="000B6260" w:rsidP="000B6260">
            <w:pPr>
              <w:rPr>
                <w:rFonts w:ascii="Times New Roman" w:hAnsi="Times New Roman" w:cs="Times New Roman"/>
                <w:sz w:val="24"/>
                <w:szCs w:val="24"/>
              </w:rPr>
            </w:pPr>
            <w:r w:rsidRPr="000B6260">
              <w:rPr>
                <w:rFonts w:ascii="Times New Roman" w:hAnsi="Times New Roman" w:cs="Times New Roman"/>
                <w:sz w:val="24"/>
                <w:szCs w:val="24"/>
              </w:rPr>
              <w:t>Third Party Ownership(TPO):</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UTC could quadruple the number of interconnected renewable energy facilities in WA by allowing third party ownership.</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Third party ownership is the dominant national model for new solar energy facilities either through leasing arrangements or retail power purchases.</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Solar arrays on residential and small commercial establishments can be prohibitive without third party investment.</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model rule work group decided this was a policy issue beyond the scope of their charge.</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In many states, the utility commissions and/or the legislators have found that third party owners are not Public Utilities.  </w:t>
            </w:r>
            <w:r w:rsidR="002662C8">
              <w:rPr>
                <w:rFonts w:ascii="Times New Roman" w:hAnsi="Times New Roman" w:cs="Times New Roman"/>
                <w:sz w:val="24"/>
                <w:szCs w:val="24"/>
              </w:rPr>
              <w:t>This allows for the utility commissions to allow TPO to be permitted in interconnection rules.</w:t>
            </w:r>
          </w:p>
          <w:p w:rsidR="000B6260" w:rsidRDefault="000B6260" w:rsidP="000B626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IREC suggests that the UTC could provide a definition of Interconnection Customer as “A net metered Interconnection Customer may lease </w:t>
            </w:r>
            <w:r w:rsidR="002662C8">
              <w:rPr>
                <w:rFonts w:ascii="Times New Roman" w:hAnsi="Times New Roman" w:cs="Times New Roman"/>
                <w:sz w:val="24"/>
                <w:szCs w:val="24"/>
              </w:rPr>
              <w:t>from, or</w:t>
            </w:r>
            <w:r>
              <w:rPr>
                <w:rFonts w:ascii="Times New Roman" w:hAnsi="Times New Roman" w:cs="Times New Roman"/>
                <w:sz w:val="24"/>
                <w:szCs w:val="24"/>
              </w:rPr>
              <w:t xml:space="preserve"> purchase power from, a third party owner of an on-site generating facility.”</w:t>
            </w:r>
          </w:p>
          <w:p w:rsidR="000B6260" w:rsidRPr="000B6260" w:rsidRDefault="000B6260" w:rsidP="000B6260">
            <w:pPr>
              <w:rPr>
                <w:rFonts w:ascii="Times New Roman" w:hAnsi="Times New Roman" w:cs="Times New Roman"/>
                <w:sz w:val="24"/>
                <w:szCs w:val="24"/>
              </w:rPr>
            </w:pPr>
          </w:p>
        </w:tc>
      </w:tr>
      <w:tr w:rsidR="001D78D7" w:rsidRPr="00FC59C9" w:rsidTr="001D78D7">
        <w:tc>
          <w:tcPr>
            <w:tcW w:w="1800" w:type="dxa"/>
          </w:tcPr>
          <w:p w:rsidR="001D78D7" w:rsidRPr="009D4094" w:rsidRDefault="00F062EF" w:rsidP="009B4B6F">
            <w:pPr>
              <w:rPr>
                <w:rFonts w:ascii="Arial" w:hAnsi="Arial" w:cs="Arial"/>
                <w:b/>
                <w:sz w:val="24"/>
                <w:szCs w:val="24"/>
              </w:rPr>
            </w:pPr>
            <w:r>
              <w:rPr>
                <w:rFonts w:ascii="Arial" w:hAnsi="Arial" w:cs="Arial"/>
                <w:b/>
                <w:sz w:val="24"/>
                <w:szCs w:val="24"/>
              </w:rPr>
              <w:t xml:space="preserve">B. </w:t>
            </w:r>
            <w:r w:rsidR="004271E7">
              <w:rPr>
                <w:rFonts w:ascii="Arial" w:hAnsi="Arial" w:cs="Arial"/>
                <w:b/>
                <w:sz w:val="24"/>
                <w:szCs w:val="24"/>
              </w:rPr>
              <w:t>Responses to 7 Questions in Request for Comments</w:t>
            </w:r>
          </w:p>
        </w:tc>
        <w:tc>
          <w:tcPr>
            <w:tcW w:w="2430" w:type="dxa"/>
          </w:tcPr>
          <w:p w:rsidR="001D78D7" w:rsidRPr="00FC59C9" w:rsidRDefault="00DF2147" w:rsidP="00AD3312">
            <w:pPr>
              <w:rPr>
                <w:rFonts w:ascii="Arial" w:hAnsi="Arial" w:cs="Arial"/>
                <w:sz w:val="24"/>
                <w:szCs w:val="24"/>
              </w:rPr>
            </w:pPr>
            <w:r>
              <w:rPr>
                <w:rFonts w:ascii="Arial" w:hAnsi="Arial" w:cs="Arial"/>
                <w:sz w:val="24"/>
                <w:szCs w:val="24"/>
              </w:rPr>
              <w:t>Q, #1 – Does model rules comply with L &amp; I Safety Rules?</w:t>
            </w:r>
          </w:p>
        </w:tc>
        <w:tc>
          <w:tcPr>
            <w:tcW w:w="9450" w:type="dxa"/>
          </w:tcPr>
          <w:p w:rsidR="001D78D7" w:rsidRPr="00FC59C9" w:rsidRDefault="00DF2147" w:rsidP="004B725D">
            <w:pPr>
              <w:rPr>
                <w:rFonts w:ascii="Arial" w:hAnsi="Arial" w:cs="Arial"/>
                <w:sz w:val="24"/>
                <w:szCs w:val="24"/>
              </w:rPr>
            </w:pPr>
            <w:r>
              <w:rPr>
                <w:rFonts w:ascii="Arial" w:hAnsi="Arial" w:cs="Arial"/>
                <w:sz w:val="24"/>
                <w:szCs w:val="24"/>
              </w:rPr>
              <w:t>Most responders agree that they believe it does comply with L &amp; I Safety Rules.  However, one suggested UTC just ask L &amp; I to directly verify compliance.</w:t>
            </w: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DF2147" w:rsidP="00AD3312">
            <w:pPr>
              <w:rPr>
                <w:rFonts w:ascii="Arial" w:hAnsi="Arial" w:cs="Arial"/>
                <w:sz w:val="24"/>
                <w:szCs w:val="24"/>
              </w:rPr>
            </w:pPr>
            <w:r>
              <w:rPr>
                <w:rFonts w:ascii="Arial" w:hAnsi="Arial" w:cs="Arial"/>
                <w:sz w:val="24"/>
                <w:szCs w:val="24"/>
              </w:rPr>
              <w:t>Q, #2 thru Q, #4</w:t>
            </w:r>
          </w:p>
        </w:tc>
        <w:tc>
          <w:tcPr>
            <w:tcW w:w="9450" w:type="dxa"/>
          </w:tcPr>
          <w:p w:rsidR="009B4B6F" w:rsidRDefault="00DF2147" w:rsidP="00AD3312">
            <w:pPr>
              <w:rPr>
                <w:rFonts w:ascii="Arial" w:hAnsi="Arial" w:cs="Arial"/>
                <w:sz w:val="24"/>
                <w:szCs w:val="24"/>
              </w:rPr>
            </w:pPr>
            <w:r>
              <w:rPr>
                <w:rFonts w:ascii="Arial" w:hAnsi="Arial" w:cs="Arial"/>
                <w:sz w:val="24"/>
                <w:szCs w:val="24"/>
              </w:rPr>
              <w:t>Resolved, need no further action.</w:t>
            </w:r>
          </w:p>
        </w:tc>
      </w:tr>
      <w:tr w:rsidR="001D78D7" w:rsidRPr="00FC59C9" w:rsidTr="001D78D7">
        <w:tc>
          <w:tcPr>
            <w:tcW w:w="1800" w:type="dxa"/>
          </w:tcPr>
          <w:p w:rsidR="001D78D7" w:rsidRDefault="001D78D7" w:rsidP="00AD3312">
            <w:pPr>
              <w:rPr>
                <w:rFonts w:ascii="Arial" w:hAnsi="Arial" w:cs="Arial"/>
                <w:sz w:val="24"/>
                <w:szCs w:val="24"/>
              </w:rPr>
            </w:pPr>
          </w:p>
        </w:tc>
        <w:tc>
          <w:tcPr>
            <w:tcW w:w="2430" w:type="dxa"/>
          </w:tcPr>
          <w:p w:rsidR="001D78D7" w:rsidRDefault="00DF2147" w:rsidP="00AD3312">
            <w:pPr>
              <w:rPr>
                <w:rFonts w:ascii="Arial" w:hAnsi="Arial" w:cs="Arial"/>
                <w:sz w:val="24"/>
                <w:szCs w:val="24"/>
              </w:rPr>
            </w:pPr>
            <w:r>
              <w:rPr>
                <w:rFonts w:ascii="Arial" w:hAnsi="Arial" w:cs="Arial"/>
                <w:sz w:val="24"/>
                <w:szCs w:val="24"/>
              </w:rPr>
              <w:t>Q, #5 – Is there a definition for “</w:t>
            </w:r>
            <w:r w:rsidR="00722744">
              <w:rPr>
                <w:rFonts w:ascii="Arial" w:hAnsi="Arial" w:cs="Arial"/>
                <w:sz w:val="24"/>
                <w:szCs w:val="24"/>
              </w:rPr>
              <w:t>ra</w:t>
            </w:r>
            <w:r>
              <w:rPr>
                <w:rFonts w:ascii="Arial" w:hAnsi="Arial" w:cs="Arial"/>
                <w:sz w:val="24"/>
                <w:szCs w:val="24"/>
              </w:rPr>
              <w:t>dial distribution circuit”?</w:t>
            </w:r>
          </w:p>
        </w:tc>
        <w:tc>
          <w:tcPr>
            <w:tcW w:w="9450" w:type="dxa"/>
          </w:tcPr>
          <w:p w:rsidR="009B4B6F" w:rsidRDefault="00DF2147" w:rsidP="00667346">
            <w:pPr>
              <w:rPr>
                <w:rFonts w:ascii="Arial" w:hAnsi="Arial" w:cs="Arial"/>
                <w:sz w:val="24"/>
                <w:szCs w:val="24"/>
              </w:rPr>
            </w:pPr>
            <w:r>
              <w:rPr>
                <w:rFonts w:ascii="Arial" w:hAnsi="Arial" w:cs="Arial"/>
                <w:sz w:val="24"/>
                <w:szCs w:val="24"/>
              </w:rPr>
              <w:t>WPUDA suggests: “electrical service which feeds one or more utility customers originating from a single utility source at voltages greater than 600 V and less than 50 kV.”</w:t>
            </w:r>
          </w:p>
          <w:p w:rsidR="00DF2147" w:rsidRDefault="00DF2147" w:rsidP="00667346">
            <w:pPr>
              <w:rPr>
                <w:rFonts w:ascii="Arial" w:hAnsi="Arial" w:cs="Arial"/>
                <w:sz w:val="24"/>
                <w:szCs w:val="24"/>
              </w:rPr>
            </w:pPr>
            <w:r>
              <w:rPr>
                <w:rFonts w:ascii="Arial" w:hAnsi="Arial" w:cs="Arial"/>
                <w:sz w:val="24"/>
                <w:szCs w:val="24"/>
              </w:rPr>
              <w:t>Avista suggest: “</w:t>
            </w:r>
            <w:r w:rsidR="00722744">
              <w:rPr>
                <w:rFonts w:ascii="Arial" w:hAnsi="Arial" w:cs="Arial"/>
                <w:sz w:val="24"/>
                <w:szCs w:val="24"/>
              </w:rPr>
              <w:t xml:space="preserve">A radial distribution circuit is a circuit designed for power to flow one-way only.  Power flows from the utility power source to </w:t>
            </w:r>
            <w:r w:rsidR="002662C8">
              <w:rPr>
                <w:rFonts w:ascii="Arial" w:hAnsi="Arial" w:cs="Arial"/>
                <w:sz w:val="24"/>
                <w:szCs w:val="24"/>
              </w:rPr>
              <w:t>customers’</w:t>
            </w:r>
            <w:r w:rsidR="00722744">
              <w:rPr>
                <w:rFonts w:ascii="Arial" w:hAnsi="Arial" w:cs="Arial"/>
                <w:sz w:val="24"/>
                <w:szCs w:val="24"/>
              </w:rPr>
              <w:t xml:space="preserve"> loads on the circuit downstream of the power source.”</w:t>
            </w:r>
          </w:p>
          <w:p w:rsidR="00722744" w:rsidRDefault="00722744" w:rsidP="00667346">
            <w:pPr>
              <w:rPr>
                <w:rFonts w:ascii="Arial" w:hAnsi="Arial" w:cs="Arial"/>
                <w:sz w:val="24"/>
                <w:szCs w:val="24"/>
              </w:rPr>
            </w:pPr>
          </w:p>
          <w:p w:rsidR="00722744" w:rsidRDefault="00722744" w:rsidP="00667346">
            <w:pPr>
              <w:rPr>
                <w:rFonts w:ascii="Arial" w:hAnsi="Arial" w:cs="Arial"/>
                <w:sz w:val="24"/>
                <w:szCs w:val="24"/>
              </w:rPr>
            </w:pPr>
            <w:r>
              <w:rPr>
                <w:rFonts w:ascii="Arial" w:hAnsi="Arial" w:cs="Arial"/>
                <w:sz w:val="24"/>
                <w:szCs w:val="24"/>
              </w:rPr>
              <w:t>Others suggested finding an industry standard definition or eliminate the reference to the circuit.</w:t>
            </w:r>
          </w:p>
        </w:tc>
      </w:tr>
      <w:tr w:rsidR="009B4B6F" w:rsidRPr="00FC59C9" w:rsidTr="001D78D7">
        <w:tc>
          <w:tcPr>
            <w:tcW w:w="1800" w:type="dxa"/>
          </w:tcPr>
          <w:p w:rsidR="009B4B6F" w:rsidRDefault="009B4B6F" w:rsidP="008609E1">
            <w:pPr>
              <w:rPr>
                <w:rFonts w:ascii="Arial" w:hAnsi="Arial" w:cs="Arial"/>
                <w:sz w:val="24"/>
                <w:szCs w:val="24"/>
              </w:rPr>
            </w:pPr>
          </w:p>
        </w:tc>
        <w:tc>
          <w:tcPr>
            <w:tcW w:w="2430" w:type="dxa"/>
          </w:tcPr>
          <w:p w:rsidR="009B4B6F" w:rsidRDefault="00722744" w:rsidP="00AD3312">
            <w:pPr>
              <w:rPr>
                <w:rFonts w:ascii="Arial" w:hAnsi="Arial" w:cs="Arial"/>
                <w:sz w:val="24"/>
                <w:szCs w:val="24"/>
              </w:rPr>
            </w:pPr>
            <w:r>
              <w:rPr>
                <w:rFonts w:ascii="Arial" w:hAnsi="Arial" w:cs="Arial"/>
                <w:sz w:val="24"/>
                <w:szCs w:val="24"/>
              </w:rPr>
              <w:t>Q, #6 &amp; Q, #7</w:t>
            </w:r>
          </w:p>
        </w:tc>
        <w:tc>
          <w:tcPr>
            <w:tcW w:w="9450" w:type="dxa"/>
          </w:tcPr>
          <w:p w:rsidR="004967A7" w:rsidRDefault="00722744" w:rsidP="007014A6">
            <w:pPr>
              <w:rPr>
                <w:rFonts w:ascii="Arial" w:hAnsi="Arial" w:cs="Arial"/>
                <w:sz w:val="24"/>
                <w:szCs w:val="24"/>
              </w:rPr>
            </w:pPr>
            <w:r>
              <w:rPr>
                <w:rFonts w:ascii="Arial" w:hAnsi="Arial" w:cs="Arial"/>
                <w:sz w:val="24"/>
                <w:szCs w:val="24"/>
              </w:rPr>
              <w:t>Resolved, Need no further action.</w:t>
            </w:r>
          </w:p>
        </w:tc>
      </w:tr>
      <w:tr w:rsidR="001D78D7" w:rsidRPr="00FC59C9" w:rsidTr="001D78D7">
        <w:tc>
          <w:tcPr>
            <w:tcW w:w="1800" w:type="dxa"/>
          </w:tcPr>
          <w:p w:rsidR="001D78D7" w:rsidRDefault="001D78D7" w:rsidP="008609E1">
            <w:pPr>
              <w:rPr>
                <w:rFonts w:ascii="Arial" w:hAnsi="Arial" w:cs="Arial"/>
                <w:sz w:val="24"/>
                <w:szCs w:val="24"/>
              </w:rPr>
            </w:pPr>
            <w:r>
              <w:rPr>
                <w:rFonts w:ascii="Arial" w:hAnsi="Arial" w:cs="Arial"/>
                <w:sz w:val="24"/>
                <w:szCs w:val="24"/>
              </w:rPr>
              <w:t xml:space="preserve"> </w:t>
            </w:r>
          </w:p>
          <w:p w:rsidR="00853750" w:rsidRPr="00FC59C9" w:rsidRDefault="00853750" w:rsidP="008609E1">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1D78D7" w:rsidRPr="00FC59C9" w:rsidRDefault="001D78D7" w:rsidP="006460C0">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4967A7" w:rsidRPr="00FC59C9" w:rsidRDefault="004967A7" w:rsidP="00D30395">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7014A6" w:rsidRPr="00FC59C9" w:rsidRDefault="007014A6" w:rsidP="0022127F">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853750" w:rsidRPr="00FC59C9" w:rsidRDefault="00853750" w:rsidP="00AD3312">
            <w:pPr>
              <w:rPr>
                <w:rFonts w:ascii="Arial" w:hAnsi="Arial" w:cs="Arial"/>
                <w:sz w:val="24"/>
                <w:szCs w:val="24"/>
              </w:rPr>
            </w:pPr>
          </w:p>
        </w:tc>
      </w:tr>
      <w:tr w:rsidR="001D78D7" w:rsidRPr="00FC59C9" w:rsidTr="001D78D7">
        <w:tc>
          <w:tcPr>
            <w:tcW w:w="1800" w:type="dxa"/>
          </w:tcPr>
          <w:p w:rsidR="001D78D7" w:rsidRPr="00FC59C9" w:rsidRDefault="001D78D7" w:rsidP="00AD3312">
            <w:pPr>
              <w:rPr>
                <w:rFonts w:ascii="Arial" w:hAnsi="Arial" w:cs="Arial"/>
                <w:sz w:val="24"/>
                <w:szCs w:val="24"/>
              </w:rPr>
            </w:pPr>
          </w:p>
        </w:tc>
        <w:tc>
          <w:tcPr>
            <w:tcW w:w="2430" w:type="dxa"/>
          </w:tcPr>
          <w:p w:rsidR="001D78D7" w:rsidRDefault="001D78D7" w:rsidP="00AD3312">
            <w:pPr>
              <w:rPr>
                <w:rFonts w:ascii="Arial" w:hAnsi="Arial" w:cs="Arial"/>
                <w:sz w:val="24"/>
                <w:szCs w:val="24"/>
              </w:rPr>
            </w:pPr>
          </w:p>
        </w:tc>
        <w:tc>
          <w:tcPr>
            <w:tcW w:w="9450" w:type="dxa"/>
          </w:tcPr>
          <w:p w:rsidR="00853750" w:rsidRPr="00FC59C9" w:rsidRDefault="00853750" w:rsidP="00AD3312">
            <w:pPr>
              <w:rPr>
                <w:rFonts w:ascii="Arial" w:hAnsi="Arial" w:cs="Arial"/>
                <w:sz w:val="24"/>
                <w:szCs w:val="24"/>
              </w:rPr>
            </w:pPr>
          </w:p>
        </w:tc>
      </w:tr>
      <w:tr w:rsidR="00853750" w:rsidRPr="00FC59C9" w:rsidTr="001D78D7">
        <w:tc>
          <w:tcPr>
            <w:tcW w:w="1800" w:type="dxa"/>
          </w:tcPr>
          <w:p w:rsidR="00853750" w:rsidRPr="00FC59C9" w:rsidRDefault="00853750" w:rsidP="00AD3312">
            <w:pPr>
              <w:rPr>
                <w:rFonts w:ascii="Arial" w:hAnsi="Arial" w:cs="Arial"/>
                <w:sz w:val="24"/>
                <w:szCs w:val="24"/>
              </w:rPr>
            </w:pPr>
          </w:p>
        </w:tc>
        <w:tc>
          <w:tcPr>
            <w:tcW w:w="2430" w:type="dxa"/>
          </w:tcPr>
          <w:p w:rsidR="00853750" w:rsidRPr="00FC59C9" w:rsidRDefault="00853750" w:rsidP="00AD3312">
            <w:pPr>
              <w:rPr>
                <w:rFonts w:ascii="Arial" w:hAnsi="Arial" w:cs="Arial"/>
                <w:sz w:val="24"/>
                <w:szCs w:val="24"/>
              </w:rPr>
            </w:pPr>
          </w:p>
        </w:tc>
        <w:tc>
          <w:tcPr>
            <w:tcW w:w="9450" w:type="dxa"/>
          </w:tcPr>
          <w:p w:rsidR="00853750" w:rsidRPr="00FC59C9" w:rsidRDefault="00853750" w:rsidP="009D4094">
            <w:pPr>
              <w:rPr>
                <w:rFonts w:ascii="Arial" w:hAnsi="Arial" w:cs="Arial"/>
                <w:sz w:val="24"/>
                <w:szCs w:val="24"/>
              </w:rPr>
            </w:pPr>
            <w:r>
              <w:rPr>
                <w:rFonts w:ascii="Arial" w:hAnsi="Arial" w:cs="Arial"/>
                <w:sz w:val="24"/>
                <w:szCs w:val="24"/>
              </w:rPr>
              <w:t xml:space="preserve">.  </w:t>
            </w:r>
          </w:p>
        </w:tc>
      </w:tr>
    </w:tbl>
    <w:p w:rsidR="00FC59C9" w:rsidRPr="00FC59C9" w:rsidRDefault="00FC59C9" w:rsidP="00AD3312">
      <w:pPr>
        <w:rPr>
          <w:rFonts w:ascii="Arial" w:hAnsi="Arial" w:cs="Arial"/>
          <w:sz w:val="24"/>
          <w:szCs w:val="24"/>
        </w:rPr>
      </w:pPr>
    </w:p>
    <w:sectPr w:rsidR="00FC59C9" w:rsidRPr="00FC59C9" w:rsidSect="00FC59C9">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55" w:rsidRDefault="00B33F55" w:rsidP="00FC59C9">
      <w:r>
        <w:separator/>
      </w:r>
    </w:p>
  </w:endnote>
  <w:endnote w:type="continuationSeparator" w:id="0">
    <w:p w:rsidR="00B33F55" w:rsidRDefault="00B33F55" w:rsidP="00F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39" w:rsidRPr="00FC59C9" w:rsidRDefault="00F63139" w:rsidP="00FC59C9">
    <w:pPr>
      <w:pStyle w:val="Footer"/>
      <w:jc w:val="center"/>
      <w:rPr>
        <w:rFonts w:ascii="Arial" w:hAnsi="Arial" w:cs="Arial"/>
      </w:rPr>
    </w:pPr>
    <w:r w:rsidRPr="00FC59C9">
      <w:rPr>
        <w:rFonts w:ascii="Arial" w:hAnsi="Arial" w:cs="Arial"/>
      </w:rPr>
      <w:t xml:space="preserve">Page </w:t>
    </w:r>
    <w:r w:rsidRPr="00FC59C9">
      <w:rPr>
        <w:rFonts w:ascii="Arial" w:hAnsi="Arial" w:cs="Arial"/>
      </w:rPr>
      <w:fldChar w:fldCharType="begin"/>
    </w:r>
    <w:r w:rsidRPr="00FC59C9">
      <w:rPr>
        <w:rFonts w:ascii="Arial" w:hAnsi="Arial" w:cs="Arial"/>
      </w:rPr>
      <w:instrText xml:space="preserve"> PAGE   \* MERGEFORMAT </w:instrText>
    </w:r>
    <w:r w:rsidRPr="00FC59C9">
      <w:rPr>
        <w:rFonts w:ascii="Arial" w:hAnsi="Arial" w:cs="Arial"/>
      </w:rPr>
      <w:fldChar w:fldCharType="separate"/>
    </w:r>
    <w:r w:rsidR="00B378C2">
      <w:rPr>
        <w:rFonts w:ascii="Arial" w:hAnsi="Arial" w:cs="Arial"/>
        <w:noProof/>
      </w:rPr>
      <w:t>1</w:t>
    </w:r>
    <w:r w:rsidRPr="00FC59C9">
      <w:rPr>
        <w:rFonts w:ascii="Arial" w:hAnsi="Arial" w:cs="Arial"/>
        <w:noProof/>
      </w:rPr>
      <w:fldChar w:fldCharType="end"/>
    </w:r>
    <w:r w:rsidR="00841BBC">
      <w:rPr>
        <w:rFonts w:ascii="Arial" w:hAnsi="Arial" w:cs="Arial"/>
        <w:noProof/>
      </w:rPr>
      <w:t xml:space="preserve"> – Updated Sept 26</w:t>
    </w:r>
    <w:r w:rsidRPr="00FC59C9">
      <w:rPr>
        <w:rFonts w:ascii="Arial" w:hAnsi="Arial" w:cs="Arial"/>
        <w:noProof/>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55" w:rsidRDefault="00B33F55" w:rsidP="00FC59C9">
      <w:r>
        <w:separator/>
      </w:r>
    </w:p>
  </w:footnote>
  <w:footnote w:type="continuationSeparator" w:id="0">
    <w:p w:rsidR="00B33F55" w:rsidRDefault="00B33F55" w:rsidP="00FC5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ACC"/>
    <w:multiLevelType w:val="hybridMultilevel"/>
    <w:tmpl w:val="57C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C79DB"/>
    <w:multiLevelType w:val="hybridMultilevel"/>
    <w:tmpl w:val="224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428E4"/>
    <w:multiLevelType w:val="hybridMultilevel"/>
    <w:tmpl w:val="B4BA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03E2"/>
    <w:multiLevelType w:val="hybridMultilevel"/>
    <w:tmpl w:val="2BCEF08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4">
    <w:nsid w:val="230705AA"/>
    <w:multiLevelType w:val="hybridMultilevel"/>
    <w:tmpl w:val="98F8CFB2"/>
    <w:lvl w:ilvl="0" w:tplc="92A07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5B715FA"/>
    <w:multiLevelType w:val="hybridMultilevel"/>
    <w:tmpl w:val="9A5068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6F07EB6"/>
    <w:multiLevelType w:val="hybridMultilevel"/>
    <w:tmpl w:val="9D28AEC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A3B48FC"/>
    <w:multiLevelType w:val="hybridMultilevel"/>
    <w:tmpl w:val="6F9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80D86"/>
    <w:multiLevelType w:val="hybridMultilevel"/>
    <w:tmpl w:val="F55C95DA"/>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
    <w:nsid w:val="312B6C45"/>
    <w:multiLevelType w:val="hybridMultilevel"/>
    <w:tmpl w:val="0E461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D62EA"/>
    <w:multiLevelType w:val="hybridMultilevel"/>
    <w:tmpl w:val="DB6EAB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9F7BAA"/>
    <w:multiLevelType w:val="hybridMultilevel"/>
    <w:tmpl w:val="93360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85A3A"/>
    <w:multiLevelType w:val="hybridMultilevel"/>
    <w:tmpl w:val="BEBA59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CEA7F22"/>
    <w:multiLevelType w:val="hybridMultilevel"/>
    <w:tmpl w:val="0184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7641D"/>
    <w:multiLevelType w:val="hybridMultilevel"/>
    <w:tmpl w:val="DB7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93C"/>
    <w:multiLevelType w:val="hybridMultilevel"/>
    <w:tmpl w:val="9A32D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747E5"/>
    <w:multiLevelType w:val="hybridMultilevel"/>
    <w:tmpl w:val="D7661E8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6C2109A"/>
    <w:multiLevelType w:val="hybridMultilevel"/>
    <w:tmpl w:val="2986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F4936"/>
    <w:multiLevelType w:val="hybridMultilevel"/>
    <w:tmpl w:val="D93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03497C"/>
    <w:multiLevelType w:val="hybridMultilevel"/>
    <w:tmpl w:val="37B8102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nsid w:val="5F02095D"/>
    <w:multiLevelType w:val="hybridMultilevel"/>
    <w:tmpl w:val="D00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E58C4"/>
    <w:multiLevelType w:val="hybridMultilevel"/>
    <w:tmpl w:val="58A886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09E2705"/>
    <w:multiLevelType w:val="hybridMultilevel"/>
    <w:tmpl w:val="6F3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5511E"/>
    <w:multiLevelType w:val="hybridMultilevel"/>
    <w:tmpl w:val="70C46F0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3416105"/>
    <w:multiLevelType w:val="hybridMultilevel"/>
    <w:tmpl w:val="0B94AD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7984DEC"/>
    <w:multiLevelType w:val="hybridMultilevel"/>
    <w:tmpl w:val="5658DC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3"/>
  </w:num>
  <w:num w:numId="3">
    <w:abstractNumId w:val="2"/>
  </w:num>
  <w:num w:numId="4">
    <w:abstractNumId w:val="1"/>
  </w:num>
  <w:num w:numId="5">
    <w:abstractNumId w:val="19"/>
  </w:num>
  <w:num w:numId="6">
    <w:abstractNumId w:val="17"/>
  </w:num>
  <w:num w:numId="7">
    <w:abstractNumId w:val="3"/>
  </w:num>
  <w:num w:numId="8">
    <w:abstractNumId w:val="14"/>
  </w:num>
  <w:num w:numId="9">
    <w:abstractNumId w:val="20"/>
  </w:num>
  <w:num w:numId="10">
    <w:abstractNumId w:val="7"/>
  </w:num>
  <w:num w:numId="11">
    <w:abstractNumId w:val="0"/>
  </w:num>
  <w:num w:numId="12">
    <w:abstractNumId w:val="22"/>
  </w:num>
  <w:num w:numId="13">
    <w:abstractNumId w:val="11"/>
  </w:num>
  <w:num w:numId="14">
    <w:abstractNumId w:val="9"/>
  </w:num>
  <w:num w:numId="15">
    <w:abstractNumId w:val="15"/>
  </w:num>
  <w:num w:numId="16">
    <w:abstractNumId w:val="24"/>
  </w:num>
  <w:num w:numId="17">
    <w:abstractNumId w:val="21"/>
  </w:num>
  <w:num w:numId="18">
    <w:abstractNumId w:val="23"/>
  </w:num>
  <w:num w:numId="19">
    <w:abstractNumId w:val="4"/>
  </w:num>
  <w:num w:numId="20">
    <w:abstractNumId w:val="8"/>
  </w:num>
  <w:num w:numId="21">
    <w:abstractNumId w:val="10"/>
  </w:num>
  <w:num w:numId="22">
    <w:abstractNumId w:val="6"/>
  </w:num>
  <w:num w:numId="23">
    <w:abstractNumId w:val="25"/>
  </w:num>
  <w:num w:numId="24">
    <w:abstractNumId w:val="5"/>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C9"/>
    <w:rsid w:val="00011905"/>
    <w:rsid w:val="0002392A"/>
    <w:rsid w:val="00050004"/>
    <w:rsid w:val="00070268"/>
    <w:rsid w:val="000871C6"/>
    <w:rsid w:val="00095884"/>
    <w:rsid w:val="000A2CBC"/>
    <w:rsid w:val="000B6260"/>
    <w:rsid w:val="000C27E7"/>
    <w:rsid w:val="000E640C"/>
    <w:rsid w:val="001048AB"/>
    <w:rsid w:val="001049F7"/>
    <w:rsid w:val="00116486"/>
    <w:rsid w:val="001474D0"/>
    <w:rsid w:val="00151BF2"/>
    <w:rsid w:val="00170F0D"/>
    <w:rsid w:val="001757FB"/>
    <w:rsid w:val="001C25FC"/>
    <w:rsid w:val="001C5AB1"/>
    <w:rsid w:val="001D4689"/>
    <w:rsid w:val="001D78D7"/>
    <w:rsid w:val="001E1D7A"/>
    <w:rsid w:val="001F06E5"/>
    <w:rsid w:val="00205814"/>
    <w:rsid w:val="0022127F"/>
    <w:rsid w:val="00225587"/>
    <w:rsid w:val="00230B85"/>
    <w:rsid w:val="002339E9"/>
    <w:rsid w:val="002537AE"/>
    <w:rsid w:val="002662C8"/>
    <w:rsid w:val="00270E76"/>
    <w:rsid w:val="00275F96"/>
    <w:rsid w:val="0028134B"/>
    <w:rsid w:val="002A2AB1"/>
    <w:rsid w:val="002C039A"/>
    <w:rsid w:val="002C7900"/>
    <w:rsid w:val="002D3B06"/>
    <w:rsid w:val="002D78CB"/>
    <w:rsid w:val="002E547A"/>
    <w:rsid w:val="0031307C"/>
    <w:rsid w:val="003240F0"/>
    <w:rsid w:val="00324C1A"/>
    <w:rsid w:val="0033755A"/>
    <w:rsid w:val="0035185A"/>
    <w:rsid w:val="00356091"/>
    <w:rsid w:val="00371B1C"/>
    <w:rsid w:val="003858F8"/>
    <w:rsid w:val="00400DA5"/>
    <w:rsid w:val="004106D2"/>
    <w:rsid w:val="00411408"/>
    <w:rsid w:val="00424F0D"/>
    <w:rsid w:val="004271E7"/>
    <w:rsid w:val="00431685"/>
    <w:rsid w:val="00446455"/>
    <w:rsid w:val="004571D0"/>
    <w:rsid w:val="004967A7"/>
    <w:rsid w:val="004A03BE"/>
    <w:rsid w:val="004A5EC6"/>
    <w:rsid w:val="004B577B"/>
    <w:rsid w:val="004B725D"/>
    <w:rsid w:val="004C0FFF"/>
    <w:rsid w:val="004C36F0"/>
    <w:rsid w:val="004E0337"/>
    <w:rsid w:val="004F0E8D"/>
    <w:rsid w:val="005261C8"/>
    <w:rsid w:val="00536778"/>
    <w:rsid w:val="00543E90"/>
    <w:rsid w:val="00552600"/>
    <w:rsid w:val="00575C31"/>
    <w:rsid w:val="00591734"/>
    <w:rsid w:val="0059652F"/>
    <w:rsid w:val="005A47D5"/>
    <w:rsid w:val="005A6C74"/>
    <w:rsid w:val="005D1FF7"/>
    <w:rsid w:val="005E5D2C"/>
    <w:rsid w:val="005F2D71"/>
    <w:rsid w:val="00607E37"/>
    <w:rsid w:val="0062702E"/>
    <w:rsid w:val="006460C0"/>
    <w:rsid w:val="00667346"/>
    <w:rsid w:val="00672F7B"/>
    <w:rsid w:val="00694619"/>
    <w:rsid w:val="006A3F6E"/>
    <w:rsid w:val="006A41EE"/>
    <w:rsid w:val="006A55D4"/>
    <w:rsid w:val="006C2C50"/>
    <w:rsid w:val="006C361C"/>
    <w:rsid w:val="006D0816"/>
    <w:rsid w:val="006D3FC7"/>
    <w:rsid w:val="006E1F74"/>
    <w:rsid w:val="006E5BCE"/>
    <w:rsid w:val="006F622C"/>
    <w:rsid w:val="0070060F"/>
    <w:rsid w:val="007014A6"/>
    <w:rsid w:val="00722744"/>
    <w:rsid w:val="0075175D"/>
    <w:rsid w:val="00761483"/>
    <w:rsid w:val="007636F9"/>
    <w:rsid w:val="00787E3E"/>
    <w:rsid w:val="007D2F97"/>
    <w:rsid w:val="007D63F2"/>
    <w:rsid w:val="0082019F"/>
    <w:rsid w:val="00840BBC"/>
    <w:rsid w:val="00841BBC"/>
    <w:rsid w:val="00844976"/>
    <w:rsid w:val="00853750"/>
    <w:rsid w:val="00853CB0"/>
    <w:rsid w:val="00854DBE"/>
    <w:rsid w:val="008609E1"/>
    <w:rsid w:val="0088046B"/>
    <w:rsid w:val="008B5801"/>
    <w:rsid w:val="008C36B8"/>
    <w:rsid w:val="008C672B"/>
    <w:rsid w:val="008E25CE"/>
    <w:rsid w:val="008E7317"/>
    <w:rsid w:val="008F6151"/>
    <w:rsid w:val="009356AA"/>
    <w:rsid w:val="00937382"/>
    <w:rsid w:val="009A7284"/>
    <w:rsid w:val="009B4A3A"/>
    <w:rsid w:val="009B4B6F"/>
    <w:rsid w:val="009D4094"/>
    <w:rsid w:val="009E5CC0"/>
    <w:rsid w:val="009F5538"/>
    <w:rsid w:val="009F5DE0"/>
    <w:rsid w:val="00A066A5"/>
    <w:rsid w:val="00A06F58"/>
    <w:rsid w:val="00A15A55"/>
    <w:rsid w:val="00A2358A"/>
    <w:rsid w:val="00A60EB2"/>
    <w:rsid w:val="00A75C94"/>
    <w:rsid w:val="00A84C2A"/>
    <w:rsid w:val="00A91FC2"/>
    <w:rsid w:val="00A92CB7"/>
    <w:rsid w:val="00AA050B"/>
    <w:rsid w:val="00AD3312"/>
    <w:rsid w:val="00AE273E"/>
    <w:rsid w:val="00B13041"/>
    <w:rsid w:val="00B32953"/>
    <w:rsid w:val="00B33D34"/>
    <w:rsid w:val="00B33F55"/>
    <w:rsid w:val="00B340EE"/>
    <w:rsid w:val="00B378C2"/>
    <w:rsid w:val="00B37AE1"/>
    <w:rsid w:val="00B55E9E"/>
    <w:rsid w:val="00B718BB"/>
    <w:rsid w:val="00B75DDE"/>
    <w:rsid w:val="00B85DEC"/>
    <w:rsid w:val="00BB0F0D"/>
    <w:rsid w:val="00BE2716"/>
    <w:rsid w:val="00C14D81"/>
    <w:rsid w:val="00C2302E"/>
    <w:rsid w:val="00C60A00"/>
    <w:rsid w:val="00C81F00"/>
    <w:rsid w:val="00C82B73"/>
    <w:rsid w:val="00C93F73"/>
    <w:rsid w:val="00C96A60"/>
    <w:rsid w:val="00CA170C"/>
    <w:rsid w:val="00CB67C9"/>
    <w:rsid w:val="00CE3C34"/>
    <w:rsid w:val="00CF6A39"/>
    <w:rsid w:val="00D063E0"/>
    <w:rsid w:val="00D30395"/>
    <w:rsid w:val="00D366ED"/>
    <w:rsid w:val="00D51399"/>
    <w:rsid w:val="00D564C6"/>
    <w:rsid w:val="00D95441"/>
    <w:rsid w:val="00D96092"/>
    <w:rsid w:val="00DA1B86"/>
    <w:rsid w:val="00DB30FB"/>
    <w:rsid w:val="00DB4B1F"/>
    <w:rsid w:val="00DD2A47"/>
    <w:rsid w:val="00DD488B"/>
    <w:rsid w:val="00DD738B"/>
    <w:rsid w:val="00DE1F76"/>
    <w:rsid w:val="00DF1DF3"/>
    <w:rsid w:val="00DF2147"/>
    <w:rsid w:val="00DF2A9E"/>
    <w:rsid w:val="00E070E7"/>
    <w:rsid w:val="00E074FF"/>
    <w:rsid w:val="00E210E0"/>
    <w:rsid w:val="00E24C1F"/>
    <w:rsid w:val="00E55EF0"/>
    <w:rsid w:val="00E64BF7"/>
    <w:rsid w:val="00E67FA5"/>
    <w:rsid w:val="00E723AE"/>
    <w:rsid w:val="00E90EDE"/>
    <w:rsid w:val="00F00E30"/>
    <w:rsid w:val="00F022DB"/>
    <w:rsid w:val="00F062EF"/>
    <w:rsid w:val="00F21B68"/>
    <w:rsid w:val="00F26A19"/>
    <w:rsid w:val="00F63139"/>
    <w:rsid w:val="00FC59C9"/>
    <w:rsid w:val="00FD0569"/>
    <w:rsid w:val="00FE1848"/>
    <w:rsid w:val="00FF202B"/>
    <w:rsid w:val="00FF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C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9C9"/>
    <w:pPr>
      <w:tabs>
        <w:tab w:val="center" w:pos="4680"/>
        <w:tab w:val="right" w:pos="9360"/>
      </w:tabs>
    </w:pPr>
  </w:style>
  <w:style w:type="character" w:customStyle="1" w:styleId="HeaderChar">
    <w:name w:val="Header Char"/>
    <w:basedOn w:val="DefaultParagraphFont"/>
    <w:link w:val="Header"/>
    <w:uiPriority w:val="99"/>
    <w:rsid w:val="00FC59C9"/>
  </w:style>
  <w:style w:type="paragraph" w:styleId="Footer">
    <w:name w:val="footer"/>
    <w:basedOn w:val="Normal"/>
    <w:link w:val="FooterChar"/>
    <w:uiPriority w:val="99"/>
    <w:unhideWhenUsed/>
    <w:rsid w:val="00FC59C9"/>
    <w:pPr>
      <w:tabs>
        <w:tab w:val="center" w:pos="4680"/>
        <w:tab w:val="right" w:pos="9360"/>
      </w:tabs>
    </w:pPr>
  </w:style>
  <w:style w:type="character" w:customStyle="1" w:styleId="FooterChar">
    <w:name w:val="Footer Char"/>
    <w:basedOn w:val="DefaultParagraphFont"/>
    <w:link w:val="Footer"/>
    <w:uiPriority w:val="99"/>
    <w:rsid w:val="00FC59C9"/>
  </w:style>
  <w:style w:type="paragraph" w:styleId="ListParagraph">
    <w:name w:val="List Paragraph"/>
    <w:basedOn w:val="Normal"/>
    <w:uiPriority w:val="34"/>
    <w:qFormat/>
    <w:rsid w:val="00E67FA5"/>
    <w:pPr>
      <w:ind w:left="720"/>
      <w:contextualSpacing/>
    </w:pPr>
  </w:style>
  <w:style w:type="paragraph" w:styleId="BalloonText">
    <w:name w:val="Balloon Text"/>
    <w:basedOn w:val="Normal"/>
    <w:link w:val="BalloonTextChar"/>
    <w:uiPriority w:val="99"/>
    <w:semiHidden/>
    <w:unhideWhenUsed/>
    <w:rsid w:val="00400DA5"/>
    <w:rPr>
      <w:rFonts w:ascii="Tahoma" w:hAnsi="Tahoma" w:cs="Tahoma"/>
      <w:sz w:val="16"/>
      <w:szCs w:val="16"/>
    </w:rPr>
  </w:style>
  <w:style w:type="character" w:customStyle="1" w:styleId="BalloonTextChar">
    <w:name w:val="Balloon Text Char"/>
    <w:basedOn w:val="DefaultParagraphFont"/>
    <w:link w:val="BalloonText"/>
    <w:uiPriority w:val="99"/>
    <w:semiHidden/>
    <w:rsid w:val="00400DA5"/>
    <w:rPr>
      <w:rFonts w:ascii="Tahoma" w:hAnsi="Tahoma" w:cs="Tahoma"/>
      <w:sz w:val="16"/>
      <w:szCs w:val="16"/>
    </w:rPr>
  </w:style>
  <w:style w:type="character" w:styleId="CommentReference">
    <w:name w:val="annotation reference"/>
    <w:basedOn w:val="DefaultParagraphFont"/>
    <w:uiPriority w:val="99"/>
    <w:semiHidden/>
    <w:unhideWhenUsed/>
    <w:rsid w:val="008F6151"/>
    <w:rPr>
      <w:sz w:val="16"/>
      <w:szCs w:val="16"/>
    </w:rPr>
  </w:style>
  <w:style w:type="paragraph" w:styleId="CommentText">
    <w:name w:val="annotation text"/>
    <w:basedOn w:val="Normal"/>
    <w:link w:val="CommentTextChar"/>
    <w:uiPriority w:val="99"/>
    <w:semiHidden/>
    <w:unhideWhenUsed/>
    <w:rsid w:val="008F6151"/>
    <w:rPr>
      <w:sz w:val="20"/>
      <w:szCs w:val="20"/>
    </w:rPr>
  </w:style>
  <w:style w:type="character" w:customStyle="1" w:styleId="CommentTextChar">
    <w:name w:val="Comment Text Char"/>
    <w:basedOn w:val="DefaultParagraphFont"/>
    <w:link w:val="CommentText"/>
    <w:uiPriority w:val="99"/>
    <w:semiHidden/>
    <w:rsid w:val="008F6151"/>
    <w:rPr>
      <w:sz w:val="20"/>
      <w:szCs w:val="20"/>
    </w:rPr>
  </w:style>
  <w:style w:type="paragraph" w:styleId="CommentSubject">
    <w:name w:val="annotation subject"/>
    <w:basedOn w:val="CommentText"/>
    <w:next w:val="CommentText"/>
    <w:link w:val="CommentSubjectChar"/>
    <w:uiPriority w:val="99"/>
    <w:semiHidden/>
    <w:unhideWhenUsed/>
    <w:rsid w:val="008F6151"/>
    <w:rPr>
      <w:b/>
      <w:bCs/>
    </w:rPr>
  </w:style>
  <w:style w:type="character" w:customStyle="1" w:styleId="CommentSubjectChar">
    <w:name w:val="Comment Subject Char"/>
    <w:basedOn w:val="CommentTextChar"/>
    <w:link w:val="CommentSubject"/>
    <w:uiPriority w:val="99"/>
    <w:semiHidden/>
    <w:rsid w:val="008F6151"/>
    <w:rPr>
      <w:b/>
      <w:bCs/>
      <w:sz w:val="20"/>
      <w:szCs w:val="20"/>
    </w:rPr>
  </w:style>
  <w:style w:type="character" w:styleId="Hyperlink">
    <w:name w:val="Hyperlink"/>
    <w:basedOn w:val="DefaultParagraphFont"/>
    <w:uiPriority w:val="99"/>
    <w:unhideWhenUsed/>
    <w:rsid w:val="00844976"/>
    <w:rPr>
      <w:color w:val="0000FF" w:themeColor="hyperlink"/>
      <w:u w:val="single"/>
    </w:rPr>
  </w:style>
  <w:style w:type="character" w:styleId="FollowedHyperlink">
    <w:name w:val="FollowedHyperlink"/>
    <w:basedOn w:val="DefaultParagraphFont"/>
    <w:uiPriority w:val="99"/>
    <w:semiHidden/>
    <w:unhideWhenUsed/>
    <w:rsid w:val="008449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C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9C9"/>
    <w:pPr>
      <w:tabs>
        <w:tab w:val="center" w:pos="4680"/>
        <w:tab w:val="right" w:pos="9360"/>
      </w:tabs>
    </w:pPr>
  </w:style>
  <w:style w:type="character" w:customStyle="1" w:styleId="HeaderChar">
    <w:name w:val="Header Char"/>
    <w:basedOn w:val="DefaultParagraphFont"/>
    <w:link w:val="Header"/>
    <w:uiPriority w:val="99"/>
    <w:rsid w:val="00FC59C9"/>
  </w:style>
  <w:style w:type="paragraph" w:styleId="Footer">
    <w:name w:val="footer"/>
    <w:basedOn w:val="Normal"/>
    <w:link w:val="FooterChar"/>
    <w:uiPriority w:val="99"/>
    <w:unhideWhenUsed/>
    <w:rsid w:val="00FC59C9"/>
    <w:pPr>
      <w:tabs>
        <w:tab w:val="center" w:pos="4680"/>
        <w:tab w:val="right" w:pos="9360"/>
      </w:tabs>
    </w:pPr>
  </w:style>
  <w:style w:type="character" w:customStyle="1" w:styleId="FooterChar">
    <w:name w:val="Footer Char"/>
    <w:basedOn w:val="DefaultParagraphFont"/>
    <w:link w:val="Footer"/>
    <w:uiPriority w:val="99"/>
    <w:rsid w:val="00FC59C9"/>
  </w:style>
  <w:style w:type="paragraph" w:styleId="ListParagraph">
    <w:name w:val="List Paragraph"/>
    <w:basedOn w:val="Normal"/>
    <w:uiPriority w:val="34"/>
    <w:qFormat/>
    <w:rsid w:val="00E67FA5"/>
    <w:pPr>
      <w:ind w:left="720"/>
      <w:contextualSpacing/>
    </w:pPr>
  </w:style>
  <w:style w:type="paragraph" w:styleId="BalloonText">
    <w:name w:val="Balloon Text"/>
    <w:basedOn w:val="Normal"/>
    <w:link w:val="BalloonTextChar"/>
    <w:uiPriority w:val="99"/>
    <w:semiHidden/>
    <w:unhideWhenUsed/>
    <w:rsid w:val="00400DA5"/>
    <w:rPr>
      <w:rFonts w:ascii="Tahoma" w:hAnsi="Tahoma" w:cs="Tahoma"/>
      <w:sz w:val="16"/>
      <w:szCs w:val="16"/>
    </w:rPr>
  </w:style>
  <w:style w:type="character" w:customStyle="1" w:styleId="BalloonTextChar">
    <w:name w:val="Balloon Text Char"/>
    <w:basedOn w:val="DefaultParagraphFont"/>
    <w:link w:val="BalloonText"/>
    <w:uiPriority w:val="99"/>
    <w:semiHidden/>
    <w:rsid w:val="00400DA5"/>
    <w:rPr>
      <w:rFonts w:ascii="Tahoma" w:hAnsi="Tahoma" w:cs="Tahoma"/>
      <w:sz w:val="16"/>
      <w:szCs w:val="16"/>
    </w:rPr>
  </w:style>
  <w:style w:type="character" w:styleId="CommentReference">
    <w:name w:val="annotation reference"/>
    <w:basedOn w:val="DefaultParagraphFont"/>
    <w:uiPriority w:val="99"/>
    <w:semiHidden/>
    <w:unhideWhenUsed/>
    <w:rsid w:val="008F6151"/>
    <w:rPr>
      <w:sz w:val="16"/>
      <w:szCs w:val="16"/>
    </w:rPr>
  </w:style>
  <w:style w:type="paragraph" w:styleId="CommentText">
    <w:name w:val="annotation text"/>
    <w:basedOn w:val="Normal"/>
    <w:link w:val="CommentTextChar"/>
    <w:uiPriority w:val="99"/>
    <w:semiHidden/>
    <w:unhideWhenUsed/>
    <w:rsid w:val="008F6151"/>
    <w:rPr>
      <w:sz w:val="20"/>
      <w:szCs w:val="20"/>
    </w:rPr>
  </w:style>
  <w:style w:type="character" w:customStyle="1" w:styleId="CommentTextChar">
    <w:name w:val="Comment Text Char"/>
    <w:basedOn w:val="DefaultParagraphFont"/>
    <w:link w:val="CommentText"/>
    <w:uiPriority w:val="99"/>
    <w:semiHidden/>
    <w:rsid w:val="008F6151"/>
    <w:rPr>
      <w:sz w:val="20"/>
      <w:szCs w:val="20"/>
    </w:rPr>
  </w:style>
  <w:style w:type="paragraph" w:styleId="CommentSubject">
    <w:name w:val="annotation subject"/>
    <w:basedOn w:val="CommentText"/>
    <w:next w:val="CommentText"/>
    <w:link w:val="CommentSubjectChar"/>
    <w:uiPriority w:val="99"/>
    <w:semiHidden/>
    <w:unhideWhenUsed/>
    <w:rsid w:val="008F6151"/>
    <w:rPr>
      <w:b/>
      <w:bCs/>
    </w:rPr>
  </w:style>
  <w:style w:type="character" w:customStyle="1" w:styleId="CommentSubjectChar">
    <w:name w:val="Comment Subject Char"/>
    <w:basedOn w:val="CommentTextChar"/>
    <w:link w:val="CommentSubject"/>
    <w:uiPriority w:val="99"/>
    <w:semiHidden/>
    <w:rsid w:val="008F6151"/>
    <w:rPr>
      <w:b/>
      <w:bCs/>
      <w:sz w:val="20"/>
      <w:szCs w:val="20"/>
    </w:rPr>
  </w:style>
  <w:style w:type="character" w:styleId="Hyperlink">
    <w:name w:val="Hyperlink"/>
    <w:basedOn w:val="DefaultParagraphFont"/>
    <w:uiPriority w:val="99"/>
    <w:unhideWhenUsed/>
    <w:rsid w:val="00844976"/>
    <w:rPr>
      <w:color w:val="0000FF" w:themeColor="hyperlink"/>
      <w:u w:val="single"/>
    </w:rPr>
  </w:style>
  <w:style w:type="character" w:styleId="FollowedHyperlink">
    <w:name w:val="FollowedHyperlink"/>
    <w:basedOn w:val="DefaultParagraphFont"/>
    <w:uiPriority w:val="99"/>
    <w:semiHidden/>
    <w:unhideWhenUsed/>
    <w:rsid w:val="00844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108-020"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wac/default.aspx?cite=480-108-080"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apps.leg.wa.gov/wac/default.aspx?cite=480-108-090" TargetMode="External"/><Relationship Id="rId4" Type="http://schemas.openxmlformats.org/officeDocument/2006/relationships/settings" Target="settings.xml"/><Relationship Id="rId9" Type="http://schemas.openxmlformats.org/officeDocument/2006/relationships/hyperlink" Target="http://apps.leg.wa.gov/wac/default.aspx?cite=480-108-0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2012-11-27T08:00:00+00:00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347BD8-2812-427A-A043-C10DDC7A4BF9}"/>
</file>

<file path=customXml/itemProps2.xml><?xml version="1.0" encoding="utf-8"?>
<ds:datastoreItem xmlns:ds="http://schemas.openxmlformats.org/officeDocument/2006/customXml" ds:itemID="{4BFCABD0-730B-4EA7-9DCF-EC7995CE4953}"/>
</file>

<file path=customXml/itemProps3.xml><?xml version="1.0" encoding="utf-8"?>
<ds:datastoreItem xmlns:ds="http://schemas.openxmlformats.org/officeDocument/2006/customXml" ds:itemID="{8C24C724-B5B3-4DA9-A7E3-A9FD03E62A61}"/>
</file>

<file path=customXml/itemProps4.xml><?xml version="1.0" encoding="utf-8"?>
<ds:datastoreItem xmlns:ds="http://schemas.openxmlformats.org/officeDocument/2006/customXml" ds:itemID="{5DB9C27A-CA61-4B5D-AABF-1B6480D7598D}"/>
</file>

<file path=docProps/app.xml><?xml version="1.0" encoding="utf-8"?>
<Properties xmlns="http://schemas.openxmlformats.org/officeDocument/2006/extended-properties" xmlns:vt="http://schemas.openxmlformats.org/officeDocument/2006/docPropsVTypes">
  <Template>Normal</Template>
  <TotalTime>0</TotalTime>
  <Pages>10</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2012-11-27T17:31:00Z</dcterms:created>
  <dcterms:modified xsi:type="dcterms:W3CDTF">2012-11-27T17:31:00Z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