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D604AC" w:rsidP="000B3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October </w:t>
      </w:r>
      <w:r w:rsidR="0010419F">
        <w:rPr>
          <w:rFonts w:ascii="Times New Roman" w:hAnsi="Times New Roman"/>
        </w:rPr>
        <w:t>2</w:t>
      </w:r>
      <w:r w:rsidR="00426755">
        <w:rPr>
          <w:rFonts w:ascii="Times New Roman" w:hAnsi="Times New Roman"/>
        </w:rPr>
        <w:t>3</w:t>
      </w:r>
      <w:r w:rsidR="00800B4E">
        <w:rPr>
          <w:rFonts w:ascii="Times New Roman" w:hAnsi="Times New Roman"/>
        </w:rPr>
        <w:t xml:space="preserve">, </w:t>
      </w:r>
      <w:r w:rsidR="00BC716A">
        <w:rPr>
          <w:rFonts w:ascii="Times New Roman" w:hAnsi="Times New Roman"/>
        </w:rPr>
        <w:t>201</w:t>
      </w:r>
      <w:r>
        <w:rPr>
          <w:rFonts w:ascii="Times New Roman" w:hAnsi="Times New Roman"/>
        </w:rPr>
        <w:t>3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875C27" w:rsidRPr="00D870FC" w:rsidRDefault="00875C27" w:rsidP="000B3DB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0B3DB4">
      <w:pPr>
        <w:jc w:val="both"/>
        <w:rPr>
          <w:rFonts w:ascii="Times New Roman" w:hAnsi="Times New Roman"/>
        </w:rPr>
      </w:pP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Washington Utilities and Transportation Commission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1300 S. Evergreen Park Drive SW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P.O. Box 47250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>Olympia, WA  98504-7250</w:t>
      </w:r>
    </w:p>
    <w:p w:rsidR="00964072" w:rsidRPr="00FA61BD" w:rsidRDefault="00964072" w:rsidP="000B3DB4">
      <w:pPr>
        <w:jc w:val="both"/>
        <w:rPr>
          <w:rFonts w:ascii="Times New Roman" w:hAnsi="Times New Roman"/>
          <w:szCs w:val="24"/>
        </w:rPr>
      </w:pP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 xml:space="preserve">Attention: </w:t>
      </w:r>
      <w:r w:rsidRPr="00FA61BD">
        <w:rPr>
          <w:rFonts w:ascii="Times New Roman" w:hAnsi="Times New Roman"/>
          <w:szCs w:val="24"/>
        </w:rPr>
        <w:tab/>
      </w:r>
      <w:r w:rsidR="00264351">
        <w:rPr>
          <w:rFonts w:ascii="Times New Roman" w:hAnsi="Times New Roman"/>
          <w:szCs w:val="24"/>
        </w:rPr>
        <w:t>Steven V. King</w:t>
      </w:r>
    </w:p>
    <w:p w:rsidR="00FF7F41" w:rsidRPr="00FA61BD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FA61BD">
        <w:rPr>
          <w:rFonts w:ascii="Times New Roman" w:hAnsi="Times New Roman"/>
          <w:szCs w:val="24"/>
        </w:rPr>
        <w:tab/>
        <w:t>Executive Director and Secretary</w:t>
      </w:r>
    </w:p>
    <w:p w:rsidR="00FF7F41" w:rsidRPr="00FA61BD" w:rsidRDefault="00FF7F41">
      <w:pPr>
        <w:ind w:left="1440" w:hanging="1440"/>
        <w:jc w:val="both"/>
        <w:rPr>
          <w:rFonts w:ascii="Times New Roman" w:hAnsi="Times New Roman"/>
          <w:szCs w:val="24"/>
        </w:rPr>
      </w:pPr>
    </w:p>
    <w:p w:rsidR="00FF7F41" w:rsidRPr="00D604AC" w:rsidRDefault="00964072">
      <w:pPr>
        <w:ind w:left="1440" w:hanging="1440"/>
        <w:jc w:val="both"/>
        <w:rPr>
          <w:rFonts w:ascii="Times New Roman" w:hAnsi="Times New Roman"/>
          <w:b/>
          <w:szCs w:val="24"/>
        </w:rPr>
      </w:pPr>
      <w:r w:rsidRPr="00FA61BD">
        <w:rPr>
          <w:rFonts w:ascii="Times New Roman" w:hAnsi="Times New Roman"/>
          <w:szCs w:val="24"/>
        </w:rPr>
        <w:t>RE:</w:t>
      </w:r>
      <w:r w:rsidRPr="00FA61BD">
        <w:rPr>
          <w:rFonts w:ascii="Times New Roman" w:hAnsi="Times New Roman"/>
          <w:szCs w:val="24"/>
        </w:rPr>
        <w:tab/>
      </w:r>
      <w:r w:rsidR="00E61028" w:rsidRPr="00D604AC">
        <w:rPr>
          <w:rFonts w:ascii="Times New Roman" w:hAnsi="Times New Roman"/>
          <w:b/>
          <w:szCs w:val="24"/>
        </w:rPr>
        <w:t xml:space="preserve">Docket UE-111880 – PacifiCorp’s </w:t>
      </w:r>
      <w:r w:rsidR="000B3DB4" w:rsidRPr="00D604AC">
        <w:rPr>
          <w:rFonts w:ascii="Times New Roman" w:hAnsi="Times New Roman"/>
          <w:b/>
          <w:szCs w:val="24"/>
        </w:rPr>
        <w:t>Demand</w:t>
      </w:r>
      <w:r w:rsidR="003529A2">
        <w:rPr>
          <w:rFonts w:ascii="Times New Roman" w:hAnsi="Times New Roman"/>
          <w:b/>
          <w:szCs w:val="24"/>
        </w:rPr>
        <w:t xml:space="preserve"> S</w:t>
      </w:r>
      <w:r w:rsidR="000B3DB4" w:rsidRPr="00D604AC">
        <w:rPr>
          <w:rFonts w:ascii="Times New Roman" w:hAnsi="Times New Roman"/>
          <w:b/>
          <w:szCs w:val="24"/>
        </w:rPr>
        <w:t xml:space="preserve">ide Management Business Plan </w:t>
      </w:r>
      <w:r w:rsidR="00E61028" w:rsidRPr="00D604AC">
        <w:rPr>
          <w:rFonts w:ascii="Times New Roman" w:hAnsi="Times New Roman"/>
          <w:b/>
          <w:szCs w:val="24"/>
        </w:rPr>
        <w:t>Revisions</w:t>
      </w:r>
    </w:p>
    <w:p w:rsidR="00FF7F41" w:rsidRPr="00D604AC" w:rsidRDefault="00FF7F41">
      <w:pPr>
        <w:jc w:val="both"/>
        <w:rPr>
          <w:rFonts w:ascii="Times New Roman" w:hAnsi="Times New Roman"/>
          <w:b/>
          <w:szCs w:val="24"/>
        </w:rPr>
      </w:pPr>
    </w:p>
    <w:p w:rsidR="00FF7F41" w:rsidRPr="00D604AC" w:rsidRDefault="00E61028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Pursuant to </w:t>
      </w:r>
      <w:r w:rsidR="004912AA" w:rsidRPr="00D604AC">
        <w:rPr>
          <w:rFonts w:ascii="Times New Roman" w:hAnsi="Times New Roman"/>
          <w:szCs w:val="24"/>
        </w:rPr>
        <w:t>Docket UE-111880, Order 01, Condition</w:t>
      </w:r>
      <w:r w:rsidR="00264351">
        <w:rPr>
          <w:rFonts w:ascii="Times New Roman" w:hAnsi="Times New Roman"/>
          <w:szCs w:val="24"/>
        </w:rPr>
        <w:t>s</w:t>
      </w:r>
      <w:r w:rsidR="004912AA" w:rsidRPr="00D604AC">
        <w:rPr>
          <w:rFonts w:ascii="Times New Roman" w:hAnsi="Times New Roman"/>
          <w:szCs w:val="24"/>
        </w:rPr>
        <w:t xml:space="preserve"> (</w:t>
      </w:r>
      <w:r w:rsidR="00264351">
        <w:rPr>
          <w:rFonts w:ascii="Times New Roman" w:hAnsi="Times New Roman"/>
          <w:szCs w:val="24"/>
        </w:rPr>
        <w:t>6</w:t>
      </w:r>
      <w:r w:rsidR="004912AA" w:rsidRPr="00D604AC">
        <w:rPr>
          <w:rFonts w:ascii="Times New Roman" w:hAnsi="Times New Roman"/>
          <w:szCs w:val="24"/>
        </w:rPr>
        <w:t>)</w:t>
      </w:r>
      <w:r w:rsidR="00D73BE9" w:rsidRPr="00D604AC">
        <w:rPr>
          <w:rFonts w:ascii="Times New Roman" w:hAnsi="Times New Roman"/>
          <w:szCs w:val="24"/>
        </w:rPr>
        <w:t>(</w:t>
      </w:r>
      <w:r w:rsidR="00264351">
        <w:rPr>
          <w:rFonts w:ascii="Times New Roman" w:hAnsi="Times New Roman"/>
          <w:szCs w:val="24"/>
        </w:rPr>
        <w:t>d</w:t>
      </w:r>
      <w:r w:rsidR="00D73BE9" w:rsidRPr="00D604AC">
        <w:rPr>
          <w:rFonts w:ascii="Times New Roman" w:hAnsi="Times New Roman"/>
          <w:szCs w:val="24"/>
        </w:rPr>
        <w:t>)</w:t>
      </w:r>
      <w:r w:rsidR="00264351">
        <w:rPr>
          <w:rFonts w:ascii="Times New Roman" w:hAnsi="Times New Roman"/>
          <w:szCs w:val="24"/>
        </w:rPr>
        <w:t xml:space="preserve"> and (8)(b)</w:t>
      </w:r>
      <w:r w:rsidR="00093756" w:rsidRPr="00D604AC">
        <w:rPr>
          <w:rFonts w:ascii="Times New Roman" w:hAnsi="Times New Roman"/>
          <w:szCs w:val="24"/>
        </w:rPr>
        <w:t xml:space="preserve"> </w:t>
      </w:r>
      <w:r w:rsidRPr="00D604AC">
        <w:rPr>
          <w:rFonts w:ascii="Times New Roman" w:hAnsi="Times New Roman"/>
          <w:szCs w:val="24"/>
        </w:rPr>
        <w:t>PacifiCorp, d</w:t>
      </w:r>
      <w:r w:rsidR="00673B1F">
        <w:rPr>
          <w:rFonts w:ascii="Times New Roman" w:hAnsi="Times New Roman"/>
          <w:szCs w:val="24"/>
        </w:rPr>
        <w:t>/</w:t>
      </w:r>
      <w:r w:rsidRPr="00D604AC">
        <w:rPr>
          <w:rFonts w:ascii="Times New Roman" w:hAnsi="Times New Roman"/>
          <w:szCs w:val="24"/>
        </w:rPr>
        <w:t>b</w:t>
      </w:r>
      <w:r w:rsidR="00673B1F">
        <w:rPr>
          <w:rFonts w:ascii="Times New Roman" w:hAnsi="Times New Roman"/>
          <w:szCs w:val="24"/>
        </w:rPr>
        <w:t>/</w:t>
      </w:r>
      <w:r w:rsidRPr="00D604AC">
        <w:rPr>
          <w:rFonts w:ascii="Times New Roman" w:hAnsi="Times New Roman"/>
          <w:szCs w:val="24"/>
        </w:rPr>
        <w:t xml:space="preserve">a Pacific Power &amp; Light Company (PacifiCorp or Company) submits </w:t>
      </w:r>
      <w:r w:rsidR="00C02FB1" w:rsidRPr="00D604AC">
        <w:rPr>
          <w:rFonts w:ascii="Times New Roman" w:hAnsi="Times New Roman"/>
          <w:szCs w:val="24"/>
        </w:rPr>
        <w:t>to the Washington Utilities and Transportation Commission (Commission) r</w:t>
      </w:r>
      <w:r w:rsidRPr="00D604AC">
        <w:rPr>
          <w:rFonts w:ascii="Times New Roman" w:hAnsi="Times New Roman"/>
          <w:szCs w:val="24"/>
        </w:rPr>
        <w:t xml:space="preserve">evisions to its </w:t>
      </w:r>
      <w:r w:rsidR="000B3DB4" w:rsidRPr="00D604AC">
        <w:rPr>
          <w:rFonts w:ascii="Times New Roman" w:hAnsi="Times New Roman"/>
          <w:szCs w:val="24"/>
        </w:rPr>
        <w:t>Demand</w:t>
      </w:r>
      <w:r w:rsidR="003529A2">
        <w:rPr>
          <w:rFonts w:ascii="Times New Roman" w:hAnsi="Times New Roman"/>
          <w:szCs w:val="24"/>
        </w:rPr>
        <w:t xml:space="preserve"> S</w:t>
      </w:r>
      <w:r w:rsidR="000B3DB4" w:rsidRPr="00D604AC">
        <w:rPr>
          <w:rFonts w:ascii="Times New Roman" w:hAnsi="Times New Roman"/>
          <w:szCs w:val="24"/>
        </w:rPr>
        <w:t>ide Management (DSM) Business Plan</w:t>
      </w:r>
      <w:r w:rsidR="00953370" w:rsidRPr="00D604AC">
        <w:rPr>
          <w:rFonts w:ascii="Times New Roman" w:hAnsi="Times New Roman"/>
          <w:szCs w:val="24"/>
        </w:rPr>
        <w:t xml:space="preserve">.  </w:t>
      </w:r>
      <w:r w:rsidR="00A165B3" w:rsidRPr="00D604AC">
        <w:rPr>
          <w:rFonts w:ascii="Times New Roman" w:hAnsi="Times New Roman"/>
          <w:szCs w:val="24"/>
        </w:rPr>
        <w:t>Th</w:t>
      </w:r>
      <w:r w:rsidR="00A165B3">
        <w:rPr>
          <w:rFonts w:ascii="Times New Roman" w:hAnsi="Times New Roman"/>
          <w:szCs w:val="24"/>
        </w:rPr>
        <w:t>e</w:t>
      </w:r>
      <w:r w:rsidR="00A165B3" w:rsidRPr="00D604AC">
        <w:rPr>
          <w:rFonts w:ascii="Times New Roman" w:hAnsi="Times New Roman"/>
          <w:szCs w:val="24"/>
        </w:rPr>
        <w:t xml:space="preserve"> </w:t>
      </w:r>
      <w:r w:rsidR="00DF786C">
        <w:rPr>
          <w:rFonts w:ascii="Times New Roman" w:hAnsi="Times New Roman"/>
          <w:szCs w:val="24"/>
        </w:rPr>
        <w:t xml:space="preserve">DSM Business Plan </w:t>
      </w:r>
      <w:r w:rsidR="00953370" w:rsidRPr="00D604AC">
        <w:rPr>
          <w:rFonts w:ascii="Times New Roman" w:hAnsi="Times New Roman"/>
          <w:szCs w:val="24"/>
        </w:rPr>
        <w:t>was</w:t>
      </w:r>
      <w:r w:rsidR="000B3DB4" w:rsidRPr="00D604AC">
        <w:rPr>
          <w:rFonts w:ascii="Times New Roman" w:hAnsi="Times New Roman"/>
          <w:szCs w:val="24"/>
        </w:rPr>
        <w:t xml:space="preserve"> originally provided as </w:t>
      </w:r>
      <w:r w:rsidR="004912AA" w:rsidRPr="00D604AC">
        <w:rPr>
          <w:rFonts w:ascii="Times New Roman" w:hAnsi="Times New Roman"/>
          <w:szCs w:val="24"/>
        </w:rPr>
        <w:t>Appendix 7</w:t>
      </w:r>
      <w:r w:rsidR="00910441" w:rsidRPr="00D604AC">
        <w:rPr>
          <w:rFonts w:ascii="Times New Roman" w:hAnsi="Times New Roman"/>
          <w:szCs w:val="24"/>
        </w:rPr>
        <w:t xml:space="preserve">, </w:t>
      </w:r>
      <w:r w:rsidR="000B3DB4" w:rsidRPr="00D604AC">
        <w:rPr>
          <w:rFonts w:ascii="Times New Roman" w:hAnsi="Times New Roman"/>
          <w:szCs w:val="24"/>
        </w:rPr>
        <w:t xml:space="preserve">in </w:t>
      </w:r>
      <w:r w:rsidR="00910441" w:rsidRPr="00D604AC">
        <w:rPr>
          <w:rFonts w:ascii="Times New Roman" w:hAnsi="Times New Roman"/>
          <w:szCs w:val="24"/>
        </w:rPr>
        <w:t>the</w:t>
      </w:r>
      <w:r w:rsidRPr="00D604AC">
        <w:rPr>
          <w:rFonts w:ascii="Times New Roman" w:hAnsi="Times New Roman"/>
          <w:szCs w:val="24"/>
        </w:rPr>
        <w:t xml:space="preserve"> Ten-</w:t>
      </w:r>
      <w:r w:rsidR="007E22BC">
        <w:rPr>
          <w:rFonts w:ascii="Times New Roman" w:hAnsi="Times New Roman"/>
          <w:szCs w:val="24"/>
        </w:rPr>
        <w:t>Y</w:t>
      </w:r>
      <w:r w:rsidRPr="00D604AC">
        <w:rPr>
          <w:rFonts w:ascii="Times New Roman" w:hAnsi="Times New Roman"/>
          <w:szCs w:val="24"/>
        </w:rPr>
        <w:t xml:space="preserve">ear Achievable Conservation Potential and Biennial Conservation Target for 2012 and </w:t>
      </w:r>
      <w:r w:rsidR="00A165B3" w:rsidRPr="00D604AC">
        <w:rPr>
          <w:rFonts w:ascii="Times New Roman" w:hAnsi="Times New Roman"/>
          <w:szCs w:val="24"/>
        </w:rPr>
        <w:t>2013</w:t>
      </w:r>
      <w:r w:rsidR="00910441" w:rsidRPr="00D604AC">
        <w:rPr>
          <w:rFonts w:ascii="Times New Roman" w:hAnsi="Times New Roman"/>
          <w:szCs w:val="24"/>
        </w:rPr>
        <w:t xml:space="preserve"> filed </w:t>
      </w:r>
      <w:r w:rsidR="000B3DB4" w:rsidRPr="00D604AC">
        <w:rPr>
          <w:rFonts w:ascii="Times New Roman" w:hAnsi="Times New Roman"/>
          <w:szCs w:val="24"/>
        </w:rPr>
        <w:t xml:space="preserve">with the Commission </w:t>
      </w:r>
      <w:r w:rsidR="00910441" w:rsidRPr="00D604AC">
        <w:rPr>
          <w:rFonts w:ascii="Times New Roman" w:hAnsi="Times New Roman"/>
          <w:szCs w:val="24"/>
        </w:rPr>
        <w:t>on January 31, 2012</w:t>
      </w:r>
      <w:r w:rsidR="00673B1F">
        <w:rPr>
          <w:rFonts w:ascii="Times New Roman" w:hAnsi="Times New Roman"/>
          <w:szCs w:val="24"/>
        </w:rPr>
        <w:t>,</w:t>
      </w:r>
      <w:r w:rsidR="00D73BE9" w:rsidRPr="00D604AC">
        <w:rPr>
          <w:rFonts w:ascii="Times New Roman" w:hAnsi="Times New Roman"/>
          <w:szCs w:val="24"/>
        </w:rPr>
        <w:t xml:space="preserve"> and updated with the Commission on June 4, 2012</w:t>
      </w:r>
      <w:r w:rsidR="00673B1F">
        <w:rPr>
          <w:rFonts w:ascii="Times New Roman" w:hAnsi="Times New Roman"/>
          <w:szCs w:val="24"/>
        </w:rPr>
        <w:t>,</w:t>
      </w:r>
      <w:r w:rsidR="00630E32">
        <w:rPr>
          <w:rFonts w:ascii="Times New Roman" w:hAnsi="Times New Roman"/>
          <w:szCs w:val="24"/>
        </w:rPr>
        <w:t xml:space="preserve"> and again on November 1, 2012</w:t>
      </w:r>
      <w:r w:rsidRPr="00D604AC">
        <w:rPr>
          <w:rFonts w:ascii="Times New Roman" w:hAnsi="Times New Roman"/>
          <w:szCs w:val="24"/>
        </w:rPr>
        <w:t>.</w:t>
      </w:r>
      <w:r w:rsidR="00875C27" w:rsidRPr="00D604AC">
        <w:rPr>
          <w:rFonts w:ascii="Times New Roman" w:hAnsi="Times New Roman"/>
          <w:szCs w:val="24"/>
        </w:rPr>
        <w:t xml:space="preserve">  Attached please find one original and two copies of PacifiCorp’s Revised DSM Business Plan.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67B61" w:rsidRPr="00FA61BD" w:rsidRDefault="00E61028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As outlined in </w:t>
      </w:r>
      <w:r w:rsidR="004912AA" w:rsidRPr="00D604AC">
        <w:rPr>
          <w:rFonts w:ascii="Times New Roman" w:hAnsi="Times New Roman"/>
          <w:szCs w:val="24"/>
        </w:rPr>
        <w:t xml:space="preserve">Condition (5) of </w:t>
      </w:r>
      <w:r w:rsidRPr="00D604AC">
        <w:rPr>
          <w:rFonts w:ascii="Times New Roman" w:hAnsi="Times New Roman"/>
          <w:szCs w:val="24"/>
        </w:rPr>
        <w:t>Order</w:t>
      </w:r>
      <w:r w:rsidR="00093756" w:rsidRPr="00D604AC">
        <w:rPr>
          <w:rFonts w:ascii="Times New Roman" w:hAnsi="Times New Roman"/>
          <w:szCs w:val="24"/>
        </w:rPr>
        <w:t xml:space="preserve"> 01, Docket UE-111880</w:t>
      </w:r>
      <w:r w:rsidRPr="00D604AC">
        <w:rPr>
          <w:rFonts w:ascii="Times New Roman" w:hAnsi="Times New Roman"/>
          <w:szCs w:val="24"/>
        </w:rPr>
        <w:t xml:space="preserve">, PacifiCorp is required </w:t>
      </w:r>
      <w:r w:rsidR="004912AA" w:rsidRPr="00D604AC">
        <w:rPr>
          <w:rFonts w:ascii="Times New Roman" w:hAnsi="Times New Roman"/>
          <w:szCs w:val="24"/>
        </w:rPr>
        <w:t xml:space="preserve">to maintain its conservation tariffs on file with the Commission. </w:t>
      </w:r>
      <w:r w:rsidR="00302FD6">
        <w:rPr>
          <w:rFonts w:ascii="Times New Roman" w:hAnsi="Times New Roman"/>
          <w:szCs w:val="24"/>
        </w:rPr>
        <w:t xml:space="preserve"> </w:t>
      </w:r>
      <w:r w:rsidR="00A165B3">
        <w:rPr>
          <w:rFonts w:ascii="Times New Roman" w:hAnsi="Times New Roman"/>
          <w:szCs w:val="24"/>
        </w:rPr>
        <w:t xml:space="preserve">That condition states, </w:t>
      </w:r>
      <w:r w:rsidR="00DF786C">
        <w:rPr>
          <w:rFonts w:ascii="Times New Roman" w:hAnsi="Times New Roman"/>
          <w:szCs w:val="24"/>
        </w:rPr>
        <w:t>“</w:t>
      </w:r>
      <w:r w:rsidR="00CF0F61">
        <w:rPr>
          <w:rFonts w:ascii="Times New Roman" w:hAnsi="Times New Roman"/>
          <w:szCs w:val="24"/>
        </w:rPr>
        <w:t>[p]</w:t>
      </w:r>
      <w:proofErr w:type="spellStart"/>
      <w:r w:rsidR="004912AA" w:rsidRPr="00D604AC">
        <w:rPr>
          <w:rFonts w:ascii="Times New Roman" w:hAnsi="Times New Roman"/>
          <w:szCs w:val="24"/>
        </w:rPr>
        <w:t>rogram</w:t>
      </w:r>
      <w:proofErr w:type="spellEnd"/>
      <w:r w:rsidR="004912AA" w:rsidRPr="00D604AC">
        <w:rPr>
          <w:rFonts w:ascii="Times New Roman" w:hAnsi="Times New Roman"/>
          <w:szCs w:val="24"/>
        </w:rPr>
        <w:t xml:space="preserve"> details about specific measures, incentives and eligibility requirements must be filed as tariff attachments or as revisions to PacifiCorp’s DSM Business Plan.</w:t>
      </w:r>
      <w:r w:rsidR="00910441" w:rsidRPr="00D604AC">
        <w:rPr>
          <w:rFonts w:ascii="Times New Roman" w:hAnsi="Times New Roman"/>
          <w:szCs w:val="24"/>
        </w:rPr>
        <w:t>”</w:t>
      </w:r>
      <w:r w:rsidR="00093756" w:rsidRPr="00D604AC">
        <w:rPr>
          <w:rFonts w:ascii="Times New Roman" w:hAnsi="Times New Roman"/>
          <w:szCs w:val="24"/>
        </w:rPr>
        <w:t xml:space="preserve">  </w:t>
      </w:r>
      <w:r w:rsidR="00A165B3">
        <w:rPr>
          <w:rFonts w:ascii="Times New Roman" w:hAnsi="Times New Roman"/>
          <w:szCs w:val="24"/>
        </w:rPr>
        <w:t>The e</w:t>
      </w:r>
      <w:r w:rsidR="004912AA" w:rsidRPr="00D604AC">
        <w:rPr>
          <w:rFonts w:ascii="Times New Roman" w:hAnsi="Times New Roman"/>
          <w:szCs w:val="24"/>
        </w:rPr>
        <w:t xml:space="preserve">nclosed </w:t>
      </w:r>
      <w:r w:rsidR="00A165B3">
        <w:rPr>
          <w:rFonts w:ascii="Times New Roman" w:hAnsi="Times New Roman"/>
          <w:szCs w:val="24"/>
        </w:rPr>
        <w:t>revised</w:t>
      </w:r>
      <w:r w:rsidR="00DF786C">
        <w:rPr>
          <w:rFonts w:ascii="Times New Roman" w:hAnsi="Times New Roman"/>
          <w:szCs w:val="24"/>
        </w:rPr>
        <w:t xml:space="preserve"> </w:t>
      </w:r>
      <w:r w:rsidR="000B3DB4" w:rsidRPr="00D604AC">
        <w:rPr>
          <w:rFonts w:ascii="Times New Roman" w:hAnsi="Times New Roman"/>
          <w:szCs w:val="24"/>
        </w:rPr>
        <w:t xml:space="preserve">DSM </w:t>
      </w:r>
      <w:r w:rsidR="00C02FB1" w:rsidRPr="00D604AC">
        <w:rPr>
          <w:rFonts w:ascii="Times New Roman" w:hAnsi="Times New Roman"/>
          <w:szCs w:val="24"/>
        </w:rPr>
        <w:t>Business Plan reflect</w:t>
      </w:r>
      <w:r w:rsidR="00DF786C">
        <w:rPr>
          <w:rFonts w:ascii="Times New Roman" w:hAnsi="Times New Roman"/>
          <w:szCs w:val="24"/>
        </w:rPr>
        <w:t>s</w:t>
      </w:r>
      <w:r w:rsidR="00C02FB1" w:rsidRPr="00D604AC">
        <w:rPr>
          <w:rFonts w:ascii="Times New Roman" w:hAnsi="Times New Roman"/>
          <w:szCs w:val="24"/>
        </w:rPr>
        <w:t xml:space="preserve"> </w:t>
      </w:r>
      <w:r w:rsidR="00DF786C">
        <w:rPr>
          <w:rFonts w:ascii="Times New Roman" w:hAnsi="Times New Roman"/>
          <w:szCs w:val="24"/>
        </w:rPr>
        <w:t xml:space="preserve">revisions </w:t>
      </w:r>
      <w:r w:rsidR="00630E32">
        <w:rPr>
          <w:rFonts w:ascii="Times New Roman" w:hAnsi="Times New Roman"/>
          <w:szCs w:val="24"/>
        </w:rPr>
        <w:t>to Schedule 115 – FinAnswer Express and Schedule 11</w:t>
      </w:r>
      <w:r w:rsidR="003529A2">
        <w:rPr>
          <w:rFonts w:ascii="Times New Roman" w:hAnsi="Times New Roman"/>
          <w:szCs w:val="24"/>
        </w:rPr>
        <w:t>8</w:t>
      </w:r>
      <w:r w:rsidR="00630E32">
        <w:rPr>
          <w:rFonts w:ascii="Times New Roman" w:hAnsi="Times New Roman"/>
          <w:szCs w:val="24"/>
        </w:rPr>
        <w:t xml:space="preserve"> – Home Energy Savings. </w:t>
      </w:r>
      <w:r w:rsidR="00567B61" w:rsidRPr="00FA61BD">
        <w:rPr>
          <w:rFonts w:ascii="Times New Roman" w:hAnsi="Times New Roman"/>
          <w:szCs w:val="24"/>
        </w:rPr>
        <w:t xml:space="preserve"> </w:t>
      </w:r>
    </w:p>
    <w:p w:rsidR="00C66AEE" w:rsidRPr="00FA61BD" w:rsidRDefault="00C66AEE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30E32" w:rsidRDefault="00630E32" w:rsidP="00A165B3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Changes to </w:t>
      </w:r>
      <w:r w:rsidRPr="00753F46">
        <w:rPr>
          <w:rFonts w:ascii="Times New Roman" w:hAnsi="Times New Roman" w:cs="Times New Roman"/>
          <w:b w:val="0"/>
          <w:bCs w:val="0"/>
          <w:sz w:val="24"/>
          <w:szCs w:val="24"/>
        </w:rPr>
        <w:t>Schedule 115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FinAnswer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Express address</w:t>
      </w:r>
      <w:r w:rsidRPr="00753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updates</w:t>
      </w:r>
      <w:r w:rsidRPr="00753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needed to align </w:t>
      </w:r>
      <w:r w:rsidR="00CF0F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this schedule </w:t>
      </w:r>
      <w:r w:rsidRPr="00753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with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the Washington State Energy Code and market data</w:t>
      </w:r>
      <w:r w:rsidRPr="00753F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02F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3F46">
        <w:rPr>
          <w:rFonts w:ascii="Times New Roman" w:hAnsi="Times New Roman" w:cs="Times New Roman"/>
          <w:b w:val="0"/>
          <w:sz w:val="24"/>
          <w:szCs w:val="24"/>
        </w:rPr>
        <w:t>Consistent with the change process for the FinAnswer Express program documented and approved in Advice 06-08 (Docket UE-061710),</w:t>
      </w:r>
      <w:r w:rsidR="00A76DD3">
        <w:rPr>
          <w:rFonts w:ascii="Times New Roman" w:hAnsi="Times New Roman" w:cs="Times New Roman"/>
          <w:b w:val="0"/>
          <w:sz w:val="24"/>
          <w:szCs w:val="24"/>
        </w:rPr>
        <w:t xml:space="preserve"> changes were presented to the </w:t>
      </w:r>
      <w:r w:rsidR="00A165B3">
        <w:rPr>
          <w:rFonts w:ascii="Times New Roman" w:hAnsi="Times New Roman" w:cs="Times New Roman"/>
          <w:b w:val="0"/>
          <w:sz w:val="24"/>
          <w:szCs w:val="24"/>
        </w:rPr>
        <w:t>DSM A</w:t>
      </w:r>
      <w:r w:rsidR="00A76DD3">
        <w:rPr>
          <w:rFonts w:ascii="Times New Roman" w:hAnsi="Times New Roman" w:cs="Times New Roman"/>
          <w:b w:val="0"/>
          <w:sz w:val="24"/>
          <w:szCs w:val="24"/>
        </w:rPr>
        <w:t xml:space="preserve">dvisory </w:t>
      </w:r>
      <w:r w:rsidR="00A165B3">
        <w:rPr>
          <w:rFonts w:ascii="Times New Roman" w:hAnsi="Times New Roman" w:cs="Times New Roman"/>
          <w:b w:val="0"/>
          <w:sz w:val="24"/>
          <w:szCs w:val="24"/>
        </w:rPr>
        <w:t>Group</w:t>
      </w:r>
      <w:r w:rsidR="00A76DD3">
        <w:rPr>
          <w:rFonts w:ascii="Times New Roman" w:hAnsi="Times New Roman" w:cs="Times New Roman"/>
          <w:b w:val="0"/>
          <w:sz w:val="24"/>
          <w:szCs w:val="24"/>
        </w:rPr>
        <w:t>, positive feedback was received, and</w:t>
      </w:r>
      <w:r w:rsidRPr="00753F46">
        <w:rPr>
          <w:rFonts w:ascii="Times New Roman" w:hAnsi="Times New Roman" w:cs="Times New Roman"/>
          <w:b w:val="0"/>
          <w:sz w:val="24"/>
          <w:szCs w:val="24"/>
        </w:rPr>
        <w:t xml:space="preserve"> notice of the changes </w:t>
      </w:r>
      <w:r>
        <w:rPr>
          <w:rFonts w:ascii="Times New Roman" w:hAnsi="Times New Roman" w:cs="Times New Roman"/>
          <w:b w:val="0"/>
          <w:sz w:val="24"/>
          <w:szCs w:val="24"/>
        </w:rPr>
        <w:t>was</w:t>
      </w:r>
      <w:r w:rsidRPr="00753F46">
        <w:rPr>
          <w:rFonts w:ascii="Times New Roman" w:hAnsi="Times New Roman" w:cs="Times New Roman"/>
          <w:b w:val="0"/>
          <w:sz w:val="24"/>
          <w:szCs w:val="24"/>
        </w:rPr>
        <w:t xml:space="preserve"> posted on the program website</w:t>
      </w:r>
      <w:r w:rsidRPr="00753F46">
        <w:rPr>
          <w:rStyle w:val="FootnoteReference"/>
          <w:rFonts w:ascii="Times New Roman" w:hAnsi="Times New Roman" w:cs="Times New Roman"/>
          <w:b w:val="0"/>
          <w:sz w:val="24"/>
          <w:szCs w:val="24"/>
        </w:rPr>
        <w:footnoteReference w:id="2"/>
      </w:r>
      <w:r w:rsidRPr="00753F46">
        <w:rPr>
          <w:rFonts w:ascii="Times New Roman" w:hAnsi="Times New Roman" w:cs="Times New Roman"/>
          <w:b w:val="0"/>
          <w:sz w:val="24"/>
          <w:szCs w:val="24"/>
        </w:rPr>
        <w:t xml:space="preserve"> 45 days prior to implementation.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The </w:t>
      </w:r>
      <w:r w:rsidR="00761CD2">
        <w:rPr>
          <w:rFonts w:ascii="Times New Roman" w:hAnsi="Times New Roman" w:cs="Times New Roman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hanges went into effect on Friday, September 6, 2013. </w:t>
      </w:r>
    </w:p>
    <w:p w:rsidR="008E5EB7" w:rsidRDefault="008E5EB7" w:rsidP="00A165B3">
      <w:pPr>
        <w:tabs>
          <w:tab w:val="left" w:pos="-1080"/>
        </w:tabs>
        <w:rPr>
          <w:szCs w:val="24"/>
        </w:rPr>
      </w:pPr>
    </w:p>
    <w:p w:rsidR="003529A2" w:rsidRDefault="008E5EB7" w:rsidP="00A165B3">
      <w:pPr>
        <w:tabs>
          <w:tab w:val="left" w:pos="-1080"/>
        </w:tabs>
        <w:rPr>
          <w:szCs w:val="24"/>
        </w:rPr>
      </w:pPr>
      <w:r w:rsidRPr="00184130">
        <w:rPr>
          <w:szCs w:val="24"/>
        </w:rPr>
        <w:t xml:space="preserve">The </w:t>
      </w:r>
      <w:proofErr w:type="spellStart"/>
      <w:r w:rsidR="003529A2">
        <w:rPr>
          <w:szCs w:val="24"/>
        </w:rPr>
        <w:t>FinAnswer</w:t>
      </w:r>
      <w:proofErr w:type="spellEnd"/>
      <w:r w:rsidR="003529A2">
        <w:rPr>
          <w:szCs w:val="24"/>
        </w:rPr>
        <w:t xml:space="preserve"> Express </w:t>
      </w:r>
      <w:r w:rsidRPr="00184130">
        <w:rPr>
          <w:szCs w:val="24"/>
        </w:rPr>
        <w:t>pro</w:t>
      </w:r>
      <w:r>
        <w:rPr>
          <w:szCs w:val="24"/>
        </w:rPr>
        <w:t>gram</w:t>
      </w:r>
      <w:r w:rsidRPr="00184130">
        <w:rPr>
          <w:szCs w:val="24"/>
        </w:rPr>
        <w:t xml:space="preserve"> </w:t>
      </w:r>
      <w:r>
        <w:rPr>
          <w:szCs w:val="24"/>
        </w:rPr>
        <w:t>changes</w:t>
      </w:r>
      <w:r w:rsidRPr="00184130">
        <w:rPr>
          <w:szCs w:val="24"/>
        </w:rPr>
        <w:t xml:space="preserve"> </w:t>
      </w:r>
      <w:r>
        <w:rPr>
          <w:szCs w:val="24"/>
        </w:rPr>
        <w:t>are</w:t>
      </w:r>
      <w:r w:rsidRPr="00184130">
        <w:rPr>
          <w:szCs w:val="24"/>
        </w:rPr>
        <w:t xml:space="preserve"> summarized </w:t>
      </w:r>
      <w:r>
        <w:rPr>
          <w:szCs w:val="24"/>
        </w:rPr>
        <w:t xml:space="preserve">in Table 1 </w:t>
      </w:r>
      <w:r w:rsidR="00CF0F61">
        <w:rPr>
          <w:szCs w:val="24"/>
        </w:rPr>
        <w:t>below</w:t>
      </w:r>
      <w:r w:rsidR="00264351">
        <w:rPr>
          <w:szCs w:val="24"/>
        </w:rPr>
        <w:t>.</w:t>
      </w:r>
      <w:r>
        <w:rPr>
          <w:szCs w:val="24"/>
        </w:rPr>
        <w:t xml:space="preserve"> </w:t>
      </w:r>
    </w:p>
    <w:p w:rsidR="00A76DD3" w:rsidRDefault="00A76DD3" w:rsidP="00A76DD3">
      <w:pPr>
        <w:tabs>
          <w:tab w:val="left" w:pos="-1080"/>
        </w:tabs>
        <w:jc w:val="both"/>
        <w:rPr>
          <w:b/>
          <w:szCs w:val="24"/>
        </w:rPr>
      </w:pPr>
    </w:p>
    <w:p w:rsidR="008E5EB7" w:rsidRPr="00CD7B62" w:rsidRDefault="008E5EB7" w:rsidP="008E5EB7">
      <w:pPr>
        <w:tabs>
          <w:tab w:val="left" w:pos="-1080"/>
        </w:tabs>
        <w:jc w:val="center"/>
        <w:rPr>
          <w:b/>
          <w:szCs w:val="24"/>
        </w:rPr>
      </w:pPr>
      <w:r w:rsidRPr="00CD7B62">
        <w:rPr>
          <w:b/>
          <w:szCs w:val="24"/>
        </w:rPr>
        <w:lastRenderedPageBreak/>
        <w:t>Table 1</w:t>
      </w:r>
    </w:p>
    <w:p w:rsidR="008E5EB7" w:rsidRPr="00CD7B62" w:rsidRDefault="008E5EB7" w:rsidP="008E5EB7">
      <w:pPr>
        <w:tabs>
          <w:tab w:val="left" w:pos="-1080"/>
        </w:tabs>
        <w:jc w:val="center"/>
        <w:rPr>
          <w:b/>
          <w:szCs w:val="24"/>
        </w:rPr>
      </w:pPr>
      <w:r w:rsidRPr="00CD7B62">
        <w:rPr>
          <w:b/>
          <w:szCs w:val="24"/>
        </w:rPr>
        <w:t xml:space="preserve">Summary of Changes </w:t>
      </w:r>
      <w:r>
        <w:rPr>
          <w:b/>
          <w:szCs w:val="24"/>
        </w:rPr>
        <w:t>to</w:t>
      </w:r>
      <w:r w:rsidRPr="00CD7B62">
        <w:rPr>
          <w:b/>
          <w:szCs w:val="24"/>
        </w:rPr>
        <w:t xml:space="preserve"> Washington FinAnswer Express</w:t>
      </w:r>
    </w:p>
    <w:p w:rsidR="008E5EB7" w:rsidRDefault="008E5EB7" w:rsidP="008E5EB7">
      <w:pPr>
        <w:tabs>
          <w:tab w:val="left" w:pos="-1080"/>
        </w:tabs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4860"/>
        <w:gridCol w:w="18"/>
      </w:tblGrid>
      <w:tr w:rsidR="008E5EB7" w:rsidRPr="00955D37" w:rsidTr="00736C33">
        <w:trPr>
          <w:tblHeader/>
        </w:trPr>
        <w:tc>
          <w:tcPr>
            <w:tcW w:w="2178" w:type="dxa"/>
          </w:tcPr>
          <w:p w:rsidR="008E5EB7" w:rsidRPr="00955D37" w:rsidRDefault="008E5EB7" w:rsidP="00736C33">
            <w:pPr>
              <w:tabs>
                <w:tab w:val="left" w:pos="-1080"/>
              </w:tabs>
              <w:rPr>
                <w:b/>
                <w:szCs w:val="24"/>
              </w:rPr>
            </w:pPr>
            <w:r w:rsidRPr="00955D37">
              <w:rPr>
                <w:b/>
                <w:szCs w:val="24"/>
              </w:rPr>
              <w:t>Measure Category</w:t>
            </w:r>
          </w:p>
        </w:tc>
        <w:tc>
          <w:tcPr>
            <w:tcW w:w="2520" w:type="dxa"/>
          </w:tcPr>
          <w:p w:rsidR="008E5EB7" w:rsidRPr="00955D37" w:rsidRDefault="008E5EB7" w:rsidP="00736C33">
            <w:pPr>
              <w:tabs>
                <w:tab w:val="left" w:pos="-1080"/>
              </w:tabs>
              <w:rPr>
                <w:b/>
                <w:szCs w:val="24"/>
              </w:rPr>
            </w:pPr>
            <w:r w:rsidRPr="00955D37">
              <w:rPr>
                <w:b/>
                <w:szCs w:val="24"/>
              </w:rPr>
              <w:t xml:space="preserve">Description of </w:t>
            </w:r>
            <w:r>
              <w:rPr>
                <w:b/>
                <w:szCs w:val="24"/>
              </w:rPr>
              <w:t>C</w:t>
            </w:r>
            <w:r w:rsidRPr="00955D37">
              <w:rPr>
                <w:b/>
                <w:szCs w:val="24"/>
              </w:rPr>
              <w:t>hange</w:t>
            </w:r>
          </w:p>
        </w:tc>
        <w:tc>
          <w:tcPr>
            <w:tcW w:w="4878" w:type="dxa"/>
            <w:gridSpan w:val="2"/>
          </w:tcPr>
          <w:p w:rsidR="008E5EB7" w:rsidRPr="00955D37" w:rsidRDefault="008E5EB7" w:rsidP="00736C33">
            <w:pPr>
              <w:tabs>
                <w:tab w:val="left" w:pos="-1080"/>
              </w:tabs>
              <w:rPr>
                <w:b/>
                <w:szCs w:val="24"/>
              </w:rPr>
            </w:pPr>
            <w:r w:rsidRPr="00955D37">
              <w:rPr>
                <w:b/>
                <w:szCs w:val="24"/>
              </w:rPr>
              <w:t xml:space="preserve">Reason for </w:t>
            </w:r>
            <w:r>
              <w:rPr>
                <w:b/>
                <w:szCs w:val="24"/>
              </w:rPr>
              <w:t>C</w:t>
            </w:r>
            <w:r w:rsidRPr="00955D37">
              <w:rPr>
                <w:b/>
                <w:szCs w:val="24"/>
              </w:rPr>
              <w:t>hange</w:t>
            </w:r>
          </w:p>
        </w:tc>
      </w:tr>
      <w:tr w:rsidR="008E5EB7" w:rsidTr="00736C33">
        <w:trPr>
          <w:gridAfter w:val="1"/>
          <w:wAfter w:w="18" w:type="dxa"/>
        </w:trPr>
        <w:tc>
          <w:tcPr>
            <w:tcW w:w="2178" w:type="dxa"/>
          </w:tcPr>
          <w:p w:rsidR="008E5EB7" w:rsidRPr="00C26A8D" w:rsidRDefault="008E5EB7" w:rsidP="00736C33">
            <w:pPr>
              <w:tabs>
                <w:tab w:val="left" w:pos="-1080"/>
              </w:tabs>
              <w:rPr>
                <w:rFonts w:ascii="Times New Roman" w:hAnsi="Times New Roman"/>
                <w:szCs w:val="24"/>
              </w:rPr>
            </w:pPr>
            <w:r w:rsidRPr="00C26A8D">
              <w:rPr>
                <w:rFonts w:ascii="Times New Roman" w:hAnsi="Times New Roman"/>
                <w:szCs w:val="24"/>
              </w:rPr>
              <w:t>Building Envelope</w:t>
            </w:r>
            <w:r>
              <w:rPr>
                <w:rFonts w:ascii="Times New Roman" w:hAnsi="Times New Roman"/>
                <w:szCs w:val="24"/>
              </w:rPr>
              <w:t xml:space="preserve"> – new construction, major renovation</w:t>
            </w:r>
          </w:p>
        </w:tc>
        <w:tc>
          <w:tcPr>
            <w:tcW w:w="2520" w:type="dxa"/>
          </w:tcPr>
          <w:p w:rsidR="008E5EB7" w:rsidRPr="0043766B" w:rsidRDefault="008E5EB7" w:rsidP="00736C3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Discontinue incentives for wall insulation</w:t>
            </w:r>
            <w:r w:rsidR="002023C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60" w:type="dxa"/>
          </w:tcPr>
          <w:p w:rsidR="008E5EB7" w:rsidRPr="005211E4" w:rsidRDefault="008E5EB7" w:rsidP="00736C33">
            <w:pPr>
              <w:pStyle w:val="CommentText"/>
              <w:rPr>
                <w:sz w:val="24"/>
              </w:rPr>
            </w:pPr>
            <w:r w:rsidRPr="00C005F3">
              <w:rPr>
                <w:sz w:val="24"/>
              </w:rPr>
              <w:t xml:space="preserve">WSEC 2012 requirements for wall insulation have increased to the point where additional insulation above code effectively results in no energy savings. </w:t>
            </w:r>
          </w:p>
        </w:tc>
      </w:tr>
      <w:tr w:rsidR="008E5EB7" w:rsidTr="00736C33">
        <w:trPr>
          <w:gridAfter w:val="1"/>
          <w:wAfter w:w="18" w:type="dxa"/>
        </w:trPr>
        <w:tc>
          <w:tcPr>
            <w:tcW w:w="2178" w:type="dxa"/>
          </w:tcPr>
          <w:p w:rsidR="008E5EB7" w:rsidRPr="00C26A8D" w:rsidRDefault="008E5EB7" w:rsidP="00736C33">
            <w:pPr>
              <w:tabs>
                <w:tab w:val="left" w:pos="-1080"/>
              </w:tabs>
              <w:rPr>
                <w:szCs w:val="24"/>
              </w:rPr>
            </w:pPr>
            <w:r>
              <w:rPr>
                <w:szCs w:val="24"/>
              </w:rPr>
              <w:t>Compressed Air</w:t>
            </w:r>
          </w:p>
        </w:tc>
        <w:tc>
          <w:tcPr>
            <w:tcW w:w="2520" w:type="dxa"/>
          </w:tcPr>
          <w:p w:rsidR="008E5EB7" w:rsidRDefault="008E5EB7" w:rsidP="00736C33">
            <w:pPr>
              <w:rPr>
                <w:szCs w:val="24"/>
              </w:rPr>
            </w:pPr>
            <w:r>
              <w:rPr>
                <w:szCs w:val="24"/>
              </w:rPr>
              <w:t>Add a measure cost cap to the air compressor VFD measure</w:t>
            </w:r>
            <w:r w:rsidR="002023C3">
              <w:rPr>
                <w:szCs w:val="24"/>
              </w:rPr>
              <w:t>.</w:t>
            </w:r>
          </w:p>
        </w:tc>
        <w:tc>
          <w:tcPr>
            <w:tcW w:w="4860" w:type="dxa"/>
          </w:tcPr>
          <w:p w:rsidR="008E5EB7" w:rsidRPr="00C005F3" w:rsidRDefault="008E5EB7" w:rsidP="00736C33">
            <w:pPr>
              <w:pStyle w:val="CommentText"/>
              <w:rPr>
                <w:sz w:val="24"/>
              </w:rPr>
            </w:pPr>
            <w:r>
              <w:rPr>
                <w:sz w:val="24"/>
              </w:rPr>
              <w:t>To add clarification</w:t>
            </w:r>
            <w:r w:rsidR="003529A2">
              <w:rPr>
                <w:sz w:val="24"/>
              </w:rPr>
              <w:t xml:space="preserve"> that</w:t>
            </w:r>
            <w:r>
              <w:rPr>
                <w:sz w:val="24"/>
              </w:rPr>
              <w:t xml:space="preserve"> incentives are capped at the measure cost to align with the intent for this measure.  </w:t>
            </w:r>
          </w:p>
        </w:tc>
      </w:tr>
    </w:tbl>
    <w:p w:rsidR="008E5EB7" w:rsidRPr="00D604AC" w:rsidRDefault="008E5EB7" w:rsidP="00D604AC"/>
    <w:p w:rsidR="008E5EB7" w:rsidRDefault="00630E32" w:rsidP="00A165B3">
      <w:pPr>
        <w:tabs>
          <w:tab w:val="left" w:pos="-1080"/>
        </w:tabs>
        <w:rPr>
          <w:szCs w:val="24"/>
        </w:rPr>
      </w:pPr>
      <w:r>
        <w:t>Changes to Schedule 11</w:t>
      </w:r>
      <w:r w:rsidR="003529A2">
        <w:t>8</w:t>
      </w:r>
      <w:r>
        <w:t xml:space="preserve"> – Home Energy Savings</w:t>
      </w:r>
      <w:r w:rsidR="008E5EB7">
        <w:t xml:space="preserve"> address </w:t>
      </w:r>
      <w:r w:rsidR="008E5EB7">
        <w:rPr>
          <w:rFonts w:ascii="Times New Roman" w:hAnsi="Times New Roman"/>
          <w:szCs w:val="24"/>
        </w:rPr>
        <w:t>updates</w:t>
      </w:r>
      <w:r w:rsidR="008E5EB7" w:rsidRPr="00753F46">
        <w:rPr>
          <w:rFonts w:ascii="Times New Roman" w:hAnsi="Times New Roman"/>
          <w:szCs w:val="24"/>
        </w:rPr>
        <w:t xml:space="preserve"> needed to align </w:t>
      </w:r>
      <w:r w:rsidR="00302FD6">
        <w:rPr>
          <w:rFonts w:ascii="Times New Roman" w:hAnsi="Times New Roman"/>
          <w:szCs w:val="24"/>
        </w:rPr>
        <w:t xml:space="preserve">this schedule </w:t>
      </w:r>
      <w:r w:rsidR="008E5EB7" w:rsidRPr="00753F46">
        <w:rPr>
          <w:rFonts w:ascii="Times New Roman" w:hAnsi="Times New Roman"/>
          <w:szCs w:val="24"/>
        </w:rPr>
        <w:t xml:space="preserve">with </w:t>
      </w:r>
      <w:r w:rsidR="008E5EB7">
        <w:rPr>
          <w:rFonts w:ascii="Times New Roman" w:hAnsi="Times New Roman"/>
          <w:szCs w:val="24"/>
        </w:rPr>
        <w:t>the Washington State Energy Code</w:t>
      </w:r>
      <w:r w:rsidR="008E5EB7" w:rsidRPr="00753F46">
        <w:rPr>
          <w:rFonts w:ascii="Times New Roman" w:hAnsi="Times New Roman"/>
          <w:szCs w:val="24"/>
        </w:rPr>
        <w:t>.</w:t>
      </w:r>
      <w:r w:rsidR="008E5EB7">
        <w:rPr>
          <w:rFonts w:ascii="Times New Roman" w:hAnsi="Times New Roman"/>
          <w:szCs w:val="24"/>
        </w:rPr>
        <w:t xml:space="preserve"> </w:t>
      </w:r>
      <w:r w:rsidR="003529A2">
        <w:rPr>
          <w:szCs w:val="24"/>
        </w:rPr>
        <w:t>O</w:t>
      </w:r>
      <w:r w:rsidR="008E5EB7">
        <w:rPr>
          <w:szCs w:val="24"/>
        </w:rPr>
        <w:t xml:space="preserve">ne </w:t>
      </w:r>
      <w:r w:rsidR="00AB6B55">
        <w:rPr>
          <w:szCs w:val="24"/>
        </w:rPr>
        <w:t xml:space="preserve">new construction </w:t>
      </w:r>
      <w:r w:rsidR="008E5EB7" w:rsidRPr="00882700">
        <w:rPr>
          <w:szCs w:val="24"/>
        </w:rPr>
        <w:t>measure</w:t>
      </w:r>
      <w:r w:rsidR="008E5EB7">
        <w:rPr>
          <w:szCs w:val="24"/>
        </w:rPr>
        <w:t xml:space="preserve"> </w:t>
      </w:r>
      <w:r w:rsidR="003529A2">
        <w:rPr>
          <w:szCs w:val="24"/>
        </w:rPr>
        <w:t>was</w:t>
      </w:r>
      <w:r w:rsidR="008E5EB7">
        <w:rPr>
          <w:szCs w:val="24"/>
        </w:rPr>
        <w:t xml:space="preserve"> retired</w:t>
      </w:r>
      <w:r w:rsidR="00A76DD3">
        <w:rPr>
          <w:szCs w:val="24"/>
        </w:rPr>
        <w:t xml:space="preserve">. </w:t>
      </w:r>
      <w:r w:rsidR="00302FD6">
        <w:rPr>
          <w:szCs w:val="24"/>
        </w:rPr>
        <w:t xml:space="preserve"> </w:t>
      </w:r>
      <w:r w:rsidR="00761CD2">
        <w:rPr>
          <w:szCs w:val="24"/>
        </w:rPr>
        <w:t xml:space="preserve">Proposed changes were circulated to the DSM Advisory Group, comments were incorporated, notice was posted on the </w:t>
      </w:r>
      <w:r w:rsidR="00733986" w:rsidRPr="00753F46">
        <w:rPr>
          <w:rFonts w:ascii="Times New Roman" w:hAnsi="Times New Roman"/>
          <w:szCs w:val="24"/>
        </w:rPr>
        <w:t>website</w:t>
      </w:r>
      <w:r w:rsidR="00733986" w:rsidRPr="00753F46">
        <w:rPr>
          <w:rStyle w:val="FootnoteReference"/>
          <w:rFonts w:ascii="Times New Roman" w:hAnsi="Times New Roman"/>
          <w:szCs w:val="24"/>
        </w:rPr>
        <w:footnoteReference w:id="3"/>
      </w:r>
      <w:r w:rsidR="00733986" w:rsidRPr="00753F46">
        <w:rPr>
          <w:rFonts w:ascii="Times New Roman" w:hAnsi="Times New Roman"/>
          <w:szCs w:val="24"/>
        </w:rPr>
        <w:t xml:space="preserve"> </w:t>
      </w:r>
      <w:r w:rsidR="00761CD2">
        <w:rPr>
          <w:szCs w:val="24"/>
        </w:rPr>
        <w:t>for 45 day</w:t>
      </w:r>
      <w:r w:rsidR="00CF0F61">
        <w:rPr>
          <w:szCs w:val="24"/>
        </w:rPr>
        <w:t>s</w:t>
      </w:r>
      <w:r w:rsidR="00761CD2">
        <w:rPr>
          <w:szCs w:val="24"/>
        </w:rPr>
        <w:t xml:space="preserve">, and changes went into effect on September 20, 2013. </w:t>
      </w:r>
    </w:p>
    <w:p w:rsidR="008E5EB7" w:rsidRPr="00882700" w:rsidRDefault="008E5EB7" w:rsidP="00A165B3">
      <w:pPr>
        <w:tabs>
          <w:tab w:val="left" w:pos="-1080"/>
        </w:tabs>
        <w:rPr>
          <w:szCs w:val="24"/>
        </w:rPr>
      </w:pPr>
    </w:p>
    <w:p w:rsidR="008E5EB7" w:rsidRDefault="003529A2" w:rsidP="00A165B3">
      <w:pPr>
        <w:tabs>
          <w:tab w:val="left" w:pos="-1080"/>
        </w:tabs>
        <w:rPr>
          <w:szCs w:val="24"/>
        </w:rPr>
      </w:pPr>
      <w:r>
        <w:rPr>
          <w:szCs w:val="24"/>
        </w:rPr>
        <w:t>The Home Energy Savings p</w:t>
      </w:r>
      <w:r w:rsidR="008E5EB7" w:rsidRPr="00882700">
        <w:rPr>
          <w:szCs w:val="24"/>
        </w:rPr>
        <w:t xml:space="preserve">rogram changes are summarized in Table </w:t>
      </w:r>
      <w:r w:rsidR="00990199">
        <w:rPr>
          <w:szCs w:val="24"/>
        </w:rPr>
        <w:t>2</w:t>
      </w:r>
      <w:r>
        <w:rPr>
          <w:szCs w:val="24"/>
        </w:rPr>
        <w:t xml:space="preserve"> below</w:t>
      </w:r>
      <w:r w:rsidR="008E5EB7">
        <w:rPr>
          <w:szCs w:val="24"/>
        </w:rPr>
        <w:t>.</w:t>
      </w:r>
    </w:p>
    <w:p w:rsidR="008E5EB7" w:rsidRDefault="008E5EB7" w:rsidP="008E5EB7">
      <w:pPr>
        <w:tabs>
          <w:tab w:val="left" w:pos="-1080"/>
        </w:tabs>
        <w:jc w:val="both"/>
        <w:rPr>
          <w:szCs w:val="24"/>
        </w:rPr>
      </w:pPr>
    </w:p>
    <w:p w:rsidR="008E5EB7" w:rsidRPr="00CD7B62" w:rsidRDefault="008E5EB7" w:rsidP="008E5EB7">
      <w:pPr>
        <w:tabs>
          <w:tab w:val="left" w:pos="-1080"/>
        </w:tabs>
        <w:jc w:val="center"/>
        <w:rPr>
          <w:b/>
          <w:szCs w:val="24"/>
        </w:rPr>
      </w:pPr>
      <w:r w:rsidRPr="00CD7B62">
        <w:rPr>
          <w:b/>
          <w:szCs w:val="24"/>
        </w:rPr>
        <w:t xml:space="preserve">Table </w:t>
      </w:r>
      <w:r w:rsidR="00990199">
        <w:rPr>
          <w:b/>
          <w:szCs w:val="24"/>
        </w:rPr>
        <w:t>2</w:t>
      </w:r>
    </w:p>
    <w:p w:rsidR="008E5EB7" w:rsidRPr="00CD7B62" w:rsidRDefault="008E5EB7" w:rsidP="008E5EB7">
      <w:pPr>
        <w:tabs>
          <w:tab w:val="left" w:pos="-1080"/>
        </w:tabs>
        <w:jc w:val="center"/>
        <w:rPr>
          <w:b/>
          <w:szCs w:val="24"/>
        </w:rPr>
      </w:pPr>
      <w:r w:rsidRPr="00CD7B62">
        <w:rPr>
          <w:b/>
          <w:szCs w:val="24"/>
        </w:rPr>
        <w:t>Summary</w:t>
      </w:r>
      <w:r w:rsidR="003529A2">
        <w:rPr>
          <w:b/>
          <w:szCs w:val="24"/>
        </w:rPr>
        <w:t xml:space="preserve"> </w:t>
      </w:r>
      <w:r w:rsidRPr="00CD7B62">
        <w:rPr>
          <w:b/>
          <w:szCs w:val="24"/>
        </w:rPr>
        <w:t xml:space="preserve">of Changes </w:t>
      </w:r>
      <w:r>
        <w:rPr>
          <w:b/>
          <w:szCs w:val="24"/>
        </w:rPr>
        <w:t>to</w:t>
      </w:r>
      <w:r w:rsidRPr="00CD7B62">
        <w:rPr>
          <w:b/>
          <w:szCs w:val="24"/>
        </w:rPr>
        <w:t xml:space="preserve"> Washington </w:t>
      </w:r>
      <w:r>
        <w:rPr>
          <w:b/>
          <w:szCs w:val="24"/>
        </w:rPr>
        <w:t>Home Energy Savings</w:t>
      </w:r>
    </w:p>
    <w:p w:rsidR="008E5EB7" w:rsidRPr="00882700" w:rsidRDefault="008E5EB7" w:rsidP="008E5EB7">
      <w:pPr>
        <w:jc w:val="center"/>
        <w:rPr>
          <w:b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2520"/>
        <w:gridCol w:w="4860"/>
      </w:tblGrid>
      <w:tr w:rsidR="008E5EB7" w:rsidRPr="00882700" w:rsidTr="003529A2">
        <w:trPr>
          <w:cantSplit/>
          <w:trHeight w:val="41"/>
          <w:tblHeader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EB7" w:rsidRPr="00882700" w:rsidRDefault="003529A2" w:rsidP="002023C3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 Category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EB7" w:rsidRPr="00882700" w:rsidRDefault="008E5EB7" w:rsidP="002023C3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 w:rsidRPr="00882700">
              <w:rPr>
                <w:b/>
                <w:sz w:val="22"/>
                <w:szCs w:val="22"/>
              </w:rPr>
              <w:t>Description of Change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EB7" w:rsidRPr="00882700" w:rsidRDefault="003529A2" w:rsidP="002023C3">
            <w:pPr>
              <w:tabs>
                <w:tab w:val="left" w:pos="-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Change</w:t>
            </w:r>
          </w:p>
        </w:tc>
      </w:tr>
      <w:tr w:rsidR="008E5EB7" w:rsidRPr="00882700" w:rsidTr="003529A2">
        <w:trPr>
          <w:cantSplit/>
          <w:trHeight w:val="41"/>
        </w:trPr>
        <w:tc>
          <w:tcPr>
            <w:tcW w:w="2178" w:type="dxa"/>
            <w:shd w:val="clear" w:color="auto" w:fill="FFFFFF" w:themeFill="background1"/>
          </w:tcPr>
          <w:p w:rsidR="008E5EB7" w:rsidRPr="003529A2" w:rsidRDefault="008E5EB7" w:rsidP="00736C33">
            <w:pPr>
              <w:tabs>
                <w:tab w:val="left" w:pos="-1080"/>
              </w:tabs>
              <w:rPr>
                <w:rFonts w:ascii="Times New Roman" w:hAnsi="Times New Roman"/>
                <w:szCs w:val="24"/>
              </w:rPr>
            </w:pPr>
            <w:r w:rsidRPr="003529A2">
              <w:rPr>
                <w:rFonts w:ascii="Times New Roman" w:hAnsi="Times New Roman"/>
                <w:szCs w:val="24"/>
              </w:rPr>
              <w:t>New Home CFLs</w:t>
            </w:r>
          </w:p>
        </w:tc>
        <w:tc>
          <w:tcPr>
            <w:tcW w:w="2520" w:type="dxa"/>
            <w:shd w:val="clear" w:color="auto" w:fill="FFFFFF" w:themeFill="background1"/>
          </w:tcPr>
          <w:p w:rsidR="008E5EB7" w:rsidRPr="003529A2" w:rsidRDefault="008E5EB7" w:rsidP="00736C33">
            <w:pPr>
              <w:tabs>
                <w:tab w:val="left" w:pos="-1080"/>
              </w:tabs>
              <w:rPr>
                <w:rFonts w:ascii="Times New Roman" w:hAnsi="Times New Roman"/>
                <w:szCs w:val="24"/>
              </w:rPr>
            </w:pPr>
            <w:r w:rsidRPr="003529A2">
              <w:rPr>
                <w:rFonts w:ascii="Times New Roman" w:hAnsi="Times New Roman"/>
                <w:szCs w:val="24"/>
              </w:rPr>
              <w:t>Remove existing measure.</w:t>
            </w:r>
          </w:p>
        </w:tc>
        <w:tc>
          <w:tcPr>
            <w:tcW w:w="4860" w:type="dxa"/>
            <w:shd w:val="clear" w:color="auto" w:fill="FFFFFF" w:themeFill="background1"/>
          </w:tcPr>
          <w:p w:rsidR="008E5EB7" w:rsidRPr="003529A2" w:rsidRDefault="003529A2" w:rsidP="003529A2">
            <w:pPr>
              <w:pStyle w:val="Footer"/>
              <w:tabs>
                <w:tab w:val="left" w:pos="702"/>
              </w:tabs>
              <w:outlineLvl w:val="1"/>
              <w:rPr>
                <w:rFonts w:ascii="Times New Roman" w:hAnsi="Times New Roman"/>
                <w:szCs w:val="24"/>
              </w:rPr>
            </w:pPr>
            <w:r w:rsidRPr="003529A2">
              <w:rPr>
                <w:rFonts w:ascii="Times New Roman" w:hAnsi="Times New Roman"/>
                <w:szCs w:val="24"/>
              </w:rPr>
              <w:t>New 2012 WSEC requires efficient lighting installation in new homes.</w:t>
            </w:r>
          </w:p>
        </w:tc>
      </w:tr>
    </w:tbl>
    <w:p w:rsidR="007644B8" w:rsidRPr="00D604AC" w:rsidRDefault="007644B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B6B55" w:rsidRDefault="00AB6B55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These changes </w:t>
      </w:r>
      <w:r w:rsidR="00990199">
        <w:rPr>
          <w:rFonts w:ascii="Times New Roman" w:hAnsi="Times New Roman"/>
          <w:szCs w:val="24"/>
        </w:rPr>
        <w:t>are</w:t>
      </w:r>
      <w:r>
        <w:rPr>
          <w:rFonts w:ascii="Times New Roman" w:hAnsi="Times New Roman"/>
          <w:szCs w:val="24"/>
        </w:rPr>
        <w:t xml:space="preserve"> not likely to have material impacts on energy savings, program costs</w:t>
      </w:r>
      <w:r w:rsidR="00A165B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program cost effectiveness</w:t>
      </w:r>
      <w:r w:rsidR="00CD240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="00CF0F61">
        <w:rPr>
          <w:rFonts w:ascii="Times New Roman" w:hAnsi="Times New Roman"/>
          <w:szCs w:val="24"/>
        </w:rPr>
        <w:t>There are no updated forecasts or cost effectiveness results included in this revised DSM Business Plan</w:t>
      </w:r>
      <w:r>
        <w:rPr>
          <w:rFonts w:ascii="Times New Roman" w:hAnsi="Times New Roman"/>
          <w:szCs w:val="24"/>
        </w:rPr>
        <w:t>.</w:t>
      </w:r>
    </w:p>
    <w:p w:rsidR="00AB6B55" w:rsidRDefault="00AB6B55" w:rsidP="00A165B3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DF786C" w:rsidRDefault="00DF786C" w:rsidP="00A165B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 at 503-813-6805.</w:t>
      </w:r>
    </w:p>
    <w:p w:rsidR="00FF7F41" w:rsidRPr="00D604AC" w:rsidRDefault="00FF7F41" w:rsidP="00A165B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Sincerely,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F7F41" w:rsidRPr="00D604AC" w:rsidRDefault="00E27A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Kathryn Hymas</w:t>
      </w:r>
    </w:p>
    <w:p w:rsidR="00FF7F41" w:rsidRPr="00D604AC" w:rsidRDefault="00E610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 xml:space="preserve">Vice President of </w:t>
      </w:r>
      <w:r w:rsidR="00CF0F61">
        <w:rPr>
          <w:rFonts w:ascii="Times New Roman" w:hAnsi="Times New Roman"/>
          <w:szCs w:val="24"/>
        </w:rPr>
        <w:t xml:space="preserve">RMP </w:t>
      </w:r>
      <w:r w:rsidR="00E27A65">
        <w:rPr>
          <w:rFonts w:ascii="Times New Roman" w:hAnsi="Times New Roman"/>
          <w:szCs w:val="24"/>
        </w:rPr>
        <w:t>Finance and Demand Side Management</w:t>
      </w:r>
    </w:p>
    <w:p w:rsidR="00FF7F41" w:rsidRPr="00D604AC" w:rsidRDefault="00FF7F4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A1AAA" w:rsidRPr="00FA61BD" w:rsidRDefault="00E61028">
      <w:pPr>
        <w:jc w:val="both"/>
        <w:rPr>
          <w:rFonts w:ascii="Times New Roman" w:hAnsi="Times New Roman"/>
          <w:szCs w:val="24"/>
        </w:rPr>
      </w:pPr>
      <w:r w:rsidRPr="00D604AC">
        <w:rPr>
          <w:rFonts w:ascii="Times New Roman" w:hAnsi="Times New Roman"/>
          <w:szCs w:val="24"/>
        </w:rPr>
        <w:t>Enclosures</w:t>
      </w:r>
    </w:p>
    <w:sectPr w:rsidR="001A1AAA" w:rsidRPr="00FA61BD" w:rsidSect="00D0390D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E2" w:rsidRDefault="00F050E2" w:rsidP="00964072">
      <w:r>
        <w:separator/>
      </w:r>
    </w:p>
  </w:endnote>
  <w:endnote w:type="continuationSeparator" w:id="0">
    <w:p w:rsidR="00F050E2" w:rsidRDefault="00F050E2" w:rsidP="00964072">
      <w:r>
        <w:continuationSeparator/>
      </w:r>
    </w:p>
  </w:endnote>
  <w:endnote w:type="continuationNotice" w:id="1">
    <w:p w:rsidR="00F050E2" w:rsidRDefault="00F05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E2" w:rsidRDefault="00F050E2" w:rsidP="00964072">
      <w:r>
        <w:separator/>
      </w:r>
    </w:p>
  </w:footnote>
  <w:footnote w:type="continuationSeparator" w:id="0">
    <w:p w:rsidR="00F050E2" w:rsidRDefault="00F050E2" w:rsidP="00964072">
      <w:r>
        <w:continuationSeparator/>
      </w:r>
    </w:p>
  </w:footnote>
  <w:footnote w:type="continuationNotice" w:id="1">
    <w:p w:rsidR="00F050E2" w:rsidRDefault="00F050E2"/>
  </w:footnote>
  <w:footnote w:id="2">
    <w:p w:rsidR="00A165B3" w:rsidRDefault="00A165B3" w:rsidP="00630E32">
      <w:pPr>
        <w:pStyle w:val="FootnoteText"/>
        <w:jc w:val="both"/>
      </w:pPr>
      <w:r w:rsidRPr="007A4F0E">
        <w:rPr>
          <w:rStyle w:val="FootnoteReference"/>
          <w:rFonts w:ascii="Times New Roman" w:hAnsi="Times New Roman" w:cs="Times New Roman"/>
        </w:rPr>
        <w:footnoteRef/>
      </w:r>
      <w:r w:rsidRPr="007A4F0E">
        <w:rPr>
          <w:rFonts w:ascii="Times New Roman" w:hAnsi="Times New Roman" w:cs="Times New Roman"/>
        </w:rPr>
        <w:t xml:space="preserve"> </w:t>
      </w:r>
      <w:hyperlink r:id="rId1" w:history="1">
        <w:r w:rsidRPr="00304B8A">
          <w:rPr>
            <w:rStyle w:val="Hyperlink"/>
            <w:rFonts w:ascii="Times New Roman" w:hAnsi="Times New Roman" w:cs="Times New Roman"/>
          </w:rPr>
          <w:t>http://www.pacificpower.net/wattsmart</w:t>
        </w:r>
      </w:hyperlink>
    </w:p>
  </w:footnote>
  <w:footnote w:id="3">
    <w:p w:rsidR="00733986" w:rsidRDefault="00733986" w:rsidP="00733986">
      <w:pPr>
        <w:pStyle w:val="FootnoteText"/>
        <w:jc w:val="both"/>
      </w:pPr>
      <w:r w:rsidRPr="007A4F0E">
        <w:rPr>
          <w:rStyle w:val="FootnoteReference"/>
          <w:rFonts w:ascii="Times New Roman" w:hAnsi="Times New Roman" w:cs="Times New Roman"/>
        </w:rPr>
        <w:footnoteRef/>
      </w:r>
      <w:r w:rsidRPr="007A4F0E">
        <w:rPr>
          <w:rFonts w:ascii="Times New Roman" w:hAnsi="Times New Roman" w:cs="Times New Roman"/>
        </w:rPr>
        <w:t xml:space="preserve"> </w:t>
      </w:r>
      <w:hyperlink r:id="rId2" w:history="1">
        <w:r w:rsidRPr="00304B8A">
          <w:rPr>
            <w:rStyle w:val="Hyperlink"/>
            <w:rFonts w:ascii="Times New Roman" w:hAnsi="Times New Roman" w:cs="Times New Roman"/>
          </w:rPr>
          <w:t>http://www.pacificpower.net/wattsmart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B3" w:rsidRDefault="00A165B3">
    <w:pPr>
      <w:pStyle w:val="Header"/>
    </w:pPr>
    <w:r>
      <w:t>Washington Utilities and Transportation Commission</w:t>
    </w:r>
  </w:p>
  <w:p w:rsidR="00A165B3" w:rsidRDefault="00A165B3">
    <w:pPr>
      <w:pStyle w:val="Header"/>
    </w:pPr>
    <w:r>
      <w:t>October 2</w:t>
    </w:r>
    <w:r w:rsidR="00426755">
      <w:t>3</w:t>
    </w:r>
    <w:r>
      <w:t>, 2013</w:t>
    </w:r>
  </w:p>
  <w:p w:rsidR="00A165B3" w:rsidRDefault="00A165B3">
    <w:pPr>
      <w:pStyle w:val="Header"/>
    </w:pPr>
    <w:r>
      <w:t>Page 2</w:t>
    </w:r>
  </w:p>
  <w:p w:rsidR="00A165B3" w:rsidRDefault="00A165B3">
    <w:pPr>
      <w:pStyle w:val="Header"/>
    </w:pPr>
  </w:p>
  <w:p w:rsidR="00A165B3" w:rsidRDefault="00A16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78B5"/>
    <w:rsid w:val="00087031"/>
    <w:rsid w:val="00093756"/>
    <w:rsid w:val="000A039D"/>
    <w:rsid w:val="000B3DB4"/>
    <w:rsid w:val="000B679C"/>
    <w:rsid w:val="000D424B"/>
    <w:rsid w:val="000D6421"/>
    <w:rsid w:val="000E52A3"/>
    <w:rsid w:val="001028F3"/>
    <w:rsid w:val="0010419F"/>
    <w:rsid w:val="00104940"/>
    <w:rsid w:val="00146750"/>
    <w:rsid w:val="001544F1"/>
    <w:rsid w:val="001810B6"/>
    <w:rsid w:val="00184DEC"/>
    <w:rsid w:val="00194B73"/>
    <w:rsid w:val="001A1AAA"/>
    <w:rsid w:val="001C03CC"/>
    <w:rsid w:val="001D5E3E"/>
    <w:rsid w:val="001E7A07"/>
    <w:rsid w:val="001F666C"/>
    <w:rsid w:val="002023C3"/>
    <w:rsid w:val="00204C32"/>
    <w:rsid w:val="0023742A"/>
    <w:rsid w:val="00246066"/>
    <w:rsid w:val="00264351"/>
    <w:rsid w:val="002732B3"/>
    <w:rsid w:val="00294D95"/>
    <w:rsid w:val="00295285"/>
    <w:rsid w:val="002B6E29"/>
    <w:rsid w:val="002D4B38"/>
    <w:rsid w:val="002D566A"/>
    <w:rsid w:val="00302FD6"/>
    <w:rsid w:val="00324462"/>
    <w:rsid w:val="003529A2"/>
    <w:rsid w:val="00362362"/>
    <w:rsid w:val="003C0961"/>
    <w:rsid w:val="003C3A72"/>
    <w:rsid w:val="003F1BF1"/>
    <w:rsid w:val="003F46BF"/>
    <w:rsid w:val="00416F66"/>
    <w:rsid w:val="004251F1"/>
    <w:rsid w:val="00426755"/>
    <w:rsid w:val="00427F34"/>
    <w:rsid w:val="00430A5B"/>
    <w:rsid w:val="00433F8F"/>
    <w:rsid w:val="00444015"/>
    <w:rsid w:val="00461F6B"/>
    <w:rsid w:val="004864BC"/>
    <w:rsid w:val="004912AA"/>
    <w:rsid w:val="004A2CB1"/>
    <w:rsid w:val="004C0652"/>
    <w:rsid w:val="004E21BD"/>
    <w:rsid w:val="0055510F"/>
    <w:rsid w:val="00567B61"/>
    <w:rsid w:val="00570932"/>
    <w:rsid w:val="005C7B60"/>
    <w:rsid w:val="005D0D90"/>
    <w:rsid w:val="005D31B6"/>
    <w:rsid w:val="00602D96"/>
    <w:rsid w:val="00607AC6"/>
    <w:rsid w:val="006256E3"/>
    <w:rsid w:val="0062691B"/>
    <w:rsid w:val="00630E32"/>
    <w:rsid w:val="00630EFC"/>
    <w:rsid w:val="006545EE"/>
    <w:rsid w:val="00673B1F"/>
    <w:rsid w:val="0069250E"/>
    <w:rsid w:val="006970F0"/>
    <w:rsid w:val="006C4A31"/>
    <w:rsid w:val="006E0B27"/>
    <w:rsid w:val="00707CB4"/>
    <w:rsid w:val="00733986"/>
    <w:rsid w:val="00736C33"/>
    <w:rsid w:val="00740321"/>
    <w:rsid w:val="00761853"/>
    <w:rsid w:val="00761CD2"/>
    <w:rsid w:val="007644B8"/>
    <w:rsid w:val="00765F30"/>
    <w:rsid w:val="00797F5A"/>
    <w:rsid w:val="007B7BE5"/>
    <w:rsid w:val="007E22BC"/>
    <w:rsid w:val="007E2AA1"/>
    <w:rsid w:val="007E5F59"/>
    <w:rsid w:val="00800B4E"/>
    <w:rsid w:val="00813422"/>
    <w:rsid w:val="00816E57"/>
    <w:rsid w:val="0083371F"/>
    <w:rsid w:val="00874DFF"/>
    <w:rsid w:val="00875C27"/>
    <w:rsid w:val="008806A0"/>
    <w:rsid w:val="00881054"/>
    <w:rsid w:val="00884EE8"/>
    <w:rsid w:val="008A048F"/>
    <w:rsid w:val="008E5EB7"/>
    <w:rsid w:val="009100EA"/>
    <w:rsid w:val="00910441"/>
    <w:rsid w:val="009115EE"/>
    <w:rsid w:val="00921099"/>
    <w:rsid w:val="00953370"/>
    <w:rsid w:val="00964072"/>
    <w:rsid w:val="00985F57"/>
    <w:rsid w:val="00990199"/>
    <w:rsid w:val="009B2806"/>
    <w:rsid w:val="009B35AF"/>
    <w:rsid w:val="009B4F02"/>
    <w:rsid w:val="009B6768"/>
    <w:rsid w:val="009D7379"/>
    <w:rsid w:val="009E5665"/>
    <w:rsid w:val="009F1DA9"/>
    <w:rsid w:val="00A165B3"/>
    <w:rsid w:val="00A76DD3"/>
    <w:rsid w:val="00A86A08"/>
    <w:rsid w:val="00AA41B5"/>
    <w:rsid w:val="00AA6891"/>
    <w:rsid w:val="00AB6B55"/>
    <w:rsid w:val="00AC175E"/>
    <w:rsid w:val="00AC713D"/>
    <w:rsid w:val="00AD525E"/>
    <w:rsid w:val="00AD5E3D"/>
    <w:rsid w:val="00AE3851"/>
    <w:rsid w:val="00AF35A9"/>
    <w:rsid w:val="00AF4DE3"/>
    <w:rsid w:val="00B37839"/>
    <w:rsid w:val="00B428AA"/>
    <w:rsid w:val="00B45451"/>
    <w:rsid w:val="00B74533"/>
    <w:rsid w:val="00BA4CEE"/>
    <w:rsid w:val="00BC716A"/>
    <w:rsid w:val="00BD22FD"/>
    <w:rsid w:val="00BD3612"/>
    <w:rsid w:val="00C02FB1"/>
    <w:rsid w:val="00C05C76"/>
    <w:rsid w:val="00C219B7"/>
    <w:rsid w:val="00C52A4A"/>
    <w:rsid w:val="00C56CB3"/>
    <w:rsid w:val="00C64F06"/>
    <w:rsid w:val="00C66AEE"/>
    <w:rsid w:val="00C76B10"/>
    <w:rsid w:val="00C90214"/>
    <w:rsid w:val="00CA03E0"/>
    <w:rsid w:val="00CA3520"/>
    <w:rsid w:val="00CB7DAC"/>
    <w:rsid w:val="00CD240F"/>
    <w:rsid w:val="00CE3E12"/>
    <w:rsid w:val="00CF0F61"/>
    <w:rsid w:val="00D0390D"/>
    <w:rsid w:val="00D16AF8"/>
    <w:rsid w:val="00D1787B"/>
    <w:rsid w:val="00D57F9B"/>
    <w:rsid w:val="00D604AC"/>
    <w:rsid w:val="00D72C2E"/>
    <w:rsid w:val="00D73BE9"/>
    <w:rsid w:val="00D9496C"/>
    <w:rsid w:val="00DA3AED"/>
    <w:rsid w:val="00DD322E"/>
    <w:rsid w:val="00DF786C"/>
    <w:rsid w:val="00E10ABB"/>
    <w:rsid w:val="00E27A65"/>
    <w:rsid w:val="00E5529C"/>
    <w:rsid w:val="00E61028"/>
    <w:rsid w:val="00E76F0B"/>
    <w:rsid w:val="00E927DA"/>
    <w:rsid w:val="00E96C13"/>
    <w:rsid w:val="00EB2F1F"/>
    <w:rsid w:val="00EC13EE"/>
    <w:rsid w:val="00ED3559"/>
    <w:rsid w:val="00ED434E"/>
    <w:rsid w:val="00F050E2"/>
    <w:rsid w:val="00F4002C"/>
    <w:rsid w:val="00F5586E"/>
    <w:rsid w:val="00F61D02"/>
    <w:rsid w:val="00F63A42"/>
    <w:rsid w:val="00FA61BD"/>
    <w:rsid w:val="00FC1B0A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39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3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cificpower.net/wattsmart" TargetMode="External"/><Relationship Id="rId1" Type="http://schemas.openxmlformats.org/officeDocument/2006/relationships/hyperlink" Target="http://www.pacificpower.net/watt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5E68F-C145-4CC6-8B24-78B77EF5205D}"/>
</file>

<file path=customXml/itemProps2.xml><?xml version="1.0" encoding="utf-8"?>
<ds:datastoreItem xmlns:ds="http://schemas.openxmlformats.org/officeDocument/2006/customXml" ds:itemID="{C0D0EDF1-CD7C-4791-9045-26997ED25F94}"/>
</file>

<file path=customXml/itemProps3.xml><?xml version="1.0" encoding="utf-8"?>
<ds:datastoreItem xmlns:ds="http://schemas.openxmlformats.org/officeDocument/2006/customXml" ds:itemID="{03840532-54DB-43E9-89A1-BCF8BF636875}"/>
</file>

<file path=customXml/itemProps4.xml><?xml version="1.0" encoding="utf-8"?>
<ds:datastoreItem xmlns:ds="http://schemas.openxmlformats.org/officeDocument/2006/customXml" ds:itemID="{CA909C62-13E5-4575-BC0A-62D3F1999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2013-10-23T18:11:00Z</dcterms:created>
  <dcterms:modified xsi:type="dcterms:W3CDTF">2013-10-23T18:11:00Z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