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B99B" w14:textId="5B8A91DF" w:rsidR="0088373F" w:rsidRPr="006833CD" w:rsidRDefault="0088373F" w:rsidP="00655ACB">
      <w:pPr>
        <w:pStyle w:val="single"/>
        <w:widowControl w:val="0"/>
        <w:spacing w:before="0" w:line="240" w:lineRule="auto"/>
        <w:ind w:left="4320" w:firstLine="0"/>
        <w:rPr>
          <w:rStyle w:val="Strong"/>
          <w:rFonts w:ascii="Times New Roman" w:hAnsi="Times New Roman"/>
          <w:szCs w:val="24"/>
        </w:rPr>
      </w:pPr>
      <w:r w:rsidRPr="006833CD">
        <w:rPr>
          <w:rStyle w:val="Strong"/>
          <w:rFonts w:ascii="Times New Roman" w:hAnsi="Times New Roman"/>
          <w:szCs w:val="24"/>
        </w:rPr>
        <w:t>EXHIBIT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___(</w:t>
      </w:r>
      <w:r w:rsidR="00D5091F" w:rsidRPr="006833CD">
        <w:rPr>
          <w:rStyle w:val="Strong"/>
          <w:rFonts w:ascii="Times New Roman" w:hAnsi="Times New Roman"/>
          <w:szCs w:val="24"/>
        </w:rPr>
        <w:t>MJV</w:t>
      </w:r>
      <w:r w:rsidRPr="006833CD">
        <w:rPr>
          <w:rStyle w:val="Strong"/>
          <w:rFonts w:ascii="Times New Roman" w:hAnsi="Times New Roman"/>
          <w:szCs w:val="24"/>
        </w:rPr>
        <w:t>-</w:t>
      </w:r>
      <w:r w:rsidR="002A1146" w:rsidRPr="006833CD">
        <w:rPr>
          <w:rStyle w:val="Strong"/>
          <w:rFonts w:ascii="Times New Roman" w:hAnsi="Times New Roman"/>
          <w:szCs w:val="24"/>
        </w:rPr>
        <w:t>1</w:t>
      </w:r>
      <w:r w:rsidR="00D5091F" w:rsidRPr="006833CD">
        <w:rPr>
          <w:rStyle w:val="Strong"/>
          <w:rFonts w:ascii="Times New Roman" w:hAnsi="Times New Roman"/>
          <w:szCs w:val="24"/>
        </w:rPr>
        <w:t>8</w:t>
      </w:r>
      <w:r w:rsidRPr="006833CD">
        <w:rPr>
          <w:rStyle w:val="Strong"/>
          <w:rFonts w:ascii="Times New Roman" w:hAnsi="Times New Roman"/>
          <w:szCs w:val="24"/>
        </w:rPr>
        <w:t>T)</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UE-121697/UG-121705</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UE-130137/</w:t>
      </w:r>
      <w:r w:rsidR="00935EFE" w:rsidRPr="006833CD">
        <w:rPr>
          <w:rStyle w:val="Strong"/>
          <w:rFonts w:ascii="Times New Roman" w:hAnsi="Times New Roman"/>
          <w:szCs w:val="24"/>
        </w:rPr>
        <w:t>UG-</w:t>
      </w:r>
      <w:r w:rsidRPr="006833CD">
        <w:rPr>
          <w:rStyle w:val="Strong"/>
          <w:rFonts w:ascii="Times New Roman" w:hAnsi="Times New Roman"/>
          <w:szCs w:val="24"/>
        </w:rPr>
        <w:t>130138</w:t>
      </w:r>
      <w:r w:rsidRPr="006833CD">
        <w:rPr>
          <w:rStyle w:val="Strong"/>
          <w:rFonts w:ascii="Times New Roman" w:hAnsi="Times New Roman"/>
          <w:szCs w:val="24"/>
        </w:rPr>
        <w:br/>
        <w:t>WITNESS:</w:t>
      </w:r>
      <w:r w:rsidR="00341725" w:rsidRPr="006833CD">
        <w:rPr>
          <w:rStyle w:val="Strong"/>
          <w:rFonts w:ascii="Times New Roman" w:hAnsi="Times New Roman"/>
          <w:szCs w:val="24"/>
        </w:rPr>
        <w:t xml:space="preserve">  </w:t>
      </w:r>
      <w:r w:rsidR="002A1146" w:rsidRPr="006833CD">
        <w:rPr>
          <w:rFonts w:ascii="Times New Roman" w:hAnsi="Times New Roman"/>
          <w:b/>
          <w:szCs w:val="24"/>
          <w:lang w:eastAsia="en-US"/>
        </w:rPr>
        <w:t xml:space="preserve">DR. </w:t>
      </w:r>
      <w:r w:rsidR="00D5091F" w:rsidRPr="006833CD">
        <w:rPr>
          <w:rFonts w:ascii="Times New Roman" w:hAnsi="Times New Roman"/>
          <w:b/>
          <w:szCs w:val="24"/>
          <w:lang w:eastAsia="en-US"/>
        </w:rPr>
        <w:t>MICHAEL J. VILBERT</w:t>
      </w:r>
    </w:p>
    <w:p w14:paraId="5D0AB99C"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D"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E"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F"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BEFORE THE</w:t>
      </w:r>
    </w:p>
    <w:p w14:paraId="5D0AB9A0"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WASHINGTON UTILITIES AND TRANSPORTATION COMMISSION</w:t>
      </w:r>
    </w:p>
    <w:p w14:paraId="5D0AB9A1"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A2" w14:textId="77777777" w:rsidR="007678F0" w:rsidRPr="006833CD" w:rsidRDefault="007678F0" w:rsidP="00655ACB">
      <w:pPr>
        <w:pStyle w:val="center"/>
        <w:keepLines w:val="0"/>
        <w:widowControl w:val="0"/>
        <w:spacing w:before="0" w:line="240" w:lineRule="auto"/>
        <w:rPr>
          <w:rFonts w:ascii="Times New Roman" w:hAnsi="Times New Roman"/>
          <w:b/>
          <w:szCs w:val="24"/>
        </w:rPr>
      </w:pPr>
    </w:p>
    <w:p w14:paraId="5D0AB9A3" w14:textId="77777777" w:rsidR="00625D99" w:rsidRPr="006833CD" w:rsidRDefault="00625D99" w:rsidP="00655ACB">
      <w:pPr>
        <w:pStyle w:val="center"/>
        <w:keepLines w:val="0"/>
        <w:widowControl w:val="0"/>
        <w:spacing w:before="0" w:line="240" w:lineRule="auto"/>
        <w:rPr>
          <w:rFonts w:ascii="Times New Roman" w:hAnsi="Times New Roman"/>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6833CD" w14:paraId="5D0AB9B0" w14:textId="77777777" w:rsidTr="00625D99">
        <w:tc>
          <w:tcPr>
            <w:tcW w:w="4536" w:type="dxa"/>
            <w:tcBorders>
              <w:top w:val="nil"/>
              <w:left w:val="nil"/>
            </w:tcBorders>
          </w:tcPr>
          <w:p w14:paraId="5D0AB9A4" w14:textId="77777777" w:rsidR="00625D99" w:rsidRPr="006833CD" w:rsidRDefault="00625D99" w:rsidP="00AA5FC5">
            <w:pPr>
              <w:spacing w:line="240" w:lineRule="auto"/>
              <w:ind w:firstLine="0"/>
              <w:rPr>
                <w:szCs w:val="24"/>
              </w:rPr>
            </w:pPr>
            <w:r w:rsidRPr="006833CD">
              <w:rPr>
                <w:szCs w:val="24"/>
              </w:rPr>
              <w:t>WASHINGTON UTILITIES AND TRANSPORTATION COMMISSION,</w:t>
            </w:r>
          </w:p>
          <w:p w14:paraId="5D0AB9A5" w14:textId="77777777" w:rsidR="00625D99" w:rsidRPr="006833CD" w:rsidRDefault="00625D99" w:rsidP="00AA5FC5">
            <w:pPr>
              <w:spacing w:line="240" w:lineRule="auto"/>
              <w:ind w:firstLine="0"/>
              <w:rPr>
                <w:szCs w:val="24"/>
              </w:rPr>
            </w:pPr>
          </w:p>
          <w:p w14:paraId="5D0AB9A6" w14:textId="77777777" w:rsidR="00625D99" w:rsidRPr="006833CD" w:rsidRDefault="00625D99" w:rsidP="00AA5FC5">
            <w:pPr>
              <w:spacing w:line="240" w:lineRule="auto"/>
              <w:ind w:firstLine="0"/>
              <w:rPr>
                <w:szCs w:val="24"/>
              </w:rPr>
            </w:pPr>
            <w:r w:rsidRPr="006833CD">
              <w:rPr>
                <w:szCs w:val="24"/>
              </w:rPr>
              <w:tab/>
              <w:t>Complainant,</w:t>
            </w:r>
          </w:p>
          <w:p w14:paraId="5D0AB9A7" w14:textId="77777777" w:rsidR="00625D99" w:rsidRPr="006833CD" w:rsidRDefault="00625D99" w:rsidP="00AA5FC5">
            <w:pPr>
              <w:spacing w:line="240" w:lineRule="auto"/>
              <w:ind w:left="1440" w:firstLine="0"/>
              <w:rPr>
                <w:szCs w:val="24"/>
              </w:rPr>
            </w:pPr>
          </w:p>
          <w:p w14:paraId="5D0AB9A8" w14:textId="77777777" w:rsidR="00625D99" w:rsidRPr="006833CD" w:rsidRDefault="00625D99" w:rsidP="00AA5FC5">
            <w:pPr>
              <w:spacing w:line="240" w:lineRule="auto"/>
              <w:ind w:left="1440" w:firstLine="0"/>
              <w:rPr>
                <w:szCs w:val="24"/>
              </w:rPr>
            </w:pPr>
            <w:r w:rsidRPr="006833CD">
              <w:rPr>
                <w:szCs w:val="24"/>
              </w:rPr>
              <w:t>v.</w:t>
            </w:r>
          </w:p>
          <w:p w14:paraId="5D0AB9A9" w14:textId="77777777" w:rsidR="00625D99" w:rsidRPr="006833CD" w:rsidRDefault="00625D99" w:rsidP="00AA5FC5">
            <w:pPr>
              <w:spacing w:line="240" w:lineRule="auto"/>
              <w:ind w:firstLine="0"/>
              <w:rPr>
                <w:szCs w:val="24"/>
              </w:rPr>
            </w:pPr>
          </w:p>
          <w:p w14:paraId="5D0AB9AA" w14:textId="77777777" w:rsidR="00625D99" w:rsidRPr="006833CD" w:rsidRDefault="00625D99" w:rsidP="00AA5FC5">
            <w:pPr>
              <w:spacing w:line="240" w:lineRule="auto"/>
              <w:ind w:firstLine="0"/>
              <w:rPr>
                <w:szCs w:val="24"/>
              </w:rPr>
            </w:pPr>
            <w:r w:rsidRPr="006833CD">
              <w:rPr>
                <w:szCs w:val="24"/>
              </w:rPr>
              <w:t xml:space="preserve">PUGET SOUND ENERGY, INC., </w:t>
            </w:r>
          </w:p>
          <w:p w14:paraId="5D0AB9AB" w14:textId="77777777" w:rsidR="00625D99" w:rsidRPr="006833CD" w:rsidRDefault="00625D99" w:rsidP="00AA5FC5">
            <w:pPr>
              <w:spacing w:line="240" w:lineRule="auto"/>
              <w:ind w:firstLine="0"/>
              <w:rPr>
                <w:szCs w:val="24"/>
              </w:rPr>
            </w:pPr>
          </w:p>
          <w:p w14:paraId="5D0AB9AC" w14:textId="77777777" w:rsidR="00625D99" w:rsidRPr="006833CD" w:rsidRDefault="00625D99" w:rsidP="00AA5FC5">
            <w:pPr>
              <w:spacing w:line="240" w:lineRule="auto"/>
              <w:ind w:firstLine="0"/>
              <w:rPr>
                <w:szCs w:val="24"/>
              </w:rPr>
            </w:pPr>
            <w:r w:rsidRPr="006833CD">
              <w:rPr>
                <w:szCs w:val="24"/>
              </w:rPr>
              <w:tab/>
              <w:t>Respondent.</w:t>
            </w:r>
          </w:p>
          <w:p w14:paraId="5D0AB9AD" w14:textId="77777777" w:rsidR="00625D99" w:rsidRPr="006833CD" w:rsidRDefault="00625D99" w:rsidP="00AA5FC5">
            <w:pPr>
              <w:spacing w:line="240" w:lineRule="auto"/>
              <w:ind w:firstLine="0"/>
              <w:rPr>
                <w:szCs w:val="24"/>
              </w:rPr>
            </w:pPr>
            <w:bookmarkStart w:id="0" w:name="_GoBack"/>
            <w:bookmarkEnd w:id="0"/>
          </w:p>
        </w:tc>
        <w:tc>
          <w:tcPr>
            <w:tcW w:w="4545" w:type="dxa"/>
            <w:tcBorders>
              <w:top w:val="nil"/>
              <w:bottom w:val="nil"/>
              <w:right w:val="nil"/>
            </w:tcBorders>
            <w:vAlign w:val="center"/>
          </w:tcPr>
          <w:p w14:paraId="5D0AB9AE" w14:textId="77777777" w:rsidR="00625D99" w:rsidRPr="006833CD" w:rsidRDefault="00625D99" w:rsidP="00655ACB">
            <w:pPr>
              <w:keepNext/>
              <w:keepLines/>
              <w:spacing w:line="240" w:lineRule="auto"/>
              <w:ind w:left="324" w:firstLine="0"/>
              <w:rPr>
                <w:szCs w:val="24"/>
              </w:rPr>
            </w:pPr>
            <w:r w:rsidRPr="006833CD">
              <w:rPr>
                <w:szCs w:val="24"/>
              </w:rPr>
              <w:t>DOCKET NOS. UE-121697</w:t>
            </w:r>
            <w:r w:rsidRPr="006833CD">
              <w:rPr>
                <w:szCs w:val="24"/>
              </w:rPr>
              <w:br/>
              <w:t>and UG-121705 (</w:t>
            </w:r>
            <w:r w:rsidRPr="006833CD">
              <w:rPr>
                <w:i/>
                <w:szCs w:val="24"/>
              </w:rPr>
              <w:t>consolidated</w:t>
            </w:r>
            <w:r w:rsidRPr="006833CD">
              <w:rPr>
                <w:szCs w:val="24"/>
              </w:rPr>
              <w:t>)</w:t>
            </w:r>
          </w:p>
          <w:p w14:paraId="5D0AB9AF" w14:textId="77777777" w:rsidR="00625D99" w:rsidRPr="006833CD" w:rsidRDefault="00625D99" w:rsidP="00655ACB">
            <w:pPr>
              <w:keepNext/>
              <w:keepLines/>
              <w:spacing w:line="240" w:lineRule="auto"/>
              <w:ind w:left="324" w:firstLine="0"/>
              <w:rPr>
                <w:szCs w:val="24"/>
              </w:rPr>
            </w:pPr>
          </w:p>
        </w:tc>
      </w:tr>
      <w:tr w:rsidR="00625D99" w:rsidRPr="006833CD" w14:paraId="5D0AB9BE" w14:textId="77777777" w:rsidTr="007B7904">
        <w:tc>
          <w:tcPr>
            <w:tcW w:w="4536" w:type="dxa"/>
            <w:tcBorders>
              <w:left w:val="nil"/>
            </w:tcBorders>
          </w:tcPr>
          <w:p w14:paraId="5D0AB9B1" w14:textId="77777777" w:rsidR="00625D99" w:rsidRPr="006833CD" w:rsidRDefault="00625D99" w:rsidP="00655ACB">
            <w:pPr>
              <w:spacing w:line="240" w:lineRule="auto"/>
              <w:ind w:firstLine="0"/>
              <w:rPr>
                <w:szCs w:val="24"/>
              </w:rPr>
            </w:pPr>
          </w:p>
          <w:p w14:paraId="5D0AB9B2" w14:textId="77777777" w:rsidR="00625D99" w:rsidRPr="006833CD" w:rsidRDefault="00625D99" w:rsidP="00655ACB">
            <w:pPr>
              <w:spacing w:line="240" w:lineRule="auto"/>
              <w:ind w:firstLine="0"/>
              <w:rPr>
                <w:szCs w:val="24"/>
              </w:rPr>
            </w:pPr>
            <w:r w:rsidRPr="006833CD">
              <w:rPr>
                <w:szCs w:val="24"/>
              </w:rPr>
              <w:t>WASHINGTON UTILITIES AND TRANSPORTATION COMMISSION,</w:t>
            </w:r>
          </w:p>
          <w:p w14:paraId="5D0AB9B3" w14:textId="77777777" w:rsidR="00625D99" w:rsidRPr="006833CD" w:rsidRDefault="00625D99" w:rsidP="00655ACB">
            <w:pPr>
              <w:spacing w:line="240" w:lineRule="auto"/>
              <w:ind w:firstLine="0"/>
              <w:rPr>
                <w:szCs w:val="24"/>
              </w:rPr>
            </w:pPr>
          </w:p>
          <w:p w14:paraId="5D0AB9B4" w14:textId="77777777" w:rsidR="00625D99" w:rsidRPr="006833CD" w:rsidRDefault="00625D99" w:rsidP="00655ACB">
            <w:pPr>
              <w:spacing w:line="240" w:lineRule="auto"/>
              <w:ind w:firstLine="0"/>
              <w:rPr>
                <w:szCs w:val="24"/>
              </w:rPr>
            </w:pPr>
            <w:r w:rsidRPr="006833CD">
              <w:rPr>
                <w:szCs w:val="24"/>
              </w:rPr>
              <w:tab/>
              <w:t>Complainant,</w:t>
            </w:r>
          </w:p>
          <w:p w14:paraId="5D0AB9B5" w14:textId="77777777" w:rsidR="00625D99" w:rsidRPr="006833CD" w:rsidRDefault="00625D99" w:rsidP="00655ACB">
            <w:pPr>
              <w:spacing w:line="240" w:lineRule="auto"/>
              <w:ind w:left="1440" w:firstLine="0"/>
              <w:rPr>
                <w:szCs w:val="24"/>
              </w:rPr>
            </w:pPr>
          </w:p>
          <w:p w14:paraId="5D0AB9B6" w14:textId="77777777" w:rsidR="00625D99" w:rsidRPr="006833CD" w:rsidRDefault="00625D99" w:rsidP="00655ACB">
            <w:pPr>
              <w:spacing w:line="240" w:lineRule="auto"/>
              <w:ind w:left="1440" w:firstLine="0"/>
              <w:rPr>
                <w:szCs w:val="24"/>
              </w:rPr>
            </w:pPr>
            <w:r w:rsidRPr="006833CD">
              <w:rPr>
                <w:szCs w:val="24"/>
              </w:rPr>
              <w:t>v.</w:t>
            </w:r>
          </w:p>
          <w:p w14:paraId="5D0AB9B7" w14:textId="77777777" w:rsidR="00625D99" w:rsidRPr="006833CD" w:rsidRDefault="00625D99" w:rsidP="00655ACB">
            <w:pPr>
              <w:spacing w:line="240" w:lineRule="auto"/>
              <w:ind w:firstLine="0"/>
              <w:rPr>
                <w:szCs w:val="24"/>
              </w:rPr>
            </w:pPr>
          </w:p>
          <w:p w14:paraId="5D0AB9B8" w14:textId="77777777" w:rsidR="00625D99" w:rsidRPr="006833CD" w:rsidRDefault="00625D99" w:rsidP="00655ACB">
            <w:pPr>
              <w:spacing w:line="240" w:lineRule="auto"/>
              <w:ind w:firstLine="0"/>
              <w:rPr>
                <w:szCs w:val="24"/>
              </w:rPr>
            </w:pPr>
            <w:r w:rsidRPr="006833CD">
              <w:rPr>
                <w:szCs w:val="24"/>
              </w:rPr>
              <w:t xml:space="preserve">PUGET SOUND ENERGY, INC., </w:t>
            </w:r>
          </w:p>
          <w:p w14:paraId="5D0AB9B9" w14:textId="77777777" w:rsidR="00625D99" w:rsidRPr="006833CD" w:rsidRDefault="00625D99" w:rsidP="00655ACB">
            <w:pPr>
              <w:spacing w:line="240" w:lineRule="auto"/>
              <w:ind w:firstLine="0"/>
              <w:rPr>
                <w:szCs w:val="24"/>
              </w:rPr>
            </w:pPr>
          </w:p>
          <w:p w14:paraId="5D0AB9BA" w14:textId="77777777" w:rsidR="00625D99" w:rsidRPr="006833CD" w:rsidRDefault="00625D99" w:rsidP="00655ACB">
            <w:pPr>
              <w:spacing w:line="240" w:lineRule="auto"/>
              <w:ind w:firstLine="0"/>
              <w:rPr>
                <w:szCs w:val="24"/>
              </w:rPr>
            </w:pPr>
            <w:r w:rsidRPr="006833CD">
              <w:rPr>
                <w:szCs w:val="24"/>
              </w:rPr>
              <w:tab/>
              <w:t>Respondent.</w:t>
            </w:r>
          </w:p>
          <w:p w14:paraId="5D0AB9BB" w14:textId="77777777" w:rsidR="00625D99" w:rsidRPr="006833CD" w:rsidRDefault="00625D99" w:rsidP="00655ACB">
            <w:pPr>
              <w:spacing w:line="240" w:lineRule="auto"/>
              <w:ind w:firstLine="0"/>
              <w:rPr>
                <w:szCs w:val="24"/>
              </w:rPr>
            </w:pPr>
          </w:p>
        </w:tc>
        <w:tc>
          <w:tcPr>
            <w:tcW w:w="4545" w:type="dxa"/>
            <w:tcBorders>
              <w:top w:val="nil"/>
              <w:bottom w:val="nil"/>
              <w:right w:val="nil"/>
            </w:tcBorders>
            <w:vAlign w:val="center"/>
          </w:tcPr>
          <w:p w14:paraId="5D0AB9BC" w14:textId="77777777" w:rsidR="00625D99" w:rsidRPr="006833CD" w:rsidRDefault="00625D99" w:rsidP="00655ACB">
            <w:pPr>
              <w:keepNext/>
              <w:keepLines/>
              <w:spacing w:line="240" w:lineRule="auto"/>
              <w:ind w:left="331" w:firstLine="0"/>
              <w:rPr>
                <w:szCs w:val="24"/>
              </w:rPr>
            </w:pPr>
            <w:r w:rsidRPr="006833CD">
              <w:rPr>
                <w:szCs w:val="24"/>
              </w:rPr>
              <w:t>DOCKET NOS. UE-130137</w:t>
            </w:r>
            <w:r w:rsidRPr="006833CD">
              <w:rPr>
                <w:szCs w:val="24"/>
              </w:rPr>
              <w:br/>
              <w:t>and UG-130138 (</w:t>
            </w:r>
            <w:r w:rsidRPr="006833CD">
              <w:rPr>
                <w:i/>
                <w:szCs w:val="24"/>
              </w:rPr>
              <w:t>consolidated</w:t>
            </w:r>
            <w:r w:rsidRPr="006833CD">
              <w:rPr>
                <w:szCs w:val="24"/>
              </w:rPr>
              <w:t>)</w:t>
            </w:r>
          </w:p>
          <w:p w14:paraId="5D0AB9BD" w14:textId="77777777" w:rsidR="00625D99" w:rsidRPr="006833CD" w:rsidRDefault="00625D99" w:rsidP="00655ACB">
            <w:pPr>
              <w:keepNext/>
              <w:keepLines/>
              <w:spacing w:line="240" w:lineRule="auto"/>
              <w:ind w:left="324" w:firstLine="0"/>
              <w:rPr>
                <w:szCs w:val="24"/>
              </w:rPr>
            </w:pPr>
          </w:p>
        </w:tc>
      </w:tr>
    </w:tbl>
    <w:p w14:paraId="5D0AB9BF"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0"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1" w14:textId="77777777" w:rsidR="0088373F" w:rsidRPr="006833CD" w:rsidRDefault="0088373F" w:rsidP="00655ACB">
      <w:pPr>
        <w:pStyle w:val="center"/>
        <w:keepLines w:val="0"/>
        <w:widowControl w:val="0"/>
        <w:spacing w:before="0" w:line="240" w:lineRule="auto"/>
        <w:rPr>
          <w:rFonts w:ascii="Times New Roman" w:hAnsi="Times New Roman"/>
          <w:b/>
          <w:szCs w:val="24"/>
        </w:rPr>
      </w:pPr>
      <w:proofErr w:type="spellStart"/>
      <w:r w:rsidRPr="006833CD">
        <w:rPr>
          <w:rFonts w:ascii="Times New Roman" w:hAnsi="Times New Roman"/>
          <w:b/>
          <w:szCs w:val="24"/>
        </w:rPr>
        <w:t>PREFILED</w:t>
      </w:r>
      <w:proofErr w:type="spellEnd"/>
      <w:r w:rsidRPr="006833CD">
        <w:rPr>
          <w:rFonts w:ascii="Times New Roman" w:hAnsi="Times New Roman"/>
          <w:b/>
          <w:szCs w:val="24"/>
        </w:rPr>
        <w:t xml:space="preserve"> </w:t>
      </w:r>
      <w:r w:rsidR="006B09BA" w:rsidRPr="006833CD">
        <w:rPr>
          <w:rFonts w:ascii="Times New Roman" w:hAnsi="Times New Roman"/>
          <w:b/>
          <w:szCs w:val="24"/>
        </w:rPr>
        <w:t xml:space="preserve">REBUTTAL </w:t>
      </w:r>
      <w:r w:rsidRPr="006833CD">
        <w:rPr>
          <w:rFonts w:ascii="Times New Roman" w:hAnsi="Times New Roman"/>
          <w:b/>
          <w:szCs w:val="24"/>
        </w:rPr>
        <w:t>TESTIMONY (</w:t>
      </w:r>
      <w:proofErr w:type="spellStart"/>
      <w:r w:rsidRPr="006833CD">
        <w:rPr>
          <w:rFonts w:ascii="Times New Roman" w:hAnsi="Times New Roman"/>
          <w:b/>
          <w:szCs w:val="24"/>
        </w:rPr>
        <w:t>NONCONFIDENTIAL</w:t>
      </w:r>
      <w:proofErr w:type="spellEnd"/>
      <w:r w:rsidRPr="006833CD">
        <w:rPr>
          <w:rFonts w:ascii="Times New Roman" w:hAnsi="Times New Roman"/>
          <w:b/>
          <w:szCs w:val="24"/>
        </w:rPr>
        <w:t>) OF</w:t>
      </w:r>
    </w:p>
    <w:p w14:paraId="5D0AB9C2" w14:textId="77777777" w:rsidR="0088373F" w:rsidRPr="006833CD" w:rsidRDefault="00D5091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lang w:eastAsia="en-US"/>
        </w:rPr>
        <w:t>DR. MICHAEL J. VILBERT</w:t>
      </w:r>
      <w:r w:rsidR="0088373F" w:rsidRPr="006833CD">
        <w:rPr>
          <w:rFonts w:ascii="Times New Roman" w:hAnsi="Times New Roman"/>
          <w:b/>
          <w:bCs/>
          <w:szCs w:val="24"/>
        </w:rPr>
        <w:br/>
      </w:r>
      <w:r w:rsidR="0088373F" w:rsidRPr="006833CD">
        <w:rPr>
          <w:rFonts w:ascii="Times New Roman" w:hAnsi="Times New Roman"/>
          <w:b/>
          <w:szCs w:val="24"/>
        </w:rPr>
        <w:t>ON BEHALF OF PUGET SOUND ENERGY, INC.</w:t>
      </w:r>
    </w:p>
    <w:p w14:paraId="5D0AB9C3" w14:textId="77777777" w:rsidR="001A259E" w:rsidRPr="006833CD" w:rsidRDefault="001A259E" w:rsidP="00655ACB">
      <w:pPr>
        <w:pStyle w:val="center"/>
        <w:keepLines w:val="0"/>
        <w:widowControl w:val="0"/>
        <w:spacing w:before="0" w:line="240" w:lineRule="auto"/>
        <w:rPr>
          <w:rFonts w:ascii="Times New Roman" w:hAnsi="Times New Roman"/>
          <w:b/>
          <w:bCs/>
          <w:i/>
          <w:szCs w:val="24"/>
        </w:rPr>
      </w:pPr>
    </w:p>
    <w:p w14:paraId="5D0AB9C4"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5"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6" w14:textId="77777777" w:rsidR="00625D99" w:rsidRPr="006833CD" w:rsidRDefault="00625D99" w:rsidP="00655ACB">
      <w:pPr>
        <w:pStyle w:val="center"/>
        <w:keepLines w:val="0"/>
        <w:widowControl w:val="0"/>
        <w:spacing w:before="0" w:line="240" w:lineRule="auto"/>
        <w:rPr>
          <w:rFonts w:ascii="Times New Roman" w:hAnsi="Times New Roman"/>
          <w:b/>
          <w:bCs/>
          <w:i/>
          <w:szCs w:val="24"/>
        </w:rPr>
      </w:pPr>
    </w:p>
    <w:p w14:paraId="5D0AB9C7" w14:textId="77777777" w:rsidR="0088373F" w:rsidRPr="006833CD" w:rsidRDefault="006B09BA" w:rsidP="00655ACB">
      <w:pPr>
        <w:pStyle w:val="center"/>
        <w:keepLines w:val="0"/>
        <w:widowControl w:val="0"/>
        <w:spacing w:before="0" w:line="240" w:lineRule="auto"/>
        <w:rPr>
          <w:rFonts w:ascii="Times New Roman" w:hAnsi="Times New Roman"/>
          <w:b/>
          <w:bCs/>
          <w:szCs w:val="24"/>
        </w:rPr>
      </w:pPr>
      <w:r w:rsidRPr="006833CD">
        <w:rPr>
          <w:rFonts w:ascii="Times New Roman" w:hAnsi="Times New Roman"/>
          <w:b/>
          <w:szCs w:val="24"/>
        </w:rPr>
        <w:t>DECEMBER 19</w:t>
      </w:r>
      <w:r w:rsidR="0088373F" w:rsidRPr="006833CD">
        <w:rPr>
          <w:rFonts w:ascii="Times New Roman" w:hAnsi="Times New Roman"/>
          <w:b/>
          <w:szCs w:val="24"/>
        </w:rPr>
        <w:t>, 201</w:t>
      </w:r>
      <w:r w:rsidR="00625D99" w:rsidRPr="006833CD">
        <w:rPr>
          <w:rFonts w:ascii="Times New Roman" w:hAnsi="Times New Roman"/>
          <w:b/>
          <w:szCs w:val="24"/>
        </w:rPr>
        <w:t>4</w:t>
      </w:r>
    </w:p>
    <w:p w14:paraId="5D0AB9C8" w14:textId="77777777" w:rsidR="0088373F" w:rsidRPr="006833CD" w:rsidRDefault="0088373F" w:rsidP="000F4005">
      <w:pPr>
        <w:widowControl w:val="0"/>
        <w:spacing w:line="240" w:lineRule="auto"/>
        <w:ind w:firstLine="0"/>
        <w:jc w:val="center"/>
        <w:rPr>
          <w:b/>
          <w:bCs/>
          <w:szCs w:val="24"/>
        </w:rPr>
        <w:sectPr w:rsidR="0088373F" w:rsidRPr="006833CD">
          <w:headerReference w:type="default" r:id="rId13"/>
          <w:footerReference w:type="default" r:id="rId14"/>
          <w:pgSz w:w="12240" w:h="15840" w:code="1"/>
          <w:pgMar w:top="1440" w:right="1440" w:bottom="1440" w:left="2160" w:header="720" w:footer="864" w:gutter="0"/>
          <w:pgNumType w:start="1"/>
          <w:cols w:space="720"/>
          <w:rtlGutter/>
        </w:sectPr>
      </w:pPr>
    </w:p>
    <w:p w14:paraId="5D0AB9C9" w14:textId="77777777" w:rsidR="0088373F" w:rsidRPr="006833CD" w:rsidRDefault="0088373F" w:rsidP="00742234">
      <w:pPr>
        <w:keepNext/>
        <w:keepLines/>
        <w:spacing w:before="240" w:after="240" w:line="240" w:lineRule="auto"/>
        <w:ind w:left="547" w:right="547" w:firstLine="0"/>
        <w:jc w:val="center"/>
        <w:rPr>
          <w:b/>
          <w:bCs/>
          <w:szCs w:val="24"/>
        </w:rPr>
      </w:pPr>
      <w:r w:rsidRPr="006833CD">
        <w:rPr>
          <w:b/>
          <w:bCs/>
          <w:szCs w:val="24"/>
        </w:rPr>
        <w:lastRenderedPageBreak/>
        <w:t>PUGET SOUND ENERGY, INC.</w:t>
      </w:r>
    </w:p>
    <w:p w14:paraId="5D0AB9CA" w14:textId="77777777" w:rsidR="0088373F" w:rsidRPr="006833CD" w:rsidRDefault="0088373F" w:rsidP="00742234">
      <w:pPr>
        <w:keepNext/>
        <w:keepLines/>
        <w:spacing w:before="240" w:after="240" w:line="240" w:lineRule="auto"/>
        <w:ind w:left="547" w:right="547" w:firstLine="0"/>
        <w:jc w:val="center"/>
        <w:rPr>
          <w:b/>
          <w:bCs/>
          <w:szCs w:val="24"/>
        </w:rPr>
      </w:pPr>
      <w:proofErr w:type="spellStart"/>
      <w:r w:rsidRPr="006833CD">
        <w:rPr>
          <w:b/>
          <w:bCs/>
          <w:szCs w:val="24"/>
        </w:rPr>
        <w:t>PREFILED</w:t>
      </w:r>
      <w:proofErr w:type="spellEnd"/>
      <w:r w:rsidRPr="006833CD">
        <w:rPr>
          <w:b/>
          <w:bCs/>
          <w:szCs w:val="24"/>
        </w:rPr>
        <w:t xml:space="preserve"> </w:t>
      </w:r>
      <w:r w:rsidR="006B09BA" w:rsidRPr="006833CD">
        <w:rPr>
          <w:b/>
          <w:bCs/>
          <w:szCs w:val="24"/>
        </w:rPr>
        <w:t xml:space="preserve">REBUTTAL </w:t>
      </w:r>
      <w:r w:rsidRPr="006833CD">
        <w:rPr>
          <w:b/>
          <w:bCs/>
          <w:szCs w:val="24"/>
        </w:rPr>
        <w:t xml:space="preserve">TESTIMONY </w:t>
      </w:r>
      <w:r w:rsidRPr="006833CD">
        <w:rPr>
          <w:b/>
          <w:bCs/>
          <w:szCs w:val="24"/>
        </w:rPr>
        <w:br/>
        <w:t>(</w:t>
      </w:r>
      <w:proofErr w:type="spellStart"/>
      <w:r w:rsidRPr="006833CD">
        <w:rPr>
          <w:b/>
          <w:bCs/>
          <w:szCs w:val="24"/>
        </w:rPr>
        <w:t>NONCONFIDENTIAL</w:t>
      </w:r>
      <w:proofErr w:type="spellEnd"/>
      <w:r w:rsidRPr="006833CD">
        <w:rPr>
          <w:b/>
          <w:bCs/>
          <w:szCs w:val="24"/>
        </w:rPr>
        <w:t xml:space="preserve">) OF </w:t>
      </w:r>
      <w:bookmarkStart w:id="1" w:name="TOCTitle"/>
      <w:r w:rsidR="00D5091F" w:rsidRPr="006833CD">
        <w:rPr>
          <w:b/>
          <w:szCs w:val="24"/>
          <w:lang w:eastAsia="en-US"/>
        </w:rPr>
        <w:t>DR. MICHAEL J. VILBERT</w:t>
      </w:r>
    </w:p>
    <w:p w14:paraId="5D0AB9CB" w14:textId="77777777" w:rsidR="0088373F" w:rsidRPr="003917E0" w:rsidRDefault="0088373F" w:rsidP="006E0E79">
      <w:pPr>
        <w:keepNext/>
        <w:keepLines/>
        <w:spacing w:before="240" w:after="360" w:line="240" w:lineRule="auto"/>
        <w:ind w:left="547" w:right="547" w:firstLine="0"/>
        <w:jc w:val="center"/>
        <w:rPr>
          <w:b/>
          <w:szCs w:val="24"/>
        </w:rPr>
      </w:pPr>
      <w:r w:rsidRPr="003917E0">
        <w:rPr>
          <w:b/>
          <w:szCs w:val="24"/>
        </w:rPr>
        <w:t>CONTENTS</w:t>
      </w:r>
      <w:bookmarkEnd w:id="1"/>
    </w:p>
    <w:p w14:paraId="08924076" w14:textId="012724B7"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INTRODUCTION</w:t>
      </w:r>
      <w:r w:rsidRPr="003917E0">
        <w:rPr>
          <w:webHidden/>
          <w:color w:val="auto"/>
        </w:rPr>
        <w:tab/>
        <w:t>1</w:t>
      </w:r>
    </w:p>
    <w:p w14:paraId="6DBF9707" w14:textId="528A29B3"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snapToGrid w:val="0"/>
          <w:color w:val="auto"/>
          <w:lang w:eastAsia="en-US"/>
        </w:rPr>
        <w:t>INTERPRETING THE RESULTS OF THE DECOUPLING STUDIES</w:t>
      </w:r>
      <w:r w:rsidRPr="003917E0">
        <w:rPr>
          <w:webHidden/>
          <w:color w:val="auto"/>
        </w:rPr>
        <w:tab/>
        <w:t>3</w:t>
      </w:r>
    </w:p>
    <w:p w14:paraId="6A11CF2B" w14:textId="37666572"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III.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 xml:space="preserve">RESPONSE TO THE PREFILED DIRECT TESTIMONY OF STEPHEN G. HILL AND THE </w:t>
      </w:r>
      <w:r w:rsidRPr="003917E0">
        <w:rPr>
          <w:color w:val="auto"/>
        </w:rPr>
        <w:t>PREFILED DIRECT TESTIMONY OF MICHAEL P. GORMAN</w:t>
      </w:r>
      <w:r w:rsidRPr="003917E0">
        <w:rPr>
          <w:webHidden/>
          <w:color w:val="auto"/>
        </w:rPr>
        <w:tab/>
        <w:t>16</w:t>
      </w:r>
    </w:p>
    <w:p w14:paraId="4845868D" w14:textId="447F9E25" w:rsidR="00FC317B" w:rsidRPr="003917E0" w:rsidRDefault="00FC317B">
      <w:pPr>
        <w:pStyle w:val="TOC2"/>
        <w:rPr>
          <w:rFonts w:asciiTheme="minorHAnsi" w:eastAsiaTheme="minorEastAsia" w:hAnsiTheme="minorHAnsi" w:cstheme="minorBidi"/>
          <w:color w:val="auto"/>
          <w:sz w:val="22"/>
          <w:szCs w:val="22"/>
          <w:lang w:eastAsia="en-US"/>
        </w:rPr>
      </w:pPr>
      <w:r w:rsidRPr="003917E0">
        <w:rPr>
          <w:rFonts w:ascii="Times New Roman" w:hAnsi="Times New Roman"/>
          <w:color w:val="auto"/>
        </w:rPr>
        <w:t>A.</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bCs/>
          <w:color w:val="auto"/>
        </w:rPr>
        <w:t xml:space="preserve">None of </w:t>
      </w:r>
      <w:r w:rsidRPr="003917E0">
        <w:rPr>
          <w:rFonts w:ascii="Times New Roman" w:hAnsi="Times New Roman"/>
          <w:color w:val="auto"/>
        </w:rPr>
        <w:t xml:space="preserve">the </w:t>
      </w:r>
      <w:r w:rsidRPr="003917E0">
        <w:rPr>
          <w:rFonts w:ascii="Times New Roman" w:hAnsi="Times New Roman"/>
          <w:bCs/>
          <w:color w:val="auto"/>
        </w:rPr>
        <w:t>Criticisms of The Brattle Group Decoupling Studies or My Direct Testimony are Valid</w:t>
      </w:r>
      <w:r w:rsidRPr="003917E0">
        <w:rPr>
          <w:webHidden/>
          <w:color w:val="auto"/>
        </w:rPr>
        <w:tab/>
        <w:t>17</w:t>
      </w:r>
    </w:p>
    <w:p w14:paraId="2E47B893" w14:textId="5CCC884B" w:rsidR="00FC317B" w:rsidRPr="003917E0" w:rsidRDefault="00FC317B">
      <w:pPr>
        <w:pStyle w:val="TOC2"/>
        <w:rPr>
          <w:rFonts w:asciiTheme="minorHAnsi" w:eastAsiaTheme="minorEastAsia" w:hAnsiTheme="minorHAnsi" w:cstheme="minorBidi"/>
          <w:color w:val="auto"/>
          <w:sz w:val="22"/>
          <w:szCs w:val="22"/>
          <w:lang w:eastAsia="en-US"/>
        </w:rPr>
      </w:pPr>
      <w:r w:rsidRPr="003917E0">
        <w:rPr>
          <w:rFonts w:ascii="Times New Roman" w:hAnsi="Times New Roman"/>
          <w:color w:val="auto"/>
        </w:rPr>
        <w:t>B.</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Mr. </w:t>
      </w:r>
      <w:r w:rsidRPr="003917E0">
        <w:rPr>
          <w:rFonts w:ascii="Times New Roman" w:hAnsi="Times New Roman"/>
          <w:bCs/>
          <w:color w:val="auto"/>
        </w:rPr>
        <w:t>Hill Asserts but Does Not Demonstrate in Any Way that the Reduction in Volatility in Revenues Due to Decoupling is Related to the Cost of Capital.</w:t>
      </w:r>
      <w:r w:rsidRPr="003917E0">
        <w:rPr>
          <w:webHidden/>
          <w:color w:val="auto"/>
        </w:rPr>
        <w:tab/>
        <w:t>27</w:t>
      </w:r>
    </w:p>
    <w:p w14:paraId="1080A1B8" w14:textId="1C1B8E03"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bCs/>
          <w:color w:val="auto"/>
        </w:rPr>
        <w:t>IV.</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bCs/>
          <w:color w:val="auto"/>
        </w:rPr>
        <w:t>CONCLUSION</w:t>
      </w:r>
      <w:r w:rsidRPr="003917E0">
        <w:rPr>
          <w:webHidden/>
          <w:color w:val="auto"/>
        </w:rPr>
        <w:tab/>
        <w:t>49</w:t>
      </w:r>
    </w:p>
    <w:p w14:paraId="5D0AB9D2" w14:textId="79AD1C64" w:rsidR="0088373F" w:rsidRPr="00E3524A" w:rsidRDefault="0088373F" w:rsidP="000F4005">
      <w:pPr>
        <w:widowControl w:val="0"/>
        <w:spacing w:before="240" w:after="240" w:line="480" w:lineRule="auto"/>
        <w:ind w:left="720" w:right="720" w:firstLine="0"/>
        <w:jc w:val="center"/>
        <w:rPr>
          <w:bCs/>
          <w:szCs w:val="24"/>
        </w:rPr>
      </w:pPr>
    </w:p>
    <w:p w14:paraId="5D0AB9D3" w14:textId="77777777" w:rsidR="0088373F" w:rsidRPr="00E3524A" w:rsidRDefault="0088373F" w:rsidP="000F4005">
      <w:pPr>
        <w:widowControl w:val="0"/>
        <w:spacing w:before="240" w:after="240" w:line="480" w:lineRule="auto"/>
        <w:ind w:left="720" w:right="720" w:firstLine="0"/>
        <w:jc w:val="center"/>
        <w:rPr>
          <w:b/>
          <w:bCs/>
          <w:szCs w:val="24"/>
        </w:rPr>
        <w:sectPr w:rsidR="0088373F" w:rsidRPr="00E3524A" w:rsidSect="00742234">
          <w:footerReference w:type="default" r:id="rId15"/>
          <w:pgSz w:w="12240" w:h="15840" w:code="1"/>
          <w:pgMar w:top="1152" w:right="1440" w:bottom="1152" w:left="2160" w:header="864" w:footer="576" w:gutter="0"/>
          <w:pgNumType w:fmt="lowerRoman" w:start="1"/>
          <w:cols w:space="720"/>
        </w:sectPr>
      </w:pPr>
    </w:p>
    <w:p w14:paraId="5D0AB9D4" w14:textId="77777777" w:rsidR="0088373F" w:rsidRPr="00E3524A" w:rsidRDefault="0088373F" w:rsidP="006E0E79">
      <w:pPr>
        <w:keepNext/>
        <w:keepLines/>
        <w:spacing w:before="240" w:after="360" w:line="240" w:lineRule="auto"/>
        <w:ind w:left="547" w:right="547" w:firstLine="0"/>
        <w:jc w:val="center"/>
        <w:rPr>
          <w:b/>
          <w:bCs/>
          <w:szCs w:val="24"/>
        </w:rPr>
      </w:pPr>
      <w:r w:rsidRPr="00E3524A">
        <w:rPr>
          <w:b/>
          <w:bCs/>
          <w:szCs w:val="24"/>
        </w:rPr>
        <w:lastRenderedPageBreak/>
        <w:t>PUGET SOUND ENERGY, INC.</w:t>
      </w:r>
    </w:p>
    <w:p w14:paraId="5D0AB9D5" w14:textId="77777777" w:rsidR="0088373F" w:rsidRPr="006833CD" w:rsidRDefault="00EE3ECD" w:rsidP="006E0E79">
      <w:pPr>
        <w:keepNext/>
        <w:keepLines/>
        <w:spacing w:before="240" w:after="360" w:line="240" w:lineRule="auto"/>
        <w:ind w:left="547" w:right="547" w:firstLine="0"/>
        <w:jc w:val="center"/>
        <w:rPr>
          <w:b/>
          <w:bCs/>
          <w:szCs w:val="24"/>
        </w:rPr>
      </w:pPr>
      <w:proofErr w:type="spellStart"/>
      <w:r w:rsidRPr="006833CD">
        <w:rPr>
          <w:b/>
          <w:bCs/>
          <w:szCs w:val="24"/>
        </w:rPr>
        <w:t>PREFILED</w:t>
      </w:r>
      <w:proofErr w:type="spellEnd"/>
      <w:r w:rsidRPr="006833CD">
        <w:rPr>
          <w:b/>
          <w:bCs/>
          <w:szCs w:val="24"/>
        </w:rPr>
        <w:t xml:space="preserve"> </w:t>
      </w:r>
      <w:r w:rsidR="006B09BA" w:rsidRPr="006833CD">
        <w:rPr>
          <w:b/>
          <w:bCs/>
          <w:szCs w:val="24"/>
        </w:rPr>
        <w:t xml:space="preserve">REBUTTAL </w:t>
      </w:r>
      <w:r w:rsidRPr="006833CD">
        <w:rPr>
          <w:b/>
          <w:bCs/>
          <w:szCs w:val="24"/>
        </w:rPr>
        <w:t>TESTIMONY (</w:t>
      </w:r>
      <w:proofErr w:type="spellStart"/>
      <w:r w:rsidRPr="006833CD">
        <w:rPr>
          <w:b/>
          <w:bCs/>
          <w:szCs w:val="24"/>
        </w:rPr>
        <w:t>NONCONFIDENTIAL</w:t>
      </w:r>
      <w:proofErr w:type="spellEnd"/>
      <w:r w:rsidRPr="006833CD">
        <w:rPr>
          <w:b/>
          <w:bCs/>
          <w:szCs w:val="24"/>
        </w:rPr>
        <w:t>) OF</w:t>
      </w:r>
      <w:r w:rsidRPr="006833CD">
        <w:rPr>
          <w:b/>
          <w:bCs/>
          <w:szCs w:val="24"/>
        </w:rPr>
        <w:br/>
      </w:r>
      <w:r w:rsidR="00D5091F" w:rsidRPr="006833CD">
        <w:rPr>
          <w:b/>
          <w:szCs w:val="24"/>
          <w:lang w:eastAsia="en-US"/>
        </w:rPr>
        <w:t>DR. MICHAEL J. VILBERT</w:t>
      </w:r>
    </w:p>
    <w:p w14:paraId="5D0AB9D6" w14:textId="77777777" w:rsidR="00515380" w:rsidRPr="006833CD" w:rsidRDefault="00515380" w:rsidP="00515380">
      <w:pPr>
        <w:pStyle w:val="Heading1"/>
        <w:spacing w:after="360" w:line="240" w:lineRule="auto"/>
        <w:rPr>
          <w:rFonts w:ascii="Times New Roman" w:eastAsia="SimSun" w:hAnsi="Times New Roman"/>
          <w:szCs w:val="24"/>
        </w:rPr>
      </w:pPr>
      <w:bookmarkStart w:id="2" w:name="_Toc294539813"/>
      <w:bookmarkStart w:id="3" w:name="_Toc406063198"/>
      <w:bookmarkStart w:id="4" w:name="_Toc406086184"/>
      <w:bookmarkStart w:id="5" w:name="_Toc406511787"/>
      <w:bookmarkStart w:id="6" w:name="_Toc406745162"/>
      <w:r w:rsidRPr="006833CD">
        <w:rPr>
          <w:rFonts w:ascii="Times New Roman" w:hAnsi="Times New Roman"/>
          <w:szCs w:val="24"/>
        </w:rPr>
        <w:t>I.</w:t>
      </w:r>
      <w:r w:rsidRPr="006833CD">
        <w:rPr>
          <w:rFonts w:ascii="Times New Roman" w:hAnsi="Times New Roman"/>
          <w:szCs w:val="24"/>
        </w:rPr>
        <w:tab/>
        <w:t>INTRODUCTION</w:t>
      </w:r>
      <w:bookmarkEnd w:id="2"/>
      <w:bookmarkEnd w:id="3"/>
      <w:bookmarkEnd w:id="4"/>
      <w:bookmarkEnd w:id="5"/>
      <w:bookmarkEnd w:id="6"/>
    </w:p>
    <w:p w14:paraId="5D0AB9D7" w14:textId="79EB6A92" w:rsidR="006B09BA" w:rsidRPr="006833CD" w:rsidRDefault="006B09BA"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 xml:space="preserve">Are you the same </w:t>
      </w:r>
      <w:r w:rsidR="00D5091F" w:rsidRPr="006833CD">
        <w:rPr>
          <w:rFonts w:ascii="Times New Roman" w:hAnsi="Times New Roman"/>
          <w:szCs w:val="24"/>
        </w:rPr>
        <w:t>Dr.</w:t>
      </w:r>
      <w:r w:rsidR="00C179C5" w:rsidRPr="006833CD">
        <w:rPr>
          <w:rFonts w:ascii="Times New Roman" w:hAnsi="Times New Roman"/>
          <w:szCs w:val="24"/>
        </w:rPr>
        <w:t> </w:t>
      </w:r>
      <w:r w:rsidR="00D5091F" w:rsidRPr="006833CD">
        <w:rPr>
          <w:rFonts w:ascii="Times New Roman" w:hAnsi="Times New Roman"/>
          <w:szCs w:val="24"/>
        </w:rPr>
        <w:t xml:space="preserve">Michael J. Vilbert </w:t>
      </w:r>
      <w:r w:rsidRPr="006833CD">
        <w:rPr>
          <w:rFonts w:ascii="Times New Roman" w:hAnsi="Times New Roman"/>
          <w:szCs w:val="24"/>
        </w:rPr>
        <w:t xml:space="preserve">who provided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and supporting exhibits on behalf of Puget Sound Energy, Inc. (“PSE”) in these proceedings?</w:t>
      </w:r>
    </w:p>
    <w:p w14:paraId="5D0AB9D8" w14:textId="514CE1DF" w:rsidR="006B09BA" w:rsidRPr="006833CD" w:rsidRDefault="006B09BA"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Yes.  I filed </w:t>
      </w:r>
      <w:proofErr w:type="spellStart"/>
      <w:r w:rsidRPr="006833CD">
        <w:rPr>
          <w:rFonts w:ascii="Times New Roman" w:hAnsi="Times New Roman"/>
          <w:szCs w:val="24"/>
        </w:rPr>
        <w:t>prefile</w:t>
      </w:r>
      <w:r w:rsidR="00842E34" w:rsidRPr="006833CD">
        <w:rPr>
          <w:rFonts w:ascii="Times New Roman" w:hAnsi="Times New Roman"/>
          <w:szCs w:val="24"/>
        </w:rPr>
        <w:t>d</w:t>
      </w:r>
      <w:proofErr w:type="spellEnd"/>
      <w:r w:rsidR="00842E34" w:rsidRPr="006833CD">
        <w:rPr>
          <w:rFonts w:ascii="Times New Roman" w:hAnsi="Times New Roman"/>
          <w:szCs w:val="24"/>
        </w:rPr>
        <w:t xml:space="preserve"> direct testimony,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-1T), and s</w:t>
      </w:r>
      <w:r w:rsidR="00842E34" w:rsidRPr="006833CD">
        <w:rPr>
          <w:rFonts w:ascii="Times New Roman" w:hAnsi="Times New Roman"/>
          <w:szCs w:val="24"/>
        </w:rPr>
        <w:t>upporting exhibits, Exhibit No.</w:t>
      </w:r>
      <w:r w:rsidR="00456997" w:rsidRPr="006833CD">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00842E34" w:rsidRPr="006833CD">
        <w:rPr>
          <w:rFonts w:ascii="Times New Roman" w:hAnsi="Times New Roman"/>
          <w:szCs w:val="24"/>
        </w:rPr>
        <w:t>-2) through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w:t>
      </w:r>
      <w:r w:rsidR="002A1146" w:rsidRPr="006833CD">
        <w:rPr>
          <w:rFonts w:ascii="Times New Roman" w:hAnsi="Times New Roman"/>
          <w:szCs w:val="24"/>
        </w:rPr>
        <w:t>1</w:t>
      </w:r>
      <w:r w:rsidR="00D5091F" w:rsidRPr="006833CD">
        <w:rPr>
          <w:rFonts w:ascii="Times New Roman" w:hAnsi="Times New Roman"/>
          <w:szCs w:val="24"/>
        </w:rPr>
        <w:t>7</w:t>
      </w:r>
      <w:r w:rsidR="00997E82" w:rsidRPr="006833CD">
        <w:rPr>
          <w:rFonts w:ascii="Times New Roman" w:hAnsi="Times New Roman"/>
          <w:szCs w:val="24"/>
        </w:rPr>
        <w:t>), on November</w:t>
      </w:r>
      <w:r w:rsidR="00987A64" w:rsidRPr="006833CD">
        <w:rPr>
          <w:rFonts w:ascii="Times New Roman" w:hAnsi="Times New Roman"/>
          <w:szCs w:val="24"/>
        </w:rPr>
        <w:t xml:space="preserve"> </w:t>
      </w:r>
      <w:r w:rsidRPr="006833CD">
        <w:rPr>
          <w:rFonts w:ascii="Times New Roman" w:hAnsi="Times New Roman"/>
          <w:szCs w:val="24"/>
        </w:rPr>
        <w:t>5, 2014.</w:t>
      </w:r>
    </w:p>
    <w:p w14:paraId="5D0AB9D9" w14:textId="4BFD1011"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Pleas</w:t>
      </w:r>
      <w:r w:rsidR="00997E82" w:rsidRPr="006833CD">
        <w:rPr>
          <w:rFonts w:ascii="Times New Roman" w:hAnsi="Times New Roman"/>
          <w:szCs w:val="24"/>
        </w:rPr>
        <w:t xml:space="preserve">e summarize the purpose of your </w:t>
      </w:r>
      <w:proofErr w:type="spellStart"/>
      <w:r w:rsidR="006B09BA" w:rsidRPr="006833CD">
        <w:rPr>
          <w:rFonts w:ascii="Times New Roman" w:hAnsi="Times New Roman"/>
          <w:szCs w:val="24"/>
        </w:rPr>
        <w:t>prefiled</w:t>
      </w:r>
      <w:proofErr w:type="spellEnd"/>
      <w:r w:rsidR="006B09BA" w:rsidRPr="006833CD">
        <w:rPr>
          <w:rFonts w:ascii="Times New Roman" w:hAnsi="Times New Roman"/>
          <w:szCs w:val="24"/>
        </w:rPr>
        <w:t xml:space="preserve"> rebuttal </w:t>
      </w:r>
      <w:r w:rsidRPr="006833CD">
        <w:rPr>
          <w:rFonts w:ascii="Times New Roman" w:hAnsi="Times New Roman"/>
          <w:szCs w:val="24"/>
        </w:rPr>
        <w:t>testimony.</w:t>
      </w:r>
    </w:p>
    <w:p w14:paraId="3D81D404" w14:textId="77777777" w:rsidR="00456997" w:rsidRPr="006833CD" w:rsidRDefault="00515380"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This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w:t>
      </w:r>
      <w:r w:rsidR="006B09BA" w:rsidRPr="006833CD">
        <w:rPr>
          <w:rFonts w:ascii="Times New Roman" w:hAnsi="Times New Roman"/>
          <w:szCs w:val="24"/>
        </w:rPr>
        <w:t xml:space="preserve">rebuttal </w:t>
      </w:r>
      <w:r w:rsidRPr="006833CD">
        <w:rPr>
          <w:rFonts w:ascii="Times New Roman" w:hAnsi="Times New Roman"/>
          <w:szCs w:val="24"/>
        </w:rPr>
        <w:t xml:space="preserve">testimony </w:t>
      </w:r>
      <w:r w:rsidR="00997E82" w:rsidRPr="006833CD">
        <w:rPr>
          <w:rFonts w:ascii="Times New Roman" w:hAnsi="Times New Roman"/>
          <w:szCs w:val="24"/>
        </w:rPr>
        <w:t xml:space="preserve">addresses the </w:t>
      </w:r>
      <w:r w:rsidR="00456997" w:rsidRPr="006833CD">
        <w:rPr>
          <w:rFonts w:ascii="Times New Roman" w:hAnsi="Times New Roman"/>
          <w:szCs w:val="24"/>
        </w:rPr>
        <w:t>following:</w:t>
      </w:r>
    </w:p>
    <w:p w14:paraId="62F00A3D" w14:textId="2A110C1F" w:rsidR="00456997" w:rsidRPr="006833CD" w:rsidRDefault="00456997" w:rsidP="00456997">
      <w:pPr>
        <w:pStyle w:val="answer"/>
        <w:spacing w:before="0" w:after="280" w:line="240" w:lineRule="auto"/>
        <w:ind w:left="2160" w:right="720"/>
        <w:rPr>
          <w:rFonts w:ascii="Times New Roman" w:hAnsi="Times New Roman"/>
          <w:szCs w:val="24"/>
        </w:rPr>
      </w:pPr>
      <w:r w:rsidRPr="006833CD">
        <w:rPr>
          <w:rFonts w:ascii="Times New Roman" w:hAnsi="Times New Roman"/>
          <w:szCs w:val="24"/>
        </w:rPr>
        <w:t>(</w:t>
      </w:r>
      <w:proofErr w:type="spellStart"/>
      <w:r w:rsidRPr="006833CD">
        <w:rPr>
          <w:rFonts w:ascii="Times New Roman" w:hAnsi="Times New Roman"/>
          <w:szCs w:val="24"/>
        </w:rPr>
        <w:t>i</w:t>
      </w:r>
      <w:proofErr w:type="spellEnd"/>
      <w:r w:rsidRPr="006833CD">
        <w:rPr>
          <w:rFonts w:ascii="Times New Roman" w:hAnsi="Times New Roman"/>
          <w:szCs w:val="24"/>
        </w:rPr>
        <w:t>)</w:t>
      </w:r>
      <w:r w:rsidRPr="006833CD">
        <w:rPr>
          <w:rFonts w:ascii="Times New Roman" w:hAnsi="Times New Roman"/>
          <w:szCs w:val="24"/>
        </w:rPr>
        <w:tab/>
        <w:t xml:space="preserve">the </w:t>
      </w:r>
      <w:proofErr w:type="spellStart"/>
      <w:r w:rsidRPr="006833CD">
        <w:rPr>
          <w:rFonts w:ascii="Times New Roman" w:hAnsi="Times New Roman"/>
          <w:szCs w:val="24"/>
        </w:rPr>
        <w:t>P</w:t>
      </w:r>
      <w:r w:rsidR="00987A64" w:rsidRPr="006833CD">
        <w:rPr>
          <w:rFonts w:ascii="Times New Roman" w:hAnsi="Times New Roman"/>
          <w:szCs w:val="24"/>
        </w:rPr>
        <w:t>refiled</w:t>
      </w:r>
      <w:proofErr w:type="spellEnd"/>
      <w:r w:rsidR="00987A64" w:rsidRPr="006833CD">
        <w:rPr>
          <w:rFonts w:ascii="Times New Roman" w:hAnsi="Times New Roman"/>
          <w:szCs w:val="24"/>
        </w:rPr>
        <w:t xml:space="preserve"> Direct Testimony of Dr.</w:t>
      </w:r>
      <w:r w:rsidR="0030288F">
        <w:rPr>
          <w:rFonts w:ascii="Times New Roman" w:hAnsi="Times New Roman"/>
          <w:szCs w:val="24"/>
        </w:rPr>
        <w:t> </w:t>
      </w:r>
      <w:r w:rsidR="00987A64" w:rsidRPr="006833CD">
        <w:rPr>
          <w:rFonts w:ascii="Times New Roman" w:hAnsi="Times New Roman"/>
          <w:szCs w:val="24"/>
        </w:rPr>
        <w:t>Christopher A. Adolph, Exhibit No.</w:t>
      </w:r>
      <w:r w:rsidR="0030288F">
        <w:rPr>
          <w:rFonts w:ascii="Times New Roman" w:hAnsi="Times New Roman"/>
          <w:szCs w:val="24"/>
        </w:rPr>
        <w:t> </w:t>
      </w:r>
      <w:r w:rsidRPr="006833CD">
        <w:rPr>
          <w:rFonts w:ascii="Times New Roman" w:hAnsi="Times New Roman"/>
          <w:szCs w:val="24"/>
        </w:rPr>
        <w:t>___(CAA-1T), on behalf of the Public Counsel Unit of the Washington Attorney General’s Office (“Public Counsel”) and the Industrial Customers of Northwest Utilities (“</w:t>
      </w:r>
      <w:proofErr w:type="spellStart"/>
      <w:r w:rsidRPr="006833CD">
        <w:rPr>
          <w:rFonts w:ascii="Times New Roman" w:hAnsi="Times New Roman"/>
          <w:szCs w:val="24"/>
        </w:rPr>
        <w:t>ICNU</w:t>
      </w:r>
      <w:proofErr w:type="spellEnd"/>
      <w:r w:rsidRPr="006833CD">
        <w:rPr>
          <w:rFonts w:ascii="Times New Roman" w:hAnsi="Times New Roman"/>
          <w:szCs w:val="24"/>
        </w:rPr>
        <w:t>”);</w:t>
      </w:r>
    </w:p>
    <w:p w14:paraId="122A4432" w14:textId="624300B2" w:rsidR="00456997" w:rsidRPr="006833CD" w:rsidRDefault="00456997" w:rsidP="00456997">
      <w:pPr>
        <w:pStyle w:val="answer"/>
        <w:spacing w:before="0" w:after="280" w:line="240" w:lineRule="auto"/>
        <w:ind w:left="2160" w:right="720"/>
        <w:rPr>
          <w:rFonts w:ascii="Times New Roman" w:hAnsi="Times New Roman"/>
          <w:szCs w:val="24"/>
        </w:rPr>
      </w:pPr>
      <w:r w:rsidRPr="006833CD">
        <w:rPr>
          <w:rFonts w:ascii="Times New Roman" w:hAnsi="Times New Roman"/>
          <w:szCs w:val="24"/>
        </w:rPr>
        <w:t>(ii)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of </w:t>
      </w:r>
      <w:r w:rsidR="002E1D75" w:rsidRPr="006833CD">
        <w:rPr>
          <w:rFonts w:ascii="Times New Roman" w:hAnsi="Times New Roman"/>
          <w:szCs w:val="24"/>
        </w:rPr>
        <w:t>M</w:t>
      </w:r>
      <w:r w:rsidR="00987A64" w:rsidRPr="006833CD">
        <w:rPr>
          <w:rFonts w:ascii="Times New Roman" w:hAnsi="Times New Roman"/>
          <w:szCs w:val="24"/>
        </w:rPr>
        <w:t>r.</w:t>
      </w:r>
      <w:r w:rsidR="0030288F">
        <w:rPr>
          <w:rFonts w:ascii="Times New Roman" w:hAnsi="Times New Roman"/>
          <w:szCs w:val="24"/>
        </w:rPr>
        <w:t> </w:t>
      </w:r>
      <w:r w:rsidR="00987A64" w:rsidRPr="006833CD">
        <w:rPr>
          <w:rFonts w:ascii="Times New Roman" w:hAnsi="Times New Roman"/>
          <w:szCs w:val="24"/>
        </w:rPr>
        <w:t>Stephen G. Hill, Exhibit No.</w:t>
      </w:r>
      <w:r w:rsidR="0030288F">
        <w:rPr>
          <w:rFonts w:ascii="Times New Roman" w:hAnsi="Times New Roman"/>
          <w:szCs w:val="24"/>
        </w:rPr>
        <w:t> </w:t>
      </w:r>
      <w:r w:rsidR="002E1D75" w:rsidRPr="006833CD">
        <w:rPr>
          <w:rFonts w:ascii="Times New Roman" w:hAnsi="Times New Roman"/>
          <w:szCs w:val="24"/>
        </w:rPr>
        <w:t>___(SGH-2), on behalf of Public Counsel; and</w:t>
      </w:r>
    </w:p>
    <w:p w14:paraId="641512BB" w14:textId="2945B099" w:rsidR="002E1D75" w:rsidRPr="006833CD" w:rsidRDefault="002E1D75" w:rsidP="002E1D75">
      <w:pPr>
        <w:pStyle w:val="answer"/>
        <w:spacing w:before="0" w:after="280" w:line="240" w:lineRule="auto"/>
        <w:ind w:left="2160" w:right="720"/>
        <w:rPr>
          <w:rFonts w:ascii="Times New Roman" w:hAnsi="Times New Roman"/>
          <w:szCs w:val="24"/>
        </w:rPr>
      </w:pPr>
      <w:r w:rsidRPr="006833CD">
        <w:rPr>
          <w:rFonts w:ascii="Times New Roman" w:hAnsi="Times New Roman"/>
          <w:szCs w:val="24"/>
        </w:rPr>
        <w:t>(iii)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Response Testimony of </w:t>
      </w:r>
      <w:r w:rsidR="0030288F" w:rsidRPr="006833CD">
        <w:rPr>
          <w:rFonts w:ascii="Times New Roman" w:hAnsi="Times New Roman"/>
          <w:szCs w:val="24"/>
        </w:rPr>
        <w:t>Mr.</w:t>
      </w:r>
      <w:r w:rsidR="0030288F">
        <w:rPr>
          <w:rFonts w:ascii="Times New Roman" w:hAnsi="Times New Roman"/>
          <w:szCs w:val="24"/>
        </w:rPr>
        <w:t> </w:t>
      </w:r>
      <w:r w:rsidR="00997E82" w:rsidRPr="006833CD">
        <w:rPr>
          <w:rFonts w:ascii="Times New Roman" w:hAnsi="Times New Roman"/>
          <w:szCs w:val="24"/>
        </w:rPr>
        <w:t>Michael</w:t>
      </w:r>
      <w:r w:rsidR="009B594F" w:rsidRPr="006833CD">
        <w:rPr>
          <w:rFonts w:ascii="Times New Roman" w:hAnsi="Times New Roman"/>
          <w:szCs w:val="24"/>
        </w:rPr>
        <w:t xml:space="preserve"> </w:t>
      </w:r>
      <w:r w:rsidR="00997E82" w:rsidRPr="006833CD">
        <w:rPr>
          <w:rFonts w:ascii="Times New Roman" w:hAnsi="Times New Roman"/>
          <w:szCs w:val="24"/>
        </w:rPr>
        <w:t>P. Gorman</w:t>
      </w:r>
      <w:r w:rsidR="009B594F" w:rsidRPr="006833CD">
        <w:rPr>
          <w:rFonts w:ascii="Times New Roman" w:hAnsi="Times New Roman"/>
          <w:szCs w:val="24"/>
        </w:rPr>
        <w:t>, Exhibit No.</w:t>
      </w:r>
      <w:r w:rsidR="0030288F">
        <w:rPr>
          <w:rFonts w:ascii="Times New Roman" w:hAnsi="Times New Roman"/>
          <w:szCs w:val="24"/>
        </w:rPr>
        <w:t> </w:t>
      </w:r>
      <w:r w:rsidRPr="006833CD">
        <w:rPr>
          <w:rFonts w:ascii="Times New Roman" w:hAnsi="Times New Roman"/>
          <w:szCs w:val="24"/>
        </w:rPr>
        <w:t xml:space="preserve">___(MPG-23T), on behalf of </w:t>
      </w:r>
      <w:proofErr w:type="spellStart"/>
      <w:r w:rsidRPr="006833CD">
        <w:rPr>
          <w:rFonts w:ascii="Times New Roman" w:hAnsi="Times New Roman"/>
          <w:szCs w:val="24"/>
        </w:rPr>
        <w:t>ICNU</w:t>
      </w:r>
      <w:proofErr w:type="spellEnd"/>
      <w:r w:rsidRPr="006833CD">
        <w:rPr>
          <w:rFonts w:ascii="Times New Roman" w:hAnsi="Times New Roman"/>
          <w:szCs w:val="24"/>
        </w:rPr>
        <w:t>.</w:t>
      </w:r>
    </w:p>
    <w:p w14:paraId="5D0AB9DA" w14:textId="65108451" w:rsidR="00576551" w:rsidRPr="006833CD" w:rsidRDefault="00997E82" w:rsidP="002E1D75">
      <w:pPr>
        <w:pStyle w:val="answer"/>
        <w:ind w:firstLine="0"/>
        <w:rPr>
          <w:rFonts w:ascii="Times New Roman" w:hAnsi="Times New Roman"/>
          <w:szCs w:val="24"/>
        </w:rPr>
      </w:pPr>
      <w:r w:rsidRPr="006833CD">
        <w:rPr>
          <w:rFonts w:ascii="Times New Roman" w:hAnsi="Times New Roman"/>
          <w:szCs w:val="24"/>
        </w:rPr>
        <w:t>In particular, I respond to their comments and conclusions regarding the implications of the decoupling studies performed by The Brattle Group.  In addition, I critique Mr.</w:t>
      </w:r>
      <w:r w:rsidR="0030288F">
        <w:rPr>
          <w:rFonts w:ascii="Times New Roman" w:hAnsi="Times New Roman"/>
          <w:szCs w:val="24"/>
        </w:rPr>
        <w:t> </w:t>
      </w:r>
      <w:r w:rsidRPr="006833CD">
        <w:rPr>
          <w:rFonts w:ascii="Times New Roman" w:hAnsi="Times New Roman"/>
          <w:szCs w:val="24"/>
        </w:rPr>
        <w:t xml:space="preserve">Hill’s calculations with regard to the effect of decoupling on the cost of capital for </w:t>
      </w:r>
      <w:r w:rsidR="00576551" w:rsidRPr="006833CD">
        <w:rPr>
          <w:rFonts w:ascii="Times New Roman" w:hAnsi="Times New Roman"/>
          <w:szCs w:val="24"/>
        </w:rPr>
        <w:t>PSE</w:t>
      </w:r>
      <w:r w:rsidR="002E1D75" w:rsidRPr="006833CD">
        <w:rPr>
          <w:rFonts w:ascii="Times New Roman" w:hAnsi="Times New Roman"/>
          <w:szCs w:val="24"/>
        </w:rPr>
        <w:t>.</w:t>
      </w:r>
    </w:p>
    <w:p w14:paraId="5D0AB9DB" w14:textId="5B34A562" w:rsidR="00576551" w:rsidRPr="006833CD" w:rsidRDefault="003D27FA"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00576551" w:rsidRPr="006833CD">
        <w:rPr>
          <w:rFonts w:ascii="Times New Roman" w:hAnsi="Times New Roman"/>
          <w:bCs/>
          <w:szCs w:val="24"/>
        </w:rPr>
        <w:tab/>
        <w:t>Please summarize the conclusio</w:t>
      </w:r>
      <w:r w:rsidRPr="006833CD">
        <w:rPr>
          <w:rFonts w:ascii="Times New Roman" w:hAnsi="Times New Roman"/>
          <w:bCs/>
          <w:szCs w:val="24"/>
        </w:rPr>
        <w:t>ns of your rebuttal testimony.</w:t>
      </w:r>
    </w:p>
    <w:p w14:paraId="18F5D36F" w14:textId="3260D511" w:rsidR="002E1D75" w:rsidRPr="006833CD" w:rsidRDefault="003D27FA" w:rsidP="003D27FA">
      <w:pPr>
        <w:pStyle w:val="answer"/>
        <w:rPr>
          <w:rFonts w:ascii="Times New Roman" w:hAnsi="Times New Roman"/>
          <w:bCs/>
          <w:szCs w:val="24"/>
        </w:rPr>
      </w:pPr>
      <w:r w:rsidRPr="006833CD">
        <w:rPr>
          <w:rFonts w:ascii="Times New Roman" w:hAnsi="Times New Roman"/>
          <w:bCs/>
          <w:szCs w:val="24"/>
        </w:rPr>
        <w:t>A.</w:t>
      </w:r>
      <w:r w:rsidR="00576551" w:rsidRPr="006833CD">
        <w:rPr>
          <w:rFonts w:ascii="Times New Roman" w:hAnsi="Times New Roman"/>
          <w:bCs/>
          <w:szCs w:val="24"/>
        </w:rPr>
        <w:tab/>
      </w:r>
      <w:r w:rsidR="002E1D75" w:rsidRPr="006833CD">
        <w:rPr>
          <w:rFonts w:ascii="Times New Roman" w:hAnsi="Times New Roman"/>
          <w:bCs/>
          <w:szCs w:val="24"/>
        </w:rPr>
        <w:t xml:space="preserve">The </w:t>
      </w:r>
      <w:proofErr w:type="spellStart"/>
      <w:r w:rsidR="002E1D75" w:rsidRPr="006833CD">
        <w:rPr>
          <w:rFonts w:ascii="Times New Roman" w:hAnsi="Times New Roman"/>
          <w:szCs w:val="24"/>
        </w:rPr>
        <w:t>Prefiled</w:t>
      </w:r>
      <w:proofErr w:type="spellEnd"/>
      <w:r w:rsidR="002E1D75" w:rsidRPr="006833CD">
        <w:rPr>
          <w:rFonts w:ascii="Times New Roman" w:hAnsi="Times New Roman"/>
          <w:szCs w:val="24"/>
        </w:rPr>
        <w:t xml:space="preserve"> Dire</w:t>
      </w:r>
      <w:r w:rsidR="009B594F" w:rsidRPr="006833CD">
        <w:rPr>
          <w:rFonts w:ascii="Times New Roman" w:hAnsi="Times New Roman"/>
          <w:szCs w:val="24"/>
        </w:rPr>
        <w:t xml:space="preserve">ct Testimony of Dr. Christopher </w:t>
      </w:r>
      <w:r w:rsidR="002E1D75" w:rsidRPr="006833CD">
        <w:rPr>
          <w:rFonts w:ascii="Times New Roman" w:hAnsi="Times New Roman"/>
          <w:szCs w:val="24"/>
        </w:rPr>
        <w:t xml:space="preserve">A. Adolph, Exhibit No. ___(CAA-1T), </w:t>
      </w:r>
      <w:r w:rsidR="00F612BF" w:rsidRPr="006833CD">
        <w:rPr>
          <w:rFonts w:ascii="Times New Roman" w:hAnsi="Times New Roman"/>
          <w:bCs/>
          <w:szCs w:val="24"/>
        </w:rPr>
        <w:t xml:space="preserve">boils down to a conclusion that the evidence from the decoupling studies is “good enough” to support a conclusion that decoupling reduces the cost of capital.  </w:t>
      </w:r>
      <w:r w:rsidR="00A13DFF" w:rsidRPr="00A13DFF">
        <w:rPr>
          <w:rFonts w:ascii="Times New Roman" w:hAnsi="Times New Roman"/>
          <w:bCs/>
          <w:szCs w:val="24"/>
        </w:rPr>
        <w:t>In response to his testimony, I address the important policy underlying the implementation of decoupling, which Dr.</w:t>
      </w:r>
      <w:r w:rsidR="00A13DFF">
        <w:rPr>
          <w:rFonts w:ascii="Times New Roman" w:hAnsi="Times New Roman"/>
          <w:bCs/>
          <w:szCs w:val="24"/>
        </w:rPr>
        <w:t> </w:t>
      </w:r>
      <w:r w:rsidR="00A13DFF" w:rsidRPr="00A13DFF">
        <w:rPr>
          <w:rFonts w:ascii="Times New Roman" w:hAnsi="Times New Roman"/>
          <w:bCs/>
          <w:szCs w:val="24"/>
        </w:rPr>
        <w:t>Adolph, by his own admission,</w:t>
      </w:r>
      <w:r w:rsidR="00A13DFF" w:rsidRPr="006833CD">
        <w:rPr>
          <w:rStyle w:val="FootnoteReference"/>
        </w:rPr>
        <w:footnoteReference w:id="2"/>
      </w:r>
      <w:r w:rsidR="00A13DFF" w:rsidRPr="00A13DFF">
        <w:rPr>
          <w:rFonts w:ascii="Times New Roman" w:hAnsi="Times New Roman"/>
          <w:bCs/>
          <w:szCs w:val="24"/>
        </w:rPr>
        <w:t xml:space="preserve"> is not in a position to addres</w:t>
      </w:r>
      <w:r w:rsidR="00A13DFF">
        <w:rPr>
          <w:rFonts w:ascii="Times New Roman" w:hAnsi="Times New Roman"/>
          <w:bCs/>
          <w:szCs w:val="24"/>
        </w:rPr>
        <w:t xml:space="preserve">s or evaluate.  Additionally, </w:t>
      </w:r>
      <w:r w:rsidR="00A13DFF" w:rsidRPr="00A13DFF">
        <w:rPr>
          <w:rFonts w:ascii="Times New Roman" w:hAnsi="Times New Roman"/>
          <w:bCs/>
          <w:szCs w:val="24"/>
        </w:rPr>
        <w:t>t</w:t>
      </w:r>
      <w:r w:rsidR="002E1D75" w:rsidRPr="006833CD">
        <w:rPr>
          <w:rFonts w:ascii="Times New Roman" w:hAnsi="Times New Roman"/>
          <w:bCs/>
          <w:szCs w:val="24"/>
        </w:rPr>
        <w:t xml:space="preserve">he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of </w:t>
      </w:r>
      <w:r w:rsidR="00F612BF" w:rsidRPr="006833CD">
        <w:rPr>
          <w:rFonts w:ascii="Times New Roman" w:hAnsi="Times New Roman"/>
          <w:bCs/>
          <w:szCs w:val="24"/>
        </w:rPr>
        <w:t>Dr.</w:t>
      </w:r>
      <w:r w:rsidR="0030288F">
        <w:rPr>
          <w:rFonts w:ascii="Times New Roman" w:hAnsi="Times New Roman"/>
          <w:bCs/>
          <w:szCs w:val="24"/>
        </w:rPr>
        <w:t> </w:t>
      </w:r>
      <w:r w:rsidR="00F612BF" w:rsidRPr="006833CD">
        <w:rPr>
          <w:rFonts w:ascii="Times New Roman" w:hAnsi="Times New Roman"/>
          <w:bCs/>
          <w:szCs w:val="24"/>
        </w:rPr>
        <w:t>Jeffrey</w:t>
      </w:r>
      <w:r w:rsidR="0030288F">
        <w:t> </w:t>
      </w:r>
      <w:r w:rsidR="00F612BF" w:rsidRPr="006833CD">
        <w:rPr>
          <w:rFonts w:ascii="Times New Roman" w:hAnsi="Times New Roman"/>
          <w:bCs/>
          <w:szCs w:val="24"/>
        </w:rPr>
        <w:t xml:space="preserve">A. </w:t>
      </w:r>
      <w:proofErr w:type="spellStart"/>
      <w:r w:rsidR="00F612BF" w:rsidRPr="006833CD">
        <w:rPr>
          <w:rFonts w:ascii="Times New Roman" w:hAnsi="Times New Roman"/>
          <w:bCs/>
          <w:szCs w:val="24"/>
        </w:rPr>
        <w:t>Dubin</w:t>
      </w:r>
      <w:proofErr w:type="spellEnd"/>
      <w:r w:rsidR="009B594F" w:rsidRPr="006833CD">
        <w:rPr>
          <w:rFonts w:ascii="Times New Roman" w:hAnsi="Times New Roman"/>
          <w:bCs/>
          <w:szCs w:val="24"/>
        </w:rPr>
        <w:t>, Exhibit No.</w:t>
      </w:r>
      <w:r w:rsidR="006833CD" w:rsidRPr="006833CD">
        <w:rPr>
          <w:rFonts w:ascii="Times New Roman" w:hAnsi="Times New Roman"/>
          <w:bCs/>
          <w:szCs w:val="24"/>
        </w:rPr>
        <w:t> </w:t>
      </w:r>
      <w:r w:rsidR="002E1D75" w:rsidRPr="006833CD">
        <w:rPr>
          <w:rFonts w:ascii="Times New Roman" w:hAnsi="Times New Roman"/>
          <w:bCs/>
          <w:szCs w:val="24"/>
        </w:rPr>
        <w:t xml:space="preserve">___(JAD-1T), </w:t>
      </w:r>
      <w:r w:rsidR="00F612BF" w:rsidRPr="006833CD">
        <w:rPr>
          <w:rFonts w:ascii="Times New Roman" w:hAnsi="Times New Roman"/>
          <w:bCs/>
          <w:szCs w:val="24"/>
        </w:rPr>
        <w:t>responds to Dr.</w:t>
      </w:r>
      <w:r w:rsidR="0030288F">
        <w:rPr>
          <w:rFonts w:ascii="Times New Roman" w:hAnsi="Times New Roman"/>
          <w:bCs/>
          <w:szCs w:val="24"/>
        </w:rPr>
        <w:t> </w:t>
      </w:r>
      <w:r w:rsidR="00F612BF" w:rsidRPr="006833CD">
        <w:rPr>
          <w:rFonts w:ascii="Times New Roman" w:hAnsi="Times New Roman"/>
          <w:bCs/>
          <w:szCs w:val="24"/>
        </w:rPr>
        <w:t xml:space="preserve">Adolph’s testimony </w:t>
      </w:r>
      <w:r w:rsidR="00A13DFF">
        <w:rPr>
          <w:rFonts w:ascii="Times New Roman" w:hAnsi="Times New Roman"/>
          <w:bCs/>
          <w:szCs w:val="24"/>
        </w:rPr>
        <w:t xml:space="preserve">from a statistical perspective </w:t>
      </w:r>
      <w:r w:rsidR="00F612BF" w:rsidRPr="006833CD">
        <w:rPr>
          <w:rFonts w:ascii="Times New Roman" w:hAnsi="Times New Roman"/>
          <w:bCs/>
          <w:szCs w:val="24"/>
        </w:rPr>
        <w:t xml:space="preserve">and rejects the conclusion that the evidence is </w:t>
      </w:r>
      <w:r w:rsidR="00A13DFF">
        <w:rPr>
          <w:rFonts w:ascii="Times New Roman" w:hAnsi="Times New Roman"/>
          <w:bCs/>
          <w:szCs w:val="24"/>
        </w:rPr>
        <w:t xml:space="preserve">“good </w:t>
      </w:r>
      <w:r w:rsidR="00F612BF" w:rsidRPr="006833CD">
        <w:rPr>
          <w:rFonts w:ascii="Times New Roman" w:hAnsi="Times New Roman"/>
          <w:bCs/>
          <w:szCs w:val="24"/>
        </w:rPr>
        <w:t>enough</w:t>
      </w:r>
      <w:r w:rsidR="00A13DFF">
        <w:rPr>
          <w:rFonts w:ascii="Times New Roman" w:hAnsi="Times New Roman"/>
          <w:bCs/>
          <w:szCs w:val="24"/>
        </w:rPr>
        <w:t>” to support a conclusion that decoupling reduces the cost of capital</w:t>
      </w:r>
      <w:r w:rsidR="00F612BF" w:rsidRPr="006833CD">
        <w:rPr>
          <w:rFonts w:ascii="Times New Roman" w:hAnsi="Times New Roman"/>
          <w:bCs/>
          <w:szCs w:val="24"/>
        </w:rPr>
        <w:t>.</w:t>
      </w:r>
    </w:p>
    <w:p w14:paraId="38CD6EDF" w14:textId="6BEA8AE4" w:rsidR="00F612BF" w:rsidRPr="006833CD" w:rsidRDefault="00F612BF" w:rsidP="002E1D75">
      <w:pPr>
        <w:pStyle w:val="answer"/>
        <w:ind w:firstLine="0"/>
        <w:rPr>
          <w:rFonts w:ascii="Times New Roman" w:hAnsi="Times New Roman"/>
          <w:bCs/>
          <w:szCs w:val="24"/>
        </w:rPr>
      </w:pPr>
      <w:r w:rsidRPr="006833CD">
        <w:rPr>
          <w:rFonts w:ascii="Times New Roman" w:hAnsi="Times New Roman"/>
          <w:bCs/>
          <w:szCs w:val="24"/>
        </w:rPr>
        <w:t>Section</w:t>
      </w:r>
      <w:r w:rsidR="009B594F" w:rsidRPr="006833CD">
        <w:rPr>
          <w:rFonts w:ascii="Times New Roman" w:hAnsi="Times New Roman"/>
          <w:bCs/>
          <w:szCs w:val="24"/>
        </w:rPr>
        <w:t xml:space="preserve"> </w:t>
      </w:r>
      <w:r w:rsidRPr="006833CD">
        <w:rPr>
          <w:rFonts w:ascii="Times New Roman" w:hAnsi="Times New Roman"/>
          <w:bCs/>
          <w:szCs w:val="24"/>
        </w:rPr>
        <w:t>III</w:t>
      </w:r>
      <w:r w:rsidR="002E1D75" w:rsidRPr="006833CD">
        <w:rPr>
          <w:rFonts w:ascii="Times New Roman" w:hAnsi="Times New Roman"/>
          <w:bCs/>
          <w:szCs w:val="24"/>
        </w:rPr>
        <w:t xml:space="preserve"> of this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w:t>
      </w:r>
      <w:r w:rsidRPr="006833CD">
        <w:rPr>
          <w:rFonts w:ascii="Times New Roman" w:hAnsi="Times New Roman"/>
          <w:bCs/>
          <w:szCs w:val="24"/>
        </w:rPr>
        <w:t>respond</w:t>
      </w:r>
      <w:r w:rsidR="002E1D75" w:rsidRPr="006833CD">
        <w:rPr>
          <w:rFonts w:ascii="Times New Roman" w:hAnsi="Times New Roman"/>
          <w:bCs/>
          <w:szCs w:val="24"/>
        </w:rPr>
        <w:t>s</w:t>
      </w:r>
      <w:r w:rsidRPr="006833CD">
        <w:rPr>
          <w:rFonts w:ascii="Times New Roman" w:hAnsi="Times New Roman"/>
          <w:bCs/>
          <w:szCs w:val="24"/>
        </w:rPr>
        <w:t xml:space="preserve"> to a number of Mr.</w:t>
      </w:r>
      <w:r w:rsidR="0030288F">
        <w:rPr>
          <w:rFonts w:ascii="Times New Roman" w:hAnsi="Times New Roman"/>
          <w:bCs/>
          <w:szCs w:val="24"/>
        </w:rPr>
        <w:t> </w:t>
      </w:r>
      <w:r w:rsidRPr="006833CD">
        <w:rPr>
          <w:rFonts w:ascii="Times New Roman" w:hAnsi="Times New Roman"/>
          <w:bCs/>
          <w:szCs w:val="24"/>
        </w:rPr>
        <w:t xml:space="preserve">Hill’s misinterpretations or misstatements of my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direct </w:t>
      </w:r>
      <w:r w:rsidRPr="006833CD">
        <w:rPr>
          <w:rFonts w:ascii="Times New Roman" w:hAnsi="Times New Roman"/>
          <w:bCs/>
          <w:szCs w:val="24"/>
        </w:rPr>
        <w:t xml:space="preserve">testimony.  </w:t>
      </w:r>
      <w:r w:rsidR="001E5206" w:rsidRPr="006833CD">
        <w:rPr>
          <w:rFonts w:ascii="Times New Roman" w:hAnsi="Times New Roman"/>
          <w:bCs/>
          <w:szCs w:val="24"/>
        </w:rPr>
        <w:t xml:space="preserve">The changes made to the updated versions of the decoupling studies were made for valid reasons to improve the validity and reliability of the studies and not for some sinister reason as </w:t>
      </w:r>
      <w:r w:rsidR="0030288F" w:rsidRPr="006833CD">
        <w:rPr>
          <w:rFonts w:ascii="Times New Roman" w:hAnsi="Times New Roman"/>
          <w:szCs w:val="24"/>
        </w:rPr>
        <w:t>Mr.</w:t>
      </w:r>
      <w:r w:rsidR="0030288F">
        <w:rPr>
          <w:rFonts w:ascii="Times New Roman" w:hAnsi="Times New Roman"/>
          <w:szCs w:val="24"/>
        </w:rPr>
        <w:t> </w:t>
      </w:r>
      <w:r w:rsidR="001E5206" w:rsidRPr="006833CD">
        <w:rPr>
          <w:rFonts w:ascii="Times New Roman" w:hAnsi="Times New Roman"/>
          <w:bCs/>
          <w:szCs w:val="24"/>
        </w:rPr>
        <w:t xml:space="preserve">Hill seems to </w:t>
      </w:r>
      <w:r w:rsidR="002E1D75" w:rsidRPr="006833CD">
        <w:rPr>
          <w:rFonts w:ascii="Times New Roman" w:hAnsi="Times New Roman"/>
          <w:bCs/>
          <w:szCs w:val="24"/>
        </w:rPr>
        <w:t>suggest</w:t>
      </w:r>
      <w:r w:rsidR="001E5206" w:rsidRPr="006833CD">
        <w:rPr>
          <w:rFonts w:ascii="Times New Roman" w:hAnsi="Times New Roman"/>
          <w:bCs/>
          <w:szCs w:val="24"/>
        </w:rPr>
        <w:t>.</w:t>
      </w:r>
      <w:r w:rsidR="001E5206" w:rsidRPr="006833CD">
        <w:rPr>
          <w:rStyle w:val="FootnoteReference"/>
          <w:bCs w:val="0"/>
        </w:rPr>
        <w:footnoteReference w:id="3"/>
      </w:r>
      <w:r w:rsidR="001E5206" w:rsidRPr="006833CD">
        <w:rPr>
          <w:rFonts w:ascii="Times New Roman" w:hAnsi="Times New Roman"/>
          <w:bCs/>
          <w:szCs w:val="24"/>
        </w:rPr>
        <w:t xml:space="preserve">  </w:t>
      </w:r>
      <w:r w:rsidRPr="006833CD">
        <w:rPr>
          <w:rFonts w:ascii="Times New Roman" w:hAnsi="Times New Roman"/>
          <w:bCs/>
          <w:szCs w:val="24"/>
        </w:rPr>
        <w:t xml:space="preserve">I then demonstrate that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methodology to estimate the effect of decoupling on the cost of capital is theoretically and empirically flawed.  If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had been true to his own theory, his methodology would result in an estimated reduction in the allowed return on equity </w:t>
      </w:r>
      <w:r w:rsidR="00B40ADB" w:rsidRPr="006833CD">
        <w:rPr>
          <w:rFonts w:ascii="Times New Roman" w:hAnsi="Times New Roman"/>
          <w:bCs/>
          <w:szCs w:val="24"/>
        </w:rPr>
        <w:t>of 5.29</w:t>
      </w:r>
      <w:r w:rsidR="0030288F">
        <w:rPr>
          <w:rFonts w:ascii="Times New Roman" w:hAnsi="Times New Roman"/>
          <w:bCs/>
          <w:szCs w:val="24"/>
        </w:rPr>
        <w:t> </w:t>
      </w:r>
      <w:r w:rsidR="00B40ADB" w:rsidRPr="006833CD">
        <w:rPr>
          <w:rFonts w:ascii="Times New Roman" w:hAnsi="Times New Roman"/>
          <w:bCs/>
          <w:szCs w:val="24"/>
        </w:rPr>
        <w:t xml:space="preserve">percent resulting in a net allowed </w:t>
      </w:r>
      <w:r w:rsidR="00F86940" w:rsidRPr="006833CD">
        <w:rPr>
          <w:rFonts w:ascii="Times New Roman" w:hAnsi="Times New Roman"/>
          <w:bCs/>
          <w:szCs w:val="24"/>
        </w:rPr>
        <w:t>return on equity</w:t>
      </w:r>
      <w:r w:rsidR="00B40ADB" w:rsidRPr="006833CD">
        <w:rPr>
          <w:rFonts w:ascii="Times New Roman" w:hAnsi="Times New Roman"/>
          <w:bCs/>
          <w:szCs w:val="24"/>
        </w:rPr>
        <w:t xml:space="preserve"> </w:t>
      </w:r>
      <w:r w:rsidR="00FC3F21" w:rsidRPr="006833CD">
        <w:rPr>
          <w:rFonts w:ascii="Times New Roman" w:hAnsi="Times New Roman"/>
          <w:bCs/>
          <w:szCs w:val="24"/>
        </w:rPr>
        <w:t xml:space="preserve">of about </w:t>
      </w:r>
      <w:r w:rsidR="00FC3F21" w:rsidRPr="006833CD">
        <w:rPr>
          <w:rFonts w:ascii="Times New Roman" w:hAnsi="Times New Roman"/>
          <w:bCs/>
          <w:szCs w:val="24"/>
        </w:rPr>
        <w:lastRenderedPageBreak/>
        <w:t>4.51</w:t>
      </w:r>
      <w:r w:rsidR="0030288F">
        <w:rPr>
          <w:rFonts w:ascii="Times New Roman" w:hAnsi="Times New Roman"/>
          <w:bCs/>
          <w:szCs w:val="24"/>
        </w:rPr>
        <w:t> </w:t>
      </w:r>
      <w:r w:rsidR="00FC3F21" w:rsidRPr="006833CD">
        <w:rPr>
          <w:rFonts w:ascii="Times New Roman" w:hAnsi="Times New Roman"/>
          <w:bCs/>
          <w:szCs w:val="24"/>
        </w:rPr>
        <w:t xml:space="preserve">percent which is </w:t>
      </w:r>
      <w:r w:rsidR="00B40ADB" w:rsidRPr="006833CD">
        <w:rPr>
          <w:rFonts w:ascii="Times New Roman" w:hAnsi="Times New Roman"/>
          <w:bCs/>
          <w:szCs w:val="24"/>
        </w:rPr>
        <w:t>less than the cost of debt.  This</w:t>
      </w:r>
      <w:r w:rsidR="002E1D75" w:rsidRPr="006833CD">
        <w:rPr>
          <w:rFonts w:ascii="Times New Roman" w:hAnsi="Times New Roman"/>
          <w:bCs/>
          <w:szCs w:val="24"/>
        </w:rPr>
        <w:t>,</w:t>
      </w:r>
      <w:r w:rsidR="00B40ADB" w:rsidRPr="006833CD">
        <w:rPr>
          <w:rFonts w:ascii="Times New Roman" w:hAnsi="Times New Roman"/>
          <w:bCs/>
          <w:szCs w:val="24"/>
        </w:rPr>
        <w:t xml:space="preserve"> of course</w:t>
      </w:r>
      <w:r w:rsidR="002E1D75" w:rsidRPr="006833CD">
        <w:rPr>
          <w:rFonts w:ascii="Times New Roman" w:hAnsi="Times New Roman"/>
          <w:bCs/>
          <w:szCs w:val="24"/>
        </w:rPr>
        <w:t>,</w:t>
      </w:r>
      <w:r w:rsidR="00B40ADB" w:rsidRPr="006833CD">
        <w:rPr>
          <w:rFonts w:ascii="Times New Roman" w:hAnsi="Times New Roman"/>
          <w:bCs/>
          <w:szCs w:val="24"/>
        </w:rPr>
        <w:t xml:space="preserve"> cannot be the true effect, but it demonstrates that </w:t>
      </w:r>
      <w:r w:rsidR="0030288F" w:rsidRPr="006833CD">
        <w:rPr>
          <w:rFonts w:ascii="Times New Roman" w:hAnsi="Times New Roman"/>
          <w:szCs w:val="24"/>
        </w:rPr>
        <w:t>Mr.</w:t>
      </w:r>
      <w:r w:rsidR="0030288F">
        <w:rPr>
          <w:rFonts w:ascii="Times New Roman" w:hAnsi="Times New Roman"/>
          <w:szCs w:val="24"/>
        </w:rPr>
        <w:t> </w:t>
      </w:r>
      <w:r w:rsidR="00B40ADB" w:rsidRPr="006833CD">
        <w:rPr>
          <w:rFonts w:ascii="Times New Roman" w:hAnsi="Times New Roman"/>
          <w:bCs/>
          <w:szCs w:val="24"/>
        </w:rPr>
        <w:t>Hill’s method is fatally flawed and sho</w:t>
      </w:r>
      <w:r w:rsidR="002E1D75" w:rsidRPr="006833CD">
        <w:rPr>
          <w:rFonts w:ascii="Times New Roman" w:hAnsi="Times New Roman"/>
          <w:bCs/>
          <w:szCs w:val="24"/>
        </w:rPr>
        <w:t>uld be disregarded completely.</w:t>
      </w:r>
    </w:p>
    <w:p w14:paraId="5D0AB9E6" w14:textId="74C581DC" w:rsidR="00515380" w:rsidRPr="006833CD" w:rsidRDefault="00515380" w:rsidP="00515380">
      <w:pPr>
        <w:pStyle w:val="Heading1"/>
        <w:rPr>
          <w:rFonts w:ascii="Times New Roman" w:hAnsi="Times New Roman"/>
          <w:szCs w:val="24"/>
        </w:rPr>
      </w:pPr>
      <w:bookmarkStart w:id="7" w:name="_Toc294539814"/>
      <w:bookmarkStart w:id="8" w:name="_Toc406063199"/>
      <w:bookmarkStart w:id="9" w:name="_Toc406086185"/>
      <w:bookmarkStart w:id="10" w:name="_Toc406511788"/>
      <w:bookmarkStart w:id="11" w:name="_Toc406745163"/>
      <w:r w:rsidRPr="006833CD">
        <w:rPr>
          <w:rFonts w:ascii="Times New Roman" w:hAnsi="Times New Roman"/>
          <w:szCs w:val="24"/>
        </w:rPr>
        <w:t>II.</w:t>
      </w:r>
      <w:r w:rsidRPr="006833CD">
        <w:rPr>
          <w:rFonts w:ascii="Times New Roman" w:hAnsi="Times New Roman"/>
          <w:szCs w:val="24"/>
        </w:rPr>
        <w:tab/>
      </w:r>
      <w:bookmarkEnd w:id="7"/>
      <w:r w:rsidR="00735B59" w:rsidRPr="006833CD">
        <w:rPr>
          <w:rFonts w:ascii="Times New Roman" w:hAnsi="Times New Roman"/>
          <w:snapToGrid w:val="0"/>
          <w:szCs w:val="24"/>
          <w:lang w:eastAsia="en-US"/>
        </w:rPr>
        <w:t>INTERPRETING THE RESULTS OF THE</w:t>
      </w:r>
      <w:r w:rsidR="002E1D75" w:rsidRPr="006833CD">
        <w:rPr>
          <w:rFonts w:ascii="Times New Roman" w:hAnsi="Times New Roman"/>
          <w:snapToGrid w:val="0"/>
          <w:szCs w:val="24"/>
          <w:lang w:eastAsia="en-US"/>
        </w:rPr>
        <w:br/>
      </w:r>
      <w:r w:rsidR="00735B59" w:rsidRPr="006833CD">
        <w:rPr>
          <w:rFonts w:ascii="Times New Roman" w:hAnsi="Times New Roman"/>
          <w:snapToGrid w:val="0"/>
          <w:szCs w:val="24"/>
          <w:lang w:eastAsia="en-US"/>
        </w:rPr>
        <w:t>DECOUPLING STUDIES</w:t>
      </w:r>
      <w:bookmarkEnd w:id="8"/>
      <w:bookmarkEnd w:id="9"/>
      <w:bookmarkEnd w:id="10"/>
      <w:bookmarkEnd w:id="11"/>
    </w:p>
    <w:p w14:paraId="5D0AB9E7" w14:textId="6ED4C917" w:rsidR="00515380" w:rsidRPr="006833CD" w:rsidRDefault="00515380" w:rsidP="00BC5645">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576551" w:rsidRPr="006833CD">
        <w:rPr>
          <w:rFonts w:ascii="Times New Roman" w:hAnsi="Times New Roman"/>
          <w:szCs w:val="24"/>
        </w:rPr>
        <w:t>What topics does this section of your rebuttal address?</w:t>
      </w:r>
    </w:p>
    <w:p w14:paraId="5D0AB9E8" w14:textId="7280AD33" w:rsidR="00515380" w:rsidRPr="006833CD" w:rsidRDefault="00515380" w:rsidP="003D27FA">
      <w:pPr>
        <w:pStyle w:val="answer"/>
        <w:rPr>
          <w:rFonts w:ascii="Times New Roman" w:hAnsi="Times New Roman"/>
          <w:snapToGrid w:val="0"/>
          <w:szCs w:val="24"/>
          <w:lang w:eastAsia="en-US"/>
        </w:rPr>
      </w:pPr>
      <w:r w:rsidRPr="006833CD">
        <w:rPr>
          <w:rFonts w:ascii="Times New Roman" w:hAnsi="Times New Roman"/>
          <w:snapToGrid w:val="0"/>
          <w:szCs w:val="24"/>
          <w:lang w:eastAsia="en-US"/>
        </w:rPr>
        <w:t>A.</w:t>
      </w:r>
      <w:r w:rsidRPr="006833CD">
        <w:rPr>
          <w:rFonts w:ascii="Times New Roman" w:hAnsi="Times New Roman"/>
          <w:snapToGrid w:val="0"/>
          <w:szCs w:val="24"/>
          <w:lang w:eastAsia="en-US"/>
        </w:rPr>
        <w:tab/>
      </w:r>
      <w:r w:rsidR="00576551" w:rsidRPr="006833CD">
        <w:rPr>
          <w:rFonts w:ascii="Times New Roman" w:hAnsi="Times New Roman"/>
          <w:snapToGrid w:val="0"/>
          <w:szCs w:val="24"/>
          <w:lang w:eastAsia="en-US"/>
        </w:rPr>
        <w:t>In this section of my rebuttal, I address Dr.</w:t>
      </w:r>
      <w:r w:rsidR="002E1D75" w:rsidRPr="006833CD">
        <w:rPr>
          <w:rFonts w:ascii="Times New Roman" w:hAnsi="Times New Roman"/>
          <w:snapToGrid w:val="0"/>
          <w:szCs w:val="24"/>
          <w:lang w:eastAsia="en-US"/>
        </w:rPr>
        <w:t> </w:t>
      </w:r>
      <w:r w:rsidR="00576551" w:rsidRPr="006833CD">
        <w:rPr>
          <w:rFonts w:ascii="Times New Roman" w:hAnsi="Times New Roman"/>
          <w:snapToGrid w:val="0"/>
          <w:szCs w:val="24"/>
          <w:lang w:eastAsia="en-US"/>
        </w:rPr>
        <w:t xml:space="preserve">Adolph’s testimony with a focus on why I believe that </w:t>
      </w:r>
      <w:r w:rsidR="00E905EA" w:rsidRPr="006833CD">
        <w:rPr>
          <w:rFonts w:ascii="Times New Roman" w:hAnsi="Times New Roman"/>
          <w:snapToGrid w:val="0"/>
          <w:szCs w:val="24"/>
          <w:lang w:eastAsia="en-US"/>
        </w:rPr>
        <w:t xml:space="preserve">the </w:t>
      </w:r>
      <w:r w:rsidR="00576551" w:rsidRPr="006833CD">
        <w:rPr>
          <w:rFonts w:ascii="Times New Roman" w:hAnsi="Times New Roman"/>
          <w:snapToGrid w:val="0"/>
          <w:szCs w:val="24"/>
          <w:lang w:eastAsia="en-US"/>
        </w:rPr>
        <w:t xml:space="preserve">results of </w:t>
      </w:r>
      <w:r w:rsidR="002E1D75" w:rsidRPr="006833CD">
        <w:rPr>
          <w:rFonts w:ascii="Times New Roman" w:hAnsi="Times New Roman"/>
          <w:snapToGrid w:val="0"/>
          <w:szCs w:val="24"/>
          <w:lang w:eastAsia="en-US"/>
        </w:rPr>
        <w:t>T</w:t>
      </w:r>
      <w:r w:rsidR="00576551" w:rsidRPr="006833CD">
        <w:rPr>
          <w:rFonts w:ascii="Times New Roman" w:hAnsi="Times New Roman"/>
          <w:snapToGrid w:val="0"/>
          <w:szCs w:val="24"/>
          <w:lang w:eastAsia="en-US"/>
        </w:rPr>
        <w:t>he</w:t>
      </w:r>
      <w:r w:rsidR="002E1D75" w:rsidRPr="006833CD">
        <w:rPr>
          <w:rFonts w:ascii="Times New Roman" w:hAnsi="Times New Roman"/>
          <w:snapToGrid w:val="0"/>
          <w:szCs w:val="24"/>
          <w:lang w:eastAsia="en-US"/>
        </w:rPr>
        <w:t> </w:t>
      </w:r>
      <w:r w:rsidR="00576551" w:rsidRPr="006833CD">
        <w:rPr>
          <w:rFonts w:ascii="Times New Roman" w:hAnsi="Times New Roman"/>
          <w:snapToGrid w:val="0"/>
          <w:szCs w:val="24"/>
          <w:lang w:eastAsia="en-US"/>
        </w:rPr>
        <w:t xml:space="preserve">Brattle </w:t>
      </w:r>
      <w:r w:rsidR="002E1D75" w:rsidRPr="006833CD">
        <w:rPr>
          <w:rFonts w:ascii="Times New Roman" w:hAnsi="Times New Roman"/>
          <w:snapToGrid w:val="0"/>
          <w:szCs w:val="24"/>
          <w:lang w:eastAsia="en-US"/>
        </w:rPr>
        <w:t xml:space="preserve">Group </w:t>
      </w:r>
      <w:r w:rsidR="00576551" w:rsidRPr="006833CD">
        <w:rPr>
          <w:rFonts w:ascii="Times New Roman" w:hAnsi="Times New Roman"/>
          <w:snapToGrid w:val="0"/>
          <w:szCs w:val="24"/>
          <w:lang w:eastAsia="en-US"/>
        </w:rPr>
        <w:t xml:space="preserve">decoupling studies do not support his recommendation that the </w:t>
      </w:r>
      <w:r w:rsidR="000E1508" w:rsidRPr="006833CD">
        <w:rPr>
          <w:rFonts w:ascii="Times New Roman" w:hAnsi="Times New Roman"/>
          <w:snapToGrid w:val="0"/>
          <w:szCs w:val="24"/>
          <w:lang w:eastAsia="en-US"/>
        </w:rPr>
        <w:t xml:space="preserve">studies provide “good enough” evidence that the </w:t>
      </w:r>
      <w:r w:rsidR="00576551" w:rsidRPr="006833CD">
        <w:rPr>
          <w:rFonts w:ascii="Times New Roman" w:hAnsi="Times New Roman"/>
          <w:snapToGrid w:val="0"/>
          <w:szCs w:val="24"/>
          <w:lang w:eastAsia="en-US"/>
        </w:rPr>
        <w:t xml:space="preserve">cost of capital for </w:t>
      </w:r>
      <w:r w:rsidR="002E1D75" w:rsidRPr="006833CD">
        <w:rPr>
          <w:rFonts w:ascii="Times New Roman" w:hAnsi="Times New Roman"/>
          <w:snapToGrid w:val="0"/>
          <w:szCs w:val="24"/>
          <w:lang w:eastAsia="en-US"/>
        </w:rPr>
        <w:t xml:space="preserve">PSE </w:t>
      </w:r>
      <w:r w:rsidR="00576551" w:rsidRPr="006833CD">
        <w:rPr>
          <w:rFonts w:ascii="Times New Roman" w:hAnsi="Times New Roman"/>
          <w:snapToGrid w:val="0"/>
          <w:szCs w:val="24"/>
          <w:lang w:eastAsia="en-US"/>
        </w:rPr>
        <w:t xml:space="preserve">should be reduced.  </w:t>
      </w:r>
      <w:r w:rsidR="00E905EA" w:rsidRPr="006833CD">
        <w:rPr>
          <w:rFonts w:ascii="Times New Roman" w:hAnsi="Times New Roman"/>
          <w:snapToGrid w:val="0"/>
          <w:szCs w:val="24"/>
          <w:lang w:eastAsia="en-US"/>
        </w:rPr>
        <w:t>On the contrary, the studies show that there is no statistically significant evidence that decoupling reduces the cost of capital.</w:t>
      </w:r>
    </w:p>
    <w:p w14:paraId="7A2CD470" w14:textId="7D987DD6" w:rsidR="000925A8" w:rsidRPr="006833CD" w:rsidRDefault="000925A8" w:rsidP="000925A8">
      <w:pPr>
        <w:pStyle w:val="answer"/>
        <w:ind w:firstLine="0"/>
        <w:rPr>
          <w:rFonts w:ascii="Times New Roman" w:hAnsi="Times New Roman"/>
          <w:szCs w:val="24"/>
        </w:rPr>
      </w:pPr>
      <w:r w:rsidRPr="006833CD">
        <w:rPr>
          <w:rFonts w:ascii="Times New Roman" w:hAnsi="Times New Roman"/>
          <w:szCs w:val="24"/>
        </w:rPr>
        <w:t xml:space="preserve">In order to fully respond to </w:t>
      </w:r>
      <w:r w:rsidR="00A13DFF">
        <w:rPr>
          <w:rFonts w:ascii="Times New Roman" w:hAnsi="Times New Roman"/>
          <w:szCs w:val="24"/>
        </w:rPr>
        <w:t>the</w:t>
      </w:r>
      <w:r w:rsidRPr="006833CD">
        <w:rPr>
          <w:rFonts w:ascii="Times New Roman" w:hAnsi="Times New Roman"/>
          <w:szCs w:val="24"/>
        </w:rPr>
        <w:t xml:space="preserve"> testimony of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Adolph, it is important to review the policy of decoupling and to understand the reasons why it has been adopted by state utility commissions around the country.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Adolph, by his own admission, is not an expert in the policy of decoupling, the cost of capital, financial accounting or utility accounting, and it is important to recognize his lack of substantive context on these issues when considering his views.</w:t>
      </w:r>
    </w:p>
    <w:p w14:paraId="5D0AB9E9" w14:textId="03C8111D"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925A8" w:rsidRPr="006833CD">
        <w:rPr>
          <w:rFonts w:ascii="Times New Roman" w:hAnsi="Times New Roman"/>
          <w:bCs/>
          <w:szCs w:val="24"/>
        </w:rPr>
        <w:t>Please discuss the policy of decoupling and why it was adopted</w:t>
      </w:r>
      <w:r w:rsidR="002E1D75" w:rsidRPr="006833CD">
        <w:rPr>
          <w:rFonts w:ascii="Times New Roman" w:hAnsi="Times New Roman"/>
          <w:bCs/>
          <w:szCs w:val="24"/>
        </w:rPr>
        <w:t>.</w:t>
      </w:r>
    </w:p>
    <w:p w14:paraId="6B75B08A" w14:textId="77777777" w:rsidR="003D27FA"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BC5645" w:rsidRPr="006833CD">
        <w:rPr>
          <w:rFonts w:ascii="Times New Roman" w:hAnsi="Times New Roman"/>
          <w:bCs/>
          <w:szCs w:val="24"/>
        </w:rPr>
        <w:t xml:space="preserve">In this proceeding, it is critical to keep in mind the reason that </w:t>
      </w:r>
      <w:r w:rsidR="00BC5645" w:rsidRPr="006833CD">
        <w:rPr>
          <w:rFonts w:ascii="Times New Roman" w:hAnsi="Times New Roman"/>
          <w:szCs w:val="24"/>
        </w:rPr>
        <w:t xml:space="preserve">decoupling was proposed and adopted in the first place because the original purpose of decoupling seems to get lost in the discussion of the effect of decoupling on the cost of capital.  Regulated electric and gas </w:t>
      </w:r>
      <w:r w:rsidR="00E905EA" w:rsidRPr="006833CD">
        <w:rPr>
          <w:rFonts w:ascii="Times New Roman" w:hAnsi="Times New Roman"/>
          <w:szCs w:val="24"/>
        </w:rPr>
        <w:t xml:space="preserve">local distribution </w:t>
      </w:r>
      <w:r w:rsidR="00BC5645" w:rsidRPr="006833CD">
        <w:rPr>
          <w:rFonts w:ascii="Times New Roman" w:hAnsi="Times New Roman"/>
          <w:szCs w:val="24"/>
        </w:rPr>
        <w:t xml:space="preserve">companies </w:t>
      </w:r>
      <w:r w:rsidR="00E905EA" w:rsidRPr="006833CD">
        <w:rPr>
          <w:rFonts w:ascii="Times New Roman" w:hAnsi="Times New Roman"/>
          <w:szCs w:val="24"/>
        </w:rPr>
        <w:t>(“</w:t>
      </w:r>
      <w:proofErr w:type="spellStart"/>
      <w:r w:rsidR="00E905EA" w:rsidRPr="006833CD">
        <w:rPr>
          <w:rFonts w:ascii="Times New Roman" w:hAnsi="Times New Roman"/>
          <w:szCs w:val="24"/>
        </w:rPr>
        <w:t>LDCs</w:t>
      </w:r>
      <w:proofErr w:type="spellEnd"/>
      <w:r w:rsidR="00E905EA" w:rsidRPr="006833CD">
        <w:rPr>
          <w:rFonts w:ascii="Times New Roman" w:hAnsi="Times New Roman"/>
          <w:szCs w:val="24"/>
        </w:rPr>
        <w:t xml:space="preserve">”) </w:t>
      </w:r>
      <w:r w:rsidR="00BC5645" w:rsidRPr="006833CD">
        <w:rPr>
          <w:rFonts w:ascii="Times New Roman" w:hAnsi="Times New Roman"/>
          <w:szCs w:val="24"/>
        </w:rPr>
        <w:t xml:space="preserve">recover </w:t>
      </w:r>
      <w:r w:rsidR="00BC5645" w:rsidRPr="006833CD">
        <w:rPr>
          <w:rFonts w:ascii="Times New Roman" w:hAnsi="Times New Roman"/>
          <w:szCs w:val="24"/>
        </w:rPr>
        <w:lastRenderedPageBreak/>
        <w:t>a large portion of their fixed costs through a variable charge on the amount of consumption.  In other words, the variable charge to customers is much larger than the actual variable cost of producing and transmitting another kilowatt-hour (“kWh”) of energy or million cubic feet (“</w:t>
      </w:r>
      <w:proofErr w:type="spellStart"/>
      <w:r w:rsidR="00BC5645" w:rsidRPr="006833CD">
        <w:rPr>
          <w:rFonts w:ascii="Times New Roman" w:hAnsi="Times New Roman"/>
          <w:szCs w:val="24"/>
        </w:rPr>
        <w:t>MMCF</w:t>
      </w:r>
      <w:proofErr w:type="spellEnd"/>
      <w:r w:rsidR="00BC5645" w:rsidRPr="006833CD">
        <w:rPr>
          <w:rFonts w:ascii="Times New Roman" w:hAnsi="Times New Roman"/>
          <w:szCs w:val="24"/>
        </w:rPr>
        <w:t>”) of gas.  As sales vary from the forecast used to set rates, a regulated company will over recover or under rec</w:t>
      </w:r>
      <w:r w:rsidRPr="006833CD">
        <w:rPr>
          <w:rFonts w:ascii="Times New Roman" w:hAnsi="Times New Roman"/>
          <w:szCs w:val="24"/>
        </w:rPr>
        <w:t>over its expected fixed costs.</w:t>
      </w:r>
    </w:p>
    <w:p w14:paraId="2168B147" w14:textId="77777777" w:rsidR="002E1D75" w:rsidRPr="006833CD" w:rsidRDefault="00BC5645" w:rsidP="003D27FA">
      <w:pPr>
        <w:pStyle w:val="answer"/>
        <w:ind w:firstLine="0"/>
        <w:rPr>
          <w:rFonts w:ascii="Times New Roman" w:hAnsi="Times New Roman"/>
          <w:szCs w:val="24"/>
        </w:rPr>
      </w:pPr>
      <w:r w:rsidRPr="006833CD">
        <w:rPr>
          <w:rFonts w:ascii="Times New Roman" w:hAnsi="Times New Roman"/>
          <w:szCs w:val="24"/>
        </w:rPr>
        <w:t>For a variety of reasons, regulators, environmentalists and others wished to increase the emphasis on energy efficiency, distributed generation, demand-side management</w:t>
      </w:r>
      <w:r w:rsidR="002E1D75" w:rsidRPr="006833CD">
        <w:rPr>
          <w:rFonts w:ascii="Times New Roman" w:hAnsi="Times New Roman"/>
          <w:szCs w:val="24"/>
        </w:rPr>
        <w:t>,</w:t>
      </w:r>
      <w:r w:rsidRPr="006833CD">
        <w:rPr>
          <w:rFonts w:ascii="Times New Roman" w:hAnsi="Times New Roman"/>
          <w:szCs w:val="24"/>
        </w:rPr>
        <w:t xml:space="preserve"> and other such policies designed to reduce greenhouse gas emissions, conserve energy and hopefully costs.</w:t>
      </w:r>
    </w:p>
    <w:p w14:paraId="4CB681E7" w14:textId="3A130478" w:rsidR="003D27FA" w:rsidRPr="006833CD" w:rsidRDefault="00BC5645" w:rsidP="003D27FA">
      <w:pPr>
        <w:pStyle w:val="answer"/>
        <w:ind w:firstLine="0"/>
        <w:rPr>
          <w:rFonts w:ascii="Times New Roman" w:hAnsi="Times New Roman"/>
          <w:szCs w:val="24"/>
        </w:rPr>
      </w:pPr>
      <w:r w:rsidRPr="006833CD">
        <w:rPr>
          <w:rFonts w:ascii="Times New Roman" w:hAnsi="Times New Roman"/>
          <w:szCs w:val="24"/>
        </w:rPr>
        <w:t>Regulators, of course, realized that regulated companies would not be able to fully recover their fixed costs if sales decline more than the sales forecast used to set rates</w:t>
      </w:r>
      <w:r w:rsidR="000925A8" w:rsidRPr="006833CD">
        <w:rPr>
          <w:rFonts w:ascii="Times New Roman" w:hAnsi="Times New Roman"/>
          <w:szCs w:val="24"/>
        </w:rPr>
        <w:t>, and that</w:t>
      </w:r>
      <w:r w:rsidR="00065690" w:rsidRPr="006833CD">
        <w:rPr>
          <w:rFonts w:ascii="Times New Roman" w:hAnsi="Times New Roman"/>
          <w:szCs w:val="24"/>
        </w:rPr>
        <w:t>,</w:t>
      </w:r>
      <w:r w:rsidR="000925A8" w:rsidRPr="006833CD">
        <w:rPr>
          <w:rFonts w:ascii="Times New Roman" w:hAnsi="Times New Roman"/>
          <w:szCs w:val="24"/>
        </w:rPr>
        <w:t xml:space="preserve"> </w:t>
      </w:r>
      <w:r w:rsidRPr="006833CD">
        <w:rPr>
          <w:rFonts w:ascii="Times New Roman" w:hAnsi="Times New Roman"/>
          <w:szCs w:val="24"/>
        </w:rPr>
        <w:t>if sales were greater than forecast, the utility would over recover its fixed costs.  Absent decoupling, utilities would have an incentive to increase sales</w:t>
      </w:r>
      <w:r w:rsidR="005A3D14" w:rsidRPr="006833CD">
        <w:rPr>
          <w:rFonts w:ascii="Times New Roman" w:hAnsi="Times New Roman"/>
          <w:szCs w:val="24"/>
        </w:rPr>
        <w:t xml:space="preserve"> contrary to the policy goal of reduced consumption</w:t>
      </w:r>
      <w:r w:rsidRPr="006833CD">
        <w:rPr>
          <w:rFonts w:ascii="Times New Roman" w:hAnsi="Times New Roman"/>
          <w:szCs w:val="24"/>
        </w:rPr>
        <w:t>.  In addition, in an environment with flat or falling consumption per customer, sales forecasts used to set rates become critically important</w:t>
      </w:r>
      <w:r w:rsidR="002D6565" w:rsidRPr="006833CD">
        <w:rPr>
          <w:rFonts w:ascii="Times New Roman" w:hAnsi="Times New Roman"/>
          <w:szCs w:val="24"/>
        </w:rPr>
        <w:t xml:space="preserve"> and controversial.  Errors in forecasts would potentially lead</w:t>
      </w:r>
      <w:r w:rsidRPr="006833CD">
        <w:rPr>
          <w:rFonts w:ascii="Times New Roman" w:hAnsi="Times New Roman"/>
          <w:szCs w:val="24"/>
        </w:rPr>
        <w:t xml:space="preserve"> to the increased frequency of rate cases as sales differ substantially from forecast.  Every month of sales less than forecast results in an increased loss to the regulated company.</w:t>
      </w:r>
    </w:p>
    <w:p w14:paraId="5D0AB9EC" w14:textId="65C50818" w:rsidR="00576551" w:rsidRPr="006833CD" w:rsidRDefault="00D52B39" w:rsidP="003D27FA">
      <w:pPr>
        <w:pStyle w:val="answer"/>
        <w:ind w:firstLine="0"/>
        <w:rPr>
          <w:rFonts w:ascii="Times New Roman" w:hAnsi="Times New Roman"/>
          <w:bCs/>
          <w:szCs w:val="24"/>
        </w:rPr>
      </w:pPr>
      <w:r w:rsidRPr="006833CD">
        <w:rPr>
          <w:rFonts w:ascii="Times New Roman" w:hAnsi="Times New Roman"/>
          <w:bCs/>
          <w:szCs w:val="24"/>
        </w:rPr>
        <w:t xml:space="preserve">The purpose of decoupling is to reduce the throughput incentive for a regulated company </w:t>
      </w:r>
      <w:r w:rsidR="002E1D75" w:rsidRPr="006833CD">
        <w:rPr>
          <w:rFonts w:ascii="Times New Roman" w:hAnsi="Times New Roman"/>
          <w:bCs/>
          <w:szCs w:val="24"/>
        </w:rPr>
        <w:t xml:space="preserve">that </w:t>
      </w:r>
      <w:r w:rsidRPr="006833CD">
        <w:rPr>
          <w:rFonts w:ascii="Times New Roman" w:hAnsi="Times New Roman"/>
          <w:bCs/>
          <w:szCs w:val="24"/>
        </w:rPr>
        <w:t xml:space="preserve">recovers a large portion of its fixed costs through a variable charge.  </w:t>
      </w:r>
      <w:r w:rsidRPr="006833CD">
        <w:rPr>
          <w:rFonts w:ascii="Times New Roman" w:hAnsi="Times New Roman"/>
          <w:bCs/>
          <w:szCs w:val="24"/>
        </w:rPr>
        <w:lastRenderedPageBreak/>
        <w:t xml:space="preserve">Selling more </w:t>
      </w:r>
      <w:r w:rsidR="00065690" w:rsidRPr="006833CD">
        <w:rPr>
          <w:rFonts w:ascii="Times New Roman" w:hAnsi="Times New Roman"/>
          <w:bCs/>
          <w:szCs w:val="24"/>
        </w:rPr>
        <w:t xml:space="preserve">energy </w:t>
      </w:r>
      <w:r w:rsidRPr="006833CD">
        <w:rPr>
          <w:rFonts w:ascii="Times New Roman" w:hAnsi="Times New Roman"/>
          <w:bCs/>
          <w:szCs w:val="24"/>
        </w:rPr>
        <w:t xml:space="preserve">increases the company’s profits.  </w:t>
      </w:r>
      <w:r w:rsidR="00BC5645" w:rsidRPr="006833CD">
        <w:rPr>
          <w:rFonts w:ascii="Times New Roman" w:hAnsi="Times New Roman"/>
          <w:szCs w:val="24"/>
        </w:rPr>
        <w:t xml:space="preserve">Decoupling was a policy </w:t>
      </w:r>
      <w:r w:rsidR="00264E4D" w:rsidRPr="006833CD">
        <w:rPr>
          <w:rFonts w:ascii="Times New Roman" w:hAnsi="Times New Roman"/>
          <w:szCs w:val="24"/>
        </w:rPr>
        <w:t>response to the</w:t>
      </w:r>
      <w:r w:rsidR="00BC5645" w:rsidRPr="006833CD">
        <w:rPr>
          <w:rFonts w:ascii="Times New Roman" w:hAnsi="Times New Roman"/>
          <w:szCs w:val="24"/>
        </w:rPr>
        <w:t>s</w:t>
      </w:r>
      <w:r w:rsidR="00264E4D" w:rsidRPr="006833CD">
        <w:rPr>
          <w:rFonts w:ascii="Times New Roman" w:hAnsi="Times New Roman"/>
          <w:szCs w:val="24"/>
        </w:rPr>
        <w:t>e</w:t>
      </w:r>
      <w:r w:rsidR="00BC5645" w:rsidRPr="006833CD">
        <w:rPr>
          <w:rFonts w:ascii="Times New Roman" w:hAnsi="Times New Roman"/>
          <w:szCs w:val="24"/>
        </w:rPr>
        <w:t xml:space="preserve"> and other regulatory issues.</w:t>
      </w:r>
    </w:p>
    <w:p w14:paraId="5D0AB9ED" w14:textId="6193BB33"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296D" w:rsidRPr="006833CD">
        <w:rPr>
          <w:rFonts w:ascii="Times New Roman" w:hAnsi="Times New Roman"/>
          <w:bCs/>
          <w:szCs w:val="24"/>
        </w:rPr>
        <w:t>Does decoupling provide benefits to both custom</w:t>
      </w:r>
      <w:r w:rsidR="003D27FA" w:rsidRPr="006833CD">
        <w:rPr>
          <w:rFonts w:ascii="Times New Roman" w:hAnsi="Times New Roman"/>
          <w:bCs/>
          <w:szCs w:val="24"/>
        </w:rPr>
        <w:t>ers and the regulated company?</w:t>
      </w:r>
    </w:p>
    <w:p w14:paraId="4757C184" w14:textId="2957B428" w:rsidR="00D107D5" w:rsidRPr="006833CD" w:rsidRDefault="003D27FA" w:rsidP="003D27FA">
      <w:pPr>
        <w:pStyle w:val="answer"/>
        <w:rPr>
          <w:rFonts w:ascii="Times New Roman" w:hAnsi="Times New Roman"/>
          <w:bCs/>
          <w:szCs w:val="24"/>
        </w:rPr>
      </w:pPr>
      <w:r w:rsidRPr="006833CD">
        <w:rPr>
          <w:rFonts w:ascii="Times New Roman" w:hAnsi="Times New Roman"/>
          <w:bCs/>
          <w:szCs w:val="24"/>
        </w:rPr>
        <w:t>A.</w:t>
      </w:r>
      <w:r w:rsidR="00576551" w:rsidRPr="006833CD">
        <w:rPr>
          <w:rFonts w:ascii="Times New Roman" w:hAnsi="Times New Roman"/>
          <w:bCs/>
          <w:szCs w:val="24"/>
        </w:rPr>
        <w:tab/>
      </w:r>
      <w:r w:rsidR="000E296D" w:rsidRPr="006833CD">
        <w:rPr>
          <w:rFonts w:ascii="Times New Roman" w:hAnsi="Times New Roman"/>
          <w:bCs/>
          <w:szCs w:val="24"/>
        </w:rPr>
        <w:t xml:space="preserve">Yes.  </w:t>
      </w:r>
      <w:r w:rsidR="002D6565" w:rsidRPr="006833CD">
        <w:rPr>
          <w:rFonts w:ascii="Times New Roman" w:hAnsi="Times New Roman"/>
          <w:bCs/>
          <w:szCs w:val="24"/>
        </w:rPr>
        <w:t xml:space="preserve">Contrary to </w:t>
      </w:r>
      <w:r w:rsidR="00156AC4" w:rsidRPr="006833CD">
        <w:rPr>
          <w:rFonts w:ascii="Times New Roman" w:hAnsi="Times New Roman"/>
          <w:bCs/>
          <w:szCs w:val="24"/>
        </w:rPr>
        <w:t xml:space="preserve">unsupported </w:t>
      </w:r>
      <w:r w:rsidR="002D6565" w:rsidRPr="006833CD">
        <w:rPr>
          <w:rFonts w:ascii="Times New Roman" w:hAnsi="Times New Roman"/>
          <w:bCs/>
          <w:szCs w:val="24"/>
        </w:rPr>
        <w:t>claim</w:t>
      </w:r>
      <w:r w:rsidR="00156AC4" w:rsidRPr="006833CD">
        <w:rPr>
          <w:rFonts w:ascii="Times New Roman" w:hAnsi="Times New Roman"/>
          <w:bCs/>
          <w:szCs w:val="24"/>
        </w:rPr>
        <w:t>s</w:t>
      </w:r>
      <w:r w:rsidR="002D6565" w:rsidRPr="006833CD">
        <w:rPr>
          <w:rFonts w:ascii="Times New Roman" w:hAnsi="Times New Roman"/>
          <w:bCs/>
          <w:szCs w:val="24"/>
        </w:rPr>
        <w:t xml:space="preserve"> that customers are bearing all of the risk</w:t>
      </w:r>
      <w:r w:rsidR="00156AC4" w:rsidRPr="006833CD">
        <w:rPr>
          <w:rFonts w:ascii="Times New Roman" w:hAnsi="Times New Roman"/>
          <w:bCs/>
          <w:szCs w:val="24"/>
        </w:rPr>
        <w:t>,</w:t>
      </w:r>
      <w:r w:rsidR="00E91656" w:rsidRPr="006833CD">
        <w:rPr>
          <w:rStyle w:val="FootnoteReference"/>
        </w:rPr>
        <w:footnoteReference w:id="4"/>
      </w:r>
      <w:r w:rsidR="002D6565" w:rsidRPr="006833CD">
        <w:rPr>
          <w:rFonts w:ascii="Times New Roman" w:hAnsi="Times New Roman"/>
          <w:bCs/>
          <w:szCs w:val="24"/>
        </w:rPr>
        <w:t xml:space="preserve"> d</w:t>
      </w:r>
      <w:r w:rsidR="000E296D" w:rsidRPr="006833CD">
        <w:rPr>
          <w:rFonts w:ascii="Times New Roman" w:hAnsi="Times New Roman"/>
          <w:bCs/>
          <w:szCs w:val="24"/>
        </w:rPr>
        <w:t xml:space="preserve">ecoupling </w:t>
      </w:r>
      <w:r w:rsidR="002D6565" w:rsidRPr="006833CD">
        <w:rPr>
          <w:rFonts w:ascii="Times New Roman" w:hAnsi="Times New Roman"/>
          <w:bCs/>
          <w:szCs w:val="24"/>
        </w:rPr>
        <w:t>with true</w:t>
      </w:r>
      <w:r w:rsidR="00D107D5" w:rsidRPr="006833CD">
        <w:rPr>
          <w:rFonts w:ascii="Times New Roman" w:hAnsi="Times New Roman"/>
          <w:bCs/>
          <w:szCs w:val="24"/>
        </w:rPr>
        <w:t>-</w:t>
      </w:r>
      <w:r w:rsidR="002D6565" w:rsidRPr="006833CD">
        <w:rPr>
          <w:rFonts w:ascii="Times New Roman" w:hAnsi="Times New Roman"/>
          <w:bCs/>
          <w:szCs w:val="24"/>
        </w:rPr>
        <w:t xml:space="preserve">up </w:t>
      </w:r>
      <w:r w:rsidR="000E296D" w:rsidRPr="006833CD">
        <w:rPr>
          <w:rFonts w:ascii="Times New Roman" w:hAnsi="Times New Roman"/>
          <w:bCs/>
          <w:szCs w:val="24"/>
        </w:rPr>
        <w:t xml:space="preserve">provides symmetrical benefits.  It </w:t>
      </w:r>
      <w:r w:rsidR="00D107D5" w:rsidRPr="006833CD">
        <w:rPr>
          <w:rFonts w:ascii="Times New Roman" w:hAnsi="Times New Roman"/>
          <w:bCs/>
          <w:szCs w:val="24"/>
        </w:rPr>
        <w:t>e</w:t>
      </w:r>
      <w:r w:rsidR="000E296D" w:rsidRPr="006833CD">
        <w:rPr>
          <w:rFonts w:ascii="Times New Roman" w:hAnsi="Times New Roman"/>
          <w:bCs/>
          <w:szCs w:val="24"/>
        </w:rPr>
        <w:t xml:space="preserve">nsures that customers </w:t>
      </w:r>
      <w:r w:rsidR="002D6565" w:rsidRPr="006833CD">
        <w:rPr>
          <w:rFonts w:ascii="Times New Roman" w:hAnsi="Times New Roman"/>
          <w:bCs/>
          <w:szCs w:val="24"/>
        </w:rPr>
        <w:t>are charged no more</w:t>
      </w:r>
      <w:r w:rsidR="00D107D5" w:rsidRPr="006833CD">
        <w:rPr>
          <w:rFonts w:ascii="Times New Roman" w:hAnsi="Times New Roman"/>
          <w:bCs/>
          <w:szCs w:val="24"/>
        </w:rPr>
        <w:t>—</w:t>
      </w:r>
      <w:r w:rsidR="002D6565" w:rsidRPr="006833CD">
        <w:rPr>
          <w:rFonts w:ascii="Times New Roman" w:hAnsi="Times New Roman"/>
          <w:bCs/>
          <w:szCs w:val="24"/>
        </w:rPr>
        <w:t>but also no less</w:t>
      </w:r>
      <w:r w:rsidR="00D107D5" w:rsidRPr="006833CD">
        <w:rPr>
          <w:rFonts w:ascii="Times New Roman" w:hAnsi="Times New Roman"/>
          <w:bCs/>
          <w:szCs w:val="24"/>
        </w:rPr>
        <w:t>—</w:t>
      </w:r>
      <w:r w:rsidR="002D6565" w:rsidRPr="006833CD">
        <w:rPr>
          <w:rFonts w:ascii="Times New Roman" w:hAnsi="Times New Roman"/>
          <w:bCs/>
          <w:szCs w:val="24"/>
        </w:rPr>
        <w:t>than the approved revenue requirement regardless of actual sales.  Under fair regulation, rates are set such that the regulated company would expect to recover its costs on average.</w:t>
      </w:r>
      <w:r w:rsidR="00255CF3" w:rsidRPr="006833CD">
        <w:rPr>
          <w:rFonts w:ascii="Times New Roman" w:hAnsi="Times New Roman"/>
          <w:bCs/>
          <w:szCs w:val="24"/>
        </w:rPr>
        <w:t xml:space="preserve">  If sales are greater than the forecast</w:t>
      </w:r>
      <w:r w:rsidR="002D6565" w:rsidRPr="006833CD">
        <w:rPr>
          <w:rFonts w:ascii="Times New Roman" w:hAnsi="Times New Roman"/>
          <w:bCs/>
          <w:szCs w:val="24"/>
        </w:rPr>
        <w:t xml:space="preserve"> used to set rates, the regulated company may over</w:t>
      </w:r>
      <w:r w:rsidR="00D107D5" w:rsidRPr="006833CD">
        <w:rPr>
          <w:rFonts w:ascii="Times New Roman" w:hAnsi="Times New Roman"/>
          <w:bCs/>
          <w:szCs w:val="24"/>
        </w:rPr>
        <w:t>-</w:t>
      </w:r>
      <w:r w:rsidR="002D6565" w:rsidRPr="006833CD">
        <w:rPr>
          <w:rFonts w:ascii="Times New Roman" w:hAnsi="Times New Roman"/>
          <w:bCs/>
          <w:szCs w:val="24"/>
        </w:rPr>
        <w:t>recover its costs.  If sales are less than forecast, the regulated company may under</w:t>
      </w:r>
      <w:r w:rsidR="00D107D5" w:rsidRPr="006833CD">
        <w:rPr>
          <w:rFonts w:ascii="Times New Roman" w:hAnsi="Times New Roman"/>
          <w:bCs/>
          <w:szCs w:val="24"/>
        </w:rPr>
        <w:t>-</w:t>
      </w:r>
      <w:r w:rsidR="002D6565" w:rsidRPr="006833CD">
        <w:rPr>
          <w:rFonts w:ascii="Times New Roman" w:hAnsi="Times New Roman"/>
          <w:bCs/>
          <w:szCs w:val="24"/>
        </w:rPr>
        <w:t xml:space="preserve">recover.  Decoupling with true-up </w:t>
      </w:r>
      <w:r w:rsidR="00A13DFF">
        <w:rPr>
          <w:rFonts w:ascii="Times New Roman" w:hAnsi="Times New Roman"/>
          <w:bCs/>
          <w:szCs w:val="24"/>
        </w:rPr>
        <w:t>e</w:t>
      </w:r>
      <w:r w:rsidR="002D6565" w:rsidRPr="006833CD">
        <w:rPr>
          <w:rFonts w:ascii="Times New Roman" w:hAnsi="Times New Roman"/>
          <w:bCs/>
          <w:szCs w:val="24"/>
        </w:rPr>
        <w:t>nsure</w:t>
      </w:r>
      <w:r w:rsidR="000E1508" w:rsidRPr="006833CD">
        <w:rPr>
          <w:rFonts w:ascii="Times New Roman" w:hAnsi="Times New Roman"/>
          <w:bCs/>
          <w:szCs w:val="24"/>
        </w:rPr>
        <w:t>s</w:t>
      </w:r>
      <w:r w:rsidR="002D6565" w:rsidRPr="006833CD">
        <w:rPr>
          <w:rFonts w:ascii="Times New Roman" w:hAnsi="Times New Roman"/>
          <w:bCs/>
          <w:szCs w:val="24"/>
        </w:rPr>
        <w:t xml:space="preserve"> that the regulated company recovers it forecast revenues al</w:t>
      </w:r>
      <w:r w:rsidR="000E1508" w:rsidRPr="006833CD">
        <w:rPr>
          <w:rFonts w:ascii="Times New Roman" w:hAnsi="Times New Roman"/>
          <w:bCs/>
          <w:szCs w:val="24"/>
        </w:rPr>
        <w:t xml:space="preserve">though </w:t>
      </w:r>
      <w:r w:rsidR="002D6565" w:rsidRPr="006833CD">
        <w:rPr>
          <w:rFonts w:ascii="Times New Roman" w:hAnsi="Times New Roman"/>
          <w:bCs/>
          <w:szCs w:val="24"/>
        </w:rPr>
        <w:t>there may be a lag or lead in recovery.</w:t>
      </w:r>
    </w:p>
    <w:p w14:paraId="5D0AB9EE" w14:textId="4659061A" w:rsidR="00576551" w:rsidRPr="006833CD" w:rsidRDefault="005A3D14" w:rsidP="00D107D5">
      <w:pPr>
        <w:pStyle w:val="answer"/>
        <w:ind w:firstLine="0"/>
        <w:rPr>
          <w:rFonts w:ascii="Times New Roman" w:hAnsi="Times New Roman"/>
          <w:szCs w:val="24"/>
        </w:rPr>
      </w:pPr>
      <w:r w:rsidRPr="006833CD">
        <w:rPr>
          <w:rFonts w:ascii="Times New Roman" w:hAnsi="Times New Roman"/>
          <w:bCs/>
          <w:szCs w:val="24"/>
        </w:rPr>
        <w:t>As noted above, d</w:t>
      </w:r>
      <w:r w:rsidR="00D52B39" w:rsidRPr="006833CD">
        <w:rPr>
          <w:rFonts w:ascii="Times New Roman" w:hAnsi="Times New Roman"/>
          <w:bCs/>
          <w:szCs w:val="24"/>
        </w:rPr>
        <w:t xml:space="preserve">ecoupling also </w:t>
      </w:r>
      <w:r w:rsidR="000E1508" w:rsidRPr="006833CD">
        <w:rPr>
          <w:rFonts w:ascii="Times New Roman" w:hAnsi="Times New Roman"/>
          <w:bCs/>
          <w:szCs w:val="24"/>
        </w:rPr>
        <w:t xml:space="preserve">has the additional benefit of </w:t>
      </w:r>
      <w:r w:rsidR="00D52B39" w:rsidRPr="006833CD">
        <w:rPr>
          <w:rFonts w:ascii="Times New Roman" w:hAnsi="Times New Roman"/>
          <w:bCs/>
          <w:szCs w:val="24"/>
        </w:rPr>
        <w:t>reduc</w:t>
      </w:r>
      <w:r w:rsidR="000E1508" w:rsidRPr="006833CD">
        <w:rPr>
          <w:rFonts w:ascii="Times New Roman" w:hAnsi="Times New Roman"/>
          <w:bCs/>
          <w:szCs w:val="24"/>
        </w:rPr>
        <w:t xml:space="preserve">ing </w:t>
      </w:r>
      <w:r w:rsidR="00D52B39" w:rsidRPr="006833CD">
        <w:rPr>
          <w:rFonts w:ascii="Times New Roman" w:hAnsi="Times New Roman"/>
          <w:bCs/>
          <w:szCs w:val="24"/>
        </w:rPr>
        <w:t>the controversy surrounding the estimates of expected sales used to set rates because errors in the forecast are true</w:t>
      </w:r>
      <w:r w:rsidR="000E1508" w:rsidRPr="006833CD">
        <w:rPr>
          <w:rFonts w:ascii="Times New Roman" w:hAnsi="Times New Roman"/>
          <w:bCs/>
          <w:szCs w:val="24"/>
        </w:rPr>
        <w:t>d</w:t>
      </w:r>
      <w:r w:rsidR="00D52B39" w:rsidRPr="006833CD">
        <w:rPr>
          <w:rFonts w:ascii="Times New Roman" w:hAnsi="Times New Roman"/>
          <w:bCs/>
          <w:szCs w:val="24"/>
        </w:rPr>
        <w:t>-up by the policy.</w:t>
      </w:r>
      <w:r w:rsidR="002D6565" w:rsidRPr="006833CD">
        <w:rPr>
          <w:rFonts w:ascii="Times New Roman" w:hAnsi="Times New Roman"/>
          <w:bCs/>
          <w:szCs w:val="24"/>
        </w:rPr>
        <w:t xml:space="preserve"> </w:t>
      </w:r>
      <w:r w:rsidR="00576551" w:rsidRPr="006833CD">
        <w:rPr>
          <w:rFonts w:ascii="Times New Roman" w:hAnsi="Times New Roman"/>
          <w:bCs/>
          <w:szCs w:val="24"/>
        </w:rPr>
        <w:t xml:space="preserve"> </w:t>
      </w:r>
      <w:r w:rsidR="00B10C41" w:rsidRPr="006833CD">
        <w:rPr>
          <w:rFonts w:ascii="Times New Roman" w:hAnsi="Times New Roman"/>
          <w:bCs/>
          <w:szCs w:val="24"/>
        </w:rPr>
        <w:t xml:space="preserve">Because the benefits of the policy are symmetrical and it has not been demonstrated that there is a statistically significant effect on the cost of capital, there is no need to reward customers as </w:t>
      </w:r>
      <w:r w:rsidR="0030288F" w:rsidRPr="006833CD">
        <w:rPr>
          <w:rFonts w:ascii="Times New Roman" w:hAnsi="Times New Roman"/>
          <w:szCs w:val="24"/>
        </w:rPr>
        <w:t>Mr.</w:t>
      </w:r>
      <w:r w:rsidR="0030288F">
        <w:rPr>
          <w:rFonts w:ascii="Times New Roman" w:hAnsi="Times New Roman"/>
          <w:szCs w:val="24"/>
        </w:rPr>
        <w:t> </w:t>
      </w:r>
      <w:r w:rsidR="00B10C41" w:rsidRPr="006833CD">
        <w:rPr>
          <w:rFonts w:ascii="Times New Roman" w:hAnsi="Times New Roman"/>
          <w:bCs/>
          <w:szCs w:val="24"/>
        </w:rPr>
        <w:t>Gorman suggests.</w:t>
      </w:r>
      <w:r w:rsidR="00B10C41" w:rsidRPr="006833CD">
        <w:rPr>
          <w:rStyle w:val="FootnoteReference"/>
        </w:rPr>
        <w:footnoteReference w:id="5"/>
      </w:r>
    </w:p>
    <w:p w14:paraId="5D0AB9EF" w14:textId="41978CA8"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690D90" w:rsidRPr="006833CD">
        <w:rPr>
          <w:rFonts w:ascii="Times New Roman" w:hAnsi="Times New Roman"/>
          <w:bCs/>
          <w:szCs w:val="24"/>
        </w:rPr>
        <w:t>Why is it important to review the reasons that decoup</w:t>
      </w:r>
      <w:r w:rsidR="003D27FA" w:rsidRPr="006833CD">
        <w:rPr>
          <w:rFonts w:ascii="Times New Roman" w:hAnsi="Times New Roman"/>
          <w:bCs/>
          <w:szCs w:val="24"/>
        </w:rPr>
        <w:t>ling was originally adopted?</w:t>
      </w:r>
    </w:p>
    <w:p w14:paraId="5D0AB9F0" w14:textId="14E95DBC"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341725" w:rsidRPr="006833CD">
        <w:rPr>
          <w:rFonts w:ascii="Times New Roman" w:hAnsi="Times New Roman"/>
          <w:bCs/>
          <w:szCs w:val="24"/>
        </w:rPr>
        <w:t>There seems to be a</w:t>
      </w:r>
      <w:r w:rsidR="00690D90" w:rsidRPr="006833CD">
        <w:rPr>
          <w:rFonts w:ascii="Times New Roman" w:hAnsi="Times New Roman"/>
          <w:bCs/>
          <w:szCs w:val="24"/>
        </w:rPr>
        <w:t xml:space="preserve"> (sometimes unstated) belief that if decoupling is not shown to reduce the cost of capital, it should be eliminated as a failed policy.  </w:t>
      </w:r>
      <w:r w:rsidR="00065690" w:rsidRPr="006833CD">
        <w:rPr>
          <w:rFonts w:ascii="Times New Roman" w:hAnsi="Times New Roman"/>
          <w:bCs/>
          <w:szCs w:val="24"/>
        </w:rPr>
        <w:t>The primary purpose of d</w:t>
      </w:r>
      <w:r w:rsidR="00567AEA" w:rsidRPr="006833CD">
        <w:rPr>
          <w:rFonts w:ascii="Times New Roman" w:hAnsi="Times New Roman"/>
          <w:bCs/>
          <w:szCs w:val="24"/>
        </w:rPr>
        <w:t>ecoupling is not to reduce the cost of capital</w:t>
      </w:r>
      <w:r w:rsidR="00065690" w:rsidRPr="006833CD">
        <w:rPr>
          <w:rFonts w:ascii="Times New Roman" w:hAnsi="Times New Roman"/>
          <w:bCs/>
          <w:szCs w:val="24"/>
        </w:rPr>
        <w:t>,</w:t>
      </w:r>
      <w:r w:rsidR="00567AEA" w:rsidRPr="006833CD">
        <w:rPr>
          <w:rFonts w:ascii="Times New Roman" w:hAnsi="Times New Roman"/>
          <w:bCs/>
          <w:szCs w:val="24"/>
        </w:rPr>
        <w:t xml:space="preserve"> and </w:t>
      </w:r>
      <w:r w:rsidR="00065690" w:rsidRPr="006833CD">
        <w:rPr>
          <w:rFonts w:ascii="Times New Roman" w:hAnsi="Times New Roman"/>
          <w:bCs/>
          <w:szCs w:val="24"/>
        </w:rPr>
        <w:t xml:space="preserve">decoupling </w:t>
      </w:r>
      <w:r w:rsidR="00567AEA" w:rsidRPr="006833CD">
        <w:rPr>
          <w:rFonts w:ascii="Times New Roman" w:hAnsi="Times New Roman"/>
          <w:bCs/>
          <w:szCs w:val="24"/>
        </w:rPr>
        <w:t>should not be consid</w:t>
      </w:r>
      <w:r w:rsidRPr="006833CD">
        <w:rPr>
          <w:rFonts w:ascii="Times New Roman" w:hAnsi="Times New Roman"/>
          <w:bCs/>
          <w:szCs w:val="24"/>
        </w:rPr>
        <w:t>ered a failure if it does not</w:t>
      </w:r>
      <w:r w:rsidR="00065690" w:rsidRPr="006833CD">
        <w:rPr>
          <w:rFonts w:ascii="Times New Roman" w:hAnsi="Times New Roman"/>
          <w:bCs/>
          <w:szCs w:val="24"/>
        </w:rPr>
        <w:t xml:space="preserve"> reduce the cost of capital</w:t>
      </w:r>
      <w:r w:rsidRPr="006833CD">
        <w:rPr>
          <w:rFonts w:ascii="Times New Roman" w:hAnsi="Times New Roman"/>
          <w:bCs/>
          <w:szCs w:val="24"/>
        </w:rPr>
        <w:t>.</w:t>
      </w:r>
    </w:p>
    <w:p w14:paraId="5D0AB9F1" w14:textId="0AB89AD3"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690D90" w:rsidRPr="006833CD">
        <w:rPr>
          <w:rFonts w:ascii="Times New Roman" w:hAnsi="Times New Roman"/>
          <w:szCs w:val="24"/>
        </w:rPr>
        <w:t xml:space="preserve">Why did </w:t>
      </w:r>
      <w:r w:rsidR="00D107D5" w:rsidRPr="006833CD">
        <w:rPr>
          <w:rFonts w:ascii="Times New Roman" w:hAnsi="Times New Roman"/>
          <w:szCs w:val="24"/>
        </w:rPr>
        <w:t xml:space="preserve">The </w:t>
      </w:r>
      <w:r w:rsidR="00690D90" w:rsidRPr="006833CD">
        <w:rPr>
          <w:rFonts w:ascii="Times New Roman" w:hAnsi="Times New Roman"/>
          <w:szCs w:val="24"/>
        </w:rPr>
        <w:t xml:space="preserve">Brattle </w:t>
      </w:r>
      <w:r w:rsidR="00D107D5" w:rsidRPr="006833CD">
        <w:rPr>
          <w:rFonts w:ascii="Times New Roman" w:hAnsi="Times New Roman"/>
          <w:szCs w:val="24"/>
        </w:rPr>
        <w:t xml:space="preserve">Group </w:t>
      </w:r>
      <w:r w:rsidR="00690D90" w:rsidRPr="006833CD">
        <w:rPr>
          <w:rFonts w:ascii="Times New Roman" w:hAnsi="Times New Roman"/>
          <w:szCs w:val="24"/>
        </w:rPr>
        <w:t>perform the decoupling studies reviewed by Dr.</w:t>
      </w:r>
      <w:r w:rsidR="0030288F">
        <w:rPr>
          <w:rFonts w:ascii="Times New Roman" w:hAnsi="Times New Roman"/>
          <w:szCs w:val="24"/>
        </w:rPr>
        <w:t> </w:t>
      </w:r>
      <w:r w:rsidR="00690D90" w:rsidRPr="006833CD">
        <w:rPr>
          <w:rFonts w:ascii="Times New Roman" w:hAnsi="Times New Roman"/>
          <w:szCs w:val="24"/>
        </w:rPr>
        <w:t>Adolph?</w:t>
      </w:r>
    </w:p>
    <w:p w14:paraId="5D0AB9F2" w14:textId="6B4382F6"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690D90" w:rsidRPr="006833CD">
        <w:rPr>
          <w:rFonts w:ascii="Times New Roman" w:hAnsi="Times New Roman"/>
          <w:bCs/>
          <w:szCs w:val="24"/>
        </w:rPr>
        <w:t xml:space="preserve">Members of The Brattle Group were involved in several regulatory proceedings in which the effect of decoupling on the cost of capital was an issue.  In those proceedings, </w:t>
      </w:r>
      <w:r w:rsidR="000E1508" w:rsidRPr="006833CD">
        <w:rPr>
          <w:rFonts w:ascii="Times New Roman" w:hAnsi="Times New Roman"/>
          <w:bCs/>
          <w:szCs w:val="24"/>
        </w:rPr>
        <w:t xml:space="preserve">some </w:t>
      </w:r>
      <w:r w:rsidR="00B64504" w:rsidRPr="006833CD">
        <w:rPr>
          <w:rFonts w:ascii="Times New Roman" w:hAnsi="Times New Roman"/>
          <w:bCs/>
          <w:szCs w:val="24"/>
        </w:rPr>
        <w:t>interveners</w:t>
      </w:r>
      <w:r w:rsidR="00690D90" w:rsidRPr="006833CD">
        <w:rPr>
          <w:rFonts w:ascii="Times New Roman" w:hAnsi="Times New Roman"/>
          <w:bCs/>
          <w:szCs w:val="24"/>
        </w:rPr>
        <w:t xml:space="preserve"> asserted that decoupling must reduce the cost of capital because it reduced the volatility of revenues, but</w:t>
      </w:r>
      <w:r w:rsidR="009C77F8" w:rsidRPr="006833CD">
        <w:rPr>
          <w:rFonts w:ascii="Times New Roman" w:hAnsi="Times New Roman"/>
          <w:bCs/>
          <w:szCs w:val="24"/>
        </w:rPr>
        <w:t>,</w:t>
      </w:r>
      <w:r w:rsidR="00690D90" w:rsidRPr="006833CD">
        <w:rPr>
          <w:rFonts w:ascii="Times New Roman" w:hAnsi="Times New Roman"/>
          <w:bCs/>
          <w:szCs w:val="24"/>
        </w:rPr>
        <w:t xml:space="preserve"> in </w:t>
      </w:r>
      <w:r w:rsidR="00A13DFF">
        <w:rPr>
          <w:rFonts w:ascii="Times New Roman" w:hAnsi="Times New Roman"/>
          <w:bCs/>
          <w:szCs w:val="24"/>
        </w:rPr>
        <w:t xml:space="preserve">my </w:t>
      </w:r>
      <w:r w:rsidR="00690D90" w:rsidRPr="006833CD">
        <w:rPr>
          <w:rFonts w:ascii="Times New Roman" w:hAnsi="Times New Roman"/>
          <w:bCs/>
          <w:szCs w:val="24"/>
        </w:rPr>
        <w:t>experience</w:t>
      </w:r>
      <w:r w:rsidR="009C77F8" w:rsidRPr="006833CD">
        <w:rPr>
          <w:rFonts w:ascii="Times New Roman" w:hAnsi="Times New Roman"/>
          <w:bCs/>
          <w:szCs w:val="24"/>
        </w:rPr>
        <w:t>,</w:t>
      </w:r>
      <w:r w:rsidR="00690D90" w:rsidRPr="006833CD">
        <w:rPr>
          <w:rFonts w:ascii="Times New Roman" w:hAnsi="Times New Roman"/>
          <w:bCs/>
          <w:szCs w:val="24"/>
        </w:rPr>
        <w:t xml:space="preserve"> no </w:t>
      </w:r>
      <w:r w:rsidR="00B64504" w:rsidRPr="006833CD">
        <w:rPr>
          <w:rFonts w:ascii="Times New Roman" w:hAnsi="Times New Roman"/>
          <w:bCs/>
          <w:szCs w:val="24"/>
        </w:rPr>
        <w:t>intervener</w:t>
      </w:r>
      <w:r w:rsidR="00690D90" w:rsidRPr="006833CD">
        <w:rPr>
          <w:rFonts w:ascii="Times New Roman" w:hAnsi="Times New Roman"/>
          <w:bCs/>
          <w:szCs w:val="24"/>
        </w:rPr>
        <w:t xml:space="preserve"> or company witness offered any empirical evidence to support or reject the assertion.  </w:t>
      </w:r>
      <w:r w:rsidR="000E1508" w:rsidRPr="006833CD">
        <w:rPr>
          <w:rFonts w:ascii="Times New Roman" w:hAnsi="Times New Roman"/>
          <w:bCs/>
          <w:szCs w:val="24"/>
        </w:rPr>
        <w:t xml:space="preserve">The Brattle Group’s </w:t>
      </w:r>
      <w:r w:rsidR="00690D90" w:rsidRPr="006833CD">
        <w:rPr>
          <w:rFonts w:ascii="Times New Roman" w:hAnsi="Times New Roman"/>
          <w:bCs/>
          <w:szCs w:val="24"/>
        </w:rPr>
        <w:t xml:space="preserve">first study of the effect of decoupling in the gas </w:t>
      </w:r>
      <w:proofErr w:type="spellStart"/>
      <w:r w:rsidR="00690D90" w:rsidRPr="006833CD">
        <w:rPr>
          <w:rFonts w:ascii="Times New Roman" w:hAnsi="Times New Roman"/>
          <w:bCs/>
          <w:szCs w:val="24"/>
        </w:rPr>
        <w:t>LDC</w:t>
      </w:r>
      <w:proofErr w:type="spellEnd"/>
      <w:r w:rsidR="00690D90" w:rsidRPr="006833CD">
        <w:rPr>
          <w:rFonts w:ascii="Times New Roman" w:hAnsi="Times New Roman"/>
          <w:bCs/>
          <w:szCs w:val="24"/>
        </w:rPr>
        <w:t xml:space="preserve"> industry was done to investigate the hypothesis empirically.  </w:t>
      </w:r>
      <w:r w:rsidR="00A679FE" w:rsidRPr="006833CD">
        <w:rPr>
          <w:rFonts w:ascii="Times New Roman" w:hAnsi="Times New Roman"/>
          <w:bCs/>
          <w:szCs w:val="24"/>
        </w:rPr>
        <w:t xml:space="preserve">The </w:t>
      </w:r>
      <w:r w:rsidR="003C1E9D" w:rsidRPr="006833CD">
        <w:rPr>
          <w:rFonts w:ascii="Times New Roman" w:hAnsi="Times New Roman"/>
          <w:bCs/>
          <w:szCs w:val="24"/>
        </w:rPr>
        <w:t>statistical</w:t>
      </w:r>
      <w:r w:rsidR="00A679FE" w:rsidRPr="006833CD">
        <w:rPr>
          <w:rFonts w:ascii="Times New Roman" w:hAnsi="Times New Roman"/>
          <w:bCs/>
          <w:szCs w:val="24"/>
        </w:rPr>
        <w:t xml:space="preserve"> results from the original gas </w:t>
      </w:r>
      <w:proofErr w:type="spellStart"/>
      <w:r w:rsidR="00A679FE" w:rsidRPr="006833CD">
        <w:rPr>
          <w:rFonts w:ascii="Times New Roman" w:hAnsi="Times New Roman"/>
          <w:bCs/>
          <w:szCs w:val="24"/>
        </w:rPr>
        <w:t>LDC</w:t>
      </w:r>
      <w:proofErr w:type="spellEnd"/>
      <w:r w:rsidR="00A679FE" w:rsidRPr="006833CD">
        <w:rPr>
          <w:rFonts w:ascii="Times New Roman" w:hAnsi="Times New Roman"/>
          <w:bCs/>
          <w:szCs w:val="24"/>
        </w:rPr>
        <w:t xml:space="preserve"> study did not support the hypothesis that decoupling reduced the cost of capital.</w:t>
      </w:r>
    </w:p>
    <w:p w14:paraId="5D0AB9F3" w14:textId="229EE691"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52B39" w:rsidRPr="006833CD">
        <w:rPr>
          <w:rFonts w:ascii="Times New Roman" w:hAnsi="Times New Roman"/>
          <w:bCs/>
          <w:szCs w:val="24"/>
        </w:rPr>
        <w:t xml:space="preserve">How many studies on the effect of decoupling has </w:t>
      </w:r>
      <w:r w:rsidR="009C77F8" w:rsidRPr="006833CD">
        <w:rPr>
          <w:rFonts w:ascii="Times New Roman" w:hAnsi="Times New Roman"/>
          <w:bCs/>
          <w:szCs w:val="24"/>
        </w:rPr>
        <w:t xml:space="preserve">The </w:t>
      </w:r>
      <w:r w:rsidR="00D52B39" w:rsidRPr="006833CD">
        <w:rPr>
          <w:rFonts w:ascii="Times New Roman" w:hAnsi="Times New Roman"/>
          <w:bCs/>
          <w:szCs w:val="24"/>
        </w:rPr>
        <w:t xml:space="preserve">Brattle </w:t>
      </w:r>
      <w:r w:rsidR="009C77F8" w:rsidRPr="006833CD">
        <w:rPr>
          <w:rFonts w:ascii="Times New Roman" w:hAnsi="Times New Roman"/>
          <w:bCs/>
          <w:szCs w:val="24"/>
        </w:rPr>
        <w:t>Group performed?</w:t>
      </w:r>
    </w:p>
    <w:p w14:paraId="5D0AB9F4" w14:textId="51727366"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9C77F8" w:rsidRPr="006833CD">
        <w:rPr>
          <w:rFonts w:ascii="Times New Roman" w:hAnsi="Times New Roman"/>
          <w:bCs/>
          <w:szCs w:val="24"/>
        </w:rPr>
        <w:t xml:space="preserve">The Brattle Group has </w:t>
      </w:r>
      <w:r w:rsidR="002C66F3" w:rsidRPr="006833CD">
        <w:rPr>
          <w:rFonts w:ascii="Times New Roman" w:hAnsi="Times New Roman"/>
          <w:bCs/>
          <w:szCs w:val="24"/>
        </w:rPr>
        <w:t xml:space="preserve">performed studies on two industries:  the gas </w:t>
      </w:r>
      <w:proofErr w:type="spellStart"/>
      <w:r w:rsidR="002C66F3" w:rsidRPr="006833CD">
        <w:rPr>
          <w:rFonts w:ascii="Times New Roman" w:hAnsi="Times New Roman"/>
          <w:bCs/>
          <w:szCs w:val="24"/>
        </w:rPr>
        <w:t>LDC</w:t>
      </w:r>
      <w:proofErr w:type="spellEnd"/>
      <w:r w:rsidR="002C66F3" w:rsidRPr="006833CD">
        <w:rPr>
          <w:rFonts w:ascii="Times New Roman" w:hAnsi="Times New Roman"/>
          <w:bCs/>
          <w:szCs w:val="24"/>
        </w:rPr>
        <w:t xml:space="preserve"> industry and the regulated electric utility industry.  </w:t>
      </w:r>
      <w:r w:rsidR="001D6E44" w:rsidRPr="006833CD">
        <w:rPr>
          <w:rFonts w:ascii="Times New Roman" w:hAnsi="Times New Roman"/>
          <w:bCs/>
          <w:szCs w:val="24"/>
        </w:rPr>
        <w:t xml:space="preserve">We have updated the gas </w:t>
      </w:r>
      <w:proofErr w:type="spellStart"/>
      <w:r w:rsidR="001D6E44" w:rsidRPr="006833CD">
        <w:rPr>
          <w:rFonts w:ascii="Times New Roman" w:hAnsi="Times New Roman"/>
          <w:bCs/>
          <w:szCs w:val="24"/>
        </w:rPr>
        <w:t>LDC</w:t>
      </w:r>
      <w:proofErr w:type="spellEnd"/>
      <w:r w:rsidR="001D6E44" w:rsidRPr="006833CD">
        <w:rPr>
          <w:rFonts w:ascii="Times New Roman" w:hAnsi="Times New Roman"/>
          <w:bCs/>
          <w:szCs w:val="24"/>
        </w:rPr>
        <w:t xml:space="preserve"> study several times and the electri</w:t>
      </w:r>
      <w:r w:rsidRPr="006833CD">
        <w:rPr>
          <w:rFonts w:ascii="Times New Roman" w:hAnsi="Times New Roman"/>
          <w:bCs/>
          <w:szCs w:val="24"/>
        </w:rPr>
        <w:t>c utility industry study once.</w:t>
      </w:r>
    </w:p>
    <w:p w14:paraId="5D2CFA17" w14:textId="2C83AEF3" w:rsidR="00065690" w:rsidRPr="006833CD" w:rsidRDefault="00576551" w:rsidP="00065690">
      <w:pPr>
        <w:pStyle w:val="question"/>
        <w:keepNext/>
        <w:keepLines/>
        <w:spacing w:before="120"/>
        <w:rPr>
          <w:rFonts w:ascii="Times New Roman" w:hAnsi="Times New Roman"/>
          <w:bCs/>
          <w:szCs w:val="24"/>
        </w:rPr>
      </w:pPr>
      <w:r w:rsidRPr="006833CD">
        <w:rPr>
          <w:rFonts w:ascii="Times New Roman" w:hAnsi="Times New Roman"/>
          <w:bCs/>
          <w:szCs w:val="24"/>
        </w:rPr>
        <w:lastRenderedPageBreak/>
        <w:t>Q.</w:t>
      </w:r>
      <w:r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065690" w:rsidRPr="006833CD">
        <w:rPr>
          <w:rFonts w:ascii="Times New Roman" w:hAnsi="Times New Roman"/>
          <w:bCs/>
          <w:szCs w:val="24"/>
        </w:rPr>
        <w:t>Hill has raised questions about the updates made to the natural gas and electric studies.</w:t>
      </w:r>
      <w:r w:rsidR="00065690" w:rsidRPr="006833CD">
        <w:rPr>
          <w:rStyle w:val="FootnoteReference"/>
        </w:rPr>
        <w:footnoteReference w:id="6"/>
      </w:r>
      <w:r w:rsidR="00065690" w:rsidRPr="006833CD">
        <w:rPr>
          <w:rFonts w:ascii="Times New Roman" w:hAnsi="Times New Roman"/>
          <w:bCs/>
          <w:szCs w:val="24"/>
        </w:rPr>
        <w:t xml:space="preserve">  Did you change</w:t>
      </w:r>
      <w:r w:rsidR="001D6E44" w:rsidRPr="006833CD">
        <w:rPr>
          <w:rFonts w:ascii="Times New Roman" w:hAnsi="Times New Roman"/>
          <w:bCs/>
          <w:szCs w:val="24"/>
        </w:rPr>
        <w:t xml:space="preserve"> the methodology used to estimate the effect</w:t>
      </w:r>
      <w:r w:rsidR="008F375C" w:rsidRPr="006833CD">
        <w:rPr>
          <w:rFonts w:ascii="Times New Roman" w:hAnsi="Times New Roman"/>
          <w:bCs/>
          <w:szCs w:val="24"/>
        </w:rPr>
        <w:t xml:space="preserve"> of decoupling </w:t>
      </w:r>
      <w:r w:rsidR="00065690" w:rsidRPr="006833CD">
        <w:rPr>
          <w:rFonts w:ascii="Times New Roman" w:hAnsi="Times New Roman"/>
          <w:bCs/>
          <w:szCs w:val="24"/>
        </w:rPr>
        <w:t xml:space="preserve">when you updated </w:t>
      </w:r>
      <w:r w:rsidR="008F375C" w:rsidRPr="006833CD">
        <w:rPr>
          <w:rFonts w:ascii="Times New Roman" w:hAnsi="Times New Roman"/>
          <w:bCs/>
          <w:szCs w:val="24"/>
        </w:rPr>
        <w:t>these studies?</w:t>
      </w:r>
    </w:p>
    <w:p w14:paraId="0EDBF3BD" w14:textId="592DC6D8" w:rsidR="00692D1B"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9C77F8" w:rsidRPr="006833CD">
        <w:rPr>
          <w:rFonts w:ascii="Times New Roman" w:hAnsi="Times New Roman"/>
          <w:bCs/>
          <w:szCs w:val="24"/>
        </w:rPr>
        <w:t>Yes.  Although w</w:t>
      </w:r>
      <w:r w:rsidR="001D6E44" w:rsidRPr="006833CD">
        <w:rPr>
          <w:rFonts w:ascii="Times New Roman" w:hAnsi="Times New Roman"/>
          <w:bCs/>
          <w:szCs w:val="24"/>
        </w:rPr>
        <w:t xml:space="preserve">e have used linear regression for both industries, we changed </w:t>
      </w:r>
      <w:r w:rsidR="009C77F8" w:rsidRPr="006833CD">
        <w:rPr>
          <w:rFonts w:ascii="Times New Roman" w:hAnsi="Times New Roman"/>
          <w:bCs/>
          <w:szCs w:val="24"/>
        </w:rPr>
        <w:t>(</w:t>
      </w:r>
      <w:proofErr w:type="spellStart"/>
      <w:r w:rsidR="009C77F8" w:rsidRPr="006833CD">
        <w:rPr>
          <w:rFonts w:ascii="Times New Roman" w:hAnsi="Times New Roman"/>
          <w:bCs/>
          <w:szCs w:val="24"/>
        </w:rPr>
        <w:t>i</w:t>
      </w:r>
      <w:proofErr w:type="spellEnd"/>
      <w:r w:rsidR="009C77F8" w:rsidRPr="006833CD">
        <w:rPr>
          <w:rFonts w:ascii="Times New Roman" w:hAnsi="Times New Roman"/>
          <w:bCs/>
          <w:szCs w:val="24"/>
        </w:rPr>
        <w:t>) </w:t>
      </w:r>
      <w:r w:rsidR="001D6E44" w:rsidRPr="006833CD">
        <w:rPr>
          <w:rFonts w:ascii="Times New Roman" w:hAnsi="Times New Roman"/>
          <w:bCs/>
          <w:szCs w:val="24"/>
        </w:rPr>
        <w:t>the software package used to estimate the model</w:t>
      </w:r>
      <w:r w:rsidR="00C13CEC" w:rsidRPr="006833CD">
        <w:rPr>
          <w:rFonts w:ascii="Times New Roman" w:hAnsi="Times New Roman"/>
          <w:bCs/>
          <w:szCs w:val="24"/>
        </w:rPr>
        <w:t>; (ii)</w:t>
      </w:r>
      <w:r w:rsidR="006833CD" w:rsidRPr="006833CD">
        <w:rPr>
          <w:rFonts w:ascii="Times New Roman" w:hAnsi="Times New Roman"/>
          <w:bCs/>
          <w:szCs w:val="24"/>
        </w:rPr>
        <w:t> </w:t>
      </w:r>
      <w:r w:rsidR="001D6E44" w:rsidRPr="006833CD">
        <w:rPr>
          <w:rFonts w:ascii="Times New Roman" w:hAnsi="Times New Roman"/>
          <w:bCs/>
          <w:szCs w:val="24"/>
        </w:rPr>
        <w:t xml:space="preserve">the adjustment to the error terms from the first gas </w:t>
      </w:r>
      <w:proofErr w:type="spellStart"/>
      <w:r w:rsidR="001D6E44" w:rsidRPr="006833CD">
        <w:rPr>
          <w:rFonts w:ascii="Times New Roman" w:hAnsi="Times New Roman"/>
          <w:bCs/>
          <w:szCs w:val="24"/>
        </w:rPr>
        <w:t>LDC</w:t>
      </w:r>
      <w:proofErr w:type="spellEnd"/>
      <w:r w:rsidR="001D6E44" w:rsidRPr="006833CD">
        <w:rPr>
          <w:rFonts w:ascii="Times New Roman" w:hAnsi="Times New Roman"/>
          <w:bCs/>
          <w:szCs w:val="24"/>
        </w:rPr>
        <w:t xml:space="preserve"> study</w:t>
      </w:r>
      <w:r w:rsidR="00C13CEC" w:rsidRPr="006833CD">
        <w:rPr>
          <w:rFonts w:ascii="Times New Roman" w:hAnsi="Times New Roman"/>
          <w:bCs/>
          <w:szCs w:val="24"/>
        </w:rPr>
        <w:t>; and (iii)</w:t>
      </w:r>
      <w:r w:rsidR="006833CD" w:rsidRPr="006833CD">
        <w:rPr>
          <w:rFonts w:ascii="Times New Roman" w:hAnsi="Times New Roman"/>
          <w:bCs/>
          <w:szCs w:val="24"/>
        </w:rPr>
        <w:t> </w:t>
      </w:r>
      <w:r w:rsidR="00E905EA" w:rsidRPr="006833CD">
        <w:rPr>
          <w:rFonts w:ascii="Times New Roman" w:hAnsi="Times New Roman"/>
          <w:bCs/>
          <w:szCs w:val="24"/>
        </w:rPr>
        <w:t xml:space="preserve">the </w:t>
      </w:r>
      <w:r w:rsidR="001D6E44" w:rsidRPr="006833CD">
        <w:rPr>
          <w:rFonts w:ascii="Times New Roman" w:hAnsi="Times New Roman"/>
          <w:bCs/>
          <w:szCs w:val="24"/>
        </w:rPr>
        <w:t>type</w:t>
      </w:r>
      <w:r w:rsidR="00E905EA" w:rsidRPr="006833CD">
        <w:rPr>
          <w:rFonts w:ascii="Times New Roman" w:hAnsi="Times New Roman"/>
          <w:bCs/>
          <w:szCs w:val="24"/>
        </w:rPr>
        <w:t>s</w:t>
      </w:r>
      <w:r w:rsidR="001D6E44" w:rsidRPr="006833CD">
        <w:rPr>
          <w:rFonts w:ascii="Times New Roman" w:hAnsi="Times New Roman"/>
          <w:bCs/>
          <w:szCs w:val="24"/>
        </w:rPr>
        <w:t xml:space="preserve"> of decoupling policies included in the studies.  </w:t>
      </w:r>
      <w:r w:rsidR="009C77F8" w:rsidRPr="006833CD">
        <w:rPr>
          <w:rFonts w:ascii="Times New Roman" w:hAnsi="Times New Roman"/>
          <w:bCs/>
          <w:szCs w:val="24"/>
        </w:rPr>
        <w:t xml:space="preserve">Please see </w:t>
      </w:r>
      <w:r w:rsidR="00255CF3" w:rsidRPr="006833CD">
        <w:rPr>
          <w:rFonts w:ascii="Times New Roman" w:hAnsi="Times New Roman"/>
          <w:bCs/>
          <w:szCs w:val="24"/>
        </w:rPr>
        <w:t>Exhibit No.</w:t>
      </w:r>
      <w:r w:rsidR="006833CD" w:rsidRPr="006833CD">
        <w:rPr>
          <w:rFonts w:ascii="Times New Roman" w:hAnsi="Times New Roman"/>
          <w:bCs/>
          <w:szCs w:val="24"/>
        </w:rPr>
        <w:t> </w:t>
      </w:r>
      <w:r w:rsidR="009C77F8" w:rsidRPr="006833CD">
        <w:rPr>
          <w:rFonts w:ascii="Times New Roman" w:hAnsi="Times New Roman"/>
          <w:bCs/>
          <w:szCs w:val="24"/>
        </w:rPr>
        <w:t>___(</w:t>
      </w:r>
      <w:r w:rsidR="00255CF3" w:rsidRPr="006833CD">
        <w:rPr>
          <w:rFonts w:ascii="Times New Roman" w:hAnsi="Times New Roman"/>
          <w:bCs/>
          <w:szCs w:val="24"/>
        </w:rPr>
        <w:t>MJV-</w:t>
      </w:r>
      <w:r w:rsidR="009C77F8" w:rsidRPr="006833CD">
        <w:rPr>
          <w:rFonts w:ascii="Times New Roman" w:hAnsi="Times New Roman"/>
          <w:bCs/>
          <w:szCs w:val="24"/>
        </w:rPr>
        <w:t xml:space="preserve">19), which </w:t>
      </w:r>
      <w:r w:rsidR="001D6E44" w:rsidRPr="006833CD">
        <w:rPr>
          <w:rFonts w:ascii="Times New Roman" w:hAnsi="Times New Roman"/>
          <w:bCs/>
          <w:szCs w:val="24"/>
        </w:rPr>
        <w:t>list</w:t>
      </w:r>
      <w:r w:rsidR="00255CF3" w:rsidRPr="006833CD">
        <w:rPr>
          <w:rFonts w:ascii="Times New Roman" w:hAnsi="Times New Roman"/>
          <w:bCs/>
          <w:szCs w:val="24"/>
        </w:rPr>
        <w:t>s</w:t>
      </w:r>
      <w:r w:rsidR="009C77F8" w:rsidRPr="006833CD">
        <w:rPr>
          <w:rFonts w:ascii="Times New Roman" w:hAnsi="Times New Roman"/>
          <w:bCs/>
          <w:szCs w:val="24"/>
        </w:rPr>
        <w:t xml:space="preserve"> (</w:t>
      </w:r>
      <w:r w:rsidR="00255CF3" w:rsidRPr="006833CD">
        <w:rPr>
          <w:rFonts w:ascii="Times New Roman" w:hAnsi="Times New Roman"/>
          <w:bCs/>
          <w:szCs w:val="24"/>
        </w:rPr>
        <w:t>for both studies and the updates</w:t>
      </w:r>
      <w:r w:rsidR="009C77F8" w:rsidRPr="006833CD">
        <w:rPr>
          <w:rFonts w:ascii="Times New Roman" w:hAnsi="Times New Roman"/>
          <w:bCs/>
          <w:szCs w:val="24"/>
        </w:rPr>
        <w:t>)</w:t>
      </w:r>
      <w:r w:rsidR="00255CF3" w:rsidRPr="006833CD">
        <w:rPr>
          <w:rFonts w:ascii="Times New Roman" w:hAnsi="Times New Roman"/>
          <w:bCs/>
          <w:szCs w:val="24"/>
        </w:rPr>
        <w:t xml:space="preserve"> the study period, data used to estimate the cost of capital, the sources of data regarding which subsidiaries had decoupling, and the types of decoupling analyzed.  </w:t>
      </w:r>
      <w:r w:rsidR="009C77F8" w:rsidRPr="006833CD">
        <w:rPr>
          <w:rFonts w:ascii="Times New Roman" w:hAnsi="Times New Roman"/>
          <w:bCs/>
          <w:szCs w:val="24"/>
        </w:rPr>
        <w:t xml:space="preserve">Please also see </w:t>
      </w:r>
      <w:r w:rsidR="00255CF3" w:rsidRPr="006833CD">
        <w:rPr>
          <w:rFonts w:ascii="Times New Roman" w:hAnsi="Times New Roman"/>
          <w:bCs/>
          <w:szCs w:val="24"/>
        </w:rPr>
        <w:t xml:space="preserve">Exhibit </w:t>
      </w:r>
      <w:r w:rsidR="00A84633" w:rsidRPr="006833CD">
        <w:rPr>
          <w:rFonts w:ascii="Times New Roman" w:hAnsi="Times New Roman"/>
          <w:bCs/>
          <w:szCs w:val="24"/>
        </w:rPr>
        <w:t>No. </w:t>
      </w:r>
      <w:r w:rsidR="009C77F8" w:rsidRPr="006833CD">
        <w:rPr>
          <w:rFonts w:ascii="Times New Roman" w:hAnsi="Times New Roman"/>
          <w:bCs/>
          <w:szCs w:val="24"/>
        </w:rPr>
        <w:t>___(</w:t>
      </w:r>
      <w:r w:rsidR="00255CF3" w:rsidRPr="006833CD">
        <w:rPr>
          <w:rFonts w:ascii="Times New Roman" w:hAnsi="Times New Roman"/>
          <w:bCs/>
          <w:szCs w:val="24"/>
        </w:rPr>
        <w:t>MJV-</w:t>
      </w:r>
      <w:r w:rsidR="009C77F8" w:rsidRPr="006833CD">
        <w:rPr>
          <w:rFonts w:ascii="Times New Roman" w:hAnsi="Times New Roman"/>
          <w:bCs/>
          <w:szCs w:val="24"/>
        </w:rPr>
        <w:t xml:space="preserve">20), which </w:t>
      </w:r>
      <w:r w:rsidR="00255CF3" w:rsidRPr="006833CD">
        <w:rPr>
          <w:rFonts w:ascii="Times New Roman" w:hAnsi="Times New Roman"/>
          <w:bCs/>
          <w:szCs w:val="24"/>
        </w:rPr>
        <w:t xml:space="preserve">provides information on the discounted cash flow model used, the variables included in the regressions, the scenarios considered, </w:t>
      </w:r>
      <w:r w:rsidR="00E905EA" w:rsidRPr="006833CD">
        <w:rPr>
          <w:rFonts w:ascii="Times New Roman" w:hAnsi="Times New Roman"/>
          <w:bCs/>
          <w:szCs w:val="24"/>
        </w:rPr>
        <w:t xml:space="preserve">the </w:t>
      </w:r>
      <w:r w:rsidR="00255CF3" w:rsidRPr="006833CD">
        <w:rPr>
          <w:rFonts w:ascii="Times New Roman" w:hAnsi="Times New Roman"/>
          <w:bCs/>
          <w:szCs w:val="24"/>
        </w:rPr>
        <w:t xml:space="preserve">method </w:t>
      </w:r>
      <w:r w:rsidR="00E905EA" w:rsidRPr="006833CD">
        <w:rPr>
          <w:rFonts w:ascii="Times New Roman" w:hAnsi="Times New Roman"/>
          <w:bCs/>
          <w:szCs w:val="24"/>
        </w:rPr>
        <w:t xml:space="preserve">used </w:t>
      </w:r>
      <w:r w:rsidR="00255CF3" w:rsidRPr="006833CD">
        <w:rPr>
          <w:rFonts w:ascii="Times New Roman" w:hAnsi="Times New Roman"/>
          <w:bCs/>
          <w:szCs w:val="24"/>
        </w:rPr>
        <w:t>to estimate the standard errors</w:t>
      </w:r>
      <w:r w:rsidR="009C77F8" w:rsidRPr="006833CD">
        <w:rPr>
          <w:rFonts w:ascii="Times New Roman" w:hAnsi="Times New Roman"/>
          <w:bCs/>
          <w:szCs w:val="24"/>
        </w:rPr>
        <w:t>,</w:t>
      </w:r>
      <w:r w:rsidR="00255CF3" w:rsidRPr="006833CD">
        <w:rPr>
          <w:rFonts w:ascii="Times New Roman" w:hAnsi="Times New Roman"/>
          <w:bCs/>
          <w:szCs w:val="24"/>
        </w:rPr>
        <w:t xml:space="preserve"> a</w:t>
      </w:r>
      <w:r w:rsidRPr="006833CD">
        <w:rPr>
          <w:rFonts w:ascii="Times New Roman" w:hAnsi="Times New Roman"/>
          <w:bCs/>
          <w:szCs w:val="24"/>
        </w:rPr>
        <w:t>nd the software package used.</w:t>
      </w:r>
    </w:p>
    <w:p w14:paraId="5D0AB9F9" w14:textId="532FA46B"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C2564" w:rsidRPr="006833CD">
        <w:rPr>
          <w:rFonts w:ascii="Times New Roman" w:hAnsi="Times New Roman"/>
          <w:bCs/>
          <w:szCs w:val="24"/>
        </w:rPr>
        <w:t xml:space="preserve">Why did </w:t>
      </w:r>
      <w:r w:rsidR="009C77F8" w:rsidRPr="006833CD">
        <w:rPr>
          <w:rFonts w:ascii="Times New Roman" w:hAnsi="Times New Roman"/>
          <w:bCs/>
          <w:szCs w:val="24"/>
        </w:rPr>
        <w:t xml:space="preserve">The Brattle Group </w:t>
      </w:r>
      <w:r w:rsidR="002C2564" w:rsidRPr="006833CD">
        <w:rPr>
          <w:rFonts w:ascii="Times New Roman" w:hAnsi="Times New Roman"/>
          <w:bCs/>
          <w:szCs w:val="24"/>
        </w:rPr>
        <w:t>change</w:t>
      </w:r>
      <w:r w:rsidR="003D27FA" w:rsidRPr="006833CD">
        <w:rPr>
          <w:rFonts w:ascii="Times New Roman" w:hAnsi="Times New Roman"/>
          <w:bCs/>
          <w:szCs w:val="24"/>
        </w:rPr>
        <w:t xml:space="preserve"> the data and the methodology?</w:t>
      </w:r>
    </w:p>
    <w:p w14:paraId="5D0AB9FA" w14:textId="23E64B26" w:rsidR="00690D90" w:rsidRPr="006833CD" w:rsidRDefault="003D27FA" w:rsidP="003D27FA">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C2564" w:rsidRPr="006833CD">
        <w:rPr>
          <w:rFonts w:ascii="Times New Roman" w:hAnsi="Times New Roman"/>
          <w:bCs/>
          <w:szCs w:val="24"/>
        </w:rPr>
        <w:t>Research represents learning.  As the analyses progressed</w:t>
      </w:r>
      <w:r w:rsidR="00255CF3" w:rsidRPr="006833CD">
        <w:rPr>
          <w:rFonts w:ascii="Times New Roman" w:hAnsi="Times New Roman"/>
          <w:bCs/>
          <w:szCs w:val="24"/>
        </w:rPr>
        <w:t>,</w:t>
      </w:r>
      <w:r w:rsidR="002C2564" w:rsidRPr="006833CD">
        <w:rPr>
          <w:rFonts w:ascii="Times New Roman" w:hAnsi="Times New Roman"/>
          <w:bCs/>
          <w:szCs w:val="24"/>
        </w:rPr>
        <w:t xml:space="preserve"> </w:t>
      </w:r>
      <w:r w:rsidR="009C77F8" w:rsidRPr="006833CD">
        <w:rPr>
          <w:rFonts w:ascii="Times New Roman" w:hAnsi="Times New Roman"/>
          <w:bCs/>
          <w:szCs w:val="24"/>
        </w:rPr>
        <w:t xml:space="preserve">The Brattle Group </w:t>
      </w:r>
      <w:r w:rsidR="002C2564" w:rsidRPr="006833CD">
        <w:rPr>
          <w:rFonts w:ascii="Times New Roman" w:hAnsi="Times New Roman"/>
          <w:bCs/>
          <w:szCs w:val="24"/>
        </w:rPr>
        <w:t xml:space="preserve">refined dates for release of </w:t>
      </w:r>
      <w:r w:rsidR="003C1E9D" w:rsidRPr="006833CD">
        <w:rPr>
          <w:rFonts w:ascii="Times New Roman" w:hAnsi="Times New Roman"/>
          <w:bCs/>
          <w:szCs w:val="24"/>
        </w:rPr>
        <w:t>decisions</w:t>
      </w:r>
      <w:r w:rsidR="002C2564" w:rsidRPr="006833CD">
        <w:rPr>
          <w:rFonts w:ascii="Times New Roman" w:hAnsi="Times New Roman"/>
          <w:bCs/>
          <w:szCs w:val="24"/>
        </w:rPr>
        <w:t>, updated and corrected some data points, included additional information from new information sources, used a different and more flexible software program</w:t>
      </w:r>
      <w:r w:rsidR="00007D78" w:rsidRPr="006833CD">
        <w:rPr>
          <w:rFonts w:ascii="Times New Roman" w:hAnsi="Times New Roman"/>
          <w:bCs/>
          <w:szCs w:val="24"/>
        </w:rPr>
        <w:t>,</w:t>
      </w:r>
      <w:r w:rsidR="002C2564" w:rsidRPr="006833CD">
        <w:rPr>
          <w:rFonts w:ascii="Times New Roman" w:hAnsi="Times New Roman"/>
          <w:bCs/>
          <w:szCs w:val="24"/>
        </w:rPr>
        <w:t xml:space="preserve"> improved the treatment of residuals</w:t>
      </w:r>
      <w:r w:rsidR="009C77F8" w:rsidRPr="006833CD">
        <w:rPr>
          <w:rFonts w:ascii="Times New Roman" w:hAnsi="Times New Roman"/>
          <w:bCs/>
          <w:szCs w:val="24"/>
        </w:rPr>
        <w:t>,</w:t>
      </w:r>
      <w:r w:rsidR="00007D78" w:rsidRPr="006833CD">
        <w:rPr>
          <w:rFonts w:ascii="Times New Roman" w:hAnsi="Times New Roman"/>
          <w:bCs/>
          <w:szCs w:val="24"/>
        </w:rPr>
        <w:t xml:space="preserve"> and extended the length of the study period</w:t>
      </w:r>
      <w:r w:rsidR="002C2564" w:rsidRPr="006833CD">
        <w:rPr>
          <w:rFonts w:ascii="Times New Roman" w:hAnsi="Times New Roman"/>
          <w:bCs/>
          <w:szCs w:val="24"/>
        </w:rPr>
        <w:t xml:space="preserve">.  </w:t>
      </w:r>
      <w:r w:rsidR="009C77F8" w:rsidRPr="006833CD">
        <w:rPr>
          <w:rFonts w:ascii="Times New Roman" w:hAnsi="Times New Roman"/>
          <w:bCs/>
          <w:szCs w:val="24"/>
        </w:rPr>
        <w:t>F</w:t>
      </w:r>
      <w:r w:rsidR="003C1E9D" w:rsidRPr="006833CD">
        <w:rPr>
          <w:rFonts w:ascii="Times New Roman" w:hAnsi="Times New Roman"/>
          <w:bCs/>
          <w:szCs w:val="24"/>
        </w:rPr>
        <w:t>or this proceeding</w:t>
      </w:r>
      <w:r w:rsidR="009C77F8" w:rsidRPr="006833CD">
        <w:rPr>
          <w:rFonts w:ascii="Times New Roman" w:hAnsi="Times New Roman"/>
          <w:bCs/>
          <w:szCs w:val="24"/>
        </w:rPr>
        <w:t>,</w:t>
      </w:r>
      <w:r w:rsidR="00776516" w:rsidRPr="006833CD">
        <w:rPr>
          <w:rFonts w:ascii="Times New Roman" w:hAnsi="Times New Roman"/>
          <w:bCs/>
          <w:szCs w:val="24"/>
        </w:rPr>
        <w:t xml:space="preserve"> we </w:t>
      </w:r>
      <w:r w:rsidR="009C77F8" w:rsidRPr="006833CD">
        <w:rPr>
          <w:rFonts w:ascii="Times New Roman" w:hAnsi="Times New Roman"/>
          <w:bCs/>
          <w:szCs w:val="24"/>
        </w:rPr>
        <w:t xml:space="preserve">also </w:t>
      </w:r>
      <w:r w:rsidR="00776516" w:rsidRPr="006833CD">
        <w:rPr>
          <w:rFonts w:ascii="Times New Roman" w:hAnsi="Times New Roman"/>
          <w:bCs/>
          <w:szCs w:val="24"/>
        </w:rPr>
        <w:t xml:space="preserve">sought to make the studies for the two industries compatible in terms of methodology </w:t>
      </w:r>
      <w:r w:rsidR="00007D78" w:rsidRPr="006833CD">
        <w:rPr>
          <w:rFonts w:ascii="Times New Roman" w:hAnsi="Times New Roman"/>
          <w:bCs/>
          <w:szCs w:val="24"/>
        </w:rPr>
        <w:t xml:space="preserve">and data </w:t>
      </w:r>
      <w:r w:rsidRPr="006833CD">
        <w:rPr>
          <w:rFonts w:ascii="Times New Roman" w:hAnsi="Times New Roman"/>
          <w:bCs/>
          <w:szCs w:val="24"/>
        </w:rPr>
        <w:t>to the extent possible.</w:t>
      </w:r>
    </w:p>
    <w:p w14:paraId="5D0AB9FB" w14:textId="51247037"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8F375C" w:rsidRPr="006833CD">
        <w:rPr>
          <w:rFonts w:ascii="Times New Roman" w:hAnsi="Times New Roman"/>
          <w:bCs/>
          <w:szCs w:val="24"/>
        </w:rPr>
        <w:t>Have the results changed as you</w:t>
      </w:r>
      <w:r w:rsidR="009C77F8" w:rsidRPr="006833CD">
        <w:rPr>
          <w:rFonts w:ascii="Times New Roman" w:hAnsi="Times New Roman"/>
          <w:bCs/>
          <w:szCs w:val="24"/>
        </w:rPr>
        <w:t xml:space="preserve"> have updated the two studies?</w:t>
      </w:r>
    </w:p>
    <w:p w14:paraId="57AA95A2" w14:textId="371B555E" w:rsidR="00F80EAB" w:rsidRPr="006833CD" w:rsidRDefault="003D27FA" w:rsidP="003D27FA">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8F375C" w:rsidRPr="006833CD">
        <w:rPr>
          <w:rFonts w:ascii="Times New Roman" w:hAnsi="Times New Roman"/>
          <w:bCs/>
          <w:szCs w:val="24"/>
        </w:rPr>
        <w:t>Although the basic conclusion that there is no statistically significant evidence that decoupling reduces the cost of capital</w:t>
      </w:r>
      <w:r w:rsidR="00065690" w:rsidRPr="006833CD">
        <w:rPr>
          <w:rFonts w:ascii="Times New Roman" w:hAnsi="Times New Roman"/>
          <w:bCs/>
          <w:szCs w:val="24"/>
        </w:rPr>
        <w:t xml:space="preserve"> has not changed</w:t>
      </w:r>
      <w:r w:rsidR="008F375C" w:rsidRPr="006833CD">
        <w:rPr>
          <w:rFonts w:ascii="Times New Roman" w:hAnsi="Times New Roman"/>
          <w:bCs/>
          <w:szCs w:val="24"/>
        </w:rPr>
        <w:t>, the absolute magnitude of the negative coefficient on the decoupling index</w:t>
      </w:r>
      <w:r w:rsidR="00F80EAB" w:rsidRPr="006833CD">
        <w:rPr>
          <w:rFonts w:ascii="Times New Roman" w:hAnsi="Times New Roman"/>
          <w:bCs/>
          <w:szCs w:val="24"/>
        </w:rPr>
        <w:t xml:space="preserve"> are stable in gas and</w:t>
      </w:r>
      <w:r w:rsidR="008F375C" w:rsidRPr="006833CD">
        <w:rPr>
          <w:rFonts w:ascii="Times New Roman" w:hAnsi="Times New Roman"/>
          <w:bCs/>
          <w:szCs w:val="24"/>
        </w:rPr>
        <w:t xml:space="preserve"> decrease</w:t>
      </w:r>
      <w:r w:rsidR="00F80EAB" w:rsidRPr="006833CD">
        <w:rPr>
          <w:rFonts w:ascii="Times New Roman" w:hAnsi="Times New Roman"/>
          <w:bCs/>
          <w:szCs w:val="24"/>
        </w:rPr>
        <w:t xml:space="preserve"> in absolute size for the electric</w:t>
      </w:r>
      <w:r w:rsidR="008F375C" w:rsidRPr="006833CD">
        <w:rPr>
          <w:rFonts w:ascii="Times New Roman" w:hAnsi="Times New Roman"/>
          <w:bCs/>
          <w:szCs w:val="24"/>
        </w:rPr>
        <w:t xml:space="preserve"> industr</w:t>
      </w:r>
      <w:r w:rsidR="00F80EAB" w:rsidRPr="006833CD">
        <w:rPr>
          <w:rFonts w:ascii="Times New Roman" w:hAnsi="Times New Roman"/>
          <w:bCs/>
          <w:szCs w:val="24"/>
        </w:rPr>
        <w:t>y</w:t>
      </w:r>
      <w:r w:rsidR="008F375C" w:rsidRPr="006833CD">
        <w:rPr>
          <w:rFonts w:ascii="Times New Roman" w:hAnsi="Times New Roman"/>
          <w:bCs/>
          <w:szCs w:val="24"/>
        </w:rPr>
        <w:t>.</w:t>
      </w:r>
      <w:r w:rsidR="00F80EAB" w:rsidRPr="006833CD">
        <w:rPr>
          <w:rFonts w:ascii="Times New Roman" w:hAnsi="Times New Roman"/>
          <w:bCs/>
          <w:szCs w:val="24"/>
        </w:rPr>
        <w:t xml:space="preserve">  </w:t>
      </w:r>
      <w:r w:rsidR="008F375C" w:rsidRPr="006833CD">
        <w:rPr>
          <w:rFonts w:ascii="Times New Roman" w:hAnsi="Times New Roman"/>
          <w:bCs/>
          <w:szCs w:val="24"/>
        </w:rPr>
        <w:t xml:space="preserve">The </w:t>
      </w:r>
      <w:r w:rsidR="008F375C" w:rsidRPr="006833CD">
        <w:rPr>
          <w:rFonts w:ascii="Times New Roman" w:hAnsi="Times New Roman"/>
          <w:bCs/>
          <w:i/>
          <w:szCs w:val="24"/>
        </w:rPr>
        <w:t>p</w:t>
      </w:r>
      <w:r w:rsidR="008F375C" w:rsidRPr="006833CD">
        <w:rPr>
          <w:rFonts w:ascii="Times New Roman" w:hAnsi="Times New Roman"/>
          <w:bCs/>
          <w:szCs w:val="24"/>
        </w:rPr>
        <w:t xml:space="preserve">-values are also larger.  </w:t>
      </w:r>
      <w:r w:rsidR="009C77F8" w:rsidRPr="006833CD">
        <w:rPr>
          <w:rFonts w:ascii="Times New Roman" w:hAnsi="Times New Roman"/>
          <w:bCs/>
          <w:szCs w:val="24"/>
        </w:rPr>
        <w:t xml:space="preserve">These statistical results are presented in </w:t>
      </w:r>
      <w:r w:rsidR="005B7A47" w:rsidRPr="006833CD">
        <w:rPr>
          <w:rFonts w:ascii="Times New Roman" w:hAnsi="Times New Roman"/>
          <w:bCs/>
          <w:szCs w:val="24"/>
        </w:rPr>
        <w:t>Table</w:t>
      </w:r>
      <w:r w:rsidR="009C77F8" w:rsidRPr="006833CD">
        <w:rPr>
          <w:rFonts w:ascii="Times New Roman" w:hAnsi="Times New Roman"/>
          <w:bCs/>
          <w:szCs w:val="24"/>
        </w:rPr>
        <w:t> </w:t>
      </w:r>
      <w:r w:rsidR="005B7A47" w:rsidRPr="006833CD">
        <w:rPr>
          <w:rFonts w:ascii="Times New Roman" w:hAnsi="Times New Roman"/>
          <w:bCs/>
          <w:szCs w:val="24"/>
        </w:rPr>
        <w:t>1</w:t>
      </w:r>
      <w:r w:rsidR="009C77F8" w:rsidRPr="006833CD">
        <w:rPr>
          <w:rFonts w:ascii="Times New Roman" w:hAnsi="Times New Roman"/>
          <w:bCs/>
          <w:szCs w:val="24"/>
        </w:rPr>
        <w:t xml:space="preserve"> below</w:t>
      </w:r>
      <w:r w:rsidR="001F598B" w:rsidRPr="006833CD">
        <w:rPr>
          <w:rFonts w:ascii="Times New Roman" w:hAnsi="Times New Roman"/>
          <w:szCs w:val="24"/>
        </w:rPr>
        <w:t>.</w:t>
      </w:r>
      <w:r w:rsidR="00D3351E" w:rsidRPr="006833CD">
        <w:rPr>
          <w:rFonts w:ascii="Times New Roman" w:hAnsi="Times New Roman"/>
          <w:szCs w:val="24"/>
        </w:rPr>
        <w:t xml:space="preserve">  The apparent relationship between decoupling and the cost of capital seems to be weakening with additional study.</w:t>
      </w:r>
    </w:p>
    <w:p w14:paraId="35818AD1" w14:textId="13F0AF3C" w:rsidR="00A60439" w:rsidRPr="006833CD" w:rsidRDefault="00FC3F21" w:rsidP="00E3524A">
      <w:pPr>
        <w:pStyle w:val="Caption"/>
        <w:keepNext/>
        <w:keepLines/>
        <w:suppressLineNumbers/>
        <w:spacing w:before="0" w:line="240" w:lineRule="auto"/>
        <w:ind w:left="720"/>
        <w:jc w:val="center"/>
        <w:rPr>
          <w:sz w:val="24"/>
          <w:szCs w:val="24"/>
        </w:rPr>
      </w:pPr>
      <w:r w:rsidRPr="006833CD">
        <w:rPr>
          <w:sz w:val="24"/>
          <w:szCs w:val="24"/>
        </w:rPr>
        <w:t xml:space="preserve">Table </w:t>
      </w:r>
      <w:r w:rsidR="00D846F9" w:rsidRPr="006833CD">
        <w:rPr>
          <w:noProof/>
          <w:sz w:val="24"/>
          <w:szCs w:val="24"/>
        </w:rPr>
        <w:t>1</w:t>
      </w:r>
      <w:r w:rsidR="003255A1" w:rsidRPr="006833CD">
        <w:rPr>
          <w:sz w:val="24"/>
          <w:szCs w:val="24"/>
        </w:rPr>
        <w:t xml:space="preserve">.  </w:t>
      </w:r>
      <w:r w:rsidRPr="006833CD">
        <w:rPr>
          <w:sz w:val="24"/>
          <w:szCs w:val="24"/>
        </w:rPr>
        <w:t>Tabulation of Statistical Results across Studies</w:t>
      </w:r>
      <w:r w:rsidR="00A60439" w:rsidRPr="006833CD">
        <w:rPr>
          <w:sz w:val="24"/>
          <w:szCs w:val="24"/>
        </w:rPr>
        <w:t xml:space="preserve">  </w:t>
      </w:r>
    </w:p>
    <w:tbl>
      <w:tblPr>
        <w:tblW w:w="9400" w:type="dxa"/>
        <w:tblInd w:w="93" w:type="dxa"/>
        <w:tblLook w:val="04A0" w:firstRow="1" w:lastRow="0" w:firstColumn="1" w:lastColumn="0" w:noHBand="0" w:noVBand="1"/>
      </w:tblPr>
      <w:tblGrid>
        <w:gridCol w:w="4060"/>
        <w:gridCol w:w="2300"/>
        <w:gridCol w:w="1540"/>
        <w:gridCol w:w="1500"/>
      </w:tblGrid>
      <w:tr w:rsidR="00E3524A" w:rsidRPr="00E3524A" w14:paraId="2B195CDE" w14:textId="77777777" w:rsidTr="00E3524A">
        <w:trPr>
          <w:trHeight w:val="1260"/>
        </w:trPr>
        <w:tc>
          <w:tcPr>
            <w:tcW w:w="4060" w:type="dxa"/>
            <w:tcBorders>
              <w:top w:val="nil"/>
              <w:left w:val="nil"/>
              <w:bottom w:val="nil"/>
              <w:right w:val="nil"/>
            </w:tcBorders>
            <w:shd w:val="clear" w:color="000000" w:fill="FFFFFF"/>
            <w:noWrap/>
            <w:vAlign w:val="bottom"/>
            <w:hideMark/>
          </w:tcPr>
          <w:p w14:paraId="135D5794" w14:textId="77777777" w:rsidR="00E3524A" w:rsidRPr="00E3524A" w:rsidRDefault="00E3524A" w:rsidP="00E3524A">
            <w:pPr>
              <w:keepNext/>
              <w:keepLines/>
              <w:spacing w:before="60" w:after="60" w:line="240" w:lineRule="auto"/>
              <w:ind w:firstLine="0"/>
              <w:rPr>
                <w:sz w:val="20"/>
                <w:lang w:eastAsia="en-US"/>
              </w:rPr>
            </w:pPr>
            <w:r w:rsidRPr="00E3524A">
              <w:rPr>
                <w:sz w:val="20"/>
                <w:lang w:eastAsia="en-US"/>
              </w:rPr>
              <w:t> </w:t>
            </w:r>
          </w:p>
        </w:tc>
        <w:tc>
          <w:tcPr>
            <w:tcW w:w="2300" w:type="dxa"/>
            <w:tcBorders>
              <w:top w:val="nil"/>
              <w:left w:val="nil"/>
              <w:bottom w:val="nil"/>
              <w:right w:val="nil"/>
            </w:tcBorders>
            <w:shd w:val="clear" w:color="000000" w:fill="FFFFFF"/>
            <w:vAlign w:val="bottom"/>
            <w:hideMark/>
          </w:tcPr>
          <w:p w14:paraId="7EF57DBD" w14:textId="032C7806"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Coefficient of</w:t>
            </w:r>
            <w:r>
              <w:rPr>
                <w:b/>
                <w:bCs/>
                <w:sz w:val="20"/>
                <w:lang w:eastAsia="en-US"/>
              </w:rPr>
              <w:br/>
            </w:r>
            <w:r w:rsidRPr="00E3524A">
              <w:rPr>
                <w:b/>
                <w:bCs/>
                <w:sz w:val="20"/>
                <w:lang w:eastAsia="en-US"/>
              </w:rPr>
              <w:t>Decoupling Index</w:t>
            </w:r>
            <w:r>
              <w:rPr>
                <w:b/>
                <w:bCs/>
                <w:sz w:val="20"/>
                <w:lang w:eastAsia="en-US"/>
              </w:rPr>
              <w:br/>
            </w:r>
            <w:r w:rsidRPr="00E3524A">
              <w:rPr>
                <w:b/>
                <w:bCs/>
                <w:sz w:val="20"/>
                <w:lang w:eastAsia="en-US"/>
              </w:rPr>
              <w:t>Variable</w:t>
            </w:r>
            <w:r>
              <w:rPr>
                <w:b/>
                <w:bCs/>
                <w:sz w:val="20"/>
                <w:lang w:eastAsia="en-US"/>
              </w:rPr>
              <w:br/>
            </w:r>
            <w:r w:rsidRPr="00E3524A">
              <w:rPr>
                <w:b/>
                <w:bCs/>
                <w:sz w:val="20"/>
                <w:lang w:eastAsia="en-US"/>
              </w:rPr>
              <w:t>(in basis points)</w:t>
            </w:r>
          </w:p>
        </w:tc>
        <w:tc>
          <w:tcPr>
            <w:tcW w:w="1540" w:type="dxa"/>
            <w:tcBorders>
              <w:top w:val="nil"/>
              <w:left w:val="nil"/>
              <w:bottom w:val="nil"/>
              <w:right w:val="nil"/>
            </w:tcBorders>
            <w:shd w:val="clear" w:color="000000" w:fill="FFFFFF"/>
            <w:vAlign w:val="bottom"/>
            <w:hideMark/>
          </w:tcPr>
          <w:p w14:paraId="2AE5A59C" w14:textId="19B35582"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1-tail p-value</w:t>
            </w:r>
            <w:r>
              <w:rPr>
                <w:b/>
                <w:bCs/>
                <w:sz w:val="20"/>
                <w:lang w:eastAsia="en-US"/>
              </w:rPr>
              <w:br/>
            </w:r>
            <w:r w:rsidRPr="00E3524A">
              <w:rPr>
                <w:b/>
                <w:bCs/>
                <w:sz w:val="20"/>
                <w:lang w:eastAsia="en-US"/>
              </w:rPr>
              <w:t>(should be</w:t>
            </w:r>
            <w:r>
              <w:rPr>
                <w:b/>
                <w:bCs/>
                <w:sz w:val="20"/>
                <w:lang w:eastAsia="en-US"/>
              </w:rPr>
              <w:br/>
            </w:r>
            <w:r w:rsidRPr="00E3524A">
              <w:rPr>
                <w:b/>
                <w:bCs/>
                <w:sz w:val="20"/>
                <w:lang w:eastAsia="en-US"/>
              </w:rPr>
              <w:t>&lt;= .05)</w:t>
            </w:r>
          </w:p>
        </w:tc>
        <w:tc>
          <w:tcPr>
            <w:tcW w:w="1500" w:type="dxa"/>
            <w:tcBorders>
              <w:top w:val="nil"/>
              <w:left w:val="nil"/>
              <w:bottom w:val="nil"/>
              <w:right w:val="nil"/>
            </w:tcBorders>
            <w:shd w:val="clear" w:color="000000" w:fill="FFFFFF"/>
            <w:vAlign w:val="bottom"/>
            <w:hideMark/>
          </w:tcPr>
          <w:p w14:paraId="470F255E" w14:textId="77777777"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R-Squared</w:t>
            </w:r>
          </w:p>
        </w:tc>
      </w:tr>
      <w:tr w:rsidR="00E3524A" w:rsidRPr="00E3524A" w14:paraId="02122B61" w14:textId="77777777" w:rsidTr="00E3524A">
        <w:trPr>
          <w:trHeight w:val="600"/>
        </w:trPr>
        <w:tc>
          <w:tcPr>
            <w:tcW w:w="4060" w:type="dxa"/>
            <w:tcBorders>
              <w:top w:val="nil"/>
              <w:left w:val="nil"/>
              <w:bottom w:val="nil"/>
              <w:right w:val="nil"/>
            </w:tcBorders>
            <w:shd w:val="clear" w:color="000000" w:fill="FFFFFF"/>
            <w:noWrap/>
            <w:vAlign w:val="bottom"/>
            <w:hideMark/>
          </w:tcPr>
          <w:p w14:paraId="070C82B3" w14:textId="77777777" w:rsidR="00E3524A" w:rsidRPr="00E3524A" w:rsidRDefault="00E3524A" w:rsidP="00E3524A">
            <w:pPr>
              <w:keepNext/>
              <w:keepLines/>
              <w:spacing w:before="60" w:after="60" w:line="240" w:lineRule="auto"/>
              <w:ind w:firstLine="0"/>
              <w:rPr>
                <w:b/>
                <w:bCs/>
                <w:color w:val="000000"/>
                <w:szCs w:val="24"/>
                <w:lang w:eastAsia="en-US"/>
              </w:rPr>
            </w:pPr>
            <w:r w:rsidRPr="00E3524A">
              <w:rPr>
                <w:b/>
                <w:bCs/>
                <w:color w:val="000000"/>
                <w:szCs w:val="24"/>
                <w:lang w:eastAsia="en-US"/>
              </w:rPr>
              <w:t xml:space="preserve">Gas Delivery Industry Study </w:t>
            </w:r>
          </w:p>
        </w:tc>
        <w:tc>
          <w:tcPr>
            <w:tcW w:w="2300" w:type="dxa"/>
            <w:tcBorders>
              <w:top w:val="nil"/>
              <w:left w:val="nil"/>
              <w:bottom w:val="nil"/>
              <w:right w:val="nil"/>
            </w:tcBorders>
            <w:shd w:val="clear" w:color="000000" w:fill="FFFFFF"/>
            <w:noWrap/>
            <w:vAlign w:val="bottom"/>
            <w:hideMark/>
          </w:tcPr>
          <w:p w14:paraId="05FEBC89"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[A]</w:t>
            </w:r>
          </w:p>
        </w:tc>
        <w:tc>
          <w:tcPr>
            <w:tcW w:w="1540" w:type="dxa"/>
            <w:tcBorders>
              <w:top w:val="nil"/>
              <w:left w:val="nil"/>
              <w:bottom w:val="nil"/>
              <w:right w:val="nil"/>
            </w:tcBorders>
            <w:shd w:val="clear" w:color="000000" w:fill="FFFFFF"/>
            <w:noWrap/>
            <w:vAlign w:val="bottom"/>
            <w:hideMark/>
          </w:tcPr>
          <w:p w14:paraId="18938D64"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[B]</w:t>
            </w:r>
          </w:p>
        </w:tc>
        <w:tc>
          <w:tcPr>
            <w:tcW w:w="1500" w:type="dxa"/>
            <w:tcBorders>
              <w:top w:val="nil"/>
              <w:left w:val="nil"/>
              <w:bottom w:val="nil"/>
              <w:right w:val="nil"/>
            </w:tcBorders>
            <w:shd w:val="clear" w:color="000000" w:fill="FFFFFF"/>
            <w:noWrap/>
            <w:vAlign w:val="bottom"/>
            <w:hideMark/>
          </w:tcPr>
          <w:p w14:paraId="6FA402F4"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[C]</w:t>
            </w:r>
          </w:p>
        </w:tc>
      </w:tr>
      <w:tr w:rsidR="00E3524A" w:rsidRPr="00E3524A" w14:paraId="6B5DEE12" w14:textId="77777777" w:rsidTr="00E3524A">
        <w:trPr>
          <w:trHeight w:val="732"/>
        </w:trPr>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6C889" w14:textId="77777777" w:rsidR="00E3524A" w:rsidRPr="00E3524A" w:rsidRDefault="00E3524A" w:rsidP="00E3524A">
            <w:pPr>
              <w:keepNext/>
              <w:keepLines/>
              <w:spacing w:before="60" w:after="60" w:line="240" w:lineRule="auto"/>
              <w:ind w:firstLine="0"/>
              <w:rPr>
                <w:b/>
                <w:bCs/>
                <w:color w:val="000000"/>
                <w:sz w:val="20"/>
                <w:lang w:eastAsia="en-US"/>
              </w:rPr>
            </w:pPr>
            <w:r w:rsidRPr="00E3524A">
              <w:rPr>
                <w:b/>
                <w:bCs/>
                <w:color w:val="000000"/>
                <w:sz w:val="20"/>
                <w:lang w:eastAsia="en-US"/>
              </w:rPr>
              <w:t>Published Brattle Report - Amended June 2012, Original March 2011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14:paraId="1B17EE44"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-8.6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01C5D8E"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0.212</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B3DC290"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0.89</w:t>
            </w:r>
          </w:p>
        </w:tc>
      </w:tr>
      <w:tr w:rsidR="00E3524A" w:rsidRPr="00E3524A" w14:paraId="3EC701C5" w14:textId="77777777" w:rsidTr="00E3524A">
        <w:trPr>
          <w:trHeight w:val="1118"/>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D831603"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 xml:space="preserve">Updated for the Puget filing in </w:t>
            </w:r>
            <w:proofErr w:type="spellStart"/>
            <w:r w:rsidRPr="00E3524A">
              <w:rPr>
                <w:b/>
                <w:bCs/>
                <w:color w:val="000000"/>
                <w:sz w:val="20"/>
                <w:lang w:eastAsia="en-US"/>
              </w:rPr>
              <w:t>WUTC</w:t>
            </w:r>
            <w:proofErr w:type="spellEnd"/>
            <w:r w:rsidRPr="00E3524A">
              <w:rPr>
                <w:b/>
                <w:bCs/>
                <w:color w:val="000000"/>
                <w:sz w:val="20"/>
                <w:lang w:eastAsia="en-US"/>
              </w:rPr>
              <w:t xml:space="preserve"> Docket No. UE-121697 and UG-130138 - October 2014</w:t>
            </w:r>
          </w:p>
        </w:tc>
        <w:tc>
          <w:tcPr>
            <w:tcW w:w="2300" w:type="dxa"/>
            <w:tcBorders>
              <w:top w:val="nil"/>
              <w:left w:val="nil"/>
              <w:bottom w:val="single" w:sz="4" w:space="0" w:color="auto"/>
              <w:right w:val="single" w:sz="4" w:space="0" w:color="auto"/>
            </w:tcBorders>
            <w:shd w:val="clear" w:color="000000" w:fill="FFFFFF"/>
            <w:vAlign w:val="center"/>
            <w:hideMark/>
          </w:tcPr>
          <w:p w14:paraId="78F03319"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-8.7</w:t>
            </w:r>
          </w:p>
        </w:tc>
        <w:tc>
          <w:tcPr>
            <w:tcW w:w="1540" w:type="dxa"/>
            <w:tcBorders>
              <w:top w:val="nil"/>
              <w:left w:val="nil"/>
              <w:bottom w:val="single" w:sz="4" w:space="0" w:color="auto"/>
              <w:right w:val="single" w:sz="4" w:space="0" w:color="auto"/>
            </w:tcBorders>
            <w:shd w:val="clear" w:color="000000" w:fill="FFFFFF"/>
            <w:vAlign w:val="center"/>
            <w:hideMark/>
          </w:tcPr>
          <w:p w14:paraId="31E54742"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0.373</w:t>
            </w:r>
          </w:p>
        </w:tc>
        <w:tc>
          <w:tcPr>
            <w:tcW w:w="1500" w:type="dxa"/>
            <w:tcBorders>
              <w:top w:val="nil"/>
              <w:left w:val="nil"/>
              <w:bottom w:val="single" w:sz="4" w:space="0" w:color="auto"/>
              <w:right w:val="single" w:sz="4" w:space="0" w:color="auto"/>
            </w:tcBorders>
            <w:shd w:val="clear" w:color="000000" w:fill="FFFFFF"/>
            <w:vAlign w:val="center"/>
            <w:hideMark/>
          </w:tcPr>
          <w:p w14:paraId="43EB8E83"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0.81</w:t>
            </w:r>
          </w:p>
        </w:tc>
      </w:tr>
      <w:tr w:rsidR="00E3524A" w:rsidRPr="00E3524A" w14:paraId="57BB4065" w14:textId="77777777" w:rsidTr="00E3524A">
        <w:trPr>
          <w:trHeight w:val="375"/>
        </w:trPr>
        <w:tc>
          <w:tcPr>
            <w:tcW w:w="4060" w:type="dxa"/>
            <w:tcBorders>
              <w:top w:val="nil"/>
              <w:left w:val="nil"/>
              <w:bottom w:val="nil"/>
              <w:right w:val="nil"/>
            </w:tcBorders>
            <w:shd w:val="clear" w:color="000000" w:fill="FFFFFF"/>
            <w:noWrap/>
            <w:vAlign w:val="bottom"/>
            <w:hideMark/>
          </w:tcPr>
          <w:p w14:paraId="739BB5A9"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 </w:t>
            </w:r>
          </w:p>
        </w:tc>
        <w:tc>
          <w:tcPr>
            <w:tcW w:w="2300" w:type="dxa"/>
            <w:tcBorders>
              <w:top w:val="nil"/>
              <w:left w:val="nil"/>
              <w:bottom w:val="nil"/>
              <w:right w:val="nil"/>
            </w:tcBorders>
            <w:shd w:val="clear" w:color="000000" w:fill="FFFFFF"/>
            <w:noWrap/>
            <w:vAlign w:val="bottom"/>
            <w:hideMark/>
          </w:tcPr>
          <w:p w14:paraId="3794FF18"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40" w:type="dxa"/>
            <w:tcBorders>
              <w:top w:val="nil"/>
              <w:left w:val="nil"/>
              <w:bottom w:val="nil"/>
              <w:right w:val="nil"/>
            </w:tcBorders>
            <w:shd w:val="clear" w:color="000000" w:fill="FFFFFF"/>
            <w:noWrap/>
            <w:vAlign w:val="bottom"/>
            <w:hideMark/>
          </w:tcPr>
          <w:p w14:paraId="6A0B085E"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00" w:type="dxa"/>
            <w:tcBorders>
              <w:top w:val="nil"/>
              <w:left w:val="nil"/>
              <w:bottom w:val="nil"/>
              <w:right w:val="nil"/>
            </w:tcBorders>
            <w:shd w:val="clear" w:color="000000" w:fill="FFFFFF"/>
            <w:noWrap/>
            <w:vAlign w:val="bottom"/>
            <w:hideMark/>
          </w:tcPr>
          <w:p w14:paraId="444CF762"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r>
      <w:tr w:rsidR="00E3524A" w:rsidRPr="00E3524A" w14:paraId="0C3930AC" w14:textId="77777777" w:rsidTr="00E3524A">
        <w:trPr>
          <w:trHeight w:val="375"/>
        </w:trPr>
        <w:tc>
          <w:tcPr>
            <w:tcW w:w="4060" w:type="dxa"/>
            <w:tcBorders>
              <w:top w:val="nil"/>
              <w:left w:val="nil"/>
              <w:bottom w:val="nil"/>
              <w:right w:val="nil"/>
            </w:tcBorders>
            <w:shd w:val="clear" w:color="000000" w:fill="FFFFFF"/>
            <w:noWrap/>
            <w:vAlign w:val="bottom"/>
            <w:hideMark/>
          </w:tcPr>
          <w:p w14:paraId="45A23BB5" w14:textId="77777777" w:rsidR="00E3524A" w:rsidRPr="00E3524A" w:rsidRDefault="00E3524A" w:rsidP="00E3524A">
            <w:pPr>
              <w:keepNext/>
              <w:keepLines/>
              <w:spacing w:beforeLines="60" w:before="144" w:afterLines="60" w:after="144" w:line="240" w:lineRule="auto"/>
              <w:ind w:firstLine="0"/>
              <w:rPr>
                <w:b/>
                <w:bCs/>
                <w:color w:val="000000"/>
                <w:szCs w:val="24"/>
                <w:lang w:eastAsia="en-US"/>
              </w:rPr>
            </w:pPr>
            <w:r w:rsidRPr="00E3524A">
              <w:rPr>
                <w:b/>
                <w:bCs/>
                <w:color w:val="000000"/>
                <w:szCs w:val="24"/>
                <w:lang w:eastAsia="en-US"/>
              </w:rPr>
              <w:t>Electric Industry Study</w:t>
            </w:r>
          </w:p>
        </w:tc>
        <w:tc>
          <w:tcPr>
            <w:tcW w:w="2300" w:type="dxa"/>
            <w:tcBorders>
              <w:top w:val="nil"/>
              <w:left w:val="nil"/>
              <w:bottom w:val="nil"/>
              <w:right w:val="nil"/>
            </w:tcBorders>
            <w:shd w:val="clear" w:color="000000" w:fill="FFFFFF"/>
            <w:noWrap/>
            <w:vAlign w:val="bottom"/>
            <w:hideMark/>
          </w:tcPr>
          <w:p w14:paraId="7BD9607F"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40" w:type="dxa"/>
            <w:tcBorders>
              <w:top w:val="nil"/>
              <w:left w:val="nil"/>
              <w:bottom w:val="nil"/>
              <w:right w:val="nil"/>
            </w:tcBorders>
            <w:shd w:val="clear" w:color="000000" w:fill="FFFFFF"/>
            <w:noWrap/>
            <w:vAlign w:val="bottom"/>
            <w:hideMark/>
          </w:tcPr>
          <w:p w14:paraId="5D57EEDB"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00" w:type="dxa"/>
            <w:tcBorders>
              <w:top w:val="nil"/>
              <w:left w:val="nil"/>
              <w:bottom w:val="nil"/>
              <w:right w:val="nil"/>
            </w:tcBorders>
            <w:shd w:val="clear" w:color="000000" w:fill="FFFFFF"/>
            <w:noWrap/>
            <w:vAlign w:val="bottom"/>
            <w:hideMark/>
          </w:tcPr>
          <w:p w14:paraId="11733807"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r>
      <w:tr w:rsidR="00E3524A" w:rsidRPr="00E3524A" w14:paraId="3FACD9DA" w14:textId="77777777" w:rsidTr="00E3524A">
        <w:trPr>
          <w:trHeight w:val="623"/>
        </w:trPr>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CFEF2"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Published Brattle Report - March 2014</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14:paraId="529D2FD4"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-40.8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340AE68"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0.140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136FB62F"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0.68</w:t>
            </w:r>
          </w:p>
        </w:tc>
      </w:tr>
      <w:tr w:rsidR="00E3524A" w:rsidRPr="00E3524A" w14:paraId="48D046E8" w14:textId="77777777" w:rsidTr="00E3524A">
        <w:trPr>
          <w:trHeight w:val="972"/>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652E638C" w14:textId="77777777" w:rsidR="00E3524A" w:rsidRPr="00E3524A" w:rsidRDefault="00E3524A" w:rsidP="00E3524A">
            <w:pPr>
              <w:spacing w:beforeLines="60" w:before="144" w:afterLines="60" w:after="144" w:line="240" w:lineRule="auto"/>
              <w:ind w:firstLine="0"/>
              <w:rPr>
                <w:b/>
                <w:bCs/>
                <w:color w:val="000000"/>
                <w:sz w:val="20"/>
                <w:lang w:eastAsia="en-US"/>
              </w:rPr>
            </w:pPr>
            <w:r w:rsidRPr="00E3524A">
              <w:rPr>
                <w:b/>
                <w:bCs/>
                <w:color w:val="000000"/>
                <w:sz w:val="20"/>
                <w:lang w:eastAsia="en-US"/>
              </w:rPr>
              <w:t xml:space="preserve">Updated for the Puget filing in </w:t>
            </w:r>
            <w:proofErr w:type="spellStart"/>
            <w:r w:rsidRPr="00E3524A">
              <w:rPr>
                <w:b/>
                <w:bCs/>
                <w:color w:val="000000"/>
                <w:sz w:val="20"/>
                <w:lang w:eastAsia="en-US"/>
              </w:rPr>
              <w:t>WUTC</w:t>
            </w:r>
            <w:proofErr w:type="spellEnd"/>
            <w:r w:rsidRPr="00E3524A">
              <w:rPr>
                <w:b/>
                <w:bCs/>
                <w:color w:val="000000"/>
                <w:sz w:val="20"/>
                <w:lang w:eastAsia="en-US"/>
              </w:rPr>
              <w:t xml:space="preserve"> Docket No. UE-121697 and UG-130138 - October 2014</w:t>
            </w:r>
          </w:p>
        </w:tc>
        <w:tc>
          <w:tcPr>
            <w:tcW w:w="2300" w:type="dxa"/>
            <w:tcBorders>
              <w:top w:val="nil"/>
              <w:left w:val="nil"/>
              <w:bottom w:val="single" w:sz="4" w:space="0" w:color="auto"/>
              <w:right w:val="single" w:sz="4" w:space="0" w:color="auto"/>
            </w:tcBorders>
            <w:shd w:val="clear" w:color="000000" w:fill="FFFFFF"/>
            <w:vAlign w:val="center"/>
            <w:hideMark/>
          </w:tcPr>
          <w:p w14:paraId="3FADEC84"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-25.7</w:t>
            </w:r>
          </w:p>
        </w:tc>
        <w:tc>
          <w:tcPr>
            <w:tcW w:w="1540" w:type="dxa"/>
            <w:tcBorders>
              <w:top w:val="nil"/>
              <w:left w:val="nil"/>
              <w:bottom w:val="single" w:sz="4" w:space="0" w:color="auto"/>
              <w:right w:val="single" w:sz="4" w:space="0" w:color="auto"/>
            </w:tcBorders>
            <w:shd w:val="clear" w:color="000000" w:fill="FFFFFF"/>
            <w:vAlign w:val="center"/>
            <w:hideMark/>
          </w:tcPr>
          <w:p w14:paraId="0E576B0F"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0.173</w:t>
            </w:r>
          </w:p>
        </w:tc>
        <w:tc>
          <w:tcPr>
            <w:tcW w:w="1500" w:type="dxa"/>
            <w:tcBorders>
              <w:top w:val="nil"/>
              <w:left w:val="nil"/>
              <w:bottom w:val="single" w:sz="4" w:space="0" w:color="auto"/>
              <w:right w:val="single" w:sz="4" w:space="0" w:color="auto"/>
            </w:tcBorders>
            <w:shd w:val="clear" w:color="000000" w:fill="FFFFFF"/>
            <w:vAlign w:val="center"/>
            <w:hideMark/>
          </w:tcPr>
          <w:p w14:paraId="4AB2CF87"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0.78</w:t>
            </w:r>
          </w:p>
        </w:tc>
      </w:tr>
    </w:tbl>
    <w:p w14:paraId="5D0AB9FD" w14:textId="1DB616BA" w:rsidR="00690D90" w:rsidRPr="006833CD" w:rsidRDefault="00690D90" w:rsidP="00065690">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180E3A" w:rsidRPr="006833CD">
        <w:rPr>
          <w:rFonts w:ascii="Times New Roman" w:hAnsi="Times New Roman"/>
          <w:bCs/>
          <w:szCs w:val="24"/>
        </w:rPr>
        <w:t xml:space="preserve">Which of </w:t>
      </w:r>
      <w:r w:rsidR="009C77F8" w:rsidRPr="006833CD">
        <w:rPr>
          <w:rFonts w:ascii="Times New Roman" w:hAnsi="Times New Roman"/>
          <w:bCs/>
          <w:szCs w:val="24"/>
        </w:rPr>
        <w:t>T</w:t>
      </w:r>
      <w:r w:rsidR="00180E3A" w:rsidRPr="006833CD">
        <w:rPr>
          <w:rFonts w:ascii="Times New Roman" w:hAnsi="Times New Roman"/>
          <w:bCs/>
          <w:szCs w:val="24"/>
        </w:rPr>
        <w:t xml:space="preserve">he Brattle </w:t>
      </w:r>
      <w:r w:rsidR="009C77F8" w:rsidRPr="006833CD">
        <w:rPr>
          <w:rFonts w:ascii="Times New Roman" w:hAnsi="Times New Roman"/>
          <w:bCs/>
          <w:szCs w:val="24"/>
        </w:rPr>
        <w:t xml:space="preserve">Group </w:t>
      </w:r>
      <w:r w:rsidR="00180E3A" w:rsidRPr="006833CD">
        <w:rPr>
          <w:rFonts w:ascii="Times New Roman" w:hAnsi="Times New Roman"/>
          <w:bCs/>
          <w:szCs w:val="24"/>
        </w:rPr>
        <w:t>studies should be the focus</w:t>
      </w:r>
      <w:r w:rsidR="003D27FA" w:rsidRPr="006833CD">
        <w:rPr>
          <w:rFonts w:ascii="Times New Roman" w:hAnsi="Times New Roman"/>
          <w:bCs/>
          <w:szCs w:val="24"/>
        </w:rPr>
        <w:t xml:space="preserve"> of debate in this proceeding?</w:t>
      </w:r>
    </w:p>
    <w:p w14:paraId="5D0AB9FE" w14:textId="7976AB7E"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180E3A" w:rsidRPr="006833CD">
        <w:rPr>
          <w:rFonts w:ascii="Times New Roman" w:hAnsi="Times New Roman"/>
          <w:bCs/>
          <w:szCs w:val="24"/>
        </w:rPr>
        <w:t>The two updated version</w:t>
      </w:r>
      <w:r w:rsidR="00E905EA" w:rsidRPr="006833CD">
        <w:rPr>
          <w:rFonts w:ascii="Times New Roman" w:hAnsi="Times New Roman"/>
          <w:bCs/>
          <w:szCs w:val="24"/>
        </w:rPr>
        <w:t>s</w:t>
      </w:r>
      <w:r w:rsidR="00180E3A" w:rsidRPr="006833CD">
        <w:rPr>
          <w:rFonts w:ascii="Times New Roman" w:hAnsi="Times New Roman"/>
          <w:bCs/>
          <w:szCs w:val="24"/>
        </w:rPr>
        <w:t xml:space="preserve"> of the studies are the more appropriate versions on which to concentrate because they represent the current “state of the art” for our investigations.  </w:t>
      </w:r>
      <w:r w:rsidR="00EB443C" w:rsidRPr="006833CD">
        <w:rPr>
          <w:rFonts w:ascii="Times New Roman" w:hAnsi="Times New Roman"/>
          <w:bCs/>
          <w:szCs w:val="24"/>
        </w:rPr>
        <w:t xml:space="preserve">The assets of the companies in both samples are heavily concentrated in regulated assets, and contrary to </w:t>
      </w:r>
      <w:r w:rsidR="0030288F" w:rsidRPr="006833CD">
        <w:rPr>
          <w:rFonts w:ascii="Times New Roman" w:hAnsi="Times New Roman"/>
          <w:szCs w:val="24"/>
        </w:rPr>
        <w:t>Mr.</w:t>
      </w:r>
      <w:r w:rsidR="0030288F">
        <w:rPr>
          <w:rFonts w:ascii="Times New Roman" w:hAnsi="Times New Roman"/>
          <w:szCs w:val="24"/>
        </w:rPr>
        <w:t> </w:t>
      </w:r>
      <w:r w:rsidR="00EB443C" w:rsidRPr="006833CD">
        <w:rPr>
          <w:rFonts w:ascii="Times New Roman" w:hAnsi="Times New Roman"/>
          <w:bCs/>
          <w:szCs w:val="24"/>
        </w:rPr>
        <w:t>Hill’s claim</w:t>
      </w:r>
      <w:r w:rsidR="00EB443C" w:rsidRPr="006833CD">
        <w:rPr>
          <w:rStyle w:val="FootnoteReference"/>
        </w:rPr>
        <w:footnoteReference w:id="7"/>
      </w:r>
      <w:r w:rsidR="00EB443C" w:rsidRPr="006833CD">
        <w:rPr>
          <w:rFonts w:ascii="Times New Roman" w:hAnsi="Times New Roman"/>
          <w:bCs/>
          <w:szCs w:val="24"/>
        </w:rPr>
        <w:t xml:space="preserve"> the percentage of regulated assets in the gas </w:t>
      </w:r>
      <w:proofErr w:type="spellStart"/>
      <w:r w:rsidR="00EB443C" w:rsidRPr="006833CD">
        <w:rPr>
          <w:rFonts w:ascii="Times New Roman" w:hAnsi="Times New Roman"/>
          <w:bCs/>
          <w:szCs w:val="24"/>
        </w:rPr>
        <w:t>LDC</w:t>
      </w:r>
      <w:proofErr w:type="spellEnd"/>
      <w:r w:rsidR="00EB443C" w:rsidRPr="006833CD">
        <w:rPr>
          <w:rFonts w:ascii="Times New Roman" w:hAnsi="Times New Roman"/>
          <w:bCs/>
          <w:szCs w:val="24"/>
        </w:rPr>
        <w:t xml:space="preserve"> sample averages about 79 percent as shown in Exhibit </w:t>
      </w:r>
      <w:r w:rsidR="00A84633" w:rsidRPr="006833CD">
        <w:rPr>
          <w:rFonts w:ascii="Times New Roman" w:hAnsi="Times New Roman"/>
          <w:bCs/>
          <w:szCs w:val="24"/>
        </w:rPr>
        <w:t>No. </w:t>
      </w:r>
      <w:r w:rsidR="00A84633">
        <w:rPr>
          <w:rFonts w:ascii="Times New Roman" w:hAnsi="Times New Roman"/>
          <w:bCs/>
          <w:szCs w:val="24"/>
        </w:rPr>
        <w:t>___(</w:t>
      </w:r>
      <w:r w:rsidR="00EB443C" w:rsidRPr="006833CD">
        <w:rPr>
          <w:rFonts w:ascii="Times New Roman" w:hAnsi="Times New Roman"/>
          <w:bCs/>
          <w:szCs w:val="24"/>
        </w:rPr>
        <w:t>MJV-</w:t>
      </w:r>
      <w:r w:rsidR="00BB5002" w:rsidRPr="006833CD">
        <w:rPr>
          <w:rFonts w:ascii="Times New Roman" w:hAnsi="Times New Roman"/>
          <w:bCs/>
          <w:szCs w:val="24"/>
        </w:rPr>
        <w:t>21</w:t>
      </w:r>
      <w:r w:rsidR="00A84633">
        <w:rPr>
          <w:rFonts w:ascii="Times New Roman" w:hAnsi="Times New Roman"/>
          <w:bCs/>
          <w:szCs w:val="24"/>
        </w:rPr>
        <w:t>)</w:t>
      </w:r>
      <w:r w:rsidR="00BB5002" w:rsidRPr="006833CD">
        <w:rPr>
          <w:rFonts w:ascii="Times New Roman" w:hAnsi="Times New Roman"/>
          <w:bCs/>
          <w:szCs w:val="24"/>
        </w:rPr>
        <w:t>.</w:t>
      </w:r>
      <w:r w:rsidR="00065690" w:rsidRPr="006833CD">
        <w:rPr>
          <w:rFonts w:ascii="Times New Roman" w:hAnsi="Times New Roman"/>
          <w:bCs/>
          <w:szCs w:val="24"/>
        </w:rPr>
        <w:t xml:space="preserve">  </w:t>
      </w:r>
      <w:r w:rsidR="0030288F" w:rsidRPr="006833CD">
        <w:rPr>
          <w:rFonts w:ascii="Times New Roman" w:hAnsi="Times New Roman"/>
          <w:szCs w:val="24"/>
        </w:rPr>
        <w:t>Mr.</w:t>
      </w:r>
      <w:r w:rsidR="0030288F">
        <w:rPr>
          <w:rFonts w:ascii="Times New Roman" w:hAnsi="Times New Roman"/>
          <w:szCs w:val="24"/>
        </w:rPr>
        <w:t> </w:t>
      </w:r>
      <w:r w:rsidR="00180E3A" w:rsidRPr="006833CD">
        <w:rPr>
          <w:rFonts w:ascii="Times New Roman" w:hAnsi="Times New Roman"/>
          <w:bCs/>
          <w:szCs w:val="24"/>
        </w:rPr>
        <w:t>Hill seems to prefer the original ver</w:t>
      </w:r>
      <w:r w:rsidR="00E905EA" w:rsidRPr="006833CD">
        <w:rPr>
          <w:rFonts w:ascii="Times New Roman" w:hAnsi="Times New Roman"/>
          <w:bCs/>
          <w:szCs w:val="24"/>
        </w:rPr>
        <w:t>sion of the electric study</w:t>
      </w:r>
      <w:r w:rsidR="009C77F8" w:rsidRPr="006833CD">
        <w:rPr>
          <w:rFonts w:ascii="Times New Roman" w:hAnsi="Times New Roman"/>
          <w:bCs/>
          <w:szCs w:val="24"/>
        </w:rPr>
        <w:t>.</w:t>
      </w:r>
      <w:r w:rsidR="009C77F8" w:rsidRPr="006833CD">
        <w:rPr>
          <w:rStyle w:val="FootnoteReference"/>
        </w:rPr>
        <w:footnoteReference w:id="8"/>
      </w:r>
      <w:r w:rsidR="009C77F8" w:rsidRPr="006833CD">
        <w:rPr>
          <w:rFonts w:ascii="Times New Roman" w:hAnsi="Times New Roman"/>
          <w:bCs/>
          <w:szCs w:val="24"/>
        </w:rPr>
        <w:t xml:space="preserve"> </w:t>
      </w:r>
      <w:r w:rsidR="00E905EA" w:rsidRPr="006833CD">
        <w:rPr>
          <w:rFonts w:ascii="Times New Roman" w:hAnsi="Times New Roman"/>
          <w:bCs/>
          <w:szCs w:val="24"/>
        </w:rPr>
        <w:t xml:space="preserve"> </w:t>
      </w:r>
      <w:r w:rsidR="000E0E55" w:rsidRPr="006833CD">
        <w:rPr>
          <w:rFonts w:ascii="Times New Roman" w:hAnsi="Times New Roman"/>
          <w:bCs/>
          <w:szCs w:val="24"/>
        </w:rPr>
        <w:t>I</w:t>
      </w:r>
      <w:r w:rsidR="00E905EA" w:rsidRPr="006833CD">
        <w:rPr>
          <w:rFonts w:ascii="Times New Roman" w:hAnsi="Times New Roman"/>
          <w:bCs/>
          <w:szCs w:val="24"/>
        </w:rPr>
        <w:t>n</w:t>
      </w:r>
      <w:r w:rsidR="00180E3A" w:rsidRPr="006833CD">
        <w:rPr>
          <w:rFonts w:ascii="Times New Roman" w:hAnsi="Times New Roman"/>
          <w:bCs/>
          <w:szCs w:val="24"/>
        </w:rPr>
        <w:t xml:space="preserve"> my view</w:t>
      </w:r>
      <w:r w:rsidR="009C77F8" w:rsidRPr="006833CD">
        <w:rPr>
          <w:rFonts w:ascii="Times New Roman" w:hAnsi="Times New Roman"/>
          <w:bCs/>
          <w:szCs w:val="24"/>
        </w:rPr>
        <w:t>,</w:t>
      </w:r>
      <w:r w:rsidR="00180E3A" w:rsidRPr="006833CD">
        <w:rPr>
          <w:rFonts w:ascii="Times New Roman" w:hAnsi="Times New Roman"/>
          <w:bCs/>
          <w:szCs w:val="24"/>
        </w:rPr>
        <w:t xml:space="preserve"> </w:t>
      </w:r>
      <w:r w:rsidR="000E0E55" w:rsidRPr="006833CD">
        <w:rPr>
          <w:rFonts w:ascii="Times New Roman" w:hAnsi="Times New Roman"/>
          <w:bCs/>
          <w:szCs w:val="24"/>
        </w:rPr>
        <w:t xml:space="preserve">however, </w:t>
      </w:r>
      <w:r w:rsidR="00180E3A" w:rsidRPr="006833CD">
        <w:rPr>
          <w:rFonts w:ascii="Times New Roman" w:hAnsi="Times New Roman"/>
          <w:bCs/>
          <w:szCs w:val="24"/>
        </w:rPr>
        <w:t xml:space="preserve">the updated </w:t>
      </w:r>
      <w:r w:rsidR="00A13DFF">
        <w:rPr>
          <w:rFonts w:ascii="Times New Roman" w:hAnsi="Times New Roman"/>
          <w:bCs/>
          <w:szCs w:val="24"/>
        </w:rPr>
        <w:t xml:space="preserve">electric </w:t>
      </w:r>
      <w:r w:rsidR="00180E3A" w:rsidRPr="006833CD">
        <w:rPr>
          <w:rFonts w:ascii="Times New Roman" w:hAnsi="Times New Roman"/>
          <w:bCs/>
          <w:szCs w:val="24"/>
        </w:rPr>
        <w:t xml:space="preserve">study is preferable </w:t>
      </w:r>
      <w:r w:rsidR="00A13DFF">
        <w:rPr>
          <w:rFonts w:ascii="Times New Roman" w:hAnsi="Times New Roman"/>
          <w:bCs/>
          <w:szCs w:val="24"/>
        </w:rPr>
        <w:t xml:space="preserve">to the original electric study </w:t>
      </w:r>
      <w:r w:rsidR="00180E3A" w:rsidRPr="006833CD">
        <w:rPr>
          <w:rFonts w:ascii="Times New Roman" w:hAnsi="Times New Roman"/>
          <w:bCs/>
          <w:szCs w:val="24"/>
        </w:rPr>
        <w:t>because it has a longer period of data</w:t>
      </w:r>
      <w:r w:rsidR="00A55647" w:rsidRPr="006833CD">
        <w:rPr>
          <w:rFonts w:ascii="Times New Roman" w:hAnsi="Times New Roman"/>
          <w:bCs/>
          <w:szCs w:val="24"/>
        </w:rPr>
        <w:t>,</w:t>
      </w:r>
      <w:r w:rsidR="00180E3A" w:rsidRPr="006833CD">
        <w:rPr>
          <w:rFonts w:ascii="Times New Roman" w:hAnsi="Times New Roman"/>
          <w:bCs/>
          <w:szCs w:val="24"/>
        </w:rPr>
        <w:t xml:space="preserve"> and </w:t>
      </w:r>
      <w:r w:rsidR="00A55647" w:rsidRPr="006833CD">
        <w:rPr>
          <w:rFonts w:ascii="Times New Roman" w:hAnsi="Times New Roman"/>
          <w:bCs/>
          <w:szCs w:val="24"/>
        </w:rPr>
        <w:t xml:space="preserve">we have </w:t>
      </w:r>
      <w:r w:rsidR="00180E3A" w:rsidRPr="006833CD">
        <w:rPr>
          <w:rFonts w:ascii="Times New Roman" w:hAnsi="Times New Roman"/>
          <w:bCs/>
          <w:szCs w:val="24"/>
        </w:rPr>
        <w:t>updated some of the underlying information</w:t>
      </w:r>
      <w:r w:rsidR="009C77F8" w:rsidRPr="006833CD">
        <w:rPr>
          <w:rFonts w:ascii="Times New Roman" w:hAnsi="Times New Roman"/>
          <w:bCs/>
          <w:szCs w:val="24"/>
        </w:rPr>
        <w:t>,</w:t>
      </w:r>
      <w:r w:rsidR="00180E3A" w:rsidRPr="006833CD">
        <w:rPr>
          <w:rFonts w:ascii="Times New Roman" w:hAnsi="Times New Roman"/>
          <w:bCs/>
          <w:szCs w:val="24"/>
        </w:rPr>
        <w:t xml:space="preserve"> such as recognizing that one sample company had </w:t>
      </w:r>
      <w:r w:rsidR="00444DCE" w:rsidRPr="006833CD">
        <w:rPr>
          <w:rFonts w:ascii="Times New Roman" w:hAnsi="Times New Roman"/>
          <w:bCs/>
          <w:szCs w:val="24"/>
        </w:rPr>
        <w:t>straight fixed-variable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w:t>
      </w:r>
      <w:r w:rsidR="00180E3A" w:rsidRPr="006833CD">
        <w:rPr>
          <w:rFonts w:ascii="Times New Roman" w:hAnsi="Times New Roman"/>
          <w:bCs/>
          <w:szCs w:val="24"/>
        </w:rPr>
        <w:t xml:space="preserve">rates.  </w:t>
      </w:r>
      <w:r w:rsidR="00444DCE"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00444DCE" w:rsidRPr="006833CD">
        <w:rPr>
          <w:rFonts w:ascii="Times New Roman" w:hAnsi="Times New Roman"/>
          <w:bCs/>
          <w:szCs w:val="24"/>
        </w:rPr>
        <w:t xml:space="preserve">Hill’s assertion that the March 2014 study on electric decoupling decided “to exclude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rate design as dissimilar to full decoupling</w:t>
      </w:r>
      <w:r w:rsidR="000E0E55" w:rsidRPr="006833CD">
        <w:rPr>
          <w:rFonts w:ascii="Times New Roman" w:hAnsi="Times New Roman"/>
          <w:bCs/>
          <w:szCs w:val="24"/>
        </w:rPr>
        <w:t>,</w:t>
      </w:r>
      <w:r w:rsidR="00444DCE" w:rsidRPr="006833CD">
        <w:rPr>
          <w:rFonts w:ascii="Times New Roman" w:hAnsi="Times New Roman"/>
          <w:bCs/>
          <w:szCs w:val="24"/>
        </w:rPr>
        <w:t>”</w:t>
      </w:r>
      <w:r w:rsidR="00C66FB0" w:rsidRPr="006833CD">
        <w:rPr>
          <w:rStyle w:val="FootnoteReference"/>
        </w:rPr>
        <w:footnoteReference w:id="9"/>
      </w:r>
      <w:r w:rsidR="00C66FB0" w:rsidRPr="006833CD">
        <w:rPr>
          <w:rFonts w:ascii="Times New Roman" w:hAnsi="Times New Roman"/>
          <w:bCs/>
          <w:szCs w:val="24"/>
        </w:rPr>
        <w:t xml:space="preserve"> The Brattle Group has never said that </w:t>
      </w:r>
      <w:r w:rsidR="000E0E55" w:rsidRPr="006833CD">
        <w:rPr>
          <w:rFonts w:ascii="Times New Roman" w:hAnsi="Times New Roman"/>
          <w:bCs/>
          <w:szCs w:val="24"/>
        </w:rPr>
        <w:t xml:space="preserve">straight fixed-variable </w:t>
      </w:r>
      <w:r w:rsidR="00C66FB0" w:rsidRPr="006833CD">
        <w:rPr>
          <w:rFonts w:ascii="Times New Roman" w:hAnsi="Times New Roman"/>
          <w:bCs/>
          <w:szCs w:val="24"/>
        </w:rPr>
        <w:t xml:space="preserve">rates are dissimilar.  In fact, the original gas </w:t>
      </w:r>
      <w:proofErr w:type="spellStart"/>
      <w:r w:rsidR="00C66FB0" w:rsidRPr="006833CD">
        <w:rPr>
          <w:rFonts w:ascii="Times New Roman" w:hAnsi="Times New Roman"/>
          <w:bCs/>
          <w:szCs w:val="24"/>
        </w:rPr>
        <w:t>LDC</w:t>
      </w:r>
      <w:proofErr w:type="spellEnd"/>
      <w:r w:rsidR="00C66FB0" w:rsidRPr="006833CD">
        <w:rPr>
          <w:rFonts w:ascii="Times New Roman" w:hAnsi="Times New Roman"/>
          <w:bCs/>
          <w:szCs w:val="24"/>
        </w:rPr>
        <w:t xml:space="preserve"> decoupling study says exactly the opposite</w:t>
      </w:r>
      <w:r w:rsidR="000E0E55" w:rsidRPr="006833CD">
        <w:rPr>
          <w:rFonts w:ascii="Times New Roman" w:hAnsi="Times New Roman"/>
          <w:bCs/>
          <w:szCs w:val="24"/>
        </w:rPr>
        <w:t xml:space="preserve"> (</w:t>
      </w:r>
      <w:r w:rsidR="00C66FB0" w:rsidRPr="006833CD">
        <w:rPr>
          <w:rFonts w:ascii="Times New Roman" w:hAnsi="Times New Roman"/>
          <w:bCs/>
          <w:szCs w:val="24"/>
        </w:rPr>
        <w:t>i.e.,</w:t>
      </w:r>
      <w:r w:rsidR="00C13CEC" w:rsidRPr="006833CD">
        <w:rPr>
          <w:rFonts w:ascii="Times New Roman" w:hAnsi="Times New Roman"/>
          <w:bCs/>
          <w:szCs w:val="24"/>
        </w:rPr>
        <w:t xml:space="preserve">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is a form of decoupling</w:t>
      </w:r>
      <w:r w:rsidR="000E0E55" w:rsidRPr="006833CD">
        <w:rPr>
          <w:rFonts w:ascii="Times New Roman" w:hAnsi="Times New Roman"/>
          <w:bCs/>
          <w:szCs w:val="24"/>
        </w:rPr>
        <w:t>)</w:t>
      </w:r>
      <w:r w:rsidR="00C66FB0" w:rsidRPr="006833CD">
        <w:rPr>
          <w:rFonts w:ascii="Times New Roman" w:hAnsi="Times New Roman"/>
          <w:bCs/>
          <w:szCs w:val="24"/>
        </w:rPr>
        <w:t xml:space="preserve"> and </w:t>
      </w:r>
      <w:r w:rsidR="000E0E55" w:rsidRPr="006833CD">
        <w:rPr>
          <w:rFonts w:ascii="Times New Roman" w:hAnsi="Times New Roman"/>
          <w:bCs/>
          <w:szCs w:val="24"/>
        </w:rPr>
        <w:t xml:space="preserve">The Brattle Group </w:t>
      </w:r>
      <w:r w:rsidR="00A13DFF">
        <w:rPr>
          <w:rFonts w:ascii="Times New Roman" w:hAnsi="Times New Roman"/>
          <w:bCs/>
          <w:szCs w:val="24"/>
        </w:rPr>
        <w:t xml:space="preserve">includes </w:t>
      </w:r>
      <w:r w:rsidR="000E0E55" w:rsidRPr="006833CD">
        <w:rPr>
          <w:rFonts w:ascii="Times New Roman" w:hAnsi="Times New Roman"/>
          <w:bCs/>
          <w:szCs w:val="24"/>
        </w:rPr>
        <w:t xml:space="preserve">the </w:t>
      </w:r>
      <w:r w:rsidR="00C66FB0" w:rsidRPr="006833CD">
        <w:rPr>
          <w:rFonts w:ascii="Times New Roman" w:hAnsi="Times New Roman"/>
          <w:bCs/>
          <w:szCs w:val="24"/>
        </w:rPr>
        <w:t xml:space="preserve">effect </w:t>
      </w:r>
      <w:r w:rsidR="000E0E55" w:rsidRPr="006833CD">
        <w:rPr>
          <w:rFonts w:ascii="Times New Roman" w:hAnsi="Times New Roman"/>
          <w:bCs/>
          <w:szCs w:val="24"/>
        </w:rPr>
        <w:t xml:space="preserve">of straight fixed-variable rates </w:t>
      </w:r>
      <w:r w:rsidR="00C66FB0" w:rsidRPr="006833CD">
        <w:rPr>
          <w:rFonts w:ascii="Times New Roman" w:hAnsi="Times New Roman"/>
          <w:bCs/>
          <w:szCs w:val="24"/>
        </w:rPr>
        <w:t xml:space="preserve">in the paper.  The main reason that the original </w:t>
      </w:r>
      <w:r w:rsidR="00C13CEC" w:rsidRPr="006833CD">
        <w:rPr>
          <w:rFonts w:ascii="Times New Roman" w:hAnsi="Times New Roman"/>
          <w:bCs/>
          <w:szCs w:val="24"/>
        </w:rPr>
        <w:t xml:space="preserve">electric utility </w:t>
      </w:r>
      <w:r w:rsidR="00C66FB0" w:rsidRPr="006833CD">
        <w:rPr>
          <w:rFonts w:ascii="Times New Roman" w:hAnsi="Times New Roman"/>
          <w:bCs/>
          <w:szCs w:val="24"/>
        </w:rPr>
        <w:t xml:space="preserve">study did not consider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 xml:space="preserve">is because </w:t>
      </w:r>
      <w:r w:rsidR="000E0E55" w:rsidRPr="006833CD">
        <w:rPr>
          <w:rFonts w:ascii="Times New Roman" w:hAnsi="Times New Roman"/>
          <w:bCs/>
          <w:szCs w:val="24"/>
        </w:rPr>
        <w:t xml:space="preserve">straight fixed-variable rates are </w:t>
      </w:r>
      <w:r w:rsidR="00C66FB0" w:rsidRPr="006833CD">
        <w:rPr>
          <w:rFonts w:ascii="Times New Roman" w:hAnsi="Times New Roman"/>
          <w:bCs/>
          <w:szCs w:val="24"/>
        </w:rPr>
        <w:t>relatively uncommon for electric utilities</w:t>
      </w:r>
      <w:r w:rsidR="00C13CEC" w:rsidRPr="006833CD">
        <w:rPr>
          <w:rFonts w:ascii="Times New Roman" w:hAnsi="Times New Roman"/>
          <w:bCs/>
          <w:szCs w:val="24"/>
        </w:rPr>
        <w:t xml:space="preserve"> through 2012</w:t>
      </w:r>
      <w:r w:rsidR="00C66FB0" w:rsidRPr="006833CD">
        <w:rPr>
          <w:rFonts w:ascii="Times New Roman" w:hAnsi="Times New Roman"/>
          <w:bCs/>
          <w:szCs w:val="24"/>
        </w:rPr>
        <w:t>.  T</w:t>
      </w:r>
      <w:r w:rsidR="00180E3A" w:rsidRPr="006833CD">
        <w:rPr>
          <w:rFonts w:ascii="Times New Roman" w:hAnsi="Times New Roman"/>
          <w:bCs/>
          <w:szCs w:val="24"/>
        </w:rPr>
        <w:t xml:space="preserve">he updated </w:t>
      </w:r>
      <w:r w:rsidR="00180E3A" w:rsidRPr="006833CD">
        <w:rPr>
          <w:rFonts w:ascii="Times New Roman" w:hAnsi="Times New Roman"/>
          <w:bCs/>
          <w:szCs w:val="24"/>
        </w:rPr>
        <w:lastRenderedPageBreak/>
        <w:t xml:space="preserve">study also recognized that some companies evolved over time through mergers and acquisitions.  </w:t>
      </w:r>
      <w:r w:rsidR="00B40ADB" w:rsidRPr="006833CD">
        <w:rPr>
          <w:rFonts w:ascii="Times New Roman" w:hAnsi="Times New Roman"/>
          <w:bCs/>
          <w:szCs w:val="24"/>
        </w:rPr>
        <w:t xml:space="preserve">Between the studies of the two industries, the gas </w:t>
      </w:r>
      <w:proofErr w:type="spellStart"/>
      <w:r w:rsidR="00B40ADB" w:rsidRPr="006833CD">
        <w:rPr>
          <w:rFonts w:ascii="Times New Roman" w:hAnsi="Times New Roman"/>
          <w:bCs/>
          <w:szCs w:val="24"/>
        </w:rPr>
        <w:t>LDC</w:t>
      </w:r>
      <w:proofErr w:type="spellEnd"/>
      <w:r w:rsidR="00B40ADB" w:rsidRPr="006833CD">
        <w:rPr>
          <w:rFonts w:ascii="Times New Roman" w:hAnsi="Times New Roman"/>
          <w:bCs/>
          <w:szCs w:val="24"/>
        </w:rPr>
        <w:t xml:space="preserve"> study is likely to be the more reliable study.</w:t>
      </w:r>
    </w:p>
    <w:p w14:paraId="5D0AB9FF" w14:textId="11EB333A"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B40ADB" w:rsidRPr="006833CD">
        <w:rPr>
          <w:rFonts w:ascii="Times New Roman" w:hAnsi="Times New Roman"/>
          <w:bCs/>
          <w:szCs w:val="24"/>
        </w:rPr>
        <w:t xml:space="preserve">Why do you believe that the gas </w:t>
      </w:r>
      <w:proofErr w:type="spellStart"/>
      <w:r w:rsidR="00B40ADB" w:rsidRPr="006833CD">
        <w:rPr>
          <w:rFonts w:ascii="Times New Roman" w:hAnsi="Times New Roman"/>
          <w:bCs/>
          <w:szCs w:val="24"/>
        </w:rPr>
        <w:t>LDC</w:t>
      </w:r>
      <w:proofErr w:type="spellEnd"/>
      <w:r w:rsidR="00B40ADB" w:rsidRPr="006833CD">
        <w:rPr>
          <w:rFonts w:ascii="Times New Roman" w:hAnsi="Times New Roman"/>
          <w:bCs/>
          <w:szCs w:val="24"/>
        </w:rPr>
        <w:t xml:space="preserve"> study is likely</w:t>
      </w:r>
      <w:r w:rsidR="003D27FA" w:rsidRPr="006833CD">
        <w:rPr>
          <w:rFonts w:ascii="Times New Roman" w:hAnsi="Times New Roman"/>
          <w:bCs/>
          <w:szCs w:val="24"/>
        </w:rPr>
        <w:t xml:space="preserve"> to be the more reliable study?</w:t>
      </w:r>
    </w:p>
    <w:p w14:paraId="7ADD2A1D" w14:textId="77777777" w:rsidR="000E0E55" w:rsidRPr="006833CD" w:rsidRDefault="003255A1" w:rsidP="003255A1">
      <w:pPr>
        <w:pStyle w:val="answer"/>
        <w:rPr>
          <w:rFonts w:ascii="Times New Roman" w:hAnsi="Times New Roman"/>
          <w:szCs w:val="24"/>
        </w:rPr>
      </w:pPr>
      <w:r w:rsidRPr="006833CD">
        <w:rPr>
          <w:rFonts w:ascii="Times New Roman" w:hAnsi="Times New Roman"/>
          <w:szCs w:val="24"/>
        </w:rPr>
        <w:t>A.</w:t>
      </w:r>
      <w:r w:rsidR="00690D90" w:rsidRPr="006833CD">
        <w:rPr>
          <w:rFonts w:ascii="Times New Roman" w:hAnsi="Times New Roman"/>
          <w:szCs w:val="24"/>
        </w:rPr>
        <w:tab/>
      </w:r>
      <w:r w:rsidR="00B40ADB" w:rsidRPr="006833CD">
        <w:rPr>
          <w:rFonts w:ascii="Times New Roman" w:hAnsi="Times New Roman"/>
          <w:szCs w:val="24"/>
        </w:rPr>
        <w:t xml:space="preserve">That belief is based upon the nature of the gas </w:t>
      </w:r>
      <w:proofErr w:type="spellStart"/>
      <w:r w:rsidR="00B40ADB" w:rsidRPr="006833CD">
        <w:rPr>
          <w:rFonts w:ascii="Times New Roman" w:hAnsi="Times New Roman"/>
          <w:szCs w:val="24"/>
        </w:rPr>
        <w:t>LDC</w:t>
      </w:r>
      <w:proofErr w:type="spellEnd"/>
      <w:r w:rsidR="00B40ADB" w:rsidRPr="006833CD">
        <w:rPr>
          <w:rFonts w:ascii="Times New Roman" w:hAnsi="Times New Roman"/>
          <w:szCs w:val="24"/>
        </w:rPr>
        <w:t xml:space="preserve"> industry compared to the electric utility industry.</w:t>
      </w:r>
    </w:p>
    <w:p w14:paraId="4175905E" w14:textId="77777777" w:rsidR="000E0E55" w:rsidRPr="006833CD" w:rsidRDefault="00B40ADB" w:rsidP="000E0E55">
      <w:pPr>
        <w:pStyle w:val="answer"/>
        <w:ind w:firstLine="0"/>
        <w:rPr>
          <w:rFonts w:ascii="Times New Roman" w:hAnsi="Times New Roman"/>
          <w:bCs/>
          <w:szCs w:val="24"/>
        </w:rPr>
      </w:pPr>
      <w:r w:rsidRPr="006833CD">
        <w:rPr>
          <w:rFonts w:ascii="Times New Roman" w:hAnsi="Times New Roman"/>
          <w:bCs/>
          <w:szCs w:val="24"/>
        </w:rPr>
        <w:t>First, it is important to keep in mind that the true-up decoupling policy works similarly for the gas and electric industry as do</w:t>
      </w:r>
      <w:r w:rsidR="00D93AA3" w:rsidRPr="006833CD">
        <w:rPr>
          <w:rFonts w:ascii="Times New Roman" w:hAnsi="Times New Roman"/>
          <w:bCs/>
          <w:szCs w:val="24"/>
        </w:rPr>
        <w:t xml:space="preserve">es the </w:t>
      </w:r>
      <w:r w:rsidR="000E0E55" w:rsidRPr="006833CD">
        <w:rPr>
          <w:rFonts w:ascii="Times New Roman" w:hAnsi="Times New Roman"/>
          <w:bCs/>
          <w:szCs w:val="24"/>
        </w:rPr>
        <w:t>straight fixed-variable rate</w:t>
      </w:r>
      <w:r w:rsidRPr="006833CD">
        <w:rPr>
          <w:rFonts w:ascii="Times New Roman" w:hAnsi="Times New Roman"/>
          <w:bCs/>
          <w:szCs w:val="24"/>
        </w:rPr>
        <w:t xml:space="preserve">making policy.  Therefore, whatever effect adoption of decoupling may have on the cost of capital, it will affect both the gas </w:t>
      </w:r>
      <w:proofErr w:type="spellStart"/>
      <w:r w:rsidRPr="006833CD">
        <w:rPr>
          <w:rFonts w:ascii="Times New Roman" w:hAnsi="Times New Roman"/>
          <w:bCs/>
          <w:szCs w:val="24"/>
        </w:rPr>
        <w:t>LDC</w:t>
      </w:r>
      <w:proofErr w:type="spellEnd"/>
      <w:r w:rsidRPr="006833CD">
        <w:rPr>
          <w:rFonts w:ascii="Times New Roman" w:hAnsi="Times New Roman"/>
          <w:bCs/>
          <w:szCs w:val="24"/>
        </w:rPr>
        <w:t xml:space="preserve"> industry and the electric utility industry similarly.</w:t>
      </w:r>
    </w:p>
    <w:p w14:paraId="12A66353" w14:textId="142BC72A" w:rsidR="00D846F9" w:rsidRPr="006833CD" w:rsidRDefault="00B40ADB" w:rsidP="00C13CEC">
      <w:pPr>
        <w:pStyle w:val="answer"/>
        <w:ind w:firstLine="0"/>
        <w:rPr>
          <w:rFonts w:ascii="Times New Roman" w:hAnsi="Times New Roman"/>
          <w:bCs/>
          <w:szCs w:val="24"/>
        </w:rPr>
      </w:pPr>
      <w:r w:rsidRPr="006833CD">
        <w:rPr>
          <w:rFonts w:ascii="Times New Roman" w:hAnsi="Times New Roman"/>
          <w:bCs/>
          <w:szCs w:val="24"/>
        </w:rPr>
        <w:t xml:space="preserve">Second, it does not seem to be a controversial statement to suggest that the electric utility industry has been undergoing far more disruption than the gas </w:t>
      </w:r>
      <w:proofErr w:type="spellStart"/>
      <w:r w:rsidRPr="006833CD">
        <w:rPr>
          <w:rFonts w:ascii="Times New Roman" w:hAnsi="Times New Roman"/>
          <w:bCs/>
          <w:szCs w:val="24"/>
        </w:rPr>
        <w:t>LDC</w:t>
      </w:r>
      <w:proofErr w:type="spellEnd"/>
      <w:r w:rsidRPr="006833CD">
        <w:rPr>
          <w:rFonts w:ascii="Times New Roman" w:hAnsi="Times New Roman"/>
          <w:bCs/>
          <w:szCs w:val="24"/>
        </w:rPr>
        <w:t xml:space="preserve"> industry.  </w:t>
      </w:r>
      <w:r w:rsidR="00147207" w:rsidRPr="006833CD">
        <w:rPr>
          <w:rFonts w:ascii="Times New Roman" w:hAnsi="Times New Roman"/>
          <w:bCs/>
          <w:szCs w:val="24"/>
        </w:rPr>
        <w:t xml:space="preserve">There have been more mergers and acquisitions in the electric utility industry than in the gas </w:t>
      </w:r>
      <w:proofErr w:type="spellStart"/>
      <w:r w:rsidR="00147207" w:rsidRPr="006833CD">
        <w:rPr>
          <w:rFonts w:ascii="Times New Roman" w:hAnsi="Times New Roman"/>
          <w:bCs/>
          <w:szCs w:val="24"/>
        </w:rPr>
        <w:t>LDC</w:t>
      </w:r>
      <w:proofErr w:type="spellEnd"/>
      <w:r w:rsidR="00147207" w:rsidRPr="006833CD">
        <w:rPr>
          <w:rFonts w:ascii="Times New Roman" w:hAnsi="Times New Roman"/>
          <w:bCs/>
          <w:szCs w:val="24"/>
        </w:rPr>
        <w:t xml:space="preserve"> industry.  More</w:t>
      </w:r>
      <w:r w:rsidR="00C66FB0" w:rsidRPr="006833CD">
        <w:rPr>
          <w:rFonts w:ascii="Times New Roman" w:hAnsi="Times New Roman"/>
          <w:bCs/>
          <w:szCs w:val="24"/>
        </w:rPr>
        <w:t>o</w:t>
      </w:r>
      <w:r w:rsidR="00147207" w:rsidRPr="006833CD">
        <w:rPr>
          <w:rFonts w:ascii="Times New Roman" w:hAnsi="Times New Roman"/>
          <w:bCs/>
          <w:szCs w:val="24"/>
        </w:rPr>
        <w:t>ver, t</w:t>
      </w:r>
      <w:r w:rsidRPr="006833CD">
        <w:rPr>
          <w:rFonts w:ascii="Times New Roman" w:hAnsi="Times New Roman"/>
          <w:bCs/>
          <w:szCs w:val="24"/>
        </w:rPr>
        <w:t xml:space="preserve">he electric industry is struggling to adapt to </w:t>
      </w:r>
      <w:r w:rsidR="00C13CEC" w:rsidRPr="006833CD">
        <w:rPr>
          <w:rFonts w:ascii="Times New Roman" w:hAnsi="Times New Roman"/>
          <w:bCs/>
          <w:szCs w:val="24"/>
        </w:rPr>
        <w:t>(</w:t>
      </w:r>
      <w:proofErr w:type="spellStart"/>
      <w:r w:rsidR="00C13CEC" w:rsidRPr="006833CD">
        <w:rPr>
          <w:rFonts w:ascii="Times New Roman" w:hAnsi="Times New Roman"/>
          <w:bCs/>
          <w:szCs w:val="24"/>
        </w:rPr>
        <w:t>i</w:t>
      </w:r>
      <w:proofErr w:type="spellEnd"/>
      <w:r w:rsidR="00C13CEC" w:rsidRPr="006833CD">
        <w:rPr>
          <w:rFonts w:ascii="Times New Roman" w:hAnsi="Times New Roman"/>
          <w:bCs/>
          <w:szCs w:val="24"/>
        </w:rPr>
        <w:t xml:space="preserve">) </w:t>
      </w:r>
      <w:r w:rsidRPr="006833CD">
        <w:rPr>
          <w:rFonts w:ascii="Times New Roman" w:hAnsi="Times New Roman"/>
          <w:bCs/>
          <w:szCs w:val="24"/>
        </w:rPr>
        <w:t xml:space="preserve">the introduction of distributed generation, </w:t>
      </w:r>
      <w:r w:rsidR="00C13CEC" w:rsidRPr="006833CD">
        <w:rPr>
          <w:rFonts w:ascii="Times New Roman" w:hAnsi="Times New Roman"/>
          <w:bCs/>
          <w:szCs w:val="24"/>
        </w:rPr>
        <w:t xml:space="preserve">(ii) connect and integrate </w:t>
      </w:r>
      <w:r w:rsidR="000E0E55" w:rsidRPr="006833CD">
        <w:rPr>
          <w:rFonts w:ascii="Times New Roman" w:hAnsi="Times New Roman"/>
          <w:bCs/>
          <w:szCs w:val="24"/>
        </w:rPr>
        <w:t xml:space="preserve">the proliferation of </w:t>
      </w:r>
      <w:r w:rsidRPr="006833CD">
        <w:rPr>
          <w:rFonts w:ascii="Times New Roman" w:hAnsi="Times New Roman"/>
          <w:bCs/>
          <w:szCs w:val="24"/>
        </w:rPr>
        <w:t xml:space="preserve">renewable energy resources, </w:t>
      </w:r>
      <w:r w:rsidR="00147207" w:rsidRPr="006833CD">
        <w:rPr>
          <w:rFonts w:ascii="Times New Roman" w:hAnsi="Times New Roman"/>
          <w:bCs/>
          <w:szCs w:val="24"/>
        </w:rPr>
        <w:t xml:space="preserve">and </w:t>
      </w:r>
      <w:r w:rsidR="00C13CEC" w:rsidRPr="006833CD">
        <w:rPr>
          <w:rFonts w:ascii="Times New Roman" w:hAnsi="Times New Roman"/>
          <w:bCs/>
          <w:szCs w:val="24"/>
        </w:rPr>
        <w:t xml:space="preserve">(iii) adjust to </w:t>
      </w:r>
      <w:r w:rsidR="00147207" w:rsidRPr="006833CD">
        <w:rPr>
          <w:rFonts w:ascii="Times New Roman" w:hAnsi="Times New Roman"/>
          <w:bCs/>
          <w:szCs w:val="24"/>
        </w:rPr>
        <w:t xml:space="preserve">the effects of demand-side management and energy efficiency.  Most of these have been ongoing for a number of years, but the rapidly falling cost of </w:t>
      </w:r>
      <w:r w:rsidR="000E0E55" w:rsidRPr="006833CD">
        <w:rPr>
          <w:rFonts w:ascii="Times New Roman" w:hAnsi="Times New Roman"/>
          <w:bCs/>
          <w:szCs w:val="24"/>
        </w:rPr>
        <w:t xml:space="preserve">distributed generation </w:t>
      </w:r>
      <w:r w:rsidR="00147207" w:rsidRPr="006833CD">
        <w:rPr>
          <w:rFonts w:ascii="Times New Roman" w:hAnsi="Times New Roman"/>
          <w:bCs/>
          <w:szCs w:val="24"/>
        </w:rPr>
        <w:t xml:space="preserve">has accelerated the need for major changes in the industry.  </w:t>
      </w:r>
      <w:r w:rsidR="006701B8" w:rsidRPr="006833CD">
        <w:rPr>
          <w:rFonts w:ascii="Times New Roman" w:hAnsi="Times New Roman"/>
          <w:bCs/>
          <w:szCs w:val="24"/>
        </w:rPr>
        <w:t xml:space="preserve">There are even articles warning of a “death spiral” for electric utilities stemming from increased rates and declining sales inducing more </w:t>
      </w:r>
      <w:r w:rsidR="000E0E55" w:rsidRPr="006833CD">
        <w:rPr>
          <w:rFonts w:ascii="Times New Roman" w:hAnsi="Times New Roman"/>
          <w:bCs/>
          <w:szCs w:val="24"/>
        </w:rPr>
        <w:t xml:space="preserve">distributed generation </w:t>
      </w:r>
      <w:r w:rsidR="006701B8" w:rsidRPr="006833CD">
        <w:rPr>
          <w:rFonts w:ascii="Times New Roman" w:hAnsi="Times New Roman"/>
          <w:bCs/>
          <w:szCs w:val="24"/>
        </w:rPr>
        <w:t xml:space="preserve">and </w:t>
      </w:r>
      <w:r w:rsidR="006701B8" w:rsidRPr="006833CD">
        <w:rPr>
          <w:rFonts w:ascii="Times New Roman" w:hAnsi="Times New Roman"/>
          <w:bCs/>
          <w:szCs w:val="24"/>
        </w:rPr>
        <w:lastRenderedPageBreak/>
        <w:t xml:space="preserve">subsequently higher rates.  </w:t>
      </w:r>
      <w:r w:rsidR="00147207" w:rsidRPr="006833CD">
        <w:rPr>
          <w:rFonts w:ascii="Times New Roman" w:hAnsi="Times New Roman"/>
          <w:bCs/>
          <w:szCs w:val="24"/>
        </w:rPr>
        <w:t xml:space="preserve">In comparison, the gas </w:t>
      </w:r>
      <w:proofErr w:type="spellStart"/>
      <w:r w:rsidR="00147207" w:rsidRPr="006833CD">
        <w:rPr>
          <w:rFonts w:ascii="Times New Roman" w:hAnsi="Times New Roman"/>
          <w:bCs/>
          <w:szCs w:val="24"/>
        </w:rPr>
        <w:t>LDC</w:t>
      </w:r>
      <w:proofErr w:type="spellEnd"/>
      <w:r w:rsidR="00147207" w:rsidRPr="006833CD">
        <w:rPr>
          <w:rFonts w:ascii="Times New Roman" w:hAnsi="Times New Roman"/>
          <w:bCs/>
          <w:szCs w:val="24"/>
        </w:rPr>
        <w:t xml:space="preserve"> </w:t>
      </w:r>
      <w:r w:rsidR="009D7094" w:rsidRPr="006833CD">
        <w:rPr>
          <w:rFonts w:ascii="Times New Roman" w:hAnsi="Times New Roman"/>
          <w:bCs/>
          <w:szCs w:val="24"/>
        </w:rPr>
        <w:t xml:space="preserve">industry </w:t>
      </w:r>
      <w:r w:rsidR="00147207" w:rsidRPr="006833CD">
        <w:rPr>
          <w:rFonts w:ascii="Times New Roman" w:hAnsi="Times New Roman"/>
          <w:bCs/>
          <w:szCs w:val="24"/>
        </w:rPr>
        <w:t xml:space="preserve">seems staid.  </w:t>
      </w:r>
      <w:r w:rsidR="00BA0D64" w:rsidRPr="006833CD">
        <w:rPr>
          <w:rFonts w:ascii="Times New Roman" w:hAnsi="Times New Roman"/>
          <w:bCs/>
          <w:szCs w:val="24"/>
        </w:rPr>
        <w:t xml:space="preserve">Although </w:t>
      </w:r>
      <w:r w:rsidR="000E0E55" w:rsidRPr="006833CD">
        <w:rPr>
          <w:rFonts w:ascii="Times New Roman" w:hAnsi="Times New Roman"/>
          <w:bCs/>
          <w:szCs w:val="24"/>
        </w:rPr>
        <w:t>T</w:t>
      </w:r>
      <w:r w:rsidR="00BA0D64" w:rsidRPr="006833CD">
        <w:rPr>
          <w:rFonts w:ascii="Times New Roman" w:hAnsi="Times New Roman"/>
          <w:bCs/>
          <w:szCs w:val="24"/>
        </w:rPr>
        <w:t xml:space="preserve">he Brattle </w:t>
      </w:r>
      <w:r w:rsidR="000E0E55" w:rsidRPr="006833CD">
        <w:rPr>
          <w:rFonts w:ascii="Times New Roman" w:hAnsi="Times New Roman"/>
          <w:bCs/>
          <w:szCs w:val="24"/>
        </w:rPr>
        <w:t xml:space="preserve">Group </w:t>
      </w:r>
      <w:r w:rsidR="00BA0D64" w:rsidRPr="006833CD">
        <w:rPr>
          <w:rFonts w:ascii="Times New Roman" w:hAnsi="Times New Roman"/>
          <w:bCs/>
          <w:szCs w:val="24"/>
        </w:rPr>
        <w:t>studies attempted to address these issues, it is possible that variables we omitted could be affecting the results, particularly for the electric utility study whose industry is much less sett</w:t>
      </w:r>
      <w:r w:rsidR="000E0E55" w:rsidRPr="006833CD">
        <w:rPr>
          <w:rFonts w:ascii="Times New Roman" w:hAnsi="Times New Roman"/>
          <w:bCs/>
          <w:szCs w:val="24"/>
        </w:rPr>
        <w:t xml:space="preserve">led than the gas </w:t>
      </w:r>
      <w:proofErr w:type="spellStart"/>
      <w:r w:rsidR="000E0E55" w:rsidRPr="006833CD">
        <w:rPr>
          <w:rFonts w:ascii="Times New Roman" w:hAnsi="Times New Roman"/>
          <w:bCs/>
          <w:szCs w:val="24"/>
        </w:rPr>
        <w:t>LDC</w:t>
      </w:r>
      <w:proofErr w:type="spellEnd"/>
      <w:r w:rsidR="000E0E55" w:rsidRPr="006833CD">
        <w:rPr>
          <w:rFonts w:ascii="Times New Roman" w:hAnsi="Times New Roman"/>
          <w:bCs/>
          <w:szCs w:val="24"/>
        </w:rPr>
        <w:t xml:space="preserve"> industry.</w:t>
      </w:r>
    </w:p>
    <w:p w14:paraId="5D0ABA03" w14:textId="1F065DBB"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BA0D64" w:rsidRPr="006833CD">
        <w:rPr>
          <w:rFonts w:ascii="Times New Roman" w:hAnsi="Times New Roman"/>
          <w:bCs/>
          <w:szCs w:val="24"/>
        </w:rPr>
        <w:t xml:space="preserve">Please review the updated results for the gas </w:t>
      </w:r>
      <w:proofErr w:type="spellStart"/>
      <w:r w:rsidR="00BA0D64" w:rsidRPr="006833CD">
        <w:rPr>
          <w:rFonts w:ascii="Times New Roman" w:hAnsi="Times New Roman"/>
          <w:bCs/>
          <w:szCs w:val="24"/>
        </w:rPr>
        <w:t>LDC</w:t>
      </w:r>
      <w:proofErr w:type="spellEnd"/>
      <w:r w:rsidR="00BA0D64" w:rsidRPr="006833CD">
        <w:rPr>
          <w:rFonts w:ascii="Times New Roman" w:hAnsi="Times New Roman"/>
          <w:bCs/>
          <w:szCs w:val="24"/>
        </w:rPr>
        <w:t xml:space="preserve"> industry in comparison to </w:t>
      </w:r>
      <w:r w:rsidR="003D27FA" w:rsidRPr="006833CD">
        <w:rPr>
          <w:rFonts w:ascii="Times New Roman" w:hAnsi="Times New Roman"/>
          <w:bCs/>
          <w:szCs w:val="24"/>
        </w:rPr>
        <w:t>the electric utility industry.</w:t>
      </w:r>
    </w:p>
    <w:p w14:paraId="5D0ABA04" w14:textId="5E971A69"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BA0D64" w:rsidRPr="006833CD">
        <w:rPr>
          <w:rFonts w:ascii="Times New Roman" w:hAnsi="Times New Roman"/>
          <w:bCs/>
          <w:szCs w:val="24"/>
        </w:rPr>
        <w:t>The coefficient on the decoupling index as shown in Table</w:t>
      </w:r>
      <w:r w:rsidR="000E0E55" w:rsidRPr="006833CD">
        <w:rPr>
          <w:rFonts w:ascii="Times New Roman" w:hAnsi="Times New Roman"/>
          <w:bCs/>
          <w:szCs w:val="24"/>
        </w:rPr>
        <w:t> </w:t>
      </w:r>
      <w:r w:rsidR="00BA0D64" w:rsidRPr="006833CD">
        <w:rPr>
          <w:rFonts w:ascii="Times New Roman" w:hAnsi="Times New Roman"/>
          <w:bCs/>
          <w:szCs w:val="24"/>
        </w:rPr>
        <w:t xml:space="preserve">1 above is </w:t>
      </w:r>
      <w:r w:rsidR="007E1DD5" w:rsidRPr="006833CD">
        <w:rPr>
          <w:rFonts w:ascii="Times New Roman" w:hAnsi="Times New Roman"/>
          <w:bCs/>
          <w:szCs w:val="24"/>
        </w:rPr>
        <w:t xml:space="preserve">about </w:t>
      </w:r>
      <w:r w:rsidR="00BA0D64" w:rsidRPr="006833CD">
        <w:rPr>
          <w:rFonts w:ascii="Times New Roman" w:hAnsi="Times New Roman"/>
          <w:bCs/>
          <w:szCs w:val="24"/>
        </w:rPr>
        <w:t>minus</w:t>
      </w:r>
      <w:r w:rsidR="000E0E55" w:rsidRPr="006833CD">
        <w:rPr>
          <w:rFonts w:ascii="Times New Roman" w:hAnsi="Times New Roman"/>
          <w:bCs/>
          <w:szCs w:val="24"/>
        </w:rPr>
        <w:t> </w:t>
      </w:r>
      <w:r w:rsidR="00BA0D64" w:rsidRPr="006833CD">
        <w:rPr>
          <w:rFonts w:ascii="Times New Roman" w:hAnsi="Times New Roman"/>
          <w:bCs/>
          <w:szCs w:val="24"/>
        </w:rPr>
        <w:t>9</w:t>
      </w:r>
      <w:r w:rsidR="000E0E55" w:rsidRPr="006833CD">
        <w:rPr>
          <w:rFonts w:ascii="Times New Roman" w:hAnsi="Times New Roman"/>
          <w:bCs/>
          <w:szCs w:val="24"/>
        </w:rPr>
        <w:t xml:space="preserve"> basis points </w:t>
      </w:r>
      <w:r w:rsidR="00BA0D64" w:rsidRPr="006833CD">
        <w:rPr>
          <w:rFonts w:ascii="Times New Roman" w:hAnsi="Times New Roman"/>
          <w:bCs/>
          <w:szCs w:val="24"/>
        </w:rPr>
        <w:t xml:space="preserve">with a </w:t>
      </w:r>
      <w:r w:rsidR="00BA0D64" w:rsidRPr="006833CD">
        <w:rPr>
          <w:rFonts w:ascii="Times New Roman" w:hAnsi="Times New Roman"/>
          <w:bCs/>
          <w:i/>
          <w:szCs w:val="24"/>
        </w:rPr>
        <w:t>p</w:t>
      </w:r>
      <w:r w:rsidR="00BA0D64" w:rsidRPr="006833CD">
        <w:rPr>
          <w:rFonts w:ascii="Times New Roman" w:hAnsi="Times New Roman"/>
          <w:bCs/>
          <w:szCs w:val="24"/>
        </w:rPr>
        <w:t xml:space="preserve">-value of about 0.37 </w:t>
      </w:r>
      <w:r w:rsidR="000E0E55" w:rsidRPr="006833CD">
        <w:rPr>
          <w:rFonts w:ascii="Times New Roman" w:hAnsi="Times New Roman"/>
          <w:bCs/>
          <w:szCs w:val="24"/>
        </w:rPr>
        <w:t xml:space="preserve">for the gas </w:t>
      </w:r>
      <w:proofErr w:type="spellStart"/>
      <w:r w:rsidR="000E0E55" w:rsidRPr="006833CD">
        <w:rPr>
          <w:rFonts w:ascii="Times New Roman" w:hAnsi="Times New Roman"/>
          <w:bCs/>
          <w:szCs w:val="24"/>
        </w:rPr>
        <w:t>LDF</w:t>
      </w:r>
      <w:proofErr w:type="spellEnd"/>
      <w:r w:rsidR="000E0E55" w:rsidRPr="006833CD">
        <w:rPr>
          <w:rFonts w:ascii="Times New Roman" w:hAnsi="Times New Roman"/>
          <w:bCs/>
          <w:szCs w:val="24"/>
        </w:rPr>
        <w:t xml:space="preserve"> industry study, as </w:t>
      </w:r>
      <w:r w:rsidR="00BA0D64" w:rsidRPr="006833CD">
        <w:rPr>
          <w:rFonts w:ascii="Times New Roman" w:hAnsi="Times New Roman"/>
          <w:bCs/>
          <w:szCs w:val="24"/>
        </w:rPr>
        <w:t xml:space="preserve">compared to </w:t>
      </w:r>
      <w:r w:rsidR="007E1DD5" w:rsidRPr="006833CD">
        <w:rPr>
          <w:rFonts w:ascii="Times New Roman" w:hAnsi="Times New Roman"/>
          <w:bCs/>
          <w:szCs w:val="24"/>
        </w:rPr>
        <w:t>about minus</w:t>
      </w:r>
      <w:r w:rsidR="000E0E55" w:rsidRPr="006833CD">
        <w:rPr>
          <w:rFonts w:ascii="Times New Roman" w:hAnsi="Times New Roman"/>
          <w:bCs/>
          <w:szCs w:val="24"/>
        </w:rPr>
        <w:t> </w:t>
      </w:r>
      <w:r w:rsidR="007E1DD5" w:rsidRPr="006833CD">
        <w:rPr>
          <w:rFonts w:ascii="Times New Roman" w:hAnsi="Times New Roman"/>
          <w:bCs/>
          <w:szCs w:val="24"/>
        </w:rPr>
        <w:t>26</w:t>
      </w:r>
      <w:r w:rsidR="000E0E55" w:rsidRPr="006833CD">
        <w:rPr>
          <w:rFonts w:ascii="Times New Roman" w:hAnsi="Times New Roman"/>
          <w:bCs/>
          <w:szCs w:val="24"/>
        </w:rPr>
        <w:t xml:space="preserve"> basis points </w:t>
      </w:r>
      <w:r w:rsidR="007E1DD5" w:rsidRPr="006833CD">
        <w:rPr>
          <w:rFonts w:ascii="Times New Roman" w:hAnsi="Times New Roman"/>
          <w:bCs/>
          <w:szCs w:val="24"/>
        </w:rPr>
        <w:t xml:space="preserve">with a </w:t>
      </w:r>
      <w:r w:rsidR="007E1DD5" w:rsidRPr="006833CD">
        <w:rPr>
          <w:rFonts w:ascii="Times New Roman" w:hAnsi="Times New Roman"/>
          <w:bCs/>
          <w:i/>
          <w:szCs w:val="24"/>
        </w:rPr>
        <w:t>p</w:t>
      </w:r>
      <w:r w:rsidR="007E1DD5" w:rsidRPr="006833CD">
        <w:rPr>
          <w:rFonts w:ascii="Times New Roman" w:hAnsi="Times New Roman"/>
          <w:bCs/>
          <w:szCs w:val="24"/>
        </w:rPr>
        <w:t xml:space="preserve">-value of about 0.17 for the electric utility study.  For the more reliable gas </w:t>
      </w:r>
      <w:proofErr w:type="spellStart"/>
      <w:r w:rsidR="007E1DD5" w:rsidRPr="006833CD">
        <w:rPr>
          <w:rFonts w:ascii="Times New Roman" w:hAnsi="Times New Roman"/>
          <w:bCs/>
          <w:szCs w:val="24"/>
        </w:rPr>
        <w:t>LDC</w:t>
      </w:r>
      <w:proofErr w:type="spellEnd"/>
      <w:r w:rsidR="007E1DD5" w:rsidRPr="006833CD">
        <w:rPr>
          <w:rFonts w:ascii="Times New Roman" w:hAnsi="Times New Roman"/>
          <w:bCs/>
          <w:szCs w:val="24"/>
        </w:rPr>
        <w:t xml:space="preserve"> sample, the coefficient is very close to zero, indicating no effect on the cost of capital from decoupling.</w:t>
      </w:r>
    </w:p>
    <w:p w14:paraId="5D0ABA05" w14:textId="69C49133"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C2564" w:rsidRPr="006833CD">
        <w:rPr>
          <w:rFonts w:ascii="Times New Roman" w:hAnsi="Times New Roman"/>
          <w:bCs/>
          <w:szCs w:val="24"/>
        </w:rPr>
        <w:t xml:space="preserve">Why did you not replicate the </w:t>
      </w:r>
      <w:r w:rsidR="003C1E9D" w:rsidRPr="006833CD">
        <w:rPr>
          <w:rFonts w:ascii="Times New Roman" w:hAnsi="Times New Roman"/>
          <w:bCs/>
          <w:szCs w:val="24"/>
        </w:rPr>
        <w:t xml:space="preserve">test on the possibility of </w:t>
      </w:r>
      <w:r w:rsidR="002C2564" w:rsidRPr="006833CD">
        <w:rPr>
          <w:rFonts w:ascii="Times New Roman" w:hAnsi="Times New Roman"/>
          <w:bCs/>
          <w:szCs w:val="24"/>
        </w:rPr>
        <w:t>lead</w:t>
      </w:r>
      <w:r w:rsidR="009E2661" w:rsidRPr="006833CD">
        <w:rPr>
          <w:rFonts w:ascii="Times New Roman" w:hAnsi="Times New Roman"/>
          <w:bCs/>
          <w:szCs w:val="24"/>
        </w:rPr>
        <w:t>ing</w:t>
      </w:r>
      <w:r w:rsidR="002C2564" w:rsidRPr="006833CD">
        <w:rPr>
          <w:rFonts w:ascii="Times New Roman" w:hAnsi="Times New Roman"/>
          <w:bCs/>
          <w:szCs w:val="24"/>
        </w:rPr>
        <w:t xml:space="preserve"> </w:t>
      </w:r>
      <w:r w:rsidR="003C1E9D" w:rsidRPr="006833CD">
        <w:rPr>
          <w:rFonts w:ascii="Times New Roman" w:hAnsi="Times New Roman"/>
          <w:bCs/>
          <w:szCs w:val="24"/>
        </w:rPr>
        <w:t>effect</w:t>
      </w:r>
      <w:r w:rsidR="009E2661" w:rsidRPr="006833CD">
        <w:rPr>
          <w:rFonts w:ascii="Times New Roman" w:hAnsi="Times New Roman"/>
          <w:bCs/>
          <w:szCs w:val="24"/>
        </w:rPr>
        <w:t xml:space="preserve"> from capital markets anticipating decoupling,</w:t>
      </w:r>
      <w:r w:rsidR="002C2564" w:rsidRPr="006833CD">
        <w:rPr>
          <w:rFonts w:ascii="Times New Roman" w:hAnsi="Times New Roman"/>
          <w:bCs/>
          <w:szCs w:val="24"/>
        </w:rPr>
        <w:t xml:space="preserve"> as was done with the original v</w:t>
      </w:r>
      <w:r w:rsidR="003D27FA" w:rsidRPr="006833CD">
        <w:rPr>
          <w:rFonts w:ascii="Times New Roman" w:hAnsi="Times New Roman"/>
          <w:bCs/>
          <w:szCs w:val="24"/>
        </w:rPr>
        <w:t>ersion of the electric sample?</w:t>
      </w:r>
    </w:p>
    <w:p w14:paraId="5D0ABA06" w14:textId="5FF84DF3" w:rsidR="002C256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C2564" w:rsidRPr="006833CD">
        <w:rPr>
          <w:rFonts w:ascii="Times New Roman" w:hAnsi="Times New Roman"/>
          <w:bCs/>
          <w:szCs w:val="24"/>
        </w:rPr>
        <w:t xml:space="preserve">Although the theory underlying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 is sound, we did not replicate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tests in the update because we did not believe that the test provided much in the way of valid information</w:t>
      </w:r>
      <w:r w:rsidR="002C1AF9" w:rsidRPr="006833CD">
        <w:rPr>
          <w:rFonts w:ascii="Times New Roman" w:hAnsi="Times New Roman"/>
          <w:bCs/>
          <w:szCs w:val="24"/>
        </w:rPr>
        <w:t xml:space="preserve"> because practica</w:t>
      </w:r>
      <w:r w:rsidRPr="006833CD">
        <w:rPr>
          <w:rFonts w:ascii="Times New Roman" w:hAnsi="Times New Roman"/>
          <w:bCs/>
          <w:szCs w:val="24"/>
        </w:rPr>
        <w:t>l implication is so imprecise.</w:t>
      </w:r>
    </w:p>
    <w:p w14:paraId="5D0ABA07" w14:textId="5CB03DC4" w:rsidR="002C2564" w:rsidRPr="006833CD" w:rsidRDefault="002C1AF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3D27FA" w:rsidRPr="006833CD">
        <w:rPr>
          <w:rFonts w:ascii="Times New Roman" w:hAnsi="Times New Roman"/>
          <w:bCs/>
          <w:szCs w:val="24"/>
        </w:rPr>
        <w:t>.</w:t>
      </w:r>
      <w:r w:rsidRPr="006833CD">
        <w:rPr>
          <w:rFonts w:ascii="Times New Roman" w:hAnsi="Times New Roman"/>
          <w:bCs/>
          <w:szCs w:val="24"/>
        </w:rPr>
        <w:tab/>
        <w:t xml:space="preserve">What is the theory underlying the </w:t>
      </w:r>
      <w:r w:rsidR="009E2661" w:rsidRPr="006833CD">
        <w:rPr>
          <w:rFonts w:ascii="Times New Roman" w:hAnsi="Times New Roman"/>
          <w:bCs/>
          <w:szCs w:val="24"/>
        </w:rPr>
        <w:t>leading indicator</w:t>
      </w:r>
      <w:r w:rsidR="003D27FA" w:rsidRPr="006833CD">
        <w:rPr>
          <w:rFonts w:ascii="Times New Roman" w:hAnsi="Times New Roman"/>
          <w:bCs/>
          <w:szCs w:val="24"/>
        </w:rPr>
        <w:t xml:space="preserve"> test?</w:t>
      </w:r>
    </w:p>
    <w:p w14:paraId="5D0ABA08" w14:textId="57E63226" w:rsidR="002C1AF9" w:rsidRPr="006833CD" w:rsidRDefault="002C1AF9"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The theory is that information on the proposal to implement decoupling is known by investors prior to the </w:t>
      </w:r>
      <w:r w:rsidR="003C1E9D" w:rsidRPr="006833CD">
        <w:rPr>
          <w:rFonts w:ascii="Times New Roman" w:hAnsi="Times New Roman"/>
          <w:szCs w:val="24"/>
        </w:rPr>
        <w:t xml:space="preserve">date the </w:t>
      </w:r>
      <w:r w:rsidRPr="006833CD">
        <w:rPr>
          <w:rFonts w:ascii="Times New Roman" w:hAnsi="Times New Roman"/>
          <w:szCs w:val="24"/>
        </w:rPr>
        <w:t xml:space="preserve">regulator’s final decision to adopt decoupling </w:t>
      </w:r>
      <w:r w:rsidR="003C1E9D" w:rsidRPr="006833CD">
        <w:rPr>
          <w:rFonts w:ascii="Times New Roman" w:hAnsi="Times New Roman"/>
          <w:szCs w:val="24"/>
        </w:rPr>
        <w:t>(</w:t>
      </w:r>
      <w:r w:rsidRPr="006833CD">
        <w:rPr>
          <w:rFonts w:ascii="Times New Roman" w:hAnsi="Times New Roman"/>
          <w:szCs w:val="24"/>
        </w:rPr>
        <w:t xml:space="preserve">or </w:t>
      </w:r>
      <w:r w:rsidRPr="006833CD">
        <w:rPr>
          <w:rFonts w:ascii="Times New Roman" w:hAnsi="Times New Roman"/>
          <w:szCs w:val="24"/>
        </w:rPr>
        <w:lastRenderedPageBreak/>
        <w:t>not</w:t>
      </w:r>
      <w:r w:rsidR="003C1E9D" w:rsidRPr="006833CD">
        <w:rPr>
          <w:rFonts w:ascii="Times New Roman" w:hAnsi="Times New Roman"/>
          <w:szCs w:val="24"/>
        </w:rPr>
        <w:t>)</w:t>
      </w:r>
      <w:r w:rsidRPr="006833CD">
        <w:rPr>
          <w:rFonts w:ascii="Times New Roman" w:hAnsi="Times New Roman"/>
          <w:szCs w:val="24"/>
        </w:rPr>
        <w:t xml:space="preserve"> is announced or published.  If there is an effect on the cost of capital from adoption of decoupling, the effect is likely to show up on the market well before </w:t>
      </w:r>
      <w:r w:rsidR="00E905EA" w:rsidRPr="006833CD">
        <w:rPr>
          <w:rFonts w:ascii="Times New Roman" w:hAnsi="Times New Roman"/>
          <w:szCs w:val="24"/>
        </w:rPr>
        <w:t xml:space="preserve">a </w:t>
      </w:r>
      <w:r w:rsidR="003255A1" w:rsidRPr="006833CD">
        <w:rPr>
          <w:rFonts w:ascii="Times New Roman" w:hAnsi="Times New Roman"/>
          <w:szCs w:val="24"/>
        </w:rPr>
        <w:t>formal announcement.</w:t>
      </w:r>
    </w:p>
    <w:p w14:paraId="5D0ABA09" w14:textId="62C5B494" w:rsidR="002C1AF9" w:rsidRPr="006833CD" w:rsidRDefault="002C1AF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What are the practical difficulties with the </w:t>
      </w:r>
      <w:r w:rsidR="009E2661" w:rsidRPr="006833CD">
        <w:rPr>
          <w:rFonts w:ascii="Times New Roman" w:hAnsi="Times New Roman"/>
          <w:bCs/>
          <w:szCs w:val="24"/>
        </w:rPr>
        <w:t>leading indicator</w:t>
      </w:r>
      <w:r w:rsidRPr="006833CD">
        <w:rPr>
          <w:rFonts w:ascii="Times New Roman" w:hAnsi="Times New Roman"/>
          <w:bCs/>
          <w:szCs w:val="24"/>
        </w:rPr>
        <w:t xml:space="preserve"> test</w:t>
      </w:r>
      <w:r w:rsidR="003D27FA" w:rsidRPr="006833CD">
        <w:rPr>
          <w:rFonts w:ascii="Times New Roman" w:hAnsi="Times New Roman"/>
          <w:bCs/>
          <w:szCs w:val="24"/>
        </w:rPr>
        <w:t>?</w:t>
      </w:r>
    </w:p>
    <w:p w14:paraId="7F8B8CF2" w14:textId="77777777" w:rsidR="003255A1"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2C1AF9" w:rsidRPr="006833CD">
        <w:rPr>
          <w:rFonts w:ascii="Times New Roman" w:hAnsi="Times New Roman"/>
          <w:bCs/>
          <w:szCs w:val="24"/>
        </w:rPr>
        <w:tab/>
        <w:t xml:space="preserve">The test requires an assumption on when the market effect of a decision not yet announced occurs.  Logically, the market is aware of the proposal for decoupling and considers </w:t>
      </w:r>
      <w:r w:rsidRPr="006833CD">
        <w:rPr>
          <w:rFonts w:ascii="Times New Roman" w:hAnsi="Times New Roman"/>
          <w:bCs/>
          <w:szCs w:val="24"/>
        </w:rPr>
        <w:t>at least three factors.</w:t>
      </w:r>
    </w:p>
    <w:p w14:paraId="0D545B0E" w14:textId="56F304A7" w:rsidR="003255A1" w:rsidRPr="006833CD" w:rsidRDefault="002C1AF9" w:rsidP="003255A1">
      <w:pPr>
        <w:pStyle w:val="answer"/>
        <w:spacing w:before="0" w:after="280" w:line="240" w:lineRule="auto"/>
        <w:ind w:left="2160" w:right="720"/>
        <w:rPr>
          <w:rFonts w:ascii="Times New Roman" w:hAnsi="Times New Roman"/>
          <w:bCs/>
          <w:szCs w:val="24"/>
        </w:rPr>
      </w:pPr>
      <w:r w:rsidRPr="006833CD">
        <w:rPr>
          <w:rFonts w:ascii="Times New Roman" w:hAnsi="Times New Roman"/>
          <w:bCs/>
          <w:szCs w:val="24"/>
        </w:rPr>
        <w:t>1.</w:t>
      </w:r>
      <w:r w:rsidRPr="006833CD">
        <w:rPr>
          <w:rFonts w:ascii="Times New Roman" w:hAnsi="Times New Roman"/>
          <w:bCs/>
          <w:szCs w:val="24"/>
        </w:rPr>
        <w:tab/>
        <w:t>What is the probability tha</w:t>
      </w:r>
      <w:r w:rsidR="003255A1" w:rsidRPr="006833CD">
        <w:rPr>
          <w:rFonts w:ascii="Times New Roman" w:hAnsi="Times New Roman"/>
          <w:bCs/>
          <w:szCs w:val="24"/>
        </w:rPr>
        <w:t>t the proposal will be adopted?</w:t>
      </w:r>
    </w:p>
    <w:p w14:paraId="2C37FC3C" w14:textId="5E526576" w:rsidR="003255A1" w:rsidRPr="006833CD" w:rsidRDefault="003255A1" w:rsidP="003255A1">
      <w:pPr>
        <w:pStyle w:val="answer"/>
        <w:spacing w:before="0" w:after="280" w:line="240" w:lineRule="auto"/>
        <w:ind w:left="2160" w:right="720"/>
        <w:rPr>
          <w:rFonts w:ascii="Times New Roman" w:hAnsi="Times New Roman"/>
          <w:bCs/>
          <w:szCs w:val="24"/>
        </w:rPr>
      </w:pPr>
      <w:r w:rsidRPr="006833CD">
        <w:rPr>
          <w:rFonts w:ascii="Times New Roman" w:hAnsi="Times New Roman"/>
          <w:bCs/>
          <w:szCs w:val="24"/>
        </w:rPr>
        <w:t>2.</w:t>
      </w:r>
      <w:r w:rsidR="002C1AF9" w:rsidRPr="006833CD">
        <w:rPr>
          <w:rFonts w:ascii="Times New Roman" w:hAnsi="Times New Roman"/>
          <w:bCs/>
          <w:szCs w:val="24"/>
        </w:rPr>
        <w:tab/>
        <w:t>What is the likely effect on the company and its</w:t>
      </w:r>
      <w:r w:rsidRPr="006833CD">
        <w:rPr>
          <w:rFonts w:ascii="Times New Roman" w:hAnsi="Times New Roman"/>
          <w:bCs/>
          <w:szCs w:val="24"/>
        </w:rPr>
        <w:t xml:space="preserve"> cost of capital?</w:t>
      </w:r>
    </w:p>
    <w:p w14:paraId="5D0ABA0D" w14:textId="605477C6" w:rsidR="002C1AF9" w:rsidRPr="006833CD" w:rsidRDefault="003255A1" w:rsidP="003255A1">
      <w:pPr>
        <w:pStyle w:val="answer"/>
        <w:spacing w:before="0" w:after="280" w:line="240" w:lineRule="auto"/>
        <w:ind w:left="2160" w:right="720"/>
        <w:rPr>
          <w:rFonts w:ascii="Times New Roman" w:hAnsi="Times New Roman"/>
          <w:szCs w:val="24"/>
        </w:rPr>
      </w:pPr>
      <w:r w:rsidRPr="006833CD">
        <w:rPr>
          <w:rFonts w:ascii="Times New Roman" w:hAnsi="Times New Roman"/>
          <w:bCs/>
          <w:szCs w:val="24"/>
        </w:rPr>
        <w:t>3.</w:t>
      </w:r>
      <w:r w:rsidR="002C1AF9" w:rsidRPr="006833CD">
        <w:rPr>
          <w:rFonts w:ascii="Times New Roman" w:hAnsi="Times New Roman"/>
          <w:bCs/>
          <w:szCs w:val="24"/>
        </w:rPr>
        <w:tab/>
        <w:t>If adopted, is the decision likely to survive legal challenge, if any?</w:t>
      </w:r>
    </w:p>
    <w:p w14:paraId="5D0ABA0F" w14:textId="76C900E5" w:rsidR="002C2564" w:rsidRPr="006833CD" w:rsidRDefault="008572FE" w:rsidP="00197FE2">
      <w:pPr>
        <w:pStyle w:val="answer"/>
        <w:ind w:firstLine="0"/>
        <w:rPr>
          <w:rFonts w:ascii="Times New Roman" w:hAnsi="Times New Roman"/>
          <w:szCs w:val="24"/>
        </w:rPr>
      </w:pPr>
      <w:r w:rsidRPr="006833CD">
        <w:rPr>
          <w:rFonts w:ascii="Times New Roman" w:hAnsi="Times New Roman"/>
          <w:bCs/>
          <w:szCs w:val="24"/>
        </w:rPr>
        <w:t xml:space="preserve">The data for the original version of the electric utility study is quarterly.  We characterized a company as decoupled if the published decision of the adoption of decoupling occurred anytime within the quarter.  So, the actual decision date could be at the beginning or end of the period.  In addition, in some cases, the date of the decision was preceded by an announcement on the status of decoupling that could precede the decision by several quarters.  </w:t>
      </w:r>
      <w:r w:rsidR="002C2564" w:rsidRPr="006833CD">
        <w:rPr>
          <w:rFonts w:ascii="Times New Roman" w:hAnsi="Times New Roman"/>
          <w:szCs w:val="24"/>
        </w:rPr>
        <w:t xml:space="preserve">It is also likely that the </w:t>
      </w:r>
      <w:r w:rsidRPr="006833CD">
        <w:rPr>
          <w:rFonts w:ascii="Times New Roman" w:hAnsi="Times New Roman"/>
          <w:szCs w:val="24"/>
        </w:rPr>
        <w:t xml:space="preserve">announcement </w:t>
      </w:r>
      <w:r w:rsidR="002C2564" w:rsidRPr="006833CD">
        <w:rPr>
          <w:rFonts w:ascii="Times New Roman" w:hAnsi="Times New Roman"/>
          <w:szCs w:val="24"/>
        </w:rPr>
        <w:t xml:space="preserve">effect varies </w:t>
      </w:r>
      <w:r w:rsidR="00C13CEC" w:rsidRPr="006833CD">
        <w:rPr>
          <w:rFonts w:ascii="Times New Roman" w:hAnsi="Times New Roman"/>
          <w:szCs w:val="24"/>
        </w:rPr>
        <w:t>considerab</w:t>
      </w:r>
      <w:r w:rsidR="002C2564" w:rsidRPr="006833CD">
        <w:rPr>
          <w:rFonts w:ascii="Times New Roman" w:hAnsi="Times New Roman"/>
          <w:szCs w:val="24"/>
        </w:rPr>
        <w:t xml:space="preserve">ly from jurisdiction to jurisdiction because the level of uncertainty </w:t>
      </w:r>
      <w:r w:rsidRPr="006833CD">
        <w:rPr>
          <w:rFonts w:ascii="Times New Roman" w:hAnsi="Times New Roman"/>
          <w:szCs w:val="24"/>
        </w:rPr>
        <w:t xml:space="preserve">as to whether and when decoupling may be adopted </w:t>
      </w:r>
      <w:r w:rsidR="002C2564" w:rsidRPr="006833CD">
        <w:rPr>
          <w:rFonts w:ascii="Times New Roman" w:hAnsi="Times New Roman"/>
          <w:szCs w:val="24"/>
        </w:rPr>
        <w:t>is much higher</w:t>
      </w:r>
      <w:r w:rsidRPr="006833CD">
        <w:rPr>
          <w:rFonts w:ascii="Times New Roman" w:hAnsi="Times New Roman"/>
          <w:szCs w:val="24"/>
        </w:rPr>
        <w:t xml:space="preserve"> in some </w:t>
      </w:r>
      <w:r w:rsidR="00C13CEC" w:rsidRPr="006833CD">
        <w:rPr>
          <w:rFonts w:ascii="Times New Roman" w:hAnsi="Times New Roman"/>
          <w:szCs w:val="24"/>
        </w:rPr>
        <w:t>states</w:t>
      </w:r>
      <w:r w:rsidRPr="006833CD">
        <w:rPr>
          <w:rFonts w:ascii="Times New Roman" w:hAnsi="Times New Roman"/>
          <w:szCs w:val="24"/>
        </w:rPr>
        <w:t>.</w:t>
      </w:r>
    </w:p>
    <w:p w14:paraId="5D0ABA10" w14:textId="63EEC2AC"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2330A1" w:rsidRPr="006833CD">
        <w:rPr>
          <w:rFonts w:ascii="Times New Roman" w:hAnsi="Times New Roman"/>
          <w:bCs/>
          <w:szCs w:val="24"/>
        </w:rPr>
        <w:t xml:space="preserve">Do the </w:t>
      </w:r>
      <w:r w:rsidR="009E2661" w:rsidRPr="006833CD">
        <w:rPr>
          <w:rFonts w:ascii="Times New Roman" w:hAnsi="Times New Roman"/>
          <w:bCs/>
          <w:szCs w:val="24"/>
        </w:rPr>
        <w:t>leading indicator</w:t>
      </w:r>
      <w:r w:rsidR="002330A1" w:rsidRPr="006833CD">
        <w:rPr>
          <w:rFonts w:ascii="Times New Roman" w:hAnsi="Times New Roman"/>
          <w:bCs/>
          <w:szCs w:val="24"/>
        </w:rPr>
        <w:t xml:space="preserve"> tests represent independent tests of the effect of dec</w:t>
      </w:r>
      <w:r w:rsidR="003D27FA" w:rsidRPr="006833CD">
        <w:rPr>
          <w:rFonts w:ascii="Times New Roman" w:hAnsi="Times New Roman"/>
          <w:bCs/>
          <w:szCs w:val="24"/>
        </w:rPr>
        <w:t>oupling on the cost of capital?</w:t>
      </w:r>
    </w:p>
    <w:p w14:paraId="3492FC17" w14:textId="3B6B9290" w:rsidR="0023546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330A1" w:rsidRPr="006833CD">
        <w:rPr>
          <w:rFonts w:ascii="Times New Roman" w:hAnsi="Times New Roman"/>
          <w:bCs/>
          <w:szCs w:val="24"/>
        </w:rPr>
        <w:t xml:space="preserve">No.  Both </w:t>
      </w:r>
      <w:r w:rsidR="0030288F" w:rsidRPr="006833CD">
        <w:rPr>
          <w:rFonts w:ascii="Times New Roman" w:hAnsi="Times New Roman"/>
          <w:szCs w:val="24"/>
        </w:rPr>
        <w:t>Dr.</w:t>
      </w:r>
      <w:r w:rsidR="0030288F">
        <w:rPr>
          <w:rFonts w:ascii="Times New Roman" w:hAnsi="Times New Roman"/>
          <w:szCs w:val="24"/>
        </w:rPr>
        <w:t> </w:t>
      </w:r>
      <w:r w:rsidR="002330A1" w:rsidRPr="006833CD">
        <w:rPr>
          <w:rFonts w:ascii="Times New Roman" w:hAnsi="Times New Roman"/>
          <w:bCs/>
          <w:szCs w:val="24"/>
        </w:rPr>
        <w:t xml:space="preserve">Adolph and </w:t>
      </w:r>
      <w:r w:rsidR="0030288F" w:rsidRPr="006833CD">
        <w:rPr>
          <w:rFonts w:ascii="Times New Roman" w:hAnsi="Times New Roman"/>
          <w:szCs w:val="24"/>
        </w:rPr>
        <w:t>Mr.</w:t>
      </w:r>
      <w:r w:rsidR="0030288F">
        <w:rPr>
          <w:rFonts w:ascii="Times New Roman" w:hAnsi="Times New Roman"/>
          <w:szCs w:val="24"/>
        </w:rPr>
        <w:t> </w:t>
      </w:r>
      <w:r w:rsidR="002330A1" w:rsidRPr="006833CD">
        <w:rPr>
          <w:rFonts w:ascii="Times New Roman" w:hAnsi="Times New Roman"/>
          <w:bCs/>
          <w:szCs w:val="24"/>
        </w:rPr>
        <w:t xml:space="preserve">Hill </w:t>
      </w:r>
      <w:r w:rsidR="00197FE2" w:rsidRPr="006833CD">
        <w:rPr>
          <w:rFonts w:ascii="Times New Roman" w:hAnsi="Times New Roman"/>
          <w:bCs/>
          <w:szCs w:val="24"/>
        </w:rPr>
        <w:t xml:space="preserve">refer to </w:t>
      </w:r>
      <w:r w:rsidR="002330A1" w:rsidRPr="006833CD">
        <w:rPr>
          <w:rFonts w:ascii="Times New Roman" w:hAnsi="Times New Roman"/>
          <w:bCs/>
          <w:szCs w:val="24"/>
        </w:rPr>
        <w:t xml:space="preserve">results from the </w:t>
      </w:r>
      <w:r w:rsidR="00E917C6" w:rsidRPr="006833CD">
        <w:rPr>
          <w:rFonts w:ascii="Times New Roman" w:hAnsi="Times New Roman"/>
          <w:bCs/>
          <w:szCs w:val="24"/>
        </w:rPr>
        <w:t xml:space="preserve">multiple </w:t>
      </w:r>
      <w:r w:rsidR="002330A1" w:rsidRPr="006833CD">
        <w:rPr>
          <w:rFonts w:ascii="Times New Roman" w:hAnsi="Times New Roman"/>
          <w:bCs/>
          <w:szCs w:val="24"/>
        </w:rPr>
        <w:t xml:space="preserve">tests of </w:t>
      </w:r>
      <w:r w:rsidR="00E917C6" w:rsidRPr="006833CD">
        <w:rPr>
          <w:rFonts w:ascii="Times New Roman" w:hAnsi="Times New Roman"/>
          <w:bCs/>
          <w:szCs w:val="24"/>
        </w:rPr>
        <w:t>the</w:t>
      </w:r>
      <w:r w:rsidR="002330A1" w:rsidRPr="006833CD">
        <w:rPr>
          <w:rFonts w:ascii="Times New Roman" w:hAnsi="Times New Roman"/>
          <w:bCs/>
          <w:szCs w:val="24"/>
        </w:rPr>
        <w:t xml:space="preserve"> “lead” effect of decoupling as if these results represent multiple independent tests on the cost of capital.</w:t>
      </w:r>
      <w:r w:rsidR="002330A1" w:rsidRPr="006833CD">
        <w:rPr>
          <w:rStyle w:val="FootnoteReference"/>
        </w:rPr>
        <w:footnoteReference w:id="10"/>
      </w:r>
      <w:r w:rsidR="002330A1" w:rsidRPr="006833CD">
        <w:rPr>
          <w:rFonts w:ascii="Times New Roman" w:hAnsi="Times New Roman"/>
          <w:bCs/>
          <w:szCs w:val="24"/>
        </w:rPr>
        <w:t xml:space="preserve">  The </w:t>
      </w:r>
      <w:r w:rsidR="009E2661" w:rsidRPr="006833CD">
        <w:rPr>
          <w:rFonts w:ascii="Times New Roman" w:hAnsi="Times New Roman"/>
          <w:bCs/>
          <w:szCs w:val="24"/>
        </w:rPr>
        <w:t>leading indicator</w:t>
      </w:r>
      <w:r w:rsidR="002330A1" w:rsidRPr="006833CD">
        <w:rPr>
          <w:rFonts w:ascii="Times New Roman" w:hAnsi="Times New Roman"/>
          <w:bCs/>
          <w:szCs w:val="24"/>
        </w:rPr>
        <w:t xml:space="preserve"> tests rely upon exactly the </w:t>
      </w:r>
      <w:r w:rsidR="003C1E9D" w:rsidRPr="006833CD">
        <w:rPr>
          <w:rFonts w:ascii="Times New Roman" w:hAnsi="Times New Roman"/>
          <w:bCs/>
          <w:szCs w:val="24"/>
        </w:rPr>
        <w:t xml:space="preserve">same </w:t>
      </w:r>
      <w:r w:rsidR="002330A1" w:rsidRPr="006833CD">
        <w:rPr>
          <w:rFonts w:ascii="Times New Roman" w:hAnsi="Times New Roman"/>
          <w:bCs/>
          <w:szCs w:val="24"/>
        </w:rPr>
        <w:t xml:space="preserve">sample data set </w:t>
      </w:r>
      <w:r w:rsidR="003C1E9D" w:rsidRPr="006833CD">
        <w:rPr>
          <w:rFonts w:ascii="Times New Roman" w:hAnsi="Times New Roman"/>
          <w:bCs/>
          <w:szCs w:val="24"/>
        </w:rPr>
        <w:t xml:space="preserve">but </w:t>
      </w:r>
      <w:r w:rsidR="002330A1" w:rsidRPr="006833CD">
        <w:rPr>
          <w:rFonts w:ascii="Times New Roman" w:hAnsi="Times New Roman"/>
          <w:bCs/>
          <w:szCs w:val="24"/>
        </w:rPr>
        <w:t>modified by an adjustment as to when decoupling affected the mark</w:t>
      </w:r>
      <w:r w:rsidR="00197FE2" w:rsidRPr="006833CD">
        <w:rPr>
          <w:rFonts w:ascii="Times New Roman" w:hAnsi="Times New Roman"/>
          <w:bCs/>
          <w:szCs w:val="24"/>
        </w:rPr>
        <w:t>et determined cost of capital.</w:t>
      </w:r>
    </w:p>
    <w:p w14:paraId="7FE52C40" w14:textId="752E90C8" w:rsidR="00235460" w:rsidRPr="006833CD" w:rsidRDefault="0023546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 you recognize the limitations of </w:t>
      </w:r>
      <w:r w:rsidR="00197FE2" w:rsidRPr="006833CD">
        <w:rPr>
          <w:rFonts w:ascii="Times New Roman" w:hAnsi="Times New Roman"/>
          <w:bCs/>
          <w:szCs w:val="24"/>
        </w:rPr>
        <w:t>T</w:t>
      </w:r>
      <w:r w:rsidRPr="006833CD">
        <w:rPr>
          <w:rFonts w:ascii="Times New Roman" w:hAnsi="Times New Roman"/>
          <w:bCs/>
          <w:szCs w:val="24"/>
        </w:rPr>
        <w:t xml:space="preserve">he Brattle </w:t>
      </w:r>
      <w:r w:rsidR="00197FE2" w:rsidRPr="006833CD">
        <w:rPr>
          <w:rFonts w:ascii="Times New Roman" w:hAnsi="Times New Roman"/>
          <w:bCs/>
          <w:szCs w:val="24"/>
        </w:rPr>
        <w:t xml:space="preserve">Group </w:t>
      </w:r>
      <w:r w:rsidRPr="006833CD">
        <w:rPr>
          <w:rFonts w:ascii="Times New Roman" w:hAnsi="Times New Roman"/>
          <w:bCs/>
          <w:szCs w:val="24"/>
        </w:rPr>
        <w:t>reports?</w:t>
      </w:r>
    </w:p>
    <w:p w14:paraId="56C3C436" w14:textId="63863592" w:rsidR="00E45F27" w:rsidRPr="006833CD" w:rsidRDefault="003255A1" w:rsidP="003255A1">
      <w:pPr>
        <w:pStyle w:val="answer"/>
        <w:rPr>
          <w:rFonts w:ascii="Times New Roman" w:hAnsi="Times New Roman"/>
          <w:szCs w:val="24"/>
        </w:rPr>
      </w:pPr>
      <w:r w:rsidRPr="006833CD">
        <w:rPr>
          <w:rFonts w:ascii="Times New Roman" w:hAnsi="Times New Roman"/>
          <w:szCs w:val="24"/>
        </w:rPr>
        <w:t>A.</w:t>
      </w:r>
      <w:r w:rsidR="00235460" w:rsidRPr="006833CD">
        <w:rPr>
          <w:rFonts w:ascii="Times New Roman" w:hAnsi="Times New Roman"/>
          <w:szCs w:val="24"/>
        </w:rPr>
        <w:tab/>
        <w:t xml:space="preserve">Yes.  </w:t>
      </w:r>
      <w:r w:rsidR="00E31C08" w:rsidRPr="006833CD">
        <w:rPr>
          <w:rFonts w:ascii="Times New Roman" w:hAnsi="Times New Roman"/>
          <w:szCs w:val="24"/>
        </w:rPr>
        <w:t xml:space="preserve">The Brattle Group </w:t>
      </w:r>
      <w:r w:rsidR="00E45F27" w:rsidRPr="006833CD">
        <w:rPr>
          <w:rFonts w:ascii="Times New Roman" w:hAnsi="Times New Roman"/>
          <w:szCs w:val="24"/>
        </w:rPr>
        <w:t>ha</w:t>
      </w:r>
      <w:r w:rsidR="00E31C08" w:rsidRPr="006833CD">
        <w:rPr>
          <w:rFonts w:ascii="Times New Roman" w:hAnsi="Times New Roman"/>
          <w:szCs w:val="24"/>
        </w:rPr>
        <w:t>s</w:t>
      </w:r>
      <w:r w:rsidR="00E45F27" w:rsidRPr="006833CD">
        <w:rPr>
          <w:rFonts w:ascii="Times New Roman" w:hAnsi="Times New Roman"/>
          <w:szCs w:val="24"/>
        </w:rPr>
        <w:t xml:space="preserve"> used all available data for both the electric sample and the gas </w:t>
      </w:r>
      <w:proofErr w:type="spellStart"/>
      <w:r w:rsidR="00E45F27" w:rsidRPr="006833CD">
        <w:rPr>
          <w:rFonts w:ascii="Times New Roman" w:hAnsi="Times New Roman"/>
          <w:szCs w:val="24"/>
        </w:rPr>
        <w:t>LDC</w:t>
      </w:r>
      <w:proofErr w:type="spellEnd"/>
      <w:r w:rsidR="00E45F27" w:rsidRPr="006833CD">
        <w:rPr>
          <w:rFonts w:ascii="Times New Roman" w:hAnsi="Times New Roman"/>
          <w:szCs w:val="24"/>
        </w:rPr>
        <w:t xml:space="preserve"> sample, and we did not “cherry pick” the data.</w:t>
      </w:r>
      <w:r w:rsidR="00E45F27" w:rsidRPr="006833CD">
        <w:rPr>
          <w:rStyle w:val="FootnoteReference"/>
        </w:rPr>
        <w:footnoteReference w:id="11"/>
      </w:r>
      <w:r w:rsidR="00E45F27" w:rsidRPr="006833CD">
        <w:rPr>
          <w:rFonts w:ascii="Times New Roman" w:hAnsi="Times New Roman"/>
          <w:szCs w:val="24"/>
        </w:rPr>
        <w:t xml:space="preserve">  We were careful to explain our data sources and our various filters to arrive at our final samples.  </w:t>
      </w:r>
      <w:r w:rsidR="00AF6FD1" w:rsidRPr="006833CD">
        <w:rPr>
          <w:rFonts w:ascii="Times New Roman" w:hAnsi="Times New Roman"/>
          <w:szCs w:val="24"/>
        </w:rPr>
        <w:t xml:space="preserve">We used every observation we had that </w:t>
      </w:r>
      <w:r w:rsidR="00A56179" w:rsidRPr="006833CD">
        <w:rPr>
          <w:rFonts w:ascii="Times New Roman" w:hAnsi="Times New Roman"/>
          <w:szCs w:val="24"/>
        </w:rPr>
        <w:t>was</w:t>
      </w:r>
      <w:r w:rsidR="00AF6FD1" w:rsidRPr="006833CD">
        <w:rPr>
          <w:rFonts w:ascii="Times New Roman" w:hAnsi="Times New Roman"/>
          <w:szCs w:val="24"/>
        </w:rPr>
        <w:t xml:space="preserve"> not deleted for the reasons specified in the reports.  </w:t>
      </w:r>
      <w:r w:rsidR="00E45F27" w:rsidRPr="006833CD">
        <w:rPr>
          <w:rFonts w:ascii="Times New Roman" w:hAnsi="Times New Roman"/>
          <w:szCs w:val="24"/>
        </w:rPr>
        <w:t>However, the samples</w:t>
      </w:r>
      <w:r w:rsidRPr="006833CD">
        <w:rPr>
          <w:rFonts w:ascii="Times New Roman" w:hAnsi="Times New Roman"/>
          <w:szCs w:val="24"/>
        </w:rPr>
        <w:t xml:space="preserve"> are small as Dr.</w:t>
      </w:r>
      <w:r w:rsidR="00E31C08" w:rsidRPr="006833CD">
        <w:rPr>
          <w:rFonts w:ascii="Times New Roman" w:hAnsi="Times New Roman"/>
          <w:szCs w:val="24"/>
        </w:rPr>
        <w:t> </w:t>
      </w:r>
      <w:r w:rsidR="00C179C5" w:rsidRPr="006833CD">
        <w:rPr>
          <w:rFonts w:ascii="Times New Roman" w:hAnsi="Times New Roman"/>
          <w:szCs w:val="24"/>
        </w:rPr>
        <w:t xml:space="preserve">Adolph </w:t>
      </w:r>
      <w:r w:rsidRPr="006833CD">
        <w:rPr>
          <w:rFonts w:ascii="Times New Roman" w:hAnsi="Times New Roman"/>
          <w:szCs w:val="24"/>
        </w:rPr>
        <w:t>notes.</w:t>
      </w:r>
    </w:p>
    <w:p w14:paraId="7F295E58" w14:textId="05288B12" w:rsidR="00E45F27" w:rsidRPr="006833CD" w:rsidRDefault="00E45F27"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After deleting missing data, the November 2014 electric model includes only 14 firms, but only 12 firms were observed to experience a change in the degree of decoupling within the set of observations modeled by the linear regression.  Because these models include controls for each firm, only the 12 firms with fully observed changes in decoupling tell us anything about the effects of decoupling in the electric utility industry.  Twelve studied units is a fairly small number for a panel study.  Likewise, the 2014 gas model includes only 12 firms, but of these, only the 10 firms that we observed within the modeled data to experience a change in the degree of decoupling tell us anything about the effects of </w:t>
      </w:r>
      <w:r w:rsidRPr="006833CD">
        <w:rPr>
          <w:rFonts w:ascii="Times New Roman" w:hAnsi="Times New Roman"/>
          <w:szCs w:val="24"/>
        </w:rPr>
        <w:lastRenderedPageBreak/>
        <w:t>decoupling in the gas utility industry.  Compared to other datasets studying a series of units through time, these are relatively small datasets, though not outside the range of published panel data studies.  The relatively small sample creates the possibility of obtaining imprecise results even if decoupling has a real-world effect on the cost of capital.  Nevertheless, despite its relatively small size, the current sample is sufficient to produce usable evidence about the effect of decoupling on the cost of capital, and does not alter my recommendations below.</w:t>
      </w:r>
      <w:r w:rsidR="00E31C08" w:rsidRPr="006833CD">
        <w:rPr>
          <w:rStyle w:val="FootnoteReference"/>
        </w:rPr>
        <w:footnoteReference w:id="12"/>
      </w:r>
    </w:p>
    <w:p w14:paraId="4E712FDA" w14:textId="17C572BD" w:rsidR="00E45F27" w:rsidRPr="006833CD" w:rsidRDefault="00E45F27" w:rsidP="003255A1">
      <w:pPr>
        <w:pStyle w:val="answer"/>
        <w:ind w:firstLine="0"/>
        <w:rPr>
          <w:rFonts w:ascii="Times New Roman" w:hAnsi="Times New Roman"/>
          <w:szCs w:val="24"/>
        </w:rPr>
      </w:pPr>
      <w:r w:rsidRPr="006833CD">
        <w:rPr>
          <w:rFonts w:ascii="Times New Roman" w:hAnsi="Times New Roman"/>
          <w:szCs w:val="24"/>
        </w:rPr>
        <w:t xml:space="preserve">Despite the limited sample size and imprecision of the results, </w:t>
      </w:r>
      <w:r w:rsidR="0030288F" w:rsidRPr="006833CD">
        <w:rPr>
          <w:rFonts w:ascii="Times New Roman" w:hAnsi="Times New Roman"/>
          <w:szCs w:val="24"/>
        </w:rPr>
        <w:t>Dr.</w:t>
      </w:r>
      <w:r w:rsidR="0030288F">
        <w:rPr>
          <w:rFonts w:ascii="Times New Roman" w:hAnsi="Times New Roman"/>
          <w:szCs w:val="24"/>
        </w:rPr>
        <w:t> </w:t>
      </w:r>
      <w:r w:rsidR="00C179C5" w:rsidRPr="006833CD">
        <w:rPr>
          <w:rFonts w:ascii="Times New Roman" w:hAnsi="Times New Roman"/>
          <w:szCs w:val="24"/>
        </w:rPr>
        <w:t xml:space="preserve">Adolph </w:t>
      </w:r>
      <w:r w:rsidRPr="006833CD">
        <w:rPr>
          <w:rFonts w:ascii="Times New Roman" w:hAnsi="Times New Roman"/>
          <w:szCs w:val="24"/>
        </w:rPr>
        <w:t xml:space="preserve">is prepared to make definitive </w:t>
      </w:r>
      <w:r w:rsidR="003255A1" w:rsidRPr="006833CD">
        <w:rPr>
          <w:rFonts w:ascii="Times New Roman" w:hAnsi="Times New Roman"/>
          <w:szCs w:val="24"/>
        </w:rPr>
        <w:t>conclusions about the results.</w:t>
      </w:r>
    </w:p>
    <w:p w14:paraId="3E7EAB6C" w14:textId="60CC242D" w:rsidR="00235460" w:rsidRPr="006833CD" w:rsidRDefault="0023546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AF6FD1" w:rsidRPr="006833CD">
        <w:rPr>
          <w:rFonts w:ascii="Times New Roman" w:hAnsi="Times New Roman"/>
          <w:bCs/>
          <w:szCs w:val="24"/>
        </w:rPr>
        <w:t>Does</w:t>
      </w:r>
      <w:r w:rsidR="00E31C08" w:rsidRPr="006833CD">
        <w:rPr>
          <w:rFonts w:ascii="Times New Roman" w:hAnsi="Times New Roman"/>
          <w:bCs/>
          <w:szCs w:val="24"/>
        </w:rPr>
        <w:t xml:space="preserve"> The </w:t>
      </w:r>
      <w:r w:rsidR="00AF6FD1" w:rsidRPr="006833CD">
        <w:rPr>
          <w:rFonts w:ascii="Times New Roman" w:hAnsi="Times New Roman"/>
          <w:bCs/>
          <w:szCs w:val="24"/>
        </w:rPr>
        <w:t xml:space="preserve">Brattle </w:t>
      </w:r>
      <w:r w:rsidR="00E31C08" w:rsidRPr="006833CD">
        <w:rPr>
          <w:rFonts w:ascii="Times New Roman" w:hAnsi="Times New Roman"/>
          <w:bCs/>
          <w:szCs w:val="24"/>
        </w:rPr>
        <w:t xml:space="preserve">Group </w:t>
      </w:r>
      <w:r w:rsidR="00AF6FD1" w:rsidRPr="006833CD">
        <w:rPr>
          <w:rFonts w:ascii="Times New Roman" w:hAnsi="Times New Roman"/>
          <w:bCs/>
          <w:szCs w:val="24"/>
        </w:rPr>
        <w:t>make definitive conclusions in the decoupling reports?</w:t>
      </w:r>
    </w:p>
    <w:p w14:paraId="5D0ABA13" w14:textId="4BCE2981"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235460" w:rsidRPr="006833CD">
        <w:rPr>
          <w:rFonts w:ascii="Times New Roman" w:hAnsi="Times New Roman"/>
          <w:bCs/>
          <w:szCs w:val="24"/>
        </w:rPr>
        <w:tab/>
      </w:r>
      <w:r w:rsidR="00E31C08" w:rsidRPr="006833CD">
        <w:rPr>
          <w:rFonts w:ascii="Times New Roman" w:hAnsi="Times New Roman"/>
          <w:bCs/>
          <w:szCs w:val="24"/>
        </w:rPr>
        <w:t xml:space="preserve">No.  The </w:t>
      </w:r>
      <w:r w:rsidR="00AF6FD1" w:rsidRPr="006833CD">
        <w:rPr>
          <w:rFonts w:ascii="Times New Roman" w:hAnsi="Times New Roman"/>
          <w:szCs w:val="24"/>
        </w:rPr>
        <w:t xml:space="preserve">Brattle </w:t>
      </w:r>
      <w:r w:rsidR="00E31C08" w:rsidRPr="006833CD">
        <w:rPr>
          <w:rFonts w:ascii="Times New Roman" w:hAnsi="Times New Roman"/>
          <w:szCs w:val="24"/>
        </w:rPr>
        <w:t xml:space="preserve">Group </w:t>
      </w:r>
      <w:r w:rsidR="00AF6FD1" w:rsidRPr="006833CD">
        <w:rPr>
          <w:rFonts w:ascii="Times New Roman" w:hAnsi="Times New Roman"/>
          <w:szCs w:val="24"/>
        </w:rPr>
        <w:t>was careful to be precise about the results</w:t>
      </w:r>
      <w:r w:rsidR="00E31C08" w:rsidRPr="006833CD">
        <w:rPr>
          <w:rFonts w:ascii="Times New Roman" w:hAnsi="Times New Roman"/>
          <w:szCs w:val="24"/>
        </w:rPr>
        <w:t xml:space="preserve"> in the reports</w:t>
      </w:r>
      <w:r w:rsidR="00AF6FD1" w:rsidRPr="006833CD">
        <w:rPr>
          <w:rFonts w:ascii="Times New Roman" w:hAnsi="Times New Roman"/>
          <w:szCs w:val="24"/>
        </w:rPr>
        <w:t xml:space="preserve">.  </w:t>
      </w:r>
      <w:r w:rsidR="00E31C08" w:rsidRPr="006833CD">
        <w:rPr>
          <w:rFonts w:ascii="Times New Roman" w:hAnsi="Times New Roman"/>
          <w:bCs/>
          <w:szCs w:val="24"/>
        </w:rPr>
        <w:t xml:space="preserve">The </w:t>
      </w:r>
      <w:r w:rsidR="00E31C08" w:rsidRPr="006833CD">
        <w:rPr>
          <w:rFonts w:ascii="Times New Roman" w:hAnsi="Times New Roman"/>
          <w:szCs w:val="24"/>
        </w:rPr>
        <w:t xml:space="preserve">Brattle Group </w:t>
      </w:r>
      <w:r w:rsidR="00AF6FD1" w:rsidRPr="006833CD">
        <w:rPr>
          <w:rFonts w:ascii="Times New Roman" w:hAnsi="Times New Roman"/>
          <w:szCs w:val="24"/>
        </w:rPr>
        <w:t xml:space="preserve">was and is fully aware of the limitations of the studies as noted by </w:t>
      </w:r>
      <w:r w:rsidR="0030288F" w:rsidRPr="006833CD">
        <w:rPr>
          <w:rFonts w:ascii="Times New Roman" w:hAnsi="Times New Roman"/>
          <w:szCs w:val="24"/>
        </w:rPr>
        <w:t>Dr.</w:t>
      </w:r>
      <w:r w:rsidR="0030288F">
        <w:rPr>
          <w:rFonts w:ascii="Times New Roman" w:hAnsi="Times New Roman"/>
          <w:szCs w:val="24"/>
        </w:rPr>
        <w:t> </w:t>
      </w:r>
      <w:r w:rsidR="00AF6FD1" w:rsidRPr="006833CD">
        <w:rPr>
          <w:rFonts w:ascii="Times New Roman" w:hAnsi="Times New Roman"/>
          <w:szCs w:val="24"/>
        </w:rPr>
        <w:t>Adolph.  We were definitive that the results are not statistically significant at the standard confidence levels</w:t>
      </w:r>
      <w:r w:rsidR="008F7361" w:rsidRPr="006833CD">
        <w:rPr>
          <w:rFonts w:ascii="Times New Roman" w:hAnsi="Times New Roman"/>
          <w:szCs w:val="24"/>
        </w:rPr>
        <w:t>, but w</w:t>
      </w:r>
      <w:r w:rsidR="00AF6FD1" w:rsidRPr="006833CD">
        <w:rPr>
          <w:rFonts w:ascii="Times New Roman" w:hAnsi="Times New Roman"/>
          <w:szCs w:val="24"/>
        </w:rPr>
        <w:t>e noted the negative coefficient on the decoupling index variable</w:t>
      </w:r>
      <w:r w:rsidR="00A2339E" w:rsidRPr="006833CD">
        <w:rPr>
          <w:rFonts w:ascii="Times New Roman" w:hAnsi="Times New Roman"/>
          <w:szCs w:val="24"/>
        </w:rPr>
        <w:t xml:space="preserve">.  </w:t>
      </w:r>
      <w:r w:rsidR="00AF6FD1" w:rsidRPr="006833CD">
        <w:rPr>
          <w:rFonts w:ascii="Times New Roman" w:hAnsi="Times New Roman"/>
          <w:szCs w:val="24"/>
        </w:rPr>
        <w:t xml:space="preserve">Although we used all available data and were careful in our analyses, we remain convinced that the results are not strong enough to justify a reduction in the cost of capital for a regulated entity.  My conclusion is that more study </w:t>
      </w:r>
      <w:r w:rsidR="00A2339E" w:rsidRPr="006833CD">
        <w:rPr>
          <w:rFonts w:ascii="Times New Roman" w:hAnsi="Times New Roman"/>
          <w:szCs w:val="24"/>
        </w:rPr>
        <w:t>and stronger statistical results would be required</w:t>
      </w:r>
      <w:r w:rsidR="00AF6FD1" w:rsidRPr="006833CD">
        <w:rPr>
          <w:rFonts w:ascii="Times New Roman" w:hAnsi="Times New Roman"/>
          <w:szCs w:val="24"/>
        </w:rPr>
        <w:t xml:space="preserve"> before concluding that the evidence was sufficient to reduce the allowed </w:t>
      </w:r>
      <w:r w:rsidR="00E31C08" w:rsidRPr="006833CD">
        <w:rPr>
          <w:rFonts w:ascii="Times New Roman" w:hAnsi="Times New Roman"/>
          <w:szCs w:val="24"/>
        </w:rPr>
        <w:t>return on equity</w:t>
      </w:r>
      <w:r w:rsidR="00AF6FD1" w:rsidRPr="006833CD">
        <w:rPr>
          <w:rFonts w:ascii="Times New Roman" w:hAnsi="Times New Roman"/>
          <w:szCs w:val="24"/>
        </w:rPr>
        <w:t xml:space="preserve">. </w:t>
      </w:r>
      <w:r w:rsidR="00AD6D9C" w:rsidRPr="006833CD">
        <w:rPr>
          <w:rFonts w:ascii="Times New Roman" w:hAnsi="Times New Roman"/>
          <w:szCs w:val="24"/>
        </w:rPr>
        <w:t xml:space="preserve"> As it stands, the null hypothesis that decoupling does not reduce the cost of capital cannot be rejected using standard confidence levels.</w:t>
      </w:r>
    </w:p>
    <w:p w14:paraId="5D0ABA14" w14:textId="1677ABDD"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8F375C" w:rsidRPr="006833CD">
        <w:rPr>
          <w:rFonts w:ascii="Times New Roman" w:hAnsi="Times New Roman"/>
          <w:bCs/>
          <w:szCs w:val="24"/>
        </w:rPr>
        <w:t xml:space="preserve">Do you agree with </w:t>
      </w:r>
      <w:r w:rsidR="0030288F" w:rsidRPr="006833CD">
        <w:rPr>
          <w:rFonts w:ascii="Times New Roman" w:hAnsi="Times New Roman"/>
          <w:szCs w:val="24"/>
        </w:rPr>
        <w:t>Dr.</w:t>
      </w:r>
      <w:r w:rsidR="0030288F">
        <w:rPr>
          <w:rFonts w:ascii="Times New Roman" w:hAnsi="Times New Roman"/>
          <w:szCs w:val="24"/>
        </w:rPr>
        <w:t> </w:t>
      </w:r>
      <w:r w:rsidR="008F375C" w:rsidRPr="006833CD">
        <w:rPr>
          <w:rFonts w:ascii="Times New Roman" w:hAnsi="Times New Roman"/>
          <w:bCs/>
          <w:szCs w:val="24"/>
        </w:rPr>
        <w:t>Adolph that academic journals do not generally publish studies wi</w:t>
      </w:r>
      <w:r w:rsidR="003D27FA" w:rsidRPr="006833CD">
        <w:rPr>
          <w:rFonts w:ascii="Times New Roman" w:hAnsi="Times New Roman"/>
          <w:bCs/>
          <w:szCs w:val="24"/>
        </w:rPr>
        <w:t xml:space="preserve">th </w:t>
      </w:r>
      <w:r w:rsidR="003D27FA" w:rsidRPr="006833CD">
        <w:rPr>
          <w:rFonts w:ascii="Times New Roman" w:hAnsi="Times New Roman"/>
          <w:bCs/>
          <w:i/>
          <w:szCs w:val="24"/>
        </w:rPr>
        <w:t>p</w:t>
      </w:r>
      <w:r w:rsidR="003D27FA" w:rsidRPr="006833CD">
        <w:rPr>
          <w:rFonts w:ascii="Times New Roman" w:hAnsi="Times New Roman"/>
          <w:bCs/>
          <w:szCs w:val="24"/>
        </w:rPr>
        <w:t>-values greater than 0.10?</w:t>
      </w:r>
    </w:p>
    <w:p w14:paraId="5D0ABA15" w14:textId="065D7033"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8F375C" w:rsidRPr="006833CD">
        <w:rPr>
          <w:rFonts w:ascii="Times New Roman" w:hAnsi="Times New Roman"/>
          <w:bCs/>
          <w:szCs w:val="24"/>
        </w:rPr>
        <w:t xml:space="preserve">Yes.  In my experience, academic journals </w:t>
      </w:r>
      <w:r w:rsidR="002751B3" w:rsidRPr="006833CD">
        <w:rPr>
          <w:rFonts w:ascii="Times New Roman" w:hAnsi="Times New Roman"/>
          <w:bCs/>
          <w:szCs w:val="24"/>
        </w:rPr>
        <w:t xml:space="preserve">in economics and finance </w:t>
      </w:r>
      <w:r w:rsidR="008F375C" w:rsidRPr="006833CD">
        <w:rPr>
          <w:rFonts w:ascii="Times New Roman" w:hAnsi="Times New Roman"/>
          <w:bCs/>
          <w:szCs w:val="24"/>
        </w:rPr>
        <w:t xml:space="preserve">will only publish </w:t>
      </w:r>
      <w:r w:rsidR="002751B3" w:rsidRPr="006833CD">
        <w:rPr>
          <w:rFonts w:ascii="Times New Roman" w:hAnsi="Times New Roman"/>
          <w:bCs/>
          <w:szCs w:val="24"/>
        </w:rPr>
        <w:t xml:space="preserve">results which reach the standard levels of statistical significance.  Although I cannot say with certainty that it never happens, I can say that it </w:t>
      </w:r>
      <w:r w:rsidR="00A56179" w:rsidRPr="006833CD">
        <w:rPr>
          <w:rFonts w:ascii="Times New Roman" w:hAnsi="Times New Roman"/>
          <w:bCs/>
          <w:szCs w:val="24"/>
        </w:rPr>
        <w:t xml:space="preserve">must be </w:t>
      </w:r>
      <w:r w:rsidR="002751B3" w:rsidRPr="006833CD">
        <w:rPr>
          <w:rFonts w:ascii="Times New Roman" w:hAnsi="Times New Roman"/>
          <w:bCs/>
          <w:szCs w:val="24"/>
        </w:rPr>
        <w:t>exceptionally rare</w:t>
      </w:r>
      <w:r w:rsidR="000D0535" w:rsidRPr="006833CD">
        <w:rPr>
          <w:rFonts w:ascii="Times New Roman" w:hAnsi="Times New Roman"/>
          <w:bCs/>
          <w:szCs w:val="24"/>
        </w:rPr>
        <w:t xml:space="preserve"> because I </w:t>
      </w:r>
      <w:r w:rsidR="00E31C08" w:rsidRPr="006833CD">
        <w:rPr>
          <w:rFonts w:ascii="Times New Roman" w:hAnsi="Times New Roman"/>
          <w:bCs/>
          <w:szCs w:val="24"/>
        </w:rPr>
        <w:t xml:space="preserve">do not </w:t>
      </w:r>
      <w:r w:rsidR="000D0535" w:rsidRPr="006833CD">
        <w:rPr>
          <w:rFonts w:ascii="Times New Roman" w:hAnsi="Times New Roman"/>
          <w:bCs/>
          <w:szCs w:val="24"/>
        </w:rPr>
        <w:t>recall seeing such an article in an academic journal of economics or finance</w:t>
      </w:r>
      <w:r w:rsidR="00E31C08" w:rsidRPr="006833CD">
        <w:rPr>
          <w:rFonts w:ascii="Times New Roman" w:hAnsi="Times New Roman"/>
          <w:bCs/>
          <w:szCs w:val="24"/>
        </w:rPr>
        <w:t>.</w:t>
      </w:r>
    </w:p>
    <w:p w14:paraId="5D0ABA16" w14:textId="1882DA36"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751B3" w:rsidRPr="006833CD">
        <w:rPr>
          <w:rFonts w:ascii="Times New Roman" w:hAnsi="Times New Roman"/>
          <w:bCs/>
          <w:szCs w:val="24"/>
        </w:rPr>
        <w:t xml:space="preserve">Why </w:t>
      </w:r>
      <w:r w:rsidR="00E31C08" w:rsidRPr="006833CD">
        <w:rPr>
          <w:rFonts w:ascii="Times New Roman" w:hAnsi="Times New Roman"/>
          <w:bCs/>
          <w:szCs w:val="24"/>
        </w:rPr>
        <w:t xml:space="preserve">do </w:t>
      </w:r>
      <w:r w:rsidR="002751B3" w:rsidRPr="006833CD">
        <w:rPr>
          <w:rFonts w:ascii="Times New Roman" w:hAnsi="Times New Roman"/>
          <w:bCs/>
          <w:szCs w:val="24"/>
        </w:rPr>
        <w:t xml:space="preserve">academic journals </w:t>
      </w:r>
      <w:r w:rsidR="00E31C08" w:rsidRPr="006833CD">
        <w:rPr>
          <w:rFonts w:ascii="Times New Roman" w:hAnsi="Times New Roman"/>
          <w:bCs/>
          <w:szCs w:val="24"/>
        </w:rPr>
        <w:t>not publish such results?</w:t>
      </w:r>
    </w:p>
    <w:p w14:paraId="5D0ABA17" w14:textId="5D4E8846"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7034CE" w:rsidRPr="006833CD">
        <w:rPr>
          <w:rFonts w:ascii="Times New Roman" w:hAnsi="Times New Roman"/>
          <w:bCs/>
          <w:szCs w:val="24"/>
        </w:rPr>
        <w:t xml:space="preserve">There </w:t>
      </w:r>
      <w:r w:rsidR="00E31C08" w:rsidRPr="006833CD">
        <w:rPr>
          <w:rFonts w:ascii="Times New Roman" w:hAnsi="Times New Roman"/>
          <w:bCs/>
          <w:szCs w:val="24"/>
        </w:rPr>
        <w:t xml:space="preserve">may be many </w:t>
      </w:r>
      <w:r w:rsidR="007034CE" w:rsidRPr="006833CD">
        <w:rPr>
          <w:rFonts w:ascii="Times New Roman" w:hAnsi="Times New Roman"/>
          <w:bCs/>
          <w:szCs w:val="24"/>
        </w:rPr>
        <w:t>reasons</w:t>
      </w:r>
      <w:r w:rsidR="00E31C08" w:rsidRPr="006833CD">
        <w:rPr>
          <w:rFonts w:ascii="Times New Roman" w:hAnsi="Times New Roman"/>
          <w:bCs/>
          <w:szCs w:val="24"/>
        </w:rPr>
        <w:t>,</w:t>
      </w:r>
      <w:r w:rsidR="007034CE" w:rsidRPr="006833CD">
        <w:rPr>
          <w:rFonts w:ascii="Times New Roman" w:hAnsi="Times New Roman"/>
          <w:bCs/>
          <w:szCs w:val="24"/>
        </w:rPr>
        <w:t xml:space="preserve"> but among </w:t>
      </w:r>
      <w:r w:rsidR="00A03B15" w:rsidRPr="006833CD">
        <w:rPr>
          <w:rFonts w:ascii="Times New Roman" w:hAnsi="Times New Roman"/>
          <w:bCs/>
          <w:szCs w:val="24"/>
        </w:rPr>
        <w:t xml:space="preserve">them </w:t>
      </w:r>
      <w:r w:rsidR="007034CE" w:rsidRPr="006833CD">
        <w:rPr>
          <w:rFonts w:ascii="Times New Roman" w:hAnsi="Times New Roman"/>
          <w:bCs/>
          <w:szCs w:val="24"/>
        </w:rPr>
        <w:t xml:space="preserve">is surely the belief that more study is required.  </w:t>
      </w:r>
      <w:r w:rsidR="00880E78" w:rsidRPr="006833CD">
        <w:rPr>
          <w:rFonts w:ascii="Times New Roman" w:hAnsi="Times New Roman"/>
          <w:bCs/>
          <w:szCs w:val="24"/>
        </w:rPr>
        <w:t xml:space="preserve">Although there is some competition among academic journals to be the first to publish a new and interesting finding, there is also a concern for academic integrity and accuracy.  As </w:t>
      </w:r>
      <w:r w:rsidR="0030288F" w:rsidRPr="006833CD">
        <w:rPr>
          <w:rFonts w:ascii="Times New Roman" w:hAnsi="Times New Roman"/>
          <w:szCs w:val="24"/>
        </w:rPr>
        <w:t>Dr.</w:t>
      </w:r>
      <w:r w:rsidR="0030288F">
        <w:rPr>
          <w:rFonts w:ascii="Times New Roman" w:hAnsi="Times New Roman"/>
          <w:szCs w:val="24"/>
        </w:rPr>
        <w:t> </w:t>
      </w:r>
      <w:r w:rsidR="00880E78" w:rsidRPr="006833CD">
        <w:rPr>
          <w:rFonts w:ascii="Times New Roman" w:hAnsi="Times New Roman"/>
          <w:bCs/>
          <w:szCs w:val="24"/>
        </w:rPr>
        <w:t>Adolph notes,</w:t>
      </w:r>
      <w:r w:rsidR="003A2002" w:rsidRPr="006833CD">
        <w:rPr>
          <w:rStyle w:val="FootnoteReference"/>
        </w:rPr>
        <w:footnoteReference w:id="13"/>
      </w:r>
      <w:r w:rsidR="00880E78" w:rsidRPr="006833CD">
        <w:rPr>
          <w:rFonts w:ascii="Times New Roman" w:hAnsi="Times New Roman"/>
          <w:bCs/>
          <w:szCs w:val="24"/>
        </w:rPr>
        <w:t xml:space="preserve"> the journals may believe that further research will provide statistically significant results at conventional levels, but they may also fear that the results cannot and will not be supported by further research.  In other words, they wish to avoid publishing something t</w:t>
      </w:r>
      <w:r w:rsidR="003A2002" w:rsidRPr="006833CD">
        <w:rPr>
          <w:rFonts w:ascii="Times New Roman" w:hAnsi="Times New Roman"/>
          <w:bCs/>
          <w:szCs w:val="24"/>
        </w:rPr>
        <w:t>hat turns out to be incorrect.</w:t>
      </w:r>
    </w:p>
    <w:p w14:paraId="5D0ABA18" w14:textId="26D89A67"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3A32EF" w:rsidRPr="006833CD">
        <w:rPr>
          <w:rFonts w:ascii="Times New Roman" w:hAnsi="Times New Roman"/>
          <w:bCs/>
          <w:szCs w:val="24"/>
        </w:rPr>
        <w:t xml:space="preserve">Do you think it valid </w:t>
      </w:r>
      <w:r w:rsidR="003A2002" w:rsidRPr="006833CD">
        <w:rPr>
          <w:rFonts w:ascii="Times New Roman" w:hAnsi="Times New Roman"/>
          <w:bCs/>
          <w:szCs w:val="24"/>
        </w:rPr>
        <w:t>to reverse the null hypothesis</w:t>
      </w:r>
      <w:r w:rsidR="00630E4A" w:rsidRPr="006833CD">
        <w:rPr>
          <w:rFonts w:ascii="Times New Roman" w:hAnsi="Times New Roman"/>
          <w:bCs/>
          <w:szCs w:val="24"/>
        </w:rPr>
        <w:t xml:space="preserve">, as </w:t>
      </w:r>
      <w:r w:rsidR="0030288F" w:rsidRPr="006833CD">
        <w:rPr>
          <w:rFonts w:ascii="Times New Roman" w:hAnsi="Times New Roman"/>
          <w:szCs w:val="24"/>
        </w:rPr>
        <w:t>Dr.</w:t>
      </w:r>
      <w:r w:rsidR="0030288F">
        <w:rPr>
          <w:rFonts w:ascii="Times New Roman" w:hAnsi="Times New Roman"/>
          <w:szCs w:val="24"/>
        </w:rPr>
        <w:t> </w:t>
      </w:r>
      <w:r w:rsidR="00A55647" w:rsidRPr="006833CD">
        <w:rPr>
          <w:rFonts w:ascii="Times New Roman" w:hAnsi="Times New Roman"/>
          <w:bCs/>
          <w:szCs w:val="24"/>
        </w:rPr>
        <w:t>Adolph proposes</w:t>
      </w:r>
      <w:r w:rsidR="003A2002" w:rsidRPr="006833CD">
        <w:rPr>
          <w:rFonts w:ascii="Times New Roman" w:hAnsi="Times New Roman"/>
          <w:bCs/>
          <w:szCs w:val="24"/>
        </w:rPr>
        <w:t>?</w:t>
      </w:r>
    </w:p>
    <w:p w14:paraId="5D0ABA19" w14:textId="54D842BD"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AF5DD9" w:rsidRPr="006833CD">
        <w:rPr>
          <w:rFonts w:ascii="Times New Roman" w:hAnsi="Times New Roman"/>
          <w:szCs w:val="24"/>
        </w:rPr>
        <w:t>The natural null hypothesis is that decoupling does not reduce the cost of capital</w:t>
      </w:r>
      <w:r w:rsidR="00220A86" w:rsidRPr="006833CD">
        <w:rPr>
          <w:rFonts w:ascii="Times New Roman" w:hAnsi="Times New Roman"/>
          <w:szCs w:val="24"/>
        </w:rPr>
        <w:t xml:space="preserve"> because many are claiming that it does</w:t>
      </w:r>
      <w:r w:rsidR="00AF5DD9" w:rsidRPr="006833CD">
        <w:rPr>
          <w:rFonts w:ascii="Times New Roman" w:hAnsi="Times New Roman"/>
          <w:szCs w:val="24"/>
        </w:rPr>
        <w:t>.  Regulators should want strong evidence to reduce the all</w:t>
      </w:r>
      <w:r w:rsidR="00220A86" w:rsidRPr="006833CD">
        <w:rPr>
          <w:rFonts w:ascii="Times New Roman" w:hAnsi="Times New Roman"/>
          <w:szCs w:val="24"/>
        </w:rPr>
        <w:t>owed</w:t>
      </w:r>
      <w:r w:rsidR="00AF5DD9" w:rsidRPr="006833CD">
        <w:rPr>
          <w:rFonts w:ascii="Times New Roman" w:hAnsi="Times New Roman"/>
          <w:szCs w:val="24"/>
        </w:rPr>
        <w:t xml:space="preserve"> </w:t>
      </w:r>
      <w:r w:rsidR="00F86940" w:rsidRPr="006833CD">
        <w:rPr>
          <w:rFonts w:ascii="Times New Roman" w:hAnsi="Times New Roman"/>
          <w:bCs/>
          <w:szCs w:val="24"/>
        </w:rPr>
        <w:t>return on equity</w:t>
      </w:r>
      <w:r w:rsidR="00AF5DD9" w:rsidRPr="006833CD">
        <w:rPr>
          <w:rFonts w:ascii="Times New Roman" w:hAnsi="Times New Roman"/>
          <w:szCs w:val="24"/>
        </w:rPr>
        <w:t xml:space="preserve"> for the regulated company.  Reversing the </w:t>
      </w:r>
      <w:r w:rsidR="00AF5DD9" w:rsidRPr="006833CD">
        <w:rPr>
          <w:rFonts w:ascii="Times New Roman" w:hAnsi="Times New Roman"/>
          <w:szCs w:val="24"/>
        </w:rPr>
        <w:lastRenderedPageBreak/>
        <w:t xml:space="preserve">null hypothesis as </w:t>
      </w:r>
      <w:r w:rsidR="0030288F" w:rsidRPr="006833CD">
        <w:rPr>
          <w:rFonts w:ascii="Times New Roman" w:hAnsi="Times New Roman"/>
          <w:szCs w:val="24"/>
        </w:rPr>
        <w:t>Dr.</w:t>
      </w:r>
      <w:r w:rsidR="0030288F">
        <w:rPr>
          <w:rFonts w:ascii="Times New Roman" w:hAnsi="Times New Roman"/>
          <w:szCs w:val="24"/>
        </w:rPr>
        <w:t> </w:t>
      </w:r>
      <w:r w:rsidR="00AF5DD9" w:rsidRPr="006833CD">
        <w:rPr>
          <w:rFonts w:ascii="Times New Roman" w:hAnsi="Times New Roman"/>
          <w:szCs w:val="24"/>
        </w:rPr>
        <w:t>Adol</w:t>
      </w:r>
      <w:r w:rsidR="00220A86" w:rsidRPr="006833CD">
        <w:rPr>
          <w:rFonts w:ascii="Times New Roman" w:hAnsi="Times New Roman"/>
          <w:szCs w:val="24"/>
        </w:rPr>
        <w:t>ph does</w:t>
      </w:r>
      <w:r w:rsidR="003A2002" w:rsidRPr="006833CD">
        <w:rPr>
          <w:rStyle w:val="FootnoteReference"/>
        </w:rPr>
        <w:footnoteReference w:id="14"/>
      </w:r>
      <w:r w:rsidR="00220A86" w:rsidRPr="006833CD">
        <w:rPr>
          <w:rFonts w:ascii="Times New Roman" w:hAnsi="Times New Roman"/>
          <w:szCs w:val="24"/>
        </w:rPr>
        <w:t xml:space="preserve"> simply shows </w:t>
      </w:r>
      <w:r w:rsidR="00E905EA" w:rsidRPr="006833CD">
        <w:rPr>
          <w:rFonts w:ascii="Times New Roman" w:hAnsi="Times New Roman"/>
          <w:szCs w:val="24"/>
        </w:rPr>
        <w:t xml:space="preserve">that </w:t>
      </w:r>
      <w:r w:rsidR="00220A86" w:rsidRPr="006833CD">
        <w:rPr>
          <w:rFonts w:ascii="Times New Roman" w:hAnsi="Times New Roman"/>
          <w:szCs w:val="24"/>
        </w:rPr>
        <w:t>the data is not</w:t>
      </w:r>
      <w:r w:rsidR="00AF5DD9" w:rsidRPr="006833CD">
        <w:rPr>
          <w:rFonts w:ascii="Times New Roman" w:hAnsi="Times New Roman"/>
          <w:szCs w:val="24"/>
        </w:rPr>
        <w:t xml:space="preserve"> precise enough to reject either version of the null hypothesis</w:t>
      </w:r>
      <w:r w:rsidR="003A2002" w:rsidRPr="006833CD">
        <w:rPr>
          <w:rFonts w:ascii="Times New Roman" w:hAnsi="Times New Roman"/>
          <w:szCs w:val="24"/>
        </w:rPr>
        <w:t>.</w:t>
      </w:r>
    </w:p>
    <w:p w14:paraId="5D0ABA1A" w14:textId="71EC8F50"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B2D77" w:rsidRPr="006833CD">
        <w:rPr>
          <w:rFonts w:ascii="Times New Roman" w:hAnsi="Times New Roman"/>
          <w:bCs/>
          <w:szCs w:val="24"/>
        </w:rPr>
        <w:t xml:space="preserve">Why have you not commented on </w:t>
      </w:r>
      <w:r w:rsidR="0030288F" w:rsidRPr="006833CD">
        <w:rPr>
          <w:rFonts w:ascii="Times New Roman" w:hAnsi="Times New Roman"/>
          <w:szCs w:val="24"/>
        </w:rPr>
        <w:t>Dr.</w:t>
      </w:r>
      <w:r w:rsidR="0030288F">
        <w:rPr>
          <w:rFonts w:ascii="Times New Roman" w:hAnsi="Times New Roman"/>
          <w:szCs w:val="24"/>
        </w:rPr>
        <w:t> </w:t>
      </w:r>
      <w:r w:rsidR="00DB2D77" w:rsidRPr="006833CD">
        <w:rPr>
          <w:rFonts w:ascii="Times New Roman" w:hAnsi="Times New Roman"/>
          <w:bCs/>
          <w:szCs w:val="24"/>
        </w:rPr>
        <w:t xml:space="preserve">Adolph’s statements on the implications of the </w:t>
      </w:r>
      <w:r w:rsidR="00DB2D77" w:rsidRPr="006833CD">
        <w:rPr>
          <w:rFonts w:ascii="Times New Roman" w:hAnsi="Times New Roman"/>
          <w:bCs/>
          <w:i/>
          <w:szCs w:val="24"/>
        </w:rPr>
        <w:t>p</w:t>
      </w:r>
      <w:r w:rsidR="00DB2D77" w:rsidRPr="006833CD">
        <w:rPr>
          <w:rFonts w:ascii="Times New Roman" w:hAnsi="Times New Roman"/>
          <w:bCs/>
          <w:szCs w:val="24"/>
        </w:rPr>
        <w:t>-values in the two Brattle reports?</w:t>
      </w:r>
    </w:p>
    <w:p w14:paraId="5D0ABA1B" w14:textId="122AE281"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DB2D77" w:rsidRPr="006833CD">
        <w:rPr>
          <w:rFonts w:ascii="Times New Roman" w:hAnsi="Times New Roman"/>
          <w:bCs/>
          <w:szCs w:val="24"/>
        </w:rPr>
        <w:t xml:space="preserve">The </w:t>
      </w:r>
      <w:proofErr w:type="spellStart"/>
      <w:r w:rsidR="003A2002" w:rsidRPr="006833CD">
        <w:rPr>
          <w:rFonts w:ascii="Times New Roman" w:hAnsi="Times New Roman"/>
          <w:bCs/>
          <w:szCs w:val="24"/>
        </w:rPr>
        <w:t>P</w:t>
      </w:r>
      <w:r w:rsidR="00DB2D77" w:rsidRPr="006833CD">
        <w:rPr>
          <w:rFonts w:ascii="Times New Roman" w:hAnsi="Times New Roman"/>
          <w:bCs/>
          <w:szCs w:val="24"/>
        </w:rPr>
        <w:t>refiled</w:t>
      </w:r>
      <w:proofErr w:type="spellEnd"/>
      <w:r w:rsidR="00DB2D77" w:rsidRPr="006833CD">
        <w:rPr>
          <w:rFonts w:ascii="Times New Roman" w:hAnsi="Times New Roman"/>
          <w:bCs/>
          <w:szCs w:val="24"/>
        </w:rPr>
        <w:t xml:space="preserve"> </w:t>
      </w:r>
      <w:r w:rsidR="003A2002" w:rsidRPr="006833CD">
        <w:rPr>
          <w:rFonts w:ascii="Times New Roman" w:hAnsi="Times New Roman"/>
          <w:bCs/>
          <w:szCs w:val="24"/>
        </w:rPr>
        <w:t>R</w:t>
      </w:r>
      <w:r w:rsidR="00DB2D77" w:rsidRPr="006833CD">
        <w:rPr>
          <w:rFonts w:ascii="Times New Roman" w:hAnsi="Times New Roman"/>
          <w:bCs/>
          <w:szCs w:val="24"/>
        </w:rPr>
        <w:t xml:space="preserve">ebuttal </w:t>
      </w:r>
      <w:r w:rsidR="003A2002" w:rsidRPr="006833CD">
        <w:rPr>
          <w:rFonts w:ascii="Times New Roman" w:hAnsi="Times New Roman"/>
          <w:bCs/>
          <w:szCs w:val="24"/>
        </w:rPr>
        <w:t xml:space="preserve">Testimony of </w:t>
      </w:r>
      <w:r w:rsidR="0030288F" w:rsidRPr="006833CD">
        <w:rPr>
          <w:rFonts w:ascii="Times New Roman" w:hAnsi="Times New Roman"/>
          <w:szCs w:val="24"/>
        </w:rPr>
        <w:t>Dr.</w:t>
      </w:r>
      <w:r w:rsidR="0030288F">
        <w:rPr>
          <w:rFonts w:ascii="Times New Roman" w:hAnsi="Times New Roman"/>
          <w:szCs w:val="24"/>
        </w:rPr>
        <w:t> </w:t>
      </w:r>
      <w:r w:rsidR="003A2002" w:rsidRPr="006833CD">
        <w:rPr>
          <w:rFonts w:ascii="Times New Roman" w:hAnsi="Times New Roman"/>
          <w:bCs/>
          <w:szCs w:val="24"/>
        </w:rPr>
        <w:t xml:space="preserve">Jeffry A. </w:t>
      </w:r>
      <w:proofErr w:type="spellStart"/>
      <w:r w:rsidR="00DB2D77" w:rsidRPr="006833CD">
        <w:rPr>
          <w:rFonts w:ascii="Times New Roman" w:hAnsi="Times New Roman"/>
          <w:bCs/>
          <w:szCs w:val="24"/>
        </w:rPr>
        <w:t>Dubin</w:t>
      </w:r>
      <w:proofErr w:type="spellEnd"/>
      <w:r w:rsidR="003A2002" w:rsidRPr="006833CD">
        <w:rPr>
          <w:rFonts w:ascii="Times New Roman" w:hAnsi="Times New Roman"/>
          <w:bCs/>
          <w:szCs w:val="24"/>
        </w:rPr>
        <w:t>, Exhibit No. ___(JAD-1T),</w:t>
      </w:r>
      <w:r w:rsidR="00DB2D77" w:rsidRPr="006833CD">
        <w:rPr>
          <w:rFonts w:ascii="Times New Roman" w:hAnsi="Times New Roman"/>
          <w:bCs/>
          <w:szCs w:val="24"/>
        </w:rPr>
        <w:t xml:space="preserve"> addresses this </w:t>
      </w:r>
      <w:r w:rsidR="003A2002" w:rsidRPr="006833CD">
        <w:rPr>
          <w:rFonts w:ascii="Times New Roman" w:hAnsi="Times New Roman"/>
          <w:bCs/>
          <w:szCs w:val="24"/>
        </w:rPr>
        <w:t xml:space="preserve">and other </w:t>
      </w:r>
      <w:r w:rsidR="00DB2D77" w:rsidRPr="006833CD">
        <w:rPr>
          <w:rFonts w:ascii="Times New Roman" w:hAnsi="Times New Roman"/>
          <w:bCs/>
          <w:szCs w:val="24"/>
        </w:rPr>
        <w:t>issue</w:t>
      </w:r>
      <w:r w:rsidR="003A2002" w:rsidRPr="006833CD">
        <w:rPr>
          <w:rFonts w:ascii="Times New Roman" w:hAnsi="Times New Roman"/>
          <w:bCs/>
          <w:szCs w:val="24"/>
        </w:rPr>
        <w:t>s</w:t>
      </w:r>
      <w:r w:rsidR="00B8084A" w:rsidRPr="006833CD">
        <w:rPr>
          <w:rFonts w:ascii="Times New Roman" w:hAnsi="Times New Roman"/>
          <w:bCs/>
          <w:szCs w:val="24"/>
        </w:rPr>
        <w:t xml:space="preserve"> </w:t>
      </w:r>
      <w:r w:rsidR="003A2002" w:rsidRPr="006833CD">
        <w:rPr>
          <w:rFonts w:ascii="Times New Roman" w:hAnsi="Times New Roman"/>
          <w:bCs/>
          <w:szCs w:val="24"/>
        </w:rPr>
        <w:t xml:space="preserve">regarding </w:t>
      </w:r>
      <w:r w:rsidR="0030288F" w:rsidRPr="006833CD">
        <w:rPr>
          <w:rFonts w:ascii="Times New Roman" w:hAnsi="Times New Roman"/>
          <w:szCs w:val="24"/>
        </w:rPr>
        <w:t>Dr.</w:t>
      </w:r>
      <w:r w:rsidR="0030288F">
        <w:rPr>
          <w:rFonts w:ascii="Times New Roman" w:hAnsi="Times New Roman"/>
          <w:szCs w:val="24"/>
        </w:rPr>
        <w:t> </w:t>
      </w:r>
      <w:r w:rsidR="00B8084A" w:rsidRPr="006833CD">
        <w:rPr>
          <w:rFonts w:ascii="Times New Roman" w:hAnsi="Times New Roman"/>
          <w:bCs/>
          <w:szCs w:val="24"/>
        </w:rPr>
        <w:t>Adolph’s statistical conclusions</w:t>
      </w:r>
      <w:r w:rsidRPr="006833CD">
        <w:rPr>
          <w:rFonts w:ascii="Times New Roman" w:hAnsi="Times New Roman"/>
          <w:bCs/>
          <w:szCs w:val="24"/>
        </w:rPr>
        <w:t>.</w:t>
      </w:r>
      <w:r w:rsidR="00630E4A" w:rsidRPr="006833CD">
        <w:rPr>
          <w:rFonts w:ascii="Times New Roman" w:hAnsi="Times New Roman"/>
          <w:bCs/>
          <w:szCs w:val="24"/>
        </w:rPr>
        <w:t xml:space="preserve">  The fact that I have not commented on all of </w:t>
      </w:r>
      <w:r w:rsidR="0030288F" w:rsidRPr="006833CD">
        <w:rPr>
          <w:rFonts w:ascii="Times New Roman" w:hAnsi="Times New Roman"/>
          <w:szCs w:val="24"/>
        </w:rPr>
        <w:t>Dr.</w:t>
      </w:r>
      <w:r w:rsidR="0030288F">
        <w:rPr>
          <w:rFonts w:ascii="Times New Roman" w:hAnsi="Times New Roman"/>
          <w:szCs w:val="24"/>
        </w:rPr>
        <w:t> </w:t>
      </w:r>
      <w:r w:rsidR="00630E4A" w:rsidRPr="006833CD">
        <w:rPr>
          <w:rFonts w:ascii="Times New Roman" w:hAnsi="Times New Roman"/>
          <w:bCs/>
          <w:szCs w:val="24"/>
        </w:rPr>
        <w:t>Adolph’s points in his testimony should not be construed as my agreement with them.</w:t>
      </w:r>
    </w:p>
    <w:p w14:paraId="69B84C55" w14:textId="289C699C" w:rsidR="00A13DFF" w:rsidRPr="003B0FD4" w:rsidRDefault="00210A80" w:rsidP="003B0FD4">
      <w:pPr>
        <w:pStyle w:val="Heading1"/>
        <w:rPr>
          <w:rFonts w:ascii="Times New Roman" w:hAnsi="Times New Roman"/>
          <w:szCs w:val="24"/>
        </w:rPr>
      </w:pPr>
      <w:bookmarkStart w:id="12" w:name="_Toc406063200"/>
      <w:bookmarkStart w:id="13" w:name="_Toc406086186"/>
      <w:bookmarkStart w:id="14" w:name="_Toc406511789"/>
      <w:bookmarkStart w:id="15" w:name="_Toc406745164"/>
      <w:r w:rsidRPr="006833CD">
        <w:rPr>
          <w:rFonts w:ascii="Times New Roman" w:hAnsi="Times New Roman"/>
          <w:szCs w:val="24"/>
        </w:rPr>
        <w:t>III.</w:t>
      </w:r>
      <w:r w:rsidRPr="006833CD">
        <w:rPr>
          <w:rFonts w:ascii="Times New Roman" w:hAnsi="Times New Roman"/>
          <w:szCs w:val="24"/>
        </w:rPr>
        <w:tab/>
      </w:r>
      <w:r w:rsidR="0068576F" w:rsidRPr="006833CD">
        <w:rPr>
          <w:rFonts w:ascii="Times New Roman" w:hAnsi="Times New Roman"/>
          <w:szCs w:val="24"/>
        </w:rPr>
        <w:t xml:space="preserve">RESPONSE TO </w:t>
      </w:r>
      <w:r w:rsidR="003B0FD4">
        <w:rPr>
          <w:rFonts w:ascii="Times New Roman" w:hAnsi="Times New Roman"/>
          <w:szCs w:val="24"/>
        </w:rPr>
        <w:t xml:space="preserve">THE </w:t>
      </w:r>
      <w:proofErr w:type="spellStart"/>
      <w:r w:rsidR="003B0FD4" w:rsidRPr="003B0FD4">
        <w:rPr>
          <w:rFonts w:ascii="Times New Roman" w:hAnsi="Times New Roman"/>
          <w:szCs w:val="24"/>
        </w:rPr>
        <w:t>PREFILED</w:t>
      </w:r>
      <w:proofErr w:type="spellEnd"/>
      <w:r w:rsidR="003B0FD4" w:rsidRPr="003B0FD4">
        <w:rPr>
          <w:rFonts w:ascii="Times New Roman" w:hAnsi="Times New Roman"/>
          <w:szCs w:val="24"/>
        </w:rPr>
        <w:t xml:space="preserve"> DIRECT TESTIMONY OF STEPHEN G. HILL</w:t>
      </w:r>
      <w:r w:rsidR="003B0FD4">
        <w:rPr>
          <w:rFonts w:ascii="Times New Roman" w:hAnsi="Times New Roman"/>
          <w:szCs w:val="24"/>
        </w:rPr>
        <w:t xml:space="preserve"> AND THE </w:t>
      </w:r>
      <w:bookmarkEnd w:id="12"/>
      <w:bookmarkEnd w:id="13"/>
      <w:bookmarkEnd w:id="14"/>
      <w:proofErr w:type="spellStart"/>
      <w:r w:rsidR="00A13DFF" w:rsidRPr="00A13DFF">
        <w:t>PREFILED</w:t>
      </w:r>
      <w:proofErr w:type="spellEnd"/>
      <w:r w:rsidR="00A13DFF" w:rsidRPr="00A13DFF">
        <w:t xml:space="preserve"> DIRECT TESTIMONY OF MICHAEL P. GORMAN</w:t>
      </w:r>
      <w:bookmarkEnd w:id="15"/>
    </w:p>
    <w:p w14:paraId="5D0ABA20" w14:textId="10DAFBFC"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C91EFE" w:rsidRPr="006833CD">
        <w:rPr>
          <w:rFonts w:ascii="Times New Roman" w:hAnsi="Times New Roman"/>
          <w:szCs w:val="24"/>
        </w:rPr>
        <w:t>What topics do you address in this secti</w:t>
      </w:r>
      <w:r w:rsidR="003255A1" w:rsidRPr="006833CD">
        <w:rPr>
          <w:rFonts w:ascii="Times New Roman" w:hAnsi="Times New Roman"/>
          <w:szCs w:val="24"/>
        </w:rPr>
        <w:t>on of your rebuttal testimony?</w:t>
      </w:r>
    </w:p>
    <w:p w14:paraId="5D0ABA25" w14:textId="3A7EF119" w:rsidR="00C91EFE" w:rsidRPr="006833CD" w:rsidRDefault="00515380"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r>
      <w:r w:rsidR="00C91EFE" w:rsidRPr="006833CD">
        <w:rPr>
          <w:rFonts w:ascii="Times New Roman" w:hAnsi="Times New Roman"/>
          <w:szCs w:val="24"/>
        </w:rPr>
        <w:t xml:space="preserve">In this section, I first address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 xml:space="preserve">Hill’s comments on my direct testimony with regard to </w:t>
      </w:r>
      <w:r w:rsidR="003A2002" w:rsidRPr="006833CD">
        <w:rPr>
          <w:rFonts w:ascii="Times New Roman" w:hAnsi="Times New Roman"/>
          <w:szCs w:val="24"/>
        </w:rPr>
        <w:t xml:space="preserve">The </w:t>
      </w:r>
      <w:r w:rsidR="00C91EFE" w:rsidRPr="006833CD">
        <w:rPr>
          <w:rFonts w:ascii="Times New Roman" w:hAnsi="Times New Roman"/>
          <w:szCs w:val="24"/>
        </w:rPr>
        <w:t>Brattle</w:t>
      </w:r>
      <w:r w:rsidR="003A2002" w:rsidRPr="006833CD">
        <w:rPr>
          <w:rFonts w:ascii="Times New Roman" w:hAnsi="Times New Roman"/>
          <w:szCs w:val="24"/>
        </w:rPr>
        <w:t xml:space="preserve"> Group</w:t>
      </w:r>
      <w:r w:rsidR="00C91EFE" w:rsidRPr="006833CD">
        <w:rPr>
          <w:rFonts w:ascii="Times New Roman" w:hAnsi="Times New Roman"/>
          <w:szCs w:val="24"/>
        </w:rPr>
        <w:t xml:space="preserve">’s decoupling studies.  In particular, I focus on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 xml:space="preserve">Hill’s apparent confusion about what I actually say in my testimony and data requests.  </w:t>
      </w:r>
      <w:r w:rsidR="003B0FD4" w:rsidRPr="003B0FD4">
        <w:rPr>
          <w:rFonts w:ascii="Times New Roman" w:hAnsi="Times New Roman"/>
          <w:szCs w:val="24"/>
        </w:rPr>
        <w:t>I also respond to issues raised by Mr.</w:t>
      </w:r>
      <w:r w:rsidR="003B0FD4">
        <w:rPr>
          <w:rFonts w:ascii="Times New Roman" w:hAnsi="Times New Roman"/>
          <w:szCs w:val="24"/>
        </w:rPr>
        <w:t> </w:t>
      </w:r>
      <w:r w:rsidR="003B0FD4" w:rsidRPr="003B0FD4">
        <w:rPr>
          <w:rFonts w:ascii="Times New Roman" w:hAnsi="Times New Roman"/>
          <w:szCs w:val="24"/>
        </w:rPr>
        <w:t>Gorman with respect to my direct testimony and the effect of d</w:t>
      </w:r>
      <w:r w:rsidR="003B0FD4">
        <w:rPr>
          <w:rFonts w:ascii="Times New Roman" w:hAnsi="Times New Roman"/>
          <w:szCs w:val="24"/>
        </w:rPr>
        <w:t xml:space="preserve">ecoupling on cost of capital.  </w:t>
      </w:r>
      <w:r w:rsidR="00C91EFE" w:rsidRPr="006833CD">
        <w:rPr>
          <w:rFonts w:ascii="Times New Roman" w:hAnsi="Times New Roman"/>
          <w:szCs w:val="24"/>
        </w:rPr>
        <w:t xml:space="preserve">I then turn to a critique of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Hill’s estimate of the effec</w:t>
      </w:r>
      <w:r w:rsidR="003255A1" w:rsidRPr="006833CD">
        <w:rPr>
          <w:rFonts w:ascii="Times New Roman" w:hAnsi="Times New Roman"/>
          <w:szCs w:val="24"/>
        </w:rPr>
        <w:t xml:space="preserve">t of decoupling on PSE’s </w:t>
      </w:r>
      <w:r w:rsidR="003A2002" w:rsidRPr="006833CD">
        <w:rPr>
          <w:rFonts w:ascii="Times New Roman" w:hAnsi="Times New Roman"/>
          <w:szCs w:val="24"/>
        </w:rPr>
        <w:t>return on equity</w:t>
      </w:r>
      <w:r w:rsidR="003255A1" w:rsidRPr="006833CD">
        <w:rPr>
          <w:rFonts w:ascii="Times New Roman" w:hAnsi="Times New Roman"/>
          <w:szCs w:val="24"/>
        </w:rPr>
        <w:t>.</w:t>
      </w:r>
    </w:p>
    <w:p w14:paraId="5D0ABA27" w14:textId="0F578778" w:rsidR="00515380" w:rsidRPr="006833CD" w:rsidRDefault="00515380" w:rsidP="00B86995">
      <w:pPr>
        <w:pStyle w:val="Heading2"/>
        <w:rPr>
          <w:rFonts w:ascii="Times New Roman" w:hAnsi="Times New Roman"/>
          <w:szCs w:val="24"/>
        </w:rPr>
      </w:pPr>
      <w:bookmarkStart w:id="16" w:name="_Toc293416470"/>
      <w:bookmarkStart w:id="17" w:name="_Toc294539818"/>
      <w:bookmarkStart w:id="18" w:name="_Toc406063201"/>
      <w:bookmarkStart w:id="19" w:name="_Toc406086187"/>
      <w:bookmarkStart w:id="20" w:name="_Toc406511790"/>
      <w:bookmarkStart w:id="21" w:name="_Toc406745165"/>
      <w:r w:rsidRPr="006833CD">
        <w:rPr>
          <w:rFonts w:ascii="Times New Roman" w:hAnsi="Times New Roman"/>
          <w:szCs w:val="24"/>
        </w:rPr>
        <w:lastRenderedPageBreak/>
        <w:t>A.</w:t>
      </w:r>
      <w:r w:rsidRPr="006833CD">
        <w:rPr>
          <w:rFonts w:ascii="Times New Roman" w:hAnsi="Times New Roman"/>
          <w:szCs w:val="24"/>
        </w:rPr>
        <w:tab/>
      </w:r>
      <w:bookmarkEnd w:id="16"/>
      <w:bookmarkEnd w:id="17"/>
      <w:bookmarkEnd w:id="18"/>
      <w:bookmarkEnd w:id="19"/>
      <w:bookmarkEnd w:id="20"/>
      <w:r w:rsidR="00600AFF" w:rsidRPr="006833CD">
        <w:rPr>
          <w:rFonts w:ascii="Times New Roman" w:hAnsi="Times New Roman"/>
          <w:bCs/>
          <w:szCs w:val="24"/>
        </w:rPr>
        <w:t xml:space="preserve">None of </w:t>
      </w:r>
      <w:r w:rsidR="003B0FD4">
        <w:rPr>
          <w:rFonts w:ascii="Times New Roman" w:hAnsi="Times New Roman"/>
          <w:szCs w:val="24"/>
        </w:rPr>
        <w:t xml:space="preserve">the </w:t>
      </w:r>
      <w:r w:rsidR="00600AFF" w:rsidRPr="006833CD">
        <w:rPr>
          <w:rFonts w:ascii="Times New Roman" w:hAnsi="Times New Roman"/>
          <w:bCs/>
          <w:szCs w:val="24"/>
        </w:rPr>
        <w:t>Criticisms of The Brattle Group Decoupling Studies or My Direct Testimony are Valid</w:t>
      </w:r>
      <w:bookmarkEnd w:id="21"/>
    </w:p>
    <w:p w14:paraId="5D0ABA28" w14:textId="594B8CB3"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AF6FD1" w:rsidRPr="006833CD">
        <w:rPr>
          <w:rFonts w:ascii="Times New Roman" w:hAnsi="Times New Roman"/>
          <w:szCs w:val="24"/>
        </w:rPr>
        <w:t xml:space="preserve">Is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correct about </w:t>
      </w:r>
      <w:r w:rsidR="00A55647" w:rsidRPr="006833CD">
        <w:rPr>
          <w:rFonts w:ascii="Times New Roman" w:hAnsi="Times New Roman"/>
          <w:szCs w:val="24"/>
        </w:rPr>
        <w:t xml:space="preserve">the </w:t>
      </w:r>
      <w:r w:rsidR="00AF6FD1" w:rsidRPr="006833CD">
        <w:rPr>
          <w:rFonts w:ascii="Times New Roman" w:hAnsi="Times New Roman"/>
          <w:szCs w:val="24"/>
        </w:rPr>
        <w:t xml:space="preserve">types of decoupling </w:t>
      </w:r>
      <w:r w:rsidR="00A55647" w:rsidRPr="006833CD">
        <w:rPr>
          <w:rFonts w:ascii="Times New Roman" w:hAnsi="Times New Roman"/>
          <w:szCs w:val="24"/>
        </w:rPr>
        <w:t xml:space="preserve">that </w:t>
      </w:r>
      <w:r w:rsidR="00AF6FD1" w:rsidRPr="006833CD">
        <w:rPr>
          <w:rFonts w:ascii="Times New Roman" w:hAnsi="Times New Roman"/>
          <w:szCs w:val="24"/>
        </w:rPr>
        <w:t>were in</w:t>
      </w:r>
      <w:r w:rsidR="003D27FA" w:rsidRPr="006833CD">
        <w:rPr>
          <w:rFonts w:ascii="Times New Roman" w:hAnsi="Times New Roman"/>
          <w:szCs w:val="24"/>
        </w:rPr>
        <w:t>cluded in the various studies?</w:t>
      </w:r>
    </w:p>
    <w:p w14:paraId="5D0ABA2B" w14:textId="5CD77199" w:rsidR="00C91EFE" w:rsidRPr="006833CD" w:rsidRDefault="00515380"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r>
      <w:r w:rsidR="00AF6FD1" w:rsidRPr="006833CD">
        <w:rPr>
          <w:rFonts w:ascii="Times New Roman" w:hAnsi="Times New Roman"/>
          <w:szCs w:val="24"/>
        </w:rPr>
        <w:t xml:space="preserve">No.  At various points in his testimony,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asserts that </w:t>
      </w:r>
      <w:r w:rsidR="003A2002" w:rsidRPr="006833CD">
        <w:rPr>
          <w:rFonts w:ascii="Times New Roman" w:hAnsi="Times New Roman"/>
          <w:szCs w:val="24"/>
        </w:rPr>
        <w:t xml:space="preserve">The </w:t>
      </w:r>
      <w:r w:rsidR="00AF6FD1" w:rsidRPr="006833CD">
        <w:rPr>
          <w:rFonts w:ascii="Times New Roman" w:hAnsi="Times New Roman"/>
          <w:szCs w:val="24"/>
        </w:rPr>
        <w:t xml:space="preserve">Brattle </w:t>
      </w:r>
      <w:r w:rsidR="003A2002" w:rsidRPr="006833CD">
        <w:rPr>
          <w:rFonts w:ascii="Times New Roman" w:hAnsi="Times New Roman"/>
          <w:szCs w:val="24"/>
        </w:rPr>
        <w:t xml:space="preserve">Group </w:t>
      </w:r>
      <w:r w:rsidR="00AF6FD1" w:rsidRPr="006833CD">
        <w:rPr>
          <w:rFonts w:ascii="Times New Roman" w:hAnsi="Times New Roman"/>
          <w:szCs w:val="24"/>
        </w:rPr>
        <w:t>changed the types of decoupling considered in the two studies and their updates.</w:t>
      </w:r>
      <w:r w:rsidR="000C657F" w:rsidRPr="006833CD">
        <w:rPr>
          <w:rStyle w:val="FootnoteReference"/>
        </w:rPr>
        <w:footnoteReference w:id="15"/>
      </w:r>
      <w:r w:rsidR="00AF6FD1" w:rsidRPr="006833CD">
        <w:rPr>
          <w:rFonts w:ascii="Times New Roman" w:hAnsi="Times New Roman"/>
          <w:szCs w:val="24"/>
        </w:rPr>
        <w:t xml:space="preserve">  </w:t>
      </w:r>
      <w:r w:rsidR="000240C8" w:rsidRPr="006833CD">
        <w:rPr>
          <w:rFonts w:ascii="Times New Roman" w:hAnsi="Times New Roman"/>
          <w:szCs w:val="24"/>
        </w:rPr>
        <w:t xml:space="preserve">Many of these assertions are incorrect.  </w:t>
      </w:r>
      <w:r w:rsidR="00682D7D" w:rsidRPr="006833CD">
        <w:rPr>
          <w:rFonts w:ascii="Times New Roman" w:hAnsi="Times New Roman"/>
          <w:szCs w:val="24"/>
        </w:rPr>
        <w:t xml:space="preserve">To avoid confusion about what changed in the updates to the two studies, </w:t>
      </w:r>
      <w:r w:rsidR="000240C8" w:rsidRPr="006833CD">
        <w:rPr>
          <w:rFonts w:ascii="Times New Roman" w:hAnsi="Times New Roman"/>
          <w:szCs w:val="24"/>
        </w:rPr>
        <w:t xml:space="preserve">I prepared Exhibit </w:t>
      </w:r>
      <w:r w:rsidR="00A84633" w:rsidRPr="006833CD">
        <w:rPr>
          <w:rFonts w:ascii="Times New Roman" w:hAnsi="Times New Roman"/>
          <w:bCs/>
          <w:szCs w:val="24"/>
        </w:rPr>
        <w:t>No. </w:t>
      </w:r>
      <w:r w:rsidR="000C657F" w:rsidRPr="006833CD">
        <w:rPr>
          <w:rFonts w:ascii="Times New Roman" w:hAnsi="Times New Roman"/>
          <w:szCs w:val="24"/>
        </w:rPr>
        <w:t>___(</w:t>
      </w:r>
      <w:r w:rsidR="000240C8" w:rsidRPr="006833CD">
        <w:rPr>
          <w:rFonts w:ascii="Times New Roman" w:hAnsi="Times New Roman"/>
          <w:szCs w:val="24"/>
        </w:rPr>
        <w:t>MJV-</w:t>
      </w:r>
      <w:r w:rsidR="000C657F" w:rsidRPr="006833CD">
        <w:rPr>
          <w:rFonts w:ascii="Times New Roman" w:hAnsi="Times New Roman"/>
          <w:szCs w:val="24"/>
        </w:rPr>
        <w:t xml:space="preserve">19), </w:t>
      </w:r>
      <w:r w:rsidR="000240C8" w:rsidRPr="006833CD">
        <w:rPr>
          <w:rFonts w:ascii="Times New Roman" w:hAnsi="Times New Roman"/>
          <w:szCs w:val="24"/>
        </w:rPr>
        <w:t xml:space="preserve">which lists the </w:t>
      </w:r>
      <w:r w:rsidR="00682D7D" w:rsidRPr="006833CD">
        <w:rPr>
          <w:rFonts w:ascii="Times New Roman" w:hAnsi="Times New Roman"/>
          <w:szCs w:val="24"/>
        </w:rPr>
        <w:t xml:space="preserve">changes in the </w:t>
      </w:r>
      <w:r w:rsidR="000240C8" w:rsidRPr="006833CD">
        <w:rPr>
          <w:rFonts w:ascii="Times New Roman" w:hAnsi="Times New Roman"/>
          <w:szCs w:val="24"/>
        </w:rPr>
        <w:t xml:space="preserve">two </w:t>
      </w:r>
      <w:r w:rsidR="00682D7D" w:rsidRPr="006833CD">
        <w:rPr>
          <w:rFonts w:ascii="Times New Roman" w:hAnsi="Times New Roman"/>
          <w:szCs w:val="24"/>
        </w:rPr>
        <w:t xml:space="preserve">studies including the two </w:t>
      </w:r>
      <w:r w:rsidR="000240C8" w:rsidRPr="006833CD">
        <w:rPr>
          <w:rFonts w:ascii="Times New Roman" w:hAnsi="Times New Roman"/>
          <w:szCs w:val="24"/>
        </w:rPr>
        <w:t>changes we made in the t</w:t>
      </w:r>
      <w:r w:rsidR="003255A1" w:rsidRPr="006833CD">
        <w:rPr>
          <w:rFonts w:ascii="Times New Roman" w:hAnsi="Times New Roman"/>
          <w:szCs w:val="24"/>
        </w:rPr>
        <w:t>ypes of decoupling considered.</w:t>
      </w:r>
    </w:p>
    <w:p w14:paraId="6AD0F6C7" w14:textId="26F04ADE"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Did you submit the original study on the electric utilit</w:t>
      </w:r>
      <w:r w:rsidR="003D27FA" w:rsidRPr="006833CD">
        <w:rPr>
          <w:rFonts w:ascii="Times New Roman" w:hAnsi="Times New Roman"/>
          <w:bCs/>
          <w:szCs w:val="24"/>
        </w:rPr>
        <w:t>y industry in this proceeding?</w:t>
      </w:r>
    </w:p>
    <w:p w14:paraId="6D9821BB" w14:textId="5F5C3676"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t xml:space="preserve">Yes.  Contrary to </w:t>
      </w:r>
      <w:r w:rsidR="0030288F" w:rsidRPr="006833CD">
        <w:rPr>
          <w:rFonts w:ascii="Times New Roman" w:hAnsi="Times New Roman"/>
          <w:szCs w:val="24"/>
        </w:rPr>
        <w:t>Mr.</w:t>
      </w:r>
      <w:r w:rsidR="0030288F">
        <w:rPr>
          <w:rFonts w:ascii="Times New Roman" w:hAnsi="Times New Roman"/>
          <w:szCs w:val="24"/>
        </w:rPr>
        <w:t> </w:t>
      </w:r>
      <w:r w:rsidR="00930614" w:rsidRPr="006833CD">
        <w:rPr>
          <w:rFonts w:ascii="Times New Roman" w:hAnsi="Times New Roman"/>
          <w:bCs/>
          <w:szCs w:val="24"/>
        </w:rPr>
        <w:t>Hill’s statement,</w:t>
      </w:r>
      <w:r w:rsidR="000C657F" w:rsidRPr="006833CD">
        <w:rPr>
          <w:rStyle w:val="FootnoteReference"/>
        </w:rPr>
        <w:footnoteReference w:id="16"/>
      </w:r>
      <w:r w:rsidR="00930614" w:rsidRPr="006833CD">
        <w:rPr>
          <w:rFonts w:ascii="Times New Roman" w:hAnsi="Times New Roman"/>
          <w:bCs/>
          <w:szCs w:val="24"/>
        </w:rPr>
        <w:t xml:space="preserve"> I did submit a copy of the study, “</w:t>
      </w:r>
      <w:r w:rsidR="00930614" w:rsidRPr="006833CD">
        <w:rPr>
          <w:rFonts w:ascii="Times New Roman" w:hAnsi="Times New Roman"/>
          <w:szCs w:val="24"/>
        </w:rPr>
        <w:t>The Impact of Revenue Decoupling on the Cost of Capital for Electric Utilities: An Empirical Investigation,” March 2014 as part of the supporting</w:t>
      </w:r>
      <w:r w:rsidRPr="006833CD">
        <w:rPr>
          <w:rFonts w:ascii="Times New Roman" w:hAnsi="Times New Roman"/>
          <w:szCs w:val="24"/>
        </w:rPr>
        <w:t xml:space="preserve"> </w:t>
      </w:r>
      <w:r w:rsidR="000C657F" w:rsidRPr="006833CD">
        <w:rPr>
          <w:rFonts w:ascii="Times New Roman" w:hAnsi="Times New Roman"/>
          <w:szCs w:val="24"/>
        </w:rPr>
        <w:t xml:space="preserve">workpapers </w:t>
      </w:r>
      <w:r w:rsidRPr="006833CD">
        <w:rPr>
          <w:rFonts w:ascii="Times New Roman" w:hAnsi="Times New Roman"/>
          <w:szCs w:val="24"/>
        </w:rPr>
        <w:t>in this proceeding.</w:t>
      </w:r>
    </w:p>
    <w:p w14:paraId="5D0ABA2C" w14:textId="6EB0BF46"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240C8" w:rsidRPr="006833CD">
        <w:rPr>
          <w:rFonts w:ascii="Times New Roman" w:hAnsi="Times New Roman"/>
          <w:bCs/>
          <w:szCs w:val="24"/>
        </w:rPr>
        <w:t>What were the changes in types of decoupling considered</w:t>
      </w:r>
      <w:r w:rsidR="00930614" w:rsidRPr="006833CD">
        <w:rPr>
          <w:rFonts w:ascii="Times New Roman" w:hAnsi="Times New Roman"/>
          <w:bCs/>
          <w:szCs w:val="24"/>
        </w:rPr>
        <w:t xml:space="preserve"> in the updated studies</w:t>
      </w:r>
      <w:r w:rsidR="003D27FA" w:rsidRPr="006833CD">
        <w:rPr>
          <w:rFonts w:ascii="Times New Roman" w:hAnsi="Times New Roman"/>
          <w:bCs/>
          <w:szCs w:val="24"/>
        </w:rPr>
        <w:t>?</w:t>
      </w:r>
    </w:p>
    <w:p w14:paraId="5D0ABA2D" w14:textId="3A0C6390" w:rsidR="00C91EF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3B0FD4">
        <w:rPr>
          <w:rFonts w:ascii="Times New Roman" w:hAnsi="Times New Roman"/>
          <w:bCs/>
          <w:szCs w:val="24"/>
        </w:rPr>
        <w:t xml:space="preserve">We made </w:t>
      </w:r>
      <w:r w:rsidR="00930614" w:rsidRPr="006833CD">
        <w:rPr>
          <w:rFonts w:ascii="Times New Roman" w:hAnsi="Times New Roman"/>
          <w:bCs/>
          <w:szCs w:val="24"/>
        </w:rPr>
        <w:t>minor changes.</w:t>
      </w:r>
      <w:r w:rsidR="00A55647" w:rsidRPr="006833CD">
        <w:rPr>
          <w:rFonts w:ascii="Times New Roman" w:hAnsi="Times New Roman"/>
          <w:bCs/>
          <w:szCs w:val="24"/>
        </w:rPr>
        <w:t xml:space="preserve">  </w:t>
      </w:r>
      <w:r w:rsidR="000240C8" w:rsidRPr="006833CD">
        <w:rPr>
          <w:rFonts w:ascii="Times New Roman" w:hAnsi="Times New Roman"/>
          <w:bCs/>
          <w:szCs w:val="24"/>
        </w:rPr>
        <w:t xml:space="preserve">The original gas </w:t>
      </w:r>
      <w:proofErr w:type="spellStart"/>
      <w:r w:rsidR="000240C8" w:rsidRPr="006833CD">
        <w:rPr>
          <w:rFonts w:ascii="Times New Roman" w:hAnsi="Times New Roman"/>
          <w:bCs/>
          <w:szCs w:val="24"/>
        </w:rPr>
        <w:t>LDC</w:t>
      </w:r>
      <w:proofErr w:type="spellEnd"/>
      <w:r w:rsidR="000240C8" w:rsidRPr="006833CD">
        <w:rPr>
          <w:rFonts w:ascii="Times New Roman" w:hAnsi="Times New Roman"/>
          <w:bCs/>
          <w:szCs w:val="24"/>
        </w:rPr>
        <w:t xml:space="preserve"> study considered </w:t>
      </w:r>
      <w:r w:rsidR="009D7094" w:rsidRPr="006833CD">
        <w:rPr>
          <w:rFonts w:ascii="Times New Roman" w:hAnsi="Times New Roman"/>
          <w:bCs/>
          <w:szCs w:val="24"/>
        </w:rPr>
        <w:t>lost revenue adjustment mechanism</w:t>
      </w:r>
      <w:r w:rsidR="000240C8" w:rsidRPr="006833CD">
        <w:rPr>
          <w:rFonts w:ascii="Times New Roman" w:hAnsi="Times New Roman"/>
          <w:bCs/>
          <w:szCs w:val="24"/>
        </w:rPr>
        <w:t xml:space="preserve">s in addition to true-up decoupling and straight-fixed </w:t>
      </w:r>
      <w:r w:rsidR="000240C8" w:rsidRPr="006833CD">
        <w:rPr>
          <w:rFonts w:ascii="Times New Roman" w:hAnsi="Times New Roman"/>
          <w:bCs/>
          <w:szCs w:val="24"/>
        </w:rPr>
        <w:lastRenderedPageBreak/>
        <w:t>variable rates</w:t>
      </w:r>
      <w:r w:rsidR="00E905EA" w:rsidRPr="006833CD">
        <w:rPr>
          <w:rFonts w:ascii="Times New Roman" w:hAnsi="Times New Roman"/>
          <w:bCs/>
          <w:szCs w:val="24"/>
        </w:rPr>
        <w:t xml:space="preserve">; the updated gas </w:t>
      </w:r>
      <w:proofErr w:type="spellStart"/>
      <w:r w:rsidR="00E905EA" w:rsidRPr="006833CD">
        <w:rPr>
          <w:rFonts w:ascii="Times New Roman" w:hAnsi="Times New Roman"/>
          <w:bCs/>
          <w:szCs w:val="24"/>
        </w:rPr>
        <w:t>LDC</w:t>
      </w:r>
      <w:proofErr w:type="spellEnd"/>
      <w:r w:rsidR="00E905EA" w:rsidRPr="006833CD">
        <w:rPr>
          <w:rFonts w:ascii="Times New Roman" w:hAnsi="Times New Roman"/>
          <w:bCs/>
          <w:szCs w:val="24"/>
        </w:rPr>
        <w:t xml:space="preserve"> study did not</w:t>
      </w:r>
      <w:r w:rsidR="0032071F" w:rsidRPr="006833CD">
        <w:rPr>
          <w:rFonts w:ascii="Times New Roman" w:hAnsi="Times New Roman"/>
          <w:bCs/>
          <w:szCs w:val="24"/>
        </w:rPr>
        <w:t xml:space="preserve"> consider lost revenue adjustment mechanism</w:t>
      </w:r>
      <w:r w:rsidR="000240C8" w:rsidRPr="006833CD">
        <w:rPr>
          <w:rFonts w:ascii="Times New Roman" w:hAnsi="Times New Roman"/>
          <w:bCs/>
          <w:szCs w:val="24"/>
        </w:rPr>
        <w:t xml:space="preserve">.  The original electric utility study only considered true-up decoupling, but the update for this proceeding added </w:t>
      </w:r>
      <w:r w:rsidR="0032071F" w:rsidRPr="006833CD">
        <w:rPr>
          <w:rFonts w:ascii="Times New Roman" w:hAnsi="Times New Roman"/>
          <w:bCs/>
          <w:szCs w:val="24"/>
        </w:rPr>
        <w:t xml:space="preserve">straight-fixed variable rates </w:t>
      </w:r>
      <w:r w:rsidR="000240C8" w:rsidRPr="006833CD">
        <w:rPr>
          <w:rFonts w:ascii="Times New Roman" w:hAnsi="Times New Roman"/>
          <w:bCs/>
          <w:szCs w:val="24"/>
        </w:rPr>
        <w:t xml:space="preserve">for a single company, </w:t>
      </w:r>
      <w:r w:rsidR="00EA33B3" w:rsidRPr="006833CD">
        <w:rPr>
          <w:rFonts w:ascii="Times New Roman" w:hAnsi="Times New Roman"/>
          <w:bCs/>
          <w:szCs w:val="24"/>
        </w:rPr>
        <w:t xml:space="preserve">Commonwealth Edison, </w:t>
      </w:r>
      <w:r w:rsidR="00F80904" w:rsidRPr="006833CD">
        <w:rPr>
          <w:rFonts w:ascii="Times New Roman" w:hAnsi="Times New Roman"/>
          <w:bCs/>
          <w:szCs w:val="24"/>
        </w:rPr>
        <w:t xml:space="preserve">a </w:t>
      </w:r>
      <w:r w:rsidR="00EA33B3" w:rsidRPr="006833CD">
        <w:rPr>
          <w:rFonts w:ascii="Times New Roman" w:hAnsi="Times New Roman"/>
          <w:bCs/>
          <w:szCs w:val="24"/>
        </w:rPr>
        <w:t>subsidiary of Exelon Corp</w:t>
      </w:r>
      <w:r w:rsidR="000240C8" w:rsidRPr="006833CD">
        <w:rPr>
          <w:rFonts w:ascii="Times New Roman" w:hAnsi="Times New Roman"/>
          <w:szCs w:val="24"/>
        </w:rPr>
        <w:t xml:space="preserve">, </w:t>
      </w:r>
      <w:r w:rsidR="00F80904" w:rsidRPr="006833CD">
        <w:rPr>
          <w:rFonts w:ascii="Times New Roman" w:hAnsi="Times New Roman"/>
          <w:szCs w:val="24"/>
        </w:rPr>
        <w:t xml:space="preserve">which was </w:t>
      </w:r>
      <w:r w:rsidR="000240C8" w:rsidRPr="006833CD">
        <w:rPr>
          <w:rFonts w:ascii="Times New Roman" w:hAnsi="Times New Roman"/>
          <w:bCs/>
          <w:szCs w:val="24"/>
        </w:rPr>
        <w:t xml:space="preserve">already in the sample.  </w:t>
      </w:r>
      <w:r w:rsidR="00A55647" w:rsidRPr="006833CD">
        <w:rPr>
          <w:rFonts w:ascii="Times New Roman" w:hAnsi="Times New Roman"/>
          <w:bCs/>
          <w:szCs w:val="24"/>
        </w:rPr>
        <w:t>W</w:t>
      </w:r>
      <w:r w:rsidR="000240C8" w:rsidRPr="006833CD">
        <w:rPr>
          <w:rFonts w:ascii="Times New Roman" w:hAnsi="Times New Roman"/>
          <w:bCs/>
          <w:szCs w:val="24"/>
        </w:rPr>
        <w:t xml:space="preserve">e decided to include </w:t>
      </w:r>
      <w:r w:rsidR="0032071F" w:rsidRPr="006833CD">
        <w:rPr>
          <w:rFonts w:ascii="Times New Roman" w:hAnsi="Times New Roman"/>
          <w:bCs/>
          <w:szCs w:val="24"/>
        </w:rPr>
        <w:t xml:space="preserve">straight-fixed variable rates </w:t>
      </w:r>
      <w:r w:rsidR="00A56179" w:rsidRPr="006833CD">
        <w:rPr>
          <w:rFonts w:ascii="Times New Roman" w:hAnsi="Times New Roman"/>
          <w:bCs/>
          <w:szCs w:val="24"/>
        </w:rPr>
        <w:t xml:space="preserve">in the update to the electric study </w:t>
      </w:r>
      <w:r w:rsidR="000240C8" w:rsidRPr="006833CD">
        <w:rPr>
          <w:rFonts w:ascii="Times New Roman" w:hAnsi="Times New Roman"/>
          <w:bCs/>
          <w:szCs w:val="24"/>
        </w:rPr>
        <w:t xml:space="preserve">to make the gas </w:t>
      </w:r>
      <w:proofErr w:type="spellStart"/>
      <w:r w:rsidR="000240C8" w:rsidRPr="006833CD">
        <w:rPr>
          <w:rFonts w:ascii="Times New Roman" w:hAnsi="Times New Roman"/>
          <w:bCs/>
          <w:szCs w:val="24"/>
        </w:rPr>
        <w:t>LDC</w:t>
      </w:r>
      <w:proofErr w:type="spellEnd"/>
      <w:r w:rsidR="000240C8" w:rsidRPr="006833CD">
        <w:rPr>
          <w:rFonts w:ascii="Times New Roman" w:hAnsi="Times New Roman"/>
          <w:bCs/>
          <w:szCs w:val="24"/>
        </w:rPr>
        <w:t xml:space="preserve"> study and the electric study as </w:t>
      </w:r>
      <w:r w:rsidR="00A56179" w:rsidRPr="006833CD">
        <w:rPr>
          <w:rFonts w:ascii="Times New Roman" w:hAnsi="Times New Roman"/>
          <w:bCs/>
          <w:szCs w:val="24"/>
        </w:rPr>
        <w:t>similar</w:t>
      </w:r>
      <w:r w:rsidR="000240C8" w:rsidRPr="006833CD">
        <w:rPr>
          <w:rFonts w:ascii="Times New Roman" w:hAnsi="Times New Roman"/>
          <w:bCs/>
          <w:szCs w:val="24"/>
        </w:rPr>
        <w:t xml:space="preserve"> as possible.  </w:t>
      </w:r>
      <w:r w:rsidR="00EA33B3" w:rsidRPr="006833CD">
        <w:rPr>
          <w:rFonts w:ascii="Times New Roman" w:hAnsi="Times New Roman"/>
          <w:bCs/>
          <w:szCs w:val="24"/>
        </w:rPr>
        <w:t xml:space="preserve">Gas </w:t>
      </w:r>
      <w:proofErr w:type="spellStart"/>
      <w:r w:rsidR="00EA33B3" w:rsidRPr="006833CD">
        <w:rPr>
          <w:rFonts w:ascii="Times New Roman" w:hAnsi="Times New Roman"/>
          <w:bCs/>
          <w:szCs w:val="24"/>
        </w:rPr>
        <w:t>LDCs</w:t>
      </w:r>
      <w:proofErr w:type="spellEnd"/>
      <w:r w:rsidR="00EA33B3" w:rsidRPr="006833CD">
        <w:rPr>
          <w:rFonts w:ascii="Times New Roman" w:hAnsi="Times New Roman"/>
          <w:bCs/>
          <w:szCs w:val="24"/>
        </w:rPr>
        <w:t xml:space="preserve"> frequently use </w:t>
      </w:r>
      <w:r w:rsidR="0032071F" w:rsidRPr="006833CD">
        <w:rPr>
          <w:rFonts w:ascii="Times New Roman" w:hAnsi="Times New Roman"/>
          <w:bCs/>
          <w:szCs w:val="24"/>
        </w:rPr>
        <w:t xml:space="preserve">straight-fixed variable rates </w:t>
      </w:r>
      <w:r w:rsidR="00EA33B3" w:rsidRPr="006833CD">
        <w:rPr>
          <w:rFonts w:ascii="Times New Roman" w:hAnsi="Times New Roman"/>
          <w:bCs/>
          <w:szCs w:val="24"/>
        </w:rPr>
        <w:t>to “decouple” revenues from commodity sales</w:t>
      </w:r>
      <w:r w:rsidR="002D4045" w:rsidRPr="006833CD">
        <w:rPr>
          <w:rFonts w:ascii="Times New Roman" w:hAnsi="Times New Roman"/>
          <w:bCs/>
          <w:szCs w:val="24"/>
        </w:rPr>
        <w:t xml:space="preserve">, but electric utilities have </w:t>
      </w:r>
      <w:r w:rsidR="0032071F" w:rsidRPr="006833CD">
        <w:rPr>
          <w:rFonts w:ascii="Times New Roman" w:hAnsi="Times New Roman"/>
          <w:bCs/>
          <w:szCs w:val="24"/>
        </w:rPr>
        <w:t xml:space="preserve">straight-fixed variable rates </w:t>
      </w:r>
      <w:r w:rsidR="002D4045" w:rsidRPr="006833CD">
        <w:rPr>
          <w:rFonts w:ascii="Times New Roman" w:hAnsi="Times New Roman"/>
          <w:bCs/>
          <w:szCs w:val="24"/>
        </w:rPr>
        <w:t>only infrequently</w:t>
      </w:r>
      <w:r w:rsidR="00EA33B3" w:rsidRPr="006833CD">
        <w:rPr>
          <w:rFonts w:ascii="Times New Roman" w:hAnsi="Times New Roman"/>
          <w:bCs/>
          <w:szCs w:val="24"/>
        </w:rPr>
        <w:t xml:space="preserve">.  Exhibit </w:t>
      </w:r>
      <w:r w:rsidR="00A84633" w:rsidRPr="006833CD">
        <w:rPr>
          <w:rFonts w:ascii="Times New Roman" w:hAnsi="Times New Roman"/>
          <w:bCs/>
          <w:szCs w:val="24"/>
        </w:rPr>
        <w:t>No. </w:t>
      </w:r>
      <w:r w:rsidR="0032071F" w:rsidRPr="006833CD">
        <w:rPr>
          <w:rFonts w:ascii="Times New Roman" w:hAnsi="Times New Roman"/>
          <w:bCs/>
          <w:szCs w:val="24"/>
        </w:rPr>
        <w:t>___(</w:t>
      </w:r>
      <w:r w:rsidR="00EA33B3" w:rsidRPr="006833CD">
        <w:rPr>
          <w:rFonts w:ascii="Times New Roman" w:hAnsi="Times New Roman"/>
          <w:bCs/>
          <w:szCs w:val="24"/>
        </w:rPr>
        <w:t>MJV-8</w:t>
      </w:r>
      <w:r w:rsidR="0032071F" w:rsidRPr="006833CD">
        <w:rPr>
          <w:rFonts w:ascii="Times New Roman" w:hAnsi="Times New Roman"/>
          <w:bCs/>
          <w:szCs w:val="24"/>
        </w:rPr>
        <w:t>)</w:t>
      </w:r>
      <w:r w:rsidR="00EA33B3" w:rsidRPr="006833CD">
        <w:rPr>
          <w:rFonts w:ascii="Times New Roman" w:hAnsi="Times New Roman"/>
          <w:bCs/>
          <w:szCs w:val="24"/>
        </w:rPr>
        <w:t xml:space="preserve"> show</w:t>
      </w:r>
      <w:r w:rsidR="00A55647" w:rsidRPr="006833CD">
        <w:rPr>
          <w:rFonts w:ascii="Times New Roman" w:hAnsi="Times New Roman"/>
          <w:bCs/>
          <w:szCs w:val="24"/>
        </w:rPr>
        <w:t>s</w:t>
      </w:r>
      <w:r w:rsidR="00EA33B3" w:rsidRPr="006833CD">
        <w:rPr>
          <w:rFonts w:ascii="Times New Roman" w:hAnsi="Times New Roman"/>
          <w:bCs/>
          <w:szCs w:val="24"/>
        </w:rPr>
        <w:t xml:space="preserve"> that of </w:t>
      </w:r>
      <w:r w:rsidR="0032071F" w:rsidRPr="006833CD">
        <w:rPr>
          <w:rFonts w:ascii="Times New Roman" w:hAnsi="Times New Roman"/>
          <w:bCs/>
          <w:szCs w:val="24"/>
        </w:rPr>
        <w:t xml:space="preserve">the thirty </w:t>
      </w:r>
      <w:r w:rsidR="00A613C7" w:rsidRPr="006833CD">
        <w:rPr>
          <w:rFonts w:ascii="Times New Roman" w:hAnsi="Times New Roman"/>
          <w:bCs/>
          <w:szCs w:val="24"/>
        </w:rPr>
        <w:t>states with any decoupling policy</w:t>
      </w:r>
      <w:r w:rsidR="00A55647" w:rsidRPr="006833CD">
        <w:rPr>
          <w:rFonts w:ascii="Times New Roman" w:hAnsi="Times New Roman"/>
          <w:bCs/>
          <w:szCs w:val="24"/>
        </w:rPr>
        <w:t>, nine</w:t>
      </w:r>
      <w:r w:rsidR="0032071F" w:rsidRPr="006833CD">
        <w:rPr>
          <w:rFonts w:ascii="Times New Roman" w:hAnsi="Times New Roman"/>
          <w:bCs/>
          <w:szCs w:val="24"/>
        </w:rPr>
        <w:t xml:space="preserve"> states have straight-fixed variable rates</w:t>
      </w:r>
      <w:r w:rsidR="00EA33B3" w:rsidRPr="006833CD">
        <w:rPr>
          <w:rFonts w:ascii="Times New Roman" w:hAnsi="Times New Roman"/>
          <w:bCs/>
          <w:szCs w:val="24"/>
        </w:rPr>
        <w:t>.</w:t>
      </w:r>
      <w:r w:rsidR="000240C8" w:rsidRPr="006833CD">
        <w:rPr>
          <w:rFonts w:ascii="Times New Roman" w:hAnsi="Times New Roman"/>
          <w:bCs/>
          <w:szCs w:val="24"/>
        </w:rPr>
        <w:t xml:space="preserve"> </w:t>
      </w:r>
      <w:r w:rsidR="0032071F" w:rsidRPr="006833CD">
        <w:rPr>
          <w:rFonts w:ascii="Times New Roman" w:hAnsi="Times New Roman"/>
          <w:bCs/>
          <w:szCs w:val="24"/>
        </w:rPr>
        <w:t xml:space="preserve"> </w:t>
      </w:r>
      <w:r w:rsidR="00E91656" w:rsidRPr="006833CD">
        <w:rPr>
          <w:rFonts w:ascii="Times New Roman" w:hAnsi="Times New Roman"/>
          <w:bCs/>
          <w:szCs w:val="24"/>
        </w:rPr>
        <w:t xml:space="preserve">We also use multistage </w:t>
      </w:r>
      <w:r w:rsidR="0032071F" w:rsidRPr="006833CD">
        <w:rPr>
          <w:rFonts w:ascii="Times New Roman" w:hAnsi="Times New Roman"/>
          <w:bCs/>
          <w:szCs w:val="24"/>
        </w:rPr>
        <w:t xml:space="preserve">discounted cash flow </w:t>
      </w:r>
      <w:r w:rsidR="00E91656" w:rsidRPr="006833CD">
        <w:rPr>
          <w:rFonts w:ascii="Times New Roman" w:hAnsi="Times New Roman"/>
          <w:bCs/>
          <w:szCs w:val="24"/>
        </w:rPr>
        <w:t>estimates in the updated electric study</w:t>
      </w:r>
      <w:r w:rsidR="001B2C55" w:rsidRPr="006833CD">
        <w:rPr>
          <w:rFonts w:ascii="Times New Roman" w:hAnsi="Times New Roman"/>
          <w:bCs/>
          <w:szCs w:val="24"/>
        </w:rPr>
        <w:t>.</w:t>
      </w:r>
    </w:p>
    <w:p w14:paraId="7C01D2BD" w14:textId="598ADA47" w:rsidR="001B2C55" w:rsidRPr="006833CD" w:rsidRDefault="001B2C55"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Why did you transition to multistage </w:t>
      </w:r>
      <w:r w:rsidR="0032071F" w:rsidRPr="006833CD">
        <w:rPr>
          <w:rFonts w:ascii="Times New Roman" w:hAnsi="Times New Roman"/>
          <w:bCs/>
          <w:szCs w:val="24"/>
        </w:rPr>
        <w:t xml:space="preserve">discounted cash flow </w:t>
      </w:r>
      <w:r w:rsidRPr="006833CD">
        <w:rPr>
          <w:rFonts w:ascii="Times New Roman" w:hAnsi="Times New Roman"/>
          <w:bCs/>
          <w:szCs w:val="24"/>
        </w:rPr>
        <w:t>estimates in the electric study?</w:t>
      </w:r>
    </w:p>
    <w:p w14:paraId="6CFE8B8D" w14:textId="03725C61" w:rsidR="001B2C55" w:rsidRPr="006833CD" w:rsidRDefault="003255A1" w:rsidP="003255A1">
      <w:pPr>
        <w:pStyle w:val="answer"/>
        <w:rPr>
          <w:rFonts w:ascii="Times New Roman" w:hAnsi="Times New Roman"/>
          <w:szCs w:val="24"/>
        </w:rPr>
      </w:pPr>
      <w:r w:rsidRPr="006833CD">
        <w:rPr>
          <w:rFonts w:ascii="Times New Roman" w:hAnsi="Times New Roman"/>
          <w:bCs/>
          <w:szCs w:val="24"/>
        </w:rPr>
        <w:t>A.</w:t>
      </w:r>
      <w:r w:rsidR="001B2C55" w:rsidRPr="006833CD">
        <w:rPr>
          <w:rFonts w:ascii="Times New Roman" w:hAnsi="Times New Roman"/>
          <w:bCs/>
          <w:szCs w:val="24"/>
        </w:rPr>
        <w:tab/>
        <w:t xml:space="preserve">We use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because we wanted to make the two studies as similar as possible.  The gas </w:t>
      </w:r>
      <w:proofErr w:type="spellStart"/>
      <w:r w:rsidR="001B2C55" w:rsidRPr="006833CD">
        <w:rPr>
          <w:rFonts w:ascii="Times New Roman" w:hAnsi="Times New Roman"/>
          <w:bCs/>
          <w:szCs w:val="24"/>
        </w:rPr>
        <w:t>LDC</w:t>
      </w:r>
      <w:proofErr w:type="spellEnd"/>
      <w:r w:rsidR="001B2C55" w:rsidRPr="006833CD">
        <w:rPr>
          <w:rFonts w:ascii="Times New Roman" w:hAnsi="Times New Roman"/>
          <w:bCs/>
          <w:szCs w:val="24"/>
        </w:rPr>
        <w:t xml:space="preserve"> study was always based upon the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We always intended to use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for the electric study, but our initial deadline precluded their use.  Calculation of a constant growth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estimate is less co</w:t>
      </w:r>
      <w:r w:rsidR="0032071F" w:rsidRPr="006833CD">
        <w:rPr>
          <w:rFonts w:ascii="Times New Roman" w:hAnsi="Times New Roman"/>
          <w:bCs/>
          <w:szCs w:val="24"/>
        </w:rPr>
        <w:t>mplex than the multistage discounted cash flow.</w:t>
      </w:r>
    </w:p>
    <w:p w14:paraId="4E7B490C" w14:textId="49183175"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Do you agree with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concern that use of the multistage </w:t>
      </w:r>
      <w:r w:rsidR="0032071F" w:rsidRPr="006833CD">
        <w:rPr>
          <w:rFonts w:ascii="Times New Roman" w:hAnsi="Times New Roman"/>
          <w:bCs/>
          <w:szCs w:val="24"/>
        </w:rPr>
        <w:t xml:space="preserve">discounted cash flow </w:t>
      </w:r>
      <w:r w:rsidRPr="006833CD">
        <w:rPr>
          <w:rFonts w:ascii="Times New Roman" w:hAnsi="Times New Roman"/>
          <w:bCs/>
          <w:szCs w:val="24"/>
        </w:rPr>
        <w:t>model could “damp down or lessen any apparent change”</w:t>
      </w:r>
      <w:r w:rsidRPr="00F71D8A">
        <w:rPr>
          <w:rStyle w:val="FootnoteReference"/>
        </w:rPr>
        <w:footnoteReference w:id="17"/>
      </w:r>
      <w:r w:rsidRPr="006833CD">
        <w:rPr>
          <w:rFonts w:ascii="Times New Roman" w:hAnsi="Times New Roman"/>
          <w:bCs/>
          <w:szCs w:val="24"/>
        </w:rPr>
        <w:t xml:space="preserve"> in the cost of capital?  </w:t>
      </w:r>
    </w:p>
    <w:p w14:paraId="221A2BA8" w14:textId="7A675326"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r>
      <w:r w:rsidR="003B0FD4">
        <w:rPr>
          <w:rFonts w:ascii="Times New Roman" w:hAnsi="Times New Roman"/>
          <w:bCs/>
          <w:szCs w:val="24"/>
        </w:rPr>
        <w:t xml:space="preserve">No.  </w:t>
      </w:r>
      <w:r w:rsidR="00930614" w:rsidRPr="006833CD">
        <w:rPr>
          <w:rFonts w:ascii="Times New Roman" w:hAnsi="Times New Roman"/>
          <w:bCs/>
          <w:szCs w:val="24"/>
        </w:rPr>
        <w:t xml:space="preserve">The effect of decoupling is to reduce the volatility of revenues.  </w:t>
      </w:r>
      <w:r w:rsidR="00067EDF" w:rsidRPr="006833CD">
        <w:rPr>
          <w:rFonts w:ascii="Times New Roman" w:hAnsi="Times New Roman"/>
          <w:bCs/>
          <w:szCs w:val="24"/>
        </w:rPr>
        <w:t xml:space="preserve">The theory underlying the belief that the cost of capital is reduced is based upon the idea that the expected cash flows are the same but that decoupling reduces their volatility.  </w:t>
      </w:r>
      <w:r w:rsidR="001E5206" w:rsidRPr="006833CD">
        <w:rPr>
          <w:rFonts w:ascii="Times New Roman" w:hAnsi="Times New Roman"/>
          <w:bCs/>
          <w:szCs w:val="24"/>
        </w:rPr>
        <w:t xml:space="preserve">Decoupling </w:t>
      </w:r>
      <w:r w:rsidR="00930614" w:rsidRPr="006833CD">
        <w:rPr>
          <w:rFonts w:ascii="Times New Roman" w:hAnsi="Times New Roman"/>
          <w:bCs/>
          <w:szCs w:val="24"/>
        </w:rPr>
        <w:t xml:space="preserve">is not expected to affect the growth rate of earnings going forward.  </w:t>
      </w:r>
      <w:r w:rsidR="00067EDF" w:rsidRPr="006833CD">
        <w:rPr>
          <w:rFonts w:ascii="Times New Roman" w:hAnsi="Times New Roman"/>
          <w:bCs/>
          <w:szCs w:val="24"/>
        </w:rPr>
        <w:t xml:space="preserve">This means that if </w:t>
      </w:r>
      <w:r w:rsidR="00930614" w:rsidRPr="006833CD">
        <w:rPr>
          <w:rFonts w:ascii="Times New Roman" w:hAnsi="Times New Roman"/>
          <w:bCs/>
          <w:szCs w:val="24"/>
        </w:rPr>
        <w:t xml:space="preserve">there is an effect on the cost of capital, it would likely show up in the company’s stock price not its expected growth rate of earnings.  </w:t>
      </w:r>
      <w:r w:rsidR="00067EDF" w:rsidRPr="006833CD">
        <w:rPr>
          <w:rFonts w:ascii="Times New Roman" w:hAnsi="Times New Roman"/>
          <w:bCs/>
          <w:szCs w:val="24"/>
        </w:rPr>
        <w:t xml:space="preserve">Use of the multistage </w:t>
      </w:r>
      <w:r w:rsidR="0032071F" w:rsidRPr="006833CD">
        <w:rPr>
          <w:rFonts w:ascii="Times New Roman" w:hAnsi="Times New Roman"/>
          <w:bCs/>
          <w:szCs w:val="24"/>
        </w:rPr>
        <w:t xml:space="preserve">discounted cash flow </w:t>
      </w:r>
      <w:r w:rsidR="00067EDF" w:rsidRPr="006833CD">
        <w:rPr>
          <w:rFonts w:ascii="Times New Roman" w:hAnsi="Times New Roman"/>
          <w:bCs/>
          <w:szCs w:val="24"/>
        </w:rPr>
        <w:t>model removes some of the large swings in estimated growth rates that could introduce noise into the regressions</w:t>
      </w:r>
      <w:r w:rsidR="0032071F" w:rsidRPr="006833CD">
        <w:rPr>
          <w:rFonts w:ascii="Times New Roman" w:hAnsi="Times New Roman"/>
          <w:bCs/>
          <w:szCs w:val="24"/>
        </w:rPr>
        <w:t xml:space="preserve"> </w:t>
      </w:r>
      <w:r w:rsidR="00067EDF" w:rsidRPr="006833CD">
        <w:rPr>
          <w:rFonts w:ascii="Times New Roman" w:hAnsi="Times New Roman"/>
          <w:bCs/>
          <w:szCs w:val="24"/>
        </w:rPr>
        <w:t>but has no effect on the expected dividend yield</w:t>
      </w:r>
      <w:r w:rsidRPr="006833CD">
        <w:rPr>
          <w:rFonts w:ascii="Times New Roman" w:hAnsi="Times New Roman"/>
          <w:bCs/>
          <w:szCs w:val="24"/>
        </w:rPr>
        <w:t xml:space="preserve"> in the model.</w:t>
      </w:r>
    </w:p>
    <w:p w14:paraId="5D0ABA2E" w14:textId="6C6D15AC"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106C7" w:rsidRPr="006833CD">
        <w:rPr>
          <w:rFonts w:ascii="Times New Roman" w:hAnsi="Times New Roman"/>
          <w:bCs/>
          <w:szCs w:val="24"/>
        </w:rPr>
        <w:t xml:space="preserve">Have you published the updated studies for the gas </w:t>
      </w:r>
      <w:proofErr w:type="spellStart"/>
      <w:r w:rsidR="00F106C7" w:rsidRPr="006833CD">
        <w:rPr>
          <w:rFonts w:ascii="Times New Roman" w:hAnsi="Times New Roman"/>
          <w:bCs/>
          <w:szCs w:val="24"/>
        </w:rPr>
        <w:t>LDC</w:t>
      </w:r>
      <w:proofErr w:type="spellEnd"/>
      <w:r w:rsidR="00F106C7" w:rsidRPr="006833CD">
        <w:rPr>
          <w:rFonts w:ascii="Times New Roman" w:hAnsi="Times New Roman"/>
          <w:bCs/>
          <w:szCs w:val="24"/>
        </w:rPr>
        <w:t xml:space="preserve"> an</w:t>
      </w:r>
      <w:r w:rsidR="003D27FA" w:rsidRPr="006833CD">
        <w:rPr>
          <w:rFonts w:ascii="Times New Roman" w:hAnsi="Times New Roman"/>
          <w:bCs/>
          <w:szCs w:val="24"/>
        </w:rPr>
        <w:t>d electric utility industries?</w:t>
      </w:r>
    </w:p>
    <w:p w14:paraId="4AE26A09" w14:textId="71C46597" w:rsidR="00B6696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F106C7" w:rsidRPr="006833CD">
        <w:rPr>
          <w:rFonts w:ascii="Times New Roman" w:hAnsi="Times New Roman"/>
          <w:bCs/>
          <w:szCs w:val="24"/>
        </w:rPr>
        <w:t xml:space="preserve">Hill is correct that these </w:t>
      </w:r>
      <w:r w:rsidR="0032071F" w:rsidRPr="006833CD">
        <w:rPr>
          <w:rFonts w:ascii="Times New Roman" w:hAnsi="Times New Roman"/>
          <w:bCs/>
          <w:szCs w:val="24"/>
        </w:rPr>
        <w:t xml:space="preserve">updated </w:t>
      </w:r>
      <w:r w:rsidR="00F106C7" w:rsidRPr="006833CD">
        <w:rPr>
          <w:rFonts w:ascii="Times New Roman" w:hAnsi="Times New Roman"/>
          <w:bCs/>
          <w:szCs w:val="24"/>
        </w:rPr>
        <w:t>studies have not yet been published.</w:t>
      </w:r>
      <w:r w:rsidR="00F106C7" w:rsidRPr="00F71D8A">
        <w:rPr>
          <w:rStyle w:val="FootnoteReference"/>
        </w:rPr>
        <w:footnoteReference w:id="18"/>
      </w:r>
      <w:r w:rsidR="00C91EFE" w:rsidRPr="006833CD">
        <w:rPr>
          <w:rFonts w:ascii="Times New Roman" w:hAnsi="Times New Roman"/>
          <w:bCs/>
          <w:szCs w:val="24"/>
        </w:rPr>
        <w:t xml:space="preserve">  </w:t>
      </w:r>
      <w:r w:rsidR="00F106C7" w:rsidRPr="006833CD">
        <w:rPr>
          <w:rFonts w:ascii="Times New Roman" w:hAnsi="Times New Roman"/>
          <w:bCs/>
          <w:szCs w:val="24"/>
        </w:rPr>
        <w:t>The updates were done initially for this proceeding</w:t>
      </w:r>
      <w:r w:rsidR="00407301" w:rsidRPr="006833CD">
        <w:rPr>
          <w:rFonts w:ascii="Times New Roman" w:hAnsi="Times New Roman"/>
          <w:bCs/>
          <w:szCs w:val="24"/>
        </w:rPr>
        <w:t>,</w:t>
      </w:r>
      <w:r w:rsidR="00F106C7" w:rsidRPr="006833CD">
        <w:rPr>
          <w:rFonts w:ascii="Times New Roman" w:hAnsi="Times New Roman"/>
          <w:bCs/>
          <w:szCs w:val="24"/>
        </w:rPr>
        <w:t xml:space="preserve"> but we intend to publish them.  In any case, in response to a series of data requests, </w:t>
      </w:r>
      <w:r w:rsidR="0032071F" w:rsidRPr="006833CD">
        <w:rPr>
          <w:rFonts w:ascii="Times New Roman" w:hAnsi="Times New Roman"/>
          <w:bCs/>
          <w:szCs w:val="24"/>
        </w:rPr>
        <w:t xml:space="preserve">The </w:t>
      </w:r>
      <w:r w:rsidR="00F106C7" w:rsidRPr="006833CD">
        <w:rPr>
          <w:rFonts w:ascii="Times New Roman" w:hAnsi="Times New Roman"/>
          <w:bCs/>
          <w:szCs w:val="24"/>
        </w:rPr>
        <w:t xml:space="preserve">Brattle </w:t>
      </w:r>
      <w:r w:rsidR="0032071F" w:rsidRPr="006833CD">
        <w:rPr>
          <w:rFonts w:ascii="Times New Roman" w:hAnsi="Times New Roman"/>
          <w:bCs/>
          <w:szCs w:val="24"/>
        </w:rPr>
        <w:t xml:space="preserve">Group </w:t>
      </w:r>
      <w:r w:rsidR="00F106C7" w:rsidRPr="006833CD">
        <w:rPr>
          <w:rFonts w:ascii="Times New Roman" w:hAnsi="Times New Roman"/>
          <w:bCs/>
          <w:szCs w:val="24"/>
        </w:rPr>
        <w:t xml:space="preserve">has provided all of the data and software programs we used to estimate the results.  </w:t>
      </w:r>
      <w:r w:rsidR="0030288F" w:rsidRPr="006833CD">
        <w:rPr>
          <w:rFonts w:ascii="Times New Roman" w:hAnsi="Times New Roman"/>
          <w:szCs w:val="24"/>
        </w:rPr>
        <w:t>Dr.</w:t>
      </w:r>
      <w:r w:rsidR="0030288F">
        <w:rPr>
          <w:rFonts w:ascii="Times New Roman" w:hAnsi="Times New Roman"/>
          <w:szCs w:val="24"/>
        </w:rPr>
        <w:t> </w:t>
      </w:r>
      <w:r w:rsidR="00F106C7" w:rsidRPr="006833CD">
        <w:rPr>
          <w:rFonts w:ascii="Times New Roman" w:hAnsi="Times New Roman"/>
          <w:bCs/>
          <w:szCs w:val="24"/>
        </w:rPr>
        <w:t xml:space="preserve">Adolph has confirmed that he has </w:t>
      </w:r>
      <w:r w:rsidR="00933FF1" w:rsidRPr="006833CD">
        <w:rPr>
          <w:rFonts w:ascii="Times New Roman" w:hAnsi="Times New Roman"/>
          <w:bCs/>
          <w:szCs w:val="24"/>
        </w:rPr>
        <w:t>re</w:t>
      </w:r>
      <w:r w:rsidR="00F106C7" w:rsidRPr="006833CD">
        <w:rPr>
          <w:rFonts w:ascii="Times New Roman" w:hAnsi="Times New Roman"/>
          <w:bCs/>
          <w:szCs w:val="24"/>
        </w:rPr>
        <w:t xml:space="preserve">plicated </w:t>
      </w:r>
      <w:r w:rsidR="00407301" w:rsidRPr="006833CD">
        <w:rPr>
          <w:rFonts w:ascii="Times New Roman" w:hAnsi="Times New Roman"/>
          <w:bCs/>
          <w:szCs w:val="24"/>
        </w:rPr>
        <w:t>our</w:t>
      </w:r>
      <w:r w:rsidR="00F106C7" w:rsidRPr="006833CD">
        <w:rPr>
          <w:rFonts w:ascii="Times New Roman" w:hAnsi="Times New Roman"/>
          <w:bCs/>
          <w:szCs w:val="24"/>
        </w:rPr>
        <w:t xml:space="preserve"> results</w:t>
      </w:r>
      <w:r w:rsidR="00933FF1" w:rsidRPr="006833CD">
        <w:rPr>
          <w:rFonts w:ascii="Times New Roman" w:hAnsi="Times New Roman"/>
          <w:bCs/>
          <w:szCs w:val="24"/>
        </w:rPr>
        <w:t xml:space="preserve"> for the updated studies</w:t>
      </w:r>
      <w:r w:rsidR="00F106C7" w:rsidRPr="006833CD">
        <w:rPr>
          <w:rFonts w:ascii="Times New Roman" w:hAnsi="Times New Roman"/>
          <w:bCs/>
          <w:szCs w:val="24"/>
        </w:rPr>
        <w:t>.</w:t>
      </w:r>
      <w:r w:rsidR="00F106C7" w:rsidRPr="00F71D8A">
        <w:rPr>
          <w:rStyle w:val="FootnoteReference"/>
        </w:rPr>
        <w:footnoteReference w:id="19"/>
      </w:r>
    </w:p>
    <w:p w14:paraId="6B0AAB97" w14:textId="1ED3B74C" w:rsidR="00B6696E" w:rsidRPr="006833CD" w:rsidRDefault="00B6696E"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Why did you not calculate a “decoupling index” for each of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bCs/>
          <w:szCs w:val="24"/>
        </w:rPr>
        <w:t xml:space="preserve">Morin’s sample companies as you </w:t>
      </w:r>
      <w:r w:rsidR="003D27FA" w:rsidRPr="006833CD">
        <w:rPr>
          <w:rFonts w:ascii="Times New Roman" w:hAnsi="Times New Roman"/>
          <w:bCs/>
          <w:szCs w:val="24"/>
        </w:rPr>
        <w:t>did for the decoupling papers?</w:t>
      </w:r>
    </w:p>
    <w:p w14:paraId="077F07C5" w14:textId="761EC1F7" w:rsidR="00A55647"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B6696E"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B6696E" w:rsidRPr="006833CD">
        <w:rPr>
          <w:rFonts w:ascii="Times New Roman" w:hAnsi="Times New Roman"/>
          <w:bCs/>
          <w:szCs w:val="24"/>
        </w:rPr>
        <w:t xml:space="preserve">Hill claims that my analysis of </w:t>
      </w:r>
      <w:r w:rsidR="0030288F" w:rsidRPr="006833CD">
        <w:rPr>
          <w:rFonts w:ascii="Times New Roman" w:hAnsi="Times New Roman"/>
          <w:szCs w:val="24"/>
        </w:rPr>
        <w:t>Dr.</w:t>
      </w:r>
      <w:r w:rsidR="0030288F">
        <w:rPr>
          <w:rFonts w:ascii="Times New Roman" w:hAnsi="Times New Roman"/>
          <w:szCs w:val="24"/>
        </w:rPr>
        <w:t> </w:t>
      </w:r>
      <w:r w:rsidR="00B6696E" w:rsidRPr="006833CD">
        <w:rPr>
          <w:rFonts w:ascii="Times New Roman" w:hAnsi="Times New Roman"/>
          <w:bCs/>
          <w:szCs w:val="24"/>
        </w:rPr>
        <w:t>Morin’s sample “discards the more detailed ‘decoupling index’ analysis he used in his Brattle Group studies of decoupling.”</w:t>
      </w:r>
      <w:r w:rsidR="00B6696E" w:rsidRPr="00F71D8A">
        <w:rPr>
          <w:rStyle w:val="FootnoteReference"/>
        </w:rPr>
        <w:footnoteReference w:id="20"/>
      </w:r>
      <w:r w:rsidR="00B6696E" w:rsidRPr="006833CD">
        <w:rPr>
          <w:rFonts w:ascii="Times New Roman" w:hAnsi="Times New Roman"/>
          <w:bCs/>
          <w:szCs w:val="24"/>
        </w:rPr>
        <w:t xml:space="preserve">  Substantial effort is required to calculate the decoupling index</w:t>
      </w:r>
      <w:r w:rsidR="00835817" w:rsidRPr="006833CD">
        <w:rPr>
          <w:rFonts w:ascii="Times New Roman" w:hAnsi="Times New Roman"/>
          <w:bCs/>
          <w:szCs w:val="24"/>
        </w:rPr>
        <w:t xml:space="preserve"> of a holding company</w:t>
      </w:r>
      <w:r w:rsidR="00B6696E" w:rsidRPr="006833CD">
        <w:rPr>
          <w:rFonts w:ascii="Times New Roman" w:hAnsi="Times New Roman"/>
          <w:bCs/>
          <w:szCs w:val="24"/>
        </w:rPr>
        <w:t>.  In the reports, we explained how we calculated the decoupling index</w:t>
      </w:r>
      <w:r w:rsidR="00493A42" w:rsidRPr="006833CD">
        <w:rPr>
          <w:rFonts w:ascii="Times New Roman" w:hAnsi="Times New Roman"/>
          <w:bCs/>
          <w:szCs w:val="24"/>
        </w:rPr>
        <w:t>,</w:t>
      </w:r>
      <w:r w:rsidR="00835817" w:rsidRPr="006833CD">
        <w:rPr>
          <w:rFonts w:ascii="Times New Roman" w:hAnsi="Times New Roman"/>
          <w:bCs/>
          <w:szCs w:val="24"/>
        </w:rPr>
        <w:t xml:space="preserve"> and we provided the detailed work papers for the decoupling indexes of electric and gas hold</w:t>
      </w:r>
      <w:r w:rsidR="0030288F">
        <w:rPr>
          <w:rFonts w:ascii="Times New Roman" w:hAnsi="Times New Roman"/>
          <w:bCs/>
          <w:szCs w:val="24"/>
        </w:rPr>
        <w:t>ing companies in those studies.</w:t>
      </w:r>
    </w:p>
    <w:p w14:paraId="4A20F044" w14:textId="096764F6" w:rsidR="00A55647" w:rsidRPr="006833CD" w:rsidRDefault="00B6696E" w:rsidP="00A55647">
      <w:pPr>
        <w:pStyle w:val="answer"/>
        <w:ind w:firstLine="0"/>
        <w:rPr>
          <w:rFonts w:ascii="Times New Roman" w:hAnsi="Times New Roman"/>
          <w:bCs/>
          <w:szCs w:val="24"/>
        </w:rPr>
      </w:pPr>
      <w:r w:rsidRPr="006833CD">
        <w:rPr>
          <w:rFonts w:ascii="Times New Roman" w:hAnsi="Times New Roman"/>
          <w:bCs/>
          <w:szCs w:val="24"/>
        </w:rPr>
        <w:t xml:space="preserve">Although the decoupling index was necessary for </w:t>
      </w:r>
      <w:r w:rsidR="008A79FF" w:rsidRPr="006833CD">
        <w:rPr>
          <w:rFonts w:ascii="Times New Roman" w:hAnsi="Times New Roman"/>
          <w:bCs/>
          <w:szCs w:val="24"/>
        </w:rPr>
        <w:t xml:space="preserve">The </w:t>
      </w:r>
      <w:r w:rsidRPr="006833CD">
        <w:rPr>
          <w:rFonts w:ascii="Times New Roman" w:hAnsi="Times New Roman"/>
          <w:bCs/>
          <w:szCs w:val="24"/>
        </w:rPr>
        <w:t>Brattle</w:t>
      </w:r>
      <w:r w:rsidR="008A79FF" w:rsidRPr="006833CD">
        <w:rPr>
          <w:rFonts w:ascii="Times New Roman" w:hAnsi="Times New Roman"/>
          <w:bCs/>
          <w:szCs w:val="24"/>
        </w:rPr>
        <w:t xml:space="preserve"> Group</w:t>
      </w:r>
      <w:r w:rsidRPr="006833CD">
        <w:rPr>
          <w:rFonts w:ascii="Times New Roman" w:hAnsi="Times New Roman"/>
          <w:bCs/>
          <w:szCs w:val="24"/>
        </w:rPr>
        <w:t xml:space="preserve"> study, the purpose of the Exhibit No.</w:t>
      </w:r>
      <w:r w:rsidR="008A79FF" w:rsidRPr="006833CD">
        <w:rPr>
          <w:rFonts w:ascii="Times New Roman" w:hAnsi="Times New Roman"/>
          <w:bCs/>
          <w:szCs w:val="24"/>
        </w:rPr>
        <w:t> ___(</w:t>
      </w:r>
      <w:r w:rsidRPr="006833CD">
        <w:rPr>
          <w:rFonts w:ascii="Times New Roman" w:hAnsi="Times New Roman"/>
          <w:bCs/>
          <w:szCs w:val="24"/>
        </w:rPr>
        <w:t>MJV-15</w:t>
      </w:r>
      <w:r w:rsidR="008A79FF" w:rsidRPr="006833CD">
        <w:rPr>
          <w:rFonts w:ascii="Times New Roman" w:hAnsi="Times New Roman"/>
          <w:bCs/>
          <w:szCs w:val="24"/>
        </w:rPr>
        <w:t>)</w:t>
      </w:r>
      <w:r w:rsidRPr="006833CD">
        <w:rPr>
          <w:rFonts w:ascii="Times New Roman" w:hAnsi="Times New Roman"/>
          <w:bCs/>
          <w:szCs w:val="24"/>
        </w:rPr>
        <w:t xml:space="preserve"> and Exhibit </w:t>
      </w:r>
      <w:r w:rsidR="008A79FF" w:rsidRPr="006833CD">
        <w:rPr>
          <w:rFonts w:ascii="Times New Roman" w:hAnsi="Times New Roman"/>
          <w:bCs/>
          <w:szCs w:val="24"/>
        </w:rPr>
        <w:t>No. ___(</w:t>
      </w:r>
      <w:r w:rsidRPr="006833CD">
        <w:rPr>
          <w:rFonts w:ascii="Times New Roman" w:hAnsi="Times New Roman"/>
          <w:bCs/>
          <w:szCs w:val="24"/>
        </w:rPr>
        <w:t>MJV-16</w:t>
      </w:r>
      <w:r w:rsidR="008A79FF" w:rsidRPr="006833CD">
        <w:rPr>
          <w:rFonts w:ascii="Times New Roman" w:hAnsi="Times New Roman"/>
          <w:bCs/>
          <w:szCs w:val="24"/>
        </w:rPr>
        <w:t>)</w:t>
      </w:r>
      <w:r w:rsidRPr="006833CD">
        <w:rPr>
          <w:rFonts w:ascii="Times New Roman" w:hAnsi="Times New Roman"/>
          <w:bCs/>
          <w:szCs w:val="24"/>
        </w:rPr>
        <w:t xml:space="preserve"> was to simply provide information on the variety and types of alternative rate making policies </w:t>
      </w:r>
      <w:r w:rsidR="00A55647" w:rsidRPr="006833CD">
        <w:rPr>
          <w:rFonts w:ascii="Times New Roman" w:hAnsi="Times New Roman"/>
          <w:bCs/>
          <w:szCs w:val="24"/>
        </w:rPr>
        <w:t xml:space="preserve">in effect for subsidiaries of </w:t>
      </w:r>
      <w:r w:rsidR="0030288F" w:rsidRPr="006833CD">
        <w:rPr>
          <w:rFonts w:ascii="Times New Roman" w:hAnsi="Times New Roman"/>
          <w:szCs w:val="24"/>
        </w:rPr>
        <w:t>Dr.</w:t>
      </w:r>
      <w:r w:rsidR="0030288F">
        <w:rPr>
          <w:rFonts w:ascii="Times New Roman" w:hAnsi="Times New Roman"/>
          <w:szCs w:val="24"/>
        </w:rPr>
        <w:t> </w:t>
      </w:r>
      <w:r w:rsidR="00A55647" w:rsidRPr="006833CD">
        <w:rPr>
          <w:rFonts w:ascii="Times New Roman" w:hAnsi="Times New Roman"/>
          <w:bCs/>
          <w:szCs w:val="24"/>
        </w:rPr>
        <w:t xml:space="preserve">Morin’s proxy group </w:t>
      </w:r>
      <w:r w:rsidRPr="006833CD">
        <w:rPr>
          <w:rFonts w:ascii="Times New Roman" w:hAnsi="Times New Roman"/>
          <w:bCs/>
          <w:szCs w:val="24"/>
        </w:rPr>
        <w:t>that could potentially affect the cost of capital estimates.  At a minimum</w:t>
      </w:r>
      <w:r w:rsidR="008A79FF" w:rsidRPr="006833CD">
        <w:rPr>
          <w:rFonts w:ascii="Times New Roman" w:hAnsi="Times New Roman"/>
          <w:bCs/>
          <w:szCs w:val="24"/>
        </w:rPr>
        <w:t>,</w:t>
      </w:r>
      <w:r w:rsidRPr="006833CD">
        <w:rPr>
          <w:rFonts w:ascii="Times New Roman" w:hAnsi="Times New Roman"/>
          <w:bCs/>
          <w:szCs w:val="24"/>
        </w:rPr>
        <w:t xml:space="preserve"> they represent differences in the regulatory treatment of companies in the sample.</w:t>
      </w:r>
    </w:p>
    <w:p w14:paraId="3D540AFE" w14:textId="06C617C3" w:rsidR="00A55647" w:rsidRPr="006833CD" w:rsidRDefault="00A55647" w:rsidP="00A55647">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How do you respond to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Hill’s claim that Exhibit No. ___(MJV-15) is misleading because only a portion of the revenues for the companies shown on the exhibit are decoupled?</w:t>
      </w:r>
    </w:p>
    <w:p w14:paraId="1365B545" w14:textId="0CC65CBE" w:rsidR="00B6696E" w:rsidRPr="006833CD" w:rsidRDefault="00A55647" w:rsidP="00A55647">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ignores the plain language in Exhibit No. ___(MJV-15)  and in my </w:t>
      </w:r>
      <w:proofErr w:type="spellStart"/>
      <w:r w:rsidRPr="006833CD">
        <w:rPr>
          <w:rFonts w:ascii="Times New Roman" w:hAnsi="Times New Roman"/>
          <w:bCs/>
          <w:szCs w:val="24"/>
        </w:rPr>
        <w:t>prefiled</w:t>
      </w:r>
      <w:proofErr w:type="spellEnd"/>
      <w:r w:rsidRPr="006833CD">
        <w:rPr>
          <w:rFonts w:ascii="Times New Roman" w:hAnsi="Times New Roman"/>
          <w:bCs/>
          <w:szCs w:val="24"/>
        </w:rPr>
        <w:t xml:space="preserve"> direct testimony.  </w:t>
      </w:r>
      <w:r w:rsidR="00B6696E"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00B6696E" w:rsidRPr="006833CD">
        <w:rPr>
          <w:rFonts w:ascii="Times New Roman" w:hAnsi="Times New Roman"/>
          <w:bCs/>
          <w:szCs w:val="24"/>
        </w:rPr>
        <w:t xml:space="preserve">Hill’s assertion that a “company would appear in </w:t>
      </w:r>
      <w:r w:rsidR="00C179C5" w:rsidRPr="006833CD">
        <w:rPr>
          <w:rFonts w:ascii="Times New Roman" w:hAnsi="Times New Roman"/>
          <w:szCs w:val="24"/>
        </w:rPr>
        <w:t>Dr. </w:t>
      </w:r>
      <w:r w:rsidR="00B6696E" w:rsidRPr="006833CD">
        <w:rPr>
          <w:rFonts w:ascii="Times New Roman" w:hAnsi="Times New Roman"/>
          <w:bCs/>
          <w:szCs w:val="24"/>
        </w:rPr>
        <w:t>Vilbert’ list in Exhibit No. MJV-15 as fully decoupled</w:t>
      </w:r>
      <w:r w:rsidR="008A79FF" w:rsidRPr="006833CD">
        <w:rPr>
          <w:rFonts w:ascii="Times New Roman" w:hAnsi="Times New Roman"/>
          <w:bCs/>
          <w:szCs w:val="24"/>
        </w:rPr>
        <w:t>,</w:t>
      </w:r>
      <w:r w:rsidR="00B6696E" w:rsidRPr="006833CD">
        <w:rPr>
          <w:rFonts w:ascii="Times New Roman" w:hAnsi="Times New Roman"/>
          <w:bCs/>
          <w:szCs w:val="24"/>
        </w:rPr>
        <w:t>”</w:t>
      </w:r>
      <w:r w:rsidR="00B6696E" w:rsidRPr="00F71D8A">
        <w:rPr>
          <w:rStyle w:val="FootnoteReference"/>
        </w:rPr>
        <w:footnoteReference w:id="21"/>
      </w:r>
      <w:r w:rsidR="00B6696E" w:rsidRPr="006833CD">
        <w:rPr>
          <w:rFonts w:ascii="Times New Roman" w:hAnsi="Times New Roman"/>
          <w:bCs/>
          <w:szCs w:val="24"/>
        </w:rPr>
        <w:t xml:space="preserve"> the Notes </w:t>
      </w:r>
      <w:r w:rsidR="00B6696E" w:rsidRPr="006833CD">
        <w:rPr>
          <w:rFonts w:ascii="Times New Roman" w:hAnsi="Times New Roman"/>
          <w:bCs/>
          <w:szCs w:val="24"/>
        </w:rPr>
        <w:lastRenderedPageBreak/>
        <w:t xml:space="preserve">to </w:t>
      </w:r>
      <w:r w:rsidR="008A79FF" w:rsidRPr="006833CD">
        <w:rPr>
          <w:rFonts w:ascii="Times New Roman" w:hAnsi="Times New Roman"/>
          <w:bCs/>
          <w:szCs w:val="24"/>
        </w:rPr>
        <w:t>Exhibit No. ___(</w:t>
      </w:r>
      <w:r w:rsidR="00B6696E" w:rsidRPr="006833CD">
        <w:rPr>
          <w:rFonts w:ascii="Times New Roman" w:hAnsi="Times New Roman"/>
          <w:bCs/>
          <w:szCs w:val="24"/>
        </w:rPr>
        <w:t>MJV-15</w:t>
      </w:r>
      <w:r w:rsidR="008A79FF" w:rsidRPr="006833CD">
        <w:rPr>
          <w:rFonts w:ascii="Times New Roman" w:hAnsi="Times New Roman"/>
          <w:bCs/>
          <w:szCs w:val="24"/>
        </w:rPr>
        <w:t>)</w:t>
      </w:r>
      <w:r w:rsidR="00B6696E" w:rsidRPr="006833CD">
        <w:rPr>
          <w:rFonts w:ascii="Times New Roman" w:hAnsi="Times New Roman"/>
          <w:bCs/>
          <w:szCs w:val="24"/>
        </w:rPr>
        <w:t xml:space="preserve"> </w:t>
      </w:r>
      <w:r w:rsidRPr="006833CD">
        <w:rPr>
          <w:rFonts w:ascii="Times New Roman" w:hAnsi="Times New Roman"/>
          <w:bCs/>
          <w:szCs w:val="24"/>
        </w:rPr>
        <w:t xml:space="preserve">explain that the exhibit shows the </w:t>
      </w:r>
      <w:r w:rsidR="00B6696E" w:rsidRPr="006833CD">
        <w:rPr>
          <w:rFonts w:ascii="Times New Roman" w:hAnsi="Times New Roman"/>
          <w:bCs/>
          <w:szCs w:val="24"/>
        </w:rPr>
        <w:t>“</w:t>
      </w:r>
      <w:r w:rsidRPr="006833CD">
        <w:rPr>
          <w:rFonts w:ascii="Times New Roman" w:hAnsi="Times New Roman"/>
          <w:bCs/>
          <w:szCs w:val="24"/>
        </w:rPr>
        <w:t>[t]</w:t>
      </w:r>
      <w:proofErr w:type="spellStart"/>
      <w:r w:rsidR="00B6696E" w:rsidRPr="006833CD">
        <w:rPr>
          <w:rFonts w:ascii="Times New Roman" w:hAnsi="Times New Roman"/>
          <w:bCs/>
          <w:szCs w:val="24"/>
        </w:rPr>
        <w:t>otal</w:t>
      </w:r>
      <w:proofErr w:type="spellEnd"/>
      <w:r w:rsidR="00B6696E" w:rsidRPr="006833CD">
        <w:rPr>
          <w:rFonts w:ascii="Times New Roman" w:hAnsi="Times New Roman"/>
          <w:bCs/>
          <w:szCs w:val="24"/>
        </w:rPr>
        <w:t xml:space="preserve"> and percent of </w:t>
      </w:r>
      <w:proofErr w:type="spellStart"/>
      <w:r w:rsidR="00B6696E" w:rsidRPr="006833CD">
        <w:rPr>
          <w:rFonts w:ascii="Times New Roman" w:hAnsi="Times New Roman"/>
          <w:bCs/>
          <w:szCs w:val="24"/>
        </w:rPr>
        <w:t>HCs</w:t>
      </w:r>
      <w:proofErr w:type="spellEnd"/>
      <w:r w:rsidR="00B6696E" w:rsidRPr="006833CD">
        <w:rPr>
          <w:rFonts w:ascii="Times New Roman" w:hAnsi="Times New Roman"/>
          <w:bCs/>
          <w:szCs w:val="24"/>
        </w:rPr>
        <w:t xml:space="preserve"> (holding companies) where at least one state-regulated subsidiary has the policy.”</w:t>
      </w:r>
      <w:r w:rsidR="008A79FF" w:rsidRPr="00F71D8A">
        <w:rPr>
          <w:rStyle w:val="FootnoteReference"/>
        </w:rPr>
        <w:footnoteReference w:id="22"/>
      </w:r>
      <w:r w:rsidR="00B6696E" w:rsidRPr="006833CD">
        <w:rPr>
          <w:rFonts w:ascii="Times New Roman" w:hAnsi="Times New Roman"/>
          <w:bCs/>
          <w:szCs w:val="24"/>
        </w:rPr>
        <w:t xml:space="preserve">  Nowhere in my testimony or in the exhibits did I state or imply that the list constitute</w:t>
      </w:r>
      <w:r w:rsidR="008A79FF" w:rsidRPr="006833CD">
        <w:rPr>
          <w:rFonts w:ascii="Times New Roman" w:hAnsi="Times New Roman"/>
          <w:bCs/>
          <w:szCs w:val="24"/>
        </w:rPr>
        <w:t>d “fully decoupled” companies.</w:t>
      </w:r>
    </w:p>
    <w:p w14:paraId="5D0ABA30" w14:textId="1D5AEFEB" w:rsidR="00C91EFE" w:rsidRPr="006833CD" w:rsidRDefault="00C91EFE" w:rsidP="003D27FA">
      <w:pPr>
        <w:pStyle w:val="question"/>
        <w:keepNext/>
        <w:keepLines/>
        <w:spacing w:before="120"/>
        <w:rPr>
          <w:rFonts w:ascii="Times New Roman" w:hAnsi="Times New Roman"/>
          <w:bCs/>
          <w:szCs w:val="24"/>
        </w:rPr>
      </w:pPr>
      <w:r w:rsidRPr="006833CD">
        <w:rPr>
          <w:rFonts w:ascii="Times New Roman" w:hAnsi="Times New Roman"/>
          <w:bCs/>
          <w:szCs w:val="24"/>
        </w:rPr>
        <w:t>Q.</w:t>
      </w:r>
      <w:r w:rsidRPr="006833CD">
        <w:rPr>
          <w:rFonts w:ascii="Times New Roman" w:hAnsi="Times New Roman"/>
          <w:bCs/>
          <w:szCs w:val="24"/>
        </w:rPr>
        <w:tab/>
      </w:r>
      <w:r w:rsidR="007F518F" w:rsidRPr="006833CD">
        <w:rPr>
          <w:rFonts w:ascii="Times New Roman" w:hAnsi="Times New Roman"/>
          <w:bCs/>
          <w:szCs w:val="24"/>
        </w:rPr>
        <w:t xml:space="preserve">Does the fact that the source of the cost of capital estimates used in the gas </w:t>
      </w:r>
      <w:proofErr w:type="spellStart"/>
      <w:r w:rsidR="007F518F" w:rsidRPr="006833CD">
        <w:rPr>
          <w:rFonts w:ascii="Times New Roman" w:hAnsi="Times New Roman"/>
          <w:bCs/>
          <w:szCs w:val="24"/>
        </w:rPr>
        <w:t>LDC</w:t>
      </w:r>
      <w:proofErr w:type="spellEnd"/>
      <w:r w:rsidR="007F518F" w:rsidRPr="006833CD">
        <w:rPr>
          <w:rFonts w:ascii="Times New Roman" w:hAnsi="Times New Roman"/>
          <w:bCs/>
          <w:szCs w:val="24"/>
        </w:rPr>
        <w:t xml:space="preserve"> study were from proceedings in which you or other witness</w:t>
      </w:r>
      <w:r w:rsidR="008A79FF" w:rsidRPr="006833CD">
        <w:rPr>
          <w:rFonts w:ascii="Times New Roman" w:hAnsi="Times New Roman"/>
          <w:bCs/>
          <w:szCs w:val="24"/>
        </w:rPr>
        <w:t>es from The Brattle Group</w:t>
      </w:r>
      <w:r w:rsidR="007F518F" w:rsidRPr="006833CD">
        <w:rPr>
          <w:rFonts w:ascii="Times New Roman" w:hAnsi="Times New Roman"/>
          <w:bCs/>
          <w:szCs w:val="24"/>
        </w:rPr>
        <w:t xml:space="preserve"> submitted cost of capital testi</w:t>
      </w:r>
      <w:r w:rsidR="003D27FA" w:rsidRPr="006833CD">
        <w:rPr>
          <w:rFonts w:ascii="Times New Roman" w:hAnsi="Times New Roman"/>
          <w:bCs/>
          <w:szCs w:val="24"/>
        </w:rPr>
        <w:t>mony bias the study’s results</w:t>
      </w:r>
      <w:r w:rsidR="007B08A2" w:rsidRPr="006833CD">
        <w:rPr>
          <w:rFonts w:ascii="Times New Roman" w:hAnsi="Times New Roman"/>
          <w:bCs/>
          <w:szCs w:val="24"/>
        </w:rPr>
        <w:t xml:space="preserve">, as </w:t>
      </w:r>
      <w:r w:rsidR="0030288F" w:rsidRPr="006833CD">
        <w:rPr>
          <w:rFonts w:ascii="Times New Roman" w:hAnsi="Times New Roman"/>
          <w:szCs w:val="24"/>
        </w:rPr>
        <w:t>Mr.</w:t>
      </w:r>
      <w:r w:rsidR="0030288F">
        <w:rPr>
          <w:rFonts w:ascii="Times New Roman" w:hAnsi="Times New Roman"/>
          <w:szCs w:val="24"/>
        </w:rPr>
        <w:t> </w:t>
      </w:r>
      <w:r w:rsidR="007B08A2" w:rsidRPr="006833CD">
        <w:rPr>
          <w:rFonts w:ascii="Times New Roman" w:hAnsi="Times New Roman"/>
          <w:bCs/>
          <w:szCs w:val="24"/>
        </w:rPr>
        <w:t>Hill claims</w:t>
      </w:r>
      <w:r w:rsidR="003D27FA" w:rsidRPr="006833CD">
        <w:rPr>
          <w:rFonts w:ascii="Times New Roman" w:hAnsi="Times New Roman"/>
          <w:bCs/>
          <w:szCs w:val="24"/>
        </w:rPr>
        <w:t>?</w:t>
      </w:r>
      <w:r w:rsidR="007B08A2" w:rsidRPr="00F71D8A">
        <w:rPr>
          <w:rStyle w:val="FootnoteReference"/>
        </w:rPr>
        <w:footnoteReference w:id="23"/>
      </w:r>
    </w:p>
    <w:p w14:paraId="30F9F02B" w14:textId="33182736" w:rsidR="007B08A2" w:rsidRPr="006833CD" w:rsidRDefault="003255A1" w:rsidP="007B08A2">
      <w:pPr>
        <w:pStyle w:val="answer"/>
        <w:rPr>
          <w:rFonts w:ascii="Times New Roman" w:hAnsi="Times New Roman"/>
          <w:bCs/>
          <w:szCs w:val="24"/>
        </w:rPr>
      </w:pPr>
      <w:r w:rsidRPr="006833CD">
        <w:rPr>
          <w:rFonts w:ascii="Times New Roman" w:hAnsi="Times New Roman"/>
          <w:bCs/>
          <w:szCs w:val="24"/>
        </w:rPr>
        <w:t>A.</w:t>
      </w:r>
      <w:r w:rsidR="00C91EFE" w:rsidRPr="006833CD">
        <w:rPr>
          <w:rFonts w:ascii="Times New Roman" w:hAnsi="Times New Roman"/>
          <w:bCs/>
          <w:szCs w:val="24"/>
        </w:rPr>
        <w:tab/>
      </w:r>
      <w:r w:rsidR="00483631" w:rsidRPr="006833CD">
        <w:rPr>
          <w:rFonts w:ascii="Times New Roman" w:hAnsi="Times New Roman"/>
          <w:bCs/>
          <w:szCs w:val="24"/>
        </w:rPr>
        <w:t xml:space="preserve">No.  </w:t>
      </w:r>
      <w:r w:rsidR="00EB7139" w:rsidRPr="006833CD">
        <w:rPr>
          <w:rFonts w:ascii="Times New Roman" w:hAnsi="Times New Roman"/>
          <w:bCs/>
          <w:szCs w:val="24"/>
        </w:rPr>
        <w:t xml:space="preserve">The fact that the source of the cost of capital estimates used in the gas </w:t>
      </w:r>
      <w:proofErr w:type="spellStart"/>
      <w:r w:rsidR="00EB7139" w:rsidRPr="006833CD">
        <w:rPr>
          <w:rFonts w:ascii="Times New Roman" w:hAnsi="Times New Roman"/>
          <w:bCs/>
          <w:szCs w:val="24"/>
        </w:rPr>
        <w:t>LDC</w:t>
      </w:r>
      <w:proofErr w:type="spellEnd"/>
      <w:r w:rsidR="00EB7139" w:rsidRPr="006833CD">
        <w:rPr>
          <w:rFonts w:ascii="Times New Roman" w:hAnsi="Times New Roman"/>
          <w:bCs/>
          <w:szCs w:val="24"/>
        </w:rPr>
        <w:t xml:space="preserve"> study were from proceedings in which I or other witnesses from The Brattle Group submitted cost of capital testimony does not bias the study’s results, although </w:t>
      </w:r>
      <w:r w:rsidR="0030288F" w:rsidRPr="006833CD">
        <w:rPr>
          <w:rFonts w:ascii="Times New Roman" w:hAnsi="Times New Roman"/>
          <w:szCs w:val="24"/>
        </w:rPr>
        <w:t>Mr.</w:t>
      </w:r>
      <w:r w:rsidR="0030288F">
        <w:rPr>
          <w:rFonts w:ascii="Times New Roman" w:hAnsi="Times New Roman"/>
          <w:szCs w:val="24"/>
        </w:rPr>
        <w:t> </w:t>
      </w:r>
      <w:r w:rsidR="007F518F" w:rsidRPr="006833CD">
        <w:rPr>
          <w:rFonts w:ascii="Times New Roman" w:hAnsi="Times New Roman"/>
          <w:bCs/>
          <w:szCs w:val="24"/>
        </w:rPr>
        <w:t xml:space="preserve">Hill certainly seems to </w:t>
      </w:r>
      <w:r w:rsidR="00EB7139" w:rsidRPr="006833CD">
        <w:rPr>
          <w:rFonts w:ascii="Times New Roman" w:hAnsi="Times New Roman"/>
          <w:bCs/>
          <w:szCs w:val="24"/>
        </w:rPr>
        <w:t>have concerns to the contrary</w:t>
      </w:r>
      <w:r w:rsidR="007B08A2" w:rsidRPr="006833CD">
        <w:rPr>
          <w:rFonts w:ascii="Times New Roman" w:hAnsi="Times New Roman"/>
          <w:bCs/>
          <w:szCs w:val="24"/>
        </w:rPr>
        <w:t>.</w:t>
      </w:r>
      <w:r w:rsidR="007B08A2" w:rsidRPr="00F71D8A">
        <w:rPr>
          <w:rStyle w:val="FootnoteReference"/>
        </w:rPr>
        <w:footnoteReference w:id="24"/>
      </w:r>
    </w:p>
    <w:p w14:paraId="5D0ABA33" w14:textId="7F9759C4" w:rsidR="00C91EFE" w:rsidRPr="006833CD" w:rsidRDefault="0030288F" w:rsidP="007B08A2">
      <w:pPr>
        <w:pStyle w:val="answer"/>
        <w:ind w:firstLine="0"/>
        <w:rPr>
          <w:rFonts w:ascii="Times New Roman" w:hAnsi="Times New Roman"/>
          <w:szCs w:val="24"/>
        </w:rPr>
      </w:pPr>
      <w:r w:rsidRPr="006833CD">
        <w:rPr>
          <w:rFonts w:ascii="Times New Roman" w:hAnsi="Times New Roman"/>
          <w:szCs w:val="24"/>
        </w:rPr>
        <w:t>Mr.</w:t>
      </w:r>
      <w:r>
        <w:rPr>
          <w:rFonts w:ascii="Times New Roman" w:hAnsi="Times New Roman"/>
          <w:szCs w:val="24"/>
        </w:rPr>
        <w:t> </w:t>
      </w:r>
      <w:r w:rsidR="00EB7139" w:rsidRPr="006833CD">
        <w:rPr>
          <w:rFonts w:ascii="Times New Roman" w:hAnsi="Times New Roman"/>
          <w:bCs/>
          <w:szCs w:val="24"/>
        </w:rPr>
        <w:t xml:space="preserve">Hill’s concern is misplaced.  </w:t>
      </w:r>
      <w:r w:rsidR="00483631" w:rsidRPr="006833CD">
        <w:rPr>
          <w:rFonts w:ascii="Times New Roman" w:hAnsi="Times New Roman"/>
          <w:bCs/>
          <w:szCs w:val="24"/>
        </w:rPr>
        <w:t>First, the vast majority of the estimates were done well before a paper on decoupling was considered</w:t>
      </w:r>
      <w:r w:rsidR="00A56179" w:rsidRPr="006833CD">
        <w:rPr>
          <w:rFonts w:ascii="Times New Roman" w:hAnsi="Times New Roman"/>
          <w:bCs/>
          <w:szCs w:val="24"/>
        </w:rPr>
        <w:t xml:space="preserve">. </w:t>
      </w:r>
      <w:r w:rsidR="00EB7139" w:rsidRPr="006833CD">
        <w:rPr>
          <w:rFonts w:ascii="Times New Roman" w:hAnsi="Times New Roman"/>
          <w:bCs/>
          <w:szCs w:val="24"/>
        </w:rPr>
        <w:t xml:space="preserve"> </w:t>
      </w:r>
      <w:r w:rsidR="00483631" w:rsidRPr="006833CD">
        <w:rPr>
          <w:rFonts w:ascii="Times New Roman" w:hAnsi="Times New Roman"/>
          <w:bCs/>
          <w:szCs w:val="24"/>
        </w:rPr>
        <w:t xml:space="preserve">Second, the cost-of-capital estimates were submitted as part of cost of capital testimonies and were subjected to the normal regulatory scrutiny.  </w:t>
      </w:r>
      <w:r w:rsidR="00A56179" w:rsidRPr="006833CD">
        <w:rPr>
          <w:rFonts w:ascii="Times New Roman" w:hAnsi="Times New Roman"/>
          <w:bCs/>
          <w:szCs w:val="24"/>
        </w:rPr>
        <w:t xml:space="preserve">The methodology applied to each sample company was identical.  </w:t>
      </w:r>
      <w:r w:rsidR="00483631" w:rsidRPr="006833CD">
        <w:rPr>
          <w:rFonts w:ascii="Times New Roman" w:hAnsi="Times New Roman"/>
          <w:bCs/>
          <w:szCs w:val="24"/>
        </w:rPr>
        <w:t xml:space="preserve">Third, even if </w:t>
      </w:r>
      <w:r w:rsidRPr="006833CD">
        <w:rPr>
          <w:rFonts w:ascii="Times New Roman" w:hAnsi="Times New Roman"/>
          <w:szCs w:val="24"/>
        </w:rPr>
        <w:t>Mr.</w:t>
      </w:r>
      <w:r>
        <w:rPr>
          <w:rFonts w:ascii="Times New Roman" w:hAnsi="Times New Roman"/>
          <w:szCs w:val="24"/>
        </w:rPr>
        <w:t> </w:t>
      </w:r>
      <w:r w:rsidR="00483631" w:rsidRPr="006833CD">
        <w:rPr>
          <w:rFonts w:ascii="Times New Roman" w:hAnsi="Times New Roman"/>
          <w:bCs/>
          <w:szCs w:val="24"/>
        </w:rPr>
        <w:t xml:space="preserve">Hill and I were to disagree about the appropriate magnitude of the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for a regulated gas </w:t>
      </w:r>
      <w:proofErr w:type="spellStart"/>
      <w:r w:rsidR="00483631" w:rsidRPr="006833CD">
        <w:rPr>
          <w:rFonts w:ascii="Times New Roman" w:hAnsi="Times New Roman"/>
          <w:bCs/>
          <w:szCs w:val="24"/>
        </w:rPr>
        <w:t>LDC</w:t>
      </w:r>
      <w:proofErr w:type="spellEnd"/>
      <w:r w:rsidR="00483631" w:rsidRPr="006833CD">
        <w:rPr>
          <w:rFonts w:ascii="Times New Roman" w:hAnsi="Times New Roman"/>
          <w:bCs/>
          <w:szCs w:val="24"/>
        </w:rPr>
        <w:t xml:space="preserve">, it is not the magnitude of the estimated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that is important.  It is the </w:t>
      </w:r>
      <w:r w:rsidR="00483631" w:rsidRPr="006833CD">
        <w:rPr>
          <w:rFonts w:ascii="Times New Roman" w:hAnsi="Times New Roman"/>
          <w:bCs/>
          <w:szCs w:val="24"/>
        </w:rPr>
        <w:lastRenderedPageBreak/>
        <w:t xml:space="preserve">difference in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between companies with and without decoupling.  </w:t>
      </w:r>
      <w:r w:rsidRPr="006833CD">
        <w:rPr>
          <w:rFonts w:ascii="Times New Roman" w:hAnsi="Times New Roman"/>
          <w:szCs w:val="24"/>
        </w:rPr>
        <w:t>Mr.</w:t>
      </w:r>
      <w:r>
        <w:rPr>
          <w:rFonts w:ascii="Times New Roman" w:hAnsi="Times New Roman"/>
          <w:szCs w:val="24"/>
        </w:rPr>
        <w:t> </w:t>
      </w:r>
      <w:r w:rsidR="00483631" w:rsidRPr="006833CD">
        <w:rPr>
          <w:rFonts w:ascii="Times New Roman" w:hAnsi="Times New Roman"/>
          <w:bCs/>
          <w:szCs w:val="24"/>
        </w:rPr>
        <w:t xml:space="preserve">Hill’s concern here </w:t>
      </w:r>
      <w:r w:rsidR="00407301" w:rsidRPr="006833CD">
        <w:rPr>
          <w:rFonts w:ascii="Times New Roman" w:hAnsi="Times New Roman"/>
          <w:bCs/>
          <w:szCs w:val="24"/>
        </w:rPr>
        <w:t>is not relevant</w:t>
      </w:r>
      <w:r w:rsidR="00EB7139" w:rsidRPr="006833CD">
        <w:rPr>
          <w:rFonts w:ascii="Times New Roman" w:hAnsi="Times New Roman"/>
          <w:bCs/>
          <w:szCs w:val="24"/>
        </w:rPr>
        <w:t>.</w:t>
      </w:r>
    </w:p>
    <w:p w14:paraId="5D0ABA34" w14:textId="47281FD8"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83631" w:rsidRPr="006833CD">
        <w:rPr>
          <w:rFonts w:ascii="Times New Roman" w:hAnsi="Times New Roman"/>
          <w:bCs/>
          <w:szCs w:val="24"/>
        </w:rPr>
        <w:t>Do your decoupling studies attempt to account for chang</w:t>
      </w:r>
      <w:r w:rsidR="003D27FA" w:rsidRPr="006833CD">
        <w:rPr>
          <w:rFonts w:ascii="Times New Roman" w:hAnsi="Times New Roman"/>
          <w:bCs/>
          <w:szCs w:val="24"/>
        </w:rPr>
        <w:t>es in interest rates over time?</w:t>
      </w:r>
    </w:p>
    <w:p w14:paraId="5D0ABA35" w14:textId="102E318C" w:rsidR="00C91EF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0C30BE" w:rsidRPr="006833CD">
        <w:rPr>
          <w:rFonts w:ascii="Times New Roman" w:hAnsi="Times New Roman"/>
          <w:bCs/>
          <w:szCs w:val="24"/>
        </w:rPr>
        <w:t xml:space="preserve">Yes.  </w:t>
      </w:r>
      <w:r w:rsidR="0030288F" w:rsidRPr="006833CD">
        <w:rPr>
          <w:rFonts w:ascii="Times New Roman" w:hAnsi="Times New Roman"/>
          <w:szCs w:val="24"/>
        </w:rPr>
        <w:t>Mr.</w:t>
      </w:r>
      <w:r w:rsidR="0030288F">
        <w:rPr>
          <w:rFonts w:ascii="Times New Roman" w:hAnsi="Times New Roman"/>
          <w:szCs w:val="24"/>
        </w:rPr>
        <w:t> </w:t>
      </w:r>
      <w:r w:rsidR="000C30BE" w:rsidRPr="006833CD">
        <w:rPr>
          <w:rFonts w:ascii="Times New Roman" w:hAnsi="Times New Roman"/>
          <w:bCs/>
          <w:szCs w:val="24"/>
        </w:rPr>
        <w:t>Hill says “</w:t>
      </w:r>
      <w:r w:rsidR="00EC7E90" w:rsidRPr="006833CD">
        <w:rPr>
          <w:rFonts w:ascii="Times New Roman" w:hAnsi="Times New Roman"/>
          <w:bCs/>
          <w:szCs w:val="24"/>
        </w:rPr>
        <w:t>[</w:t>
      </w:r>
      <w:proofErr w:type="spellStart"/>
      <w:r w:rsidR="00EC7E90" w:rsidRPr="006833CD">
        <w:rPr>
          <w:rFonts w:ascii="Times New Roman" w:hAnsi="Times New Roman"/>
          <w:bCs/>
          <w:szCs w:val="24"/>
        </w:rPr>
        <w:t>i</w:t>
      </w:r>
      <w:proofErr w:type="spellEnd"/>
      <w:r w:rsidR="00EC7E90" w:rsidRPr="006833CD">
        <w:rPr>
          <w:rFonts w:ascii="Times New Roman" w:hAnsi="Times New Roman"/>
          <w:bCs/>
          <w:szCs w:val="24"/>
        </w:rPr>
        <w:t xml:space="preserve">]t </w:t>
      </w:r>
      <w:r w:rsidR="000C30BE" w:rsidRPr="006833CD">
        <w:rPr>
          <w:rFonts w:ascii="Times New Roman" w:hAnsi="Times New Roman"/>
          <w:szCs w:val="24"/>
        </w:rPr>
        <w:t>is also not clear that those studies are designed to account for changes in interest rates over time as was the March 2014 report.”</w:t>
      </w:r>
      <w:r w:rsidR="000C30BE" w:rsidRPr="00F71D8A">
        <w:rPr>
          <w:rStyle w:val="FootnoteReference"/>
        </w:rPr>
        <w:footnoteReference w:id="25"/>
      </w:r>
      <w:r w:rsidR="000C30BE" w:rsidRPr="006833CD">
        <w:rPr>
          <w:rFonts w:ascii="Times New Roman" w:hAnsi="Times New Roman"/>
          <w:szCs w:val="24"/>
        </w:rPr>
        <w:t xml:space="preserve"> </w:t>
      </w:r>
      <w:r w:rsidR="000C30BE" w:rsidRPr="006833CD">
        <w:rPr>
          <w:rFonts w:ascii="Times New Roman" w:hAnsi="Times New Roman"/>
          <w:bCs/>
          <w:szCs w:val="24"/>
        </w:rPr>
        <w:t xml:space="preserve"> </w:t>
      </w:r>
      <w:r w:rsidR="00EC7E90" w:rsidRPr="006833CD">
        <w:rPr>
          <w:rFonts w:ascii="Times New Roman" w:hAnsi="Times New Roman"/>
          <w:bCs/>
          <w:szCs w:val="24"/>
        </w:rPr>
        <w:t>I</w:t>
      </w:r>
      <w:r w:rsidR="000C30BE" w:rsidRPr="006833CD">
        <w:rPr>
          <w:rFonts w:ascii="Times New Roman" w:hAnsi="Times New Roman"/>
          <w:bCs/>
          <w:szCs w:val="24"/>
        </w:rPr>
        <w:t xml:space="preserve">n </w:t>
      </w:r>
      <w:r w:rsidR="00A56179" w:rsidRPr="006833CD">
        <w:rPr>
          <w:rFonts w:ascii="Times New Roman" w:hAnsi="Times New Roman"/>
          <w:bCs/>
          <w:szCs w:val="24"/>
        </w:rPr>
        <w:t xml:space="preserve">the studies for </w:t>
      </w:r>
      <w:r w:rsidR="000C30BE" w:rsidRPr="006833CD">
        <w:rPr>
          <w:rFonts w:ascii="Times New Roman" w:hAnsi="Times New Roman"/>
          <w:bCs/>
          <w:szCs w:val="24"/>
        </w:rPr>
        <w:t xml:space="preserve">both </w:t>
      </w:r>
      <w:r w:rsidR="00A56179" w:rsidRPr="006833CD">
        <w:rPr>
          <w:rFonts w:ascii="Times New Roman" w:hAnsi="Times New Roman"/>
          <w:bCs/>
          <w:szCs w:val="24"/>
        </w:rPr>
        <w:t>industries</w:t>
      </w:r>
      <w:r w:rsidR="000C30BE" w:rsidRPr="006833CD">
        <w:rPr>
          <w:rFonts w:ascii="Times New Roman" w:hAnsi="Times New Roman"/>
          <w:bCs/>
          <w:szCs w:val="24"/>
        </w:rPr>
        <w:t xml:space="preserve">, </w:t>
      </w:r>
      <w:r w:rsidR="00EC7E90" w:rsidRPr="006833CD">
        <w:rPr>
          <w:rFonts w:ascii="Times New Roman" w:hAnsi="Times New Roman"/>
          <w:bCs/>
          <w:szCs w:val="24"/>
        </w:rPr>
        <w:t xml:space="preserve">however, </w:t>
      </w:r>
      <w:r w:rsidR="000C30BE" w:rsidRPr="006833CD">
        <w:rPr>
          <w:rFonts w:ascii="Times New Roman" w:hAnsi="Times New Roman"/>
          <w:bCs/>
          <w:szCs w:val="24"/>
        </w:rPr>
        <w:t>we use an indicator variable for each separate period of the cost of capital estimates.  The purpose of the period variable is to reflect differences in such things as economic activity and interest rates which may affect the overall level of the cost of capital estimates.  As shown in Exhibit No.</w:t>
      </w:r>
      <w:r w:rsidR="00EC7E90" w:rsidRPr="006833CD">
        <w:rPr>
          <w:rFonts w:ascii="Times New Roman" w:hAnsi="Times New Roman"/>
          <w:bCs/>
          <w:szCs w:val="24"/>
        </w:rPr>
        <w:t> ___(</w:t>
      </w:r>
      <w:r w:rsidR="000C30BE" w:rsidRPr="006833CD">
        <w:rPr>
          <w:rFonts w:ascii="Times New Roman" w:hAnsi="Times New Roman"/>
          <w:bCs/>
          <w:szCs w:val="24"/>
        </w:rPr>
        <w:t>MJV-</w:t>
      </w:r>
      <w:r w:rsidR="00EC7E90" w:rsidRPr="006833CD">
        <w:rPr>
          <w:rFonts w:ascii="Times New Roman" w:hAnsi="Times New Roman"/>
          <w:bCs/>
          <w:szCs w:val="24"/>
        </w:rPr>
        <w:t>20)</w:t>
      </w:r>
      <w:r w:rsidR="000C30BE" w:rsidRPr="006833CD">
        <w:rPr>
          <w:rFonts w:ascii="Times New Roman" w:hAnsi="Times New Roman"/>
          <w:bCs/>
          <w:szCs w:val="24"/>
        </w:rPr>
        <w:t>, the period variables were used in</w:t>
      </w:r>
      <w:r w:rsidR="00EC7E90" w:rsidRPr="006833CD">
        <w:rPr>
          <w:rFonts w:ascii="Times New Roman" w:hAnsi="Times New Roman"/>
          <w:bCs/>
          <w:szCs w:val="24"/>
        </w:rPr>
        <w:t xml:space="preserve"> all versions of both reports.</w:t>
      </w:r>
    </w:p>
    <w:p w14:paraId="5D0ABA36" w14:textId="09D53ABF"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07301" w:rsidRPr="006833CD">
        <w:rPr>
          <w:rFonts w:ascii="Times New Roman" w:hAnsi="Times New Roman"/>
          <w:bCs/>
          <w:szCs w:val="24"/>
        </w:rPr>
        <w:t>In your reports on the effect of decoupling on the cost of capital, did you claim that decoupling could o</w:t>
      </w:r>
      <w:r w:rsidR="003D27FA" w:rsidRPr="006833CD">
        <w:rPr>
          <w:rFonts w:ascii="Times New Roman" w:hAnsi="Times New Roman"/>
          <w:bCs/>
          <w:szCs w:val="24"/>
        </w:rPr>
        <w:t>nly reduce diversifiable risk?</w:t>
      </w:r>
    </w:p>
    <w:p w14:paraId="3BFC7BEE" w14:textId="482C7115" w:rsidR="00EC7E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407301" w:rsidRPr="006833CD">
        <w:rPr>
          <w:rFonts w:ascii="Times New Roman" w:hAnsi="Times New Roman"/>
          <w:bCs/>
          <w:szCs w:val="24"/>
        </w:rPr>
        <w:t xml:space="preserve">No.  </w:t>
      </w:r>
      <w:r w:rsidR="0030288F" w:rsidRPr="006833CD">
        <w:rPr>
          <w:rFonts w:ascii="Times New Roman" w:hAnsi="Times New Roman"/>
          <w:szCs w:val="24"/>
        </w:rPr>
        <w:t>Mr.</w:t>
      </w:r>
      <w:r w:rsidR="0030288F">
        <w:rPr>
          <w:rFonts w:ascii="Times New Roman" w:hAnsi="Times New Roman"/>
          <w:szCs w:val="24"/>
        </w:rPr>
        <w:t> </w:t>
      </w:r>
      <w:r w:rsidR="00407301" w:rsidRPr="006833CD">
        <w:rPr>
          <w:rFonts w:ascii="Times New Roman" w:hAnsi="Times New Roman"/>
          <w:bCs/>
          <w:szCs w:val="24"/>
        </w:rPr>
        <w:t xml:space="preserve">Hill’s </w:t>
      </w:r>
      <w:r w:rsidR="00582DC0" w:rsidRPr="006833CD">
        <w:rPr>
          <w:rFonts w:ascii="Times New Roman" w:hAnsi="Times New Roman"/>
          <w:bCs/>
          <w:szCs w:val="24"/>
        </w:rPr>
        <w:t xml:space="preserve">says </w:t>
      </w:r>
      <w:r w:rsidR="00407301" w:rsidRPr="006833CD">
        <w:rPr>
          <w:rFonts w:ascii="Times New Roman" w:hAnsi="Times New Roman"/>
          <w:bCs/>
          <w:szCs w:val="24"/>
        </w:rPr>
        <w:t xml:space="preserve">that I claim </w:t>
      </w:r>
      <w:r w:rsidR="00EC7E90" w:rsidRPr="006833CD">
        <w:rPr>
          <w:rFonts w:ascii="Times New Roman" w:hAnsi="Times New Roman"/>
          <w:bCs/>
          <w:szCs w:val="24"/>
        </w:rPr>
        <w:t>that “decoupling impacts only diversifiable risk”</w:t>
      </w:r>
      <w:r w:rsidR="00582DC0" w:rsidRPr="00F71D8A">
        <w:rPr>
          <w:rStyle w:val="FootnoteReference"/>
        </w:rPr>
        <w:footnoteReference w:id="26"/>
      </w:r>
      <w:r w:rsidR="00582DC0" w:rsidRPr="006833CD">
        <w:rPr>
          <w:rFonts w:ascii="Times New Roman" w:hAnsi="Times New Roman"/>
          <w:bCs/>
          <w:szCs w:val="24"/>
        </w:rPr>
        <w:t xml:space="preserve"> </w:t>
      </w:r>
      <w:r w:rsidR="00EC7E90" w:rsidRPr="006833CD">
        <w:rPr>
          <w:rFonts w:ascii="Times New Roman" w:hAnsi="Times New Roman"/>
          <w:bCs/>
          <w:szCs w:val="24"/>
        </w:rPr>
        <w:t xml:space="preserve"> </w:t>
      </w:r>
      <w:r w:rsidR="00582DC0" w:rsidRPr="006833CD">
        <w:rPr>
          <w:rFonts w:ascii="Times New Roman" w:hAnsi="Times New Roman"/>
          <w:szCs w:val="24"/>
        </w:rPr>
        <w:t xml:space="preserve">He then goes on to say </w:t>
      </w:r>
    </w:p>
    <w:p w14:paraId="0D2AB362" w14:textId="3CF1639C" w:rsidR="00EC7E90" w:rsidRPr="006833CD" w:rsidRDefault="00582DC0" w:rsidP="00EC7E90">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there is no basis in the financial literature of which I am aware (and none is cited by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Vilbert) that supports the notion that reducing the total risk of an asset (e.g., lowering the revenue and net income volatility of a regulated utility) works to lower only risk that is diversifiable.</w:t>
      </w:r>
      <w:r w:rsidRPr="00F71D8A">
        <w:rPr>
          <w:rStyle w:val="FootnoteReference"/>
        </w:rPr>
        <w:footnoteReference w:id="27"/>
      </w:r>
    </w:p>
    <w:p w14:paraId="57C87950" w14:textId="2D9F71C4" w:rsidR="00CC1FED" w:rsidRPr="006833CD" w:rsidRDefault="00582DC0" w:rsidP="00CC1FED">
      <w:pPr>
        <w:pStyle w:val="answer"/>
        <w:ind w:firstLine="0"/>
        <w:rPr>
          <w:rFonts w:ascii="Times New Roman" w:hAnsi="Times New Roman"/>
          <w:bCs/>
          <w:szCs w:val="24"/>
        </w:rPr>
      </w:pPr>
      <w:r w:rsidRPr="006833CD">
        <w:rPr>
          <w:rFonts w:ascii="Times New Roman" w:hAnsi="Times New Roman"/>
          <w:bCs/>
          <w:szCs w:val="24"/>
        </w:rPr>
        <w:lastRenderedPageBreak/>
        <w:t xml:space="preserve">This is </w:t>
      </w:r>
      <w:r w:rsidRPr="006833CD">
        <w:rPr>
          <w:rFonts w:ascii="Times New Roman" w:hAnsi="Times New Roman"/>
          <w:szCs w:val="24"/>
        </w:rPr>
        <w:t>not an accurate r</w:t>
      </w:r>
      <w:r w:rsidR="00EC7E90" w:rsidRPr="006833CD">
        <w:rPr>
          <w:rFonts w:ascii="Times New Roman" w:hAnsi="Times New Roman"/>
          <w:szCs w:val="24"/>
        </w:rPr>
        <w:t>epresentation of my testimony.</w:t>
      </w:r>
      <w:r w:rsidR="00CC1FED" w:rsidRPr="006833CD">
        <w:rPr>
          <w:rFonts w:ascii="Times New Roman" w:hAnsi="Times New Roman"/>
          <w:bCs/>
          <w:szCs w:val="24"/>
        </w:rPr>
        <w:t xml:space="preserve">  </w:t>
      </w:r>
      <w:r w:rsidRPr="006833CD">
        <w:rPr>
          <w:rFonts w:ascii="Times New Roman" w:hAnsi="Times New Roman"/>
          <w:bCs/>
          <w:szCs w:val="24"/>
        </w:rPr>
        <w:t xml:space="preserve">I do not say that decoupling </w:t>
      </w:r>
      <w:r w:rsidRPr="006833CD">
        <w:rPr>
          <w:rFonts w:ascii="Times New Roman" w:hAnsi="Times New Roman"/>
          <w:bCs/>
          <w:i/>
          <w:szCs w:val="24"/>
        </w:rPr>
        <w:t>could only</w:t>
      </w:r>
      <w:r w:rsidRPr="006833CD">
        <w:rPr>
          <w:rFonts w:ascii="Times New Roman" w:hAnsi="Times New Roman"/>
          <w:bCs/>
          <w:szCs w:val="24"/>
        </w:rPr>
        <w:t xml:space="preserve"> reduce diversifiable risk.  I said that if the primary effect of decoupling was to reduce the portion of total risk that could otherwise be diversified, then there would be no effect on the cost of capital from the adoption of decoupling.</w:t>
      </w:r>
      <w:r w:rsidR="00CC1FED" w:rsidRPr="00F71D8A">
        <w:rPr>
          <w:rStyle w:val="FootnoteReference"/>
        </w:rPr>
        <w:footnoteReference w:id="28"/>
      </w:r>
      <w:r w:rsidRPr="006833CD">
        <w:rPr>
          <w:rFonts w:ascii="Times New Roman" w:hAnsi="Times New Roman"/>
          <w:bCs/>
          <w:szCs w:val="24"/>
        </w:rPr>
        <w:t xml:space="preserve">  </w:t>
      </w:r>
      <w:r w:rsidR="006C1CCC" w:rsidRPr="006833CD">
        <w:rPr>
          <w:rFonts w:ascii="Times New Roman" w:hAnsi="Times New Roman"/>
          <w:bCs/>
          <w:szCs w:val="24"/>
        </w:rPr>
        <w:t xml:space="preserve">That is a conditional statement, not a categorical statement.  </w:t>
      </w:r>
      <w:r w:rsidRPr="006833CD">
        <w:rPr>
          <w:rFonts w:ascii="Times New Roman" w:hAnsi="Times New Roman"/>
          <w:bCs/>
          <w:szCs w:val="24"/>
        </w:rPr>
        <w:t xml:space="preserve">This discussion was part of my attempt to explain why it is possible for the volatility of revenues to be decreased but not </w:t>
      </w:r>
      <w:r w:rsidR="00DE1442" w:rsidRPr="006833CD">
        <w:rPr>
          <w:rFonts w:ascii="Times New Roman" w:hAnsi="Times New Roman"/>
          <w:bCs/>
          <w:szCs w:val="24"/>
        </w:rPr>
        <w:t xml:space="preserve">to </w:t>
      </w:r>
      <w:r w:rsidRPr="006833CD">
        <w:rPr>
          <w:rFonts w:ascii="Times New Roman" w:hAnsi="Times New Roman"/>
          <w:bCs/>
          <w:szCs w:val="24"/>
        </w:rPr>
        <w:t>observe a decrease in the cost of capital</w:t>
      </w:r>
      <w:r w:rsidR="00F56E86" w:rsidRPr="006833CD">
        <w:rPr>
          <w:rFonts w:ascii="Times New Roman" w:hAnsi="Times New Roman"/>
          <w:bCs/>
          <w:szCs w:val="24"/>
        </w:rPr>
        <w:t xml:space="preserve"> as was the case in the tests of decoupling performed by </w:t>
      </w:r>
      <w:r w:rsidR="00CC1FED" w:rsidRPr="006833CD">
        <w:rPr>
          <w:rFonts w:ascii="Times New Roman" w:hAnsi="Times New Roman"/>
          <w:bCs/>
          <w:szCs w:val="24"/>
        </w:rPr>
        <w:t xml:space="preserve">The </w:t>
      </w:r>
      <w:r w:rsidR="00F56E86" w:rsidRPr="006833CD">
        <w:rPr>
          <w:rFonts w:ascii="Times New Roman" w:hAnsi="Times New Roman"/>
          <w:bCs/>
          <w:szCs w:val="24"/>
        </w:rPr>
        <w:t>Brattle</w:t>
      </w:r>
      <w:r w:rsidR="00CC1FED" w:rsidRPr="006833CD">
        <w:rPr>
          <w:rFonts w:ascii="Times New Roman" w:hAnsi="Times New Roman"/>
          <w:bCs/>
          <w:szCs w:val="24"/>
        </w:rPr>
        <w:t xml:space="preserve"> Group</w:t>
      </w:r>
      <w:r w:rsidRPr="006833CD">
        <w:rPr>
          <w:rFonts w:ascii="Times New Roman" w:hAnsi="Times New Roman"/>
          <w:bCs/>
          <w:szCs w:val="24"/>
        </w:rPr>
        <w:t>.</w:t>
      </w:r>
    </w:p>
    <w:p w14:paraId="0553EAF5" w14:textId="4EBDD625" w:rsidR="00301611" w:rsidRPr="006833CD" w:rsidRDefault="00362893" w:rsidP="00CC1FED">
      <w:pPr>
        <w:pStyle w:val="answer"/>
        <w:ind w:firstLine="0"/>
        <w:rPr>
          <w:rFonts w:ascii="Times New Roman" w:hAnsi="Times New Roman"/>
          <w:bCs/>
          <w:szCs w:val="24"/>
        </w:rPr>
      </w:pPr>
      <w:r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Hill’s assertion, there is a substantial body of literature dealing with the reduction of total risk through formation of portfolio without affecting the expected return</w:t>
      </w:r>
      <w:r w:rsidR="00CC1FED" w:rsidRPr="006833CD">
        <w:rPr>
          <w:rFonts w:ascii="Times New Roman" w:hAnsi="Times New Roman"/>
          <w:bCs/>
          <w:szCs w:val="24"/>
        </w:rPr>
        <w:t xml:space="preserve"> (</w:t>
      </w:r>
      <w:r w:rsidRPr="006833CD">
        <w:rPr>
          <w:rFonts w:ascii="Times New Roman" w:hAnsi="Times New Roman"/>
          <w:bCs/>
          <w:szCs w:val="24"/>
        </w:rPr>
        <w:t>i.e., the cost of capital</w:t>
      </w:r>
      <w:r w:rsidR="00CC1FED" w:rsidRPr="006833CD">
        <w:rPr>
          <w:rFonts w:ascii="Times New Roman" w:hAnsi="Times New Roman"/>
          <w:bCs/>
          <w:szCs w:val="24"/>
        </w:rPr>
        <w:t>)</w:t>
      </w:r>
      <w:r w:rsidRPr="006833CD">
        <w:rPr>
          <w:rFonts w:ascii="Times New Roman" w:hAnsi="Times New Roman"/>
          <w:bCs/>
          <w:szCs w:val="24"/>
        </w:rPr>
        <w:t xml:space="preserve">.  </w:t>
      </w:r>
      <w:r w:rsidR="00122161" w:rsidRPr="006833CD">
        <w:rPr>
          <w:rFonts w:ascii="Times New Roman" w:hAnsi="Times New Roman"/>
          <w:bCs/>
          <w:szCs w:val="24"/>
        </w:rPr>
        <w:t>No one is suggesting that decoupling reduces the volatility of companies</w:t>
      </w:r>
      <w:r w:rsidR="007B08A2" w:rsidRPr="006833CD">
        <w:rPr>
          <w:rFonts w:ascii="Times New Roman" w:hAnsi="Times New Roman"/>
          <w:bCs/>
          <w:szCs w:val="24"/>
        </w:rPr>
        <w:t>’</w:t>
      </w:r>
      <w:r w:rsidR="00122161" w:rsidRPr="006833CD">
        <w:rPr>
          <w:rFonts w:ascii="Times New Roman" w:hAnsi="Times New Roman"/>
          <w:bCs/>
          <w:szCs w:val="24"/>
        </w:rPr>
        <w:t xml:space="preserve"> stock returns to zero.  I am simply suggesting that one explanation for the failure of </w:t>
      </w:r>
      <w:r w:rsidR="00CC1FED" w:rsidRPr="006833CD">
        <w:rPr>
          <w:rFonts w:ascii="Times New Roman" w:hAnsi="Times New Roman"/>
          <w:bCs/>
          <w:szCs w:val="24"/>
        </w:rPr>
        <w:t xml:space="preserve">The </w:t>
      </w:r>
      <w:r w:rsidR="00122161" w:rsidRPr="006833CD">
        <w:rPr>
          <w:rFonts w:ascii="Times New Roman" w:hAnsi="Times New Roman"/>
          <w:bCs/>
          <w:szCs w:val="24"/>
        </w:rPr>
        <w:t>Brattle</w:t>
      </w:r>
      <w:r w:rsidR="00CC1FED" w:rsidRPr="006833CD">
        <w:rPr>
          <w:rFonts w:ascii="Times New Roman" w:hAnsi="Times New Roman"/>
          <w:bCs/>
          <w:szCs w:val="24"/>
        </w:rPr>
        <w:t xml:space="preserve"> Group</w:t>
      </w:r>
      <w:r w:rsidR="00122161" w:rsidRPr="006833CD">
        <w:rPr>
          <w:rFonts w:ascii="Times New Roman" w:hAnsi="Times New Roman"/>
          <w:bCs/>
          <w:szCs w:val="24"/>
        </w:rPr>
        <w:t>’s tests to detect a statistically significant change in the cost of capital from decoupling could be that decoupling is reducing diversifiable risk.</w:t>
      </w:r>
      <w:r w:rsidR="00C85FF7" w:rsidRPr="00F71D8A">
        <w:rPr>
          <w:rStyle w:val="FootnoteReference"/>
        </w:rPr>
        <w:footnoteReference w:id="29"/>
      </w:r>
      <w:r w:rsidR="00122161" w:rsidRPr="006833CD">
        <w:rPr>
          <w:rFonts w:ascii="Times New Roman" w:hAnsi="Times New Roman"/>
          <w:bCs/>
          <w:szCs w:val="24"/>
        </w:rPr>
        <w:t xml:space="preserve">  The alternative explanation is that decoupling is simply offsetting an increase in risk imposed on </w:t>
      </w:r>
      <w:r w:rsidR="00C85FF7" w:rsidRPr="006833CD">
        <w:rPr>
          <w:rFonts w:ascii="Times New Roman" w:hAnsi="Times New Roman"/>
          <w:bCs/>
          <w:szCs w:val="24"/>
        </w:rPr>
        <w:t>the company by other policies.</w:t>
      </w:r>
      <w:r w:rsidR="00C85FF7" w:rsidRPr="00F71D8A">
        <w:rPr>
          <w:rStyle w:val="FootnoteReference"/>
        </w:rPr>
        <w:footnoteReference w:id="30"/>
      </w:r>
    </w:p>
    <w:p w14:paraId="3A8B5DAB" w14:textId="1F96D5D6" w:rsidR="00301611" w:rsidRPr="006833CD" w:rsidRDefault="00301611"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Do you believe that decoupling policies cannot affect a re</w:t>
      </w:r>
      <w:r w:rsidR="003D27FA" w:rsidRPr="006833CD">
        <w:rPr>
          <w:rFonts w:ascii="Times New Roman" w:hAnsi="Times New Roman"/>
          <w:bCs/>
          <w:szCs w:val="24"/>
        </w:rPr>
        <w:t>gulated company’s stock price?</w:t>
      </w:r>
    </w:p>
    <w:p w14:paraId="0A8ACF8B" w14:textId="4CFEA662" w:rsidR="00301611" w:rsidRPr="006833CD" w:rsidRDefault="00301611" w:rsidP="003255A1">
      <w:pPr>
        <w:pStyle w:val="answer"/>
        <w:rPr>
          <w:rFonts w:ascii="Times New Roman" w:hAnsi="Times New Roman"/>
          <w:szCs w:val="24"/>
        </w:rPr>
      </w:pPr>
      <w:r w:rsidRPr="006833CD">
        <w:rPr>
          <w:rFonts w:ascii="Times New Roman" w:hAnsi="Times New Roman"/>
          <w:bCs/>
          <w:szCs w:val="24"/>
        </w:rPr>
        <w:t>A</w:t>
      </w:r>
      <w:r w:rsidR="008326C3" w:rsidRPr="006833CD">
        <w:rPr>
          <w:rFonts w:ascii="Times New Roman" w:hAnsi="Times New Roman"/>
          <w:bCs/>
          <w:szCs w:val="24"/>
        </w:rPr>
        <w:t>.</w:t>
      </w:r>
      <w:r w:rsidRPr="006833CD">
        <w:rPr>
          <w:rFonts w:ascii="Times New Roman" w:hAnsi="Times New Roman"/>
          <w:bCs/>
          <w:szCs w:val="24"/>
        </w:rPr>
        <w:tab/>
        <w:t>No.  In my direct testimony, I noted that the cost of capital is determined in capital markets and is not directly based upon accounting variables such as revenues.</w:t>
      </w:r>
      <w:r w:rsidR="00C85FF7" w:rsidRPr="00F71D8A">
        <w:rPr>
          <w:rStyle w:val="FootnoteReference"/>
        </w:rPr>
        <w:footnoteReference w:id="31"/>
      </w:r>
      <w:r w:rsidRPr="006833CD">
        <w:rPr>
          <w:rFonts w:ascii="Times New Roman" w:hAnsi="Times New Roman"/>
          <w:bCs/>
          <w:szCs w:val="24"/>
        </w:rPr>
        <w:t xml:space="preserve">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Gorman suggests that I mean to say that decoupling could not affect stock prices,</w:t>
      </w:r>
      <w:r w:rsidRPr="00F71D8A">
        <w:rPr>
          <w:rStyle w:val="FootnoteReference"/>
        </w:rPr>
        <w:footnoteReference w:id="32"/>
      </w:r>
      <w:r w:rsidRPr="006833CD">
        <w:rPr>
          <w:rFonts w:ascii="Times New Roman" w:hAnsi="Times New Roman"/>
          <w:bCs/>
          <w:szCs w:val="24"/>
        </w:rPr>
        <w:t xml:space="preserve"> but that is incorrect.  I am saying that whatever effect decoupling has on the cost of capital, the effect must be measured in the capital markets by the effect on the returns of the company’s stock. </w:t>
      </w:r>
      <w:r w:rsidR="00F97A38" w:rsidRPr="006833CD">
        <w:rPr>
          <w:rFonts w:ascii="Times New Roman" w:hAnsi="Times New Roman"/>
          <w:bCs/>
          <w:szCs w:val="24"/>
        </w:rPr>
        <w:t xml:space="preserve"> Moreover, as noted above, if there is an effect from decoupling on the cost of capital, it is most likely to affect the company’ stock price. </w:t>
      </w:r>
      <w:r w:rsidRPr="006833CD">
        <w:rPr>
          <w:rFonts w:ascii="Times New Roman" w:hAnsi="Times New Roman"/>
          <w:bCs/>
          <w:szCs w:val="24"/>
        </w:rPr>
        <w:t xml:space="preserve"> It is not meas</w:t>
      </w:r>
      <w:r w:rsidR="00C85FF7" w:rsidRPr="006833CD">
        <w:rPr>
          <w:rFonts w:ascii="Times New Roman" w:hAnsi="Times New Roman"/>
          <w:bCs/>
          <w:szCs w:val="24"/>
        </w:rPr>
        <w:t>ured by accounting variables.</w:t>
      </w:r>
    </w:p>
    <w:p w14:paraId="63422A9B" w14:textId="6BDF815C" w:rsidR="00301611" w:rsidRPr="006833CD" w:rsidRDefault="0030161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153134" w:rsidRPr="006833CD">
        <w:rPr>
          <w:rFonts w:ascii="Times New Roman" w:hAnsi="Times New Roman"/>
          <w:bCs/>
          <w:szCs w:val="24"/>
        </w:rPr>
        <w:t xml:space="preserve">What is </w:t>
      </w:r>
      <w:r w:rsidR="0030288F" w:rsidRPr="006833CD">
        <w:rPr>
          <w:rFonts w:ascii="Times New Roman" w:hAnsi="Times New Roman"/>
          <w:szCs w:val="24"/>
        </w:rPr>
        <w:t>Mr.</w:t>
      </w:r>
      <w:r w:rsidR="0030288F">
        <w:rPr>
          <w:rFonts w:ascii="Times New Roman" w:hAnsi="Times New Roman"/>
          <w:szCs w:val="24"/>
        </w:rPr>
        <w:t> </w:t>
      </w:r>
      <w:r w:rsidR="00153134" w:rsidRPr="006833CD">
        <w:rPr>
          <w:rFonts w:ascii="Times New Roman" w:hAnsi="Times New Roman"/>
          <w:bCs/>
          <w:szCs w:val="24"/>
        </w:rPr>
        <w:t xml:space="preserve">Gorman’s argument about the U.S. Supreme Court’s decisions in </w:t>
      </w:r>
      <w:r w:rsidR="00153134" w:rsidRPr="006833CD">
        <w:rPr>
          <w:rFonts w:ascii="Times New Roman" w:hAnsi="Times New Roman"/>
          <w:bCs/>
          <w:i/>
          <w:szCs w:val="24"/>
        </w:rPr>
        <w:t>Hope</w:t>
      </w:r>
      <w:r w:rsidR="00153134" w:rsidRPr="006833CD">
        <w:rPr>
          <w:rFonts w:ascii="Times New Roman" w:hAnsi="Times New Roman"/>
          <w:bCs/>
          <w:szCs w:val="24"/>
        </w:rPr>
        <w:t xml:space="preserve"> and </w:t>
      </w:r>
      <w:r w:rsidR="00153134" w:rsidRPr="006833CD">
        <w:rPr>
          <w:rFonts w:ascii="Times New Roman" w:hAnsi="Times New Roman"/>
          <w:bCs/>
          <w:i/>
          <w:szCs w:val="24"/>
        </w:rPr>
        <w:t>Bluefield</w:t>
      </w:r>
      <w:r w:rsidR="003D27FA" w:rsidRPr="006833CD">
        <w:rPr>
          <w:rFonts w:ascii="Times New Roman" w:hAnsi="Times New Roman"/>
          <w:bCs/>
          <w:szCs w:val="24"/>
        </w:rPr>
        <w:t>?</w:t>
      </w:r>
    </w:p>
    <w:p w14:paraId="20BD1FAC" w14:textId="02DD82C5" w:rsidR="00CC305F" w:rsidRPr="006833CD" w:rsidRDefault="003255A1" w:rsidP="003255A1">
      <w:pPr>
        <w:pStyle w:val="answer"/>
        <w:rPr>
          <w:rFonts w:ascii="Times New Roman" w:hAnsi="Times New Roman"/>
          <w:szCs w:val="24"/>
        </w:rPr>
      </w:pPr>
      <w:r w:rsidRPr="006833CD">
        <w:rPr>
          <w:rFonts w:ascii="Times New Roman" w:hAnsi="Times New Roman"/>
          <w:bCs/>
          <w:szCs w:val="24"/>
        </w:rPr>
        <w:t>A.</w:t>
      </w:r>
      <w:r w:rsidR="00153134"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153134" w:rsidRPr="006833CD">
        <w:rPr>
          <w:rFonts w:ascii="Times New Roman" w:hAnsi="Times New Roman"/>
          <w:bCs/>
          <w:szCs w:val="24"/>
        </w:rPr>
        <w:t>Gorman says</w:t>
      </w:r>
      <w:r w:rsidR="00CC305F" w:rsidRPr="006833CD">
        <w:rPr>
          <w:rFonts w:ascii="Times New Roman" w:hAnsi="Times New Roman"/>
          <w:bCs/>
          <w:szCs w:val="24"/>
        </w:rPr>
        <w:t>:</w:t>
      </w:r>
      <w:r w:rsidR="00153134" w:rsidRPr="006833CD">
        <w:rPr>
          <w:rFonts w:ascii="Times New Roman" w:hAnsi="Times New Roman"/>
          <w:bCs/>
          <w:szCs w:val="24"/>
        </w:rPr>
        <w:t xml:space="preserve"> </w:t>
      </w:r>
    </w:p>
    <w:p w14:paraId="1DDACABF" w14:textId="03195F9C" w:rsidR="00CC305F" w:rsidRPr="006833CD" w:rsidRDefault="00153134"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w:t>
      </w:r>
      <w:r w:rsidRPr="006833CD">
        <w:rPr>
          <w:rFonts w:ascii="Times New Roman" w:hAnsi="Times New Roman"/>
          <w:szCs w:val="24"/>
        </w:rPr>
        <w:t xml:space="preserve">T]he </w:t>
      </w:r>
      <w:r w:rsidRPr="006833CD">
        <w:rPr>
          <w:rFonts w:ascii="Times New Roman" w:hAnsi="Times New Roman"/>
          <w:i/>
          <w:szCs w:val="24"/>
        </w:rPr>
        <w:t>Hope</w:t>
      </w:r>
      <w:r w:rsidRPr="006833CD">
        <w:rPr>
          <w:rFonts w:ascii="Times New Roman" w:hAnsi="Times New Roman"/>
          <w:szCs w:val="24"/>
        </w:rPr>
        <w:t xml:space="preserve"> and </w:t>
      </w:r>
      <w:r w:rsidRPr="006833CD">
        <w:rPr>
          <w:rFonts w:ascii="Times New Roman" w:hAnsi="Times New Roman"/>
          <w:i/>
          <w:szCs w:val="24"/>
        </w:rPr>
        <w:t>Bluefield</w:t>
      </w:r>
      <w:r w:rsidRPr="006833CD">
        <w:rPr>
          <w:rFonts w:ascii="Times New Roman" w:hAnsi="Times New Roman"/>
          <w:szCs w:val="24"/>
        </w:rPr>
        <w:t xml:space="preserve"> decisions did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w:t>
      </w:r>
      <w:r w:rsidR="00C85FF7" w:rsidRPr="006833CD">
        <w:rPr>
          <w:rFonts w:ascii="Times New Roman" w:hAnsi="Times New Roman"/>
          <w:szCs w:val="24"/>
        </w:rPr>
        <w:t>tment risk of the enterprise.</w:t>
      </w:r>
      <w:r w:rsidR="00C85FF7" w:rsidRPr="00F71D8A">
        <w:rPr>
          <w:rStyle w:val="FootnoteReference"/>
        </w:rPr>
        <w:footnoteReference w:id="33"/>
      </w:r>
    </w:p>
    <w:p w14:paraId="3B8FD825" w14:textId="343E3A8D" w:rsidR="00301611" w:rsidRPr="006833CD" w:rsidRDefault="00153134" w:rsidP="003255A1">
      <w:pPr>
        <w:pStyle w:val="answer"/>
        <w:ind w:firstLine="0"/>
        <w:rPr>
          <w:rFonts w:ascii="Times New Roman" w:hAnsi="Times New Roman"/>
          <w:szCs w:val="24"/>
        </w:rPr>
      </w:pPr>
      <w:r w:rsidRPr="006833CD">
        <w:rPr>
          <w:rFonts w:ascii="Times New Roman" w:hAnsi="Times New Roman"/>
          <w:szCs w:val="24"/>
        </w:rPr>
        <w:t xml:space="preserve">In my understanding of these decisions, the Supreme Court is saying that the regulated company should be offered a fair opportunity to earn its cost of capital, </w:t>
      </w:r>
      <w:r w:rsidRPr="006833CD">
        <w:rPr>
          <w:rFonts w:ascii="Times New Roman" w:hAnsi="Times New Roman"/>
          <w:szCs w:val="24"/>
        </w:rPr>
        <w:lastRenderedPageBreak/>
        <w:t xml:space="preserve">which is measured relative to other companies of comparable risk.  </w:t>
      </w:r>
      <w:r w:rsidR="000D4B6A" w:rsidRPr="006833CD">
        <w:rPr>
          <w:rFonts w:ascii="Times New Roman" w:hAnsi="Times New Roman"/>
          <w:szCs w:val="24"/>
        </w:rPr>
        <w:t xml:space="preserve">By definition, the cost of capital excludes risks that are diversifiable.  Customers should not have to pay a higher return because a portion of a stock’s return is diversifiable, nor </w:t>
      </w:r>
      <w:r w:rsidR="00E905EA" w:rsidRPr="006833CD">
        <w:rPr>
          <w:rFonts w:ascii="Times New Roman" w:hAnsi="Times New Roman"/>
          <w:szCs w:val="24"/>
        </w:rPr>
        <w:t xml:space="preserve">should </w:t>
      </w:r>
      <w:r w:rsidR="000D4B6A" w:rsidRPr="006833CD">
        <w:rPr>
          <w:rFonts w:ascii="Times New Roman" w:hAnsi="Times New Roman"/>
          <w:szCs w:val="24"/>
        </w:rPr>
        <w:t>customers expect to pay less than the cost of capital.  When estimating the cost of capital, the “stability and predictability of a utility’s earnings, dividends and cash flows”</w:t>
      </w:r>
      <w:r w:rsidR="00C344E5" w:rsidRPr="00F71D8A">
        <w:rPr>
          <w:rStyle w:val="FootnoteReference"/>
        </w:rPr>
        <w:footnoteReference w:id="34"/>
      </w:r>
      <w:r w:rsidR="000D4B6A" w:rsidRPr="006833CD">
        <w:rPr>
          <w:rFonts w:ascii="Times New Roman" w:hAnsi="Times New Roman"/>
          <w:szCs w:val="24"/>
        </w:rPr>
        <w:t xml:space="preserve"> are certainly part of the market’s evaluation that results in the estimated cost of capital.  </w:t>
      </w:r>
      <w:r w:rsidR="007A14AE" w:rsidRPr="006833CD">
        <w:rPr>
          <w:rFonts w:ascii="Times New Roman" w:hAnsi="Times New Roman"/>
          <w:szCs w:val="24"/>
        </w:rPr>
        <w:t>It would be inappropriate to reduce the estimated cost of capital further because the market has already considered all factors including the stability of cash flows.</w:t>
      </w:r>
    </w:p>
    <w:p w14:paraId="72F73E22" w14:textId="544D1BEB" w:rsidR="00582DC0" w:rsidRPr="006833CD" w:rsidRDefault="00582DC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514D3" w:rsidRPr="006833CD">
        <w:rPr>
          <w:rFonts w:ascii="Times New Roman" w:hAnsi="Times New Roman"/>
          <w:bCs/>
          <w:szCs w:val="24"/>
        </w:rPr>
        <w:t xml:space="preserve">Does </w:t>
      </w:r>
      <w:r w:rsidR="0030288F" w:rsidRPr="006833CD">
        <w:rPr>
          <w:rFonts w:ascii="Times New Roman" w:hAnsi="Times New Roman"/>
          <w:szCs w:val="24"/>
        </w:rPr>
        <w:t>Mr.</w:t>
      </w:r>
      <w:r w:rsidR="0030288F">
        <w:rPr>
          <w:rFonts w:ascii="Times New Roman" w:hAnsi="Times New Roman"/>
          <w:szCs w:val="24"/>
        </w:rPr>
        <w:t> </w:t>
      </w:r>
      <w:r w:rsidR="00D514D3" w:rsidRPr="006833CD">
        <w:rPr>
          <w:rFonts w:ascii="Times New Roman" w:hAnsi="Times New Roman"/>
          <w:bCs/>
          <w:szCs w:val="24"/>
        </w:rPr>
        <w:t xml:space="preserve">Hill object to your second </w:t>
      </w:r>
      <w:r w:rsidR="00690561" w:rsidRPr="006833CD">
        <w:rPr>
          <w:rFonts w:ascii="Times New Roman" w:hAnsi="Times New Roman"/>
          <w:bCs/>
          <w:szCs w:val="24"/>
        </w:rPr>
        <w:t xml:space="preserve">possible </w:t>
      </w:r>
      <w:r w:rsidR="00D514D3" w:rsidRPr="006833CD">
        <w:rPr>
          <w:rFonts w:ascii="Times New Roman" w:hAnsi="Times New Roman"/>
          <w:bCs/>
          <w:szCs w:val="24"/>
        </w:rPr>
        <w:t xml:space="preserve">explanation </w:t>
      </w:r>
      <w:r w:rsidR="00690561" w:rsidRPr="006833CD">
        <w:rPr>
          <w:rFonts w:ascii="Times New Roman" w:hAnsi="Times New Roman"/>
          <w:bCs/>
          <w:szCs w:val="24"/>
        </w:rPr>
        <w:t>for the observed</w:t>
      </w:r>
      <w:r w:rsidR="00C344E5" w:rsidRPr="006833CD">
        <w:rPr>
          <w:rFonts w:ascii="Times New Roman" w:hAnsi="Times New Roman"/>
          <w:bCs/>
          <w:szCs w:val="24"/>
        </w:rPr>
        <w:t xml:space="preserve"> results of The Brattle Group tests (i.e., that decoupling is simply offsetting an increase in risk imposed on the company by other policies)?</w:t>
      </w:r>
    </w:p>
    <w:p w14:paraId="6F025A50" w14:textId="1A1B2539" w:rsidR="00C344E5"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582DC0" w:rsidRPr="006833CD">
        <w:rPr>
          <w:rFonts w:ascii="Times New Roman" w:hAnsi="Times New Roman"/>
          <w:bCs/>
          <w:szCs w:val="24"/>
        </w:rPr>
        <w:tab/>
      </w:r>
      <w:r w:rsidR="00690561" w:rsidRPr="006833CD">
        <w:rPr>
          <w:rFonts w:ascii="Times New Roman" w:hAnsi="Times New Roman"/>
          <w:bCs/>
          <w:szCs w:val="24"/>
        </w:rPr>
        <w:t xml:space="preserve">Yes.  </w:t>
      </w:r>
      <w:r w:rsidR="0030288F" w:rsidRPr="006833CD">
        <w:rPr>
          <w:rFonts w:ascii="Times New Roman" w:hAnsi="Times New Roman"/>
          <w:szCs w:val="24"/>
        </w:rPr>
        <w:t>Mr.</w:t>
      </w:r>
      <w:r w:rsidR="0030288F">
        <w:rPr>
          <w:rFonts w:ascii="Times New Roman" w:hAnsi="Times New Roman"/>
          <w:szCs w:val="24"/>
        </w:rPr>
        <w:t> </w:t>
      </w:r>
      <w:r w:rsidR="007B08A2" w:rsidRPr="006833CD">
        <w:rPr>
          <w:rFonts w:ascii="Times New Roman" w:hAnsi="Times New Roman"/>
          <w:bCs/>
          <w:szCs w:val="24"/>
        </w:rPr>
        <w:t xml:space="preserve">Hill takes exception with my explanation that there is no statistically significant effect on cost of capital as a result of the implementation of decoupling because decoupling is instituted as a policy response to support other important regulatory goals that may increase risk to utilities under traditional cost of service regulation.  </w:t>
      </w:r>
      <w:r w:rsidR="0030288F" w:rsidRPr="006833CD">
        <w:rPr>
          <w:rFonts w:ascii="Times New Roman" w:hAnsi="Times New Roman"/>
          <w:szCs w:val="24"/>
        </w:rPr>
        <w:t>Mr.</w:t>
      </w:r>
      <w:r w:rsidR="0030288F">
        <w:rPr>
          <w:rFonts w:ascii="Times New Roman" w:hAnsi="Times New Roman"/>
          <w:szCs w:val="24"/>
        </w:rPr>
        <w:t> </w:t>
      </w:r>
      <w:r w:rsidR="00690561" w:rsidRPr="006833CD">
        <w:rPr>
          <w:rFonts w:ascii="Times New Roman" w:hAnsi="Times New Roman"/>
          <w:bCs/>
          <w:szCs w:val="24"/>
        </w:rPr>
        <w:t xml:space="preserve">Hill </w:t>
      </w:r>
      <w:r w:rsidR="00C344E5" w:rsidRPr="006833CD">
        <w:rPr>
          <w:rFonts w:ascii="Times New Roman" w:hAnsi="Times New Roman"/>
          <w:bCs/>
          <w:szCs w:val="24"/>
        </w:rPr>
        <w:t>states as follows:</w:t>
      </w:r>
    </w:p>
    <w:p w14:paraId="052EF1BE" w14:textId="3D2A2AAE" w:rsidR="00C344E5" w:rsidRPr="006833CD" w:rsidRDefault="00690561" w:rsidP="00C344E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In response to discovery, he states that neither he nor the Brattle Group have performed any analysis of the degree to which energy efficiency programs increase utility investment risk.</w:t>
      </w:r>
      <w:r w:rsidR="00C344E5" w:rsidRPr="006833CD">
        <w:rPr>
          <w:rFonts w:ascii="Times New Roman" w:hAnsi="Times New Roman"/>
          <w:szCs w:val="24"/>
        </w:rPr>
        <w:t xml:space="preserve">  He also states, in response to </w:t>
      </w:r>
      <w:proofErr w:type="spellStart"/>
      <w:r w:rsidR="00C344E5" w:rsidRPr="006833CD">
        <w:rPr>
          <w:rFonts w:ascii="Times New Roman" w:hAnsi="Times New Roman"/>
          <w:szCs w:val="24"/>
        </w:rPr>
        <w:t>ICNU</w:t>
      </w:r>
      <w:proofErr w:type="spellEnd"/>
      <w:r w:rsidR="00C344E5" w:rsidRPr="006833CD">
        <w:rPr>
          <w:rFonts w:ascii="Times New Roman" w:hAnsi="Times New Roman"/>
          <w:szCs w:val="24"/>
        </w:rPr>
        <w:t xml:space="preserve"> Data Request No. 02.19 that he is “not </w:t>
      </w:r>
      <w:r w:rsidR="00C344E5" w:rsidRPr="006833CD">
        <w:rPr>
          <w:rFonts w:ascii="Times New Roman" w:hAnsi="Times New Roman"/>
          <w:szCs w:val="24"/>
        </w:rPr>
        <w:lastRenderedPageBreak/>
        <w:t>asserting that state energy efficiency policies increase risk for utilities.</w:t>
      </w:r>
      <w:r w:rsidR="00C344E5" w:rsidRPr="00F71D8A">
        <w:rPr>
          <w:rStyle w:val="FootnoteReference"/>
        </w:rPr>
        <w:footnoteReference w:id="35"/>
      </w:r>
    </w:p>
    <w:p w14:paraId="68468AC6" w14:textId="0568B8EA" w:rsidR="0092667E" w:rsidRPr="006833CD" w:rsidRDefault="007B08A2" w:rsidP="00C344E5">
      <w:pPr>
        <w:pStyle w:val="answer"/>
        <w:ind w:firstLine="0"/>
        <w:rPr>
          <w:rFonts w:ascii="Times New Roman" w:hAnsi="Times New Roman"/>
          <w:szCs w:val="24"/>
        </w:rPr>
      </w:pPr>
      <w:r w:rsidRPr="006833CD">
        <w:rPr>
          <w:rFonts w:ascii="Times New Roman" w:hAnsi="Times New Roman"/>
          <w:szCs w:val="24"/>
        </w:rPr>
        <w:t xml:space="preserve">In his testimony,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 xml:space="preserve">Hill misrepresents my response to a discovery request.  </w:t>
      </w:r>
      <w:r w:rsidR="0092667E" w:rsidRPr="006833CD">
        <w:rPr>
          <w:rFonts w:ascii="Times New Roman" w:hAnsi="Times New Roman"/>
          <w:bCs/>
          <w:szCs w:val="24"/>
        </w:rPr>
        <w:t xml:space="preserve">The full response to </w:t>
      </w:r>
      <w:proofErr w:type="spellStart"/>
      <w:r w:rsidR="0092667E" w:rsidRPr="006833CD">
        <w:rPr>
          <w:rFonts w:ascii="Times New Roman" w:hAnsi="Times New Roman"/>
          <w:bCs/>
          <w:szCs w:val="24"/>
        </w:rPr>
        <w:t>ICNU</w:t>
      </w:r>
      <w:proofErr w:type="spellEnd"/>
      <w:r w:rsidR="0092667E" w:rsidRPr="006833CD">
        <w:rPr>
          <w:rFonts w:ascii="Times New Roman" w:hAnsi="Times New Roman"/>
          <w:bCs/>
          <w:szCs w:val="24"/>
        </w:rPr>
        <w:t xml:space="preserve"> Data Request No.</w:t>
      </w:r>
      <w:r w:rsidR="006C1CCC" w:rsidRPr="006833CD">
        <w:rPr>
          <w:rFonts w:ascii="Times New Roman" w:hAnsi="Times New Roman"/>
          <w:bCs/>
          <w:szCs w:val="24"/>
        </w:rPr>
        <w:t xml:space="preserve"> </w:t>
      </w:r>
      <w:r w:rsidR="0092667E" w:rsidRPr="006833CD">
        <w:rPr>
          <w:rFonts w:ascii="Times New Roman" w:hAnsi="Times New Roman"/>
          <w:bCs/>
          <w:szCs w:val="24"/>
        </w:rPr>
        <w:t xml:space="preserve">02.19 reads </w:t>
      </w:r>
      <w:r w:rsidR="00C344E5" w:rsidRPr="006833CD">
        <w:rPr>
          <w:rFonts w:ascii="Times New Roman" w:hAnsi="Times New Roman"/>
          <w:bCs/>
          <w:szCs w:val="24"/>
        </w:rPr>
        <w:t>as follows:</w:t>
      </w:r>
    </w:p>
    <w:p w14:paraId="4F7DD5B0" w14:textId="42B0F9E3" w:rsidR="0092667E" w:rsidRPr="006833CD" w:rsidRDefault="0092667E"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In the cited section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he is providing a possible explanation for the failure to reject the null hypothesis that there is no statistically significant effect on the cost of capital from the adoption of decoupling.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Vilbert is not “asserting that state energy efficiency policies increase risk for utilities” although he believes that the statement is likely to be true.  Instead he is offering one explanation for the empirical result in the test of the effect of decoupling on the cost of capital.  In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view, the assertion that decoupling must reduce risk and therefore the cost of capital neglects to consider the reasons that decoupling was adopted in the first place.  As noted on p. 32, lines 15-17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“decoupling is instituted as a policy response to support other important regulatory goals that may increase risk to utilities under traditiona</w:t>
      </w:r>
      <w:r w:rsidR="00C344E5" w:rsidRPr="006833CD">
        <w:rPr>
          <w:rFonts w:ascii="Times New Roman" w:hAnsi="Times New Roman"/>
          <w:szCs w:val="24"/>
        </w:rPr>
        <w:t>l cost of service regulation.</w:t>
      </w:r>
      <w:r w:rsidR="00C344E5" w:rsidRPr="00F71D8A">
        <w:rPr>
          <w:rStyle w:val="FootnoteReference"/>
        </w:rPr>
        <w:footnoteReference w:id="36"/>
      </w:r>
    </w:p>
    <w:p w14:paraId="3D052E34" w14:textId="0A7B840F" w:rsidR="00582DC0" w:rsidRPr="006833CD" w:rsidRDefault="0092667E" w:rsidP="003255A1">
      <w:pPr>
        <w:pStyle w:val="answer"/>
        <w:ind w:firstLine="0"/>
        <w:rPr>
          <w:rFonts w:ascii="Times New Roman" w:hAnsi="Times New Roman"/>
          <w:szCs w:val="24"/>
        </w:rPr>
      </w:pPr>
      <w:r w:rsidRPr="006833CD">
        <w:rPr>
          <w:rFonts w:ascii="Times New Roman" w:hAnsi="Times New Roman"/>
          <w:bCs/>
          <w:szCs w:val="24"/>
        </w:rPr>
        <w:t xml:space="preserve">I understand the word “assert” to mean to claim the truth of a statement without any proof.  Consequently, I denied that I </w:t>
      </w:r>
      <w:r w:rsidR="00164574" w:rsidRPr="006833CD">
        <w:rPr>
          <w:rFonts w:ascii="Times New Roman" w:hAnsi="Times New Roman"/>
          <w:bCs/>
          <w:szCs w:val="24"/>
        </w:rPr>
        <w:t xml:space="preserve">had </w:t>
      </w:r>
      <w:r w:rsidRPr="006833CD">
        <w:rPr>
          <w:rFonts w:ascii="Times New Roman" w:hAnsi="Times New Roman"/>
          <w:bCs/>
          <w:szCs w:val="24"/>
        </w:rPr>
        <w:t xml:space="preserve">“asserted” that </w:t>
      </w:r>
      <w:r w:rsidR="00164574" w:rsidRPr="006833CD">
        <w:rPr>
          <w:rFonts w:ascii="Times New Roman" w:hAnsi="Times New Roman"/>
          <w:bCs/>
          <w:szCs w:val="24"/>
        </w:rPr>
        <w:t xml:space="preserve">policies such as </w:t>
      </w:r>
      <w:r w:rsidRPr="006833CD">
        <w:rPr>
          <w:rFonts w:ascii="Times New Roman" w:hAnsi="Times New Roman"/>
          <w:bCs/>
          <w:szCs w:val="24"/>
        </w:rPr>
        <w:t>energy efficiency programs, distributed generation</w:t>
      </w:r>
      <w:r w:rsidR="00164574" w:rsidRPr="006833CD">
        <w:rPr>
          <w:rFonts w:ascii="Times New Roman" w:hAnsi="Times New Roman"/>
          <w:bCs/>
          <w:szCs w:val="24"/>
        </w:rPr>
        <w:t>, DSM,</w:t>
      </w:r>
      <w:r w:rsidRPr="006833CD">
        <w:rPr>
          <w:rFonts w:ascii="Times New Roman" w:hAnsi="Times New Roman"/>
          <w:bCs/>
          <w:szCs w:val="24"/>
        </w:rPr>
        <w:t xml:space="preserve"> and </w:t>
      </w:r>
      <w:r w:rsidR="00164574" w:rsidRPr="006833CD">
        <w:rPr>
          <w:rFonts w:ascii="Times New Roman" w:hAnsi="Times New Roman"/>
          <w:bCs/>
          <w:szCs w:val="24"/>
        </w:rPr>
        <w:t>connecting renewable energy sources to the grid increased the risk to the regulated electric company.  I believe it to be true</w:t>
      </w:r>
      <w:r w:rsidR="009018E5" w:rsidRPr="006833CD">
        <w:rPr>
          <w:rFonts w:ascii="Times New Roman" w:hAnsi="Times New Roman"/>
          <w:bCs/>
          <w:szCs w:val="24"/>
        </w:rPr>
        <w:t>,</w:t>
      </w:r>
      <w:r w:rsidR="00164574" w:rsidRPr="006833CD">
        <w:rPr>
          <w:rFonts w:ascii="Times New Roman" w:hAnsi="Times New Roman"/>
          <w:bCs/>
          <w:szCs w:val="24"/>
        </w:rPr>
        <w:t xml:space="preserve"> but I have not done an empirical study of the issue that would let me say so definitively.</w:t>
      </w:r>
      <w:r w:rsidR="00E03ACB" w:rsidRPr="006833CD">
        <w:rPr>
          <w:rFonts w:ascii="Times New Roman" w:hAnsi="Times New Roman"/>
          <w:bCs/>
          <w:szCs w:val="24"/>
        </w:rPr>
        <w:t xml:space="preserve">  One possible reason that these programs may increase the risk of the regulated electric utility is that these programs all share the goal of reducing the consumption of energy and consequently the utility’s sales.  As a result, the utility is likely to have increasing </w:t>
      </w:r>
      <w:r w:rsidR="00E03ACB" w:rsidRPr="006833CD">
        <w:rPr>
          <w:rFonts w:ascii="Times New Roman" w:hAnsi="Times New Roman"/>
          <w:bCs/>
          <w:szCs w:val="24"/>
        </w:rPr>
        <w:lastRenderedPageBreak/>
        <w:t xml:space="preserve">rates due to increased investment as well as due to declining sales.  </w:t>
      </w:r>
      <w:r w:rsidR="006E69AC" w:rsidRPr="006833CD">
        <w:rPr>
          <w:rFonts w:ascii="Times New Roman" w:hAnsi="Times New Roman"/>
          <w:bCs/>
          <w:szCs w:val="24"/>
        </w:rPr>
        <w:t>This circumstance is likely to increase the risk to the utility, absent a policy like decoupling.</w:t>
      </w:r>
    </w:p>
    <w:p w14:paraId="4CA2D6B7" w14:textId="186DD0C0" w:rsidR="00582DC0" w:rsidRPr="006833CD" w:rsidRDefault="00582DC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1E5206" w:rsidRPr="006833CD">
        <w:rPr>
          <w:rFonts w:ascii="Times New Roman" w:hAnsi="Times New Roman"/>
          <w:bCs/>
          <w:szCs w:val="24"/>
        </w:rPr>
        <w:t xml:space="preserve">What is your conclusion in this portion of your </w:t>
      </w:r>
      <w:proofErr w:type="spellStart"/>
      <w:r w:rsidR="001E5206" w:rsidRPr="006833CD">
        <w:rPr>
          <w:rFonts w:ascii="Times New Roman" w:hAnsi="Times New Roman"/>
          <w:bCs/>
          <w:szCs w:val="24"/>
        </w:rPr>
        <w:t>prefiled</w:t>
      </w:r>
      <w:proofErr w:type="spellEnd"/>
      <w:r w:rsidR="001E5206" w:rsidRPr="006833CD">
        <w:rPr>
          <w:rFonts w:ascii="Times New Roman" w:hAnsi="Times New Roman"/>
          <w:bCs/>
          <w:szCs w:val="24"/>
        </w:rPr>
        <w:t xml:space="preserve"> rebuttal?</w:t>
      </w:r>
    </w:p>
    <w:p w14:paraId="5D0ABA37" w14:textId="6741ADEE" w:rsidR="00C91EFE" w:rsidRPr="006833CD" w:rsidRDefault="00600AFF" w:rsidP="0030288F">
      <w:pPr>
        <w:pStyle w:val="answer"/>
        <w:rPr>
          <w:rFonts w:ascii="Times New Roman" w:eastAsia="SimSun" w:hAnsi="Times New Roman"/>
          <w:bCs/>
          <w:szCs w:val="24"/>
        </w:rPr>
      </w:pPr>
      <w:r w:rsidRPr="006833CD">
        <w:rPr>
          <w:rFonts w:ascii="Times New Roman" w:hAnsi="Times New Roman"/>
          <w:bCs/>
          <w:szCs w:val="24"/>
        </w:rPr>
        <w:t>A.</w:t>
      </w:r>
      <w:r w:rsidR="00582DC0" w:rsidRPr="006833CD">
        <w:rPr>
          <w:rFonts w:ascii="Times New Roman" w:hAnsi="Times New Roman"/>
          <w:bCs/>
          <w:szCs w:val="24"/>
        </w:rPr>
        <w:tab/>
      </w:r>
      <w:r w:rsidR="001E5206" w:rsidRPr="006833CD">
        <w:rPr>
          <w:rFonts w:ascii="Times New Roman" w:hAnsi="Times New Roman"/>
          <w:bCs/>
          <w:szCs w:val="24"/>
        </w:rPr>
        <w:t xml:space="preserve">None of </w:t>
      </w:r>
      <w:r w:rsidR="003B0FD4">
        <w:rPr>
          <w:rFonts w:ascii="Times New Roman" w:hAnsi="Times New Roman"/>
          <w:szCs w:val="24"/>
        </w:rPr>
        <w:t xml:space="preserve">the </w:t>
      </w:r>
      <w:r w:rsidR="001E5206" w:rsidRPr="006833CD">
        <w:rPr>
          <w:rFonts w:ascii="Times New Roman" w:hAnsi="Times New Roman"/>
          <w:bCs/>
          <w:szCs w:val="24"/>
        </w:rPr>
        <w:t xml:space="preserve">criticisms of </w:t>
      </w:r>
      <w:r w:rsidRPr="006833CD">
        <w:rPr>
          <w:rFonts w:ascii="Times New Roman" w:hAnsi="Times New Roman"/>
          <w:bCs/>
          <w:szCs w:val="24"/>
        </w:rPr>
        <w:t>T</w:t>
      </w:r>
      <w:r w:rsidR="001E5206" w:rsidRPr="006833CD">
        <w:rPr>
          <w:rFonts w:ascii="Times New Roman" w:hAnsi="Times New Roman"/>
          <w:bCs/>
          <w:szCs w:val="24"/>
        </w:rPr>
        <w:t xml:space="preserve">he Brattle </w:t>
      </w:r>
      <w:r w:rsidRPr="006833CD">
        <w:rPr>
          <w:rFonts w:ascii="Times New Roman" w:hAnsi="Times New Roman"/>
          <w:bCs/>
          <w:szCs w:val="24"/>
        </w:rPr>
        <w:t xml:space="preserve">Group </w:t>
      </w:r>
      <w:r w:rsidR="001E5206" w:rsidRPr="006833CD">
        <w:rPr>
          <w:rFonts w:ascii="Times New Roman" w:hAnsi="Times New Roman"/>
          <w:bCs/>
          <w:szCs w:val="24"/>
        </w:rPr>
        <w:t>decoupling studies or my direct testimony are valid, as I have explained above.</w:t>
      </w:r>
    </w:p>
    <w:p w14:paraId="1F22E856" w14:textId="3A3B7425" w:rsidR="00452383" w:rsidRPr="006833CD" w:rsidRDefault="006B09BA" w:rsidP="00452383">
      <w:pPr>
        <w:pStyle w:val="Heading2"/>
        <w:rPr>
          <w:rFonts w:ascii="Times New Roman" w:hAnsi="Times New Roman"/>
          <w:szCs w:val="24"/>
        </w:rPr>
      </w:pPr>
      <w:bookmarkStart w:id="22" w:name="_Toc406063202"/>
      <w:bookmarkStart w:id="23" w:name="_Toc406086188"/>
      <w:bookmarkStart w:id="24" w:name="_Toc406511791"/>
      <w:bookmarkStart w:id="25" w:name="_Toc406745166"/>
      <w:r w:rsidRPr="006833CD">
        <w:rPr>
          <w:rFonts w:ascii="Times New Roman" w:hAnsi="Times New Roman"/>
          <w:szCs w:val="24"/>
        </w:rPr>
        <w:t>B.</w:t>
      </w:r>
      <w:r w:rsidRPr="006833CD">
        <w:rPr>
          <w:rFonts w:ascii="Times New Roman" w:hAnsi="Times New Roman"/>
          <w:szCs w:val="24"/>
        </w:rPr>
        <w:tab/>
      </w:r>
      <w:bookmarkEnd w:id="22"/>
      <w:bookmarkEnd w:id="23"/>
      <w:bookmarkEnd w:id="24"/>
      <w:r w:rsidR="0030288F" w:rsidRPr="006833CD">
        <w:rPr>
          <w:rFonts w:ascii="Times New Roman" w:hAnsi="Times New Roman"/>
          <w:szCs w:val="24"/>
        </w:rPr>
        <w:t>Mr.</w:t>
      </w:r>
      <w:r w:rsidR="0030288F">
        <w:rPr>
          <w:rFonts w:ascii="Times New Roman" w:hAnsi="Times New Roman"/>
          <w:szCs w:val="24"/>
        </w:rPr>
        <w:t> </w:t>
      </w:r>
      <w:r w:rsidR="00452383" w:rsidRPr="006833CD">
        <w:rPr>
          <w:rFonts w:ascii="Times New Roman" w:hAnsi="Times New Roman"/>
          <w:bCs/>
          <w:szCs w:val="24"/>
        </w:rPr>
        <w:t>Hill Asserts but Does Not Demonstrate in Any Way that the Reduction in Volatility in Revenues Due to Decoupling is Related to the Cost of Capital.</w:t>
      </w:r>
      <w:bookmarkEnd w:id="25"/>
    </w:p>
    <w:p w14:paraId="5D0ABA3A" w14:textId="091CD553"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Does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propose and implement a method to estimate </w:t>
      </w:r>
      <w:r w:rsidR="00567AEA" w:rsidRPr="006833CD">
        <w:rPr>
          <w:rFonts w:ascii="Times New Roman" w:hAnsi="Times New Roman"/>
          <w:bCs/>
          <w:szCs w:val="24"/>
        </w:rPr>
        <w:t xml:space="preserve">quantitatively </w:t>
      </w:r>
      <w:r w:rsidRPr="006833CD">
        <w:rPr>
          <w:rFonts w:ascii="Times New Roman" w:hAnsi="Times New Roman"/>
          <w:bCs/>
          <w:szCs w:val="24"/>
        </w:rPr>
        <w:t xml:space="preserve">the effect of decoupling on the cost of capital?  </w:t>
      </w:r>
    </w:p>
    <w:p w14:paraId="322ABCA1" w14:textId="4D1E629A" w:rsidR="00600AFF" w:rsidRPr="006833CD" w:rsidRDefault="008E50A1" w:rsidP="00600AFF">
      <w:pPr>
        <w:pStyle w:val="BGNormal150"/>
        <w:spacing w:before="120" w:after="120" w:line="480" w:lineRule="auto"/>
        <w:ind w:left="720" w:hanging="720"/>
        <w:jc w:val="left"/>
        <w:rPr>
          <w:rFonts w:ascii="Times New Roman" w:hAnsi="Times New Roman"/>
          <w:sz w:val="24"/>
          <w:szCs w:val="24"/>
        </w:rPr>
      </w:pPr>
      <w:r w:rsidRPr="006833CD">
        <w:rPr>
          <w:rFonts w:ascii="Times New Roman" w:hAnsi="Times New Roman"/>
          <w:bCs/>
          <w:sz w:val="24"/>
          <w:szCs w:val="24"/>
        </w:rPr>
        <w:t>A.</w:t>
      </w:r>
      <w:r w:rsidRPr="006833CD">
        <w:rPr>
          <w:rFonts w:ascii="Times New Roman" w:hAnsi="Times New Roman"/>
          <w:bCs/>
          <w:sz w:val="24"/>
          <w:szCs w:val="24"/>
        </w:rPr>
        <w:tab/>
      </w:r>
      <w:r w:rsidR="00C91EFE" w:rsidRPr="006833CD">
        <w:rPr>
          <w:rFonts w:ascii="Times New Roman" w:eastAsia="Times New Roman" w:hAnsi="Times New Roman"/>
          <w:bCs/>
          <w:color w:val="auto"/>
          <w:sz w:val="24"/>
          <w:szCs w:val="24"/>
          <w:lang w:eastAsia="zh-CN"/>
        </w:rPr>
        <w:t>Yes</w:t>
      </w:r>
      <w:r w:rsidR="00C91EFE" w:rsidRPr="0030288F">
        <w:rPr>
          <w:rFonts w:ascii="Times New Roman" w:eastAsia="Times New Roman" w:hAnsi="Times New Roman"/>
          <w:bCs/>
          <w:color w:val="auto"/>
          <w:sz w:val="24"/>
          <w:szCs w:val="24"/>
          <w:lang w:eastAsia="zh-CN"/>
        </w:rPr>
        <w:t>.  Mr.</w:t>
      </w:r>
      <w:r w:rsidR="003F329D" w:rsidRPr="0030288F">
        <w:rPr>
          <w:rFonts w:ascii="Times New Roman" w:eastAsia="Times New Roman" w:hAnsi="Times New Roman"/>
          <w:bCs/>
          <w:color w:val="auto"/>
          <w:sz w:val="24"/>
          <w:szCs w:val="24"/>
          <w:lang w:eastAsia="zh-CN"/>
        </w:rPr>
        <w:t xml:space="preserve"> </w:t>
      </w:r>
      <w:r w:rsidR="00C91EFE" w:rsidRPr="0030288F">
        <w:rPr>
          <w:rFonts w:ascii="Times New Roman" w:eastAsia="Times New Roman" w:hAnsi="Times New Roman"/>
          <w:bCs/>
          <w:color w:val="auto"/>
          <w:sz w:val="24"/>
          <w:szCs w:val="24"/>
          <w:lang w:eastAsia="zh-CN"/>
        </w:rPr>
        <w:t>Hill</w:t>
      </w:r>
      <w:r w:rsidR="00600AFF" w:rsidRPr="0030288F">
        <w:rPr>
          <w:rFonts w:ascii="Times New Roman" w:eastAsia="Times New Roman" w:hAnsi="Times New Roman"/>
          <w:bCs/>
          <w:color w:val="auto"/>
          <w:sz w:val="24"/>
          <w:szCs w:val="24"/>
          <w:lang w:eastAsia="zh-CN"/>
        </w:rPr>
        <w:t xml:space="preserve"> </w:t>
      </w:r>
      <w:r w:rsidR="00567AEA" w:rsidRPr="0030288F">
        <w:rPr>
          <w:rFonts w:ascii="Times New Roman" w:eastAsia="Times New Roman" w:hAnsi="Times New Roman"/>
          <w:bCs/>
          <w:color w:val="auto"/>
          <w:sz w:val="24"/>
          <w:szCs w:val="24"/>
          <w:lang w:eastAsia="zh-CN"/>
        </w:rPr>
        <w:t>purports to provide</w:t>
      </w:r>
      <w:r w:rsidR="00C91EFE" w:rsidRPr="0030288F">
        <w:rPr>
          <w:rFonts w:ascii="Times New Roman" w:eastAsia="Times New Roman" w:hAnsi="Times New Roman"/>
          <w:bCs/>
          <w:color w:val="auto"/>
          <w:sz w:val="24"/>
          <w:szCs w:val="24"/>
          <w:lang w:eastAsia="zh-CN"/>
        </w:rPr>
        <w:t xml:space="preserve"> empirical analyses for the effect of dec</w:t>
      </w:r>
      <w:r w:rsidR="00C91EFE" w:rsidRPr="006833CD">
        <w:rPr>
          <w:rFonts w:ascii="Times New Roman" w:eastAsia="Times New Roman" w:hAnsi="Times New Roman"/>
          <w:bCs/>
          <w:color w:val="auto"/>
          <w:sz w:val="24"/>
          <w:szCs w:val="24"/>
          <w:lang w:eastAsia="zh-CN"/>
        </w:rPr>
        <w:t>oupling on the cost of capital</w:t>
      </w:r>
      <w:r w:rsidR="00600AFF" w:rsidRPr="006833CD">
        <w:rPr>
          <w:rFonts w:ascii="Times New Roman" w:eastAsia="Times New Roman" w:hAnsi="Times New Roman"/>
          <w:bCs/>
          <w:color w:val="auto"/>
          <w:sz w:val="24"/>
          <w:szCs w:val="24"/>
          <w:lang w:eastAsia="zh-CN"/>
        </w:rPr>
        <w:t>.</w:t>
      </w:r>
      <w:r w:rsidR="00600AFF" w:rsidRPr="00F71D8A">
        <w:rPr>
          <w:rStyle w:val="FootnoteReference"/>
        </w:rPr>
        <w:footnoteReference w:id="37"/>
      </w:r>
      <w:r w:rsidR="00600AFF" w:rsidRPr="006833CD">
        <w:rPr>
          <w:rFonts w:ascii="Times New Roman" w:eastAsia="Times New Roman" w:hAnsi="Times New Roman"/>
          <w:bCs/>
          <w:color w:val="auto"/>
          <w:sz w:val="24"/>
          <w:szCs w:val="24"/>
          <w:lang w:eastAsia="zh-CN"/>
        </w:rPr>
        <w:t xml:space="preserve"> </w:t>
      </w:r>
      <w:r w:rsidR="00C91EFE" w:rsidRPr="006833CD">
        <w:rPr>
          <w:rFonts w:ascii="Times New Roman" w:eastAsia="Times New Roman" w:hAnsi="Times New Roman"/>
          <w:bCs/>
          <w:color w:val="auto"/>
          <w:sz w:val="24"/>
          <w:szCs w:val="24"/>
          <w:lang w:eastAsia="zh-CN"/>
        </w:rPr>
        <w:t xml:space="preserve"> </w:t>
      </w:r>
      <w:r w:rsidR="00756E60" w:rsidRPr="006833CD">
        <w:rPr>
          <w:rFonts w:ascii="Times New Roman" w:eastAsia="Times New Roman" w:hAnsi="Times New Roman"/>
          <w:bCs/>
          <w:color w:val="auto"/>
          <w:sz w:val="24"/>
          <w:szCs w:val="24"/>
          <w:lang w:eastAsia="zh-CN"/>
        </w:rPr>
        <w:t>I will show that this analysis</w:t>
      </w:r>
      <w:r w:rsidR="00C91EFE" w:rsidRPr="006833CD">
        <w:rPr>
          <w:rFonts w:ascii="Times New Roman" w:eastAsia="Times New Roman" w:hAnsi="Times New Roman"/>
          <w:bCs/>
          <w:color w:val="auto"/>
          <w:sz w:val="24"/>
          <w:szCs w:val="24"/>
          <w:lang w:eastAsia="zh-CN"/>
        </w:rPr>
        <w:t xml:space="preserve"> is </w:t>
      </w:r>
      <w:r w:rsidR="00A324AA" w:rsidRPr="006833CD">
        <w:rPr>
          <w:rFonts w:ascii="Times New Roman" w:eastAsia="Times New Roman" w:hAnsi="Times New Roman"/>
          <w:bCs/>
          <w:color w:val="auto"/>
          <w:sz w:val="24"/>
          <w:szCs w:val="24"/>
          <w:lang w:eastAsia="zh-CN"/>
        </w:rPr>
        <w:t xml:space="preserve">deeply </w:t>
      </w:r>
      <w:r w:rsidR="00C91EFE" w:rsidRPr="006833CD">
        <w:rPr>
          <w:rFonts w:ascii="Times New Roman" w:eastAsia="Times New Roman" w:hAnsi="Times New Roman"/>
          <w:bCs/>
          <w:color w:val="auto"/>
          <w:sz w:val="24"/>
          <w:szCs w:val="24"/>
          <w:lang w:eastAsia="zh-CN"/>
        </w:rPr>
        <w:t xml:space="preserve">flawed both theoretically and empirically. </w:t>
      </w:r>
      <w:r w:rsidR="0030288F">
        <w:rPr>
          <w:rFonts w:ascii="Times New Roman" w:eastAsia="Times New Roman" w:hAnsi="Times New Roman"/>
          <w:bCs/>
          <w:color w:val="auto"/>
          <w:sz w:val="24"/>
          <w:szCs w:val="24"/>
          <w:lang w:eastAsia="zh-CN"/>
        </w:rPr>
        <w:t xml:space="preserve"> </w:t>
      </w:r>
      <w:r w:rsidR="00C91EFE" w:rsidRPr="006833CD">
        <w:rPr>
          <w:rFonts w:ascii="Times New Roman" w:eastAsia="Times New Roman" w:hAnsi="Times New Roman"/>
          <w:bCs/>
          <w:color w:val="auto"/>
          <w:sz w:val="24"/>
          <w:szCs w:val="24"/>
          <w:lang w:eastAsia="zh-CN"/>
        </w:rPr>
        <w:t xml:space="preserve">I first review the </w:t>
      </w:r>
      <w:r w:rsidR="0068576F" w:rsidRPr="006833CD">
        <w:rPr>
          <w:rFonts w:ascii="Times New Roman" w:eastAsia="Times New Roman" w:hAnsi="Times New Roman"/>
          <w:bCs/>
          <w:color w:val="auto"/>
          <w:sz w:val="24"/>
          <w:szCs w:val="24"/>
          <w:lang w:eastAsia="zh-CN"/>
        </w:rPr>
        <w:t xml:space="preserve">underlying theory of </w:t>
      </w:r>
      <w:r w:rsidR="0030288F" w:rsidRPr="0030288F">
        <w:rPr>
          <w:rFonts w:ascii="Times New Roman" w:hAnsi="Times New Roman"/>
          <w:sz w:val="24"/>
          <w:szCs w:val="24"/>
        </w:rPr>
        <w:t>Mr.</w:t>
      </w:r>
      <w:r w:rsidR="00600AFF" w:rsidRPr="006833CD">
        <w:rPr>
          <w:rFonts w:ascii="Times New Roman" w:eastAsia="Times New Roman" w:hAnsi="Times New Roman"/>
          <w:bCs/>
          <w:color w:val="auto"/>
          <w:sz w:val="24"/>
          <w:szCs w:val="24"/>
          <w:lang w:eastAsia="zh-CN"/>
        </w:rPr>
        <w:t> </w:t>
      </w:r>
      <w:r w:rsidR="0068576F" w:rsidRPr="006833CD">
        <w:rPr>
          <w:rFonts w:ascii="Times New Roman" w:eastAsia="Times New Roman" w:hAnsi="Times New Roman"/>
          <w:bCs/>
          <w:color w:val="auto"/>
          <w:sz w:val="24"/>
          <w:szCs w:val="24"/>
          <w:lang w:eastAsia="zh-CN"/>
        </w:rPr>
        <w:t>Hill’s analysis and demonstrate that h</w:t>
      </w:r>
      <w:r w:rsidR="00692D1B" w:rsidRPr="006833CD">
        <w:rPr>
          <w:rFonts w:ascii="Times New Roman" w:eastAsia="Times New Roman" w:hAnsi="Times New Roman"/>
          <w:bCs/>
          <w:color w:val="auto"/>
          <w:sz w:val="24"/>
          <w:szCs w:val="24"/>
          <w:lang w:eastAsia="zh-CN"/>
        </w:rPr>
        <w:t>is analysis</w:t>
      </w:r>
      <w:r w:rsidR="0068576F" w:rsidRPr="006833CD">
        <w:rPr>
          <w:rFonts w:ascii="Times New Roman" w:eastAsia="Times New Roman" w:hAnsi="Times New Roman"/>
          <w:bCs/>
          <w:color w:val="auto"/>
          <w:sz w:val="24"/>
          <w:szCs w:val="24"/>
          <w:lang w:eastAsia="zh-CN"/>
        </w:rPr>
        <w:t xml:space="preserve"> mixes some </w:t>
      </w:r>
      <w:r w:rsidR="00692D1B" w:rsidRPr="006833CD">
        <w:rPr>
          <w:rFonts w:ascii="Times New Roman" w:eastAsia="Times New Roman" w:hAnsi="Times New Roman"/>
          <w:bCs/>
          <w:color w:val="auto"/>
          <w:sz w:val="24"/>
          <w:szCs w:val="24"/>
          <w:lang w:eastAsia="zh-CN"/>
        </w:rPr>
        <w:t xml:space="preserve">valid </w:t>
      </w:r>
      <w:r w:rsidR="0068576F" w:rsidRPr="006833CD">
        <w:rPr>
          <w:rFonts w:ascii="Times New Roman" w:eastAsia="Times New Roman" w:hAnsi="Times New Roman"/>
          <w:bCs/>
          <w:color w:val="auto"/>
          <w:sz w:val="24"/>
          <w:szCs w:val="24"/>
          <w:lang w:eastAsia="zh-CN"/>
        </w:rPr>
        <w:t xml:space="preserve">financial theory with misleading assumptions and analogies.  I then review the </w:t>
      </w:r>
      <w:r w:rsidR="00C91EFE" w:rsidRPr="006833CD">
        <w:rPr>
          <w:rFonts w:ascii="Times New Roman" w:eastAsia="Times New Roman" w:hAnsi="Times New Roman"/>
          <w:bCs/>
          <w:color w:val="auto"/>
          <w:sz w:val="24"/>
          <w:szCs w:val="24"/>
          <w:lang w:eastAsia="zh-CN"/>
        </w:rPr>
        <w:t xml:space="preserve">steps in </w:t>
      </w:r>
      <w:r w:rsidR="0030288F" w:rsidRPr="0030288F">
        <w:rPr>
          <w:rFonts w:ascii="Times New Roman" w:hAnsi="Times New Roman"/>
          <w:sz w:val="24"/>
          <w:szCs w:val="24"/>
        </w:rPr>
        <w:t>Mr. </w:t>
      </w:r>
      <w:r w:rsidR="00C91EFE" w:rsidRPr="0030288F">
        <w:rPr>
          <w:rFonts w:ascii="Times New Roman" w:eastAsia="Times New Roman" w:hAnsi="Times New Roman"/>
          <w:bCs/>
          <w:color w:val="auto"/>
          <w:sz w:val="24"/>
          <w:szCs w:val="24"/>
          <w:lang w:eastAsia="zh-CN"/>
        </w:rPr>
        <w:t>Hill’s</w:t>
      </w:r>
      <w:r w:rsidR="00C91EFE" w:rsidRPr="006833CD">
        <w:rPr>
          <w:rFonts w:ascii="Times New Roman" w:eastAsia="Times New Roman" w:hAnsi="Times New Roman"/>
          <w:bCs/>
          <w:color w:val="auto"/>
          <w:sz w:val="24"/>
          <w:szCs w:val="24"/>
          <w:lang w:eastAsia="zh-CN"/>
        </w:rPr>
        <w:t xml:space="preserve"> </w:t>
      </w:r>
      <w:r w:rsidR="0087120D" w:rsidRPr="006833CD">
        <w:rPr>
          <w:rFonts w:ascii="Times New Roman" w:eastAsia="Times New Roman" w:hAnsi="Times New Roman"/>
          <w:bCs/>
          <w:color w:val="auto"/>
          <w:sz w:val="24"/>
          <w:szCs w:val="24"/>
          <w:lang w:eastAsia="zh-CN"/>
        </w:rPr>
        <w:t xml:space="preserve">quantitative </w:t>
      </w:r>
      <w:r w:rsidR="00C91EFE" w:rsidRPr="006833CD">
        <w:rPr>
          <w:rFonts w:ascii="Times New Roman" w:eastAsia="Times New Roman" w:hAnsi="Times New Roman"/>
          <w:bCs/>
          <w:color w:val="auto"/>
          <w:sz w:val="24"/>
          <w:szCs w:val="24"/>
          <w:lang w:eastAsia="zh-CN"/>
        </w:rPr>
        <w:t xml:space="preserve">analysis and explain why </w:t>
      </w:r>
      <w:r w:rsidR="00D346C9" w:rsidRPr="006833CD">
        <w:rPr>
          <w:rFonts w:ascii="Times New Roman" w:eastAsia="Times New Roman" w:hAnsi="Times New Roman"/>
          <w:bCs/>
          <w:color w:val="auto"/>
          <w:sz w:val="24"/>
          <w:szCs w:val="24"/>
          <w:lang w:eastAsia="zh-CN"/>
        </w:rPr>
        <w:t xml:space="preserve">his </w:t>
      </w:r>
      <w:r w:rsidR="00C91EFE" w:rsidRPr="006833CD">
        <w:rPr>
          <w:rFonts w:ascii="Times New Roman" w:eastAsia="Times New Roman" w:hAnsi="Times New Roman"/>
          <w:bCs/>
          <w:color w:val="auto"/>
          <w:sz w:val="24"/>
          <w:szCs w:val="24"/>
          <w:lang w:eastAsia="zh-CN"/>
        </w:rPr>
        <w:t xml:space="preserve">calculations are completely </w:t>
      </w:r>
      <w:r w:rsidR="00A324AA" w:rsidRPr="006833CD">
        <w:rPr>
          <w:rFonts w:ascii="Times New Roman" w:eastAsia="Times New Roman" w:hAnsi="Times New Roman"/>
          <w:bCs/>
          <w:color w:val="auto"/>
          <w:sz w:val="24"/>
          <w:szCs w:val="24"/>
          <w:lang w:eastAsia="zh-CN"/>
        </w:rPr>
        <w:t xml:space="preserve">inadequate </w:t>
      </w:r>
      <w:r w:rsidR="00C91EFE" w:rsidRPr="006833CD">
        <w:rPr>
          <w:rFonts w:ascii="Times New Roman" w:eastAsia="Times New Roman" w:hAnsi="Times New Roman"/>
          <w:bCs/>
          <w:color w:val="auto"/>
          <w:sz w:val="24"/>
          <w:szCs w:val="24"/>
          <w:lang w:eastAsia="zh-CN"/>
        </w:rPr>
        <w:t>as a</w:t>
      </w:r>
      <w:r w:rsidR="00692D1B" w:rsidRPr="006833CD">
        <w:rPr>
          <w:rFonts w:ascii="Times New Roman" w:eastAsia="Times New Roman" w:hAnsi="Times New Roman"/>
          <w:bCs/>
          <w:color w:val="auto"/>
          <w:sz w:val="24"/>
          <w:szCs w:val="24"/>
          <w:lang w:eastAsia="zh-CN"/>
        </w:rPr>
        <w:t xml:space="preserve"> </w:t>
      </w:r>
      <w:r w:rsidR="001B6B0A" w:rsidRPr="006833CD">
        <w:rPr>
          <w:rFonts w:ascii="Times New Roman" w:eastAsia="Times New Roman" w:hAnsi="Times New Roman"/>
          <w:bCs/>
          <w:color w:val="auto"/>
          <w:sz w:val="24"/>
          <w:szCs w:val="24"/>
          <w:lang w:eastAsia="zh-CN"/>
        </w:rPr>
        <w:t xml:space="preserve">quantitative, factual </w:t>
      </w:r>
      <w:r w:rsidR="00C91EFE" w:rsidRPr="006833CD">
        <w:rPr>
          <w:rFonts w:ascii="Times New Roman" w:eastAsia="Times New Roman" w:hAnsi="Times New Roman"/>
          <w:bCs/>
          <w:color w:val="auto"/>
          <w:sz w:val="24"/>
          <w:szCs w:val="24"/>
          <w:lang w:eastAsia="zh-CN"/>
        </w:rPr>
        <w:t xml:space="preserve">measure of the effect </w:t>
      </w:r>
      <w:r w:rsidR="00D346C9" w:rsidRPr="006833CD">
        <w:rPr>
          <w:rFonts w:ascii="Times New Roman" w:eastAsia="Times New Roman" w:hAnsi="Times New Roman"/>
          <w:bCs/>
          <w:color w:val="auto"/>
          <w:sz w:val="24"/>
          <w:szCs w:val="24"/>
          <w:lang w:eastAsia="zh-CN"/>
        </w:rPr>
        <w:t xml:space="preserve">of decoupling </w:t>
      </w:r>
      <w:r w:rsidR="00C91EFE" w:rsidRPr="006833CD">
        <w:rPr>
          <w:rFonts w:ascii="Times New Roman" w:eastAsia="Times New Roman" w:hAnsi="Times New Roman"/>
          <w:bCs/>
          <w:color w:val="auto"/>
          <w:sz w:val="24"/>
          <w:szCs w:val="24"/>
          <w:lang w:eastAsia="zh-CN"/>
        </w:rPr>
        <w:t>on the cost of capital</w:t>
      </w:r>
      <w:r w:rsidR="00C91EFE" w:rsidRPr="006833CD">
        <w:rPr>
          <w:rFonts w:ascii="Times New Roman" w:hAnsi="Times New Roman"/>
          <w:sz w:val="24"/>
          <w:szCs w:val="24"/>
        </w:rPr>
        <w:t>.</w:t>
      </w:r>
    </w:p>
    <w:p w14:paraId="61D0DD4A" w14:textId="4581CBFF" w:rsidR="003F329D" w:rsidRPr="006833CD" w:rsidRDefault="003B0FD4" w:rsidP="00600AFF">
      <w:pPr>
        <w:pStyle w:val="BGNormal150"/>
        <w:spacing w:before="120" w:after="120" w:line="480" w:lineRule="auto"/>
        <w:ind w:left="720"/>
        <w:jc w:val="left"/>
        <w:rPr>
          <w:rFonts w:ascii="Times New Roman" w:eastAsia="Times New Roman" w:hAnsi="Times New Roman"/>
          <w:color w:val="auto"/>
          <w:sz w:val="24"/>
          <w:szCs w:val="24"/>
          <w:lang w:eastAsia="zh-CN"/>
        </w:rPr>
      </w:pPr>
      <w:r>
        <w:rPr>
          <w:rFonts w:ascii="Times New Roman" w:eastAsia="Times New Roman" w:hAnsi="Times New Roman"/>
          <w:color w:val="auto"/>
          <w:sz w:val="24"/>
          <w:szCs w:val="24"/>
          <w:lang w:eastAsia="zh-CN"/>
        </w:rPr>
        <w:lastRenderedPageBreak/>
        <w:t xml:space="preserve">These </w:t>
      </w:r>
      <w:r w:rsidR="0068576F" w:rsidRPr="006833CD">
        <w:rPr>
          <w:rFonts w:ascii="Times New Roman" w:eastAsia="Times New Roman" w:hAnsi="Times New Roman"/>
          <w:color w:val="auto"/>
          <w:sz w:val="24"/>
          <w:szCs w:val="24"/>
          <w:lang w:eastAsia="zh-CN"/>
        </w:rPr>
        <w:t>analyses</w:t>
      </w:r>
      <w:r w:rsidR="0087120D" w:rsidRPr="006833CD">
        <w:rPr>
          <w:rFonts w:ascii="Times New Roman" w:eastAsia="Times New Roman" w:hAnsi="Times New Roman"/>
          <w:color w:val="auto"/>
          <w:sz w:val="24"/>
          <w:szCs w:val="24"/>
          <w:lang w:eastAsia="zh-CN"/>
        </w:rPr>
        <w:t xml:space="preserve"> </w:t>
      </w:r>
      <w:r>
        <w:rPr>
          <w:rFonts w:ascii="Times New Roman" w:eastAsia="Times New Roman" w:hAnsi="Times New Roman"/>
          <w:color w:val="auto"/>
          <w:sz w:val="24"/>
          <w:szCs w:val="24"/>
          <w:lang w:eastAsia="zh-CN"/>
        </w:rPr>
        <w:t xml:space="preserve">are flawed </w:t>
      </w:r>
      <w:r w:rsidR="00567AEA" w:rsidRPr="006833CD">
        <w:rPr>
          <w:rFonts w:ascii="Times New Roman" w:eastAsia="Times New Roman" w:hAnsi="Times New Roman"/>
          <w:color w:val="auto"/>
          <w:sz w:val="24"/>
          <w:szCs w:val="24"/>
          <w:lang w:eastAsia="zh-CN"/>
        </w:rPr>
        <w:t>because</w:t>
      </w:r>
      <w:r w:rsidR="00692D1B" w:rsidRPr="006833CD">
        <w:rPr>
          <w:rFonts w:ascii="Times New Roman" w:eastAsia="Times New Roman" w:hAnsi="Times New Roman"/>
          <w:color w:val="auto"/>
          <w:sz w:val="24"/>
          <w:szCs w:val="24"/>
          <w:lang w:eastAsia="zh-CN"/>
        </w:rPr>
        <w:t xml:space="preserve"> </w:t>
      </w:r>
      <w:r w:rsidR="0068576F" w:rsidRPr="006833CD">
        <w:rPr>
          <w:rFonts w:ascii="Times New Roman" w:eastAsia="Times New Roman" w:hAnsi="Times New Roman"/>
          <w:color w:val="auto"/>
          <w:sz w:val="24"/>
          <w:szCs w:val="24"/>
          <w:lang w:eastAsia="zh-CN"/>
        </w:rPr>
        <w:t>Mr.</w:t>
      </w:r>
      <w:r w:rsidR="00600AFF" w:rsidRPr="006833CD">
        <w:rPr>
          <w:rFonts w:ascii="Times New Roman" w:eastAsia="Times New Roman" w:hAnsi="Times New Roman"/>
          <w:color w:val="auto"/>
          <w:sz w:val="24"/>
          <w:szCs w:val="24"/>
          <w:lang w:eastAsia="zh-CN"/>
        </w:rPr>
        <w:t> </w:t>
      </w:r>
      <w:r w:rsidR="0068576F" w:rsidRPr="006833CD">
        <w:rPr>
          <w:rFonts w:ascii="Times New Roman" w:eastAsia="Times New Roman" w:hAnsi="Times New Roman"/>
          <w:color w:val="auto"/>
          <w:sz w:val="24"/>
          <w:szCs w:val="24"/>
          <w:lang w:eastAsia="zh-CN"/>
        </w:rPr>
        <w:t>Hill relies entirely on net revenues</w:t>
      </w:r>
      <w:r w:rsidR="0057740C" w:rsidRPr="006833CD">
        <w:rPr>
          <w:rFonts w:ascii="Times New Roman" w:eastAsia="Times New Roman" w:hAnsi="Times New Roman"/>
          <w:color w:val="auto"/>
          <w:sz w:val="24"/>
          <w:szCs w:val="24"/>
          <w:lang w:eastAsia="zh-CN"/>
        </w:rPr>
        <w:t>.</w:t>
      </w:r>
      <w:r w:rsidR="005B2FA0" w:rsidRPr="00F71D8A">
        <w:rPr>
          <w:rStyle w:val="FootnoteReference"/>
          <w:rFonts w:eastAsia="Times New Roman"/>
          <w:color w:val="auto"/>
          <w:lang w:eastAsia="zh-CN"/>
        </w:rPr>
        <w:footnoteReference w:id="38"/>
      </w:r>
      <w:r w:rsidR="0068576F" w:rsidRPr="006833CD">
        <w:rPr>
          <w:rFonts w:ascii="Times New Roman" w:eastAsia="Times New Roman" w:hAnsi="Times New Roman"/>
          <w:color w:val="auto"/>
          <w:sz w:val="24"/>
          <w:szCs w:val="24"/>
          <w:lang w:eastAsia="zh-CN"/>
        </w:rPr>
        <w:t xml:space="preserve">  </w:t>
      </w:r>
      <w:r>
        <w:rPr>
          <w:rFonts w:ascii="Times New Roman" w:eastAsia="Times New Roman" w:hAnsi="Times New Roman"/>
          <w:color w:val="auto"/>
          <w:sz w:val="24"/>
          <w:szCs w:val="24"/>
          <w:lang w:eastAsia="zh-CN"/>
        </w:rPr>
        <w:t>T</w:t>
      </w:r>
      <w:r w:rsidR="00DD0ECF" w:rsidRPr="006833CD">
        <w:rPr>
          <w:rFonts w:ascii="Times New Roman" w:eastAsia="Times New Roman" w:hAnsi="Times New Roman"/>
          <w:color w:val="auto"/>
          <w:sz w:val="24"/>
          <w:szCs w:val="24"/>
          <w:lang w:eastAsia="zh-CN"/>
        </w:rPr>
        <w:t xml:space="preserve">here is a disconnect </w:t>
      </w:r>
      <w:r w:rsidR="00567AEA" w:rsidRPr="006833CD">
        <w:rPr>
          <w:rFonts w:ascii="Times New Roman" w:eastAsia="Times New Roman" w:hAnsi="Times New Roman"/>
          <w:color w:val="auto"/>
          <w:sz w:val="24"/>
          <w:szCs w:val="24"/>
          <w:lang w:eastAsia="zh-CN"/>
        </w:rPr>
        <w:t xml:space="preserve">with </w:t>
      </w:r>
      <w:r w:rsidR="00DD0ECF" w:rsidRPr="006833CD">
        <w:rPr>
          <w:rFonts w:ascii="Times New Roman" w:eastAsia="Times New Roman" w:hAnsi="Times New Roman"/>
          <w:color w:val="auto"/>
          <w:sz w:val="24"/>
          <w:szCs w:val="24"/>
          <w:lang w:eastAsia="zh-CN"/>
        </w:rPr>
        <w:t xml:space="preserve">the </w:t>
      </w:r>
      <w:r w:rsidR="009F415A" w:rsidRPr="006833CD">
        <w:rPr>
          <w:rFonts w:ascii="Times New Roman" w:eastAsia="Times New Roman" w:hAnsi="Times New Roman"/>
          <w:color w:val="auto"/>
          <w:sz w:val="24"/>
          <w:szCs w:val="24"/>
          <w:lang w:eastAsia="zh-CN"/>
        </w:rPr>
        <w:t xml:space="preserve">basic </w:t>
      </w:r>
      <w:r w:rsidR="00DD0ECF" w:rsidRPr="006833CD">
        <w:rPr>
          <w:rFonts w:ascii="Times New Roman" w:eastAsia="Times New Roman" w:hAnsi="Times New Roman"/>
          <w:color w:val="auto"/>
          <w:sz w:val="24"/>
          <w:szCs w:val="24"/>
          <w:lang w:eastAsia="zh-CN"/>
        </w:rPr>
        <w:t>theory of finance because h</w:t>
      </w:r>
      <w:r w:rsidR="0068576F" w:rsidRPr="006833CD">
        <w:rPr>
          <w:rFonts w:ascii="Times New Roman" w:eastAsia="Times New Roman" w:hAnsi="Times New Roman"/>
          <w:color w:val="auto"/>
          <w:sz w:val="24"/>
          <w:szCs w:val="24"/>
          <w:lang w:eastAsia="zh-CN"/>
        </w:rPr>
        <w:t xml:space="preserve">e </w:t>
      </w:r>
      <w:r w:rsidR="0087120D" w:rsidRPr="006833CD">
        <w:rPr>
          <w:rFonts w:ascii="Times New Roman" w:eastAsia="Times New Roman" w:hAnsi="Times New Roman"/>
          <w:color w:val="auto"/>
          <w:sz w:val="24"/>
          <w:szCs w:val="24"/>
          <w:lang w:eastAsia="zh-CN"/>
        </w:rPr>
        <w:t xml:space="preserve">uses net revenue instead of </w:t>
      </w:r>
      <w:r w:rsidR="0068576F" w:rsidRPr="006833CD">
        <w:rPr>
          <w:rFonts w:ascii="Times New Roman" w:eastAsia="Times New Roman" w:hAnsi="Times New Roman"/>
          <w:color w:val="auto"/>
          <w:sz w:val="24"/>
          <w:szCs w:val="24"/>
          <w:lang w:eastAsia="zh-CN"/>
        </w:rPr>
        <w:t>us</w:t>
      </w:r>
      <w:r w:rsidR="0087120D" w:rsidRPr="006833CD">
        <w:rPr>
          <w:rFonts w:ascii="Times New Roman" w:eastAsia="Times New Roman" w:hAnsi="Times New Roman"/>
          <w:color w:val="auto"/>
          <w:sz w:val="24"/>
          <w:szCs w:val="24"/>
          <w:lang w:eastAsia="zh-CN"/>
        </w:rPr>
        <w:t>ing</w:t>
      </w:r>
      <w:r w:rsidR="0068576F" w:rsidRPr="006833CD">
        <w:rPr>
          <w:rFonts w:ascii="Times New Roman" w:eastAsia="Times New Roman" w:hAnsi="Times New Roman"/>
          <w:color w:val="auto"/>
          <w:sz w:val="24"/>
          <w:szCs w:val="24"/>
          <w:lang w:eastAsia="zh-CN"/>
        </w:rPr>
        <w:t xml:space="preserve"> returns on financial assets.</w:t>
      </w:r>
      <w:r w:rsidR="00692D1B" w:rsidRPr="006833CD">
        <w:rPr>
          <w:rFonts w:ascii="Times New Roman" w:eastAsia="Times New Roman" w:hAnsi="Times New Roman"/>
          <w:color w:val="auto"/>
          <w:sz w:val="24"/>
          <w:szCs w:val="24"/>
          <w:lang w:eastAsia="zh-CN"/>
        </w:rPr>
        <w:t xml:space="preserve">  </w:t>
      </w:r>
      <w:r w:rsidR="00567AEA" w:rsidRPr="006833CD">
        <w:rPr>
          <w:rFonts w:ascii="Times New Roman" w:eastAsia="Times New Roman" w:hAnsi="Times New Roman"/>
          <w:color w:val="auto"/>
          <w:sz w:val="24"/>
          <w:szCs w:val="24"/>
          <w:lang w:eastAsia="zh-CN"/>
        </w:rPr>
        <w:t xml:space="preserve">He could </w:t>
      </w:r>
      <w:r w:rsidR="00281323" w:rsidRPr="006833CD">
        <w:rPr>
          <w:rFonts w:ascii="Times New Roman" w:eastAsia="Times New Roman" w:hAnsi="Times New Roman"/>
          <w:color w:val="auto"/>
          <w:sz w:val="24"/>
          <w:szCs w:val="24"/>
          <w:lang w:eastAsia="zh-CN"/>
        </w:rPr>
        <w:t xml:space="preserve">even </w:t>
      </w:r>
      <w:r w:rsidR="00567AEA" w:rsidRPr="006833CD">
        <w:rPr>
          <w:rFonts w:ascii="Times New Roman" w:eastAsia="Times New Roman" w:hAnsi="Times New Roman"/>
          <w:color w:val="auto"/>
          <w:sz w:val="24"/>
          <w:szCs w:val="24"/>
          <w:lang w:eastAsia="zh-CN"/>
        </w:rPr>
        <w:t xml:space="preserve">have used net income </w:t>
      </w:r>
      <w:r w:rsidR="003F329D" w:rsidRPr="006833CD">
        <w:rPr>
          <w:rFonts w:ascii="Times New Roman" w:eastAsia="Times New Roman" w:hAnsi="Times New Roman"/>
          <w:color w:val="auto"/>
          <w:sz w:val="24"/>
          <w:szCs w:val="24"/>
          <w:lang w:eastAsia="zh-CN"/>
        </w:rPr>
        <w:t xml:space="preserve">which was in the data set that he used.  This </w:t>
      </w:r>
      <w:r w:rsidR="00567AEA" w:rsidRPr="006833CD">
        <w:rPr>
          <w:rFonts w:ascii="Times New Roman" w:eastAsia="Times New Roman" w:hAnsi="Times New Roman"/>
          <w:color w:val="auto"/>
          <w:sz w:val="24"/>
          <w:szCs w:val="24"/>
          <w:lang w:eastAsia="zh-CN"/>
        </w:rPr>
        <w:t xml:space="preserve">would have been </w:t>
      </w:r>
      <w:r w:rsidR="003F329D" w:rsidRPr="006833CD">
        <w:rPr>
          <w:rFonts w:ascii="Times New Roman" w:eastAsia="Times New Roman" w:hAnsi="Times New Roman"/>
          <w:color w:val="auto"/>
          <w:sz w:val="24"/>
          <w:szCs w:val="24"/>
          <w:lang w:eastAsia="zh-CN"/>
        </w:rPr>
        <w:t>more consistent with finance theory than net revenues, but he chose to ignore this data.</w:t>
      </w:r>
      <w:r w:rsidR="00567AEA" w:rsidRPr="006833CD">
        <w:rPr>
          <w:rFonts w:ascii="Times New Roman" w:eastAsia="Times New Roman" w:hAnsi="Times New Roman"/>
          <w:color w:val="auto"/>
          <w:sz w:val="24"/>
          <w:szCs w:val="24"/>
          <w:lang w:eastAsia="zh-CN"/>
        </w:rPr>
        <w:t xml:space="preserve">  </w:t>
      </w:r>
      <w:r w:rsidR="00692D1B" w:rsidRPr="006833CD">
        <w:rPr>
          <w:rFonts w:ascii="Times New Roman" w:eastAsia="Times New Roman" w:hAnsi="Times New Roman"/>
          <w:color w:val="auto"/>
          <w:sz w:val="24"/>
          <w:szCs w:val="24"/>
          <w:lang w:eastAsia="zh-CN"/>
        </w:rPr>
        <w:t xml:space="preserve">There is </w:t>
      </w:r>
      <w:r w:rsidR="00B611F8" w:rsidRPr="006833CD">
        <w:rPr>
          <w:rFonts w:ascii="Times New Roman" w:eastAsia="Times New Roman" w:hAnsi="Times New Roman"/>
          <w:color w:val="auto"/>
          <w:sz w:val="24"/>
          <w:szCs w:val="24"/>
          <w:lang w:eastAsia="zh-CN"/>
        </w:rPr>
        <w:t xml:space="preserve">obviously </w:t>
      </w:r>
      <w:r w:rsidR="00692D1B" w:rsidRPr="006833CD">
        <w:rPr>
          <w:rFonts w:ascii="Times New Roman" w:eastAsia="Times New Roman" w:hAnsi="Times New Roman"/>
          <w:color w:val="auto"/>
          <w:sz w:val="24"/>
          <w:szCs w:val="24"/>
          <w:lang w:eastAsia="zh-CN"/>
        </w:rPr>
        <w:t>a considerable difference</w:t>
      </w:r>
      <w:r w:rsidR="00B611F8" w:rsidRPr="006833CD">
        <w:rPr>
          <w:rFonts w:ascii="Times New Roman" w:eastAsia="Times New Roman" w:hAnsi="Times New Roman"/>
          <w:color w:val="auto"/>
          <w:sz w:val="24"/>
          <w:szCs w:val="24"/>
          <w:lang w:eastAsia="zh-CN"/>
        </w:rPr>
        <w:t xml:space="preserve"> </w:t>
      </w:r>
      <w:r w:rsidR="00567AEA" w:rsidRPr="006833CD">
        <w:rPr>
          <w:rFonts w:ascii="Times New Roman" w:eastAsia="Times New Roman" w:hAnsi="Times New Roman"/>
          <w:color w:val="auto"/>
          <w:sz w:val="24"/>
          <w:szCs w:val="24"/>
          <w:lang w:eastAsia="zh-CN"/>
        </w:rPr>
        <w:t>between net revenues and net income</w:t>
      </w:r>
      <w:r w:rsidR="00692D1B" w:rsidRPr="006833CD">
        <w:rPr>
          <w:rFonts w:ascii="Times New Roman" w:eastAsia="Times New Roman" w:hAnsi="Times New Roman"/>
          <w:color w:val="auto"/>
          <w:sz w:val="24"/>
          <w:szCs w:val="24"/>
          <w:lang w:eastAsia="zh-CN"/>
        </w:rPr>
        <w:t>, starting with the fact that all operating costs must be subtracted from net revenues before you have operating earnings</w:t>
      </w:r>
      <w:r w:rsidR="00E917C6" w:rsidRPr="006833CD">
        <w:rPr>
          <w:rFonts w:ascii="Times New Roman" w:eastAsia="Times New Roman" w:hAnsi="Times New Roman"/>
          <w:color w:val="auto"/>
          <w:sz w:val="24"/>
          <w:szCs w:val="24"/>
          <w:lang w:eastAsia="zh-CN"/>
        </w:rPr>
        <w:t>, then taxes and interest expense</w:t>
      </w:r>
      <w:r w:rsidR="006A0180" w:rsidRPr="006833CD">
        <w:rPr>
          <w:rFonts w:ascii="Times New Roman" w:eastAsia="Times New Roman" w:hAnsi="Times New Roman"/>
          <w:color w:val="auto"/>
          <w:sz w:val="24"/>
          <w:szCs w:val="24"/>
          <w:lang w:eastAsia="zh-CN"/>
        </w:rPr>
        <w:t>s are subtracted to get net income.</w:t>
      </w:r>
    </w:p>
    <w:p w14:paraId="5BE02F14" w14:textId="4ECC8BB4" w:rsidR="001B6B0A" w:rsidRPr="006833CD" w:rsidRDefault="001B6B0A" w:rsidP="00600AFF">
      <w:pPr>
        <w:pStyle w:val="BGNormal150"/>
        <w:spacing w:before="120" w:after="120" w:line="480" w:lineRule="auto"/>
        <w:ind w:left="720"/>
        <w:jc w:val="left"/>
        <w:rPr>
          <w:rFonts w:ascii="Times New Roman" w:hAnsi="Times New Roman"/>
          <w:sz w:val="24"/>
          <w:szCs w:val="24"/>
        </w:rPr>
      </w:pPr>
      <w:r w:rsidRPr="006833CD">
        <w:rPr>
          <w:rFonts w:ascii="Times New Roman" w:eastAsia="Times New Roman" w:hAnsi="Times New Roman"/>
          <w:color w:val="auto"/>
          <w:sz w:val="24"/>
          <w:szCs w:val="24"/>
          <w:lang w:eastAsia="zh-CN"/>
        </w:rPr>
        <w:t>In 2009,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testified on the same issues in the Bay State Gas Company’</w:t>
      </w:r>
      <w:r w:rsidR="0057740C" w:rsidRPr="006833CD">
        <w:rPr>
          <w:rFonts w:ascii="Times New Roman" w:eastAsia="Times New Roman" w:hAnsi="Times New Roman"/>
          <w:color w:val="auto"/>
          <w:sz w:val="24"/>
          <w:szCs w:val="24"/>
          <w:lang w:eastAsia="zh-CN"/>
        </w:rPr>
        <w:t>s</w:t>
      </w:r>
      <w:r w:rsidRPr="006833CD">
        <w:rPr>
          <w:rFonts w:ascii="Times New Roman" w:eastAsia="Times New Roman" w:hAnsi="Times New Roman"/>
          <w:color w:val="auto"/>
          <w:sz w:val="24"/>
          <w:szCs w:val="24"/>
          <w:lang w:eastAsia="zh-CN"/>
        </w:rPr>
        <w:t xml:space="preserve"> application to the Massachusetts Department of Public Utilities.</w:t>
      </w:r>
      <w:r w:rsidRPr="00F71D8A">
        <w:rPr>
          <w:rStyle w:val="FootnoteReference"/>
          <w:rFonts w:eastAsia="Times New Roman"/>
          <w:color w:val="auto"/>
          <w:lang w:eastAsia="zh-CN"/>
        </w:rPr>
        <w:footnoteReference w:id="39"/>
      </w:r>
      <w:r w:rsidR="008936E2" w:rsidRPr="006833CD">
        <w:rPr>
          <w:rFonts w:ascii="Times New Roman" w:eastAsia="Times New Roman" w:hAnsi="Times New Roman"/>
          <w:color w:val="auto"/>
          <w:sz w:val="24"/>
          <w:szCs w:val="24"/>
          <w:lang w:eastAsia="zh-CN"/>
        </w:rPr>
        <w:t xml:space="preserve">  In his</w:t>
      </w:r>
      <w:r w:rsidR="008A25BF" w:rsidRPr="006833CD">
        <w:rPr>
          <w:rFonts w:ascii="Times New Roman" w:eastAsia="Times New Roman" w:hAnsi="Times New Roman"/>
          <w:color w:val="auto"/>
          <w:sz w:val="24"/>
          <w:szCs w:val="24"/>
          <w:lang w:eastAsia="zh-CN"/>
        </w:rPr>
        <w:t xml:space="preserve"> rebuttal testimony he explains </w:t>
      </w:r>
      <w:r w:rsidR="0057740C" w:rsidRPr="006833CD">
        <w:rPr>
          <w:rFonts w:ascii="Times New Roman" w:eastAsia="Times New Roman" w:hAnsi="Times New Roman"/>
          <w:color w:val="auto"/>
          <w:sz w:val="24"/>
          <w:szCs w:val="24"/>
          <w:lang w:eastAsia="zh-CN"/>
        </w:rPr>
        <w:t>as follows</w:t>
      </w:r>
      <w:r w:rsidR="0030288F">
        <w:rPr>
          <w:rFonts w:ascii="Times New Roman" w:eastAsia="Times New Roman" w:hAnsi="Times New Roman"/>
          <w:color w:val="auto"/>
          <w:sz w:val="24"/>
          <w:szCs w:val="24"/>
          <w:lang w:eastAsia="zh-CN"/>
        </w:rPr>
        <w:t>:</w:t>
      </w:r>
    </w:p>
    <w:p w14:paraId="52304880" w14:textId="41057AE8" w:rsidR="0057740C" w:rsidRPr="006833CD" w:rsidRDefault="008A25BF" w:rsidP="0057740C">
      <w:pPr>
        <w:pStyle w:val="answer"/>
        <w:spacing w:before="0" w:after="280" w:line="240" w:lineRule="auto"/>
        <w:ind w:left="1800" w:right="720" w:hanging="360"/>
        <w:jc w:val="both"/>
        <w:rPr>
          <w:rFonts w:ascii="Times New Roman" w:hAnsi="Times New Roman"/>
          <w:szCs w:val="24"/>
        </w:rPr>
      </w:pPr>
      <w:r w:rsidRPr="006833CD">
        <w:rPr>
          <w:rFonts w:ascii="Times New Roman" w:hAnsi="Times New Roman"/>
          <w:szCs w:val="24"/>
        </w:rPr>
        <w:t>Q.</w:t>
      </w:r>
      <w:r w:rsidR="0057740C" w:rsidRPr="006833CD">
        <w:rPr>
          <w:rFonts w:ascii="Times New Roman" w:hAnsi="Times New Roman"/>
          <w:szCs w:val="24"/>
        </w:rPr>
        <w:tab/>
      </w:r>
      <w:r w:rsidRPr="006833CD">
        <w:rPr>
          <w:rFonts w:ascii="Times New Roman" w:hAnsi="Times New Roman"/>
          <w:szCs w:val="24"/>
        </w:rPr>
        <w:t>You note that your analysis is based on the historical volatility of Bay State’s net revenues.  How do you respond to Mr.</w:t>
      </w:r>
      <w:r w:rsidR="0030288F">
        <w:rPr>
          <w:rFonts w:ascii="Times New Roman" w:hAnsi="Times New Roman"/>
          <w:szCs w:val="24"/>
        </w:rPr>
        <w:t> </w:t>
      </w:r>
      <w:proofErr w:type="spellStart"/>
      <w:r w:rsidRPr="006833CD">
        <w:rPr>
          <w:rFonts w:ascii="Times New Roman" w:hAnsi="Times New Roman"/>
          <w:szCs w:val="24"/>
        </w:rPr>
        <w:t>Hevert’s</w:t>
      </w:r>
      <w:proofErr w:type="spellEnd"/>
      <w:r w:rsidRPr="006833CD">
        <w:rPr>
          <w:rFonts w:ascii="Times New Roman" w:hAnsi="Times New Roman"/>
          <w:szCs w:val="24"/>
        </w:rPr>
        <w:t xml:space="preserve"> concerns that you should have analyzed the Company’s net income volatility?</w:t>
      </w:r>
    </w:p>
    <w:p w14:paraId="618CC3F3" w14:textId="1390485C" w:rsidR="008A25BF" w:rsidRPr="006833CD" w:rsidRDefault="008A25BF" w:rsidP="0057740C">
      <w:pPr>
        <w:pStyle w:val="answer"/>
        <w:spacing w:before="0" w:after="280" w:line="240" w:lineRule="auto"/>
        <w:ind w:left="1800" w:right="720" w:hanging="360"/>
        <w:jc w:val="both"/>
        <w:rPr>
          <w:rFonts w:ascii="Times New Roman" w:hAnsi="Times New Roman"/>
          <w:szCs w:val="24"/>
        </w:rPr>
      </w:pPr>
      <w:r w:rsidRPr="006833CD">
        <w:rPr>
          <w:rFonts w:ascii="Times New Roman" w:hAnsi="Times New Roman"/>
          <w:szCs w:val="24"/>
        </w:rPr>
        <w:t>A.</w:t>
      </w:r>
      <w:r w:rsidR="0057740C" w:rsidRPr="006833CD">
        <w:rPr>
          <w:rFonts w:ascii="Times New Roman" w:hAnsi="Times New Roman"/>
          <w:szCs w:val="24"/>
        </w:rPr>
        <w:tab/>
      </w:r>
      <w:r w:rsidRPr="006833CD">
        <w:rPr>
          <w:rFonts w:ascii="Times New Roman" w:hAnsi="Times New Roman"/>
          <w:szCs w:val="24"/>
        </w:rPr>
        <w:t xml:space="preserve">While, theoretically, the analysis of the impact of decoupling can be performed using historical net income volatility if the factors that impact net income (operating costs, depreciation, taxes, interest expense, write offs) are relatively constant over time, it is not often the case that those operating factors are </w:t>
      </w:r>
      <w:r w:rsidRPr="006833CD">
        <w:rPr>
          <w:rFonts w:ascii="Times New Roman" w:hAnsi="Times New Roman"/>
          <w:szCs w:val="24"/>
        </w:rPr>
        <w:lastRenderedPageBreak/>
        <w:t>stable over time.  For example, in Bay State’s case, over the past ten years, the Miscellaneous Income Deductions that appear on its income statement, range from +$1.9 Million (2001) to -$63.4 Million (2008-related to the divestiture of Northern Utilities).  Also, decoupling will not eliminate those additional variables that impact a utility’s net income. Therefore, discerning the reduction in the volatility of net income due to the application of decoupling is a less accurate process that using net revenues</w:t>
      </w:r>
      <w:r w:rsidR="0030288F" w:rsidRPr="006833CD">
        <w:rPr>
          <w:rFonts w:ascii="Times New Roman" w:hAnsi="Times New Roman"/>
          <w:szCs w:val="24"/>
        </w:rPr>
        <w:t xml:space="preserve">.  </w:t>
      </w:r>
      <w:r w:rsidRPr="006833CD">
        <w:rPr>
          <w:rFonts w:ascii="Times New Roman" w:hAnsi="Times New Roman"/>
          <w:szCs w:val="24"/>
        </w:rPr>
        <w:t>For that reason, I have analyzed the historical net revenues of Bay State Gas Company, not its net income.</w:t>
      </w:r>
      <w:r w:rsidRPr="00F71D8A">
        <w:rPr>
          <w:rStyle w:val="FootnoteReference"/>
        </w:rPr>
        <w:footnoteReference w:id="40"/>
      </w:r>
    </w:p>
    <w:p w14:paraId="1F9F29A9" w14:textId="4A27D4C6" w:rsidR="00682794" w:rsidRPr="006833CD" w:rsidRDefault="008A25BF" w:rsidP="0057740C">
      <w:pPr>
        <w:pStyle w:val="BGNormal150"/>
        <w:spacing w:before="120" w:after="120" w:line="480" w:lineRule="auto"/>
        <w:ind w:left="720"/>
        <w:jc w:val="left"/>
        <w:rPr>
          <w:rFonts w:ascii="Times New Roman" w:eastAsia="Times New Roman" w:hAnsi="Times New Roman"/>
          <w:color w:val="auto"/>
          <w:sz w:val="24"/>
          <w:szCs w:val="24"/>
          <w:lang w:eastAsia="zh-CN"/>
        </w:rPr>
      </w:pPr>
      <w:r w:rsidRPr="006833CD">
        <w:rPr>
          <w:rFonts w:ascii="Times New Roman" w:eastAsia="Times New Roman" w:hAnsi="Times New Roman"/>
          <w:color w:val="auto"/>
          <w:sz w:val="24"/>
          <w:szCs w:val="24"/>
          <w:lang w:eastAsia="zh-CN"/>
        </w:rPr>
        <w:t>This is a revealing statement of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 xml:space="preserve">Hill’s thinking on the issues of this case.  Net income, while </w:t>
      </w:r>
      <w:r w:rsidR="00281323" w:rsidRPr="006833CD">
        <w:rPr>
          <w:rFonts w:ascii="Times New Roman" w:eastAsia="Times New Roman" w:hAnsi="Times New Roman"/>
          <w:color w:val="auto"/>
          <w:sz w:val="24"/>
          <w:szCs w:val="24"/>
          <w:lang w:eastAsia="zh-CN"/>
        </w:rPr>
        <w:t xml:space="preserve">still </w:t>
      </w:r>
      <w:r w:rsidRPr="006833CD">
        <w:rPr>
          <w:rFonts w:ascii="Times New Roman" w:eastAsia="Times New Roman" w:hAnsi="Times New Roman"/>
          <w:color w:val="auto"/>
          <w:sz w:val="24"/>
          <w:szCs w:val="24"/>
          <w:lang w:eastAsia="zh-CN"/>
        </w:rPr>
        <w:t>an accounting variable, is more relevant to investors and their perception of the risk of a company than net revenues for the reasons that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states.  The costs incurred must be taken out and they are expressly s</w:t>
      </w:r>
      <w:r w:rsidR="000222FC" w:rsidRPr="006833CD">
        <w:rPr>
          <w:rFonts w:ascii="Times New Roman" w:eastAsia="Times New Roman" w:hAnsi="Times New Roman"/>
          <w:color w:val="auto"/>
          <w:sz w:val="24"/>
          <w:szCs w:val="24"/>
          <w:lang w:eastAsia="zh-CN"/>
        </w:rPr>
        <w:t>a</w:t>
      </w:r>
      <w:r w:rsidRPr="006833CD">
        <w:rPr>
          <w:rFonts w:ascii="Times New Roman" w:eastAsia="Times New Roman" w:hAnsi="Times New Roman"/>
          <w:color w:val="auto"/>
          <w:sz w:val="24"/>
          <w:szCs w:val="24"/>
          <w:lang w:eastAsia="zh-CN"/>
        </w:rPr>
        <w:t>id to be variable</w:t>
      </w:r>
      <w:r w:rsidR="00281323" w:rsidRPr="006833CD">
        <w:rPr>
          <w:rFonts w:ascii="Times New Roman" w:eastAsia="Times New Roman" w:hAnsi="Times New Roman"/>
          <w:color w:val="auto"/>
          <w:sz w:val="24"/>
          <w:szCs w:val="24"/>
          <w:lang w:eastAsia="zh-CN"/>
        </w:rPr>
        <w:t xml:space="preserve">, but </w:t>
      </w:r>
      <w:r w:rsidRPr="006833CD">
        <w:rPr>
          <w:rFonts w:ascii="Times New Roman" w:eastAsia="Times New Roman" w:hAnsi="Times New Roman"/>
          <w:color w:val="auto"/>
          <w:sz w:val="24"/>
          <w:szCs w:val="24"/>
          <w:lang w:eastAsia="zh-CN"/>
        </w:rPr>
        <w:t>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comes to the astounding conclusion that the costs</w:t>
      </w:r>
      <w:r w:rsidR="00281323" w:rsidRPr="006833CD">
        <w:rPr>
          <w:rFonts w:ascii="Times New Roman" w:eastAsia="Times New Roman" w:hAnsi="Times New Roman"/>
          <w:color w:val="auto"/>
          <w:sz w:val="24"/>
          <w:szCs w:val="24"/>
          <w:lang w:eastAsia="zh-CN"/>
        </w:rPr>
        <w:t xml:space="preserve"> should therefore be ignored.  </w:t>
      </w:r>
      <w:r w:rsidRPr="006833CD">
        <w:rPr>
          <w:rFonts w:ascii="Times New Roman" w:eastAsia="Times New Roman" w:hAnsi="Times New Roman"/>
          <w:color w:val="auto"/>
          <w:sz w:val="24"/>
          <w:szCs w:val="24"/>
          <w:lang w:eastAsia="zh-CN"/>
        </w:rPr>
        <w:t xml:space="preserve">His volatility measurement, which he will apply directly to the cost of equity capital, must be measured by the </w:t>
      </w:r>
      <w:r w:rsidR="0057740C" w:rsidRPr="006833CD">
        <w:rPr>
          <w:rFonts w:ascii="Times New Roman" w:eastAsia="Times New Roman" w:hAnsi="Times New Roman"/>
          <w:color w:val="auto"/>
          <w:sz w:val="24"/>
          <w:szCs w:val="24"/>
          <w:lang w:eastAsia="zh-CN"/>
        </w:rPr>
        <w:t>simpler net revenue volatility.</w:t>
      </w:r>
    </w:p>
    <w:p w14:paraId="54262D83" w14:textId="35CE884F" w:rsidR="00682794" w:rsidRPr="006833CD" w:rsidRDefault="00682794"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Pr="006833CD">
        <w:rPr>
          <w:rFonts w:ascii="Times New Roman" w:hAnsi="Times New Roman"/>
          <w:szCs w:val="24"/>
        </w:rPr>
        <w:t>Is there another difference between net income and systematic, non-diversifiable market returns on financial assets to shareholders?</w:t>
      </w:r>
    </w:p>
    <w:p w14:paraId="5D0ABA3B" w14:textId="7563841A" w:rsidR="00C91EFE" w:rsidRPr="006833CD" w:rsidRDefault="008E50A1" w:rsidP="007B08A2">
      <w:pPr>
        <w:pStyle w:val="answer"/>
        <w:rPr>
          <w:rFonts w:ascii="Times New Roman" w:eastAsia="SimSu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564D35" w:rsidRPr="006833CD">
        <w:rPr>
          <w:rFonts w:ascii="Times New Roman" w:hAnsi="Times New Roman"/>
          <w:szCs w:val="24"/>
        </w:rPr>
        <w:t>Yes</w:t>
      </w:r>
      <w:r w:rsidR="0030288F" w:rsidRPr="006833CD">
        <w:rPr>
          <w:rFonts w:ascii="Times New Roman" w:hAnsi="Times New Roman"/>
          <w:szCs w:val="24"/>
        </w:rPr>
        <w:t xml:space="preserve">.  </w:t>
      </w:r>
      <w:r w:rsidR="002F561A" w:rsidRPr="006833CD">
        <w:rPr>
          <w:rFonts w:ascii="Times New Roman" w:hAnsi="Times New Roman"/>
          <w:szCs w:val="24"/>
        </w:rPr>
        <w:t xml:space="preserve">The cost of capital is determined in capital markets, and </w:t>
      </w:r>
      <w:r w:rsidR="00A324AA" w:rsidRPr="006833CD">
        <w:rPr>
          <w:rFonts w:ascii="Times New Roman" w:hAnsi="Times New Roman"/>
          <w:szCs w:val="24"/>
        </w:rPr>
        <w:t>returns</w:t>
      </w:r>
      <w:r w:rsidR="002F561A" w:rsidRPr="006833CD">
        <w:rPr>
          <w:rFonts w:ascii="Times New Roman" w:hAnsi="Times New Roman"/>
          <w:szCs w:val="24"/>
        </w:rPr>
        <w:t xml:space="preserve"> in capital markets </w:t>
      </w:r>
      <w:r w:rsidR="00A324AA" w:rsidRPr="006833CD">
        <w:rPr>
          <w:rFonts w:ascii="Times New Roman" w:hAnsi="Times New Roman"/>
          <w:szCs w:val="24"/>
        </w:rPr>
        <w:t>are</w:t>
      </w:r>
      <w:r w:rsidR="002F561A" w:rsidRPr="006833CD">
        <w:rPr>
          <w:rFonts w:ascii="Times New Roman" w:hAnsi="Times New Roman"/>
          <w:szCs w:val="24"/>
        </w:rPr>
        <w:t xml:space="preserve"> </w:t>
      </w:r>
      <w:r w:rsidR="00A324AA" w:rsidRPr="006833CD">
        <w:rPr>
          <w:rFonts w:ascii="Times New Roman" w:hAnsi="Times New Roman"/>
          <w:szCs w:val="24"/>
        </w:rPr>
        <w:t xml:space="preserve">what financial theory clearly shows </w:t>
      </w:r>
      <w:r w:rsidR="00692D1B" w:rsidRPr="006833CD">
        <w:rPr>
          <w:rFonts w:ascii="Times New Roman" w:hAnsi="Times New Roman"/>
          <w:szCs w:val="24"/>
        </w:rPr>
        <w:t>determine the cost of equity capital.</w:t>
      </w:r>
      <w:r w:rsidR="00A3679A" w:rsidRPr="006833CD">
        <w:rPr>
          <w:rFonts w:ascii="Times New Roman" w:hAnsi="Times New Roman"/>
          <w:szCs w:val="24"/>
        </w:rPr>
        <w:t xml:space="preserve">  This </w:t>
      </w:r>
      <w:r w:rsidR="007F31F8" w:rsidRPr="006833CD">
        <w:rPr>
          <w:rFonts w:ascii="Times New Roman" w:hAnsi="Times New Roman"/>
          <w:szCs w:val="24"/>
        </w:rPr>
        <w:t xml:space="preserve">gap between net revenue volatility and the systematic volatility of market returns </w:t>
      </w:r>
      <w:r w:rsidR="00A3679A" w:rsidRPr="006833CD">
        <w:rPr>
          <w:rFonts w:ascii="Times New Roman" w:hAnsi="Times New Roman"/>
          <w:szCs w:val="24"/>
        </w:rPr>
        <w:t xml:space="preserve">is discussed in depth below </w:t>
      </w:r>
      <w:r w:rsidR="007B08A2" w:rsidRPr="006833CD">
        <w:rPr>
          <w:rFonts w:ascii="Times New Roman" w:hAnsi="Times New Roman"/>
          <w:szCs w:val="24"/>
        </w:rPr>
        <w:t xml:space="preserve">and demonstrates </w:t>
      </w:r>
      <w:r w:rsidR="000502D3" w:rsidRPr="006833CD">
        <w:rPr>
          <w:rFonts w:ascii="Times New Roman" w:hAnsi="Times New Roman"/>
          <w:bCs/>
          <w:szCs w:val="24"/>
        </w:rPr>
        <w:t>Mr. </w:t>
      </w:r>
      <w:r w:rsidR="00A3679A" w:rsidRPr="006833CD">
        <w:rPr>
          <w:rFonts w:ascii="Times New Roman" w:hAnsi="Times New Roman"/>
          <w:szCs w:val="24"/>
        </w:rPr>
        <w:t>Hill’s proposed measure of reduction in cost of equity capital from decoupling has no basis.</w:t>
      </w:r>
    </w:p>
    <w:p w14:paraId="0E9BFE9E" w14:textId="3A578596" w:rsidR="007B08A2" w:rsidRPr="006833CD" w:rsidRDefault="007B08A2" w:rsidP="007B08A2">
      <w:pPr>
        <w:pStyle w:val="question"/>
        <w:keepNext/>
        <w:keepLines/>
        <w:spacing w:before="120"/>
        <w:rPr>
          <w:rFonts w:ascii="Times New Roman" w:hAnsi="Times New Roman"/>
          <w:szCs w:val="24"/>
        </w:rPr>
      </w:pPr>
      <w:r w:rsidRPr="006833CD">
        <w:rPr>
          <w:rFonts w:ascii="Times New Roman" w:hAnsi="Times New Roman"/>
          <w:szCs w:val="24"/>
        </w:rPr>
        <w:lastRenderedPageBreak/>
        <w:t>Q.</w:t>
      </w:r>
      <w:r w:rsidRPr="006833CD">
        <w:rPr>
          <w:rFonts w:ascii="Times New Roman" w:hAnsi="Times New Roman"/>
          <w:szCs w:val="24"/>
        </w:rPr>
        <w:tab/>
        <w:t>Do you have other concerns with Mr. Hill’s analysis of the effect of decoupling on PSE’s cost of capital?</w:t>
      </w:r>
    </w:p>
    <w:p w14:paraId="18F9AFFA" w14:textId="293D4697" w:rsidR="00F652B9" w:rsidRPr="006833CD" w:rsidRDefault="007B08A2" w:rsidP="007B08A2">
      <w:pPr>
        <w:pStyle w:val="answer"/>
        <w:rPr>
          <w:rFonts w:ascii="Times New Roman" w:eastAsia="SimSun" w:hAnsi="Times New Roman"/>
          <w:bCs/>
          <w:szCs w:val="24"/>
        </w:rPr>
      </w:pPr>
      <w:r w:rsidRPr="006833CD">
        <w:rPr>
          <w:rFonts w:ascii="Times New Roman" w:hAnsi="Times New Roman"/>
          <w:bCs/>
          <w:szCs w:val="24"/>
        </w:rPr>
        <w:t>A.</w:t>
      </w:r>
      <w:r w:rsidRPr="006833CD">
        <w:rPr>
          <w:rFonts w:ascii="Times New Roman" w:hAnsi="Times New Roman"/>
          <w:bCs/>
          <w:szCs w:val="24"/>
        </w:rPr>
        <w:tab/>
        <w:t xml:space="preserve">Yes.  </w:t>
      </w:r>
      <w:r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Hill greatly overstates that net revenues affected by PSE’s decoupling mechanisms</w:t>
      </w:r>
      <w:r w:rsidR="00DD0ECF" w:rsidRPr="006833CD">
        <w:rPr>
          <w:rFonts w:ascii="Times New Roman" w:hAnsi="Times New Roman"/>
          <w:szCs w:val="24"/>
        </w:rPr>
        <w:t xml:space="preserve">.  </w:t>
      </w:r>
      <w:r w:rsidR="00387DF7" w:rsidRPr="006833CD">
        <w:rPr>
          <w:rFonts w:ascii="Times New Roman" w:hAnsi="Times New Roman"/>
          <w:szCs w:val="24"/>
        </w:rPr>
        <w:t xml:space="preserve">PSE’s approved decoupling policy </w:t>
      </w:r>
      <w:r w:rsidR="00DD0ECF" w:rsidRPr="006833CD">
        <w:rPr>
          <w:rFonts w:ascii="Times New Roman" w:hAnsi="Times New Roman"/>
          <w:szCs w:val="24"/>
        </w:rPr>
        <w:t xml:space="preserve">only trues up the distribution and transmission costs and excludes </w:t>
      </w:r>
      <w:r w:rsidR="0065273E" w:rsidRPr="006833CD">
        <w:rPr>
          <w:rFonts w:ascii="Times New Roman" w:hAnsi="Times New Roman"/>
          <w:szCs w:val="24"/>
        </w:rPr>
        <w:t xml:space="preserve">the large </w:t>
      </w:r>
      <w:r w:rsidR="00DD0ECF" w:rsidRPr="006833CD">
        <w:rPr>
          <w:rFonts w:ascii="Times New Roman" w:hAnsi="Times New Roman"/>
          <w:szCs w:val="24"/>
        </w:rPr>
        <w:t>fixed power costs</w:t>
      </w:r>
      <w:r w:rsidRPr="006833CD">
        <w:rPr>
          <w:rFonts w:ascii="Times New Roman" w:hAnsi="Times New Roman"/>
          <w:szCs w:val="24"/>
        </w:rPr>
        <w:t xml:space="preserve">, which Mr. Hill fails to consider, </w:t>
      </w:r>
      <w:r w:rsidR="00DD0ECF" w:rsidRPr="006833CD">
        <w:rPr>
          <w:rFonts w:ascii="Times New Roman" w:hAnsi="Times New Roman"/>
          <w:szCs w:val="24"/>
        </w:rPr>
        <w:t>as well as the fuel and purchased power costs</w:t>
      </w:r>
      <w:r w:rsidR="00DC6A42" w:rsidRPr="006833CD">
        <w:rPr>
          <w:rFonts w:ascii="Times New Roman" w:hAnsi="Times New Roman"/>
          <w:szCs w:val="24"/>
        </w:rPr>
        <w:t xml:space="preserve"> </w:t>
      </w:r>
      <w:r w:rsidRPr="006833CD">
        <w:rPr>
          <w:rFonts w:ascii="Times New Roman" w:hAnsi="Times New Roman"/>
          <w:szCs w:val="24"/>
        </w:rPr>
        <w:t xml:space="preserve">that </w:t>
      </w:r>
      <w:r w:rsidR="00DC6A42" w:rsidRPr="006833CD">
        <w:rPr>
          <w:rFonts w:ascii="Times New Roman" w:hAnsi="Times New Roman"/>
          <w:szCs w:val="24"/>
        </w:rPr>
        <w:t>he does consider</w:t>
      </w:r>
      <w:r w:rsidR="00DD0ECF" w:rsidRPr="006833CD">
        <w:rPr>
          <w:rFonts w:ascii="Times New Roman" w:hAnsi="Times New Roman"/>
          <w:szCs w:val="24"/>
        </w:rPr>
        <w:t>.</w:t>
      </w:r>
      <w:r w:rsidR="00B611F8" w:rsidRPr="006833CD">
        <w:rPr>
          <w:rFonts w:ascii="Times New Roman" w:hAnsi="Times New Roman"/>
          <w:szCs w:val="24"/>
        </w:rPr>
        <w:t xml:space="preserve"> </w:t>
      </w:r>
      <w:r w:rsidR="0057740C" w:rsidRPr="006833CD">
        <w:rPr>
          <w:rFonts w:ascii="Times New Roman" w:hAnsi="Times New Roman"/>
          <w:szCs w:val="24"/>
        </w:rPr>
        <w:t xml:space="preserve"> </w:t>
      </w:r>
      <w:r w:rsidR="0065273E" w:rsidRPr="006833CD">
        <w:rPr>
          <w:rFonts w:ascii="Times New Roman" w:hAnsi="Times New Roman"/>
          <w:szCs w:val="24"/>
        </w:rPr>
        <w:t>Mr.</w:t>
      </w:r>
      <w:r w:rsidR="0057740C" w:rsidRPr="006833CD">
        <w:rPr>
          <w:rFonts w:ascii="Times New Roman" w:hAnsi="Times New Roman"/>
          <w:szCs w:val="24"/>
        </w:rPr>
        <w:t> Hill</w:t>
      </w:r>
      <w:r w:rsidR="00B611F8" w:rsidRPr="006833CD">
        <w:rPr>
          <w:rFonts w:ascii="Times New Roman" w:hAnsi="Times New Roman"/>
          <w:szCs w:val="24"/>
        </w:rPr>
        <w:t xml:space="preserve"> </w:t>
      </w:r>
      <w:r w:rsidR="007E35FD" w:rsidRPr="006833CD">
        <w:rPr>
          <w:rFonts w:ascii="Times New Roman" w:hAnsi="Times New Roman"/>
          <w:szCs w:val="24"/>
        </w:rPr>
        <w:t>u</w:t>
      </w:r>
      <w:r w:rsidR="00B611F8" w:rsidRPr="006833CD">
        <w:rPr>
          <w:rFonts w:ascii="Times New Roman" w:hAnsi="Times New Roman"/>
          <w:szCs w:val="24"/>
        </w:rPr>
        <w:t>se</w:t>
      </w:r>
      <w:r w:rsidR="0057740C" w:rsidRPr="006833CD">
        <w:rPr>
          <w:rFonts w:ascii="Times New Roman" w:hAnsi="Times New Roman"/>
          <w:szCs w:val="24"/>
        </w:rPr>
        <w:t>s</w:t>
      </w:r>
      <w:r w:rsidR="00B611F8" w:rsidRPr="006833CD">
        <w:rPr>
          <w:rFonts w:ascii="Times New Roman" w:hAnsi="Times New Roman"/>
          <w:szCs w:val="24"/>
        </w:rPr>
        <w:t xml:space="preserve"> net revenue</w:t>
      </w:r>
      <w:r w:rsidR="0065273E" w:rsidRPr="006833CD">
        <w:rPr>
          <w:rFonts w:ascii="Times New Roman" w:hAnsi="Times New Roman"/>
          <w:szCs w:val="24"/>
        </w:rPr>
        <w:t xml:space="preserve"> value</w:t>
      </w:r>
      <w:r w:rsidR="0057740C" w:rsidRPr="006833CD">
        <w:rPr>
          <w:rFonts w:ascii="Times New Roman" w:hAnsi="Times New Roman"/>
          <w:szCs w:val="24"/>
        </w:rPr>
        <w:t>s</w:t>
      </w:r>
      <w:r w:rsidR="0065273E" w:rsidRPr="006833CD">
        <w:rPr>
          <w:rFonts w:ascii="Times New Roman" w:hAnsi="Times New Roman"/>
          <w:szCs w:val="24"/>
        </w:rPr>
        <w:t xml:space="preserve"> for 2013 </w:t>
      </w:r>
      <w:r w:rsidR="0057740C" w:rsidRPr="006833CD">
        <w:rPr>
          <w:rFonts w:ascii="Times New Roman" w:hAnsi="Times New Roman"/>
          <w:szCs w:val="24"/>
        </w:rPr>
        <w:t xml:space="preserve">of </w:t>
      </w:r>
      <w:r w:rsidR="0065273E" w:rsidRPr="006833CD">
        <w:rPr>
          <w:rFonts w:ascii="Times New Roman" w:hAnsi="Times New Roman"/>
          <w:szCs w:val="24"/>
        </w:rPr>
        <w:t xml:space="preserve">$2.23 billion (from Exhibit </w:t>
      </w:r>
      <w:r w:rsidR="0057740C" w:rsidRPr="006833CD">
        <w:rPr>
          <w:rFonts w:ascii="Times New Roman" w:hAnsi="Times New Roman"/>
          <w:szCs w:val="24"/>
        </w:rPr>
        <w:t>No. ___(</w:t>
      </w:r>
      <w:r w:rsidR="0065273E" w:rsidRPr="006833CD">
        <w:rPr>
          <w:rFonts w:ascii="Times New Roman" w:hAnsi="Times New Roman"/>
          <w:szCs w:val="24"/>
        </w:rPr>
        <w:t>SGH-19)</w:t>
      </w:r>
      <w:r w:rsidR="0057740C" w:rsidRPr="006833CD">
        <w:rPr>
          <w:rFonts w:ascii="Times New Roman" w:hAnsi="Times New Roman"/>
          <w:szCs w:val="24"/>
        </w:rPr>
        <w:t>)</w:t>
      </w:r>
      <w:r w:rsidR="00B611F8" w:rsidRPr="006833CD">
        <w:rPr>
          <w:rFonts w:ascii="Times New Roman" w:hAnsi="Times New Roman"/>
          <w:szCs w:val="24"/>
        </w:rPr>
        <w:t xml:space="preserve">.  </w:t>
      </w:r>
      <w:r w:rsidR="0057740C" w:rsidRPr="006833CD">
        <w:rPr>
          <w:rFonts w:ascii="Times New Roman" w:hAnsi="Times New Roman"/>
          <w:szCs w:val="24"/>
        </w:rPr>
        <w:t xml:space="preserve">PSE’s </w:t>
      </w:r>
      <w:r w:rsidR="00BC41EF" w:rsidRPr="006833CD">
        <w:rPr>
          <w:rFonts w:ascii="Times New Roman" w:hAnsi="Times New Roman"/>
          <w:szCs w:val="24"/>
        </w:rPr>
        <w:t xml:space="preserve">public </w:t>
      </w:r>
      <w:r w:rsidR="0065273E" w:rsidRPr="006833CD">
        <w:rPr>
          <w:rFonts w:ascii="Times New Roman" w:hAnsi="Times New Roman"/>
          <w:szCs w:val="24"/>
        </w:rPr>
        <w:t>decoupling filings for electric and gas for rate year May</w:t>
      </w:r>
      <w:r w:rsidR="0057740C" w:rsidRPr="006833CD">
        <w:rPr>
          <w:rFonts w:ascii="Times New Roman" w:hAnsi="Times New Roman"/>
          <w:szCs w:val="24"/>
        </w:rPr>
        <w:t> </w:t>
      </w:r>
      <w:r w:rsidR="0065273E" w:rsidRPr="006833CD">
        <w:rPr>
          <w:rFonts w:ascii="Times New Roman" w:hAnsi="Times New Roman"/>
          <w:szCs w:val="24"/>
        </w:rPr>
        <w:t>1, 2013 through April</w:t>
      </w:r>
      <w:r w:rsidR="0057740C" w:rsidRPr="006833CD">
        <w:rPr>
          <w:rFonts w:ascii="Times New Roman" w:hAnsi="Times New Roman"/>
          <w:szCs w:val="24"/>
        </w:rPr>
        <w:t> </w:t>
      </w:r>
      <w:r w:rsidR="0065273E" w:rsidRPr="006833CD">
        <w:rPr>
          <w:rFonts w:ascii="Times New Roman" w:hAnsi="Times New Roman"/>
          <w:szCs w:val="24"/>
        </w:rPr>
        <w:t>30, 2014 total $787</w:t>
      </w:r>
      <w:r w:rsidR="0057740C" w:rsidRPr="006833CD">
        <w:rPr>
          <w:rFonts w:ascii="Times New Roman" w:hAnsi="Times New Roman"/>
          <w:szCs w:val="24"/>
        </w:rPr>
        <w:t> million.</w:t>
      </w:r>
      <w:r w:rsidR="00F86182" w:rsidRPr="00F71D8A">
        <w:rPr>
          <w:rStyle w:val="FootnoteReference"/>
        </w:rPr>
        <w:footnoteReference w:id="41"/>
      </w:r>
      <w:r w:rsidR="0057740C" w:rsidRPr="006833CD">
        <w:rPr>
          <w:rFonts w:ascii="Times New Roman" w:hAnsi="Times New Roman"/>
          <w:szCs w:val="24"/>
        </w:rPr>
        <w:t xml:space="preserve"> </w:t>
      </w:r>
      <w:r w:rsidR="0065273E" w:rsidRPr="006833CD">
        <w:rPr>
          <w:rFonts w:ascii="Times New Roman" w:hAnsi="Times New Roman"/>
          <w:szCs w:val="24"/>
        </w:rPr>
        <w:t xml:space="preserve"> </w:t>
      </w:r>
      <w:r w:rsidR="00F86182" w:rsidRPr="006833CD">
        <w:rPr>
          <w:rFonts w:ascii="Times New Roman" w:hAnsi="Times New Roman"/>
          <w:szCs w:val="24"/>
        </w:rPr>
        <w:t>Thus,</w:t>
      </w:r>
      <w:r w:rsidR="0057740C" w:rsidRPr="006833CD">
        <w:rPr>
          <w:rFonts w:ascii="Times New Roman" w:hAnsi="Times New Roman"/>
          <w:szCs w:val="24"/>
        </w:rPr>
        <w:t xml:space="preserve"> </w:t>
      </w:r>
      <w:r w:rsidR="00DC6A42" w:rsidRPr="006833CD">
        <w:rPr>
          <w:rFonts w:ascii="Times New Roman" w:hAnsi="Times New Roman"/>
          <w:szCs w:val="24"/>
        </w:rPr>
        <w:t>Mr.</w:t>
      </w:r>
      <w:r w:rsidR="0057740C" w:rsidRPr="006833CD">
        <w:rPr>
          <w:rFonts w:ascii="Times New Roman" w:hAnsi="Times New Roman"/>
          <w:szCs w:val="24"/>
        </w:rPr>
        <w:t> </w:t>
      </w:r>
      <w:r w:rsidR="00DC6A42" w:rsidRPr="006833CD">
        <w:rPr>
          <w:rFonts w:ascii="Times New Roman" w:hAnsi="Times New Roman"/>
          <w:szCs w:val="24"/>
        </w:rPr>
        <w:t>Hill</w:t>
      </w:r>
      <w:r w:rsidR="00DD0ECF" w:rsidRPr="006833CD">
        <w:rPr>
          <w:rFonts w:ascii="Times New Roman" w:hAnsi="Times New Roman"/>
          <w:szCs w:val="24"/>
        </w:rPr>
        <w:t xml:space="preserve"> is using the wrong revenue data</w:t>
      </w:r>
      <w:r w:rsidR="007D5335" w:rsidRPr="006833CD">
        <w:rPr>
          <w:rFonts w:ascii="Times New Roman" w:hAnsi="Times New Roman"/>
          <w:szCs w:val="24"/>
        </w:rPr>
        <w:t>,</w:t>
      </w:r>
      <w:r w:rsidR="00DD0ECF" w:rsidRPr="006833CD">
        <w:rPr>
          <w:rFonts w:ascii="Times New Roman" w:hAnsi="Times New Roman"/>
          <w:szCs w:val="24"/>
        </w:rPr>
        <w:t xml:space="preserve"> and his measurement of the revenue volatility</w:t>
      </w:r>
      <w:r w:rsidR="00F86182" w:rsidRPr="006833CD">
        <w:rPr>
          <w:rFonts w:ascii="Times New Roman" w:hAnsi="Times New Roman"/>
          <w:szCs w:val="24"/>
        </w:rPr>
        <w:t>—which I otherwise take issue with—</w:t>
      </w:r>
      <w:r w:rsidR="00DD0ECF" w:rsidRPr="006833CD">
        <w:rPr>
          <w:rFonts w:ascii="Times New Roman" w:hAnsi="Times New Roman"/>
          <w:szCs w:val="24"/>
        </w:rPr>
        <w:t xml:space="preserve">will </w:t>
      </w:r>
      <w:r w:rsidR="00F86182" w:rsidRPr="006833CD">
        <w:rPr>
          <w:rFonts w:ascii="Times New Roman" w:hAnsi="Times New Roman"/>
          <w:szCs w:val="24"/>
        </w:rPr>
        <w:t xml:space="preserve">also </w:t>
      </w:r>
      <w:r w:rsidR="00DD0ECF" w:rsidRPr="006833CD">
        <w:rPr>
          <w:rFonts w:ascii="Times New Roman" w:hAnsi="Times New Roman"/>
          <w:szCs w:val="24"/>
        </w:rPr>
        <w:t>be incorrect</w:t>
      </w:r>
      <w:r w:rsidR="00F86182" w:rsidRPr="006833CD">
        <w:rPr>
          <w:rFonts w:ascii="Times New Roman" w:hAnsi="Times New Roman"/>
          <w:szCs w:val="24"/>
        </w:rPr>
        <w:t xml:space="preserve"> due to his failure to use the correct revenue values</w:t>
      </w:r>
      <w:r w:rsidR="00DD0ECF" w:rsidRPr="006833CD">
        <w:rPr>
          <w:rFonts w:ascii="Times New Roman" w:hAnsi="Times New Roman"/>
          <w:szCs w:val="24"/>
        </w:rPr>
        <w:t>.</w:t>
      </w:r>
    </w:p>
    <w:p w14:paraId="35145ADE" w14:textId="4752C68E" w:rsidR="00552318" w:rsidRPr="006833CD" w:rsidRDefault="0055231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Has Mr.</w:t>
      </w:r>
      <w:r w:rsidR="007D5335" w:rsidRPr="006833CD">
        <w:rPr>
          <w:rFonts w:ascii="Times New Roman" w:hAnsi="Times New Roman"/>
          <w:bCs/>
          <w:szCs w:val="24"/>
        </w:rPr>
        <w:t> </w:t>
      </w:r>
      <w:r w:rsidRPr="006833CD">
        <w:rPr>
          <w:rFonts w:ascii="Times New Roman" w:hAnsi="Times New Roman"/>
          <w:bCs/>
          <w:szCs w:val="24"/>
        </w:rPr>
        <w:t>Hill submitted similar testimony in other proceedings?</w:t>
      </w:r>
    </w:p>
    <w:p w14:paraId="68EEBA88" w14:textId="7781EA16" w:rsidR="00552318" w:rsidRPr="006833CD" w:rsidRDefault="00AB7328" w:rsidP="007D5335">
      <w:pPr>
        <w:pStyle w:val="answer"/>
        <w:rPr>
          <w:rFonts w:ascii="Times New Roman" w:eastAsia="SimSun" w:hAnsi="Times New Roman"/>
          <w:bCs/>
          <w:szCs w:val="24"/>
        </w:rPr>
      </w:pPr>
      <w:r w:rsidRPr="006833CD">
        <w:rPr>
          <w:rFonts w:ascii="Times New Roman" w:hAnsi="Times New Roman"/>
          <w:bCs/>
          <w:szCs w:val="24"/>
        </w:rPr>
        <w:t>A.</w:t>
      </w:r>
      <w:r w:rsidR="00552318" w:rsidRPr="006833CD">
        <w:rPr>
          <w:rFonts w:ascii="Times New Roman" w:hAnsi="Times New Roman"/>
          <w:bCs/>
          <w:szCs w:val="24"/>
        </w:rPr>
        <w:tab/>
        <w:t>Yes.  I know of at least two proceedings.  The most recent was in Hawaii on behalf of the Consumer Advocate.  In that proceeding, his testimony was nearly identical to that in this proceeding</w:t>
      </w:r>
      <w:r w:rsidR="007D5335" w:rsidRPr="006833CD">
        <w:rPr>
          <w:rFonts w:ascii="Times New Roman" w:hAnsi="Times New Roman"/>
          <w:bCs/>
          <w:szCs w:val="24"/>
        </w:rPr>
        <w:t>,</w:t>
      </w:r>
      <w:r w:rsidR="00552318" w:rsidRPr="006833CD">
        <w:rPr>
          <w:rFonts w:ascii="Times New Roman" w:hAnsi="Times New Roman"/>
          <w:bCs/>
          <w:szCs w:val="24"/>
        </w:rPr>
        <w:t xml:space="preserve"> with the exception that he assumed decoupling reduced revenue volatility by 40 percent instead of the 35 percent he uses here.  </w:t>
      </w:r>
      <w:r w:rsidR="00120B09" w:rsidRPr="006833CD">
        <w:rPr>
          <w:rFonts w:ascii="Times New Roman" w:hAnsi="Times New Roman"/>
          <w:bCs/>
          <w:szCs w:val="24"/>
        </w:rPr>
        <w:t>As discussed above, Mr.</w:t>
      </w:r>
      <w:r w:rsidR="007D5335" w:rsidRPr="006833CD">
        <w:rPr>
          <w:rFonts w:ascii="Times New Roman" w:hAnsi="Times New Roman"/>
          <w:bCs/>
          <w:szCs w:val="24"/>
        </w:rPr>
        <w:t> </w:t>
      </w:r>
      <w:r w:rsidR="00120B09" w:rsidRPr="006833CD">
        <w:rPr>
          <w:rFonts w:ascii="Times New Roman" w:hAnsi="Times New Roman"/>
          <w:bCs/>
          <w:szCs w:val="24"/>
        </w:rPr>
        <w:t xml:space="preserve">Hill </w:t>
      </w:r>
      <w:r w:rsidR="00552318" w:rsidRPr="006833CD">
        <w:rPr>
          <w:rFonts w:ascii="Times New Roman" w:hAnsi="Times New Roman"/>
          <w:bCs/>
          <w:szCs w:val="24"/>
        </w:rPr>
        <w:t xml:space="preserve">also submitted </w:t>
      </w:r>
      <w:r w:rsidR="00E26626" w:rsidRPr="006833CD">
        <w:rPr>
          <w:rFonts w:ascii="Times New Roman" w:hAnsi="Times New Roman"/>
          <w:bCs/>
          <w:szCs w:val="24"/>
        </w:rPr>
        <w:t xml:space="preserve">testimony </w:t>
      </w:r>
      <w:r w:rsidR="007E35FD" w:rsidRPr="006833CD">
        <w:rPr>
          <w:rFonts w:ascii="Times New Roman" w:hAnsi="Times New Roman"/>
          <w:bCs/>
          <w:szCs w:val="24"/>
        </w:rPr>
        <w:t xml:space="preserve">before </w:t>
      </w:r>
      <w:r w:rsidR="00552318" w:rsidRPr="006833CD">
        <w:rPr>
          <w:rFonts w:ascii="Times New Roman" w:hAnsi="Times New Roman"/>
          <w:bCs/>
          <w:szCs w:val="24"/>
        </w:rPr>
        <w:t xml:space="preserve">the Massachusetts Department of Public Utilities in Docket </w:t>
      </w:r>
      <w:proofErr w:type="spellStart"/>
      <w:r w:rsidR="00552318" w:rsidRPr="006833CD">
        <w:rPr>
          <w:rFonts w:ascii="Times New Roman" w:hAnsi="Times New Roman"/>
          <w:bCs/>
          <w:szCs w:val="24"/>
        </w:rPr>
        <w:t>DPU</w:t>
      </w:r>
      <w:proofErr w:type="spellEnd"/>
      <w:r w:rsidR="00552318" w:rsidRPr="006833CD">
        <w:rPr>
          <w:rFonts w:ascii="Times New Roman" w:hAnsi="Times New Roman"/>
          <w:bCs/>
          <w:szCs w:val="24"/>
        </w:rPr>
        <w:t xml:space="preserve"> 9-30 on behalf of the Massachusetts Attorney General.</w:t>
      </w:r>
    </w:p>
    <w:p w14:paraId="2976E2FA" w14:textId="169B8B21" w:rsidR="00552318" w:rsidRPr="006833CD" w:rsidRDefault="00552318"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Did the </w:t>
      </w:r>
      <w:r w:rsidR="007D5335" w:rsidRPr="006833CD">
        <w:rPr>
          <w:rFonts w:ascii="Times New Roman" w:hAnsi="Times New Roman"/>
          <w:bCs/>
          <w:szCs w:val="24"/>
        </w:rPr>
        <w:t xml:space="preserve">Massachusetts Department of Public Utilities </w:t>
      </w:r>
      <w:r w:rsidRPr="006833CD">
        <w:rPr>
          <w:rFonts w:ascii="Times New Roman" w:hAnsi="Times New Roman"/>
          <w:bCs/>
          <w:szCs w:val="24"/>
        </w:rPr>
        <w:t>comment on Mr.</w:t>
      </w:r>
      <w:r w:rsidR="007D5335" w:rsidRPr="006833CD">
        <w:rPr>
          <w:rFonts w:ascii="Times New Roman" w:hAnsi="Times New Roman"/>
          <w:bCs/>
          <w:szCs w:val="24"/>
        </w:rPr>
        <w:t> </w:t>
      </w:r>
      <w:r w:rsidRPr="006833CD">
        <w:rPr>
          <w:rFonts w:ascii="Times New Roman" w:hAnsi="Times New Roman"/>
          <w:bCs/>
          <w:szCs w:val="24"/>
        </w:rPr>
        <w:t>Hill’s methodology?</w:t>
      </w:r>
    </w:p>
    <w:p w14:paraId="18F89C8A" w14:textId="68BDE596" w:rsidR="00E26626" w:rsidRPr="006833CD" w:rsidRDefault="008E50A1" w:rsidP="007D533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552318" w:rsidRPr="006833CD">
        <w:rPr>
          <w:rFonts w:ascii="Times New Roman" w:hAnsi="Times New Roman"/>
          <w:bCs/>
          <w:szCs w:val="24"/>
        </w:rPr>
        <w:t xml:space="preserve">Yes.  In that case, </w:t>
      </w:r>
      <w:r w:rsidR="007D5335" w:rsidRPr="006833CD">
        <w:rPr>
          <w:rFonts w:ascii="Times New Roman" w:hAnsi="Times New Roman"/>
          <w:bCs/>
          <w:szCs w:val="24"/>
        </w:rPr>
        <w:t>t</w:t>
      </w:r>
      <w:r w:rsidR="00552318" w:rsidRPr="006833CD">
        <w:rPr>
          <w:rFonts w:ascii="Times New Roman" w:hAnsi="Times New Roman"/>
          <w:bCs/>
          <w:szCs w:val="24"/>
        </w:rPr>
        <w:t xml:space="preserve">he Attorney General </w:t>
      </w:r>
      <w:r w:rsidR="007D5335" w:rsidRPr="006833CD">
        <w:rPr>
          <w:rFonts w:ascii="Times New Roman" w:hAnsi="Times New Roman"/>
          <w:bCs/>
          <w:szCs w:val="24"/>
        </w:rPr>
        <w:t xml:space="preserve">for the State of Massachusetts </w:t>
      </w:r>
      <w:r w:rsidR="00552318" w:rsidRPr="006833CD">
        <w:rPr>
          <w:rFonts w:ascii="Times New Roman" w:hAnsi="Times New Roman"/>
          <w:bCs/>
          <w:szCs w:val="24"/>
        </w:rPr>
        <w:t>recommended a 50</w:t>
      </w:r>
      <w:r w:rsidR="007D5335" w:rsidRPr="006833CD">
        <w:rPr>
          <w:rFonts w:ascii="Times New Roman" w:hAnsi="Times New Roman"/>
          <w:bCs/>
          <w:szCs w:val="24"/>
        </w:rPr>
        <w:t> </w:t>
      </w:r>
      <w:r w:rsidR="00552318" w:rsidRPr="006833CD">
        <w:rPr>
          <w:rFonts w:ascii="Times New Roman" w:hAnsi="Times New Roman"/>
          <w:bCs/>
          <w:szCs w:val="24"/>
        </w:rPr>
        <w:t xml:space="preserve">basis point reduction in Bay State Gas Company’s </w:t>
      </w:r>
      <w:r w:rsidR="007D5335" w:rsidRPr="006833CD">
        <w:rPr>
          <w:rFonts w:ascii="Times New Roman" w:hAnsi="Times New Roman"/>
          <w:bCs/>
          <w:szCs w:val="24"/>
        </w:rPr>
        <w:t xml:space="preserve">return on equity </w:t>
      </w:r>
      <w:r w:rsidR="00552318" w:rsidRPr="006833CD">
        <w:rPr>
          <w:rFonts w:ascii="Times New Roman" w:hAnsi="Times New Roman"/>
          <w:bCs/>
          <w:szCs w:val="24"/>
        </w:rPr>
        <w:t>to account for the reduction in operating risk afforded by a decoupling mechanism</w:t>
      </w:r>
      <w:r w:rsidR="00120B09" w:rsidRPr="006833CD">
        <w:rPr>
          <w:rFonts w:ascii="Times New Roman" w:hAnsi="Times New Roman"/>
          <w:bCs/>
          <w:szCs w:val="24"/>
        </w:rPr>
        <w:t>, support</w:t>
      </w:r>
      <w:r w:rsidR="007E35FD" w:rsidRPr="006833CD">
        <w:rPr>
          <w:rFonts w:ascii="Times New Roman" w:hAnsi="Times New Roman"/>
          <w:bCs/>
          <w:szCs w:val="24"/>
        </w:rPr>
        <w:t>ed by the testimony of Mr.</w:t>
      </w:r>
      <w:r w:rsidR="007D5335" w:rsidRPr="006833CD">
        <w:rPr>
          <w:rFonts w:ascii="Times New Roman" w:hAnsi="Times New Roman"/>
          <w:bCs/>
          <w:szCs w:val="24"/>
        </w:rPr>
        <w:t> </w:t>
      </w:r>
      <w:r w:rsidR="007E35FD" w:rsidRPr="006833CD">
        <w:rPr>
          <w:rFonts w:ascii="Times New Roman" w:hAnsi="Times New Roman"/>
          <w:bCs/>
          <w:szCs w:val="24"/>
        </w:rPr>
        <w:t>Hill,</w:t>
      </w:r>
      <w:r w:rsidR="00120B09" w:rsidRPr="006833CD">
        <w:rPr>
          <w:rFonts w:ascii="Times New Roman" w:hAnsi="Times New Roman"/>
          <w:bCs/>
          <w:szCs w:val="24"/>
        </w:rPr>
        <w:t xml:space="preserve"> cited above</w:t>
      </w:r>
      <w:r w:rsidR="00E26626" w:rsidRPr="006833CD">
        <w:rPr>
          <w:rFonts w:ascii="Times New Roman" w:hAnsi="Times New Roman"/>
          <w:bCs/>
          <w:szCs w:val="24"/>
        </w:rPr>
        <w:t xml:space="preserve">. </w:t>
      </w:r>
      <w:r w:rsidR="00552318" w:rsidRPr="006833CD">
        <w:rPr>
          <w:rFonts w:ascii="Times New Roman" w:hAnsi="Times New Roman"/>
          <w:bCs/>
          <w:szCs w:val="24"/>
        </w:rPr>
        <w:t xml:space="preserve"> To estimate the risk reduction, </w:t>
      </w:r>
      <w:r w:rsidR="00120B09" w:rsidRPr="006833CD">
        <w:rPr>
          <w:rFonts w:ascii="Times New Roman" w:hAnsi="Times New Roman"/>
          <w:bCs/>
          <w:szCs w:val="24"/>
        </w:rPr>
        <w:t>Mr.</w:t>
      </w:r>
      <w:r w:rsidR="007D5335" w:rsidRPr="006833CD">
        <w:rPr>
          <w:rFonts w:ascii="Times New Roman" w:hAnsi="Times New Roman"/>
          <w:bCs/>
          <w:szCs w:val="24"/>
        </w:rPr>
        <w:t> </w:t>
      </w:r>
      <w:r w:rsidR="00120B09" w:rsidRPr="006833CD">
        <w:rPr>
          <w:rFonts w:ascii="Times New Roman" w:hAnsi="Times New Roman"/>
          <w:bCs/>
          <w:szCs w:val="24"/>
        </w:rPr>
        <w:t xml:space="preserve">Hill conducted an analysis very </w:t>
      </w:r>
      <w:r w:rsidR="00281323" w:rsidRPr="006833CD">
        <w:rPr>
          <w:rFonts w:ascii="Times New Roman" w:hAnsi="Times New Roman"/>
          <w:bCs/>
          <w:szCs w:val="24"/>
        </w:rPr>
        <w:t>similar to his submission</w:t>
      </w:r>
      <w:r w:rsidR="00120B09" w:rsidRPr="006833CD">
        <w:rPr>
          <w:rFonts w:ascii="Times New Roman" w:hAnsi="Times New Roman"/>
          <w:bCs/>
          <w:szCs w:val="24"/>
        </w:rPr>
        <w:t xml:space="preserve"> in this docket.  He</w:t>
      </w:r>
      <w:r w:rsidR="00552318" w:rsidRPr="006833CD">
        <w:rPr>
          <w:rFonts w:ascii="Times New Roman" w:hAnsi="Times New Roman"/>
          <w:bCs/>
          <w:szCs w:val="24"/>
        </w:rPr>
        <w:t xml:space="preserve"> estimated the degree of fluctuations in Bay State Gas Company’s net revenues, due to changes in weather (heating degree days) and the economy, measured by the Massachusetts </w:t>
      </w:r>
      <w:r w:rsidR="0091560B" w:rsidRPr="006833CD">
        <w:rPr>
          <w:rFonts w:ascii="Times New Roman" w:hAnsi="Times New Roman"/>
          <w:bCs/>
          <w:szCs w:val="24"/>
        </w:rPr>
        <w:t>Gross State Product</w:t>
      </w:r>
      <w:r w:rsidR="00552318" w:rsidRPr="006833CD">
        <w:rPr>
          <w:rFonts w:ascii="Times New Roman" w:hAnsi="Times New Roman"/>
          <w:bCs/>
          <w:szCs w:val="24"/>
        </w:rPr>
        <w:t xml:space="preserve">, using data from 1999 to 2008. </w:t>
      </w:r>
      <w:r w:rsidR="007D5335" w:rsidRPr="006833CD">
        <w:rPr>
          <w:rFonts w:ascii="Times New Roman" w:hAnsi="Times New Roman"/>
          <w:bCs/>
          <w:szCs w:val="24"/>
        </w:rPr>
        <w:t xml:space="preserve"> </w:t>
      </w:r>
      <w:r w:rsidR="00552318" w:rsidRPr="006833CD">
        <w:rPr>
          <w:rFonts w:ascii="Times New Roman" w:hAnsi="Times New Roman"/>
          <w:bCs/>
          <w:szCs w:val="24"/>
        </w:rPr>
        <w:t xml:space="preserve">However, the Order </w:t>
      </w:r>
      <w:r w:rsidR="007D5335" w:rsidRPr="006833CD">
        <w:rPr>
          <w:rFonts w:ascii="Times New Roman" w:hAnsi="Times New Roman"/>
          <w:bCs/>
          <w:szCs w:val="24"/>
        </w:rPr>
        <w:t xml:space="preserve">issued by the Massachusetts Department of Public Utilities </w:t>
      </w:r>
      <w:r w:rsidR="00552318" w:rsidRPr="006833CD">
        <w:rPr>
          <w:rFonts w:ascii="Times New Roman" w:hAnsi="Times New Roman"/>
          <w:bCs/>
          <w:szCs w:val="24"/>
        </w:rPr>
        <w:t>observed</w:t>
      </w:r>
      <w:r w:rsidR="007D5335" w:rsidRPr="006833CD">
        <w:rPr>
          <w:rFonts w:ascii="Times New Roman" w:hAnsi="Times New Roman"/>
          <w:bCs/>
          <w:szCs w:val="24"/>
        </w:rPr>
        <w:t xml:space="preserve"> the following:</w:t>
      </w:r>
    </w:p>
    <w:p w14:paraId="1C61D47C" w14:textId="25248933" w:rsidR="00E26626" w:rsidRPr="006833CD" w:rsidRDefault="00552318" w:rsidP="007D533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Because of the many methodological deficiencies in the Attorney General’s method for establishing the historical relationship between the variations in net revenues due to changes in weather and the economy, such as the quality of data used and statistical problems relating to auto-correlations, we cannot place any significant weight on the results of her analysis and recommendation.</w:t>
      </w:r>
      <w:r w:rsidRPr="00F71D8A">
        <w:rPr>
          <w:rStyle w:val="FootnoteReference"/>
        </w:rPr>
        <w:footnoteReference w:id="42"/>
      </w:r>
    </w:p>
    <w:p w14:paraId="4BDE58EF" w14:textId="6FCC965F" w:rsidR="006E0DDE" w:rsidRPr="006833CD" w:rsidRDefault="00715578" w:rsidP="007D5335">
      <w:pPr>
        <w:pStyle w:val="answer"/>
        <w:ind w:firstLine="0"/>
        <w:jc w:val="both"/>
        <w:rPr>
          <w:rFonts w:ascii="Times New Roman" w:hAnsi="Times New Roman"/>
          <w:bCs/>
          <w:szCs w:val="24"/>
        </w:rPr>
      </w:pPr>
      <w:r w:rsidRPr="006833CD">
        <w:rPr>
          <w:rFonts w:ascii="Times New Roman" w:hAnsi="Times New Roman"/>
          <w:bCs/>
          <w:szCs w:val="24"/>
        </w:rPr>
        <w:t>Moreover, the Order stated</w:t>
      </w:r>
      <w:r w:rsidR="007D5335" w:rsidRPr="006833CD">
        <w:rPr>
          <w:rFonts w:ascii="Times New Roman" w:hAnsi="Times New Roman"/>
          <w:bCs/>
          <w:szCs w:val="24"/>
        </w:rPr>
        <w:t xml:space="preserve"> as follows</w:t>
      </w:r>
      <w:r w:rsidRPr="006833CD">
        <w:rPr>
          <w:rFonts w:ascii="Times New Roman" w:hAnsi="Times New Roman"/>
          <w:bCs/>
          <w:szCs w:val="24"/>
        </w:rPr>
        <w:t>:</w:t>
      </w:r>
    </w:p>
    <w:p w14:paraId="153EE4C3" w14:textId="74A82E2E" w:rsidR="006E0DDE" w:rsidRPr="006833CD" w:rsidRDefault="006E0DDE" w:rsidP="007D533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 xml:space="preserve">As stated above, we deny the Attorney General’s 50-basis-point reduction because we are not persuaded that this is an accurate </w:t>
      </w:r>
      <w:r w:rsidRPr="006833CD">
        <w:rPr>
          <w:rFonts w:ascii="Times New Roman" w:hAnsi="Times New Roman"/>
          <w:bCs/>
          <w:i/>
          <w:szCs w:val="24"/>
        </w:rPr>
        <w:t xml:space="preserve">quantification of the change in investors’ risks perception </w:t>
      </w:r>
      <w:r w:rsidRPr="006833CD">
        <w:rPr>
          <w:rFonts w:ascii="Times New Roman" w:hAnsi="Times New Roman"/>
          <w:bCs/>
          <w:szCs w:val="24"/>
        </w:rPr>
        <w:t>associated with Bay State’s implementation of revenue decoupling.</w:t>
      </w:r>
      <w:r w:rsidRPr="00F71D8A">
        <w:rPr>
          <w:rStyle w:val="FootnoteReference"/>
        </w:rPr>
        <w:footnoteReference w:id="43"/>
      </w:r>
    </w:p>
    <w:p w14:paraId="00516553" w14:textId="67F069AC" w:rsidR="00F86182" w:rsidRPr="006833CD" w:rsidRDefault="00F86182" w:rsidP="009814F5">
      <w:pPr>
        <w:pStyle w:val="answer"/>
        <w:ind w:firstLine="0"/>
        <w:rPr>
          <w:rFonts w:ascii="Times New Roman" w:hAnsi="Times New Roman"/>
          <w:bCs/>
          <w:szCs w:val="24"/>
        </w:rPr>
      </w:pPr>
      <w:r w:rsidRPr="006833CD">
        <w:rPr>
          <w:rFonts w:ascii="Times New Roman" w:hAnsi="Times New Roman"/>
          <w:bCs/>
          <w:szCs w:val="24"/>
        </w:rPr>
        <w:lastRenderedPageBreak/>
        <w:t>As noted above, this unpersuasive attempt to quantify the effect of decoupling was undertaken by Mr. Hill on behalf of the Massachusetts state Attorney General, and it is the same faulty analysis used by Mr. Hill in this case.</w:t>
      </w:r>
    </w:p>
    <w:p w14:paraId="5D0ABA3C" w14:textId="108AE5B9" w:rsidR="00AC1358"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Before you analyze the steps in </w:t>
      </w:r>
      <w:r w:rsidR="000502D3" w:rsidRPr="006833CD">
        <w:rPr>
          <w:rFonts w:ascii="Times New Roman" w:hAnsi="Times New Roman"/>
          <w:bCs/>
          <w:szCs w:val="24"/>
        </w:rPr>
        <w:t>Mr. </w:t>
      </w:r>
      <w:r w:rsidRPr="006833CD">
        <w:rPr>
          <w:rFonts w:ascii="Times New Roman" w:hAnsi="Times New Roman"/>
          <w:bCs/>
          <w:szCs w:val="24"/>
        </w:rPr>
        <w:t>Hill’s model, please review the financial theory underlying his approach.</w:t>
      </w:r>
    </w:p>
    <w:p w14:paraId="48512B6D" w14:textId="38516B1A" w:rsidR="00A53191" w:rsidRPr="006833CD" w:rsidRDefault="009814F5" w:rsidP="00A53191">
      <w:pPr>
        <w:pStyle w:val="answer"/>
        <w:rPr>
          <w:rFonts w:ascii="Times New Roman" w:hAnsi="Times New Roman"/>
          <w:bCs/>
          <w:szCs w:val="24"/>
        </w:rPr>
      </w:pPr>
      <w:r w:rsidRPr="006833CD">
        <w:rPr>
          <w:rFonts w:ascii="Times New Roman" w:hAnsi="Times New Roman"/>
          <w:bCs/>
          <w:szCs w:val="24"/>
        </w:rPr>
        <w:t>A.</w:t>
      </w:r>
      <w:r w:rsidR="00AC1358" w:rsidRPr="006833CD">
        <w:rPr>
          <w:rFonts w:ascii="Times New Roman" w:hAnsi="Times New Roman"/>
          <w:bCs/>
          <w:szCs w:val="24"/>
        </w:rPr>
        <w:tab/>
        <w:t xml:space="preserve">In this part of his testimony, </w:t>
      </w:r>
      <w:r w:rsidR="000502D3" w:rsidRPr="006833CD">
        <w:rPr>
          <w:rFonts w:ascii="Times New Roman" w:hAnsi="Times New Roman"/>
          <w:bCs/>
          <w:szCs w:val="24"/>
        </w:rPr>
        <w:t>Mr. </w:t>
      </w:r>
      <w:r w:rsidR="00AC1358" w:rsidRPr="006833CD">
        <w:rPr>
          <w:rFonts w:ascii="Times New Roman" w:hAnsi="Times New Roman"/>
          <w:bCs/>
          <w:szCs w:val="24"/>
        </w:rPr>
        <w:t>Hill mixes statements that are consistent with financial theory, statements that are consistent under certain restrictions</w:t>
      </w:r>
      <w:r w:rsidR="00D63624" w:rsidRPr="006833CD">
        <w:rPr>
          <w:rFonts w:ascii="Times New Roman" w:hAnsi="Times New Roman"/>
          <w:bCs/>
          <w:szCs w:val="24"/>
        </w:rPr>
        <w:t>,</w:t>
      </w:r>
      <w:r w:rsidR="00AC1358" w:rsidRPr="006833CD">
        <w:rPr>
          <w:rFonts w:ascii="Times New Roman" w:hAnsi="Times New Roman"/>
          <w:bCs/>
          <w:szCs w:val="24"/>
        </w:rPr>
        <w:t xml:space="preserve"> and statements which </w:t>
      </w:r>
      <w:r w:rsidR="008528D7" w:rsidRPr="006833CD">
        <w:rPr>
          <w:rFonts w:ascii="Times New Roman" w:hAnsi="Times New Roman"/>
          <w:bCs/>
          <w:szCs w:val="24"/>
        </w:rPr>
        <w:t xml:space="preserve">superficially </w:t>
      </w:r>
      <w:r w:rsidR="00AC1358" w:rsidRPr="006833CD">
        <w:rPr>
          <w:rFonts w:ascii="Times New Roman" w:hAnsi="Times New Roman"/>
          <w:bCs/>
          <w:szCs w:val="24"/>
        </w:rPr>
        <w:t xml:space="preserve">sound good but are not consistent with financial theory.  I will attempt to untangle the </w:t>
      </w:r>
      <w:r w:rsidR="00D63624" w:rsidRPr="006833CD">
        <w:rPr>
          <w:rFonts w:ascii="Times New Roman" w:hAnsi="Times New Roman"/>
          <w:bCs/>
          <w:szCs w:val="24"/>
        </w:rPr>
        <w:t xml:space="preserve">long development of </w:t>
      </w:r>
      <w:r w:rsidR="000502D3" w:rsidRPr="006833CD">
        <w:rPr>
          <w:rFonts w:ascii="Times New Roman" w:hAnsi="Times New Roman"/>
          <w:bCs/>
          <w:szCs w:val="24"/>
        </w:rPr>
        <w:t>Mr. </w:t>
      </w:r>
      <w:r w:rsidR="00D63624" w:rsidRPr="006833CD">
        <w:rPr>
          <w:rFonts w:ascii="Times New Roman" w:hAnsi="Times New Roman"/>
          <w:bCs/>
          <w:szCs w:val="24"/>
        </w:rPr>
        <w:t xml:space="preserve">Hill’s argument, which runs </w:t>
      </w:r>
      <w:r w:rsidRPr="006833CD">
        <w:rPr>
          <w:rFonts w:ascii="Times New Roman" w:hAnsi="Times New Roman"/>
          <w:bCs/>
          <w:szCs w:val="24"/>
        </w:rPr>
        <w:t xml:space="preserve">seventeen </w:t>
      </w:r>
      <w:r w:rsidR="00D63624" w:rsidRPr="006833CD">
        <w:rPr>
          <w:rFonts w:ascii="Times New Roman" w:hAnsi="Times New Roman"/>
          <w:bCs/>
          <w:szCs w:val="24"/>
        </w:rPr>
        <w:t>pages</w:t>
      </w:r>
      <w:r w:rsidR="00AC1358" w:rsidRPr="006833CD">
        <w:rPr>
          <w:rFonts w:ascii="Times New Roman" w:hAnsi="Times New Roman"/>
          <w:bCs/>
          <w:szCs w:val="24"/>
        </w:rPr>
        <w:t>.</w:t>
      </w:r>
      <w:r w:rsidRPr="00F71D8A">
        <w:rPr>
          <w:rStyle w:val="FootnoteReference"/>
        </w:rPr>
        <w:footnoteReference w:id="44"/>
      </w:r>
      <w:r w:rsidR="00AC1358" w:rsidRPr="006833CD">
        <w:rPr>
          <w:rFonts w:ascii="Times New Roman" w:hAnsi="Times New Roman"/>
          <w:bCs/>
          <w:szCs w:val="24"/>
        </w:rPr>
        <w:t xml:space="preserve">  In my comments that follow, I focus on accepted financial theory.</w:t>
      </w:r>
    </w:p>
    <w:p w14:paraId="11AD073B" w14:textId="66CFAE10" w:rsidR="000309B2" w:rsidRPr="006833CD" w:rsidRDefault="000502D3" w:rsidP="000309B2">
      <w:pPr>
        <w:pStyle w:val="answer"/>
        <w:ind w:firstLine="0"/>
        <w:rPr>
          <w:rFonts w:ascii="Times New Roman" w:hAnsi="Times New Roman"/>
          <w:szCs w:val="24"/>
        </w:rPr>
      </w:pPr>
      <w:r w:rsidRPr="006833CD">
        <w:rPr>
          <w:rFonts w:ascii="Times New Roman" w:hAnsi="Times New Roman"/>
          <w:bCs/>
          <w:szCs w:val="24"/>
        </w:rPr>
        <w:t>Mr. </w:t>
      </w:r>
      <w:r w:rsidR="00AC1358" w:rsidRPr="006833CD">
        <w:rPr>
          <w:rFonts w:ascii="Times New Roman" w:hAnsi="Times New Roman"/>
          <w:bCs/>
          <w:szCs w:val="24"/>
        </w:rPr>
        <w:t xml:space="preserve">Hill says </w:t>
      </w:r>
      <w:r w:rsidR="00A53191" w:rsidRPr="006833CD">
        <w:rPr>
          <w:rFonts w:ascii="Times New Roman" w:hAnsi="Times New Roman"/>
          <w:bCs/>
          <w:szCs w:val="24"/>
        </w:rPr>
        <w:t xml:space="preserve">that </w:t>
      </w:r>
      <w:r w:rsidR="00AC1358" w:rsidRPr="006833CD">
        <w:rPr>
          <w:rFonts w:ascii="Times New Roman" w:hAnsi="Times New Roman"/>
          <w:bCs/>
          <w:szCs w:val="24"/>
        </w:rPr>
        <w:t>“</w:t>
      </w:r>
      <w:r w:rsidR="00A53191" w:rsidRPr="006833CD">
        <w:rPr>
          <w:rFonts w:ascii="Times New Roman" w:hAnsi="Times New Roman"/>
          <w:bCs/>
          <w:szCs w:val="24"/>
        </w:rPr>
        <w:t>[t]</w:t>
      </w:r>
      <w:r w:rsidR="00AC1358" w:rsidRPr="006833CD">
        <w:rPr>
          <w:rFonts w:ascii="Times New Roman" w:hAnsi="Times New Roman"/>
          <w:szCs w:val="24"/>
        </w:rPr>
        <w:t>he risk of investing in any asset is directly related to the possibility that actual, realized returns will deviate from expected returns.”</w:t>
      </w:r>
      <w:r w:rsidR="00AC1358" w:rsidRPr="00F71D8A">
        <w:rPr>
          <w:rStyle w:val="FootnoteReference"/>
        </w:rPr>
        <w:footnoteReference w:id="45"/>
      </w:r>
      <w:r w:rsidR="00AC1358" w:rsidRPr="006833CD">
        <w:rPr>
          <w:rFonts w:ascii="Times New Roman" w:hAnsi="Times New Roman"/>
          <w:szCs w:val="24"/>
        </w:rPr>
        <w:t xml:space="preserve">  This is true if the returns being referenced are those in capital markets.  The cost of capital is measured in capital markets</w:t>
      </w:r>
      <w:r w:rsidR="00D63624" w:rsidRPr="006833CD">
        <w:rPr>
          <w:rFonts w:ascii="Times New Roman" w:hAnsi="Times New Roman"/>
          <w:szCs w:val="24"/>
        </w:rPr>
        <w:t>,</w:t>
      </w:r>
      <w:r w:rsidR="00E87E8D" w:rsidRPr="006833CD">
        <w:rPr>
          <w:rFonts w:ascii="Times New Roman" w:hAnsi="Times New Roman"/>
          <w:szCs w:val="24"/>
        </w:rPr>
        <w:t xml:space="preserve"> not by accounting variables</w:t>
      </w:r>
      <w:r w:rsidR="006A7C41" w:rsidRPr="006833CD">
        <w:rPr>
          <w:rFonts w:ascii="Times New Roman" w:hAnsi="Times New Roman"/>
          <w:szCs w:val="24"/>
        </w:rPr>
        <w:t xml:space="preserve"> such as net revenue</w:t>
      </w:r>
      <w:r w:rsidR="00E25511" w:rsidRPr="006833CD">
        <w:rPr>
          <w:rFonts w:ascii="Times New Roman" w:hAnsi="Times New Roman"/>
          <w:szCs w:val="24"/>
        </w:rPr>
        <w:t>.</w:t>
      </w:r>
      <w:r w:rsidR="00D63624" w:rsidRPr="00F71D8A">
        <w:rPr>
          <w:rStyle w:val="FootnoteReference"/>
        </w:rPr>
        <w:footnoteReference w:id="46"/>
      </w:r>
      <w:r w:rsidR="00E25511" w:rsidRPr="006833CD">
        <w:rPr>
          <w:rFonts w:ascii="Times New Roman" w:hAnsi="Times New Roman"/>
          <w:szCs w:val="24"/>
        </w:rPr>
        <w:t xml:space="preserve">  Mr.</w:t>
      </w:r>
      <w:r w:rsidR="00A53191" w:rsidRPr="006833CD">
        <w:rPr>
          <w:rFonts w:ascii="Times New Roman" w:hAnsi="Times New Roman"/>
          <w:szCs w:val="24"/>
        </w:rPr>
        <w:t> </w:t>
      </w:r>
      <w:r w:rsidR="00E25511" w:rsidRPr="006833CD">
        <w:rPr>
          <w:rFonts w:ascii="Times New Roman" w:hAnsi="Times New Roman"/>
          <w:szCs w:val="24"/>
        </w:rPr>
        <w:t>Hill’s analyses in the cost of capit</w:t>
      </w:r>
      <w:r w:rsidR="00E87E8D" w:rsidRPr="006833CD">
        <w:rPr>
          <w:rFonts w:ascii="Times New Roman" w:hAnsi="Times New Roman"/>
          <w:szCs w:val="24"/>
        </w:rPr>
        <w:t>al portion of his testimony do</w:t>
      </w:r>
      <w:r w:rsidR="00E25511" w:rsidRPr="006833CD">
        <w:rPr>
          <w:rFonts w:ascii="Times New Roman" w:hAnsi="Times New Roman"/>
          <w:szCs w:val="24"/>
        </w:rPr>
        <w:t xml:space="preserve"> not rely upon net revenues (an accounting value) as he does </w:t>
      </w:r>
      <w:r w:rsidR="00A53191" w:rsidRPr="006833CD">
        <w:rPr>
          <w:rFonts w:ascii="Times New Roman" w:hAnsi="Times New Roman"/>
          <w:szCs w:val="24"/>
        </w:rPr>
        <w:t>in this part of his testimony.</w:t>
      </w:r>
    </w:p>
    <w:p w14:paraId="6BD96D25" w14:textId="35B08602" w:rsidR="000309B2" w:rsidRPr="006833CD" w:rsidRDefault="000502D3" w:rsidP="000309B2">
      <w:pPr>
        <w:pStyle w:val="answer"/>
        <w:ind w:firstLine="0"/>
        <w:rPr>
          <w:rFonts w:ascii="Times New Roman" w:hAnsi="Times New Roman"/>
          <w:szCs w:val="24"/>
        </w:rPr>
      </w:pPr>
      <w:r w:rsidRPr="006833CD">
        <w:rPr>
          <w:rFonts w:ascii="Times New Roman" w:hAnsi="Times New Roman"/>
          <w:bCs/>
          <w:szCs w:val="24"/>
        </w:rPr>
        <w:t>Mr. </w:t>
      </w:r>
      <w:r w:rsidR="00A324AA" w:rsidRPr="006833CD">
        <w:rPr>
          <w:rFonts w:ascii="Times New Roman" w:hAnsi="Times New Roman"/>
          <w:szCs w:val="24"/>
        </w:rPr>
        <w:t xml:space="preserve">Hill </w:t>
      </w:r>
      <w:r w:rsidR="00E25511" w:rsidRPr="006833CD">
        <w:rPr>
          <w:rFonts w:ascii="Times New Roman" w:hAnsi="Times New Roman"/>
          <w:szCs w:val="24"/>
        </w:rPr>
        <w:t xml:space="preserve">then says </w:t>
      </w:r>
      <w:r w:rsidR="000309B2" w:rsidRPr="006833CD">
        <w:rPr>
          <w:rFonts w:ascii="Times New Roman" w:hAnsi="Times New Roman"/>
          <w:szCs w:val="24"/>
        </w:rPr>
        <w:t>the following:</w:t>
      </w:r>
    </w:p>
    <w:p w14:paraId="05385955" w14:textId="7FF764A6" w:rsidR="000309B2" w:rsidRPr="006833CD" w:rsidRDefault="00E25511" w:rsidP="000309B2">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lastRenderedPageBreak/>
        <w:t>The greater the potential for actual returns to deviate from expected returns, the higher the risk.  Conversely, the more certain an investor can be that the returns expected will be realized, the lower the risk.</w:t>
      </w:r>
      <w:r w:rsidRPr="00F71D8A">
        <w:rPr>
          <w:rStyle w:val="FootnoteReference"/>
        </w:rPr>
        <w:footnoteReference w:id="47"/>
      </w:r>
    </w:p>
    <w:p w14:paraId="5D0ABA3F" w14:textId="7B7513A8" w:rsidR="00E25511" w:rsidRPr="006833CD" w:rsidRDefault="00E25511" w:rsidP="000309B2">
      <w:pPr>
        <w:pStyle w:val="answer"/>
        <w:ind w:firstLine="0"/>
        <w:rPr>
          <w:rFonts w:ascii="Times New Roman" w:hAnsi="Times New Roman"/>
          <w:szCs w:val="24"/>
        </w:rPr>
      </w:pPr>
      <w:r w:rsidRPr="006833CD">
        <w:rPr>
          <w:rFonts w:ascii="Times New Roman" w:hAnsi="Times New Roman"/>
          <w:szCs w:val="24"/>
        </w:rPr>
        <w:t xml:space="preserve">Both statements are true for </w:t>
      </w:r>
      <w:r w:rsidRPr="006833CD">
        <w:rPr>
          <w:rFonts w:ascii="Times New Roman" w:hAnsi="Times New Roman"/>
          <w:i/>
          <w:szCs w:val="24"/>
        </w:rPr>
        <w:t>total risk</w:t>
      </w:r>
      <w:r w:rsidRPr="006833CD">
        <w:rPr>
          <w:rFonts w:ascii="Times New Roman" w:hAnsi="Times New Roman"/>
          <w:szCs w:val="24"/>
        </w:rPr>
        <w:t>, but the cost of capital for an investment will only be reduced if the risk reduced in the second statement is systematic risk</w:t>
      </w:r>
      <w:r w:rsidR="00D63624" w:rsidRPr="006833CD">
        <w:rPr>
          <w:rFonts w:ascii="Times New Roman" w:hAnsi="Times New Roman"/>
          <w:szCs w:val="24"/>
        </w:rPr>
        <w:t>.  Systematic risk, not diversifiable risk</w:t>
      </w:r>
      <w:r w:rsidRPr="006833CD">
        <w:rPr>
          <w:rFonts w:ascii="Times New Roman" w:hAnsi="Times New Roman"/>
          <w:szCs w:val="24"/>
        </w:rPr>
        <w:t xml:space="preserve"> is the risk that affects the cost of capital.</w:t>
      </w:r>
      <w:r w:rsidR="009E4DA1" w:rsidRPr="00F71D8A">
        <w:rPr>
          <w:rStyle w:val="FootnoteReference"/>
        </w:rPr>
        <w:footnoteReference w:id="48"/>
      </w:r>
    </w:p>
    <w:p w14:paraId="5D0ABA40" w14:textId="3FA8E109" w:rsidR="00AC1358"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E25511" w:rsidRPr="006833CD">
        <w:rPr>
          <w:rFonts w:ascii="Times New Roman" w:hAnsi="Times New Roman"/>
          <w:bCs/>
          <w:szCs w:val="24"/>
        </w:rPr>
        <w:t>What is the difference between systematic risk</w:t>
      </w:r>
      <w:r w:rsidR="00D63624" w:rsidRPr="006833CD">
        <w:rPr>
          <w:rFonts w:ascii="Times New Roman" w:hAnsi="Times New Roman"/>
          <w:bCs/>
          <w:szCs w:val="24"/>
        </w:rPr>
        <w:t>,</w:t>
      </w:r>
      <w:r w:rsidR="00E25511" w:rsidRPr="006833CD">
        <w:rPr>
          <w:rFonts w:ascii="Times New Roman" w:hAnsi="Times New Roman"/>
          <w:bCs/>
          <w:szCs w:val="24"/>
        </w:rPr>
        <w:t xml:space="preserve"> sometimes called market risk</w:t>
      </w:r>
      <w:r w:rsidR="00D63624" w:rsidRPr="006833CD">
        <w:rPr>
          <w:rFonts w:ascii="Times New Roman" w:hAnsi="Times New Roman"/>
          <w:bCs/>
          <w:szCs w:val="24"/>
        </w:rPr>
        <w:t>,</w:t>
      </w:r>
      <w:r w:rsidR="00E25511" w:rsidRPr="006833CD">
        <w:rPr>
          <w:rFonts w:ascii="Times New Roman" w:hAnsi="Times New Roman"/>
          <w:bCs/>
          <w:szCs w:val="24"/>
        </w:rPr>
        <w:t xml:space="preserve"> and non-systematic risk</w:t>
      </w:r>
      <w:r w:rsidR="00D63624" w:rsidRPr="006833CD">
        <w:rPr>
          <w:rFonts w:ascii="Times New Roman" w:hAnsi="Times New Roman"/>
          <w:bCs/>
          <w:szCs w:val="24"/>
        </w:rPr>
        <w:t>,</w:t>
      </w:r>
      <w:r w:rsidR="00E25511" w:rsidRPr="006833CD">
        <w:rPr>
          <w:rFonts w:ascii="Times New Roman" w:hAnsi="Times New Roman"/>
          <w:bCs/>
          <w:szCs w:val="24"/>
        </w:rPr>
        <w:t xml:space="preserve"> someti</w:t>
      </w:r>
      <w:r w:rsidR="00F71D8A">
        <w:rPr>
          <w:rFonts w:ascii="Times New Roman" w:hAnsi="Times New Roman"/>
          <w:bCs/>
          <w:szCs w:val="24"/>
        </w:rPr>
        <w:t>mes called diversifiable risk?</w:t>
      </w:r>
    </w:p>
    <w:p w14:paraId="1D070457" w14:textId="77777777" w:rsidR="000309B2" w:rsidRPr="006833CD" w:rsidRDefault="000309B2" w:rsidP="000309B2">
      <w:pPr>
        <w:pStyle w:val="answer"/>
        <w:rPr>
          <w:rFonts w:ascii="Times New Roman" w:eastAsia="SimSun" w:hAnsi="Times New Roman"/>
          <w:bCs/>
          <w:szCs w:val="24"/>
        </w:rPr>
      </w:pPr>
      <w:r w:rsidRPr="006833CD">
        <w:rPr>
          <w:rFonts w:ascii="Times New Roman" w:hAnsi="Times New Roman"/>
          <w:bCs/>
          <w:szCs w:val="24"/>
        </w:rPr>
        <w:t>A.</w:t>
      </w:r>
      <w:r w:rsidR="00AC1358" w:rsidRPr="006833CD">
        <w:rPr>
          <w:rFonts w:ascii="Times New Roman" w:hAnsi="Times New Roman"/>
          <w:bCs/>
          <w:szCs w:val="24"/>
        </w:rPr>
        <w:tab/>
      </w:r>
      <w:r w:rsidR="00E87E8D" w:rsidRPr="006833CD">
        <w:rPr>
          <w:rFonts w:ascii="Times New Roman" w:hAnsi="Times New Roman"/>
          <w:bCs/>
          <w:szCs w:val="24"/>
        </w:rPr>
        <w:t xml:space="preserve">The total risk of an investment can be divided into systematic risk and non-systematic.  </w:t>
      </w:r>
      <w:r w:rsidR="00A07996" w:rsidRPr="006833CD">
        <w:rPr>
          <w:rFonts w:ascii="Times New Roman" w:hAnsi="Times New Roman"/>
          <w:bCs/>
          <w:szCs w:val="24"/>
        </w:rPr>
        <w:t xml:space="preserve">Total risk of an asset is its total variance (i.e., the volatility) of its return </w:t>
      </w:r>
      <w:r w:rsidR="00D63624" w:rsidRPr="006833CD">
        <w:rPr>
          <w:rFonts w:ascii="Times New Roman" w:hAnsi="Times New Roman"/>
          <w:bCs/>
          <w:szCs w:val="24"/>
        </w:rPr>
        <w:t xml:space="preserve">as measured </w:t>
      </w:r>
      <w:r w:rsidR="00A07996" w:rsidRPr="006833CD">
        <w:rPr>
          <w:rFonts w:ascii="Times New Roman" w:hAnsi="Times New Roman"/>
          <w:bCs/>
          <w:szCs w:val="24"/>
        </w:rPr>
        <w:t xml:space="preserve">in capital markets.  The risk of </w:t>
      </w:r>
      <w:r w:rsidR="00E87E8D" w:rsidRPr="006833CD">
        <w:rPr>
          <w:rFonts w:ascii="Times New Roman" w:hAnsi="Times New Roman"/>
          <w:bCs/>
          <w:szCs w:val="24"/>
        </w:rPr>
        <w:t xml:space="preserve">the </w:t>
      </w:r>
      <w:r w:rsidR="00A07996" w:rsidRPr="006833CD">
        <w:rPr>
          <w:rFonts w:ascii="Times New Roman" w:hAnsi="Times New Roman"/>
          <w:bCs/>
          <w:szCs w:val="24"/>
        </w:rPr>
        <w:t xml:space="preserve">asset that cannot be diversified away when the asset is held in a well-diversified portfolio is the asset’s systematic risk or market risk.  </w:t>
      </w:r>
      <w:r w:rsidR="00A3679A" w:rsidRPr="006833CD">
        <w:rPr>
          <w:rFonts w:ascii="Times New Roman" w:hAnsi="Times New Roman"/>
          <w:bCs/>
          <w:szCs w:val="24"/>
        </w:rPr>
        <w:t>Because it cannot be avoided by an investor, t</w:t>
      </w:r>
      <w:r w:rsidR="00A07996" w:rsidRPr="006833CD">
        <w:rPr>
          <w:rFonts w:ascii="Times New Roman" w:hAnsi="Times New Roman"/>
          <w:bCs/>
          <w:szCs w:val="24"/>
        </w:rPr>
        <w:t>his is the risk that affects the cost of capital</w:t>
      </w:r>
      <w:r w:rsidR="00B64504" w:rsidRPr="006833CD">
        <w:rPr>
          <w:rFonts w:ascii="Times New Roman" w:hAnsi="Times New Roman"/>
          <w:bCs/>
          <w:szCs w:val="24"/>
        </w:rPr>
        <w:t>.</w:t>
      </w:r>
      <w:r w:rsidR="00A07996" w:rsidRPr="006833CD">
        <w:rPr>
          <w:rFonts w:ascii="Times New Roman" w:hAnsi="Times New Roman"/>
          <w:bCs/>
          <w:szCs w:val="24"/>
        </w:rPr>
        <w:t xml:space="preserve">  Investors do not expect to be compensated for an asset’s diversifiable risk (i.e., non-systematic risk) because it can be avoided through diversification.  Mr.</w:t>
      </w:r>
      <w:r w:rsidRPr="006833CD">
        <w:rPr>
          <w:rFonts w:ascii="Times New Roman" w:hAnsi="Times New Roman"/>
          <w:bCs/>
          <w:szCs w:val="24"/>
        </w:rPr>
        <w:t> </w:t>
      </w:r>
      <w:r w:rsidR="00A07996" w:rsidRPr="006833CD">
        <w:rPr>
          <w:rFonts w:ascii="Times New Roman" w:hAnsi="Times New Roman"/>
          <w:bCs/>
          <w:szCs w:val="24"/>
        </w:rPr>
        <w:t xml:space="preserve">Hill acknowledges this </w:t>
      </w:r>
      <w:r w:rsidR="00F80E84" w:rsidRPr="006833CD">
        <w:rPr>
          <w:rFonts w:ascii="Times New Roman" w:hAnsi="Times New Roman"/>
          <w:bCs/>
          <w:szCs w:val="24"/>
        </w:rPr>
        <w:t>distinction</w:t>
      </w:r>
      <w:r w:rsidR="00A07996" w:rsidRPr="006833CD">
        <w:rPr>
          <w:rFonts w:ascii="Times New Roman" w:hAnsi="Times New Roman"/>
          <w:bCs/>
          <w:szCs w:val="24"/>
        </w:rPr>
        <w:t>.</w:t>
      </w:r>
      <w:r w:rsidR="00A07996" w:rsidRPr="00F71D8A">
        <w:rPr>
          <w:rStyle w:val="FootnoteReference"/>
        </w:rPr>
        <w:footnoteReference w:id="49"/>
      </w:r>
    </w:p>
    <w:p w14:paraId="6AF8E4B6" w14:textId="294C471A" w:rsidR="00604765" w:rsidRPr="006833CD" w:rsidRDefault="00A07996" w:rsidP="00604765">
      <w:pPr>
        <w:pStyle w:val="answer"/>
        <w:ind w:firstLine="0"/>
        <w:rPr>
          <w:rFonts w:ascii="Times New Roman" w:eastAsia="SimSun" w:hAnsi="Times New Roman"/>
          <w:bCs/>
          <w:szCs w:val="24"/>
        </w:rPr>
      </w:pPr>
      <w:r w:rsidRPr="006833CD">
        <w:rPr>
          <w:rFonts w:ascii="Times New Roman" w:hAnsi="Times New Roman"/>
          <w:bCs/>
          <w:szCs w:val="24"/>
        </w:rPr>
        <w:t>Mr.</w:t>
      </w:r>
      <w:r w:rsidR="00604765" w:rsidRPr="006833CD">
        <w:rPr>
          <w:rFonts w:ascii="Times New Roman" w:hAnsi="Times New Roman"/>
          <w:bCs/>
          <w:szCs w:val="24"/>
        </w:rPr>
        <w:t> </w:t>
      </w:r>
      <w:r w:rsidRPr="006833CD">
        <w:rPr>
          <w:rFonts w:ascii="Times New Roman" w:hAnsi="Times New Roman"/>
          <w:bCs/>
          <w:szCs w:val="24"/>
        </w:rPr>
        <w:t xml:space="preserve">Hill says </w:t>
      </w:r>
      <w:r w:rsidR="000309B2" w:rsidRPr="006833CD">
        <w:rPr>
          <w:rFonts w:ascii="Times New Roman" w:hAnsi="Times New Roman"/>
          <w:bCs/>
          <w:szCs w:val="24"/>
        </w:rPr>
        <w:t xml:space="preserve">that </w:t>
      </w:r>
      <w:r w:rsidRPr="006833CD">
        <w:rPr>
          <w:rFonts w:ascii="Times New Roman" w:hAnsi="Times New Roman"/>
          <w:bCs/>
          <w:szCs w:val="24"/>
        </w:rPr>
        <w:t>“</w:t>
      </w:r>
      <w:r w:rsidR="000309B2" w:rsidRPr="006833CD">
        <w:rPr>
          <w:rFonts w:ascii="Times New Roman" w:hAnsi="Times New Roman"/>
          <w:bCs/>
          <w:szCs w:val="24"/>
        </w:rPr>
        <w:t>[o]</w:t>
      </w:r>
      <w:r w:rsidRPr="006833CD">
        <w:rPr>
          <w:rFonts w:ascii="Times New Roman" w:hAnsi="Times New Roman"/>
          <w:szCs w:val="24"/>
        </w:rPr>
        <w:t>ne measure of the risk of a financial asset, then, is the volatility or variability of the income stream it generates.”</w:t>
      </w:r>
      <w:r w:rsidRPr="006833CD">
        <w:rPr>
          <w:rStyle w:val="FootnoteReference"/>
          <w:sz w:val="24"/>
          <w:szCs w:val="24"/>
        </w:rPr>
        <w:footnoteReference w:id="50"/>
      </w:r>
      <w:r w:rsidRPr="006833CD">
        <w:rPr>
          <w:rFonts w:ascii="Times New Roman" w:hAnsi="Times New Roman"/>
          <w:szCs w:val="24"/>
        </w:rPr>
        <w:t xml:space="preserve">  This may be o</w:t>
      </w:r>
      <w:r w:rsidR="00C77B7A" w:rsidRPr="006833CD">
        <w:rPr>
          <w:rFonts w:ascii="Times New Roman" w:hAnsi="Times New Roman"/>
          <w:szCs w:val="24"/>
        </w:rPr>
        <w:t>ne measure</w:t>
      </w:r>
      <w:r w:rsidR="00604765" w:rsidRPr="006833CD">
        <w:rPr>
          <w:rFonts w:ascii="Times New Roman" w:hAnsi="Times New Roman"/>
          <w:szCs w:val="24"/>
        </w:rPr>
        <w:t>,</w:t>
      </w:r>
      <w:r w:rsidR="00C77B7A" w:rsidRPr="006833CD">
        <w:rPr>
          <w:rFonts w:ascii="Times New Roman" w:hAnsi="Times New Roman"/>
          <w:szCs w:val="24"/>
        </w:rPr>
        <w:t xml:space="preserve"> but it is not the sta</w:t>
      </w:r>
      <w:r w:rsidRPr="006833CD">
        <w:rPr>
          <w:rFonts w:ascii="Times New Roman" w:hAnsi="Times New Roman"/>
          <w:szCs w:val="24"/>
        </w:rPr>
        <w:t xml:space="preserve">ndard measure of risk in cost of capital theory.  </w:t>
      </w:r>
      <w:r w:rsidRPr="006833CD">
        <w:rPr>
          <w:rFonts w:ascii="Times New Roman" w:hAnsi="Times New Roman"/>
          <w:szCs w:val="24"/>
        </w:rPr>
        <w:lastRenderedPageBreak/>
        <w:t>Certainly</w:t>
      </w:r>
      <w:r w:rsidR="00604765" w:rsidRPr="006833CD">
        <w:rPr>
          <w:rFonts w:ascii="Times New Roman" w:hAnsi="Times New Roman"/>
          <w:szCs w:val="24"/>
        </w:rPr>
        <w:t>,</w:t>
      </w:r>
      <w:r w:rsidRPr="006833CD">
        <w:rPr>
          <w:rFonts w:ascii="Times New Roman" w:hAnsi="Times New Roman"/>
          <w:szCs w:val="24"/>
        </w:rPr>
        <w:t xml:space="preserve"> income is important to an investor, but the variability of that income </w:t>
      </w:r>
      <w:r w:rsidR="00C77B7A" w:rsidRPr="006833CD">
        <w:rPr>
          <w:rFonts w:ascii="Times New Roman" w:hAnsi="Times New Roman"/>
          <w:szCs w:val="24"/>
        </w:rPr>
        <w:t xml:space="preserve">with regard to the cost of capital depends upon whether </w:t>
      </w:r>
      <w:r w:rsidR="0068576F" w:rsidRPr="006833CD">
        <w:rPr>
          <w:rFonts w:ascii="Times New Roman" w:hAnsi="Times New Roman"/>
          <w:szCs w:val="24"/>
        </w:rPr>
        <w:t xml:space="preserve">and how </w:t>
      </w:r>
      <w:r w:rsidR="00C77B7A" w:rsidRPr="006833CD">
        <w:rPr>
          <w:rFonts w:ascii="Times New Roman" w:hAnsi="Times New Roman"/>
          <w:szCs w:val="24"/>
        </w:rPr>
        <w:t>the variability results in fluctuation in the asset’s returns</w:t>
      </w:r>
      <w:r w:rsidR="00604765" w:rsidRPr="006833CD">
        <w:rPr>
          <w:rFonts w:ascii="Times New Roman" w:hAnsi="Times New Roman"/>
          <w:szCs w:val="24"/>
        </w:rPr>
        <w:t xml:space="preserve"> that is diversifiable or not.</w:t>
      </w:r>
    </w:p>
    <w:p w14:paraId="0ED03459" w14:textId="77777777" w:rsidR="00604765" w:rsidRPr="006833CD" w:rsidRDefault="0068576F" w:rsidP="00604765">
      <w:pPr>
        <w:pStyle w:val="answer"/>
        <w:ind w:firstLine="0"/>
        <w:rPr>
          <w:rFonts w:ascii="Times New Roman" w:hAnsi="Times New Roman"/>
          <w:szCs w:val="24"/>
        </w:rPr>
      </w:pPr>
      <w:r w:rsidRPr="006833CD">
        <w:rPr>
          <w:rFonts w:ascii="Times New Roman" w:hAnsi="Times New Roman"/>
          <w:szCs w:val="24"/>
        </w:rPr>
        <w:t>Mr.</w:t>
      </w:r>
      <w:r w:rsidR="00604765" w:rsidRPr="006833CD">
        <w:rPr>
          <w:rFonts w:ascii="Times New Roman" w:hAnsi="Times New Roman"/>
          <w:szCs w:val="24"/>
        </w:rPr>
        <w:t> </w:t>
      </w:r>
      <w:r w:rsidRPr="006833CD">
        <w:rPr>
          <w:rFonts w:ascii="Times New Roman" w:hAnsi="Times New Roman"/>
          <w:szCs w:val="24"/>
        </w:rPr>
        <w:t xml:space="preserve">Hill then says </w:t>
      </w:r>
      <w:r w:rsidR="00604765" w:rsidRPr="006833CD">
        <w:rPr>
          <w:rFonts w:ascii="Times New Roman" w:hAnsi="Times New Roman"/>
          <w:szCs w:val="24"/>
        </w:rPr>
        <w:t xml:space="preserve">that </w:t>
      </w:r>
    </w:p>
    <w:p w14:paraId="5529B544" w14:textId="26E91D7A" w:rsidR="00604765" w:rsidRPr="006833CD" w:rsidRDefault="00604765" w:rsidP="0060476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[t]</w:t>
      </w:r>
      <w:r w:rsidR="0068576F" w:rsidRPr="006833CD">
        <w:rPr>
          <w:rFonts w:ascii="Times New Roman" w:hAnsi="Times New Roman"/>
          <w:szCs w:val="24"/>
        </w:rPr>
        <w:t>he fact that the volatility of a financial asset is directly related to its investment risk is neither controversial nor difficult to comprehend, and that concept is fundamental to this method of assessing the risk impact of decoupling.</w:t>
      </w:r>
      <w:r w:rsidR="0068576F" w:rsidRPr="00F71D8A">
        <w:rPr>
          <w:rStyle w:val="FootnoteReference"/>
        </w:rPr>
        <w:footnoteReference w:id="51"/>
      </w:r>
    </w:p>
    <w:p w14:paraId="5D0ABA45" w14:textId="480568B7" w:rsidR="0068576F" w:rsidRPr="006833CD" w:rsidRDefault="00604765" w:rsidP="00604765">
      <w:pPr>
        <w:pStyle w:val="answer"/>
        <w:ind w:firstLine="0"/>
        <w:rPr>
          <w:rFonts w:ascii="Times New Roman" w:eastAsia="SimSun" w:hAnsi="Times New Roman"/>
          <w:bCs/>
          <w:szCs w:val="24"/>
        </w:rPr>
      </w:pPr>
      <w:r w:rsidRPr="006833CD">
        <w:rPr>
          <w:rFonts w:ascii="Times New Roman" w:hAnsi="Times New Roman"/>
          <w:szCs w:val="24"/>
        </w:rPr>
        <w:t>Of course, t</w:t>
      </w:r>
      <w:r w:rsidR="0068576F" w:rsidRPr="006833CD">
        <w:rPr>
          <w:rFonts w:ascii="Times New Roman" w:hAnsi="Times New Roman"/>
          <w:szCs w:val="24"/>
        </w:rPr>
        <w:t>his is</w:t>
      </w:r>
      <w:r w:rsidRPr="006833CD">
        <w:rPr>
          <w:rFonts w:ascii="Times New Roman" w:hAnsi="Times New Roman"/>
          <w:szCs w:val="24"/>
        </w:rPr>
        <w:t xml:space="preserve"> </w:t>
      </w:r>
      <w:r w:rsidR="0068576F" w:rsidRPr="006833CD">
        <w:rPr>
          <w:rFonts w:ascii="Times New Roman" w:hAnsi="Times New Roman"/>
          <w:szCs w:val="24"/>
        </w:rPr>
        <w:t xml:space="preserve">true if he is referring to the volatility of the capital market returns on the asset, but he </w:t>
      </w:r>
      <w:r w:rsidR="007F31F8" w:rsidRPr="006833CD">
        <w:rPr>
          <w:rFonts w:ascii="Times New Roman" w:hAnsi="Times New Roman"/>
          <w:szCs w:val="24"/>
        </w:rPr>
        <w:t>has s</w:t>
      </w:r>
      <w:r w:rsidR="005B2FA0" w:rsidRPr="006833CD">
        <w:rPr>
          <w:rFonts w:ascii="Times New Roman" w:hAnsi="Times New Roman"/>
          <w:szCs w:val="24"/>
        </w:rPr>
        <w:t>h</w:t>
      </w:r>
      <w:r w:rsidR="007F31F8" w:rsidRPr="006833CD">
        <w:rPr>
          <w:rFonts w:ascii="Times New Roman" w:hAnsi="Times New Roman"/>
          <w:szCs w:val="24"/>
        </w:rPr>
        <w:t xml:space="preserve">ifted </w:t>
      </w:r>
      <w:r w:rsidR="0068576F" w:rsidRPr="006833CD">
        <w:rPr>
          <w:rFonts w:ascii="Times New Roman" w:hAnsi="Times New Roman"/>
          <w:szCs w:val="24"/>
        </w:rPr>
        <w:t xml:space="preserve">from a focus on </w:t>
      </w:r>
      <w:r w:rsidR="00FD1E0D" w:rsidRPr="006833CD">
        <w:rPr>
          <w:rFonts w:ascii="Times New Roman" w:hAnsi="Times New Roman"/>
          <w:szCs w:val="24"/>
        </w:rPr>
        <w:t xml:space="preserve">net </w:t>
      </w:r>
      <w:r w:rsidR="0068576F" w:rsidRPr="006833CD">
        <w:rPr>
          <w:rFonts w:ascii="Times New Roman" w:hAnsi="Times New Roman"/>
          <w:szCs w:val="24"/>
        </w:rPr>
        <w:t>revenues for a regulated company to the returns in capital markets</w:t>
      </w:r>
      <w:r w:rsidR="007F31F8" w:rsidRPr="006833CD">
        <w:rPr>
          <w:rFonts w:ascii="Times New Roman" w:hAnsi="Times New Roman"/>
          <w:szCs w:val="24"/>
        </w:rPr>
        <w:t>,</w:t>
      </w:r>
      <w:r w:rsidR="009C5A44" w:rsidRPr="006833CD">
        <w:rPr>
          <w:rFonts w:ascii="Times New Roman" w:hAnsi="Times New Roman"/>
          <w:szCs w:val="24"/>
        </w:rPr>
        <w:t xml:space="preserve"> without any consideration of the </w:t>
      </w:r>
      <w:r w:rsidR="007F31F8" w:rsidRPr="006833CD">
        <w:rPr>
          <w:rFonts w:ascii="Times New Roman" w:hAnsi="Times New Roman"/>
          <w:szCs w:val="24"/>
        </w:rPr>
        <w:t xml:space="preserve">critical </w:t>
      </w:r>
      <w:r w:rsidR="009C5A44" w:rsidRPr="006833CD">
        <w:rPr>
          <w:rFonts w:ascii="Times New Roman" w:hAnsi="Times New Roman"/>
          <w:szCs w:val="24"/>
        </w:rPr>
        <w:t xml:space="preserve">steps from revenues to market returns.  </w:t>
      </w:r>
      <w:r w:rsidR="00FD1E0D" w:rsidRPr="006833CD">
        <w:rPr>
          <w:rFonts w:ascii="Times New Roman" w:hAnsi="Times New Roman"/>
          <w:szCs w:val="24"/>
        </w:rPr>
        <w:t>Volatility of net revenue is not the same as volatility of capital market returns.</w:t>
      </w:r>
    </w:p>
    <w:p w14:paraId="5D0ABA46" w14:textId="5626153A" w:rsidR="00A07996"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9C5A44" w:rsidRPr="006833CD">
        <w:rPr>
          <w:rFonts w:ascii="Times New Roman" w:hAnsi="Times New Roman"/>
          <w:bCs/>
          <w:szCs w:val="24"/>
        </w:rPr>
        <w:t>What are the steps from revenues to market returns?</w:t>
      </w:r>
    </w:p>
    <w:p w14:paraId="5D0ABA47" w14:textId="64B1A1FC" w:rsidR="00A07996" w:rsidRPr="006833CD" w:rsidRDefault="008E50A1" w:rsidP="0060476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9C5A44" w:rsidRPr="006833CD">
        <w:rPr>
          <w:rFonts w:ascii="Times New Roman" w:hAnsi="Times New Roman"/>
          <w:bCs/>
          <w:szCs w:val="24"/>
        </w:rPr>
        <w:t>In simple terms, net income (i.e.</w:t>
      </w:r>
      <w:r w:rsidR="00571320" w:rsidRPr="006833CD">
        <w:rPr>
          <w:rFonts w:ascii="Times New Roman" w:hAnsi="Times New Roman"/>
          <w:bCs/>
          <w:szCs w:val="24"/>
        </w:rPr>
        <w:t xml:space="preserve"> </w:t>
      </w:r>
      <w:r w:rsidR="009C5A44" w:rsidRPr="006833CD">
        <w:rPr>
          <w:rFonts w:ascii="Times New Roman" w:hAnsi="Times New Roman"/>
          <w:bCs/>
          <w:szCs w:val="24"/>
        </w:rPr>
        <w:t>profit)</w:t>
      </w:r>
      <w:r w:rsidR="00571320" w:rsidRPr="00F71D8A">
        <w:rPr>
          <w:rStyle w:val="FootnoteReference"/>
        </w:rPr>
        <w:footnoteReference w:id="52"/>
      </w:r>
      <w:r w:rsidR="009C5A44" w:rsidRPr="006833CD">
        <w:rPr>
          <w:rFonts w:ascii="Times New Roman" w:hAnsi="Times New Roman"/>
          <w:bCs/>
          <w:szCs w:val="24"/>
        </w:rPr>
        <w:t xml:space="preserve"> is revenues </w:t>
      </w:r>
      <w:r w:rsidR="009C5A44" w:rsidRPr="006833CD">
        <w:rPr>
          <w:rFonts w:ascii="Times New Roman" w:hAnsi="Times New Roman"/>
          <w:i/>
          <w:szCs w:val="24"/>
        </w:rPr>
        <w:t>minus</w:t>
      </w:r>
      <w:r w:rsidR="009C5A44" w:rsidRPr="006833CD">
        <w:rPr>
          <w:rFonts w:ascii="Times New Roman" w:hAnsi="Times New Roman"/>
          <w:bCs/>
          <w:szCs w:val="24"/>
        </w:rPr>
        <w:t xml:space="preserve"> costs, and clearly net income is more important to investors than revenues.  For example, if revenues increase but by less than costs, net income is lower and vice versa.  Some volatility in income is the result of diversifiable risk such as weather so would not affect the cost of capital.  Net income affects market price</w:t>
      </w:r>
      <w:r w:rsidR="007F31F8" w:rsidRPr="006833CD">
        <w:rPr>
          <w:rFonts w:ascii="Times New Roman" w:hAnsi="Times New Roman"/>
          <w:bCs/>
          <w:szCs w:val="24"/>
        </w:rPr>
        <w:t xml:space="preserve"> of </w:t>
      </w:r>
      <w:r w:rsidR="005B2FA0" w:rsidRPr="006833CD">
        <w:rPr>
          <w:rFonts w:ascii="Times New Roman" w:hAnsi="Times New Roman"/>
          <w:bCs/>
          <w:szCs w:val="24"/>
        </w:rPr>
        <w:t>equity</w:t>
      </w:r>
      <w:r w:rsidR="009C5A44" w:rsidRPr="006833CD">
        <w:rPr>
          <w:rFonts w:ascii="Times New Roman" w:hAnsi="Times New Roman"/>
          <w:bCs/>
          <w:szCs w:val="24"/>
        </w:rPr>
        <w:t xml:space="preserve">, but it is one of many things that affect market prices such as expectations regarding future prospects of the company, the state of the economy, etc.  </w:t>
      </w:r>
      <w:r w:rsidR="00C745CB" w:rsidRPr="006833CD">
        <w:rPr>
          <w:rFonts w:ascii="Times New Roman" w:hAnsi="Times New Roman"/>
          <w:bCs/>
          <w:szCs w:val="24"/>
        </w:rPr>
        <w:t>I</w:t>
      </w:r>
      <w:r w:rsidR="009C5A44" w:rsidRPr="006833CD">
        <w:rPr>
          <w:rFonts w:ascii="Times New Roman" w:hAnsi="Times New Roman"/>
          <w:bCs/>
          <w:szCs w:val="24"/>
        </w:rPr>
        <w:t xml:space="preserve">t is not </w:t>
      </w:r>
      <w:r w:rsidR="007F31F8" w:rsidRPr="006833CD">
        <w:rPr>
          <w:rFonts w:ascii="Times New Roman" w:hAnsi="Times New Roman"/>
          <w:bCs/>
          <w:szCs w:val="24"/>
        </w:rPr>
        <w:t>“</w:t>
      </w:r>
      <w:r w:rsidR="002002EE" w:rsidRPr="006833CD">
        <w:rPr>
          <w:rFonts w:ascii="Times New Roman" w:hAnsi="Times New Roman"/>
          <w:bCs/>
          <w:szCs w:val="24"/>
        </w:rPr>
        <w:t xml:space="preserve">intuitively </w:t>
      </w:r>
      <w:r w:rsidR="002002EE" w:rsidRPr="006833CD">
        <w:rPr>
          <w:rFonts w:ascii="Times New Roman" w:hAnsi="Times New Roman"/>
          <w:bCs/>
          <w:szCs w:val="24"/>
        </w:rPr>
        <w:lastRenderedPageBreak/>
        <w:t>obvious</w:t>
      </w:r>
      <w:r w:rsidR="007F31F8" w:rsidRPr="006833CD">
        <w:rPr>
          <w:rFonts w:ascii="Times New Roman" w:hAnsi="Times New Roman"/>
          <w:bCs/>
          <w:szCs w:val="24"/>
        </w:rPr>
        <w:t>”</w:t>
      </w:r>
      <w:r w:rsidR="00604765" w:rsidRPr="00F71D8A">
        <w:rPr>
          <w:rStyle w:val="FootnoteReference"/>
        </w:rPr>
        <w:footnoteReference w:id="53"/>
      </w:r>
      <w:r w:rsidR="007F31F8" w:rsidRPr="006833CD">
        <w:rPr>
          <w:rFonts w:ascii="Times New Roman" w:hAnsi="Times New Roman"/>
          <w:bCs/>
          <w:szCs w:val="24"/>
        </w:rPr>
        <w:t xml:space="preserve"> </w:t>
      </w:r>
      <w:r w:rsidR="009C5A44" w:rsidRPr="006833CD">
        <w:rPr>
          <w:rFonts w:ascii="Times New Roman" w:hAnsi="Times New Roman"/>
          <w:bCs/>
          <w:szCs w:val="24"/>
        </w:rPr>
        <w:t xml:space="preserve">what </w:t>
      </w:r>
      <w:r w:rsidR="00FD1E0D" w:rsidRPr="006833CD">
        <w:rPr>
          <w:rFonts w:ascii="Times New Roman" w:hAnsi="Times New Roman"/>
          <w:bCs/>
          <w:szCs w:val="24"/>
        </w:rPr>
        <w:t xml:space="preserve">the </w:t>
      </w:r>
      <w:r w:rsidR="009C5A44" w:rsidRPr="006833CD">
        <w:rPr>
          <w:rFonts w:ascii="Times New Roman" w:hAnsi="Times New Roman"/>
          <w:bCs/>
          <w:szCs w:val="24"/>
        </w:rPr>
        <w:t>effect on market returns will be</w:t>
      </w:r>
      <w:r w:rsidR="007F31F8" w:rsidRPr="006833CD">
        <w:rPr>
          <w:rFonts w:ascii="Times New Roman" w:hAnsi="Times New Roman"/>
          <w:bCs/>
          <w:szCs w:val="24"/>
        </w:rPr>
        <w:t xml:space="preserve"> </w:t>
      </w:r>
      <w:r w:rsidR="009C5A44" w:rsidRPr="006833CD">
        <w:rPr>
          <w:rFonts w:ascii="Times New Roman" w:hAnsi="Times New Roman"/>
          <w:bCs/>
          <w:szCs w:val="24"/>
        </w:rPr>
        <w:t xml:space="preserve">from a reduction in volatility of revenues.  </w:t>
      </w:r>
      <w:r w:rsidR="00C745CB" w:rsidRPr="006833CD">
        <w:rPr>
          <w:rFonts w:ascii="Times New Roman" w:hAnsi="Times New Roman"/>
          <w:bCs/>
          <w:szCs w:val="24"/>
        </w:rPr>
        <w:t>To be clear, I am not saying that decoupling will have no effect on the volatility of net income</w:t>
      </w:r>
      <w:r w:rsidR="002002EE" w:rsidRPr="006833CD">
        <w:rPr>
          <w:rFonts w:ascii="Times New Roman" w:hAnsi="Times New Roman"/>
          <w:bCs/>
          <w:szCs w:val="24"/>
        </w:rPr>
        <w:t>, rather the size and nature of the effect cannot be assumed to be one to one</w:t>
      </w:r>
      <w:r w:rsidR="002C6656" w:rsidRPr="006833CD">
        <w:rPr>
          <w:rFonts w:ascii="Times New Roman" w:hAnsi="Times New Roman"/>
          <w:bCs/>
          <w:szCs w:val="24"/>
        </w:rPr>
        <w:t>.  T</w:t>
      </w:r>
      <w:r w:rsidR="00C745CB" w:rsidRPr="006833CD">
        <w:rPr>
          <w:rFonts w:ascii="Times New Roman" w:hAnsi="Times New Roman"/>
          <w:bCs/>
          <w:szCs w:val="24"/>
        </w:rPr>
        <w:t xml:space="preserve">he reduction of volatility of net income </w:t>
      </w:r>
      <w:r w:rsidR="002C6656" w:rsidRPr="006833CD">
        <w:rPr>
          <w:rFonts w:ascii="Times New Roman" w:hAnsi="Times New Roman"/>
          <w:bCs/>
          <w:szCs w:val="24"/>
        </w:rPr>
        <w:t>is likely to</w:t>
      </w:r>
      <w:r w:rsidR="00571320" w:rsidRPr="006833CD">
        <w:rPr>
          <w:rFonts w:ascii="Times New Roman" w:hAnsi="Times New Roman"/>
          <w:bCs/>
          <w:szCs w:val="24"/>
        </w:rPr>
        <w:t xml:space="preserve"> </w:t>
      </w:r>
      <w:r w:rsidR="00C745CB" w:rsidRPr="006833CD">
        <w:rPr>
          <w:rFonts w:ascii="Times New Roman" w:hAnsi="Times New Roman"/>
          <w:bCs/>
          <w:szCs w:val="24"/>
        </w:rPr>
        <w:t xml:space="preserve">be smaller than for </w:t>
      </w:r>
      <w:r w:rsidR="002002EE" w:rsidRPr="006833CD">
        <w:rPr>
          <w:rFonts w:ascii="Times New Roman" w:hAnsi="Times New Roman"/>
          <w:bCs/>
          <w:szCs w:val="24"/>
        </w:rPr>
        <w:t xml:space="preserve">reduction in volatility of </w:t>
      </w:r>
      <w:r w:rsidR="00C745CB" w:rsidRPr="006833CD">
        <w:rPr>
          <w:rFonts w:ascii="Times New Roman" w:hAnsi="Times New Roman"/>
          <w:bCs/>
          <w:szCs w:val="24"/>
        </w:rPr>
        <w:t>revenues</w:t>
      </w:r>
      <w:r w:rsidR="00571320" w:rsidRPr="006833CD">
        <w:rPr>
          <w:rFonts w:ascii="Times New Roman" w:hAnsi="Times New Roman"/>
          <w:bCs/>
          <w:szCs w:val="24"/>
        </w:rPr>
        <w:t>, and it is</w:t>
      </w:r>
      <w:r w:rsidR="002002EE" w:rsidRPr="006833CD">
        <w:rPr>
          <w:rFonts w:ascii="Times New Roman" w:hAnsi="Times New Roman"/>
          <w:bCs/>
          <w:szCs w:val="24"/>
        </w:rPr>
        <w:t xml:space="preserve"> </w:t>
      </w:r>
      <w:r w:rsidR="00571320" w:rsidRPr="006833CD">
        <w:rPr>
          <w:rFonts w:ascii="Times New Roman" w:hAnsi="Times New Roman"/>
          <w:bCs/>
          <w:szCs w:val="24"/>
        </w:rPr>
        <w:t xml:space="preserve">net income volatility that is the </w:t>
      </w:r>
      <w:r w:rsidR="002C6656" w:rsidRPr="006833CD">
        <w:rPr>
          <w:rFonts w:ascii="Times New Roman" w:hAnsi="Times New Roman"/>
          <w:bCs/>
          <w:szCs w:val="24"/>
        </w:rPr>
        <w:t>more important factor.</w:t>
      </w:r>
    </w:p>
    <w:p w14:paraId="5D0ABA48" w14:textId="46F9BD05" w:rsidR="00A07996" w:rsidRPr="006833CD" w:rsidRDefault="00A07996"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C745CB" w:rsidRPr="006833CD">
        <w:rPr>
          <w:rFonts w:ascii="Times New Roman" w:hAnsi="Times New Roman"/>
          <w:bCs/>
          <w:szCs w:val="24"/>
        </w:rPr>
        <w:t>How does Mr.</w:t>
      </w:r>
      <w:r w:rsidR="00604765" w:rsidRPr="006833CD">
        <w:rPr>
          <w:rFonts w:ascii="Times New Roman" w:hAnsi="Times New Roman"/>
          <w:bCs/>
          <w:szCs w:val="24"/>
        </w:rPr>
        <w:t> </w:t>
      </w:r>
      <w:r w:rsidR="00C745CB" w:rsidRPr="006833CD">
        <w:rPr>
          <w:rFonts w:ascii="Times New Roman" w:hAnsi="Times New Roman"/>
          <w:bCs/>
          <w:szCs w:val="24"/>
        </w:rPr>
        <w:t>Hill use this series of statements to try to make his case?</w:t>
      </w:r>
      <w:r w:rsidRPr="006833CD">
        <w:rPr>
          <w:rFonts w:ascii="Times New Roman" w:hAnsi="Times New Roman"/>
          <w:bCs/>
          <w:szCs w:val="24"/>
        </w:rPr>
        <w:t xml:space="preserve"> </w:t>
      </w:r>
    </w:p>
    <w:p w14:paraId="5D0ABA53" w14:textId="7A5884AF" w:rsidR="00AC1358" w:rsidRPr="006833CD" w:rsidRDefault="00A07996" w:rsidP="00604765">
      <w:pPr>
        <w:pStyle w:val="question"/>
        <w:spacing w:before="120"/>
        <w:rPr>
          <w:rFonts w:ascii="Times New Roman" w:hAnsi="Times New Roman"/>
          <w:szCs w:val="24"/>
        </w:rPr>
      </w:pPr>
      <w:r w:rsidRPr="006833CD">
        <w:rPr>
          <w:rFonts w:ascii="Times New Roman" w:hAnsi="Times New Roman"/>
          <w:b w:val="0"/>
          <w:bCs/>
          <w:szCs w:val="24"/>
        </w:rPr>
        <w:t>A.</w:t>
      </w:r>
      <w:r w:rsidRPr="006833CD">
        <w:rPr>
          <w:rFonts w:ascii="Times New Roman" w:hAnsi="Times New Roman"/>
          <w:bCs/>
          <w:szCs w:val="24"/>
        </w:rPr>
        <w:tab/>
      </w:r>
      <w:r w:rsidR="000502D3" w:rsidRPr="006833CD">
        <w:rPr>
          <w:rFonts w:ascii="Times New Roman" w:hAnsi="Times New Roman"/>
          <w:b w:val="0"/>
          <w:bCs/>
          <w:szCs w:val="24"/>
        </w:rPr>
        <w:t>Mr.</w:t>
      </w:r>
      <w:r w:rsidR="000502D3" w:rsidRPr="006833CD">
        <w:rPr>
          <w:rFonts w:ascii="Times New Roman" w:hAnsi="Times New Roman"/>
          <w:bCs/>
          <w:szCs w:val="24"/>
        </w:rPr>
        <w:t> </w:t>
      </w:r>
      <w:r w:rsidR="00C745CB" w:rsidRPr="006833CD">
        <w:rPr>
          <w:rFonts w:ascii="Times New Roman" w:hAnsi="Times New Roman"/>
          <w:b w:val="0"/>
          <w:bCs/>
          <w:szCs w:val="24"/>
        </w:rPr>
        <w:t xml:space="preserve">Hill says </w:t>
      </w:r>
      <w:r w:rsidR="00604765" w:rsidRPr="006833CD">
        <w:rPr>
          <w:rFonts w:ascii="Times New Roman" w:hAnsi="Times New Roman"/>
          <w:b w:val="0"/>
          <w:bCs/>
          <w:szCs w:val="24"/>
        </w:rPr>
        <w:t xml:space="preserve">that </w:t>
      </w:r>
      <w:r w:rsidR="00C745CB" w:rsidRPr="006833CD">
        <w:rPr>
          <w:rFonts w:ascii="Times New Roman" w:hAnsi="Times New Roman"/>
          <w:b w:val="0"/>
          <w:bCs/>
          <w:szCs w:val="24"/>
        </w:rPr>
        <w:t>“</w:t>
      </w:r>
      <w:r w:rsidR="00C745CB" w:rsidRPr="006833CD">
        <w:rPr>
          <w:rFonts w:ascii="Times New Roman" w:hAnsi="Times New Roman"/>
          <w:b w:val="0"/>
          <w:szCs w:val="24"/>
        </w:rPr>
        <w:t>it is intuitively obvious that the more the utility’s revenue volatility is eliminated by decoupling, the greater the risk reduction caused by decoupling and the lower the allowed equity return should be.”</w:t>
      </w:r>
      <w:r w:rsidR="00C745CB" w:rsidRPr="00F71D8A">
        <w:rPr>
          <w:rStyle w:val="FootnoteReference"/>
          <w:b w:val="0"/>
        </w:rPr>
        <w:footnoteReference w:id="54"/>
      </w:r>
      <w:r w:rsidR="00C745CB" w:rsidRPr="006833CD">
        <w:rPr>
          <w:rFonts w:ascii="Times New Roman" w:hAnsi="Times New Roman"/>
          <w:b w:val="0"/>
          <w:szCs w:val="24"/>
        </w:rPr>
        <w:t xml:space="preserve">  </w:t>
      </w:r>
      <w:r w:rsidR="00A2355F" w:rsidRPr="006833CD">
        <w:rPr>
          <w:rFonts w:ascii="Times New Roman" w:hAnsi="Times New Roman"/>
          <w:b w:val="0"/>
          <w:szCs w:val="24"/>
        </w:rPr>
        <w:t>In</w:t>
      </w:r>
      <w:r w:rsidR="00571320" w:rsidRPr="006833CD">
        <w:rPr>
          <w:rFonts w:ascii="Times New Roman" w:hAnsi="Times New Roman"/>
          <w:b w:val="0"/>
          <w:szCs w:val="24"/>
        </w:rPr>
        <w:t xml:space="preserve"> general, t</w:t>
      </w:r>
      <w:r w:rsidR="00C745CB" w:rsidRPr="006833CD">
        <w:rPr>
          <w:rFonts w:ascii="Times New Roman" w:hAnsi="Times New Roman"/>
          <w:b w:val="0"/>
          <w:szCs w:val="24"/>
        </w:rPr>
        <w:t>his</w:t>
      </w:r>
      <w:r w:rsidR="00C745CB" w:rsidRPr="006833CD" w:rsidDel="00571320">
        <w:rPr>
          <w:rFonts w:ascii="Times New Roman" w:hAnsi="Times New Roman"/>
          <w:b w:val="0"/>
          <w:szCs w:val="24"/>
        </w:rPr>
        <w:t xml:space="preserve"> </w:t>
      </w:r>
      <w:r w:rsidR="00C745CB" w:rsidRPr="006833CD">
        <w:rPr>
          <w:rFonts w:ascii="Times New Roman" w:hAnsi="Times New Roman"/>
          <w:b w:val="0"/>
          <w:szCs w:val="24"/>
        </w:rPr>
        <w:t>is false.</w:t>
      </w:r>
      <w:r w:rsidR="00571320" w:rsidRPr="006833CD">
        <w:rPr>
          <w:rFonts w:ascii="Times New Roman" w:hAnsi="Times New Roman"/>
          <w:b w:val="0"/>
          <w:szCs w:val="24"/>
        </w:rPr>
        <w:t xml:space="preserve">  It </w:t>
      </w:r>
      <w:r w:rsidR="002117A1" w:rsidRPr="006833CD">
        <w:rPr>
          <w:rFonts w:ascii="Times New Roman" w:hAnsi="Times New Roman"/>
          <w:b w:val="0"/>
          <w:szCs w:val="24"/>
        </w:rPr>
        <w:t xml:space="preserve">is only true if the facts of the </w:t>
      </w:r>
      <w:r w:rsidR="00571320" w:rsidRPr="006833CD">
        <w:rPr>
          <w:rFonts w:ascii="Times New Roman" w:hAnsi="Times New Roman"/>
          <w:b w:val="0"/>
          <w:szCs w:val="24"/>
        </w:rPr>
        <w:t>situation</w:t>
      </w:r>
      <w:r w:rsidR="002117A1" w:rsidRPr="006833CD">
        <w:rPr>
          <w:rFonts w:ascii="Times New Roman" w:hAnsi="Times New Roman"/>
          <w:b w:val="0"/>
          <w:szCs w:val="24"/>
        </w:rPr>
        <w:t xml:space="preserve"> show it to be true.</w:t>
      </w:r>
      <w:r w:rsidR="00C745CB" w:rsidRPr="006833CD">
        <w:rPr>
          <w:rFonts w:ascii="Times New Roman" w:hAnsi="Times New Roman"/>
          <w:b w:val="0"/>
          <w:szCs w:val="24"/>
        </w:rPr>
        <w:t xml:space="preserve">  </w:t>
      </w:r>
      <w:r w:rsidR="00CC3A4C" w:rsidRPr="006833CD">
        <w:rPr>
          <w:rFonts w:ascii="Times New Roman" w:hAnsi="Times New Roman"/>
          <w:b w:val="0"/>
          <w:szCs w:val="24"/>
        </w:rPr>
        <w:t>It cannot simply be assumed to be true</w:t>
      </w:r>
      <w:r w:rsidR="002002EE" w:rsidRPr="006833CD">
        <w:rPr>
          <w:rFonts w:ascii="Times New Roman" w:hAnsi="Times New Roman"/>
          <w:b w:val="0"/>
          <w:szCs w:val="24"/>
        </w:rPr>
        <w:t>, as Mr.</w:t>
      </w:r>
      <w:r w:rsidR="00604765" w:rsidRPr="006833CD">
        <w:rPr>
          <w:rFonts w:ascii="Times New Roman" w:hAnsi="Times New Roman"/>
          <w:b w:val="0"/>
          <w:szCs w:val="24"/>
        </w:rPr>
        <w:t> </w:t>
      </w:r>
      <w:r w:rsidR="002002EE" w:rsidRPr="006833CD">
        <w:rPr>
          <w:rFonts w:ascii="Times New Roman" w:hAnsi="Times New Roman"/>
          <w:b w:val="0"/>
          <w:szCs w:val="24"/>
        </w:rPr>
        <w:t>Hill does</w:t>
      </w:r>
      <w:r w:rsidR="00CC3A4C" w:rsidRPr="006833CD">
        <w:rPr>
          <w:rFonts w:ascii="Times New Roman" w:hAnsi="Times New Roman"/>
          <w:b w:val="0"/>
          <w:szCs w:val="24"/>
        </w:rPr>
        <w:t xml:space="preserve">.  </w:t>
      </w:r>
      <w:r w:rsidR="00C745CB" w:rsidRPr="006833CD">
        <w:rPr>
          <w:rFonts w:ascii="Times New Roman" w:hAnsi="Times New Roman"/>
          <w:b w:val="0"/>
          <w:szCs w:val="24"/>
        </w:rPr>
        <w:t>T</w:t>
      </w:r>
      <w:r w:rsidR="002002EE" w:rsidRPr="006833CD">
        <w:rPr>
          <w:rFonts w:ascii="Times New Roman" w:hAnsi="Times New Roman"/>
          <w:b w:val="0"/>
          <w:szCs w:val="24"/>
        </w:rPr>
        <w:t xml:space="preserve">o </w:t>
      </w:r>
      <w:r w:rsidR="00FD1E0D" w:rsidRPr="006833CD">
        <w:rPr>
          <w:rFonts w:ascii="Times New Roman" w:hAnsi="Times New Roman"/>
          <w:b w:val="0"/>
          <w:szCs w:val="24"/>
        </w:rPr>
        <w:t>repeat</w:t>
      </w:r>
      <w:r w:rsidR="002002EE" w:rsidRPr="006833CD">
        <w:rPr>
          <w:rFonts w:ascii="Times New Roman" w:hAnsi="Times New Roman"/>
          <w:b w:val="0"/>
          <w:szCs w:val="24"/>
        </w:rPr>
        <w:t xml:space="preserve">: </w:t>
      </w:r>
      <w:r w:rsidR="00604765" w:rsidRPr="006833CD">
        <w:rPr>
          <w:rFonts w:ascii="Times New Roman" w:hAnsi="Times New Roman"/>
          <w:b w:val="0"/>
          <w:szCs w:val="24"/>
        </w:rPr>
        <w:t xml:space="preserve"> </w:t>
      </w:r>
      <w:r w:rsidR="002002EE" w:rsidRPr="006833CD">
        <w:rPr>
          <w:rFonts w:ascii="Times New Roman" w:hAnsi="Times New Roman"/>
          <w:b w:val="0"/>
          <w:szCs w:val="24"/>
        </w:rPr>
        <w:t>t</w:t>
      </w:r>
      <w:r w:rsidR="00C745CB" w:rsidRPr="006833CD">
        <w:rPr>
          <w:rFonts w:ascii="Times New Roman" w:hAnsi="Times New Roman"/>
          <w:b w:val="0"/>
          <w:szCs w:val="24"/>
        </w:rPr>
        <w:t xml:space="preserve">he change in the cost of capital depends upon changes in the volatility of returns in capital markets, not </w:t>
      </w:r>
      <w:r w:rsidR="002117A1" w:rsidRPr="006833CD">
        <w:rPr>
          <w:rFonts w:ascii="Times New Roman" w:hAnsi="Times New Roman"/>
          <w:b w:val="0"/>
          <w:szCs w:val="24"/>
        </w:rPr>
        <w:t xml:space="preserve">the volatility of </w:t>
      </w:r>
      <w:r w:rsidR="005B2FA0" w:rsidRPr="006833CD">
        <w:rPr>
          <w:rFonts w:ascii="Times New Roman" w:hAnsi="Times New Roman"/>
          <w:b w:val="0"/>
          <w:szCs w:val="24"/>
        </w:rPr>
        <w:t xml:space="preserve">net </w:t>
      </w:r>
      <w:r w:rsidR="00C745CB" w:rsidRPr="006833CD">
        <w:rPr>
          <w:rFonts w:ascii="Times New Roman" w:hAnsi="Times New Roman"/>
          <w:b w:val="0"/>
          <w:szCs w:val="24"/>
        </w:rPr>
        <w:t>revenues</w:t>
      </w:r>
      <w:r w:rsidR="002117A1" w:rsidRPr="006833CD">
        <w:rPr>
          <w:rFonts w:ascii="Times New Roman" w:hAnsi="Times New Roman"/>
          <w:b w:val="0"/>
          <w:szCs w:val="24"/>
        </w:rPr>
        <w:t xml:space="preserve"> alone</w:t>
      </w:r>
      <w:r w:rsidR="00C745CB" w:rsidRPr="006833CD">
        <w:rPr>
          <w:rFonts w:ascii="Times New Roman" w:hAnsi="Times New Roman"/>
          <w:b w:val="0"/>
          <w:szCs w:val="24"/>
        </w:rPr>
        <w:t xml:space="preserve">.  This is </w:t>
      </w:r>
      <w:r w:rsidR="002002EE" w:rsidRPr="006833CD">
        <w:rPr>
          <w:rFonts w:ascii="Times New Roman" w:hAnsi="Times New Roman"/>
          <w:b w:val="0"/>
          <w:szCs w:val="24"/>
        </w:rPr>
        <w:t xml:space="preserve">fatal </w:t>
      </w:r>
      <w:r w:rsidR="00C745CB" w:rsidRPr="006833CD">
        <w:rPr>
          <w:rFonts w:ascii="Times New Roman" w:hAnsi="Times New Roman"/>
          <w:b w:val="0"/>
          <w:szCs w:val="24"/>
        </w:rPr>
        <w:t>for Mr.</w:t>
      </w:r>
      <w:r w:rsidR="00604765" w:rsidRPr="006833CD">
        <w:rPr>
          <w:rFonts w:ascii="Times New Roman" w:hAnsi="Times New Roman"/>
          <w:b w:val="0"/>
          <w:szCs w:val="24"/>
        </w:rPr>
        <w:t> </w:t>
      </w:r>
      <w:r w:rsidR="00C745CB" w:rsidRPr="006833CD">
        <w:rPr>
          <w:rFonts w:ascii="Times New Roman" w:hAnsi="Times New Roman"/>
          <w:b w:val="0"/>
          <w:szCs w:val="24"/>
        </w:rPr>
        <w:t>Hill’s analysis</w:t>
      </w:r>
      <w:r w:rsidR="00571320" w:rsidRPr="006833CD">
        <w:rPr>
          <w:rFonts w:ascii="Times New Roman" w:hAnsi="Times New Roman"/>
          <w:b w:val="0"/>
          <w:szCs w:val="24"/>
        </w:rPr>
        <w:t xml:space="preserve"> because he only </w:t>
      </w:r>
      <w:r w:rsidR="001C398E" w:rsidRPr="006833CD">
        <w:rPr>
          <w:rFonts w:ascii="Times New Roman" w:hAnsi="Times New Roman"/>
          <w:b w:val="0"/>
          <w:szCs w:val="24"/>
        </w:rPr>
        <w:t xml:space="preserve">attempts to </w:t>
      </w:r>
      <w:r w:rsidR="00571320" w:rsidRPr="006833CD">
        <w:rPr>
          <w:rFonts w:ascii="Times New Roman" w:hAnsi="Times New Roman"/>
          <w:b w:val="0"/>
          <w:szCs w:val="24"/>
        </w:rPr>
        <w:t xml:space="preserve">measure </w:t>
      </w:r>
      <w:r w:rsidR="001C398E" w:rsidRPr="006833CD">
        <w:rPr>
          <w:rFonts w:ascii="Times New Roman" w:hAnsi="Times New Roman"/>
          <w:b w:val="0"/>
          <w:szCs w:val="24"/>
        </w:rPr>
        <w:t xml:space="preserve">the </w:t>
      </w:r>
      <w:r w:rsidR="00571320" w:rsidRPr="006833CD">
        <w:rPr>
          <w:rFonts w:ascii="Times New Roman" w:hAnsi="Times New Roman"/>
          <w:b w:val="0"/>
          <w:szCs w:val="24"/>
        </w:rPr>
        <w:t xml:space="preserve">volatility of </w:t>
      </w:r>
      <w:r w:rsidR="005B2FA0" w:rsidRPr="006833CD">
        <w:rPr>
          <w:rFonts w:ascii="Times New Roman" w:hAnsi="Times New Roman"/>
          <w:b w:val="0"/>
          <w:szCs w:val="24"/>
        </w:rPr>
        <w:t xml:space="preserve">net </w:t>
      </w:r>
      <w:r w:rsidR="00571320" w:rsidRPr="006833CD">
        <w:rPr>
          <w:rFonts w:ascii="Times New Roman" w:hAnsi="Times New Roman"/>
          <w:b w:val="0"/>
          <w:szCs w:val="24"/>
        </w:rPr>
        <w:t>revenues</w:t>
      </w:r>
      <w:r w:rsidR="00C745CB" w:rsidRPr="006833CD">
        <w:rPr>
          <w:rFonts w:ascii="Times New Roman" w:hAnsi="Times New Roman"/>
          <w:b w:val="0"/>
          <w:szCs w:val="24"/>
        </w:rPr>
        <w:t xml:space="preserve">.  </w:t>
      </w:r>
      <w:r w:rsidR="00571320" w:rsidRPr="006833CD">
        <w:rPr>
          <w:rFonts w:ascii="Times New Roman" w:hAnsi="Times New Roman"/>
          <w:b w:val="0"/>
          <w:szCs w:val="24"/>
        </w:rPr>
        <w:t>The reader is asked</w:t>
      </w:r>
      <w:r w:rsidR="00C745CB" w:rsidRPr="006833CD">
        <w:rPr>
          <w:rFonts w:ascii="Times New Roman" w:hAnsi="Times New Roman"/>
          <w:b w:val="0"/>
          <w:szCs w:val="24"/>
        </w:rPr>
        <w:t xml:space="preserve"> to assume that a reduction in volatility in </w:t>
      </w:r>
      <w:r w:rsidR="005B2FA0" w:rsidRPr="006833CD">
        <w:rPr>
          <w:rFonts w:ascii="Times New Roman" w:hAnsi="Times New Roman"/>
          <w:b w:val="0"/>
          <w:szCs w:val="24"/>
        </w:rPr>
        <w:t xml:space="preserve">net </w:t>
      </w:r>
      <w:r w:rsidR="00C745CB" w:rsidRPr="006833CD">
        <w:rPr>
          <w:rFonts w:ascii="Times New Roman" w:hAnsi="Times New Roman"/>
          <w:b w:val="0"/>
          <w:szCs w:val="24"/>
        </w:rPr>
        <w:t xml:space="preserve">revenues automatically translates into a </w:t>
      </w:r>
      <w:r w:rsidR="002002EE" w:rsidRPr="006833CD">
        <w:rPr>
          <w:rFonts w:ascii="Times New Roman" w:hAnsi="Times New Roman"/>
          <w:b w:val="0"/>
          <w:szCs w:val="24"/>
        </w:rPr>
        <w:t xml:space="preserve">one to one </w:t>
      </w:r>
      <w:r w:rsidR="00C745CB" w:rsidRPr="006833CD">
        <w:rPr>
          <w:rFonts w:ascii="Times New Roman" w:hAnsi="Times New Roman"/>
          <w:b w:val="0"/>
          <w:szCs w:val="24"/>
        </w:rPr>
        <w:t>reduction in the cost of capital</w:t>
      </w:r>
      <w:r w:rsidR="005F7C55" w:rsidRPr="006833CD">
        <w:rPr>
          <w:rFonts w:ascii="Times New Roman" w:hAnsi="Times New Roman"/>
          <w:b w:val="0"/>
          <w:szCs w:val="24"/>
        </w:rPr>
        <w:t>.</w:t>
      </w:r>
    </w:p>
    <w:p w14:paraId="5D0ABA54" w14:textId="0C9B67EC"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A2355F" w:rsidRPr="006833CD">
        <w:rPr>
          <w:rFonts w:ascii="Times New Roman" w:hAnsi="Times New Roman"/>
          <w:bCs/>
          <w:szCs w:val="24"/>
        </w:rPr>
        <w:t>Please turn to Mr.</w:t>
      </w:r>
      <w:r w:rsidR="00604765" w:rsidRPr="006833CD">
        <w:rPr>
          <w:rFonts w:ascii="Times New Roman" w:hAnsi="Times New Roman"/>
          <w:bCs/>
          <w:szCs w:val="24"/>
        </w:rPr>
        <w:t> </w:t>
      </w:r>
      <w:r w:rsidR="00A2355F" w:rsidRPr="006833CD">
        <w:rPr>
          <w:rFonts w:ascii="Times New Roman" w:hAnsi="Times New Roman"/>
          <w:bCs/>
          <w:szCs w:val="24"/>
        </w:rPr>
        <w:t>Hill’s empirical analysis, w</w:t>
      </w:r>
      <w:r w:rsidRPr="006833CD">
        <w:rPr>
          <w:rFonts w:ascii="Times New Roman" w:hAnsi="Times New Roman"/>
          <w:bCs/>
          <w:szCs w:val="24"/>
        </w:rPr>
        <w:t>hat is Mr.</w:t>
      </w:r>
      <w:r w:rsidR="00604765" w:rsidRPr="006833CD">
        <w:rPr>
          <w:rFonts w:ascii="Times New Roman" w:hAnsi="Times New Roman"/>
          <w:bCs/>
          <w:szCs w:val="24"/>
        </w:rPr>
        <w:t> </w:t>
      </w:r>
      <w:r w:rsidRPr="006833CD">
        <w:rPr>
          <w:rFonts w:ascii="Times New Roman" w:hAnsi="Times New Roman"/>
          <w:bCs/>
          <w:szCs w:val="24"/>
        </w:rPr>
        <w:t>Hill’s first step?</w:t>
      </w:r>
    </w:p>
    <w:p w14:paraId="3250E4AF" w14:textId="0DB19054" w:rsidR="000502D3" w:rsidRPr="006833CD" w:rsidRDefault="00604765" w:rsidP="000502D3">
      <w:pPr>
        <w:pStyle w:val="answer"/>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t>Mr.</w:t>
      </w:r>
      <w:r w:rsidRPr="006833CD">
        <w:rPr>
          <w:rFonts w:ascii="Times New Roman" w:hAnsi="Times New Roman"/>
          <w:bCs/>
          <w:szCs w:val="24"/>
        </w:rPr>
        <w:t> </w:t>
      </w:r>
      <w:r w:rsidR="00D346C9" w:rsidRPr="006833CD">
        <w:rPr>
          <w:rFonts w:ascii="Times New Roman" w:hAnsi="Times New Roman"/>
          <w:bCs/>
          <w:szCs w:val="24"/>
        </w:rPr>
        <w:t>Hill first provides a regression equation to explain</w:t>
      </w:r>
      <w:r w:rsidR="00D346C9" w:rsidRPr="006833CD" w:rsidDel="002117A1">
        <w:rPr>
          <w:rFonts w:ascii="Times New Roman" w:hAnsi="Times New Roman"/>
          <w:bCs/>
          <w:szCs w:val="24"/>
        </w:rPr>
        <w:t xml:space="preserve"> </w:t>
      </w:r>
      <w:r w:rsidR="00D346C9" w:rsidRPr="006833CD">
        <w:rPr>
          <w:rFonts w:ascii="Times New Roman" w:hAnsi="Times New Roman"/>
          <w:bCs/>
          <w:szCs w:val="24"/>
        </w:rPr>
        <w:t>how PSE’s net revenues change</w:t>
      </w:r>
      <w:r w:rsidR="002117A1" w:rsidRPr="006833CD">
        <w:rPr>
          <w:rFonts w:ascii="Times New Roman" w:hAnsi="Times New Roman"/>
          <w:bCs/>
          <w:szCs w:val="24"/>
        </w:rPr>
        <w:t xml:space="preserve"> over the period </w:t>
      </w:r>
      <w:r w:rsidR="006D5280" w:rsidRPr="006833CD">
        <w:rPr>
          <w:rFonts w:ascii="Times New Roman" w:hAnsi="Times New Roman"/>
          <w:bCs/>
          <w:szCs w:val="24"/>
        </w:rPr>
        <w:t>1999</w:t>
      </w:r>
      <w:r w:rsidR="009752C9" w:rsidRPr="006833CD">
        <w:rPr>
          <w:rFonts w:ascii="Times New Roman" w:hAnsi="Times New Roman"/>
          <w:bCs/>
          <w:szCs w:val="24"/>
        </w:rPr>
        <w:t xml:space="preserve"> to 2013</w:t>
      </w:r>
      <w:r w:rsidR="00D346C9" w:rsidRPr="006833CD">
        <w:rPr>
          <w:rFonts w:ascii="Times New Roman" w:hAnsi="Times New Roman"/>
          <w:bCs/>
          <w:szCs w:val="24"/>
        </w:rPr>
        <w:t>.</w:t>
      </w:r>
      <w:r w:rsidR="00D346C9" w:rsidRPr="00F71D8A">
        <w:rPr>
          <w:rStyle w:val="FootnoteReference"/>
        </w:rPr>
        <w:footnoteReference w:id="55"/>
      </w:r>
      <w:r w:rsidR="00D346C9" w:rsidRPr="006833CD">
        <w:rPr>
          <w:rFonts w:ascii="Times New Roman" w:hAnsi="Times New Roman"/>
          <w:bCs/>
          <w:szCs w:val="24"/>
        </w:rPr>
        <w:t xml:space="preserve">  He uses two </w:t>
      </w:r>
      <w:r w:rsidR="008922FA" w:rsidRPr="006833CD">
        <w:rPr>
          <w:rFonts w:ascii="Times New Roman" w:hAnsi="Times New Roman"/>
          <w:bCs/>
          <w:szCs w:val="24"/>
        </w:rPr>
        <w:t xml:space="preserve">causal, or explanatory, </w:t>
      </w:r>
      <w:r w:rsidR="00D346C9" w:rsidRPr="006833CD">
        <w:rPr>
          <w:rFonts w:ascii="Times New Roman" w:hAnsi="Times New Roman"/>
          <w:bCs/>
          <w:szCs w:val="24"/>
        </w:rPr>
        <w:t xml:space="preserve">variables:  </w:t>
      </w:r>
      <w:r w:rsidRPr="006833CD">
        <w:rPr>
          <w:rFonts w:ascii="Times New Roman" w:hAnsi="Times New Roman"/>
          <w:bCs/>
          <w:szCs w:val="24"/>
        </w:rPr>
        <w:t>(</w:t>
      </w:r>
      <w:proofErr w:type="spellStart"/>
      <w:r w:rsidRPr="006833CD">
        <w:rPr>
          <w:rFonts w:ascii="Times New Roman" w:hAnsi="Times New Roman"/>
          <w:bCs/>
          <w:szCs w:val="24"/>
        </w:rPr>
        <w:t>i</w:t>
      </w:r>
      <w:proofErr w:type="spellEnd"/>
      <w:r w:rsidRPr="006833CD">
        <w:rPr>
          <w:rFonts w:ascii="Times New Roman" w:hAnsi="Times New Roman"/>
          <w:bCs/>
          <w:szCs w:val="24"/>
        </w:rPr>
        <w:t>) </w:t>
      </w:r>
      <w:r w:rsidR="00D346C9" w:rsidRPr="006833CD">
        <w:rPr>
          <w:rFonts w:ascii="Times New Roman" w:hAnsi="Times New Roman"/>
          <w:bCs/>
          <w:szCs w:val="24"/>
        </w:rPr>
        <w:t xml:space="preserve">the State of Washington’s </w:t>
      </w:r>
      <w:r w:rsidR="0091560B" w:rsidRPr="006833CD">
        <w:rPr>
          <w:rFonts w:ascii="Times New Roman" w:hAnsi="Times New Roman"/>
          <w:bCs/>
          <w:szCs w:val="24"/>
        </w:rPr>
        <w:t xml:space="preserve">Gross State Product </w:t>
      </w:r>
      <w:r w:rsidR="00D346C9" w:rsidRPr="006833CD">
        <w:rPr>
          <w:rFonts w:ascii="Times New Roman" w:hAnsi="Times New Roman"/>
          <w:bCs/>
          <w:szCs w:val="24"/>
        </w:rPr>
        <w:t xml:space="preserve">and </w:t>
      </w:r>
      <w:r w:rsidRPr="006833CD">
        <w:rPr>
          <w:rFonts w:ascii="Times New Roman" w:hAnsi="Times New Roman"/>
          <w:bCs/>
          <w:szCs w:val="24"/>
        </w:rPr>
        <w:t>(ii) </w:t>
      </w:r>
      <w:r w:rsidR="00D346C9" w:rsidRPr="006833CD">
        <w:rPr>
          <w:rFonts w:ascii="Times New Roman" w:hAnsi="Times New Roman"/>
          <w:bCs/>
          <w:szCs w:val="24"/>
        </w:rPr>
        <w:t>Heating Degree Days</w:t>
      </w:r>
      <w:r w:rsidR="006A0358" w:rsidRPr="006833CD">
        <w:rPr>
          <w:rFonts w:ascii="Times New Roman" w:hAnsi="Times New Roman"/>
          <w:bCs/>
          <w:szCs w:val="24"/>
        </w:rPr>
        <w:t xml:space="preserve"> in the state</w:t>
      </w:r>
      <w:r w:rsidR="00D346C9" w:rsidRPr="006833CD">
        <w:rPr>
          <w:rFonts w:ascii="Times New Roman" w:hAnsi="Times New Roman"/>
          <w:bCs/>
          <w:szCs w:val="24"/>
        </w:rPr>
        <w:t xml:space="preserve">.  His equation has an R-squared of </w:t>
      </w:r>
      <w:r w:rsidR="006A0358" w:rsidRPr="006833CD">
        <w:rPr>
          <w:rFonts w:ascii="Times New Roman" w:hAnsi="Times New Roman"/>
          <w:bCs/>
          <w:szCs w:val="24"/>
        </w:rPr>
        <w:t>about 90</w:t>
      </w:r>
      <w:r w:rsidR="000502D3" w:rsidRPr="006833CD">
        <w:rPr>
          <w:rFonts w:ascii="Times New Roman" w:hAnsi="Times New Roman"/>
          <w:bCs/>
          <w:szCs w:val="24"/>
        </w:rPr>
        <w:t> </w:t>
      </w:r>
      <w:r w:rsidR="00D346C9" w:rsidRPr="006833CD">
        <w:rPr>
          <w:rFonts w:ascii="Times New Roman" w:hAnsi="Times New Roman"/>
          <w:bCs/>
          <w:szCs w:val="24"/>
        </w:rPr>
        <w:t xml:space="preserve">percent which means that the two variables </w:t>
      </w:r>
      <w:r w:rsidR="000502D3" w:rsidRPr="006833CD">
        <w:rPr>
          <w:rFonts w:ascii="Times New Roman" w:hAnsi="Times New Roman"/>
          <w:bCs/>
          <w:szCs w:val="24"/>
        </w:rPr>
        <w:t xml:space="preserve">(economy and weather) </w:t>
      </w:r>
      <w:r w:rsidR="00D346C9" w:rsidRPr="006833CD">
        <w:rPr>
          <w:rFonts w:ascii="Times New Roman" w:hAnsi="Times New Roman"/>
          <w:bCs/>
          <w:szCs w:val="24"/>
        </w:rPr>
        <w:t>explain about 90</w:t>
      </w:r>
      <w:r w:rsidR="000502D3" w:rsidRPr="006833CD">
        <w:rPr>
          <w:rFonts w:ascii="Times New Roman" w:hAnsi="Times New Roman"/>
          <w:bCs/>
          <w:szCs w:val="24"/>
        </w:rPr>
        <w:t> </w:t>
      </w:r>
      <w:r w:rsidR="00D346C9" w:rsidRPr="006833CD">
        <w:rPr>
          <w:rFonts w:ascii="Times New Roman" w:hAnsi="Times New Roman"/>
          <w:bCs/>
          <w:szCs w:val="24"/>
        </w:rPr>
        <w:t>percent of the change in PSE’s revenues.</w:t>
      </w:r>
      <w:r w:rsidR="002002EE" w:rsidRPr="00F71D8A">
        <w:rPr>
          <w:rStyle w:val="FootnoteReference"/>
        </w:rPr>
        <w:footnoteReference w:id="56"/>
      </w:r>
    </w:p>
    <w:p w14:paraId="3674ADEB" w14:textId="6AED5DA5" w:rsidR="000502D3" w:rsidRPr="006833CD" w:rsidRDefault="00332B7C" w:rsidP="000502D3">
      <w:pPr>
        <w:pStyle w:val="answer"/>
        <w:ind w:firstLine="0"/>
        <w:rPr>
          <w:rFonts w:ascii="Times New Roman" w:hAnsi="Times New Roman"/>
          <w:bCs/>
          <w:szCs w:val="24"/>
        </w:rPr>
      </w:pPr>
      <w:r w:rsidRPr="006833CD">
        <w:rPr>
          <w:rFonts w:ascii="Times New Roman" w:hAnsi="Times New Roman"/>
          <w:bCs/>
          <w:szCs w:val="24"/>
        </w:rPr>
        <w:t xml:space="preserve">This result and the equation that produced it have several problems. </w:t>
      </w:r>
      <w:r w:rsidR="000F4267" w:rsidRPr="006833CD">
        <w:rPr>
          <w:rFonts w:ascii="Times New Roman" w:hAnsi="Times New Roman"/>
          <w:bCs/>
          <w:szCs w:val="24"/>
        </w:rPr>
        <w:t xml:space="preserve"> </w:t>
      </w:r>
      <w:r w:rsidRPr="006833CD">
        <w:rPr>
          <w:rFonts w:ascii="Times New Roman" w:hAnsi="Times New Roman"/>
          <w:bCs/>
          <w:szCs w:val="24"/>
        </w:rPr>
        <w:t>First, a time series regression will bias the correlation upward if it does not treat the changes</w:t>
      </w:r>
      <w:r w:rsidR="005B2FA0" w:rsidRPr="006833CD">
        <w:rPr>
          <w:rFonts w:ascii="Times New Roman" w:hAnsi="Times New Roman"/>
          <w:bCs/>
          <w:szCs w:val="24"/>
        </w:rPr>
        <w:t xml:space="preserve"> or first differences</w:t>
      </w:r>
      <w:r w:rsidRPr="006833CD">
        <w:rPr>
          <w:rFonts w:ascii="Times New Roman" w:hAnsi="Times New Roman"/>
          <w:bCs/>
          <w:szCs w:val="24"/>
        </w:rPr>
        <w:t xml:space="preserve"> between years,</w:t>
      </w:r>
      <w:r w:rsidR="0082527D" w:rsidRPr="00F71D8A">
        <w:rPr>
          <w:rStyle w:val="FootnoteReference"/>
        </w:rPr>
        <w:footnoteReference w:id="57"/>
      </w:r>
      <w:r w:rsidR="0082527D" w:rsidRPr="006833CD">
        <w:rPr>
          <w:rFonts w:ascii="Times New Roman" w:hAnsi="Times New Roman"/>
          <w:bCs/>
          <w:szCs w:val="24"/>
        </w:rPr>
        <w:t xml:space="preserve"> </w:t>
      </w:r>
      <w:r w:rsidRPr="006833CD">
        <w:rPr>
          <w:rFonts w:ascii="Times New Roman" w:hAnsi="Times New Roman"/>
          <w:bCs/>
          <w:szCs w:val="24"/>
        </w:rPr>
        <w:t xml:space="preserve">not the </w:t>
      </w:r>
      <w:r w:rsidR="0097150B" w:rsidRPr="006833CD">
        <w:rPr>
          <w:rFonts w:ascii="Times New Roman" w:hAnsi="Times New Roman"/>
          <w:bCs/>
          <w:szCs w:val="24"/>
        </w:rPr>
        <w:t xml:space="preserve">absolute values in the </w:t>
      </w:r>
      <w:r w:rsidRPr="006833CD">
        <w:rPr>
          <w:rFonts w:ascii="Times New Roman" w:hAnsi="Times New Roman"/>
          <w:bCs/>
          <w:szCs w:val="24"/>
        </w:rPr>
        <w:t xml:space="preserve">years.  This </w:t>
      </w:r>
      <w:r w:rsidR="0097150B" w:rsidRPr="006833CD">
        <w:rPr>
          <w:rFonts w:ascii="Times New Roman" w:hAnsi="Times New Roman"/>
          <w:bCs/>
          <w:szCs w:val="24"/>
        </w:rPr>
        <w:t>R-squared</w:t>
      </w:r>
      <w:r w:rsidR="0082527D" w:rsidRPr="00F71D8A">
        <w:rPr>
          <w:rStyle w:val="FootnoteReference"/>
        </w:rPr>
        <w:footnoteReference w:id="58"/>
      </w:r>
      <w:r w:rsidRPr="006833CD">
        <w:rPr>
          <w:rFonts w:ascii="Times New Roman" w:hAnsi="Times New Roman"/>
          <w:bCs/>
          <w:szCs w:val="24"/>
        </w:rPr>
        <w:t xml:space="preserve"> of </w:t>
      </w:r>
      <w:r w:rsidR="00770C1C" w:rsidRPr="006833CD">
        <w:rPr>
          <w:rFonts w:ascii="Times New Roman" w:hAnsi="Times New Roman"/>
          <w:bCs/>
          <w:szCs w:val="24"/>
        </w:rPr>
        <w:t>90 percent</w:t>
      </w:r>
      <w:r w:rsidRPr="006833CD">
        <w:rPr>
          <w:rFonts w:ascii="Times New Roman" w:hAnsi="Times New Roman"/>
          <w:bCs/>
          <w:szCs w:val="24"/>
        </w:rPr>
        <w:t xml:space="preserve"> is inflated because revenues and </w:t>
      </w:r>
      <w:r w:rsidR="00770C1C" w:rsidRPr="006833CD">
        <w:rPr>
          <w:rFonts w:ascii="Times New Roman" w:hAnsi="Times New Roman"/>
          <w:bCs/>
          <w:szCs w:val="24"/>
        </w:rPr>
        <w:t xml:space="preserve">Washington’s </w:t>
      </w:r>
      <w:r w:rsidR="0091560B" w:rsidRPr="006833CD">
        <w:rPr>
          <w:rFonts w:ascii="Times New Roman" w:hAnsi="Times New Roman"/>
          <w:bCs/>
          <w:szCs w:val="24"/>
        </w:rPr>
        <w:t xml:space="preserve">Gross State Product </w:t>
      </w:r>
      <w:r w:rsidRPr="006833CD">
        <w:rPr>
          <w:rFonts w:ascii="Times New Roman" w:hAnsi="Times New Roman"/>
          <w:bCs/>
          <w:szCs w:val="24"/>
        </w:rPr>
        <w:t>are both growing</w:t>
      </w:r>
      <w:r w:rsidR="000502D3" w:rsidRPr="006833CD">
        <w:rPr>
          <w:rFonts w:ascii="Times New Roman" w:hAnsi="Times New Roman"/>
          <w:bCs/>
          <w:szCs w:val="24"/>
        </w:rPr>
        <w:t xml:space="preserve"> (</w:t>
      </w:r>
      <w:r w:rsidR="00770C1C" w:rsidRPr="006833CD">
        <w:rPr>
          <w:rFonts w:ascii="Times New Roman" w:hAnsi="Times New Roman"/>
          <w:bCs/>
          <w:szCs w:val="24"/>
        </w:rPr>
        <w:t>i.e., trending together</w:t>
      </w:r>
      <w:r w:rsidR="000502D3" w:rsidRPr="006833CD">
        <w:rPr>
          <w:rFonts w:ascii="Times New Roman" w:hAnsi="Times New Roman"/>
          <w:bCs/>
          <w:szCs w:val="24"/>
        </w:rPr>
        <w:t>)</w:t>
      </w:r>
      <w:r w:rsidRPr="006833CD">
        <w:rPr>
          <w:rFonts w:ascii="Times New Roman" w:hAnsi="Times New Roman"/>
          <w:bCs/>
          <w:szCs w:val="24"/>
        </w:rPr>
        <w:t>.</w:t>
      </w:r>
      <w:r w:rsidR="005B2FA0" w:rsidRPr="006833CD">
        <w:rPr>
          <w:rFonts w:ascii="Times New Roman" w:hAnsi="Times New Roman"/>
          <w:bCs/>
          <w:szCs w:val="24"/>
        </w:rPr>
        <w:t xml:space="preserve">  </w:t>
      </w:r>
      <w:r w:rsidR="000E20D1" w:rsidRPr="006833CD">
        <w:rPr>
          <w:rFonts w:ascii="Times New Roman" w:hAnsi="Times New Roman"/>
          <w:bCs/>
          <w:szCs w:val="24"/>
        </w:rPr>
        <w:t xml:space="preserve">In fact, </w:t>
      </w:r>
      <w:r w:rsidR="00A4323A" w:rsidRPr="006833CD">
        <w:rPr>
          <w:rFonts w:ascii="Times New Roman" w:hAnsi="Times New Roman"/>
          <w:bCs/>
          <w:szCs w:val="24"/>
        </w:rPr>
        <w:t xml:space="preserve">had </w:t>
      </w:r>
      <w:r w:rsidR="000E20D1" w:rsidRPr="006833CD">
        <w:rPr>
          <w:rFonts w:ascii="Times New Roman" w:hAnsi="Times New Roman"/>
          <w:bCs/>
          <w:szCs w:val="24"/>
        </w:rPr>
        <w:t>Mr.</w:t>
      </w:r>
      <w:r w:rsidR="000502D3" w:rsidRPr="006833CD">
        <w:rPr>
          <w:rFonts w:ascii="Times New Roman" w:hAnsi="Times New Roman"/>
          <w:bCs/>
          <w:szCs w:val="24"/>
        </w:rPr>
        <w:t> </w:t>
      </w:r>
      <w:r w:rsidR="000E20D1" w:rsidRPr="006833CD">
        <w:rPr>
          <w:rFonts w:ascii="Times New Roman" w:hAnsi="Times New Roman"/>
          <w:bCs/>
          <w:szCs w:val="24"/>
        </w:rPr>
        <w:t>Hill</w:t>
      </w:r>
      <w:r w:rsidR="00A4323A" w:rsidRPr="006833CD">
        <w:rPr>
          <w:rFonts w:ascii="Times New Roman" w:hAnsi="Times New Roman"/>
          <w:bCs/>
          <w:szCs w:val="24"/>
        </w:rPr>
        <w:t xml:space="preserve"> used net income </w:t>
      </w:r>
      <w:r w:rsidR="00A80037" w:rsidRPr="006833CD">
        <w:rPr>
          <w:rFonts w:ascii="Times New Roman" w:hAnsi="Times New Roman"/>
          <w:bCs/>
          <w:szCs w:val="24"/>
        </w:rPr>
        <w:t xml:space="preserve">instead of net revenue </w:t>
      </w:r>
      <w:r w:rsidR="00A4323A" w:rsidRPr="006833CD">
        <w:rPr>
          <w:rFonts w:ascii="Times New Roman" w:hAnsi="Times New Roman"/>
          <w:bCs/>
          <w:szCs w:val="24"/>
        </w:rPr>
        <w:t xml:space="preserve">in his regression </w:t>
      </w:r>
      <w:r w:rsidR="000E20D1" w:rsidRPr="006833CD">
        <w:rPr>
          <w:rFonts w:ascii="Times New Roman" w:hAnsi="Times New Roman"/>
          <w:bCs/>
          <w:szCs w:val="24"/>
        </w:rPr>
        <w:t>equation</w:t>
      </w:r>
      <w:r w:rsidR="00A4323A" w:rsidRPr="006833CD">
        <w:rPr>
          <w:rFonts w:ascii="Times New Roman" w:hAnsi="Times New Roman"/>
          <w:bCs/>
          <w:szCs w:val="24"/>
        </w:rPr>
        <w:t>, the R-Squared</w:t>
      </w:r>
      <w:r w:rsidR="000E20D1" w:rsidRPr="006833CD">
        <w:rPr>
          <w:rFonts w:ascii="Times New Roman" w:hAnsi="Times New Roman"/>
          <w:bCs/>
          <w:szCs w:val="24"/>
        </w:rPr>
        <w:t xml:space="preserve"> would be </w:t>
      </w:r>
      <w:r w:rsidR="00A4323A" w:rsidRPr="006833CD">
        <w:rPr>
          <w:rFonts w:ascii="Times New Roman" w:hAnsi="Times New Roman"/>
          <w:bCs/>
          <w:szCs w:val="24"/>
        </w:rPr>
        <w:t xml:space="preserve">much smaller.  </w:t>
      </w:r>
      <w:r w:rsidR="005B2FA0" w:rsidRPr="006833CD">
        <w:rPr>
          <w:rFonts w:ascii="Times New Roman" w:hAnsi="Times New Roman"/>
          <w:bCs/>
          <w:szCs w:val="24"/>
        </w:rPr>
        <w:t xml:space="preserve">Running the same regression with </w:t>
      </w:r>
      <w:r w:rsidR="00A4323A" w:rsidRPr="006833CD">
        <w:rPr>
          <w:rFonts w:ascii="Times New Roman" w:hAnsi="Times New Roman"/>
          <w:bCs/>
          <w:szCs w:val="24"/>
        </w:rPr>
        <w:t>net-income</w:t>
      </w:r>
      <w:r w:rsidR="005B2FA0" w:rsidRPr="006833CD">
        <w:rPr>
          <w:rFonts w:ascii="Times New Roman" w:hAnsi="Times New Roman"/>
          <w:bCs/>
          <w:szCs w:val="24"/>
        </w:rPr>
        <w:t xml:space="preserve"> yields an R-Squared of</w:t>
      </w:r>
      <w:r w:rsidR="0065556C" w:rsidRPr="006833CD">
        <w:rPr>
          <w:rFonts w:ascii="Times New Roman" w:hAnsi="Times New Roman"/>
          <w:bCs/>
          <w:szCs w:val="24"/>
        </w:rPr>
        <w:t xml:space="preserve"> </w:t>
      </w:r>
      <w:r w:rsidR="00A4323A" w:rsidRPr="006833CD">
        <w:rPr>
          <w:rFonts w:ascii="Times New Roman" w:hAnsi="Times New Roman"/>
          <w:bCs/>
          <w:szCs w:val="24"/>
        </w:rPr>
        <w:t xml:space="preserve">about 28 </w:t>
      </w:r>
      <w:r w:rsidR="000E20D1" w:rsidRPr="006833CD">
        <w:rPr>
          <w:rFonts w:ascii="Times New Roman" w:hAnsi="Times New Roman"/>
          <w:bCs/>
          <w:szCs w:val="24"/>
        </w:rPr>
        <w:t>percent</w:t>
      </w:r>
      <w:r w:rsidR="00A4323A" w:rsidRPr="006833CD">
        <w:rPr>
          <w:rFonts w:ascii="Times New Roman" w:hAnsi="Times New Roman"/>
          <w:bCs/>
          <w:szCs w:val="24"/>
        </w:rPr>
        <w:t>.</w:t>
      </w:r>
      <w:r w:rsidR="00C91A3E" w:rsidRPr="00F71D8A">
        <w:rPr>
          <w:rStyle w:val="FootnoteReference"/>
        </w:rPr>
        <w:footnoteReference w:id="59"/>
      </w:r>
    </w:p>
    <w:p w14:paraId="351DFC9D" w14:textId="77777777" w:rsidR="000502D3" w:rsidRPr="006833CD" w:rsidRDefault="00332B7C" w:rsidP="000502D3">
      <w:pPr>
        <w:pStyle w:val="answer"/>
        <w:ind w:firstLine="0"/>
        <w:rPr>
          <w:rFonts w:ascii="Times New Roman" w:hAnsi="Times New Roman"/>
          <w:b/>
          <w:bCs/>
          <w:szCs w:val="24"/>
        </w:rPr>
      </w:pPr>
      <w:r w:rsidRPr="006833CD">
        <w:rPr>
          <w:rFonts w:ascii="Times New Roman" w:hAnsi="Times New Roman"/>
          <w:bCs/>
          <w:szCs w:val="24"/>
        </w:rPr>
        <w:lastRenderedPageBreak/>
        <w:t>Second, Mr.</w:t>
      </w:r>
      <w:r w:rsidR="000502D3" w:rsidRPr="006833CD">
        <w:rPr>
          <w:rFonts w:ascii="Times New Roman" w:hAnsi="Times New Roman"/>
          <w:bCs/>
          <w:szCs w:val="24"/>
        </w:rPr>
        <w:t> </w:t>
      </w:r>
      <w:r w:rsidRPr="006833CD">
        <w:rPr>
          <w:rFonts w:ascii="Times New Roman" w:hAnsi="Times New Roman"/>
          <w:bCs/>
          <w:szCs w:val="24"/>
        </w:rPr>
        <w:t xml:space="preserve">Hill offers </w:t>
      </w:r>
      <w:r w:rsidR="006D5280" w:rsidRPr="006833CD">
        <w:rPr>
          <w:rFonts w:ascii="Times New Roman" w:hAnsi="Times New Roman"/>
          <w:bCs/>
          <w:szCs w:val="24"/>
        </w:rPr>
        <w:t xml:space="preserve">no evidence of its accuracy in </w:t>
      </w:r>
      <w:r w:rsidR="00B12CA7" w:rsidRPr="006833CD">
        <w:rPr>
          <w:rFonts w:ascii="Times New Roman" w:hAnsi="Times New Roman"/>
          <w:bCs/>
          <w:szCs w:val="24"/>
        </w:rPr>
        <w:t>measur</w:t>
      </w:r>
      <w:r w:rsidR="008922FA" w:rsidRPr="006833CD">
        <w:rPr>
          <w:rFonts w:ascii="Times New Roman" w:hAnsi="Times New Roman"/>
          <w:bCs/>
          <w:szCs w:val="24"/>
        </w:rPr>
        <w:t xml:space="preserve">ing </w:t>
      </w:r>
      <w:r w:rsidR="00B12CA7" w:rsidRPr="006833CD">
        <w:rPr>
          <w:rFonts w:ascii="Times New Roman" w:hAnsi="Times New Roman"/>
          <w:bCs/>
          <w:szCs w:val="24"/>
        </w:rPr>
        <w:t xml:space="preserve">the amount of variability of revenues that </w:t>
      </w:r>
      <w:r w:rsidR="006D5280" w:rsidRPr="006833CD">
        <w:rPr>
          <w:rFonts w:ascii="Times New Roman" w:hAnsi="Times New Roman"/>
          <w:bCs/>
          <w:szCs w:val="24"/>
        </w:rPr>
        <w:t>P</w:t>
      </w:r>
      <w:r w:rsidR="008E66B1" w:rsidRPr="006833CD">
        <w:rPr>
          <w:rFonts w:ascii="Times New Roman" w:hAnsi="Times New Roman"/>
          <w:bCs/>
          <w:szCs w:val="24"/>
        </w:rPr>
        <w:t>SE’s</w:t>
      </w:r>
      <w:r w:rsidR="000F4267" w:rsidRPr="006833CD">
        <w:rPr>
          <w:rFonts w:ascii="Times New Roman" w:hAnsi="Times New Roman"/>
          <w:bCs/>
          <w:szCs w:val="24"/>
        </w:rPr>
        <w:t xml:space="preserve"> </w:t>
      </w:r>
      <w:r w:rsidR="00B12CA7" w:rsidRPr="006833CD">
        <w:rPr>
          <w:rFonts w:ascii="Times New Roman" w:hAnsi="Times New Roman"/>
          <w:bCs/>
          <w:szCs w:val="24"/>
        </w:rPr>
        <w:t xml:space="preserve">decoupling </w:t>
      </w:r>
      <w:r w:rsidR="006D5280" w:rsidRPr="006833CD">
        <w:rPr>
          <w:rFonts w:ascii="Times New Roman" w:hAnsi="Times New Roman"/>
          <w:bCs/>
          <w:szCs w:val="24"/>
        </w:rPr>
        <w:t xml:space="preserve">policy </w:t>
      </w:r>
      <w:r w:rsidR="00B12CA7" w:rsidRPr="006833CD">
        <w:rPr>
          <w:rFonts w:ascii="Times New Roman" w:hAnsi="Times New Roman"/>
          <w:bCs/>
          <w:szCs w:val="24"/>
        </w:rPr>
        <w:t xml:space="preserve">is </w:t>
      </w:r>
      <w:r w:rsidR="006D5280" w:rsidRPr="006833CD">
        <w:rPr>
          <w:rFonts w:ascii="Times New Roman" w:hAnsi="Times New Roman"/>
          <w:bCs/>
          <w:szCs w:val="24"/>
        </w:rPr>
        <w:t xml:space="preserve">expected </w:t>
      </w:r>
      <w:r w:rsidR="00B12CA7" w:rsidRPr="006833CD">
        <w:rPr>
          <w:rFonts w:ascii="Times New Roman" w:hAnsi="Times New Roman"/>
          <w:bCs/>
          <w:szCs w:val="24"/>
        </w:rPr>
        <w:t xml:space="preserve">to reduce. </w:t>
      </w:r>
      <w:r w:rsidR="006D5280" w:rsidRPr="006833CD">
        <w:rPr>
          <w:rFonts w:ascii="Times New Roman" w:hAnsi="Times New Roman"/>
          <w:bCs/>
          <w:szCs w:val="24"/>
        </w:rPr>
        <w:t xml:space="preserve"> </w:t>
      </w:r>
      <w:r w:rsidR="0097150B" w:rsidRPr="006833CD">
        <w:rPr>
          <w:rFonts w:ascii="Times New Roman" w:hAnsi="Times New Roman"/>
          <w:bCs/>
          <w:szCs w:val="24"/>
        </w:rPr>
        <w:t>For example, d</w:t>
      </w:r>
      <w:r w:rsidR="006D5280" w:rsidRPr="006833CD">
        <w:rPr>
          <w:rFonts w:ascii="Times New Roman" w:hAnsi="Times New Roman"/>
          <w:bCs/>
          <w:szCs w:val="24"/>
        </w:rPr>
        <w:t xml:space="preserve">ecoupling is </w:t>
      </w:r>
      <w:r w:rsidR="0097150B" w:rsidRPr="006833CD">
        <w:rPr>
          <w:rFonts w:ascii="Times New Roman" w:hAnsi="Times New Roman"/>
          <w:bCs/>
          <w:szCs w:val="24"/>
        </w:rPr>
        <w:t>generally known</w:t>
      </w:r>
      <w:r w:rsidR="006D5280" w:rsidRPr="006833CD">
        <w:rPr>
          <w:rFonts w:ascii="Times New Roman" w:hAnsi="Times New Roman"/>
          <w:bCs/>
          <w:szCs w:val="24"/>
        </w:rPr>
        <w:t xml:space="preserve"> to reduce weather-induced </w:t>
      </w:r>
      <w:r w:rsidR="008922FA" w:rsidRPr="006833CD">
        <w:rPr>
          <w:rFonts w:ascii="Times New Roman" w:hAnsi="Times New Roman"/>
          <w:bCs/>
          <w:szCs w:val="24"/>
        </w:rPr>
        <w:t xml:space="preserve">revenue </w:t>
      </w:r>
      <w:r w:rsidR="006D5280" w:rsidRPr="006833CD">
        <w:rPr>
          <w:rFonts w:ascii="Times New Roman" w:hAnsi="Times New Roman"/>
          <w:bCs/>
          <w:szCs w:val="24"/>
        </w:rPr>
        <w:t>volatility, but in Mr.</w:t>
      </w:r>
      <w:r w:rsidR="000502D3" w:rsidRPr="006833CD">
        <w:rPr>
          <w:rFonts w:ascii="Times New Roman" w:hAnsi="Times New Roman"/>
          <w:bCs/>
          <w:szCs w:val="24"/>
        </w:rPr>
        <w:t> </w:t>
      </w:r>
      <w:r w:rsidR="006D5280" w:rsidRPr="006833CD">
        <w:rPr>
          <w:rFonts w:ascii="Times New Roman" w:hAnsi="Times New Roman"/>
          <w:bCs/>
          <w:szCs w:val="24"/>
        </w:rPr>
        <w:t>Hill’s equation, the Heating Degree Days explanatory variable has an insignificant coefficient</w:t>
      </w:r>
      <w:r w:rsidR="008922FA" w:rsidRPr="006833CD">
        <w:rPr>
          <w:rFonts w:ascii="Times New Roman" w:hAnsi="Times New Roman"/>
          <w:bCs/>
          <w:szCs w:val="24"/>
        </w:rPr>
        <w:t>,</w:t>
      </w:r>
      <w:r w:rsidR="00C91A3E" w:rsidRPr="00F71D8A">
        <w:rPr>
          <w:rStyle w:val="FootnoteReference"/>
        </w:rPr>
        <w:footnoteReference w:id="60"/>
      </w:r>
      <w:r w:rsidR="006D5280" w:rsidRPr="006833CD">
        <w:rPr>
          <w:rFonts w:ascii="Times New Roman" w:hAnsi="Times New Roman"/>
          <w:bCs/>
          <w:szCs w:val="24"/>
        </w:rPr>
        <w:t xml:space="preserve"> </w:t>
      </w:r>
      <w:r w:rsidR="008922FA" w:rsidRPr="006833CD">
        <w:rPr>
          <w:rFonts w:ascii="Times New Roman" w:hAnsi="Times New Roman"/>
          <w:bCs/>
          <w:szCs w:val="24"/>
        </w:rPr>
        <w:t>so i</w:t>
      </w:r>
      <w:r w:rsidR="006D5280" w:rsidRPr="006833CD">
        <w:rPr>
          <w:rFonts w:ascii="Times New Roman" w:hAnsi="Times New Roman"/>
          <w:bCs/>
          <w:szCs w:val="24"/>
        </w:rPr>
        <w:t xml:space="preserve">t adds </w:t>
      </w:r>
      <w:r w:rsidR="0097150B" w:rsidRPr="006833CD">
        <w:rPr>
          <w:rFonts w:ascii="Times New Roman" w:hAnsi="Times New Roman"/>
          <w:bCs/>
          <w:szCs w:val="24"/>
        </w:rPr>
        <w:t>little</w:t>
      </w:r>
      <w:r w:rsidR="006D5280" w:rsidRPr="006833CD">
        <w:rPr>
          <w:rFonts w:ascii="Times New Roman" w:hAnsi="Times New Roman"/>
          <w:bCs/>
          <w:szCs w:val="24"/>
        </w:rPr>
        <w:t xml:space="preserve"> explanatory po</w:t>
      </w:r>
      <w:r w:rsidR="000F4267" w:rsidRPr="006833CD">
        <w:rPr>
          <w:rFonts w:ascii="Times New Roman" w:hAnsi="Times New Roman"/>
          <w:bCs/>
          <w:szCs w:val="24"/>
        </w:rPr>
        <w:t>wer.</w:t>
      </w:r>
    </w:p>
    <w:p w14:paraId="22C5BEDF" w14:textId="1621ED86" w:rsidR="006D5280" w:rsidRPr="006833CD" w:rsidRDefault="00FC2C9E" w:rsidP="000502D3">
      <w:pPr>
        <w:pStyle w:val="answer"/>
        <w:ind w:firstLine="0"/>
        <w:rPr>
          <w:rFonts w:ascii="Times New Roman" w:hAnsi="Times New Roman"/>
          <w:bCs/>
          <w:szCs w:val="24"/>
        </w:rPr>
      </w:pPr>
      <w:r w:rsidRPr="006833CD">
        <w:rPr>
          <w:rFonts w:ascii="Times New Roman" w:hAnsi="Times New Roman"/>
          <w:bCs/>
          <w:szCs w:val="24"/>
        </w:rPr>
        <w:t xml:space="preserve">In </w:t>
      </w:r>
      <w:r w:rsidR="000F4267" w:rsidRPr="006833CD">
        <w:rPr>
          <w:rFonts w:ascii="Times New Roman" w:hAnsi="Times New Roman"/>
          <w:bCs/>
          <w:szCs w:val="24"/>
        </w:rPr>
        <w:t xml:space="preserve">his </w:t>
      </w:r>
      <w:r w:rsidRPr="006833CD">
        <w:rPr>
          <w:rFonts w:ascii="Times New Roman" w:hAnsi="Times New Roman"/>
          <w:bCs/>
          <w:szCs w:val="24"/>
        </w:rPr>
        <w:t xml:space="preserve">second step, </w:t>
      </w:r>
      <w:r w:rsidR="000F4267" w:rsidRPr="006833CD">
        <w:rPr>
          <w:rFonts w:ascii="Times New Roman" w:hAnsi="Times New Roman"/>
          <w:bCs/>
          <w:szCs w:val="24"/>
        </w:rPr>
        <w:t>Mr.</w:t>
      </w:r>
      <w:r w:rsidR="000502D3" w:rsidRPr="006833CD">
        <w:rPr>
          <w:rFonts w:ascii="Times New Roman" w:hAnsi="Times New Roman"/>
          <w:bCs/>
          <w:szCs w:val="24"/>
        </w:rPr>
        <w:t> </w:t>
      </w:r>
      <w:r w:rsidR="000F4267" w:rsidRPr="006833CD">
        <w:rPr>
          <w:rFonts w:ascii="Times New Roman" w:hAnsi="Times New Roman"/>
          <w:bCs/>
          <w:szCs w:val="24"/>
        </w:rPr>
        <w:t xml:space="preserve">Hill </w:t>
      </w:r>
      <w:r w:rsidRPr="006833CD">
        <w:rPr>
          <w:rFonts w:ascii="Times New Roman" w:hAnsi="Times New Roman"/>
          <w:bCs/>
          <w:szCs w:val="24"/>
        </w:rPr>
        <w:t xml:space="preserve">uses judgment to lower the </w:t>
      </w:r>
      <w:r w:rsidR="00770C1C" w:rsidRPr="006833CD">
        <w:rPr>
          <w:rFonts w:ascii="Times New Roman" w:hAnsi="Times New Roman"/>
          <w:bCs/>
          <w:szCs w:val="24"/>
        </w:rPr>
        <w:t>90</w:t>
      </w:r>
      <w:r w:rsidR="000502D3" w:rsidRPr="006833CD">
        <w:rPr>
          <w:rFonts w:ascii="Times New Roman" w:hAnsi="Times New Roman"/>
          <w:bCs/>
          <w:szCs w:val="24"/>
        </w:rPr>
        <w:t> </w:t>
      </w:r>
      <w:r w:rsidR="00770C1C" w:rsidRPr="006833CD">
        <w:rPr>
          <w:rFonts w:ascii="Times New Roman" w:hAnsi="Times New Roman"/>
          <w:bCs/>
          <w:szCs w:val="24"/>
        </w:rPr>
        <w:t>percent reduction in revenue variability to about 50</w:t>
      </w:r>
      <w:r w:rsidR="000502D3" w:rsidRPr="006833CD">
        <w:rPr>
          <w:rFonts w:ascii="Times New Roman" w:hAnsi="Times New Roman"/>
          <w:bCs/>
          <w:szCs w:val="24"/>
        </w:rPr>
        <w:t> </w:t>
      </w:r>
      <w:r w:rsidR="00770C1C" w:rsidRPr="006833CD">
        <w:rPr>
          <w:rFonts w:ascii="Times New Roman" w:hAnsi="Times New Roman"/>
          <w:bCs/>
          <w:szCs w:val="24"/>
        </w:rPr>
        <w:t>percent</w:t>
      </w:r>
      <w:r w:rsidRPr="006833CD">
        <w:rPr>
          <w:rFonts w:ascii="Times New Roman" w:hAnsi="Times New Roman"/>
          <w:bCs/>
          <w:szCs w:val="24"/>
        </w:rPr>
        <w:t xml:space="preserve"> and proceeds with that value in his analysis.</w:t>
      </w:r>
      <w:r w:rsidR="00452383" w:rsidRPr="00F71D8A">
        <w:rPr>
          <w:rStyle w:val="FootnoteReference"/>
        </w:rPr>
        <w:footnoteReference w:id="61"/>
      </w:r>
      <w:r w:rsidRPr="006833CD">
        <w:rPr>
          <w:rFonts w:ascii="Times New Roman" w:hAnsi="Times New Roman"/>
          <w:bCs/>
          <w:szCs w:val="24"/>
        </w:rPr>
        <w:t xml:space="preserve">  </w:t>
      </w:r>
      <w:r w:rsidR="00452383" w:rsidRPr="006833CD">
        <w:rPr>
          <w:rFonts w:ascii="Times New Roman" w:hAnsi="Times New Roman"/>
          <w:bCs/>
          <w:szCs w:val="24"/>
        </w:rPr>
        <w:t>Mr. </w:t>
      </w:r>
      <w:r w:rsidRPr="006833CD">
        <w:rPr>
          <w:rFonts w:ascii="Times New Roman" w:hAnsi="Times New Roman"/>
          <w:bCs/>
          <w:szCs w:val="24"/>
        </w:rPr>
        <w:t xml:space="preserve">Hill says this adjustment makes his further analysis conservative, but he admits it is judgment, so the </w:t>
      </w:r>
      <w:r w:rsidR="000E20D1" w:rsidRPr="006833CD">
        <w:rPr>
          <w:rFonts w:ascii="Times New Roman" w:hAnsi="Times New Roman"/>
          <w:bCs/>
          <w:szCs w:val="24"/>
        </w:rPr>
        <w:t>first step</w:t>
      </w:r>
      <w:r w:rsidRPr="006833CD">
        <w:rPr>
          <w:rFonts w:ascii="Times New Roman" w:hAnsi="Times New Roman"/>
          <w:bCs/>
          <w:szCs w:val="24"/>
        </w:rPr>
        <w:t xml:space="preserve"> regression </w:t>
      </w:r>
      <w:r w:rsidR="000E20D1" w:rsidRPr="006833CD">
        <w:rPr>
          <w:rFonts w:ascii="Times New Roman" w:hAnsi="Times New Roman"/>
          <w:bCs/>
          <w:szCs w:val="24"/>
        </w:rPr>
        <w:t>is not really needed.</w:t>
      </w:r>
    </w:p>
    <w:p w14:paraId="5D0ABA56" w14:textId="61CEA470" w:rsidR="00B12CA7" w:rsidRPr="006833CD" w:rsidRDefault="00B12CA7"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Why do you say that </w:t>
      </w:r>
      <w:r w:rsidR="00452383" w:rsidRPr="006833CD">
        <w:rPr>
          <w:rFonts w:ascii="Times New Roman" w:hAnsi="Times New Roman"/>
          <w:bCs/>
          <w:szCs w:val="24"/>
        </w:rPr>
        <w:t>Mr. </w:t>
      </w:r>
      <w:r w:rsidRPr="006833CD">
        <w:rPr>
          <w:rFonts w:ascii="Times New Roman" w:hAnsi="Times New Roman"/>
          <w:bCs/>
          <w:szCs w:val="24"/>
        </w:rPr>
        <w:t xml:space="preserve">Hill’s equation explaining the change in PSE’s net revenues tells us nothing about the </w:t>
      </w:r>
      <w:r w:rsidR="002002EE" w:rsidRPr="006833CD">
        <w:rPr>
          <w:rFonts w:ascii="Times New Roman" w:hAnsi="Times New Roman"/>
          <w:bCs/>
          <w:szCs w:val="24"/>
        </w:rPr>
        <w:t xml:space="preserve">net revenue </w:t>
      </w:r>
      <w:r w:rsidRPr="006833CD">
        <w:rPr>
          <w:rFonts w:ascii="Times New Roman" w:hAnsi="Times New Roman"/>
          <w:bCs/>
          <w:szCs w:val="24"/>
        </w:rPr>
        <w:t>variabil</w:t>
      </w:r>
      <w:r w:rsidR="003D27FA" w:rsidRPr="006833CD">
        <w:rPr>
          <w:rFonts w:ascii="Times New Roman" w:hAnsi="Times New Roman"/>
          <w:bCs/>
          <w:szCs w:val="24"/>
        </w:rPr>
        <w:t>ity reduction from decoupling?</w:t>
      </w:r>
    </w:p>
    <w:p w14:paraId="5D0ABA57" w14:textId="4A69301D" w:rsidR="00B12CA7" w:rsidRPr="006833CD" w:rsidRDefault="00AB7328" w:rsidP="00AB7328">
      <w:pPr>
        <w:pStyle w:val="BGNormal150"/>
        <w:spacing w:before="120" w:after="120" w:line="480" w:lineRule="auto"/>
        <w:ind w:left="720" w:hanging="720"/>
        <w:jc w:val="left"/>
        <w:rPr>
          <w:rFonts w:ascii="Times New Roman" w:hAnsi="Times New Roman"/>
          <w:color w:val="auto"/>
          <w:sz w:val="24"/>
          <w:szCs w:val="24"/>
        </w:rPr>
      </w:pPr>
      <w:r w:rsidRPr="006833CD">
        <w:rPr>
          <w:rFonts w:ascii="Times New Roman" w:hAnsi="Times New Roman"/>
          <w:bCs/>
          <w:sz w:val="24"/>
          <w:szCs w:val="24"/>
        </w:rPr>
        <w:t>A.</w:t>
      </w:r>
      <w:r w:rsidR="00B12CA7" w:rsidRPr="006833CD">
        <w:rPr>
          <w:rFonts w:ascii="Times New Roman" w:hAnsi="Times New Roman"/>
          <w:bCs/>
          <w:sz w:val="24"/>
          <w:szCs w:val="24"/>
        </w:rPr>
        <w:tab/>
      </w:r>
      <w:r w:rsidR="006C0A67" w:rsidRPr="006833CD">
        <w:rPr>
          <w:rFonts w:ascii="Times New Roman" w:hAnsi="Times New Roman"/>
          <w:color w:val="auto"/>
          <w:sz w:val="24"/>
          <w:szCs w:val="24"/>
        </w:rPr>
        <w:t xml:space="preserve">The effect of decoupling on net revenues depends upon the </w:t>
      </w:r>
      <w:r w:rsidR="00A2355F" w:rsidRPr="006833CD">
        <w:rPr>
          <w:rFonts w:ascii="Times New Roman" w:hAnsi="Times New Roman"/>
          <w:color w:val="auto"/>
          <w:sz w:val="24"/>
          <w:szCs w:val="24"/>
        </w:rPr>
        <w:t xml:space="preserve">decoupling </w:t>
      </w:r>
      <w:r w:rsidR="006C0A67" w:rsidRPr="006833CD">
        <w:rPr>
          <w:rFonts w:ascii="Times New Roman" w:hAnsi="Times New Roman"/>
          <w:color w:val="auto"/>
          <w:sz w:val="24"/>
          <w:szCs w:val="24"/>
        </w:rPr>
        <w:t xml:space="preserve">policy which does not address directly either the </w:t>
      </w:r>
      <w:r w:rsidR="0091560B" w:rsidRPr="006833CD">
        <w:rPr>
          <w:rFonts w:ascii="Times New Roman" w:hAnsi="Times New Roman"/>
          <w:color w:val="auto"/>
          <w:sz w:val="24"/>
          <w:szCs w:val="24"/>
        </w:rPr>
        <w:t xml:space="preserve">Washington </w:t>
      </w:r>
      <w:r w:rsidR="0091560B" w:rsidRPr="006833CD">
        <w:rPr>
          <w:rFonts w:ascii="Times New Roman" w:hAnsi="Times New Roman"/>
          <w:bCs/>
          <w:sz w:val="24"/>
          <w:szCs w:val="24"/>
        </w:rPr>
        <w:t>Gross State Product</w:t>
      </w:r>
      <w:r w:rsidR="005F33DA" w:rsidRPr="006833CD">
        <w:rPr>
          <w:rFonts w:ascii="Times New Roman" w:hAnsi="Times New Roman"/>
          <w:color w:val="auto"/>
          <w:sz w:val="24"/>
          <w:szCs w:val="24"/>
        </w:rPr>
        <w:t xml:space="preserve"> </w:t>
      </w:r>
      <w:r w:rsidR="006C0A67" w:rsidRPr="006833CD">
        <w:rPr>
          <w:rFonts w:ascii="Times New Roman" w:hAnsi="Times New Roman"/>
          <w:color w:val="auto"/>
          <w:sz w:val="24"/>
          <w:szCs w:val="24"/>
        </w:rPr>
        <w:t xml:space="preserve">or the </w:t>
      </w:r>
      <w:r w:rsidR="00A2355F" w:rsidRPr="006833CD">
        <w:rPr>
          <w:rFonts w:ascii="Times New Roman" w:hAnsi="Times New Roman"/>
          <w:color w:val="auto"/>
          <w:sz w:val="24"/>
          <w:szCs w:val="24"/>
        </w:rPr>
        <w:t xml:space="preserve">heating </w:t>
      </w:r>
      <w:r w:rsidR="006C0A67" w:rsidRPr="006833CD">
        <w:rPr>
          <w:rFonts w:ascii="Times New Roman" w:hAnsi="Times New Roman"/>
          <w:color w:val="auto"/>
          <w:sz w:val="24"/>
          <w:szCs w:val="24"/>
        </w:rPr>
        <w:t xml:space="preserve">degree-days of the year.  Decoupling with true-up compares the </w:t>
      </w:r>
      <w:r w:rsidR="005F33DA" w:rsidRPr="006833CD">
        <w:rPr>
          <w:rFonts w:ascii="Times New Roman" w:hAnsi="Times New Roman"/>
          <w:color w:val="auto"/>
          <w:sz w:val="24"/>
          <w:szCs w:val="24"/>
        </w:rPr>
        <w:t xml:space="preserve">target revenues collected </w:t>
      </w:r>
      <w:r w:rsidR="006C0A67" w:rsidRPr="006833CD">
        <w:rPr>
          <w:rFonts w:ascii="Times New Roman" w:hAnsi="Times New Roman"/>
          <w:color w:val="auto"/>
          <w:sz w:val="24"/>
          <w:szCs w:val="24"/>
        </w:rPr>
        <w:t>over the period</w:t>
      </w:r>
      <w:r w:rsidR="0065556C" w:rsidRPr="006833CD">
        <w:rPr>
          <w:rFonts w:ascii="Times New Roman" w:hAnsi="Times New Roman"/>
          <w:color w:val="auto"/>
          <w:sz w:val="24"/>
          <w:szCs w:val="24"/>
        </w:rPr>
        <w:t xml:space="preserve"> </w:t>
      </w:r>
      <w:r w:rsidR="0065556C" w:rsidRPr="006833CD">
        <w:rPr>
          <w:rFonts w:ascii="Times New Roman" w:hAnsi="Times New Roman"/>
          <w:bCs/>
          <w:sz w:val="24"/>
          <w:szCs w:val="24"/>
        </w:rPr>
        <w:t>of a year</w:t>
      </w:r>
      <w:r w:rsidR="005F33DA" w:rsidRPr="006833CD">
        <w:rPr>
          <w:rFonts w:ascii="Times New Roman" w:hAnsi="Times New Roman"/>
          <w:bCs/>
          <w:sz w:val="24"/>
          <w:szCs w:val="24"/>
        </w:rPr>
        <w:t xml:space="preserve"> </w:t>
      </w:r>
      <w:r w:rsidR="005F33DA" w:rsidRPr="006833CD">
        <w:rPr>
          <w:rFonts w:ascii="Times New Roman" w:hAnsi="Times New Roman"/>
          <w:color w:val="auto"/>
          <w:sz w:val="24"/>
          <w:szCs w:val="24"/>
        </w:rPr>
        <w:t xml:space="preserve">to the revenues collected over </w:t>
      </w:r>
      <w:r w:rsidR="005F33DA" w:rsidRPr="006833CD">
        <w:rPr>
          <w:rFonts w:ascii="Times New Roman" w:hAnsi="Times New Roman"/>
          <w:bCs/>
          <w:sz w:val="24"/>
          <w:szCs w:val="24"/>
        </w:rPr>
        <w:t>th</w:t>
      </w:r>
      <w:r w:rsidR="0065556C" w:rsidRPr="006833CD">
        <w:rPr>
          <w:rFonts w:ascii="Times New Roman" w:hAnsi="Times New Roman"/>
          <w:bCs/>
          <w:sz w:val="24"/>
          <w:szCs w:val="24"/>
        </w:rPr>
        <w:t>at</w:t>
      </w:r>
      <w:r w:rsidR="005F33DA" w:rsidRPr="006833CD">
        <w:rPr>
          <w:rFonts w:ascii="Times New Roman" w:hAnsi="Times New Roman"/>
          <w:color w:val="auto"/>
          <w:sz w:val="24"/>
          <w:szCs w:val="24"/>
        </w:rPr>
        <w:t xml:space="preserve"> period</w:t>
      </w:r>
      <w:r w:rsidR="006C0A67" w:rsidRPr="006833CD">
        <w:rPr>
          <w:rFonts w:ascii="Times New Roman" w:hAnsi="Times New Roman"/>
          <w:color w:val="auto"/>
          <w:sz w:val="24"/>
          <w:szCs w:val="24"/>
        </w:rPr>
        <w:t xml:space="preserve">.  If </w:t>
      </w:r>
      <w:r w:rsidR="005F33DA" w:rsidRPr="006833CD">
        <w:rPr>
          <w:rFonts w:ascii="Times New Roman" w:hAnsi="Times New Roman"/>
          <w:color w:val="auto"/>
          <w:sz w:val="24"/>
          <w:szCs w:val="24"/>
        </w:rPr>
        <w:t xml:space="preserve">revenues </w:t>
      </w:r>
      <w:r w:rsidR="006C0A67" w:rsidRPr="006833CD">
        <w:rPr>
          <w:rFonts w:ascii="Times New Roman" w:hAnsi="Times New Roman"/>
          <w:color w:val="auto"/>
          <w:sz w:val="24"/>
          <w:szCs w:val="24"/>
        </w:rPr>
        <w:t>are lower than forecast, a surcharge is added to rates (i.e.</w:t>
      </w:r>
      <w:r w:rsidRPr="006833CD">
        <w:rPr>
          <w:rFonts w:ascii="Times New Roman" w:hAnsi="Times New Roman"/>
          <w:color w:val="auto"/>
          <w:sz w:val="24"/>
          <w:szCs w:val="24"/>
        </w:rPr>
        <w:t>, </w:t>
      </w:r>
      <w:r w:rsidR="006C0A67" w:rsidRPr="006833CD">
        <w:rPr>
          <w:rFonts w:ascii="Times New Roman" w:hAnsi="Times New Roman"/>
          <w:color w:val="auto"/>
          <w:sz w:val="24"/>
          <w:szCs w:val="24"/>
        </w:rPr>
        <w:t xml:space="preserve">revenues) for the next period to adjust for the under recovery of </w:t>
      </w:r>
      <w:r w:rsidR="005F33DA" w:rsidRPr="006833CD">
        <w:rPr>
          <w:rFonts w:ascii="Times New Roman" w:hAnsi="Times New Roman"/>
          <w:color w:val="auto"/>
          <w:sz w:val="24"/>
          <w:szCs w:val="24"/>
        </w:rPr>
        <w:t>target revenues</w:t>
      </w:r>
      <w:r w:rsidR="006C0A67" w:rsidRPr="006833CD">
        <w:rPr>
          <w:rFonts w:ascii="Times New Roman" w:hAnsi="Times New Roman"/>
          <w:color w:val="auto"/>
          <w:sz w:val="24"/>
          <w:szCs w:val="24"/>
        </w:rPr>
        <w:t xml:space="preserve"> in the previous period.  If </w:t>
      </w:r>
      <w:r w:rsidR="006C0A67" w:rsidRPr="006833CD" w:rsidDel="005F33DA">
        <w:rPr>
          <w:rFonts w:ascii="Times New Roman" w:hAnsi="Times New Roman"/>
          <w:color w:val="auto"/>
          <w:sz w:val="24"/>
          <w:szCs w:val="24"/>
        </w:rPr>
        <w:t xml:space="preserve">sales </w:t>
      </w:r>
      <w:r w:rsidR="005F33DA" w:rsidRPr="006833CD">
        <w:rPr>
          <w:rFonts w:ascii="Times New Roman" w:hAnsi="Times New Roman"/>
          <w:bCs/>
          <w:sz w:val="24"/>
          <w:szCs w:val="24"/>
        </w:rPr>
        <w:t>collect</w:t>
      </w:r>
      <w:r w:rsidR="005F33DA" w:rsidRPr="006833CD">
        <w:rPr>
          <w:rFonts w:ascii="Times New Roman" w:hAnsi="Times New Roman"/>
          <w:color w:val="auto"/>
          <w:sz w:val="24"/>
          <w:szCs w:val="24"/>
        </w:rPr>
        <w:t xml:space="preserve"> revenues</w:t>
      </w:r>
      <w:r w:rsidR="005F33DA" w:rsidRPr="006833CD">
        <w:rPr>
          <w:rFonts w:ascii="Times New Roman" w:hAnsi="Times New Roman"/>
          <w:bCs/>
          <w:sz w:val="24"/>
          <w:szCs w:val="24"/>
        </w:rPr>
        <w:t xml:space="preserve"> </w:t>
      </w:r>
      <w:r w:rsidR="003107BA" w:rsidRPr="006833CD">
        <w:rPr>
          <w:rFonts w:ascii="Times New Roman" w:hAnsi="Times New Roman"/>
          <w:bCs/>
          <w:sz w:val="24"/>
          <w:szCs w:val="24"/>
        </w:rPr>
        <w:t>that</w:t>
      </w:r>
      <w:r w:rsidR="003107BA" w:rsidRPr="006833CD">
        <w:rPr>
          <w:rFonts w:ascii="Times New Roman" w:hAnsi="Times New Roman"/>
          <w:color w:val="auto"/>
          <w:sz w:val="24"/>
          <w:szCs w:val="24"/>
        </w:rPr>
        <w:t xml:space="preserve"> </w:t>
      </w:r>
      <w:r w:rsidR="006C0A67" w:rsidRPr="006833CD">
        <w:rPr>
          <w:rFonts w:ascii="Times New Roman" w:hAnsi="Times New Roman"/>
          <w:color w:val="auto"/>
          <w:sz w:val="24"/>
          <w:szCs w:val="24"/>
        </w:rPr>
        <w:t>are higher than forecast, a credit is added to rates (i.e.</w:t>
      </w:r>
      <w:r w:rsidRPr="006833CD">
        <w:rPr>
          <w:rFonts w:ascii="Times New Roman" w:hAnsi="Times New Roman"/>
          <w:color w:val="auto"/>
          <w:sz w:val="24"/>
          <w:szCs w:val="24"/>
        </w:rPr>
        <w:t>, </w:t>
      </w:r>
      <w:r w:rsidR="006C0A67" w:rsidRPr="006833CD">
        <w:rPr>
          <w:rFonts w:ascii="Times New Roman" w:hAnsi="Times New Roman"/>
          <w:color w:val="auto"/>
          <w:sz w:val="24"/>
          <w:szCs w:val="24"/>
        </w:rPr>
        <w:t xml:space="preserve">revenues) for the next period to adjust for </w:t>
      </w:r>
      <w:r w:rsidR="006C0A67" w:rsidRPr="006833CD">
        <w:rPr>
          <w:rFonts w:ascii="Times New Roman" w:hAnsi="Times New Roman"/>
          <w:color w:val="auto"/>
          <w:sz w:val="24"/>
          <w:szCs w:val="24"/>
        </w:rPr>
        <w:lastRenderedPageBreak/>
        <w:t xml:space="preserve">the over recovery of fixed costs in the previous period.  </w:t>
      </w:r>
      <w:r w:rsidR="00E96148" w:rsidRPr="006833CD">
        <w:rPr>
          <w:rFonts w:ascii="Times New Roman" w:eastAsia="Times New Roman" w:hAnsi="Times New Roman"/>
          <w:bCs/>
          <w:color w:val="auto"/>
          <w:sz w:val="24"/>
          <w:szCs w:val="24"/>
          <w:lang w:eastAsia="zh-CN"/>
        </w:rPr>
        <w:t>N</w:t>
      </w:r>
      <w:r w:rsidR="002E2A32" w:rsidRPr="006833CD">
        <w:rPr>
          <w:rFonts w:ascii="Times New Roman" w:eastAsia="Times New Roman" w:hAnsi="Times New Roman"/>
          <w:bCs/>
          <w:color w:val="auto"/>
          <w:sz w:val="24"/>
          <w:szCs w:val="24"/>
          <w:lang w:eastAsia="zh-CN"/>
        </w:rPr>
        <w:t xml:space="preserve">et revenues will still vary but </w:t>
      </w:r>
      <w:r w:rsidR="00A2355F" w:rsidRPr="006833CD">
        <w:rPr>
          <w:rFonts w:ascii="Times New Roman" w:eastAsia="Times New Roman" w:hAnsi="Times New Roman"/>
          <w:bCs/>
          <w:color w:val="auto"/>
          <w:sz w:val="24"/>
          <w:szCs w:val="24"/>
          <w:lang w:eastAsia="zh-CN"/>
        </w:rPr>
        <w:t>it is expected to be</w:t>
      </w:r>
      <w:r w:rsidR="002E2A32" w:rsidRPr="006833CD">
        <w:rPr>
          <w:rFonts w:ascii="Times New Roman" w:eastAsia="Times New Roman" w:hAnsi="Times New Roman"/>
          <w:bCs/>
          <w:color w:val="auto"/>
          <w:sz w:val="24"/>
          <w:szCs w:val="24"/>
          <w:lang w:eastAsia="zh-CN"/>
        </w:rPr>
        <w:t xml:space="preserve"> by a reduced amount based upon how accurate the forecast of sales used to set rates may be and how rapidly any over or under recovery is transferred to customers.</w:t>
      </w:r>
    </w:p>
    <w:p w14:paraId="5D0ABA5E" w14:textId="719D1EC1"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W</w:t>
      </w:r>
      <w:r w:rsidR="003D27FA" w:rsidRPr="006833CD">
        <w:rPr>
          <w:rFonts w:ascii="Times New Roman" w:hAnsi="Times New Roman"/>
          <w:bCs/>
          <w:szCs w:val="24"/>
        </w:rPr>
        <w:t xml:space="preserve">hat is </w:t>
      </w:r>
      <w:r w:rsidR="00452383" w:rsidRPr="006833CD">
        <w:rPr>
          <w:rFonts w:ascii="Times New Roman" w:hAnsi="Times New Roman"/>
          <w:bCs/>
          <w:szCs w:val="24"/>
        </w:rPr>
        <w:t>Mr. </w:t>
      </w:r>
      <w:r w:rsidR="003D27FA" w:rsidRPr="006833CD">
        <w:rPr>
          <w:rFonts w:ascii="Times New Roman" w:hAnsi="Times New Roman"/>
          <w:bCs/>
          <w:szCs w:val="24"/>
        </w:rPr>
        <w:t>Hill’s second step?</w:t>
      </w:r>
    </w:p>
    <w:p w14:paraId="5D0ABA5F" w14:textId="5B62BA80" w:rsidR="00D346C9" w:rsidRPr="006833CD" w:rsidRDefault="00AB7328" w:rsidP="00F86182">
      <w:pPr>
        <w:pStyle w:val="answer"/>
        <w:tabs>
          <w:tab w:val="left" w:pos="5670"/>
        </w:tabs>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r>
      <w:r w:rsidR="00452383" w:rsidRPr="006833CD">
        <w:rPr>
          <w:rFonts w:ascii="Times New Roman" w:hAnsi="Times New Roman"/>
          <w:bCs/>
          <w:szCs w:val="24"/>
        </w:rPr>
        <w:t>Mr. </w:t>
      </w:r>
      <w:r w:rsidR="00E7267D" w:rsidRPr="006833CD">
        <w:rPr>
          <w:rFonts w:ascii="Times New Roman" w:hAnsi="Times New Roman"/>
          <w:bCs/>
          <w:szCs w:val="24"/>
        </w:rPr>
        <w:t xml:space="preserve">Hill </w:t>
      </w:r>
      <w:r w:rsidR="00E7267D" w:rsidRPr="006833CD">
        <w:rPr>
          <w:rFonts w:ascii="Times New Roman" w:hAnsi="Times New Roman"/>
          <w:szCs w:val="24"/>
        </w:rPr>
        <w:t>assumes</w:t>
      </w:r>
      <w:r w:rsidR="00E7267D" w:rsidRPr="006833CD">
        <w:rPr>
          <w:rFonts w:ascii="Times New Roman" w:hAnsi="Times New Roman"/>
          <w:bCs/>
          <w:szCs w:val="24"/>
        </w:rPr>
        <w:t xml:space="preserve"> that decoupling will reduce the volatility of revenues by 50</w:t>
      </w:r>
      <w:r w:rsidRPr="006833CD">
        <w:rPr>
          <w:rFonts w:ascii="Times New Roman" w:hAnsi="Times New Roman"/>
          <w:bCs/>
          <w:szCs w:val="24"/>
        </w:rPr>
        <w:t> </w:t>
      </w:r>
      <w:r w:rsidR="00E7267D" w:rsidRPr="006833CD">
        <w:rPr>
          <w:rFonts w:ascii="Times New Roman" w:hAnsi="Times New Roman"/>
          <w:bCs/>
          <w:szCs w:val="24"/>
        </w:rPr>
        <w:t>percent.</w:t>
      </w:r>
      <w:r w:rsidRPr="00F71D8A">
        <w:rPr>
          <w:rStyle w:val="FootnoteReference"/>
        </w:rPr>
        <w:footnoteReference w:id="62"/>
      </w:r>
      <w:r w:rsidR="00E7267D" w:rsidRPr="006833CD">
        <w:rPr>
          <w:rFonts w:ascii="Times New Roman" w:hAnsi="Times New Roman"/>
          <w:bCs/>
          <w:szCs w:val="24"/>
        </w:rPr>
        <w:t xml:space="preserve">  </w:t>
      </w:r>
      <w:r w:rsidR="00D26D11" w:rsidRPr="006833CD">
        <w:rPr>
          <w:rFonts w:ascii="Times New Roman" w:hAnsi="Times New Roman"/>
          <w:bCs/>
          <w:szCs w:val="24"/>
        </w:rPr>
        <w:t xml:space="preserve">He explains this assumption as </w:t>
      </w:r>
      <w:r w:rsidR="006A0358" w:rsidRPr="006833CD">
        <w:rPr>
          <w:rFonts w:ascii="Times New Roman" w:hAnsi="Times New Roman"/>
          <w:bCs/>
          <w:szCs w:val="24"/>
        </w:rPr>
        <w:t>“</w:t>
      </w:r>
      <w:r w:rsidR="00D26D11" w:rsidRPr="006833CD">
        <w:rPr>
          <w:rFonts w:ascii="Times New Roman" w:hAnsi="Times New Roman"/>
          <w:bCs/>
          <w:szCs w:val="24"/>
        </w:rPr>
        <w:t>reasonable to be cautious” about using the 90 percent for several reasons.</w:t>
      </w:r>
      <w:r w:rsidRPr="00F71D8A">
        <w:rPr>
          <w:rStyle w:val="FootnoteReference"/>
        </w:rPr>
        <w:footnoteReference w:id="63"/>
      </w:r>
      <w:r w:rsidR="00D26D11" w:rsidRPr="006833CD">
        <w:rPr>
          <w:rFonts w:ascii="Times New Roman" w:hAnsi="Times New Roman"/>
          <w:bCs/>
          <w:szCs w:val="24"/>
        </w:rPr>
        <w:t xml:space="preserve">  First, </w:t>
      </w:r>
      <w:r w:rsidR="003107BA" w:rsidRPr="006833CD">
        <w:rPr>
          <w:rFonts w:ascii="Times New Roman" w:hAnsi="Times New Roman"/>
          <w:bCs/>
          <w:szCs w:val="24"/>
        </w:rPr>
        <w:t xml:space="preserve">he </w:t>
      </w:r>
      <w:r w:rsidR="00D26D11" w:rsidRPr="006833CD">
        <w:rPr>
          <w:rFonts w:ascii="Times New Roman" w:hAnsi="Times New Roman"/>
          <w:bCs/>
          <w:szCs w:val="24"/>
        </w:rPr>
        <w:t>questions his use of linear regression.</w:t>
      </w:r>
      <w:r w:rsidRPr="00F71D8A">
        <w:rPr>
          <w:rStyle w:val="FootnoteReference"/>
        </w:rPr>
        <w:footnoteReference w:id="64"/>
      </w:r>
      <w:r w:rsidR="00D26D11" w:rsidRPr="006833CD">
        <w:rPr>
          <w:rFonts w:ascii="Times New Roman" w:hAnsi="Times New Roman"/>
          <w:bCs/>
          <w:szCs w:val="24"/>
        </w:rPr>
        <w:t xml:space="preserve">  Second, h</w:t>
      </w:r>
      <w:r w:rsidR="00A2355F" w:rsidRPr="006833CD">
        <w:rPr>
          <w:rFonts w:ascii="Times New Roman" w:hAnsi="Times New Roman"/>
          <w:bCs/>
          <w:szCs w:val="24"/>
        </w:rPr>
        <w:t xml:space="preserve">e justifies the </w:t>
      </w:r>
      <w:r w:rsidR="00E7267D" w:rsidRPr="006833CD">
        <w:rPr>
          <w:rFonts w:ascii="Times New Roman" w:hAnsi="Times New Roman"/>
          <w:bCs/>
          <w:szCs w:val="24"/>
        </w:rPr>
        <w:t xml:space="preserve">assumption </w:t>
      </w:r>
      <w:r w:rsidR="00A2355F" w:rsidRPr="006833CD">
        <w:rPr>
          <w:rFonts w:ascii="Times New Roman" w:hAnsi="Times New Roman"/>
          <w:bCs/>
          <w:szCs w:val="24"/>
        </w:rPr>
        <w:t>that decoupling reduces the volatility of revenues by 50</w:t>
      </w:r>
      <w:r w:rsidRPr="006833CD">
        <w:rPr>
          <w:rFonts w:ascii="Times New Roman" w:hAnsi="Times New Roman"/>
          <w:bCs/>
          <w:szCs w:val="24"/>
        </w:rPr>
        <w:t> </w:t>
      </w:r>
      <w:r w:rsidR="00A2355F" w:rsidRPr="006833CD">
        <w:rPr>
          <w:rFonts w:ascii="Times New Roman" w:hAnsi="Times New Roman"/>
          <w:bCs/>
          <w:szCs w:val="24"/>
        </w:rPr>
        <w:t>percent by reference</w:t>
      </w:r>
      <w:r w:rsidR="00E7267D" w:rsidRPr="006833CD">
        <w:rPr>
          <w:rFonts w:ascii="Times New Roman" w:hAnsi="Times New Roman"/>
          <w:bCs/>
          <w:szCs w:val="24"/>
        </w:rPr>
        <w:t xml:space="preserve"> to the </w:t>
      </w:r>
      <w:r w:rsidR="00A2355F" w:rsidRPr="006833CD">
        <w:rPr>
          <w:rFonts w:ascii="Times New Roman" w:hAnsi="Times New Roman"/>
          <w:bCs/>
          <w:szCs w:val="24"/>
        </w:rPr>
        <w:t>fact that some risks are diversifiable</w:t>
      </w:r>
      <w:r w:rsidR="003107BA" w:rsidRPr="006833CD">
        <w:rPr>
          <w:rFonts w:ascii="Times New Roman" w:hAnsi="Times New Roman"/>
          <w:bCs/>
          <w:szCs w:val="24"/>
        </w:rPr>
        <w:t>.</w:t>
      </w:r>
      <w:r w:rsidRPr="00F71D8A">
        <w:rPr>
          <w:rStyle w:val="FootnoteReference"/>
        </w:rPr>
        <w:footnoteReference w:id="65"/>
      </w:r>
      <w:r w:rsidR="006A0358" w:rsidRPr="006833CD">
        <w:rPr>
          <w:rFonts w:ascii="Times New Roman" w:hAnsi="Times New Roman"/>
          <w:bCs/>
          <w:szCs w:val="24"/>
        </w:rPr>
        <w:t xml:space="preserve">  </w:t>
      </w:r>
      <w:r w:rsidR="003107BA" w:rsidRPr="006833CD">
        <w:rPr>
          <w:rFonts w:ascii="Times New Roman" w:hAnsi="Times New Roman"/>
          <w:bCs/>
          <w:szCs w:val="24"/>
        </w:rPr>
        <w:t>However,</w:t>
      </w:r>
      <w:r w:rsidR="00A2355F" w:rsidRPr="006833CD">
        <w:rPr>
          <w:rFonts w:ascii="Times New Roman" w:hAnsi="Times New Roman"/>
          <w:bCs/>
          <w:szCs w:val="24"/>
        </w:rPr>
        <w:t xml:space="preserve"> whether some risks are diversifiable or not </w:t>
      </w:r>
      <w:r w:rsidR="003107BA" w:rsidRPr="006833CD">
        <w:rPr>
          <w:rFonts w:ascii="Times New Roman" w:hAnsi="Times New Roman"/>
          <w:bCs/>
          <w:szCs w:val="24"/>
        </w:rPr>
        <w:t xml:space="preserve">at this point </w:t>
      </w:r>
      <w:r w:rsidR="00A2355F" w:rsidRPr="006833CD">
        <w:rPr>
          <w:rFonts w:ascii="Times New Roman" w:hAnsi="Times New Roman"/>
          <w:bCs/>
          <w:szCs w:val="24"/>
        </w:rPr>
        <w:t xml:space="preserve">has nothing to do with how the decoupling mechanism </w:t>
      </w:r>
      <w:r w:rsidR="003107BA" w:rsidRPr="006833CD">
        <w:rPr>
          <w:rFonts w:ascii="Times New Roman" w:hAnsi="Times New Roman"/>
          <w:bCs/>
          <w:szCs w:val="24"/>
        </w:rPr>
        <w:t>affects net revenue</w:t>
      </w:r>
      <w:r w:rsidR="00A2355F" w:rsidRPr="006833CD">
        <w:rPr>
          <w:rFonts w:ascii="Times New Roman" w:hAnsi="Times New Roman"/>
          <w:bCs/>
          <w:szCs w:val="24"/>
        </w:rPr>
        <w:t>.</w:t>
      </w:r>
      <w:r w:rsidR="00E7267D" w:rsidRPr="006833CD">
        <w:rPr>
          <w:rFonts w:ascii="Times New Roman" w:hAnsi="Times New Roman"/>
          <w:bCs/>
          <w:szCs w:val="24"/>
        </w:rPr>
        <w:t xml:space="preserve">  By its design, decoupling is intended to reduce the volatility of a regulated utility’s revenues.  Whether the amount that the volatility is reduced is higher or lower than 50</w:t>
      </w:r>
      <w:r w:rsidRPr="006833CD">
        <w:rPr>
          <w:rFonts w:ascii="Times New Roman" w:hAnsi="Times New Roman"/>
          <w:bCs/>
          <w:szCs w:val="24"/>
        </w:rPr>
        <w:t> </w:t>
      </w:r>
      <w:r w:rsidR="00E7267D" w:rsidRPr="006833CD">
        <w:rPr>
          <w:rFonts w:ascii="Times New Roman" w:hAnsi="Times New Roman"/>
          <w:bCs/>
          <w:szCs w:val="24"/>
        </w:rPr>
        <w:t xml:space="preserve">percent, the true reduction </w:t>
      </w:r>
      <w:r w:rsidR="006A0358" w:rsidRPr="006833CD">
        <w:rPr>
          <w:rFonts w:ascii="Times New Roman" w:hAnsi="Times New Roman"/>
          <w:bCs/>
          <w:szCs w:val="24"/>
        </w:rPr>
        <w:t>does not really depend upon</w:t>
      </w:r>
      <w:r w:rsidR="00E7267D" w:rsidRPr="006833CD">
        <w:rPr>
          <w:rFonts w:ascii="Times New Roman" w:hAnsi="Times New Roman"/>
          <w:bCs/>
          <w:szCs w:val="24"/>
        </w:rPr>
        <w:t xml:space="preserve"> his first step</w:t>
      </w:r>
      <w:r w:rsidR="00A2355F" w:rsidRPr="006833CD">
        <w:rPr>
          <w:rFonts w:ascii="Times New Roman" w:hAnsi="Times New Roman"/>
          <w:bCs/>
          <w:szCs w:val="24"/>
        </w:rPr>
        <w:t xml:space="preserve"> regression.  </w:t>
      </w:r>
      <w:r w:rsidR="003107BA" w:rsidRPr="006833CD">
        <w:rPr>
          <w:rFonts w:ascii="Times New Roman" w:hAnsi="Times New Roman"/>
          <w:bCs/>
          <w:szCs w:val="24"/>
        </w:rPr>
        <w:t xml:space="preserve">From this point forward, </w:t>
      </w:r>
      <w:r w:rsidR="00452383" w:rsidRPr="006833CD">
        <w:rPr>
          <w:rFonts w:ascii="Times New Roman" w:hAnsi="Times New Roman"/>
          <w:bCs/>
          <w:szCs w:val="24"/>
        </w:rPr>
        <w:t>Mr. </w:t>
      </w:r>
      <w:r w:rsidR="003107BA" w:rsidRPr="006833CD">
        <w:rPr>
          <w:rFonts w:ascii="Times New Roman" w:hAnsi="Times New Roman"/>
          <w:bCs/>
          <w:szCs w:val="24"/>
        </w:rPr>
        <w:t>Hill is thus working with an assumed amount of re</w:t>
      </w:r>
      <w:r w:rsidR="006A0358" w:rsidRPr="006833CD">
        <w:rPr>
          <w:rFonts w:ascii="Times New Roman" w:hAnsi="Times New Roman"/>
          <w:bCs/>
          <w:szCs w:val="24"/>
        </w:rPr>
        <w:t>venue volatility reduction</w:t>
      </w:r>
      <w:r w:rsidR="00F86182" w:rsidRPr="006833CD">
        <w:rPr>
          <w:rFonts w:ascii="Times New Roman" w:hAnsi="Times New Roman"/>
          <w:bCs/>
          <w:szCs w:val="24"/>
        </w:rPr>
        <w:t xml:space="preserve"> that has no analytical basis</w:t>
      </w:r>
      <w:r w:rsidRPr="006833CD">
        <w:rPr>
          <w:rFonts w:ascii="Times New Roman" w:hAnsi="Times New Roman"/>
          <w:bCs/>
          <w:szCs w:val="24"/>
        </w:rPr>
        <w:t>.</w:t>
      </w:r>
    </w:p>
    <w:p w14:paraId="5D0ABA60" w14:textId="69021B72"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3D27FA" w:rsidRPr="006833CD">
        <w:rPr>
          <w:rFonts w:ascii="Times New Roman" w:hAnsi="Times New Roman"/>
          <w:bCs/>
          <w:szCs w:val="24"/>
        </w:rPr>
        <w:t>What is his third step?</w:t>
      </w:r>
    </w:p>
    <w:p w14:paraId="5D0ABA61" w14:textId="4F186089" w:rsidR="00D346C9" w:rsidRPr="006833CD" w:rsidRDefault="00AB7328" w:rsidP="00AB7328">
      <w:pPr>
        <w:pStyle w:val="answer"/>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r>
      <w:r w:rsidR="00452383" w:rsidRPr="006833CD">
        <w:rPr>
          <w:rFonts w:ascii="Times New Roman" w:hAnsi="Times New Roman"/>
          <w:bCs/>
          <w:szCs w:val="24"/>
        </w:rPr>
        <w:t>Mr. </w:t>
      </w:r>
      <w:r w:rsidR="00B67757" w:rsidRPr="006833CD">
        <w:rPr>
          <w:rFonts w:ascii="Times New Roman" w:hAnsi="Times New Roman"/>
          <w:bCs/>
          <w:szCs w:val="24"/>
        </w:rPr>
        <w:t xml:space="preserve">Hill reduces </w:t>
      </w:r>
      <w:r w:rsidR="00DF72AF" w:rsidRPr="006833CD">
        <w:rPr>
          <w:rFonts w:ascii="Times New Roman" w:hAnsi="Times New Roman"/>
          <w:bCs/>
          <w:szCs w:val="24"/>
        </w:rPr>
        <w:t xml:space="preserve">the </w:t>
      </w:r>
      <w:r w:rsidR="003107BA" w:rsidRPr="006833CD">
        <w:rPr>
          <w:rFonts w:ascii="Times New Roman" w:hAnsi="Times New Roman"/>
          <w:bCs/>
          <w:szCs w:val="24"/>
        </w:rPr>
        <w:t xml:space="preserve">now </w:t>
      </w:r>
      <w:r w:rsidR="00B67757" w:rsidRPr="006833CD">
        <w:rPr>
          <w:rFonts w:ascii="Times New Roman" w:hAnsi="Times New Roman"/>
          <w:szCs w:val="24"/>
        </w:rPr>
        <w:t>assumed</w:t>
      </w:r>
      <w:r w:rsidR="00B67757" w:rsidRPr="006833CD">
        <w:rPr>
          <w:rFonts w:ascii="Times New Roman" w:hAnsi="Times New Roman"/>
          <w:bCs/>
          <w:szCs w:val="24"/>
        </w:rPr>
        <w:t xml:space="preserve"> amount</w:t>
      </w:r>
      <w:r w:rsidR="00DF72AF" w:rsidRPr="006833CD">
        <w:rPr>
          <w:rFonts w:ascii="Times New Roman" w:hAnsi="Times New Roman"/>
          <w:bCs/>
          <w:szCs w:val="24"/>
        </w:rPr>
        <w:t xml:space="preserve"> </w:t>
      </w:r>
      <w:r w:rsidR="00B67757" w:rsidRPr="006833CD">
        <w:rPr>
          <w:rFonts w:ascii="Times New Roman" w:hAnsi="Times New Roman"/>
          <w:bCs/>
          <w:szCs w:val="24"/>
        </w:rPr>
        <w:t xml:space="preserve">that decoupling reduces </w:t>
      </w:r>
      <w:r w:rsidR="000E1E45" w:rsidRPr="006833CD">
        <w:rPr>
          <w:rFonts w:ascii="Times New Roman" w:hAnsi="Times New Roman"/>
          <w:bCs/>
          <w:szCs w:val="24"/>
        </w:rPr>
        <w:t xml:space="preserve">PSE’s </w:t>
      </w:r>
      <w:r w:rsidR="00B67757" w:rsidRPr="006833CD">
        <w:rPr>
          <w:rFonts w:ascii="Times New Roman" w:hAnsi="Times New Roman"/>
          <w:bCs/>
          <w:szCs w:val="24"/>
        </w:rPr>
        <w:t xml:space="preserve">revenue volatility </w:t>
      </w:r>
      <w:r w:rsidR="000E1E45" w:rsidRPr="006833CD">
        <w:rPr>
          <w:rFonts w:ascii="Times New Roman" w:hAnsi="Times New Roman"/>
          <w:bCs/>
          <w:szCs w:val="24"/>
        </w:rPr>
        <w:t>to 35</w:t>
      </w:r>
      <w:r w:rsidRPr="006833CD">
        <w:rPr>
          <w:rFonts w:ascii="Times New Roman" w:hAnsi="Times New Roman"/>
          <w:bCs/>
          <w:szCs w:val="24"/>
        </w:rPr>
        <w:t> </w:t>
      </w:r>
      <w:r w:rsidR="000E1E45" w:rsidRPr="006833CD">
        <w:rPr>
          <w:rFonts w:ascii="Times New Roman" w:hAnsi="Times New Roman"/>
          <w:bCs/>
          <w:szCs w:val="24"/>
        </w:rPr>
        <w:t xml:space="preserve">percent </w:t>
      </w:r>
      <w:r w:rsidR="00B67757" w:rsidRPr="006833CD">
        <w:rPr>
          <w:rFonts w:ascii="Times New Roman" w:hAnsi="Times New Roman"/>
          <w:bCs/>
          <w:szCs w:val="24"/>
        </w:rPr>
        <w:t xml:space="preserve">by </w:t>
      </w:r>
      <w:r w:rsidR="00A2355F" w:rsidRPr="006833CD">
        <w:rPr>
          <w:rFonts w:ascii="Times New Roman" w:hAnsi="Times New Roman"/>
          <w:bCs/>
          <w:szCs w:val="24"/>
        </w:rPr>
        <w:t>suggesting</w:t>
      </w:r>
      <w:r w:rsidR="00DF72AF" w:rsidRPr="006833CD">
        <w:rPr>
          <w:rFonts w:ascii="Times New Roman" w:hAnsi="Times New Roman"/>
          <w:bCs/>
          <w:szCs w:val="24"/>
        </w:rPr>
        <w:t xml:space="preserve"> </w:t>
      </w:r>
      <w:r w:rsidR="00B67757" w:rsidRPr="006833CD">
        <w:rPr>
          <w:rFonts w:ascii="Times New Roman" w:hAnsi="Times New Roman"/>
          <w:bCs/>
          <w:szCs w:val="24"/>
        </w:rPr>
        <w:t xml:space="preserve">that the </w:t>
      </w:r>
      <w:r w:rsidR="00A2355F" w:rsidRPr="006833CD">
        <w:rPr>
          <w:rFonts w:ascii="Times New Roman" w:hAnsi="Times New Roman"/>
          <w:bCs/>
          <w:szCs w:val="24"/>
        </w:rPr>
        <w:t>amount that PSE’s revenue</w:t>
      </w:r>
      <w:r w:rsidR="00B67757" w:rsidRPr="006833CD">
        <w:rPr>
          <w:rFonts w:ascii="Times New Roman" w:hAnsi="Times New Roman"/>
          <w:bCs/>
          <w:szCs w:val="24"/>
        </w:rPr>
        <w:t xml:space="preserve"> volatility could be </w:t>
      </w:r>
      <w:r w:rsidR="00A2355F" w:rsidRPr="006833CD">
        <w:rPr>
          <w:rFonts w:ascii="Times New Roman" w:hAnsi="Times New Roman"/>
          <w:bCs/>
          <w:szCs w:val="24"/>
        </w:rPr>
        <w:t>reduced depends also</w:t>
      </w:r>
      <w:r w:rsidR="00B67757" w:rsidRPr="006833CD">
        <w:rPr>
          <w:rFonts w:ascii="Times New Roman" w:hAnsi="Times New Roman"/>
          <w:bCs/>
          <w:szCs w:val="24"/>
        </w:rPr>
        <w:t xml:space="preserve"> on the market-weighted average of </w:t>
      </w:r>
      <w:r w:rsidR="00A2355F" w:rsidRPr="006833CD">
        <w:rPr>
          <w:rFonts w:ascii="Times New Roman" w:hAnsi="Times New Roman"/>
          <w:bCs/>
          <w:szCs w:val="24"/>
        </w:rPr>
        <w:t xml:space="preserve">the companies in </w:t>
      </w:r>
      <w:r w:rsidR="00B67757" w:rsidRPr="006833CD">
        <w:rPr>
          <w:rFonts w:ascii="Times New Roman" w:hAnsi="Times New Roman"/>
          <w:bCs/>
          <w:szCs w:val="24"/>
        </w:rPr>
        <w:t xml:space="preserve">his </w:t>
      </w:r>
      <w:r w:rsidR="00A47A49" w:rsidRPr="006833CD">
        <w:rPr>
          <w:rFonts w:ascii="Times New Roman" w:hAnsi="Times New Roman"/>
          <w:bCs/>
          <w:szCs w:val="24"/>
        </w:rPr>
        <w:t xml:space="preserve">cost of capital </w:t>
      </w:r>
      <w:r w:rsidR="00B67757" w:rsidRPr="006833CD">
        <w:rPr>
          <w:rFonts w:ascii="Times New Roman" w:hAnsi="Times New Roman"/>
          <w:bCs/>
          <w:szCs w:val="24"/>
        </w:rPr>
        <w:t xml:space="preserve">sample </w:t>
      </w:r>
      <w:r w:rsidR="00A47A49" w:rsidRPr="006833CD">
        <w:rPr>
          <w:rFonts w:ascii="Times New Roman" w:hAnsi="Times New Roman"/>
          <w:bCs/>
          <w:szCs w:val="24"/>
        </w:rPr>
        <w:t>located in</w:t>
      </w:r>
      <w:r w:rsidR="003107BA" w:rsidRPr="006833CD">
        <w:rPr>
          <w:rFonts w:ascii="Times New Roman" w:hAnsi="Times New Roman"/>
          <w:bCs/>
          <w:szCs w:val="24"/>
        </w:rPr>
        <w:t xml:space="preserve"> </w:t>
      </w:r>
      <w:r w:rsidR="00A47A49" w:rsidRPr="006833CD">
        <w:rPr>
          <w:rFonts w:ascii="Times New Roman" w:hAnsi="Times New Roman"/>
          <w:bCs/>
          <w:szCs w:val="24"/>
        </w:rPr>
        <w:t>jurisdictions with decoupling.</w:t>
      </w:r>
      <w:r w:rsidR="00C179C5" w:rsidRPr="00F71D8A">
        <w:rPr>
          <w:rStyle w:val="FootnoteReference"/>
        </w:rPr>
        <w:footnoteReference w:id="66"/>
      </w:r>
      <w:r w:rsidR="00A47A49" w:rsidRPr="006833CD">
        <w:rPr>
          <w:rFonts w:ascii="Times New Roman" w:hAnsi="Times New Roman"/>
          <w:bCs/>
          <w:szCs w:val="24"/>
        </w:rPr>
        <w:t xml:space="preserve">  </w:t>
      </w:r>
      <w:r w:rsidR="000E20D1" w:rsidRPr="006833CD">
        <w:rPr>
          <w:rFonts w:ascii="Times New Roman" w:hAnsi="Times New Roman"/>
          <w:bCs/>
          <w:szCs w:val="24"/>
        </w:rPr>
        <w:t xml:space="preserve">The calculation is </w:t>
      </w:r>
      <w:r w:rsidR="00CB40F0" w:rsidRPr="006833CD">
        <w:rPr>
          <w:rFonts w:ascii="Times New Roman" w:hAnsi="Times New Roman"/>
          <w:bCs/>
          <w:szCs w:val="24"/>
        </w:rPr>
        <w:t xml:space="preserve">50% </w:t>
      </w:r>
      <w:r w:rsidR="000E20D1" w:rsidRPr="006833CD">
        <w:rPr>
          <w:rFonts w:ascii="Times New Roman" w:hAnsi="Times New Roman"/>
          <w:bCs/>
          <w:szCs w:val="24"/>
        </w:rPr>
        <w:t>times (1</w:t>
      </w:r>
      <w:r w:rsidR="00CB40F0" w:rsidRPr="006833CD">
        <w:rPr>
          <w:rFonts w:ascii="Times New Roman" w:hAnsi="Times New Roman"/>
          <w:bCs/>
          <w:szCs w:val="24"/>
        </w:rPr>
        <w:t>00%</w:t>
      </w:r>
      <w:r w:rsidR="000E20D1" w:rsidRPr="006833CD">
        <w:rPr>
          <w:rFonts w:ascii="Times New Roman" w:hAnsi="Times New Roman"/>
          <w:bCs/>
          <w:szCs w:val="24"/>
        </w:rPr>
        <w:t xml:space="preserve"> minus </w:t>
      </w:r>
      <w:r w:rsidR="007A3930" w:rsidRPr="006833CD">
        <w:rPr>
          <w:rFonts w:ascii="Times New Roman" w:hAnsi="Times New Roman"/>
          <w:bCs/>
          <w:szCs w:val="24"/>
        </w:rPr>
        <w:t>28</w:t>
      </w:r>
      <w:r w:rsidR="00CB40F0" w:rsidRPr="006833CD">
        <w:rPr>
          <w:rFonts w:ascii="Times New Roman" w:hAnsi="Times New Roman"/>
          <w:bCs/>
          <w:szCs w:val="24"/>
        </w:rPr>
        <w:t>.</w:t>
      </w:r>
      <w:r w:rsidR="007A3930" w:rsidRPr="006833CD">
        <w:rPr>
          <w:rFonts w:ascii="Times New Roman" w:hAnsi="Times New Roman"/>
          <w:bCs/>
          <w:szCs w:val="24"/>
        </w:rPr>
        <w:t>5</w:t>
      </w:r>
      <w:r w:rsidR="00CB40F0" w:rsidRPr="006833CD">
        <w:rPr>
          <w:rFonts w:ascii="Times New Roman" w:hAnsi="Times New Roman"/>
          <w:bCs/>
          <w:szCs w:val="24"/>
        </w:rPr>
        <w:t>%</w:t>
      </w:r>
      <w:r w:rsidR="007A3930" w:rsidRPr="006833CD">
        <w:rPr>
          <w:rFonts w:ascii="Times New Roman" w:hAnsi="Times New Roman"/>
          <w:bCs/>
          <w:szCs w:val="24"/>
        </w:rPr>
        <w:t xml:space="preserve">) </w:t>
      </w:r>
      <w:r w:rsidR="00FC2C9E" w:rsidRPr="006833CD">
        <w:rPr>
          <w:rFonts w:ascii="Times New Roman" w:hAnsi="Times New Roman"/>
          <w:bCs/>
          <w:szCs w:val="24"/>
        </w:rPr>
        <w:t>= 35.75%, rounded to 35</w:t>
      </w:r>
      <w:r w:rsidR="00C179C5" w:rsidRPr="006833CD">
        <w:rPr>
          <w:rFonts w:ascii="Times New Roman" w:hAnsi="Times New Roman"/>
          <w:bCs/>
          <w:szCs w:val="24"/>
        </w:rPr>
        <w:t> </w:t>
      </w:r>
      <w:r w:rsidR="007A3930" w:rsidRPr="006833CD">
        <w:rPr>
          <w:rFonts w:ascii="Times New Roman" w:hAnsi="Times New Roman"/>
          <w:bCs/>
          <w:szCs w:val="24"/>
        </w:rPr>
        <w:t>percent.</w:t>
      </w:r>
      <w:r w:rsidR="007A3930" w:rsidRPr="00F71D8A">
        <w:rPr>
          <w:rStyle w:val="FootnoteReference"/>
        </w:rPr>
        <w:footnoteReference w:id="67"/>
      </w:r>
      <w:r w:rsidR="007A3930" w:rsidRPr="006833CD">
        <w:rPr>
          <w:rFonts w:ascii="Times New Roman" w:hAnsi="Times New Roman"/>
          <w:bCs/>
          <w:szCs w:val="24"/>
        </w:rPr>
        <w:t xml:space="preserve">  </w:t>
      </w:r>
      <w:r w:rsidR="00FC2C9E" w:rsidRPr="006833CD">
        <w:rPr>
          <w:rFonts w:ascii="Times New Roman" w:hAnsi="Times New Roman"/>
          <w:bCs/>
          <w:szCs w:val="24"/>
        </w:rPr>
        <w:t>However, t</w:t>
      </w:r>
      <w:r w:rsidR="000E1E45" w:rsidRPr="006833CD">
        <w:rPr>
          <w:rFonts w:ascii="Times New Roman" w:hAnsi="Times New Roman"/>
          <w:bCs/>
          <w:szCs w:val="24"/>
        </w:rPr>
        <w:t>h</w:t>
      </w:r>
      <w:r w:rsidR="00FC2C9E" w:rsidRPr="006833CD">
        <w:rPr>
          <w:rFonts w:ascii="Times New Roman" w:hAnsi="Times New Roman"/>
          <w:bCs/>
          <w:szCs w:val="24"/>
        </w:rPr>
        <w:t xml:space="preserve">e use of this market-weighted average </w:t>
      </w:r>
      <w:r w:rsidR="00CB40F0" w:rsidRPr="006833CD">
        <w:rPr>
          <w:rFonts w:ascii="Times New Roman" w:hAnsi="Times New Roman"/>
          <w:bCs/>
          <w:szCs w:val="24"/>
        </w:rPr>
        <w:t xml:space="preserve">to reduce the </w:t>
      </w:r>
      <w:r w:rsidR="00124E63" w:rsidRPr="006833CD">
        <w:rPr>
          <w:rFonts w:ascii="Times New Roman" w:hAnsi="Times New Roman"/>
          <w:bCs/>
          <w:szCs w:val="24"/>
        </w:rPr>
        <w:t>volatility of revenues in the s</w:t>
      </w:r>
      <w:r w:rsidR="00CB40F0" w:rsidRPr="006833CD">
        <w:rPr>
          <w:rFonts w:ascii="Times New Roman" w:hAnsi="Times New Roman"/>
          <w:bCs/>
          <w:szCs w:val="24"/>
        </w:rPr>
        <w:t xml:space="preserve">tate of Washington </w:t>
      </w:r>
      <w:r w:rsidR="00DF72AF" w:rsidRPr="006833CD">
        <w:rPr>
          <w:rFonts w:ascii="Times New Roman" w:hAnsi="Times New Roman"/>
          <w:bCs/>
          <w:szCs w:val="24"/>
        </w:rPr>
        <w:t>makes</w:t>
      </w:r>
      <w:r w:rsidR="000E1E45" w:rsidRPr="006833CD">
        <w:rPr>
          <w:rFonts w:ascii="Times New Roman" w:hAnsi="Times New Roman"/>
          <w:bCs/>
          <w:szCs w:val="24"/>
        </w:rPr>
        <w:t xml:space="preserve"> no</w:t>
      </w:r>
      <w:r w:rsidR="00DF72AF" w:rsidRPr="006833CD">
        <w:rPr>
          <w:rFonts w:ascii="Times New Roman" w:hAnsi="Times New Roman"/>
          <w:bCs/>
          <w:szCs w:val="24"/>
        </w:rPr>
        <w:t xml:space="preserve"> </w:t>
      </w:r>
      <w:r w:rsidR="00C179C5" w:rsidRPr="006833CD">
        <w:rPr>
          <w:rFonts w:ascii="Times New Roman" w:hAnsi="Times New Roman"/>
          <w:bCs/>
          <w:szCs w:val="24"/>
        </w:rPr>
        <w:t>sense.</w:t>
      </w:r>
    </w:p>
    <w:p w14:paraId="5D0ABA62" w14:textId="0FCC6E9A"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1E45" w:rsidRPr="006833CD">
        <w:rPr>
          <w:rFonts w:ascii="Times New Roman" w:hAnsi="Times New Roman"/>
          <w:bCs/>
          <w:szCs w:val="24"/>
        </w:rPr>
        <w:t xml:space="preserve">Why do you say that </w:t>
      </w:r>
      <w:r w:rsidR="00452383" w:rsidRPr="006833CD">
        <w:rPr>
          <w:rFonts w:ascii="Times New Roman" w:hAnsi="Times New Roman"/>
          <w:bCs/>
          <w:szCs w:val="24"/>
        </w:rPr>
        <w:t>Mr. </w:t>
      </w:r>
      <w:r w:rsidR="000E1E45" w:rsidRPr="006833CD">
        <w:rPr>
          <w:rFonts w:ascii="Times New Roman" w:hAnsi="Times New Roman"/>
          <w:bCs/>
          <w:szCs w:val="24"/>
        </w:rPr>
        <w:t xml:space="preserve">Hill’s third step </w:t>
      </w:r>
      <w:r w:rsidR="00DF72AF" w:rsidRPr="006833CD">
        <w:rPr>
          <w:rFonts w:ascii="Times New Roman" w:hAnsi="Times New Roman"/>
          <w:bCs/>
          <w:szCs w:val="24"/>
        </w:rPr>
        <w:t>makes no sense</w:t>
      </w:r>
      <w:r w:rsidR="000E1E45" w:rsidRPr="006833CD">
        <w:rPr>
          <w:rFonts w:ascii="Times New Roman" w:hAnsi="Times New Roman"/>
          <w:bCs/>
          <w:szCs w:val="24"/>
        </w:rPr>
        <w:t>?</w:t>
      </w:r>
    </w:p>
    <w:p w14:paraId="5D0ABA63" w14:textId="5797A8CD" w:rsidR="00A47A49" w:rsidRPr="006833CD" w:rsidRDefault="00AB7328" w:rsidP="00C179C5">
      <w:pPr>
        <w:pStyle w:val="answer"/>
        <w:rPr>
          <w:rFonts w:ascii="Times New Roman" w:eastAsia="SimSun" w:hAnsi="Times New Roman"/>
          <w:bCs/>
          <w:szCs w:val="24"/>
        </w:rPr>
      </w:pPr>
      <w:r w:rsidRPr="006833CD">
        <w:rPr>
          <w:rFonts w:ascii="Times New Roman" w:hAnsi="Times New Roman"/>
          <w:bCs/>
          <w:szCs w:val="24"/>
        </w:rPr>
        <w:t>A.</w:t>
      </w:r>
      <w:r w:rsidR="00A47A49" w:rsidRPr="006833CD">
        <w:rPr>
          <w:rFonts w:ascii="Times New Roman" w:hAnsi="Times New Roman"/>
          <w:bCs/>
          <w:szCs w:val="24"/>
        </w:rPr>
        <w:tab/>
      </w:r>
      <w:r w:rsidR="00452383" w:rsidRPr="006833CD">
        <w:rPr>
          <w:rFonts w:ascii="Times New Roman" w:hAnsi="Times New Roman"/>
          <w:bCs/>
          <w:szCs w:val="24"/>
        </w:rPr>
        <w:t>Mr. </w:t>
      </w:r>
      <w:r w:rsidR="00DF72AF" w:rsidRPr="006833CD">
        <w:rPr>
          <w:rFonts w:ascii="Times New Roman" w:hAnsi="Times New Roman"/>
          <w:bCs/>
          <w:szCs w:val="24"/>
        </w:rPr>
        <w:t>Hill does not discuss</w:t>
      </w:r>
      <w:r w:rsidR="00C179C5" w:rsidRPr="006833CD">
        <w:rPr>
          <w:rFonts w:ascii="Times New Roman" w:hAnsi="Times New Roman"/>
          <w:bCs/>
          <w:szCs w:val="24"/>
        </w:rPr>
        <w:t>—</w:t>
      </w:r>
      <w:r w:rsidR="00DF72AF" w:rsidRPr="006833CD">
        <w:rPr>
          <w:rFonts w:ascii="Times New Roman" w:hAnsi="Times New Roman"/>
          <w:bCs/>
          <w:szCs w:val="24"/>
        </w:rPr>
        <w:t>and I cannot</w:t>
      </w:r>
      <w:r w:rsidR="009878D7" w:rsidRPr="006833CD">
        <w:rPr>
          <w:rFonts w:ascii="Times New Roman" w:hAnsi="Times New Roman"/>
          <w:bCs/>
          <w:szCs w:val="24"/>
        </w:rPr>
        <w:t xml:space="preserve"> </w:t>
      </w:r>
      <w:r w:rsidR="00C179C5" w:rsidRPr="006833CD">
        <w:rPr>
          <w:rFonts w:ascii="Times New Roman" w:hAnsi="Times New Roman"/>
          <w:bCs/>
          <w:szCs w:val="24"/>
        </w:rPr>
        <w:t>discern—</w:t>
      </w:r>
      <w:r w:rsidR="00DF72AF" w:rsidRPr="006833CD">
        <w:rPr>
          <w:rFonts w:ascii="Times New Roman" w:hAnsi="Times New Roman"/>
          <w:bCs/>
          <w:szCs w:val="24"/>
        </w:rPr>
        <w:t xml:space="preserve">any </w:t>
      </w:r>
      <w:r w:rsidR="00F80EAB" w:rsidRPr="006833CD">
        <w:rPr>
          <w:rFonts w:ascii="Times New Roman" w:hAnsi="Times New Roman"/>
          <w:bCs/>
          <w:szCs w:val="24"/>
        </w:rPr>
        <w:t xml:space="preserve">direct, quantitative </w:t>
      </w:r>
      <w:r w:rsidR="000E1E45" w:rsidRPr="006833CD">
        <w:rPr>
          <w:rFonts w:ascii="Times New Roman" w:hAnsi="Times New Roman"/>
          <w:bCs/>
          <w:szCs w:val="24"/>
        </w:rPr>
        <w:t xml:space="preserve">link between the </w:t>
      </w:r>
      <w:r w:rsidR="00102362" w:rsidRPr="006833CD">
        <w:rPr>
          <w:rFonts w:ascii="Times New Roman" w:hAnsi="Times New Roman"/>
          <w:bCs/>
          <w:szCs w:val="24"/>
        </w:rPr>
        <w:t xml:space="preserve">share of </w:t>
      </w:r>
      <w:r w:rsidR="00DF72AF" w:rsidRPr="006833CD">
        <w:rPr>
          <w:rFonts w:ascii="Times New Roman" w:hAnsi="Times New Roman"/>
          <w:bCs/>
          <w:szCs w:val="24"/>
        </w:rPr>
        <w:t xml:space="preserve">decoupling policies in the states of the </w:t>
      </w:r>
      <w:r w:rsidR="000E1E45" w:rsidRPr="006833CD">
        <w:rPr>
          <w:rFonts w:ascii="Times New Roman" w:hAnsi="Times New Roman"/>
          <w:bCs/>
          <w:szCs w:val="24"/>
        </w:rPr>
        <w:t xml:space="preserve">companies in </w:t>
      </w:r>
      <w:r w:rsidR="00452383" w:rsidRPr="006833CD">
        <w:rPr>
          <w:rFonts w:ascii="Times New Roman" w:hAnsi="Times New Roman"/>
          <w:bCs/>
          <w:szCs w:val="24"/>
        </w:rPr>
        <w:t>Mr. </w:t>
      </w:r>
      <w:r w:rsidR="000E1E45" w:rsidRPr="006833CD">
        <w:rPr>
          <w:rFonts w:ascii="Times New Roman" w:hAnsi="Times New Roman"/>
          <w:bCs/>
          <w:szCs w:val="24"/>
        </w:rPr>
        <w:t>Hill’s cost of capital sample</w:t>
      </w:r>
      <w:r w:rsidR="00102362" w:rsidRPr="006833CD">
        <w:rPr>
          <w:rFonts w:ascii="Times New Roman" w:hAnsi="Times New Roman"/>
          <w:bCs/>
          <w:szCs w:val="24"/>
        </w:rPr>
        <w:t xml:space="preserve">, which in theory can affect their </w:t>
      </w:r>
      <w:r w:rsidR="00124E63" w:rsidRPr="006833CD">
        <w:rPr>
          <w:rFonts w:ascii="Times New Roman" w:hAnsi="Times New Roman"/>
          <w:bCs/>
          <w:szCs w:val="24"/>
        </w:rPr>
        <w:t xml:space="preserve">own </w:t>
      </w:r>
      <w:r w:rsidR="00102362" w:rsidRPr="006833CD">
        <w:rPr>
          <w:rFonts w:ascii="Times New Roman" w:hAnsi="Times New Roman"/>
          <w:bCs/>
          <w:szCs w:val="24"/>
        </w:rPr>
        <w:t>revenue volatility,</w:t>
      </w:r>
      <w:r w:rsidR="000E1E45" w:rsidRPr="006833CD">
        <w:rPr>
          <w:rFonts w:ascii="Times New Roman" w:hAnsi="Times New Roman"/>
          <w:bCs/>
          <w:szCs w:val="24"/>
        </w:rPr>
        <w:t xml:space="preserve"> and the reduction of volatility of PSE’s </w:t>
      </w:r>
      <w:r w:rsidR="003107BA" w:rsidRPr="006833CD">
        <w:rPr>
          <w:rFonts w:ascii="Times New Roman" w:hAnsi="Times New Roman"/>
          <w:bCs/>
          <w:szCs w:val="24"/>
        </w:rPr>
        <w:t xml:space="preserve">net </w:t>
      </w:r>
      <w:r w:rsidR="000E1E45" w:rsidRPr="006833CD">
        <w:rPr>
          <w:rFonts w:ascii="Times New Roman" w:hAnsi="Times New Roman"/>
          <w:bCs/>
          <w:szCs w:val="24"/>
        </w:rPr>
        <w:t>revenues due to decoupling</w:t>
      </w:r>
      <w:r w:rsidR="00DF72AF" w:rsidRPr="006833CD">
        <w:rPr>
          <w:rFonts w:ascii="Times New Roman" w:hAnsi="Times New Roman"/>
          <w:bCs/>
          <w:szCs w:val="24"/>
        </w:rPr>
        <w:t xml:space="preserve"> in the state of Washington</w:t>
      </w:r>
      <w:r w:rsidR="000E1E45" w:rsidRPr="006833CD">
        <w:rPr>
          <w:rFonts w:ascii="Times New Roman" w:hAnsi="Times New Roman"/>
          <w:bCs/>
          <w:szCs w:val="24"/>
        </w:rPr>
        <w:t xml:space="preserve">.  If </w:t>
      </w:r>
      <w:r w:rsidR="00452383" w:rsidRPr="006833CD">
        <w:rPr>
          <w:rFonts w:ascii="Times New Roman" w:hAnsi="Times New Roman"/>
          <w:bCs/>
          <w:szCs w:val="24"/>
        </w:rPr>
        <w:t>Mr. </w:t>
      </w:r>
      <w:r w:rsidR="000E1E45" w:rsidRPr="006833CD">
        <w:rPr>
          <w:rFonts w:ascii="Times New Roman" w:hAnsi="Times New Roman"/>
          <w:bCs/>
          <w:szCs w:val="24"/>
        </w:rPr>
        <w:t>Hill has a link in mind, he did not reveal it in his testimony.</w:t>
      </w:r>
    </w:p>
    <w:p w14:paraId="5D0ABA64" w14:textId="5F3B5A51"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1E45" w:rsidRPr="006833CD">
        <w:rPr>
          <w:rFonts w:ascii="Times New Roman" w:hAnsi="Times New Roman"/>
          <w:bCs/>
          <w:szCs w:val="24"/>
        </w:rPr>
        <w:t>Are you saying that the number of other companies in the cost of capital sample with decoupling is irrelevant to estimating the effec</w:t>
      </w:r>
      <w:r w:rsidR="003D27FA" w:rsidRPr="006833CD">
        <w:rPr>
          <w:rFonts w:ascii="Times New Roman" w:hAnsi="Times New Roman"/>
          <w:bCs/>
          <w:szCs w:val="24"/>
        </w:rPr>
        <w:t xml:space="preserve">t of decoupling on </w:t>
      </w:r>
      <w:r w:rsidR="00C179C5" w:rsidRPr="006833CD">
        <w:rPr>
          <w:rFonts w:ascii="Times New Roman" w:hAnsi="Times New Roman"/>
          <w:bCs/>
          <w:szCs w:val="24"/>
        </w:rPr>
        <w:t>PSE</w:t>
      </w:r>
      <w:r w:rsidR="003D27FA" w:rsidRPr="006833CD">
        <w:rPr>
          <w:rFonts w:ascii="Times New Roman" w:hAnsi="Times New Roman"/>
          <w:bCs/>
          <w:szCs w:val="24"/>
        </w:rPr>
        <w:t>?</w:t>
      </w:r>
    </w:p>
    <w:p w14:paraId="5D0ABA65" w14:textId="0FA68276" w:rsidR="00A47A49" w:rsidRPr="006833CD" w:rsidRDefault="008E50A1" w:rsidP="00C179C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E1E45" w:rsidRPr="006833CD">
        <w:rPr>
          <w:rFonts w:ascii="Times New Roman" w:hAnsi="Times New Roman"/>
          <w:bCs/>
          <w:szCs w:val="24"/>
        </w:rPr>
        <w:t xml:space="preserve">No.  </w:t>
      </w:r>
      <w:r w:rsidR="003107BA" w:rsidRPr="006833CD">
        <w:rPr>
          <w:rFonts w:ascii="Times New Roman" w:hAnsi="Times New Roman"/>
          <w:bCs/>
          <w:szCs w:val="24"/>
        </w:rPr>
        <w:t xml:space="preserve">These companies are not connected to </w:t>
      </w:r>
      <w:r w:rsidR="00452383" w:rsidRPr="006833CD">
        <w:rPr>
          <w:rFonts w:ascii="Times New Roman" w:hAnsi="Times New Roman"/>
          <w:bCs/>
          <w:szCs w:val="24"/>
        </w:rPr>
        <w:t>Mr. </w:t>
      </w:r>
      <w:r w:rsidR="003107BA" w:rsidRPr="006833CD">
        <w:rPr>
          <w:rFonts w:ascii="Times New Roman" w:hAnsi="Times New Roman"/>
          <w:bCs/>
          <w:szCs w:val="24"/>
        </w:rPr>
        <w:t>Hill’s analysis of net revenue volatility for P</w:t>
      </w:r>
      <w:r w:rsidR="00332EAB" w:rsidRPr="006833CD">
        <w:rPr>
          <w:rFonts w:ascii="Times New Roman" w:hAnsi="Times New Roman"/>
          <w:bCs/>
          <w:szCs w:val="24"/>
        </w:rPr>
        <w:t>SE</w:t>
      </w:r>
      <w:r w:rsidR="003107BA" w:rsidRPr="006833CD">
        <w:rPr>
          <w:rFonts w:ascii="Times New Roman" w:hAnsi="Times New Roman"/>
          <w:bCs/>
          <w:szCs w:val="24"/>
        </w:rPr>
        <w:t xml:space="preserve">, but they are related to the </w:t>
      </w:r>
      <w:r w:rsidR="00102362" w:rsidRPr="006833CD">
        <w:rPr>
          <w:rFonts w:ascii="Times New Roman" w:hAnsi="Times New Roman"/>
          <w:bCs/>
          <w:szCs w:val="24"/>
        </w:rPr>
        <w:t xml:space="preserve">discussion of </w:t>
      </w:r>
      <w:r w:rsidR="003107BA" w:rsidRPr="006833CD">
        <w:rPr>
          <w:rFonts w:ascii="Times New Roman" w:hAnsi="Times New Roman"/>
          <w:bCs/>
          <w:szCs w:val="24"/>
        </w:rPr>
        <w:t>P</w:t>
      </w:r>
      <w:r w:rsidR="004B5CBA" w:rsidRPr="006833CD">
        <w:rPr>
          <w:rFonts w:ascii="Times New Roman" w:hAnsi="Times New Roman"/>
          <w:bCs/>
          <w:szCs w:val="24"/>
        </w:rPr>
        <w:t>SE</w:t>
      </w:r>
      <w:r w:rsidR="00102362" w:rsidRPr="006833CD">
        <w:rPr>
          <w:rFonts w:ascii="Times New Roman" w:hAnsi="Times New Roman"/>
          <w:bCs/>
          <w:szCs w:val="24"/>
        </w:rPr>
        <w:t>’s</w:t>
      </w:r>
      <w:r w:rsidR="003107BA" w:rsidRPr="006833CD">
        <w:rPr>
          <w:rFonts w:ascii="Times New Roman" w:hAnsi="Times New Roman"/>
          <w:bCs/>
          <w:szCs w:val="24"/>
        </w:rPr>
        <w:t xml:space="preserve"> cost of capital.  I </w:t>
      </w:r>
      <w:r w:rsidR="003107BA" w:rsidRPr="006833CD">
        <w:rPr>
          <w:rFonts w:ascii="Times New Roman" w:hAnsi="Times New Roman"/>
          <w:bCs/>
          <w:szCs w:val="24"/>
        </w:rPr>
        <w:lastRenderedPageBreak/>
        <w:t xml:space="preserve">believe it </w:t>
      </w:r>
      <w:r w:rsidR="00B64504" w:rsidRPr="006833CD">
        <w:rPr>
          <w:rFonts w:ascii="Times New Roman" w:hAnsi="Times New Roman"/>
          <w:bCs/>
          <w:szCs w:val="24"/>
        </w:rPr>
        <w:t>is critical</w:t>
      </w:r>
      <w:r w:rsidR="000E1E45" w:rsidRPr="006833CD">
        <w:rPr>
          <w:rFonts w:ascii="Times New Roman" w:hAnsi="Times New Roman"/>
          <w:bCs/>
          <w:szCs w:val="24"/>
        </w:rPr>
        <w:t xml:space="preserve"> to recognize that some of the companies in </w:t>
      </w:r>
      <w:r w:rsidR="0030288F" w:rsidRPr="006833CD">
        <w:rPr>
          <w:rFonts w:ascii="Times New Roman" w:hAnsi="Times New Roman"/>
          <w:szCs w:val="24"/>
        </w:rPr>
        <w:t>Dr.</w:t>
      </w:r>
      <w:r w:rsidR="0030288F">
        <w:rPr>
          <w:rFonts w:ascii="Times New Roman" w:hAnsi="Times New Roman"/>
          <w:szCs w:val="24"/>
        </w:rPr>
        <w:t> </w:t>
      </w:r>
      <w:r w:rsidR="000E1E45" w:rsidRPr="006833CD">
        <w:rPr>
          <w:rFonts w:ascii="Times New Roman" w:hAnsi="Times New Roman"/>
          <w:bCs/>
          <w:szCs w:val="24"/>
        </w:rPr>
        <w:t>Morin’s</w:t>
      </w:r>
      <w:r w:rsidR="003B0FD4">
        <w:rPr>
          <w:rFonts w:ascii="Times New Roman" w:hAnsi="Times New Roman"/>
          <w:bCs/>
          <w:szCs w:val="24"/>
        </w:rPr>
        <w:t>, Mr. Gorman’s,</w:t>
      </w:r>
      <w:r w:rsidR="000E1E45" w:rsidRPr="006833CD">
        <w:rPr>
          <w:rFonts w:ascii="Times New Roman" w:hAnsi="Times New Roman"/>
          <w:bCs/>
          <w:szCs w:val="24"/>
        </w:rPr>
        <w:t xml:space="preserve"> and </w:t>
      </w:r>
      <w:r w:rsidR="00452383" w:rsidRPr="006833CD">
        <w:rPr>
          <w:rFonts w:ascii="Times New Roman" w:hAnsi="Times New Roman"/>
          <w:bCs/>
          <w:szCs w:val="24"/>
        </w:rPr>
        <w:t>Mr. </w:t>
      </w:r>
      <w:r w:rsidR="000E1E45" w:rsidRPr="006833CD">
        <w:rPr>
          <w:rFonts w:ascii="Times New Roman" w:hAnsi="Times New Roman"/>
          <w:bCs/>
          <w:szCs w:val="24"/>
        </w:rPr>
        <w:t xml:space="preserve">Hill’s samples also have decoupling.  This means that whatever effect decoupling may have on the cost of capital is already reflected in the </w:t>
      </w:r>
      <w:r w:rsidR="00C179C5" w:rsidRPr="006833CD">
        <w:rPr>
          <w:rFonts w:ascii="Times New Roman" w:hAnsi="Times New Roman"/>
          <w:bCs/>
          <w:szCs w:val="24"/>
        </w:rPr>
        <w:t xml:space="preserve">return on equity </w:t>
      </w:r>
      <w:r w:rsidR="000E1E45" w:rsidRPr="006833CD">
        <w:rPr>
          <w:rFonts w:ascii="Times New Roman" w:hAnsi="Times New Roman"/>
          <w:bCs/>
          <w:szCs w:val="24"/>
        </w:rPr>
        <w:t>estimates for those sample companies.  It would be double</w:t>
      </w:r>
      <w:r w:rsidR="00C179C5" w:rsidRPr="006833CD">
        <w:rPr>
          <w:rFonts w:ascii="Times New Roman" w:hAnsi="Times New Roman"/>
          <w:bCs/>
          <w:szCs w:val="24"/>
        </w:rPr>
        <w:t>-</w:t>
      </w:r>
      <w:r w:rsidR="000E1E45" w:rsidRPr="006833CD">
        <w:rPr>
          <w:rFonts w:ascii="Times New Roman" w:hAnsi="Times New Roman"/>
          <w:bCs/>
          <w:szCs w:val="24"/>
        </w:rPr>
        <w:t xml:space="preserve">counting to reduce PSE’s allowed </w:t>
      </w:r>
      <w:r w:rsidR="00C179C5" w:rsidRPr="006833CD">
        <w:rPr>
          <w:rFonts w:ascii="Times New Roman" w:hAnsi="Times New Roman"/>
          <w:bCs/>
          <w:szCs w:val="24"/>
        </w:rPr>
        <w:t xml:space="preserve">return on equity </w:t>
      </w:r>
      <w:r w:rsidR="000E1E45" w:rsidRPr="006833CD">
        <w:rPr>
          <w:rFonts w:ascii="Times New Roman" w:hAnsi="Times New Roman"/>
          <w:bCs/>
          <w:szCs w:val="24"/>
        </w:rPr>
        <w:t xml:space="preserve">based upon a sample </w:t>
      </w:r>
      <w:r w:rsidR="00C179C5" w:rsidRPr="006833CD">
        <w:rPr>
          <w:rFonts w:ascii="Times New Roman" w:hAnsi="Times New Roman"/>
          <w:bCs/>
          <w:szCs w:val="24"/>
        </w:rPr>
        <w:t xml:space="preserve">that </w:t>
      </w:r>
      <w:r w:rsidR="000E1E45" w:rsidRPr="006833CD">
        <w:rPr>
          <w:rFonts w:ascii="Times New Roman" w:hAnsi="Times New Roman"/>
          <w:bCs/>
          <w:szCs w:val="24"/>
        </w:rPr>
        <w:t>also consists of some companies with decoupling</w:t>
      </w:r>
      <w:r w:rsidR="00537DCE" w:rsidRPr="006833CD">
        <w:rPr>
          <w:rFonts w:ascii="Times New Roman" w:hAnsi="Times New Roman"/>
          <w:bCs/>
          <w:szCs w:val="24"/>
        </w:rPr>
        <w:t xml:space="preserve">.  But </w:t>
      </w:r>
      <w:r w:rsidR="00DF72AF" w:rsidRPr="006833CD">
        <w:rPr>
          <w:rFonts w:ascii="Times New Roman" w:hAnsi="Times New Roman"/>
          <w:bCs/>
          <w:szCs w:val="24"/>
        </w:rPr>
        <w:t xml:space="preserve">back to </w:t>
      </w:r>
      <w:r w:rsidR="00452383" w:rsidRPr="006833CD">
        <w:rPr>
          <w:rFonts w:ascii="Times New Roman" w:hAnsi="Times New Roman"/>
          <w:bCs/>
          <w:szCs w:val="24"/>
        </w:rPr>
        <w:t>Mr. </w:t>
      </w:r>
      <w:r w:rsidR="00DF72AF" w:rsidRPr="006833CD">
        <w:rPr>
          <w:rFonts w:ascii="Times New Roman" w:hAnsi="Times New Roman"/>
          <w:bCs/>
          <w:szCs w:val="24"/>
        </w:rPr>
        <w:t>Hill’s third step</w:t>
      </w:r>
      <w:r w:rsidR="004B5CBA" w:rsidRPr="006833CD">
        <w:rPr>
          <w:rFonts w:ascii="Times New Roman" w:hAnsi="Times New Roman"/>
          <w:bCs/>
          <w:szCs w:val="24"/>
        </w:rPr>
        <w:t xml:space="preserve">, </w:t>
      </w:r>
      <w:r w:rsidR="00B64504" w:rsidRPr="006833CD">
        <w:rPr>
          <w:rFonts w:ascii="Times New Roman" w:hAnsi="Times New Roman"/>
          <w:bCs/>
          <w:szCs w:val="24"/>
        </w:rPr>
        <w:t>d</w:t>
      </w:r>
      <w:r w:rsidR="00DF72AF" w:rsidRPr="006833CD">
        <w:rPr>
          <w:rFonts w:ascii="Times New Roman" w:hAnsi="Times New Roman"/>
          <w:bCs/>
          <w:szCs w:val="24"/>
        </w:rPr>
        <w:t xml:space="preserve">ecoupling in </w:t>
      </w:r>
      <w:r w:rsidR="00452383" w:rsidRPr="006833CD">
        <w:rPr>
          <w:rFonts w:ascii="Times New Roman" w:hAnsi="Times New Roman"/>
          <w:bCs/>
          <w:szCs w:val="24"/>
        </w:rPr>
        <w:t>Mr. </w:t>
      </w:r>
      <w:r w:rsidR="00DF72AF" w:rsidRPr="006833CD">
        <w:rPr>
          <w:rFonts w:ascii="Times New Roman" w:hAnsi="Times New Roman"/>
          <w:bCs/>
          <w:szCs w:val="24"/>
        </w:rPr>
        <w:t xml:space="preserve">Hill’s sample </w:t>
      </w:r>
      <w:r w:rsidR="00537DCE" w:rsidRPr="006833CD">
        <w:rPr>
          <w:rFonts w:ascii="Times New Roman" w:hAnsi="Times New Roman"/>
          <w:bCs/>
          <w:szCs w:val="24"/>
        </w:rPr>
        <w:t>has nothing to do with the reduction in the volatility of PSE’s revenues</w:t>
      </w:r>
      <w:r w:rsidR="003107BA" w:rsidRPr="006833CD">
        <w:rPr>
          <w:rFonts w:ascii="Times New Roman" w:hAnsi="Times New Roman"/>
          <w:bCs/>
          <w:szCs w:val="24"/>
        </w:rPr>
        <w:t xml:space="preserve"> in Washington </w:t>
      </w:r>
      <w:r w:rsidR="00537DCE" w:rsidRPr="006833CD">
        <w:rPr>
          <w:rFonts w:ascii="Times New Roman" w:hAnsi="Times New Roman"/>
          <w:bCs/>
          <w:szCs w:val="24"/>
        </w:rPr>
        <w:t xml:space="preserve">due to decoupling.  </w:t>
      </w:r>
      <w:r w:rsidR="00452383" w:rsidRPr="006833CD">
        <w:rPr>
          <w:rFonts w:ascii="Times New Roman" w:hAnsi="Times New Roman"/>
          <w:bCs/>
          <w:szCs w:val="24"/>
        </w:rPr>
        <w:t>Mr. </w:t>
      </w:r>
      <w:r w:rsidR="00596A3B" w:rsidRPr="006833CD">
        <w:rPr>
          <w:rFonts w:ascii="Times New Roman" w:hAnsi="Times New Roman"/>
          <w:bCs/>
          <w:szCs w:val="24"/>
        </w:rPr>
        <w:t xml:space="preserve">Hill’s sample and his estimate of the cost of equity </w:t>
      </w:r>
      <w:r w:rsidR="00D52FCB" w:rsidRPr="006833CD">
        <w:rPr>
          <w:rFonts w:ascii="Times New Roman" w:hAnsi="Times New Roman"/>
          <w:bCs/>
          <w:szCs w:val="24"/>
        </w:rPr>
        <w:t>play no further role in</w:t>
      </w:r>
      <w:r w:rsidR="00596A3B" w:rsidRPr="006833CD">
        <w:rPr>
          <w:rFonts w:ascii="Times New Roman" w:hAnsi="Times New Roman"/>
          <w:bCs/>
          <w:szCs w:val="24"/>
        </w:rPr>
        <w:t xml:space="preserve"> his discussion of the impact of decoupling.</w:t>
      </w:r>
    </w:p>
    <w:p w14:paraId="5D0ABA66" w14:textId="6A10A01B"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537DCE" w:rsidRPr="006833CD">
        <w:rPr>
          <w:rFonts w:ascii="Times New Roman" w:hAnsi="Times New Roman"/>
          <w:bCs/>
          <w:szCs w:val="24"/>
        </w:rPr>
        <w:t xml:space="preserve">What is </w:t>
      </w:r>
      <w:r w:rsidR="00452383" w:rsidRPr="006833CD">
        <w:rPr>
          <w:rFonts w:ascii="Times New Roman" w:hAnsi="Times New Roman"/>
          <w:bCs/>
          <w:szCs w:val="24"/>
        </w:rPr>
        <w:t>Mr. </w:t>
      </w:r>
      <w:r w:rsidR="00537DCE" w:rsidRPr="006833CD">
        <w:rPr>
          <w:rFonts w:ascii="Times New Roman" w:hAnsi="Times New Roman"/>
          <w:bCs/>
          <w:szCs w:val="24"/>
        </w:rPr>
        <w:t>Hill’</w:t>
      </w:r>
      <w:r w:rsidR="00C179C5" w:rsidRPr="006833CD">
        <w:rPr>
          <w:rFonts w:ascii="Times New Roman" w:hAnsi="Times New Roman"/>
          <w:bCs/>
          <w:szCs w:val="24"/>
        </w:rPr>
        <w:t>s fourth step in his analysis?</w:t>
      </w:r>
    </w:p>
    <w:p w14:paraId="63FA6B02" w14:textId="0822DD2D" w:rsidR="009870A9" w:rsidRPr="006833CD" w:rsidRDefault="00AB7328" w:rsidP="009870A9">
      <w:pPr>
        <w:pStyle w:val="answer"/>
        <w:rPr>
          <w:rFonts w:ascii="Times New Roman" w:hAnsi="Times New Roman"/>
          <w:szCs w:val="24"/>
        </w:rPr>
      </w:pPr>
      <w:r w:rsidRPr="006833CD">
        <w:rPr>
          <w:rFonts w:ascii="Times New Roman" w:hAnsi="Times New Roman"/>
          <w:bCs/>
          <w:szCs w:val="24"/>
        </w:rPr>
        <w:t>A.</w:t>
      </w:r>
      <w:r w:rsidR="00A47A49" w:rsidRPr="006833CD">
        <w:rPr>
          <w:rFonts w:ascii="Times New Roman" w:hAnsi="Times New Roman"/>
          <w:bCs/>
          <w:szCs w:val="24"/>
        </w:rPr>
        <w:tab/>
      </w:r>
      <w:r w:rsidR="00452383" w:rsidRPr="006833CD">
        <w:rPr>
          <w:rFonts w:ascii="Times New Roman" w:hAnsi="Times New Roman"/>
          <w:bCs/>
          <w:szCs w:val="24"/>
        </w:rPr>
        <w:t>Mr. </w:t>
      </w:r>
      <w:r w:rsidR="00537DCE" w:rsidRPr="006833CD">
        <w:rPr>
          <w:rFonts w:ascii="Times New Roman" w:hAnsi="Times New Roman"/>
          <w:bCs/>
          <w:szCs w:val="24"/>
        </w:rPr>
        <w:t xml:space="preserve">Hill </w:t>
      </w:r>
      <w:r w:rsidR="00A85C61" w:rsidRPr="006833CD">
        <w:rPr>
          <w:rFonts w:ascii="Times New Roman" w:hAnsi="Times New Roman"/>
          <w:bCs/>
          <w:szCs w:val="24"/>
        </w:rPr>
        <w:t>focuses on the change in the third standard deviation of revenues with and without decoupling.  He estimate</w:t>
      </w:r>
      <w:r w:rsidR="009331A8" w:rsidRPr="006833CD">
        <w:rPr>
          <w:rFonts w:ascii="Times New Roman" w:hAnsi="Times New Roman"/>
          <w:bCs/>
          <w:szCs w:val="24"/>
        </w:rPr>
        <w:t>s</w:t>
      </w:r>
      <w:r w:rsidR="00A85C61" w:rsidRPr="006833CD">
        <w:rPr>
          <w:rFonts w:ascii="Times New Roman" w:hAnsi="Times New Roman"/>
          <w:bCs/>
          <w:szCs w:val="24"/>
        </w:rPr>
        <w:t xml:space="preserve"> that </w:t>
      </w:r>
      <w:r w:rsidR="009331A8" w:rsidRPr="006833CD">
        <w:rPr>
          <w:rFonts w:ascii="Times New Roman" w:hAnsi="Times New Roman"/>
          <w:bCs/>
          <w:szCs w:val="24"/>
        </w:rPr>
        <w:t xml:space="preserve">decoupling </w:t>
      </w:r>
      <w:r w:rsidR="00A85C61" w:rsidRPr="006833CD">
        <w:rPr>
          <w:rFonts w:ascii="Times New Roman" w:hAnsi="Times New Roman"/>
          <w:bCs/>
          <w:szCs w:val="24"/>
        </w:rPr>
        <w:t xml:space="preserve">reduces the probability of extreme </w:t>
      </w:r>
      <w:r w:rsidR="002C220C" w:rsidRPr="006833CD">
        <w:rPr>
          <w:rFonts w:ascii="Times New Roman" w:hAnsi="Times New Roman"/>
          <w:bCs/>
          <w:szCs w:val="24"/>
        </w:rPr>
        <w:t xml:space="preserve">negative net revenue </w:t>
      </w:r>
      <w:r w:rsidR="00A85C61" w:rsidRPr="006833CD">
        <w:rPr>
          <w:rFonts w:ascii="Times New Roman" w:hAnsi="Times New Roman"/>
          <w:bCs/>
          <w:szCs w:val="24"/>
        </w:rPr>
        <w:t>events by 0.65 percent.</w:t>
      </w:r>
      <w:r w:rsidR="00A85C61" w:rsidRPr="00F71D8A">
        <w:rPr>
          <w:rStyle w:val="FootnoteReference"/>
        </w:rPr>
        <w:footnoteReference w:id="68"/>
      </w:r>
      <w:r w:rsidR="005D4735">
        <w:rPr>
          <w:rFonts w:ascii="Times New Roman" w:hAnsi="Times New Roman"/>
          <w:bCs/>
          <w:szCs w:val="24"/>
        </w:rPr>
        <w:t xml:space="preserve">  He then asserts that</w:t>
      </w:r>
    </w:p>
    <w:p w14:paraId="558FB3D7" w14:textId="33B64BBC" w:rsidR="00A85C61" w:rsidRPr="006833CD" w:rsidRDefault="00A85C61" w:rsidP="009870A9">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investors would be indifferent between ‘traditional’ regulation and revenue decoupling if the equity return under decoupling produced a revenue requirement 0.65 percent less than that under “traditional” regulation.</w:t>
      </w:r>
      <w:r w:rsidRPr="00F71D8A">
        <w:rPr>
          <w:rStyle w:val="FootnoteReference"/>
        </w:rPr>
        <w:footnoteReference w:id="69"/>
      </w:r>
    </w:p>
    <w:p w14:paraId="76A111A7" w14:textId="30E0DBE2" w:rsidR="0040344F" w:rsidRPr="006833CD" w:rsidRDefault="00A85C61" w:rsidP="00A85C61">
      <w:pPr>
        <w:pStyle w:val="answer"/>
        <w:ind w:firstLine="0"/>
        <w:jc w:val="both"/>
        <w:rPr>
          <w:rFonts w:ascii="Times New Roman" w:hAnsi="Times New Roman"/>
          <w:bCs/>
          <w:szCs w:val="24"/>
        </w:rPr>
      </w:pPr>
      <w:r w:rsidRPr="006833CD">
        <w:rPr>
          <w:rFonts w:ascii="Times New Roman" w:hAnsi="Times New Roman"/>
          <w:szCs w:val="24"/>
        </w:rPr>
        <w:t xml:space="preserve">To quantify the effect on an investor in PSE, </w:t>
      </w:r>
      <w:r w:rsidR="00C4480A" w:rsidRPr="006833CD">
        <w:rPr>
          <w:rFonts w:ascii="Times New Roman" w:hAnsi="Times New Roman"/>
          <w:bCs/>
          <w:szCs w:val="24"/>
        </w:rPr>
        <w:t xml:space="preserve">he assumes that </w:t>
      </w:r>
      <w:r w:rsidR="009331A8" w:rsidRPr="006833CD">
        <w:rPr>
          <w:rFonts w:ascii="Times New Roman" w:hAnsi="Times New Roman"/>
          <w:bCs/>
          <w:szCs w:val="24"/>
        </w:rPr>
        <w:t xml:space="preserve">PSE’s net revenues should be reduced by 0.065 percent of the average net revenues </w:t>
      </w:r>
      <w:r w:rsidR="00871EDA" w:rsidRPr="006833CD">
        <w:rPr>
          <w:rFonts w:ascii="Times New Roman" w:hAnsi="Times New Roman"/>
          <w:bCs/>
          <w:szCs w:val="24"/>
        </w:rPr>
        <w:t xml:space="preserve">over the past </w:t>
      </w:r>
      <w:r w:rsidR="00124E63" w:rsidRPr="006833CD">
        <w:rPr>
          <w:rFonts w:ascii="Times New Roman" w:hAnsi="Times New Roman"/>
          <w:bCs/>
          <w:szCs w:val="24"/>
        </w:rPr>
        <w:lastRenderedPageBreak/>
        <w:t>fifteen</w:t>
      </w:r>
      <w:r w:rsidR="009331A8" w:rsidRPr="006833CD">
        <w:rPr>
          <w:rFonts w:ascii="Times New Roman" w:hAnsi="Times New Roman"/>
          <w:bCs/>
          <w:szCs w:val="24"/>
        </w:rPr>
        <w:t xml:space="preserve"> </w:t>
      </w:r>
      <w:r w:rsidR="00871EDA" w:rsidRPr="006833CD">
        <w:rPr>
          <w:rFonts w:ascii="Times New Roman" w:hAnsi="Times New Roman"/>
          <w:bCs/>
          <w:szCs w:val="24"/>
        </w:rPr>
        <w:t>years</w:t>
      </w:r>
      <w:r w:rsidR="009331A8" w:rsidRPr="006833CD">
        <w:rPr>
          <w:rFonts w:ascii="Times New Roman" w:hAnsi="Times New Roman"/>
          <w:bCs/>
          <w:szCs w:val="24"/>
        </w:rPr>
        <w:t xml:space="preserve"> $1.529 billion per year, or about $9.9 million.</w:t>
      </w:r>
      <w:r w:rsidR="00102362" w:rsidRPr="00F71D8A">
        <w:rPr>
          <w:rStyle w:val="FootnoteReference"/>
        </w:rPr>
        <w:footnoteReference w:id="70"/>
      </w:r>
      <w:r w:rsidR="00871EDA" w:rsidRPr="006833CD">
        <w:rPr>
          <w:rFonts w:ascii="Times New Roman" w:hAnsi="Times New Roman"/>
          <w:bCs/>
          <w:szCs w:val="24"/>
        </w:rPr>
        <w:t xml:space="preserve"> </w:t>
      </w:r>
      <w:r w:rsidR="008B6669" w:rsidRPr="006833CD">
        <w:rPr>
          <w:rFonts w:ascii="Times New Roman" w:hAnsi="Times New Roman"/>
          <w:bCs/>
          <w:szCs w:val="24"/>
        </w:rPr>
        <w:t xml:space="preserve"> </w:t>
      </w:r>
      <w:r w:rsidR="00102362" w:rsidRPr="006833CD">
        <w:rPr>
          <w:rFonts w:ascii="Times New Roman" w:hAnsi="Times New Roman"/>
          <w:bCs/>
          <w:szCs w:val="24"/>
        </w:rPr>
        <w:t xml:space="preserve">This amount </w:t>
      </w:r>
      <w:r w:rsidR="00B64504" w:rsidRPr="006833CD">
        <w:rPr>
          <w:rFonts w:ascii="Times New Roman" w:hAnsi="Times New Roman"/>
          <w:bCs/>
          <w:szCs w:val="24"/>
        </w:rPr>
        <w:t>is then</w:t>
      </w:r>
      <w:r w:rsidR="0040344F" w:rsidRPr="006833CD">
        <w:rPr>
          <w:rFonts w:ascii="Times New Roman" w:hAnsi="Times New Roman"/>
          <w:bCs/>
          <w:szCs w:val="24"/>
        </w:rPr>
        <w:t xml:space="preserve"> translated into 33.5 basis points of the 15</w:t>
      </w:r>
      <w:r w:rsidR="009870A9" w:rsidRPr="006833CD">
        <w:rPr>
          <w:rFonts w:ascii="Times New Roman" w:hAnsi="Times New Roman"/>
          <w:bCs/>
          <w:szCs w:val="24"/>
        </w:rPr>
        <w:t>-</w:t>
      </w:r>
      <w:r w:rsidR="0040344F" w:rsidRPr="006833CD">
        <w:rPr>
          <w:rFonts w:ascii="Times New Roman" w:hAnsi="Times New Roman"/>
          <w:bCs/>
          <w:szCs w:val="24"/>
        </w:rPr>
        <w:t xml:space="preserve">year average level of equity capital of </w:t>
      </w:r>
      <w:r w:rsidR="004F4C3D" w:rsidRPr="006833CD">
        <w:rPr>
          <w:rFonts w:ascii="Times New Roman" w:hAnsi="Times New Roman"/>
          <w:bCs/>
          <w:szCs w:val="24"/>
        </w:rPr>
        <w:t>PSE</w:t>
      </w:r>
      <w:r w:rsidR="009870A9" w:rsidRPr="006833CD">
        <w:rPr>
          <w:rFonts w:ascii="Times New Roman" w:hAnsi="Times New Roman"/>
          <w:bCs/>
          <w:szCs w:val="24"/>
        </w:rPr>
        <w:t>.</w:t>
      </w:r>
      <w:r w:rsidR="009870A9" w:rsidRPr="00F71D8A">
        <w:rPr>
          <w:rStyle w:val="FootnoteReference"/>
        </w:rPr>
        <w:footnoteReference w:id="71"/>
      </w:r>
    </w:p>
    <w:p w14:paraId="2EAF5233" w14:textId="3CB929F6" w:rsidR="00133E0A" w:rsidRPr="006833CD" w:rsidRDefault="0051232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4F4C3D" w:rsidRPr="006833CD">
        <w:rPr>
          <w:rFonts w:ascii="Times New Roman" w:hAnsi="Times New Roman"/>
          <w:bCs/>
          <w:szCs w:val="24"/>
        </w:rPr>
        <w:t>.</w:t>
      </w:r>
      <w:r w:rsidR="004F4C3D" w:rsidRPr="006833CD">
        <w:rPr>
          <w:rFonts w:ascii="Times New Roman" w:hAnsi="Times New Roman"/>
          <w:bCs/>
          <w:szCs w:val="24"/>
        </w:rPr>
        <w:tab/>
      </w:r>
      <w:r w:rsidR="005D4735" w:rsidRPr="005D4735">
        <w:rPr>
          <w:rFonts w:ascii="Times New Roman" w:hAnsi="Times New Roman"/>
          <w:bCs/>
          <w:szCs w:val="24"/>
        </w:rPr>
        <w:t>With respect to Mr.</w:t>
      </w:r>
      <w:r w:rsidR="005D4735">
        <w:rPr>
          <w:rFonts w:ascii="Times New Roman" w:hAnsi="Times New Roman"/>
          <w:bCs/>
          <w:szCs w:val="24"/>
        </w:rPr>
        <w:t> </w:t>
      </w:r>
      <w:r w:rsidR="005D4735" w:rsidRPr="005D4735">
        <w:rPr>
          <w:rFonts w:ascii="Times New Roman" w:hAnsi="Times New Roman"/>
          <w:bCs/>
          <w:szCs w:val="24"/>
        </w:rPr>
        <w:t>Hill’s assumed 35</w:t>
      </w:r>
      <w:r w:rsidR="005D4735">
        <w:rPr>
          <w:rFonts w:ascii="Times New Roman" w:hAnsi="Times New Roman"/>
          <w:bCs/>
          <w:szCs w:val="24"/>
        </w:rPr>
        <w:t> </w:t>
      </w:r>
      <w:r w:rsidR="005D4735" w:rsidRPr="005D4735">
        <w:rPr>
          <w:rFonts w:ascii="Times New Roman" w:hAnsi="Times New Roman"/>
          <w:bCs/>
          <w:szCs w:val="24"/>
        </w:rPr>
        <w:t xml:space="preserve">percent reduction in revenue volatility, </w:t>
      </w:r>
      <w:r w:rsidR="005D4735">
        <w:rPr>
          <w:rFonts w:ascii="Times New Roman" w:hAnsi="Times New Roman"/>
          <w:bCs/>
          <w:szCs w:val="24"/>
        </w:rPr>
        <w:t>c</w:t>
      </w:r>
      <w:r w:rsidRPr="006833CD">
        <w:rPr>
          <w:rFonts w:ascii="Times New Roman" w:hAnsi="Times New Roman"/>
          <w:bCs/>
          <w:szCs w:val="24"/>
        </w:rPr>
        <w:t>an you show this concept visually?</w:t>
      </w:r>
    </w:p>
    <w:p w14:paraId="2B77A222" w14:textId="5BFF4FDF" w:rsidR="005705B1" w:rsidRPr="006833CD" w:rsidRDefault="00DB4131" w:rsidP="009870A9">
      <w:pPr>
        <w:pStyle w:val="answer"/>
        <w:rPr>
          <w:rFonts w:ascii="Times New Roman" w:eastAsia="SimSun" w:hAnsi="Times New Roman"/>
          <w:szCs w:val="24"/>
        </w:rPr>
      </w:pPr>
      <w:r w:rsidRPr="006833CD">
        <w:rPr>
          <w:rFonts w:ascii="Times New Roman" w:hAnsi="Times New Roman"/>
          <w:bCs/>
          <w:szCs w:val="24"/>
        </w:rPr>
        <w:t>A.</w:t>
      </w:r>
      <w:r w:rsidR="005705B1" w:rsidRPr="006833CD">
        <w:rPr>
          <w:rFonts w:ascii="Times New Roman" w:hAnsi="Times New Roman"/>
          <w:bCs/>
          <w:szCs w:val="24"/>
        </w:rPr>
        <w:tab/>
      </w:r>
      <w:r w:rsidR="004F4C3D" w:rsidRPr="006833CD">
        <w:rPr>
          <w:rFonts w:ascii="Times New Roman" w:hAnsi="Times New Roman"/>
          <w:bCs/>
          <w:szCs w:val="24"/>
        </w:rPr>
        <w:t xml:space="preserve">Yes.  </w:t>
      </w:r>
      <w:r w:rsidR="00452383" w:rsidRPr="006833CD">
        <w:rPr>
          <w:rFonts w:ascii="Times New Roman" w:hAnsi="Times New Roman"/>
          <w:bCs/>
          <w:szCs w:val="24"/>
        </w:rPr>
        <w:t>Mr. </w:t>
      </w:r>
      <w:r w:rsidR="005705B1" w:rsidRPr="006833CD">
        <w:rPr>
          <w:rFonts w:ascii="Times New Roman" w:hAnsi="Times New Roman"/>
          <w:bCs/>
          <w:szCs w:val="24"/>
        </w:rPr>
        <w:t>Hill assume</w:t>
      </w:r>
      <w:r w:rsidR="004F4C3D" w:rsidRPr="006833CD">
        <w:rPr>
          <w:rFonts w:ascii="Times New Roman" w:hAnsi="Times New Roman"/>
          <w:bCs/>
          <w:szCs w:val="24"/>
        </w:rPr>
        <w:t>s</w:t>
      </w:r>
      <w:r w:rsidR="005705B1" w:rsidRPr="006833CD">
        <w:rPr>
          <w:rFonts w:ascii="Times New Roman" w:hAnsi="Times New Roman"/>
          <w:bCs/>
          <w:szCs w:val="24"/>
        </w:rPr>
        <w:t xml:space="preserve"> that net revenues are normally distributed bot</w:t>
      </w:r>
      <w:r w:rsidR="004F4C3D" w:rsidRPr="006833CD">
        <w:rPr>
          <w:rFonts w:ascii="Times New Roman" w:hAnsi="Times New Roman"/>
          <w:bCs/>
          <w:szCs w:val="24"/>
        </w:rPr>
        <w:t xml:space="preserve">h before and after decoupling. </w:t>
      </w:r>
      <w:r w:rsidR="005705B1" w:rsidRPr="006833CD">
        <w:rPr>
          <w:rFonts w:ascii="Times New Roman" w:hAnsi="Times New Roman"/>
          <w:bCs/>
          <w:szCs w:val="24"/>
        </w:rPr>
        <w:t xml:space="preserve"> Recall that a normal distribution has a shape like a bell and is sometimes called a bell curve.  This curve is displayed in </w:t>
      </w:r>
      <w:r w:rsidR="00452383" w:rsidRPr="006833CD">
        <w:rPr>
          <w:rFonts w:ascii="Times New Roman" w:hAnsi="Times New Roman"/>
          <w:bCs/>
          <w:szCs w:val="24"/>
        </w:rPr>
        <w:t>Mr. </w:t>
      </w:r>
      <w:r w:rsidR="005705B1" w:rsidRPr="006833CD">
        <w:rPr>
          <w:rFonts w:ascii="Times New Roman" w:hAnsi="Times New Roman"/>
          <w:bCs/>
          <w:szCs w:val="24"/>
        </w:rPr>
        <w:t>Hill’s testimony in Chart</w:t>
      </w:r>
      <w:r w:rsidR="009870A9" w:rsidRPr="006833CD">
        <w:rPr>
          <w:rFonts w:ascii="Times New Roman" w:hAnsi="Times New Roman"/>
          <w:bCs/>
          <w:szCs w:val="24"/>
        </w:rPr>
        <w:t> </w:t>
      </w:r>
      <w:r w:rsidR="005705B1" w:rsidRPr="006833CD">
        <w:rPr>
          <w:rFonts w:ascii="Times New Roman" w:hAnsi="Times New Roman"/>
          <w:bCs/>
          <w:szCs w:val="24"/>
        </w:rPr>
        <w:t>VIII</w:t>
      </w:r>
      <w:r w:rsidR="009870A9" w:rsidRPr="006833CD">
        <w:rPr>
          <w:rFonts w:ascii="Times New Roman" w:hAnsi="Times New Roman"/>
          <w:bCs/>
          <w:szCs w:val="24"/>
        </w:rPr>
        <w:t xml:space="preserve"> (</w:t>
      </w:r>
      <w:r w:rsidR="005705B1" w:rsidRPr="006833CD">
        <w:rPr>
          <w:rFonts w:ascii="Times New Roman" w:hAnsi="Times New Roman"/>
          <w:bCs/>
          <w:szCs w:val="24"/>
        </w:rPr>
        <w:t>Revenue Distribution Under Traditional Regulation</w:t>
      </w:r>
      <w:r w:rsidR="009870A9" w:rsidRPr="006833CD">
        <w:rPr>
          <w:rFonts w:ascii="Times New Roman" w:hAnsi="Times New Roman"/>
          <w:bCs/>
          <w:szCs w:val="24"/>
        </w:rPr>
        <w:t>)</w:t>
      </w:r>
      <w:r w:rsidR="005705B1" w:rsidRPr="006833CD">
        <w:rPr>
          <w:rFonts w:ascii="Times New Roman" w:hAnsi="Times New Roman"/>
          <w:bCs/>
          <w:szCs w:val="24"/>
        </w:rPr>
        <w:t>.</w:t>
      </w:r>
      <w:r w:rsidR="00C91A3E" w:rsidRPr="00F71D8A">
        <w:rPr>
          <w:rStyle w:val="FootnoteReference"/>
        </w:rPr>
        <w:footnoteReference w:id="72"/>
      </w:r>
      <w:r w:rsidR="005705B1" w:rsidRPr="006833CD">
        <w:rPr>
          <w:rFonts w:ascii="Times New Roman" w:hAnsi="Times New Roman"/>
          <w:bCs/>
          <w:szCs w:val="24"/>
        </w:rPr>
        <w:t xml:space="preserve">  He notes that if the expected revenues remain the same, but the volatility is decreased, the bell shape would be narrower and taller in the middle.</w:t>
      </w:r>
      <w:r w:rsidR="00C91A3E" w:rsidRPr="00F71D8A">
        <w:rPr>
          <w:rStyle w:val="FootnoteReference"/>
        </w:rPr>
        <w:footnoteReference w:id="73"/>
      </w:r>
    </w:p>
    <w:p w14:paraId="5643F87A" w14:textId="317DBF5E" w:rsidR="00DB4131" w:rsidRPr="006833CD" w:rsidRDefault="00DB413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3D27FA" w:rsidRPr="006833CD">
        <w:rPr>
          <w:rFonts w:ascii="Times New Roman" w:hAnsi="Times New Roman"/>
          <w:bCs/>
          <w:szCs w:val="24"/>
        </w:rPr>
        <w:t>.</w:t>
      </w:r>
      <w:r w:rsidR="004F4C3D" w:rsidRPr="006833CD">
        <w:rPr>
          <w:rFonts w:ascii="Times New Roman" w:hAnsi="Times New Roman"/>
          <w:bCs/>
          <w:szCs w:val="24"/>
        </w:rPr>
        <w:tab/>
      </w:r>
      <w:r w:rsidRPr="006833CD">
        <w:rPr>
          <w:rFonts w:ascii="Times New Roman" w:hAnsi="Times New Roman"/>
          <w:bCs/>
          <w:szCs w:val="24"/>
        </w:rPr>
        <w:t>Can you show the 35</w:t>
      </w:r>
      <w:r w:rsidR="006C212D" w:rsidRPr="006833CD">
        <w:rPr>
          <w:rFonts w:ascii="Times New Roman" w:hAnsi="Times New Roman"/>
          <w:bCs/>
          <w:szCs w:val="24"/>
        </w:rPr>
        <w:t xml:space="preserve"> percent </w:t>
      </w:r>
      <w:r w:rsidRPr="006833CD">
        <w:rPr>
          <w:rFonts w:ascii="Times New Roman" w:hAnsi="Times New Roman"/>
          <w:bCs/>
          <w:szCs w:val="24"/>
        </w:rPr>
        <w:t xml:space="preserve">reduction is arbitrary and </w:t>
      </w:r>
      <w:r w:rsidR="00452383" w:rsidRPr="006833CD">
        <w:rPr>
          <w:rFonts w:ascii="Times New Roman" w:hAnsi="Times New Roman"/>
          <w:bCs/>
          <w:szCs w:val="24"/>
        </w:rPr>
        <w:t>Mr. </w:t>
      </w:r>
      <w:r w:rsidRPr="006833CD">
        <w:rPr>
          <w:rFonts w:ascii="Times New Roman" w:hAnsi="Times New Roman"/>
          <w:bCs/>
          <w:szCs w:val="24"/>
        </w:rPr>
        <w:t xml:space="preserve">Hill could just as well posed a completely different concept as plausible </w:t>
      </w:r>
    </w:p>
    <w:p w14:paraId="45D5F21D" w14:textId="221597ED" w:rsidR="00DB4131" w:rsidRPr="006833CD" w:rsidRDefault="00DB4131" w:rsidP="009870A9">
      <w:pPr>
        <w:pStyle w:val="answer"/>
        <w:rPr>
          <w:rFonts w:ascii="Times New Roman" w:hAnsi="Times New Roman"/>
          <w:bCs/>
          <w:szCs w:val="24"/>
        </w:rPr>
      </w:pPr>
      <w:r w:rsidRPr="006833CD">
        <w:rPr>
          <w:rFonts w:ascii="Times New Roman" w:hAnsi="Times New Roman"/>
          <w:bCs/>
          <w:szCs w:val="24"/>
        </w:rPr>
        <w:t>A</w:t>
      </w:r>
      <w:r w:rsidR="004F4C3D" w:rsidRPr="006833CD">
        <w:rPr>
          <w:rFonts w:ascii="Times New Roman" w:hAnsi="Times New Roman"/>
          <w:bCs/>
          <w:szCs w:val="24"/>
        </w:rPr>
        <w:t>.</w:t>
      </w:r>
      <w:r w:rsidR="004F4C3D" w:rsidRPr="006833CD">
        <w:rPr>
          <w:rFonts w:ascii="Times New Roman" w:hAnsi="Times New Roman"/>
          <w:bCs/>
          <w:szCs w:val="24"/>
        </w:rPr>
        <w:tab/>
      </w:r>
      <w:r w:rsidRPr="006833CD">
        <w:rPr>
          <w:rFonts w:ascii="Times New Roman" w:hAnsi="Times New Roman"/>
          <w:bCs/>
          <w:szCs w:val="24"/>
        </w:rPr>
        <w:t xml:space="preserve">Yes, the actual reduction of bad (and good) outcomes is much larger than measured by the change in the </w:t>
      </w:r>
      <w:r w:rsidR="00F86182" w:rsidRPr="006833CD">
        <w:rPr>
          <w:rFonts w:ascii="Times New Roman" w:hAnsi="Times New Roman"/>
          <w:bCs/>
          <w:szCs w:val="24"/>
        </w:rPr>
        <w:t>third</w:t>
      </w:r>
      <w:r w:rsidRPr="006833CD">
        <w:rPr>
          <w:rFonts w:ascii="Times New Roman" w:hAnsi="Times New Roman"/>
          <w:bCs/>
          <w:szCs w:val="24"/>
        </w:rPr>
        <w:t xml:space="preserve"> standard deviation (the “- 3 sigma change”).  It is the entire area under the traditional regulation curve in </w:t>
      </w:r>
      <w:r w:rsidR="00452383" w:rsidRPr="006833CD">
        <w:rPr>
          <w:rFonts w:ascii="Times New Roman" w:hAnsi="Times New Roman"/>
          <w:bCs/>
          <w:szCs w:val="24"/>
        </w:rPr>
        <w:t>Mr. </w:t>
      </w:r>
      <w:r w:rsidRPr="006833CD">
        <w:rPr>
          <w:rFonts w:ascii="Times New Roman" w:hAnsi="Times New Roman"/>
          <w:bCs/>
          <w:szCs w:val="24"/>
        </w:rPr>
        <w:t>Hill’s Chart</w:t>
      </w:r>
      <w:r w:rsidR="009870A9" w:rsidRPr="006833CD">
        <w:rPr>
          <w:rFonts w:ascii="Times New Roman" w:hAnsi="Times New Roman"/>
          <w:bCs/>
          <w:szCs w:val="24"/>
        </w:rPr>
        <w:t> </w:t>
      </w:r>
      <w:r w:rsidRPr="006833CD">
        <w:rPr>
          <w:rFonts w:ascii="Times New Roman" w:hAnsi="Times New Roman"/>
          <w:bCs/>
          <w:szCs w:val="24"/>
        </w:rPr>
        <w:t>IX</w:t>
      </w:r>
      <w:r w:rsidR="009870A9" w:rsidRPr="006833CD">
        <w:rPr>
          <w:rFonts w:ascii="Times New Roman" w:hAnsi="Times New Roman"/>
          <w:bCs/>
          <w:szCs w:val="24"/>
        </w:rPr>
        <w:t xml:space="preserve"> (</w:t>
      </w:r>
      <w:r w:rsidRPr="006833CD">
        <w:rPr>
          <w:rFonts w:ascii="Times New Roman" w:hAnsi="Times New Roman"/>
          <w:bCs/>
          <w:szCs w:val="24"/>
        </w:rPr>
        <w:t>“Revenue Distribution Differential With Decoupling”</w:t>
      </w:r>
      <w:r w:rsidR="009870A9" w:rsidRPr="006833CD">
        <w:rPr>
          <w:rFonts w:ascii="Times New Roman" w:hAnsi="Times New Roman"/>
          <w:bCs/>
          <w:szCs w:val="24"/>
        </w:rPr>
        <w:t>)</w:t>
      </w:r>
      <w:r w:rsidRPr="006833CD">
        <w:rPr>
          <w:rFonts w:ascii="Times New Roman" w:hAnsi="Times New Roman"/>
          <w:bCs/>
          <w:szCs w:val="24"/>
        </w:rPr>
        <w:t xml:space="preserve"> to the right and left of the </w:t>
      </w:r>
      <w:r w:rsidRPr="006833CD">
        <w:rPr>
          <w:rFonts w:ascii="Times New Roman" w:hAnsi="Times New Roman"/>
          <w:bCs/>
          <w:szCs w:val="24"/>
        </w:rPr>
        <w:lastRenderedPageBreak/>
        <w:t xml:space="preserve">intersections of the distribution.  The graph is reproduced below.  </w:t>
      </w:r>
      <w:r w:rsidR="00C070AB" w:rsidRPr="006833CD">
        <w:rPr>
          <w:rFonts w:ascii="Times New Roman" w:hAnsi="Times New Roman"/>
          <w:bCs/>
          <w:szCs w:val="24"/>
        </w:rPr>
        <w:t xml:space="preserve">If investors care about negative revenue events as </w:t>
      </w:r>
      <w:r w:rsidR="00452383" w:rsidRPr="006833CD">
        <w:rPr>
          <w:rFonts w:ascii="Times New Roman" w:hAnsi="Times New Roman"/>
          <w:bCs/>
          <w:szCs w:val="24"/>
        </w:rPr>
        <w:t>Mr. </w:t>
      </w:r>
      <w:r w:rsidR="00C070AB" w:rsidRPr="006833CD">
        <w:rPr>
          <w:rFonts w:ascii="Times New Roman" w:hAnsi="Times New Roman"/>
          <w:bCs/>
          <w:szCs w:val="24"/>
        </w:rPr>
        <w:t xml:space="preserve">Hill suggests, they would also care about negative events that do not reach the magnitude of minus </w:t>
      </w:r>
      <w:r w:rsidR="005D4735">
        <w:rPr>
          <w:rFonts w:ascii="Times New Roman" w:hAnsi="Times New Roman"/>
          <w:bCs/>
          <w:szCs w:val="24"/>
        </w:rPr>
        <w:t>three</w:t>
      </w:r>
      <w:r w:rsidR="00C070AB" w:rsidRPr="006833CD">
        <w:rPr>
          <w:rFonts w:ascii="Times New Roman" w:hAnsi="Times New Roman"/>
          <w:bCs/>
          <w:szCs w:val="24"/>
        </w:rPr>
        <w:t xml:space="preserve"> </w:t>
      </w:r>
      <w:proofErr w:type="spellStart"/>
      <w:r w:rsidR="00C070AB" w:rsidRPr="006833CD">
        <w:rPr>
          <w:rFonts w:ascii="Times New Roman" w:hAnsi="Times New Roman"/>
          <w:bCs/>
          <w:szCs w:val="24"/>
        </w:rPr>
        <w:t>sigmas</w:t>
      </w:r>
      <w:proofErr w:type="spellEnd"/>
      <w:r w:rsidR="00C070AB" w:rsidRPr="006833CD">
        <w:rPr>
          <w:rFonts w:ascii="Times New Roman" w:hAnsi="Times New Roman"/>
          <w:bCs/>
          <w:szCs w:val="24"/>
        </w:rPr>
        <w:t xml:space="preserve">.  </w:t>
      </w:r>
      <w:r w:rsidRPr="006833CD">
        <w:rPr>
          <w:rFonts w:ascii="Times New Roman" w:hAnsi="Times New Roman"/>
          <w:bCs/>
          <w:szCs w:val="24"/>
        </w:rPr>
        <w:t xml:space="preserve">As can easily be seen, the reduction of </w:t>
      </w:r>
      <w:r w:rsidR="00D87EA8" w:rsidRPr="006833CD">
        <w:rPr>
          <w:rFonts w:ascii="Times New Roman" w:hAnsi="Times New Roman"/>
          <w:bCs/>
          <w:szCs w:val="24"/>
        </w:rPr>
        <w:t xml:space="preserve">both </w:t>
      </w:r>
      <w:r w:rsidRPr="006833CD">
        <w:rPr>
          <w:rFonts w:ascii="Times New Roman" w:hAnsi="Times New Roman"/>
          <w:bCs/>
          <w:szCs w:val="24"/>
        </w:rPr>
        <w:t xml:space="preserve">good and bad outcomes is much larger than the portion measured by the </w:t>
      </w:r>
      <w:r w:rsidR="00F86182" w:rsidRPr="006833CD">
        <w:rPr>
          <w:rFonts w:ascii="Times New Roman" w:hAnsi="Times New Roman"/>
          <w:bCs/>
          <w:szCs w:val="24"/>
        </w:rPr>
        <w:t>third</w:t>
      </w:r>
      <w:r w:rsidRPr="006833CD">
        <w:rPr>
          <w:rFonts w:ascii="Times New Roman" w:hAnsi="Times New Roman"/>
          <w:bCs/>
          <w:szCs w:val="24"/>
        </w:rPr>
        <w:t xml:space="preserve"> standard deviation. </w:t>
      </w:r>
      <w:r w:rsidR="00C070AB" w:rsidRPr="006833CD">
        <w:rPr>
          <w:rFonts w:ascii="Times New Roman" w:hAnsi="Times New Roman"/>
          <w:bCs/>
          <w:szCs w:val="24"/>
        </w:rPr>
        <w:t xml:space="preserve"> </w:t>
      </w:r>
      <w:r w:rsidRPr="006833CD">
        <w:rPr>
          <w:rFonts w:ascii="Times New Roman" w:hAnsi="Times New Roman"/>
          <w:bCs/>
          <w:szCs w:val="24"/>
        </w:rPr>
        <w:t xml:space="preserve">The shaded area shows the reduction in bad outcomes relative to the assumed original distribution. </w:t>
      </w:r>
      <w:r w:rsidR="00D87EA8" w:rsidRPr="006833CD">
        <w:rPr>
          <w:rFonts w:ascii="Times New Roman" w:hAnsi="Times New Roman"/>
          <w:bCs/>
          <w:szCs w:val="24"/>
        </w:rPr>
        <w:t xml:space="preserve"> The corresponding area to the right of the center line represent</w:t>
      </w:r>
      <w:r w:rsidR="00C070AB" w:rsidRPr="006833CD">
        <w:rPr>
          <w:rFonts w:ascii="Times New Roman" w:hAnsi="Times New Roman"/>
          <w:bCs/>
          <w:szCs w:val="24"/>
        </w:rPr>
        <w:t>s</w:t>
      </w:r>
      <w:r w:rsidR="00D87EA8" w:rsidRPr="006833CD">
        <w:rPr>
          <w:rFonts w:ascii="Times New Roman" w:hAnsi="Times New Roman"/>
          <w:bCs/>
          <w:szCs w:val="24"/>
        </w:rPr>
        <w:t xml:space="preserve"> the favorable outcomes that would be foregone by the investor under decoupling.</w:t>
      </w:r>
    </w:p>
    <w:p w14:paraId="1B4BA250" w14:textId="1EE98D76" w:rsidR="00F86940" w:rsidRPr="006833CD" w:rsidRDefault="00F86940" w:rsidP="00EF3525">
      <w:pPr>
        <w:pStyle w:val="answer"/>
        <w:keepNext/>
        <w:keepLines/>
        <w:suppressLineNumbers/>
        <w:spacing w:after="60" w:line="240" w:lineRule="auto"/>
        <w:ind w:left="0" w:firstLine="0"/>
        <w:jc w:val="center"/>
        <w:rPr>
          <w:rFonts w:ascii="Times New Roman" w:eastAsia="SimSun" w:hAnsi="Times New Roman"/>
          <w:b/>
          <w:bCs/>
          <w:szCs w:val="24"/>
        </w:rPr>
      </w:pPr>
      <w:r w:rsidRPr="006833CD">
        <w:rPr>
          <w:rFonts w:ascii="Times New Roman" w:hAnsi="Times New Roman"/>
          <w:b/>
          <w:bCs/>
          <w:szCs w:val="24"/>
        </w:rPr>
        <w:t>Figure 1.  Revenue Distribution Differential With Decoupling</w:t>
      </w:r>
    </w:p>
    <w:p w14:paraId="5D0ABA68" w14:textId="18A38F65" w:rsidR="00D346C9" w:rsidRPr="006833CD" w:rsidRDefault="006C212D" w:rsidP="00F86940">
      <w:pPr>
        <w:pStyle w:val="answer"/>
        <w:suppressLineNumbers/>
        <w:ind w:left="0" w:firstLine="0"/>
        <w:jc w:val="center"/>
        <w:rPr>
          <w:rFonts w:ascii="Times New Roman" w:hAnsi="Times New Roman"/>
          <w:bCs/>
          <w:szCs w:val="24"/>
        </w:rPr>
      </w:pPr>
      <w:r w:rsidRPr="006833CD">
        <w:rPr>
          <w:rFonts w:ascii="Times New Roman" w:hAnsi="Times New Roman"/>
          <w:bCs/>
          <w:noProof/>
          <w:szCs w:val="24"/>
          <w:bdr w:val="single" w:sz="12" w:space="0" w:color="auto" w:shadow="1"/>
          <w:lang w:eastAsia="en-US"/>
        </w:rPr>
        <w:drawing>
          <wp:inline distT="0" distB="0" distL="0" distR="0" wp14:anchorId="0E87BBB1" wp14:editId="47AFE73E">
            <wp:extent cx="4937760" cy="3703320"/>
            <wp:effectExtent l="0" t="0" r="0" b="0"/>
            <wp:docPr id="6" name="Picture 6" descr="\\sffs2\projects2\4600_Sound_Energy_Policy\Deliverables\Revenue Distribution Differential with Decoupling - prob 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fs2\projects2\4600_Sound_Energy_Policy\Deliverables\Revenue Distribution Differential with Decoupling - prob 1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3703320"/>
                    </a:xfrm>
                    <a:prstGeom prst="rect">
                      <a:avLst/>
                    </a:prstGeom>
                    <a:noFill/>
                    <a:ln>
                      <a:noFill/>
                    </a:ln>
                  </pic:spPr>
                </pic:pic>
              </a:graphicData>
            </a:graphic>
          </wp:inline>
        </w:drawing>
      </w:r>
    </w:p>
    <w:p w14:paraId="5D0ABA71" w14:textId="7A2AF0FF"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EF3525" w:rsidRPr="006833CD">
        <w:rPr>
          <w:rFonts w:ascii="Times New Roman" w:hAnsi="Times New Roman"/>
          <w:bCs/>
          <w:szCs w:val="24"/>
        </w:rPr>
        <w:t xml:space="preserve">Please summarize your overall </w:t>
      </w:r>
      <w:r w:rsidR="00512328" w:rsidRPr="006833CD">
        <w:rPr>
          <w:rFonts w:ascii="Times New Roman" w:hAnsi="Times New Roman"/>
          <w:bCs/>
          <w:szCs w:val="24"/>
        </w:rPr>
        <w:t>criti</w:t>
      </w:r>
      <w:r w:rsidR="00F35991" w:rsidRPr="006833CD">
        <w:rPr>
          <w:rFonts w:ascii="Times New Roman" w:hAnsi="Times New Roman"/>
          <w:bCs/>
          <w:szCs w:val="24"/>
        </w:rPr>
        <w:t xml:space="preserve">cisms </w:t>
      </w:r>
      <w:r w:rsidR="00512328" w:rsidRPr="006833CD">
        <w:rPr>
          <w:rFonts w:ascii="Times New Roman" w:hAnsi="Times New Roman"/>
          <w:bCs/>
          <w:szCs w:val="24"/>
        </w:rPr>
        <w:t xml:space="preserve">of </w:t>
      </w:r>
      <w:r w:rsidR="00452383" w:rsidRPr="006833CD">
        <w:rPr>
          <w:rFonts w:ascii="Times New Roman" w:hAnsi="Times New Roman"/>
          <w:bCs/>
          <w:szCs w:val="24"/>
        </w:rPr>
        <w:t>Mr. </w:t>
      </w:r>
      <w:r w:rsidR="00512328" w:rsidRPr="006833CD">
        <w:rPr>
          <w:rFonts w:ascii="Times New Roman" w:hAnsi="Times New Roman"/>
          <w:bCs/>
          <w:szCs w:val="24"/>
        </w:rPr>
        <w:t xml:space="preserve">Hill’s empirical </w:t>
      </w:r>
      <w:r w:rsidR="00F35991" w:rsidRPr="006833CD">
        <w:rPr>
          <w:rFonts w:ascii="Times New Roman" w:hAnsi="Times New Roman"/>
          <w:bCs/>
          <w:szCs w:val="24"/>
        </w:rPr>
        <w:t>quantification</w:t>
      </w:r>
      <w:r w:rsidR="00512328" w:rsidRPr="006833CD">
        <w:rPr>
          <w:rFonts w:ascii="Times New Roman" w:hAnsi="Times New Roman"/>
          <w:bCs/>
          <w:szCs w:val="24"/>
        </w:rPr>
        <w:t xml:space="preserve"> of the impact of decoupling on </w:t>
      </w:r>
      <w:r w:rsidR="00AA6B3B" w:rsidRPr="006833CD">
        <w:rPr>
          <w:rFonts w:ascii="Times New Roman" w:hAnsi="Times New Roman"/>
          <w:bCs/>
          <w:szCs w:val="24"/>
        </w:rPr>
        <w:t>a regulated company’s</w:t>
      </w:r>
      <w:r w:rsidR="00512328" w:rsidRPr="006833CD">
        <w:rPr>
          <w:rFonts w:ascii="Times New Roman" w:hAnsi="Times New Roman"/>
          <w:bCs/>
          <w:szCs w:val="24"/>
        </w:rPr>
        <w:t xml:space="preserve"> cost of </w:t>
      </w:r>
      <w:r w:rsidR="00512328" w:rsidRPr="006833CD">
        <w:rPr>
          <w:rFonts w:ascii="Times New Roman" w:hAnsi="Times New Roman"/>
          <w:szCs w:val="24"/>
        </w:rPr>
        <w:t xml:space="preserve">equity </w:t>
      </w:r>
      <w:r w:rsidR="00512328" w:rsidRPr="006833CD">
        <w:rPr>
          <w:rFonts w:ascii="Times New Roman" w:hAnsi="Times New Roman"/>
          <w:bCs/>
          <w:szCs w:val="24"/>
        </w:rPr>
        <w:t>capital?</w:t>
      </w:r>
    </w:p>
    <w:p w14:paraId="5D0ABA72" w14:textId="774ADA2C" w:rsidR="00C91EFE" w:rsidRPr="006833CD" w:rsidRDefault="008E50A1" w:rsidP="008E50A1">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28781A" w:rsidRPr="006833CD">
        <w:rPr>
          <w:rFonts w:ascii="Times New Roman" w:hAnsi="Times New Roman"/>
          <w:bCs/>
          <w:szCs w:val="24"/>
        </w:rPr>
        <w:t xml:space="preserve">First, </w:t>
      </w:r>
      <w:r w:rsidR="00452383" w:rsidRPr="006833CD">
        <w:rPr>
          <w:rFonts w:ascii="Times New Roman" w:hAnsi="Times New Roman"/>
          <w:bCs/>
          <w:szCs w:val="24"/>
        </w:rPr>
        <w:t>Mr. </w:t>
      </w:r>
      <w:r w:rsidR="00AE7D59" w:rsidRPr="006833CD">
        <w:rPr>
          <w:rFonts w:ascii="Times New Roman" w:hAnsi="Times New Roman"/>
          <w:bCs/>
          <w:szCs w:val="24"/>
        </w:rPr>
        <w:t xml:space="preserve">Hill focuses on volatility of </w:t>
      </w:r>
      <w:r w:rsidR="00BA553C" w:rsidRPr="006833CD">
        <w:rPr>
          <w:rFonts w:ascii="Times New Roman" w:hAnsi="Times New Roman"/>
          <w:bCs/>
          <w:szCs w:val="24"/>
        </w:rPr>
        <w:t xml:space="preserve">net </w:t>
      </w:r>
      <w:r w:rsidR="00AE7D59" w:rsidRPr="006833CD">
        <w:rPr>
          <w:rFonts w:ascii="Times New Roman" w:hAnsi="Times New Roman"/>
          <w:bCs/>
          <w:szCs w:val="24"/>
        </w:rPr>
        <w:t>revenues</w:t>
      </w:r>
      <w:r w:rsidR="00BA553C" w:rsidRPr="006833CD">
        <w:rPr>
          <w:rFonts w:ascii="Times New Roman" w:hAnsi="Times New Roman"/>
          <w:bCs/>
          <w:szCs w:val="24"/>
        </w:rPr>
        <w:t>.  This is an accounting value</w:t>
      </w:r>
      <w:r w:rsidR="00AA6B3B" w:rsidRPr="006833CD">
        <w:rPr>
          <w:rFonts w:ascii="Times New Roman" w:hAnsi="Times New Roman"/>
          <w:bCs/>
          <w:szCs w:val="24"/>
        </w:rPr>
        <w:t xml:space="preserve">.  </w:t>
      </w:r>
      <w:r w:rsidR="00BA553C" w:rsidRPr="006833CD">
        <w:rPr>
          <w:rFonts w:ascii="Times New Roman" w:hAnsi="Times New Roman"/>
          <w:bCs/>
          <w:szCs w:val="24"/>
        </w:rPr>
        <w:t>T</w:t>
      </w:r>
      <w:r w:rsidR="0028781A" w:rsidRPr="006833CD">
        <w:rPr>
          <w:rFonts w:ascii="Times New Roman" w:hAnsi="Times New Roman"/>
          <w:bCs/>
          <w:szCs w:val="24"/>
        </w:rPr>
        <w:t xml:space="preserve">he cost of capital is measured in capital markets using returns on investments, not on </w:t>
      </w:r>
      <w:r w:rsidR="00BA553C" w:rsidRPr="006833CD">
        <w:rPr>
          <w:rFonts w:ascii="Times New Roman" w:hAnsi="Times New Roman"/>
          <w:bCs/>
          <w:szCs w:val="24"/>
        </w:rPr>
        <w:t xml:space="preserve">published </w:t>
      </w:r>
      <w:r w:rsidR="0028781A" w:rsidRPr="006833CD">
        <w:rPr>
          <w:rFonts w:ascii="Times New Roman" w:hAnsi="Times New Roman"/>
          <w:bCs/>
          <w:szCs w:val="24"/>
        </w:rPr>
        <w:t xml:space="preserve">accounting variables such as </w:t>
      </w:r>
      <w:r w:rsidR="00BA553C" w:rsidRPr="006833CD">
        <w:rPr>
          <w:rFonts w:ascii="Times New Roman" w:hAnsi="Times New Roman"/>
          <w:bCs/>
          <w:szCs w:val="24"/>
        </w:rPr>
        <w:t xml:space="preserve">net </w:t>
      </w:r>
      <w:r w:rsidR="0028781A" w:rsidRPr="006833CD">
        <w:rPr>
          <w:rFonts w:ascii="Times New Roman" w:hAnsi="Times New Roman"/>
          <w:bCs/>
          <w:szCs w:val="24"/>
        </w:rPr>
        <w:t xml:space="preserve">revenue.  </w:t>
      </w:r>
      <w:r w:rsidR="00AE7D59" w:rsidRPr="006833CD">
        <w:rPr>
          <w:rFonts w:ascii="Times New Roman" w:hAnsi="Times New Roman"/>
          <w:bCs/>
          <w:szCs w:val="24"/>
        </w:rPr>
        <w:t xml:space="preserve">This is why the cost-of-capital estimation methodologies rely upon market data not accounting data.  </w:t>
      </w:r>
      <w:r w:rsidR="00452383" w:rsidRPr="006833CD">
        <w:rPr>
          <w:rFonts w:ascii="Times New Roman" w:hAnsi="Times New Roman"/>
          <w:bCs/>
          <w:szCs w:val="24"/>
        </w:rPr>
        <w:t>Mr. </w:t>
      </w:r>
      <w:r w:rsidR="00AE7D59" w:rsidRPr="006833CD">
        <w:rPr>
          <w:rFonts w:ascii="Times New Roman" w:hAnsi="Times New Roman"/>
          <w:bCs/>
          <w:szCs w:val="24"/>
        </w:rPr>
        <w:t xml:space="preserve">Hill </w:t>
      </w:r>
      <w:r w:rsidR="0028781A" w:rsidRPr="006833CD">
        <w:rPr>
          <w:rFonts w:ascii="Times New Roman" w:hAnsi="Times New Roman"/>
          <w:bCs/>
          <w:szCs w:val="24"/>
        </w:rPr>
        <w:t xml:space="preserve">had access to information on the net income of PSE and could </w:t>
      </w:r>
      <w:r w:rsidR="006E106E" w:rsidRPr="006833CD">
        <w:rPr>
          <w:rFonts w:ascii="Times New Roman" w:hAnsi="Times New Roman"/>
          <w:bCs/>
          <w:szCs w:val="24"/>
        </w:rPr>
        <w:t xml:space="preserve">have </w:t>
      </w:r>
      <w:r w:rsidR="0028781A" w:rsidRPr="006833CD">
        <w:rPr>
          <w:rFonts w:ascii="Times New Roman" w:hAnsi="Times New Roman"/>
          <w:bCs/>
          <w:szCs w:val="24"/>
        </w:rPr>
        <w:t xml:space="preserve">more properly </w:t>
      </w:r>
      <w:r w:rsidR="006E106E" w:rsidRPr="006833CD">
        <w:rPr>
          <w:rFonts w:ascii="Times New Roman" w:hAnsi="Times New Roman"/>
          <w:bCs/>
          <w:szCs w:val="24"/>
        </w:rPr>
        <w:t>focused on net income</w:t>
      </w:r>
      <w:r w:rsidR="00D87EA8" w:rsidRPr="006833CD">
        <w:rPr>
          <w:rFonts w:ascii="Times New Roman" w:hAnsi="Times New Roman"/>
          <w:bCs/>
          <w:szCs w:val="24"/>
        </w:rPr>
        <w:t xml:space="preserve"> in his decoupling analysis</w:t>
      </w:r>
      <w:r w:rsidR="006E106E" w:rsidRPr="006833CD">
        <w:rPr>
          <w:rFonts w:ascii="Times New Roman" w:hAnsi="Times New Roman"/>
          <w:bCs/>
          <w:szCs w:val="24"/>
        </w:rPr>
        <w:t xml:space="preserve">.  </w:t>
      </w:r>
      <w:r w:rsidR="0028781A" w:rsidRPr="006833CD">
        <w:rPr>
          <w:rFonts w:ascii="Times New Roman" w:hAnsi="Times New Roman"/>
          <w:bCs/>
          <w:szCs w:val="24"/>
        </w:rPr>
        <w:t>Revenues are related to net income, but they are not the same, and net income is not the same as returns to an investment in stock or other asset.</w:t>
      </w:r>
      <w:r w:rsidR="002C6216" w:rsidRPr="006833CD">
        <w:rPr>
          <w:rFonts w:ascii="Times New Roman" w:hAnsi="Times New Roman"/>
          <w:bCs/>
          <w:szCs w:val="24"/>
        </w:rPr>
        <w:t xml:space="preserve"> </w:t>
      </w:r>
      <w:r w:rsidR="00452383" w:rsidRPr="006833CD">
        <w:rPr>
          <w:rFonts w:ascii="Times New Roman" w:hAnsi="Times New Roman"/>
          <w:bCs/>
          <w:szCs w:val="24"/>
        </w:rPr>
        <w:t>Mr. </w:t>
      </w:r>
      <w:r w:rsidR="00BA553C" w:rsidRPr="006833CD">
        <w:rPr>
          <w:rFonts w:ascii="Times New Roman" w:hAnsi="Times New Roman"/>
          <w:bCs/>
          <w:szCs w:val="24"/>
        </w:rPr>
        <w:t>Hill</w:t>
      </w:r>
      <w:r w:rsidR="002C6216" w:rsidRPr="006833CD">
        <w:rPr>
          <w:rFonts w:ascii="Times New Roman" w:hAnsi="Times New Roman"/>
          <w:bCs/>
          <w:szCs w:val="24"/>
        </w:rPr>
        <w:t xml:space="preserve">’s </w:t>
      </w:r>
      <w:r w:rsidR="00BA553C" w:rsidRPr="006833CD">
        <w:rPr>
          <w:rFonts w:ascii="Times New Roman" w:hAnsi="Times New Roman"/>
          <w:bCs/>
          <w:szCs w:val="24"/>
        </w:rPr>
        <w:t>cost of capital studies</w:t>
      </w:r>
      <w:r w:rsidR="002C6216" w:rsidRPr="006833CD">
        <w:rPr>
          <w:rFonts w:ascii="Times New Roman" w:hAnsi="Times New Roman"/>
          <w:bCs/>
          <w:szCs w:val="24"/>
        </w:rPr>
        <w:t xml:space="preserve"> rely upon </w:t>
      </w:r>
      <w:r w:rsidR="00BA553C" w:rsidRPr="006833CD">
        <w:rPr>
          <w:rFonts w:ascii="Times New Roman" w:hAnsi="Times New Roman"/>
          <w:bCs/>
          <w:szCs w:val="24"/>
        </w:rPr>
        <w:t>capital market data</w:t>
      </w:r>
      <w:r w:rsidR="006B5F90" w:rsidRPr="006833CD">
        <w:rPr>
          <w:rFonts w:ascii="Times New Roman" w:hAnsi="Times New Roman"/>
          <w:bCs/>
          <w:szCs w:val="24"/>
        </w:rPr>
        <w:t>; his decoupling analysis should also focus upon capital market data</w:t>
      </w:r>
      <w:r w:rsidR="00BA553C" w:rsidRPr="006833CD">
        <w:rPr>
          <w:rFonts w:ascii="Times New Roman" w:hAnsi="Times New Roman"/>
          <w:bCs/>
          <w:szCs w:val="24"/>
        </w:rPr>
        <w:t>.</w:t>
      </w:r>
      <w:r w:rsidR="006B5F90" w:rsidRPr="00F71D8A">
        <w:rPr>
          <w:rStyle w:val="FootnoteReference"/>
        </w:rPr>
        <w:footnoteReference w:id="74"/>
      </w:r>
      <w:r w:rsidR="0028781A" w:rsidRPr="006833CD">
        <w:rPr>
          <w:rFonts w:ascii="Times New Roman" w:hAnsi="Times New Roman"/>
          <w:bCs/>
          <w:szCs w:val="24"/>
        </w:rPr>
        <w:t xml:space="preserve">  It is the volatility of investment returns that is related to the cost of capital, not the volatility of </w:t>
      </w:r>
      <w:r w:rsidR="00BA553C" w:rsidRPr="006833CD">
        <w:rPr>
          <w:rFonts w:ascii="Times New Roman" w:hAnsi="Times New Roman"/>
          <w:bCs/>
          <w:szCs w:val="24"/>
        </w:rPr>
        <w:t xml:space="preserve">net </w:t>
      </w:r>
      <w:r w:rsidR="0028781A" w:rsidRPr="006833CD">
        <w:rPr>
          <w:rFonts w:ascii="Times New Roman" w:hAnsi="Times New Roman"/>
          <w:bCs/>
          <w:szCs w:val="24"/>
        </w:rPr>
        <w:t>revenues.</w:t>
      </w:r>
    </w:p>
    <w:p w14:paraId="5D0ABA73" w14:textId="21F71C40"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35991" w:rsidRPr="006833CD">
        <w:rPr>
          <w:rFonts w:ascii="Times New Roman" w:hAnsi="Times New Roman"/>
          <w:bCs/>
          <w:szCs w:val="24"/>
        </w:rPr>
        <w:t>What is the second part of your criticism?</w:t>
      </w:r>
    </w:p>
    <w:p w14:paraId="57913AE6" w14:textId="1A08FD96" w:rsidR="00CA50F9" w:rsidRPr="006833CD" w:rsidRDefault="00AB7328" w:rsidP="00452383">
      <w:pPr>
        <w:pStyle w:val="answer"/>
        <w:rPr>
          <w:rFonts w:ascii="Times New Roman" w:hAnsi="Times New Roman"/>
          <w:bCs/>
          <w:szCs w:val="24"/>
        </w:rPr>
      </w:pPr>
      <w:r w:rsidRPr="006833CD">
        <w:rPr>
          <w:rFonts w:ascii="Times New Roman" w:hAnsi="Times New Roman"/>
          <w:bCs/>
          <w:szCs w:val="24"/>
        </w:rPr>
        <w:t>A.</w:t>
      </w:r>
      <w:r w:rsidR="00C91EFE" w:rsidRPr="006833CD">
        <w:rPr>
          <w:rFonts w:ascii="Times New Roman" w:hAnsi="Times New Roman"/>
          <w:bCs/>
          <w:szCs w:val="24"/>
        </w:rPr>
        <w:tab/>
      </w:r>
      <w:r w:rsidR="00AE7D59" w:rsidRPr="006833CD">
        <w:rPr>
          <w:rFonts w:ascii="Times New Roman" w:hAnsi="Times New Roman"/>
          <w:bCs/>
          <w:szCs w:val="24"/>
        </w:rPr>
        <w:t xml:space="preserve">Second, I agree that the volatility of revenues is likely to be reduced by decoupling. </w:t>
      </w:r>
      <w:r w:rsidR="00F71D8A">
        <w:rPr>
          <w:rFonts w:ascii="Times New Roman" w:hAnsi="Times New Roman"/>
          <w:bCs/>
          <w:szCs w:val="24"/>
        </w:rPr>
        <w:t xml:space="preserve"> </w:t>
      </w:r>
      <w:r w:rsidR="00AE7D59" w:rsidRPr="006833CD">
        <w:rPr>
          <w:rFonts w:ascii="Times New Roman" w:hAnsi="Times New Roman"/>
          <w:bCs/>
          <w:szCs w:val="24"/>
        </w:rPr>
        <w:t>That is, of course, its purpose.</w:t>
      </w:r>
      <w:r w:rsidR="00AE7D59" w:rsidRPr="00F71D8A">
        <w:rPr>
          <w:rStyle w:val="FootnoteReference"/>
        </w:rPr>
        <w:footnoteReference w:id="75"/>
      </w:r>
      <w:r w:rsidR="00AE7D59" w:rsidRPr="006833CD">
        <w:rPr>
          <w:rFonts w:ascii="Times New Roman" w:hAnsi="Times New Roman"/>
          <w:bCs/>
          <w:szCs w:val="24"/>
        </w:rPr>
        <w:t xml:space="preserve"> </w:t>
      </w:r>
      <w:r w:rsidR="00F71D8A">
        <w:rPr>
          <w:rFonts w:ascii="Times New Roman" w:hAnsi="Times New Roman"/>
          <w:bCs/>
          <w:szCs w:val="24"/>
        </w:rPr>
        <w:t xml:space="preserve"> </w:t>
      </w:r>
      <w:r w:rsidR="00452383" w:rsidRPr="006833CD">
        <w:rPr>
          <w:rFonts w:ascii="Times New Roman" w:hAnsi="Times New Roman"/>
          <w:bCs/>
          <w:szCs w:val="24"/>
        </w:rPr>
        <w:t>Mr. </w:t>
      </w:r>
      <w:r w:rsidR="00AE7D59" w:rsidRPr="006833CD">
        <w:rPr>
          <w:rFonts w:ascii="Times New Roman" w:hAnsi="Times New Roman"/>
          <w:bCs/>
          <w:szCs w:val="24"/>
        </w:rPr>
        <w:t>Hill’s calculation assumes</w:t>
      </w:r>
      <w:r w:rsidR="00C50DE0" w:rsidRPr="006833CD">
        <w:rPr>
          <w:rFonts w:ascii="Times New Roman" w:hAnsi="Times New Roman"/>
          <w:bCs/>
          <w:szCs w:val="24"/>
        </w:rPr>
        <w:t xml:space="preserve"> that </w:t>
      </w:r>
      <w:r w:rsidR="00AE7D59" w:rsidRPr="006833CD">
        <w:rPr>
          <w:rFonts w:ascii="Times New Roman" w:hAnsi="Times New Roman"/>
          <w:bCs/>
          <w:szCs w:val="24"/>
        </w:rPr>
        <w:t>the utility’s</w:t>
      </w:r>
      <w:r w:rsidR="00C50DE0" w:rsidRPr="006833CD">
        <w:rPr>
          <w:rFonts w:ascii="Times New Roman" w:hAnsi="Times New Roman"/>
          <w:bCs/>
          <w:szCs w:val="24"/>
        </w:rPr>
        <w:t xml:space="preserve"> revenue</w:t>
      </w:r>
      <w:r w:rsidR="00AA6B3B" w:rsidRPr="006833CD">
        <w:rPr>
          <w:rFonts w:ascii="Times New Roman" w:hAnsi="Times New Roman"/>
          <w:bCs/>
          <w:szCs w:val="24"/>
        </w:rPr>
        <w:t xml:space="preserve"> volatility is reduced by 35 percent</w:t>
      </w:r>
      <w:r w:rsidR="006B5F90" w:rsidRPr="006833CD">
        <w:rPr>
          <w:rFonts w:ascii="Times New Roman" w:hAnsi="Times New Roman"/>
          <w:bCs/>
          <w:szCs w:val="24"/>
        </w:rPr>
        <w:t>,</w:t>
      </w:r>
      <w:r w:rsidR="00AA6B3B" w:rsidRPr="006833CD">
        <w:rPr>
          <w:rFonts w:ascii="Times New Roman" w:hAnsi="Times New Roman"/>
          <w:bCs/>
          <w:szCs w:val="24"/>
        </w:rPr>
        <w:t xml:space="preserve"> but </w:t>
      </w:r>
      <w:r w:rsidR="00452383" w:rsidRPr="006833CD">
        <w:rPr>
          <w:rFonts w:ascii="Times New Roman" w:hAnsi="Times New Roman"/>
          <w:bCs/>
          <w:szCs w:val="24"/>
        </w:rPr>
        <w:t>Mr. </w:t>
      </w:r>
      <w:r w:rsidR="00AA6B3B" w:rsidRPr="006833CD">
        <w:rPr>
          <w:rFonts w:ascii="Times New Roman" w:hAnsi="Times New Roman"/>
          <w:bCs/>
          <w:szCs w:val="24"/>
        </w:rPr>
        <w:t>Hill</w:t>
      </w:r>
      <w:r w:rsidR="00AA6B3B" w:rsidRPr="006833CD">
        <w:rPr>
          <w:rFonts w:ascii="Times New Roman" w:hAnsi="Times New Roman"/>
          <w:szCs w:val="24"/>
        </w:rPr>
        <w:t xml:space="preserve"> ignores the fact</w:t>
      </w:r>
      <w:r w:rsidR="00F35991" w:rsidRPr="006833CD">
        <w:rPr>
          <w:rFonts w:ascii="Times New Roman" w:hAnsi="Times New Roman"/>
          <w:bCs/>
          <w:szCs w:val="24"/>
        </w:rPr>
        <w:t xml:space="preserve"> that </w:t>
      </w:r>
      <w:r w:rsidR="00AE7D59" w:rsidRPr="006833CD">
        <w:rPr>
          <w:rFonts w:ascii="Times New Roman" w:hAnsi="Times New Roman"/>
          <w:bCs/>
          <w:szCs w:val="24"/>
        </w:rPr>
        <w:t>the reduction in volatility removes portions of both of the tails</w:t>
      </w:r>
      <w:r w:rsidR="00C50DE0" w:rsidRPr="006833CD">
        <w:rPr>
          <w:rFonts w:ascii="Times New Roman" w:hAnsi="Times New Roman"/>
          <w:bCs/>
          <w:szCs w:val="24"/>
        </w:rPr>
        <w:t xml:space="preserve"> of the </w:t>
      </w:r>
      <w:r w:rsidR="00AE7D59" w:rsidRPr="006833CD">
        <w:rPr>
          <w:rFonts w:ascii="Times New Roman" w:hAnsi="Times New Roman"/>
          <w:bCs/>
          <w:szCs w:val="24"/>
        </w:rPr>
        <w:t xml:space="preserve">distribution. </w:t>
      </w:r>
      <w:r w:rsidR="00AA6B3B" w:rsidRPr="006833CD">
        <w:rPr>
          <w:rFonts w:ascii="Times New Roman" w:hAnsi="Times New Roman"/>
          <w:bCs/>
          <w:szCs w:val="24"/>
        </w:rPr>
        <w:t xml:space="preserve"> </w:t>
      </w:r>
      <w:r w:rsidR="00AE7D59" w:rsidRPr="006833CD">
        <w:rPr>
          <w:rFonts w:ascii="Times New Roman" w:hAnsi="Times New Roman"/>
          <w:bCs/>
          <w:szCs w:val="24"/>
        </w:rPr>
        <w:t xml:space="preserve">In other words, if revenues are normally distributed with and without </w:t>
      </w:r>
      <w:r w:rsidR="00C50DE0" w:rsidRPr="006833CD">
        <w:rPr>
          <w:rFonts w:ascii="Times New Roman" w:hAnsi="Times New Roman"/>
          <w:bCs/>
          <w:szCs w:val="24"/>
        </w:rPr>
        <w:lastRenderedPageBreak/>
        <w:t xml:space="preserve">decoupling </w:t>
      </w:r>
      <w:r w:rsidR="00AE7D59" w:rsidRPr="006833CD">
        <w:rPr>
          <w:rFonts w:ascii="Times New Roman" w:hAnsi="Times New Roman"/>
          <w:bCs/>
          <w:szCs w:val="24"/>
        </w:rPr>
        <w:t>as Mr.</w:t>
      </w:r>
      <w:r w:rsidR="00452383" w:rsidRPr="006833CD">
        <w:rPr>
          <w:rFonts w:ascii="Times New Roman" w:hAnsi="Times New Roman"/>
          <w:bCs/>
          <w:szCs w:val="24"/>
        </w:rPr>
        <w:t> </w:t>
      </w:r>
      <w:r w:rsidR="00AE7D59" w:rsidRPr="006833CD">
        <w:rPr>
          <w:rFonts w:ascii="Times New Roman" w:hAnsi="Times New Roman"/>
          <w:bCs/>
          <w:szCs w:val="24"/>
        </w:rPr>
        <w:t>Hill assumes, not only does</w:t>
      </w:r>
      <w:r w:rsidR="00C50DE0" w:rsidRPr="006833CD">
        <w:rPr>
          <w:rFonts w:ascii="Times New Roman" w:hAnsi="Times New Roman"/>
          <w:bCs/>
          <w:szCs w:val="24"/>
        </w:rPr>
        <w:t xml:space="preserve"> decoupling </w:t>
      </w:r>
      <w:r w:rsidR="00AE7D59" w:rsidRPr="006833CD">
        <w:rPr>
          <w:rFonts w:ascii="Times New Roman" w:hAnsi="Times New Roman"/>
          <w:bCs/>
          <w:szCs w:val="24"/>
        </w:rPr>
        <w:t>remove some of the downside risk for revenues, it also removes the corresponding upside for revenues. In fact</w:t>
      </w:r>
      <w:r w:rsidR="00AA6B3B" w:rsidRPr="006833CD">
        <w:rPr>
          <w:rFonts w:ascii="Times New Roman" w:hAnsi="Times New Roman"/>
          <w:bCs/>
          <w:szCs w:val="24"/>
        </w:rPr>
        <w:t xml:space="preserve"> </w:t>
      </w:r>
      <w:r w:rsidR="00F35991" w:rsidRPr="006833CD">
        <w:rPr>
          <w:rFonts w:ascii="Times New Roman" w:hAnsi="Times New Roman"/>
          <w:bCs/>
          <w:szCs w:val="24"/>
        </w:rPr>
        <w:t xml:space="preserve">for </w:t>
      </w:r>
      <w:r w:rsidR="00AE7D59" w:rsidRPr="006833CD">
        <w:rPr>
          <w:rFonts w:ascii="Times New Roman" w:hAnsi="Times New Roman"/>
          <w:bCs/>
          <w:szCs w:val="24"/>
        </w:rPr>
        <w:t>a normal distribution, the downside loss avoided is exactly equal to the upside gain that is prevented because the distribution is symmetrical. In expected value, the investor would give up positive returns exactly equal to the losses prevented.</w:t>
      </w:r>
    </w:p>
    <w:p w14:paraId="56C1FF6E" w14:textId="43A7F512" w:rsidR="002C6216" w:rsidRPr="006833CD" w:rsidRDefault="00735B5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35991" w:rsidRPr="006833CD">
        <w:rPr>
          <w:rFonts w:ascii="Times New Roman" w:hAnsi="Times New Roman"/>
          <w:bCs/>
          <w:szCs w:val="24"/>
        </w:rPr>
        <w:t>What is your third criticism?</w:t>
      </w:r>
    </w:p>
    <w:p w14:paraId="5D0ABA77" w14:textId="46FB7A4E" w:rsidR="00C91EFE" w:rsidRPr="006833CD" w:rsidRDefault="00AB7328" w:rsidP="00F86940">
      <w:pPr>
        <w:pStyle w:val="answer"/>
        <w:rPr>
          <w:rFonts w:ascii="Times New Roman" w:eastAsia="SimSun" w:hAnsi="Times New Roman"/>
          <w:bCs/>
          <w:szCs w:val="24"/>
        </w:rPr>
      </w:pPr>
      <w:r w:rsidRPr="006833CD">
        <w:rPr>
          <w:rFonts w:ascii="Times New Roman" w:hAnsi="Times New Roman"/>
          <w:bCs/>
          <w:szCs w:val="24"/>
        </w:rPr>
        <w:t>A.</w:t>
      </w:r>
      <w:r w:rsidR="002C6216" w:rsidRPr="006833CD">
        <w:rPr>
          <w:rFonts w:ascii="Times New Roman" w:hAnsi="Times New Roman"/>
          <w:bCs/>
          <w:szCs w:val="24"/>
        </w:rPr>
        <w:tab/>
      </w:r>
      <w:r w:rsidR="00735B59" w:rsidRPr="006833CD">
        <w:rPr>
          <w:rFonts w:ascii="Times New Roman" w:hAnsi="Times New Roman"/>
          <w:bCs/>
          <w:szCs w:val="24"/>
        </w:rPr>
        <w:t>Third, Mr.</w:t>
      </w:r>
      <w:r w:rsidR="00452383" w:rsidRPr="006833CD">
        <w:rPr>
          <w:rFonts w:ascii="Times New Roman" w:hAnsi="Times New Roman"/>
          <w:bCs/>
          <w:szCs w:val="24"/>
        </w:rPr>
        <w:t> </w:t>
      </w:r>
      <w:r w:rsidR="00735B59" w:rsidRPr="006833CD">
        <w:rPr>
          <w:rFonts w:ascii="Times New Roman" w:hAnsi="Times New Roman"/>
          <w:bCs/>
          <w:szCs w:val="24"/>
        </w:rPr>
        <w:t>Hill never explains why three standard deviations are relevant to the effect on the cost of capital as compared to two standard deviations or any other number</w:t>
      </w:r>
      <w:r w:rsidR="00AA19FB" w:rsidRPr="006833CD">
        <w:rPr>
          <w:rFonts w:ascii="Times New Roman" w:hAnsi="Times New Roman"/>
          <w:bCs/>
          <w:szCs w:val="24"/>
        </w:rPr>
        <w:t xml:space="preserve">.  </w:t>
      </w:r>
      <w:r w:rsidR="006B5F90" w:rsidRPr="006833CD">
        <w:rPr>
          <w:rFonts w:ascii="Times New Roman" w:hAnsi="Times New Roman"/>
          <w:bCs/>
          <w:szCs w:val="24"/>
        </w:rPr>
        <w:t>If his theory is that investors don’t like negative outcomes, that dislike is not limited to highly unlikely events restricted to three standard deviations.  For example, if</w:t>
      </w:r>
      <w:r w:rsidR="00AA19FB" w:rsidRPr="006833CD">
        <w:rPr>
          <w:rFonts w:ascii="Times New Roman" w:hAnsi="Times New Roman"/>
          <w:bCs/>
          <w:szCs w:val="24"/>
        </w:rPr>
        <w:t xml:space="preserve"> he had calculated the effect assuming that investors dislike negative events of </w:t>
      </w:r>
      <w:r w:rsidR="00F86182" w:rsidRPr="006833CD">
        <w:rPr>
          <w:rFonts w:ascii="Times New Roman" w:hAnsi="Times New Roman"/>
          <w:bCs/>
          <w:szCs w:val="24"/>
        </w:rPr>
        <w:t>two</w:t>
      </w:r>
      <w:r w:rsidR="00AA19FB" w:rsidRPr="006833CD">
        <w:rPr>
          <w:rFonts w:ascii="Times New Roman" w:hAnsi="Times New Roman"/>
          <w:bCs/>
          <w:szCs w:val="24"/>
        </w:rPr>
        <w:t xml:space="preserve"> standard deviations or more, </w:t>
      </w:r>
      <w:r w:rsidR="006B5F90" w:rsidRPr="006833CD">
        <w:rPr>
          <w:rFonts w:ascii="Times New Roman" w:hAnsi="Times New Roman"/>
          <w:bCs/>
          <w:szCs w:val="24"/>
        </w:rPr>
        <w:t xml:space="preserve">his calculated </w:t>
      </w:r>
      <w:r w:rsidR="00AA19FB" w:rsidRPr="006833CD">
        <w:rPr>
          <w:rFonts w:ascii="Times New Roman" w:hAnsi="Times New Roman"/>
          <w:bCs/>
          <w:szCs w:val="24"/>
        </w:rPr>
        <w:t>effect on the cost of equity</w:t>
      </w:r>
      <w:r w:rsidR="008E50A1" w:rsidRPr="006833CD">
        <w:rPr>
          <w:rFonts w:ascii="Times New Roman" w:hAnsi="Times New Roman"/>
          <w:bCs/>
          <w:szCs w:val="24"/>
        </w:rPr>
        <w:t xml:space="preserve"> would have been much greater.</w:t>
      </w:r>
    </w:p>
    <w:p w14:paraId="3FB45A22" w14:textId="0809140B" w:rsidR="00735B59" w:rsidRPr="006833CD" w:rsidRDefault="00735B5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AA19FB" w:rsidRPr="006833CD">
        <w:rPr>
          <w:rFonts w:ascii="Times New Roman" w:hAnsi="Times New Roman"/>
          <w:bCs/>
          <w:szCs w:val="24"/>
        </w:rPr>
        <w:t xml:space="preserve">How large would </w:t>
      </w:r>
      <w:r w:rsidR="006A6DBC" w:rsidRPr="006833CD">
        <w:rPr>
          <w:rFonts w:ascii="Times New Roman" w:hAnsi="Times New Roman"/>
          <w:bCs/>
          <w:szCs w:val="24"/>
        </w:rPr>
        <w:t>Mr.</w:t>
      </w:r>
      <w:r w:rsidR="00452383" w:rsidRPr="006833CD">
        <w:rPr>
          <w:rFonts w:ascii="Times New Roman" w:hAnsi="Times New Roman"/>
          <w:bCs/>
          <w:szCs w:val="24"/>
        </w:rPr>
        <w:t> </w:t>
      </w:r>
      <w:r w:rsidR="00AA19FB" w:rsidRPr="006833CD">
        <w:rPr>
          <w:rFonts w:ascii="Times New Roman" w:hAnsi="Times New Roman"/>
          <w:bCs/>
          <w:szCs w:val="24"/>
        </w:rPr>
        <w:t>Hill’s adjustment to revenue have been if Mr.</w:t>
      </w:r>
      <w:r w:rsidR="00452383" w:rsidRPr="006833CD">
        <w:rPr>
          <w:rFonts w:ascii="Times New Roman" w:hAnsi="Times New Roman"/>
          <w:bCs/>
          <w:szCs w:val="24"/>
        </w:rPr>
        <w:t> </w:t>
      </w:r>
      <w:r w:rsidR="00AA19FB" w:rsidRPr="006833CD">
        <w:rPr>
          <w:rFonts w:ascii="Times New Roman" w:hAnsi="Times New Roman"/>
          <w:bCs/>
          <w:szCs w:val="24"/>
        </w:rPr>
        <w:t>Hill had provided a</w:t>
      </w:r>
      <w:r w:rsidRPr="006833CD">
        <w:rPr>
          <w:rFonts w:ascii="Times New Roman" w:hAnsi="Times New Roman"/>
          <w:bCs/>
          <w:szCs w:val="24"/>
        </w:rPr>
        <w:t xml:space="preserve"> </w:t>
      </w:r>
      <w:r w:rsidR="006A6DBC" w:rsidRPr="006833CD">
        <w:rPr>
          <w:rFonts w:ascii="Times New Roman" w:hAnsi="Times New Roman"/>
          <w:bCs/>
          <w:szCs w:val="24"/>
        </w:rPr>
        <w:t>quantification</w:t>
      </w:r>
      <w:r w:rsidR="004A3B70" w:rsidRPr="006833CD">
        <w:rPr>
          <w:rFonts w:ascii="Times New Roman" w:hAnsi="Times New Roman"/>
          <w:bCs/>
          <w:szCs w:val="24"/>
        </w:rPr>
        <w:t xml:space="preserve"> of the </w:t>
      </w:r>
      <w:r w:rsidRPr="006833CD">
        <w:rPr>
          <w:rFonts w:ascii="Times New Roman" w:hAnsi="Times New Roman"/>
          <w:bCs/>
          <w:szCs w:val="24"/>
        </w:rPr>
        <w:t>effect on</w:t>
      </w:r>
      <w:r w:rsidR="00F86940" w:rsidRPr="006833CD">
        <w:rPr>
          <w:rFonts w:ascii="Times New Roman" w:hAnsi="Times New Roman"/>
          <w:bCs/>
          <w:szCs w:val="24"/>
        </w:rPr>
        <w:t xml:space="preserve"> return on equity</w:t>
      </w:r>
      <w:r w:rsidRPr="006833CD">
        <w:rPr>
          <w:rFonts w:ascii="Times New Roman" w:hAnsi="Times New Roman"/>
          <w:bCs/>
          <w:szCs w:val="24"/>
        </w:rPr>
        <w:t xml:space="preserve"> c</w:t>
      </w:r>
      <w:r w:rsidR="008E50A1" w:rsidRPr="006833CD">
        <w:rPr>
          <w:rFonts w:ascii="Times New Roman" w:hAnsi="Times New Roman"/>
          <w:bCs/>
          <w:szCs w:val="24"/>
        </w:rPr>
        <w:t>onsistent with his own theory?</w:t>
      </w:r>
    </w:p>
    <w:p w14:paraId="5D0ABA7D" w14:textId="43221E09" w:rsidR="00735B59" w:rsidRPr="006833CD" w:rsidRDefault="008E50A1" w:rsidP="00F86940">
      <w:pPr>
        <w:pStyle w:val="answer"/>
        <w:rPr>
          <w:rFonts w:ascii="Times New Roman" w:hAnsi="Times New Roman"/>
          <w:bCs/>
          <w:szCs w:val="24"/>
        </w:rPr>
      </w:pPr>
      <w:r w:rsidRPr="006833CD">
        <w:rPr>
          <w:rFonts w:ascii="Times New Roman" w:hAnsi="Times New Roman"/>
          <w:bCs/>
          <w:szCs w:val="24"/>
        </w:rPr>
        <w:t>A.</w:t>
      </w:r>
      <w:r w:rsidR="00735B59" w:rsidRPr="006833CD">
        <w:rPr>
          <w:rFonts w:ascii="Times New Roman" w:hAnsi="Times New Roman"/>
          <w:bCs/>
          <w:szCs w:val="24"/>
        </w:rPr>
        <w:tab/>
        <w:t>The shaded portion of Figure</w:t>
      </w:r>
      <w:r w:rsidR="00F86940" w:rsidRPr="006833CD">
        <w:rPr>
          <w:rFonts w:ascii="Times New Roman" w:hAnsi="Times New Roman"/>
          <w:bCs/>
          <w:szCs w:val="24"/>
        </w:rPr>
        <w:t> </w:t>
      </w:r>
      <w:r w:rsidR="00735B59" w:rsidRPr="006833CD">
        <w:rPr>
          <w:rFonts w:ascii="Times New Roman" w:hAnsi="Times New Roman"/>
          <w:bCs/>
          <w:szCs w:val="24"/>
        </w:rPr>
        <w:t>1</w:t>
      </w:r>
      <w:r w:rsidR="00F86940" w:rsidRPr="006833CD">
        <w:rPr>
          <w:rFonts w:ascii="Times New Roman" w:hAnsi="Times New Roman"/>
          <w:bCs/>
          <w:szCs w:val="24"/>
        </w:rPr>
        <w:t xml:space="preserve"> above</w:t>
      </w:r>
      <w:r w:rsidR="00735B59" w:rsidRPr="006833CD">
        <w:rPr>
          <w:rFonts w:ascii="Times New Roman" w:hAnsi="Times New Roman"/>
          <w:bCs/>
          <w:szCs w:val="24"/>
        </w:rPr>
        <w:t xml:space="preserve"> represents all</w:t>
      </w:r>
      <w:r w:rsidR="004A3B70" w:rsidRPr="006833CD">
        <w:rPr>
          <w:rFonts w:ascii="Times New Roman" w:hAnsi="Times New Roman"/>
          <w:bCs/>
          <w:szCs w:val="24"/>
        </w:rPr>
        <w:t xml:space="preserve"> of </w:t>
      </w:r>
      <w:r w:rsidR="00735B59" w:rsidRPr="006833CD">
        <w:rPr>
          <w:rFonts w:ascii="Times New Roman" w:hAnsi="Times New Roman"/>
          <w:bCs/>
          <w:szCs w:val="24"/>
        </w:rPr>
        <w:t>the probability of avoiding the lower returns from a probability distribution with a 35</w:t>
      </w:r>
      <w:r w:rsidR="00F86940" w:rsidRPr="006833CD">
        <w:rPr>
          <w:rFonts w:ascii="Times New Roman" w:hAnsi="Times New Roman"/>
          <w:bCs/>
          <w:szCs w:val="24"/>
        </w:rPr>
        <w:t> </w:t>
      </w:r>
      <w:r w:rsidR="00735B59" w:rsidRPr="006833CD">
        <w:rPr>
          <w:rFonts w:ascii="Times New Roman" w:hAnsi="Times New Roman"/>
          <w:bCs/>
          <w:szCs w:val="24"/>
        </w:rPr>
        <w:t xml:space="preserve">percent reduction in its standard deviation.  </w:t>
      </w:r>
      <w:r w:rsidR="002720B1" w:rsidRPr="006833CD">
        <w:rPr>
          <w:rFonts w:ascii="Times New Roman" w:hAnsi="Times New Roman"/>
          <w:bCs/>
          <w:szCs w:val="24"/>
        </w:rPr>
        <w:t xml:space="preserve">This area is consistent with the view that investors dislike all negative outcomes.  </w:t>
      </w:r>
      <w:r w:rsidR="00735B59" w:rsidRPr="006833CD">
        <w:rPr>
          <w:rFonts w:ascii="Times New Roman" w:hAnsi="Times New Roman"/>
          <w:bCs/>
          <w:szCs w:val="24"/>
        </w:rPr>
        <w:t>The shaded probability area under the curve is 10.3</w:t>
      </w:r>
      <w:r w:rsidR="00F86940" w:rsidRPr="006833CD">
        <w:rPr>
          <w:rFonts w:ascii="Times New Roman" w:hAnsi="Times New Roman"/>
          <w:bCs/>
          <w:szCs w:val="24"/>
        </w:rPr>
        <w:t> </w:t>
      </w:r>
      <w:r w:rsidR="00735B59" w:rsidRPr="006833CD">
        <w:rPr>
          <w:rFonts w:ascii="Times New Roman" w:hAnsi="Times New Roman"/>
          <w:bCs/>
          <w:szCs w:val="24"/>
        </w:rPr>
        <w:t>percent not the 0.65</w:t>
      </w:r>
      <w:r w:rsidR="00F86940" w:rsidRPr="006833CD">
        <w:rPr>
          <w:rFonts w:ascii="Times New Roman" w:hAnsi="Times New Roman"/>
          <w:bCs/>
          <w:szCs w:val="24"/>
        </w:rPr>
        <w:t> </w:t>
      </w:r>
      <w:r w:rsidR="00735B59" w:rsidRPr="006833CD">
        <w:rPr>
          <w:rFonts w:ascii="Times New Roman" w:hAnsi="Times New Roman"/>
          <w:bCs/>
          <w:szCs w:val="24"/>
        </w:rPr>
        <w:t xml:space="preserve">percent calculated from the difference in three standard deviations. This represents a reduction in </w:t>
      </w:r>
      <w:r w:rsidR="00F86940" w:rsidRPr="006833CD">
        <w:rPr>
          <w:rFonts w:ascii="Times New Roman" w:hAnsi="Times New Roman"/>
          <w:bCs/>
          <w:szCs w:val="24"/>
        </w:rPr>
        <w:t xml:space="preserve">return on equity </w:t>
      </w:r>
      <w:r w:rsidR="00735B59" w:rsidRPr="006833CD">
        <w:rPr>
          <w:rFonts w:ascii="Times New Roman" w:hAnsi="Times New Roman"/>
          <w:bCs/>
          <w:szCs w:val="24"/>
        </w:rPr>
        <w:t>of 5.29</w:t>
      </w:r>
      <w:r w:rsidR="00F86940" w:rsidRPr="006833CD">
        <w:rPr>
          <w:rFonts w:ascii="Times New Roman" w:hAnsi="Times New Roman"/>
          <w:bCs/>
          <w:szCs w:val="24"/>
        </w:rPr>
        <w:t> </w:t>
      </w:r>
      <w:r w:rsidR="00735B59" w:rsidRPr="006833CD">
        <w:rPr>
          <w:rFonts w:ascii="Times New Roman" w:hAnsi="Times New Roman"/>
          <w:bCs/>
          <w:szCs w:val="24"/>
        </w:rPr>
        <w:t xml:space="preserve">percent using </w:t>
      </w:r>
      <w:r w:rsidR="00AA19FB" w:rsidRPr="006833CD">
        <w:rPr>
          <w:rFonts w:ascii="Times New Roman" w:hAnsi="Times New Roman"/>
          <w:bCs/>
          <w:szCs w:val="24"/>
        </w:rPr>
        <w:t>Mr.</w:t>
      </w:r>
      <w:r w:rsidR="00452383" w:rsidRPr="006833CD">
        <w:rPr>
          <w:rFonts w:ascii="Times New Roman" w:hAnsi="Times New Roman"/>
          <w:bCs/>
          <w:szCs w:val="24"/>
        </w:rPr>
        <w:t> </w:t>
      </w:r>
      <w:r w:rsidR="00735B59" w:rsidRPr="006833CD">
        <w:rPr>
          <w:rFonts w:ascii="Times New Roman" w:hAnsi="Times New Roman"/>
          <w:bCs/>
          <w:szCs w:val="24"/>
        </w:rPr>
        <w:t xml:space="preserve">Hill’s </w:t>
      </w:r>
      <w:r w:rsidR="00AA19FB" w:rsidRPr="006833CD">
        <w:rPr>
          <w:rFonts w:ascii="Times New Roman" w:hAnsi="Times New Roman"/>
          <w:bCs/>
          <w:szCs w:val="24"/>
        </w:rPr>
        <w:lastRenderedPageBreak/>
        <w:t>methodology.</w:t>
      </w:r>
      <w:r w:rsidR="00735B59" w:rsidRPr="00A84633">
        <w:rPr>
          <w:rStyle w:val="FootnoteReference"/>
        </w:rPr>
        <w:footnoteReference w:id="76"/>
      </w:r>
      <w:r w:rsidR="00735B59" w:rsidRPr="006833CD">
        <w:rPr>
          <w:rFonts w:ascii="Times New Roman" w:hAnsi="Times New Roman"/>
          <w:bCs/>
          <w:szCs w:val="24"/>
        </w:rPr>
        <w:t xml:space="preserve"> </w:t>
      </w:r>
      <w:r w:rsidR="00AA19FB" w:rsidRPr="006833CD">
        <w:rPr>
          <w:rFonts w:ascii="Times New Roman" w:hAnsi="Times New Roman"/>
          <w:bCs/>
          <w:szCs w:val="24"/>
        </w:rPr>
        <w:t xml:space="preserve">This </w:t>
      </w:r>
      <w:r w:rsidR="00735B59" w:rsidRPr="006833CD">
        <w:rPr>
          <w:rFonts w:ascii="Times New Roman" w:hAnsi="Times New Roman"/>
          <w:bCs/>
          <w:szCs w:val="24"/>
        </w:rPr>
        <w:t xml:space="preserve">is clearly not a credible </w:t>
      </w:r>
      <w:r w:rsidR="00AA19FB" w:rsidRPr="006833CD">
        <w:rPr>
          <w:rFonts w:ascii="Times New Roman" w:hAnsi="Times New Roman"/>
          <w:bCs/>
          <w:szCs w:val="24"/>
        </w:rPr>
        <w:t>result</w:t>
      </w:r>
      <w:r w:rsidR="00735B59" w:rsidRPr="006833CD">
        <w:rPr>
          <w:rFonts w:ascii="Times New Roman" w:hAnsi="Times New Roman"/>
          <w:bCs/>
          <w:szCs w:val="24"/>
        </w:rPr>
        <w:t xml:space="preserve"> because subtracting 5.29</w:t>
      </w:r>
      <w:r w:rsidR="00F86940" w:rsidRPr="006833CD">
        <w:rPr>
          <w:rFonts w:ascii="Times New Roman" w:hAnsi="Times New Roman"/>
          <w:bCs/>
          <w:szCs w:val="24"/>
        </w:rPr>
        <w:t> </w:t>
      </w:r>
      <w:r w:rsidR="00735B59" w:rsidRPr="006833CD">
        <w:rPr>
          <w:rFonts w:ascii="Times New Roman" w:hAnsi="Times New Roman"/>
          <w:bCs/>
          <w:szCs w:val="24"/>
        </w:rPr>
        <w:t xml:space="preserve">percent from </w:t>
      </w:r>
      <w:r w:rsidR="00F86940" w:rsidRPr="006833CD">
        <w:rPr>
          <w:rFonts w:ascii="Times New Roman" w:hAnsi="Times New Roman"/>
          <w:bCs/>
          <w:szCs w:val="24"/>
        </w:rPr>
        <w:t xml:space="preserve">PSE’s </w:t>
      </w:r>
      <w:r w:rsidR="00735B59" w:rsidRPr="006833CD">
        <w:rPr>
          <w:rFonts w:ascii="Times New Roman" w:hAnsi="Times New Roman"/>
          <w:bCs/>
          <w:szCs w:val="24"/>
        </w:rPr>
        <w:t xml:space="preserve">allowed </w:t>
      </w:r>
      <w:r w:rsidR="00F86940" w:rsidRPr="006833CD">
        <w:rPr>
          <w:rFonts w:ascii="Times New Roman" w:hAnsi="Times New Roman"/>
          <w:bCs/>
          <w:szCs w:val="24"/>
        </w:rPr>
        <w:t xml:space="preserve">return on equity </w:t>
      </w:r>
      <w:r w:rsidR="00735B59" w:rsidRPr="006833CD">
        <w:rPr>
          <w:rFonts w:ascii="Times New Roman" w:hAnsi="Times New Roman"/>
          <w:bCs/>
          <w:szCs w:val="24"/>
        </w:rPr>
        <w:t>of 9.8</w:t>
      </w:r>
      <w:r w:rsidR="00F86940" w:rsidRPr="006833CD">
        <w:rPr>
          <w:rFonts w:ascii="Times New Roman" w:hAnsi="Times New Roman"/>
          <w:bCs/>
          <w:szCs w:val="24"/>
        </w:rPr>
        <w:t> </w:t>
      </w:r>
      <w:r w:rsidR="00735B59" w:rsidRPr="006833CD">
        <w:rPr>
          <w:rFonts w:ascii="Times New Roman" w:hAnsi="Times New Roman"/>
          <w:bCs/>
          <w:szCs w:val="24"/>
        </w:rPr>
        <w:t>percent would be 4.51</w:t>
      </w:r>
      <w:r w:rsidR="00F86940" w:rsidRPr="006833CD">
        <w:rPr>
          <w:rFonts w:ascii="Times New Roman" w:hAnsi="Times New Roman"/>
          <w:bCs/>
          <w:szCs w:val="24"/>
        </w:rPr>
        <w:t> </w:t>
      </w:r>
      <w:r w:rsidR="00735B59" w:rsidRPr="006833CD">
        <w:rPr>
          <w:rFonts w:ascii="Times New Roman" w:hAnsi="Times New Roman"/>
          <w:bCs/>
          <w:szCs w:val="24"/>
        </w:rPr>
        <w:t>percent</w:t>
      </w:r>
      <w:r w:rsidR="00F86940" w:rsidRPr="006833CD">
        <w:rPr>
          <w:rFonts w:ascii="Times New Roman" w:hAnsi="Times New Roman"/>
          <w:bCs/>
          <w:szCs w:val="24"/>
        </w:rPr>
        <w:t>,</w:t>
      </w:r>
      <w:r w:rsidR="00735B59" w:rsidRPr="006833CD">
        <w:rPr>
          <w:rFonts w:ascii="Times New Roman" w:hAnsi="Times New Roman"/>
          <w:bCs/>
          <w:szCs w:val="24"/>
        </w:rPr>
        <w:t xml:space="preserve"> which </w:t>
      </w:r>
      <w:r w:rsidR="00F86940" w:rsidRPr="006833CD">
        <w:rPr>
          <w:rFonts w:ascii="Times New Roman" w:hAnsi="Times New Roman"/>
          <w:bCs/>
          <w:szCs w:val="24"/>
        </w:rPr>
        <w:t xml:space="preserve">is </w:t>
      </w:r>
      <w:r w:rsidR="00735B59" w:rsidRPr="006833CD">
        <w:rPr>
          <w:rFonts w:ascii="Times New Roman" w:hAnsi="Times New Roman"/>
          <w:bCs/>
          <w:szCs w:val="24"/>
        </w:rPr>
        <w:t xml:space="preserve">less than the cost of debt for </w:t>
      </w:r>
      <w:r w:rsidR="00F86940" w:rsidRPr="006833CD">
        <w:rPr>
          <w:rFonts w:ascii="Times New Roman" w:hAnsi="Times New Roman"/>
          <w:bCs/>
          <w:szCs w:val="24"/>
        </w:rPr>
        <w:t>PSE</w:t>
      </w:r>
      <w:r w:rsidR="00735B59" w:rsidRPr="006833CD">
        <w:rPr>
          <w:rFonts w:ascii="Times New Roman" w:hAnsi="Times New Roman"/>
          <w:bCs/>
          <w:szCs w:val="24"/>
        </w:rPr>
        <w:t>. For any company, its cost of equity is always greater than its cost of debt because debt holders are</w:t>
      </w:r>
      <w:r w:rsidR="00A84633">
        <w:rPr>
          <w:rFonts w:ascii="Times New Roman" w:hAnsi="Times New Roman"/>
          <w:bCs/>
          <w:szCs w:val="24"/>
        </w:rPr>
        <w:t xml:space="preserve"> paid before equity investors.</w:t>
      </w:r>
    </w:p>
    <w:p w14:paraId="27D71B14" w14:textId="2788A90F" w:rsidR="00AA19FB" w:rsidRPr="006833CD" w:rsidRDefault="00AA19FB"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B55AC" w:rsidRPr="006833CD">
        <w:rPr>
          <w:rFonts w:ascii="Times New Roman" w:hAnsi="Times New Roman"/>
          <w:bCs/>
          <w:szCs w:val="24"/>
        </w:rPr>
        <w:t xml:space="preserve">Please summarize this </w:t>
      </w:r>
      <w:r w:rsidR="006C04B6" w:rsidRPr="006833CD">
        <w:rPr>
          <w:rFonts w:ascii="Times New Roman" w:hAnsi="Times New Roman"/>
          <w:bCs/>
          <w:szCs w:val="24"/>
        </w:rPr>
        <w:t>third critic</w:t>
      </w:r>
      <w:r w:rsidR="00A84633">
        <w:rPr>
          <w:rFonts w:ascii="Times New Roman" w:hAnsi="Times New Roman"/>
          <w:bCs/>
          <w:szCs w:val="24"/>
        </w:rPr>
        <w:t>ism of Mr.</w:t>
      </w:r>
      <w:r w:rsidR="0030288F">
        <w:rPr>
          <w:rFonts w:ascii="Times New Roman" w:hAnsi="Times New Roman"/>
          <w:bCs/>
          <w:szCs w:val="24"/>
        </w:rPr>
        <w:t> </w:t>
      </w:r>
      <w:r w:rsidR="00A84633">
        <w:rPr>
          <w:rFonts w:ascii="Times New Roman" w:hAnsi="Times New Roman"/>
          <w:bCs/>
          <w:szCs w:val="24"/>
        </w:rPr>
        <w:t>Hill’s methodology.</w:t>
      </w:r>
    </w:p>
    <w:p w14:paraId="02369B12" w14:textId="71E6BB98" w:rsidR="00AA19FB" w:rsidRPr="006833CD" w:rsidRDefault="008E50A1" w:rsidP="00097DC8">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B55AC" w:rsidRPr="006833CD">
        <w:rPr>
          <w:rFonts w:ascii="Times New Roman" w:hAnsi="Times New Roman"/>
          <w:bCs/>
          <w:szCs w:val="24"/>
        </w:rPr>
        <w:t xml:space="preserve">The point here is that the change in the shape of the distribution of net revenues as measured by the </w:t>
      </w:r>
      <w:r w:rsidR="00F86182" w:rsidRPr="006833CD">
        <w:rPr>
          <w:rFonts w:ascii="Times New Roman" w:hAnsi="Times New Roman"/>
          <w:bCs/>
          <w:szCs w:val="24"/>
        </w:rPr>
        <w:t>thi</w:t>
      </w:r>
      <w:r w:rsidR="000B55AC" w:rsidRPr="006833CD">
        <w:rPr>
          <w:rFonts w:ascii="Times New Roman" w:hAnsi="Times New Roman"/>
          <w:bCs/>
          <w:szCs w:val="24"/>
        </w:rPr>
        <w:t xml:space="preserve">rd standard deviation is not a measure of the cost of capital.  </w:t>
      </w:r>
      <w:r w:rsidR="002720B1" w:rsidRPr="006833CD">
        <w:rPr>
          <w:rFonts w:ascii="Times New Roman" w:hAnsi="Times New Roman"/>
          <w:bCs/>
          <w:szCs w:val="24"/>
        </w:rPr>
        <w:t>Faithful application of Mr.</w:t>
      </w:r>
      <w:r w:rsidR="00452383" w:rsidRPr="006833CD">
        <w:rPr>
          <w:rFonts w:ascii="Times New Roman" w:hAnsi="Times New Roman"/>
          <w:bCs/>
          <w:szCs w:val="24"/>
        </w:rPr>
        <w:t> </w:t>
      </w:r>
      <w:r w:rsidR="002720B1" w:rsidRPr="006833CD">
        <w:rPr>
          <w:rFonts w:ascii="Times New Roman" w:hAnsi="Times New Roman"/>
          <w:bCs/>
          <w:szCs w:val="24"/>
        </w:rPr>
        <w:t>Hill’s theory produces a nonsens</w:t>
      </w:r>
      <w:r w:rsidR="005D4735">
        <w:rPr>
          <w:rFonts w:ascii="Times New Roman" w:hAnsi="Times New Roman"/>
          <w:bCs/>
          <w:szCs w:val="24"/>
        </w:rPr>
        <w:t>ical</w:t>
      </w:r>
      <w:r w:rsidR="002720B1" w:rsidRPr="006833CD">
        <w:rPr>
          <w:rFonts w:ascii="Times New Roman" w:hAnsi="Times New Roman"/>
          <w:bCs/>
          <w:szCs w:val="24"/>
        </w:rPr>
        <w:t xml:space="preserve"> result of a cost of equity less than the cost of debt.  Moreover, t</w:t>
      </w:r>
      <w:r w:rsidR="000B55AC" w:rsidRPr="006833CD">
        <w:rPr>
          <w:rFonts w:ascii="Times New Roman" w:hAnsi="Times New Roman"/>
          <w:bCs/>
          <w:szCs w:val="24"/>
        </w:rPr>
        <w:t>he cost of capital is measured by the relationship between the return on an investment and the returns on the capital market.  A company’s total risk can be reduced through a reduction in diversifiable risk without affecting the systematic risk (i.e., the cost of capital) of the investment in any way.</w:t>
      </w:r>
    </w:p>
    <w:p w14:paraId="7E9E1B44" w14:textId="6333D803" w:rsidR="00210B80" w:rsidRPr="006833CD" w:rsidRDefault="00210B8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Is it possible to reduced volatility of revenues or market returns without reducing the cost of capital? </w:t>
      </w:r>
    </w:p>
    <w:p w14:paraId="1320C3AE" w14:textId="5DBDFC05" w:rsidR="00C91EFE" w:rsidRPr="006833CD" w:rsidRDefault="00AB7328" w:rsidP="00097DC8">
      <w:pPr>
        <w:pStyle w:val="answer"/>
        <w:rPr>
          <w:rFonts w:ascii="Times New Roman" w:hAnsi="Times New Roman"/>
          <w:bCs/>
          <w:szCs w:val="24"/>
        </w:rPr>
      </w:pPr>
      <w:r w:rsidRPr="006833CD">
        <w:rPr>
          <w:rFonts w:ascii="Times New Roman" w:hAnsi="Times New Roman"/>
          <w:bCs/>
          <w:szCs w:val="24"/>
        </w:rPr>
        <w:t>A.</w:t>
      </w:r>
      <w:r w:rsidR="00210B80" w:rsidRPr="006833CD">
        <w:rPr>
          <w:rFonts w:ascii="Times New Roman" w:hAnsi="Times New Roman"/>
          <w:bCs/>
          <w:szCs w:val="24"/>
        </w:rPr>
        <w:tab/>
        <w:t xml:space="preserve">Yes.  </w:t>
      </w:r>
      <w:r w:rsidR="008D055A" w:rsidRPr="006833CD">
        <w:rPr>
          <w:rFonts w:ascii="Times New Roman" w:hAnsi="Times New Roman"/>
          <w:bCs/>
          <w:szCs w:val="24"/>
        </w:rPr>
        <w:t xml:space="preserve">The assertion that a reduction in volatility, whether of revenues or of market returns, </w:t>
      </w:r>
      <w:r w:rsidR="008D055A" w:rsidRPr="006833CD">
        <w:rPr>
          <w:rFonts w:ascii="Times New Roman" w:hAnsi="Times New Roman"/>
          <w:szCs w:val="24"/>
        </w:rPr>
        <w:t>automatically</w:t>
      </w:r>
      <w:r w:rsidR="008D055A" w:rsidRPr="006833CD">
        <w:rPr>
          <w:rFonts w:ascii="Times New Roman" w:hAnsi="Times New Roman"/>
          <w:bCs/>
          <w:szCs w:val="24"/>
        </w:rPr>
        <w:t xml:space="preserve"> leads to a reduction in the cost of capital is directly rejected by portfolio theory for which Professor Harry Markowitz won the Nobel Prize in Economics in 1990.  His work showed that the total risk of a portfolio could be </w:t>
      </w:r>
      <w:r w:rsidR="008D055A" w:rsidRPr="006833CD">
        <w:rPr>
          <w:rFonts w:ascii="Times New Roman" w:hAnsi="Times New Roman"/>
          <w:bCs/>
          <w:szCs w:val="24"/>
        </w:rPr>
        <w:lastRenderedPageBreak/>
        <w:t>reduced without reducing the expected return</w:t>
      </w:r>
      <w:r w:rsidR="00097DC8" w:rsidRPr="006833CD">
        <w:rPr>
          <w:rFonts w:ascii="Times New Roman" w:hAnsi="Times New Roman"/>
          <w:bCs/>
          <w:szCs w:val="24"/>
        </w:rPr>
        <w:t xml:space="preserve"> (</w:t>
      </w:r>
      <w:r w:rsidR="008D055A" w:rsidRPr="006833CD">
        <w:rPr>
          <w:rFonts w:ascii="Times New Roman" w:hAnsi="Times New Roman"/>
          <w:bCs/>
          <w:szCs w:val="24"/>
        </w:rPr>
        <w:t>i.e., the cost of capital of the portfolio</w:t>
      </w:r>
      <w:r w:rsidR="00097DC8" w:rsidRPr="006833CD">
        <w:rPr>
          <w:rFonts w:ascii="Times New Roman" w:hAnsi="Times New Roman"/>
          <w:bCs/>
          <w:szCs w:val="24"/>
        </w:rPr>
        <w:t>)</w:t>
      </w:r>
      <w:r w:rsidR="008D055A" w:rsidRPr="006833CD">
        <w:rPr>
          <w:rFonts w:ascii="Times New Roman" w:hAnsi="Times New Roman"/>
          <w:bCs/>
          <w:szCs w:val="24"/>
        </w:rPr>
        <w:t>.  Portfolio theory recommends combining investments in a portfolio to reduce risk.  This topic is now standard in all textbooks on investing or corporate finance.</w:t>
      </w:r>
      <w:r w:rsidR="008D055A" w:rsidRPr="00A84633">
        <w:rPr>
          <w:rStyle w:val="FootnoteReference"/>
        </w:rPr>
        <w:footnoteReference w:id="77"/>
      </w:r>
      <w:r w:rsidR="008D055A" w:rsidRPr="006833CD">
        <w:rPr>
          <w:rFonts w:ascii="Times New Roman" w:hAnsi="Times New Roman"/>
          <w:bCs/>
          <w:szCs w:val="24"/>
        </w:rPr>
        <w:t xml:space="preserve"> </w:t>
      </w:r>
      <w:r w:rsidR="00097DC8" w:rsidRPr="006833CD">
        <w:rPr>
          <w:rFonts w:ascii="Times New Roman" w:hAnsi="Times New Roman"/>
          <w:bCs/>
          <w:szCs w:val="24"/>
        </w:rPr>
        <w:t xml:space="preserve"> </w:t>
      </w:r>
      <w:r w:rsidR="00C91EFE" w:rsidRPr="006833CD">
        <w:rPr>
          <w:rFonts w:ascii="Times New Roman" w:hAnsi="Times New Roman"/>
          <w:bCs/>
          <w:szCs w:val="24"/>
        </w:rPr>
        <w:t>Figure</w:t>
      </w:r>
      <w:r w:rsidR="00097DC8" w:rsidRPr="006833CD">
        <w:rPr>
          <w:rFonts w:ascii="Times New Roman" w:hAnsi="Times New Roman"/>
          <w:bCs/>
          <w:szCs w:val="24"/>
        </w:rPr>
        <w:t> 2</w:t>
      </w:r>
      <w:r w:rsidR="00C91EFE" w:rsidRPr="006833CD">
        <w:rPr>
          <w:rFonts w:ascii="Times New Roman" w:hAnsi="Times New Roman"/>
          <w:bCs/>
          <w:szCs w:val="24"/>
        </w:rPr>
        <w:t xml:space="preserve"> below is reproduced from Principles of Corporate Finance, </w:t>
      </w:r>
      <w:r w:rsidR="00D83B7D" w:rsidRPr="006833CD">
        <w:rPr>
          <w:rFonts w:ascii="Times New Roman" w:hAnsi="Times New Roman"/>
          <w:bCs/>
          <w:szCs w:val="24"/>
        </w:rPr>
        <w:t>10</w:t>
      </w:r>
      <w:r w:rsidR="00D83B7D" w:rsidRPr="006833CD">
        <w:rPr>
          <w:rFonts w:ascii="Times New Roman" w:hAnsi="Times New Roman"/>
          <w:bCs/>
          <w:szCs w:val="24"/>
          <w:vertAlign w:val="superscript"/>
        </w:rPr>
        <w:t>th</w:t>
      </w:r>
      <w:r w:rsidR="00D83B7D" w:rsidRPr="006833CD">
        <w:rPr>
          <w:rFonts w:ascii="Times New Roman" w:hAnsi="Times New Roman"/>
          <w:bCs/>
          <w:szCs w:val="24"/>
        </w:rPr>
        <w:t xml:space="preserve"> </w:t>
      </w:r>
      <w:r w:rsidR="00C91EFE" w:rsidRPr="006833CD">
        <w:rPr>
          <w:rFonts w:ascii="Times New Roman" w:hAnsi="Times New Roman"/>
          <w:bCs/>
          <w:szCs w:val="24"/>
        </w:rPr>
        <w:t xml:space="preserve">edition, by </w:t>
      </w:r>
      <w:proofErr w:type="spellStart"/>
      <w:r w:rsidR="00C91EFE" w:rsidRPr="006833CD">
        <w:rPr>
          <w:rFonts w:ascii="Times New Roman" w:hAnsi="Times New Roman"/>
          <w:bCs/>
          <w:szCs w:val="24"/>
        </w:rPr>
        <w:t>Brealey</w:t>
      </w:r>
      <w:proofErr w:type="spellEnd"/>
      <w:r w:rsidR="00C91EFE" w:rsidRPr="006833CD">
        <w:rPr>
          <w:rFonts w:ascii="Times New Roman" w:hAnsi="Times New Roman"/>
          <w:bCs/>
          <w:szCs w:val="24"/>
        </w:rPr>
        <w:t>, Myers and Allen.</w:t>
      </w:r>
      <w:r w:rsidR="00210B80" w:rsidRPr="00A84633">
        <w:rPr>
          <w:rStyle w:val="FootnoteReference"/>
        </w:rPr>
        <w:footnoteReference w:id="78"/>
      </w:r>
      <w:r w:rsidR="00C91EFE" w:rsidRPr="006833CD">
        <w:rPr>
          <w:rFonts w:ascii="Times New Roman" w:hAnsi="Times New Roman"/>
          <w:bCs/>
          <w:szCs w:val="24"/>
        </w:rPr>
        <w:t xml:space="preserve"> </w:t>
      </w:r>
      <w:r w:rsidR="00210B80" w:rsidRPr="006833CD">
        <w:rPr>
          <w:rFonts w:ascii="Times New Roman" w:hAnsi="Times New Roman"/>
          <w:bCs/>
          <w:szCs w:val="24"/>
        </w:rPr>
        <w:t xml:space="preserve"> </w:t>
      </w:r>
      <w:r w:rsidR="00C91EFE" w:rsidRPr="006833CD">
        <w:rPr>
          <w:rFonts w:ascii="Times New Roman" w:hAnsi="Times New Roman"/>
          <w:bCs/>
          <w:szCs w:val="24"/>
        </w:rPr>
        <w:t xml:space="preserve">It shows the effect of diversification on total risk. </w:t>
      </w:r>
      <w:r w:rsidR="00210B80" w:rsidRPr="006833CD">
        <w:rPr>
          <w:rFonts w:ascii="Times New Roman" w:hAnsi="Times New Roman"/>
          <w:bCs/>
          <w:szCs w:val="24"/>
        </w:rPr>
        <w:t xml:space="preserve"> </w:t>
      </w:r>
      <w:r w:rsidR="00C91EFE" w:rsidRPr="006833CD">
        <w:rPr>
          <w:rFonts w:ascii="Times New Roman" w:hAnsi="Times New Roman"/>
          <w:bCs/>
          <w:szCs w:val="24"/>
        </w:rPr>
        <w:t xml:space="preserve">As additional securities are added to a portfolio (horizontal axis), total risk (vertical axis) is reduced by the elimination of diversifiable risk.  In Figure 2, </w:t>
      </w:r>
      <w:proofErr w:type="spellStart"/>
      <w:r w:rsidR="00C91EFE" w:rsidRPr="006833CD">
        <w:rPr>
          <w:rFonts w:ascii="Times New Roman" w:hAnsi="Times New Roman"/>
          <w:bCs/>
          <w:szCs w:val="24"/>
        </w:rPr>
        <w:t>σ</w:t>
      </w:r>
      <w:r w:rsidR="00210B80" w:rsidRPr="006833CD">
        <w:rPr>
          <w:rFonts w:ascii="Times New Roman" w:hAnsi="Times New Roman"/>
          <w:bCs/>
          <w:szCs w:val="24"/>
          <w:vertAlign w:val="subscript"/>
        </w:rPr>
        <w:t>P</w:t>
      </w:r>
      <w:proofErr w:type="spellEnd"/>
      <w:r w:rsidR="00C91EFE" w:rsidRPr="006833CD">
        <w:rPr>
          <w:rFonts w:ascii="Times New Roman" w:hAnsi="Times New Roman"/>
          <w:bCs/>
          <w:szCs w:val="24"/>
        </w:rPr>
        <w:t xml:space="preserve"> represents the standard deviation of a portfolio with an average beta of 1.5, 1.0 or 0.5</w:t>
      </w:r>
      <w:r w:rsidR="00210B80" w:rsidRPr="006833CD">
        <w:rPr>
          <w:rFonts w:ascii="Times New Roman" w:hAnsi="Times New Roman"/>
          <w:bCs/>
          <w:szCs w:val="24"/>
        </w:rPr>
        <w:t>.  T</w:t>
      </w:r>
      <w:r w:rsidR="00C91EFE" w:rsidRPr="006833CD">
        <w:rPr>
          <w:rFonts w:ascii="Times New Roman" w:hAnsi="Times New Roman"/>
          <w:bCs/>
          <w:szCs w:val="24"/>
        </w:rPr>
        <w:t>he standard deviation of a portfolio with a beta of 1.0 is also the standard deviation of the market portfolio.  Note that in reducing the standard deviation of returns (i.e., total risk), the beta of the portfolio (and hence its cost of capital) did not change</w:t>
      </w:r>
      <w:r w:rsidR="00210B80" w:rsidRPr="006833CD">
        <w:rPr>
          <w:rFonts w:ascii="Times New Roman" w:hAnsi="Times New Roman"/>
          <w:bCs/>
          <w:szCs w:val="24"/>
        </w:rPr>
        <w:t xml:space="preserve"> because the beta of the portfolio does not change</w:t>
      </w:r>
      <w:r w:rsidR="00F86940" w:rsidRPr="006833CD">
        <w:rPr>
          <w:rFonts w:ascii="Times New Roman" w:hAnsi="Times New Roman"/>
          <w:bCs/>
          <w:szCs w:val="24"/>
        </w:rPr>
        <w:t>.</w:t>
      </w:r>
    </w:p>
    <w:p w14:paraId="50E6BC79" w14:textId="7022F839" w:rsidR="00F86940" w:rsidRPr="006833CD" w:rsidRDefault="00F86940" w:rsidP="00516C00">
      <w:pPr>
        <w:pStyle w:val="answer"/>
        <w:keepNext/>
        <w:keepLines/>
        <w:suppressLineNumbers/>
        <w:spacing w:after="0" w:line="240" w:lineRule="auto"/>
        <w:ind w:left="0" w:firstLine="0"/>
        <w:jc w:val="center"/>
        <w:rPr>
          <w:rFonts w:ascii="Times New Roman" w:eastAsia="SimSun" w:hAnsi="Times New Roman"/>
          <w:b/>
          <w:bCs/>
          <w:szCs w:val="24"/>
        </w:rPr>
      </w:pPr>
      <w:r w:rsidRPr="006833CD">
        <w:rPr>
          <w:rFonts w:ascii="Times New Roman" w:hAnsi="Times New Roman"/>
          <w:b/>
          <w:bCs/>
          <w:szCs w:val="24"/>
        </w:rPr>
        <w:lastRenderedPageBreak/>
        <w:t xml:space="preserve">Figure 2.  </w:t>
      </w:r>
      <w:r w:rsidR="00097DC8" w:rsidRPr="006833CD">
        <w:rPr>
          <w:rFonts w:ascii="Times New Roman" w:hAnsi="Times New Roman"/>
          <w:b/>
          <w:bCs/>
          <w:szCs w:val="24"/>
        </w:rPr>
        <w:t>Effect of Diversification on Total Risk</w:t>
      </w:r>
    </w:p>
    <w:p w14:paraId="6AFFA075" w14:textId="77777777" w:rsidR="00C91EFE" w:rsidRPr="006833CD" w:rsidRDefault="00C91EFE" w:rsidP="00516C00">
      <w:pPr>
        <w:pStyle w:val="BGNormal150"/>
        <w:keepNext/>
        <w:suppressLineNumbers/>
        <w:spacing w:before="0" w:after="360" w:line="240" w:lineRule="auto"/>
        <w:jc w:val="center"/>
        <w:rPr>
          <w:rFonts w:ascii="Times New Roman" w:eastAsia="Times New Roman" w:hAnsi="Times New Roman"/>
          <w:bCs/>
          <w:color w:val="auto"/>
          <w:sz w:val="24"/>
          <w:szCs w:val="24"/>
          <w:lang w:eastAsia="zh-CN"/>
        </w:rPr>
      </w:pPr>
      <w:r w:rsidRPr="006833CD">
        <w:rPr>
          <w:rFonts w:ascii="Times New Roman" w:hAnsi="Times New Roman"/>
          <w:noProof/>
          <w:sz w:val="24"/>
          <w:szCs w:val="24"/>
          <w:bdr w:val="single" w:sz="12" w:space="0" w:color="auto" w:shadow="1"/>
        </w:rPr>
        <w:drawing>
          <wp:inline distT="0" distB="0" distL="0" distR="0" wp14:anchorId="5277477C" wp14:editId="45ECDFCF">
            <wp:extent cx="5514975" cy="2971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4975" cy="2971903"/>
                    </a:xfrm>
                    <a:prstGeom prst="rect">
                      <a:avLst/>
                    </a:prstGeom>
                    <a:noFill/>
                    <a:ln>
                      <a:noFill/>
                    </a:ln>
                  </pic:spPr>
                </pic:pic>
              </a:graphicData>
            </a:graphic>
          </wp:inline>
        </w:drawing>
      </w:r>
    </w:p>
    <w:p w14:paraId="5D0ABA86" w14:textId="38F6E941" w:rsidR="00C91EFE" w:rsidRPr="006833CD" w:rsidRDefault="002720B1" w:rsidP="004E7241">
      <w:pPr>
        <w:pStyle w:val="question"/>
        <w:spacing w:before="120"/>
        <w:ind w:firstLine="0"/>
        <w:rPr>
          <w:rFonts w:ascii="Times New Roman" w:hAnsi="Times New Roman"/>
          <w:b w:val="0"/>
          <w:bCs/>
          <w:szCs w:val="24"/>
        </w:rPr>
      </w:pPr>
      <w:r w:rsidRPr="006833CD">
        <w:rPr>
          <w:rFonts w:ascii="Times New Roman" w:hAnsi="Times New Roman"/>
          <w:b w:val="0"/>
          <w:bCs/>
          <w:szCs w:val="24"/>
        </w:rPr>
        <w:t>Portfolio theory directly contradicts Mr.</w:t>
      </w:r>
      <w:r w:rsidR="00452383" w:rsidRPr="006833CD">
        <w:rPr>
          <w:rFonts w:ascii="Times New Roman" w:hAnsi="Times New Roman"/>
          <w:b w:val="0"/>
          <w:bCs/>
          <w:szCs w:val="24"/>
        </w:rPr>
        <w:t> </w:t>
      </w:r>
      <w:r w:rsidRPr="006833CD">
        <w:rPr>
          <w:rFonts w:ascii="Times New Roman" w:hAnsi="Times New Roman"/>
          <w:b w:val="0"/>
          <w:bCs/>
          <w:szCs w:val="24"/>
        </w:rPr>
        <w:t xml:space="preserve">Hill’s </w:t>
      </w:r>
      <w:r w:rsidR="00C91EFE" w:rsidRPr="006833CD">
        <w:rPr>
          <w:rFonts w:ascii="Times New Roman" w:hAnsi="Times New Roman"/>
          <w:b w:val="0"/>
          <w:bCs/>
          <w:szCs w:val="24"/>
        </w:rPr>
        <w:t>assertion</w:t>
      </w:r>
      <w:r w:rsidR="00984259" w:rsidRPr="00A84633">
        <w:rPr>
          <w:rStyle w:val="FootnoteReference"/>
          <w:b w:val="0"/>
        </w:rPr>
        <w:footnoteReference w:id="79"/>
      </w:r>
      <w:r w:rsidR="00C91EFE" w:rsidRPr="006833CD">
        <w:rPr>
          <w:rFonts w:ascii="Times New Roman" w:hAnsi="Times New Roman"/>
          <w:b w:val="0"/>
          <w:bCs/>
          <w:szCs w:val="24"/>
        </w:rPr>
        <w:t xml:space="preserve"> </w:t>
      </w:r>
      <w:r w:rsidRPr="006833CD">
        <w:rPr>
          <w:rFonts w:ascii="Times New Roman" w:hAnsi="Times New Roman"/>
          <w:b w:val="0"/>
          <w:bCs/>
          <w:szCs w:val="24"/>
        </w:rPr>
        <w:t xml:space="preserve">that </w:t>
      </w:r>
      <w:r w:rsidR="00C91EFE" w:rsidRPr="006833CD">
        <w:rPr>
          <w:rFonts w:ascii="Times New Roman" w:hAnsi="Times New Roman"/>
          <w:b w:val="0"/>
          <w:bCs/>
          <w:szCs w:val="24"/>
        </w:rPr>
        <w:t xml:space="preserve">an investor would be indifferent to a reduction in expected </w:t>
      </w:r>
      <w:r w:rsidR="00F86940" w:rsidRPr="006833CD">
        <w:rPr>
          <w:rFonts w:ascii="Times New Roman" w:hAnsi="Times New Roman"/>
          <w:b w:val="0"/>
          <w:bCs/>
          <w:szCs w:val="24"/>
        </w:rPr>
        <w:t>return on equity</w:t>
      </w:r>
      <w:r w:rsidR="004A3B70" w:rsidRPr="006833CD">
        <w:rPr>
          <w:rFonts w:ascii="Times New Roman" w:hAnsi="Times New Roman"/>
          <w:b w:val="0"/>
          <w:bCs/>
          <w:szCs w:val="24"/>
        </w:rPr>
        <w:t xml:space="preserve"> </w:t>
      </w:r>
      <w:r w:rsidRPr="006833CD">
        <w:rPr>
          <w:rFonts w:ascii="Times New Roman" w:hAnsi="Times New Roman"/>
          <w:b w:val="0"/>
          <w:bCs/>
          <w:szCs w:val="24"/>
        </w:rPr>
        <w:t xml:space="preserve">if in exchange the </w:t>
      </w:r>
      <w:r w:rsidR="00C91EFE" w:rsidRPr="006833CD">
        <w:rPr>
          <w:rFonts w:ascii="Times New Roman" w:hAnsi="Times New Roman"/>
          <w:b w:val="0"/>
          <w:bCs/>
          <w:szCs w:val="24"/>
        </w:rPr>
        <w:t xml:space="preserve">volatility of revenues </w:t>
      </w:r>
      <w:r w:rsidRPr="006833CD">
        <w:rPr>
          <w:rFonts w:ascii="Times New Roman" w:hAnsi="Times New Roman"/>
          <w:b w:val="0"/>
          <w:bCs/>
          <w:szCs w:val="24"/>
        </w:rPr>
        <w:t>were reduced.  As Mr.</w:t>
      </w:r>
      <w:r w:rsidR="00452383" w:rsidRPr="006833CD">
        <w:rPr>
          <w:rFonts w:ascii="Times New Roman" w:hAnsi="Times New Roman"/>
          <w:b w:val="0"/>
          <w:bCs/>
          <w:szCs w:val="24"/>
        </w:rPr>
        <w:t> </w:t>
      </w:r>
      <w:r w:rsidRPr="006833CD">
        <w:rPr>
          <w:rFonts w:ascii="Times New Roman" w:hAnsi="Times New Roman"/>
          <w:b w:val="0"/>
          <w:bCs/>
          <w:szCs w:val="24"/>
        </w:rPr>
        <w:t>Hill notes,</w:t>
      </w:r>
      <w:r w:rsidR="004E7241" w:rsidRPr="00A84633">
        <w:rPr>
          <w:rStyle w:val="FootnoteReference"/>
          <w:b w:val="0"/>
        </w:rPr>
        <w:footnoteReference w:id="80"/>
      </w:r>
      <w:r w:rsidRPr="006833CD">
        <w:rPr>
          <w:rFonts w:ascii="Times New Roman" w:hAnsi="Times New Roman"/>
          <w:b w:val="0"/>
          <w:bCs/>
          <w:szCs w:val="24"/>
        </w:rPr>
        <w:t xml:space="preserve"> investors care about systematic risk, so only if the reduction in volatility of revenues somehow translated into a reduction in systematic risk, would an investor expected a lower cost of capital.  </w:t>
      </w:r>
      <w:r w:rsidR="0018267F" w:rsidRPr="006833CD">
        <w:rPr>
          <w:rFonts w:ascii="Times New Roman" w:hAnsi="Times New Roman"/>
          <w:b w:val="0"/>
          <w:bCs/>
          <w:szCs w:val="24"/>
        </w:rPr>
        <w:t>Mr.</w:t>
      </w:r>
      <w:r w:rsidR="00452383" w:rsidRPr="006833CD">
        <w:rPr>
          <w:rFonts w:ascii="Times New Roman" w:hAnsi="Times New Roman"/>
          <w:b w:val="0"/>
          <w:bCs/>
          <w:szCs w:val="24"/>
        </w:rPr>
        <w:t> </w:t>
      </w:r>
      <w:r w:rsidR="0018267F" w:rsidRPr="006833CD">
        <w:rPr>
          <w:rFonts w:ascii="Times New Roman" w:hAnsi="Times New Roman"/>
          <w:b w:val="0"/>
          <w:bCs/>
          <w:szCs w:val="24"/>
        </w:rPr>
        <w:t xml:space="preserve">Hill has </w:t>
      </w:r>
      <w:r w:rsidR="0018267F" w:rsidRPr="006833CD">
        <w:rPr>
          <w:rFonts w:ascii="Times New Roman" w:hAnsi="Times New Roman"/>
          <w:b w:val="0"/>
          <w:bCs/>
          <w:i/>
          <w:szCs w:val="24"/>
        </w:rPr>
        <w:t>not</w:t>
      </w:r>
      <w:r w:rsidR="0018267F" w:rsidRPr="006833CD">
        <w:rPr>
          <w:rFonts w:ascii="Times New Roman" w:hAnsi="Times New Roman"/>
          <w:b w:val="0"/>
          <w:bCs/>
          <w:szCs w:val="24"/>
        </w:rPr>
        <w:t xml:space="preserve"> demonstrated any link between reduced volatility of</w:t>
      </w:r>
      <w:r w:rsidR="00616BA1" w:rsidRPr="006833CD">
        <w:rPr>
          <w:rFonts w:ascii="Times New Roman" w:hAnsi="Times New Roman"/>
          <w:b w:val="0"/>
          <w:bCs/>
          <w:szCs w:val="24"/>
        </w:rPr>
        <w:t xml:space="preserve"> revenues and systematic risk.</w:t>
      </w:r>
    </w:p>
    <w:p w14:paraId="65C199C8" w14:textId="73A3C571" w:rsidR="000B55AC" w:rsidRPr="006833CD" w:rsidRDefault="00616BA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Is</w:t>
      </w:r>
      <w:r w:rsidR="000B55AC" w:rsidRPr="006833CD">
        <w:rPr>
          <w:rFonts w:ascii="Times New Roman" w:hAnsi="Times New Roman"/>
          <w:bCs/>
          <w:szCs w:val="24"/>
        </w:rPr>
        <w:t xml:space="preserve"> </w:t>
      </w:r>
      <w:r w:rsidR="0018267F" w:rsidRPr="006833CD">
        <w:rPr>
          <w:rFonts w:ascii="Times New Roman" w:hAnsi="Times New Roman"/>
          <w:bCs/>
          <w:szCs w:val="24"/>
        </w:rPr>
        <w:t xml:space="preserve">there </w:t>
      </w:r>
      <w:r w:rsidR="000B55AC" w:rsidRPr="006833CD">
        <w:rPr>
          <w:rFonts w:ascii="Times New Roman" w:hAnsi="Times New Roman"/>
          <w:bCs/>
          <w:szCs w:val="24"/>
        </w:rPr>
        <w:t xml:space="preserve">a contradiction between the reduction in volatility </w:t>
      </w:r>
      <w:r w:rsidR="0018267F" w:rsidRPr="006833CD">
        <w:rPr>
          <w:rFonts w:ascii="Times New Roman" w:hAnsi="Times New Roman"/>
          <w:bCs/>
          <w:szCs w:val="24"/>
        </w:rPr>
        <w:t xml:space="preserve">of revenues </w:t>
      </w:r>
      <w:r w:rsidR="000B55AC" w:rsidRPr="006833CD">
        <w:rPr>
          <w:rFonts w:ascii="Times New Roman" w:hAnsi="Times New Roman"/>
          <w:bCs/>
          <w:szCs w:val="24"/>
        </w:rPr>
        <w:t>f</w:t>
      </w:r>
      <w:r w:rsidR="0018267F" w:rsidRPr="006833CD">
        <w:rPr>
          <w:rFonts w:ascii="Times New Roman" w:hAnsi="Times New Roman"/>
          <w:bCs/>
          <w:szCs w:val="24"/>
        </w:rPr>
        <w:t xml:space="preserve">rom </w:t>
      </w:r>
      <w:r w:rsidR="000B55AC" w:rsidRPr="006833CD">
        <w:rPr>
          <w:rFonts w:ascii="Times New Roman" w:hAnsi="Times New Roman"/>
          <w:bCs/>
          <w:szCs w:val="24"/>
        </w:rPr>
        <w:t>decoupling and no reduction in the cost of capital as a result?</w:t>
      </w:r>
    </w:p>
    <w:p w14:paraId="568CB489" w14:textId="64F86C89" w:rsidR="00F224C4" w:rsidRPr="006833CD" w:rsidRDefault="008E50A1" w:rsidP="004E7241">
      <w:pPr>
        <w:pStyle w:val="answer"/>
        <w:spacing w:after="0"/>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B55AC" w:rsidRPr="006833CD">
        <w:rPr>
          <w:rFonts w:ascii="Times New Roman" w:hAnsi="Times New Roman"/>
          <w:bCs/>
          <w:szCs w:val="24"/>
        </w:rPr>
        <w:t>No</w:t>
      </w:r>
      <w:r w:rsidR="004E7241" w:rsidRPr="006833CD">
        <w:rPr>
          <w:rFonts w:ascii="Times New Roman" w:hAnsi="Times New Roman"/>
          <w:bCs/>
          <w:szCs w:val="24"/>
        </w:rPr>
        <w:t xml:space="preserve">.  There is no contradiction between the reduction in volatility of revenues from decoupling and no reduction in the cost of capital as a result </w:t>
      </w:r>
      <w:r w:rsidR="00F224C4" w:rsidRPr="006833CD">
        <w:rPr>
          <w:rFonts w:ascii="Times New Roman" w:hAnsi="Times New Roman"/>
          <w:bCs/>
          <w:szCs w:val="24"/>
        </w:rPr>
        <w:t>because</w:t>
      </w:r>
      <w:r w:rsidR="00C91EFE" w:rsidRPr="006833CD">
        <w:rPr>
          <w:rFonts w:ascii="Times New Roman" w:hAnsi="Times New Roman"/>
          <w:bCs/>
          <w:szCs w:val="24"/>
        </w:rPr>
        <w:t xml:space="preserve"> a</w:t>
      </w:r>
      <w:r w:rsidR="0018267F" w:rsidRPr="006833CD">
        <w:rPr>
          <w:rFonts w:ascii="Times New Roman" w:hAnsi="Times New Roman"/>
          <w:bCs/>
          <w:szCs w:val="24"/>
        </w:rPr>
        <w:t>ny</w:t>
      </w:r>
      <w:r w:rsidR="00C91EFE" w:rsidRPr="006833CD">
        <w:rPr>
          <w:rFonts w:ascii="Times New Roman" w:hAnsi="Times New Roman"/>
          <w:bCs/>
          <w:szCs w:val="24"/>
        </w:rPr>
        <w:t xml:space="preserve"> </w:t>
      </w:r>
      <w:r w:rsidR="00C91EFE" w:rsidRPr="006833CD">
        <w:rPr>
          <w:rFonts w:ascii="Times New Roman" w:hAnsi="Times New Roman"/>
          <w:bCs/>
          <w:szCs w:val="24"/>
        </w:rPr>
        <w:lastRenderedPageBreak/>
        <w:t>reduction in the cost of capital depends critically on the type of risk that is reduced.  Financial theory holds that reducing the cost of capital depends upon reducing systematic risk.</w:t>
      </w:r>
      <w:r w:rsidR="000B55AC" w:rsidRPr="00A84633">
        <w:rPr>
          <w:rStyle w:val="FootnoteReference"/>
        </w:rPr>
        <w:footnoteReference w:id="81"/>
      </w:r>
      <w:r w:rsidR="00C91EFE" w:rsidRPr="006833CD">
        <w:rPr>
          <w:rFonts w:ascii="Times New Roman" w:hAnsi="Times New Roman"/>
          <w:bCs/>
          <w:szCs w:val="24"/>
        </w:rPr>
        <w:t xml:space="preserve">  If </w:t>
      </w:r>
      <w:r w:rsidR="00F224C4" w:rsidRPr="006833CD">
        <w:rPr>
          <w:rFonts w:ascii="Times New Roman" w:hAnsi="Times New Roman"/>
          <w:bCs/>
          <w:szCs w:val="24"/>
        </w:rPr>
        <w:t xml:space="preserve">some or most of </w:t>
      </w:r>
      <w:r w:rsidR="00C91EFE" w:rsidRPr="006833CD">
        <w:rPr>
          <w:rFonts w:ascii="Times New Roman" w:hAnsi="Times New Roman"/>
          <w:bCs/>
          <w:szCs w:val="24"/>
        </w:rPr>
        <w:t xml:space="preserve">the risk reduced by decoupling is diversifiable risk, there would be </w:t>
      </w:r>
      <w:r w:rsidR="00F224C4" w:rsidRPr="006833CD">
        <w:rPr>
          <w:rFonts w:ascii="Times New Roman" w:hAnsi="Times New Roman"/>
          <w:bCs/>
          <w:szCs w:val="24"/>
        </w:rPr>
        <w:t xml:space="preserve">little or </w:t>
      </w:r>
      <w:r w:rsidR="00C91EFE" w:rsidRPr="006833CD">
        <w:rPr>
          <w:rFonts w:ascii="Times New Roman" w:hAnsi="Times New Roman"/>
          <w:bCs/>
          <w:szCs w:val="24"/>
        </w:rPr>
        <w:t xml:space="preserve">no reduction in the cost of capital even though total risk has been reduced.  On the other hand, if decoupling simply offsets the increased systematic risk from policies encouraging energy conservation and renewable energy integration, there would be no measureable effect on the cost of capital, either. </w:t>
      </w:r>
      <w:r w:rsidR="00F224C4" w:rsidRPr="006833CD">
        <w:rPr>
          <w:rFonts w:ascii="Times New Roman" w:hAnsi="Times New Roman"/>
          <w:bCs/>
          <w:szCs w:val="24"/>
        </w:rPr>
        <w:t xml:space="preserve"> </w:t>
      </w:r>
      <w:r w:rsidR="005F2CB3" w:rsidRPr="006833CD">
        <w:rPr>
          <w:rFonts w:ascii="Times New Roman" w:hAnsi="Times New Roman"/>
          <w:bCs/>
          <w:szCs w:val="24"/>
        </w:rPr>
        <w:t>Although Order 0</w:t>
      </w:r>
      <w:r w:rsidR="00CC0038" w:rsidRPr="006833CD">
        <w:rPr>
          <w:rFonts w:ascii="Times New Roman" w:hAnsi="Times New Roman"/>
          <w:bCs/>
          <w:szCs w:val="24"/>
        </w:rPr>
        <w:t>7</w:t>
      </w:r>
      <w:r w:rsidR="005F2CB3" w:rsidRPr="006833CD">
        <w:rPr>
          <w:rFonts w:ascii="Times New Roman" w:hAnsi="Times New Roman"/>
          <w:bCs/>
          <w:szCs w:val="24"/>
        </w:rPr>
        <w:t xml:space="preserve"> in this proceeding</w:t>
      </w:r>
      <w:r w:rsidR="005F2CB3" w:rsidRPr="00A84633">
        <w:rPr>
          <w:rStyle w:val="FootnoteReference"/>
        </w:rPr>
        <w:footnoteReference w:id="82"/>
      </w:r>
      <w:r w:rsidR="005F2CB3" w:rsidRPr="006833CD">
        <w:rPr>
          <w:rFonts w:ascii="Times New Roman" w:hAnsi="Times New Roman"/>
          <w:bCs/>
          <w:szCs w:val="24"/>
        </w:rPr>
        <w:t xml:space="preserve"> </w:t>
      </w:r>
      <w:r w:rsidR="00CC0038" w:rsidRPr="006833CD">
        <w:rPr>
          <w:rFonts w:ascii="Times New Roman" w:hAnsi="Times New Roman"/>
          <w:bCs/>
          <w:szCs w:val="24"/>
        </w:rPr>
        <w:t xml:space="preserve">does not have a </w:t>
      </w:r>
      <w:r w:rsidR="00F224C4" w:rsidRPr="006833CD">
        <w:rPr>
          <w:rFonts w:ascii="Times New Roman" w:hAnsi="Times New Roman"/>
          <w:bCs/>
          <w:szCs w:val="24"/>
        </w:rPr>
        <w:t xml:space="preserve">discussion of risk </w:t>
      </w:r>
      <w:r w:rsidR="00CC0038" w:rsidRPr="006833CD">
        <w:rPr>
          <w:rFonts w:ascii="Times New Roman" w:hAnsi="Times New Roman"/>
          <w:bCs/>
          <w:szCs w:val="24"/>
        </w:rPr>
        <w:t xml:space="preserve">similar to mine, </w:t>
      </w:r>
      <w:r w:rsidR="0018267F" w:rsidRPr="006833CD">
        <w:rPr>
          <w:rFonts w:ascii="Times New Roman" w:hAnsi="Times New Roman"/>
          <w:bCs/>
          <w:szCs w:val="24"/>
        </w:rPr>
        <w:t xml:space="preserve">the </w:t>
      </w:r>
      <w:r w:rsidR="00F224C4" w:rsidRPr="006833CD">
        <w:rPr>
          <w:rFonts w:ascii="Times New Roman" w:hAnsi="Times New Roman"/>
          <w:bCs/>
          <w:szCs w:val="24"/>
        </w:rPr>
        <w:t>Commission states the purposes of decoupling in a way consistent</w:t>
      </w:r>
      <w:r w:rsidR="000F2D2B" w:rsidRPr="006833CD">
        <w:rPr>
          <w:rFonts w:ascii="Times New Roman" w:hAnsi="Times New Roman"/>
          <w:bCs/>
          <w:szCs w:val="24"/>
        </w:rPr>
        <w:t xml:space="preserve"> with my statements here:</w:t>
      </w:r>
    </w:p>
    <w:p w14:paraId="0B20CB70" w14:textId="5749A5CC" w:rsidR="00CC0038" w:rsidRPr="006833CD" w:rsidRDefault="00CC0038" w:rsidP="005F2CB3">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i/>
          <w:szCs w:val="24"/>
        </w:rPr>
        <w:t>The decoupling mechanisms we approve mean that PSE’s recovery of the fixed costs it incurs for infrastructure and operations necessary to deliver power and natural gas will no longer depend on the amounts of electricity and natural gas the company sells.  This removes the so-called throughput incentive, thus promoting PSE’s more aggressive pursuit of cost-effective conservation to which it commits as part of the decoupling mechanisms.  With the throughput incentive eliminated, the company will be indifferent to the loss of sales as the result of the success of its conservation efforts</w:t>
      </w:r>
      <w:r w:rsidRPr="006833CD">
        <w:rPr>
          <w:rFonts w:ascii="Times New Roman" w:hAnsi="Times New Roman"/>
          <w:bCs/>
          <w:szCs w:val="24"/>
        </w:rPr>
        <w:t>.</w:t>
      </w:r>
      <w:r w:rsidR="0018267F" w:rsidRPr="00A84633">
        <w:rPr>
          <w:rStyle w:val="FootnoteReference"/>
        </w:rPr>
        <w:footnoteReference w:id="83"/>
      </w:r>
    </w:p>
    <w:p w14:paraId="129E4009" w14:textId="34138860" w:rsidR="000B55AC" w:rsidRPr="006833CD" w:rsidRDefault="000B55AC"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Please summarize your review of Mr.</w:t>
      </w:r>
      <w:r w:rsidR="00452383" w:rsidRPr="006833CD">
        <w:rPr>
          <w:rFonts w:ascii="Times New Roman" w:hAnsi="Times New Roman"/>
          <w:bCs/>
          <w:szCs w:val="24"/>
        </w:rPr>
        <w:t> </w:t>
      </w:r>
      <w:r w:rsidRPr="006833CD">
        <w:rPr>
          <w:rFonts w:ascii="Times New Roman" w:hAnsi="Times New Roman"/>
          <w:bCs/>
          <w:szCs w:val="24"/>
        </w:rPr>
        <w:t xml:space="preserve">Hill’s decoupling study. </w:t>
      </w:r>
    </w:p>
    <w:p w14:paraId="7ED9FD47" w14:textId="10DB7195" w:rsidR="00C91EFE" w:rsidRPr="006833CD" w:rsidRDefault="00AB7328" w:rsidP="000F2D2B">
      <w:pPr>
        <w:pStyle w:val="answer"/>
        <w:rPr>
          <w:rFonts w:ascii="Times New Roman" w:hAnsi="Times New Roman"/>
          <w:bCs/>
          <w:szCs w:val="24"/>
        </w:rPr>
      </w:pPr>
      <w:r w:rsidRPr="006833CD">
        <w:rPr>
          <w:rFonts w:ascii="Times New Roman" w:hAnsi="Times New Roman"/>
          <w:bCs/>
          <w:szCs w:val="24"/>
        </w:rPr>
        <w:t>A.</w:t>
      </w:r>
      <w:r w:rsidR="000B55AC" w:rsidRPr="006833CD">
        <w:rPr>
          <w:rFonts w:ascii="Times New Roman" w:hAnsi="Times New Roman"/>
          <w:bCs/>
          <w:szCs w:val="24"/>
        </w:rPr>
        <w:tab/>
      </w:r>
      <w:r w:rsidR="00C91EFE" w:rsidRPr="006833CD">
        <w:rPr>
          <w:rFonts w:ascii="Times New Roman" w:hAnsi="Times New Roman"/>
          <w:bCs/>
          <w:szCs w:val="24"/>
        </w:rPr>
        <w:t>Mr.</w:t>
      </w:r>
      <w:r w:rsidR="00452383" w:rsidRPr="006833CD">
        <w:rPr>
          <w:rFonts w:ascii="Times New Roman" w:hAnsi="Times New Roman"/>
          <w:bCs/>
          <w:szCs w:val="24"/>
        </w:rPr>
        <w:t> </w:t>
      </w:r>
      <w:r w:rsidR="00C91EFE" w:rsidRPr="006833CD">
        <w:rPr>
          <w:rFonts w:ascii="Times New Roman" w:hAnsi="Times New Roman"/>
          <w:bCs/>
          <w:szCs w:val="24"/>
        </w:rPr>
        <w:t>Hill</w:t>
      </w:r>
      <w:r w:rsidR="0018267F" w:rsidRPr="006833CD">
        <w:rPr>
          <w:rFonts w:ascii="Times New Roman" w:hAnsi="Times New Roman"/>
          <w:bCs/>
          <w:szCs w:val="24"/>
        </w:rPr>
        <w:t>’s decoupling study should be rejected entirely.  He</w:t>
      </w:r>
      <w:r w:rsidR="00C91EFE" w:rsidRPr="006833CD">
        <w:rPr>
          <w:rFonts w:ascii="Times New Roman" w:hAnsi="Times New Roman"/>
          <w:bCs/>
          <w:szCs w:val="24"/>
        </w:rPr>
        <w:t xml:space="preserve"> asserts but does not demonstrate in any way that the </w:t>
      </w:r>
      <w:r w:rsidR="0018267F" w:rsidRPr="006833CD">
        <w:rPr>
          <w:rFonts w:ascii="Times New Roman" w:hAnsi="Times New Roman"/>
          <w:bCs/>
          <w:szCs w:val="24"/>
        </w:rPr>
        <w:t xml:space="preserve">reduction in </w:t>
      </w:r>
      <w:r w:rsidR="00C91EFE" w:rsidRPr="006833CD">
        <w:rPr>
          <w:rFonts w:ascii="Times New Roman" w:hAnsi="Times New Roman"/>
          <w:bCs/>
          <w:szCs w:val="24"/>
        </w:rPr>
        <w:t xml:space="preserve">volatility </w:t>
      </w:r>
      <w:r w:rsidR="0018267F" w:rsidRPr="006833CD">
        <w:rPr>
          <w:rFonts w:ascii="Times New Roman" w:hAnsi="Times New Roman"/>
          <w:bCs/>
          <w:szCs w:val="24"/>
        </w:rPr>
        <w:t xml:space="preserve">in revenues is related to </w:t>
      </w:r>
      <w:r w:rsidR="00C91EFE" w:rsidRPr="006833CD">
        <w:rPr>
          <w:rFonts w:ascii="Times New Roman" w:hAnsi="Times New Roman"/>
          <w:bCs/>
          <w:szCs w:val="24"/>
        </w:rPr>
        <w:t xml:space="preserve">the </w:t>
      </w:r>
      <w:r w:rsidR="00C91EFE" w:rsidRPr="006833CD">
        <w:rPr>
          <w:rFonts w:ascii="Times New Roman" w:hAnsi="Times New Roman"/>
          <w:bCs/>
          <w:szCs w:val="24"/>
        </w:rPr>
        <w:lastRenderedPageBreak/>
        <w:t>cost of capital. This is the critical ass</w:t>
      </w:r>
      <w:r w:rsidR="0018267F" w:rsidRPr="006833CD">
        <w:rPr>
          <w:rFonts w:ascii="Times New Roman" w:hAnsi="Times New Roman"/>
          <w:bCs/>
          <w:szCs w:val="24"/>
        </w:rPr>
        <w:t>umption in Mr.</w:t>
      </w:r>
      <w:r w:rsidR="00452383" w:rsidRPr="006833CD">
        <w:rPr>
          <w:rFonts w:ascii="Times New Roman" w:hAnsi="Times New Roman"/>
          <w:bCs/>
          <w:szCs w:val="24"/>
        </w:rPr>
        <w:t> </w:t>
      </w:r>
      <w:r w:rsidR="0018267F" w:rsidRPr="006833CD">
        <w:rPr>
          <w:rFonts w:ascii="Times New Roman" w:hAnsi="Times New Roman"/>
          <w:bCs/>
          <w:szCs w:val="24"/>
        </w:rPr>
        <w:t xml:space="preserve">Hill’s testimony; there is no proof of a reduction or even a direct link to the cost of capital.  Using that assumption, he </w:t>
      </w:r>
      <w:r w:rsidR="00C91EFE" w:rsidRPr="006833CD">
        <w:rPr>
          <w:rFonts w:ascii="Times New Roman" w:hAnsi="Times New Roman"/>
          <w:bCs/>
          <w:szCs w:val="24"/>
        </w:rPr>
        <w:t>calculates a</w:t>
      </w:r>
      <w:r w:rsidR="0018267F" w:rsidRPr="006833CD">
        <w:rPr>
          <w:rFonts w:ascii="Times New Roman" w:hAnsi="Times New Roman"/>
          <w:bCs/>
          <w:szCs w:val="24"/>
        </w:rPr>
        <w:t xml:space="preserve">n assumed effect on the </w:t>
      </w:r>
      <w:r w:rsidR="00F86940" w:rsidRPr="006833CD">
        <w:rPr>
          <w:rFonts w:ascii="Times New Roman" w:hAnsi="Times New Roman"/>
          <w:bCs/>
          <w:szCs w:val="24"/>
        </w:rPr>
        <w:t>return on equity</w:t>
      </w:r>
      <w:r w:rsidR="003F6427" w:rsidRPr="006833CD">
        <w:rPr>
          <w:rFonts w:ascii="Times New Roman" w:hAnsi="Times New Roman"/>
          <w:bCs/>
          <w:szCs w:val="24"/>
        </w:rPr>
        <w:t>.  The size of Mr.</w:t>
      </w:r>
      <w:r w:rsidR="00452383" w:rsidRPr="006833CD">
        <w:rPr>
          <w:rFonts w:ascii="Times New Roman" w:hAnsi="Times New Roman"/>
          <w:bCs/>
          <w:szCs w:val="24"/>
        </w:rPr>
        <w:t> </w:t>
      </w:r>
      <w:r w:rsidR="003F6427" w:rsidRPr="006833CD">
        <w:rPr>
          <w:rFonts w:ascii="Times New Roman" w:hAnsi="Times New Roman"/>
          <w:bCs/>
          <w:szCs w:val="24"/>
        </w:rPr>
        <w:t xml:space="preserve">Hill’s </w:t>
      </w:r>
      <w:r w:rsidR="00F86940" w:rsidRPr="006833CD">
        <w:rPr>
          <w:rFonts w:ascii="Times New Roman" w:hAnsi="Times New Roman"/>
          <w:bCs/>
          <w:szCs w:val="24"/>
        </w:rPr>
        <w:t>return on equity</w:t>
      </w:r>
      <w:r w:rsidR="003F6427" w:rsidRPr="006833CD">
        <w:rPr>
          <w:rFonts w:ascii="Times New Roman" w:hAnsi="Times New Roman"/>
          <w:bCs/>
          <w:szCs w:val="24"/>
        </w:rPr>
        <w:t xml:space="preserve"> adjustment depends entirely upon two unproven assumptions: first, he assumes decoupling reduces the volatility of PSE’s revenues by 35</w:t>
      </w:r>
      <w:r w:rsidR="000F2D2B" w:rsidRPr="006833CD">
        <w:rPr>
          <w:rFonts w:ascii="Times New Roman" w:hAnsi="Times New Roman"/>
          <w:bCs/>
          <w:szCs w:val="24"/>
        </w:rPr>
        <w:t> </w:t>
      </w:r>
      <w:r w:rsidR="003F6427" w:rsidRPr="006833CD">
        <w:rPr>
          <w:rFonts w:ascii="Times New Roman" w:hAnsi="Times New Roman"/>
          <w:bCs/>
          <w:szCs w:val="24"/>
        </w:rPr>
        <w:t xml:space="preserve">percent, and second, he assumes that somehow (completely unexplained) that the effect on the </w:t>
      </w:r>
      <w:r w:rsidR="00F86940" w:rsidRPr="006833CD">
        <w:rPr>
          <w:rFonts w:ascii="Times New Roman" w:hAnsi="Times New Roman"/>
          <w:bCs/>
          <w:szCs w:val="24"/>
        </w:rPr>
        <w:t>return on equity</w:t>
      </w:r>
      <w:r w:rsidR="003F6427" w:rsidRPr="006833CD">
        <w:rPr>
          <w:rFonts w:ascii="Times New Roman" w:hAnsi="Times New Roman"/>
          <w:bCs/>
          <w:szCs w:val="24"/>
        </w:rPr>
        <w:t xml:space="preserve"> of a reduction in the volatility of revenues is appropriately measured only the change in the third standard deviation.  Neither assumption is directly related to the cost of capital, which illustrates the highly arbitrary nature of the Mr.</w:t>
      </w:r>
      <w:r w:rsidR="00452383" w:rsidRPr="006833CD">
        <w:rPr>
          <w:rFonts w:ascii="Times New Roman" w:hAnsi="Times New Roman"/>
          <w:bCs/>
          <w:szCs w:val="24"/>
        </w:rPr>
        <w:t> </w:t>
      </w:r>
      <w:r w:rsidR="003F6427" w:rsidRPr="006833CD">
        <w:rPr>
          <w:rFonts w:ascii="Times New Roman" w:hAnsi="Times New Roman"/>
          <w:bCs/>
          <w:szCs w:val="24"/>
        </w:rPr>
        <w:t>Hill’s analysis.  Furthermore</w:t>
      </w:r>
      <w:r w:rsidR="0018267F" w:rsidRPr="006833CD">
        <w:rPr>
          <w:rFonts w:ascii="Times New Roman" w:hAnsi="Times New Roman"/>
          <w:bCs/>
          <w:szCs w:val="24"/>
        </w:rPr>
        <w:t xml:space="preserve">, his estimate is not even consistent with his own theory.  If he had been consistent, the resulting </w:t>
      </w:r>
      <w:r w:rsidR="00F86940" w:rsidRPr="006833CD">
        <w:rPr>
          <w:rFonts w:ascii="Times New Roman" w:hAnsi="Times New Roman"/>
          <w:bCs/>
          <w:szCs w:val="24"/>
        </w:rPr>
        <w:t>return on equity</w:t>
      </w:r>
      <w:r w:rsidR="0018267F" w:rsidRPr="006833CD">
        <w:rPr>
          <w:rFonts w:ascii="Times New Roman" w:hAnsi="Times New Roman"/>
          <w:bCs/>
          <w:szCs w:val="24"/>
        </w:rPr>
        <w:t xml:space="preserve"> would be less than </w:t>
      </w:r>
      <w:r w:rsidR="00F86940" w:rsidRPr="006833CD">
        <w:rPr>
          <w:rFonts w:ascii="Times New Roman" w:hAnsi="Times New Roman"/>
          <w:bCs/>
          <w:szCs w:val="24"/>
        </w:rPr>
        <w:t xml:space="preserve">PSE’s </w:t>
      </w:r>
      <w:r w:rsidR="0018267F" w:rsidRPr="006833CD">
        <w:rPr>
          <w:rFonts w:ascii="Times New Roman" w:hAnsi="Times New Roman"/>
          <w:bCs/>
          <w:szCs w:val="24"/>
        </w:rPr>
        <w:t xml:space="preserve">cost of debt, which </w:t>
      </w:r>
      <w:r w:rsidR="003F6427" w:rsidRPr="006833CD">
        <w:rPr>
          <w:rFonts w:ascii="Times New Roman" w:hAnsi="Times New Roman"/>
          <w:bCs/>
          <w:szCs w:val="24"/>
        </w:rPr>
        <w:t>contradicts basic finance theory that the cost of equity for any com</w:t>
      </w:r>
      <w:r w:rsidR="000F2D2B" w:rsidRPr="006833CD">
        <w:rPr>
          <w:rFonts w:ascii="Times New Roman" w:hAnsi="Times New Roman"/>
          <w:bCs/>
          <w:szCs w:val="24"/>
        </w:rPr>
        <w:t>pany exceeds its cost of debt.</w:t>
      </w:r>
    </w:p>
    <w:p w14:paraId="5D0ABA90" w14:textId="77777777" w:rsidR="00515380" w:rsidRPr="006833CD" w:rsidRDefault="006B09BA" w:rsidP="00515380">
      <w:pPr>
        <w:pStyle w:val="Heading1"/>
        <w:rPr>
          <w:rFonts w:ascii="Times New Roman" w:hAnsi="Times New Roman"/>
          <w:bCs/>
          <w:szCs w:val="24"/>
        </w:rPr>
      </w:pPr>
      <w:bookmarkStart w:id="26" w:name="_Toc229215975"/>
      <w:bookmarkStart w:id="27" w:name="_Toc294539822"/>
      <w:bookmarkStart w:id="28" w:name="_Toc406063203"/>
      <w:bookmarkStart w:id="29" w:name="_Toc406086189"/>
      <w:bookmarkStart w:id="30" w:name="_Toc406511792"/>
      <w:bookmarkStart w:id="31" w:name="_Toc406745167"/>
      <w:r w:rsidRPr="006833CD">
        <w:rPr>
          <w:rFonts w:ascii="Times New Roman" w:hAnsi="Times New Roman"/>
          <w:bCs/>
          <w:szCs w:val="24"/>
        </w:rPr>
        <w:t>I</w:t>
      </w:r>
      <w:r w:rsidR="00515380" w:rsidRPr="006833CD">
        <w:rPr>
          <w:rFonts w:ascii="Times New Roman" w:hAnsi="Times New Roman"/>
          <w:bCs/>
          <w:szCs w:val="24"/>
        </w:rPr>
        <w:t>V.</w:t>
      </w:r>
      <w:r w:rsidR="00515380" w:rsidRPr="006833CD">
        <w:rPr>
          <w:rFonts w:ascii="Times New Roman" w:hAnsi="Times New Roman"/>
          <w:bCs/>
          <w:szCs w:val="24"/>
        </w:rPr>
        <w:tab/>
        <w:t>CONCLUSION</w:t>
      </w:r>
      <w:bookmarkEnd w:id="26"/>
      <w:bookmarkEnd w:id="27"/>
      <w:bookmarkEnd w:id="28"/>
      <w:bookmarkEnd w:id="29"/>
      <w:bookmarkEnd w:id="30"/>
      <w:bookmarkEnd w:id="31"/>
    </w:p>
    <w:p w14:paraId="5D0ABA91" w14:textId="4AB81669" w:rsidR="00515380" w:rsidRPr="006833CD" w:rsidRDefault="00515380" w:rsidP="00515380">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Does that conclude your </w:t>
      </w:r>
      <w:proofErr w:type="spellStart"/>
      <w:r w:rsidR="006B09BA" w:rsidRPr="006833CD">
        <w:rPr>
          <w:rFonts w:ascii="Times New Roman" w:hAnsi="Times New Roman"/>
          <w:bCs/>
          <w:szCs w:val="24"/>
        </w:rPr>
        <w:t>prefiled</w:t>
      </w:r>
      <w:proofErr w:type="spellEnd"/>
      <w:r w:rsidR="006B09BA" w:rsidRPr="006833CD">
        <w:rPr>
          <w:rFonts w:ascii="Times New Roman" w:hAnsi="Times New Roman"/>
          <w:bCs/>
          <w:szCs w:val="24"/>
        </w:rPr>
        <w:t xml:space="preserve"> rebuttal </w:t>
      </w:r>
      <w:r w:rsidRPr="006833CD">
        <w:rPr>
          <w:rFonts w:ascii="Times New Roman" w:hAnsi="Times New Roman"/>
          <w:bCs/>
          <w:szCs w:val="24"/>
        </w:rPr>
        <w:t>testimony?</w:t>
      </w:r>
    </w:p>
    <w:p w14:paraId="5D0ABA92" w14:textId="77777777" w:rsidR="00EF3696" w:rsidRPr="006833CD" w:rsidRDefault="00515380" w:rsidP="0074091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t>Yes, it does.</w:t>
      </w:r>
    </w:p>
    <w:sectPr w:rsidR="00EF3696" w:rsidRPr="006833CD" w:rsidSect="00EC61B9">
      <w:footerReference w:type="default" r:id="rId18"/>
      <w:footerReference w:type="first" r:id="rId1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438A3" w14:textId="77777777" w:rsidR="003B0FD4" w:rsidRDefault="003B0FD4">
      <w:r>
        <w:separator/>
      </w:r>
    </w:p>
  </w:endnote>
  <w:endnote w:type="continuationSeparator" w:id="0">
    <w:p w14:paraId="77FF6FAE" w14:textId="77777777" w:rsidR="003B0FD4" w:rsidRDefault="003B0FD4">
      <w:r>
        <w:continuationSeparator/>
      </w:r>
    </w:p>
  </w:endnote>
  <w:endnote w:type="continuationNotice" w:id="1">
    <w:p w14:paraId="5F54A846" w14:textId="77777777" w:rsidR="003B0FD4" w:rsidRDefault="003B0F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2" w14:textId="77777777" w:rsidR="003B0FD4" w:rsidRDefault="003B0FD4"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6" w14:textId="77777777" w:rsidR="003B0FD4" w:rsidRDefault="003B0FD4">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14:paraId="5D0ABAA7" w14:textId="77777777" w:rsidR="003B0FD4" w:rsidRDefault="003B0FD4">
    <w:pPr>
      <w:pStyle w:val="Footer"/>
      <w:tabs>
        <w:tab w:val="clear" w:pos="4507"/>
        <w:tab w:val="clear" w:pos="9000"/>
        <w:tab w:val="right" w:pos="8640"/>
      </w:tabs>
      <w:spacing w:line="240" w:lineRule="auto"/>
      <w:ind w:right="0" w:hanging="4"/>
      <w:rPr>
        <w:sz w:val="10"/>
        <w:szCs w:val="10"/>
      </w:rPr>
    </w:pPr>
  </w:p>
  <w:p w14:paraId="5D0ABAA8" w14:textId="49F1D56F" w:rsidR="003B0FD4" w:rsidRPr="00DB4898" w:rsidRDefault="003B0FD4">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300621">
      <w:rPr>
        <w:sz w:val="24"/>
        <w:szCs w:val="24"/>
      </w:rPr>
      <w:tab/>
    </w:r>
    <w:r w:rsidRPr="00DB4898">
      <w:rPr>
        <w:sz w:val="24"/>
        <w:szCs w:val="24"/>
      </w:rPr>
      <w:t>Exhibit No.___(</w:t>
    </w:r>
    <w:r>
      <w:rPr>
        <w:sz w:val="24"/>
        <w:szCs w:val="24"/>
      </w:rPr>
      <w:t>MJV</w:t>
    </w:r>
    <w:r w:rsidRPr="00DB4898">
      <w:rPr>
        <w:sz w:val="24"/>
        <w:szCs w:val="24"/>
      </w:rPr>
      <w:t>-</w:t>
    </w:r>
    <w:r>
      <w:rPr>
        <w:sz w:val="24"/>
        <w:szCs w:val="24"/>
      </w:rPr>
      <w:t>18</w:t>
    </w:r>
    <w:r w:rsidRPr="00DB4898">
      <w:rPr>
        <w:sz w:val="24"/>
        <w:szCs w:val="24"/>
      </w:rPr>
      <w:t>T)</w:t>
    </w:r>
  </w:p>
  <w:p w14:paraId="5D0ABAA9" w14:textId="353EE816" w:rsidR="003B0FD4" w:rsidRPr="00DB4898" w:rsidRDefault="003B0FD4">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Michael J. Vilbert</w:t>
    </w:r>
    <w:r w:rsidRPr="00300621">
      <w:rPr>
        <w:sz w:val="24"/>
        <w:szCs w:val="24"/>
      </w:rPr>
      <w:tab/>
    </w:r>
    <w:r w:rsidRPr="00DB4898">
      <w:rPr>
        <w:sz w:val="24"/>
        <w:szCs w:val="24"/>
      </w:rPr>
      <w:t>Page</w:t>
    </w:r>
    <w:r>
      <w:rPr>
        <w:sz w:val="24"/>
        <w:szCs w:val="24"/>
      </w:rPr>
      <w:t xml:space="preserve"> </w:t>
    </w:r>
    <w:r w:rsidR="00CD3B37">
      <w:rPr>
        <w:rStyle w:val="PageNumber"/>
        <w:noProof/>
        <w:sz w:val="24"/>
        <w:szCs w:val="24"/>
      </w:rPr>
      <w:t>i</w:t>
    </w:r>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A" w14:textId="77777777" w:rsidR="003B0FD4" w:rsidRDefault="003B0FD4">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5D0ABAAB" w14:textId="77777777" w:rsidR="003B0FD4" w:rsidRDefault="003B0FD4">
    <w:pPr>
      <w:pStyle w:val="Footer"/>
      <w:tabs>
        <w:tab w:val="clear" w:pos="4507"/>
        <w:tab w:val="clear" w:pos="9000"/>
        <w:tab w:val="right" w:pos="8640"/>
      </w:tabs>
      <w:spacing w:line="240" w:lineRule="auto"/>
      <w:ind w:right="0"/>
      <w:rPr>
        <w:sz w:val="10"/>
      </w:rPr>
    </w:pPr>
  </w:p>
  <w:p w14:paraId="5D0ABAAC" w14:textId="098C6B59" w:rsidR="003B0FD4" w:rsidRPr="00DB4898" w:rsidRDefault="003B0FD4">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5D0ABAAD" w14:textId="55CFAA42" w:rsidR="003B0FD4" w:rsidRPr="00D738F7" w:rsidRDefault="003B0FD4"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Michael J. Vilbert</w:t>
    </w:r>
    <w:r w:rsidRPr="00DB4898">
      <w:rPr>
        <w:sz w:val="24"/>
        <w:szCs w:val="24"/>
      </w:rPr>
      <w:tab/>
      <w:t>Page</w:t>
    </w:r>
    <w:r>
      <w:rPr>
        <w:sz w:val="24"/>
        <w:szCs w:val="24"/>
      </w:rPr>
      <w:t xml:space="preserve"> </w:t>
    </w:r>
    <w:r w:rsidR="003917E0" w:rsidRPr="003917E0">
      <w:rPr>
        <w:sz w:val="24"/>
        <w:szCs w:val="24"/>
      </w:rPr>
      <w:fldChar w:fldCharType="begin"/>
    </w:r>
    <w:r w:rsidR="003917E0" w:rsidRPr="003917E0">
      <w:rPr>
        <w:sz w:val="24"/>
        <w:szCs w:val="24"/>
      </w:rPr>
      <w:instrText xml:space="preserve"> PAGE   \* MERGEFORMAT </w:instrText>
    </w:r>
    <w:r w:rsidR="003917E0" w:rsidRPr="003917E0">
      <w:rPr>
        <w:sz w:val="24"/>
        <w:szCs w:val="24"/>
      </w:rPr>
      <w:fldChar w:fldCharType="separate"/>
    </w:r>
    <w:r w:rsidR="003917E0">
      <w:rPr>
        <w:noProof/>
        <w:sz w:val="24"/>
        <w:szCs w:val="24"/>
      </w:rPr>
      <w:t>1</w:t>
    </w:r>
    <w:r w:rsidR="003917E0" w:rsidRPr="003917E0">
      <w:rPr>
        <w:noProof/>
        <w:sz w:val="24"/>
        <w:szCs w:val="24"/>
      </w:rPr>
      <w:fldChar w:fldCharType="end"/>
    </w:r>
    <w:r w:rsidRPr="00DB4898">
      <w:rPr>
        <w:rStyle w:val="PageNumber"/>
        <w:sz w:val="24"/>
        <w:szCs w:val="24"/>
      </w:rPr>
      <w:t xml:space="preserve"> of </w:t>
    </w:r>
    <w:r>
      <w:rPr>
        <w:rStyle w:val="PageNumber"/>
        <w:sz w:val="24"/>
        <w:szCs w:val="24"/>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E" w14:textId="77777777" w:rsidR="003B0FD4" w:rsidRDefault="003B0FD4">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5D0ABAAF" w14:textId="77777777" w:rsidR="003B0FD4" w:rsidRDefault="003B0FD4">
    <w:pPr>
      <w:pStyle w:val="Footer"/>
      <w:tabs>
        <w:tab w:val="clear" w:pos="4507"/>
        <w:tab w:val="clear" w:pos="9000"/>
        <w:tab w:val="right" w:pos="8640"/>
      </w:tabs>
      <w:spacing w:line="240" w:lineRule="auto"/>
      <w:ind w:left="-630" w:right="0" w:hanging="4"/>
      <w:rPr>
        <w:sz w:val="10"/>
      </w:rPr>
    </w:pPr>
  </w:p>
  <w:p w14:paraId="5D0ABAB0" w14:textId="77777777" w:rsidR="003B0FD4" w:rsidRDefault="003B0FD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5D0ABAB1" w14:textId="77777777" w:rsidR="003B0FD4" w:rsidRDefault="003B0FD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5D0ABAB2" w14:textId="77777777" w:rsidR="003B0FD4" w:rsidRDefault="003B0FD4"/>
  <w:p w14:paraId="5D0ABAB3" w14:textId="77777777" w:rsidR="003B0FD4" w:rsidRDefault="003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024DA" w14:textId="77777777" w:rsidR="003B0FD4" w:rsidRDefault="003B0FD4">
      <w:r>
        <w:separator/>
      </w:r>
    </w:p>
  </w:footnote>
  <w:footnote w:type="continuationSeparator" w:id="0">
    <w:p w14:paraId="53A185E4" w14:textId="77777777" w:rsidR="003B0FD4" w:rsidRDefault="003B0FD4">
      <w:r>
        <w:continuationSeparator/>
      </w:r>
    </w:p>
  </w:footnote>
  <w:footnote w:type="continuationNotice" w:id="1">
    <w:p w14:paraId="196DD774" w14:textId="77777777" w:rsidR="003B0FD4" w:rsidRDefault="003B0FD4">
      <w:pPr>
        <w:spacing w:line="240" w:lineRule="auto"/>
      </w:pPr>
    </w:p>
  </w:footnote>
  <w:footnote w:id="2">
    <w:p w14:paraId="4705AF18" w14:textId="0954518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t xml:space="preserve">Adolph, </w:t>
      </w:r>
      <w:proofErr w:type="spellStart"/>
      <w:r>
        <w:t>Exh</w:t>
      </w:r>
      <w:proofErr w:type="spellEnd"/>
      <w:r>
        <w:t>. No. ___(CAA-1T) at page 3, lines 4-6</w:t>
      </w:r>
      <w:r w:rsidRPr="00A53191">
        <w:t>.</w:t>
      </w:r>
    </w:p>
  </w:footnote>
  <w:footnote w:id="3">
    <w:p w14:paraId="631ACCCE" w14:textId="5002065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At sever</w:t>
      </w:r>
      <w:r>
        <w:t>al places in his testimony, Mr. </w:t>
      </w:r>
      <w:r w:rsidRPr="00A53191">
        <w:t xml:space="preserve">Hill states or implies that the changes made in the updated studies were done with the express purpose of reaching a particular outcome.  </w:t>
      </w:r>
      <w:r w:rsidRPr="00A53191">
        <w:rPr>
          <w:i/>
        </w:rPr>
        <w:t>See, e.g.,</w:t>
      </w:r>
      <w:r w:rsidRPr="00A53191">
        <w:t xml:space="preserve"> Hill, </w:t>
      </w:r>
      <w:proofErr w:type="spellStart"/>
      <w:r w:rsidRPr="00A53191">
        <w:t>Exh</w:t>
      </w:r>
      <w:proofErr w:type="spellEnd"/>
      <w:r w:rsidRPr="00A53191">
        <w:t>. No. </w:t>
      </w:r>
      <w:r>
        <w:t xml:space="preserve">___(SGH-1T), at page 98, line </w:t>
      </w:r>
      <w:r w:rsidRPr="00A53191">
        <w:t>5, through page 99, li</w:t>
      </w:r>
      <w:r>
        <w:t xml:space="preserve">ne </w:t>
      </w:r>
      <w:r w:rsidRPr="00A53191">
        <w:t>21.  This is not true.</w:t>
      </w:r>
    </w:p>
  </w:footnote>
  <w:footnote w:id="4">
    <w:p w14:paraId="5C843343" w14:textId="6B9EB2D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t xml:space="preserve"> Hill, </w:t>
      </w:r>
      <w:proofErr w:type="spellStart"/>
      <w:r>
        <w:t>Exh</w:t>
      </w:r>
      <w:proofErr w:type="spellEnd"/>
      <w:r>
        <w:t xml:space="preserve">. No. ___(SGH-2T) at page 84, lines 6-11; Gorman, </w:t>
      </w:r>
      <w:proofErr w:type="spellStart"/>
      <w:r>
        <w:t>Exh</w:t>
      </w:r>
      <w:proofErr w:type="spellEnd"/>
      <w:r>
        <w:t xml:space="preserve">. No. ___(MPG-23T) at page 60, lines </w:t>
      </w:r>
      <w:r w:rsidRPr="00A53191">
        <w:t>8-12.</w:t>
      </w:r>
    </w:p>
  </w:footnote>
  <w:footnote w:id="5">
    <w:p w14:paraId="558D7830" w14:textId="5EF1049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60, lines 8-12</w:t>
      </w:r>
    </w:p>
  </w:footnote>
  <w:footnote w:id="6">
    <w:p w14:paraId="4753D23C" w14:textId="5326827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065690">
        <w:rPr>
          <w:i/>
        </w:rPr>
        <w:t>See, e.g.,</w:t>
      </w:r>
      <w:r w:rsidRPr="00065690">
        <w:t xml:space="preserve"> Hill, Exhibit No. ___(SGH-2T) at page 97, lin</w:t>
      </w:r>
      <w:r>
        <w:t>e 8, through page 99, line 21.</w:t>
      </w:r>
    </w:p>
  </w:footnote>
  <w:footnote w:id="7">
    <w:p w14:paraId="3CA3C6F5" w14:textId="02A7E807" w:rsidR="003B0FD4" w:rsidRDefault="003B0FD4" w:rsidP="00FC317B">
      <w:pPr>
        <w:pStyle w:val="FootnoteText"/>
        <w:keepLines/>
        <w:tabs>
          <w:tab w:val="left" w:pos="720"/>
        </w:tabs>
        <w:ind w:firstLine="360"/>
      </w:pPr>
      <w:r>
        <w:rPr>
          <w:rStyle w:val="FootnoteReference"/>
        </w:rPr>
        <w:footnoteRef/>
      </w:r>
      <w:r>
        <w:tab/>
      </w:r>
      <w:r w:rsidRPr="00A53191">
        <w:t xml:space="preserve">Hill, </w:t>
      </w:r>
      <w:proofErr w:type="spellStart"/>
      <w:r>
        <w:t>Exh</w:t>
      </w:r>
      <w:proofErr w:type="spellEnd"/>
      <w:r>
        <w:t>. No. ___(SGH-1T) at page 100</w:t>
      </w:r>
      <w:r w:rsidRPr="00A53191">
        <w:t>, line 1</w:t>
      </w:r>
      <w:r>
        <w:t>5-20.</w:t>
      </w:r>
    </w:p>
  </w:footnote>
  <w:footnote w:id="8">
    <w:p w14:paraId="55F99286" w14:textId="52E2A2C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t xml:space="preserve"> Hill, </w:t>
      </w:r>
      <w:proofErr w:type="spellStart"/>
      <w:r>
        <w:t>Exh</w:t>
      </w:r>
      <w:proofErr w:type="spellEnd"/>
      <w:r>
        <w:t xml:space="preserve">. No. </w:t>
      </w:r>
      <w:r w:rsidRPr="00A53191">
        <w:t>___(SGH-1T) at page 97, line 8, through page 103, line 11.</w:t>
      </w:r>
    </w:p>
  </w:footnote>
  <w:footnote w:id="9">
    <w:p w14:paraId="7B978281" w14:textId="309BC2A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___(SGH-1T) at page 101, line 1.</w:t>
      </w:r>
    </w:p>
  </w:footnote>
  <w:footnote w:id="10">
    <w:p w14:paraId="5D0ABAB9" w14:textId="0FEB5994"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tab/>
        <w:t xml:space="preserve">Adolph, </w:t>
      </w:r>
      <w:proofErr w:type="spellStart"/>
      <w:r>
        <w:t>Exh</w:t>
      </w:r>
      <w:proofErr w:type="spellEnd"/>
      <w:r>
        <w:t xml:space="preserve">. No. ___(CAA-1T), at page 29, line 11, through page 30, line </w:t>
      </w:r>
      <w:r w:rsidRPr="00A53191">
        <w:t xml:space="preserve">19; Hill, </w:t>
      </w:r>
      <w:proofErr w:type="spellStart"/>
      <w:r w:rsidRPr="00A53191">
        <w:t>Exh</w:t>
      </w:r>
      <w:proofErr w:type="spellEnd"/>
      <w:r w:rsidRPr="00A53191">
        <w:t>. No.</w:t>
      </w:r>
      <w:r>
        <w:t xml:space="preserve"> ___(SGH-2T), at page 96, lines </w:t>
      </w:r>
      <w:r w:rsidRPr="00A53191">
        <w:t>1-12.</w:t>
      </w:r>
    </w:p>
  </w:footnote>
  <w:footnote w:id="11">
    <w:p w14:paraId="5BD075B4" w14:textId="592E035D"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tab/>
        <w:t>Dr. Adolph</w:t>
      </w:r>
      <w:r w:rsidRPr="00A53191">
        <w:t xml:space="preserve"> alludes to data “intentional or unintentionally ‘cherry picked’”.  Adolph</w:t>
      </w:r>
      <w:r>
        <w:t xml:space="preserve">, </w:t>
      </w:r>
      <w:proofErr w:type="spellStart"/>
      <w:r>
        <w:t>Exh</w:t>
      </w:r>
      <w:proofErr w:type="spellEnd"/>
      <w:r>
        <w:t xml:space="preserve">. No. ___(CAA-1T), at page 10, line </w:t>
      </w:r>
      <w:r w:rsidRPr="00A53191">
        <w:t>9.  Although he does not say that The Brattle Group “cherry picked” the data, it would certainly be easy to check because we have reported our sources and data screens.</w:t>
      </w:r>
    </w:p>
  </w:footnote>
  <w:footnote w:id="12">
    <w:p w14:paraId="67A5517A" w14:textId="580AC79B"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t xml:space="preserve">Adolph, </w:t>
      </w:r>
      <w:proofErr w:type="spellStart"/>
      <w:r w:rsidRPr="00A53191">
        <w:t>Exh</w:t>
      </w:r>
      <w:proofErr w:type="spellEnd"/>
      <w:r w:rsidRPr="00A53191">
        <w:t>. No. ___(CAA-1T), at page 4, lines 6-22.</w:t>
      </w:r>
    </w:p>
  </w:footnote>
  <w:footnote w:id="13">
    <w:p w14:paraId="36EFA4BF" w14:textId="5A993F84"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t xml:space="preserve"> Adolph, </w:t>
      </w:r>
      <w:proofErr w:type="spellStart"/>
      <w:r>
        <w:t>Exh</w:t>
      </w:r>
      <w:proofErr w:type="spellEnd"/>
      <w:r>
        <w:t xml:space="preserve">. No. ___(CAA-1T), at page 20, lines </w:t>
      </w:r>
      <w:r w:rsidRPr="00A53191">
        <w:t>8-19.</w:t>
      </w:r>
    </w:p>
  </w:footnote>
  <w:footnote w:id="14">
    <w:p w14:paraId="26B28FE7" w14:textId="3E607192"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rsidRPr="00A53191">
        <w:t xml:space="preserve"> Adolph, </w:t>
      </w:r>
      <w:proofErr w:type="spellStart"/>
      <w:r w:rsidRPr="00A53191">
        <w:t>Exh</w:t>
      </w:r>
      <w:proofErr w:type="spellEnd"/>
      <w:r w:rsidRPr="00A53191">
        <w:t>. No. ___(CAA-1T), at page 22, line 13, through page 24, line 2.</w:t>
      </w:r>
    </w:p>
  </w:footnote>
  <w:footnote w:id="15">
    <w:p w14:paraId="61A7808F" w14:textId="3F47AF2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rsidRPr="00A53191">
        <w:t xml:space="preserve"> Hill, </w:t>
      </w:r>
      <w:proofErr w:type="spellStart"/>
      <w:r w:rsidRPr="00A53191">
        <w:t>Exh</w:t>
      </w:r>
      <w:proofErr w:type="spellEnd"/>
      <w:r w:rsidRPr="00A53191">
        <w:t>. N</w:t>
      </w:r>
      <w:r>
        <w:t xml:space="preserve">o. ___(SGH-1T) at page 97, line 8, through page 103, line </w:t>
      </w:r>
      <w:r w:rsidRPr="00A53191">
        <w:t>11.</w:t>
      </w:r>
    </w:p>
  </w:footnote>
  <w:footnote w:id="16">
    <w:p w14:paraId="7B5BEEC6" w14:textId="6127DBEF"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rsidRPr="00A53191">
        <w:t xml:space="preserve"> Hill, </w:t>
      </w:r>
      <w:proofErr w:type="spellStart"/>
      <w:r w:rsidRPr="00A53191">
        <w:t>Exh</w:t>
      </w:r>
      <w:proofErr w:type="spellEnd"/>
      <w:r w:rsidRPr="00A53191">
        <w:t>. No. ___(SGH-2T), at page 91, lines 15-17.</w:t>
      </w:r>
    </w:p>
  </w:footnote>
  <w:footnote w:id="17">
    <w:p w14:paraId="04BD278B" w14:textId="71CE738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w:t>
      </w:r>
      <w:r>
        <w:t xml:space="preserve">. ___(SGH-2T) at page 98, lines </w:t>
      </w:r>
      <w:r w:rsidRPr="00A53191">
        <w:t>16-18.</w:t>
      </w:r>
    </w:p>
  </w:footnote>
  <w:footnote w:id="18">
    <w:p w14:paraId="506C6D4E" w14:textId="2BBE526A"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w:t>
      </w:r>
      <w:r>
        <w:t xml:space="preserve">age 97, lines </w:t>
      </w:r>
      <w:r w:rsidRPr="00A53191">
        <w:t>19-20.</w:t>
      </w:r>
    </w:p>
  </w:footnote>
  <w:footnote w:id="19">
    <w:p w14:paraId="3F3A38E5" w14:textId="4CCB3BB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tab/>
        <w:t xml:space="preserve">Adolph, </w:t>
      </w:r>
      <w:proofErr w:type="spellStart"/>
      <w:r>
        <w:t>Exh</w:t>
      </w:r>
      <w:proofErr w:type="spellEnd"/>
      <w:r>
        <w:t xml:space="preserve">. No. ___(CAA-1T), at page 26, lines </w:t>
      </w:r>
      <w:r w:rsidRPr="00A53191">
        <w:t>14-16.</w:t>
      </w:r>
    </w:p>
  </w:footnote>
  <w:footnote w:id="20">
    <w:p w14:paraId="3FE7E3D2" w14:textId="442B50E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83, lines 8-9.</w:t>
      </w:r>
    </w:p>
  </w:footnote>
  <w:footnote w:id="21">
    <w:p w14:paraId="3E1BBB44" w14:textId="41FF591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82, lines 11-12.</w:t>
      </w:r>
    </w:p>
  </w:footnote>
  <w:footnote w:id="22">
    <w:p w14:paraId="71836632" w14:textId="5E74CD9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___(MJV-15) at page  1.</w:t>
      </w:r>
    </w:p>
  </w:footnote>
  <w:footnote w:id="23">
    <w:p w14:paraId="0C2DB178" w14:textId="5824C87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101, line 16, through page 102, line 2.</w:t>
      </w:r>
    </w:p>
  </w:footnote>
  <w:footnote w:id="24">
    <w:p w14:paraId="6D983BD5" w14:textId="5761A5D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101, line 16, through page 102, line 2.</w:t>
      </w:r>
    </w:p>
  </w:footnote>
  <w:footnote w:id="25">
    <w:p w14:paraId="5405C365" w14:textId="5143DAE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103, line 23, through page 1.</w:t>
      </w:r>
    </w:p>
  </w:footnote>
  <w:footnote w:id="26">
    <w:p w14:paraId="7A3B78DD" w14:textId="18ECD8B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104, line 5.</w:t>
      </w:r>
    </w:p>
  </w:footnote>
  <w:footnote w:id="27">
    <w:p w14:paraId="68C9EC44" w14:textId="7F346AA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104, lines 7-11.</w:t>
      </w:r>
    </w:p>
  </w:footnote>
  <w:footnote w:id="28">
    <w:p w14:paraId="6C266A6F" w14:textId="3B66BF3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 12, through page 12, line 4.</w:t>
      </w:r>
    </w:p>
  </w:footnote>
  <w:footnote w:id="29">
    <w:p w14:paraId="4A8B4EC5" w14:textId="0B64F70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 12, through page 12, line 4.</w:t>
      </w:r>
    </w:p>
  </w:footnote>
  <w:footnote w:id="30">
    <w:p w14:paraId="0189D6DF" w14:textId="4B976E0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12, lines 5-20.</w:t>
      </w:r>
    </w:p>
  </w:footnote>
  <w:footnote w:id="31">
    <w:p w14:paraId="60F5728A" w14:textId="1D0D0FC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lines 14-22.</w:t>
      </w:r>
    </w:p>
  </w:footnote>
  <w:footnote w:id="32">
    <w:p w14:paraId="3AA43604" w14:textId="011851F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61, lines 18-21.</w:t>
      </w:r>
    </w:p>
  </w:footnote>
  <w:footnote w:id="33">
    <w:p w14:paraId="57C6E7E3" w14:textId="29B9E88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63, lines 4-9.</w:t>
      </w:r>
    </w:p>
  </w:footnote>
  <w:footnote w:id="34">
    <w:p w14:paraId="193D4B76" w14:textId="3BBDF14D"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63, lines 7-8.</w:t>
      </w:r>
    </w:p>
  </w:footnote>
  <w:footnote w:id="35">
    <w:p w14:paraId="3BE770E0" w14:textId="3E06CB5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105, lines 8-12.</w:t>
      </w:r>
    </w:p>
  </w:footnote>
  <w:footnote w:id="36">
    <w:p w14:paraId="495602C2" w14:textId="1FC2EFB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PSE’s Response to </w:t>
      </w:r>
      <w:proofErr w:type="spellStart"/>
      <w:r w:rsidRPr="00A53191">
        <w:t>ICNU</w:t>
      </w:r>
      <w:proofErr w:type="spellEnd"/>
      <w:r w:rsidRPr="00A53191">
        <w:t xml:space="preserve"> Data Request No. 02.19, a copy of which is provided as Exhibit No. ___(MJV-21).</w:t>
      </w:r>
    </w:p>
  </w:footnote>
  <w:footnote w:id="37">
    <w:p w14:paraId="3C0DD522" w14:textId="741A94C2"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106, line 21, through page 123, line 17.</w:t>
      </w:r>
    </w:p>
  </w:footnote>
  <w:footnote w:id="38">
    <w:p w14:paraId="5268EA87" w14:textId="3FEB5BF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Net revenue as used in Mr. Hill’s testimony is defined as total revenue </w:t>
      </w:r>
      <w:r w:rsidRPr="00A53191">
        <w:rPr>
          <w:i/>
        </w:rPr>
        <w:t xml:space="preserve">minus </w:t>
      </w:r>
      <w:r w:rsidRPr="00A53191">
        <w:t xml:space="preserve">fuel and purchased power costs, which are recovered through balancing accounts.  This distinction is found in the data set that Mr. Hill </w:t>
      </w:r>
      <w:r>
        <w:t>obtained from PSE in this proceeding</w:t>
      </w:r>
      <w:r w:rsidR="005D4735">
        <w:t xml:space="preserve"> in </w:t>
      </w:r>
      <w:r w:rsidRPr="00A53191">
        <w:t>PSE</w:t>
      </w:r>
      <w:r w:rsidR="005D4735">
        <w:t>’s</w:t>
      </w:r>
      <w:r w:rsidRPr="00A53191">
        <w:t xml:space="preserve"> Response to Public Counsel Data Request No.  006, cited in Exhibit No. ___(SGH-19), at page 1.</w:t>
      </w:r>
    </w:p>
  </w:footnote>
  <w:footnote w:id="39">
    <w:p w14:paraId="4102E406" w14:textId="5E213F27" w:rsidR="003B0FD4" w:rsidRPr="00A53191" w:rsidRDefault="003B0FD4" w:rsidP="00FC317B">
      <w:pPr>
        <w:pStyle w:val="FootnoteText"/>
        <w:keepLines/>
        <w:tabs>
          <w:tab w:val="left" w:pos="720"/>
        </w:tabs>
        <w:spacing w:before="60" w:after="60" w:line="240" w:lineRule="auto"/>
        <w:ind w:firstLine="360"/>
        <w:jc w:val="both"/>
      </w:pPr>
      <w:r w:rsidRPr="00A53191">
        <w:rPr>
          <w:rStyle w:val="FootnoteReference"/>
        </w:rPr>
        <w:footnoteRef/>
      </w:r>
      <w:r w:rsidRPr="00A53191">
        <w:tab/>
      </w:r>
      <w:r w:rsidRPr="00FC317B">
        <w:rPr>
          <w:i/>
        </w:rPr>
        <w:t>In re Petition of Bay State Gas Co.</w:t>
      </w:r>
      <w:r w:rsidRPr="00A53191">
        <w:t xml:space="preserve">, Docket </w:t>
      </w:r>
      <w:proofErr w:type="spellStart"/>
      <w:r w:rsidRPr="00A53191">
        <w:t>DPU</w:t>
      </w:r>
      <w:proofErr w:type="spellEnd"/>
      <w:r w:rsidRPr="00A53191">
        <w:t xml:space="preserve"> 09-30, Order</w:t>
      </w:r>
      <w:r w:rsidR="00FC317B">
        <w:t xml:space="preserve"> </w:t>
      </w:r>
      <w:r w:rsidRPr="00A53191">
        <w:t xml:space="preserve">(Oct. 30, 2009).  Testimony of Stephen G. Hill, </w:t>
      </w:r>
      <w:r w:rsidR="00FC317B">
        <w:t>o</w:t>
      </w:r>
      <w:r w:rsidRPr="00A53191">
        <w:t>n behalf of the Attorney General for the Commonwealth of Massachusetts, before the Department of Public Utilities, Bay State Gas Company, Docket</w:t>
      </w:r>
      <w:r w:rsidR="00FC317B">
        <w:t xml:space="preserve"> </w:t>
      </w:r>
      <w:r w:rsidRPr="00A53191">
        <w:t xml:space="preserve">No. 09-30, June 30, 2009.  Rebuttal Testimony of Stephen G. Hill, </w:t>
      </w:r>
      <w:r w:rsidR="00FC317B">
        <w:t>o</w:t>
      </w:r>
      <w:r w:rsidRPr="00A53191">
        <w:t>n behalf of the Office of the Attorney General, for the Commonwealth of Massachusetts, before the Department of Public Utilities, Bay State Gas Company, Docket, No. 09-30, July 27, 2009.</w:t>
      </w:r>
    </w:p>
  </w:footnote>
  <w:footnote w:id="40">
    <w:p w14:paraId="70CC9912" w14:textId="2B5BCB0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Rebuttal Testimony of Stephen G. Hill, </w:t>
      </w:r>
      <w:r w:rsidR="00FC317B">
        <w:t>o</w:t>
      </w:r>
      <w:r w:rsidRPr="00A53191">
        <w:t>n behalf of the Office of the Attorney General, for the Commonwealth of Massachusetts, before the Department of Public Utilities, Bay State Gas Company, Docket, No.  09-30, July 27, 2009, at page 14, lines 10-23.</w:t>
      </w:r>
    </w:p>
  </w:footnote>
  <w:footnote w:id="41">
    <w:p w14:paraId="4FB28025" w14:textId="3F26FE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C74F91">
        <w:t>Puget Sound Energy, Decoupling Filing, Development of Delivery Cost Energy Rate and Schedule 139 Rate – Electric, Rate Year - May 1, 2013 through April 30, 2014.  Tab: JAP-18, page 1.  Puget Sound Energy, Decoupling Filing, Development of Delivery Cost Energy Rate and Rate Change - Natural Gas, Rate Year - May 1, 2013 through April 30, 2014, Tab: JAP-19, page 1.</w:t>
      </w:r>
    </w:p>
  </w:footnote>
  <w:footnote w:id="42">
    <w:p w14:paraId="637141AC" w14:textId="4E9604CA"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 xml:space="preserve">In re </w:t>
      </w:r>
      <w:r w:rsidRPr="00A53191">
        <w:rPr>
          <w:bCs/>
          <w:i/>
        </w:rPr>
        <w:t>Petition of Bay State Gas Co.</w:t>
      </w:r>
      <w:r w:rsidRPr="00A53191">
        <w:rPr>
          <w:bCs/>
        </w:rPr>
        <w:t xml:space="preserve">, Docket </w:t>
      </w:r>
      <w:proofErr w:type="spellStart"/>
      <w:r w:rsidRPr="00A53191">
        <w:rPr>
          <w:bCs/>
        </w:rPr>
        <w:t>DPU</w:t>
      </w:r>
      <w:proofErr w:type="spellEnd"/>
      <w:r w:rsidRPr="00A53191">
        <w:rPr>
          <w:bCs/>
        </w:rPr>
        <w:t xml:space="preserve"> 09-30, Order at page </w:t>
      </w:r>
      <w:r w:rsidRPr="00A53191">
        <w:t>369.</w:t>
      </w:r>
    </w:p>
  </w:footnote>
  <w:footnote w:id="43">
    <w:p w14:paraId="3D09AF03" w14:textId="424E3D6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 xml:space="preserve">In re </w:t>
      </w:r>
      <w:r w:rsidRPr="00A53191">
        <w:rPr>
          <w:bCs/>
          <w:i/>
        </w:rPr>
        <w:t>Petition of Bay State Gas Co.</w:t>
      </w:r>
      <w:r w:rsidRPr="00A53191">
        <w:rPr>
          <w:bCs/>
        </w:rPr>
        <w:t xml:space="preserve">, Docket </w:t>
      </w:r>
      <w:proofErr w:type="spellStart"/>
      <w:r w:rsidRPr="00A53191">
        <w:rPr>
          <w:bCs/>
        </w:rPr>
        <w:t>DPU</w:t>
      </w:r>
      <w:proofErr w:type="spellEnd"/>
      <w:r w:rsidRPr="00A53191">
        <w:rPr>
          <w:bCs/>
        </w:rPr>
        <w:t xml:space="preserve"> 09-30, Order at page </w:t>
      </w:r>
      <w:r w:rsidRPr="00A53191">
        <w:t xml:space="preserve"> 372.</w:t>
      </w:r>
    </w:p>
  </w:footnote>
  <w:footnote w:id="44">
    <w:p w14:paraId="641C8351" w14:textId="7777777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106, line 21, through page 123, line 17.</w:t>
      </w:r>
    </w:p>
  </w:footnote>
  <w:footnote w:id="45">
    <w:p w14:paraId="5D0ABABC" w14:textId="09643066"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tab/>
        <w:t xml:space="preserve">Hill, </w:t>
      </w:r>
      <w:proofErr w:type="spellStart"/>
      <w:r w:rsidRPr="00A53191">
        <w:t>Exh</w:t>
      </w:r>
      <w:proofErr w:type="spellEnd"/>
      <w:r w:rsidRPr="00A53191">
        <w:t>. No. ___(SGH-2T), at page 107, lines 6-7.</w:t>
      </w:r>
    </w:p>
  </w:footnote>
  <w:footnote w:id="46">
    <w:p w14:paraId="2AB729B8" w14:textId="417616EE"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tab/>
        <w:t>Financial analysts review accounting statements, and their assessments utilize information extracted from accounting statements, but accounting values are not a substitute for the actual financial market values in calculating the cost of equity capital and debt capital.</w:t>
      </w:r>
    </w:p>
  </w:footnote>
  <w:footnote w:id="47">
    <w:p w14:paraId="5D0ABABD" w14:textId="19D1AF59" w:rsidR="003B0FD4" w:rsidRPr="00A53191" w:rsidRDefault="003B0FD4" w:rsidP="00FC317B">
      <w:pPr>
        <w:pStyle w:val="FootnoteText"/>
        <w:keepLines/>
        <w:tabs>
          <w:tab w:val="left" w:pos="360"/>
          <w:tab w:val="left" w:pos="720"/>
        </w:tabs>
        <w:spacing w:before="60" w:after="60" w:line="240" w:lineRule="auto"/>
        <w:ind w:firstLine="360"/>
        <w:rPr>
          <w:bCs/>
        </w:rPr>
      </w:pPr>
      <w:r w:rsidRPr="000309B2">
        <w:rPr>
          <w:rStyle w:val="FootnoteReference"/>
        </w:rPr>
        <w:footnoteRef/>
      </w:r>
      <w:r w:rsidRPr="00A53191">
        <w:tab/>
        <w:t xml:space="preserve">Hill, </w:t>
      </w:r>
      <w:proofErr w:type="spellStart"/>
      <w:r w:rsidRPr="00A53191">
        <w:t>Exh</w:t>
      </w:r>
      <w:proofErr w:type="spellEnd"/>
      <w:r w:rsidRPr="00A53191">
        <w:t>. No. ___(SGH-2T), at page 107, lines </w:t>
      </w:r>
      <w:r>
        <w:t>7</w:t>
      </w:r>
      <w:r w:rsidRPr="00A53191">
        <w:t>-</w:t>
      </w:r>
      <w:r>
        <w:t>10</w:t>
      </w:r>
      <w:r w:rsidRPr="00A53191">
        <w:t>.</w:t>
      </w:r>
    </w:p>
  </w:footnote>
  <w:footnote w:id="48">
    <w:p w14:paraId="6D9084C7" w14:textId="1BB0E9BA"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rPr>
          <w:bCs/>
          <w:sz w:val="24"/>
        </w:rPr>
        <w:tab/>
      </w:r>
      <w:r w:rsidRPr="00A53191">
        <w:rPr>
          <w:bCs/>
        </w:rPr>
        <w:t>Systematic risk applies to all types of investments including debt, but Mr.</w:t>
      </w:r>
      <w:r>
        <w:rPr>
          <w:bCs/>
        </w:rPr>
        <w:t> </w:t>
      </w:r>
      <w:r w:rsidRPr="00A53191">
        <w:rPr>
          <w:bCs/>
        </w:rPr>
        <w:t>Hill analysis is focused on the cost of equity</w:t>
      </w:r>
      <w:r>
        <w:t>.</w:t>
      </w:r>
    </w:p>
  </w:footnote>
  <w:footnote w:id="49">
    <w:p w14:paraId="5D0ABABE" w14:textId="3F61BB7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 </w:t>
      </w:r>
      <w:r>
        <w:t>19, through page 113, line 2</w:t>
      </w:r>
      <w:r w:rsidRPr="00A53191">
        <w:t>.</w:t>
      </w:r>
    </w:p>
  </w:footnote>
  <w:footnote w:id="50">
    <w:p w14:paraId="5D0ABABF" w14:textId="32F203C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107</w:t>
      </w:r>
      <w:r w:rsidRPr="00A53191">
        <w:t>, line</w:t>
      </w:r>
      <w:r>
        <w:t>s</w:t>
      </w:r>
      <w:r w:rsidRPr="00A53191">
        <w:t> </w:t>
      </w:r>
      <w:r>
        <w:t>11-12</w:t>
      </w:r>
      <w:r w:rsidRPr="00A53191">
        <w:t>.</w:t>
      </w:r>
    </w:p>
  </w:footnote>
  <w:footnote w:id="51">
    <w:p w14:paraId="5D0ABAC0" w14:textId="442DFA8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109</w:t>
      </w:r>
      <w:r w:rsidRPr="00A53191">
        <w:t>, line</w:t>
      </w:r>
      <w:r>
        <w:t>s</w:t>
      </w:r>
      <w:r w:rsidRPr="00A53191">
        <w:t> </w:t>
      </w:r>
      <w:r>
        <w:t>4-7</w:t>
      </w:r>
      <w:r w:rsidRPr="00A53191">
        <w:t>.</w:t>
      </w:r>
    </w:p>
  </w:footnote>
  <w:footnote w:id="52">
    <w:p w14:paraId="19E35A94" w14:textId="5CACEE5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Net income is calculated by taking revenues and adjusting for the cost of doing business, depreciation, interest, taxes and other expenses.  In contrast operating income is revenues minus cost of goods sold.  In other words, it is before inter</w:t>
      </w:r>
      <w:r>
        <w:rPr>
          <w:bCs/>
        </w:rPr>
        <w:t>est, taxes and other expenses.</w:t>
      </w:r>
    </w:p>
  </w:footnote>
  <w:footnote w:id="53">
    <w:p w14:paraId="4AF276E5" w14:textId="4347310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110</w:t>
      </w:r>
      <w:r w:rsidRPr="00A53191">
        <w:t>, line </w:t>
      </w:r>
      <w:r>
        <w:t>5</w:t>
      </w:r>
      <w:r w:rsidRPr="00A53191">
        <w:t>.</w:t>
      </w:r>
    </w:p>
  </w:footnote>
  <w:footnote w:id="54">
    <w:p w14:paraId="5D0ABAC1" w14:textId="7D5B3D9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110</w:t>
      </w:r>
      <w:r w:rsidRPr="00A53191">
        <w:t>, line</w:t>
      </w:r>
      <w:r>
        <w:t>s</w:t>
      </w:r>
      <w:r w:rsidRPr="00A53191">
        <w:t> </w:t>
      </w:r>
      <w:r>
        <w:t>5-8</w:t>
      </w:r>
      <w:r w:rsidRPr="00A53191">
        <w:t>.</w:t>
      </w:r>
    </w:p>
  </w:footnote>
  <w:footnote w:id="55">
    <w:p w14:paraId="5D0ABAC2" w14:textId="30D1A74A"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t xml:space="preserve">Mr. Hill </w:t>
      </w:r>
      <w:r w:rsidRPr="00A53191">
        <w:t xml:space="preserve">uses revenues net of fuel cost adjustment and the costs of purchase power because </w:t>
      </w:r>
      <w:r>
        <w:t>these costs are passed through.</w:t>
      </w:r>
    </w:p>
  </w:footnote>
  <w:footnote w:id="56">
    <w:p w14:paraId="0CA62C63" w14:textId="07E2D2C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Hill, Exhibit No.</w:t>
      </w:r>
      <w:r>
        <w:t> ___</w:t>
      </w:r>
      <w:r w:rsidRPr="00A53191">
        <w:t xml:space="preserve">(SGH-19), </w:t>
      </w:r>
      <w:r>
        <w:t>at page </w:t>
      </w:r>
      <w:r w:rsidRPr="00A53191">
        <w:t xml:space="preserve">1 </w:t>
      </w:r>
      <w:r>
        <w:t xml:space="preserve">(providing an </w:t>
      </w:r>
      <w:r w:rsidRPr="00A53191">
        <w:t>R-Squared = 0.902910203</w:t>
      </w:r>
      <w:r>
        <w:t>)</w:t>
      </w:r>
      <w:r w:rsidRPr="00A53191">
        <w:t xml:space="preserve">. </w:t>
      </w:r>
    </w:p>
  </w:footnote>
  <w:footnote w:id="57">
    <w:p w14:paraId="6CE03AE5" w14:textId="101A296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First differences are calculated as this period’s value minus last period’s value.  This is done</w:t>
      </w:r>
      <w:r>
        <w:t xml:space="preserve"> for each period in the study.</w:t>
      </w:r>
    </w:p>
  </w:footnote>
  <w:footnote w:id="58">
    <w:p w14:paraId="225D415E" w14:textId="7A0AEC5A"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t>R-Squared represents a “goodness of fit” of the model and is interpreted as the percentage of variation in the dependent variable explained by the model.</w:t>
      </w:r>
    </w:p>
  </w:footnote>
  <w:footnote w:id="59">
    <w:p w14:paraId="169790A0" w14:textId="34E66AF3" w:rsidR="003B0FD4" w:rsidRPr="00A53191" w:rsidRDefault="003B0FD4" w:rsidP="00FC317B">
      <w:pPr>
        <w:pStyle w:val="FootnoteText"/>
        <w:keepLines/>
        <w:tabs>
          <w:tab w:val="left" w:pos="720"/>
        </w:tabs>
        <w:spacing w:before="60" w:after="60" w:line="240" w:lineRule="auto"/>
        <w:ind w:firstLine="360"/>
        <w:rPr>
          <w:b/>
        </w:rPr>
      </w:pPr>
      <w:r w:rsidRPr="00A4323A">
        <w:rPr>
          <w:rStyle w:val="FootnoteReference"/>
        </w:rPr>
        <w:footnoteRef/>
      </w:r>
      <w:r w:rsidRPr="00A4323A">
        <w:tab/>
      </w:r>
      <w:r>
        <w:t xml:space="preserve">The calculations are not provided here because ultimately Mr. Hill does not use the first step regression in his analysis.  He simply assumes a percentage of the reduction in revenue volatility due to decoupling.  </w:t>
      </w:r>
    </w:p>
  </w:footnote>
  <w:footnote w:id="60">
    <w:p w14:paraId="417C93CC" w14:textId="18FDC91F"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452383">
        <w:rPr>
          <w:i/>
        </w:rPr>
        <w:t>See</w:t>
      </w:r>
      <w:r>
        <w:t xml:space="preserve"> Hill, </w:t>
      </w:r>
      <w:proofErr w:type="spellStart"/>
      <w:r>
        <w:t>Exh</w:t>
      </w:r>
      <w:proofErr w:type="spellEnd"/>
      <w:r>
        <w:t>. No. ___</w:t>
      </w:r>
      <w:r w:rsidRPr="00A53191">
        <w:t xml:space="preserve">(SGH-19), </w:t>
      </w:r>
      <w:r>
        <w:t>at page 1</w:t>
      </w:r>
      <w:r w:rsidRPr="00A53191">
        <w:t>.  This is shown in the coefficient and std. error of variable X2, HDD.</w:t>
      </w:r>
    </w:p>
  </w:footnote>
  <w:footnote w:id="61">
    <w:p w14:paraId="1571E75E" w14:textId="0276E7D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w:t>
      </w:r>
      <w:r>
        <w:t>s</w:t>
      </w:r>
      <w:r w:rsidRPr="00A53191">
        <w:t> </w:t>
      </w:r>
      <w:r>
        <w:t>9-13</w:t>
      </w:r>
      <w:r w:rsidRPr="00A53191">
        <w:t>.</w:t>
      </w:r>
    </w:p>
  </w:footnote>
  <w:footnote w:id="62">
    <w:p w14:paraId="3D9AF0DB" w14:textId="09FA2F8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w:t>
      </w:r>
      <w:r>
        <w:t>s</w:t>
      </w:r>
      <w:r w:rsidRPr="00A53191">
        <w:t> </w:t>
      </w:r>
      <w:r>
        <w:t>9-13</w:t>
      </w:r>
      <w:r w:rsidRPr="00A53191">
        <w:t>.</w:t>
      </w:r>
    </w:p>
  </w:footnote>
  <w:footnote w:id="63">
    <w:p w14:paraId="6C3EEB04" w14:textId="26A4591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w:t>
      </w:r>
      <w:r>
        <w:t>s</w:t>
      </w:r>
      <w:r w:rsidRPr="00A53191">
        <w:t> </w:t>
      </w:r>
      <w:r>
        <w:t>10-13</w:t>
      </w:r>
      <w:r w:rsidRPr="00A53191">
        <w:t>.</w:t>
      </w:r>
    </w:p>
  </w:footnote>
  <w:footnote w:id="64">
    <w:p w14:paraId="45AA77DC" w14:textId="1169E5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w:t>
      </w:r>
      <w:r>
        <w:t>s</w:t>
      </w:r>
      <w:r w:rsidRPr="00A53191">
        <w:t> </w:t>
      </w:r>
      <w:r>
        <w:t>14-18</w:t>
      </w:r>
      <w:r w:rsidRPr="00A53191">
        <w:t>.</w:t>
      </w:r>
    </w:p>
  </w:footnote>
  <w:footnote w:id="65">
    <w:p w14:paraId="57E27AD1" w14:textId="7F699AF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 </w:t>
      </w:r>
      <w:r>
        <w:t>19, through page 113, line 13</w:t>
      </w:r>
      <w:r w:rsidRPr="00A53191">
        <w:t>.</w:t>
      </w:r>
    </w:p>
  </w:footnote>
  <w:footnote w:id="66">
    <w:p w14:paraId="5C24EF80" w14:textId="497A99C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 </w:t>
      </w:r>
      <w:r>
        <w:t>14, through page 114, line 14</w:t>
      </w:r>
      <w:r w:rsidRPr="00A53191">
        <w:t>.</w:t>
      </w:r>
    </w:p>
  </w:footnote>
  <w:footnote w:id="67">
    <w:p w14:paraId="23F910DD" w14:textId="45A4939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114</w:t>
      </w:r>
      <w:r w:rsidRPr="00A53191">
        <w:t>, line</w:t>
      </w:r>
      <w:r>
        <w:t>s</w:t>
      </w:r>
      <w:r w:rsidRPr="00A53191">
        <w:t> </w:t>
      </w:r>
      <w:r>
        <w:t>11-12</w:t>
      </w:r>
      <w:r w:rsidRPr="00A53191">
        <w:t>.</w:t>
      </w:r>
    </w:p>
  </w:footnote>
  <w:footnote w:id="68">
    <w:p w14:paraId="2F92BC00" w14:textId="5BEF597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120</w:t>
      </w:r>
      <w:r w:rsidRPr="00A53191">
        <w:t>, line</w:t>
      </w:r>
      <w:r>
        <w:t>s</w:t>
      </w:r>
      <w:r w:rsidRPr="00A53191">
        <w:t> </w:t>
      </w:r>
      <w:r>
        <w:t xml:space="preserve">9-12;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69">
    <w:p w14:paraId="409904E5" w14:textId="60D4B9F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120</w:t>
      </w:r>
      <w:r w:rsidRPr="00A53191">
        <w:t>, line</w:t>
      </w:r>
      <w:r>
        <w:t>s</w:t>
      </w:r>
      <w:r w:rsidRPr="00A53191">
        <w:t> </w:t>
      </w:r>
      <w:r>
        <w:t>12-15</w:t>
      </w:r>
      <w:r w:rsidRPr="00A53191">
        <w:t>.</w:t>
      </w:r>
    </w:p>
  </w:footnote>
  <w:footnote w:id="70">
    <w:p w14:paraId="5A8F7CB1" w14:textId="7793168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121</w:t>
      </w:r>
      <w:r w:rsidRPr="00A53191">
        <w:t>, line</w:t>
      </w:r>
      <w:r>
        <w:t>s</w:t>
      </w:r>
      <w:r w:rsidRPr="00A53191">
        <w:t> </w:t>
      </w:r>
      <w:r>
        <w:t xml:space="preserve">3-15;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71">
    <w:p w14:paraId="677F368E" w14:textId="1DC05BE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121</w:t>
      </w:r>
      <w:r w:rsidRPr="00A53191">
        <w:t>, line </w:t>
      </w:r>
      <w:r>
        <w:t xml:space="preserve">16, through page 122, line 7;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72">
    <w:p w14:paraId="448F1B4B" w14:textId="36690C8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118</w:t>
      </w:r>
      <w:r>
        <w:t>, Chart VIII (</w:t>
      </w:r>
      <w:r w:rsidRPr="009870A9">
        <w:t>Revenue Distribution Under Traditional Regulation</w:t>
      </w:r>
      <w:r>
        <w:t>)</w:t>
      </w:r>
      <w:r w:rsidRPr="00A53191">
        <w:t>.</w:t>
      </w:r>
    </w:p>
  </w:footnote>
  <w:footnote w:id="73">
    <w:p w14:paraId="11F821ED" w14:textId="6F8402B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119</w:t>
      </w:r>
      <w:r>
        <w:t>, Chart IX</w:t>
      </w:r>
      <w:r w:rsidRPr="009870A9">
        <w:t xml:space="preserve"> </w:t>
      </w:r>
      <w:r>
        <w:t>(</w:t>
      </w:r>
      <w:r w:rsidRPr="009870A9">
        <w:t>Revenue Distribution Differential With Decoupling</w:t>
      </w:r>
      <w:r>
        <w:t>)</w:t>
      </w:r>
      <w:r w:rsidRPr="009870A9">
        <w:t>.</w:t>
      </w:r>
    </w:p>
  </w:footnote>
  <w:footnote w:id="74">
    <w:p w14:paraId="0FF16576" w14:textId="5ED2F9F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The Brattle Group studies on the effect of decoupling relied upon capital market data.</w:t>
      </w:r>
    </w:p>
  </w:footnote>
  <w:footnote w:id="75">
    <w:p w14:paraId="5D0ABAC5" w14:textId="0831737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Whether the reduction is of the magnitude assumed in Mr.</w:t>
      </w:r>
      <w:r>
        <w:rPr>
          <w:bCs/>
        </w:rPr>
        <w:t> </w:t>
      </w:r>
      <w:r w:rsidRPr="00A53191">
        <w:rPr>
          <w:bCs/>
        </w:rPr>
        <w:t>Hill’s testimony (35 percent) is not relevant to the discussion</w:t>
      </w:r>
    </w:p>
  </w:footnote>
  <w:footnote w:id="76">
    <w:p w14:paraId="32766FF3" w14:textId="287A7BA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The calculation is 10.3 percent times Average Annual Net Revenues of 1.529 billion = $157.0 million. Mr.</w:t>
      </w:r>
      <w:r>
        <w:rPr>
          <w:bCs/>
        </w:rPr>
        <w:t> </w:t>
      </w:r>
      <w:r w:rsidRPr="00A53191">
        <w:rPr>
          <w:bCs/>
        </w:rPr>
        <w:t>Hill calculates that 1 percent ROE is equal to $29.67 million (See Hill Testimony, pp. 121-122) so dividing $157.0 by $29.67 = 5.29 percent</w:t>
      </w:r>
      <w:r w:rsidRPr="00A53191">
        <w:t>.</w:t>
      </w:r>
    </w:p>
  </w:footnote>
  <w:footnote w:id="77">
    <w:p w14:paraId="69946B31" w14:textId="68D4A54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For example, see Chapter 7, “Introduction to Risk and Return”, in </w:t>
      </w:r>
      <w:proofErr w:type="spellStart"/>
      <w:r w:rsidRPr="00A53191">
        <w:t>Brealey</w:t>
      </w:r>
      <w:proofErr w:type="spellEnd"/>
      <w:r w:rsidRPr="00A53191">
        <w:t>, Myers and Allen</w:t>
      </w:r>
      <w:r>
        <w:t>,</w:t>
      </w:r>
      <w:r w:rsidRPr="00A53191">
        <w:rPr>
          <w:i/>
        </w:rPr>
        <w:t xml:space="preserve"> Principles of Corporate Finance</w:t>
      </w:r>
      <w:r>
        <w:t xml:space="preserve"> (</w:t>
      </w:r>
      <w:r w:rsidRPr="00A53191">
        <w:t>10</w:t>
      </w:r>
      <w:r w:rsidRPr="00A53191">
        <w:rPr>
          <w:vertAlign w:val="superscript"/>
        </w:rPr>
        <w:t>th</w:t>
      </w:r>
      <w:r w:rsidRPr="00A53191">
        <w:t xml:space="preserve"> ed.</w:t>
      </w:r>
      <w:r>
        <w:t xml:space="preserve"> </w:t>
      </w:r>
      <w:r w:rsidRPr="00A53191">
        <w:t>2011</w:t>
      </w:r>
      <w:r>
        <w:t>)</w:t>
      </w:r>
      <w:r w:rsidRPr="00A53191">
        <w:t>.</w:t>
      </w:r>
    </w:p>
  </w:footnote>
  <w:footnote w:id="78">
    <w:p w14:paraId="6E410034" w14:textId="1247D57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Principles of Corporate Finance</w:t>
      </w:r>
      <w:r>
        <w:t xml:space="preserve"> at page </w:t>
      </w:r>
      <w:r w:rsidRPr="00A53191">
        <w:t>173.</w:t>
      </w:r>
    </w:p>
  </w:footnote>
  <w:footnote w:id="79">
    <w:p w14:paraId="10BF13DF" w14:textId="78B4C9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w:t>
      </w:r>
      <w:r>
        <w:t>20, lines 12-15.</w:t>
      </w:r>
    </w:p>
  </w:footnote>
  <w:footnote w:id="80">
    <w:p w14:paraId="5AC0A0B5" w14:textId="642EF68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32, lines 8-13.</w:t>
      </w:r>
    </w:p>
  </w:footnote>
  <w:footnote w:id="81">
    <w:p w14:paraId="08088B3C" w14:textId="675CE0B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Mr.</w:t>
      </w:r>
      <w:r>
        <w:t> </w:t>
      </w:r>
      <w:r w:rsidRPr="00A53191">
        <w:t xml:space="preserve">Hill notes that “investors are concerned with the non-diversifiable risk of an investment, not the total risk.  Therefore, in theory, it is unlikely that investors will respond to the differences in total risk captured in this analysis because some portion of that risk could be diversified away.”  Hill, </w:t>
      </w:r>
      <w:proofErr w:type="spellStart"/>
      <w:r w:rsidRPr="00A53191">
        <w:t>Exh</w:t>
      </w:r>
      <w:proofErr w:type="spellEnd"/>
      <w:r w:rsidRPr="00A53191">
        <w:t>. No. ___(SGH-2T), at page </w:t>
      </w:r>
      <w:r>
        <w:t>112, line 22, through page 113, line 2.</w:t>
      </w:r>
    </w:p>
  </w:footnote>
  <w:footnote w:id="82">
    <w:p w14:paraId="4E7242C2" w14:textId="5920CE9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proofErr w:type="spellStart"/>
      <w:r w:rsidRPr="005F2CB3">
        <w:rPr>
          <w:i/>
        </w:rPr>
        <w:t>WUTC</w:t>
      </w:r>
      <w:proofErr w:type="spellEnd"/>
      <w:r w:rsidRPr="005F2CB3">
        <w:rPr>
          <w:i/>
        </w:rPr>
        <w:t xml:space="preserve"> v. Puget Sound Energy, Inc.</w:t>
      </w:r>
      <w:r>
        <w:t xml:space="preserve">, Order 07 Final Order Granting Petition, Dockets UE-121697, </w:t>
      </w:r>
      <w:r w:rsidRPr="005F2CB3">
        <w:rPr>
          <w:i/>
        </w:rPr>
        <w:t>et al</w:t>
      </w:r>
      <w:r>
        <w:t>. (consolidated) (June 25, 2013).</w:t>
      </w:r>
    </w:p>
  </w:footnote>
  <w:footnote w:id="83">
    <w:p w14:paraId="6D650EFE" w14:textId="5D63CF9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Order 07</w:t>
      </w:r>
      <w:r>
        <w:t xml:space="preserve"> at page ii, </w:t>
      </w:r>
      <w:r w:rsidRPr="00A53191">
        <w:t>Synopsis</w:t>
      </w:r>
      <w:r>
        <w:t xml:space="preserve"> (italics in original)</w:t>
      </w:r>
      <w:r w:rsidRPr="00A531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1" w14:textId="77777777" w:rsidR="003B0FD4" w:rsidRDefault="003B0FD4">
    <w:pPr>
      <w:pStyle w:val="Header"/>
    </w:pPr>
    <w:r>
      <w:rPr>
        <w:noProof/>
        <w:lang w:eastAsia="en-US"/>
      </w:rPr>
      <mc:AlternateContent>
        <mc:Choice Requires="wps">
          <w:drawing>
            <wp:anchor distT="0" distB="0" distL="114293" distR="114293" simplePos="0" relativeHeight="251658241" behindDoc="0" locked="0" layoutInCell="0" allowOverlap="1" wp14:anchorId="5D0ABAB4" wp14:editId="5D0ABAB5">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1;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0C9E4A87"/>
    <w:multiLevelType w:val="hybridMultilevel"/>
    <w:tmpl w:val="9E9C44FA"/>
    <w:lvl w:ilvl="0" w:tplc="CA98AE00">
      <w:numFmt w:val="bullet"/>
      <w:lvlText w:val="-"/>
      <w:lvlJc w:val="left"/>
      <w:pPr>
        <w:ind w:left="1440" w:hanging="360"/>
      </w:pPr>
      <w:rPr>
        <w:rFonts w:ascii="Sylfaen" w:eastAsiaTheme="minorHAnsi"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5D1F92"/>
    <w:multiLevelType w:val="hybridMultilevel"/>
    <w:tmpl w:val="0F4E8476"/>
    <w:lvl w:ilvl="0" w:tplc="41AE1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C2010ED"/>
    <w:multiLevelType w:val="hybridMultilevel"/>
    <w:tmpl w:val="9DB22202"/>
    <w:lvl w:ilvl="0" w:tplc="32E63370">
      <w:start w:val="1"/>
      <w:numFmt w:val="decimal"/>
      <w:pStyle w:val="BGNumberedList"/>
      <w:lvlText w:val="%1."/>
      <w:lvlJc w:val="left"/>
      <w:pPr>
        <w:ind w:left="720" w:hanging="360"/>
      </w:pPr>
      <w:rPr>
        <w:rFonts w:ascii="Sylfaen" w:hAnsi="Sylfaen" w:hint="default"/>
        <w:b w:val="0"/>
        <w:i w:val="0"/>
        <w:color w:val="302F3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8">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CCE7173"/>
    <w:multiLevelType w:val="hybridMultilevel"/>
    <w:tmpl w:val="D52A2E2A"/>
    <w:lvl w:ilvl="0" w:tplc="65B2D5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1">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0"/>
  </w:num>
  <w:num w:numId="3">
    <w:abstractNumId w:val="17"/>
  </w:num>
  <w:num w:numId="4">
    <w:abstractNumId w:val="10"/>
  </w:num>
  <w:num w:numId="5">
    <w:abstractNumId w:val="14"/>
  </w:num>
  <w:num w:numId="6">
    <w:abstractNumId w:val="15"/>
  </w:num>
  <w:num w:numId="7">
    <w:abstractNumId w:val="20"/>
  </w:num>
  <w:num w:numId="8">
    <w:abstractNumId w:val="11"/>
  </w:num>
  <w:num w:numId="9">
    <w:abstractNumId w:val="22"/>
  </w:num>
  <w:num w:numId="10">
    <w:abstractNumId w:val="12"/>
  </w:num>
  <w:num w:numId="11">
    <w:abstractNumId w:val="13"/>
  </w:num>
  <w:num w:numId="12">
    <w:abstractNumId w:val="3"/>
  </w:num>
  <w:num w:numId="13">
    <w:abstractNumId w:val="2"/>
  </w:num>
  <w:num w:numId="14">
    <w:abstractNumId w:val="9"/>
  </w:num>
  <w:num w:numId="15">
    <w:abstractNumId w:val="21"/>
  </w:num>
  <w:num w:numId="16">
    <w:abstractNumId w:val="4"/>
  </w:num>
  <w:num w:numId="17">
    <w:abstractNumId w:val="6"/>
  </w:num>
  <w:num w:numId="18">
    <w:abstractNumId w:val="18"/>
  </w:num>
  <w:num w:numId="19">
    <w:abstractNumId w:val="7"/>
  </w:num>
  <w:num w:numId="20">
    <w:abstractNumId w:val="8"/>
  </w:num>
  <w:num w:numId="21">
    <w:abstractNumId w:val="8"/>
    <w:lvlOverride w:ilvl="0">
      <w:startOverride w:val="1"/>
    </w:lvlOverride>
  </w:num>
  <w:num w:numId="22">
    <w:abstractNumId w:val="1"/>
  </w:num>
  <w:num w:numId="23">
    <w:abstractNumId w:val="5"/>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07D78"/>
    <w:rsid w:val="000101C9"/>
    <w:rsid w:val="000108CD"/>
    <w:rsid w:val="00011FD7"/>
    <w:rsid w:val="00013512"/>
    <w:rsid w:val="000139D8"/>
    <w:rsid w:val="00013D39"/>
    <w:rsid w:val="00014A80"/>
    <w:rsid w:val="00016520"/>
    <w:rsid w:val="000166B1"/>
    <w:rsid w:val="00016D72"/>
    <w:rsid w:val="00017290"/>
    <w:rsid w:val="00017DB9"/>
    <w:rsid w:val="000222FC"/>
    <w:rsid w:val="000230FD"/>
    <w:rsid w:val="00023506"/>
    <w:rsid w:val="000240C8"/>
    <w:rsid w:val="00024ADC"/>
    <w:rsid w:val="00025112"/>
    <w:rsid w:val="00027AE4"/>
    <w:rsid w:val="0003005E"/>
    <w:rsid w:val="000309B2"/>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2D3"/>
    <w:rsid w:val="0005078B"/>
    <w:rsid w:val="000528F5"/>
    <w:rsid w:val="00052A37"/>
    <w:rsid w:val="000532BD"/>
    <w:rsid w:val="00053B7F"/>
    <w:rsid w:val="00054347"/>
    <w:rsid w:val="00054C6A"/>
    <w:rsid w:val="00055FFA"/>
    <w:rsid w:val="000562F9"/>
    <w:rsid w:val="00057091"/>
    <w:rsid w:val="00057C3E"/>
    <w:rsid w:val="000601AC"/>
    <w:rsid w:val="000601F1"/>
    <w:rsid w:val="00060F57"/>
    <w:rsid w:val="00061195"/>
    <w:rsid w:val="00061AAB"/>
    <w:rsid w:val="000623F4"/>
    <w:rsid w:val="00064171"/>
    <w:rsid w:val="0006433A"/>
    <w:rsid w:val="00064903"/>
    <w:rsid w:val="00065690"/>
    <w:rsid w:val="000664BD"/>
    <w:rsid w:val="000671C3"/>
    <w:rsid w:val="000672C1"/>
    <w:rsid w:val="00067771"/>
    <w:rsid w:val="0006778A"/>
    <w:rsid w:val="00067EDF"/>
    <w:rsid w:val="0007001B"/>
    <w:rsid w:val="00071ADE"/>
    <w:rsid w:val="00071F5F"/>
    <w:rsid w:val="000720D0"/>
    <w:rsid w:val="00073353"/>
    <w:rsid w:val="000741DF"/>
    <w:rsid w:val="00074F26"/>
    <w:rsid w:val="000755AA"/>
    <w:rsid w:val="0007591C"/>
    <w:rsid w:val="00076A47"/>
    <w:rsid w:val="00076C2D"/>
    <w:rsid w:val="000815E7"/>
    <w:rsid w:val="0008213E"/>
    <w:rsid w:val="00082210"/>
    <w:rsid w:val="00082B2B"/>
    <w:rsid w:val="00082C18"/>
    <w:rsid w:val="000831B1"/>
    <w:rsid w:val="00085AFB"/>
    <w:rsid w:val="00085CC0"/>
    <w:rsid w:val="00085F69"/>
    <w:rsid w:val="000867DE"/>
    <w:rsid w:val="00086988"/>
    <w:rsid w:val="00087467"/>
    <w:rsid w:val="00091AD2"/>
    <w:rsid w:val="00091AE5"/>
    <w:rsid w:val="00092201"/>
    <w:rsid w:val="000925A8"/>
    <w:rsid w:val="000928D8"/>
    <w:rsid w:val="00092D5C"/>
    <w:rsid w:val="00093447"/>
    <w:rsid w:val="000947C0"/>
    <w:rsid w:val="00096A95"/>
    <w:rsid w:val="00097DC8"/>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2D60"/>
    <w:rsid w:val="000B4EC5"/>
    <w:rsid w:val="000B5329"/>
    <w:rsid w:val="000B547D"/>
    <w:rsid w:val="000B55AC"/>
    <w:rsid w:val="000B61D1"/>
    <w:rsid w:val="000B6E7F"/>
    <w:rsid w:val="000B7268"/>
    <w:rsid w:val="000C00E9"/>
    <w:rsid w:val="000C05B6"/>
    <w:rsid w:val="000C30BE"/>
    <w:rsid w:val="000C41E1"/>
    <w:rsid w:val="000C438E"/>
    <w:rsid w:val="000C5A2C"/>
    <w:rsid w:val="000C657F"/>
    <w:rsid w:val="000C6EA8"/>
    <w:rsid w:val="000C7BD8"/>
    <w:rsid w:val="000C7C74"/>
    <w:rsid w:val="000D0535"/>
    <w:rsid w:val="000D18C8"/>
    <w:rsid w:val="000D1FB5"/>
    <w:rsid w:val="000D2B67"/>
    <w:rsid w:val="000D30B9"/>
    <w:rsid w:val="000D34D0"/>
    <w:rsid w:val="000D3BF9"/>
    <w:rsid w:val="000D4B6A"/>
    <w:rsid w:val="000D66B3"/>
    <w:rsid w:val="000D7125"/>
    <w:rsid w:val="000E024D"/>
    <w:rsid w:val="000E060D"/>
    <w:rsid w:val="000E08A9"/>
    <w:rsid w:val="000E0E55"/>
    <w:rsid w:val="000E1508"/>
    <w:rsid w:val="000E1E45"/>
    <w:rsid w:val="000E20D1"/>
    <w:rsid w:val="000E24A6"/>
    <w:rsid w:val="000E296D"/>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2D2B"/>
    <w:rsid w:val="000F37F6"/>
    <w:rsid w:val="000F3839"/>
    <w:rsid w:val="000F4005"/>
    <w:rsid w:val="000F4267"/>
    <w:rsid w:val="000F490A"/>
    <w:rsid w:val="000F52A7"/>
    <w:rsid w:val="000F59B2"/>
    <w:rsid w:val="000F6F3C"/>
    <w:rsid w:val="000F762C"/>
    <w:rsid w:val="000F7DE8"/>
    <w:rsid w:val="00100417"/>
    <w:rsid w:val="001010E0"/>
    <w:rsid w:val="00102362"/>
    <w:rsid w:val="00102D02"/>
    <w:rsid w:val="001045A8"/>
    <w:rsid w:val="00106523"/>
    <w:rsid w:val="001066A2"/>
    <w:rsid w:val="0010692E"/>
    <w:rsid w:val="0010724B"/>
    <w:rsid w:val="00107F70"/>
    <w:rsid w:val="00111CF4"/>
    <w:rsid w:val="00112AA6"/>
    <w:rsid w:val="00112ECB"/>
    <w:rsid w:val="00113C14"/>
    <w:rsid w:val="00113E20"/>
    <w:rsid w:val="001148FE"/>
    <w:rsid w:val="00114B5C"/>
    <w:rsid w:val="00115F53"/>
    <w:rsid w:val="0012055A"/>
    <w:rsid w:val="00120B09"/>
    <w:rsid w:val="001218EE"/>
    <w:rsid w:val="00122161"/>
    <w:rsid w:val="00123904"/>
    <w:rsid w:val="001243B6"/>
    <w:rsid w:val="001248E8"/>
    <w:rsid w:val="00124B2D"/>
    <w:rsid w:val="00124E63"/>
    <w:rsid w:val="0012501C"/>
    <w:rsid w:val="001254C0"/>
    <w:rsid w:val="001261B3"/>
    <w:rsid w:val="00126228"/>
    <w:rsid w:val="00126630"/>
    <w:rsid w:val="001310AA"/>
    <w:rsid w:val="001314A8"/>
    <w:rsid w:val="0013195B"/>
    <w:rsid w:val="001327F5"/>
    <w:rsid w:val="001328A5"/>
    <w:rsid w:val="00132A7D"/>
    <w:rsid w:val="0013307F"/>
    <w:rsid w:val="00133145"/>
    <w:rsid w:val="001331FA"/>
    <w:rsid w:val="00133E0A"/>
    <w:rsid w:val="00135060"/>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207"/>
    <w:rsid w:val="001479BB"/>
    <w:rsid w:val="001479DB"/>
    <w:rsid w:val="00150762"/>
    <w:rsid w:val="001507AA"/>
    <w:rsid w:val="001509BF"/>
    <w:rsid w:val="00150B43"/>
    <w:rsid w:val="00151E68"/>
    <w:rsid w:val="00152139"/>
    <w:rsid w:val="00153134"/>
    <w:rsid w:val="001545A5"/>
    <w:rsid w:val="0015511C"/>
    <w:rsid w:val="00155A5E"/>
    <w:rsid w:val="00155ABF"/>
    <w:rsid w:val="001566B3"/>
    <w:rsid w:val="001569A7"/>
    <w:rsid w:val="00156AC4"/>
    <w:rsid w:val="001603DB"/>
    <w:rsid w:val="00160D82"/>
    <w:rsid w:val="0016182B"/>
    <w:rsid w:val="00161ACC"/>
    <w:rsid w:val="00162108"/>
    <w:rsid w:val="0016237E"/>
    <w:rsid w:val="00163054"/>
    <w:rsid w:val="001638AB"/>
    <w:rsid w:val="00164085"/>
    <w:rsid w:val="00164574"/>
    <w:rsid w:val="0016477D"/>
    <w:rsid w:val="0016594C"/>
    <w:rsid w:val="001664B2"/>
    <w:rsid w:val="001668C4"/>
    <w:rsid w:val="00166CB0"/>
    <w:rsid w:val="001671C5"/>
    <w:rsid w:val="0016777A"/>
    <w:rsid w:val="0016795C"/>
    <w:rsid w:val="00167BF8"/>
    <w:rsid w:val="0017005C"/>
    <w:rsid w:val="00170A15"/>
    <w:rsid w:val="00171539"/>
    <w:rsid w:val="0017273B"/>
    <w:rsid w:val="00172914"/>
    <w:rsid w:val="00174211"/>
    <w:rsid w:val="001744D8"/>
    <w:rsid w:val="0017489F"/>
    <w:rsid w:val="00175610"/>
    <w:rsid w:val="001759B2"/>
    <w:rsid w:val="00175CC3"/>
    <w:rsid w:val="00175E3E"/>
    <w:rsid w:val="00176EB6"/>
    <w:rsid w:val="0017762F"/>
    <w:rsid w:val="00177B8E"/>
    <w:rsid w:val="00180853"/>
    <w:rsid w:val="00180C05"/>
    <w:rsid w:val="00180D8B"/>
    <w:rsid w:val="00180E3A"/>
    <w:rsid w:val="001812AB"/>
    <w:rsid w:val="001817F0"/>
    <w:rsid w:val="001818AF"/>
    <w:rsid w:val="00181BFF"/>
    <w:rsid w:val="0018267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97FE2"/>
    <w:rsid w:val="001A00EB"/>
    <w:rsid w:val="001A20CB"/>
    <w:rsid w:val="001A250C"/>
    <w:rsid w:val="001A259E"/>
    <w:rsid w:val="001A28EB"/>
    <w:rsid w:val="001A2DBE"/>
    <w:rsid w:val="001A4458"/>
    <w:rsid w:val="001A4A08"/>
    <w:rsid w:val="001A5173"/>
    <w:rsid w:val="001A6472"/>
    <w:rsid w:val="001B05DD"/>
    <w:rsid w:val="001B0754"/>
    <w:rsid w:val="001B0F21"/>
    <w:rsid w:val="001B1042"/>
    <w:rsid w:val="001B1AB2"/>
    <w:rsid w:val="001B2C55"/>
    <w:rsid w:val="001B3B0C"/>
    <w:rsid w:val="001B3DF5"/>
    <w:rsid w:val="001B3E49"/>
    <w:rsid w:val="001B4051"/>
    <w:rsid w:val="001B4343"/>
    <w:rsid w:val="001B5DB9"/>
    <w:rsid w:val="001B5FA4"/>
    <w:rsid w:val="001B6B0A"/>
    <w:rsid w:val="001C05AF"/>
    <w:rsid w:val="001C1320"/>
    <w:rsid w:val="001C1757"/>
    <w:rsid w:val="001C2894"/>
    <w:rsid w:val="001C2995"/>
    <w:rsid w:val="001C33EE"/>
    <w:rsid w:val="001C398E"/>
    <w:rsid w:val="001C4E22"/>
    <w:rsid w:val="001C5E73"/>
    <w:rsid w:val="001C60A1"/>
    <w:rsid w:val="001C65AA"/>
    <w:rsid w:val="001C7315"/>
    <w:rsid w:val="001C7891"/>
    <w:rsid w:val="001D0F46"/>
    <w:rsid w:val="001D21E8"/>
    <w:rsid w:val="001D2261"/>
    <w:rsid w:val="001D2653"/>
    <w:rsid w:val="001D3097"/>
    <w:rsid w:val="001D3B56"/>
    <w:rsid w:val="001D4534"/>
    <w:rsid w:val="001D48E3"/>
    <w:rsid w:val="001D4F0B"/>
    <w:rsid w:val="001D5575"/>
    <w:rsid w:val="001D684E"/>
    <w:rsid w:val="001D68A6"/>
    <w:rsid w:val="001D6E44"/>
    <w:rsid w:val="001D7C48"/>
    <w:rsid w:val="001E02E4"/>
    <w:rsid w:val="001E0901"/>
    <w:rsid w:val="001E1485"/>
    <w:rsid w:val="001E2231"/>
    <w:rsid w:val="001E2391"/>
    <w:rsid w:val="001E2AEA"/>
    <w:rsid w:val="001E3020"/>
    <w:rsid w:val="001E4B26"/>
    <w:rsid w:val="001E513B"/>
    <w:rsid w:val="001E5206"/>
    <w:rsid w:val="001E694B"/>
    <w:rsid w:val="001F00F8"/>
    <w:rsid w:val="001F0A40"/>
    <w:rsid w:val="001F0E2A"/>
    <w:rsid w:val="001F12EA"/>
    <w:rsid w:val="001F2723"/>
    <w:rsid w:val="001F2C28"/>
    <w:rsid w:val="001F2DFD"/>
    <w:rsid w:val="001F3915"/>
    <w:rsid w:val="001F56EF"/>
    <w:rsid w:val="001F598B"/>
    <w:rsid w:val="001F6C69"/>
    <w:rsid w:val="002002EE"/>
    <w:rsid w:val="00200785"/>
    <w:rsid w:val="00200EAD"/>
    <w:rsid w:val="00202C2B"/>
    <w:rsid w:val="00203289"/>
    <w:rsid w:val="002032D3"/>
    <w:rsid w:val="00206603"/>
    <w:rsid w:val="00206824"/>
    <w:rsid w:val="00206F0F"/>
    <w:rsid w:val="00207F30"/>
    <w:rsid w:val="002107A7"/>
    <w:rsid w:val="00210A80"/>
    <w:rsid w:val="00210AF9"/>
    <w:rsid w:val="00210B80"/>
    <w:rsid w:val="00210F60"/>
    <w:rsid w:val="002111FC"/>
    <w:rsid w:val="002115FF"/>
    <w:rsid w:val="002117A1"/>
    <w:rsid w:val="00211FAA"/>
    <w:rsid w:val="002128AA"/>
    <w:rsid w:val="002142E7"/>
    <w:rsid w:val="00214BAA"/>
    <w:rsid w:val="00215BBC"/>
    <w:rsid w:val="002174BA"/>
    <w:rsid w:val="002174BE"/>
    <w:rsid w:val="002176C8"/>
    <w:rsid w:val="00217738"/>
    <w:rsid w:val="00220A86"/>
    <w:rsid w:val="0022127D"/>
    <w:rsid w:val="0022136F"/>
    <w:rsid w:val="00221CB5"/>
    <w:rsid w:val="0022254A"/>
    <w:rsid w:val="002225DC"/>
    <w:rsid w:val="002226ED"/>
    <w:rsid w:val="00222B92"/>
    <w:rsid w:val="002251FC"/>
    <w:rsid w:val="0022698A"/>
    <w:rsid w:val="00227A66"/>
    <w:rsid w:val="00227EB5"/>
    <w:rsid w:val="00232C1E"/>
    <w:rsid w:val="00232E37"/>
    <w:rsid w:val="002330A1"/>
    <w:rsid w:val="00235460"/>
    <w:rsid w:val="002363CA"/>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CF3"/>
    <w:rsid w:val="00255EA6"/>
    <w:rsid w:val="00256613"/>
    <w:rsid w:val="002568DE"/>
    <w:rsid w:val="00256B34"/>
    <w:rsid w:val="0026033F"/>
    <w:rsid w:val="00260694"/>
    <w:rsid w:val="00261527"/>
    <w:rsid w:val="00261C58"/>
    <w:rsid w:val="002625BD"/>
    <w:rsid w:val="00263954"/>
    <w:rsid w:val="00264A99"/>
    <w:rsid w:val="00264AEE"/>
    <w:rsid w:val="00264E4D"/>
    <w:rsid w:val="00265D15"/>
    <w:rsid w:val="00265D55"/>
    <w:rsid w:val="00265F00"/>
    <w:rsid w:val="002660AC"/>
    <w:rsid w:val="00266169"/>
    <w:rsid w:val="002667E4"/>
    <w:rsid w:val="00266CE4"/>
    <w:rsid w:val="002678EF"/>
    <w:rsid w:val="00267E65"/>
    <w:rsid w:val="0027022C"/>
    <w:rsid w:val="00271076"/>
    <w:rsid w:val="002711B0"/>
    <w:rsid w:val="002717A3"/>
    <w:rsid w:val="002720B1"/>
    <w:rsid w:val="002727F1"/>
    <w:rsid w:val="002747B0"/>
    <w:rsid w:val="00274BB3"/>
    <w:rsid w:val="002751B3"/>
    <w:rsid w:val="002757C3"/>
    <w:rsid w:val="002758F7"/>
    <w:rsid w:val="00276B53"/>
    <w:rsid w:val="002776EB"/>
    <w:rsid w:val="00277BAC"/>
    <w:rsid w:val="002807BC"/>
    <w:rsid w:val="00280CAC"/>
    <w:rsid w:val="00281323"/>
    <w:rsid w:val="0028186A"/>
    <w:rsid w:val="00281E39"/>
    <w:rsid w:val="00281FB1"/>
    <w:rsid w:val="00282721"/>
    <w:rsid w:val="00282C40"/>
    <w:rsid w:val="00284894"/>
    <w:rsid w:val="00285588"/>
    <w:rsid w:val="002855EA"/>
    <w:rsid w:val="0028781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89E"/>
    <w:rsid w:val="002B19A0"/>
    <w:rsid w:val="002B1D5B"/>
    <w:rsid w:val="002B1F0C"/>
    <w:rsid w:val="002B2909"/>
    <w:rsid w:val="002B2ACD"/>
    <w:rsid w:val="002B45B6"/>
    <w:rsid w:val="002B6A98"/>
    <w:rsid w:val="002B7714"/>
    <w:rsid w:val="002C06F4"/>
    <w:rsid w:val="002C091A"/>
    <w:rsid w:val="002C0A7C"/>
    <w:rsid w:val="002C1AF9"/>
    <w:rsid w:val="002C1E94"/>
    <w:rsid w:val="002C220C"/>
    <w:rsid w:val="002C2564"/>
    <w:rsid w:val="002C2A01"/>
    <w:rsid w:val="002C3969"/>
    <w:rsid w:val="002C4A47"/>
    <w:rsid w:val="002C4BFB"/>
    <w:rsid w:val="002C50FA"/>
    <w:rsid w:val="002C6216"/>
    <w:rsid w:val="002C6656"/>
    <w:rsid w:val="002C66F3"/>
    <w:rsid w:val="002C68E6"/>
    <w:rsid w:val="002C7C00"/>
    <w:rsid w:val="002D09AB"/>
    <w:rsid w:val="002D0C18"/>
    <w:rsid w:val="002D0FA8"/>
    <w:rsid w:val="002D1D18"/>
    <w:rsid w:val="002D28A6"/>
    <w:rsid w:val="002D33EB"/>
    <w:rsid w:val="002D3501"/>
    <w:rsid w:val="002D4045"/>
    <w:rsid w:val="002D5599"/>
    <w:rsid w:val="002D57CB"/>
    <w:rsid w:val="002D5DA2"/>
    <w:rsid w:val="002D5FE6"/>
    <w:rsid w:val="002D6565"/>
    <w:rsid w:val="002D673E"/>
    <w:rsid w:val="002D6908"/>
    <w:rsid w:val="002D6E71"/>
    <w:rsid w:val="002D6F6F"/>
    <w:rsid w:val="002D7216"/>
    <w:rsid w:val="002E0FE0"/>
    <w:rsid w:val="002E1234"/>
    <w:rsid w:val="002E1D75"/>
    <w:rsid w:val="002E282A"/>
    <w:rsid w:val="002E2A32"/>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61A"/>
    <w:rsid w:val="002F5779"/>
    <w:rsid w:val="002F6E18"/>
    <w:rsid w:val="002F7C7C"/>
    <w:rsid w:val="00300621"/>
    <w:rsid w:val="0030118E"/>
    <w:rsid w:val="0030150A"/>
    <w:rsid w:val="00301611"/>
    <w:rsid w:val="00301A61"/>
    <w:rsid w:val="00301A6C"/>
    <w:rsid w:val="0030288F"/>
    <w:rsid w:val="003059B7"/>
    <w:rsid w:val="00306502"/>
    <w:rsid w:val="00306F7C"/>
    <w:rsid w:val="0030775B"/>
    <w:rsid w:val="003107BA"/>
    <w:rsid w:val="00311DA1"/>
    <w:rsid w:val="00311E3C"/>
    <w:rsid w:val="003123A3"/>
    <w:rsid w:val="00312E8D"/>
    <w:rsid w:val="00313C03"/>
    <w:rsid w:val="003150B6"/>
    <w:rsid w:val="00315C4A"/>
    <w:rsid w:val="0031649B"/>
    <w:rsid w:val="00317C67"/>
    <w:rsid w:val="00317D20"/>
    <w:rsid w:val="00320191"/>
    <w:rsid w:val="0032071F"/>
    <w:rsid w:val="00320793"/>
    <w:rsid w:val="00320F41"/>
    <w:rsid w:val="00321BDE"/>
    <w:rsid w:val="00321EA6"/>
    <w:rsid w:val="00322395"/>
    <w:rsid w:val="00322945"/>
    <w:rsid w:val="00322CA7"/>
    <w:rsid w:val="003237D5"/>
    <w:rsid w:val="003239D7"/>
    <w:rsid w:val="00324237"/>
    <w:rsid w:val="003244A3"/>
    <w:rsid w:val="003255A1"/>
    <w:rsid w:val="00325A63"/>
    <w:rsid w:val="00325AD4"/>
    <w:rsid w:val="00325B31"/>
    <w:rsid w:val="00325CC4"/>
    <w:rsid w:val="0032688C"/>
    <w:rsid w:val="00326E7E"/>
    <w:rsid w:val="003301D4"/>
    <w:rsid w:val="003303D4"/>
    <w:rsid w:val="00330A52"/>
    <w:rsid w:val="0033262E"/>
    <w:rsid w:val="00332B7C"/>
    <w:rsid w:val="00332EAB"/>
    <w:rsid w:val="00332EF1"/>
    <w:rsid w:val="00334559"/>
    <w:rsid w:val="003353E2"/>
    <w:rsid w:val="003356C1"/>
    <w:rsid w:val="00335F02"/>
    <w:rsid w:val="0033664C"/>
    <w:rsid w:val="003373C6"/>
    <w:rsid w:val="003415CD"/>
    <w:rsid w:val="00341725"/>
    <w:rsid w:val="00341838"/>
    <w:rsid w:val="003419E3"/>
    <w:rsid w:val="003441F8"/>
    <w:rsid w:val="00345A5C"/>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2893"/>
    <w:rsid w:val="00363332"/>
    <w:rsid w:val="003646E5"/>
    <w:rsid w:val="00365D6C"/>
    <w:rsid w:val="00367621"/>
    <w:rsid w:val="0036790A"/>
    <w:rsid w:val="003703E8"/>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DF7"/>
    <w:rsid w:val="00387E62"/>
    <w:rsid w:val="0039010F"/>
    <w:rsid w:val="00390BB7"/>
    <w:rsid w:val="003917E0"/>
    <w:rsid w:val="003918EE"/>
    <w:rsid w:val="0039351A"/>
    <w:rsid w:val="00393553"/>
    <w:rsid w:val="00393930"/>
    <w:rsid w:val="00393BFD"/>
    <w:rsid w:val="00394906"/>
    <w:rsid w:val="0039565E"/>
    <w:rsid w:val="003957AC"/>
    <w:rsid w:val="00395C17"/>
    <w:rsid w:val="00396770"/>
    <w:rsid w:val="00396DC9"/>
    <w:rsid w:val="0039752F"/>
    <w:rsid w:val="00397E04"/>
    <w:rsid w:val="003A2002"/>
    <w:rsid w:val="003A25AC"/>
    <w:rsid w:val="003A32EF"/>
    <w:rsid w:val="003A358A"/>
    <w:rsid w:val="003A37CF"/>
    <w:rsid w:val="003A4E91"/>
    <w:rsid w:val="003A606F"/>
    <w:rsid w:val="003B0242"/>
    <w:rsid w:val="003B039B"/>
    <w:rsid w:val="003B0FD4"/>
    <w:rsid w:val="003B1953"/>
    <w:rsid w:val="003B3024"/>
    <w:rsid w:val="003B3F5D"/>
    <w:rsid w:val="003B4398"/>
    <w:rsid w:val="003B48E0"/>
    <w:rsid w:val="003B54A9"/>
    <w:rsid w:val="003B6B49"/>
    <w:rsid w:val="003B77BD"/>
    <w:rsid w:val="003B7BD3"/>
    <w:rsid w:val="003C0904"/>
    <w:rsid w:val="003C09A2"/>
    <w:rsid w:val="003C0EB4"/>
    <w:rsid w:val="003C1A3D"/>
    <w:rsid w:val="003C1E9D"/>
    <w:rsid w:val="003C229E"/>
    <w:rsid w:val="003C2573"/>
    <w:rsid w:val="003C37B0"/>
    <w:rsid w:val="003C37BC"/>
    <w:rsid w:val="003C3EB4"/>
    <w:rsid w:val="003C40E8"/>
    <w:rsid w:val="003C4233"/>
    <w:rsid w:val="003C4449"/>
    <w:rsid w:val="003C6A8F"/>
    <w:rsid w:val="003C6CFA"/>
    <w:rsid w:val="003D25AE"/>
    <w:rsid w:val="003D27FA"/>
    <w:rsid w:val="003D2CAA"/>
    <w:rsid w:val="003D3A7A"/>
    <w:rsid w:val="003D5491"/>
    <w:rsid w:val="003D5720"/>
    <w:rsid w:val="003D6487"/>
    <w:rsid w:val="003D6D6C"/>
    <w:rsid w:val="003D721D"/>
    <w:rsid w:val="003D7288"/>
    <w:rsid w:val="003E1248"/>
    <w:rsid w:val="003E1CD9"/>
    <w:rsid w:val="003E27C0"/>
    <w:rsid w:val="003E34B7"/>
    <w:rsid w:val="003E4007"/>
    <w:rsid w:val="003E418E"/>
    <w:rsid w:val="003E55B5"/>
    <w:rsid w:val="003E605A"/>
    <w:rsid w:val="003E79BA"/>
    <w:rsid w:val="003F07FA"/>
    <w:rsid w:val="003F136D"/>
    <w:rsid w:val="003F17F4"/>
    <w:rsid w:val="003F18D0"/>
    <w:rsid w:val="003F1EBA"/>
    <w:rsid w:val="003F1EE5"/>
    <w:rsid w:val="003F2814"/>
    <w:rsid w:val="003F2A32"/>
    <w:rsid w:val="003F2A81"/>
    <w:rsid w:val="003F2D69"/>
    <w:rsid w:val="003F2D98"/>
    <w:rsid w:val="003F2EC8"/>
    <w:rsid w:val="003F329D"/>
    <w:rsid w:val="003F32CF"/>
    <w:rsid w:val="003F3A2C"/>
    <w:rsid w:val="003F601C"/>
    <w:rsid w:val="003F6427"/>
    <w:rsid w:val="003F6625"/>
    <w:rsid w:val="003F6D15"/>
    <w:rsid w:val="003F6DC2"/>
    <w:rsid w:val="003F7B63"/>
    <w:rsid w:val="003F7BA0"/>
    <w:rsid w:val="004002E1"/>
    <w:rsid w:val="004005CD"/>
    <w:rsid w:val="00401BB7"/>
    <w:rsid w:val="0040344F"/>
    <w:rsid w:val="00403AB3"/>
    <w:rsid w:val="00404152"/>
    <w:rsid w:val="00404453"/>
    <w:rsid w:val="0040538F"/>
    <w:rsid w:val="004055E2"/>
    <w:rsid w:val="00405F79"/>
    <w:rsid w:val="004067DB"/>
    <w:rsid w:val="004070DB"/>
    <w:rsid w:val="00407301"/>
    <w:rsid w:val="00407DD1"/>
    <w:rsid w:val="004100FF"/>
    <w:rsid w:val="00410FB9"/>
    <w:rsid w:val="0041150E"/>
    <w:rsid w:val="00411F09"/>
    <w:rsid w:val="00412F85"/>
    <w:rsid w:val="004142F6"/>
    <w:rsid w:val="00414822"/>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4DCE"/>
    <w:rsid w:val="00445291"/>
    <w:rsid w:val="004471DB"/>
    <w:rsid w:val="004479B6"/>
    <w:rsid w:val="00447AB4"/>
    <w:rsid w:val="00452383"/>
    <w:rsid w:val="00452684"/>
    <w:rsid w:val="00453B78"/>
    <w:rsid w:val="00454484"/>
    <w:rsid w:val="0045503A"/>
    <w:rsid w:val="00456165"/>
    <w:rsid w:val="00456997"/>
    <w:rsid w:val="00460149"/>
    <w:rsid w:val="00460BD6"/>
    <w:rsid w:val="00461566"/>
    <w:rsid w:val="00461678"/>
    <w:rsid w:val="00461E68"/>
    <w:rsid w:val="0046216E"/>
    <w:rsid w:val="004634CD"/>
    <w:rsid w:val="004647BE"/>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631"/>
    <w:rsid w:val="004837B4"/>
    <w:rsid w:val="004847D0"/>
    <w:rsid w:val="00485753"/>
    <w:rsid w:val="00485EA0"/>
    <w:rsid w:val="00486844"/>
    <w:rsid w:val="00486B8D"/>
    <w:rsid w:val="00486F8C"/>
    <w:rsid w:val="00487ADE"/>
    <w:rsid w:val="00490207"/>
    <w:rsid w:val="00490E67"/>
    <w:rsid w:val="00491BBE"/>
    <w:rsid w:val="00492D49"/>
    <w:rsid w:val="00492DF3"/>
    <w:rsid w:val="00493A42"/>
    <w:rsid w:val="00493EFA"/>
    <w:rsid w:val="004947E9"/>
    <w:rsid w:val="004949C9"/>
    <w:rsid w:val="00494CF7"/>
    <w:rsid w:val="00495F6C"/>
    <w:rsid w:val="0049768D"/>
    <w:rsid w:val="00497740"/>
    <w:rsid w:val="00497A06"/>
    <w:rsid w:val="00497C3C"/>
    <w:rsid w:val="00497F4C"/>
    <w:rsid w:val="004A1256"/>
    <w:rsid w:val="004A1F3B"/>
    <w:rsid w:val="004A2BA6"/>
    <w:rsid w:val="004A34D1"/>
    <w:rsid w:val="004A3B70"/>
    <w:rsid w:val="004A4442"/>
    <w:rsid w:val="004A4716"/>
    <w:rsid w:val="004A4C45"/>
    <w:rsid w:val="004A636A"/>
    <w:rsid w:val="004A63BE"/>
    <w:rsid w:val="004A6596"/>
    <w:rsid w:val="004A694E"/>
    <w:rsid w:val="004A7817"/>
    <w:rsid w:val="004A78E3"/>
    <w:rsid w:val="004A794C"/>
    <w:rsid w:val="004B010D"/>
    <w:rsid w:val="004B0BE7"/>
    <w:rsid w:val="004B3487"/>
    <w:rsid w:val="004B3E9E"/>
    <w:rsid w:val="004B4939"/>
    <w:rsid w:val="004B56AB"/>
    <w:rsid w:val="004B5CBA"/>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E7241"/>
    <w:rsid w:val="004F11E5"/>
    <w:rsid w:val="004F25CC"/>
    <w:rsid w:val="004F272B"/>
    <w:rsid w:val="004F3149"/>
    <w:rsid w:val="004F35C5"/>
    <w:rsid w:val="004F4285"/>
    <w:rsid w:val="004F42CA"/>
    <w:rsid w:val="004F4C3D"/>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328"/>
    <w:rsid w:val="00512554"/>
    <w:rsid w:val="00513B70"/>
    <w:rsid w:val="00513C79"/>
    <w:rsid w:val="00515380"/>
    <w:rsid w:val="00515FC9"/>
    <w:rsid w:val="00516C00"/>
    <w:rsid w:val="00516FC7"/>
    <w:rsid w:val="00517837"/>
    <w:rsid w:val="00520D4B"/>
    <w:rsid w:val="00520E14"/>
    <w:rsid w:val="00522237"/>
    <w:rsid w:val="00524437"/>
    <w:rsid w:val="0052454D"/>
    <w:rsid w:val="005245FB"/>
    <w:rsid w:val="00524B1B"/>
    <w:rsid w:val="00524E22"/>
    <w:rsid w:val="00525277"/>
    <w:rsid w:val="00525A4A"/>
    <w:rsid w:val="00526306"/>
    <w:rsid w:val="00527866"/>
    <w:rsid w:val="00530959"/>
    <w:rsid w:val="00530C69"/>
    <w:rsid w:val="00533F86"/>
    <w:rsid w:val="00534A2F"/>
    <w:rsid w:val="00534DF3"/>
    <w:rsid w:val="00534FCA"/>
    <w:rsid w:val="005353E8"/>
    <w:rsid w:val="005374A8"/>
    <w:rsid w:val="00537591"/>
    <w:rsid w:val="00537B92"/>
    <w:rsid w:val="00537DCE"/>
    <w:rsid w:val="00537FD0"/>
    <w:rsid w:val="005413FD"/>
    <w:rsid w:val="00541977"/>
    <w:rsid w:val="00542BDF"/>
    <w:rsid w:val="00542E4A"/>
    <w:rsid w:val="005442EC"/>
    <w:rsid w:val="005447C6"/>
    <w:rsid w:val="00545CE3"/>
    <w:rsid w:val="00547BB0"/>
    <w:rsid w:val="00550151"/>
    <w:rsid w:val="005501CF"/>
    <w:rsid w:val="00551C94"/>
    <w:rsid w:val="00552318"/>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4D35"/>
    <w:rsid w:val="005651E0"/>
    <w:rsid w:val="00566498"/>
    <w:rsid w:val="00566D9B"/>
    <w:rsid w:val="00567AA6"/>
    <w:rsid w:val="00567AEA"/>
    <w:rsid w:val="0057057E"/>
    <w:rsid w:val="005705B1"/>
    <w:rsid w:val="0057087F"/>
    <w:rsid w:val="00571320"/>
    <w:rsid w:val="00571F90"/>
    <w:rsid w:val="0057278B"/>
    <w:rsid w:val="005729A1"/>
    <w:rsid w:val="005730AB"/>
    <w:rsid w:val="00573432"/>
    <w:rsid w:val="00574384"/>
    <w:rsid w:val="005748D1"/>
    <w:rsid w:val="00576551"/>
    <w:rsid w:val="00576BBD"/>
    <w:rsid w:val="0057740C"/>
    <w:rsid w:val="0057744B"/>
    <w:rsid w:val="005809F6"/>
    <w:rsid w:val="0058104E"/>
    <w:rsid w:val="0058265A"/>
    <w:rsid w:val="00582CE7"/>
    <w:rsid w:val="00582DC0"/>
    <w:rsid w:val="00582E21"/>
    <w:rsid w:val="00582F46"/>
    <w:rsid w:val="005843E5"/>
    <w:rsid w:val="00585564"/>
    <w:rsid w:val="00585597"/>
    <w:rsid w:val="00585BB2"/>
    <w:rsid w:val="00586E79"/>
    <w:rsid w:val="0058730B"/>
    <w:rsid w:val="005879F2"/>
    <w:rsid w:val="00587ADE"/>
    <w:rsid w:val="00587D8C"/>
    <w:rsid w:val="00587ECE"/>
    <w:rsid w:val="0059182F"/>
    <w:rsid w:val="005918DF"/>
    <w:rsid w:val="00591A61"/>
    <w:rsid w:val="00591CC3"/>
    <w:rsid w:val="00592134"/>
    <w:rsid w:val="00592351"/>
    <w:rsid w:val="00592472"/>
    <w:rsid w:val="00592A44"/>
    <w:rsid w:val="00592BA4"/>
    <w:rsid w:val="00592D78"/>
    <w:rsid w:val="00592DAD"/>
    <w:rsid w:val="00593147"/>
    <w:rsid w:val="0059465D"/>
    <w:rsid w:val="00594C7F"/>
    <w:rsid w:val="00596396"/>
    <w:rsid w:val="00596596"/>
    <w:rsid w:val="00596A3B"/>
    <w:rsid w:val="00597808"/>
    <w:rsid w:val="005A0C1C"/>
    <w:rsid w:val="005A34F1"/>
    <w:rsid w:val="005A3A5E"/>
    <w:rsid w:val="005A3D14"/>
    <w:rsid w:val="005A3E82"/>
    <w:rsid w:val="005A5C7F"/>
    <w:rsid w:val="005A7B39"/>
    <w:rsid w:val="005B1B78"/>
    <w:rsid w:val="005B1BDA"/>
    <w:rsid w:val="005B1CB8"/>
    <w:rsid w:val="005B2241"/>
    <w:rsid w:val="005B2FA0"/>
    <w:rsid w:val="005B314D"/>
    <w:rsid w:val="005B485C"/>
    <w:rsid w:val="005B4E19"/>
    <w:rsid w:val="005B4F0C"/>
    <w:rsid w:val="005B5DE1"/>
    <w:rsid w:val="005B7A47"/>
    <w:rsid w:val="005B7C17"/>
    <w:rsid w:val="005B7DA8"/>
    <w:rsid w:val="005C1D49"/>
    <w:rsid w:val="005C2638"/>
    <w:rsid w:val="005C26D2"/>
    <w:rsid w:val="005C2EC0"/>
    <w:rsid w:val="005C3BDA"/>
    <w:rsid w:val="005C4134"/>
    <w:rsid w:val="005C4350"/>
    <w:rsid w:val="005C4382"/>
    <w:rsid w:val="005C58C8"/>
    <w:rsid w:val="005C633A"/>
    <w:rsid w:val="005C6F49"/>
    <w:rsid w:val="005C76FA"/>
    <w:rsid w:val="005C7CC2"/>
    <w:rsid w:val="005C7F64"/>
    <w:rsid w:val="005D058D"/>
    <w:rsid w:val="005D180F"/>
    <w:rsid w:val="005D27B0"/>
    <w:rsid w:val="005D27C9"/>
    <w:rsid w:val="005D2DF2"/>
    <w:rsid w:val="005D3306"/>
    <w:rsid w:val="005D4735"/>
    <w:rsid w:val="005D4C7B"/>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5225"/>
    <w:rsid w:val="005E63F8"/>
    <w:rsid w:val="005E6AA5"/>
    <w:rsid w:val="005E7106"/>
    <w:rsid w:val="005E7DF8"/>
    <w:rsid w:val="005F076D"/>
    <w:rsid w:val="005F0DAB"/>
    <w:rsid w:val="005F161D"/>
    <w:rsid w:val="005F2A8D"/>
    <w:rsid w:val="005F2CB3"/>
    <w:rsid w:val="005F2E6F"/>
    <w:rsid w:val="005F33DA"/>
    <w:rsid w:val="005F3825"/>
    <w:rsid w:val="005F475C"/>
    <w:rsid w:val="005F76C3"/>
    <w:rsid w:val="005F7C55"/>
    <w:rsid w:val="00600207"/>
    <w:rsid w:val="00600A48"/>
    <w:rsid w:val="00600AFF"/>
    <w:rsid w:val="00601573"/>
    <w:rsid w:val="006016E2"/>
    <w:rsid w:val="00601F0F"/>
    <w:rsid w:val="006039AA"/>
    <w:rsid w:val="00603E13"/>
    <w:rsid w:val="00604765"/>
    <w:rsid w:val="00604C05"/>
    <w:rsid w:val="006052DC"/>
    <w:rsid w:val="00605756"/>
    <w:rsid w:val="00605D54"/>
    <w:rsid w:val="006060D0"/>
    <w:rsid w:val="00606401"/>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6BA1"/>
    <w:rsid w:val="00617A6B"/>
    <w:rsid w:val="006203EB"/>
    <w:rsid w:val="00620DC8"/>
    <w:rsid w:val="006219C1"/>
    <w:rsid w:val="00622D1F"/>
    <w:rsid w:val="00624398"/>
    <w:rsid w:val="006254D3"/>
    <w:rsid w:val="00625D99"/>
    <w:rsid w:val="00626651"/>
    <w:rsid w:val="00630315"/>
    <w:rsid w:val="00630E4A"/>
    <w:rsid w:val="006319EB"/>
    <w:rsid w:val="00632141"/>
    <w:rsid w:val="00633834"/>
    <w:rsid w:val="00634A84"/>
    <w:rsid w:val="00635B8A"/>
    <w:rsid w:val="00636B02"/>
    <w:rsid w:val="00640E94"/>
    <w:rsid w:val="00641CBB"/>
    <w:rsid w:val="00643051"/>
    <w:rsid w:val="00643350"/>
    <w:rsid w:val="00643662"/>
    <w:rsid w:val="006476FF"/>
    <w:rsid w:val="00650709"/>
    <w:rsid w:val="00650CC9"/>
    <w:rsid w:val="006511CF"/>
    <w:rsid w:val="00652081"/>
    <w:rsid w:val="0065273E"/>
    <w:rsid w:val="00652A50"/>
    <w:rsid w:val="00652CDE"/>
    <w:rsid w:val="0065378F"/>
    <w:rsid w:val="00653AB6"/>
    <w:rsid w:val="00653E0A"/>
    <w:rsid w:val="0065510D"/>
    <w:rsid w:val="0065556C"/>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01B8"/>
    <w:rsid w:val="006705F7"/>
    <w:rsid w:val="00670B51"/>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2794"/>
    <w:rsid w:val="00682D7D"/>
    <w:rsid w:val="006833CD"/>
    <w:rsid w:val="00683DCA"/>
    <w:rsid w:val="0068401B"/>
    <w:rsid w:val="0068454F"/>
    <w:rsid w:val="00684DB1"/>
    <w:rsid w:val="0068576F"/>
    <w:rsid w:val="0068599B"/>
    <w:rsid w:val="00685B15"/>
    <w:rsid w:val="0068601B"/>
    <w:rsid w:val="006862F6"/>
    <w:rsid w:val="00686335"/>
    <w:rsid w:val="006871DF"/>
    <w:rsid w:val="0068740D"/>
    <w:rsid w:val="00687BB4"/>
    <w:rsid w:val="00690181"/>
    <w:rsid w:val="00690561"/>
    <w:rsid w:val="006908C1"/>
    <w:rsid w:val="00690D90"/>
    <w:rsid w:val="006912A9"/>
    <w:rsid w:val="0069184D"/>
    <w:rsid w:val="00691C6A"/>
    <w:rsid w:val="00692D1B"/>
    <w:rsid w:val="006936D1"/>
    <w:rsid w:val="00693C60"/>
    <w:rsid w:val="0069502F"/>
    <w:rsid w:val="0069571F"/>
    <w:rsid w:val="00695D44"/>
    <w:rsid w:val="00696255"/>
    <w:rsid w:val="006A0180"/>
    <w:rsid w:val="006A0358"/>
    <w:rsid w:val="006A11C5"/>
    <w:rsid w:val="006A1A12"/>
    <w:rsid w:val="006A1E69"/>
    <w:rsid w:val="006A262E"/>
    <w:rsid w:val="006A3268"/>
    <w:rsid w:val="006A36EB"/>
    <w:rsid w:val="006A3AD6"/>
    <w:rsid w:val="006A5744"/>
    <w:rsid w:val="006A6DBC"/>
    <w:rsid w:val="006A7035"/>
    <w:rsid w:val="006A716E"/>
    <w:rsid w:val="006A74F5"/>
    <w:rsid w:val="006A7C41"/>
    <w:rsid w:val="006B0261"/>
    <w:rsid w:val="006B053C"/>
    <w:rsid w:val="006B09BA"/>
    <w:rsid w:val="006B3EB1"/>
    <w:rsid w:val="006B40A8"/>
    <w:rsid w:val="006B4712"/>
    <w:rsid w:val="006B4928"/>
    <w:rsid w:val="006B50D3"/>
    <w:rsid w:val="006B5757"/>
    <w:rsid w:val="006B5F90"/>
    <w:rsid w:val="006B79D5"/>
    <w:rsid w:val="006C04B6"/>
    <w:rsid w:val="006C0A67"/>
    <w:rsid w:val="006C0B06"/>
    <w:rsid w:val="006C15B5"/>
    <w:rsid w:val="006C1CCC"/>
    <w:rsid w:val="006C212D"/>
    <w:rsid w:val="006C24C4"/>
    <w:rsid w:val="006C25C2"/>
    <w:rsid w:val="006C27F1"/>
    <w:rsid w:val="006C2CC9"/>
    <w:rsid w:val="006C2ED2"/>
    <w:rsid w:val="006C4C28"/>
    <w:rsid w:val="006C7734"/>
    <w:rsid w:val="006C78DE"/>
    <w:rsid w:val="006C793A"/>
    <w:rsid w:val="006D0311"/>
    <w:rsid w:val="006D07F2"/>
    <w:rsid w:val="006D0E17"/>
    <w:rsid w:val="006D1312"/>
    <w:rsid w:val="006D14F9"/>
    <w:rsid w:val="006D24E5"/>
    <w:rsid w:val="006D3608"/>
    <w:rsid w:val="006D37B6"/>
    <w:rsid w:val="006D40EB"/>
    <w:rsid w:val="006D48DF"/>
    <w:rsid w:val="006D5137"/>
    <w:rsid w:val="006D5280"/>
    <w:rsid w:val="006D579D"/>
    <w:rsid w:val="006D5D2B"/>
    <w:rsid w:val="006D6D1B"/>
    <w:rsid w:val="006D6D2C"/>
    <w:rsid w:val="006D6F94"/>
    <w:rsid w:val="006D72BE"/>
    <w:rsid w:val="006D7FB6"/>
    <w:rsid w:val="006E034B"/>
    <w:rsid w:val="006E041D"/>
    <w:rsid w:val="006E0DDE"/>
    <w:rsid w:val="006E0E79"/>
    <w:rsid w:val="006E106E"/>
    <w:rsid w:val="006E159E"/>
    <w:rsid w:val="006E16B1"/>
    <w:rsid w:val="006E1B73"/>
    <w:rsid w:val="006E38DF"/>
    <w:rsid w:val="006E39DE"/>
    <w:rsid w:val="006E42AB"/>
    <w:rsid w:val="006E52F9"/>
    <w:rsid w:val="006E670F"/>
    <w:rsid w:val="006E6860"/>
    <w:rsid w:val="006E69AC"/>
    <w:rsid w:val="006E7B76"/>
    <w:rsid w:val="006E7D9A"/>
    <w:rsid w:val="006F0464"/>
    <w:rsid w:val="006F0A9B"/>
    <w:rsid w:val="006F0CA7"/>
    <w:rsid w:val="006F33F6"/>
    <w:rsid w:val="006F4BDA"/>
    <w:rsid w:val="006F4C3F"/>
    <w:rsid w:val="006F5D9E"/>
    <w:rsid w:val="006F6C8D"/>
    <w:rsid w:val="006F760B"/>
    <w:rsid w:val="00700519"/>
    <w:rsid w:val="00702F60"/>
    <w:rsid w:val="007030B9"/>
    <w:rsid w:val="007034CE"/>
    <w:rsid w:val="007038CC"/>
    <w:rsid w:val="007040AA"/>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78"/>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5B59"/>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56E60"/>
    <w:rsid w:val="00760094"/>
    <w:rsid w:val="007601AB"/>
    <w:rsid w:val="00760D6C"/>
    <w:rsid w:val="00761C3C"/>
    <w:rsid w:val="007634AB"/>
    <w:rsid w:val="00763C78"/>
    <w:rsid w:val="00763E2D"/>
    <w:rsid w:val="00764A88"/>
    <w:rsid w:val="007651A2"/>
    <w:rsid w:val="00765415"/>
    <w:rsid w:val="00765BC2"/>
    <w:rsid w:val="00765CD3"/>
    <w:rsid w:val="007664B8"/>
    <w:rsid w:val="007678F0"/>
    <w:rsid w:val="00767F93"/>
    <w:rsid w:val="00770765"/>
    <w:rsid w:val="00770C1C"/>
    <w:rsid w:val="007732A5"/>
    <w:rsid w:val="0077386A"/>
    <w:rsid w:val="00774148"/>
    <w:rsid w:val="007748F7"/>
    <w:rsid w:val="00774C7E"/>
    <w:rsid w:val="00776516"/>
    <w:rsid w:val="00777698"/>
    <w:rsid w:val="007777BC"/>
    <w:rsid w:val="00780212"/>
    <w:rsid w:val="00780447"/>
    <w:rsid w:val="0078122C"/>
    <w:rsid w:val="00781394"/>
    <w:rsid w:val="0078192B"/>
    <w:rsid w:val="00782D16"/>
    <w:rsid w:val="00784CBE"/>
    <w:rsid w:val="00784F4E"/>
    <w:rsid w:val="00786F84"/>
    <w:rsid w:val="00787143"/>
    <w:rsid w:val="00787792"/>
    <w:rsid w:val="007879A0"/>
    <w:rsid w:val="00787F86"/>
    <w:rsid w:val="007900B1"/>
    <w:rsid w:val="00790349"/>
    <w:rsid w:val="00790A7B"/>
    <w:rsid w:val="007912BD"/>
    <w:rsid w:val="007916C8"/>
    <w:rsid w:val="007916DE"/>
    <w:rsid w:val="00792A48"/>
    <w:rsid w:val="00793ED4"/>
    <w:rsid w:val="00794888"/>
    <w:rsid w:val="00794A7D"/>
    <w:rsid w:val="00794BAC"/>
    <w:rsid w:val="00795240"/>
    <w:rsid w:val="007952D8"/>
    <w:rsid w:val="007955DE"/>
    <w:rsid w:val="007964B6"/>
    <w:rsid w:val="00796AB9"/>
    <w:rsid w:val="00796F84"/>
    <w:rsid w:val="007A0359"/>
    <w:rsid w:val="007A038A"/>
    <w:rsid w:val="007A09DE"/>
    <w:rsid w:val="007A14AE"/>
    <w:rsid w:val="007A1C4B"/>
    <w:rsid w:val="007A217C"/>
    <w:rsid w:val="007A264B"/>
    <w:rsid w:val="007A3634"/>
    <w:rsid w:val="007A3930"/>
    <w:rsid w:val="007A50D7"/>
    <w:rsid w:val="007A524A"/>
    <w:rsid w:val="007A52B5"/>
    <w:rsid w:val="007A693A"/>
    <w:rsid w:val="007B071B"/>
    <w:rsid w:val="007B08A2"/>
    <w:rsid w:val="007B0D7A"/>
    <w:rsid w:val="007B2007"/>
    <w:rsid w:val="007B3174"/>
    <w:rsid w:val="007B413A"/>
    <w:rsid w:val="007B43E3"/>
    <w:rsid w:val="007B46B9"/>
    <w:rsid w:val="007B51EC"/>
    <w:rsid w:val="007B5B13"/>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758"/>
    <w:rsid w:val="007D4C5C"/>
    <w:rsid w:val="007D4D04"/>
    <w:rsid w:val="007D4E77"/>
    <w:rsid w:val="007D50A4"/>
    <w:rsid w:val="007D5335"/>
    <w:rsid w:val="007D6872"/>
    <w:rsid w:val="007D6CEF"/>
    <w:rsid w:val="007D728F"/>
    <w:rsid w:val="007D794D"/>
    <w:rsid w:val="007D7C2F"/>
    <w:rsid w:val="007E09D2"/>
    <w:rsid w:val="007E1DD5"/>
    <w:rsid w:val="007E28A2"/>
    <w:rsid w:val="007E29A4"/>
    <w:rsid w:val="007E3002"/>
    <w:rsid w:val="007E3032"/>
    <w:rsid w:val="007E35FD"/>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1F8"/>
    <w:rsid w:val="007F3746"/>
    <w:rsid w:val="007F3EA4"/>
    <w:rsid w:val="007F4174"/>
    <w:rsid w:val="007F4E35"/>
    <w:rsid w:val="007F518F"/>
    <w:rsid w:val="007F5450"/>
    <w:rsid w:val="007F5A13"/>
    <w:rsid w:val="007F6A9D"/>
    <w:rsid w:val="007F6C03"/>
    <w:rsid w:val="007F72D9"/>
    <w:rsid w:val="007F7E67"/>
    <w:rsid w:val="00801246"/>
    <w:rsid w:val="00801D04"/>
    <w:rsid w:val="00802ACC"/>
    <w:rsid w:val="00802BCB"/>
    <w:rsid w:val="00803700"/>
    <w:rsid w:val="00803A83"/>
    <w:rsid w:val="00804023"/>
    <w:rsid w:val="0080646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144"/>
    <w:rsid w:val="00821648"/>
    <w:rsid w:val="00821B30"/>
    <w:rsid w:val="008228E3"/>
    <w:rsid w:val="008233AF"/>
    <w:rsid w:val="0082398C"/>
    <w:rsid w:val="00823BFE"/>
    <w:rsid w:val="008244B4"/>
    <w:rsid w:val="0082527D"/>
    <w:rsid w:val="00825E6E"/>
    <w:rsid w:val="00826186"/>
    <w:rsid w:val="008272EF"/>
    <w:rsid w:val="0082743F"/>
    <w:rsid w:val="00827622"/>
    <w:rsid w:val="00830AC7"/>
    <w:rsid w:val="0083228E"/>
    <w:rsid w:val="008326C3"/>
    <w:rsid w:val="008329CF"/>
    <w:rsid w:val="00832B64"/>
    <w:rsid w:val="00833992"/>
    <w:rsid w:val="00834A08"/>
    <w:rsid w:val="0083536B"/>
    <w:rsid w:val="00835817"/>
    <w:rsid w:val="0083638D"/>
    <w:rsid w:val="00836CF3"/>
    <w:rsid w:val="00837E3B"/>
    <w:rsid w:val="00840CAF"/>
    <w:rsid w:val="008418FE"/>
    <w:rsid w:val="00841B7E"/>
    <w:rsid w:val="008420FF"/>
    <w:rsid w:val="008426C6"/>
    <w:rsid w:val="00842E34"/>
    <w:rsid w:val="00844F74"/>
    <w:rsid w:val="00845A09"/>
    <w:rsid w:val="0084663C"/>
    <w:rsid w:val="008466E7"/>
    <w:rsid w:val="00846CA5"/>
    <w:rsid w:val="00847525"/>
    <w:rsid w:val="0085014D"/>
    <w:rsid w:val="00850AAD"/>
    <w:rsid w:val="008510DA"/>
    <w:rsid w:val="00851308"/>
    <w:rsid w:val="00851939"/>
    <w:rsid w:val="008519D7"/>
    <w:rsid w:val="008528D7"/>
    <w:rsid w:val="008530FC"/>
    <w:rsid w:val="00853D37"/>
    <w:rsid w:val="0085432B"/>
    <w:rsid w:val="00854371"/>
    <w:rsid w:val="00854A7C"/>
    <w:rsid w:val="008554E1"/>
    <w:rsid w:val="008572FE"/>
    <w:rsid w:val="00857C4F"/>
    <w:rsid w:val="00857E28"/>
    <w:rsid w:val="00860860"/>
    <w:rsid w:val="00861015"/>
    <w:rsid w:val="008611A4"/>
    <w:rsid w:val="008619FF"/>
    <w:rsid w:val="008622E6"/>
    <w:rsid w:val="00862338"/>
    <w:rsid w:val="00862C8F"/>
    <w:rsid w:val="008648CD"/>
    <w:rsid w:val="00864908"/>
    <w:rsid w:val="00864AA9"/>
    <w:rsid w:val="008654ED"/>
    <w:rsid w:val="008657C5"/>
    <w:rsid w:val="008659FF"/>
    <w:rsid w:val="00870468"/>
    <w:rsid w:val="008707B7"/>
    <w:rsid w:val="0087120D"/>
    <w:rsid w:val="00871BFC"/>
    <w:rsid w:val="00871EDA"/>
    <w:rsid w:val="00872104"/>
    <w:rsid w:val="008728B1"/>
    <w:rsid w:val="00873862"/>
    <w:rsid w:val="0087460B"/>
    <w:rsid w:val="00874D07"/>
    <w:rsid w:val="00874FAE"/>
    <w:rsid w:val="00875BED"/>
    <w:rsid w:val="00875F8F"/>
    <w:rsid w:val="0087636B"/>
    <w:rsid w:val="008765CD"/>
    <w:rsid w:val="00880E78"/>
    <w:rsid w:val="00881A27"/>
    <w:rsid w:val="008827A7"/>
    <w:rsid w:val="00882BF9"/>
    <w:rsid w:val="00883146"/>
    <w:rsid w:val="00883307"/>
    <w:rsid w:val="0088373F"/>
    <w:rsid w:val="00884379"/>
    <w:rsid w:val="0088470E"/>
    <w:rsid w:val="00886451"/>
    <w:rsid w:val="00886603"/>
    <w:rsid w:val="008906F3"/>
    <w:rsid w:val="0089091E"/>
    <w:rsid w:val="00890AB0"/>
    <w:rsid w:val="00890D83"/>
    <w:rsid w:val="0089212C"/>
    <w:rsid w:val="008922FA"/>
    <w:rsid w:val="00892520"/>
    <w:rsid w:val="008936E2"/>
    <w:rsid w:val="008941EB"/>
    <w:rsid w:val="008948DC"/>
    <w:rsid w:val="00896299"/>
    <w:rsid w:val="008975B2"/>
    <w:rsid w:val="008978DD"/>
    <w:rsid w:val="008A059F"/>
    <w:rsid w:val="008A0B3E"/>
    <w:rsid w:val="008A1F10"/>
    <w:rsid w:val="008A25BF"/>
    <w:rsid w:val="008A288C"/>
    <w:rsid w:val="008A3638"/>
    <w:rsid w:val="008A407A"/>
    <w:rsid w:val="008A5E4E"/>
    <w:rsid w:val="008A5FCA"/>
    <w:rsid w:val="008A606D"/>
    <w:rsid w:val="008A6381"/>
    <w:rsid w:val="008A66A7"/>
    <w:rsid w:val="008A67CF"/>
    <w:rsid w:val="008A6B5F"/>
    <w:rsid w:val="008A79F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6669"/>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055A"/>
    <w:rsid w:val="008D0C4F"/>
    <w:rsid w:val="008D113B"/>
    <w:rsid w:val="008D160D"/>
    <w:rsid w:val="008D1FD4"/>
    <w:rsid w:val="008D2101"/>
    <w:rsid w:val="008D2CE4"/>
    <w:rsid w:val="008D3FE1"/>
    <w:rsid w:val="008D4518"/>
    <w:rsid w:val="008D4C23"/>
    <w:rsid w:val="008E00EF"/>
    <w:rsid w:val="008E1898"/>
    <w:rsid w:val="008E3C4E"/>
    <w:rsid w:val="008E3CB8"/>
    <w:rsid w:val="008E4520"/>
    <w:rsid w:val="008E50A1"/>
    <w:rsid w:val="008E5C68"/>
    <w:rsid w:val="008E5D69"/>
    <w:rsid w:val="008E61BB"/>
    <w:rsid w:val="008E66B1"/>
    <w:rsid w:val="008E6753"/>
    <w:rsid w:val="008E742D"/>
    <w:rsid w:val="008E7A0D"/>
    <w:rsid w:val="008F0360"/>
    <w:rsid w:val="008F1F8B"/>
    <w:rsid w:val="008F21F0"/>
    <w:rsid w:val="008F228E"/>
    <w:rsid w:val="008F2D17"/>
    <w:rsid w:val="008F375C"/>
    <w:rsid w:val="008F455B"/>
    <w:rsid w:val="008F456D"/>
    <w:rsid w:val="008F4C14"/>
    <w:rsid w:val="008F6008"/>
    <w:rsid w:val="008F6105"/>
    <w:rsid w:val="008F70BE"/>
    <w:rsid w:val="008F7306"/>
    <w:rsid w:val="008F7361"/>
    <w:rsid w:val="008F7F31"/>
    <w:rsid w:val="008F7F79"/>
    <w:rsid w:val="00900518"/>
    <w:rsid w:val="00900BA8"/>
    <w:rsid w:val="009013D9"/>
    <w:rsid w:val="009018E5"/>
    <w:rsid w:val="00902AA1"/>
    <w:rsid w:val="00905FE3"/>
    <w:rsid w:val="009067E4"/>
    <w:rsid w:val="00906937"/>
    <w:rsid w:val="009075DC"/>
    <w:rsid w:val="00907CA5"/>
    <w:rsid w:val="00910504"/>
    <w:rsid w:val="009106B4"/>
    <w:rsid w:val="00911969"/>
    <w:rsid w:val="00912345"/>
    <w:rsid w:val="00912ACA"/>
    <w:rsid w:val="00912EEC"/>
    <w:rsid w:val="009139C3"/>
    <w:rsid w:val="00913CE6"/>
    <w:rsid w:val="00913F9B"/>
    <w:rsid w:val="009142C4"/>
    <w:rsid w:val="00914617"/>
    <w:rsid w:val="00914888"/>
    <w:rsid w:val="0091560B"/>
    <w:rsid w:val="00915F3E"/>
    <w:rsid w:val="009162B1"/>
    <w:rsid w:val="009167EB"/>
    <w:rsid w:val="00917969"/>
    <w:rsid w:val="00921619"/>
    <w:rsid w:val="00921C0B"/>
    <w:rsid w:val="009225E7"/>
    <w:rsid w:val="00923506"/>
    <w:rsid w:val="0092367C"/>
    <w:rsid w:val="009243DE"/>
    <w:rsid w:val="00924F80"/>
    <w:rsid w:val="00925548"/>
    <w:rsid w:val="00926395"/>
    <w:rsid w:val="0092667E"/>
    <w:rsid w:val="00926BB5"/>
    <w:rsid w:val="00927BE5"/>
    <w:rsid w:val="00930614"/>
    <w:rsid w:val="00930DE9"/>
    <w:rsid w:val="00930FAD"/>
    <w:rsid w:val="00931AF0"/>
    <w:rsid w:val="00932723"/>
    <w:rsid w:val="009331A8"/>
    <w:rsid w:val="00933C29"/>
    <w:rsid w:val="00933FF1"/>
    <w:rsid w:val="00934526"/>
    <w:rsid w:val="0093478A"/>
    <w:rsid w:val="009349A4"/>
    <w:rsid w:val="00934BE7"/>
    <w:rsid w:val="00934C39"/>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60C0"/>
    <w:rsid w:val="00947B74"/>
    <w:rsid w:val="00947F23"/>
    <w:rsid w:val="00951590"/>
    <w:rsid w:val="0095175D"/>
    <w:rsid w:val="00951A89"/>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150B"/>
    <w:rsid w:val="00972197"/>
    <w:rsid w:val="0097229E"/>
    <w:rsid w:val="00972BD7"/>
    <w:rsid w:val="00972D2E"/>
    <w:rsid w:val="0097489A"/>
    <w:rsid w:val="009752C9"/>
    <w:rsid w:val="00975FAE"/>
    <w:rsid w:val="009760D8"/>
    <w:rsid w:val="00976AEB"/>
    <w:rsid w:val="009773FF"/>
    <w:rsid w:val="009775C7"/>
    <w:rsid w:val="009779B9"/>
    <w:rsid w:val="00977B93"/>
    <w:rsid w:val="00980076"/>
    <w:rsid w:val="00980289"/>
    <w:rsid w:val="009810B0"/>
    <w:rsid w:val="009814F5"/>
    <w:rsid w:val="0098299A"/>
    <w:rsid w:val="00983DD9"/>
    <w:rsid w:val="00984259"/>
    <w:rsid w:val="009852B7"/>
    <w:rsid w:val="00985C97"/>
    <w:rsid w:val="00985D15"/>
    <w:rsid w:val="009869AA"/>
    <w:rsid w:val="009870A9"/>
    <w:rsid w:val="009878D7"/>
    <w:rsid w:val="00987A64"/>
    <w:rsid w:val="00990591"/>
    <w:rsid w:val="00990FFC"/>
    <w:rsid w:val="00991A60"/>
    <w:rsid w:val="0099224E"/>
    <w:rsid w:val="0099372A"/>
    <w:rsid w:val="00993BD7"/>
    <w:rsid w:val="00993D71"/>
    <w:rsid w:val="00994C51"/>
    <w:rsid w:val="00994F7D"/>
    <w:rsid w:val="009956F8"/>
    <w:rsid w:val="00995B45"/>
    <w:rsid w:val="00997E82"/>
    <w:rsid w:val="009A0AD1"/>
    <w:rsid w:val="009A3260"/>
    <w:rsid w:val="009A38BE"/>
    <w:rsid w:val="009A49FD"/>
    <w:rsid w:val="009A7BEE"/>
    <w:rsid w:val="009B0C25"/>
    <w:rsid w:val="009B0DB9"/>
    <w:rsid w:val="009B0E8E"/>
    <w:rsid w:val="009B0EB3"/>
    <w:rsid w:val="009B10D6"/>
    <w:rsid w:val="009B2A9B"/>
    <w:rsid w:val="009B2DD1"/>
    <w:rsid w:val="009B422D"/>
    <w:rsid w:val="009B45EE"/>
    <w:rsid w:val="009B4814"/>
    <w:rsid w:val="009B594F"/>
    <w:rsid w:val="009B66A3"/>
    <w:rsid w:val="009B67C5"/>
    <w:rsid w:val="009C04DD"/>
    <w:rsid w:val="009C109B"/>
    <w:rsid w:val="009C17B4"/>
    <w:rsid w:val="009C1C81"/>
    <w:rsid w:val="009C1DF9"/>
    <w:rsid w:val="009C28B1"/>
    <w:rsid w:val="009C392D"/>
    <w:rsid w:val="009C3E90"/>
    <w:rsid w:val="009C47E9"/>
    <w:rsid w:val="009C4C31"/>
    <w:rsid w:val="009C55D9"/>
    <w:rsid w:val="009C5825"/>
    <w:rsid w:val="009C5A44"/>
    <w:rsid w:val="009C6207"/>
    <w:rsid w:val="009C6661"/>
    <w:rsid w:val="009C77F8"/>
    <w:rsid w:val="009C7C19"/>
    <w:rsid w:val="009D0FDD"/>
    <w:rsid w:val="009D2CBD"/>
    <w:rsid w:val="009D65C1"/>
    <w:rsid w:val="009D7094"/>
    <w:rsid w:val="009D7AD4"/>
    <w:rsid w:val="009D7FA2"/>
    <w:rsid w:val="009E01CA"/>
    <w:rsid w:val="009E01FD"/>
    <w:rsid w:val="009E115E"/>
    <w:rsid w:val="009E125C"/>
    <w:rsid w:val="009E1A5E"/>
    <w:rsid w:val="009E1E5D"/>
    <w:rsid w:val="009E2661"/>
    <w:rsid w:val="009E27EB"/>
    <w:rsid w:val="009E2A68"/>
    <w:rsid w:val="009E3B0A"/>
    <w:rsid w:val="009E4DA1"/>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415A"/>
    <w:rsid w:val="009F6332"/>
    <w:rsid w:val="009F6F92"/>
    <w:rsid w:val="009F7D32"/>
    <w:rsid w:val="00A0051F"/>
    <w:rsid w:val="00A00AFC"/>
    <w:rsid w:val="00A016A1"/>
    <w:rsid w:val="00A01D65"/>
    <w:rsid w:val="00A02E7C"/>
    <w:rsid w:val="00A0341E"/>
    <w:rsid w:val="00A03B15"/>
    <w:rsid w:val="00A03C2C"/>
    <w:rsid w:val="00A0437D"/>
    <w:rsid w:val="00A05B24"/>
    <w:rsid w:val="00A068A1"/>
    <w:rsid w:val="00A06E93"/>
    <w:rsid w:val="00A07996"/>
    <w:rsid w:val="00A1013D"/>
    <w:rsid w:val="00A1276E"/>
    <w:rsid w:val="00A12C18"/>
    <w:rsid w:val="00A1317E"/>
    <w:rsid w:val="00A1339F"/>
    <w:rsid w:val="00A13807"/>
    <w:rsid w:val="00A1390B"/>
    <w:rsid w:val="00A13D16"/>
    <w:rsid w:val="00A13DFF"/>
    <w:rsid w:val="00A148EB"/>
    <w:rsid w:val="00A16FBB"/>
    <w:rsid w:val="00A1796F"/>
    <w:rsid w:val="00A17DCD"/>
    <w:rsid w:val="00A2069D"/>
    <w:rsid w:val="00A21114"/>
    <w:rsid w:val="00A21717"/>
    <w:rsid w:val="00A22356"/>
    <w:rsid w:val="00A227BA"/>
    <w:rsid w:val="00A2339E"/>
    <w:rsid w:val="00A2355F"/>
    <w:rsid w:val="00A24DEB"/>
    <w:rsid w:val="00A24E8F"/>
    <w:rsid w:val="00A24F0A"/>
    <w:rsid w:val="00A25124"/>
    <w:rsid w:val="00A27290"/>
    <w:rsid w:val="00A27F45"/>
    <w:rsid w:val="00A27F4D"/>
    <w:rsid w:val="00A31691"/>
    <w:rsid w:val="00A31748"/>
    <w:rsid w:val="00A32037"/>
    <w:rsid w:val="00A324AA"/>
    <w:rsid w:val="00A33005"/>
    <w:rsid w:val="00A333FB"/>
    <w:rsid w:val="00A33609"/>
    <w:rsid w:val="00A3415A"/>
    <w:rsid w:val="00A3485C"/>
    <w:rsid w:val="00A354F2"/>
    <w:rsid w:val="00A3583D"/>
    <w:rsid w:val="00A3679A"/>
    <w:rsid w:val="00A41383"/>
    <w:rsid w:val="00A42881"/>
    <w:rsid w:val="00A42CDD"/>
    <w:rsid w:val="00A42FE7"/>
    <w:rsid w:val="00A4323A"/>
    <w:rsid w:val="00A43326"/>
    <w:rsid w:val="00A43978"/>
    <w:rsid w:val="00A44A5B"/>
    <w:rsid w:val="00A45B22"/>
    <w:rsid w:val="00A45E59"/>
    <w:rsid w:val="00A45E7D"/>
    <w:rsid w:val="00A46FB7"/>
    <w:rsid w:val="00A4790C"/>
    <w:rsid w:val="00A47A49"/>
    <w:rsid w:val="00A47A93"/>
    <w:rsid w:val="00A5025E"/>
    <w:rsid w:val="00A503F9"/>
    <w:rsid w:val="00A511AC"/>
    <w:rsid w:val="00A52612"/>
    <w:rsid w:val="00A52A23"/>
    <w:rsid w:val="00A52FBE"/>
    <w:rsid w:val="00A53191"/>
    <w:rsid w:val="00A534A5"/>
    <w:rsid w:val="00A55647"/>
    <w:rsid w:val="00A56179"/>
    <w:rsid w:val="00A56D01"/>
    <w:rsid w:val="00A572B0"/>
    <w:rsid w:val="00A57902"/>
    <w:rsid w:val="00A57FB3"/>
    <w:rsid w:val="00A60439"/>
    <w:rsid w:val="00A612E2"/>
    <w:rsid w:val="00A613C7"/>
    <w:rsid w:val="00A643B3"/>
    <w:rsid w:val="00A64ADC"/>
    <w:rsid w:val="00A64CAF"/>
    <w:rsid w:val="00A65C7F"/>
    <w:rsid w:val="00A65FAC"/>
    <w:rsid w:val="00A6635F"/>
    <w:rsid w:val="00A668BB"/>
    <w:rsid w:val="00A66954"/>
    <w:rsid w:val="00A66A45"/>
    <w:rsid w:val="00A679F1"/>
    <w:rsid w:val="00A679FE"/>
    <w:rsid w:val="00A67E21"/>
    <w:rsid w:val="00A70989"/>
    <w:rsid w:val="00A70B83"/>
    <w:rsid w:val="00A75BCB"/>
    <w:rsid w:val="00A766C4"/>
    <w:rsid w:val="00A76AF5"/>
    <w:rsid w:val="00A76BF9"/>
    <w:rsid w:val="00A76E2F"/>
    <w:rsid w:val="00A77667"/>
    <w:rsid w:val="00A80037"/>
    <w:rsid w:val="00A8078F"/>
    <w:rsid w:val="00A81093"/>
    <w:rsid w:val="00A8135A"/>
    <w:rsid w:val="00A83E17"/>
    <w:rsid w:val="00A84633"/>
    <w:rsid w:val="00A84915"/>
    <w:rsid w:val="00A857D7"/>
    <w:rsid w:val="00A85C61"/>
    <w:rsid w:val="00A860B7"/>
    <w:rsid w:val="00A87832"/>
    <w:rsid w:val="00A91720"/>
    <w:rsid w:val="00A925B4"/>
    <w:rsid w:val="00A943DE"/>
    <w:rsid w:val="00A94457"/>
    <w:rsid w:val="00A950BE"/>
    <w:rsid w:val="00A95138"/>
    <w:rsid w:val="00A95D6A"/>
    <w:rsid w:val="00A95E53"/>
    <w:rsid w:val="00A9627B"/>
    <w:rsid w:val="00A96BA8"/>
    <w:rsid w:val="00A96FF2"/>
    <w:rsid w:val="00AA01A6"/>
    <w:rsid w:val="00AA0A33"/>
    <w:rsid w:val="00AA0DD3"/>
    <w:rsid w:val="00AA0F3E"/>
    <w:rsid w:val="00AA19FB"/>
    <w:rsid w:val="00AA2435"/>
    <w:rsid w:val="00AA2591"/>
    <w:rsid w:val="00AA3302"/>
    <w:rsid w:val="00AA5FC5"/>
    <w:rsid w:val="00AA63BE"/>
    <w:rsid w:val="00AA63DC"/>
    <w:rsid w:val="00AA6512"/>
    <w:rsid w:val="00AA6B3B"/>
    <w:rsid w:val="00AB0C43"/>
    <w:rsid w:val="00AB0E59"/>
    <w:rsid w:val="00AB1214"/>
    <w:rsid w:val="00AB1B73"/>
    <w:rsid w:val="00AB3379"/>
    <w:rsid w:val="00AB4C4C"/>
    <w:rsid w:val="00AB4C54"/>
    <w:rsid w:val="00AB5D04"/>
    <w:rsid w:val="00AB5F08"/>
    <w:rsid w:val="00AB6570"/>
    <w:rsid w:val="00AB7328"/>
    <w:rsid w:val="00AB75F7"/>
    <w:rsid w:val="00AB7BF1"/>
    <w:rsid w:val="00AC0D8E"/>
    <w:rsid w:val="00AC0EFD"/>
    <w:rsid w:val="00AC1358"/>
    <w:rsid w:val="00AC1699"/>
    <w:rsid w:val="00AC1C8D"/>
    <w:rsid w:val="00AC2036"/>
    <w:rsid w:val="00AC286C"/>
    <w:rsid w:val="00AC2E22"/>
    <w:rsid w:val="00AC3040"/>
    <w:rsid w:val="00AC3234"/>
    <w:rsid w:val="00AC4CDD"/>
    <w:rsid w:val="00AC5FC7"/>
    <w:rsid w:val="00AC6E75"/>
    <w:rsid w:val="00AC7AED"/>
    <w:rsid w:val="00AC7C43"/>
    <w:rsid w:val="00AC7CF6"/>
    <w:rsid w:val="00AD03A4"/>
    <w:rsid w:val="00AD1846"/>
    <w:rsid w:val="00AD202A"/>
    <w:rsid w:val="00AD2265"/>
    <w:rsid w:val="00AD26D2"/>
    <w:rsid w:val="00AD2E33"/>
    <w:rsid w:val="00AD2ED9"/>
    <w:rsid w:val="00AD32C1"/>
    <w:rsid w:val="00AD4044"/>
    <w:rsid w:val="00AD45F2"/>
    <w:rsid w:val="00AD4673"/>
    <w:rsid w:val="00AD60C1"/>
    <w:rsid w:val="00AD6D9C"/>
    <w:rsid w:val="00AD6E2D"/>
    <w:rsid w:val="00AE001C"/>
    <w:rsid w:val="00AE125B"/>
    <w:rsid w:val="00AE2220"/>
    <w:rsid w:val="00AE3CFA"/>
    <w:rsid w:val="00AE466B"/>
    <w:rsid w:val="00AE4984"/>
    <w:rsid w:val="00AE4C18"/>
    <w:rsid w:val="00AE517C"/>
    <w:rsid w:val="00AE51AF"/>
    <w:rsid w:val="00AE5A78"/>
    <w:rsid w:val="00AE5D6A"/>
    <w:rsid w:val="00AE6554"/>
    <w:rsid w:val="00AE6853"/>
    <w:rsid w:val="00AE78FE"/>
    <w:rsid w:val="00AE7D59"/>
    <w:rsid w:val="00AE7E87"/>
    <w:rsid w:val="00AF15AC"/>
    <w:rsid w:val="00AF1678"/>
    <w:rsid w:val="00AF1C3B"/>
    <w:rsid w:val="00AF2386"/>
    <w:rsid w:val="00AF2867"/>
    <w:rsid w:val="00AF2B4F"/>
    <w:rsid w:val="00AF34B0"/>
    <w:rsid w:val="00AF426F"/>
    <w:rsid w:val="00AF4765"/>
    <w:rsid w:val="00AF4DF6"/>
    <w:rsid w:val="00AF5CAD"/>
    <w:rsid w:val="00AF5DD9"/>
    <w:rsid w:val="00AF6283"/>
    <w:rsid w:val="00AF6922"/>
    <w:rsid w:val="00AF6FD1"/>
    <w:rsid w:val="00AF7B15"/>
    <w:rsid w:val="00B00295"/>
    <w:rsid w:val="00B00C32"/>
    <w:rsid w:val="00B01958"/>
    <w:rsid w:val="00B027A9"/>
    <w:rsid w:val="00B04716"/>
    <w:rsid w:val="00B04D94"/>
    <w:rsid w:val="00B0701E"/>
    <w:rsid w:val="00B07E93"/>
    <w:rsid w:val="00B10C41"/>
    <w:rsid w:val="00B10D55"/>
    <w:rsid w:val="00B11A09"/>
    <w:rsid w:val="00B11AD6"/>
    <w:rsid w:val="00B12CA7"/>
    <w:rsid w:val="00B14675"/>
    <w:rsid w:val="00B14DE1"/>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0ADB"/>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1F8"/>
    <w:rsid w:val="00B61FBE"/>
    <w:rsid w:val="00B623C5"/>
    <w:rsid w:val="00B62D23"/>
    <w:rsid w:val="00B63675"/>
    <w:rsid w:val="00B63BC3"/>
    <w:rsid w:val="00B64504"/>
    <w:rsid w:val="00B64BF6"/>
    <w:rsid w:val="00B64F79"/>
    <w:rsid w:val="00B658A6"/>
    <w:rsid w:val="00B6696E"/>
    <w:rsid w:val="00B67757"/>
    <w:rsid w:val="00B7150D"/>
    <w:rsid w:val="00B7217C"/>
    <w:rsid w:val="00B72B8E"/>
    <w:rsid w:val="00B72BF7"/>
    <w:rsid w:val="00B72D3D"/>
    <w:rsid w:val="00B73F34"/>
    <w:rsid w:val="00B73FBB"/>
    <w:rsid w:val="00B755BC"/>
    <w:rsid w:val="00B8084A"/>
    <w:rsid w:val="00B8099C"/>
    <w:rsid w:val="00B81686"/>
    <w:rsid w:val="00B81CEF"/>
    <w:rsid w:val="00B82C14"/>
    <w:rsid w:val="00B83A10"/>
    <w:rsid w:val="00B860EB"/>
    <w:rsid w:val="00B861DB"/>
    <w:rsid w:val="00B8622A"/>
    <w:rsid w:val="00B86995"/>
    <w:rsid w:val="00B87462"/>
    <w:rsid w:val="00B87F43"/>
    <w:rsid w:val="00B905D3"/>
    <w:rsid w:val="00B93AF6"/>
    <w:rsid w:val="00B93B2E"/>
    <w:rsid w:val="00B95891"/>
    <w:rsid w:val="00B97BA8"/>
    <w:rsid w:val="00BA0677"/>
    <w:rsid w:val="00BA099E"/>
    <w:rsid w:val="00BA0D64"/>
    <w:rsid w:val="00BA120F"/>
    <w:rsid w:val="00BA17EA"/>
    <w:rsid w:val="00BA18DA"/>
    <w:rsid w:val="00BA35F3"/>
    <w:rsid w:val="00BA3890"/>
    <w:rsid w:val="00BA3CF3"/>
    <w:rsid w:val="00BA48E2"/>
    <w:rsid w:val="00BA49FE"/>
    <w:rsid w:val="00BA5292"/>
    <w:rsid w:val="00BA553C"/>
    <w:rsid w:val="00BA5AA3"/>
    <w:rsid w:val="00BA6230"/>
    <w:rsid w:val="00BA6566"/>
    <w:rsid w:val="00BA6F03"/>
    <w:rsid w:val="00BA7B3C"/>
    <w:rsid w:val="00BB02B7"/>
    <w:rsid w:val="00BB068C"/>
    <w:rsid w:val="00BB0E8D"/>
    <w:rsid w:val="00BB0E95"/>
    <w:rsid w:val="00BB3B79"/>
    <w:rsid w:val="00BB49EC"/>
    <w:rsid w:val="00BB5002"/>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334B"/>
    <w:rsid w:val="00BC41EF"/>
    <w:rsid w:val="00BC4460"/>
    <w:rsid w:val="00BC5645"/>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207"/>
    <w:rsid w:val="00BE165C"/>
    <w:rsid w:val="00BE1D8C"/>
    <w:rsid w:val="00BE20A5"/>
    <w:rsid w:val="00BE28B7"/>
    <w:rsid w:val="00BE2A55"/>
    <w:rsid w:val="00BE2C97"/>
    <w:rsid w:val="00BE3AC1"/>
    <w:rsid w:val="00BE4420"/>
    <w:rsid w:val="00BE4ADC"/>
    <w:rsid w:val="00BE540B"/>
    <w:rsid w:val="00BE59A0"/>
    <w:rsid w:val="00BE5A65"/>
    <w:rsid w:val="00BE6864"/>
    <w:rsid w:val="00BE68F2"/>
    <w:rsid w:val="00BE7C9B"/>
    <w:rsid w:val="00BF166E"/>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0AB"/>
    <w:rsid w:val="00C0752B"/>
    <w:rsid w:val="00C10240"/>
    <w:rsid w:val="00C10B0E"/>
    <w:rsid w:val="00C10DC6"/>
    <w:rsid w:val="00C10FFE"/>
    <w:rsid w:val="00C12228"/>
    <w:rsid w:val="00C1240D"/>
    <w:rsid w:val="00C12ADD"/>
    <w:rsid w:val="00C12C7D"/>
    <w:rsid w:val="00C135F3"/>
    <w:rsid w:val="00C13CEC"/>
    <w:rsid w:val="00C14D1F"/>
    <w:rsid w:val="00C179C5"/>
    <w:rsid w:val="00C20A1F"/>
    <w:rsid w:val="00C20D21"/>
    <w:rsid w:val="00C20DD3"/>
    <w:rsid w:val="00C22377"/>
    <w:rsid w:val="00C22D7C"/>
    <w:rsid w:val="00C23367"/>
    <w:rsid w:val="00C23F7A"/>
    <w:rsid w:val="00C27038"/>
    <w:rsid w:val="00C30EF0"/>
    <w:rsid w:val="00C31DDE"/>
    <w:rsid w:val="00C33888"/>
    <w:rsid w:val="00C344E5"/>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37D0"/>
    <w:rsid w:val="00C4427E"/>
    <w:rsid w:val="00C4480A"/>
    <w:rsid w:val="00C4516E"/>
    <w:rsid w:val="00C45A66"/>
    <w:rsid w:val="00C46ACD"/>
    <w:rsid w:val="00C4711F"/>
    <w:rsid w:val="00C4777A"/>
    <w:rsid w:val="00C50DE0"/>
    <w:rsid w:val="00C51203"/>
    <w:rsid w:val="00C51C0F"/>
    <w:rsid w:val="00C51E10"/>
    <w:rsid w:val="00C5236E"/>
    <w:rsid w:val="00C52C4C"/>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6FB0"/>
    <w:rsid w:val="00C6713F"/>
    <w:rsid w:val="00C67560"/>
    <w:rsid w:val="00C67E9C"/>
    <w:rsid w:val="00C67F76"/>
    <w:rsid w:val="00C707EF"/>
    <w:rsid w:val="00C70AD4"/>
    <w:rsid w:val="00C71101"/>
    <w:rsid w:val="00C72096"/>
    <w:rsid w:val="00C72FF0"/>
    <w:rsid w:val="00C73260"/>
    <w:rsid w:val="00C739EE"/>
    <w:rsid w:val="00C73C6C"/>
    <w:rsid w:val="00C745CB"/>
    <w:rsid w:val="00C74BFB"/>
    <w:rsid w:val="00C751AB"/>
    <w:rsid w:val="00C77B7A"/>
    <w:rsid w:val="00C77D9A"/>
    <w:rsid w:val="00C800B2"/>
    <w:rsid w:val="00C807B6"/>
    <w:rsid w:val="00C8119A"/>
    <w:rsid w:val="00C81E5F"/>
    <w:rsid w:val="00C84B04"/>
    <w:rsid w:val="00C85021"/>
    <w:rsid w:val="00C85E89"/>
    <w:rsid w:val="00C85FF7"/>
    <w:rsid w:val="00C869B6"/>
    <w:rsid w:val="00C86ED6"/>
    <w:rsid w:val="00C902E1"/>
    <w:rsid w:val="00C914FC"/>
    <w:rsid w:val="00C91A3E"/>
    <w:rsid w:val="00C91AAE"/>
    <w:rsid w:val="00C91EFE"/>
    <w:rsid w:val="00C91F9D"/>
    <w:rsid w:val="00C92CD7"/>
    <w:rsid w:val="00C9311B"/>
    <w:rsid w:val="00C93A44"/>
    <w:rsid w:val="00C95008"/>
    <w:rsid w:val="00C956AF"/>
    <w:rsid w:val="00C9692A"/>
    <w:rsid w:val="00C96ED0"/>
    <w:rsid w:val="00C97284"/>
    <w:rsid w:val="00CA0FE3"/>
    <w:rsid w:val="00CA1F02"/>
    <w:rsid w:val="00CA354D"/>
    <w:rsid w:val="00CA3B3D"/>
    <w:rsid w:val="00CA413B"/>
    <w:rsid w:val="00CA4FF9"/>
    <w:rsid w:val="00CA50F9"/>
    <w:rsid w:val="00CA5B05"/>
    <w:rsid w:val="00CA6B1B"/>
    <w:rsid w:val="00CA6F2E"/>
    <w:rsid w:val="00CA7053"/>
    <w:rsid w:val="00CA7F28"/>
    <w:rsid w:val="00CB089E"/>
    <w:rsid w:val="00CB0A6C"/>
    <w:rsid w:val="00CB0BD7"/>
    <w:rsid w:val="00CB2CDA"/>
    <w:rsid w:val="00CB2FDA"/>
    <w:rsid w:val="00CB3A67"/>
    <w:rsid w:val="00CB40F0"/>
    <w:rsid w:val="00CB410C"/>
    <w:rsid w:val="00CB485B"/>
    <w:rsid w:val="00CB4A11"/>
    <w:rsid w:val="00CB5EA7"/>
    <w:rsid w:val="00CB6B51"/>
    <w:rsid w:val="00CB71B4"/>
    <w:rsid w:val="00CB723F"/>
    <w:rsid w:val="00CB7A7C"/>
    <w:rsid w:val="00CC0038"/>
    <w:rsid w:val="00CC06B8"/>
    <w:rsid w:val="00CC19CE"/>
    <w:rsid w:val="00CC1BCD"/>
    <w:rsid w:val="00CC1D35"/>
    <w:rsid w:val="00CC1FED"/>
    <w:rsid w:val="00CC29C6"/>
    <w:rsid w:val="00CC2F81"/>
    <w:rsid w:val="00CC305F"/>
    <w:rsid w:val="00CC347C"/>
    <w:rsid w:val="00CC3A4C"/>
    <w:rsid w:val="00CC43A2"/>
    <w:rsid w:val="00CC5ECE"/>
    <w:rsid w:val="00CC771C"/>
    <w:rsid w:val="00CC7784"/>
    <w:rsid w:val="00CC79CD"/>
    <w:rsid w:val="00CC7E24"/>
    <w:rsid w:val="00CD029F"/>
    <w:rsid w:val="00CD1A65"/>
    <w:rsid w:val="00CD1F25"/>
    <w:rsid w:val="00CD2306"/>
    <w:rsid w:val="00CD35E1"/>
    <w:rsid w:val="00CD3A04"/>
    <w:rsid w:val="00CD3B37"/>
    <w:rsid w:val="00CD521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4424"/>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7D5"/>
    <w:rsid w:val="00D10C82"/>
    <w:rsid w:val="00D111AF"/>
    <w:rsid w:val="00D125BF"/>
    <w:rsid w:val="00D130E2"/>
    <w:rsid w:val="00D1313E"/>
    <w:rsid w:val="00D1395F"/>
    <w:rsid w:val="00D13EBA"/>
    <w:rsid w:val="00D1407E"/>
    <w:rsid w:val="00D15163"/>
    <w:rsid w:val="00D1546C"/>
    <w:rsid w:val="00D15781"/>
    <w:rsid w:val="00D163C4"/>
    <w:rsid w:val="00D173FD"/>
    <w:rsid w:val="00D17982"/>
    <w:rsid w:val="00D203D3"/>
    <w:rsid w:val="00D2154D"/>
    <w:rsid w:val="00D215C3"/>
    <w:rsid w:val="00D21686"/>
    <w:rsid w:val="00D22E5B"/>
    <w:rsid w:val="00D231AA"/>
    <w:rsid w:val="00D235DB"/>
    <w:rsid w:val="00D23BFA"/>
    <w:rsid w:val="00D24501"/>
    <w:rsid w:val="00D25D58"/>
    <w:rsid w:val="00D26843"/>
    <w:rsid w:val="00D26D11"/>
    <w:rsid w:val="00D27CA6"/>
    <w:rsid w:val="00D27F9C"/>
    <w:rsid w:val="00D3121E"/>
    <w:rsid w:val="00D3158F"/>
    <w:rsid w:val="00D32A41"/>
    <w:rsid w:val="00D33228"/>
    <w:rsid w:val="00D3351E"/>
    <w:rsid w:val="00D346C9"/>
    <w:rsid w:val="00D34F29"/>
    <w:rsid w:val="00D35801"/>
    <w:rsid w:val="00D36027"/>
    <w:rsid w:val="00D36B80"/>
    <w:rsid w:val="00D372B9"/>
    <w:rsid w:val="00D41FFC"/>
    <w:rsid w:val="00D430CB"/>
    <w:rsid w:val="00D43B6E"/>
    <w:rsid w:val="00D43FF6"/>
    <w:rsid w:val="00D44143"/>
    <w:rsid w:val="00D4483C"/>
    <w:rsid w:val="00D45FEB"/>
    <w:rsid w:val="00D4683C"/>
    <w:rsid w:val="00D473C6"/>
    <w:rsid w:val="00D477DE"/>
    <w:rsid w:val="00D503D6"/>
    <w:rsid w:val="00D5091F"/>
    <w:rsid w:val="00D514D3"/>
    <w:rsid w:val="00D51985"/>
    <w:rsid w:val="00D5240F"/>
    <w:rsid w:val="00D5242A"/>
    <w:rsid w:val="00D52B39"/>
    <w:rsid w:val="00D52FCB"/>
    <w:rsid w:val="00D53DEE"/>
    <w:rsid w:val="00D54EA8"/>
    <w:rsid w:val="00D550A6"/>
    <w:rsid w:val="00D56963"/>
    <w:rsid w:val="00D57C79"/>
    <w:rsid w:val="00D601A4"/>
    <w:rsid w:val="00D604E3"/>
    <w:rsid w:val="00D60F8F"/>
    <w:rsid w:val="00D61152"/>
    <w:rsid w:val="00D6139A"/>
    <w:rsid w:val="00D62AE4"/>
    <w:rsid w:val="00D6362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127"/>
    <w:rsid w:val="00D778B5"/>
    <w:rsid w:val="00D80347"/>
    <w:rsid w:val="00D80DFA"/>
    <w:rsid w:val="00D81939"/>
    <w:rsid w:val="00D83B7D"/>
    <w:rsid w:val="00D83BD3"/>
    <w:rsid w:val="00D83F66"/>
    <w:rsid w:val="00D846F9"/>
    <w:rsid w:val="00D847C4"/>
    <w:rsid w:val="00D84CCB"/>
    <w:rsid w:val="00D852CB"/>
    <w:rsid w:val="00D8544C"/>
    <w:rsid w:val="00D863C2"/>
    <w:rsid w:val="00D87089"/>
    <w:rsid w:val="00D87EA8"/>
    <w:rsid w:val="00D90EA9"/>
    <w:rsid w:val="00D90FF4"/>
    <w:rsid w:val="00D9161F"/>
    <w:rsid w:val="00D921F3"/>
    <w:rsid w:val="00D92830"/>
    <w:rsid w:val="00D9293B"/>
    <w:rsid w:val="00D93926"/>
    <w:rsid w:val="00D93AA3"/>
    <w:rsid w:val="00D94101"/>
    <w:rsid w:val="00D94BBE"/>
    <w:rsid w:val="00D95151"/>
    <w:rsid w:val="00D952E4"/>
    <w:rsid w:val="00D971A4"/>
    <w:rsid w:val="00D978F7"/>
    <w:rsid w:val="00DA0153"/>
    <w:rsid w:val="00DA13EB"/>
    <w:rsid w:val="00DA2DAB"/>
    <w:rsid w:val="00DA3D66"/>
    <w:rsid w:val="00DA59AA"/>
    <w:rsid w:val="00DB0A6C"/>
    <w:rsid w:val="00DB0ABA"/>
    <w:rsid w:val="00DB0E0E"/>
    <w:rsid w:val="00DB2869"/>
    <w:rsid w:val="00DB2986"/>
    <w:rsid w:val="00DB2D77"/>
    <w:rsid w:val="00DB4131"/>
    <w:rsid w:val="00DB4898"/>
    <w:rsid w:val="00DB4BE0"/>
    <w:rsid w:val="00DB5488"/>
    <w:rsid w:val="00DB57DE"/>
    <w:rsid w:val="00DB64DC"/>
    <w:rsid w:val="00DB6949"/>
    <w:rsid w:val="00DB707C"/>
    <w:rsid w:val="00DB7142"/>
    <w:rsid w:val="00DB72D4"/>
    <w:rsid w:val="00DC02E9"/>
    <w:rsid w:val="00DC0707"/>
    <w:rsid w:val="00DC0E80"/>
    <w:rsid w:val="00DC23EB"/>
    <w:rsid w:val="00DC30E3"/>
    <w:rsid w:val="00DC3F6F"/>
    <w:rsid w:val="00DC699E"/>
    <w:rsid w:val="00DC6A42"/>
    <w:rsid w:val="00DC6CA9"/>
    <w:rsid w:val="00DC72C2"/>
    <w:rsid w:val="00DD02E9"/>
    <w:rsid w:val="00DD0489"/>
    <w:rsid w:val="00DD07FD"/>
    <w:rsid w:val="00DD0BE5"/>
    <w:rsid w:val="00DD0ECF"/>
    <w:rsid w:val="00DD233F"/>
    <w:rsid w:val="00DD2F0E"/>
    <w:rsid w:val="00DD3BEB"/>
    <w:rsid w:val="00DD4589"/>
    <w:rsid w:val="00DD4985"/>
    <w:rsid w:val="00DD593D"/>
    <w:rsid w:val="00DD5AC3"/>
    <w:rsid w:val="00DD60C9"/>
    <w:rsid w:val="00DD7040"/>
    <w:rsid w:val="00DD7506"/>
    <w:rsid w:val="00DD773E"/>
    <w:rsid w:val="00DD7BEC"/>
    <w:rsid w:val="00DD7BF9"/>
    <w:rsid w:val="00DE0149"/>
    <w:rsid w:val="00DE1442"/>
    <w:rsid w:val="00DE25E3"/>
    <w:rsid w:val="00DE3005"/>
    <w:rsid w:val="00DE37B3"/>
    <w:rsid w:val="00DE4702"/>
    <w:rsid w:val="00DE671B"/>
    <w:rsid w:val="00DE6A65"/>
    <w:rsid w:val="00DE7B5E"/>
    <w:rsid w:val="00DF026F"/>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2AF"/>
    <w:rsid w:val="00DF7CB8"/>
    <w:rsid w:val="00DF7DCA"/>
    <w:rsid w:val="00E0034C"/>
    <w:rsid w:val="00E005DE"/>
    <w:rsid w:val="00E02DCE"/>
    <w:rsid w:val="00E03641"/>
    <w:rsid w:val="00E03ACB"/>
    <w:rsid w:val="00E03B14"/>
    <w:rsid w:val="00E0439A"/>
    <w:rsid w:val="00E04E19"/>
    <w:rsid w:val="00E05014"/>
    <w:rsid w:val="00E0503C"/>
    <w:rsid w:val="00E054D8"/>
    <w:rsid w:val="00E055F9"/>
    <w:rsid w:val="00E05A35"/>
    <w:rsid w:val="00E061AA"/>
    <w:rsid w:val="00E06207"/>
    <w:rsid w:val="00E06210"/>
    <w:rsid w:val="00E07B33"/>
    <w:rsid w:val="00E07D3B"/>
    <w:rsid w:val="00E101AE"/>
    <w:rsid w:val="00E104DB"/>
    <w:rsid w:val="00E11235"/>
    <w:rsid w:val="00E11C5E"/>
    <w:rsid w:val="00E11D2D"/>
    <w:rsid w:val="00E147DB"/>
    <w:rsid w:val="00E152FA"/>
    <w:rsid w:val="00E200CC"/>
    <w:rsid w:val="00E226D5"/>
    <w:rsid w:val="00E243CF"/>
    <w:rsid w:val="00E247C0"/>
    <w:rsid w:val="00E24D64"/>
    <w:rsid w:val="00E25511"/>
    <w:rsid w:val="00E26626"/>
    <w:rsid w:val="00E26CC9"/>
    <w:rsid w:val="00E26D82"/>
    <w:rsid w:val="00E26E5A"/>
    <w:rsid w:val="00E2712A"/>
    <w:rsid w:val="00E275F5"/>
    <w:rsid w:val="00E3143B"/>
    <w:rsid w:val="00E31C08"/>
    <w:rsid w:val="00E32EB7"/>
    <w:rsid w:val="00E32F0D"/>
    <w:rsid w:val="00E33738"/>
    <w:rsid w:val="00E342C3"/>
    <w:rsid w:val="00E34842"/>
    <w:rsid w:val="00E35091"/>
    <w:rsid w:val="00E3524A"/>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253"/>
    <w:rsid w:val="00E458CC"/>
    <w:rsid w:val="00E45F27"/>
    <w:rsid w:val="00E46107"/>
    <w:rsid w:val="00E467FB"/>
    <w:rsid w:val="00E47F62"/>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67D"/>
    <w:rsid w:val="00E72890"/>
    <w:rsid w:val="00E73957"/>
    <w:rsid w:val="00E73AC1"/>
    <w:rsid w:val="00E74F74"/>
    <w:rsid w:val="00E75AE2"/>
    <w:rsid w:val="00E76535"/>
    <w:rsid w:val="00E767B4"/>
    <w:rsid w:val="00E76B40"/>
    <w:rsid w:val="00E76BC7"/>
    <w:rsid w:val="00E76E25"/>
    <w:rsid w:val="00E77B1B"/>
    <w:rsid w:val="00E77D12"/>
    <w:rsid w:val="00E77E8A"/>
    <w:rsid w:val="00E80ADA"/>
    <w:rsid w:val="00E81B09"/>
    <w:rsid w:val="00E82709"/>
    <w:rsid w:val="00E828EB"/>
    <w:rsid w:val="00E82F84"/>
    <w:rsid w:val="00E850E4"/>
    <w:rsid w:val="00E85A4A"/>
    <w:rsid w:val="00E86497"/>
    <w:rsid w:val="00E87E8D"/>
    <w:rsid w:val="00E905EA"/>
    <w:rsid w:val="00E90D0B"/>
    <w:rsid w:val="00E91656"/>
    <w:rsid w:val="00E917C6"/>
    <w:rsid w:val="00E9290E"/>
    <w:rsid w:val="00E92C09"/>
    <w:rsid w:val="00E93405"/>
    <w:rsid w:val="00E956C2"/>
    <w:rsid w:val="00E9590B"/>
    <w:rsid w:val="00E95995"/>
    <w:rsid w:val="00E96148"/>
    <w:rsid w:val="00E967B4"/>
    <w:rsid w:val="00E96B5B"/>
    <w:rsid w:val="00E97C73"/>
    <w:rsid w:val="00EA10BF"/>
    <w:rsid w:val="00EA22D8"/>
    <w:rsid w:val="00EA33B3"/>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43C"/>
    <w:rsid w:val="00EB4A70"/>
    <w:rsid w:val="00EB4F3B"/>
    <w:rsid w:val="00EB62F4"/>
    <w:rsid w:val="00EB7139"/>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C7E90"/>
    <w:rsid w:val="00ED274B"/>
    <w:rsid w:val="00ED3116"/>
    <w:rsid w:val="00ED3D8A"/>
    <w:rsid w:val="00ED423F"/>
    <w:rsid w:val="00ED5C89"/>
    <w:rsid w:val="00ED6024"/>
    <w:rsid w:val="00ED63B1"/>
    <w:rsid w:val="00ED687B"/>
    <w:rsid w:val="00ED6A6E"/>
    <w:rsid w:val="00ED6EB9"/>
    <w:rsid w:val="00ED7442"/>
    <w:rsid w:val="00ED7B6D"/>
    <w:rsid w:val="00EE0122"/>
    <w:rsid w:val="00EE0234"/>
    <w:rsid w:val="00EE0B22"/>
    <w:rsid w:val="00EE12F6"/>
    <w:rsid w:val="00EE1640"/>
    <w:rsid w:val="00EE1AC4"/>
    <w:rsid w:val="00EE20D1"/>
    <w:rsid w:val="00EE21E9"/>
    <w:rsid w:val="00EE238E"/>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525"/>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42C"/>
    <w:rsid w:val="00F05AA5"/>
    <w:rsid w:val="00F06B20"/>
    <w:rsid w:val="00F06D30"/>
    <w:rsid w:val="00F06FFD"/>
    <w:rsid w:val="00F0786B"/>
    <w:rsid w:val="00F106C7"/>
    <w:rsid w:val="00F12103"/>
    <w:rsid w:val="00F12A80"/>
    <w:rsid w:val="00F139A3"/>
    <w:rsid w:val="00F14121"/>
    <w:rsid w:val="00F14562"/>
    <w:rsid w:val="00F16795"/>
    <w:rsid w:val="00F16E6A"/>
    <w:rsid w:val="00F1744A"/>
    <w:rsid w:val="00F177A6"/>
    <w:rsid w:val="00F177D6"/>
    <w:rsid w:val="00F21D3A"/>
    <w:rsid w:val="00F21D5C"/>
    <w:rsid w:val="00F224C4"/>
    <w:rsid w:val="00F22DBA"/>
    <w:rsid w:val="00F240F4"/>
    <w:rsid w:val="00F24E19"/>
    <w:rsid w:val="00F250E1"/>
    <w:rsid w:val="00F25144"/>
    <w:rsid w:val="00F262C1"/>
    <w:rsid w:val="00F274FB"/>
    <w:rsid w:val="00F275A7"/>
    <w:rsid w:val="00F27CB4"/>
    <w:rsid w:val="00F3028C"/>
    <w:rsid w:val="00F30889"/>
    <w:rsid w:val="00F30B5D"/>
    <w:rsid w:val="00F31ADF"/>
    <w:rsid w:val="00F31DB1"/>
    <w:rsid w:val="00F32561"/>
    <w:rsid w:val="00F337AD"/>
    <w:rsid w:val="00F34064"/>
    <w:rsid w:val="00F352A8"/>
    <w:rsid w:val="00F355BD"/>
    <w:rsid w:val="00F35991"/>
    <w:rsid w:val="00F35C58"/>
    <w:rsid w:val="00F36537"/>
    <w:rsid w:val="00F36E31"/>
    <w:rsid w:val="00F3778C"/>
    <w:rsid w:val="00F37B02"/>
    <w:rsid w:val="00F400E2"/>
    <w:rsid w:val="00F40918"/>
    <w:rsid w:val="00F409F5"/>
    <w:rsid w:val="00F42112"/>
    <w:rsid w:val="00F4270A"/>
    <w:rsid w:val="00F4280F"/>
    <w:rsid w:val="00F43940"/>
    <w:rsid w:val="00F43FB9"/>
    <w:rsid w:val="00F44163"/>
    <w:rsid w:val="00F4496E"/>
    <w:rsid w:val="00F4532A"/>
    <w:rsid w:val="00F456FE"/>
    <w:rsid w:val="00F45E6C"/>
    <w:rsid w:val="00F46067"/>
    <w:rsid w:val="00F4626C"/>
    <w:rsid w:val="00F4694D"/>
    <w:rsid w:val="00F473AC"/>
    <w:rsid w:val="00F47BB1"/>
    <w:rsid w:val="00F52143"/>
    <w:rsid w:val="00F52174"/>
    <w:rsid w:val="00F52CDC"/>
    <w:rsid w:val="00F52CEC"/>
    <w:rsid w:val="00F52EB7"/>
    <w:rsid w:val="00F53712"/>
    <w:rsid w:val="00F541AA"/>
    <w:rsid w:val="00F54360"/>
    <w:rsid w:val="00F54889"/>
    <w:rsid w:val="00F54EB2"/>
    <w:rsid w:val="00F56256"/>
    <w:rsid w:val="00F56E86"/>
    <w:rsid w:val="00F60886"/>
    <w:rsid w:val="00F60895"/>
    <w:rsid w:val="00F60BF1"/>
    <w:rsid w:val="00F6120A"/>
    <w:rsid w:val="00F612BF"/>
    <w:rsid w:val="00F61E32"/>
    <w:rsid w:val="00F637CB"/>
    <w:rsid w:val="00F63A44"/>
    <w:rsid w:val="00F64EA0"/>
    <w:rsid w:val="00F652B9"/>
    <w:rsid w:val="00F65F19"/>
    <w:rsid w:val="00F668C7"/>
    <w:rsid w:val="00F7012A"/>
    <w:rsid w:val="00F70E56"/>
    <w:rsid w:val="00F71D8A"/>
    <w:rsid w:val="00F7294B"/>
    <w:rsid w:val="00F7519D"/>
    <w:rsid w:val="00F752F6"/>
    <w:rsid w:val="00F761B9"/>
    <w:rsid w:val="00F762AE"/>
    <w:rsid w:val="00F7641D"/>
    <w:rsid w:val="00F76A25"/>
    <w:rsid w:val="00F80904"/>
    <w:rsid w:val="00F80E84"/>
    <w:rsid w:val="00F80EAB"/>
    <w:rsid w:val="00F83FCD"/>
    <w:rsid w:val="00F8418D"/>
    <w:rsid w:val="00F85D5F"/>
    <w:rsid w:val="00F86182"/>
    <w:rsid w:val="00F86242"/>
    <w:rsid w:val="00F86940"/>
    <w:rsid w:val="00F86AA2"/>
    <w:rsid w:val="00F871CA"/>
    <w:rsid w:val="00F878BC"/>
    <w:rsid w:val="00F87945"/>
    <w:rsid w:val="00F87A67"/>
    <w:rsid w:val="00F902A7"/>
    <w:rsid w:val="00F90CF4"/>
    <w:rsid w:val="00F91BBF"/>
    <w:rsid w:val="00F9256D"/>
    <w:rsid w:val="00F92A58"/>
    <w:rsid w:val="00F92EA1"/>
    <w:rsid w:val="00F940BA"/>
    <w:rsid w:val="00F94574"/>
    <w:rsid w:val="00F94661"/>
    <w:rsid w:val="00F948B6"/>
    <w:rsid w:val="00F953F3"/>
    <w:rsid w:val="00F957DD"/>
    <w:rsid w:val="00F962FF"/>
    <w:rsid w:val="00F96481"/>
    <w:rsid w:val="00F96CB9"/>
    <w:rsid w:val="00F9742F"/>
    <w:rsid w:val="00F97A38"/>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2C9E"/>
    <w:rsid w:val="00FC317B"/>
    <w:rsid w:val="00FC3195"/>
    <w:rsid w:val="00FC3F21"/>
    <w:rsid w:val="00FC3F79"/>
    <w:rsid w:val="00FC44DE"/>
    <w:rsid w:val="00FC48B2"/>
    <w:rsid w:val="00FC62ED"/>
    <w:rsid w:val="00FC6D07"/>
    <w:rsid w:val="00FD1570"/>
    <w:rsid w:val="00FD1E0D"/>
    <w:rsid w:val="00FD2477"/>
    <w:rsid w:val="00FD269F"/>
    <w:rsid w:val="00FD309A"/>
    <w:rsid w:val="00FD4C05"/>
    <w:rsid w:val="00FD4F62"/>
    <w:rsid w:val="00FD5488"/>
    <w:rsid w:val="00FD5B44"/>
    <w:rsid w:val="00FD625C"/>
    <w:rsid w:val="00FD78B1"/>
    <w:rsid w:val="00FD7ACD"/>
    <w:rsid w:val="00FE3F4E"/>
    <w:rsid w:val="00FE4E26"/>
    <w:rsid w:val="00FE4FBA"/>
    <w:rsid w:val="00FE5558"/>
    <w:rsid w:val="00FE661C"/>
    <w:rsid w:val="00FE69BF"/>
    <w:rsid w:val="00FE7709"/>
    <w:rsid w:val="00FF081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D0AB9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269">
      <w:bodyDiv w:val="1"/>
      <w:marLeft w:val="0"/>
      <w:marRight w:val="0"/>
      <w:marTop w:val="0"/>
      <w:marBottom w:val="0"/>
      <w:divBdr>
        <w:top w:val="none" w:sz="0" w:space="0" w:color="auto"/>
        <w:left w:val="none" w:sz="0" w:space="0" w:color="auto"/>
        <w:bottom w:val="none" w:sz="0" w:space="0" w:color="auto"/>
        <w:right w:val="none" w:sz="0" w:space="0" w:color="auto"/>
      </w:divBdr>
    </w:div>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758449466">
      <w:bodyDiv w:val="1"/>
      <w:marLeft w:val="0"/>
      <w:marRight w:val="0"/>
      <w:marTop w:val="0"/>
      <w:marBottom w:val="0"/>
      <w:divBdr>
        <w:top w:val="none" w:sz="0" w:space="0" w:color="auto"/>
        <w:left w:val="none" w:sz="0" w:space="0" w:color="auto"/>
        <w:bottom w:val="none" w:sz="0" w:space="0" w:color="auto"/>
        <w:right w:val="none" w:sz="0" w:space="0" w:color="auto"/>
      </w:divBdr>
    </w:div>
    <w:div w:id="1377854851">
      <w:bodyDiv w:val="1"/>
      <w:marLeft w:val="0"/>
      <w:marRight w:val="0"/>
      <w:marTop w:val="0"/>
      <w:marBottom w:val="0"/>
      <w:divBdr>
        <w:top w:val="none" w:sz="0" w:space="0" w:color="auto"/>
        <w:left w:val="none" w:sz="0" w:space="0" w:color="auto"/>
        <w:bottom w:val="none" w:sz="0" w:space="0" w:color="auto"/>
        <w:right w:val="none" w:sz="0" w:space="0" w:color="auto"/>
      </w:divBdr>
    </w:div>
    <w:div w:id="1470896041">
      <w:bodyDiv w:val="1"/>
      <w:marLeft w:val="0"/>
      <w:marRight w:val="0"/>
      <w:marTop w:val="0"/>
      <w:marBottom w:val="0"/>
      <w:divBdr>
        <w:top w:val="none" w:sz="0" w:space="0" w:color="auto"/>
        <w:left w:val="none" w:sz="0" w:space="0" w:color="auto"/>
        <w:bottom w:val="none" w:sz="0" w:space="0" w:color="auto"/>
        <w:right w:val="none" w:sz="0" w:space="0" w:color="auto"/>
      </w:divBdr>
    </w:div>
    <w:div w:id="16561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E7EEB4-E3F0-4EC8-95A3-C63FE1202DBB}"/>
</file>

<file path=customXml/itemProps2.xml><?xml version="1.0" encoding="utf-8"?>
<ds:datastoreItem xmlns:ds="http://schemas.openxmlformats.org/officeDocument/2006/customXml" ds:itemID="{0A28D7D5-F15A-442C-B40B-2F9C47FCCB2E}"/>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0ABE7734-734D-4591-BEC1-0B4ED647D7CD}"/>
</file>

<file path=customXml/itemProps5.xml><?xml version="1.0" encoding="utf-8"?>
<ds:datastoreItem xmlns:ds="http://schemas.openxmlformats.org/officeDocument/2006/customXml" ds:itemID="{329BFFD8-72E8-452B-8BF0-D84F09B33C36}"/>
</file>

<file path=customXml/itemProps6.xml><?xml version="1.0" encoding="utf-8"?>
<ds:datastoreItem xmlns:ds="http://schemas.openxmlformats.org/officeDocument/2006/customXml" ds:itemID="{1AC93FBC-417E-4983-9F15-CEF9E1BD35FB}"/>
</file>

<file path=docProps/app.xml><?xml version="1.0" encoding="utf-8"?>
<Properties xmlns="http://schemas.openxmlformats.org/officeDocument/2006/extended-properties" xmlns:vt="http://schemas.openxmlformats.org/officeDocument/2006/docPropsVTypes">
  <Template>Normal.dotm</Template>
  <TotalTime>0</TotalTime>
  <Pages>51</Pages>
  <Words>11424</Words>
  <Characters>58689</Characters>
  <Application>Microsoft Office Word</Application>
  <DocSecurity>0</DocSecurity>
  <Lines>489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2014-12-19T21:08:00Z</dcterms:created>
  <dcterms:modified xsi:type="dcterms:W3CDTF">2014-12-19T21:09:00Z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gFAA9xAl/vizjZjP2of23xBlJ1uIXanyFsGKImPaiOdML/2rkZTN5vVzX+oiLEJKA5vLGnZmT22ZWg2M
kNkWYe7DJjCeUBkqRebVNUaL0iAY8nccYKuRRDwkXBlu97c455dzAiSrpXUyEXmMkNkWYe7DJjCe
UBkqRebVNUaL0iAY8nccYKuRRDwkXICOQ1b3GZWY6Mo+U/HSg20clUEPt+VE8vtAu6OFzq+1R4Ie
5GGzjjIBxQVFmJI/L</vt:lpwstr>
  </property>
  <property fmtid="{D5CDD505-2E9C-101B-9397-08002B2CF9AE}" pid="3" name="MAIL_MSG_ID2">
    <vt:lpwstr>G4wRURKyZmuKjqjf3/anpS50qSeNCJr49Y/1+NLT4nkdz7/FEZWiHCXiVQ1
6W8jqdq05/+jXitEIQxLLD8J2HqCh5K95VZs+w==</vt:lpwstr>
  </property>
  <property fmtid="{D5CDD505-2E9C-101B-9397-08002B2CF9AE}" pid="4" name="RESPONSE_SENDER_NAME">
    <vt:lpwstr>sAAAGYoQX4c3X/ItJFUQsbkR5dWJid4rcVCL1SxSdC2dUO8=</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