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E00545" w:rsidRDefault="00E00545" w:rsidP="00593CE4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000B00" w:rsidRPr="00E00545">
        <w:rPr>
          <w:b/>
          <w:sz w:val="20"/>
          <w:szCs w:val="20"/>
        </w:rPr>
        <w:t xml:space="preserve"> </w:t>
      </w:r>
      <w:r w:rsidR="00092415">
        <w:rPr>
          <w:b/>
          <w:sz w:val="20"/>
          <w:szCs w:val="20"/>
        </w:rPr>
        <w:tab/>
        <w:t>[Service Date December 28, 2012]</w:t>
      </w:r>
      <w:bookmarkStart w:id="0" w:name="_GoBack"/>
      <w:bookmarkEnd w:id="0"/>
    </w:p>
    <w:p w:rsidR="00903E77" w:rsidRDefault="00903E77" w:rsidP="00593CE4">
      <w:pPr>
        <w:spacing w:line="264" w:lineRule="auto"/>
        <w:jc w:val="center"/>
        <w:rPr>
          <w:sz w:val="25"/>
          <w:szCs w:val="25"/>
        </w:rPr>
      </w:pPr>
    </w:p>
    <w:p w:rsidR="00E13CE1" w:rsidRPr="00D807FF" w:rsidRDefault="00E13CE1" w:rsidP="00593CE4">
      <w:pPr>
        <w:spacing w:line="264" w:lineRule="auto"/>
        <w:jc w:val="center"/>
        <w:rPr>
          <w:sz w:val="25"/>
          <w:szCs w:val="25"/>
        </w:rPr>
      </w:pPr>
    </w:p>
    <w:p w:rsidR="00CD5E71" w:rsidRPr="00D807FF" w:rsidRDefault="00CD5E71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1A0005" w:rsidRPr="00D807FF" w:rsidRDefault="001A0005" w:rsidP="00593CE4">
      <w:pPr>
        <w:spacing w:line="264" w:lineRule="auto"/>
        <w:jc w:val="center"/>
        <w:rPr>
          <w:sz w:val="25"/>
          <w:szCs w:val="25"/>
        </w:rPr>
      </w:pPr>
    </w:p>
    <w:p w:rsidR="00984FE4" w:rsidRPr="00D807FF" w:rsidRDefault="00000B00" w:rsidP="00593CE4">
      <w:pPr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December </w:t>
      </w:r>
      <w:r w:rsidR="00497C7E">
        <w:rPr>
          <w:sz w:val="25"/>
          <w:szCs w:val="25"/>
        </w:rPr>
        <w:t>28</w:t>
      </w:r>
      <w:r w:rsidR="00043699" w:rsidRPr="00D807FF">
        <w:rPr>
          <w:sz w:val="25"/>
          <w:szCs w:val="25"/>
        </w:rPr>
        <w:t>, 2012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D807FF" w:rsidRPr="00D807FF" w:rsidRDefault="00D807FF" w:rsidP="00593CE4">
      <w:pPr>
        <w:spacing w:line="264" w:lineRule="auto"/>
        <w:rPr>
          <w:sz w:val="25"/>
          <w:szCs w:val="25"/>
        </w:rPr>
      </w:pPr>
    </w:p>
    <w:p w:rsidR="005B71A4" w:rsidRPr="00D807FF" w:rsidRDefault="005B71A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ind w:left="720" w:hanging="720"/>
        <w:rPr>
          <w:sz w:val="25"/>
          <w:szCs w:val="25"/>
        </w:rPr>
      </w:pPr>
      <w:r w:rsidRPr="00D807FF">
        <w:rPr>
          <w:sz w:val="25"/>
          <w:szCs w:val="25"/>
        </w:rPr>
        <w:t>Re:</w:t>
      </w:r>
      <w:r w:rsidRPr="00D807FF">
        <w:rPr>
          <w:sz w:val="25"/>
          <w:szCs w:val="25"/>
        </w:rPr>
        <w:tab/>
      </w:r>
      <w:r w:rsidR="00000B00" w:rsidRPr="004109AF">
        <w:rPr>
          <w:i/>
          <w:sz w:val="25"/>
          <w:szCs w:val="25"/>
        </w:rPr>
        <w:t xml:space="preserve">Washington Utilities and Transportation Commission v. Avista Corporation, d/b/a Avista Utilities, </w:t>
      </w:r>
      <w:r w:rsidR="00000B00">
        <w:rPr>
          <w:sz w:val="25"/>
          <w:szCs w:val="25"/>
        </w:rPr>
        <w:t>Dockets UE-120436 and UG-120437,</w:t>
      </w:r>
      <w:r w:rsidR="00000B00" w:rsidRPr="004109AF">
        <w:rPr>
          <w:sz w:val="25"/>
          <w:szCs w:val="25"/>
        </w:rPr>
        <w:t xml:space="preserve"> </w:t>
      </w:r>
      <w:r w:rsidR="00000B00">
        <w:rPr>
          <w:sz w:val="25"/>
          <w:szCs w:val="25"/>
        </w:rPr>
        <w:t xml:space="preserve">and </w:t>
      </w:r>
      <w:r w:rsidR="00000B00" w:rsidRPr="004109AF">
        <w:rPr>
          <w:sz w:val="25"/>
          <w:szCs w:val="25"/>
        </w:rPr>
        <w:t>Dockets UE-110876 and UG-110877</w:t>
      </w:r>
      <w:r w:rsidR="00000B00">
        <w:rPr>
          <w:sz w:val="25"/>
          <w:szCs w:val="25"/>
        </w:rPr>
        <w:t xml:space="preserve"> (Second Phase) </w:t>
      </w:r>
      <w:r w:rsidR="00000B00" w:rsidRPr="002612A5">
        <w:rPr>
          <w:i/>
          <w:sz w:val="25"/>
          <w:szCs w:val="25"/>
        </w:rPr>
        <w:t>(Consolidated)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b/>
          <w:sz w:val="25"/>
          <w:szCs w:val="25"/>
        </w:rPr>
      </w:pPr>
      <w:r w:rsidRPr="00D807FF">
        <w:rPr>
          <w:sz w:val="25"/>
          <w:szCs w:val="25"/>
        </w:rPr>
        <w:t>TO ALL PARTIES:</w:t>
      </w:r>
      <w:r w:rsidRPr="00D807FF">
        <w:rPr>
          <w:b/>
          <w:sz w:val="25"/>
          <w:szCs w:val="25"/>
        </w:rPr>
        <w:tab/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832B95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 </w:t>
      </w:r>
      <w:r w:rsidR="00743DDE" w:rsidRPr="00D807FF">
        <w:rPr>
          <w:sz w:val="25"/>
          <w:szCs w:val="25"/>
        </w:rPr>
        <w:t>Washington Utilities and Transportation Commission (</w:t>
      </w:r>
      <w:r w:rsidRPr="00D807FF">
        <w:rPr>
          <w:sz w:val="25"/>
          <w:szCs w:val="25"/>
        </w:rPr>
        <w:t>Commission</w:t>
      </w:r>
      <w:r w:rsidR="00743DDE" w:rsidRPr="00D807FF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 entered Order 0</w:t>
      </w:r>
      <w:r w:rsidR="00000B00">
        <w:rPr>
          <w:sz w:val="25"/>
          <w:szCs w:val="25"/>
        </w:rPr>
        <w:t>9/14</w:t>
      </w:r>
      <w:r w:rsidR="00743DDE" w:rsidRPr="00D807FF">
        <w:rPr>
          <w:sz w:val="25"/>
          <w:szCs w:val="25"/>
        </w:rPr>
        <w:t>,</w:t>
      </w:r>
      <w:r w:rsidRPr="00D807FF">
        <w:rPr>
          <w:sz w:val="25"/>
          <w:szCs w:val="25"/>
        </w:rPr>
        <w:t xml:space="preserve"> </w:t>
      </w:r>
      <w:r w:rsidR="003B3116" w:rsidRPr="00D807FF">
        <w:rPr>
          <w:rFonts w:cstheme="minorBidi"/>
          <w:sz w:val="25"/>
          <w:szCs w:val="25"/>
        </w:rPr>
        <w:t xml:space="preserve">Rejecting Tariff </w:t>
      </w:r>
      <w:r w:rsidR="00000B00">
        <w:rPr>
          <w:rFonts w:cstheme="minorBidi"/>
          <w:sz w:val="25"/>
          <w:szCs w:val="25"/>
        </w:rPr>
        <w:t>Filing</w:t>
      </w:r>
      <w:r w:rsidR="003B3116" w:rsidRPr="00D807FF">
        <w:rPr>
          <w:rFonts w:cstheme="minorBidi"/>
          <w:sz w:val="25"/>
          <w:szCs w:val="25"/>
        </w:rPr>
        <w:t xml:space="preserve">; </w:t>
      </w:r>
      <w:r w:rsidR="00000B00">
        <w:rPr>
          <w:rFonts w:cstheme="minorBidi"/>
          <w:sz w:val="25"/>
          <w:szCs w:val="25"/>
        </w:rPr>
        <w:t>Accepting With Conditions Multi-Party Settlement Agreement, Authorizing Tariff Filing, And Requiring Compliance Filing</w:t>
      </w:r>
      <w:r w:rsidR="003B3116" w:rsidRPr="00D807FF">
        <w:rPr>
          <w:rFonts w:cstheme="minorBidi"/>
          <w:sz w:val="25"/>
          <w:szCs w:val="25"/>
        </w:rPr>
        <w:t>, in these</w:t>
      </w:r>
      <w:r w:rsidRPr="00D807FF">
        <w:rPr>
          <w:sz w:val="25"/>
          <w:szCs w:val="25"/>
        </w:rPr>
        <w:t xml:space="preserve"> docket</w:t>
      </w:r>
      <w:r w:rsidR="00043699" w:rsidRPr="00D807FF">
        <w:rPr>
          <w:sz w:val="25"/>
          <w:szCs w:val="25"/>
        </w:rPr>
        <w:t>s</w:t>
      </w:r>
      <w:r w:rsidRPr="00D807FF">
        <w:rPr>
          <w:sz w:val="25"/>
          <w:szCs w:val="25"/>
        </w:rPr>
        <w:t xml:space="preserve"> on </w:t>
      </w:r>
      <w:r w:rsidR="00000B00">
        <w:rPr>
          <w:sz w:val="25"/>
          <w:szCs w:val="25"/>
        </w:rPr>
        <w:t>December 26</w:t>
      </w:r>
      <w:r w:rsidR="008A0C15" w:rsidRPr="00D807FF">
        <w:rPr>
          <w:sz w:val="25"/>
          <w:szCs w:val="25"/>
        </w:rPr>
        <w:t>, 2012</w:t>
      </w:r>
      <w:r w:rsidR="00E054BB">
        <w:rPr>
          <w:sz w:val="25"/>
          <w:szCs w:val="25"/>
        </w:rPr>
        <w:t xml:space="preserve"> (Order 0</w:t>
      </w:r>
      <w:r w:rsidR="00000B00">
        <w:rPr>
          <w:sz w:val="25"/>
          <w:szCs w:val="25"/>
        </w:rPr>
        <w:t>9/14</w:t>
      </w:r>
      <w:r w:rsidR="00E054BB">
        <w:rPr>
          <w:sz w:val="25"/>
          <w:szCs w:val="25"/>
        </w:rPr>
        <w:t>)</w:t>
      </w:r>
      <w:r w:rsidRPr="00D807FF"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 xml:space="preserve">The Order, among other things, rejected tariff proposals by </w:t>
      </w:r>
      <w:r w:rsidR="008D7F63">
        <w:rPr>
          <w:sz w:val="25"/>
          <w:szCs w:val="25"/>
        </w:rPr>
        <w:t>Avista Corporation d/b/a Avista Utilities (Avista)</w:t>
      </w:r>
      <w:r w:rsidR="008D7F63" w:rsidRPr="00D807FF">
        <w:rPr>
          <w:sz w:val="25"/>
          <w:szCs w:val="25"/>
        </w:rPr>
        <w:t>, but authorized the Commission Secretary to approve by letter, with copies to all parties, revised tariff sheets that comply with the requirements of Order 0</w:t>
      </w:r>
      <w:r w:rsidR="008D7F63">
        <w:rPr>
          <w:sz w:val="25"/>
          <w:szCs w:val="25"/>
        </w:rPr>
        <w:t>9/14</w:t>
      </w:r>
      <w:r w:rsidR="008D7F63" w:rsidRPr="00D807FF">
        <w:rPr>
          <w:sz w:val="25"/>
          <w:szCs w:val="25"/>
        </w:rPr>
        <w:t>.</w:t>
      </w:r>
    </w:p>
    <w:p w:rsidR="00B94632" w:rsidRDefault="00B94632" w:rsidP="00593CE4">
      <w:pPr>
        <w:spacing w:line="264" w:lineRule="auto"/>
        <w:rPr>
          <w:sz w:val="25"/>
          <w:szCs w:val="25"/>
        </w:rPr>
      </w:pPr>
    </w:p>
    <w:p w:rsidR="00E054BB" w:rsidRDefault="00E054BB" w:rsidP="00593CE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8D7F63">
        <w:rPr>
          <w:sz w:val="25"/>
          <w:szCs w:val="25"/>
        </w:rPr>
        <w:t>December 27</w:t>
      </w:r>
      <w:r>
        <w:rPr>
          <w:sz w:val="25"/>
          <w:szCs w:val="25"/>
        </w:rPr>
        <w:t xml:space="preserve">, 2012, </w:t>
      </w:r>
      <w:r w:rsidR="008D7F63">
        <w:rPr>
          <w:sz w:val="25"/>
          <w:szCs w:val="25"/>
        </w:rPr>
        <w:t>Avista</w:t>
      </w:r>
      <w:r>
        <w:rPr>
          <w:sz w:val="25"/>
          <w:szCs w:val="25"/>
        </w:rPr>
        <w:t xml:space="preserve"> filed electric and natural gas tariff sheets</w:t>
      </w:r>
      <w:r w:rsidR="008D7F63">
        <w:rPr>
          <w:sz w:val="25"/>
          <w:szCs w:val="25"/>
        </w:rPr>
        <w:t xml:space="preserve"> as specified in the order</w:t>
      </w:r>
      <w:r>
        <w:rPr>
          <w:sz w:val="25"/>
          <w:szCs w:val="25"/>
        </w:rPr>
        <w:t xml:space="preserve">.  </w:t>
      </w:r>
      <w:r w:rsidR="008D7F63" w:rsidRPr="00D807FF">
        <w:rPr>
          <w:sz w:val="25"/>
          <w:szCs w:val="25"/>
        </w:rPr>
        <w:t>A list of the tariff sheets is attached to this letter.  The Commission has examined the filing</w:t>
      </w:r>
      <w:r w:rsidR="008D7F63">
        <w:rPr>
          <w:sz w:val="25"/>
          <w:szCs w:val="25"/>
        </w:rPr>
        <w:t>,</w:t>
      </w:r>
      <w:r w:rsidR="008D7F63" w:rsidRPr="00D807FF">
        <w:rPr>
          <w:sz w:val="25"/>
          <w:szCs w:val="25"/>
        </w:rPr>
        <w:t xml:space="preserve"> and it appears to comply with the terms of Order 0</w:t>
      </w:r>
      <w:r w:rsidR="008D7F63">
        <w:rPr>
          <w:sz w:val="25"/>
          <w:szCs w:val="25"/>
        </w:rPr>
        <w:t>9/14</w:t>
      </w:r>
      <w:r w:rsidR="008D7F63" w:rsidRPr="00D807FF">
        <w:rPr>
          <w:sz w:val="25"/>
          <w:szCs w:val="25"/>
        </w:rPr>
        <w:t>.</w:t>
      </w:r>
    </w:p>
    <w:p w:rsidR="00E054BB" w:rsidRDefault="00E054BB" w:rsidP="00593CE4">
      <w:pPr>
        <w:spacing w:line="264" w:lineRule="auto"/>
        <w:rPr>
          <w:sz w:val="25"/>
          <w:szCs w:val="25"/>
        </w:rPr>
      </w:pP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Therefore, the tariff sheets indicated on the attachment to this letter will become effective as filed with an effective date of </w:t>
      </w:r>
      <w:r w:rsidR="008D7F63">
        <w:rPr>
          <w:sz w:val="25"/>
          <w:szCs w:val="25"/>
        </w:rPr>
        <w:t>January 1, 2013</w:t>
      </w:r>
      <w:r w:rsidRPr="00D807FF">
        <w:rPr>
          <w:sz w:val="25"/>
          <w:szCs w:val="25"/>
        </w:rPr>
        <w:t>.</w:t>
      </w:r>
    </w:p>
    <w:p w:rsidR="00984FE4" w:rsidRPr="00D807FF" w:rsidRDefault="00984FE4" w:rsidP="00593CE4">
      <w:pPr>
        <w:spacing w:line="264" w:lineRule="auto"/>
        <w:rPr>
          <w:sz w:val="25"/>
          <w:szCs w:val="25"/>
        </w:rPr>
      </w:pPr>
    </w:p>
    <w:p w:rsidR="00984FE4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Sincerely,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743DDE" w:rsidRPr="00D807FF" w:rsidRDefault="00743DDE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743DDE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DAVID W. DANNER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 xml:space="preserve">Executive </w:t>
      </w:r>
      <w:r w:rsidR="00743DDE" w:rsidRPr="00D807FF">
        <w:rPr>
          <w:sz w:val="25"/>
          <w:szCs w:val="25"/>
        </w:rPr>
        <w:t xml:space="preserve">Director and </w:t>
      </w:r>
      <w:r w:rsidRPr="00D807FF">
        <w:rPr>
          <w:sz w:val="25"/>
          <w:szCs w:val="25"/>
        </w:rPr>
        <w:t>Secretary</w:t>
      </w: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</w:p>
    <w:p w:rsidR="00C001C7" w:rsidRPr="00D807FF" w:rsidRDefault="00C001C7" w:rsidP="00593CE4">
      <w:pPr>
        <w:spacing w:line="264" w:lineRule="auto"/>
        <w:rPr>
          <w:sz w:val="25"/>
          <w:szCs w:val="25"/>
        </w:rPr>
      </w:pPr>
      <w:r w:rsidRPr="00D807FF">
        <w:rPr>
          <w:sz w:val="25"/>
          <w:szCs w:val="25"/>
        </w:rPr>
        <w:t>Attachment</w:t>
      </w:r>
    </w:p>
    <w:p w:rsidR="00C66ACC" w:rsidRDefault="001B2CA9">
      <w:pPr>
        <w:rPr>
          <w:b/>
          <w:sz w:val="25"/>
          <w:szCs w:val="25"/>
        </w:rPr>
        <w:sectPr w:rsidR="00C66ACC" w:rsidSect="00615D0E">
          <w:headerReference w:type="default" r:id="rId7"/>
          <w:pgSz w:w="12240" w:h="15840" w:code="1"/>
          <w:pgMar w:top="1440" w:right="1440" w:bottom="1440" w:left="1800" w:header="720" w:footer="720" w:gutter="0"/>
          <w:paperSrc w:first="261" w:other="262"/>
          <w:pgNumType w:start="1"/>
          <w:cols w:space="720"/>
          <w:titlePg/>
          <w:docGrid w:linePitch="360"/>
        </w:sectPr>
      </w:pPr>
      <w:r>
        <w:rPr>
          <w:b/>
          <w:sz w:val="25"/>
          <w:szCs w:val="25"/>
        </w:rPr>
        <w:br w:type="page"/>
      </w:r>
    </w:p>
    <w:p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lastRenderedPageBreak/>
        <w:t>Attachment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Pr="00593CE4" w:rsidRDefault="00170D00" w:rsidP="00593CE4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8D7F63" w:rsidRPr="004109AF">
        <w:rPr>
          <w:i/>
          <w:sz w:val="25"/>
          <w:szCs w:val="25"/>
        </w:rPr>
        <w:t xml:space="preserve">Washington Utilities and Transportation Commission v. Avista Corporation, d/b/a Avista Utilities, </w:t>
      </w:r>
      <w:r w:rsidR="008D7F63">
        <w:rPr>
          <w:sz w:val="25"/>
          <w:szCs w:val="25"/>
        </w:rPr>
        <w:t>Dockets UE-120436 and UG-120437,</w:t>
      </w:r>
      <w:r w:rsidR="008D7F63" w:rsidRPr="004109AF">
        <w:rPr>
          <w:sz w:val="25"/>
          <w:szCs w:val="25"/>
        </w:rPr>
        <w:t xml:space="preserve"> </w:t>
      </w:r>
      <w:r w:rsidR="008D7F63">
        <w:rPr>
          <w:sz w:val="25"/>
          <w:szCs w:val="25"/>
        </w:rPr>
        <w:t xml:space="preserve">and </w:t>
      </w:r>
      <w:r w:rsidR="008D7F63" w:rsidRPr="004109AF">
        <w:rPr>
          <w:sz w:val="25"/>
          <w:szCs w:val="25"/>
        </w:rPr>
        <w:t>Dockets UE-110876 and UG-110877</w:t>
      </w:r>
      <w:r w:rsidR="008D7F63">
        <w:rPr>
          <w:sz w:val="25"/>
          <w:szCs w:val="25"/>
        </w:rPr>
        <w:t xml:space="preserve"> (Second Phase) </w:t>
      </w:r>
      <w:r w:rsidR="008D7F63" w:rsidRPr="002612A5">
        <w:rPr>
          <w:i/>
          <w:sz w:val="25"/>
          <w:szCs w:val="25"/>
        </w:rPr>
        <w:t>(Consolidated)</w:t>
      </w:r>
    </w:p>
    <w:p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 0</w:t>
      </w:r>
      <w:r w:rsidR="008D7F63">
        <w:rPr>
          <w:sz w:val="25"/>
          <w:szCs w:val="25"/>
        </w:rPr>
        <w:t>9/14</w:t>
      </w:r>
      <w:r w:rsidR="00043699">
        <w:rPr>
          <w:sz w:val="25"/>
          <w:szCs w:val="25"/>
        </w:rPr>
        <w:t xml:space="preserve"> IN </w:t>
      </w:r>
      <w:r w:rsidR="00043699" w:rsidRPr="00E518D6">
        <w:rPr>
          <w:sz w:val="25"/>
          <w:szCs w:val="25"/>
        </w:rPr>
        <w:t>DOCKETS UE-1</w:t>
      </w:r>
      <w:r w:rsidR="008D7F63">
        <w:rPr>
          <w:sz w:val="25"/>
          <w:szCs w:val="25"/>
        </w:rPr>
        <w:t>20436</w:t>
      </w:r>
      <w:r w:rsidR="00043699" w:rsidRPr="00E518D6">
        <w:rPr>
          <w:sz w:val="25"/>
          <w:szCs w:val="25"/>
        </w:rPr>
        <w:t xml:space="preserve"> and</w:t>
      </w:r>
      <w:r w:rsidR="00043699">
        <w:rPr>
          <w:sz w:val="25"/>
          <w:szCs w:val="25"/>
        </w:rPr>
        <w:t xml:space="preserve"> </w:t>
      </w:r>
      <w:r w:rsidR="00043699" w:rsidRPr="00E518D6">
        <w:rPr>
          <w:sz w:val="25"/>
          <w:szCs w:val="25"/>
        </w:rPr>
        <w:t>UG-1</w:t>
      </w:r>
      <w:r w:rsidR="008D7F63">
        <w:rPr>
          <w:sz w:val="25"/>
          <w:szCs w:val="25"/>
        </w:rPr>
        <w:t>20437</w:t>
      </w:r>
      <w:r w:rsidR="00810EBD">
        <w:rPr>
          <w:sz w:val="25"/>
          <w:szCs w:val="25"/>
        </w:rPr>
        <w:t>,</w:t>
      </w:r>
      <w:r w:rsidR="00043699" w:rsidRPr="00E518D6">
        <w:rPr>
          <w:sz w:val="25"/>
          <w:szCs w:val="25"/>
        </w:rPr>
        <w:t xml:space="preserve"> </w:t>
      </w:r>
      <w:r w:rsidR="008D7F63">
        <w:rPr>
          <w:sz w:val="25"/>
          <w:szCs w:val="25"/>
        </w:rPr>
        <w:t>and DOCKETS UE-110876</w:t>
      </w:r>
      <w:r w:rsidR="00810EBD">
        <w:rPr>
          <w:sz w:val="25"/>
          <w:szCs w:val="25"/>
        </w:rPr>
        <w:t xml:space="preserve"> and UG-110877 (Second Phase) </w:t>
      </w:r>
      <w:r w:rsidR="00043699" w:rsidRPr="00E518D6">
        <w:rPr>
          <w:sz w:val="25"/>
          <w:szCs w:val="25"/>
        </w:rPr>
        <w:t>(</w:t>
      </w:r>
      <w:r w:rsidR="00043699" w:rsidRPr="00E518D6">
        <w:rPr>
          <w:i/>
          <w:sz w:val="25"/>
          <w:szCs w:val="25"/>
        </w:rPr>
        <w:t>consolidated)</w:t>
      </w:r>
    </w:p>
    <w:p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:rsidR="00170D00" w:rsidRDefault="001B2CA9" w:rsidP="0055304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</w:t>
      </w:r>
      <w:r w:rsidR="00810EBD">
        <w:rPr>
          <w:b/>
          <w:sz w:val="25"/>
          <w:szCs w:val="25"/>
        </w:rPr>
        <w:t>28</w:t>
      </w:r>
      <w:r w:rsidR="00170D00" w:rsidRPr="00593CE4">
        <w:rPr>
          <w:b/>
          <w:sz w:val="25"/>
          <w:szCs w:val="25"/>
        </w:rPr>
        <w:t>, Electric Service</w:t>
      </w:r>
      <w:r w:rsidR="00A065CA">
        <w:rPr>
          <w:b/>
          <w:sz w:val="25"/>
          <w:szCs w:val="25"/>
        </w:rPr>
        <w:t xml:space="preserve"> &amp; WN U-29, Natural Gas Service</w:t>
      </w:r>
    </w:p>
    <w:p w:rsidR="00BF100A" w:rsidRDefault="00BF100A" w:rsidP="00593CE4">
      <w:pPr>
        <w:rPr>
          <w:sz w:val="25"/>
          <w:szCs w:val="25"/>
        </w:rPr>
      </w:pPr>
    </w:p>
    <w:p w:rsidR="004164EF" w:rsidRDefault="004164EF" w:rsidP="001B2CA9">
      <w:pPr>
        <w:rPr>
          <w:b/>
          <w:sz w:val="25"/>
          <w:szCs w:val="25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620"/>
        <w:gridCol w:w="3240"/>
      </w:tblGrid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bookmarkStart w:id="1" w:name="OLE_LINK1"/>
            <w:r w:rsidRPr="00961307">
              <w:rPr>
                <w:sz w:val="25"/>
                <w:szCs w:val="25"/>
              </w:rPr>
              <w:t>Canceling</w:t>
            </w:r>
            <w:bookmarkEnd w:id="1"/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21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21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25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25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25A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25A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31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31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42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42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44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44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45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45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46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46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47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47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47A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47A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1</w:t>
            </w:r>
            <w:r w:rsidR="00C179B6">
              <w:rPr>
                <w:sz w:val="25"/>
                <w:szCs w:val="25"/>
              </w:rPr>
              <w:t>2</w:t>
            </w:r>
            <w:r w:rsidRPr="00961307">
              <w:rPr>
                <w:sz w:val="25"/>
                <w:szCs w:val="25"/>
                <w:vertAlign w:val="superscript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91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55304B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Sub. </w:t>
            </w:r>
            <w:r w:rsidR="00C179B6">
              <w:rPr>
                <w:sz w:val="25"/>
                <w:szCs w:val="25"/>
              </w:rPr>
              <w:t>11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91</w:t>
            </w:r>
          </w:p>
        </w:tc>
      </w:tr>
      <w:tr w:rsidR="00C179B6" w:rsidRPr="006B60A3" w:rsidTr="00A065CA">
        <w:tc>
          <w:tcPr>
            <w:tcW w:w="2970" w:type="dxa"/>
          </w:tcPr>
          <w:p w:rsidR="00C179B6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C179B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Sheet 93</w:t>
            </w:r>
          </w:p>
        </w:tc>
        <w:tc>
          <w:tcPr>
            <w:tcW w:w="1620" w:type="dxa"/>
          </w:tcPr>
          <w:p w:rsidR="00C179B6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C179B6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C179B6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Sheet 93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101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101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111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111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112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112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121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121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122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122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131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C179B6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131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55304B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132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55304B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132</w:t>
            </w:r>
          </w:p>
        </w:tc>
      </w:tr>
      <w:tr w:rsidR="00A065CA" w:rsidRPr="006B60A3" w:rsidTr="00A065CA">
        <w:tc>
          <w:tcPr>
            <w:tcW w:w="2970" w:type="dxa"/>
          </w:tcPr>
          <w:p w:rsidR="00A065CA" w:rsidRPr="00961307" w:rsidRDefault="0055304B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146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55304B" w:rsidP="00A065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146</w:t>
            </w:r>
          </w:p>
        </w:tc>
      </w:tr>
      <w:tr w:rsidR="00A065CA" w:rsidRPr="00D32B3D" w:rsidTr="00A065CA">
        <w:tc>
          <w:tcPr>
            <w:tcW w:w="2970" w:type="dxa"/>
          </w:tcPr>
          <w:p w:rsidR="00A065CA" w:rsidRPr="00961307" w:rsidRDefault="0055304B" w:rsidP="005530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15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55304B" w:rsidP="005530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15</w:t>
            </w:r>
            <w:r>
              <w:rPr>
                <w:sz w:val="25"/>
                <w:szCs w:val="25"/>
              </w:rPr>
              <w:t>0</w:t>
            </w:r>
          </w:p>
        </w:tc>
      </w:tr>
      <w:tr w:rsidR="00A065CA" w:rsidRPr="00D32B3D" w:rsidTr="00A065CA">
        <w:tc>
          <w:tcPr>
            <w:tcW w:w="2970" w:type="dxa"/>
          </w:tcPr>
          <w:p w:rsidR="00A065CA" w:rsidRPr="00961307" w:rsidRDefault="00A065CA" w:rsidP="0055304B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1</w:t>
            </w:r>
            <w:r w:rsidR="0055304B">
              <w:rPr>
                <w:sz w:val="25"/>
                <w:szCs w:val="25"/>
              </w:rPr>
              <w:t>6</w:t>
            </w:r>
            <w:r w:rsidRPr="00961307">
              <w:rPr>
                <w:sz w:val="25"/>
                <w:szCs w:val="25"/>
                <w:vertAlign w:val="superscript"/>
              </w:rPr>
              <w:t>th</w:t>
            </w:r>
            <w:r w:rsidRPr="00961307">
              <w:rPr>
                <w:sz w:val="25"/>
                <w:szCs w:val="25"/>
              </w:rPr>
              <w:t xml:space="preserve"> Revision Sheet 191</w:t>
            </w:r>
          </w:p>
        </w:tc>
        <w:tc>
          <w:tcPr>
            <w:tcW w:w="1620" w:type="dxa"/>
          </w:tcPr>
          <w:p w:rsidR="00A065CA" w:rsidRPr="00961307" w:rsidRDefault="00A065CA" w:rsidP="00A065CA">
            <w:pPr>
              <w:rPr>
                <w:sz w:val="25"/>
                <w:szCs w:val="25"/>
              </w:rPr>
            </w:pPr>
            <w:r w:rsidRPr="00961307">
              <w:rPr>
                <w:sz w:val="25"/>
                <w:szCs w:val="25"/>
              </w:rPr>
              <w:t>Canceling</w:t>
            </w:r>
          </w:p>
        </w:tc>
        <w:tc>
          <w:tcPr>
            <w:tcW w:w="3240" w:type="dxa"/>
          </w:tcPr>
          <w:p w:rsidR="00A065CA" w:rsidRPr="00961307" w:rsidRDefault="0055304B" w:rsidP="0055304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Sub.</w:t>
            </w:r>
            <w:r w:rsidR="00A065CA" w:rsidRPr="00961307">
              <w:rPr>
                <w:sz w:val="25"/>
                <w:szCs w:val="25"/>
              </w:rPr>
              <w:t xml:space="preserve"> 1</w:t>
            </w:r>
            <w:r>
              <w:rPr>
                <w:sz w:val="25"/>
                <w:szCs w:val="25"/>
              </w:rPr>
              <w:t>5</w:t>
            </w:r>
            <w:r w:rsidR="00A065CA" w:rsidRPr="00961307">
              <w:rPr>
                <w:sz w:val="25"/>
                <w:szCs w:val="25"/>
                <w:vertAlign w:val="superscript"/>
              </w:rPr>
              <w:t>th</w:t>
            </w:r>
            <w:r w:rsidR="00A065CA" w:rsidRPr="00961307">
              <w:rPr>
                <w:sz w:val="25"/>
                <w:szCs w:val="25"/>
              </w:rPr>
              <w:t xml:space="preserve"> Revision Sheet 191</w:t>
            </w:r>
          </w:p>
        </w:tc>
      </w:tr>
    </w:tbl>
    <w:p w:rsidR="001B2CA9" w:rsidRPr="000F5435" w:rsidRDefault="001B2CA9" w:rsidP="00593CE4">
      <w:pPr>
        <w:rPr>
          <w:color w:val="000000"/>
        </w:rPr>
      </w:pPr>
    </w:p>
    <w:sectPr w:rsidR="001B2CA9" w:rsidRPr="000F5435" w:rsidSect="004B2782">
      <w:pgSz w:w="12240" w:h="15840" w:code="1"/>
      <w:pgMar w:top="1440" w:right="1440" w:bottom="1440" w:left="1800" w:header="720" w:footer="720" w:gutter="0"/>
      <w:paperSrc w:first="258" w:other="26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7E" w:rsidRDefault="00497C7E" w:rsidP="00E2675D">
      <w:r>
        <w:separator/>
      </w:r>
    </w:p>
  </w:endnote>
  <w:endnote w:type="continuationSeparator" w:id="0">
    <w:p w:rsidR="00497C7E" w:rsidRDefault="00497C7E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7E" w:rsidRDefault="00497C7E" w:rsidP="00E2675D">
      <w:r>
        <w:separator/>
      </w:r>
    </w:p>
  </w:footnote>
  <w:footnote w:type="continuationSeparator" w:id="0">
    <w:p w:rsidR="00497C7E" w:rsidRDefault="00497C7E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7E" w:rsidRPr="00BF100A" w:rsidRDefault="00497C7E" w:rsidP="00C66ACC">
    <w:pPr>
      <w:pStyle w:val="Header"/>
    </w:pPr>
    <w:r>
      <w:t xml:space="preserve">Dockets UE-111048 &amp; UG-111049 </w:t>
    </w:r>
    <w:r>
      <w:rPr>
        <w:i/>
      </w:rPr>
      <w:t>(consolidated)</w:t>
    </w:r>
  </w:p>
  <w:p w:rsidR="00497C7E" w:rsidRDefault="00497C7E" w:rsidP="00C66ACC">
    <w:pPr>
      <w:pStyle w:val="Header"/>
    </w:pPr>
    <w:r>
      <w:t>Attachment</w:t>
    </w:r>
  </w:p>
  <w:p w:rsidR="00497C7E" w:rsidRDefault="00497C7E" w:rsidP="00C66ACC">
    <w:pPr>
      <w:pStyle w:val="Header"/>
    </w:pPr>
    <w:r>
      <w:t>May 11, 2012</w:t>
    </w:r>
  </w:p>
  <w:p w:rsidR="00497C7E" w:rsidRPr="00C66ACC" w:rsidRDefault="00497C7E" w:rsidP="00C66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00"/>
    <w:rsid w:val="00000B00"/>
    <w:rsid w:val="00043699"/>
    <w:rsid w:val="00092415"/>
    <w:rsid w:val="000B2225"/>
    <w:rsid w:val="000D3515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70FAF"/>
    <w:rsid w:val="00320645"/>
    <w:rsid w:val="00322830"/>
    <w:rsid w:val="00333497"/>
    <w:rsid w:val="003B3116"/>
    <w:rsid w:val="003C5F77"/>
    <w:rsid w:val="004011CD"/>
    <w:rsid w:val="004164EF"/>
    <w:rsid w:val="004648E9"/>
    <w:rsid w:val="0048172D"/>
    <w:rsid w:val="00493D65"/>
    <w:rsid w:val="00497C7E"/>
    <w:rsid w:val="004A6B58"/>
    <w:rsid w:val="004B2782"/>
    <w:rsid w:val="004D784D"/>
    <w:rsid w:val="0050670E"/>
    <w:rsid w:val="0055304B"/>
    <w:rsid w:val="00593CE4"/>
    <w:rsid w:val="005B71A4"/>
    <w:rsid w:val="005C57F2"/>
    <w:rsid w:val="005D28BB"/>
    <w:rsid w:val="00615D0E"/>
    <w:rsid w:val="00646DDF"/>
    <w:rsid w:val="006F567C"/>
    <w:rsid w:val="00701C69"/>
    <w:rsid w:val="00743DDE"/>
    <w:rsid w:val="00744114"/>
    <w:rsid w:val="00752A5C"/>
    <w:rsid w:val="007532C7"/>
    <w:rsid w:val="00792BC9"/>
    <w:rsid w:val="00810EBD"/>
    <w:rsid w:val="00826875"/>
    <w:rsid w:val="00832B95"/>
    <w:rsid w:val="008A0C15"/>
    <w:rsid w:val="008A18B8"/>
    <w:rsid w:val="008A35EA"/>
    <w:rsid w:val="008B7E4C"/>
    <w:rsid w:val="008C5F2C"/>
    <w:rsid w:val="008D7F63"/>
    <w:rsid w:val="00903E77"/>
    <w:rsid w:val="009276E9"/>
    <w:rsid w:val="00931500"/>
    <w:rsid w:val="00943CE2"/>
    <w:rsid w:val="0095670C"/>
    <w:rsid w:val="009658B3"/>
    <w:rsid w:val="00973B48"/>
    <w:rsid w:val="00981E37"/>
    <w:rsid w:val="00984FE4"/>
    <w:rsid w:val="00A065CA"/>
    <w:rsid w:val="00A403A6"/>
    <w:rsid w:val="00A435FC"/>
    <w:rsid w:val="00A5134D"/>
    <w:rsid w:val="00AA2492"/>
    <w:rsid w:val="00AA7135"/>
    <w:rsid w:val="00AA76DF"/>
    <w:rsid w:val="00AF7DBE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179B6"/>
    <w:rsid w:val="00C66ACC"/>
    <w:rsid w:val="00CA51DD"/>
    <w:rsid w:val="00CD5E71"/>
    <w:rsid w:val="00CF7B60"/>
    <w:rsid w:val="00D42945"/>
    <w:rsid w:val="00D74F70"/>
    <w:rsid w:val="00D807FF"/>
    <w:rsid w:val="00DB2BDD"/>
    <w:rsid w:val="00DC0B2A"/>
    <w:rsid w:val="00E00545"/>
    <w:rsid w:val="00E054BB"/>
    <w:rsid w:val="00E13CE1"/>
    <w:rsid w:val="00E2675D"/>
    <w:rsid w:val="00E40931"/>
    <w:rsid w:val="00E97EC5"/>
    <w:rsid w:val="00EA0931"/>
    <w:rsid w:val="00EA59E3"/>
    <w:rsid w:val="00F01AFA"/>
    <w:rsid w:val="00F03E6D"/>
    <w:rsid w:val="00F73AEB"/>
    <w:rsid w:val="00F801A8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266FC4-A7BB-4024-8FD6-47DAC62FFB94}"/>
</file>

<file path=customXml/itemProps2.xml><?xml version="1.0" encoding="utf-8"?>
<ds:datastoreItem xmlns:ds="http://schemas.openxmlformats.org/officeDocument/2006/customXml" ds:itemID="{8094FE1F-742F-4268-A88A-64E652103649}"/>
</file>

<file path=customXml/itemProps3.xml><?xml version="1.0" encoding="utf-8"?>
<ds:datastoreItem xmlns:ds="http://schemas.openxmlformats.org/officeDocument/2006/customXml" ds:itemID="{A4D8B6B0-5300-47EB-BBEE-9F1C22FCD049}"/>
</file>

<file path=customXml/itemProps4.xml><?xml version="1.0" encoding="utf-8"?>
<ds:datastoreItem xmlns:ds="http://schemas.openxmlformats.org/officeDocument/2006/customXml" ds:itemID="{392A0893-ED1D-4925-9829-4121DB1D4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2012-12-27T21:09:00Z</dcterms:created>
  <dcterms:modified xsi:type="dcterms:W3CDTF">2012-12-28T16:44:00Z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