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81" w:rsidRPr="00E56B15" w:rsidRDefault="00257981" w:rsidP="00257981">
      <w:pPr>
        <w:jc w:val="center"/>
        <w:rPr>
          <w:rFonts w:ascii="Garamond" w:eastAsia="Times New Roman" w:hAnsi="Garamond" w:cs="Times New Roman"/>
          <w:b/>
          <w:sz w:val="28"/>
          <w:szCs w:val="20"/>
        </w:rPr>
      </w:pPr>
      <w:r w:rsidRPr="00E56B15">
        <w:rPr>
          <w:rFonts w:ascii="Garamond" w:eastAsia="Times New Roman" w:hAnsi="Garamond" w:cs="Times New Roman"/>
          <w:b/>
          <w:sz w:val="28"/>
          <w:szCs w:val="20"/>
        </w:rPr>
        <w:t>J. S</w:t>
      </w:r>
      <w:bookmarkStart w:id="0" w:name="_GoBack"/>
      <w:bookmarkEnd w:id="0"/>
      <w:r w:rsidRPr="00E56B15">
        <w:rPr>
          <w:rFonts w:ascii="Garamond" w:eastAsia="Times New Roman" w:hAnsi="Garamond" w:cs="Times New Roman"/>
          <w:b/>
          <w:sz w:val="28"/>
          <w:szCs w:val="20"/>
        </w:rPr>
        <w:t xml:space="preserve">tephen </w:t>
      </w:r>
      <w:proofErr w:type="spellStart"/>
      <w:r w:rsidRPr="00E56B15">
        <w:rPr>
          <w:rFonts w:ascii="Garamond" w:eastAsia="Times New Roman" w:hAnsi="Garamond" w:cs="Times New Roman"/>
          <w:b/>
          <w:sz w:val="28"/>
          <w:szCs w:val="20"/>
        </w:rPr>
        <w:t>Gaske</w:t>
      </w:r>
      <w:proofErr w:type="spellEnd"/>
      <w:r w:rsidRPr="00E56B15">
        <w:rPr>
          <w:rFonts w:ascii="Garamond" w:eastAsia="Times New Roman" w:hAnsi="Garamond" w:cs="Times New Roman"/>
          <w:b/>
          <w:sz w:val="28"/>
          <w:szCs w:val="20"/>
        </w:rPr>
        <w:t>, Ph.D.</w:t>
      </w:r>
    </w:p>
    <w:p w:rsidR="00257981" w:rsidRPr="00E56B15" w:rsidRDefault="00257981" w:rsidP="00257981">
      <w:pPr>
        <w:spacing w:line="276" w:lineRule="auto"/>
        <w:contextualSpacing/>
        <w:jc w:val="center"/>
        <w:rPr>
          <w:rFonts w:ascii="Garamond" w:eastAsia="Times New Roman" w:hAnsi="Garamond" w:cs="Times New Roman"/>
          <w:b/>
          <w:sz w:val="28"/>
          <w:szCs w:val="20"/>
        </w:rPr>
      </w:pPr>
      <w:r w:rsidRPr="00E56B15">
        <w:rPr>
          <w:rFonts w:ascii="Garamond" w:eastAsia="Times New Roman" w:hAnsi="Garamond" w:cs="Times New Roman"/>
          <w:b/>
          <w:sz w:val="28"/>
          <w:szCs w:val="20"/>
        </w:rPr>
        <w:t>Senior Vice President</w:t>
      </w:r>
    </w:p>
    <w:p w:rsidR="00257981" w:rsidRPr="00E56B15" w:rsidRDefault="00257981" w:rsidP="00257981">
      <w:pPr>
        <w:pBdr>
          <w:bottom w:val="single" w:sz="4" w:space="1" w:color="auto"/>
        </w:pBdr>
        <w:rPr>
          <w:rFonts w:ascii="Garamond" w:eastAsia="Times New Roman" w:hAnsi="Garamond" w:cs="Times New Roman"/>
          <w:sz w:val="28"/>
          <w:szCs w:val="28"/>
        </w:rPr>
      </w:pPr>
    </w:p>
    <w:p w:rsidR="00257981" w:rsidRPr="00E56B15" w:rsidRDefault="00257981" w:rsidP="00257981">
      <w:pPr>
        <w:jc w:val="both"/>
        <w:rPr>
          <w:rFonts w:ascii="Garamond" w:eastAsia="Times New Roman" w:hAnsi="Garamond" w:cs="Times New Roman"/>
          <w:sz w:val="22"/>
          <w:szCs w:val="20"/>
        </w:rPr>
      </w:pPr>
    </w:p>
    <w:p w:rsidR="00257981" w:rsidRPr="00E56B15" w:rsidRDefault="00257981" w:rsidP="00257981">
      <w:pPr>
        <w:jc w:val="both"/>
        <w:rPr>
          <w:rFonts w:ascii="Garamond" w:eastAsia="Times New Roman" w:hAnsi="Garamond" w:cs="Times New Roman"/>
          <w:sz w:val="22"/>
          <w:szCs w:val="20"/>
        </w:rPr>
      </w:pPr>
      <w:r w:rsidRPr="00E56B15">
        <w:rPr>
          <w:rFonts w:ascii="Garamond" w:eastAsia="Times New Roman" w:hAnsi="Garamond" w:cs="Times New Roman"/>
          <w:sz w:val="22"/>
          <w:szCs w:val="20"/>
        </w:rPr>
        <w:t xml:space="preserve">Steve </w:t>
      </w:r>
      <w:proofErr w:type="spellStart"/>
      <w:r w:rsidRPr="00E56B15">
        <w:rPr>
          <w:rFonts w:ascii="Garamond" w:eastAsia="Times New Roman" w:hAnsi="Garamond" w:cs="Times New Roman"/>
          <w:sz w:val="22"/>
          <w:szCs w:val="20"/>
        </w:rPr>
        <w:t>Gaske</w:t>
      </w:r>
      <w:proofErr w:type="spellEnd"/>
      <w:r w:rsidRPr="00E56B15">
        <w:rPr>
          <w:rFonts w:ascii="Garamond" w:eastAsia="Times New Roman" w:hAnsi="Garamond" w:cs="Times New Roman"/>
          <w:sz w:val="22"/>
          <w:szCs w:val="20"/>
        </w:rPr>
        <w:t xml:space="preserve"> has more than 30 years of experience as an economic consultant, researcher, and professor in the fields of public utility economics, finance, and regulation.  Dr. </w:t>
      </w:r>
      <w:proofErr w:type="spellStart"/>
      <w:r w:rsidRPr="00E56B15">
        <w:rPr>
          <w:rFonts w:ascii="Garamond" w:eastAsia="Times New Roman" w:hAnsi="Garamond" w:cs="Times New Roman"/>
          <w:sz w:val="22"/>
          <w:szCs w:val="20"/>
        </w:rPr>
        <w:t>Gaske</w:t>
      </w:r>
      <w:proofErr w:type="spellEnd"/>
      <w:r w:rsidRPr="00E56B15">
        <w:rPr>
          <w:rFonts w:ascii="Garamond" w:eastAsia="Times New Roman" w:hAnsi="Garamond" w:cs="Times New Roman"/>
          <w:sz w:val="22"/>
          <w:szCs w:val="20"/>
        </w:rPr>
        <w:t xml:space="preserve"> has provided consulting services in more than 300 regulatory, antitrust, tax, and civil proceedings.  In addition, he has presented expert testimony in more than 100 state, provincial, and federal regulatory commission hearings in Canada, the U.S. and Mexico.</w:t>
      </w:r>
    </w:p>
    <w:p w:rsidR="00257981" w:rsidRPr="00E56B15" w:rsidRDefault="00257981" w:rsidP="00257981">
      <w:pPr>
        <w:pBdr>
          <w:bottom w:val="single" w:sz="4" w:space="1" w:color="auto"/>
        </w:pBdr>
        <w:rPr>
          <w:rFonts w:ascii="Garamond" w:eastAsia="Times New Roman" w:hAnsi="Garamond" w:cs="Times New Roman"/>
          <w:sz w:val="22"/>
          <w:szCs w:val="20"/>
        </w:rPr>
      </w:pPr>
    </w:p>
    <w:p w:rsidR="00257981" w:rsidRPr="00E56B15" w:rsidRDefault="00257981" w:rsidP="00257981">
      <w:pPr>
        <w:rPr>
          <w:rFonts w:ascii="Garamond" w:eastAsia="Times New Roman" w:hAnsi="Garamond" w:cs="Times New Roman"/>
          <w:sz w:val="22"/>
        </w:rPr>
      </w:pPr>
    </w:p>
    <w:p w:rsidR="00257981" w:rsidRPr="00E56B15" w:rsidRDefault="00257981" w:rsidP="00257981">
      <w:pPr>
        <w:keepNext/>
        <w:keepLines/>
        <w:spacing w:line="300" w:lineRule="auto"/>
        <w:outlineLvl w:val="0"/>
        <w:rPr>
          <w:rFonts w:ascii="Garamond" w:eastAsia="Times New Roman" w:hAnsi="Garamond" w:cs="Times New Roman"/>
          <w:b/>
          <w:caps/>
          <w:sz w:val="22"/>
        </w:rPr>
      </w:pPr>
      <w:r w:rsidRPr="00E56B15">
        <w:rPr>
          <w:rFonts w:ascii="Garamond" w:eastAsia="Times New Roman" w:hAnsi="Garamond" w:cs="Times New Roman"/>
          <w:b/>
          <w:caps/>
          <w:sz w:val="22"/>
        </w:rPr>
        <w:t>Areas of Expertise</w:t>
      </w:r>
    </w:p>
    <w:p w:rsidR="00257981" w:rsidRPr="00E56B15" w:rsidRDefault="00257981" w:rsidP="00257981">
      <w:pPr>
        <w:rPr>
          <w:rFonts w:ascii="Garamond" w:eastAsia="Times New Roman" w:hAnsi="Garamond" w:cs="Times New Roman"/>
          <w:sz w:val="22"/>
          <w:szCs w:val="20"/>
        </w:rPr>
      </w:pPr>
      <w:r w:rsidRPr="00E56B15">
        <w:rPr>
          <w:rFonts w:ascii="Garamond" w:eastAsia="Times New Roman" w:hAnsi="Garamond" w:cs="Times New Roman"/>
          <w:sz w:val="22"/>
          <w:szCs w:val="20"/>
        </w:rPr>
        <w:t>His specialty is the application to regulated industries of inter-related principles from economics, finance and regulatory theory.  His areas of expertise include:</w:t>
      </w:r>
    </w:p>
    <w:p w:rsidR="00257981" w:rsidRPr="00E56B15" w:rsidRDefault="00257981" w:rsidP="00257981">
      <w:pPr>
        <w:numPr>
          <w:ilvl w:val="0"/>
          <w:numId w:val="3"/>
        </w:numPr>
        <w:spacing w:before="120"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 xml:space="preserve">Finance, cost of capital, and risk analysis; </w:t>
      </w:r>
    </w:p>
    <w:p w:rsidR="00257981" w:rsidRPr="00E56B15" w:rsidRDefault="00257981" w:rsidP="00257981">
      <w:pPr>
        <w:numPr>
          <w:ilvl w:val="0"/>
          <w:numId w:val="3"/>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Rate design, cost allocation, cost of service, and pricing of services;</w:t>
      </w:r>
    </w:p>
    <w:p w:rsidR="00257981" w:rsidRPr="00E56B15" w:rsidRDefault="00257981" w:rsidP="00257981">
      <w:pPr>
        <w:numPr>
          <w:ilvl w:val="0"/>
          <w:numId w:val="3"/>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Energy markets and the economics of public utilities and energy infrastructure;</w:t>
      </w:r>
    </w:p>
    <w:p w:rsidR="00257981" w:rsidRPr="00E56B15" w:rsidRDefault="00257981" w:rsidP="00257981">
      <w:pPr>
        <w:numPr>
          <w:ilvl w:val="0"/>
          <w:numId w:val="3"/>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Competition and antitrust principles; and</w:t>
      </w:r>
    </w:p>
    <w:p w:rsidR="00257981" w:rsidRPr="00E56B15" w:rsidRDefault="00257981" w:rsidP="00257981">
      <w:pPr>
        <w:numPr>
          <w:ilvl w:val="0"/>
          <w:numId w:val="3"/>
        </w:numPr>
        <w:spacing w:after="160" w:line="259" w:lineRule="auto"/>
        <w:contextualSpacing/>
        <w:rPr>
          <w:rFonts w:ascii="Garamond" w:eastAsia="Times New Roman" w:hAnsi="Garamond" w:cs="Times New Roman"/>
          <w:sz w:val="22"/>
        </w:rPr>
      </w:pPr>
      <w:r w:rsidRPr="00E56B15">
        <w:rPr>
          <w:rFonts w:ascii="Garamond" w:eastAsia="Times New Roman" w:hAnsi="Garamond" w:cs="Times New Roman"/>
          <w:sz w:val="22"/>
        </w:rPr>
        <w:t>Regulatory economics, rules, and policies. </w:t>
      </w:r>
    </w:p>
    <w:p w:rsidR="00257981" w:rsidRPr="00E56B15" w:rsidRDefault="00257981" w:rsidP="00257981">
      <w:pPr>
        <w:keepNext/>
        <w:keepLines/>
        <w:outlineLvl w:val="0"/>
        <w:rPr>
          <w:rFonts w:ascii="Garamond" w:eastAsia="Times New Roman" w:hAnsi="Garamond" w:cs="Times New Roman"/>
          <w:b/>
          <w:caps/>
          <w:szCs w:val="20"/>
        </w:rPr>
      </w:pPr>
    </w:p>
    <w:p w:rsidR="00257981" w:rsidRPr="00E56B15" w:rsidRDefault="00257981" w:rsidP="00257981">
      <w:pPr>
        <w:keepNext/>
        <w:keepLines/>
        <w:outlineLvl w:val="0"/>
        <w:rPr>
          <w:rFonts w:ascii="Garamond" w:eastAsia="Times New Roman" w:hAnsi="Garamond" w:cs="Times New Roman"/>
          <w:b/>
          <w:caps/>
          <w:sz w:val="22"/>
        </w:rPr>
      </w:pPr>
      <w:r w:rsidRPr="00E56B15">
        <w:rPr>
          <w:rFonts w:ascii="Garamond" w:eastAsia="Times New Roman" w:hAnsi="Garamond" w:cs="Times New Roman"/>
          <w:b/>
          <w:caps/>
          <w:sz w:val="22"/>
        </w:rPr>
        <w:t>Industry Expertise</w:t>
      </w:r>
    </w:p>
    <w:p w:rsidR="00257981" w:rsidRPr="00E56B15" w:rsidRDefault="00257981" w:rsidP="00257981">
      <w:pPr>
        <w:spacing w:before="120" w:after="120" w:line="300" w:lineRule="auto"/>
        <w:rPr>
          <w:rFonts w:ascii="Garamond" w:eastAsia="Times New Roman" w:hAnsi="Garamond" w:cs="Times New Roman"/>
          <w:sz w:val="22"/>
          <w:szCs w:val="20"/>
        </w:rPr>
      </w:pPr>
      <w:r w:rsidRPr="00E56B15">
        <w:rPr>
          <w:rFonts w:ascii="Garamond" w:eastAsia="Times New Roman" w:hAnsi="Garamond" w:cs="Times New Roman"/>
          <w:sz w:val="22"/>
          <w:szCs w:val="20"/>
        </w:rPr>
        <w:t>His work has involved:</w:t>
      </w:r>
    </w:p>
    <w:p w:rsidR="00257981" w:rsidRPr="00E56B15" w:rsidRDefault="00257981" w:rsidP="00257981">
      <w:pPr>
        <w:numPr>
          <w:ilvl w:val="0"/>
          <w:numId w:val="3"/>
        </w:numPr>
        <w:spacing w:after="160" w:line="300" w:lineRule="auto"/>
        <w:contextualSpacing/>
        <w:rPr>
          <w:rFonts w:ascii="Garamond" w:eastAsia="Times New Roman" w:hAnsi="Garamond" w:cs="Times New Roman"/>
          <w:sz w:val="22"/>
        </w:rPr>
      </w:pPr>
      <w:r w:rsidRPr="00E56B15">
        <w:rPr>
          <w:rFonts w:ascii="Garamond" w:eastAsia="Times New Roman" w:hAnsi="Garamond" w:cs="Times New Roman"/>
          <w:sz w:val="22"/>
        </w:rPr>
        <w:t xml:space="preserve">Most of the major natural gas pipelines in North America; </w:t>
      </w:r>
    </w:p>
    <w:p w:rsidR="00257981" w:rsidRPr="00E56B15" w:rsidRDefault="00257981" w:rsidP="00257981">
      <w:pPr>
        <w:numPr>
          <w:ilvl w:val="0"/>
          <w:numId w:val="4"/>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 xml:space="preserve">Many electric utilities; </w:t>
      </w:r>
    </w:p>
    <w:p w:rsidR="00257981" w:rsidRPr="00E56B15" w:rsidRDefault="00257981" w:rsidP="00257981">
      <w:pPr>
        <w:numPr>
          <w:ilvl w:val="0"/>
          <w:numId w:val="4"/>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Many natural gas distribution companies;</w:t>
      </w:r>
    </w:p>
    <w:p w:rsidR="00257981" w:rsidRPr="00E56B15" w:rsidRDefault="00257981" w:rsidP="00257981">
      <w:pPr>
        <w:numPr>
          <w:ilvl w:val="0"/>
          <w:numId w:val="4"/>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Several major oil pipelines;</w:t>
      </w:r>
    </w:p>
    <w:p w:rsidR="00257981" w:rsidRPr="00E56B15" w:rsidRDefault="00257981" w:rsidP="00257981">
      <w:pPr>
        <w:numPr>
          <w:ilvl w:val="0"/>
          <w:numId w:val="4"/>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Railroads;</w:t>
      </w:r>
    </w:p>
    <w:p w:rsidR="00257981" w:rsidRPr="00E56B15" w:rsidRDefault="00257981" w:rsidP="00257981">
      <w:pPr>
        <w:numPr>
          <w:ilvl w:val="0"/>
          <w:numId w:val="4"/>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Postal Service;</w:t>
      </w:r>
    </w:p>
    <w:p w:rsidR="00257981" w:rsidRPr="00E56B15" w:rsidRDefault="00257981" w:rsidP="00257981">
      <w:pPr>
        <w:numPr>
          <w:ilvl w:val="0"/>
          <w:numId w:val="4"/>
        </w:numPr>
        <w:spacing w:before="100" w:beforeAutospacing="1" w:after="100" w:afterAutospacing="1" w:line="300" w:lineRule="auto"/>
        <w:contextualSpacing/>
        <w:rPr>
          <w:rFonts w:ascii="Garamond" w:eastAsia="Times New Roman" w:hAnsi="Garamond" w:cs="Times New Roman"/>
          <w:sz w:val="22"/>
        </w:rPr>
      </w:pPr>
      <w:r w:rsidRPr="00E56B15">
        <w:rPr>
          <w:rFonts w:ascii="Garamond" w:eastAsia="Times New Roman" w:hAnsi="Garamond" w:cs="Times New Roman"/>
          <w:sz w:val="22"/>
        </w:rPr>
        <w:t xml:space="preserve">Telephone and satellite telecommunications companies; and </w:t>
      </w:r>
    </w:p>
    <w:p w:rsidR="00257981" w:rsidRPr="00E56B15" w:rsidRDefault="00257981" w:rsidP="00257981">
      <w:pPr>
        <w:numPr>
          <w:ilvl w:val="0"/>
          <w:numId w:val="4"/>
        </w:numPr>
        <w:spacing w:after="160" w:line="300" w:lineRule="auto"/>
        <w:contextualSpacing/>
        <w:rPr>
          <w:rFonts w:ascii="Garamond" w:eastAsia="Times New Roman" w:hAnsi="Garamond" w:cs="Times New Roman"/>
          <w:sz w:val="22"/>
        </w:rPr>
      </w:pPr>
      <w:r w:rsidRPr="00E56B15">
        <w:rPr>
          <w:rFonts w:ascii="Garamond" w:eastAsia="Times New Roman" w:hAnsi="Garamond" w:cs="Times New Roman"/>
          <w:sz w:val="22"/>
        </w:rPr>
        <w:t>Sewer and water companies.</w:t>
      </w:r>
    </w:p>
    <w:p w:rsidR="00257981" w:rsidRPr="00E56B15" w:rsidRDefault="00257981" w:rsidP="00257981">
      <w:pPr>
        <w:spacing w:line="300" w:lineRule="auto"/>
        <w:ind w:left="-90"/>
        <w:contextualSpacing/>
        <w:rPr>
          <w:rFonts w:ascii="Garamond" w:eastAsia="Times New Roman" w:hAnsi="Garamond" w:cs="Times New Roman"/>
          <w:sz w:val="22"/>
        </w:rPr>
      </w:pPr>
    </w:p>
    <w:p w:rsidR="00257981" w:rsidRPr="00E56B15" w:rsidRDefault="00257981" w:rsidP="00257981">
      <w:pPr>
        <w:keepNext/>
        <w:keepLines/>
        <w:outlineLvl w:val="0"/>
        <w:rPr>
          <w:rFonts w:ascii="Garamond" w:eastAsia="Times New Roman" w:hAnsi="Garamond" w:cs="Times New Roman"/>
          <w:b/>
          <w:caps/>
          <w:sz w:val="22"/>
        </w:rPr>
      </w:pPr>
      <w:r w:rsidRPr="00E56B15">
        <w:rPr>
          <w:rFonts w:ascii="Garamond" w:eastAsia="Times New Roman" w:hAnsi="Garamond" w:cs="Times New Roman"/>
          <w:b/>
          <w:caps/>
          <w:sz w:val="22"/>
        </w:rPr>
        <w:t>Representative Project Experience</w:t>
      </w:r>
    </w:p>
    <w:p w:rsidR="00257981" w:rsidRPr="00E56B15" w:rsidRDefault="00257981" w:rsidP="00257981">
      <w:pPr>
        <w:spacing w:before="120" w:after="120" w:line="300" w:lineRule="auto"/>
        <w:rPr>
          <w:rFonts w:ascii="Garamond" w:eastAsia="Times New Roman" w:hAnsi="Garamond" w:cs="Times New Roman"/>
          <w:sz w:val="22"/>
          <w:szCs w:val="20"/>
        </w:rPr>
      </w:pPr>
      <w:r w:rsidRPr="00E56B15">
        <w:rPr>
          <w:rFonts w:ascii="Garamond" w:eastAsia="Times New Roman" w:hAnsi="Garamond" w:cs="Times New Roman"/>
          <w:sz w:val="22"/>
          <w:szCs w:val="20"/>
        </w:rPr>
        <w:t xml:space="preserve">Some of the projects on which Dr. </w:t>
      </w:r>
      <w:proofErr w:type="spellStart"/>
      <w:r w:rsidRPr="00E56B15">
        <w:rPr>
          <w:rFonts w:ascii="Garamond" w:eastAsia="Times New Roman" w:hAnsi="Garamond" w:cs="Times New Roman"/>
          <w:sz w:val="22"/>
          <w:szCs w:val="20"/>
        </w:rPr>
        <w:t>Gaske</w:t>
      </w:r>
      <w:proofErr w:type="spellEnd"/>
      <w:r w:rsidRPr="00E56B15">
        <w:rPr>
          <w:rFonts w:ascii="Garamond" w:eastAsia="Times New Roman" w:hAnsi="Garamond" w:cs="Times New Roman"/>
          <w:sz w:val="22"/>
          <w:szCs w:val="20"/>
        </w:rPr>
        <w:t xml:space="preserve"> has worked include:</w:t>
      </w:r>
    </w:p>
    <w:p w:rsidR="00257981" w:rsidRPr="00E56B15" w:rsidRDefault="00257981" w:rsidP="00257981">
      <w:pPr>
        <w:numPr>
          <w:ilvl w:val="0"/>
          <w:numId w:val="3"/>
        </w:numPr>
        <w:spacing w:after="160" w:line="259" w:lineRule="auto"/>
        <w:jc w:val="both"/>
        <w:rPr>
          <w:rFonts w:ascii="Garamond" w:eastAsia="Times New Roman" w:hAnsi="Garamond" w:cs="Times New Roman"/>
          <w:sz w:val="22"/>
        </w:rPr>
      </w:pPr>
      <w:r w:rsidRPr="00E56B15">
        <w:rPr>
          <w:rFonts w:ascii="Garamond" w:eastAsia="Times New Roman" w:hAnsi="Garamond" w:cs="Times New Roman"/>
          <w:sz w:val="22"/>
        </w:rPr>
        <w:t xml:space="preserve">Advisor to numerous U.S. and Canadian pipelines on economics, pricing strategies and regulatory matters;  </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 xml:space="preserve">Development of computerized cost of service models for calculating both traditional and </w:t>
      </w:r>
      <w:proofErr w:type="spellStart"/>
      <w:r w:rsidRPr="00E56B15">
        <w:rPr>
          <w:rFonts w:ascii="Garamond" w:eastAsia="Times New Roman" w:hAnsi="Garamond" w:cs="Times New Roman"/>
          <w:sz w:val="22"/>
        </w:rPr>
        <w:t>levelized</w:t>
      </w:r>
      <w:proofErr w:type="spellEnd"/>
      <w:r w:rsidRPr="00E56B15">
        <w:rPr>
          <w:rFonts w:ascii="Garamond" w:eastAsia="Times New Roman" w:hAnsi="Garamond" w:cs="Times New Roman"/>
          <w:sz w:val="22"/>
        </w:rPr>
        <w:t xml:space="preserve"> rates for gas and oil pipelines, and rates for electric utilities;</w:t>
      </w:r>
    </w:p>
    <w:p w:rsidR="00257981" w:rsidRPr="00E56B15" w:rsidRDefault="00257981" w:rsidP="00257981">
      <w:pPr>
        <w:numPr>
          <w:ilvl w:val="0"/>
          <w:numId w:val="2"/>
        </w:numPr>
        <w:tabs>
          <w:tab w:val="num" w:pos="720"/>
        </w:tabs>
        <w:spacing w:after="160" w:line="259" w:lineRule="auto"/>
        <w:ind w:left="720"/>
        <w:rPr>
          <w:rFonts w:ascii="Garamond" w:eastAsia="Times New Roman" w:hAnsi="Garamond" w:cs="Times New Roman"/>
          <w:sz w:val="22"/>
        </w:rPr>
      </w:pPr>
      <w:r w:rsidRPr="00E56B15">
        <w:rPr>
          <w:rFonts w:ascii="Garamond" w:eastAsia="Times New Roman" w:hAnsi="Garamond" w:cs="Times New Roman"/>
          <w:sz w:val="22"/>
        </w:rPr>
        <w:t xml:space="preserve">On behalf of a new, </w:t>
      </w:r>
      <w:proofErr w:type="gramStart"/>
      <w:r w:rsidRPr="00E56B15">
        <w:rPr>
          <w:rFonts w:ascii="Garamond" w:eastAsia="Times New Roman" w:hAnsi="Garamond" w:cs="Times New Roman"/>
          <w:sz w:val="22"/>
        </w:rPr>
        <w:t>greenfield</w:t>
      </w:r>
      <w:proofErr w:type="gramEnd"/>
      <w:r w:rsidRPr="00E56B15">
        <w:rPr>
          <w:rFonts w:ascii="Garamond" w:eastAsia="Times New Roman" w:hAnsi="Garamond" w:cs="Times New Roman"/>
          <w:sz w:val="22"/>
        </w:rPr>
        <w:t xml:space="preserve"> pipeline designed to carry Canadian gas to U.S. New England markets he served as the rate and financial advisor during the development, permitting and financing stages. </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lastRenderedPageBreak/>
        <w:t>A variety of White Papers on technical aspects of calculating the allowed rate of return for regulated companies, including white papers submitted in proceedings involving FERC generic rate of return for electric utilities, FERC rate of return for gas and oil pipelines, Canadian rate of return for pipelines and utilities;</w:t>
      </w:r>
    </w:p>
    <w:p w:rsidR="00257981" w:rsidRPr="00E56B15" w:rsidRDefault="00257981" w:rsidP="00257981">
      <w:pPr>
        <w:numPr>
          <w:ilvl w:val="0"/>
          <w:numId w:val="2"/>
        </w:numPr>
        <w:tabs>
          <w:tab w:val="num" w:pos="720"/>
        </w:tabs>
        <w:spacing w:after="160" w:line="259" w:lineRule="auto"/>
        <w:ind w:left="720"/>
        <w:rPr>
          <w:rFonts w:ascii="Garamond" w:eastAsia="Times New Roman" w:hAnsi="Garamond" w:cs="Times New Roman"/>
          <w:sz w:val="22"/>
        </w:rPr>
      </w:pPr>
      <w:r w:rsidRPr="00E56B15">
        <w:rPr>
          <w:rFonts w:ascii="Garamond" w:eastAsia="Times New Roman" w:hAnsi="Garamond" w:cs="Times New Roman"/>
          <w:sz w:val="22"/>
        </w:rPr>
        <w:t>An analysis of the applicability of various finance theories to telephone ratemaking by the U. S. Federal Communications Commission;</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A study of the economic structure, risks and cost of capital of the satellite telecommunications industry;</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Author of several issues of the H. Zinder &amp; Associates Summary of Natural Gas Pipeline Rates;</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Several studies of regional natural gas market competition, market power, pricing and capacity needs;</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An evaluation of Federal Energy Regulatory Commission policies designed to promote liquidity in the natural gas commodity markets;</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Numerous studies of electric rate, regulatory and market issues such as canceled plant treatment, time-differentiated rates, non-utility generation, competitive bidding, and open-access transmission;</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Author of two updates of the Edison Electric Institute Glossary of Electric Utility Terms;</w:t>
      </w:r>
    </w:p>
    <w:p w:rsidR="00257981" w:rsidRPr="00E56B15" w:rsidRDefault="00257981" w:rsidP="00257981">
      <w:pPr>
        <w:numPr>
          <w:ilvl w:val="0"/>
          <w:numId w:val="2"/>
        </w:numPr>
        <w:tabs>
          <w:tab w:val="num" w:pos="720"/>
        </w:tabs>
        <w:spacing w:after="160" w:line="259" w:lineRule="auto"/>
        <w:ind w:left="720"/>
        <w:jc w:val="both"/>
        <w:rPr>
          <w:rFonts w:ascii="Garamond" w:eastAsia="Times New Roman" w:hAnsi="Garamond" w:cs="Times New Roman"/>
          <w:sz w:val="22"/>
        </w:rPr>
      </w:pPr>
      <w:r w:rsidRPr="00E56B15">
        <w:rPr>
          <w:rFonts w:ascii="Garamond" w:eastAsia="Times New Roman" w:hAnsi="Garamond" w:cs="Times New Roman"/>
          <w:sz w:val="22"/>
        </w:rPr>
        <w:t>Several studies of pricing, contract provisions, competitive bidding programs, and transmission practices for independent electric generation; and,</w:t>
      </w:r>
    </w:p>
    <w:p w:rsidR="00257981" w:rsidRPr="00E56B15" w:rsidRDefault="00257981" w:rsidP="00257981">
      <w:pPr>
        <w:numPr>
          <w:ilvl w:val="0"/>
          <w:numId w:val="2"/>
        </w:numPr>
        <w:tabs>
          <w:tab w:val="num" w:pos="720"/>
        </w:tabs>
        <w:spacing w:after="160" w:line="259" w:lineRule="auto"/>
        <w:ind w:left="720"/>
        <w:rPr>
          <w:rFonts w:ascii="Garamond" w:eastAsia="Times New Roman" w:hAnsi="Garamond" w:cs="Times New Roman"/>
          <w:sz w:val="22"/>
        </w:rPr>
      </w:pPr>
      <w:r w:rsidRPr="00E56B15">
        <w:rPr>
          <w:rFonts w:ascii="Garamond" w:eastAsia="Times New Roman" w:hAnsi="Garamond" w:cs="Times New Roman"/>
          <w:sz w:val="22"/>
        </w:rPr>
        <w:t>Several reports and projects on incentive regulation and the application of price cap regulation to both electric and natural gas companies.</w:t>
      </w:r>
    </w:p>
    <w:p w:rsidR="00257981" w:rsidRPr="00E56B15" w:rsidRDefault="00257981" w:rsidP="00257981">
      <w:pPr>
        <w:pBdr>
          <w:bottom w:val="single" w:sz="4" w:space="1" w:color="auto"/>
        </w:pBdr>
        <w:rPr>
          <w:rFonts w:ascii="Garamond" w:eastAsia="Times New Roman" w:hAnsi="Garamond" w:cs="Times New Roman"/>
          <w:sz w:val="22"/>
          <w:szCs w:val="20"/>
        </w:rPr>
      </w:pPr>
    </w:p>
    <w:p w:rsidR="00257981" w:rsidRPr="00E56B15" w:rsidRDefault="00257981" w:rsidP="00257981">
      <w:pPr>
        <w:rPr>
          <w:rFonts w:ascii="Garamond" w:eastAsia="Times New Roman" w:hAnsi="Garamond" w:cs="Times New Roman"/>
          <w:sz w:val="22"/>
          <w:szCs w:val="20"/>
        </w:rPr>
      </w:pPr>
    </w:p>
    <w:p w:rsidR="00257981" w:rsidRPr="00E56B15" w:rsidRDefault="00257981" w:rsidP="00257981">
      <w:pPr>
        <w:keepNext/>
        <w:keepLines/>
        <w:outlineLvl w:val="0"/>
        <w:rPr>
          <w:rFonts w:ascii="Garamond" w:eastAsia="Times New Roman" w:hAnsi="Garamond" w:cs="Times New Roman"/>
          <w:b/>
          <w:caps/>
          <w:sz w:val="22"/>
        </w:rPr>
      </w:pPr>
      <w:r w:rsidRPr="00E56B15">
        <w:rPr>
          <w:rFonts w:ascii="Garamond" w:eastAsia="Times New Roman" w:hAnsi="Garamond" w:cs="Times New Roman"/>
          <w:b/>
          <w:caps/>
          <w:sz w:val="22"/>
        </w:rPr>
        <w:t>Litigation Support and Expert Testimony</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auto"/>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auto"/>
        <w:rPr>
          <w:rFonts w:ascii="Garamond" w:eastAsia="Times New Roman" w:hAnsi="Garamond" w:cs="Times New Roman"/>
          <w:sz w:val="22"/>
          <w:szCs w:val="20"/>
        </w:rPr>
      </w:pPr>
      <w:r w:rsidRPr="00E56B15">
        <w:rPr>
          <w:rFonts w:ascii="Garamond" w:eastAsia="Times New Roman" w:hAnsi="Garamond" w:cs="Times New Roman"/>
          <w:sz w:val="22"/>
          <w:szCs w:val="20"/>
        </w:rPr>
        <w:t xml:space="preserve">Dr. </w:t>
      </w:r>
      <w:proofErr w:type="spellStart"/>
      <w:r w:rsidRPr="00E56B15">
        <w:rPr>
          <w:rFonts w:ascii="Garamond" w:eastAsia="Times New Roman" w:hAnsi="Garamond" w:cs="Times New Roman"/>
          <w:sz w:val="22"/>
          <w:szCs w:val="20"/>
        </w:rPr>
        <w:t>Gaske</w:t>
      </w:r>
      <w:proofErr w:type="spellEnd"/>
      <w:r w:rsidRPr="00E56B15">
        <w:rPr>
          <w:rFonts w:ascii="Garamond" w:eastAsia="Times New Roman" w:hAnsi="Garamond" w:cs="Times New Roman"/>
          <w:sz w:val="22"/>
          <w:szCs w:val="20"/>
        </w:rPr>
        <w:t xml:space="preserve"> has testified or filed testimony or affidavits in more than 100 regulatory proceedings on the following topics:</w:t>
      </w:r>
    </w:p>
    <w:p w:rsidR="00257981" w:rsidRPr="00E56B15" w:rsidRDefault="00257981" w:rsidP="00257981">
      <w:pPr>
        <w:widowControl w:val="0"/>
        <w:tabs>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auto"/>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1620"/>
          <w:tab w:val="left" w:pos="6120"/>
        </w:tabs>
        <w:ind w:left="-720" w:firstLine="720"/>
        <w:rPr>
          <w:rFonts w:ascii="Garamond" w:eastAsia="Times New Roman" w:hAnsi="Garamond" w:cs="Times New Roman"/>
          <w:b/>
          <w:sz w:val="22"/>
          <w:szCs w:val="20"/>
        </w:rPr>
      </w:pPr>
      <w:r w:rsidRPr="00E56B15">
        <w:rPr>
          <w:rFonts w:ascii="Garamond" w:eastAsia="Times New Roman" w:hAnsi="Garamond" w:cs="Times New Roman"/>
          <w:b/>
          <w:sz w:val="22"/>
          <w:szCs w:val="20"/>
        </w:rPr>
        <w:tab/>
        <w:t>Commission</w:t>
      </w:r>
      <w:r w:rsidRPr="00E56B15">
        <w:rPr>
          <w:rFonts w:ascii="Garamond" w:eastAsia="Times New Roman" w:hAnsi="Garamond" w:cs="Times New Roman"/>
          <w:b/>
          <w:sz w:val="22"/>
          <w:szCs w:val="20"/>
        </w:rPr>
        <w:tab/>
        <w:t>Topic</w:t>
      </w:r>
    </w:p>
    <w:p w:rsidR="00257981" w:rsidRPr="00E56B15" w:rsidRDefault="00257981" w:rsidP="00257981">
      <w:pPr>
        <w:widowControl w:val="0"/>
        <w:tabs>
          <w:tab w:val="left" w:pos="-144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Times New Roman" w:hAnsi="Garamond" w:cs="Times New Roman"/>
          <w:b/>
          <w:sz w:val="22"/>
          <w:szCs w:val="20"/>
        </w:rPr>
      </w:pPr>
    </w:p>
    <w:p w:rsidR="00257981" w:rsidRPr="00E56B15" w:rsidRDefault="00257981" w:rsidP="00257981">
      <w:pPr>
        <w:widowControl w:val="0"/>
        <w:tabs>
          <w:tab w:val="left" w:pos="-1440"/>
          <w:tab w:val="left" w:pos="-720"/>
          <w:tab w:val="left" w:pos="504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Alaska Regulatory Commission</w:t>
      </w:r>
      <w:r w:rsidRPr="00E56B15">
        <w:rPr>
          <w:rFonts w:ascii="Garamond" w:eastAsia="Times New Roman" w:hAnsi="Garamond" w:cs="Times New Roman"/>
          <w:sz w:val="22"/>
          <w:szCs w:val="20"/>
        </w:rPr>
        <w:tab/>
        <w:t>Oil Pipeline Rate of Return/Rate Base</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504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Alberta Energy and Utilities Board</w:t>
      </w:r>
      <w:r w:rsidRPr="00E56B15">
        <w:rPr>
          <w:rFonts w:ascii="Garamond" w:eastAsia="Times New Roman" w:hAnsi="Garamond" w:cs="Times New Roman"/>
          <w:sz w:val="22"/>
          <w:szCs w:val="20"/>
        </w:rPr>
        <w:tab/>
        <w:t>Gas Pipeline Cost Allocation/Rate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5040"/>
        </w:tabs>
        <w:ind w:left="5037" w:hanging="4608"/>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Alberta Utilities Commission</w:t>
      </w:r>
      <w:r w:rsidRPr="00E56B15">
        <w:rPr>
          <w:rFonts w:ascii="Garamond" w:eastAsia="Times New Roman" w:hAnsi="Garamond" w:cs="Times New Roman"/>
          <w:sz w:val="22"/>
          <w:szCs w:val="20"/>
        </w:rPr>
        <w:tab/>
        <w:t>Utility Cost of Capital; Gas Pipeline Contracts and Market Power</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504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Colorado Board of Assessment Appeals</w:t>
      </w:r>
      <w:r w:rsidRPr="00E56B15">
        <w:rPr>
          <w:rFonts w:ascii="Garamond" w:eastAsia="Times New Roman" w:hAnsi="Garamond" w:cs="Times New Roman"/>
          <w:sz w:val="22"/>
          <w:szCs w:val="20"/>
        </w:rPr>
        <w:tab/>
        <w:t>Property Tax Discount Rate</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U.S. Economic Regulatory Administration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Distribution 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U. S. Federal Energy Regulatory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 xml:space="preserve">Electric Transmission Rate of </w:t>
      </w:r>
    </w:p>
    <w:p w:rsidR="00257981" w:rsidRPr="00E56B15" w:rsidRDefault="00257981" w:rsidP="00257981">
      <w:pPr>
        <w:widowControl w:val="0"/>
        <w:tabs>
          <w:tab w:val="left" w:pos="-1440"/>
          <w:tab w:val="left" w:pos="-720"/>
          <w:tab w:val="left" w:pos="5040"/>
        </w:tabs>
        <w:ind w:left="42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b/>
        <w:t>Return; Gas Pipeline Cost Allocation and Rate</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5760"/>
        <w:contextualSpacing/>
        <w:rPr>
          <w:rFonts w:ascii="Garamond" w:eastAsia="Times New Roman" w:hAnsi="Garamond" w:cs="Times New Roman"/>
          <w:sz w:val="22"/>
          <w:szCs w:val="20"/>
        </w:rPr>
      </w:pPr>
      <w:r w:rsidRPr="00E56B15">
        <w:rPr>
          <w:rFonts w:ascii="Garamond" w:eastAsia="Times New Roman" w:hAnsi="Garamond" w:cs="Times New Roman"/>
          <w:sz w:val="22"/>
          <w:szCs w:val="20"/>
        </w:rPr>
        <w:t>Design; Rate of Return and</w:t>
      </w:r>
    </w:p>
    <w:p w:rsidR="00257981" w:rsidRPr="00E56B15" w:rsidRDefault="00257981" w:rsidP="00257981">
      <w:pPr>
        <w:widowControl w:val="0"/>
        <w:tabs>
          <w:tab w:val="left" w:pos="-1440"/>
          <w:tab w:val="left" w:pos="-720"/>
          <w:tab w:val="left" w:pos="504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b/>
        <w:t>Capital Structure; Competition;</w:t>
      </w:r>
    </w:p>
    <w:p w:rsidR="00257981" w:rsidRPr="00E56B15" w:rsidRDefault="00257981" w:rsidP="00257981">
      <w:pPr>
        <w:widowControl w:val="0"/>
        <w:tabs>
          <w:tab w:val="left" w:pos="-1440"/>
          <w:tab w:val="left" w:pos="-720"/>
          <w:tab w:val="left" w:pos="5040"/>
        </w:tabs>
        <w:ind w:left="5040"/>
        <w:contextualSpacing/>
        <w:rPr>
          <w:rFonts w:ascii="Garamond" w:eastAsia="Times New Roman" w:hAnsi="Garamond" w:cs="Times New Roman"/>
          <w:sz w:val="22"/>
          <w:szCs w:val="20"/>
        </w:rPr>
      </w:pPr>
      <w:r w:rsidRPr="00E56B15">
        <w:rPr>
          <w:rFonts w:ascii="Garamond" w:eastAsia="Times New Roman" w:hAnsi="Garamond" w:cs="Times New Roman"/>
          <w:sz w:val="22"/>
          <w:szCs w:val="20"/>
        </w:rPr>
        <w:t xml:space="preserve">Revenue Requirements; Oil Pipeline Rate of Return and Pricing </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Indiana Utilities Regulatory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 Cost Allocation/Rate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Iowa Utilities Board</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 Avoided Costs/Externalities</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Maine Public Utilities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 Rate Design/Demand Management</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roofErr w:type="spellStart"/>
      <w:r w:rsidRPr="00E56B15">
        <w:rPr>
          <w:rFonts w:ascii="Garamond" w:eastAsia="Times New Roman" w:hAnsi="Garamond" w:cs="Times New Roman"/>
          <w:sz w:val="22"/>
          <w:szCs w:val="20"/>
        </w:rPr>
        <w:t>Comision</w:t>
      </w:r>
      <w:proofErr w:type="spellEnd"/>
      <w:r w:rsidRPr="00E56B15">
        <w:rPr>
          <w:rFonts w:ascii="Garamond" w:eastAsia="Times New Roman" w:hAnsi="Garamond" w:cs="Times New Roman"/>
          <w:sz w:val="22"/>
          <w:szCs w:val="20"/>
        </w:rPr>
        <w:t xml:space="preserve"> </w:t>
      </w:r>
      <w:proofErr w:type="spellStart"/>
      <w:r w:rsidRPr="00E56B15">
        <w:rPr>
          <w:rFonts w:ascii="Garamond" w:eastAsia="Times New Roman" w:hAnsi="Garamond" w:cs="Times New Roman"/>
          <w:sz w:val="22"/>
          <w:szCs w:val="20"/>
        </w:rPr>
        <w:t>Reguladora</w:t>
      </w:r>
      <w:proofErr w:type="spellEnd"/>
      <w:r w:rsidRPr="00E56B15">
        <w:rPr>
          <w:rFonts w:ascii="Garamond" w:eastAsia="Times New Roman" w:hAnsi="Garamond" w:cs="Times New Roman"/>
          <w:sz w:val="22"/>
          <w:szCs w:val="20"/>
        </w:rPr>
        <w:t xml:space="preserve"> de </w:t>
      </w:r>
      <w:proofErr w:type="spellStart"/>
      <w:r w:rsidRPr="00E56B15">
        <w:rPr>
          <w:rFonts w:ascii="Garamond" w:eastAsia="Times New Roman" w:hAnsi="Garamond" w:cs="Times New Roman"/>
          <w:sz w:val="22"/>
          <w:szCs w:val="20"/>
        </w:rPr>
        <w:t>Energia</w:t>
      </w:r>
      <w:proofErr w:type="spellEnd"/>
      <w:r w:rsidRPr="00E56B15">
        <w:rPr>
          <w:rFonts w:ascii="Garamond" w:eastAsia="Times New Roman" w:hAnsi="Garamond" w:cs="Times New Roman"/>
          <w:sz w:val="22"/>
          <w:szCs w:val="20"/>
        </w:rPr>
        <w:t xml:space="preserve"> de México</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Pipeline Rate of Return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Montana Public Service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Electric/Gas Distribution Rate of Return; Electric</w:t>
      </w:r>
    </w:p>
    <w:p w:rsidR="00257981" w:rsidRPr="00E56B15" w:rsidRDefault="00257981" w:rsidP="00257981">
      <w:pPr>
        <w:widowControl w:val="0"/>
        <w:tabs>
          <w:tab w:val="left" w:pos="-1440"/>
          <w:tab w:val="left" w:pos="-720"/>
          <w:tab w:val="left" w:pos="504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b/>
        <w:t>Cost Allocation and 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Minnesota Public Utilities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Distribution Rate of Return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4" w:hanging="4605"/>
        <w:contextualSpacing/>
        <w:rPr>
          <w:rFonts w:ascii="Garamond" w:eastAsia="Times New Roman" w:hAnsi="Garamond" w:cs="Times New Roman"/>
          <w:sz w:val="22"/>
          <w:szCs w:val="20"/>
        </w:rPr>
      </w:pPr>
      <w:r w:rsidRPr="00E56B15">
        <w:rPr>
          <w:rFonts w:ascii="Garamond" w:eastAsia="Times New Roman" w:hAnsi="Garamond" w:cs="Times New Roman"/>
          <w:sz w:val="22"/>
          <w:szCs w:val="20"/>
        </w:rPr>
        <w:t>National Energy Board of Canada</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Pipeline Cost Allocation and Rate Design; Oil Pipeline Service Structure and Rates</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New Mexico Regulatory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 Rate of Return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New York Public Service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Pipeline Capital Structure</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New Brunswick Energy and Utilities Board</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Distribution Ratemaking</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North Dakota Public Service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Electric/Gas Distribution Rate of Return;</w:t>
      </w:r>
    </w:p>
    <w:p w:rsidR="00257981" w:rsidRPr="00E56B15" w:rsidRDefault="00257981" w:rsidP="00257981">
      <w:pPr>
        <w:widowControl w:val="0"/>
        <w:tabs>
          <w:tab w:val="left" w:pos="-1440"/>
          <w:tab w:val="left" w:pos="-720"/>
          <w:tab w:val="left" w:pos="5040"/>
        </w:tabs>
        <w:ind w:left="450"/>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b/>
        <w:t xml:space="preserve">Natural Gas Market Pricing; Electric Cost </w:t>
      </w:r>
    </w:p>
    <w:p w:rsidR="00257981" w:rsidRPr="00E56B15" w:rsidRDefault="00257981" w:rsidP="00257981">
      <w:pPr>
        <w:widowControl w:val="0"/>
        <w:tabs>
          <w:tab w:val="left" w:pos="-1440"/>
          <w:tab w:val="left" w:pos="-720"/>
          <w:tab w:val="left" w:pos="5040"/>
        </w:tabs>
        <w:ind w:left="450"/>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b/>
        <w:t>Allocation and 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504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Nova Scotia Utility and Review Board</w:t>
      </w:r>
      <w:r w:rsidRPr="00E56B15">
        <w:rPr>
          <w:rFonts w:ascii="Garamond" w:eastAsia="Times New Roman" w:hAnsi="Garamond" w:cs="Times New Roman"/>
          <w:sz w:val="22"/>
          <w:szCs w:val="20"/>
        </w:rPr>
        <w:tab/>
        <w:t>Cost Allocation and Pricing of Bridge Access</w:t>
      </w:r>
    </w:p>
    <w:p w:rsidR="00257981" w:rsidRPr="00E56B15" w:rsidRDefault="00257981" w:rsidP="00257981">
      <w:pPr>
        <w:widowControl w:val="0"/>
        <w:tabs>
          <w:tab w:val="left" w:pos="-1440"/>
          <w:tab w:val="left" w:pos="-720"/>
          <w:tab w:val="left" w:pos="504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5040"/>
        </w:tabs>
        <w:ind w:left="5034" w:hanging="4605"/>
        <w:contextualSpacing/>
        <w:rPr>
          <w:rFonts w:ascii="Garamond" w:eastAsia="Times New Roman" w:hAnsi="Garamond" w:cs="Times New Roman"/>
          <w:sz w:val="22"/>
          <w:szCs w:val="20"/>
        </w:rPr>
      </w:pPr>
      <w:r w:rsidRPr="00E56B15">
        <w:rPr>
          <w:rFonts w:ascii="Garamond" w:eastAsia="Times New Roman" w:hAnsi="Garamond" w:cs="Times New Roman"/>
          <w:sz w:val="22"/>
          <w:szCs w:val="20"/>
        </w:rPr>
        <w:t>Ontario Energy Board</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Rate of Return; Access to and Pricing of Gas Pipeline Expansions; LNG Regulation</w:t>
      </w:r>
      <w:r w:rsidRPr="00E56B15">
        <w:rPr>
          <w:rFonts w:ascii="Garamond" w:eastAsia="Times New Roman" w:hAnsi="Garamond" w:cs="Times New Roman"/>
          <w:sz w:val="22"/>
          <w:szCs w:val="20"/>
        </w:rPr>
        <w:tab/>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U.S. Postal Rate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Postal Pricing/Rate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tabs>
          <w:tab w:val="left" w:pos="900"/>
          <w:tab w:val="left" w:pos="5040"/>
        </w:tabs>
        <w:ind w:firstLine="450"/>
        <w:contextualSpacing/>
        <w:rPr>
          <w:rFonts w:ascii="Garamond" w:eastAsia="Times New Roman" w:hAnsi="Garamond" w:cs="Times New Roman"/>
          <w:sz w:val="22"/>
          <w:szCs w:val="24"/>
        </w:rPr>
      </w:pPr>
      <w:proofErr w:type="spellStart"/>
      <w:r w:rsidRPr="00E56B15">
        <w:rPr>
          <w:rFonts w:ascii="Garamond" w:eastAsia="Times New Roman" w:hAnsi="Garamond" w:cs="Times New Roman"/>
          <w:sz w:val="22"/>
          <w:szCs w:val="24"/>
        </w:rPr>
        <w:t>Régie</w:t>
      </w:r>
      <w:proofErr w:type="spellEnd"/>
      <w:r w:rsidRPr="00E56B15">
        <w:rPr>
          <w:rFonts w:ascii="Garamond" w:eastAsia="Times New Roman" w:hAnsi="Garamond" w:cs="Times New Roman"/>
          <w:sz w:val="22"/>
          <w:szCs w:val="24"/>
        </w:rPr>
        <w:t xml:space="preserve"> de </w:t>
      </w:r>
      <w:proofErr w:type="spellStart"/>
      <w:r w:rsidRPr="00E56B15">
        <w:rPr>
          <w:rFonts w:ascii="Garamond" w:eastAsia="Times New Roman" w:hAnsi="Garamond" w:cs="Times New Roman"/>
          <w:sz w:val="22"/>
          <w:szCs w:val="24"/>
        </w:rPr>
        <w:t>l’énergie</w:t>
      </w:r>
      <w:proofErr w:type="spellEnd"/>
      <w:r w:rsidRPr="00E56B15">
        <w:rPr>
          <w:rFonts w:ascii="Garamond" w:eastAsia="Times New Roman" w:hAnsi="Garamond" w:cs="Times New Roman"/>
          <w:sz w:val="22"/>
          <w:szCs w:val="24"/>
        </w:rPr>
        <w:t xml:space="preserve"> du Québec </w:t>
      </w:r>
      <w:r w:rsidRPr="00E56B15">
        <w:rPr>
          <w:rFonts w:ascii="Garamond" w:eastAsia="Times New Roman" w:hAnsi="Garamond" w:cs="Times New Roman"/>
          <w:sz w:val="22"/>
          <w:szCs w:val="24"/>
        </w:rPr>
        <w:tab/>
        <w:t>Rate of Return/Regulatory Principles</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South Dakota Public Utilities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Distribution Rate of Return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Texas Public Utilities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 Cost Allocation and 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Texas Railroad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Gas Pipeline Cost Allocation/Rate Design</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Wisconsin Public Service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 Generation Economics</w:t>
      </w: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149"/>
        <w:contextualSpacing/>
        <w:rPr>
          <w:rFonts w:ascii="Garamond" w:eastAsia="Times New Roman" w:hAnsi="Garamond" w:cs="Times New Roman"/>
          <w:sz w:val="22"/>
          <w:szCs w:val="20"/>
        </w:rPr>
      </w:pPr>
      <w:r w:rsidRPr="00E56B15">
        <w:rPr>
          <w:rFonts w:ascii="Garamond" w:eastAsia="Times New Roman" w:hAnsi="Garamond" w:cs="Times New Roman"/>
          <w:sz w:val="22"/>
          <w:szCs w:val="20"/>
        </w:rPr>
        <w:t>Wyoming Public Service Commission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Electric/Gas Distribution Rate of Return</w:t>
      </w:r>
    </w:p>
    <w:p w:rsidR="00257981" w:rsidRPr="00E56B15" w:rsidRDefault="00257981" w:rsidP="00257981">
      <w:pPr>
        <w:widowControl w:val="0"/>
        <w:tabs>
          <w:tab w:val="left" w:pos="-1440"/>
          <w:tab w:val="left" w:pos="-99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contextualSpacing/>
        <w:rPr>
          <w:rFonts w:ascii="Garamond" w:eastAsia="Times New Roman" w:hAnsi="Garamond" w:cs="Times New Roman"/>
          <w:sz w:val="22"/>
          <w:szCs w:val="20"/>
        </w:rPr>
      </w:pPr>
    </w:p>
    <w:p w:rsidR="00257981" w:rsidRPr="00E56B15" w:rsidRDefault="00257981" w:rsidP="00257981">
      <w:pPr>
        <w:widowControl w:val="0"/>
        <w:tabs>
          <w:tab w:val="left" w:pos="-1440"/>
          <w:tab w:val="left" w:pos="-720"/>
          <w:tab w:val="left" w:pos="0"/>
          <w:tab w:val="left" w:pos="4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Garamond" w:eastAsia="Times New Roman" w:hAnsi="Garamond" w:cs="Times New Roman"/>
          <w:sz w:val="22"/>
          <w:szCs w:val="20"/>
        </w:rPr>
      </w:pPr>
      <w:r w:rsidRPr="00E56B15">
        <w:rPr>
          <w:rFonts w:ascii="Garamond" w:eastAsia="Times New Roman" w:hAnsi="Garamond" w:cs="Times New Roman"/>
          <w:sz w:val="22"/>
          <w:szCs w:val="20"/>
        </w:rPr>
        <w:tab/>
        <w:t>Wyoming Board of Equalization</w:t>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r>
      <w:r w:rsidRPr="00E56B15">
        <w:rPr>
          <w:rFonts w:ascii="Garamond" w:eastAsia="Times New Roman" w:hAnsi="Garamond" w:cs="Times New Roman"/>
          <w:sz w:val="22"/>
          <w:szCs w:val="20"/>
        </w:rPr>
        <w:tab/>
        <w:t>Property Tax Discount Rate</w:t>
      </w:r>
    </w:p>
    <w:p w:rsidR="00257981" w:rsidRPr="00E56B15" w:rsidRDefault="00257981" w:rsidP="00257981">
      <w:pPr>
        <w:widowControl w:val="0"/>
        <w:tabs>
          <w:tab w:val="left" w:pos="-1440"/>
          <w:tab w:val="left" w:pos="-720"/>
          <w:tab w:val="left" w:pos="1620"/>
          <w:tab w:val="left" w:pos="6120"/>
        </w:tabs>
        <w:ind w:left="-720" w:firstLine="720"/>
        <w:contextualSpacing/>
        <w:rPr>
          <w:rFonts w:ascii="Garamond" w:eastAsia="Times New Roman" w:hAnsi="Garamond" w:cs="Times New Roman"/>
          <w:sz w:val="22"/>
          <w:szCs w:val="20"/>
        </w:rPr>
      </w:pPr>
    </w:p>
    <w:p w:rsidR="00257981" w:rsidRPr="00E56B15" w:rsidRDefault="00257981" w:rsidP="00257981">
      <w:pPr>
        <w:keepNext/>
        <w:rPr>
          <w:rFonts w:ascii="Garamond" w:eastAsia="Times New Roman" w:hAnsi="Garamond" w:cs="Times New Roman"/>
          <w:sz w:val="22"/>
        </w:rPr>
      </w:pPr>
    </w:p>
    <w:p w:rsidR="00257981" w:rsidRPr="00E56B15" w:rsidRDefault="00257981" w:rsidP="00257981">
      <w:pPr>
        <w:keepNext/>
        <w:keepLines/>
        <w:outlineLvl w:val="0"/>
        <w:rPr>
          <w:rFonts w:ascii="Garamond" w:eastAsia="Times New Roman" w:hAnsi="Garamond" w:cs="Times New Roman"/>
          <w:b/>
          <w:caps/>
          <w:sz w:val="22"/>
        </w:rPr>
      </w:pPr>
      <w:r w:rsidRPr="00E56B15">
        <w:rPr>
          <w:rFonts w:ascii="Garamond" w:eastAsia="Times New Roman" w:hAnsi="Garamond" w:cs="Times New Roman"/>
          <w:b/>
          <w:caps/>
          <w:sz w:val="22"/>
        </w:rPr>
        <w:t>Teaching/Speaking Engagements</w:t>
      </w:r>
    </w:p>
    <w:p w:rsidR="00257981" w:rsidRPr="00E56B15" w:rsidRDefault="00257981" w:rsidP="00257981">
      <w:pPr>
        <w:keepNext/>
        <w:keepLines/>
        <w:rPr>
          <w:rFonts w:ascii="Garamond" w:eastAsia="Times New Roman" w:hAnsi="Garamond" w:cs="Times New Roman"/>
          <w:sz w:val="22"/>
          <w:szCs w:val="20"/>
        </w:rPr>
      </w:pPr>
    </w:p>
    <w:p w:rsidR="00257981" w:rsidRPr="00E56B15" w:rsidRDefault="00257981" w:rsidP="00257981">
      <w:pPr>
        <w:jc w:val="both"/>
        <w:rPr>
          <w:rFonts w:ascii="Garamond" w:eastAsia="Times New Roman" w:hAnsi="Garamond" w:cs="Times New Roman"/>
          <w:sz w:val="22"/>
          <w:szCs w:val="20"/>
        </w:rPr>
      </w:pPr>
      <w:r w:rsidRPr="00E56B15">
        <w:rPr>
          <w:rFonts w:ascii="Garamond" w:eastAsia="Times New Roman" w:hAnsi="Garamond" w:cs="Times New Roman"/>
          <w:sz w:val="22"/>
          <w:szCs w:val="20"/>
        </w:rPr>
        <w:t xml:space="preserve">Dr. </w:t>
      </w:r>
      <w:proofErr w:type="spellStart"/>
      <w:r w:rsidRPr="00E56B15">
        <w:rPr>
          <w:rFonts w:ascii="Garamond" w:eastAsia="Times New Roman" w:hAnsi="Garamond" w:cs="Times New Roman"/>
          <w:sz w:val="22"/>
          <w:szCs w:val="20"/>
        </w:rPr>
        <w:t>Gaske</w:t>
      </w:r>
      <w:proofErr w:type="spellEnd"/>
      <w:r w:rsidRPr="00E56B15">
        <w:rPr>
          <w:rFonts w:ascii="Garamond" w:eastAsia="Times New Roman" w:hAnsi="Garamond" w:cs="Times New Roman"/>
          <w:sz w:val="22"/>
          <w:szCs w:val="20"/>
        </w:rPr>
        <w:t xml:space="preserve"> has spoken on utility finance and economic issues before numerous professional groups.  From 1983-1986, he served as Coordinator of the Edison Electric Institute Electric Rate Fundamentals Course.  He has lectured on marginal cost estimation for electric utilities at the EEI rate course, and on both low-income rates and natural gas pipeline cost allocation and rate design before the American Gas Association Gas Rate Fundamentals Course.  In addition, Dr. </w:t>
      </w:r>
      <w:proofErr w:type="spellStart"/>
      <w:r w:rsidRPr="00E56B15">
        <w:rPr>
          <w:rFonts w:ascii="Garamond" w:eastAsia="Times New Roman" w:hAnsi="Garamond" w:cs="Times New Roman"/>
          <w:sz w:val="22"/>
          <w:szCs w:val="20"/>
        </w:rPr>
        <w:t>Gaske</w:t>
      </w:r>
      <w:proofErr w:type="spellEnd"/>
      <w:r w:rsidRPr="00E56B15">
        <w:rPr>
          <w:rFonts w:ascii="Garamond" w:eastAsia="Times New Roman" w:hAnsi="Garamond" w:cs="Times New Roman"/>
          <w:sz w:val="22"/>
          <w:szCs w:val="20"/>
        </w:rPr>
        <w:t xml:space="preserve"> has taught college courses in Public Utility Economics, Transportation, Physical Distribution, Financial Management, Investments, Corporate Finance, and Corporate Financial Theory.</w:t>
      </w:r>
    </w:p>
    <w:p w:rsidR="00257981" w:rsidRPr="00E56B15" w:rsidRDefault="00257981" w:rsidP="00257981">
      <w:pPr>
        <w:jc w:val="both"/>
        <w:rPr>
          <w:rFonts w:ascii="Garamond" w:eastAsia="Times New Roman" w:hAnsi="Garamond" w:cs="Times New Roman"/>
          <w:sz w:val="22"/>
          <w:szCs w:val="20"/>
        </w:rPr>
      </w:pPr>
    </w:p>
    <w:p w:rsidR="00257981" w:rsidRPr="00E56B15" w:rsidRDefault="00257981" w:rsidP="00257981">
      <w:pPr>
        <w:keepNext/>
        <w:keepLines/>
        <w:jc w:val="both"/>
        <w:outlineLvl w:val="0"/>
        <w:rPr>
          <w:rFonts w:ascii="Garamond" w:eastAsia="Times New Roman" w:hAnsi="Garamond" w:cs="Times New Roman"/>
          <w:b/>
          <w:caps/>
          <w:sz w:val="22"/>
        </w:rPr>
      </w:pPr>
      <w:r w:rsidRPr="00E56B15">
        <w:rPr>
          <w:rFonts w:ascii="Garamond" w:eastAsia="Times New Roman" w:hAnsi="Garamond" w:cs="Times New Roman"/>
          <w:b/>
          <w:caps/>
          <w:sz w:val="22"/>
        </w:rPr>
        <w:t>PROFESSIONAL HISTORY</w:t>
      </w:r>
    </w:p>
    <w:p w:rsidR="00257981" w:rsidRPr="00E56B15" w:rsidRDefault="00257981" w:rsidP="00257981">
      <w:pPr>
        <w:keepNext/>
        <w:keepLines/>
        <w:spacing w:before="60" w:after="60"/>
        <w:outlineLvl w:val="0"/>
        <w:rPr>
          <w:rFonts w:ascii="Garamond" w:eastAsia="Times New Roman" w:hAnsi="Garamond" w:cs="Times New Roman"/>
          <w:caps/>
          <w:color w:val="000000"/>
          <w:sz w:val="22"/>
          <w:u w:val="single"/>
        </w:rPr>
      </w:pPr>
      <w:r w:rsidRPr="00E56B15">
        <w:rPr>
          <w:rFonts w:ascii="Garamond" w:eastAsia="Times New Roman" w:hAnsi="Garamond" w:cs="Times New Roman"/>
          <w:caps/>
          <w:color w:val="000000"/>
          <w:sz w:val="22"/>
          <w:u w:val="single"/>
        </w:rPr>
        <w:t>Consulting</w:t>
      </w: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Concentric Energy Advisors, Inc.</w:t>
      </w:r>
      <w:r w:rsidRPr="00E56B15">
        <w:rPr>
          <w:rFonts w:ascii="Garamond" w:eastAsia="Times New Roman" w:hAnsi="Garamond" w:cs="Times New Roman"/>
          <w:sz w:val="22"/>
          <w:szCs w:val="20"/>
        </w:rPr>
        <w:t xml:space="preserve"> </w:t>
      </w:r>
      <w:r w:rsidRPr="00E56B15">
        <w:rPr>
          <w:rFonts w:ascii="Garamond" w:eastAsia="Times New Roman" w:hAnsi="Garamond" w:cs="Times New Roman"/>
          <w:b/>
          <w:sz w:val="22"/>
          <w:szCs w:val="20"/>
        </w:rPr>
        <w:t>(2008 – present)</w:t>
      </w:r>
    </w:p>
    <w:p w:rsidR="00257981" w:rsidRPr="00E56B15" w:rsidRDefault="00257981" w:rsidP="00257981">
      <w:pPr>
        <w:widowControl w:val="0"/>
        <w:tabs>
          <w:tab w:val="left" w:pos="-2160"/>
        </w:tabs>
        <w:ind w:left="2592" w:hanging="2160"/>
        <w:rPr>
          <w:rFonts w:ascii="Garamond" w:eastAsia="Times New Roman" w:hAnsi="Garamond" w:cs="Times New Roman"/>
          <w:sz w:val="22"/>
          <w:szCs w:val="20"/>
        </w:rPr>
      </w:pPr>
      <w:r w:rsidRPr="00E56B15">
        <w:rPr>
          <w:rFonts w:ascii="Garamond" w:eastAsia="Times New Roman" w:hAnsi="Garamond" w:cs="Times New Roman"/>
          <w:sz w:val="22"/>
          <w:szCs w:val="20"/>
        </w:rPr>
        <w:t>Senior Vice President</w:t>
      </w:r>
    </w:p>
    <w:p w:rsidR="00257981" w:rsidRPr="00E56B15" w:rsidRDefault="00257981" w:rsidP="00257981">
      <w:pPr>
        <w:widowControl w:val="0"/>
        <w:tabs>
          <w:tab w:val="left" w:pos="-2160"/>
        </w:tabs>
        <w:ind w:left="2160" w:hanging="2160"/>
        <w:rPr>
          <w:rFonts w:ascii="Garamond" w:eastAsia="Times New Roman" w:hAnsi="Garamond" w:cs="Times New Roman"/>
          <w:sz w:val="22"/>
          <w:szCs w:val="20"/>
        </w:rPr>
      </w:pP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H. Zinder &amp; Associates (1988 – 2008)</w:t>
      </w:r>
    </w:p>
    <w:p w:rsidR="00257981" w:rsidRPr="00E56B15" w:rsidRDefault="00257981" w:rsidP="00257981">
      <w:pPr>
        <w:widowControl w:val="0"/>
        <w:tabs>
          <w:tab w:val="left" w:pos="-2160"/>
        </w:tabs>
        <w:ind w:left="2592" w:hanging="2160"/>
        <w:rPr>
          <w:rFonts w:ascii="Garamond" w:eastAsia="Times New Roman" w:hAnsi="Garamond" w:cs="Times New Roman"/>
          <w:sz w:val="22"/>
          <w:szCs w:val="20"/>
        </w:rPr>
      </w:pPr>
      <w:r w:rsidRPr="00E56B15">
        <w:rPr>
          <w:rFonts w:ascii="Garamond" w:eastAsia="Times New Roman" w:hAnsi="Garamond" w:cs="Times New Roman"/>
          <w:sz w:val="22"/>
          <w:szCs w:val="20"/>
        </w:rPr>
        <w:t>President/Senior Vice-President/Consultant</w:t>
      </w:r>
    </w:p>
    <w:p w:rsidR="00257981" w:rsidRPr="00E56B15" w:rsidRDefault="00257981" w:rsidP="00257981">
      <w:pPr>
        <w:widowControl w:val="0"/>
        <w:tabs>
          <w:tab w:val="left" w:pos="-2160"/>
        </w:tabs>
        <w:ind w:left="2160" w:hanging="2160"/>
        <w:rPr>
          <w:rFonts w:ascii="Garamond" w:eastAsia="Times New Roman" w:hAnsi="Garamond" w:cs="Times New Roman"/>
          <w:sz w:val="22"/>
          <w:szCs w:val="20"/>
        </w:rPr>
      </w:pP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Independent Consulting on Public Utility Issues (1982 - 1988)</w:t>
      </w:r>
    </w:p>
    <w:p w:rsidR="00257981" w:rsidRPr="00E56B15" w:rsidRDefault="00257981" w:rsidP="00257981">
      <w:pPr>
        <w:widowControl w:val="0"/>
        <w:tabs>
          <w:tab w:val="left" w:pos="-2160"/>
        </w:tabs>
        <w:ind w:left="2160" w:hanging="2160"/>
        <w:rPr>
          <w:rFonts w:ascii="Garamond" w:eastAsia="Times New Roman" w:hAnsi="Garamond" w:cs="Times New Roman"/>
          <w:sz w:val="22"/>
          <w:szCs w:val="20"/>
        </w:rPr>
      </w:pP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Olson &amp; Company, Inc. (1980 – 1981)</w:t>
      </w:r>
    </w:p>
    <w:p w:rsidR="00257981" w:rsidRPr="00E56B15" w:rsidRDefault="00257981" w:rsidP="00257981">
      <w:pPr>
        <w:widowControl w:val="0"/>
        <w:tabs>
          <w:tab w:val="left" w:pos="-2160"/>
        </w:tabs>
        <w:ind w:left="2592" w:hanging="2160"/>
        <w:rPr>
          <w:rFonts w:ascii="Garamond" w:eastAsia="Times New Roman" w:hAnsi="Garamond" w:cs="Times New Roman"/>
          <w:sz w:val="22"/>
          <w:szCs w:val="20"/>
        </w:rPr>
      </w:pPr>
      <w:r w:rsidRPr="00E56B15">
        <w:rPr>
          <w:rFonts w:ascii="Garamond" w:eastAsia="Times New Roman" w:hAnsi="Garamond" w:cs="Times New Roman"/>
          <w:sz w:val="22"/>
          <w:szCs w:val="20"/>
        </w:rPr>
        <w:t>Public Utility Consultant</w:t>
      </w:r>
    </w:p>
    <w:p w:rsidR="00257981" w:rsidRPr="00E56B15" w:rsidRDefault="00257981" w:rsidP="00257981">
      <w:pPr>
        <w:widowControl w:val="0"/>
        <w:tabs>
          <w:tab w:val="left" w:pos="-2160"/>
          <w:tab w:val="left" w:pos="-1440"/>
          <w:tab w:val="left" w:pos="-720"/>
          <w:tab w:val="left" w:pos="0"/>
          <w:tab w:val="left" w:pos="720"/>
          <w:tab w:val="left" w:pos="1440"/>
        </w:tabs>
        <w:ind w:left="-720" w:firstLine="720"/>
        <w:rPr>
          <w:rFonts w:ascii="Garamond" w:eastAsia="Times New Roman" w:hAnsi="Garamond" w:cs="Times New Roman"/>
          <w:sz w:val="22"/>
          <w:szCs w:val="20"/>
        </w:rPr>
      </w:pP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 xml:space="preserve">H. Zinder &amp; Associates (1977 – 1980) </w:t>
      </w:r>
    </w:p>
    <w:p w:rsidR="00257981" w:rsidRPr="00E56B15" w:rsidRDefault="00257981" w:rsidP="00257981">
      <w:pPr>
        <w:widowControl w:val="0"/>
        <w:tabs>
          <w:tab w:val="left" w:pos="-2160"/>
        </w:tabs>
        <w:ind w:left="2592" w:hanging="2160"/>
        <w:rPr>
          <w:rFonts w:ascii="Garamond" w:eastAsia="Times New Roman" w:hAnsi="Garamond" w:cs="Times New Roman"/>
          <w:sz w:val="22"/>
          <w:szCs w:val="20"/>
        </w:rPr>
      </w:pPr>
      <w:r w:rsidRPr="00E56B15">
        <w:rPr>
          <w:rFonts w:ascii="Garamond" w:eastAsia="Times New Roman" w:hAnsi="Garamond" w:cs="Times New Roman"/>
          <w:sz w:val="22"/>
          <w:szCs w:val="20"/>
        </w:rPr>
        <w:t>Research Assistant and Supervisor of Regulatory Research</w:t>
      </w:r>
    </w:p>
    <w:p w:rsidR="00257981" w:rsidRPr="00E56B15" w:rsidRDefault="00257981" w:rsidP="00257981">
      <w:pPr>
        <w:keepNext/>
        <w:keepLines/>
        <w:outlineLvl w:val="0"/>
        <w:rPr>
          <w:rFonts w:ascii="Garamond" w:eastAsia="Times New Roman" w:hAnsi="Garamond" w:cs="Times New Roman"/>
          <w:caps/>
          <w:color w:val="000000"/>
          <w:szCs w:val="24"/>
        </w:rPr>
      </w:pPr>
    </w:p>
    <w:p w:rsidR="00257981" w:rsidRPr="00E56B15" w:rsidRDefault="00257981" w:rsidP="00257981">
      <w:pPr>
        <w:keepNext/>
        <w:keepLines/>
        <w:outlineLvl w:val="0"/>
        <w:rPr>
          <w:rFonts w:ascii="Garamond" w:eastAsia="Times New Roman" w:hAnsi="Garamond" w:cs="Times New Roman"/>
          <w:caps/>
          <w:color w:val="000000"/>
          <w:sz w:val="22"/>
          <w:u w:val="single"/>
        </w:rPr>
      </w:pPr>
      <w:r w:rsidRPr="00E56B15">
        <w:rPr>
          <w:rFonts w:ascii="Garamond" w:eastAsia="Times New Roman" w:hAnsi="Garamond" w:cs="Times New Roman"/>
          <w:caps/>
          <w:color w:val="000000"/>
          <w:sz w:val="22"/>
          <w:u w:val="single"/>
        </w:rPr>
        <w:t>Academic/Teaching</w:t>
      </w: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Trinity University (1986 – 1988)</w:t>
      </w:r>
    </w:p>
    <w:p w:rsidR="00257981" w:rsidRPr="00E56B15" w:rsidRDefault="00257981" w:rsidP="00257981">
      <w:pPr>
        <w:widowControl w:val="0"/>
        <w:tabs>
          <w:tab w:val="left" w:pos="-2160"/>
        </w:tabs>
        <w:ind w:left="2592" w:hanging="2160"/>
        <w:rPr>
          <w:rFonts w:ascii="Garamond" w:eastAsia="Times New Roman" w:hAnsi="Garamond" w:cs="Times New Roman"/>
          <w:sz w:val="22"/>
          <w:szCs w:val="20"/>
        </w:rPr>
      </w:pPr>
      <w:r w:rsidRPr="00E56B15">
        <w:rPr>
          <w:rFonts w:ascii="Garamond" w:eastAsia="Times New Roman" w:hAnsi="Garamond" w:cs="Times New Roman"/>
          <w:sz w:val="22"/>
          <w:szCs w:val="20"/>
        </w:rPr>
        <w:t>Assistant Professor of Finance</w:t>
      </w:r>
    </w:p>
    <w:p w:rsidR="00257981" w:rsidRPr="00E56B15" w:rsidRDefault="00257981" w:rsidP="00257981">
      <w:pPr>
        <w:widowControl w:val="0"/>
        <w:tabs>
          <w:tab w:val="left" w:pos="-2160"/>
          <w:tab w:val="left" w:pos="-1440"/>
          <w:tab w:val="left" w:pos="-720"/>
          <w:tab w:val="left" w:pos="0"/>
          <w:tab w:val="left" w:pos="720"/>
          <w:tab w:val="left" w:pos="1440"/>
        </w:tabs>
        <w:ind w:left="-720" w:firstLine="720"/>
        <w:rPr>
          <w:rFonts w:ascii="Garamond" w:eastAsia="Times New Roman" w:hAnsi="Garamond" w:cs="Times New Roman"/>
          <w:sz w:val="22"/>
          <w:szCs w:val="20"/>
        </w:rPr>
      </w:pP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 xml:space="preserve">Indiana University School of Business (1982 - 1986) </w:t>
      </w:r>
    </w:p>
    <w:p w:rsidR="00257981" w:rsidRPr="00E56B15" w:rsidRDefault="00257981" w:rsidP="00257981">
      <w:pPr>
        <w:widowControl w:val="0"/>
        <w:tabs>
          <w:tab w:val="left" w:pos="-2160"/>
        </w:tabs>
        <w:ind w:left="2592" w:hanging="2160"/>
        <w:rPr>
          <w:rFonts w:ascii="Garamond" w:eastAsia="Times New Roman" w:hAnsi="Garamond" w:cs="Times New Roman"/>
          <w:sz w:val="22"/>
          <w:szCs w:val="20"/>
        </w:rPr>
      </w:pPr>
      <w:r w:rsidRPr="00E56B15">
        <w:rPr>
          <w:rFonts w:ascii="Garamond" w:eastAsia="Times New Roman" w:hAnsi="Garamond" w:cs="Times New Roman"/>
          <w:sz w:val="22"/>
          <w:szCs w:val="20"/>
        </w:rPr>
        <w:t>Associate Instructor of Public Utilities and Transportation</w:t>
      </w:r>
    </w:p>
    <w:p w:rsidR="00257981" w:rsidRPr="00E56B15" w:rsidRDefault="00257981" w:rsidP="00257981">
      <w:pPr>
        <w:widowControl w:val="0"/>
        <w:tabs>
          <w:tab w:val="left" w:pos="-2160"/>
          <w:tab w:val="left" w:pos="-1440"/>
          <w:tab w:val="left" w:pos="-720"/>
          <w:tab w:val="left" w:pos="0"/>
          <w:tab w:val="left" w:pos="720"/>
          <w:tab w:val="left" w:pos="1440"/>
        </w:tabs>
        <w:ind w:left="-720" w:firstLine="720"/>
        <w:rPr>
          <w:rFonts w:ascii="Garamond" w:eastAsia="Times New Roman" w:hAnsi="Garamond" w:cs="Times New Roman"/>
          <w:sz w:val="22"/>
          <w:szCs w:val="20"/>
        </w:rPr>
      </w:pPr>
    </w:p>
    <w:p w:rsidR="00257981" w:rsidRPr="00E56B15" w:rsidRDefault="00257981" w:rsidP="00257981">
      <w:pPr>
        <w:widowControl w:val="0"/>
        <w:tabs>
          <w:tab w:val="left" w:pos="-2160"/>
        </w:tabs>
        <w:ind w:left="2592" w:hanging="2160"/>
        <w:rPr>
          <w:rFonts w:ascii="Garamond" w:eastAsia="Times New Roman" w:hAnsi="Garamond" w:cs="Times New Roman"/>
          <w:b/>
          <w:sz w:val="22"/>
          <w:szCs w:val="20"/>
        </w:rPr>
      </w:pPr>
      <w:r w:rsidRPr="00E56B15">
        <w:rPr>
          <w:rFonts w:ascii="Garamond" w:eastAsia="Times New Roman" w:hAnsi="Garamond" w:cs="Times New Roman"/>
          <w:b/>
          <w:sz w:val="22"/>
          <w:szCs w:val="20"/>
        </w:rPr>
        <w:t>Northern Virginia Community College (1978)</w:t>
      </w:r>
    </w:p>
    <w:p w:rsidR="00257981" w:rsidRPr="00E56B15" w:rsidRDefault="00257981" w:rsidP="00257981">
      <w:pPr>
        <w:widowControl w:val="0"/>
        <w:tabs>
          <w:tab w:val="left" w:pos="-2160"/>
        </w:tabs>
        <w:ind w:left="2592" w:hanging="2160"/>
        <w:rPr>
          <w:rFonts w:ascii="Garamond" w:eastAsia="Times New Roman" w:hAnsi="Garamond" w:cs="Times New Roman"/>
          <w:sz w:val="22"/>
          <w:szCs w:val="20"/>
        </w:rPr>
      </w:pPr>
      <w:r w:rsidRPr="00E56B15">
        <w:rPr>
          <w:rFonts w:ascii="Garamond" w:eastAsia="Times New Roman" w:hAnsi="Garamond" w:cs="Times New Roman"/>
          <w:sz w:val="22"/>
          <w:szCs w:val="20"/>
        </w:rPr>
        <w:t>Lecturer in Accounting</w:t>
      </w:r>
    </w:p>
    <w:p w:rsidR="00257981" w:rsidRPr="00E56B15" w:rsidRDefault="00257981" w:rsidP="00257981">
      <w:pPr>
        <w:pBdr>
          <w:bottom w:val="single" w:sz="4" w:space="1" w:color="auto"/>
        </w:pBdr>
        <w:rPr>
          <w:rFonts w:ascii="Garamond" w:eastAsia="Times New Roman" w:hAnsi="Garamond" w:cs="Times New Roman"/>
          <w:sz w:val="22"/>
        </w:rPr>
      </w:pPr>
    </w:p>
    <w:p w:rsidR="00257981" w:rsidRPr="00E56B15" w:rsidRDefault="00257981" w:rsidP="00257981">
      <w:pPr>
        <w:rPr>
          <w:rFonts w:ascii="Garamond" w:eastAsia="Times New Roman" w:hAnsi="Garamond" w:cs="Times New Roman"/>
          <w:sz w:val="22"/>
        </w:rPr>
      </w:pPr>
    </w:p>
    <w:p w:rsidR="00257981" w:rsidRPr="00E56B15" w:rsidRDefault="00257981" w:rsidP="00257981">
      <w:pPr>
        <w:keepNext/>
        <w:keepLines/>
        <w:outlineLvl w:val="0"/>
        <w:rPr>
          <w:rFonts w:ascii="Garamond" w:eastAsia="Times New Roman" w:hAnsi="Garamond" w:cs="Times New Roman"/>
          <w:b/>
          <w:caps/>
          <w:szCs w:val="20"/>
        </w:rPr>
      </w:pPr>
      <w:r w:rsidRPr="00E56B15">
        <w:rPr>
          <w:rFonts w:ascii="Garamond" w:eastAsia="Times New Roman" w:hAnsi="Garamond" w:cs="Times New Roman"/>
          <w:b/>
          <w:caps/>
          <w:sz w:val="22"/>
        </w:rPr>
        <w:t>EDUCATION</w:t>
      </w:r>
    </w:p>
    <w:p w:rsidR="00257981" w:rsidRPr="00E56B15" w:rsidRDefault="00257981" w:rsidP="00257981">
      <w:pPr>
        <w:jc w:val="both"/>
        <w:rPr>
          <w:rFonts w:ascii="Garamond" w:eastAsia="Times New Roman" w:hAnsi="Garamond" w:cs="Times New Roman"/>
          <w:sz w:val="22"/>
        </w:rPr>
      </w:pPr>
    </w:p>
    <w:p w:rsidR="00257981" w:rsidRPr="00E56B15" w:rsidRDefault="00257981" w:rsidP="00257981">
      <w:pPr>
        <w:rPr>
          <w:rFonts w:ascii="Garamond" w:eastAsia="Times New Roman" w:hAnsi="Garamond" w:cs="Times New Roman"/>
          <w:sz w:val="22"/>
        </w:rPr>
      </w:pPr>
      <w:r w:rsidRPr="00E56B15">
        <w:rPr>
          <w:rFonts w:ascii="Garamond" w:eastAsia="Times New Roman" w:hAnsi="Garamond" w:cs="Times New Roman"/>
          <w:sz w:val="22"/>
        </w:rPr>
        <w:t>Ph.D., Indiana University School of Business, 1987</w:t>
      </w:r>
    </w:p>
    <w:p w:rsidR="00257981" w:rsidRPr="00E56B15" w:rsidRDefault="00257981" w:rsidP="00257981">
      <w:pPr>
        <w:rPr>
          <w:rFonts w:ascii="Garamond" w:eastAsia="Times New Roman" w:hAnsi="Garamond" w:cs="Times New Roman"/>
          <w:sz w:val="22"/>
        </w:rPr>
      </w:pPr>
      <w:r w:rsidRPr="00E56B15">
        <w:rPr>
          <w:rFonts w:ascii="Garamond" w:eastAsia="Times New Roman" w:hAnsi="Garamond" w:cs="Times New Roman"/>
          <w:sz w:val="22"/>
        </w:rPr>
        <w:t>M.B.A., George Washington University, 1977</w:t>
      </w:r>
    </w:p>
    <w:p w:rsidR="00257981" w:rsidRPr="00E56B15" w:rsidRDefault="00257981" w:rsidP="00257981">
      <w:pPr>
        <w:rPr>
          <w:rFonts w:ascii="Garamond" w:eastAsia="Times New Roman" w:hAnsi="Garamond" w:cs="Times New Roman"/>
          <w:sz w:val="22"/>
        </w:rPr>
      </w:pPr>
      <w:r w:rsidRPr="00E56B15">
        <w:rPr>
          <w:rFonts w:ascii="Garamond" w:eastAsia="Times New Roman" w:hAnsi="Garamond" w:cs="Times New Roman"/>
          <w:sz w:val="22"/>
        </w:rPr>
        <w:t>B.A., University of Virginia, 1975</w:t>
      </w:r>
    </w:p>
    <w:p w:rsidR="00257981" w:rsidRPr="00E56B15" w:rsidRDefault="00257981" w:rsidP="00257981">
      <w:pPr>
        <w:pBdr>
          <w:bottom w:val="single" w:sz="4" w:space="1" w:color="auto"/>
        </w:pBdr>
        <w:rPr>
          <w:rFonts w:ascii="Garamond" w:eastAsia="Times New Roman" w:hAnsi="Garamond" w:cs="Times New Roman"/>
          <w:sz w:val="22"/>
        </w:rPr>
      </w:pPr>
    </w:p>
    <w:p w:rsidR="00257981" w:rsidRPr="00E56B15" w:rsidRDefault="00257981" w:rsidP="00257981">
      <w:pPr>
        <w:rPr>
          <w:rFonts w:ascii="Garamond" w:eastAsia="Times New Roman" w:hAnsi="Garamond" w:cs="Times New Roman"/>
          <w:sz w:val="22"/>
        </w:rPr>
      </w:pPr>
    </w:p>
    <w:p w:rsidR="00257981" w:rsidRPr="00E56B15" w:rsidRDefault="00257981" w:rsidP="00257981">
      <w:pPr>
        <w:keepNext/>
        <w:keepLines/>
        <w:outlineLvl w:val="0"/>
        <w:rPr>
          <w:rFonts w:ascii="Garamond" w:eastAsia="Times New Roman" w:hAnsi="Garamond" w:cs="Times New Roman"/>
          <w:b/>
          <w:caps/>
          <w:sz w:val="22"/>
        </w:rPr>
      </w:pPr>
      <w:r w:rsidRPr="00E56B15">
        <w:rPr>
          <w:rFonts w:ascii="Garamond" w:eastAsia="Times New Roman" w:hAnsi="Garamond" w:cs="Times New Roman"/>
          <w:b/>
          <w:caps/>
          <w:sz w:val="22"/>
        </w:rPr>
        <w:t>PROFESSIONAL ASSOCIATIONS</w:t>
      </w:r>
    </w:p>
    <w:p w:rsidR="00257981" w:rsidRPr="00E56B15" w:rsidRDefault="00257981" w:rsidP="00257981">
      <w:pPr>
        <w:jc w:val="both"/>
        <w:rPr>
          <w:rFonts w:ascii="Garamond" w:eastAsia="Times New Roman" w:hAnsi="Garamond" w:cs="Times New Roman"/>
          <w:sz w:val="22"/>
        </w:rPr>
      </w:pPr>
    </w:p>
    <w:p w:rsidR="00257981" w:rsidRPr="00E56B15" w:rsidRDefault="00257981" w:rsidP="00257981">
      <w:pPr>
        <w:widowControl w:val="0"/>
        <w:tabs>
          <w:tab w:val="left" w:pos="-1080"/>
          <w:tab w:val="left" w:pos="-720"/>
          <w:tab w:val="left" w:pos="0"/>
          <w:tab w:val="left" w:pos="120"/>
          <w:tab w:val="left" w:pos="720"/>
          <w:tab w:val="left" w:pos="1440"/>
          <w:tab w:val="left" w:pos="2160"/>
          <w:tab w:val="left" w:pos="2880"/>
          <w:tab w:val="left" w:pos="3600"/>
          <w:tab w:val="left" w:pos="4320"/>
          <w:tab w:val="left" w:pos="5040"/>
          <w:tab w:val="left" w:pos="5760"/>
          <w:tab w:val="left" w:pos="6480"/>
          <w:tab w:val="left" w:pos="7290"/>
        </w:tabs>
        <w:rPr>
          <w:rFonts w:ascii="Garamond" w:eastAsia="Times New Roman" w:hAnsi="Garamond" w:cs="Times New Roman"/>
          <w:sz w:val="22"/>
          <w:szCs w:val="20"/>
        </w:rPr>
      </w:pPr>
      <w:r w:rsidRPr="00E56B15">
        <w:rPr>
          <w:rFonts w:ascii="Garamond" w:eastAsia="Times New Roman" w:hAnsi="Garamond" w:cs="Times New Roman"/>
          <w:sz w:val="22"/>
          <w:szCs w:val="20"/>
        </w:rPr>
        <w:t>American Economic Association</w:t>
      </w:r>
    </w:p>
    <w:p w:rsidR="00257981" w:rsidRPr="00E56B15" w:rsidRDefault="00257981" w:rsidP="00257981">
      <w:pPr>
        <w:widowControl w:val="0"/>
        <w:tabs>
          <w:tab w:val="left" w:pos="-1080"/>
          <w:tab w:val="left" w:pos="-720"/>
          <w:tab w:val="left" w:pos="0"/>
          <w:tab w:val="left" w:pos="120"/>
          <w:tab w:val="left" w:pos="720"/>
          <w:tab w:val="left" w:pos="1440"/>
          <w:tab w:val="left" w:pos="2160"/>
          <w:tab w:val="left" w:pos="2880"/>
          <w:tab w:val="left" w:pos="3600"/>
          <w:tab w:val="left" w:pos="4320"/>
          <w:tab w:val="left" w:pos="5040"/>
          <w:tab w:val="left" w:pos="5760"/>
          <w:tab w:val="left" w:pos="6480"/>
          <w:tab w:val="left" w:pos="7290"/>
        </w:tabs>
        <w:rPr>
          <w:rFonts w:ascii="Garamond" w:eastAsia="Times New Roman" w:hAnsi="Garamond" w:cs="Times New Roman"/>
          <w:sz w:val="22"/>
          <w:szCs w:val="20"/>
        </w:rPr>
      </w:pPr>
      <w:r w:rsidRPr="00E56B15">
        <w:rPr>
          <w:rFonts w:ascii="Garamond" w:eastAsia="Times New Roman" w:hAnsi="Garamond" w:cs="Times New Roman"/>
          <w:sz w:val="22"/>
          <w:szCs w:val="20"/>
        </w:rPr>
        <w:t xml:space="preserve">American Finance Association  </w:t>
      </w:r>
    </w:p>
    <w:p w:rsidR="00257981" w:rsidRPr="00E56B15" w:rsidRDefault="00257981" w:rsidP="00257981">
      <w:pPr>
        <w:widowControl w:val="0"/>
        <w:tabs>
          <w:tab w:val="left" w:pos="-1080"/>
          <w:tab w:val="left" w:pos="0"/>
          <w:tab w:val="left" w:pos="120"/>
          <w:tab w:val="left" w:pos="720"/>
          <w:tab w:val="left" w:pos="1440"/>
          <w:tab w:val="left" w:pos="2160"/>
          <w:tab w:val="left" w:pos="2880"/>
          <w:tab w:val="left" w:pos="3600"/>
          <w:tab w:val="left" w:pos="4320"/>
          <w:tab w:val="left" w:pos="5040"/>
          <w:tab w:val="left" w:pos="5760"/>
          <w:tab w:val="left" w:pos="6480"/>
          <w:tab w:val="left" w:pos="7290"/>
        </w:tabs>
        <w:rPr>
          <w:rFonts w:ascii="Garamond" w:eastAsia="Times New Roman" w:hAnsi="Garamond" w:cs="Times New Roman"/>
          <w:sz w:val="22"/>
          <w:szCs w:val="20"/>
        </w:rPr>
      </w:pPr>
      <w:r w:rsidRPr="00E56B15">
        <w:rPr>
          <w:rFonts w:ascii="Garamond" w:eastAsia="Times New Roman" w:hAnsi="Garamond" w:cs="Times New Roman"/>
          <w:sz w:val="22"/>
          <w:szCs w:val="20"/>
        </w:rPr>
        <w:t>American Gas Association Rate Committee (1989-2001)</w:t>
      </w:r>
    </w:p>
    <w:p w:rsidR="00257981" w:rsidRPr="00E56B15" w:rsidRDefault="00257981" w:rsidP="00257981">
      <w:pPr>
        <w:widowControl w:val="0"/>
        <w:tabs>
          <w:tab w:val="left" w:pos="-1080"/>
          <w:tab w:val="left" w:pos="0"/>
          <w:tab w:val="left" w:pos="120"/>
          <w:tab w:val="left" w:pos="720"/>
          <w:tab w:val="left" w:pos="1440"/>
          <w:tab w:val="left" w:pos="2160"/>
          <w:tab w:val="left" w:pos="2880"/>
          <w:tab w:val="left" w:pos="3600"/>
          <w:tab w:val="left" w:pos="4320"/>
          <w:tab w:val="left" w:pos="5040"/>
          <w:tab w:val="left" w:pos="5760"/>
          <w:tab w:val="left" w:pos="6480"/>
          <w:tab w:val="left" w:pos="7290"/>
        </w:tabs>
        <w:rPr>
          <w:rFonts w:ascii="Garamond" w:eastAsia="Times New Roman" w:hAnsi="Garamond" w:cs="Times New Roman"/>
          <w:sz w:val="22"/>
          <w:szCs w:val="20"/>
        </w:rPr>
      </w:pPr>
      <w:r w:rsidRPr="00E56B15">
        <w:rPr>
          <w:rFonts w:ascii="Garamond" w:eastAsia="Times New Roman" w:hAnsi="Garamond" w:cs="Times New Roman"/>
          <w:sz w:val="22"/>
          <w:szCs w:val="20"/>
        </w:rPr>
        <w:t xml:space="preserve">Energy </w:t>
      </w:r>
      <w:proofErr w:type="gramStart"/>
      <w:r w:rsidRPr="00E56B15">
        <w:rPr>
          <w:rFonts w:ascii="Garamond" w:eastAsia="Times New Roman" w:hAnsi="Garamond" w:cs="Times New Roman"/>
          <w:sz w:val="22"/>
          <w:szCs w:val="20"/>
        </w:rPr>
        <w:t>Bar</w:t>
      </w:r>
      <w:proofErr w:type="gramEnd"/>
      <w:r w:rsidRPr="00E56B15">
        <w:rPr>
          <w:rFonts w:ascii="Garamond" w:eastAsia="Times New Roman" w:hAnsi="Garamond" w:cs="Times New Roman"/>
          <w:sz w:val="22"/>
          <w:szCs w:val="20"/>
        </w:rPr>
        <w:t xml:space="preserve"> Association</w:t>
      </w:r>
    </w:p>
    <w:p w:rsidR="00257981" w:rsidRPr="00E56B15" w:rsidRDefault="00257981" w:rsidP="00257981">
      <w:pPr>
        <w:widowControl w:val="0"/>
        <w:tabs>
          <w:tab w:val="left" w:pos="-1080"/>
          <w:tab w:val="left" w:pos="0"/>
          <w:tab w:val="left" w:pos="120"/>
          <w:tab w:val="left" w:pos="720"/>
          <w:tab w:val="left" w:pos="1440"/>
          <w:tab w:val="left" w:pos="2160"/>
          <w:tab w:val="left" w:pos="2880"/>
          <w:tab w:val="left" w:pos="3600"/>
          <w:tab w:val="left" w:pos="4320"/>
          <w:tab w:val="left" w:pos="5040"/>
          <w:tab w:val="left" w:pos="5760"/>
          <w:tab w:val="left" w:pos="6480"/>
          <w:tab w:val="left" w:pos="7290"/>
        </w:tabs>
        <w:rPr>
          <w:rFonts w:ascii="Garamond" w:eastAsia="Times New Roman" w:hAnsi="Garamond" w:cs="Times New Roman"/>
          <w:sz w:val="22"/>
          <w:szCs w:val="20"/>
        </w:rPr>
      </w:pPr>
      <w:r w:rsidRPr="00E56B15">
        <w:rPr>
          <w:rFonts w:ascii="Garamond" w:eastAsia="Times New Roman" w:hAnsi="Garamond" w:cs="Times New Roman"/>
          <w:sz w:val="22"/>
          <w:szCs w:val="20"/>
        </w:rPr>
        <w:t>Financial Management Association</w:t>
      </w:r>
    </w:p>
    <w:p w:rsidR="00257981" w:rsidRPr="00E56B15" w:rsidRDefault="00257981" w:rsidP="00257981">
      <w:pPr>
        <w:pBdr>
          <w:bottom w:val="single" w:sz="4" w:space="1" w:color="auto"/>
        </w:pBdr>
        <w:jc w:val="both"/>
        <w:rPr>
          <w:rFonts w:ascii="Garamond" w:eastAsia="Times New Roman" w:hAnsi="Garamond" w:cs="Times New Roman"/>
          <w:sz w:val="22"/>
        </w:rPr>
      </w:pPr>
    </w:p>
    <w:p w:rsidR="00257981" w:rsidRPr="00E56B15" w:rsidRDefault="00257981" w:rsidP="00257981">
      <w:pPr>
        <w:rPr>
          <w:rFonts w:ascii="Garamond" w:eastAsia="Times New Roman" w:hAnsi="Garamond" w:cs="Times New Roman"/>
          <w:sz w:val="22"/>
        </w:rPr>
      </w:pPr>
    </w:p>
    <w:p w:rsidR="00257981" w:rsidRPr="00E56B15" w:rsidRDefault="00257981" w:rsidP="00257981">
      <w:pPr>
        <w:rPr>
          <w:rFonts w:ascii="Calibri" w:eastAsia="Calibri" w:hAnsi="Calibri" w:cs="Times New Roman"/>
          <w:sz w:val="22"/>
        </w:rPr>
      </w:pPr>
    </w:p>
    <w:p w:rsidR="00071AF0" w:rsidRDefault="00DA572F"/>
    <w:sectPr w:rsidR="00071A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2F" w:rsidRDefault="00DA572F" w:rsidP="00DA572F">
      <w:r>
        <w:separator/>
      </w:r>
    </w:p>
  </w:endnote>
  <w:endnote w:type="continuationSeparator" w:id="0">
    <w:p w:rsidR="00DA572F" w:rsidRDefault="00DA572F" w:rsidP="00DA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2F" w:rsidRDefault="00DA572F" w:rsidP="00DA572F">
      <w:r>
        <w:separator/>
      </w:r>
    </w:p>
  </w:footnote>
  <w:footnote w:type="continuationSeparator" w:id="0">
    <w:p w:rsidR="00DA572F" w:rsidRDefault="00DA572F" w:rsidP="00DA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2F" w:rsidRPr="00732C2E" w:rsidRDefault="00DA572F" w:rsidP="00DA572F">
    <w:pPr>
      <w:pStyle w:val="Client"/>
      <w:spacing w:after="0" w:line="240" w:lineRule="auto"/>
      <w:ind w:right="0"/>
      <w:jc w:val="right"/>
      <w:rPr>
        <w:rStyle w:val="ProposalChar"/>
        <w:rFonts w:ascii="Times New Roman" w:hAnsi="Times New Roman" w:cs="Times New Roman"/>
        <w:color w:val="auto"/>
        <w:szCs w:val="20"/>
      </w:rPr>
    </w:pPr>
    <w:r w:rsidRPr="00732C2E">
      <w:rPr>
        <w:rStyle w:val="ProposalChar"/>
        <w:rFonts w:ascii="Times New Roman" w:hAnsi="Times New Roman" w:cs="Times New Roman"/>
        <w:color w:val="auto"/>
        <w:szCs w:val="20"/>
      </w:rPr>
      <w:t>Docket No. UG-15</w:t>
    </w:r>
    <w:r w:rsidRPr="00732C2E">
      <w:rPr>
        <w:rStyle w:val="ProposalChar"/>
        <w:rFonts w:ascii="Times New Roman" w:hAnsi="Times New Roman" w:cs="Times New Roman"/>
        <w:color w:val="auto"/>
        <w:szCs w:val="20"/>
        <w:u w:val="single"/>
      </w:rPr>
      <w:t>____</w:t>
    </w:r>
  </w:p>
  <w:p w:rsidR="00DA572F" w:rsidRPr="00732C2E" w:rsidRDefault="00DA572F" w:rsidP="00DA572F">
    <w:pPr>
      <w:pStyle w:val="Client"/>
      <w:spacing w:after="0" w:line="240" w:lineRule="auto"/>
      <w:ind w:right="0"/>
      <w:jc w:val="right"/>
      <w:rPr>
        <w:rStyle w:val="ProposalChar"/>
        <w:rFonts w:ascii="Times New Roman" w:hAnsi="Times New Roman" w:cs="Times New Roman"/>
        <w:color w:val="auto"/>
        <w:szCs w:val="20"/>
      </w:rPr>
    </w:pPr>
    <w:r w:rsidRPr="00732C2E">
      <w:rPr>
        <w:rStyle w:val="ProposalChar"/>
        <w:rFonts w:ascii="Times New Roman" w:hAnsi="Times New Roman" w:cs="Times New Roman"/>
        <w:color w:val="auto"/>
        <w:szCs w:val="20"/>
      </w:rPr>
      <w:t xml:space="preserve">Exhibit No. </w:t>
    </w:r>
    <w:r w:rsidRPr="00732C2E">
      <w:rPr>
        <w:rStyle w:val="ProposalChar"/>
        <w:rFonts w:ascii="Times New Roman" w:hAnsi="Times New Roman" w:cs="Times New Roman"/>
        <w:color w:val="auto"/>
        <w:szCs w:val="20"/>
        <w:u w:val="single"/>
      </w:rPr>
      <w:t>___</w:t>
    </w:r>
    <w:r w:rsidRPr="00732C2E">
      <w:rPr>
        <w:rStyle w:val="ProposalChar"/>
        <w:rFonts w:ascii="Times New Roman" w:hAnsi="Times New Roman" w:cs="Times New Roman"/>
        <w:color w:val="auto"/>
        <w:szCs w:val="20"/>
      </w:rPr>
      <w:t xml:space="preserve"> (</w:t>
    </w:r>
    <w:r>
      <w:rPr>
        <w:rStyle w:val="ProposalChar"/>
        <w:rFonts w:ascii="Times New Roman" w:hAnsi="Times New Roman" w:cs="Times New Roman"/>
        <w:color w:val="auto"/>
        <w:szCs w:val="20"/>
      </w:rPr>
      <w:t>JSG-3</w:t>
    </w:r>
    <w:r w:rsidRPr="00732C2E">
      <w:rPr>
        <w:rStyle w:val="ProposalChar"/>
        <w:rFonts w:ascii="Times New Roman" w:hAnsi="Times New Roman" w:cs="Times New Roman"/>
        <w:color w:val="auto"/>
        <w:szCs w:val="20"/>
      </w:rPr>
      <w:t>)</w:t>
    </w:r>
  </w:p>
  <w:p w:rsidR="00DA572F" w:rsidRPr="00732C2E" w:rsidRDefault="00DA572F" w:rsidP="00DA572F">
    <w:pPr>
      <w:pStyle w:val="Client"/>
      <w:spacing w:after="0" w:line="240" w:lineRule="auto"/>
      <w:ind w:right="0"/>
      <w:jc w:val="right"/>
      <w:rPr>
        <w:rStyle w:val="ProposalChar"/>
        <w:rFonts w:ascii="Times New Roman" w:hAnsi="Times New Roman" w:cs="Times New Roman"/>
        <w:color w:val="auto"/>
        <w:szCs w:val="20"/>
      </w:rPr>
    </w:pPr>
    <w:r w:rsidRPr="00732C2E">
      <w:rPr>
        <w:rStyle w:val="ProposalChar"/>
        <w:rFonts w:ascii="Times New Roman" w:hAnsi="Times New Roman" w:cs="Times New Roman"/>
        <w:color w:val="auto"/>
        <w:szCs w:val="20"/>
      </w:rPr>
      <w:t xml:space="preserve">Page </w:t>
    </w:r>
    <w:r w:rsidRPr="00732C2E">
      <w:rPr>
        <w:rStyle w:val="ProposalChar"/>
        <w:rFonts w:ascii="Times New Roman" w:hAnsi="Times New Roman" w:cs="Times New Roman"/>
        <w:bCs/>
        <w:caps w:val="0"/>
        <w:color w:val="auto"/>
        <w:szCs w:val="20"/>
      </w:rPr>
      <w:fldChar w:fldCharType="begin"/>
    </w:r>
    <w:r w:rsidRPr="00732C2E">
      <w:rPr>
        <w:rStyle w:val="ProposalChar"/>
        <w:rFonts w:ascii="Times New Roman" w:hAnsi="Times New Roman" w:cs="Times New Roman"/>
        <w:bCs/>
        <w:color w:val="auto"/>
        <w:szCs w:val="20"/>
      </w:rPr>
      <w:instrText xml:space="preserve"> PAGE  \* Arabic  \* MERGEFORMAT </w:instrText>
    </w:r>
    <w:r w:rsidRPr="00732C2E">
      <w:rPr>
        <w:rStyle w:val="ProposalChar"/>
        <w:rFonts w:ascii="Times New Roman" w:hAnsi="Times New Roman" w:cs="Times New Roman"/>
        <w:bCs/>
        <w:caps w:val="0"/>
        <w:color w:val="auto"/>
        <w:szCs w:val="20"/>
      </w:rPr>
      <w:fldChar w:fldCharType="separate"/>
    </w:r>
    <w:r w:rsidRPr="00DA572F">
      <w:rPr>
        <w:rStyle w:val="ProposalChar"/>
        <w:rFonts w:ascii="Times New Roman" w:hAnsi="Times New Roman" w:cs="Times New Roman"/>
        <w:bCs/>
        <w:caps w:val="0"/>
        <w:noProof/>
        <w:color w:val="auto"/>
        <w:szCs w:val="20"/>
      </w:rPr>
      <w:t>5</w:t>
    </w:r>
    <w:r w:rsidRPr="00732C2E">
      <w:rPr>
        <w:rStyle w:val="ProposalChar"/>
        <w:rFonts w:ascii="Times New Roman" w:hAnsi="Times New Roman" w:cs="Times New Roman"/>
        <w:bCs/>
        <w:caps w:val="0"/>
        <w:color w:val="auto"/>
        <w:szCs w:val="20"/>
      </w:rPr>
      <w:fldChar w:fldCharType="end"/>
    </w:r>
    <w:r w:rsidRPr="00732C2E">
      <w:rPr>
        <w:rStyle w:val="ProposalChar"/>
        <w:rFonts w:ascii="Times New Roman" w:hAnsi="Times New Roman" w:cs="Times New Roman"/>
        <w:color w:val="auto"/>
        <w:szCs w:val="20"/>
      </w:rPr>
      <w:t xml:space="preserve"> of </w:t>
    </w:r>
    <w:r w:rsidRPr="00732C2E">
      <w:rPr>
        <w:rStyle w:val="ProposalChar"/>
        <w:rFonts w:ascii="Times New Roman" w:hAnsi="Times New Roman" w:cs="Times New Roman"/>
        <w:bCs/>
        <w:caps w:val="0"/>
        <w:color w:val="auto"/>
        <w:szCs w:val="20"/>
      </w:rPr>
      <w:fldChar w:fldCharType="begin"/>
    </w:r>
    <w:r w:rsidRPr="00732C2E">
      <w:rPr>
        <w:rStyle w:val="ProposalChar"/>
        <w:rFonts w:ascii="Times New Roman" w:hAnsi="Times New Roman" w:cs="Times New Roman"/>
        <w:bCs/>
        <w:color w:val="auto"/>
        <w:szCs w:val="20"/>
      </w:rPr>
      <w:instrText xml:space="preserve"> NUMPAGES  \* Arabic  \* MERGEFORMAT </w:instrText>
    </w:r>
    <w:r w:rsidRPr="00732C2E">
      <w:rPr>
        <w:rStyle w:val="ProposalChar"/>
        <w:rFonts w:ascii="Times New Roman" w:hAnsi="Times New Roman" w:cs="Times New Roman"/>
        <w:bCs/>
        <w:caps w:val="0"/>
        <w:color w:val="auto"/>
        <w:szCs w:val="20"/>
      </w:rPr>
      <w:fldChar w:fldCharType="separate"/>
    </w:r>
    <w:r w:rsidRPr="00DA572F">
      <w:rPr>
        <w:rStyle w:val="ProposalChar"/>
        <w:rFonts w:ascii="Times New Roman" w:hAnsi="Times New Roman" w:cs="Times New Roman"/>
        <w:bCs/>
        <w:caps w:val="0"/>
        <w:noProof/>
        <w:color w:val="auto"/>
        <w:szCs w:val="20"/>
      </w:rPr>
      <w:t>5</w:t>
    </w:r>
    <w:r w:rsidRPr="00732C2E">
      <w:rPr>
        <w:rStyle w:val="ProposalChar"/>
        <w:rFonts w:ascii="Times New Roman" w:hAnsi="Times New Roman" w:cs="Times New Roman"/>
        <w:bCs/>
        <w:caps w:val="0"/>
        <w:color w:val="auto"/>
        <w:szCs w:val="20"/>
      </w:rPr>
      <w:fldChar w:fldCharType="end"/>
    </w:r>
  </w:p>
  <w:p w:rsidR="00DA572F" w:rsidRDefault="00DA5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55798"/>
    <w:multiLevelType w:val="hybridMultilevel"/>
    <w:tmpl w:val="2D403680"/>
    <w:name w:val="Answer1"/>
    <w:lvl w:ilvl="0" w:tplc="3CB08C24">
      <w:start w:val="1"/>
      <w:numFmt w:val="decimal"/>
      <w:pStyle w:val="Answer1"/>
      <w:lvlText w:val="A%1."/>
      <w:lvlJc w:val="left"/>
      <w:pPr>
        <w:ind w:left="720" w:hanging="360"/>
      </w:pPr>
      <w:rPr>
        <w:rFonts w:ascii="Times New Roman" w:hAnsi="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71583"/>
    <w:multiLevelType w:val="hybridMultilevel"/>
    <w:tmpl w:val="FC0E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D5854"/>
    <w:multiLevelType w:val="hybridMultilevel"/>
    <w:tmpl w:val="C47C7A8C"/>
    <w:lvl w:ilvl="0" w:tplc="56DEDA52">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BEC3F9A"/>
    <w:multiLevelType w:val="hybridMultilevel"/>
    <w:tmpl w:val="74FEC404"/>
    <w:lvl w:ilvl="0" w:tplc="16A62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81"/>
    <w:rsid w:val="00257981"/>
    <w:rsid w:val="007A0E10"/>
    <w:rsid w:val="00A30B74"/>
    <w:rsid w:val="00DA572F"/>
    <w:rsid w:val="00EA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BC7EA-B651-4267-8EBE-F3585E49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8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1">
    <w:name w:val="Answer1"/>
    <w:basedOn w:val="Normal"/>
    <w:qFormat/>
    <w:rsid w:val="00257981"/>
    <w:pPr>
      <w:widowControl w:val="0"/>
      <w:numPr>
        <w:numId w:val="1"/>
      </w:numPr>
      <w:spacing w:after="240" w:line="480" w:lineRule="auto"/>
      <w:ind w:hanging="720"/>
      <w:jc w:val="both"/>
    </w:pPr>
  </w:style>
  <w:style w:type="paragraph" w:styleId="BalloonText">
    <w:name w:val="Balloon Text"/>
    <w:basedOn w:val="Normal"/>
    <w:link w:val="BalloonTextChar"/>
    <w:uiPriority w:val="99"/>
    <w:semiHidden/>
    <w:unhideWhenUsed/>
    <w:rsid w:val="00DA5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72F"/>
    <w:rPr>
      <w:rFonts w:ascii="Segoe UI" w:hAnsi="Segoe UI" w:cs="Segoe UI"/>
      <w:sz w:val="18"/>
      <w:szCs w:val="18"/>
    </w:rPr>
  </w:style>
  <w:style w:type="paragraph" w:styleId="Header">
    <w:name w:val="header"/>
    <w:basedOn w:val="Normal"/>
    <w:link w:val="HeaderChar"/>
    <w:uiPriority w:val="99"/>
    <w:unhideWhenUsed/>
    <w:rsid w:val="00DA572F"/>
    <w:pPr>
      <w:tabs>
        <w:tab w:val="center" w:pos="4680"/>
        <w:tab w:val="right" w:pos="9360"/>
      </w:tabs>
    </w:pPr>
  </w:style>
  <w:style w:type="character" w:customStyle="1" w:styleId="HeaderChar">
    <w:name w:val="Header Char"/>
    <w:basedOn w:val="DefaultParagraphFont"/>
    <w:link w:val="Header"/>
    <w:uiPriority w:val="99"/>
    <w:rsid w:val="00DA572F"/>
    <w:rPr>
      <w:rFonts w:ascii="Times New Roman" w:hAnsi="Times New Roman"/>
      <w:sz w:val="24"/>
    </w:rPr>
  </w:style>
  <w:style w:type="paragraph" w:styleId="Footer">
    <w:name w:val="footer"/>
    <w:basedOn w:val="Normal"/>
    <w:link w:val="FooterChar"/>
    <w:uiPriority w:val="99"/>
    <w:unhideWhenUsed/>
    <w:rsid w:val="00DA572F"/>
    <w:pPr>
      <w:tabs>
        <w:tab w:val="center" w:pos="4680"/>
        <w:tab w:val="right" w:pos="9360"/>
      </w:tabs>
    </w:pPr>
  </w:style>
  <w:style w:type="character" w:customStyle="1" w:styleId="FooterChar">
    <w:name w:val="Footer Char"/>
    <w:basedOn w:val="DefaultParagraphFont"/>
    <w:link w:val="Footer"/>
    <w:uiPriority w:val="99"/>
    <w:rsid w:val="00DA572F"/>
    <w:rPr>
      <w:rFonts w:ascii="Times New Roman" w:hAnsi="Times New Roman"/>
      <w:sz w:val="24"/>
    </w:rPr>
  </w:style>
  <w:style w:type="paragraph" w:customStyle="1" w:styleId="Proposal">
    <w:name w:val="Proposal"/>
    <w:basedOn w:val="Client"/>
    <w:link w:val="ProposalChar"/>
    <w:qFormat/>
    <w:rsid w:val="00DA572F"/>
    <w:rPr>
      <w:b w:val="0"/>
      <w:caps/>
      <w:color w:val="969696"/>
    </w:rPr>
  </w:style>
  <w:style w:type="paragraph" w:customStyle="1" w:styleId="Client">
    <w:name w:val="Client"/>
    <w:basedOn w:val="Normal"/>
    <w:link w:val="ClientChar"/>
    <w:rsid w:val="00DA572F"/>
    <w:pPr>
      <w:pBdr>
        <w:bottom w:val="double" w:sz="12" w:space="1" w:color="C0C0C0"/>
      </w:pBdr>
      <w:suppressAutoHyphens/>
      <w:autoSpaceDE w:val="0"/>
      <w:autoSpaceDN w:val="0"/>
      <w:adjustRightInd w:val="0"/>
      <w:spacing w:after="180" w:line="288" w:lineRule="auto"/>
      <w:ind w:right="-2520"/>
      <w:textAlignment w:val="center"/>
    </w:pPr>
    <w:rPr>
      <w:rFonts w:ascii="Calibri" w:eastAsia="Times New Roman" w:hAnsi="Calibri" w:cs="Cambria"/>
      <w:b/>
      <w:color w:val="44546A" w:themeColor="text2"/>
      <w:sz w:val="20"/>
    </w:rPr>
  </w:style>
  <w:style w:type="character" w:customStyle="1" w:styleId="ClientChar">
    <w:name w:val="Client Char"/>
    <w:basedOn w:val="DefaultParagraphFont"/>
    <w:link w:val="Client"/>
    <w:rsid w:val="00DA572F"/>
    <w:rPr>
      <w:rFonts w:ascii="Calibri" w:eastAsia="Times New Roman" w:hAnsi="Calibri" w:cs="Cambria"/>
      <w:b/>
      <w:color w:val="44546A" w:themeColor="text2"/>
      <w:sz w:val="20"/>
    </w:rPr>
  </w:style>
  <w:style w:type="character" w:customStyle="1" w:styleId="ProposalChar">
    <w:name w:val="Proposal Char"/>
    <w:basedOn w:val="ClientChar"/>
    <w:link w:val="Proposal"/>
    <w:rsid w:val="00DA572F"/>
    <w:rPr>
      <w:rFonts w:ascii="Calibri" w:eastAsia="Times New Roman" w:hAnsi="Calibri" w:cs="Cambria"/>
      <w:b w:val="0"/>
      <w:caps/>
      <w:color w:val="96969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297618-9823-4179-86C4-B252550E9745}"/>
</file>

<file path=customXml/itemProps2.xml><?xml version="1.0" encoding="utf-8"?>
<ds:datastoreItem xmlns:ds="http://schemas.openxmlformats.org/officeDocument/2006/customXml" ds:itemID="{9F574EA1-ECCD-45B8-9863-15D5D35A2CE9}"/>
</file>

<file path=customXml/itemProps3.xml><?xml version="1.0" encoding="utf-8"?>
<ds:datastoreItem xmlns:ds="http://schemas.openxmlformats.org/officeDocument/2006/customXml" ds:itemID="{B05B16A8-CF47-405E-AEA8-BA0201CEE5D0}"/>
</file>

<file path=customXml/itemProps4.xml><?xml version="1.0" encoding="utf-8"?>
<ds:datastoreItem xmlns:ds="http://schemas.openxmlformats.org/officeDocument/2006/customXml" ds:itemID="{8E38DFB9-FB14-4017-B302-29D220B36F53}"/>
</file>

<file path=docProps/app.xml><?xml version="1.0" encoding="utf-8"?>
<Properties xmlns="http://schemas.openxmlformats.org/officeDocument/2006/extended-properties" xmlns:vt="http://schemas.openxmlformats.org/officeDocument/2006/docPropsVTypes">
  <Template>Normal</Template>
  <TotalTime>10</TotalTime>
  <Pages>5</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Pease</dc:creator>
  <cp:keywords/>
  <dc:description/>
  <cp:lastModifiedBy>Jocelyn Pease</cp:lastModifiedBy>
  <cp:revision>2</cp:revision>
  <cp:lastPrinted>2015-12-01T22:39:00Z</cp:lastPrinted>
  <dcterms:created xsi:type="dcterms:W3CDTF">2015-12-01T19:13:00Z</dcterms:created>
  <dcterms:modified xsi:type="dcterms:W3CDTF">2015-12-01T22:45:00Z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