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557" w:rsidRDefault="00F23557" w:rsidP="00F23557">
      <w:pPr>
        <w:tabs>
          <w:tab w:val="left" w:pos="1080"/>
        </w:tabs>
        <w:spacing w:after="0"/>
        <w:jc w:val="center"/>
        <w:rPr>
          <w:rFonts w:eastAsia="Times New Roman"/>
          <w:b/>
          <w:szCs w:val="24"/>
        </w:rPr>
      </w:pPr>
      <w:r w:rsidRPr="00272C05">
        <w:rPr>
          <w:rFonts w:eastAsia="Times New Roman"/>
          <w:b/>
          <w:szCs w:val="24"/>
        </w:rPr>
        <w:t xml:space="preserve">BEFORE THE </w:t>
      </w:r>
    </w:p>
    <w:p w:rsidR="00F23557" w:rsidRDefault="00F23557" w:rsidP="00F23557">
      <w:pPr>
        <w:tabs>
          <w:tab w:val="left" w:pos="1080"/>
        </w:tabs>
        <w:spacing w:after="0"/>
        <w:jc w:val="center"/>
        <w:rPr>
          <w:rFonts w:eastAsia="Times New Roman"/>
          <w:b/>
          <w:szCs w:val="24"/>
        </w:rPr>
      </w:pPr>
    </w:p>
    <w:p w:rsidR="00F23557" w:rsidRPr="00272C05" w:rsidRDefault="00F23557" w:rsidP="00F23557">
      <w:pPr>
        <w:tabs>
          <w:tab w:val="left" w:pos="1080"/>
        </w:tabs>
        <w:spacing w:after="0"/>
        <w:jc w:val="center"/>
        <w:rPr>
          <w:rFonts w:eastAsia="Times New Roman"/>
          <w:b/>
          <w:szCs w:val="24"/>
        </w:rPr>
      </w:pPr>
      <w:r w:rsidRPr="00272C05">
        <w:rPr>
          <w:rFonts w:eastAsia="Times New Roman"/>
          <w:b/>
          <w:szCs w:val="24"/>
        </w:rPr>
        <w:t>WASHINGTON UTILITIES AND TRANSPORTATION COMMISSION</w:t>
      </w:r>
    </w:p>
    <w:p w:rsidR="00F23557" w:rsidRPr="00272C05" w:rsidRDefault="00F23557" w:rsidP="00F23557">
      <w:pPr>
        <w:tabs>
          <w:tab w:val="left" w:pos="1080"/>
        </w:tabs>
        <w:spacing w:after="0"/>
        <w:jc w:val="center"/>
        <w:rPr>
          <w:rFonts w:eastAsia="Times New Roman"/>
          <w:szCs w:val="24"/>
        </w:rPr>
      </w:pPr>
      <w:r w:rsidRPr="00272C05">
        <w:rPr>
          <w:rFonts w:eastAsia="Times New Roman"/>
          <w:szCs w:val="24"/>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360"/>
        <w:gridCol w:w="4608"/>
      </w:tblGrid>
      <w:tr w:rsidR="00F23557" w:rsidRPr="0080362A" w:rsidTr="00E46164">
        <w:tc>
          <w:tcPr>
            <w:tcW w:w="4608" w:type="dxa"/>
            <w:tcBorders>
              <w:top w:val="nil"/>
              <w:left w:val="nil"/>
              <w:bottom w:val="single" w:sz="4" w:space="0" w:color="auto"/>
              <w:right w:val="nil"/>
            </w:tcBorders>
          </w:tcPr>
          <w:p w:rsidR="00F23557" w:rsidRPr="0036383E" w:rsidRDefault="00F23557" w:rsidP="00E46164">
            <w:pPr>
              <w:tabs>
                <w:tab w:val="left" w:pos="1080"/>
              </w:tabs>
              <w:spacing w:after="0"/>
              <w:rPr>
                <w:rFonts w:eastAsia="Times New Roman"/>
                <w:szCs w:val="24"/>
              </w:rPr>
            </w:pPr>
          </w:p>
          <w:p w:rsidR="00F23557" w:rsidRPr="0036383E" w:rsidRDefault="00F23557" w:rsidP="00E46164">
            <w:pPr>
              <w:tabs>
                <w:tab w:val="left" w:pos="1080"/>
                <w:tab w:val="left" w:pos="1440"/>
              </w:tabs>
              <w:spacing w:after="0"/>
              <w:rPr>
                <w:rFonts w:eastAsia="Times New Roman"/>
                <w:szCs w:val="24"/>
                <w:lang w:eastAsia="zh-CN"/>
              </w:rPr>
            </w:pPr>
            <w:r w:rsidRPr="0036383E">
              <w:rPr>
                <w:rFonts w:eastAsia="Times New Roman"/>
                <w:szCs w:val="24"/>
                <w:lang w:eastAsia="zh-CN"/>
              </w:rPr>
              <w:t>WASHINGTON UTILITIES AND TRANSPORTATION COMMISSION,</w:t>
            </w:r>
          </w:p>
          <w:p w:rsidR="00F23557" w:rsidRPr="0036383E" w:rsidRDefault="00F23557" w:rsidP="00E46164">
            <w:pPr>
              <w:tabs>
                <w:tab w:val="left" w:pos="1080"/>
                <w:tab w:val="left" w:pos="1440"/>
              </w:tabs>
              <w:spacing w:after="0"/>
              <w:rPr>
                <w:rFonts w:eastAsia="Times New Roman"/>
                <w:szCs w:val="24"/>
                <w:lang w:eastAsia="zh-CN"/>
              </w:rPr>
            </w:pPr>
          </w:p>
          <w:p w:rsidR="00F23557" w:rsidRPr="0036383E" w:rsidRDefault="00F23557" w:rsidP="00E46164">
            <w:pPr>
              <w:tabs>
                <w:tab w:val="left" w:pos="1080"/>
                <w:tab w:val="left" w:pos="1440"/>
              </w:tabs>
              <w:spacing w:after="0"/>
              <w:rPr>
                <w:rFonts w:eastAsia="Times New Roman"/>
                <w:szCs w:val="24"/>
                <w:lang w:eastAsia="zh-CN"/>
              </w:rPr>
            </w:pPr>
            <w:r w:rsidRPr="0036383E">
              <w:rPr>
                <w:rFonts w:eastAsia="Times New Roman"/>
                <w:szCs w:val="24"/>
                <w:lang w:eastAsia="zh-CN"/>
              </w:rPr>
              <w:tab/>
              <w:t>Complainant,</w:t>
            </w:r>
          </w:p>
          <w:p w:rsidR="00F23557" w:rsidRPr="0036383E" w:rsidRDefault="00F23557" w:rsidP="00E46164">
            <w:pPr>
              <w:tabs>
                <w:tab w:val="left" w:pos="1080"/>
                <w:tab w:val="left" w:pos="1440"/>
              </w:tabs>
              <w:spacing w:after="0"/>
              <w:rPr>
                <w:rFonts w:eastAsia="Times New Roman"/>
                <w:szCs w:val="24"/>
                <w:lang w:eastAsia="zh-CN"/>
              </w:rPr>
            </w:pPr>
          </w:p>
          <w:p w:rsidR="00F23557" w:rsidRPr="0036383E" w:rsidRDefault="00F23557" w:rsidP="00E46164">
            <w:pPr>
              <w:tabs>
                <w:tab w:val="left" w:pos="1080"/>
              </w:tabs>
              <w:spacing w:after="0"/>
              <w:rPr>
                <w:rFonts w:eastAsia="Times New Roman"/>
                <w:szCs w:val="24"/>
                <w:lang w:eastAsia="zh-CN"/>
              </w:rPr>
            </w:pPr>
            <w:proofErr w:type="gramStart"/>
            <w:r w:rsidRPr="0036383E">
              <w:rPr>
                <w:rFonts w:eastAsia="Times New Roman"/>
                <w:szCs w:val="24"/>
                <w:lang w:eastAsia="zh-CN"/>
              </w:rPr>
              <w:t>v</w:t>
            </w:r>
            <w:proofErr w:type="gramEnd"/>
            <w:r w:rsidRPr="0036383E">
              <w:rPr>
                <w:rFonts w:eastAsia="Times New Roman"/>
                <w:szCs w:val="24"/>
                <w:lang w:eastAsia="zh-CN"/>
              </w:rPr>
              <w:t>.</w:t>
            </w:r>
          </w:p>
          <w:p w:rsidR="00F23557" w:rsidRPr="0036383E" w:rsidRDefault="00F23557" w:rsidP="00E46164">
            <w:pPr>
              <w:tabs>
                <w:tab w:val="left" w:pos="1080"/>
              </w:tabs>
              <w:spacing w:after="0"/>
              <w:rPr>
                <w:rFonts w:eastAsia="Times New Roman"/>
                <w:szCs w:val="24"/>
                <w:lang w:eastAsia="zh-CN"/>
              </w:rPr>
            </w:pPr>
          </w:p>
          <w:p w:rsidR="00F23557" w:rsidRPr="0036383E" w:rsidRDefault="00F23557" w:rsidP="00E46164">
            <w:pPr>
              <w:tabs>
                <w:tab w:val="left" w:pos="1080"/>
              </w:tabs>
              <w:spacing w:after="0"/>
              <w:rPr>
                <w:rFonts w:eastAsia="Times New Roman"/>
                <w:szCs w:val="24"/>
                <w:lang w:eastAsia="zh-CN"/>
              </w:rPr>
            </w:pPr>
            <w:r>
              <w:rPr>
                <w:rFonts w:eastAsia="Times New Roman"/>
                <w:szCs w:val="24"/>
                <w:lang w:eastAsia="zh-CN"/>
              </w:rPr>
              <w:t>AVISTA CORPORATION, DB</w:t>
            </w:r>
            <w:r w:rsidRPr="0036383E">
              <w:rPr>
                <w:rFonts w:eastAsia="Times New Roman"/>
                <w:szCs w:val="24"/>
                <w:lang w:eastAsia="zh-CN"/>
              </w:rPr>
              <w:t>A</w:t>
            </w:r>
          </w:p>
          <w:p w:rsidR="00F23557" w:rsidRPr="0036383E" w:rsidRDefault="00F23557" w:rsidP="00E46164">
            <w:pPr>
              <w:tabs>
                <w:tab w:val="left" w:pos="1080"/>
              </w:tabs>
              <w:spacing w:after="0"/>
              <w:rPr>
                <w:rFonts w:eastAsia="Times New Roman"/>
                <w:szCs w:val="24"/>
                <w:lang w:eastAsia="zh-CN"/>
              </w:rPr>
            </w:pPr>
            <w:r w:rsidRPr="0036383E">
              <w:rPr>
                <w:rFonts w:eastAsia="Times New Roman"/>
                <w:szCs w:val="24"/>
                <w:lang w:eastAsia="zh-CN"/>
              </w:rPr>
              <w:t>AVISTA UTILITIES,</w:t>
            </w:r>
          </w:p>
          <w:p w:rsidR="00F23557" w:rsidRPr="0036383E" w:rsidRDefault="00F23557" w:rsidP="00E46164">
            <w:pPr>
              <w:tabs>
                <w:tab w:val="left" w:pos="1080"/>
              </w:tabs>
              <w:spacing w:after="0"/>
              <w:rPr>
                <w:rFonts w:eastAsia="Times New Roman"/>
                <w:szCs w:val="24"/>
                <w:lang w:eastAsia="zh-CN"/>
              </w:rPr>
            </w:pPr>
          </w:p>
          <w:p w:rsidR="00F23557" w:rsidRPr="0036383E" w:rsidRDefault="00F23557" w:rsidP="00E46164">
            <w:pPr>
              <w:tabs>
                <w:tab w:val="left" w:pos="1080"/>
              </w:tabs>
              <w:spacing w:after="0"/>
              <w:jc w:val="center"/>
              <w:rPr>
                <w:rFonts w:eastAsia="Times New Roman"/>
                <w:szCs w:val="24"/>
                <w:lang w:eastAsia="zh-CN"/>
              </w:rPr>
            </w:pPr>
            <w:r w:rsidRPr="0036383E">
              <w:rPr>
                <w:rFonts w:eastAsia="Times New Roman"/>
                <w:szCs w:val="24"/>
                <w:lang w:eastAsia="zh-CN"/>
              </w:rPr>
              <w:t>Respondent.</w:t>
            </w:r>
          </w:p>
          <w:p w:rsidR="00F23557" w:rsidRPr="0036383E" w:rsidRDefault="00F23557" w:rsidP="00E46164">
            <w:pPr>
              <w:tabs>
                <w:tab w:val="left" w:pos="1080"/>
              </w:tabs>
              <w:spacing w:after="0"/>
              <w:rPr>
                <w:rFonts w:eastAsia="Times New Roman"/>
                <w:szCs w:val="24"/>
              </w:rPr>
            </w:pPr>
          </w:p>
        </w:tc>
        <w:tc>
          <w:tcPr>
            <w:tcW w:w="360" w:type="dxa"/>
            <w:tcBorders>
              <w:top w:val="nil"/>
              <w:left w:val="nil"/>
              <w:bottom w:val="nil"/>
              <w:right w:val="nil"/>
            </w:tcBorders>
          </w:tcPr>
          <w:p w:rsidR="00F23557" w:rsidRPr="0036383E" w:rsidRDefault="00F23557" w:rsidP="00E46164">
            <w:pPr>
              <w:tabs>
                <w:tab w:val="left" w:pos="1080"/>
              </w:tabs>
              <w:spacing w:after="0"/>
              <w:rPr>
                <w:rFonts w:eastAsia="Times New Roman"/>
                <w:szCs w:val="24"/>
              </w:rPr>
            </w:pPr>
            <w:r w:rsidRPr="0036383E">
              <w:rPr>
                <w:rFonts w:eastAsia="Times New Roman"/>
                <w:szCs w:val="24"/>
              </w:rPr>
              <w:t>)</w:t>
            </w:r>
          </w:p>
          <w:p w:rsidR="00F23557" w:rsidRPr="0036383E" w:rsidRDefault="00F23557" w:rsidP="00E46164">
            <w:pPr>
              <w:tabs>
                <w:tab w:val="left" w:pos="1080"/>
              </w:tabs>
              <w:spacing w:after="0"/>
              <w:rPr>
                <w:rFonts w:eastAsia="Times New Roman"/>
                <w:szCs w:val="24"/>
              </w:rPr>
            </w:pPr>
            <w:r w:rsidRPr="0036383E">
              <w:rPr>
                <w:rFonts w:eastAsia="Times New Roman"/>
                <w:szCs w:val="24"/>
              </w:rPr>
              <w:t>)</w:t>
            </w:r>
          </w:p>
          <w:p w:rsidR="00F23557" w:rsidRPr="0036383E" w:rsidRDefault="00F23557" w:rsidP="00E46164">
            <w:pPr>
              <w:tabs>
                <w:tab w:val="left" w:pos="1080"/>
              </w:tabs>
              <w:spacing w:after="0"/>
              <w:rPr>
                <w:rFonts w:eastAsia="Times New Roman"/>
                <w:szCs w:val="24"/>
              </w:rPr>
            </w:pPr>
            <w:r w:rsidRPr="0036383E">
              <w:rPr>
                <w:rFonts w:eastAsia="Times New Roman"/>
                <w:szCs w:val="24"/>
              </w:rPr>
              <w:t>)</w:t>
            </w:r>
          </w:p>
          <w:p w:rsidR="00F23557" w:rsidRPr="0036383E" w:rsidRDefault="00F23557" w:rsidP="00E46164">
            <w:pPr>
              <w:tabs>
                <w:tab w:val="left" w:pos="1080"/>
              </w:tabs>
              <w:spacing w:after="0"/>
              <w:rPr>
                <w:rFonts w:eastAsia="Times New Roman"/>
                <w:szCs w:val="24"/>
              </w:rPr>
            </w:pPr>
            <w:r w:rsidRPr="0036383E">
              <w:rPr>
                <w:rFonts w:eastAsia="Times New Roman"/>
                <w:szCs w:val="24"/>
              </w:rPr>
              <w:t>)</w:t>
            </w:r>
          </w:p>
          <w:p w:rsidR="00F23557" w:rsidRPr="0036383E" w:rsidRDefault="00F23557" w:rsidP="00E46164">
            <w:pPr>
              <w:tabs>
                <w:tab w:val="left" w:pos="1080"/>
              </w:tabs>
              <w:spacing w:after="0"/>
              <w:rPr>
                <w:rFonts w:eastAsia="Times New Roman"/>
                <w:szCs w:val="24"/>
              </w:rPr>
            </w:pPr>
            <w:r w:rsidRPr="0036383E">
              <w:rPr>
                <w:rFonts w:eastAsia="Times New Roman"/>
                <w:szCs w:val="24"/>
              </w:rPr>
              <w:t>)</w:t>
            </w:r>
          </w:p>
          <w:p w:rsidR="00F23557" w:rsidRPr="0036383E" w:rsidRDefault="00F23557" w:rsidP="00E46164">
            <w:pPr>
              <w:tabs>
                <w:tab w:val="left" w:pos="1080"/>
              </w:tabs>
              <w:spacing w:after="0"/>
              <w:rPr>
                <w:rFonts w:eastAsia="Times New Roman"/>
                <w:szCs w:val="24"/>
              </w:rPr>
            </w:pPr>
            <w:r w:rsidRPr="0036383E">
              <w:rPr>
                <w:rFonts w:eastAsia="Times New Roman"/>
                <w:szCs w:val="24"/>
              </w:rPr>
              <w:t>)</w:t>
            </w:r>
          </w:p>
          <w:p w:rsidR="00F23557" w:rsidRPr="0036383E" w:rsidRDefault="00F23557" w:rsidP="00E46164">
            <w:pPr>
              <w:tabs>
                <w:tab w:val="left" w:pos="1080"/>
              </w:tabs>
              <w:spacing w:after="0"/>
              <w:rPr>
                <w:rFonts w:eastAsia="Times New Roman"/>
                <w:szCs w:val="24"/>
              </w:rPr>
            </w:pPr>
            <w:r w:rsidRPr="0036383E">
              <w:rPr>
                <w:rFonts w:eastAsia="Times New Roman"/>
                <w:szCs w:val="24"/>
              </w:rPr>
              <w:t>)</w:t>
            </w:r>
          </w:p>
          <w:p w:rsidR="00F23557" w:rsidRPr="0036383E" w:rsidRDefault="00F23557" w:rsidP="00E46164">
            <w:pPr>
              <w:tabs>
                <w:tab w:val="left" w:pos="1080"/>
              </w:tabs>
              <w:spacing w:after="0"/>
              <w:rPr>
                <w:rFonts w:eastAsia="Times New Roman"/>
                <w:szCs w:val="24"/>
              </w:rPr>
            </w:pPr>
            <w:r w:rsidRPr="0036383E">
              <w:rPr>
                <w:rFonts w:eastAsia="Times New Roman"/>
                <w:szCs w:val="24"/>
              </w:rPr>
              <w:t>)</w:t>
            </w:r>
          </w:p>
          <w:p w:rsidR="00F23557" w:rsidRPr="0036383E" w:rsidRDefault="00F23557" w:rsidP="00E46164">
            <w:pPr>
              <w:tabs>
                <w:tab w:val="left" w:pos="1080"/>
              </w:tabs>
              <w:spacing w:after="0"/>
              <w:rPr>
                <w:rFonts w:eastAsia="Times New Roman"/>
                <w:szCs w:val="24"/>
              </w:rPr>
            </w:pPr>
            <w:r w:rsidRPr="0036383E">
              <w:rPr>
                <w:rFonts w:eastAsia="Times New Roman"/>
                <w:szCs w:val="24"/>
              </w:rPr>
              <w:t>)</w:t>
            </w:r>
          </w:p>
          <w:p w:rsidR="00F23557" w:rsidRPr="0036383E" w:rsidRDefault="00F23557" w:rsidP="00E46164">
            <w:pPr>
              <w:tabs>
                <w:tab w:val="left" w:pos="1080"/>
              </w:tabs>
              <w:spacing w:after="0"/>
              <w:rPr>
                <w:rFonts w:eastAsia="Times New Roman"/>
                <w:szCs w:val="24"/>
              </w:rPr>
            </w:pPr>
            <w:r w:rsidRPr="0036383E">
              <w:rPr>
                <w:rFonts w:eastAsia="Times New Roman"/>
                <w:szCs w:val="24"/>
              </w:rPr>
              <w:t>)</w:t>
            </w:r>
          </w:p>
          <w:p w:rsidR="00F23557" w:rsidRPr="0036383E" w:rsidRDefault="00F23557" w:rsidP="00E46164">
            <w:pPr>
              <w:tabs>
                <w:tab w:val="left" w:pos="1080"/>
              </w:tabs>
              <w:spacing w:after="0"/>
              <w:rPr>
                <w:rFonts w:eastAsia="Times New Roman"/>
                <w:szCs w:val="24"/>
              </w:rPr>
            </w:pPr>
            <w:r w:rsidRPr="0036383E">
              <w:rPr>
                <w:rFonts w:eastAsia="Times New Roman"/>
                <w:szCs w:val="24"/>
              </w:rPr>
              <w:t>)</w:t>
            </w:r>
          </w:p>
          <w:p w:rsidR="00F23557" w:rsidRPr="0036383E" w:rsidRDefault="00F23557" w:rsidP="00E46164">
            <w:pPr>
              <w:tabs>
                <w:tab w:val="left" w:pos="1080"/>
              </w:tabs>
              <w:spacing w:after="0"/>
              <w:rPr>
                <w:rFonts w:eastAsia="Times New Roman"/>
                <w:szCs w:val="24"/>
              </w:rPr>
            </w:pPr>
            <w:r w:rsidRPr="0036383E">
              <w:rPr>
                <w:rFonts w:eastAsia="Times New Roman"/>
                <w:szCs w:val="24"/>
              </w:rPr>
              <w:t>)</w:t>
            </w:r>
          </w:p>
          <w:p w:rsidR="00F23557" w:rsidRPr="0036383E" w:rsidRDefault="00F23557" w:rsidP="00E46164">
            <w:pPr>
              <w:tabs>
                <w:tab w:val="left" w:pos="1080"/>
              </w:tabs>
              <w:spacing w:after="0"/>
              <w:rPr>
                <w:rFonts w:eastAsia="Times New Roman"/>
                <w:szCs w:val="24"/>
              </w:rPr>
            </w:pPr>
            <w:r w:rsidRPr="0036383E">
              <w:rPr>
                <w:rFonts w:eastAsia="Times New Roman"/>
                <w:szCs w:val="24"/>
              </w:rPr>
              <w:t>)</w:t>
            </w:r>
          </w:p>
        </w:tc>
        <w:tc>
          <w:tcPr>
            <w:tcW w:w="4608" w:type="dxa"/>
            <w:tcBorders>
              <w:top w:val="nil"/>
              <w:left w:val="nil"/>
              <w:bottom w:val="nil"/>
              <w:right w:val="nil"/>
            </w:tcBorders>
          </w:tcPr>
          <w:p w:rsidR="00F23557" w:rsidRDefault="00F23557" w:rsidP="00E46164">
            <w:pPr>
              <w:pStyle w:val="SingleSpacing"/>
              <w:tabs>
                <w:tab w:val="left" w:pos="1080"/>
              </w:tabs>
              <w:spacing w:line="240" w:lineRule="auto"/>
              <w:rPr>
                <w:rFonts w:eastAsia="Calibri"/>
                <w:szCs w:val="22"/>
              </w:rPr>
            </w:pPr>
            <w:bookmarkStart w:id="0" w:name="_Toc354586559"/>
          </w:p>
          <w:p w:rsidR="00F23557" w:rsidRDefault="00F23557" w:rsidP="00E46164">
            <w:pPr>
              <w:pStyle w:val="SingleSpacing"/>
              <w:tabs>
                <w:tab w:val="left" w:pos="1080"/>
              </w:tabs>
              <w:spacing w:line="240" w:lineRule="auto"/>
              <w:rPr>
                <w:rFonts w:eastAsia="Calibri"/>
                <w:szCs w:val="22"/>
              </w:rPr>
            </w:pPr>
          </w:p>
          <w:p w:rsidR="00F23557" w:rsidRDefault="00F23557" w:rsidP="00E46164">
            <w:pPr>
              <w:pStyle w:val="SingleSpacing"/>
              <w:tabs>
                <w:tab w:val="left" w:pos="1080"/>
              </w:tabs>
              <w:spacing w:line="240" w:lineRule="auto"/>
              <w:rPr>
                <w:rFonts w:eastAsia="Calibri"/>
                <w:szCs w:val="22"/>
              </w:rPr>
            </w:pPr>
          </w:p>
          <w:p w:rsidR="00F23557" w:rsidRPr="00E80CA0" w:rsidRDefault="00F23557" w:rsidP="00E46164">
            <w:pPr>
              <w:pStyle w:val="SingleSpacing"/>
              <w:tabs>
                <w:tab w:val="left" w:pos="1080"/>
              </w:tabs>
              <w:spacing w:line="240" w:lineRule="auto"/>
            </w:pPr>
            <w:r>
              <w:t>DOCKETS</w:t>
            </w:r>
            <w:r w:rsidRPr="00E80CA0">
              <w:t xml:space="preserve"> </w:t>
            </w:r>
            <w:r w:rsidRPr="00E80CA0">
              <w:rPr>
                <w:bCs/>
              </w:rPr>
              <w:t>UE-</w:t>
            </w:r>
            <w:r>
              <w:t>160228 and</w:t>
            </w:r>
          </w:p>
          <w:p w:rsidR="00F23557" w:rsidRPr="00E80CA0" w:rsidRDefault="00F23557" w:rsidP="00E46164">
            <w:pPr>
              <w:pStyle w:val="SingleSpacing"/>
              <w:tabs>
                <w:tab w:val="left" w:pos="1080"/>
              </w:tabs>
              <w:spacing w:line="240" w:lineRule="auto"/>
            </w:pPr>
            <w:r w:rsidRPr="00E80CA0">
              <w:rPr>
                <w:bCs/>
              </w:rPr>
              <w:t>UG-</w:t>
            </w:r>
            <w:r>
              <w:t>160229 (</w:t>
            </w:r>
            <w:r>
              <w:rPr>
                <w:i/>
              </w:rPr>
              <w:t>C</w:t>
            </w:r>
            <w:r w:rsidRPr="005F33B9">
              <w:rPr>
                <w:i/>
              </w:rPr>
              <w:t>onsolidated</w:t>
            </w:r>
            <w:r>
              <w:t>)</w:t>
            </w:r>
          </w:p>
          <w:p w:rsidR="00F23557" w:rsidRPr="0080362A" w:rsidRDefault="00F23557" w:rsidP="00E46164">
            <w:pPr>
              <w:tabs>
                <w:tab w:val="left" w:pos="1080"/>
              </w:tabs>
              <w:spacing w:after="0"/>
              <w:jc w:val="center"/>
            </w:pPr>
          </w:p>
          <w:p w:rsidR="00F23557" w:rsidRPr="0080362A" w:rsidRDefault="00F23557" w:rsidP="00E46164">
            <w:pPr>
              <w:tabs>
                <w:tab w:val="left" w:pos="1080"/>
              </w:tabs>
              <w:spacing w:after="0"/>
              <w:jc w:val="center"/>
            </w:pPr>
          </w:p>
          <w:p w:rsidR="00F23557" w:rsidRPr="0080362A" w:rsidRDefault="00F23557" w:rsidP="00E46164">
            <w:pPr>
              <w:tabs>
                <w:tab w:val="left" w:pos="1080"/>
              </w:tabs>
              <w:spacing w:after="0"/>
              <w:jc w:val="center"/>
            </w:pPr>
          </w:p>
          <w:p w:rsidR="00F23557" w:rsidRPr="0080362A" w:rsidRDefault="00F23557" w:rsidP="00E46164">
            <w:pPr>
              <w:tabs>
                <w:tab w:val="left" w:pos="1080"/>
              </w:tabs>
              <w:spacing w:after="0"/>
              <w:jc w:val="center"/>
            </w:pPr>
          </w:p>
          <w:bookmarkEnd w:id="0"/>
          <w:p w:rsidR="00F23557" w:rsidRPr="0036383E" w:rsidRDefault="00F23557" w:rsidP="00E46164">
            <w:pPr>
              <w:tabs>
                <w:tab w:val="left" w:pos="1080"/>
              </w:tabs>
              <w:spacing w:after="0"/>
              <w:rPr>
                <w:rFonts w:eastAsia="Times New Roman"/>
                <w:szCs w:val="24"/>
              </w:rPr>
            </w:pPr>
          </w:p>
          <w:p w:rsidR="00F23557" w:rsidRPr="0080362A" w:rsidRDefault="00F23557" w:rsidP="00E46164">
            <w:pPr>
              <w:tabs>
                <w:tab w:val="left" w:pos="1080"/>
              </w:tabs>
              <w:jc w:val="right"/>
            </w:pPr>
            <w:r w:rsidRPr="0080362A">
              <w:t xml:space="preserve">   </w:t>
            </w:r>
          </w:p>
        </w:tc>
      </w:tr>
    </w:tbl>
    <w:p w:rsidR="00F23557" w:rsidRPr="00272C05" w:rsidRDefault="00F23557" w:rsidP="00F23557">
      <w:pPr>
        <w:tabs>
          <w:tab w:val="left" w:pos="1080"/>
        </w:tabs>
        <w:spacing w:after="0"/>
        <w:jc w:val="both"/>
        <w:rPr>
          <w:rFonts w:eastAsia="Times New Roman"/>
          <w:szCs w:val="24"/>
        </w:rPr>
      </w:pPr>
    </w:p>
    <w:p w:rsidR="00F23557" w:rsidRPr="00272C05" w:rsidRDefault="00F23557" w:rsidP="00F23557">
      <w:pPr>
        <w:tabs>
          <w:tab w:val="left" w:pos="1080"/>
          <w:tab w:val="left" w:pos="6450"/>
        </w:tabs>
        <w:spacing w:after="0"/>
        <w:jc w:val="both"/>
        <w:rPr>
          <w:rFonts w:eastAsia="Times New Roman"/>
          <w:szCs w:val="24"/>
        </w:rPr>
      </w:pPr>
    </w:p>
    <w:p w:rsidR="00F23557" w:rsidRPr="00272C05" w:rsidRDefault="00F23557" w:rsidP="00F23557">
      <w:pPr>
        <w:tabs>
          <w:tab w:val="left" w:pos="1080"/>
        </w:tabs>
        <w:spacing w:after="0"/>
        <w:jc w:val="both"/>
        <w:rPr>
          <w:rFonts w:eastAsia="Times New Roman"/>
          <w:szCs w:val="24"/>
        </w:rPr>
      </w:pPr>
    </w:p>
    <w:p w:rsidR="00F23557" w:rsidRPr="00272C05" w:rsidRDefault="00F23557" w:rsidP="00F23557">
      <w:pPr>
        <w:tabs>
          <w:tab w:val="left" w:pos="1080"/>
        </w:tabs>
        <w:spacing w:after="0"/>
        <w:jc w:val="both"/>
        <w:rPr>
          <w:rFonts w:eastAsia="Times New Roman"/>
          <w:szCs w:val="24"/>
        </w:rPr>
      </w:pPr>
    </w:p>
    <w:p w:rsidR="00F23557" w:rsidRPr="00272C05" w:rsidRDefault="00F23557" w:rsidP="00F23557">
      <w:pPr>
        <w:tabs>
          <w:tab w:val="left" w:pos="1080"/>
        </w:tabs>
        <w:spacing w:after="0"/>
        <w:jc w:val="both"/>
        <w:rPr>
          <w:rFonts w:eastAsia="Times New Roman"/>
          <w:szCs w:val="24"/>
        </w:rPr>
      </w:pPr>
    </w:p>
    <w:p w:rsidR="00F23557" w:rsidRPr="00272C05" w:rsidRDefault="00F23557" w:rsidP="00F23557">
      <w:pPr>
        <w:tabs>
          <w:tab w:val="left" w:pos="1080"/>
        </w:tabs>
        <w:spacing w:after="0"/>
        <w:jc w:val="both"/>
        <w:rPr>
          <w:rFonts w:eastAsia="Times New Roman"/>
          <w:szCs w:val="24"/>
        </w:rPr>
      </w:pPr>
    </w:p>
    <w:p w:rsidR="00F23557" w:rsidRPr="00272C05" w:rsidRDefault="00F23557" w:rsidP="00F23557">
      <w:pPr>
        <w:tabs>
          <w:tab w:val="left" w:pos="1080"/>
        </w:tabs>
        <w:spacing w:after="0"/>
        <w:jc w:val="center"/>
        <w:rPr>
          <w:rFonts w:eastAsia="Times New Roman"/>
          <w:b/>
          <w:bCs/>
          <w:szCs w:val="24"/>
        </w:rPr>
      </w:pPr>
      <w:r w:rsidRPr="00272C05">
        <w:rPr>
          <w:rFonts w:eastAsia="Times New Roman"/>
          <w:b/>
          <w:bCs/>
          <w:szCs w:val="20"/>
        </w:rPr>
        <w:t>RESPONS</w:t>
      </w:r>
      <w:r>
        <w:rPr>
          <w:rFonts w:eastAsia="Times New Roman"/>
          <w:b/>
          <w:bCs/>
          <w:szCs w:val="20"/>
        </w:rPr>
        <w:t>E</w:t>
      </w:r>
      <w:r w:rsidRPr="00272C05">
        <w:rPr>
          <w:rFonts w:eastAsia="Times New Roman"/>
          <w:b/>
          <w:bCs/>
          <w:szCs w:val="20"/>
        </w:rPr>
        <w:t xml:space="preserve"> TESTIMONY </w:t>
      </w:r>
      <w:r w:rsidRPr="00272C05">
        <w:rPr>
          <w:rFonts w:eastAsia="Times New Roman"/>
          <w:b/>
          <w:bCs/>
          <w:szCs w:val="24"/>
        </w:rPr>
        <w:t xml:space="preserve">OF </w:t>
      </w:r>
      <w:r>
        <w:rPr>
          <w:rFonts w:eastAsia="Times New Roman"/>
          <w:b/>
          <w:szCs w:val="24"/>
        </w:rPr>
        <w:t>MICHAEL P. GORMAN</w:t>
      </w:r>
    </w:p>
    <w:p w:rsidR="00F23557" w:rsidRPr="00272C05" w:rsidRDefault="00F23557" w:rsidP="00F23557">
      <w:pPr>
        <w:tabs>
          <w:tab w:val="left" w:pos="1080"/>
        </w:tabs>
        <w:spacing w:after="0"/>
        <w:rPr>
          <w:rFonts w:eastAsia="Times New Roman"/>
          <w:szCs w:val="20"/>
        </w:rPr>
      </w:pPr>
    </w:p>
    <w:p w:rsidR="00F23557" w:rsidRPr="00272C05" w:rsidRDefault="00F23557" w:rsidP="00F23557">
      <w:pPr>
        <w:tabs>
          <w:tab w:val="left" w:pos="1080"/>
        </w:tabs>
        <w:spacing w:after="0"/>
        <w:jc w:val="center"/>
        <w:rPr>
          <w:rFonts w:eastAsia="Times New Roman"/>
          <w:b/>
          <w:bCs/>
          <w:szCs w:val="20"/>
        </w:rPr>
      </w:pPr>
      <w:r w:rsidRPr="00272C05">
        <w:rPr>
          <w:rFonts w:eastAsia="Times New Roman"/>
          <w:b/>
          <w:bCs/>
          <w:szCs w:val="20"/>
        </w:rPr>
        <w:t>ON BEHALF OF</w:t>
      </w:r>
    </w:p>
    <w:p w:rsidR="00F23557" w:rsidRPr="00272C05" w:rsidRDefault="00F23557" w:rsidP="00F23557">
      <w:pPr>
        <w:tabs>
          <w:tab w:val="left" w:pos="1080"/>
          <w:tab w:val="left" w:pos="6393"/>
        </w:tabs>
        <w:spacing w:after="0"/>
        <w:rPr>
          <w:rFonts w:eastAsia="Times New Roman"/>
          <w:szCs w:val="20"/>
        </w:rPr>
      </w:pPr>
      <w:r>
        <w:rPr>
          <w:rFonts w:eastAsia="Times New Roman"/>
          <w:szCs w:val="20"/>
        </w:rPr>
        <w:tab/>
      </w:r>
    </w:p>
    <w:p w:rsidR="00F23557" w:rsidRPr="00272C05" w:rsidRDefault="00F23557" w:rsidP="00F23557">
      <w:pPr>
        <w:tabs>
          <w:tab w:val="left" w:pos="1080"/>
        </w:tabs>
        <w:spacing w:after="0"/>
        <w:jc w:val="center"/>
        <w:rPr>
          <w:rFonts w:eastAsia="Times New Roman"/>
          <w:szCs w:val="24"/>
        </w:rPr>
      </w:pPr>
      <w:r w:rsidRPr="00272C05">
        <w:rPr>
          <w:rFonts w:eastAsia="Times New Roman"/>
          <w:b/>
          <w:bCs/>
          <w:szCs w:val="20"/>
        </w:rPr>
        <w:t>THE INDUSTRIAL CUSTOMERS OF NORTHWEST UTILITIES</w:t>
      </w:r>
    </w:p>
    <w:p w:rsidR="00F23557" w:rsidRPr="00272C05" w:rsidRDefault="00F23557" w:rsidP="00F23557">
      <w:pPr>
        <w:tabs>
          <w:tab w:val="left" w:pos="1080"/>
        </w:tabs>
        <w:spacing w:after="0"/>
        <w:jc w:val="center"/>
        <w:rPr>
          <w:rFonts w:eastAsia="Times New Roman"/>
          <w:szCs w:val="24"/>
        </w:rPr>
      </w:pPr>
    </w:p>
    <w:p w:rsidR="00F23557" w:rsidRPr="00272C05" w:rsidRDefault="00F23557" w:rsidP="00F23557">
      <w:pPr>
        <w:tabs>
          <w:tab w:val="left" w:pos="1080"/>
        </w:tabs>
        <w:spacing w:after="0"/>
        <w:jc w:val="center"/>
        <w:rPr>
          <w:rFonts w:eastAsia="Times New Roman"/>
          <w:szCs w:val="24"/>
        </w:rPr>
      </w:pPr>
    </w:p>
    <w:p w:rsidR="00F23557" w:rsidRPr="00272C05" w:rsidRDefault="00F23557" w:rsidP="00F23557">
      <w:pPr>
        <w:tabs>
          <w:tab w:val="left" w:pos="1080"/>
        </w:tabs>
        <w:spacing w:after="0"/>
        <w:jc w:val="center"/>
        <w:rPr>
          <w:rFonts w:eastAsia="Times New Roman"/>
          <w:szCs w:val="24"/>
        </w:rPr>
      </w:pPr>
    </w:p>
    <w:p w:rsidR="00F23557" w:rsidRPr="00272C05" w:rsidRDefault="00F23557" w:rsidP="00F23557">
      <w:pPr>
        <w:tabs>
          <w:tab w:val="left" w:pos="1080"/>
        </w:tabs>
        <w:spacing w:after="0"/>
        <w:jc w:val="center"/>
        <w:rPr>
          <w:rFonts w:eastAsia="Times New Roman"/>
          <w:szCs w:val="24"/>
        </w:rPr>
      </w:pPr>
    </w:p>
    <w:p w:rsidR="00F23557" w:rsidRPr="00272C05" w:rsidRDefault="00F23557" w:rsidP="00F23557">
      <w:pPr>
        <w:tabs>
          <w:tab w:val="left" w:pos="1080"/>
        </w:tabs>
        <w:spacing w:after="0"/>
        <w:jc w:val="center"/>
        <w:rPr>
          <w:rFonts w:eastAsia="Times New Roman"/>
          <w:szCs w:val="24"/>
        </w:rPr>
      </w:pPr>
    </w:p>
    <w:p w:rsidR="00F23557" w:rsidRPr="00272C05" w:rsidRDefault="00F23557" w:rsidP="00F23557">
      <w:pPr>
        <w:tabs>
          <w:tab w:val="left" w:pos="1080"/>
        </w:tabs>
        <w:spacing w:after="0"/>
        <w:jc w:val="center"/>
        <w:rPr>
          <w:rFonts w:eastAsia="Times New Roman"/>
          <w:b/>
          <w:szCs w:val="24"/>
        </w:rPr>
      </w:pPr>
      <w:r>
        <w:rPr>
          <w:rFonts w:eastAsia="Times New Roman"/>
          <w:b/>
          <w:szCs w:val="24"/>
        </w:rPr>
        <w:t>August 17, 2016</w:t>
      </w:r>
    </w:p>
    <w:p w:rsidR="00F23557" w:rsidRPr="00272C05" w:rsidRDefault="00F23557" w:rsidP="00F23557">
      <w:pPr>
        <w:tabs>
          <w:tab w:val="left" w:pos="1080"/>
        </w:tabs>
        <w:spacing w:after="0"/>
        <w:jc w:val="center"/>
        <w:rPr>
          <w:rFonts w:eastAsia="Times New Roman"/>
          <w:szCs w:val="24"/>
        </w:rPr>
      </w:pPr>
    </w:p>
    <w:p w:rsidR="00F23557" w:rsidRPr="00272C05" w:rsidRDefault="00F23557" w:rsidP="00F23557">
      <w:pPr>
        <w:tabs>
          <w:tab w:val="left" w:pos="1080"/>
        </w:tabs>
        <w:spacing w:after="0" w:line="480" w:lineRule="auto"/>
        <w:jc w:val="both"/>
        <w:rPr>
          <w:rFonts w:eastAsia="Times New Roman"/>
          <w:b/>
          <w:szCs w:val="24"/>
        </w:rPr>
        <w:sectPr w:rsidR="00F23557" w:rsidRPr="00272C05" w:rsidSect="00272C05">
          <w:headerReference w:type="default" r:id="rId8"/>
          <w:pgSz w:w="12240" w:h="15840" w:code="1"/>
          <w:pgMar w:top="1440" w:right="1440" w:bottom="1440" w:left="1728" w:header="576" w:footer="576" w:gutter="0"/>
          <w:pgNumType w:start="1"/>
          <w:cols w:space="720"/>
          <w:docGrid w:linePitch="299"/>
        </w:sectPr>
      </w:pPr>
    </w:p>
    <w:p w:rsidR="00F23557" w:rsidRDefault="00F23557" w:rsidP="00F23557">
      <w:pPr>
        <w:suppressLineNumbers/>
        <w:tabs>
          <w:tab w:val="left" w:pos="1080"/>
        </w:tabs>
        <w:spacing w:after="0"/>
        <w:jc w:val="center"/>
        <w:rPr>
          <w:rFonts w:eastAsia="Times New Roman"/>
          <w:b/>
          <w:szCs w:val="24"/>
        </w:rPr>
      </w:pPr>
      <w:r w:rsidRPr="00272C05">
        <w:rPr>
          <w:rFonts w:eastAsia="Times New Roman"/>
          <w:b/>
          <w:bCs/>
          <w:szCs w:val="20"/>
        </w:rPr>
        <w:lastRenderedPageBreak/>
        <w:t xml:space="preserve">TABLE OF CONTENTS </w:t>
      </w:r>
    </w:p>
    <w:p w:rsidR="00F23557" w:rsidRPr="00272C05" w:rsidRDefault="00F23557" w:rsidP="00F23557">
      <w:pPr>
        <w:suppressLineNumbers/>
        <w:tabs>
          <w:tab w:val="left" w:pos="1080"/>
        </w:tabs>
        <w:spacing w:after="0"/>
        <w:jc w:val="center"/>
        <w:rPr>
          <w:rFonts w:eastAsia="Times New Roman"/>
          <w:b/>
          <w:szCs w:val="24"/>
        </w:rPr>
      </w:pPr>
    </w:p>
    <w:p w:rsidR="00F23557" w:rsidRPr="00272C05" w:rsidRDefault="00F23557" w:rsidP="00F23557">
      <w:pPr>
        <w:suppressLineNumbers/>
        <w:tabs>
          <w:tab w:val="left" w:pos="1080"/>
        </w:tabs>
        <w:spacing w:after="0" w:line="480" w:lineRule="auto"/>
        <w:jc w:val="right"/>
        <w:rPr>
          <w:rFonts w:eastAsia="Times New Roman"/>
          <w:b/>
          <w:szCs w:val="24"/>
          <w:u w:val="single"/>
        </w:rPr>
      </w:pPr>
      <w:r w:rsidRPr="00272C05">
        <w:rPr>
          <w:rFonts w:eastAsia="Times New Roman"/>
          <w:b/>
          <w:szCs w:val="24"/>
          <w:u w:val="single"/>
        </w:rPr>
        <w:t>Page</w:t>
      </w:r>
    </w:p>
    <w:p w:rsidR="00C26CD5" w:rsidRDefault="005F28EE" w:rsidP="00C26CD5">
      <w:pPr>
        <w:pStyle w:val="TOC1"/>
        <w:tabs>
          <w:tab w:val="left" w:pos="540"/>
          <w:tab w:val="left" w:pos="1080"/>
        </w:tabs>
        <w:rPr>
          <w:rFonts w:asciiTheme="minorHAnsi" w:eastAsiaTheme="minorEastAsia" w:hAnsiTheme="minorHAnsi"/>
          <w:noProof/>
          <w:sz w:val="22"/>
        </w:rPr>
      </w:pPr>
      <w:r w:rsidRPr="005F28EE">
        <w:rPr>
          <w:rFonts w:eastAsia="Times New Roman"/>
          <w:szCs w:val="24"/>
        </w:rPr>
        <w:fldChar w:fldCharType="begin"/>
      </w:r>
      <w:r w:rsidR="00F23557">
        <w:rPr>
          <w:rFonts w:eastAsia="Times New Roman"/>
          <w:szCs w:val="24"/>
        </w:rPr>
        <w:instrText xml:space="preserve"> TOC \o "1-2" \h \z </w:instrText>
      </w:r>
      <w:r w:rsidRPr="005F28EE">
        <w:rPr>
          <w:rFonts w:eastAsia="Times New Roman"/>
          <w:szCs w:val="24"/>
        </w:rPr>
        <w:fldChar w:fldCharType="separate"/>
      </w:r>
      <w:hyperlink w:anchor="_Toc458774147" w:history="1">
        <w:r w:rsidR="00C26CD5">
          <w:rPr>
            <w:rStyle w:val="Hyperlink"/>
            <w:noProof/>
          </w:rPr>
          <w:t>I.</w:t>
        </w:r>
        <w:r w:rsidR="00C26CD5">
          <w:rPr>
            <w:rStyle w:val="Hyperlink"/>
            <w:noProof/>
          </w:rPr>
          <w:tab/>
        </w:r>
        <w:r w:rsidR="00C26CD5" w:rsidRPr="00A0307C">
          <w:rPr>
            <w:rStyle w:val="Hyperlink"/>
            <w:noProof/>
          </w:rPr>
          <w:t>SUMMARY</w:t>
        </w:r>
        <w:r w:rsidR="00C26CD5">
          <w:rPr>
            <w:noProof/>
            <w:webHidden/>
          </w:rPr>
          <w:tab/>
        </w:r>
        <w:r>
          <w:rPr>
            <w:noProof/>
            <w:webHidden/>
          </w:rPr>
          <w:fldChar w:fldCharType="begin"/>
        </w:r>
        <w:r w:rsidR="00C26CD5">
          <w:rPr>
            <w:noProof/>
            <w:webHidden/>
          </w:rPr>
          <w:instrText xml:space="preserve"> PAGEREF _Toc458774147 \h </w:instrText>
        </w:r>
        <w:r>
          <w:rPr>
            <w:noProof/>
            <w:webHidden/>
          </w:rPr>
        </w:r>
        <w:r>
          <w:rPr>
            <w:noProof/>
            <w:webHidden/>
          </w:rPr>
          <w:fldChar w:fldCharType="separate"/>
        </w:r>
        <w:r w:rsidR="005D4557">
          <w:rPr>
            <w:noProof/>
            <w:webHidden/>
          </w:rPr>
          <w:t>2</w:t>
        </w:r>
        <w:r>
          <w:rPr>
            <w:noProof/>
            <w:webHidden/>
          </w:rPr>
          <w:fldChar w:fldCharType="end"/>
        </w:r>
      </w:hyperlink>
    </w:p>
    <w:p w:rsidR="00C26CD5" w:rsidRDefault="005F28EE" w:rsidP="00C26CD5">
      <w:pPr>
        <w:pStyle w:val="TOC1"/>
        <w:tabs>
          <w:tab w:val="left" w:pos="540"/>
          <w:tab w:val="left" w:pos="1080"/>
        </w:tabs>
        <w:rPr>
          <w:rFonts w:asciiTheme="minorHAnsi" w:eastAsiaTheme="minorEastAsia" w:hAnsiTheme="minorHAnsi"/>
          <w:noProof/>
          <w:sz w:val="22"/>
        </w:rPr>
      </w:pPr>
      <w:hyperlink w:anchor="_Toc458774148" w:history="1">
        <w:r w:rsidR="00C26CD5">
          <w:rPr>
            <w:rStyle w:val="Hyperlink"/>
            <w:noProof/>
          </w:rPr>
          <w:t>II.</w:t>
        </w:r>
        <w:r w:rsidR="00C26CD5">
          <w:rPr>
            <w:rStyle w:val="Hyperlink"/>
            <w:noProof/>
          </w:rPr>
          <w:tab/>
        </w:r>
        <w:r w:rsidR="00C26CD5" w:rsidRPr="00A0307C">
          <w:rPr>
            <w:rStyle w:val="Hyperlink"/>
            <w:noProof/>
          </w:rPr>
          <w:t>RATE OF RETURN</w:t>
        </w:r>
        <w:r w:rsidR="00C26CD5">
          <w:rPr>
            <w:noProof/>
            <w:webHidden/>
          </w:rPr>
          <w:tab/>
        </w:r>
        <w:r>
          <w:rPr>
            <w:noProof/>
            <w:webHidden/>
          </w:rPr>
          <w:fldChar w:fldCharType="begin"/>
        </w:r>
        <w:r w:rsidR="00C26CD5">
          <w:rPr>
            <w:noProof/>
            <w:webHidden/>
          </w:rPr>
          <w:instrText xml:space="preserve"> PAGEREF _Toc458774148 \h </w:instrText>
        </w:r>
        <w:r>
          <w:rPr>
            <w:noProof/>
            <w:webHidden/>
          </w:rPr>
        </w:r>
        <w:r>
          <w:rPr>
            <w:noProof/>
            <w:webHidden/>
          </w:rPr>
          <w:fldChar w:fldCharType="separate"/>
        </w:r>
        <w:r w:rsidR="005D4557">
          <w:rPr>
            <w:noProof/>
            <w:webHidden/>
          </w:rPr>
          <w:t>2</w:t>
        </w:r>
        <w:r>
          <w:rPr>
            <w:noProof/>
            <w:webHidden/>
          </w:rPr>
          <w:fldChar w:fldCharType="end"/>
        </w:r>
      </w:hyperlink>
    </w:p>
    <w:p w:rsidR="00C26CD5" w:rsidRDefault="005F28EE" w:rsidP="00C26CD5">
      <w:pPr>
        <w:pStyle w:val="TOC1"/>
        <w:tabs>
          <w:tab w:val="left" w:pos="540"/>
          <w:tab w:val="left" w:pos="1260"/>
        </w:tabs>
        <w:ind w:left="540"/>
        <w:rPr>
          <w:rFonts w:asciiTheme="minorHAnsi" w:eastAsiaTheme="minorEastAsia" w:hAnsiTheme="minorHAnsi"/>
          <w:noProof/>
          <w:sz w:val="22"/>
        </w:rPr>
      </w:pPr>
      <w:hyperlink w:anchor="_Toc458774149" w:history="1">
        <w:r w:rsidR="00C26CD5" w:rsidRPr="00A0307C">
          <w:rPr>
            <w:rStyle w:val="Hyperlink"/>
            <w:noProof/>
          </w:rPr>
          <w:t>II.A.  Electric Industry Authorized Returns on Equity,</w:t>
        </w:r>
      </w:hyperlink>
      <w:r w:rsidR="00C26CD5">
        <w:rPr>
          <w:rFonts w:asciiTheme="minorHAnsi" w:eastAsiaTheme="minorEastAsia" w:hAnsiTheme="minorHAnsi"/>
          <w:noProof/>
          <w:sz w:val="22"/>
        </w:rPr>
        <w:t xml:space="preserve"> </w:t>
      </w:r>
    </w:p>
    <w:p w:rsidR="00C26CD5" w:rsidRDefault="005F28EE" w:rsidP="00C26CD5">
      <w:pPr>
        <w:pStyle w:val="TOC1"/>
        <w:tabs>
          <w:tab w:val="left" w:pos="540"/>
          <w:tab w:val="left" w:pos="1080"/>
        </w:tabs>
        <w:ind w:left="1080"/>
        <w:rPr>
          <w:rFonts w:asciiTheme="minorHAnsi" w:eastAsiaTheme="minorEastAsia" w:hAnsiTheme="minorHAnsi"/>
          <w:noProof/>
          <w:sz w:val="22"/>
        </w:rPr>
      </w:pPr>
      <w:hyperlink w:anchor="_Toc458774150" w:history="1">
        <w:r w:rsidR="00C26CD5" w:rsidRPr="00A0307C">
          <w:rPr>
            <w:rStyle w:val="Hyperlink"/>
            <w:noProof/>
          </w:rPr>
          <w:t>Access to Capital, and Credit Strength</w:t>
        </w:r>
        <w:r w:rsidR="00C26CD5">
          <w:rPr>
            <w:noProof/>
            <w:webHidden/>
          </w:rPr>
          <w:tab/>
        </w:r>
        <w:r>
          <w:rPr>
            <w:noProof/>
            <w:webHidden/>
          </w:rPr>
          <w:fldChar w:fldCharType="begin"/>
        </w:r>
        <w:r w:rsidR="00C26CD5">
          <w:rPr>
            <w:noProof/>
            <w:webHidden/>
          </w:rPr>
          <w:instrText xml:space="preserve"> PAGEREF _Toc458774150 \h </w:instrText>
        </w:r>
        <w:r>
          <w:rPr>
            <w:noProof/>
            <w:webHidden/>
          </w:rPr>
        </w:r>
        <w:r>
          <w:rPr>
            <w:noProof/>
            <w:webHidden/>
          </w:rPr>
          <w:fldChar w:fldCharType="separate"/>
        </w:r>
        <w:r w:rsidR="005D4557">
          <w:rPr>
            <w:noProof/>
            <w:webHidden/>
          </w:rPr>
          <w:t>3</w:t>
        </w:r>
        <w:r>
          <w:rPr>
            <w:noProof/>
            <w:webHidden/>
          </w:rPr>
          <w:fldChar w:fldCharType="end"/>
        </w:r>
      </w:hyperlink>
    </w:p>
    <w:p w:rsidR="00C26CD5" w:rsidRDefault="005F28EE" w:rsidP="00C26CD5">
      <w:pPr>
        <w:pStyle w:val="TOC1"/>
        <w:tabs>
          <w:tab w:val="left" w:pos="540"/>
          <w:tab w:val="left" w:pos="1260"/>
        </w:tabs>
        <w:ind w:left="540"/>
        <w:rPr>
          <w:rFonts w:asciiTheme="minorHAnsi" w:eastAsiaTheme="minorEastAsia" w:hAnsiTheme="minorHAnsi"/>
          <w:noProof/>
          <w:sz w:val="22"/>
        </w:rPr>
      </w:pPr>
      <w:hyperlink w:anchor="_Toc458774151" w:history="1">
        <w:r w:rsidR="00C26CD5" w:rsidRPr="00A0307C">
          <w:rPr>
            <w:rStyle w:val="Hyperlink"/>
            <w:noProof/>
          </w:rPr>
          <w:t>II.B.  Regulated Utility Industry Market Outlook</w:t>
        </w:r>
        <w:r w:rsidR="00C26CD5">
          <w:rPr>
            <w:noProof/>
            <w:webHidden/>
          </w:rPr>
          <w:tab/>
        </w:r>
        <w:r>
          <w:rPr>
            <w:noProof/>
            <w:webHidden/>
          </w:rPr>
          <w:fldChar w:fldCharType="begin"/>
        </w:r>
        <w:r w:rsidR="00C26CD5">
          <w:rPr>
            <w:noProof/>
            <w:webHidden/>
          </w:rPr>
          <w:instrText xml:space="preserve"> PAGEREF _Toc458774151 \h </w:instrText>
        </w:r>
        <w:r>
          <w:rPr>
            <w:noProof/>
            <w:webHidden/>
          </w:rPr>
        </w:r>
        <w:r>
          <w:rPr>
            <w:noProof/>
            <w:webHidden/>
          </w:rPr>
          <w:fldChar w:fldCharType="separate"/>
        </w:r>
        <w:r w:rsidR="005D4557">
          <w:rPr>
            <w:noProof/>
            <w:webHidden/>
          </w:rPr>
          <w:t>9</w:t>
        </w:r>
        <w:r>
          <w:rPr>
            <w:noProof/>
            <w:webHidden/>
          </w:rPr>
          <w:fldChar w:fldCharType="end"/>
        </w:r>
      </w:hyperlink>
    </w:p>
    <w:p w:rsidR="00C26CD5" w:rsidRDefault="005F28EE" w:rsidP="00C26CD5">
      <w:pPr>
        <w:pStyle w:val="TOC1"/>
        <w:tabs>
          <w:tab w:val="left" w:pos="540"/>
          <w:tab w:val="left" w:pos="1260"/>
        </w:tabs>
        <w:ind w:left="540"/>
        <w:rPr>
          <w:rFonts w:asciiTheme="minorHAnsi" w:eastAsiaTheme="minorEastAsia" w:hAnsiTheme="minorHAnsi"/>
          <w:noProof/>
          <w:sz w:val="22"/>
        </w:rPr>
      </w:pPr>
      <w:hyperlink w:anchor="_Toc458774152" w:history="1">
        <w:r w:rsidR="00C26CD5" w:rsidRPr="00A0307C">
          <w:rPr>
            <w:rStyle w:val="Hyperlink"/>
            <w:noProof/>
          </w:rPr>
          <w:t>II.C.  Avista Investment Risk</w:t>
        </w:r>
        <w:r w:rsidR="00C26CD5">
          <w:rPr>
            <w:noProof/>
            <w:webHidden/>
          </w:rPr>
          <w:tab/>
        </w:r>
        <w:r>
          <w:rPr>
            <w:noProof/>
            <w:webHidden/>
          </w:rPr>
          <w:fldChar w:fldCharType="begin"/>
        </w:r>
        <w:r w:rsidR="00C26CD5">
          <w:rPr>
            <w:noProof/>
            <w:webHidden/>
          </w:rPr>
          <w:instrText xml:space="preserve"> PAGEREF _Toc458774152 \h </w:instrText>
        </w:r>
        <w:r>
          <w:rPr>
            <w:noProof/>
            <w:webHidden/>
          </w:rPr>
        </w:r>
        <w:r>
          <w:rPr>
            <w:noProof/>
            <w:webHidden/>
          </w:rPr>
          <w:fldChar w:fldCharType="separate"/>
        </w:r>
        <w:r w:rsidR="005D4557">
          <w:rPr>
            <w:noProof/>
            <w:webHidden/>
          </w:rPr>
          <w:t>14</w:t>
        </w:r>
        <w:r>
          <w:rPr>
            <w:noProof/>
            <w:webHidden/>
          </w:rPr>
          <w:fldChar w:fldCharType="end"/>
        </w:r>
      </w:hyperlink>
    </w:p>
    <w:p w:rsidR="00C26CD5" w:rsidRDefault="005F28EE" w:rsidP="00C26CD5">
      <w:pPr>
        <w:pStyle w:val="TOC1"/>
        <w:tabs>
          <w:tab w:val="left" w:pos="540"/>
          <w:tab w:val="left" w:pos="1260"/>
        </w:tabs>
        <w:ind w:left="540"/>
        <w:rPr>
          <w:rFonts w:asciiTheme="minorHAnsi" w:eastAsiaTheme="minorEastAsia" w:hAnsiTheme="minorHAnsi"/>
          <w:noProof/>
          <w:sz w:val="22"/>
        </w:rPr>
      </w:pPr>
      <w:hyperlink w:anchor="_Toc458774153" w:history="1">
        <w:r w:rsidR="00C26CD5" w:rsidRPr="00A0307C">
          <w:rPr>
            <w:rStyle w:val="Hyperlink"/>
            <w:noProof/>
          </w:rPr>
          <w:t>II.D.  Avista’s Proposed Capital Structure</w:t>
        </w:r>
        <w:r w:rsidR="00C26CD5">
          <w:rPr>
            <w:noProof/>
            <w:webHidden/>
          </w:rPr>
          <w:tab/>
        </w:r>
        <w:r>
          <w:rPr>
            <w:noProof/>
            <w:webHidden/>
          </w:rPr>
          <w:fldChar w:fldCharType="begin"/>
        </w:r>
        <w:r w:rsidR="00C26CD5">
          <w:rPr>
            <w:noProof/>
            <w:webHidden/>
          </w:rPr>
          <w:instrText xml:space="preserve"> PAGEREF _Toc458774153 \h </w:instrText>
        </w:r>
        <w:r>
          <w:rPr>
            <w:noProof/>
            <w:webHidden/>
          </w:rPr>
        </w:r>
        <w:r>
          <w:rPr>
            <w:noProof/>
            <w:webHidden/>
          </w:rPr>
          <w:fldChar w:fldCharType="separate"/>
        </w:r>
        <w:r w:rsidR="005D4557">
          <w:rPr>
            <w:noProof/>
            <w:webHidden/>
          </w:rPr>
          <w:t>14</w:t>
        </w:r>
        <w:r>
          <w:rPr>
            <w:noProof/>
            <w:webHidden/>
          </w:rPr>
          <w:fldChar w:fldCharType="end"/>
        </w:r>
      </w:hyperlink>
    </w:p>
    <w:p w:rsidR="00C26CD5" w:rsidRDefault="005F28EE" w:rsidP="00C26CD5">
      <w:pPr>
        <w:pStyle w:val="TOC1"/>
        <w:tabs>
          <w:tab w:val="left" w:pos="540"/>
          <w:tab w:val="left" w:pos="1260"/>
        </w:tabs>
        <w:ind w:left="540"/>
        <w:rPr>
          <w:rFonts w:asciiTheme="minorHAnsi" w:eastAsiaTheme="minorEastAsia" w:hAnsiTheme="minorHAnsi"/>
          <w:noProof/>
          <w:sz w:val="22"/>
        </w:rPr>
      </w:pPr>
      <w:hyperlink w:anchor="_Toc458774154" w:history="1">
        <w:r w:rsidR="00C26CD5" w:rsidRPr="00A0307C">
          <w:rPr>
            <w:rStyle w:val="Hyperlink"/>
            <w:noProof/>
          </w:rPr>
          <w:t>II.E.  Embedded Cost of Debt</w:t>
        </w:r>
        <w:r w:rsidR="00C26CD5">
          <w:rPr>
            <w:noProof/>
            <w:webHidden/>
          </w:rPr>
          <w:tab/>
        </w:r>
        <w:r>
          <w:rPr>
            <w:noProof/>
            <w:webHidden/>
          </w:rPr>
          <w:fldChar w:fldCharType="begin"/>
        </w:r>
        <w:r w:rsidR="00C26CD5">
          <w:rPr>
            <w:noProof/>
            <w:webHidden/>
          </w:rPr>
          <w:instrText xml:space="preserve"> PAGEREF _Toc458774154 \h </w:instrText>
        </w:r>
        <w:r>
          <w:rPr>
            <w:noProof/>
            <w:webHidden/>
          </w:rPr>
        </w:r>
        <w:r>
          <w:rPr>
            <w:noProof/>
            <w:webHidden/>
          </w:rPr>
          <w:fldChar w:fldCharType="separate"/>
        </w:r>
        <w:r w:rsidR="005D4557">
          <w:rPr>
            <w:noProof/>
            <w:webHidden/>
          </w:rPr>
          <w:t>15</w:t>
        </w:r>
        <w:r>
          <w:rPr>
            <w:noProof/>
            <w:webHidden/>
          </w:rPr>
          <w:fldChar w:fldCharType="end"/>
        </w:r>
      </w:hyperlink>
    </w:p>
    <w:p w:rsidR="00C26CD5" w:rsidRDefault="005F28EE" w:rsidP="00C26CD5">
      <w:pPr>
        <w:pStyle w:val="TOC1"/>
        <w:tabs>
          <w:tab w:val="left" w:pos="540"/>
          <w:tab w:val="left" w:pos="1080"/>
        </w:tabs>
        <w:rPr>
          <w:rFonts w:asciiTheme="minorHAnsi" w:eastAsiaTheme="minorEastAsia" w:hAnsiTheme="minorHAnsi"/>
          <w:noProof/>
          <w:sz w:val="22"/>
        </w:rPr>
      </w:pPr>
      <w:hyperlink w:anchor="_Toc458774155" w:history="1">
        <w:r w:rsidR="00C26CD5">
          <w:rPr>
            <w:rStyle w:val="Hyperlink"/>
            <w:noProof/>
          </w:rPr>
          <w:t>III.</w:t>
        </w:r>
        <w:r w:rsidR="00C26CD5">
          <w:rPr>
            <w:rStyle w:val="Hyperlink"/>
            <w:noProof/>
          </w:rPr>
          <w:tab/>
        </w:r>
        <w:r w:rsidR="00C26CD5" w:rsidRPr="00A0307C">
          <w:rPr>
            <w:rStyle w:val="Hyperlink"/>
            <w:noProof/>
          </w:rPr>
          <w:t>RETURN ON EQUITY</w:t>
        </w:r>
        <w:r w:rsidR="00C26CD5">
          <w:rPr>
            <w:noProof/>
            <w:webHidden/>
          </w:rPr>
          <w:tab/>
        </w:r>
        <w:r>
          <w:rPr>
            <w:noProof/>
            <w:webHidden/>
          </w:rPr>
          <w:fldChar w:fldCharType="begin"/>
        </w:r>
        <w:r w:rsidR="00C26CD5">
          <w:rPr>
            <w:noProof/>
            <w:webHidden/>
          </w:rPr>
          <w:instrText xml:space="preserve"> PAGEREF _Toc458774155 \h </w:instrText>
        </w:r>
        <w:r>
          <w:rPr>
            <w:noProof/>
            <w:webHidden/>
          </w:rPr>
        </w:r>
        <w:r>
          <w:rPr>
            <w:noProof/>
            <w:webHidden/>
          </w:rPr>
          <w:fldChar w:fldCharType="separate"/>
        </w:r>
        <w:r w:rsidR="005D4557">
          <w:rPr>
            <w:noProof/>
            <w:webHidden/>
          </w:rPr>
          <w:t>15</w:t>
        </w:r>
        <w:r>
          <w:rPr>
            <w:noProof/>
            <w:webHidden/>
          </w:rPr>
          <w:fldChar w:fldCharType="end"/>
        </w:r>
      </w:hyperlink>
    </w:p>
    <w:p w:rsidR="00C26CD5" w:rsidRDefault="005F28EE" w:rsidP="00C26CD5">
      <w:pPr>
        <w:pStyle w:val="TOC1"/>
        <w:tabs>
          <w:tab w:val="left" w:pos="540"/>
          <w:tab w:val="left" w:pos="1080"/>
        </w:tabs>
        <w:ind w:left="540"/>
        <w:rPr>
          <w:rFonts w:asciiTheme="minorHAnsi" w:eastAsiaTheme="minorEastAsia" w:hAnsiTheme="minorHAnsi"/>
          <w:noProof/>
          <w:sz w:val="22"/>
        </w:rPr>
      </w:pPr>
      <w:hyperlink w:anchor="_Toc458774156" w:history="1">
        <w:r w:rsidR="00C26CD5" w:rsidRPr="00A0307C">
          <w:rPr>
            <w:rStyle w:val="Hyperlink"/>
            <w:noProof/>
          </w:rPr>
          <w:t>III.A.  Risk Proxy Group</w:t>
        </w:r>
        <w:r w:rsidR="00C26CD5">
          <w:rPr>
            <w:noProof/>
            <w:webHidden/>
          </w:rPr>
          <w:tab/>
        </w:r>
        <w:r>
          <w:rPr>
            <w:noProof/>
            <w:webHidden/>
          </w:rPr>
          <w:fldChar w:fldCharType="begin"/>
        </w:r>
        <w:r w:rsidR="00C26CD5">
          <w:rPr>
            <w:noProof/>
            <w:webHidden/>
          </w:rPr>
          <w:instrText xml:space="preserve"> PAGEREF _Toc458774156 \h </w:instrText>
        </w:r>
        <w:r>
          <w:rPr>
            <w:noProof/>
            <w:webHidden/>
          </w:rPr>
        </w:r>
        <w:r>
          <w:rPr>
            <w:noProof/>
            <w:webHidden/>
          </w:rPr>
          <w:fldChar w:fldCharType="separate"/>
        </w:r>
        <w:r w:rsidR="005D4557">
          <w:rPr>
            <w:noProof/>
            <w:webHidden/>
          </w:rPr>
          <w:t>17</w:t>
        </w:r>
        <w:r>
          <w:rPr>
            <w:noProof/>
            <w:webHidden/>
          </w:rPr>
          <w:fldChar w:fldCharType="end"/>
        </w:r>
      </w:hyperlink>
    </w:p>
    <w:p w:rsidR="00C26CD5" w:rsidRDefault="005F28EE" w:rsidP="00C26CD5">
      <w:pPr>
        <w:pStyle w:val="TOC1"/>
        <w:tabs>
          <w:tab w:val="left" w:pos="540"/>
          <w:tab w:val="left" w:pos="1080"/>
        </w:tabs>
        <w:ind w:left="540"/>
        <w:rPr>
          <w:rFonts w:asciiTheme="minorHAnsi" w:eastAsiaTheme="minorEastAsia" w:hAnsiTheme="minorHAnsi"/>
          <w:noProof/>
          <w:sz w:val="22"/>
        </w:rPr>
      </w:pPr>
      <w:hyperlink w:anchor="_Toc458774157" w:history="1">
        <w:r w:rsidR="00C26CD5" w:rsidRPr="00A0307C">
          <w:rPr>
            <w:rStyle w:val="Hyperlink"/>
            <w:noProof/>
          </w:rPr>
          <w:t>III.B.  Discounted Cash Flow Model</w:t>
        </w:r>
        <w:r w:rsidR="00C26CD5">
          <w:rPr>
            <w:noProof/>
            <w:webHidden/>
          </w:rPr>
          <w:tab/>
        </w:r>
        <w:r>
          <w:rPr>
            <w:noProof/>
            <w:webHidden/>
          </w:rPr>
          <w:fldChar w:fldCharType="begin"/>
        </w:r>
        <w:r w:rsidR="00C26CD5">
          <w:rPr>
            <w:noProof/>
            <w:webHidden/>
          </w:rPr>
          <w:instrText xml:space="preserve"> PAGEREF _Toc458774157 \h </w:instrText>
        </w:r>
        <w:r>
          <w:rPr>
            <w:noProof/>
            <w:webHidden/>
          </w:rPr>
        </w:r>
        <w:r>
          <w:rPr>
            <w:noProof/>
            <w:webHidden/>
          </w:rPr>
          <w:fldChar w:fldCharType="separate"/>
        </w:r>
        <w:r w:rsidR="005D4557">
          <w:rPr>
            <w:noProof/>
            <w:webHidden/>
          </w:rPr>
          <w:t>19</w:t>
        </w:r>
        <w:r>
          <w:rPr>
            <w:noProof/>
            <w:webHidden/>
          </w:rPr>
          <w:fldChar w:fldCharType="end"/>
        </w:r>
      </w:hyperlink>
    </w:p>
    <w:p w:rsidR="00C26CD5" w:rsidRDefault="005F28EE" w:rsidP="00C26CD5">
      <w:pPr>
        <w:pStyle w:val="TOC1"/>
        <w:tabs>
          <w:tab w:val="left" w:pos="540"/>
          <w:tab w:val="left" w:pos="1080"/>
        </w:tabs>
        <w:ind w:left="540"/>
        <w:rPr>
          <w:rFonts w:asciiTheme="minorHAnsi" w:eastAsiaTheme="minorEastAsia" w:hAnsiTheme="minorHAnsi"/>
          <w:noProof/>
          <w:sz w:val="22"/>
        </w:rPr>
      </w:pPr>
      <w:hyperlink w:anchor="_Toc458774158" w:history="1">
        <w:r w:rsidR="00C26CD5" w:rsidRPr="00A0307C">
          <w:rPr>
            <w:rStyle w:val="Hyperlink"/>
            <w:noProof/>
          </w:rPr>
          <w:t>III.C.  Sustainable Growth DCF</w:t>
        </w:r>
        <w:r w:rsidR="00C26CD5">
          <w:rPr>
            <w:noProof/>
            <w:webHidden/>
          </w:rPr>
          <w:tab/>
        </w:r>
        <w:r>
          <w:rPr>
            <w:noProof/>
            <w:webHidden/>
          </w:rPr>
          <w:fldChar w:fldCharType="begin"/>
        </w:r>
        <w:r w:rsidR="00C26CD5">
          <w:rPr>
            <w:noProof/>
            <w:webHidden/>
          </w:rPr>
          <w:instrText xml:space="preserve"> PAGEREF _Toc458774158 \h </w:instrText>
        </w:r>
        <w:r>
          <w:rPr>
            <w:noProof/>
            <w:webHidden/>
          </w:rPr>
        </w:r>
        <w:r>
          <w:rPr>
            <w:noProof/>
            <w:webHidden/>
          </w:rPr>
          <w:fldChar w:fldCharType="separate"/>
        </w:r>
        <w:r w:rsidR="005D4557">
          <w:rPr>
            <w:noProof/>
            <w:webHidden/>
          </w:rPr>
          <w:t>23</w:t>
        </w:r>
        <w:r>
          <w:rPr>
            <w:noProof/>
            <w:webHidden/>
          </w:rPr>
          <w:fldChar w:fldCharType="end"/>
        </w:r>
      </w:hyperlink>
    </w:p>
    <w:p w:rsidR="00C26CD5" w:rsidRDefault="005F28EE" w:rsidP="00C26CD5">
      <w:pPr>
        <w:pStyle w:val="TOC1"/>
        <w:tabs>
          <w:tab w:val="left" w:pos="540"/>
          <w:tab w:val="left" w:pos="1080"/>
        </w:tabs>
        <w:ind w:left="540"/>
        <w:rPr>
          <w:rFonts w:asciiTheme="minorHAnsi" w:eastAsiaTheme="minorEastAsia" w:hAnsiTheme="minorHAnsi"/>
          <w:noProof/>
          <w:sz w:val="22"/>
        </w:rPr>
      </w:pPr>
      <w:hyperlink w:anchor="_Toc458774159" w:history="1">
        <w:r w:rsidR="00C26CD5" w:rsidRPr="00A0307C">
          <w:rPr>
            <w:rStyle w:val="Hyperlink"/>
            <w:noProof/>
          </w:rPr>
          <w:t>III.D.  Multi-Stage Growth DCF Model</w:t>
        </w:r>
        <w:r w:rsidR="00C26CD5">
          <w:rPr>
            <w:noProof/>
            <w:webHidden/>
          </w:rPr>
          <w:tab/>
        </w:r>
        <w:r>
          <w:rPr>
            <w:noProof/>
            <w:webHidden/>
          </w:rPr>
          <w:fldChar w:fldCharType="begin"/>
        </w:r>
        <w:r w:rsidR="00C26CD5">
          <w:rPr>
            <w:noProof/>
            <w:webHidden/>
          </w:rPr>
          <w:instrText xml:space="preserve"> PAGEREF _Toc458774159 \h </w:instrText>
        </w:r>
        <w:r>
          <w:rPr>
            <w:noProof/>
            <w:webHidden/>
          </w:rPr>
        </w:r>
        <w:r>
          <w:rPr>
            <w:noProof/>
            <w:webHidden/>
          </w:rPr>
          <w:fldChar w:fldCharType="separate"/>
        </w:r>
        <w:r w:rsidR="005D4557">
          <w:rPr>
            <w:noProof/>
            <w:webHidden/>
          </w:rPr>
          <w:t>24</w:t>
        </w:r>
        <w:r>
          <w:rPr>
            <w:noProof/>
            <w:webHidden/>
          </w:rPr>
          <w:fldChar w:fldCharType="end"/>
        </w:r>
      </w:hyperlink>
    </w:p>
    <w:p w:rsidR="00C26CD5" w:rsidRDefault="005F28EE" w:rsidP="00C26CD5">
      <w:pPr>
        <w:pStyle w:val="TOC1"/>
        <w:tabs>
          <w:tab w:val="left" w:pos="540"/>
          <w:tab w:val="left" w:pos="1080"/>
        </w:tabs>
        <w:ind w:left="540"/>
        <w:rPr>
          <w:rFonts w:asciiTheme="minorHAnsi" w:eastAsiaTheme="minorEastAsia" w:hAnsiTheme="minorHAnsi"/>
          <w:noProof/>
          <w:sz w:val="22"/>
        </w:rPr>
      </w:pPr>
      <w:hyperlink w:anchor="_Toc458774160" w:history="1">
        <w:r w:rsidR="00C26CD5" w:rsidRPr="00A0307C">
          <w:rPr>
            <w:rStyle w:val="Hyperlink"/>
            <w:noProof/>
          </w:rPr>
          <w:t>III.E.  Risk Premium Model</w:t>
        </w:r>
        <w:r w:rsidR="00C26CD5">
          <w:rPr>
            <w:noProof/>
            <w:webHidden/>
          </w:rPr>
          <w:tab/>
        </w:r>
        <w:r>
          <w:rPr>
            <w:noProof/>
            <w:webHidden/>
          </w:rPr>
          <w:fldChar w:fldCharType="begin"/>
        </w:r>
        <w:r w:rsidR="00C26CD5">
          <w:rPr>
            <w:noProof/>
            <w:webHidden/>
          </w:rPr>
          <w:instrText xml:space="preserve"> PAGEREF _Toc458774160 \h </w:instrText>
        </w:r>
        <w:r>
          <w:rPr>
            <w:noProof/>
            <w:webHidden/>
          </w:rPr>
        </w:r>
        <w:r>
          <w:rPr>
            <w:noProof/>
            <w:webHidden/>
          </w:rPr>
          <w:fldChar w:fldCharType="separate"/>
        </w:r>
        <w:r w:rsidR="005D4557">
          <w:rPr>
            <w:noProof/>
            <w:webHidden/>
          </w:rPr>
          <w:t>32</w:t>
        </w:r>
        <w:r>
          <w:rPr>
            <w:noProof/>
            <w:webHidden/>
          </w:rPr>
          <w:fldChar w:fldCharType="end"/>
        </w:r>
      </w:hyperlink>
    </w:p>
    <w:p w:rsidR="00C26CD5" w:rsidRDefault="005F28EE" w:rsidP="00C26CD5">
      <w:pPr>
        <w:pStyle w:val="TOC1"/>
        <w:tabs>
          <w:tab w:val="left" w:pos="540"/>
          <w:tab w:val="left" w:pos="1080"/>
        </w:tabs>
        <w:ind w:left="540"/>
        <w:rPr>
          <w:rFonts w:asciiTheme="minorHAnsi" w:eastAsiaTheme="minorEastAsia" w:hAnsiTheme="minorHAnsi"/>
          <w:noProof/>
          <w:sz w:val="22"/>
        </w:rPr>
      </w:pPr>
      <w:hyperlink w:anchor="_Toc458774161" w:history="1">
        <w:r w:rsidR="00C26CD5" w:rsidRPr="00A0307C">
          <w:rPr>
            <w:rStyle w:val="Hyperlink"/>
            <w:noProof/>
          </w:rPr>
          <w:t>III.F.  Capital Asset Pricing Model (“CAPM”)</w:t>
        </w:r>
        <w:r w:rsidR="00C26CD5">
          <w:rPr>
            <w:noProof/>
            <w:webHidden/>
          </w:rPr>
          <w:tab/>
        </w:r>
        <w:r>
          <w:rPr>
            <w:noProof/>
            <w:webHidden/>
          </w:rPr>
          <w:fldChar w:fldCharType="begin"/>
        </w:r>
        <w:r w:rsidR="00C26CD5">
          <w:rPr>
            <w:noProof/>
            <w:webHidden/>
          </w:rPr>
          <w:instrText xml:space="preserve"> PAGEREF _Toc458774161 \h </w:instrText>
        </w:r>
        <w:r>
          <w:rPr>
            <w:noProof/>
            <w:webHidden/>
          </w:rPr>
        </w:r>
        <w:r>
          <w:rPr>
            <w:noProof/>
            <w:webHidden/>
          </w:rPr>
          <w:fldChar w:fldCharType="separate"/>
        </w:r>
        <w:r w:rsidR="005D4557">
          <w:rPr>
            <w:noProof/>
            <w:webHidden/>
          </w:rPr>
          <w:t>39</w:t>
        </w:r>
        <w:r>
          <w:rPr>
            <w:noProof/>
            <w:webHidden/>
          </w:rPr>
          <w:fldChar w:fldCharType="end"/>
        </w:r>
      </w:hyperlink>
    </w:p>
    <w:p w:rsidR="00C26CD5" w:rsidRDefault="005F28EE" w:rsidP="00C26CD5">
      <w:pPr>
        <w:pStyle w:val="TOC1"/>
        <w:tabs>
          <w:tab w:val="left" w:pos="540"/>
          <w:tab w:val="left" w:pos="1080"/>
        </w:tabs>
        <w:ind w:left="540"/>
        <w:rPr>
          <w:rFonts w:asciiTheme="minorHAnsi" w:eastAsiaTheme="minorEastAsia" w:hAnsiTheme="minorHAnsi"/>
          <w:noProof/>
          <w:sz w:val="22"/>
        </w:rPr>
      </w:pPr>
      <w:hyperlink w:anchor="_Toc458774162" w:history="1">
        <w:r w:rsidR="00C26CD5" w:rsidRPr="00A0307C">
          <w:rPr>
            <w:rStyle w:val="Hyperlink"/>
            <w:noProof/>
          </w:rPr>
          <w:t>III.G.  Return on Equity Summary</w:t>
        </w:r>
        <w:r w:rsidR="00C26CD5">
          <w:rPr>
            <w:noProof/>
            <w:webHidden/>
          </w:rPr>
          <w:tab/>
        </w:r>
        <w:r>
          <w:rPr>
            <w:noProof/>
            <w:webHidden/>
          </w:rPr>
          <w:fldChar w:fldCharType="begin"/>
        </w:r>
        <w:r w:rsidR="00C26CD5">
          <w:rPr>
            <w:noProof/>
            <w:webHidden/>
          </w:rPr>
          <w:instrText xml:space="preserve"> PAGEREF _Toc458774162 \h </w:instrText>
        </w:r>
        <w:r>
          <w:rPr>
            <w:noProof/>
            <w:webHidden/>
          </w:rPr>
        </w:r>
        <w:r>
          <w:rPr>
            <w:noProof/>
            <w:webHidden/>
          </w:rPr>
          <w:fldChar w:fldCharType="separate"/>
        </w:r>
        <w:r w:rsidR="005D4557">
          <w:rPr>
            <w:noProof/>
            <w:webHidden/>
          </w:rPr>
          <w:t>44</w:t>
        </w:r>
        <w:r>
          <w:rPr>
            <w:noProof/>
            <w:webHidden/>
          </w:rPr>
          <w:fldChar w:fldCharType="end"/>
        </w:r>
      </w:hyperlink>
    </w:p>
    <w:p w:rsidR="00C26CD5" w:rsidRDefault="005F28EE" w:rsidP="00C26CD5">
      <w:pPr>
        <w:pStyle w:val="TOC1"/>
        <w:tabs>
          <w:tab w:val="left" w:pos="540"/>
          <w:tab w:val="left" w:pos="1080"/>
        </w:tabs>
        <w:ind w:left="540"/>
        <w:rPr>
          <w:rFonts w:asciiTheme="minorHAnsi" w:eastAsiaTheme="minorEastAsia" w:hAnsiTheme="minorHAnsi"/>
          <w:noProof/>
          <w:sz w:val="22"/>
        </w:rPr>
      </w:pPr>
      <w:hyperlink w:anchor="_Toc458774163" w:history="1">
        <w:r w:rsidR="00C26CD5" w:rsidRPr="00A0307C">
          <w:rPr>
            <w:rStyle w:val="Hyperlink"/>
            <w:noProof/>
          </w:rPr>
          <w:t>III.H.  Financial Integrity</w:t>
        </w:r>
        <w:r w:rsidR="00C26CD5">
          <w:rPr>
            <w:noProof/>
            <w:webHidden/>
          </w:rPr>
          <w:tab/>
        </w:r>
        <w:r>
          <w:rPr>
            <w:noProof/>
            <w:webHidden/>
          </w:rPr>
          <w:fldChar w:fldCharType="begin"/>
        </w:r>
        <w:r w:rsidR="00C26CD5">
          <w:rPr>
            <w:noProof/>
            <w:webHidden/>
          </w:rPr>
          <w:instrText xml:space="preserve"> PAGEREF _Toc458774163 \h </w:instrText>
        </w:r>
        <w:r>
          <w:rPr>
            <w:noProof/>
            <w:webHidden/>
          </w:rPr>
        </w:r>
        <w:r>
          <w:rPr>
            <w:noProof/>
            <w:webHidden/>
          </w:rPr>
          <w:fldChar w:fldCharType="separate"/>
        </w:r>
        <w:r w:rsidR="005D4557">
          <w:rPr>
            <w:noProof/>
            <w:webHidden/>
          </w:rPr>
          <w:t>45</w:t>
        </w:r>
        <w:r>
          <w:rPr>
            <w:noProof/>
            <w:webHidden/>
          </w:rPr>
          <w:fldChar w:fldCharType="end"/>
        </w:r>
      </w:hyperlink>
    </w:p>
    <w:p w:rsidR="00C26CD5" w:rsidRDefault="005F28EE" w:rsidP="00C26CD5">
      <w:pPr>
        <w:pStyle w:val="TOC1"/>
        <w:tabs>
          <w:tab w:val="left" w:pos="540"/>
          <w:tab w:val="left" w:pos="1080"/>
        </w:tabs>
        <w:rPr>
          <w:rFonts w:asciiTheme="minorHAnsi" w:eastAsiaTheme="minorEastAsia" w:hAnsiTheme="minorHAnsi"/>
          <w:noProof/>
          <w:sz w:val="22"/>
        </w:rPr>
      </w:pPr>
      <w:hyperlink w:anchor="_Toc458774164" w:history="1">
        <w:r w:rsidR="00C26CD5">
          <w:rPr>
            <w:rStyle w:val="Hyperlink"/>
            <w:noProof/>
          </w:rPr>
          <w:t>IV.</w:t>
        </w:r>
        <w:r w:rsidR="00C26CD5">
          <w:rPr>
            <w:rStyle w:val="Hyperlink"/>
            <w:noProof/>
          </w:rPr>
          <w:tab/>
        </w:r>
        <w:r w:rsidR="00C26CD5" w:rsidRPr="00A0307C">
          <w:rPr>
            <w:rStyle w:val="Hyperlink"/>
            <w:noProof/>
          </w:rPr>
          <w:t>RESPONSE TO AVISTA WITNESS MR. ADRIEN MCKENZIE</w:t>
        </w:r>
        <w:r w:rsidR="00C26CD5">
          <w:rPr>
            <w:noProof/>
            <w:webHidden/>
          </w:rPr>
          <w:tab/>
        </w:r>
        <w:r>
          <w:rPr>
            <w:noProof/>
            <w:webHidden/>
          </w:rPr>
          <w:fldChar w:fldCharType="begin"/>
        </w:r>
        <w:r w:rsidR="00C26CD5">
          <w:rPr>
            <w:noProof/>
            <w:webHidden/>
          </w:rPr>
          <w:instrText xml:space="preserve"> PAGEREF _Toc458774164 \h </w:instrText>
        </w:r>
        <w:r>
          <w:rPr>
            <w:noProof/>
            <w:webHidden/>
          </w:rPr>
        </w:r>
        <w:r>
          <w:rPr>
            <w:noProof/>
            <w:webHidden/>
          </w:rPr>
          <w:fldChar w:fldCharType="separate"/>
        </w:r>
        <w:r w:rsidR="005D4557">
          <w:rPr>
            <w:noProof/>
            <w:webHidden/>
          </w:rPr>
          <w:t>48</w:t>
        </w:r>
        <w:r>
          <w:rPr>
            <w:noProof/>
            <w:webHidden/>
          </w:rPr>
          <w:fldChar w:fldCharType="end"/>
        </w:r>
      </w:hyperlink>
    </w:p>
    <w:p w:rsidR="00C26CD5" w:rsidRDefault="005F28EE" w:rsidP="00C26CD5">
      <w:pPr>
        <w:pStyle w:val="TOC1"/>
        <w:tabs>
          <w:tab w:val="left" w:pos="540"/>
          <w:tab w:val="left" w:pos="1080"/>
        </w:tabs>
        <w:ind w:left="540"/>
        <w:rPr>
          <w:rFonts w:asciiTheme="minorHAnsi" w:eastAsiaTheme="minorEastAsia" w:hAnsiTheme="minorHAnsi"/>
          <w:noProof/>
          <w:sz w:val="22"/>
        </w:rPr>
      </w:pPr>
      <w:hyperlink w:anchor="_Toc458774165" w:history="1">
        <w:r w:rsidR="00C26CD5" w:rsidRPr="00A0307C">
          <w:rPr>
            <w:rStyle w:val="Hyperlink"/>
            <w:noProof/>
          </w:rPr>
          <w:t>IV.A.  Summary of Rebuttal</w:t>
        </w:r>
        <w:r w:rsidR="00C26CD5">
          <w:rPr>
            <w:noProof/>
            <w:webHidden/>
          </w:rPr>
          <w:tab/>
        </w:r>
        <w:r>
          <w:rPr>
            <w:noProof/>
            <w:webHidden/>
          </w:rPr>
          <w:fldChar w:fldCharType="begin"/>
        </w:r>
        <w:r w:rsidR="00C26CD5">
          <w:rPr>
            <w:noProof/>
            <w:webHidden/>
          </w:rPr>
          <w:instrText xml:space="preserve"> PAGEREF _Toc458774165 \h </w:instrText>
        </w:r>
        <w:r>
          <w:rPr>
            <w:noProof/>
            <w:webHidden/>
          </w:rPr>
        </w:r>
        <w:r>
          <w:rPr>
            <w:noProof/>
            <w:webHidden/>
          </w:rPr>
          <w:fldChar w:fldCharType="separate"/>
        </w:r>
        <w:r w:rsidR="005D4557">
          <w:rPr>
            <w:noProof/>
            <w:webHidden/>
          </w:rPr>
          <w:t>48</w:t>
        </w:r>
        <w:r>
          <w:rPr>
            <w:noProof/>
            <w:webHidden/>
          </w:rPr>
          <w:fldChar w:fldCharType="end"/>
        </w:r>
      </w:hyperlink>
    </w:p>
    <w:p w:rsidR="00C26CD5" w:rsidRDefault="005F28EE" w:rsidP="00C26CD5">
      <w:pPr>
        <w:pStyle w:val="TOC1"/>
        <w:tabs>
          <w:tab w:val="left" w:pos="540"/>
          <w:tab w:val="left" w:pos="1080"/>
        </w:tabs>
        <w:ind w:left="540"/>
        <w:rPr>
          <w:rFonts w:asciiTheme="minorHAnsi" w:eastAsiaTheme="minorEastAsia" w:hAnsiTheme="minorHAnsi"/>
          <w:noProof/>
          <w:sz w:val="22"/>
        </w:rPr>
      </w:pPr>
      <w:hyperlink w:anchor="_Toc458774166" w:history="1">
        <w:r w:rsidR="00C26CD5" w:rsidRPr="00A0307C">
          <w:rPr>
            <w:rStyle w:val="Hyperlink"/>
            <w:noProof/>
          </w:rPr>
          <w:t>IV.B.  Flotation Costs</w:t>
        </w:r>
        <w:r w:rsidR="00C26CD5">
          <w:rPr>
            <w:noProof/>
            <w:webHidden/>
          </w:rPr>
          <w:tab/>
        </w:r>
        <w:r>
          <w:rPr>
            <w:noProof/>
            <w:webHidden/>
          </w:rPr>
          <w:fldChar w:fldCharType="begin"/>
        </w:r>
        <w:r w:rsidR="00C26CD5">
          <w:rPr>
            <w:noProof/>
            <w:webHidden/>
          </w:rPr>
          <w:instrText xml:space="preserve"> PAGEREF _Toc458774166 \h </w:instrText>
        </w:r>
        <w:r>
          <w:rPr>
            <w:noProof/>
            <w:webHidden/>
          </w:rPr>
        </w:r>
        <w:r>
          <w:rPr>
            <w:noProof/>
            <w:webHidden/>
          </w:rPr>
          <w:fldChar w:fldCharType="separate"/>
        </w:r>
        <w:r w:rsidR="005D4557">
          <w:rPr>
            <w:noProof/>
            <w:webHidden/>
          </w:rPr>
          <w:t>49</w:t>
        </w:r>
        <w:r>
          <w:rPr>
            <w:noProof/>
            <w:webHidden/>
          </w:rPr>
          <w:fldChar w:fldCharType="end"/>
        </w:r>
      </w:hyperlink>
    </w:p>
    <w:p w:rsidR="00C26CD5" w:rsidRDefault="005F28EE" w:rsidP="00C26CD5">
      <w:pPr>
        <w:pStyle w:val="TOC1"/>
        <w:tabs>
          <w:tab w:val="left" w:pos="540"/>
          <w:tab w:val="left" w:pos="1080"/>
        </w:tabs>
        <w:ind w:left="540"/>
        <w:rPr>
          <w:rFonts w:asciiTheme="minorHAnsi" w:eastAsiaTheme="minorEastAsia" w:hAnsiTheme="minorHAnsi"/>
          <w:noProof/>
          <w:sz w:val="22"/>
        </w:rPr>
      </w:pPr>
      <w:hyperlink w:anchor="_Toc458774167" w:history="1">
        <w:r w:rsidR="00C26CD5" w:rsidRPr="00A0307C">
          <w:rPr>
            <w:rStyle w:val="Hyperlink"/>
            <w:noProof/>
          </w:rPr>
          <w:t>IV.C.  Return on Equity</w:t>
        </w:r>
        <w:r w:rsidR="00C26CD5">
          <w:rPr>
            <w:noProof/>
            <w:webHidden/>
          </w:rPr>
          <w:tab/>
        </w:r>
        <w:r>
          <w:rPr>
            <w:noProof/>
            <w:webHidden/>
          </w:rPr>
          <w:fldChar w:fldCharType="begin"/>
        </w:r>
        <w:r w:rsidR="00C26CD5">
          <w:rPr>
            <w:noProof/>
            <w:webHidden/>
          </w:rPr>
          <w:instrText xml:space="preserve"> PAGEREF _Toc458774167 \h </w:instrText>
        </w:r>
        <w:r>
          <w:rPr>
            <w:noProof/>
            <w:webHidden/>
          </w:rPr>
        </w:r>
        <w:r>
          <w:rPr>
            <w:noProof/>
            <w:webHidden/>
          </w:rPr>
          <w:fldChar w:fldCharType="separate"/>
        </w:r>
        <w:r w:rsidR="005D4557">
          <w:rPr>
            <w:noProof/>
            <w:webHidden/>
          </w:rPr>
          <w:t>50</w:t>
        </w:r>
        <w:r>
          <w:rPr>
            <w:noProof/>
            <w:webHidden/>
          </w:rPr>
          <w:fldChar w:fldCharType="end"/>
        </w:r>
      </w:hyperlink>
    </w:p>
    <w:p w:rsidR="00F23557" w:rsidRDefault="005F28EE" w:rsidP="00C26CD5">
      <w:pPr>
        <w:suppressLineNumbers/>
        <w:tabs>
          <w:tab w:val="left" w:pos="540"/>
          <w:tab w:val="left" w:pos="1080"/>
        </w:tabs>
        <w:spacing w:after="0"/>
        <w:rPr>
          <w:rFonts w:eastAsia="Times New Roman"/>
          <w:color w:val="000000"/>
          <w:szCs w:val="24"/>
        </w:rPr>
      </w:pPr>
      <w:r>
        <w:rPr>
          <w:rFonts w:eastAsia="Times New Roman"/>
          <w:color w:val="000000"/>
          <w:szCs w:val="24"/>
        </w:rPr>
        <w:fldChar w:fldCharType="end"/>
      </w:r>
      <w:r w:rsidR="00F23557" w:rsidRPr="00272C05">
        <w:rPr>
          <w:rFonts w:eastAsia="Times New Roman"/>
          <w:color w:val="000000"/>
          <w:szCs w:val="24"/>
        </w:rPr>
        <w:t>Exhibit No</w:t>
      </w:r>
      <w:proofErr w:type="gramStart"/>
      <w:r w:rsidR="00F23557" w:rsidRPr="00272C05">
        <w:rPr>
          <w:rFonts w:eastAsia="Times New Roman"/>
          <w:color w:val="000000"/>
          <w:szCs w:val="24"/>
        </w:rPr>
        <w:t>.</w:t>
      </w:r>
      <w:r w:rsidR="00F23557">
        <w:rPr>
          <w:rFonts w:eastAsia="Times New Roman"/>
          <w:color w:val="000000"/>
          <w:szCs w:val="24"/>
        </w:rPr>
        <w:t xml:space="preserve"> </w:t>
      </w:r>
      <w:proofErr w:type="gramEnd"/>
      <w:r w:rsidR="00F23557">
        <w:rPr>
          <w:rFonts w:eastAsia="Times New Roman"/>
          <w:color w:val="000000"/>
          <w:szCs w:val="24"/>
        </w:rPr>
        <w:t>MPG</w:t>
      </w:r>
      <w:r w:rsidR="00F23557" w:rsidRPr="00272C05">
        <w:rPr>
          <w:rFonts w:eastAsia="Times New Roman"/>
          <w:color w:val="000000"/>
          <w:szCs w:val="24"/>
        </w:rPr>
        <w:t>-2</w:t>
      </w:r>
      <w:r w:rsidR="00F23557">
        <w:rPr>
          <w:rFonts w:eastAsia="Times New Roman"/>
          <w:color w:val="000000"/>
          <w:szCs w:val="24"/>
        </w:rPr>
        <w:t xml:space="preserve">:  </w:t>
      </w:r>
      <w:r w:rsidR="00F23557" w:rsidRPr="00272C05">
        <w:rPr>
          <w:rFonts w:eastAsia="Times New Roman"/>
          <w:color w:val="000000"/>
          <w:szCs w:val="24"/>
        </w:rPr>
        <w:t xml:space="preserve">Qualifications of </w:t>
      </w:r>
      <w:r w:rsidR="00F23557">
        <w:rPr>
          <w:rFonts w:eastAsia="Times New Roman"/>
          <w:color w:val="000000"/>
          <w:szCs w:val="24"/>
        </w:rPr>
        <w:t>Michael P. Gorman</w:t>
      </w:r>
    </w:p>
    <w:p w:rsidR="00F23557" w:rsidRDefault="00F23557" w:rsidP="00F23557">
      <w:pPr>
        <w:suppressLineNumbers/>
        <w:tabs>
          <w:tab w:val="left" w:pos="1080"/>
        </w:tabs>
        <w:spacing w:after="0"/>
        <w:rPr>
          <w:rFonts w:eastAsia="Times New Roman"/>
          <w:color w:val="000000"/>
          <w:szCs w:val="24"/>
        </w:rPr>
      </w:pPr>
      <w:r w:rsidRPr="00272C05">
        <w:rPr>
          <w:rFonts w:eastAsia="Times New Roman"/>
          <w:color w:val="000000"/>
          <w:szCs w:val="24"/>
        </w:rPr>
        <w:t>Exhibit No</w:t>
      </w:r>
      <w:proofErr w:type="gramStart"/>
      <w:r w:rsidRPr="00272C05">
        <w:rPr>
          <w:rFonts w:eastAsia="Times New Roman"/>
          <w:color w:val="000000"/>
          <w:szCs w:val="24"/>
        </w:rPr>
        <w:t>.</w:t>
      </w:r>
      <w:r>
        <w:rPr>
          <w:rFonts w:eastAsia="Times New Roman"/>
          <w:color w:val="000000"/>
          <w:szCs w:val="24"/>
        </w:rPr>
        <w:t xml:space="preserve"> </w:t>
      </w:r>
      <w:proofErr w:type="gramEnd"/>
      <w:r>
        <w:rPr>
          <w:rFonts w:eastAsia="Times New Roman"/>
          <w:color w:val="000000"/>
          <w:szCs w:val="24"/>
        </w:rPr>
        <w:t>MPG-3:  Rate of Return</w:t>
      </w:r>
    </w:p>
    <w:p w:rsidR="00F23557" w:rsidRDefault="00F23557" w:rsidP="00F23557">
      <w:pPr>
        <w:suppressLineNumbers/>
        <w:tabs>
          <w:tab w:val="left" w:pos="1080"/>
        </w:tabs>
        <w:spacing w:after="0"/>
        <w:rPr>
          <w:rFonts w:eastAsia="Times New Roman"/>
          <w:color w:val="000000"/>
          <w:szCs w:val="24"/>
        </w:rPr>
      </w:pPr>
      <w:r w:rsidRPr="00272C05">
        <w:rPr>
          <w:rFonts w:eastAsia="Times New Roman"/>
          <w:color w:val="000000"/>
          <w:szCs w:val="24"/>
        </w:rPr>
        <w:t>Exhibit No</w:t>
      </w:r>
      <w:proofErr w:type="gramStart"/>
      <w:r w:rsidRPr="00272C05">
        <w:rPr>
          <w:rFonts w:eastAsia="Times New Roman"/>
          <w:color w:val="000000"/>
          <w:szCs w:val="24"/>
        </w:rPr>
        <w:t>.</w:t>
      </w:r>
      <w:r>
        <w:rPr>
          <w:rFonts w:eastAsia="Times New Roman"/>
          <w:color w:val="000000"/>
          <w:szCs w:val="24"/>
        </w:rPr>
        <w:t xml:space="preserve"> </w:t>
      </w:r>
      <w:proofErr w:type="gramEnd"/>
      <w:r>
        <w:rPr>
          <w:rFonts w:eastAsia="Times New Roman"/>
          <w:color w:val="000000"/>
          <w:szCs w:val="24"/>
        </w:rPr>
        <w:t>MPG-4:  Valuation Metrics</w:t>
      </w:r>
    </w:p>
    <w:p w:rsidR="00F23557" w:rsidRDefault="00F23557" w:rsidP="00F23557">
      <w:pPr>
        <w:suppressLineNumbers/>
        <w:tabs>
          <w:tab w:val="left" w:pos="1080"/>
        </w:tabs>
        <w:spacing w:after="0"/>
        <w:rPr>
          <w:rFonts w:eastAsia="Times New Roman"/>
          <w:color w:val="000000"/>
          <w:szCs w:val="24"/>
        </w:rPr>
      </w:pPr>
      <w:r w:rsidRPr="00272C05">
        <w:rPr>
          <w:rFonts w:eastAsia="Times New Roman"/>
          <w:color w:val="000000"/>
          <w:szCs w:val="24"/>
        </w:rPr>
        <w:t>Exhibit No</w:t>
      </w:r>
      <w:proofErr w:type="gramStart"/>
      <w:r w:rsidRPr="00272C05">
        <w:rPr>
          <w:rFonts w:eastAsia="Times New Roman"/>
          <w:color w:val="000000"/>
          <w:szCs w:val="24"/>
        </w:rPr>
        <w:t>.</w:t>
      </w:r>
      <w:r>
        <w:rPr>
          <w:rFonts w:eastAsia="Times New Roman"/>
          <w:color w:val="000000"/>
          <w:szCs w:val="24"/>
        </w:rPr>
        <w:t xml:space="preserve"> </w:t>
      </w:r>
      <w:proofErr w:type="gramEnd"/>
      <w:r>
        <w:rPr>
          <w:rFonts w:eastAsia="Times New Roman"/>
          <w:color w:val="000000"/>
          <w:szCs w:val="24"/>
        </w:rPr>
        <w:t>MPG-5:  Proxy Group</w:t>
      </w:r>
    </w:p>
    <w:p w:rsidR="00F23557" w:rsidRDefault="00F23557" w:rsidP="00F23557">
      <w:pPr>
        <w:suppressLineNumbers/>
        <w:tabs>
          <w:tab w:val="left" w:pos="1080"/>
        </w:tabs>
        <w:spacing w:after="0"/>
        <w:rPr>
          <w:rFonts w:eastAsia="Times New Roman"/>
          <w:color w:val="000000"/>
          <w:szCs w:val="24"/>
        </w:rPr>
      </w:pPr>
      <w:r w:rsidRPr="00272C05">
        <w:rPr>
          <w:rFonts w:eastAsia="Times New Roman"/>
          <w:color w:val="000000"/>
          <w:szCs w:val="24"/>
        </w:rPr>
        <w:t>Exhibit No</w:t>
      </w:r>
      <w:proofErr w:type="gramStart"/>
      <w:r w:rsidRPr="00272C05">
        <w:rPr>
          <w:rFonts w:eastAsia="Times New Roman"/>
          <w:color w:val="000000"/>
          <w:szCs w:val="24"/>
        </w:rPr>
        <w:t>.</w:t>
      </w:r>
      <w:r>
        <w:rPr>
          <w:rFonts w:eastAsia="Times New Roman"/>
          <w:color w:val="000000"/>
          <w:szCs w:val="24"/>
        </w:rPr>
        <w:t xml:space="preserve"> </w:t>
      </w:r>
      <w:proofErr w:type="gramEnd"/>
      <w:r>
        <w:rPr>
          <w:rFonts w:eastAsia="Times New Roman"/>
          <w:color w:val="000000"/>
          <w:szCs w:val="24"/>
        </w:rPr>
        <w:t>MPG-6:  Consensus Analysts’ Growth Rates</w:t>
      </w:r>
    </w:p>
    <w:p w:rsidR="00F23557" w:rsidRDefault="00F23557" w:rsidP="00F23557">
      <w:pPr>
        <w:suppressLineNumbers/>
        <w:tabs>
          <w:tab w:val="left" w:pos="1080"/>
        </w:tabs>
        <w:spacing w:after="0"/>
        <w:ind w:right="-198"/>
        <w:rPr>
          <w:rFonts w:eastAsia="Times New Roman"/>
          <w:color w:val="000000"/>
          <w:szCs w:val="24"/>
        </w:rPr>
      </w:pPr>
      <w:r w:rsidRPr="00272C05">
        <w:rPr>
          <w:rFonts w:eastAsia="Times New Roman"/>
          <w:color w:val="000000"/>
          <w:szCs w:val="24"/>
        </w:rPr>
        <w:t>Exhibit No</w:t>
      </w:r>
      <w:proofErr w:type="gramStart"/>
      <w:r w:rsidRPr="00272C05">
        <w:rPr>
          <w:rFonts w:eastAsia="Times New Roman"/>
          <w:color w:val="000000"/>
          <w:szCs w:val="24"/>
        </w:rPr>
        <w:t>.</w:t>
      </w:r>
      <w:r>
        <w:rPr>
          <w:rFonts w:eastAsia="Times New Roman"/>
          <w:color w:val="000000"/>
          <w:szCs w:val="24"/>
        </w:rPr>
        <w:t xml:space="preserve"> </w:t>
      </w:r>
      <w:proofErr w:type="gramEnd"/>
      <w:r>
        <w:rPr>
          <w:rFonts w:eastAsia="Times New Roman"/>
          <w:color w:val="000000"/>
          <w:szCs w:val="24"/>
        </w:rPr>
        <w:t>MPG-7:  Constant Growth DCF Model (Consensus Analysts’ Growth Rates</w:t>
      </w:r>
      <w:r w:rsidR="0092280C">
        <w:rPr>
          <w:rFonts w:eastAsia="Times New Roman"/>
          <w:color w:val="000000"/>
          <w:szCs w:val="24"/>
        </w:rPr>
        <w:t>)</w:t>
      </w:r>
    </w:p>
    <w:p w:rsidR="00F23557" w:rsidRDefault="00F23557" w:rsidP="00F23557">
      <w:pPr>
        <w:suppressLineNumbers/>
        <w:tabs>
          <w:tab w:val="left" w:pos="1080"/>
        </w:tabs>
        <w:spacing w:after="0"/>
        <w:rPr>
          <w:rFonts w:eastAsia="Times New Roman"/>
          <w:color w:val="000000"/>
          <w:szCs w:val="24"/>
        </w:rPr>
      </w:pPr>
      <w:r w:rsidRPr="00272C05">
        <w:rPr>
          <w:rFonts w:eastAsia="Times New Roman"/>
          <w:color w:val="000000"/>
          <w:szCs w:val="24"/>
        </w:rPr>
        <w:t>Exhibit No</w:t>
      </w:r>
      <w:proofErr w:type="gramStart"/>
      <w:r w:rsidRPr="00272C05">
        <w:rPr>
          <w:rFonts w:eastAsia="Times New Roman"/>
          <w:color w:val="000000"/>
          <w:szCs w:val="24"/>
        </w:rPr>
        <w:t>.</w:t>
      </w:r>
      <w:r>
        <w:rPr>
          <w:rFonts w:eastAsia="Times New Roman"/>
          <w:color w:val="000000"/>
          <w:szCs w:val="24"/>
        </w:rPr>
        <w:t xml:space="preserve"> </w:t>
      </w:r>
      <w:proofErr w:type="gramEnd"/>
      <w:r>
        <w:rPr>
          <w:rFonts w:eastAsia="Times New Roman"/>
          <w:color w:val="000000"/>
          <w:szCs w:val="24"/>
        </w:rPr>
        <w:t>MPG-8:  Payout Ratios</w:t>
      </w:r>
    </w:p>
    <w:p w:rsidR="00F23557" w:rsidRDefault="00F23557" w:rsidP="00F23557">
      <w:pPr>
        <w:suppressLineNumbers/>
        <w:tabs>
          <w:tab w:val="left" w:pos="1080"/>
        </w:tabs>
        <w:spacing w:after="0"/>
        <w:rPr>
          <w:rFonts w:eastAsia="Times New Roman"/>
          <w:color w:val="000000"/>
          <w:szCs w:val="24"/>
        </w:rPr>
      </w:pPr>
      <w:r w:rsidRPr="00272C05">
        <w:rPr>
          <w:rFonts w:eastAsia="Times New Roman"/>
          <w:color w:val="000000"/>
          <w:szCs w:val="24"/>
        </w:rPr>
        <w:t>Exhibit No</w:t>
      </w:r>
      <w:proofErr w:type="gramStart"/>
      <w:r w:rsidRPr="00272C05">
        <w:rPr>
          <w:rFonts w:eastAsia="Times New Roman"/>
          <w:color w:val="000000"/>
          <w:szCs w:val="24"/>
        </w:rPr>
        <w:t>.</w:t>
      </w:r>
      <w:r>
        <w:rPr>
          <w:rFonts w:eastAsia="Times New Roman"/>
          <w:color w:val="000000"/>
          <w:szCs w:val="24"/>
        </w:rPr>
        <w:t xml:space="preserve"> </w:t>
      </w:r>
      <w:proofErr w:type="gramEnd"/>
      <w:r>
        <w:rPr>
          <w:rFonts w:eastAsia="Times New Roman"/>
          <w:color w:val="000000"/>
          <w:szCs w:val="24"/>
        </w:rPr>
        <w:t>MPG-9:  Sustainable Growth Rate</w:t>
      </w:r>
    </w:p>
    <w:p w:rsidR="00F23557" w:rsidRDefault="00F23557" w:rsidP="00F23557">
      <w:pPr>
        <w:suppressLineNumbers/>
        <w:tabs>
          <w:tab w:val="left" w:pos="1080"/>
        </w:tabs>
        <w:spacing w:after="0"/>
        <w:rPr>
          <w:rFonts w:eastAsia="Times New Roman"/>
          <w:color w:val="000000"/>
          <w:szCs w:val="24"/>
        </w:rPr>
      </w:pPr>
      <w:r w:rsidRPr="00272C05">
        <w:rPr>
          <w:rFonts w:eastAsia="Times New Roman"/>
          <w:color w:val="000000"/>
          <w:szCs w:val="24"/>
        </w:rPr>
        <w:t>Exhibit No</w:t>
      </w:r>
      <w:proofErr w:type="gramStart"/>
      <w:r w:rsidRPr="00272C05">
        <w:rPr>
          <w:rFonts w:eastAsia="Times New Roman"/>
          <w:color w:val="000000"/>
          <w:szCs w:val="24"/>
        </w:rPr>
        <w:t>.</w:t>
      </w:r>
      <w:r>
        <w:rPr>
          <w:rFonts w:eastAsia="Times New Roman"/>
          <w:color w:val="000000"/>
          <w:szCs w:val="24"/>
        </w:rPr>
        <w:t xml:space="preserve"> </w:t>
      </w:r>
      <w:proofErr w:type="gramEnd"/>
      <w:r>
        <w:rPr>
          <w:rFonts w:eastAsia="Times New Roman"/>
          <w:color w:val="000000"/>
          <w:szCs w:val="24"/>
        </w:rPr>
        <w:t>MPG-10:  Constant Growth DCF Model (Sustainable Growth Rate</w:t>
      </w:r>
      <w:r w:rsidR="0092280C">
        <w:rPr>
          <w:rFonts w:eastAsia="Times New Roman"/>
          <w:color w:val="000000"/>
          <w:szCs w:val="24"/>
        </w:rPr>
        <w:t>)</w:t>
      </w:r>
    </w:p>
    <w:p w:rsidR="00F23557" w:rsidRDefault="00F23557" w:rsidP="00F23557">
      <w:pPr>
        <w:suppressLineNumbers/>
        <w:tabs>
          <w:tab w:val="left" w:pos="1080"/>
        </w:tabs>
        <w:spacing w:after="0"/>
        <w:rPr>
          <w:rFonts w:eastAsia="Times New Roman"/>
          <w:color w:val="000000"/>
          <w:szCs w:val="24"/>
        </w:rPr>
      </w:pPr>
      <w:r w:rsidRPr="00272C05">
        <w:rPr>
          <w:rFonts w:eastAsia="Times New Roman"/>
          <w:color w:val="000000"/>
          <w:szCs w:val="24"/>
        </w:rPr>
        <w:t>Exhibit No</w:t>
      </w:r>
      <w:proofErr w:type="gramStart"/>
      <w:r w:rsidRPr="00272C05">
        <w:rPr>
          <w:rFonts w:eastAsia="Times New Roman"/>
          <w:color w:val="000000"/>
          <w:szCs w:val="24"/>
        </w:rPr>
        <w:t>.</w:t>
      </w:r>
      <w:r>
        <w:rPr>
          <w:rFonts w:eastAsia="Times New Roman"/>
          <w:color w:val="000000"/>
          <w:szCs w:val="24"/>
        </w:rPr>
        <w:t xml:space="preserve"> </w:t>
      </w:r>
      <w:proofErr w:type="gramEnd"/>
      <w:r>
        <w:rPr>
          <w:rFonts w:eastAsia="Times New Roman"/>
          <w:color w:val="000000"/>
          <w:szCs w:val="24"/>
        </w:rPr>
        <w:t xml:space="preserve">MPG-11:  Electricity Sales are </w:t>
      </w:r>
      <w:proofErr w:type="gramStart"/>
      <w:r>
        <w:rPr>
          <w:rFonts w:eastAsia="Times New Roman"/>
          <w:color w:val="000000"/>
          <w:szCs w:val="24"/>
        </w:rPr>
        <w:t>Linked</w:t>
      </w:r>
      <w:proofErr w:type="gramEnd"/>
      <w:r>
        <w:rPr>
          <w:rFonts w:eastAsia="Times New Roman"/>
          <w:color w:val="000000"/>
          <w:szCs w:val="24"/>
        </w:rPr>
        <w:t xml:space="preserve"> to U.S. Economic Growth</w:t>
      </w:r>
    </w:p>
    <w:p w:rsidR="00F23557" w:rsidRDefault="00F23557" w:rsidP="00F23557">
      <w:pPr>
        <w:suppressLineNumbers/>
        <w:tabs>
          <w:tab w:val="left" w:pos="1080"/>
        </w:tabs>
        <w:spacing w:after="0"/>
        <w:rPr>
          <w:rFonts w:eastAsia="Times New Roman"/>
          <w:color w:val="000000"/>
          <w:szCs w:val="24"/>
        </w:rPr>
      </w:pPr>
      <w:r w:rsidRPr="00272C05">
        <w:rPr>
          <w:rFonts w:eastAsia="Times New Roman"/>
          <w:color w:val="000000"/>
          <w:szCs w:val="24"/>
        </w:rPr>
        <w:t>Exhibit No</w:t>
      </w:r>
      <w:proofErr w:type="gramStart"/>
      <w:r w:rsidRPr="00272C05">
        <w:rPr>
          <w:rFonts w:eastAsia="Times New Roman"/>
          <w:color w:val="000000"/>
          <w:szCs w:val="24"/>
        </w:rPr>
        <w:t>.</w:t>
      </w:r>
      <w:r>
        <w:rPr>
          <w:rFonts w:eastAsia="Times New Roman"/>
          <w:color w:val="000000"/>
          <w:szCs w:val="24"/>
        </w:rPr>
        <w:t xml:space="preserve"> </w:t>
      </w:r>
      <w:proofErr w:type="gramEnd"/>
      <w:r>
        <w:rPr>
          <w:rFonts w:eastAsia="Times New Roman"/>
          <w:color w:val="000000"/>
          <w:szCs w:val="24"/>
        </w:rPr>
        <w:t>MPG</w:t>
      </w:r>
      <w:r w:rsidRPr="00272C05">
        <w:rPr>
          <w:rFonts w:eastAsia="Times New Roman"/>
          <w:color w:val="000000"/>
          <w:szCs w:val="24"/>
        </w:rPr>
        <w:t>-</w:t>
      </w:r>
      <w:r>
        <w:rPr>
          <w:rFonts w:eastAsia="Times New Roman"/>
          <w:color w:val="000000"/>
          <w:szCs w:val="24"/>
        </w:rPr>
        <w:t>1</w:t>
      </w:r>
      <w:r w:rsidRPr="00272C05">
        <w:rPr>
          <w:rFonts w:eastAsia="Times New Roman"/>
          <w:color w:val="000000"/>
          <w:szCs w:val="24"/>
        </w:rPr>
        <w:t>2</w:t>
      </w:r>
      <w:r>
        <w:rPr>
          <w:rFonts w:eastAsia="Times New Roman"/>
          <w:color w:val="000000"/>
          <w:szCs w:val="24"/>
        </w:rPr>
        <w:t>:  Multi-Stage Growth DCF Model</w:t>
      </w:r>
    </w:p>
    <w:p w:rsidR="00F23557" w:rsidRDefault="00F23557" w:rsidP="00F23557">
      <w:pPr>
        <w:suppressLineNumbers/>
        <w:tabs>
          <w:tab w:val="left" w:pos="1080"/>
        </w:tabs>
        <w:spacing w:after="0"/>
        <w:rPr>
          <w:rFonts w:eastAsia="Times New Roman"/>
          <w:color w:val="000000"/>
          <w:szCs w:val="24"/>
        </w:rPr>
      </w:pPr>
      <w:r w:rsidRPr="00272C05">
        <w:rPr>
          <w:rFonts w:eastAsia="Times New Roman"/>
          <w:color w:val="000000"/>
          <w:szCs w:val="24"/>
        </w:rPr>
        <w:t>Exhibit No</w:t>
      </w:r>
      <w:proofErr w:type="gramStart"/>
      <w:r w:rsidRPr="00272C05">
        <w:rPr>
          <w:rFonts w:eastAsia="Times New Roman"/>
          <w:color w:val="000000"/>
          <w:szCs w:val="24"/>
        </w:rPr>
        <w:t>.</w:t>
      </w:r>
      <w:r>
        <w:rPr>
          <w:rFonts w:eastAsia="Times New Roman"/>
          <w:color w:val="000000"/>
          <w:szCs w:val="24"/>
        </w:rPr>
        <w:t xml:space="preserve"> </w:t>
      </w:r>
      <w:proofErr w:type="gramEnd"/>
      <w:r>
        <w:rPr>
          <w:rFonts w:eastAsia="Times New Roman"/>
          <w:color w:val="000000"/>
          <w:szCs w:val="24"/>
        </w:rPr>
        <w:t>MPG-13:  Common Stock Market/Book Ratio</w:t>
      </w:r>
    </w:p>
    <w:p w:rsidR="00F23557" w:rsidRDefault="00F23557" w:rsidP="00F23557">
      <w:pPr>
        <w:suppressLineNumbers/>
        <w:tabs>
          <w:tab w:val="left" w:pos="1080"/>
        </w:tabs>
        <w:spacing w:after="0"/>
        <w:rPr>
          <w:rFonts w:eastAsia="Times New Roman"/>
          <w:color w:val="000000"/>
          <w:szCs w:val="24"/>
        </w:rPr>
      </w:pPr>
      <w:r w:rsidRPr="00272C05">
        <w:rPr>
          <w:rFonts w:eastAsia="Times New Roman"/>
          <w:color w:val="000000"/>
          <w:szCs w:val="24"/>
        </w:rPr>
        <w:t>Exhibit No</w:t>
      </w:r>
      <w:proofErr w:type="gramStart"/>
      <w:r w:rsidRPr="00272C05">
        <w:rPr>
          <w:rFonts w:eastAsia="Times New Roman"/>
          <w:color w:val="000000"/>
          <w:szCs w:val="24"/>
        </w:rPr>
        <w:t>.</w:t>
      </w:r>
      <w:r>
        <w:rPr>
          <w:rFonts w:eastAsia="Times New Roman"/>
          <w:color w:val="000000"/>
          <w:szCs w:val="24"/>
        </w:rPr>
        <w:t xml:space="preserve"> </w:t>
      </w:r>
      <w:proofErr w:type="gramEnd"/>
      <w:r>
        <w:rPr>
          <w:rFonts w:eastAsia="Times New Roman"/>
          <w:color w:val="000000"/>
          <w:szCs w:val="24"/>
        </w:rPr>
        <w:t>MPG-14:  Equity Risk Premium – Treasury Bond</w:t>
      </w:r>
    </w:p>
    <w:p w:rsidR="00F23557" w:rsidRDefault="00F23557" w:rsidP="00F23557">
      <w:pPr>
        <w:suppressLineNumbers/>
        <w:tabs>
          <w:tab w:val="left" w:pos="1080"/>
        </w:tabs>
        <w:spacing w:after="0"/>
        <w:rPr>
          <w:rFonts w:eastAsia="Times New Roman"/>
          <w:color w:val="000000"/>
          <w:szCs w:val="24"/>
        </w:rPr>
      </w:pPr>
      <w:r w:rsidRPr="00272C05">
        <w:rPr>
          <w:rFonts w:eastAsia="Times New Roman"/>
          <w:color w:val="000000"/>
          <w:szCs w:val="24"/>
        </w:rPr>
        <w:t>Exhibit No</w:t>
      </w:r>
      <w:proofErr w:type="gramStart"/>
      <w:r w:rsidRPr="00272C05">
        <w:rPr>
          <w:rFonts w:eastAsia="Times New Roman"/>
          <w:color w:val="000000"/>
          <w:szCs w:val="24"/>
        </w:rPr>
        <w:t>.</w:t>
      </w:r>
      <w:r>
        <w:rPr>
          <w:rFonts w:eastAsia="Times New Roman"/>
          <w:color w:val="000000"/>
          <w:szCs w:val="24"/>
        </w:rPr>
        <w:t xml:space="preserve"> </w:t>
      </w:r>
      <w:proofErr w:type="gramEnd"/>
      <w:r>
        <w:rPr>
          <w:rFonts w:eastAsia="Times New Roman"/>
          <w:color w:val="000000"/>
          <w:szCs w:val="24"/>
        </w:rPr>
        <w:t>MPG-15:  Equity Risk Premium – Utility Bond</w:t>
      </w:r>
    </w:p>
    <w:p w:rsidR="00F23557" w:rsidRDefault="00F23557" w:rsidP="00F23557">
      <w:pPr>
        <w:suppressLineNumbers/>
        <w:tabs>
          <w:tab w:val="left" w:pos="1080"/>
        </w:tabs>
        <w:spacing w:after="0"/>
        <w:rPr>
          <w:rFonts w:eastAsia="Times New Roman"/>
          <w:color w:val="000000"/>
          <w:szCs w:val="24"/>
        </w:rPr>
      </w:pPr>
      <w:r w:rsidRPr="00272C05">
        <w:rPr>
          <w:rFonts w:eastAsia="Times New Roman"/>
          <w:color w:val="000000"/>
          <w:szCs w:val="24"/>
        </w:rPr>
        <w:t>Exhibit No</w:t>
      </w:r>
      <w:proofErr w:type="gramStart"/>
      <w:r w:rsidRPr="00272C05">
        <w:rPr>
          <w:rFonts w:eastAsia="Times New Roman"/>
          <w:color w:val="000000"/>
          <w:szCs w:val="24"/>
        </w:rPr>
        <w:t>.</w:t>
      </w:r>
      <w:r>
        <w:rPr>
          <w:rFonts w:eastAsia="Times New Roman"/>
          <w:color w:val="000000"/>
          <w:szCs w:val="24"/>
        </w:rPr>
        <w:t xml:space="preserve"> </w:t>
      </w:r>
      <w:proofErr w:type="gramEnd"/>
      <w:r>
        <w:rPr>
          <w:rFonts w:eastAsia="Times New Roman"/>
          <w:color w:val="000000"/>
          <w:szCs w:val="24"/>
        </w:rPr>
        <w:t>MPG-16:  Bond Yield Spreads</w:t>
      </w:r>
    </w:p>
    <w:p w:rsidR="00F23557" w:rsidRDefault="00F23557" w:rsidP="00F23557">
      <w:pPr>
        <w:suppressLineNumbers/>
        <w:tabs>
          <w:tab w:val="left" w:pos="1080"/>
        </w:tabs>
        <w:spacing w:after="0"/>
        <w:rPr>
          <w:rFonts w:eastAsia="Times New Roman"/>
          <w:color w:val="000000"/>
          <w:szCs w:val="24"/>
        </w:rPr>
      </w:pPr>
      <w:r w:rsidRPr="00272C05">
        <w:rPr>
          <w:rFonts w:eastAsia="Times New Roman"/>
          <w:color w:val="000000"/>
          <w:szCs w:val="24"/>
        </w:rPr>
        <w:t>Exhibit No</w:t>
      </w:r>
      <w:proofErr w:type="gramStart"/>
      <w:r w:rsidRPr="00272C05">
        <w:rPr>
          <w:rFonts w:eastAsia="Times New Roman"/>
          <w:color w:val="000000"/>
          <w:szCs w:val="24"/>
        </w:rPr>
        <w:t>.</w:t>
      </w:r>
      <w:r>
        <w:rPr>
          <w:rFonts w:eastAsia="Times New Roman"/>
          <w:color w:val="000000"/>
          <w:szCs w:val="24"/>
        </w:rPr>
        <w:t xml:space="preserve"> </w:t>
      </w:r>
      <w:proofErr w:type="gramEnd"/>
      <w:r>
        <w:rPr>
          <w:rFonts w:eastAsia="Times New Roman"/>
          <w:color w:val="000000"/>
          <w:szCs w:val="24"/>
        </w:rPr>
        <w:t>MPG-17:  Treasury and Utility Bond Yields</w:t>
      </w:r>
    </w:p>
    <w:p w:rsidR="00F23557" w:rsidRDefault="00F23557" w:rsidP="00F23557">
      <w:pPr>
        <w:suppressLineNumbers/>
        <w:tabs>
          <w:tab w:val="left" w:pos="1080"/>
        </w:tabs>
        <w:spacing w:after="0"/>
        <w:rPr>
          <w:rFonts w:eastAsia="Times New Roman"/>
          <w:color w:val="000000"/>
          <w:szCs w:val="24"/>
        </w:rPr>
      </w:pPr>
      <w:r w:rsidRPr="00272C05">
        <w:rPr>
          <w:rFonts w:eastAsia="Times New Roman"/>
          <w:color w:val="000000"/>
          <w:szCs w:val="24"/>
        </w:rPr>
        <w:t>Exhibit No</w:t>
      </w:r>
      <w:proofErr w:type="gramStart"/>
      <w:r w:rsidRPr="00272C05">
        <w:rPr>
          <w:rFonts w:eastAsia="Times New Roman"/>
          <w:color w:val="000000"/>
          <w:szCs w:val="24"/>
        </w:rPr>
        <w:t>.</w:t>
      </w:r>
      <w:r>
        <w:rPr>
          <w:rFonts w:eastAsia="Times New Roman"/>
          <w:color w:val="000000"/>
          <w:szCs w:val="24"/>
        </w:rPr>
        <w:t xml:space="preserve"> </w:t>
      </w:r>
      <w:proofErr w:type="gramEnd"/>
      <w:r>
        <w:rPr>
          <w:rFonts w:eastAsia="Times New Roman"/>
          <w:color w:val="000000"/>
          <w:szCs w:val="24"/>
        </w:rPr>
        <w:t>MPG-18:  Value Line Beta</w:t>
      </w:r>
    </w:p>
    <w:p w:rsidR="00F23557" w:rsidRDefault="00F23557" w:rsidP="00F23557">
      <w:pPr>
        <w:suppressLineNumbers/>
        <w:tabs>
          <w:tab w:val="left" w:pos="1080"/>
        </w:tabs>
        <w:spacing w:after="0"/>
        <w:rPr>
          <w:rFonts w:eastAsia="Times New Roman"/>
          <w:color w:val="000000"/>
          <w:szCs w:val="24"/>
        </w:rPr>
      </w:pPr>
      <w:r w:rsidRPr="00272C05">
        <w:rPr>
          <w:rFonts w:eastAsia="Times New Roman"/>
          <w:color w:val="000000"/>
          <w:szCs w:val="24"/>
        </w:rPr>
        <w:t>Exhibit No</w:t>
      </w:r>
      <w:proofErr w:type="gramStart"/>
      <w:r w:rsidRPr="00272C05">
        <w:rPr>
          <w:rFonts w:eastAsia="Times New Roman"/>
          <w:color w:val="000000"/>
          <w:szCs w:val="24"/>
        </w:rPr>
        <w:t>.</w:t>
      </w:r>
      <w:r>
        <w:rPr>
          <w:rFonts w:eastAsia="Times New Roman"/>
          <w:color w:val="000000"/>
          <w:szCs w:val="24"/>
        </w:rPr>
        <w:t xml:space="preserve"> </w:t>
      </w:r>
      <w:proofErr w:type="gramEnd"/>
      <w:r>
        <w:rPr>
          <w:rFonts w:eastAsia="Times New Roman"/>
          <w:color w:val="000000"/>
          <w:szCs w:val="24"/>
        </w:rPr>
        <w:t>MPG-19:  CAPM Return</w:t>
      </w:r>
    </w:p>
    <w:p w:rsidR="00F23557" w:rsidRDefault="00F23557" w:rsidP="00F23557">
      <w:pPr>
        <w:suppressLineNumbers/>
        <w:tabs>
          <w:tab w:val="left" w:pos="1080"/>
        </w:tabs>
        <w:spacing w:after="0"/>
        <w:rPr>
          <w:rFonts w:eastAsia="Times New Roman"/>
          <w:color w:val="000000"/>
          <w:szCs w:val="24"/>
        </w:rPr>
      </w:pPr>
      <w:r w:rsidRPr="00D7109B">
        <w:rPr>
          <w:rFonts w:eastAsia="Times New Roman"/>
          <w:color w:val="000000"/>
          <w:szCs w:val="24"/>
        </w:rPr>
        <w:t>Exhibit No</w:t>
      </w:r>
      <w:proofErr w:type="gramStart"/>
      <w:r w:rsidRPr="00D7109B">
        <w:rPr>
          <w:rFonts w:eastAsia="Times New Roman"/>
          <w:color w:val="000000"/>
          <w:szCs w:val="24"/>
        </w:rPr>
        <w:t xml:space="preserve">. </w:t>
      </w:r>
      <w:proofErr w:type="gramEnd"/>
      <w:r w:rsidRPr="00D7109B">
        <w:rPr>
          <w:rFonts w:eastAsia="Times New Roman"/>
          <w:color w:val="000000"/>
          <w:szCs w:val="24"/>
        </w:rPr>
        <w:t>MPG-20:  Standard &amp; Poor’s Credit Metrics</w:t>
      </w:r>
    </w:p>
    <w:p w:rsidR="00F23557" w:rsidRPr="00272C05" w:rsidRDefault="00F23557" w:rsidP="00F23557">
      <w:pPr>
        <w:suppressLineNumbers/>
        <w:tabs>
          <w:tab w:val="left" w:pos="1080"/>
        </w:tabs>
        <w:spacing w:after="0"/>
        <w:ind w:left="2520"/>
        <w:rPr>
          <w:rFonts w:eastAsia="Times New Roman"/>
          <w:color w:val="000000"/>
          <w:szCs w:val="24"/>
        </w:rPr>
      </w:pPr>
    </w:p>
    <w:p w:rsidR="00F23557" w:rsidRPr="00272C05" w:rsidRDefault="00F23557" w:rsidP="00F23557">
      <w:pPr>
        <w:suppressLineNumbers/>
        <w:tabs>
          <w:tab w:val="left" w:pos="1080"/>
        </w:tabs>
        <w:spacing w:after="0" w:line="480" w:lineRule="auto"/>
        <w:rPr>
          <w:rFonts w:eastAsia="Times New Roman"/>
          <w:color w:val="000000"/>
          <w:szCs w:val="24"/>
        </w:rPr>
      </w:pPr>
    </w:p>
    <w:p w:rsidR="00F23557" w:rsidRDefault="00F23557" w:rsidP="00F23557">
      <w:pPr>
        <w:suppressLineNumbers/>
        <w:tabs>
          <w:tab w:val="left" w:pos="1080"/>
        </w:tabs>
        <w:spacing w:after="0"/>
        <w:jc w:val="center"/>
        <w:rPr>
          <w:rFonts w:eastAsia="Times New Roman"/>
          <w:b/>
          <w:bCs/>
          <w:szCs w:val="24"/>
        </w:rPr>
      </w:pPr>
    </w:p>
    <w:p w:rsidR="00F23557" w:rsidRPr="00272C05" w:rsidRDefault="00F23557" w:rsidP="00F23557">
      <w:pPr>
        <w:suppressLineNumbers/>
        <w:tabs>
          <w:tab w:val="left" w:pos="1080"/>
        </w:tabs>
        <w:spacing w:after="0"/>
        <w:rPr>
          <w:rFonts w:eastAsia="Times New Roman"/>
          <w:b/>
          <w:bCs/>
          <w:szCs w:val="24"/>
        </w:rPr>
      </w:pPr>
    </w:p>
    <w:p w:rsidR="00F23557" w:rsidRPr="00272C05" w:rsidRDefault="00F23557" w:rsidP="00F23557">
      <w:pPr>
        <w:tabs>
          <w:tab w:val="left" w:pos="1080"/>
        </w:tabs>
        <w:spacing w:after="0" w:line="480" w:lineRule="auto"/>
        <w:ind w:left="720" w:hanging="720"/>
        <w:jc w:val="both"/>
        <w:rPr>
          <w:rFonts w:eastAsia="Times New Roman"/>
          <w:b/>
          <w:szCs w:val="24"/>
        </w:rPr>
        <w:sectPr w:rsidR="00F23557" w:rsidRPr="00272C05" w:rsidSect="006015D4">
          <w:headerReference w:type="default" r:id="rId9"/>
          <w:footerReference w:type="default" r:id="rId10"/>
          <w:pgSz w:w="12240" w:h="15840" w:code="1"/>
          <w:pgMar w:top="720" w:right="1440" w:bottom="1440" w:left="1728" w:header="576" w:footer="576" w:gutter="0"/>
          <w:pgNumType w:start="1"/>
          <w:cols w:space="720"/>
          <w:docGrid w:linePitch="326"/>
        </w:sectPr>
      </w:pPr>
    </w:p>
    <w:p w:rsidR="00F23557" w:rsidRPr="00272C05" w:rsidRDefault="00F23557" w:rsidP="00F23557">
      <w:pPr>
        <w:tabs>
          <w:tab w:val="left" w:pos="1440"/>
        </w:tabs>
        <w:spacing w:after="0" w:line="480" w:lineRule="auto"/>
        <w:ind w:left="720" w:hanging="720"/>
        <w:jc w:val="both"/>
        <w:rPr>
          <w:rFonts w:eastAsia="Times New Roman"/>
          <w:b/>
          <w:szCs w:val="24"/>
        </w:rPr>
      </w:pPr>
      <w:r w:rsidRPr="00272C05">
        <w:rPr>
          <w:rFonts w:eastAsia="Times New Roman"/>
          <w:b/>
          <w:szCs w:val="24"/>
        </w:rPr>
        <w:lastRenderedPageBreak/>
        <w:t>Q.</w:t>
      </w:r>
      <w:r w:rsidRPr="00272C05">
        <w:rPr>
          <w:rFonts w:eastAsia="Times New Roman"/>
          <w:b/>
          <w:szCs w:val="24"/>
        </w:rPr>
        <w:tab/>
        <w:t>PLEASE STATE YOUR NAME AND BUSINESS ADDRESS.</w:t>
      </w:r>
    </w:p>
    <w:p w:rsidR="00F23557" w:rsidRPr="00272C05" w:rsidRDefault="00F23557" w:rsidP="00F23557">
      <w:pPr>
        <w:tabs>
          <w:tab w:val="left" w:pos="1440"/>
        </w:tabs>
        <w:spacing w:after="0" w:line="480" w:lineRule="auto"/>
        <w:ind w:left="720" w:hanging="720"/>
        <w:jc w:val="both"/>
        <w:rPr>
          <w:rFonts w:eastAsia="Times New Roman"/>
          <w:szCs w:val="24"/>
        </w:rPr>
      </w:pPr>
      <w:r w:rsidRPr="00272C05">
        <w:rPr>
          <w:rFonts w:eastAsia="Times New Roman"/>
          <w:b/>
          <w:szCs w:val="24"/>
        </w:rPr>
        <w:t>A.</w:t>
      </w:r>
      <w:r w:rsidRPr="00272C05">
        <w:rPr>
          <w:rFonts w:eastAsia="Times New Roman"/>
          <w:szCs w:val="24"/>
        </w:rPr>
        <w:tab/>
      </w:r>
      <w:r>
        <w:rPr>
          <w:rFonts w:eastAsia="Times New Roman"/>
          <w:szCs w:val="24"/>
        </w:rPr>
        <w:t>Michael P. Gorman</w:t>
      </w:r>
      <w:r w:rsidRPr="00272C05">
        <w:rPr>
          <w:rFonts w:eastAsia="Times New Roman"/>
          <w:szCs w:val="24"/>
        </w:rPr>
        <w:t>.  My business address is 16690 Swingley Ridge Road, Suite 140, Chesterfield, MO 63017.</w:t>
      </w:r>
    </w:p>
    <w:p w:rsidR="00F23557" w:rsidRPr="00272C05" w:rsidRDefault="00F23557" w:rsidP="00F23557">
      <w:pPr>
        <w:tabs>
          <w:tab w:val="left" w:pos="1440"/>
        </w:tabs>
        <w:spacing w:after="0" w:line="480" w:lineRule="auto"/>
        <w:ind w:left="720" w:hanging="720"/>
        <w:jc w:val="both"/>
        <w:rPr>
          <w:rFonts w:eastAsia="Times New Roman"/>
          <w:b/>
          <w:szCs w:val="24"/>
        </w:rPr>
      </w:pPr>
      <w:r w:rsidRPr="00272C05">
        <w:rPr>
          <w:rFonts w:eastAsia="Times New Roman"/>
          <w:b/>
          <w:szCs w:val="24"/>
        </w:rPr>
        <w:t>Q.</w:t>
      </w:r>
      <w:r w:rsidRPr="00272C05">
        <w:rPr>
          <w:rFonts w:eastAsia="Times New Roman"/>
          <w:b/>
          <w:szCs w:val="24"/>
        </w:rPr>
        <w:tab/>
        <w:t xml:space="preserve">WHAT IS YOUR OCCUPATION?  </w:t>
      </w:r>
    </w:p>
    <w:p w:rsidR="00F23557" w:rsidRPr="00272C05" w:rsidRDefault="00F23557" w:rsidP="00F23557">
      <w:pPr>
        <w:tabs>
          <w:tab w:val="left" w:pos="1440"/>
        </w:tabs>
        <w:spacing w:after="0" w:line="480" w:lineRule="auto"/>
        <w:ind w:left="720" w:hanging="720"/>
        <w:jc w:val="both"/>
        <w:rPr>
          <w:rFonts w:eastAsia="Times New Roman"/>
          <w:szCs w:val="24"/>
        </w:rPr>
      </w:pPr>
      <w:r w:rsidRPr="00272C05">
        <w:rPr>
          <w:rFonts w:eastAsia="Times New Roman"/>
          <w:b/>
          <w:szCs w:val="24"/>
        </w:rPr>
        <w:t>A.</w:t>
      </w:r>
      <w:r w:rsidRPr="00272C05">
        <w:rPr>
          <w:rFonts w:eastAsia="Times New Roman"/>
          <w:szCs w:val="24"/>
        </w:rPr>
        <w:tab/>
        <w:t xml:space="preserve">I am a consultant in the field of public utility regulation and a </w:t>
      </w:r>
      <w:r>
        <w:rPr>
          <w:rFonts w:eastAsia="Times New Roman"/>
          <w:szCs w:val="24"/>
        </w:rPr>
        <w:t>Managing P</w:t>
      </w:r>
      <w:r w:rsidRPr="00272C05">
        <w:rPr>
          <w:rFonts w:eastAsia="Times New Roman"/>
          <w:szCs w:val="24"/>
        </w:rPr>
        <w:t>rincipal of Brubaker &amp; Associates, Inc., energy, economic and regulatory consultants.</w:t>
      </w:r>
    </w:p>
    <w:p w:rsidR="00F23557" w:rsidRPr="00272C05" w:rsidRDefault="00F23557" w:rsidP="00F23557">
      <w:pPr>
        <w:tabs>
          <w:tab w:val="left" w:pos="1440"/>
        </w:tabs>
        <w:ind w:left="720" w:hanging="720"/>
        <w:jc w:val="both"/>
        <w:rPr>
          <w:rFonts w:eastAsia="Times New Roman"/>
          <w:b/>
          <w:szCs w:val="24"/>
        </w:rPr>
      </w:pPr>
      <w:r w:rsidRPr="00272C05">
        <w:rPr>
          <w:rFonts w:eastAsia="Times New Roman"/>
          <w:b/>
          <w:szCs w:val="24"/>
        </w:rPr>
        <w:t>Q.</w:t>
      </w:r>
      <w:r w:rsidRPr="00272C05">
        <w:rPr>
          <w:rFonts w:eastAsia="Times New Roman"/>
          <w:b/>
          <w:szCs w:val="24"/>
        </w:rPr>
        <w:tab/>
        <w:t>PLEASE DESCRIBE YOUR EDUCATIONAL BACKGROUND AND EXPERIENCE.</w:t>
      </w:r>
    </w:p>
    <w:p w:rsidR="00F23557" w:rsidRPr="00F67C5A" w:rsidRDefault="00F23557" w:rsidP="00F23557">
      <w:pPr>
        <w:tabs>
          <w:tab w:val="left" w:pos="1440"/>
        </w:tabs>
        <w:spacing w:after="0" w:line="480" w:lineRule="auto"/>
        <w:ind w:left="720" w:hanging="720"/>
        <w:jc w:val="both"/>
        <w:rPr>
          <w:rFonts w:eastAsia="Times New Roman"/>
          <w:szCs w:val="24"/>
        </w:rPr>
      </w:pPr>
      <w:r w:rsidRPr="00F67C5A">
        <w:rPr>
          <w:rFonts w:eastAsia="Times New Roman"/>
          <w:b/>
          <w:szCs w:val="24"/>
        </w:rPr>
        <w:t>A.</w:t>
      </w:r>
      <w:r w:rsidRPr="00F67C5A">
        <w:rPr>
          <w:rFonts w:eastAsia="Times New Roman"/>
          <w:szCs w:val="24"/>
        </w:rPr>
        <w:tab/>
        <w:t>These are set forth in Exhibit No</w:t>
      </w:r>
      <w:proofErr w:type="gramStart"/>
      <w:r w:rsidRPr="00F67C5A">
        <w:rPr>
          <w:rFonts w:eastAsia="Times New Roman"/>
          <w:szCs w:val="24"/>
        </w:rPr>
        <w:t>. MPG-2.</w:t>
      </w:r>
      <w:proofErr w:type="gramEnd"/>
    </w:p>
    <w:p w:rsidR="00F23557" w:rsidRPr="00F67C5A" w:rsidRDefault="00F23557" w:rsidP="00F23557">
      <w:pPr>
        <w:tabs>
          <w:tab w:val="left" w:pos="1440"/>
        </w:tabs>
        <w:spacing w:after="0" w:line="480" w:lineRule="auto"/>
        <w:ind w:left="720" w:hanging="720"/>
        <w:jc w:val="both"/>
        <w:rPr>
          <w:rFonts w:eastAsia="Times New Roman"/>
          <w:b/>
          <w:szCs w:val="24"/>
        </w:rPr>
      </w:pPr>
      <w:r w:rsidRPr="00F67C5A">
        <w:rPr>
          <w:rFonts w:eastAsia="Times New Roman"/>
          <w:b/>
          <w:szCs w:val="24"/>
        </w:rPr>
        <w:t>Q.</w:t>
      </w:r>
      <w:r w:rsidRPr="00F67C5A">
        <w:rPr>
          <w:rFonts w:eastAsia="Times New Roman"/>
          <w:b/>
          <w:szCs w:val="24"/>
        </w:rPr>
        <w:tab/>
        <w:t>ON WHOSE BEHALF ARE YOU APPEARING IN THIS PROCEEDING?</w:t>
      </w:r>
    </w:p>
    <w:p w:rsidR="00F23557" w:rsidRPr="00F67C5A" w:rsidRDefault="00F23557" w:rsidP="00F23557">
      <w:pPr>
        <w:tabs>
          <w:tab w:val="left" w:pos="1440"/>
        </w:tabs>
        <w:spacing w:after="0" w:line="480" w:lineRule="auto"/>
        <w:ind w:left="720" w:hanging="720"/>
        <w:jc w:val="both"/>
        <w:rPr>
          <w:rFonts w:eastAsia="Times New Roman"/>
        </w:rPr>
      </w:pPr>
      <w:r w:rsidRPr="00F67C5A">
        <w:rPr>
          <w:rFonts w:eastAsia="Times New Roman"/>
          <w:b/>
          <w:szCs w:val="24"/>
        </w:rPr>
        <w:t>A.</w:t>
      </w:r>
      <w:r w:rsidRPr="00F67C5A">
        <w:rPr>
          <w:rFonts w:eastAsia="Times New Roman"/>
          <w:szCs w:val="24"/>
        </w:rPr>
        <w:tab/>
      </w:r>
      <w:r w:rsidRPr="00F67C5A">
        <w:rPr>
          <w:rFonts w:eastAsia="Times New Roman"/>
        </w:rPr>
        <w:t>I am appearing on behalf of the Industrial Customers of Northwest Utilities (“ICNU”), an association of large industrial businesses, some of whom are customers of Avista Corporation (“Avista” or the “Company”).</w:t>
      </w:r>
    </w:p>
    <w:p w:rsidR="00F23557" w:rsidRPr="00F67C5A" w:rsidRDefault="00F23557" w:rsidP="00F23557">
      <w:pPr>
        <w:tabs>
          <w:tab w:val="left" w:pos="1440"/>
        </w:tabs>
        <w:ind w:left="720" w:hanging="720"/>
        <w:jc w:val="both"/>
        <w:rPr>
          <w:rFonts w:eastAsia="Times New Roman"/>
          <w:b/>
          <w:szCs w:val="24"/>
        </w:rPr>
      </w:pPr>
      <w:r w:rsidRPr="00F67C5A">
        <w:rPr>
          <w:rFonts w:eastAsia="Times New Roman"/>
          <w:b/>
          <w:szCs w:val="24"/>
        </w:rPr>
        <w:t>Q.</w:t>
      </w:r>
      <w:r w:rsidRPr="00F67C5A">
        <w:rPr>
          <w:rFonts w:eastAsia="Times New Roman"/>
          <w:b/>
          <w:szCs w:val="24"/>
        </w:rPr>
        <w:tab/>
        <w:t>WHAT IS THE PURPOSE OF YOUR RESPONSE TESTIMONY?</w:t>
      </w:r>
    </w:p>
    <w:p w:rsidR="00F23557" w:rsidRPr="00F67C5A" w:rsidRDefault="00F23557" w:rsidP="00F23557">
      <w:pPr>
        <w:tabs>
          <w:tab w:val="left" w:pos="1440"/>
        </w:tabs>
        <w:spacing w:after="0" w:line="480" w:lineRule="auto"/>
        <w:ind w:left="720" w:hanging="720"/>
        <w:jc w:val="both"/>
        <w:outlineLvl w:val="1"/>
        <w:rPr>
          <w:rFonts w:cs="Arial"/>
        </w:rPr>
      </w:pPr>
      <w:bookmarkStart w:id="1" w:name="_Toc392680466"/>
      <w:r w:rsidRPr="00F67C5A">
        <w:rPr>
          <w:rFonts w:eastAsia="Times New Roman"/>
          <w:b/>
          <w:szCs w:val="24"/>
        </w:rPr>
        <w:t>A.</w:t>
      </w:r>
      <w:r w:rsidRPr="00F67C5A">
        <w:rPr>
          <w:rFonts w:eastAsia="Times New Roman"/>
          <w:szCs w:val="24"/>
        </w:rPr>
        <w:tab/>
      </w:r>
      <w:bookmarkEnd w:id="1"/>
      <w:r w:rsidRPr="00F67C5A">
        <w:rPr>
          <w:rFonts w:cs="Arial"/>
        </w:rPr>
        <w:t xml:space="preserve">My testimony will address the current market cost of equity, and resulting overall rate of return, for </w:t>
      </w:r>
      <w:r w:rsidRPr="00F67C5A">
        <w:t>Avista</w:t>
      </w:r>
      <w:r w:rsidRPr="00F67C5A">
        <w:rPr>
          <w:rFonts w:cs="Arial"/>
        </w:rPr>
        <w:t xml:space="preserve">.  In my analyses, I consider the results of several market models and the current economic environment and outlook for the electric utility industry as well as the financial integrity of </w:t>
      </w:r>
      <w:r w:rsidRPr="00F67C5A">
        <w:t>Avista</w:t>
      </w:r>
      <w:r w:rsidRPr="00F67C5A">
        <w:rPr>
          <w:rFonts w:cs="Arial"/>
        </w:rPr>
        <w:t xml:space="preserve"> given my recommended return on equity and overall rate of return. </w:t>
      </w:r>
    </w:p>
    <w:p w:rsidR="00F23557" w:rsidRPr="00F67C5A" w:rsidRDefault="00F23557" w:rsidP="00F23557">
      <w:pPr>
        <w:tabs>
          <w:tab w:val="left" w:pos="1440"/>
        </w:tabs>
        <w:spacing w:after="0" w:line="480" w:lineRule="auto"/>
        <w:ind w:left="720" w:firstLine="720"/>
        <w:jc w:val="both"/>
        <w:outlineLvl w:val="1"/>
        <w:rPr>
          <w:rFonts w:cs="Arial"/>
          <w:bCs/>
          <w:color w:val="000000"/>
        </w:rPr>
      </w:pPr>
      <w:r w:rsidRPr="00F67C5A">
        <w:rPr>
          <w:rFonts w:cs="Arial"/>
          <w:bCs/>
          <w:color w:val="000000"/>
        </w:rPr>
        <w:t xml:space="preserve">I will also respond to </w:t>
      </w:r>
      <w:r w:rsidRPr="00F67C5A">
        <w:t>Avista</w:t>
      </w:r>
      <w:r w:rsidRPr="00F67C5A">
        <w:rPr>
          <w:rFonts w:cs="Arial"/>
          <w:bCs/>
          <w:color w:val="000000"/>
        </w:rPr>
        <w:t xml:space="preserve"> witness Mr. Adrien McKenzie’s recommended return on equity range of 9.93% to 10.93% and </w:t>
      </w:r>
      <w:r w:rsidRPr="00F67C5A">
        <w:t>Avista</w:t>
      </w:r>
      <w:r w:rsidRPr="00F67C5A">
        <w:rPr>
          <w:rFonts w:cs="Arial"/>
          <w:bCs/>
          <w:color w:val="000000"/>
        </w:rPr>
        <w:t>’s requested return on equity of 9.90%.</w:t>
      </w:r>
    </w:p>
    <w:p w:rsidR="00F23557" w:rsidRPr="00F67C5A" w:rsidRDefault="00F23557" w:rsidP="00F23557">
      <w:pPr>
        <w:tabs>
          <w:tab w:val="left" w:pos="1440"/>
        </w:tabs>
        <w:spacing w:line="480" w:lineRule="auto"/>
        <w:ind w:left="720" w:firstLine="720"/>
        <w:jc w:val="both"/>
        <w:outlineLvl w:val="1"/>
        <w:rPr>
          <w:rFonts w:cs="Arial"/>
          <w:bCs/>
          <w:color w:val="000000"/>
        </w:rPr>
      </w:pPr>
      <w:bookmarkStart w:id="2" w:name="_Toc392680467"/>
      <w:r w:rsidRPr="00F67C5A">
        <w:rPr>
          <w:rFonts w:cs="Arial"/>
          <w:bCs/>
          <w:color w:val="000000"/>
        </w:rPr>
        <w:t>The fact that I do not address any particular issue should not be interpreted as tacit approval of any position taken by Avista.</w:t>
      </w:r>
      <w:bookmarkEnd w:id="2"/>
    </w:p>
    <w:p w:rsidR="00F23557" w:rsidRPr="00F67C5A" w:rsidRDefault="00F23557" w:rsidP="00F23557">
      <w:pPr>
        <w:pStyle w:val="Heading1"/>
        <w:keepNext w:val="0"/>
        <w:keepLines w:val="0"/>
        <w:tabs>
          <w:tab w:val="left" w:pos="1080"/>
        </w:tabs>
        <w:jc w:val="center"/>
        <w:rPr>
          <w:sz w:val="26"/>
          <w:szCs w:val="26"/>
        </w:rPr>
      </w:pPr>
      <w:bookmarkStart w:id="3" w:name="_Toc392680468"/>
      <w:bookmarkStart w:id="4" w:name="_Toc458774147"/>
      <w:r w:rsidRPr="00F67C5A">
        <w:rPr>
          <w:sz w:val="26"/>
          <w:szCs w:val="26"/>
        </w:rPr>
        <w:lastRenderedPageBreak/>
        <w:t>I.   SUMMARY</w:t>
      </w:r>
      <w:bookmarkEnd w:id="3"/>
      <w:bookmarkEnd w:id="4"/>
    </w:p>
    <w:p w:rsidR="00F23557" w:rsidRPr="00F67C5A" w:rsidRDefault="00F23557" w:rsidP="00F23557">
      <w:pPr>
        <w:tabs>
          <w:tab w:val="left" w:pos="1440"/>
        </w:tabs>
        <w:ind w:left="720" w:hanging="720"/>
        <w:jc w:val="both"/>
        <w:rPr>
          <w:rFonts w:eastAsia="Times New Roman"/>
          <w:b/>
          <w:szCs w:val="24"/>
        </w:rPr>
      </w:pPr>
      <w:r w:rsidRPr="00F67C5A">
        <w:rPr>
          <w:rFonts w:eastAsia="Times New Roman"/>
          <w:b/>
          <w:szCs w:val="24"/>
        </w:rPr>
        <w:t>Q.</w:t>
      </w:r>
      <w:r w:rsidRPr="00F67C5A">
        <w:rPr>
          <w:rFonts w:eastAsia="Times New Roman"/>
          <w:b/>
          <w:szCs w:val="24"/>
        </w:rPr>
        <w:tab/>
        <w:t>PLEASE SUMMARIZE YOUR RECOMMENDATIONS.</w:t>
      </w:r>
    </w:p>
    <w:p w:rsidR="00F23557" w:rsidRPr="00F67C5A" w:rsidRDefault="00F23557" w:rsidP="00F23557">
      <w:pPr>
        <w:tabs>
          <w:tab w:val="left" w:pos="1440"/>
        </w:tabs>
        <w:autoSpaceDE w:val="0"/>
        <w:autoSpaceDN w:val="0"/>
        <w:spacing w:after="0" w:line="480" w:lineRule="auto"/>
        <w:ind w:left="720" w:hanging="720"/>
        <w:jc w:val="both"/>
        <w:rPr>
          <w:rFonts w:cs="Arial"/>
        </w:rPr>
      </w:pPr>
      <w:r w:rsidRPr="00F67C5A">
        <w:rPr>
          <w:rFonts w:eastAsia="Times New Roman"/>
          <w:b/>
          <w:szCs w:val="24"/>
        </w:rPr>
        <w:t>A.</w:t>
      </w:r>
      <w:r w:rsidRPr="00F67C5A">
        <w:rPr>
          <w:rFonts w:eastAsia="Times New Roman"/>
          <w:szCs w:val="24"/>
        </w:rPr>
        <w:tab/>
      </w:r>
      <w:r w:rsidRPr="00F67C5A">
        <w:rPr>
          <w:rFonts w:cs="Arial"/>
        </w:rPr>
        <w:t xml:space="preserve">I recommend the Washington Utilities and Transportation Commission (the “Commission”) award a return on common equity of 9.10%, which is the midpoint of my recommended range of 8.70% to 9.40%.  My recommended return on equity will fairly compensate </w:t>
      </w:r>
      <w:r w:rsidRPr="00F67C5A">
        <w:t>Avista</w:t>
      </w:r>
      <w:r w:rsidRPr="00F67C5A">
        <w:rPr>
          <w:rFonts w:cs="Arial"/>
        </w:rPr>
        <w:t xml:space="preserve"> for its current market cost of common equity, and it will mitigate the claimed revenue deficiency in this proceeding by fairly balancing the interests of all stakeholders.  </w:t>
      </w:r>
    </w:p>
    <w:p w:rsidR="00F23557" w:rsidRPr="00F67C5A" w:rsidRDefault="00F23557" w:rsidP="00F23557">
      <w:pPr>
        <w:tabs>
          <w:tab w:val="left" w:pos="1440"/>
        </w:tabs>
        <w:ind w:left="720" w:hanging="720"/>
        <w:jc w:val="both"/>
        <w:rPr>
          <w:rFonts w:eastAsia="Times New Roman"/>
          <w:b/>
          <w:szCs w:val="24"/>
        </w:rPr>
      </w:pPr>
      <w:r w:rsidRPr="00F67C5A">
        <w:rPr>
          <w:rFonts w:eastAsia="Times New Roman"/>
          <w:b/>
          <w:szCs w:val="24"/>
        </w:rPr>
        <w:t>Q.</w:t>
      </w:r>
      <w:r w:rsidRPr="00F67C5A">
        <w:rPr>
          <w:rFonts w:eastAsia="Times New Roman"/>
          <w:b/>
          <w:szCs w:val="24"/>
        </w:rPr>
        <w:tab/>
        <w:t>WHAT IS YOUR RECOMMENDED OVERALL RATE OF RETURN?</w:t>
      </w:r>
    </w:p>
    <w:p w:rsidR="00F23557" w:rsidRPr="0018156A" w:rsidRDefault="00F23557" w:rsidP="00F23557">
      <w:pPr>
        <w:tabs>
          <w:tab w:val="left" w:pos="1440"/>
        </w:tabs>
        <w:spacing w:line="480" w:lineRule="auto"/>
        <w:ind w:left="720" w:hanging="720"/>
        <w:jc w:val="both"/>
        <w:outlineLvl w:val="1"/>
        <w:rPr>
          <w:rFonts w:cs="Arial"/>
        </w:rPr>
      </w:pPr>
      <w:r w:rsidRPr="00F67C5A">
        <w:rPr>
          <w:rFonts w:eastAsia="Times New Roman"/>
          <w:b/>
          <w:szCs w:val="24"/>
        </w:rPr>
        <w:t>A.</w:t>
      </w:r>
      <w:r w:rsidRPr="00F67C5A">
        <w:rPr>
          <w:rFonts w:cs="Arial"/>
        </w:rPr>
        <w:tab/>
        <w:t xml:space="preserve">Based on my recommended return on equity of 9.10%, and the Company’s embedded cost of debt and capital structure, I recommend an overall rate of return of 7.25% as developed on my </w:t>
      </w:r>
      <w:r w:rsidRPr="00F67C5A">
        <w:rPr>
          <w:rFonts w:eastAsia="Times New Roman"/>
          <w:szCs w:val="24"/>
        </w:rPr>
        <w:t>Exhibit No</w:t>
      </w:r>
      <w:proofErr w:type="gramStart"/>
      <w:r w:rsidRPr="00F67C5A">
        <w:rPr>
          <w:rFonts w:eastAsia="Times New Roman"/>
          <w:szCs w:val="24"/>
        </w:rPr>
        <w:t>. MPG-3</w:t>
      </w:r>
      <w:r w:rsidRPr="00F67C5A">
        <w:rPr>
          <w:rFonts w:cs="Arial"/>
        </w:rPr>
        <w:t>.</w:t>
      </w:r>
      <w:proofErr w:type="gramEnd"/>
    </w:p>
    <w:p w:rsidR="00F23557" w:rsidRPr="005E15A1" w:rsidRDefault="00F23557" w:rsidP="00F23557">
      <w:pPr>
        <w:pStyle w:val="Heading1"/>
        <w:keepNext w:val="0"/>
        <w:keepLines w:val="0"/>
        <w:tabs>
          <w:tab w:val="left" w:pos="1080"/>
        </w:tabs>
        <w:jc w:val="center"/>
        <w:rPr>
          <w:sz w:val="26"/>
          <w:szCs w:val="26"/>
        </w:rPr>
      </w:pPr>
      <w:bookmarkStart w:id="5" w:name="_Toc405535353"/>
      <w:bookmarkStart w:id="6" w:name="_Toc414118674"/>
      <w:bookmarkStart w:id="7" w:name="_Toc415559756"/>
      <w:bookmarkStart w:id="8" w:name="_Toc422748035"/>
      <w:bookmarkStart w:id="9" w:name="_Toc432749602"/>
      <w:bookmarkStart w:id="10" w:name="_Toc435456139"/>
      <w:bookmarkStart w:id="11" w:name="_Toc435702710"/>
      <w:bookmarkStart w:id="12" w:name="_Toc456345607"/>
      <w:bookmarkStart w:id="13" w:name="_Toc457315607"/>
      <w:bookmarkStart w:id="14" w:name="_Toc458774148"/>
      <w:r w:rsidRPr="005E15A1">
        <w:rPr>
          <w:sz w:val="26"/>
          <w:szCs w:val="26"/>
        </w:rPr>
        <w:t>II</w:t>
      </w:r>
      <w:proofErr w:type="gramStart"/>
      <w:r w:rsidRPr="005E15A1">
        <w:rPr>
          <w:sz w:val="26"/>
          <w:szCs w:val="26"/>
        </w:rPr>
        <w:t>.  RATE</w:t>
      </w:r>
      <w:proofErr w:type="gramEnd"/>
      <w:r w:rsidRPr="005E15A1">
        <w:rPr>
          <w:sz w:val="26"/>
          <w:szCs w:val="26"/>
        </w:rPr>
        <w:t xml:space="preserve"> OF RETURN</w:t>
      </w:r>
      <w:bookmarkEnd w:id="5"/>
      <w:bookmarkEnd w:id="6"/>
      <w:bookmarkEnd w:id="7"/>
      <w:bookmarkEnd w:id="8"/>
      <w:bookmarkEnd w:id="9"/>
      <w:bookmarkEnd w:id="10"/>
      <w:bookmarkEnd w:id="11"/>
      <w:bookmarkEnd w:id="12"/>
      <w:bookmarkEnd w:id="13"/>
      <w:bookmarkEnd w:id="14"/>
    </w:p>
    <w:p w:rsidR="00F23557" w:rsidRPr="00230FEB" w:rsidRDefault="00F23557" w:rsidP="00F23557">
      <w:pPr>
        <w:tabs>
          <w:tab w:val="left" w:pos="1440"/>
        </w:tabs>
        <w:ind w:left="720" w:hanging="720"/>
        <w:jc w:val="both"/>
        <w:rPr>
          <w:rFonts w:eastAsia="Times New Roman"/>
          <w:b/>
          <w:szCs w:val="24"/>
        </w:rPr>
      </w:pPr>
      <w:r w:rsidRPr="00230FEB">
        <w:rPr>
          <w:rFonts w:eastAsia="Times New Roman"/>
          <w:b/>
          <w:szCs w:val="24"/>
        </w:rPr>
        <w:t>Q</w:t>
      </w:r>
      <w:r>
        <w:rPr>
          <w:rFonts w:eastAsia="Times New Roman"/>
          <w:b/>
          <w:szCs w:val="24"/>
        </w:rPr>
        <w:t>.</w:t>
      </w:r>
      <w:r w:rsidRPr="00230FEB">
        <w:rPr>
          <w:rFonts w:eastAsia="Times New Roman"/>
          <w:b/>
          <w:szCs w:val="24"/>
        </w:rPr>
        <w:tab/>
        <w:t>PLEASE DESCRIBE THIS SECTION OF YOUR TESTIMONY.</w:t>
      </w:r>
    </w:p>
    <w:p w:rsidR="00F23557" w:rsidRPr="0018156A" w:rsidRDefault="00F23557" w:rsidP="00F23557">
      <w:pPr>
        <w:tabs>
          <w:tab w:val="left" w:pos="1440"/>
        </w:tabs>
        <w:spacing w:after="0" w:line="480" w:lineRule="auto"/>
        <w:ind w:left="720" w:hanging="720"/>
        <w:jc w:val="both"/>
        <w:rPr>
          <w:rFonts w:cs="Arial"/>
        </w:rPr>
      </w:pPr>
      <w:r w:rsidRPr="00272C05">
        <w:rPr>
          <w:rFonts w:eastAsia="Times New Roman"/>
          <w:b/>
          <w:szCs w:val="24"/>
        </w:rPr>
        <w:t>A.</w:t>
      </w:r>
      <w:r w:rsidRPr="0018156A">
        <w:rPr>
          <w:rFonts w:cs="Arial"/>
        </w:rPr>
        <w:tab/>
        <w:t xml:space="preserve">In this section of my testimony, I will explain the analysis I performed to determine the reasonable rate of return in this proceeding and present the results of my analysis.  I begin my estimate of a fair return on equity by reviewing the authorized returns approved by the regulatory commissions in various jurisdictions, </w:t>
      </w:r>
      <w:r>
        <w:rPr>
          <w:rFonts w:cs="Arial"/>
        </w:rPr>
        <w:t xml:space="preserve">and </w:t>
      </w:r>
      <w:r w:rsidRPr="0018156A">
        <w:rPr>
          <w:rFonts w:cs="Arial"/>
        </w:rPr>
        <w:t xml:space="preserve">the market assessment of the regulated utility industry investment risk, credit standing, and stock price performance.  I used this information to get a sense of the market’s perception of the risk characteristics of regulated utility investments in general, which is then used to produce a refined estimate of the market’s return requirement for assuming investment risk similar to </w:t>
      </w:r>
      <w:r>
        <w:t>Avista</w:t>
      </w:r>
      <w:r w:rsidRPr="0018156A">
        <w:rPr>
          <w:rFonts w:cs="Arial"/>
        </w:rPr>
        <w:t>’s utility operations.</w:t>
      </w:r>
    </w:p>
    <w:p w:rsidR="00F23557" w:rsidRPr="0018156A" w:rsidRDefault="00F23557" w:rsidP="00F23557">
      <w:pPr>
        <w:tabs>
          <w:tab w:val="left" w:pos="1440"/>
        </w:tabs>
        <w:spacing w:after="0" w:line="480" w:lineRule="auto"/>
        <w:ind w:left="720" w:hanging="720"/>
        <w:jc w:val="both"/>
        <w:rPr>
          <w:rFonts w:cs="Arial"/>
        </w:rPr>
      </w:pPr>
      <w:r w:rsidRPr="0018156A">
        <w:rPr>
          <w:rFonts w:cs="Arial"/>
        </w:rPr>
        <w:lastRenderedPageBreak/>
        <w:tab/>
      </w:r>
      <w:r w:rsidRPr="0018156A">
        <w:rPr>
          <w:rFonts w:cs="Arial"/>
        </w:rPr>
        <w:tab/>
        <w:t>As described below, I find the credit rating outlook of the industry to be strong, supportive of the industry’s financial integrity, and access to capital.  Further, regulated utilities’ stocks have exhibited strong price performance over the last several years, which is evidence of utility access to capital.</w:t>
      </w:r>
    </w:p>
    <w:p w:rsidR="00F23557" w:rsidRPr="0018156A" w:rsidRDefault="00F23557" w:rsidP="00F23557">
      <w:pPr>
        <w:tabs>
          <w:tab w:val="left" w:pos="1440"/>
        </w:tabs>
        <w:spacing w:line="480" w:lineRule="auto"/>
        <w:ind w:left="720" w:hanging="720"/>
        <w:jc w:val="both"/>
        <w:outlineLvl w:val="1"/>
        <w:rPr>
          <w:rFonts w:cs="Arial"/>
        </w:rPr>
      </w:pPr>
      <w:r w:rsidRPr="0018156A">
        <w:rPr>
          <w:rFonts w:cs="Arial"/>
        </w:rPr>
        <w:tab/>
      </w:r>
      <w:r w:rsidRPr="0018156A">
        <w:rPr>
          <w:rFonts w:cs="Arial"/>
        </w:rPr>
        <w:tab/>
        <w:t>Based on this review of credit outlooks and stock price performance, I conclude that the market continues to embrace the regulated utility industry as a safe</w:t>
      </w:r>
      <w:r w:rsidRPr="0018156A">
        <w:rPr>
          <w:rFonts w:cs="Arial"/>
        </w:rPr>
        <w:noBreakHyphen/>
        <w:t>haven investment and views utility equity and debt investments as low-risk securities.</w:t>
      </w:r>
    </w:p>
    <w:p w:rsidR="00F23557" w:rsidRPr="0064619A" w:rsidRDefault="00F23557" w:rsidP="00F23557">
      <w:pPr>
        <w:pStyle w:val="Heading1"/>
        <w:tabs>
          <w:tab w:val="left" w:pos="1440"/>
        </w:tabs>
        <w:spacing w:line="240" w:lineRule="auto"/>
        <w:rPr>
          <w:u w:val="none"/>
        </w:rPr>
      </w:pPr>
      <w:bookmarkStart w:id="15" w:name="_Toc453599400"/>
      <w:bookmarkStart w:id="16" w:name="_Toc456345608"/>
      <w:bookmarkStart w:id="17" w:name="_Toc457315608"/>
      <w:bookmarkStart w:id="18" w:name="_Toc458774149"/>
      <w:r w:rsidRPr="0064619A">
        <w:rPr>
          <w:u w:val="none"/>
        </w:rPr>
        <w:t>II.A</w:t>
      </w:r>
      <w:proofErr w:type="gramStart"/>
      <w:r w:rsidRPr="0064619A">
        <w:rPr>
          <w:u w:val="none"/>
        </w:rPr>
        <w:t>.  Electric</w:t>
      </w:r>
      <w:proofErr w:type="gramEnd"/>
      <w:r w:rsidRPr="0064619A">
        <w:rPr>
          <w:u w:val="none"/>
        </w:rPr>
        <w:t xml:space="preserve"> Industry Authorized Returns on Equity,</w:t>
      </w:r>
      <w:bookmarkEnd w:id="15"/>
      <w:bookmarkEnd w:id="16"/>
      <w:bookmarkEnd w:id="17"/>
      <w:bookmarkEnd w:id="18"/>
    </w:p>
    <w:p w:rsidR="00F23557" w:rsidRPr="0018156A" w:rsidRDefault="00F23557" w:rsidP="00F23557">
      <w:pPr>
        <w:pStyle w:val="Heading1"/>
        <w:tabs>
          <w:tab w:val="left" w:pos="540"/>
          <w:tab w:val="left" w:pos="1440"/>
        </w:tabs>
      </w:pPr>
      <w:r w:rsidRPr="0018156A">
        <w:tab/>
      </w:r>
      <w:bookmarkStart w:id="19" w:name="_Toc453599401"/>
      <w:bookmarkStart w:id="20" w:name="_Toc456345609"/>
      <w:bookmarkStart w:id="21" w:name="_Toc457315609"/>
      <w:r>
        <w:t> </w:t>
      </w:r>
      <w:bookmarkStart w:id="22" w:name="_Toc458774150"/>
      <w:r w:rsidRPr="0018156A">
        <w:t>Access to Capital, and Credit Strength</w:t>
      </w:r>
      <w:bookmarkEnd w:id="19"/>
      <w:bookmarkEnd w:id="20"/>
      <w:bookmarkEnd w:id="21"/>
      <w:bookmarkEnd w:id="22"/>
      <w:r>
        <w:t>                </w:t>
      </w:r>
    </w:p>
    <w:p w:rsidR="00F23557" w:rsidRDefault="00F23557" w:rsidP="00F23557">
      <w:pPr>
        <w:suppressLineNumbers/>
        <w:tabs>
          <w:tab w:val="left" w:pos="1440"/>
        </w:tabs>
        <w:spacing w:after="0"/>
        <w:ind w:left="720" w:hanging="720"/>
        <w:jc w:val="both"/>
        <w:rPr>
          <w:rFonts w:eastAsia="Times New Roman"/>
          <w:b/>
          <w:szCs w:val="24"/>
        </w:rPr>
      </w:pPr>
    </w:p>
    <w:p w:rsidR="00F23557" w:rsidRPr="00230FEB" w:rsidRDefault="00F23557" w:rsidP="00F23557">
      <w:pPr>
        <w:tabs>
          <w:tab w:val="left" w:pos="1440"/>
        </w:tabs>
        <w:ind w:left="720" w:hanging="720"/>
        <w:jc w:val="both"/>
        <w:rPr>
          <w:rFonts w:eastAsia="Times New Roman"/>
          <w:b/>
          <w:szCs w:val="24"/>
        </w:rPr>
      </w:pPr>
      <w:r w:rsidRPr="00230FEB">
        <w:rPr>
          <w:rFonts w:eastAsia="Times New Roman"/>
          <w:b/>
          <w:szCs w:val="24"/>
        </w:rPr>
        <w:t>Q</w:t>
      </w:r>
      <w:r>
        <w:rPr>
          <w:rFonts w:eastAsia="Times New Roman"/>
          <w:b/>
          <w:szCs w:val="24"/>
        </w:rPr>
        <w:t>.</w:t>
      </w:r>
      <w:r w:rsidRPr="00230FEB">
        <w:rPr>
          <w:rFonts w:eastAsia="Times New Roman"/>
          <w:b/>
          <w:szCs w:val="24"/>
        </w:rPr>
        <w:tab/>
        <w:t>PLEASE DESCRIBE THE OBSERVABLE EVIDENCE ON TRENDS IN AUTHORIZED RETURNS ON EQUITY FOR ELECTRIC UTILITIES, ELECTRIC UTILITIES’ CREDIT STANDING, AND ELECTRIC UTILITIES’ ACCESS TO CAPITAL TO FUND INFRASTRUCTURE INVESTMENT.</w:t>
      </w:r>
    </w:p>
    <w:p w:rsidR="00F23557" w:rsidRPr="0018156A" w:rsidRDefault="00F23557" w:rsidP="00F23557">
      <w:pPr>
        <w:tabs>
          <w:tab w:val="left" w:pos="1440"/>
        </w:tabs>
        <w:spacing w:after="0" w:line="480" w:lineRule="auto"/>
        <w:ind w:left="720" w:hanging="720"/>
        <w:jc w:val="both"/>
        <w:rPr>
          <w:rFonts w:cs="Arial"/>
          <w:color w:val="000000"/>
        </w:rPr>
      </w:pPr>
      <w:r w:rsidRPr="00272C05">
        <w:rPr>
          <w:rFonts w:eastAsia="Times New Roman"/>
          <w:b/>
          <w:szCs w:val="24"/>
        </w:rPr>
        <w:t>A.</w:t>
      </w:r>
      <w:r w:rsidRPr="0018156A">
        <w:rPr>
          <w:b/>
        </w:rPr>
        <w:tab/>
      </w:r>
      <w:r w:rsidRPr="0018156A">
        <w:t>Authorized returns on equity for electric utilities have been steadily declining over the last 10 years as illustrated in the graph below.  More recent authorized returns on equity for electric utilities have declined down to about the 9.6% to 9.</w:t>
      </w:r>
      <w:r>
        <w:t>5</w:t>
      </w:r>
      <w:r w:rsidRPr="0018156A">
        <w:t xml:space="preserve">% area, which approaches the high-end of my recommended range in this proceeding.  </w:t>
      </w:r>
    </w:p>
    <w:p w:rsidR="00F23557" w:rsidRDefault="00F23557" w:rsidP="00F23557">
      <w:pPr>
        <w:suppressLineNumbers/>
        <w:tabs>
          <w:tab w:val="left" w:pos="1080"/>
        </w:tabs>
        <w:ind w:left="720" w:hanging="720"/>
        <w:jc w:val="both"/>
      </w:pPr>
      <w:r w:rsidRPr="00577E55">
        <w:rPr>
          <w:noProof/>
        </w:rPr>
        <w:lastRenderedPageBreak/>
        <w:drawing>
          <wp:inline distT="0" distB="0" distL="0" distR="0">
            <wp:extent cx="5760720" cy="4976082"/>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760720" cy="4976082"/>
                    </a:xfrm>
                    <a:prstGeom prst="rect">
                      <a:avLst/>
                    </a:prstGeom>
                    <a:noFill/>
                    <a:ln w="9525">
                      <a:noFill/>
                      <a:miter lim="800000"/>
                      <a:headEnd/>
                      <a:tailEnd/>
                    </a:ln>
                  </pic:spPr>
                </pic:pic>
              </a:graphicData>
            </a:graphic>
          </wp:inline>
        </w:drawing>
      </w:r>
    </w:p>
    <w:p w:rsidR="00F23557" w:rsidRPr="0018156A" w:rsidRDefault="00F23557" w:rsidP="00F23557">
      <w:pPr>
        <w:tabs>
          <w:tab w:val="left" w:pos="1440"/>
        </w:tabs>
        <w:spacing w:after="0" w:line="480" w:lineRule="auto"/>
        <w:ind w:left="720" w:hanging="720"/>
        <w:jc w:val="both"/>
      </w:pPr>
      <w:r w:rsidRPr="0018156A">
        <w:tab/>
      </w:r>
      <w:r w:rsidRPr="0018156A">
        <w:tab/>
        <w:t xml:space="preserve">As illustrated on </w:t>
      </w:r>
      <w:r>
        <w:t>the graph above, excluding the</w:t>
      </w:r>
      <w:r w:rsidRPr="0018156A">
        <w:t xml:space="preserve"> Virginia rider decisions</w:t>
      </w:r>
      <w:r>
        <w:t xml:space="preserve"> and limited issue riders</w:t>
      </w:r>
      <w:r w:rsidRPr="0018156A">
        <w:t xml:space="preserve">, the authorized return on equity for electric utilities has steadily declined in 2015/2016 from preceding periods.  </w:t>
      </w:r>
    </w:p>
    <w:p w:rsidR="00F23557" w:rsidRPr="0018156A" w:rsidRDefault="00F23557" w:rsidP="00F23557">
      <w:pPr>
        <w:tabs>
          <w:tab w:val="left" w:pos="1440"/>
        </w:tabs>
        <w:spacing w:after="0" w:line="480" w:lineRule="auto"/>
        <w:ind w:left="720" w:hanging="720"/>
        <w:jc w:val="both"/>
      </w:pPr>
      <w:r>
        <w:tab/>
      </w:r>
      <w:r>
        <w:tab/>
      </w:r>
      <w:r w:rsidRPr="0018156A">
        <w:t xml:space="preserve">While the declines in authorized returns on equity is public knowledge, and align with declining capital market costs, utilities are maintaining strong investment grade credit standing, and have been able to attract large amounts of capital at low costs to fund very large capital programs. </w:t>
      </w:r>
    </w:p>
    <w:p w:rsidR="00F23557" w:rsidRPr="00230FEB" w:rsidRDefault="00F23557" w:rsidP="00F23557">
      <w:pPr>
        <w:keepNext/>
        <w:keepLines/>
        <w:tabs>
          <w:tab w:val="left" w:pos="1080"/>
          <w:tab w:val="left" w:pos="1440"/>
        </w:tabs>
        <w:ind w:left="720" w:hanging="720"/>
        <w:jc w:val="both"/>
        <w:rPr>
          <w:rFonts w:eastAsia="Times New Roman"/>
          <w:b/>
          <w:szCs w:val="24"/>
        </w:rPr>
      </w:pPr>
      <w:r w:rsidRPr="00230FEB">
        <w:rPr>
          <w:rFonts w:eastAsia="Times New Roman"/>
          <w:b/>
          <w:szCs w:val="24"/>
        </w:rPr>
        <w:lastRenderedPageBreak/>
        <w:t>Q</w:t>
      </w:r>
      <w:r>
        <w:rPr>
          <w:rFonts w:eastAsia="Times New Roman"/>
          <w:b/>
          <w:szCs w:val="24"/>
        </w:rPr>
        <w:t>.</w:t>
      </w:r>
      <w:r w:rsidRPr="00230FEB">
        <w:rPr>
          <w:rFonts w:eastAsia="Times New Roman"/>
          <w:b/>
          <w:szCs w:val="24"/>
        </w:rPr>
        <w:tab/>
        <w:t>PLEASE DESCRIBE THE TREND IN CREDIT RATING CHANGES IN THE ELECTRIC UTILITY INDUSTRY OVER THE LAST FIVE YEARS.</w:t>
      </w:r>
    </w:p>
    <w:p w:rsidR="00F23557" w:rsidRDefault="00F23557" w:rsidP="00F23557">
      <w:pPr>
        <w:tabs>
          <w:tab w:val="left" w:pos="1080"/>
          <w:tab w:val="left" w:pos="1440"/>
        </w:tabs>
        <w:spacing w:after="0" w:line="480" w:lineRule="auto"/>
        <w:ind w:left="720" w:hanging="720"/>
        <w:jc w:val="both"/>
      </w:pPr>
      <w:r w:rsidRPr="0064619A">
        <w:rPr>
          <w:rFonts w:eastAsia="Times New Roman"/>
          <w:b/>
          <w:szCs w:val="24"/>
        </w:rPr>
        <w:t>A.</w:t>
      </w:r>
      <w:r w:rsidRPr="0064619A">
        <w:tab/>
        <w:t>As shown below in Table 1, over the period 2010-2015, the electric utility industry has</w:t>
      </w:r>
      <w:r w:rsidRPr="0018156A">
        <w:t xml:space="preserve"> experienced a significant number of upgrades in credit ratings by all of the major credit rating agencies (Fitch Ratings, Moody’s, and Standard &amp; Poor’s).  </w:t>
      </w:r>
    </w:p>
    <w:p w:rsidR="00F23557" w:rsidRDefault="00F23557" w:rsidP="00F23557">
      <w:pPr>
        <w:suppressLineNumbers/>
        <w:tabs>
          <w:tab w:val="left" w:pos="1080"/>
        </w:tabs>
        <w:ind w:right="-198"/>
        <w:jc w:val="center"/>
      </w:pPr>
      <w:r w:rsidRPr="00EA325E">
        <w:rPr>
          <w:noProof/>
        </w:rPr>
        <w:drawing>
          <wp:inline distT="0" distB="0" distL="0" distR="0">
            <wp:extent cx="5760720" cy="4431323"/>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760720" cy="4431323"/>
                    </a:xfrm>
                    <a:prstGeom prst="rect">
                      <a:avLst/>
                    </a:prstGeom>
                    <a:noFill/>
                    <a:ln w="9525">
                      <a:noFill/>
                      <a:miter lim="800000"/>
                      <a:headEnd/>
                      <a:tailEnd/>
                    </a:ln>
                  </pic:spPr>
                </pic:pic>
              </a:graphicData>
            </a:graphic>
          </wp:inline>
        </w:drawing>
      </w:r>
    </w:p>
    <w:p w:rsidR="00F23557" w:rsidRPr="0018156A" w:rsidRDefault="00F23557" w:rsidP="00F23557">
      <w:pPr>
        <w:tabs>
          <w:tab w:val="left" w:pos="1440"/>
        </w:tabs>
        <w:spacing w:after="0" w:line="480" w:lineRule="auto"/>
        <w:ind w:left="720" w:hanging="720"/>
        <w:jc w:val="both"/>
      </w:pPr>
      <w:r>
        <w:tab/>
      </w:r>
      <w:r>
        <w:tab/>
      </w:r>
      <w:r w:rsidRPr="0064619A">
        <w:t>As noted above in Table 1, the upgrades in utility credit ratings started outpacing</w:t>
      </w:r>
      <w:r w:rsidRPr="0018156A">
        <w:t xml:space="preserve"> downgrades in 2011, and more recently, the number of upgrades substantially exceeds the amount of downgrades.  For example, in 2014, there were 103 upgrades and only three downgrades.  In 2015, the number of upgrades </w:t>
      </w:r>
      <w:r>
        <w:t>was</w:t>
      </w:r>
      <w:r w:rsidRPr="0018156A">
        <w:t xml:space="preserve"> more than twice the number of downgrades (at 35 upgrades and 15 downgrades).</w:t>
      </w:r>
    </w:p>
    <w:p w:rsidR="00F23557" w:rsidRPr="00873AE8" w:rsidRDefault="00F23557" w:rsidP="00F23557">
      <w:pPr>
        <w:tabs>
          <w:tab w:val="left" w:pos="1440"/>
        </w:tabs>
        <w:ind w:left="720" w:hanging="720"/>
        <w:jc w:val="both"/>
        <w:rPr>
          <w:rFonts w:eastAsia="Times New Roman"/>
          <w:b/>
          <w:szCs w:val="24"/>
        </w:rPr>
      </w:pPr>
      <w:r w:rsidRPr="00873AE8">
        <w:rPr>
          <w:rFonts w:eastAsia="Times New Roman"/>
          <w:b/>
          <w:szCs w:val="24"/>
        </w:rPr>
        <w:lastRenderedPageBreak/>
        <w:t>Q</w:t>
      </w:r>
      <w:r w:rsidRPr="00873AE8">
        <w:rPr>
          <w:rFonts w:eastAsia="Times New Roman"/>
          <w:b/>
          <w:szCs w:val="24"/>
        </w:rPr>
        <w:tab/>
      </w:r>
      <w:proofErr w:type="gramStart"/>
      <w:r w:rsidRPr="00873AE8">
        <w:rPr>
          <w:rFonts w:eastAsia="Times New Roman"/>
          <w:b/>
          <w:szCs w:val="24"/>
        </w:rPr>
        <w:t>ARE</w:t>
      </w:r>
      <w:proofErr w:type="gramEnd"/>
      <w:r w:rsidRPr="00873AE8">
        <w:rPr>
          <w:rFonts w:eastAsia="Times New Roman"/>
          <w:b/>
          <w:szCs w:val="24"/>
        </w:rPr>
        <w:t xml:space="preserve"> THESE UPGRADES HAVING A SIGNIFICANT IMPACT ON THE CREDIT STANDING OF THE REGULATED UTILITY COMPANIES?</w:t>
      </w:r>
    </w:p>
    <w:p w:rsidR="00F23557" w:rsidRDefault="00F23557" w:rsidP="00F23557">
      <w:pPr>
        <w:tabs>
          <w:tab w:val="left" w:pos="1440"/>
        </w:tabs>
        <w:spacing w:after="0" w:line="480" w:lineRule="auto"/>
        <w:ind w:left="720" w:hanging="720"/>
        <w:jc w:val="both"/>
      </w:pPr>
      <w:proofErr w:type="gramStart"/>
      <w:r>
        <w:t>A</w:t>
      </w:r>
      <w:r>
        <w:tab/>
        <w:t>Yes.</w:t>
      </w:r>
      <w:proofErr w:type="gramEnd"/>
      <w:r>
        <w:t xml:space="preserve">  As shown below in Table 2, the regulated utility companies followed by t</w:t>
      </w:r>
      <w:r w:rsidRPr="0018156A">
        <w:t>he Edison Electric Institute (“EEI”)</w:t>
      </w:r>
      <w:r>
        <w:t xml:space="preserve"> are strengthening considerably and predominantly falling in the range of A- to BBB.  </w:t>
      </w:r>
    </w:p>
    <w:p w:rsidR="00F23557" w:rsidRDefault="00F23557" w:rsidP="00F23557">
      <w:pPr>
        <w:suppressLineNumbers/>
        <w:ind w:left="720" w:hanging="720"/>
        <w:jc w:val="both"/>
      </w:pPr>
      <w:r>
        <w:rPr>
          <w:noProof/>
        </w:rPr>
        <w:drawing>
          <wp:inline distT="0" distB="0" distL="0" distR="0">
            <wp:extent cx="5760720" cy="2604857"/>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760720" cy="2604857"/>
                    </a:xfrm>
                    <a:prstGeom prst="rect">
                      <a:avLst/>
                    </a:prstGeom>
                    <a:noFill/>
                    <a:ln w="9525">
                      <a:noFill/>
                      <a:miter lim="800000"/>
                      <a:headEnd/>
                      <a:tailEnd/>
                    </a:ln>
                  </pic:spPr>
                </pic:pic>
              </a:graphicData>
            </a:graphic>
          </wp:inline>
        </w:drawing>
      </w:r>
    </w:p>
    <w:p w:rsidR="00F23557" w:rsidRPr="0018156A" w:rsidRDefault="00F23557" w:rsidP="00F23557">
      <w:pPr>
        <w:tabs>
          <w:tab w:val="left" w:pos="1440"/>
        </w:tabs>
        <w:spacing w:after="0" w:line="480" w:lineRule="auto"/>
        <w:ind w:left="720" w:hanging="720"/>
        <w:jc w:val="both"/>
      </w:pPr>
      <w:r>
        <w:tab/>
      </w:r>
      <w:r>
        <w:tab/>
        <w:t>As shown in the table above, since 2005, the number of below investment grade regulated utility companies has dropped from over 17% of the industry down to only 6%.  Further, the number of A- rated regulated utility companies has increased from 8% to 22%.  Also significantly, the number of BBB+ and BBB rated regulated utility companies has increased from around 47% up to over 67%.  The number of below investment grade, or minimum investment grade regulated utility companies has dropped dramatically.</w:t>
      </w:r>
    </w:p>
    <w:p w:rsidR="00F23557" w:rsidRPr="00230FEB" w:rsidRDefault="00F23557" w:rsidP="00F23557">
      <w:pPr>
        <w:tabs>
          <w:tab w:val="left" w:pos="1080"/>
          <w:tab w:val="left" w:pos="1440"/>
        </w:tabs>
        <w:ind w:left="720" w:hanging="720"/>
        <w:jc w:val="both"/>
        <w:rPr>
          <w:rFonts w:eastAsia="Times New Roman"/>
          <w:b/>
          <w:szCs w:val="24"/>
        </w:rPr>
      </w:pPr>
      <w:r w:rsidRPr="00230FEB">
        <w:rPr>
          <w:rFonts w:eastAsia="Times New Roman"/>
          <w:b/>
          <w:szCs w:val="24"/>
        </w:rPr>
        <w:t>Q</w:t>
      </w:r>
      <w:r>
        <w:rPr>
          <w:rFonts w:eastAsia="Times New Roman"/>
          <w:b/>
          <w:szCs w:val="24"/>
        </w:rPr>
        <w:t>.</w:t>
      </w:r>
      <w:r w:rsidRPr="00230FEB">
        <w:rPr>
          <w:rFonts w:eastAsia="Times New Roman"/>
          <w:b/>
          <w:szCs w:val="24"/>
        </w:rPr>
        <w:tab/>
        <w:t>HAVE CREDIT RATING AGENCIES COMMENTED ON DECLINING AUTHORIZED RETURNS ON EQUITY?</w:t>
      </w:r>
    </w:p>
    <w:p w:rsidR="00F23557" w:rsidRPr="0018156A" w:rsidRDefault="00F23557" w:rsidP="00F23557">
      <w:pPr>
        <w:tabs>
          <w:tab w:val="left" w:pos="1080"/>
          <w:tab w:val="left" w:pos="1440"/>
        </w:tabs>
        <w:spacing w:after="0" w:line="480" w:lineRule="auto"/>
        <w:ind w:left="720" w:hanging="720"/>
        <w:jc w:val="both"/>
      </w:pPr>
      <w:r w:rsidRPr="00272C05">
        <w:rPr>
          <w:rFonts w:eastAsia="Times New Roman"/>
          <w:b/>
          <w:szCs w:val="24"/>
        </w:rPr>
        <w:t>A.</w:t>
      </w:r>
      <w:r w:rsidRPr="0018156A">
        <w:tab/>
        <w:t>Yes.  Credit rating agencies recognize the declining trend in authorized returns and the expectation that regulators will continue lowering the returns for U.S. utilities while maintaining a stable credit profile.  Specifically, Moody’s states:</w:t>
      </w:r>
    </w:p>
    <w:p w:rsidR="00F23557" w:rsidRPr="0018156A" w:rsidRDefault="00F23557" w:rsidP="00F23557">
      <w:pPr>
        <w:keepNext/>
        <w:keepLines/>
        <w:tabs>
          <w:tab w:val="left" w:pos="1080"/>
        </w:tabs>
        <w:autoSpaceDE w:val="0"/>
        <w:autoSpaceDN w:val="0"/>
        <w:adjustRightInd w:val="0"/>
        <w:ind w:left="1440" w:right="720"/>
        <w:jc w:val="both"/>
        <w:rPr>
          <w:rFonts w:cs="Arial"/>
          <w:b/>
        </w:rPr>
      </w:pPr>
      <w:r w:rsidRPr="0018156A">
        <w:rPr>
          <w:rFonts w:cs="Arial"/>
          <w:b/>
        </w:rPr>
        <w:lastRenderedPageBreak/>
        <w:t>Lower Authorized Equity Returns Will Not Hurt Near-Term Credit Profiles</w:t>
      </w:r>
    </w:p>
    <w:p w:rsidR="00F23557" w:rsidRPr="0018156A" w:rsidRDefault="00F23557" w:rsidP="00F23557">
      <w:pPr>
        <w:tabs>
          <w:tab w:val="left" w:pos="1080"/>
        </w:tabs>
        <w:autoSpaceDE w:val="0"/>
        <w:autoSpaceDN w:val="0"/>
        <w:adjustRightInd w:val="0"/>
        <w:ind w:left="1440" w:right="720"/>
        <w:jc w:val="both"/>
        <w:rPr>
          <w:rFonts w:cs="Arial"/>
        </w:rPr>
      </w:pPr>
      <w:r w:rsidRPr="0018156A">
        <w:rPr>
          <w:rFonts w:cs="Arial"/>
        </w:rPr>
        <w:t>The credit profiles of US regulated utilities will remain intact over the next few years despite our expectation that regulators will continue to trim the sector’s profitability by lowering its authorized returns on equity (ROE).</w:t>
      </w:r>
      <w:r w:rsidRPr="002C4A67">
        <w:rPr>
          <w:rFonts w:cs="Arial"/>
          <w:u w:val="single"/>
          <w:vertAlign w:val="superscript"/>
        </w:rPr>
        <w:footnoteReference w:id="1"/>
      </w:r>
      <w:r w:rsidRPr="00A26064">
        <w:rPr>
          <w:rFonts w:cs="Arial"/>
          <w:vertAlign w:val="superscript"/>
        </w:rPr>
        <w:t>/</w:t>
      </w:r>
    </w:p>
    <w:p w:rsidR="00F23557" w:rsidRPr="0018156A" w:rsidRDefault="00F23557" w:rsidP="00F23557">
      <w:pPr>
        <w:tabs>
          <w:tab w:val="left" w:pos="-1440"/>
          <w:tab w:val="left" w:pos="1080"/>
        </w:tabs>
        <w:spacing w:after="0" w:line="480" w:lineRule="auto"/>
        <w:ind w:left="720" w:hanging="720"/>
        <w:jc w:val="both"/>
      </w:pPr>
      <w:r w:rsidRPr="0018156A">
        <w:tab/>
      </w:r>
      <w:r w:rsidRPr="0018156A">
        <w:tab/>
        <w:t>Further, in a recent report, S&amp;P states:</w:t>
      </w:r>
    </w:p>
    <w:p w:rsidR="00F23557" w:rsidRPr="0018156A" w:rsidRDefault="00F23557" w:rsidP="00F23557">
      <w:pPr>
        <w:tabs>
          <w:tab w:val="left" w:pos="1080"/>
        </w:tabs>
        <w:autoSpaceDE w:val="0"/>
        <w:autoSpaceDN w:val="0"/>
        <w:adjustRightInd w:val="0"/>
        <w:ind w:left="2160" w:right="720"/>
        <w:jc w:val="both"/>
        <w:rPr>
          <w:rFonts w:cs="Arial"/>
          <w:color w:val="000000"/>
        </w:rPr>
      </w:pPr>
      <w:r w:rsidRPr="0018156A">
        <w:rPr>
          <w:rFonts w:cs="Arial"/>
          <w:b/>
          <w:bCs/>
          <w:color w:val="000000"/>
        </w:rPr>
        <w:t xml:space="preserve">2.  Earned returns will remain in line with authorized returns </w:t>
      </w:r>
    </w:p>
    <w:p w:rsidR="00F23557" w:rsidRDefault="00F23557" w:rsidP="00F23557">
      <w:pPr>
        <w:tabs>
          <w:tab w:val="left" w:pos="-1440"/>
          <w:tab w:val="left" w:pos="1080"/>
        </w:tabs>
        <w:spacing w:after="0"/>
        <w:ind w:left="2160" w:right="720"/>
        <w:jc w:val="both"/>
        <w:rPr>
          <w:rFonts w:cs="Arial"/>
          <w:color w:val="000000"/>
        </w:rPr>
      </w:pPr>
      <w:r w:rsidRPr="0018156A">
        <w:rPr>
          <w:rFonts w:cs="Arial"/>
          <w:color w:val="000000"/>
        </w:rPr>
        <w:t xml:space="preserve">Authorized returns on equity granted by U.S. utility regulators in rate cases this year have been steady at about </w:t>
      </w:r>
      <w:r w:rsidRPr="0018156A">
        <w:rPr>
          <w:rFonts w:cs="Arial"/>
          <w:color w:val="000000"/>
          <w:u w:val="single"/>
        </w:rPr>
        <w:t>9.5%</w:t>
      </w:r>
      <w:proofErr w:type="gramStart"/>
      <w:r w:rsidRPr="0018156A">
        <w:rPr>
          <w:rFonts w:cs="Arial"/>
          <w:color w:val="000000"/>
        </w:rPr>
        <w:t xml:space="preserve">. </w:t>
      </w:r>
      <w:proofErr w:type="gramEnd"/>
      <w:r w:rsidRPr="0018156A">
        <w:rPr>
          <w:rFonts w:cs="Arial"/>
          <w:color w:val="000000"/>
        </w:rPr>
        <w:t>Utilities have been adept at earning at or very near those authorized returns in today’s economic and fiscal environment</w:t>
      </w:r>
      <w:proofErr w:type="gramStart"/>
      <w:r w:rsidRPr="0018156A">
        <w:rPr>
          <w:rFonts w:cs="Arial"/>
          <w:color w:val="000000"/>
        </w:rPr>
        <w:t xml:space="preserve">. </w:t>
      </w:r>
      <w:proofErr w:type="gramEnd"/>
      <w:r w:rsidRPr="0018156A">
        <w:rPr>
          <w:rFonts w:cs="Arial"/>
          <w:color w:val="000000"/>
        </w:rPr>
        <w:t>A slowly recovering economy, natural gas and electric prices coming down and then stabilizing at fairly low levels, and the same experience with interest rates have led to a perfect “non-storm” for utility ratepayers and regulators, with utilities benefitting alongside those important constituencies</w:t>
      </w:r>
      <w:proofErr w:type="gramStart"/>
      <w:r w:rsidRPr="0018156A">
        <w:rPr>
          <w:rFonts w:cs="Arial"/>
          <w:color w:val="000000"/>
        </w:rPr>
        <w:t xml:space="preserve">. </w:t>
      </w:r>
      <w:proofErr w:type="gramEnd"/>
      <w:r w:rsidRPr="0018156A">
        <w:rPr>
          <w:rFonts w:cs="Arial"/>
          <w:color w:val="000000"/>
        </w:rPr>
        <w:t>Utilities have largely used this protracted period of favorable circumstances to consolidate and institutionalize the regulatory practices that support earnings and cash flow stability</w:t>
      </w:r>
      <w:proofErr w:type="gramStart"/>
      <w:r w:rsidRPr="0018156A">
        <w:rPr>
          <w:rFonts w:cs="Arial"/>
          <w:color w:val="000000"/>
        </w:rPr>
        <w:t xml:space="preserve">. </w:t>
      </w:r>
      <w:proofErr w:type="gramEnd"/>
      <w:r w:rsidRPr="0018156A">
        <w:rPr>
          <w:rFonts w:cs="Arial"/>
          <w:color w:val="000000"/>
        </w:rPr>
        <w:t>We have observed and we project continued use of credit-supportive policies such as short lags between rate filings and final decisions, up-to-date test years, flexible and dynamic tariff clauses for major expense items, and alternative ratemaking approaches that allow faster rate recognition for some new investments.</w:t>
      </w:r>
      <w:r w:rsidRPr="008172CC">
        <w:rPr>
          <w:rFonts w:cs="Arial"/>
          <w:u w:val="single"/>
          <w:vertAlign w:val="superscript"/>
        </w:rPr>
        <w:footnoteReference w:id="2"/>
      </w:r>
      <w:r w:rsidRPr="00A26064">
        <w:rPr>
          <w:rFonts w:cs="Arial"/>
          <w:color w:val="000000"/>
          <w:vertAlign w:val="superscript"/>
        </w:rPr>
        <w:t>/</w:t>
      </w:r>
    </w:p>
    <w:p w:rsidR="00F23557" w:rsidRDefault="00F23557" w:rsidP="00F23557">
      <w:pPr>
        <w:suppressLineNumbers/>
        <w:tabs>
          <w:tab w:val="left" w:pos="-1440"/>
          <w:tab w:val="left" w:pos="1080"/>
        </w:tabs>
        <w:spacing w:after="0"/>
        <w:ind w:left="2160" w:right="720"/>
        <w:jc w:val="both"/>
        <w:rPr>
          <w:rFonts w:cs="Arial"/>
          <w:color w:val="000000"/>
        </w:rPr>
      </w:pPr>
    </w:p>
    <w:p w:rsidR="00F23557" w:rsidRPr="0018156A" w:rsidRDefault="00F23557" w:rsidP="00F23557">
      <w:pPr>
        <w:suppressLineNumbers/>
        <w:tabs>
          <w:tab w:val="left" w:pos="-1440"/>
          <w:tab w:val="left" w:pos="1080"/>
        </w:tabs>
        <w:spacing w:after="0"/>
        <w:ind w:left="2160" w:right="720"/>
        <w:jc w:val="both"/>
        <w:rPr>
          <w:rFonts w:cs="Arial"/>
        </w:rPr>
      </w:pPr>
    </w:p>
    <w:p w:rsidR="00F23557" w:rsidRPr="0018156A" w:rsidRDefault="00F23557" w:rsidP="00F23557">
      <w:pPr>
        <w:tabs>
          <w:tab w:val="left" w:pos="1440"/>
        </w:tabs>
        <w:ind w:left="720" w:hanging="720"/>
        <w:jc w:val="both"/>
        <w:rPr>
          <w:rFonts w:cs="Arial"/>
          <w:b/>
        </w:rPr>
      </w:pPr>
      <w:r w:rsidRPr="0018156A">
        <w:rPr>
          <w:rFonts w:cs="Arial"/>
          <w:b/>
        </w:rPr>
        <w:t>Q</w:t>
      </w:r>
      <w:r>
        <w:rPr>
          <w:rFonts w:cs="Arial"/>
          <w:b/>
        </w:rPr>
        <w:t>.</w:t>
      </w:r>
      <w:r w:rsidRPr="0018156A">
        <w:rPr>
          <w:rFonts w:cs="Arial"/>
          <w:b/>
        </w:rPr>
        <w:tab/>
        <w:t>HAVE UTILITIES BEEN ABLE TO ACCESS EXTERNAL CAPITAL TO SUPPORT INFRASTRUCTURE CAPITAL PROGRAMS?</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rPr>
          <w:rFonts w:cs="Arial"/>
        </w:rPr>
        <w:tab/>
        <w:t xml:space="preserve">Yes.  </w:t>
      </w:r>
      <w:r w:rsidRPr="0018156A">
        <w:t xml:space="preserve">While cost of capital and authorized returns on equity were declining, the utility industry has been able to fund substantial increases in capital investments needed for infrastructure modernization and expansion.  </w:t>
      </w:r>
      <w:r>
        <w:t>EEI</w:t>
      </w:r>
      <w:r w:rsidRPr="0018156A">
        <w:t xml:space="preserve"> reported in a 2015 financial review </w:t>
      </w:r>
      <w:r w:rsidRPr="0018156A">
        <w:lastRenderedPageBreak/>
        <w:t>of the electric industry financial performance that in 2011 electric “industry-wide capex has more than doubled since 2005.”</w:t>
      </w:r>
      <w:r w:rsidRPr="008172CC">
        <w:rPr>
          <w:rFonts w:cs="Arial"/>
          <w:u w:val="single"/>
          <w:vertAlign w:val="superscript"/>
        </w:rPr>
        <w:footnoteReference w:id="3"/>
      </w:r>
      <w:r w:rsidRPr="00A26064">
        <w:rPr>
          <w:rFonts w:cs="Arial"/>
          <w:color w:val="000000"/>
          <w:vertAlign w:val="superscript"/>
        </w:rPr>
        <w:t>/</w:t>
      </w:r>
      <w:r w:rsidRPr="0018156A">
        <w:t xml:space="preserve">  </w:t>
      </w:r>
    </w:p>
    <w:p w:rsidR="00F23557" w:rsidRPr="0018156A" w:rsidRDefault="00F23557" w:rsidP="00F23557">
      <w:pPr>
        <w:tabs>
          <w:tab w:val="left" w:pos="1440"/>
        </w:tabs>
        <w:spacing w:after="0" w:line="480" w:lineRule="auto"/>
        <w:ind w:left="720" w:hanging="720"/>
        <w:jc w:val="both"/>
      </w:pPr>
      <w:r>
        <w:tab/>
      </w:r>
      <w:r>
        <w:tab/>
      </w:r>
      <w:r w:rsidRPr="0018156A">
        <w:t>EEI also observed that, despite this nearly tripling of capital expenditures during the period 2005-2015, a majority of the funding for utilities’ capital expenditures has been provided by internal funds.  EEI reports approximately 25% of funding needed to meet these increasing capital expenditures has been derived from external sources and 75% of these capital expenditures have been funded by internal cash.  Further, despite nearly tripling capital expenditures, the electric utility industry debt interest expense has declined by approximately 1.9% despite increases in the amount of outstanding debt.</w:t>
      </w:r>
      <w:r w:rsidRPr="008172CC">
        <w:rPr>
          <w:u w:val="single"/>
          <w:vertAlign w:val="superscript"/>
        </w:rPr>
        <w:footnoteReference w:id="4"/>
      </w:r>
      <w:proofErr w:type="gramStart"/>
      <w:r w:rsidRPr="00A26064">
        <w:rPr>
          <w:rFonts w:cs="Arial"/>
          <w:color w:val="000000"/>
          <w:vertAlign w:val="superscript"/>
        </w:rPr>
        <w:t>/</w:t>
      </w:r>
      <w:r w:rsidRPr="0018156A">
        <w:t xml:space="preserve">  This</w:t>
      </w:r>
      <w:proofErr w:type="gramEnd"/>
      <w:r w:rsidRPr="0018156A">
        <w:t xml:space="preserve"> is clear proof that capital market costs have declined.</w:t>
      </w:r>
    </w:p>
    <w:p w:rsidR="00F23557" w:rsidRPr="0018156A" w:rsidRDefault="00F23557" w:rsidP="00F23557">
      <w:pPr>
        <w:tabs>
          <w:tab w:val="left" w:pos="1440"/>
        </w:tabs>
        <w:ind w:left="720" w:hanging="720"/>
        <w:jc w:val="both"/>
        <w:rPr>
          <w:b/>
        </w:rPr>
      </w:pPr>
      <w:r w:rsidRPr="0018156A">
        <w:rPr>
          <w:b/>
        </w:rPr>
        <w:t>Q</w:t>
      </w:r>
      <w:r>
        <w:rPr>
          <w:b/>
        </w:rPr>
        <w:t>.</w:t>
      </w:r>
      <w:r w:rsidRPr="0018156A">
        <w:rPr>
          <w:b/>
        </w:rPr>
        <w:tab/>
        <w:t>IS THERE EVIDENCE OF ROBUST VALUATIONS OF ELECTRIC UTILITY SECURITIES?</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tab/>
        <w:t xml:space="preserve">Yes.  These robust valuations are an indication that utilities can sell securities at high prices, which is a strong indication that they can access capital under reasonable terms and conditions, and at relatively low cost.  As </w:t>
      </w:r>
      <w:r w:rsidRPr="00F67C5A">
        <w:t xml:space="preserve">shown on my </w:t>
      </w:r>
      <w:r w:rsidRPr="00F67C5A">
        <w:rPr>
          <w:rFonts w:eastAsia="Times New Roman"/>
          <w:szCs w:val="24"/>
        </w:rPr>
        <w:t>Exhibit No</w:t>
      </w:r>
      <w:proofErr w:type="gramStart"/>
      <w:r w:rsidRPr="00F67C5A">
        <w:rPr>
          <w:rFonts w:eastAsia="Times New Roman"/>
          <w:szCs w:val="24"/>
        </w:rPr>
        <w:t xml:space="preserve">. </w:t>
      </w:r>
      <w:proofErr w:type="gramEnd"/>
      <w:r w:rsidRPr="00F67C5A">
        <w:rPr>
          <w:rFonts w:eastAsia="Times New Roman"/>
          <w:szCs w:val="24"/>
        </w:rPr>
        <w:t>MPG-4</w:t>
      </w:r>
      <w:r w:rsidRPr="00F67C5A">
        <w:t>, the</w:t>
      </w:r>
      <w:r w:rsidRPr="0018156A">
        <w:t xml:space="preserve"> historical valuation of the electric utilities </w:t>
      </w:r>
      <w:r>
        <w:t xml:space="preserve">based </w:t>
      </w:r>
      <w:r w:rsidRPr="0018156A">
        <w:t xml:space="preserve">on a price-to-earnings ratio, price-to-cash flow ratio and market price-to-book value ratio, indicates utility security valuations today are very strong and robust relative to the last 10 to 15 years.  These strong valuations of utility stocks indicate that utilities have access to equity capital under reasonable terms and costs.  </w:t>
      </w:r>
    </w:p>
    <w:p w:rsidR="00F23557" w:rsidRPr="0018156A" w:rsidRDefault="00F23557" w:rsidP="00F23557">
      <w:pPr>
        <w:keepNext/>
        <w:keepLines/>
        <w:tabs>
          <w:tab w:val="left" w:pos="1440"/>
        </w:tabs>
        <w:ind w:left="720" w:hanging="720"/>
        <w:jc w:val="both"/>
        <w:rPr>
          <w:b/>
        </w:rPr>
      </w:pPr>
      <w:r w:rsidRPr="0018156A">
        <w:rPr>
          <w:b/>
        </w:rPr>
        <w:lastRenderedPageBreak/>
        <w:t>Q</w:t>
      </w:r>
      <w:r>
        <w:rPr>
          <w:b/>
        </w:rPr>
        <w:t>.</w:t>
      </w:r>
      <w:r w:rsidRPr="0018156A">
        <w:rPr>
          <w:b/>
        </w:rPr>
        <w:tab/>
        <w:t xml:space="preserve">HOW SHOULD THE COMMISSION USE THIS MARKET INFORMATION IN ASSESSING A FAIR RETURN FOR </w:t>
      </w:r>
      <w:r>
        <w:rPr>
          <w:b/>
        </w:rPr>
        <w:t>AVISTA</w:t>
      </w:r>
      <w:r w:rsidRPr="0018156A">
        <w:rPr>
          <w:b/>
        </w:rPr>
        <w:t>?</w:t>
      </w:r>
    </w:p>
    <w:p w:rsidR="00F23557" w:rsidRPr="0018156A" w:rsidRDefault="00F23557" w:rsidP="00F23557">
      <w:pPr>
        <w:tabs>
          <w:tab w:val="left" w:pos="1440"/>
        </w:tabs>
        <w:spacing w:line="480" w:lineRule="auto"/>
        <w:ind w:left="720" w:hanging="720"/>
        <w:jc w:val="both"/>
      </w:pPr>
      <w:r w:rsidRPr="00272C05">
        <w:rPr>
          <w:rFonts w:eastAsia="Times New Roman"/>
          <w:b/>
          <w:szCs w:val="24"/>
        </w:rPr>
        <w:t>A.</w:t>
      </w:r>
      <w:r w:rsidRPr="0018156A">
        <w:tab/>
        <w:t xml:space="preserve">Market evidence is quite clear that capital market costs are near historically low levels.  Authorized returns on equity have fallen to the low to mid 9.0% area, and utilities continue to have access to large amounts of external capital to fund large capital programs, and utilities’ investment grade credit standings are stable to improving.  The Commission should carefully weigh all this important observable market evidence in assessing a fair return on equity for </w:t>
      </w:r>
      <w:r>
        <w:t>Avista</w:t>
      </w:r>
      <w:r w:rsidRPr="0018156A">
        <w:t>.</w:t>
      </w:r>
    </w:p>
    <w:p w:rsidR="00F23557" w:rsidRPr="0018156A" w:rsidRDefault="00F23557" w:rsidP="00F23557">
      <w:pPr>
        <w:pStyle w:val="Heading1"/>
        <w:tabs>
          <w:tab w:val="left" w:pos="1440"/>
        </w:tabs>
      </w:pPr>
      <w:bookmarkStart w:id="23" w:name="_Toc456345610"/>
      <w:bookmarkStart w:id="24" w:name="_Toc457315610"/>
      <w:bookmarkStart w:id="25" w:name="_Toc458774151"/>
      <w:r w:rsidRPr="0018156A">
        <w:t>II.B</w:t>
      </w:r>
      <w:proofErr w:type="gramStart"/>
      <w:r w:rsidRPr="0018156A">
        <w:t>.  Regulated</w:t>
      </w:r>
      <w:proofErr w:type="gramEnd"/>
      <w:r w:rsidRPr="0018156A">
        <w:t xml:space="preserve"> Utility Industry Market Outlook</w:t>
      </w:r>
      <w:bookmarkEnd w:id="23"/>
      <w:bookmarkEnd w:id="24"/>
      <w:bookmarkEnd w:id="25"/>
    </w:p>
    <w:p w:rsidR="00F23557" w:rsidRPr="0018156A" w:rsidRDefault="00F23557" w:rsidP="00F23557">
      <w:pPr>
        <w:tabs>
          <w:tab w:val="left" w:pos="1440"/>
        </w:tabs>
        <w:ind w:left="720" w:hanging="720"/>
        <w:jc w:val="both"/>
        <w:rPr>
          <w:b/>
        </w:rPr>
      </w:pPr>
      <w:bookmarkStart w:id="26" w:name="_Toc393285045"/>
      <w:bookmarkStart w:id="27" w:name="_Toc394736474"/>
      <w:bookmarkStart w:id="28" w:name="_Toc402509723"/>
      <w:bookmarkStart w:id="29" w:name="_Toc405535355"/>
      <w:bookmarkStart w:id="30" w:name="_Toc414118676"/>
      <w:bookmarkStart w:id="31" w:name="_Toc415559758"/>
      <w:bookmarkStart w:id="32" w:name="_Toc421885241"/>
      <w:bookmarkStart w:id="33" w:name="_Toc424565043"/>
      <w:bookmarkStart w:id="34" w:name="_Toc436160500"/>
      <w:r w:rsidRPr="0018156A">
        <w:rPr>
          <w:b/>
        </w:rPr>
        <w:t>Q</w:t>
      </w:r>
      <w:r>
        <w:rPr>
          <w:b/>
        </w:rPr>
        <w:t>.</w:t>
      </w:r>
      <w:r w:rsidRPr="0018156A">
        <w:rPr>
          <w:b/>
        </w:rPr>
        <w:tab/>
        <w:t>PLEASE DESCRIBE THE CREDIT RATING OUTLOOK FOR REGULATED UTILITIES.</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rPr>
          <w:b/>
        </w:rPr>
        <w:tab/>
      </w:r>
      <w:r w:rsidRPr="0018156A">
        <w:t>Regulated utilities’ credit ratings have improved over the last few years and the outlook has been labeled “Stable” by credit rating agencies.  Credit analysts have also observed that utilities have strong access to capital at attractive pricing (i.e., low capital costs), which has supported very large capital programs.</w:t>
      </w:r>
    </w:p>
    <w:p w:rsidR="00F23557" w:rsidRPr="0018156A" w:rsidRDefault="00F23557" w:rsidP="00F23557">
      <w:pPr>
        <w:tabs>
          <w:tab w:val="left" w:pos="1440"/>
        </w:tabs>
        <w:spacing w:after="0" w:line="480" w:lineRule="auto"/>
        <w:ind w:left="720" w:hanging="720"/>
        <w:jc w:val="both"/>
      </w:pPr>
      <w:r>
        <w:tab/>
      </w:r>
      <w:r>
        <w:tab/>
      </w:r>
      <w:r w:rsidRPr="0018156A">
        <w:t>Standard &amp; Poor’s (“S&amp;P”) recently published a report titled “Corporate Industry Credit Research:  Industry Top Trends 2016, Utilities.”  In that report, S&amp;P noted the following:</w:t>
      </w:r>
    </w:p>
    <w:p w:rsidR="00F23557" w:rsidRPr="0018156A" w:rsidRDefault="00F23557" w:rsidP="00F23557">
      <w:pPr>
        <w:tabs>
          <w:tab w:val="left" w:pos="1440"/>
        </w:tabs>
        <w:adjustRightInd w:val="0"/>
        <w:ind w:left="1440" w:right="720"/>
        <w:jc w:val="both"/>
      </w:pPr>
      <w:r w:rsidRPr="0018156A">
        <w:rPr>
          <w:b/>
          <w:bCs/>
        </w:rPr>
        <w:t>Ratings Outlook</w:t>
      </w:r>
      <w:proofErr w:type="gramStart"/>
      <w:r w:rsidRPr="0018156A">
        <w:rPr>
          <w:b/>
          <w:bCs/>
        </w:rPr>
        <w:t xml:space="preserve">. </w:t>
      </w:r>
      <w:proofErr w:type="gramEnd"/>
      <w:r w:rsidRPr="0018156A">
        <w:rPr>
          <w:u w:val="single"/>
        </w:rPr>
        <w:t>Stable</w:t>
      </w:r>
      <w:r w:rsidRPr="0018156A">
        <w:t xml:space="preserve"> with a slight bias toward the negative</w:t>
      </w:r>
      <w:proofErr w:type="gramStart"/>
      <w:r w:rsidRPr="0018156A">
        <w:t xml:space="preserve">. </w:t>
      </w:r>
      <w:proofErr w:type="gramEnd"/>
      <w:r w:rsidRPr="0018156A">
        <w:t>Utilities in the U.S. continue to enjoy a confluence of financial, economic, and regulatory environments that are tailor-made for supporting credit quality</w:t>
      </w:r>
      <w:proofErr w:type="gramStart"/>
      <w:r w:rsidRPr="0018156A">
        <w:t xml:space="preserve">. </w:t>
      </w:r>
      <w:proofErr w:type="gramEnd"/>
      <w:r w:rsidRPr="0018156A">
        <w:t xml:space="preserve">Low interest rates, modest economic growth, and relatively stable commodity costs make for little pressure on rates and therefore on the sunny disposition of regulators. </w:t>
      </w:r>
    </w:p>
    <w:p w:rsidR="00F23557" w:rsidRPr="0018156A" w:rsidRDefault="00F23557" w:rsidP="00F23557">
      <w:pPr>
        <w:tabs>
          <w:tab w:val="left" w:pos="1080"/>
        </w:tabs>
        <w:adjustRightInd w:val="0"/>
        <w:ind w:left="1440" w:right="720"/>
        <w:jc w:val="both"/>
      </w:pPr>
      <w:r w:rsidRPr="0018156A">
        <w:rPr>
          <w:b/>
          <w:bCs/>
        </w:rPr>
        <w:t>• Credit Metrics</w:t>
      </w:r>
      <w:proofErr w:type="gramStart"/>
      <w:r w:rsidRPr="0018156A">
        <w:rPr>
          <w:b/>
          <w:bCs/>
        </w:rPr>
        <w:t xml:space="preserve">. </w:t>
      </w:r>
      <w:proofErr w:type="gramEnd"/>
      <w:r w:rsidRPr="0018156A">
        <w:t xml:space="preserve">We see credit metrics remaining within historic norms for the industry as a whole and do not project overall financial performance that would affect the industry’s creditworthiness. </w:t>
      </w:r>
    </w:p>
    <w:p w:rsidR="00F23557" w:rsidRPr="0018156A" w:rsidRDefault="00F23557" w:rsidP="00F23557">
      <w:pPr>
        <w:tabs>
          <w:tab w:val="left" w:pos="1080"/>
        </w:tabs>
        <w:adjustRightInd w:val="0"/>
        <w:ind w:left="1440" w:right="720"/>
        <w:jc w:val="both"/>
      </w:pPr>
      <w:r w:rsidRPr="0018156A">
        <w:rPr>
          <w:b/>
          <w:bCs/>
        </w:rPr>
        <w:lastRenderedPageBreak/>
        <w:t>• Industry Trends</w:t>
      </w:r>
      <w:proofErr w:type="gramStart"/>
      <w:r w:rsidRPr="0018156A">
        <w:rPr>
          <w:b/>
          <w:bCs/>
        </w:rPr>
        <w:t xml:space="preserve">. </w:t>
      </w:r>
      <w:proofErr w:type="gramEnd"/>
      <w:r w:rsidRPr="0018156A">
        <w:t>Taking advantage of the favorable market conditions, utilities have been maintaining aggressive capital spending programs to bolster system safety and reliability, as well as technological advances to make the systems “smarter.</w:t>
      </w:r>
      <w:proofErr w:type="gramStart"/>
      <w:r w:rsidRPr="0018156A">
        <w:t xml:space="preserve">” </w:t>
      </w:r>
      <w:proofErr w:type="gramEnd"/>
      <w:r w:rsidRPr="0018156A">
        <w:t>The elevated spending has not led to large rate increases, but if macro conditions reverse and lead to rising costs that command higher rates, we would expect utilities to throttle back on spending to manage regulatory risk.</w:t>
      </w:r>
      <w:r w:rsidRPr="008172CC">
        <w:rPr>
          <w:u w:val="single"/>
          <w:vertAlign w:val="superscript"/>
        </w:rPr>
        <w:footnoteReference w:id="5"/>
      </w:r>
      <w:r w:rsidRPr="00A26064">
        <w:rPr>
          <w:rFonts w:cs="Arial"/>
          <w:color w:val="000000"/>
          <w:vertAlign w:val="superscript"/>
        </w:rPr>
        <w:t>/</w:t>
      </w:r>
      <w:r w:rsidRPr="0018156A">
        <w:rPr>
          <w:vertAlign w:val="superscript"/>
        </w:rPr>
        <w:t xml:space="preserve"> </w:t>
      </w:r>
    </w:p>
    <w:p w:rsidR="00F23557" w:rsidRPr="0018156A" w:rsidRDefault="00F23557" w:rsidP="00F23557">
      <w:pPr>
        <w:tabs>
          <w:tab w:val="left" w:pos="1080"/>
        </w:tabs>
        <w:adjustRightInd w:val="0"/>
        <w:ind w:right="720" w:firstLine="720"/>
        <w:jc w:val="both"/>
      </w:pPr>
      <w:r w:rsidRPr="0018156A">
        <w:t>Similarly, Fitch states:</w:t>
      </w:r>
    </w:p>
    <w:p w:rsidR="00F23557" w:rsidRPr="0018156A" w:rsidRDefault="00F23557" w:rsidP="00F23557">
      <w:pPr>
        <w:tabs>
          <w:tab w:val="left" w:pos="1080"/>
        </w:tabs>
        <w:adjustRightInd w:val="0"/>
        <w:ind w:left="1440" w:right="720"/>
        <w:jc w:val="both"/>
      </w:pPr>
      <w:r w:rsidRPr="0018156A">
        <w:rPr>
          <w:b/>
          <w:bCs/>
        </w:rPr>
        <w:t xml:space="preserve">Stable Financial Performance: </w:t>
      </w:r>
      <w:r w:rsidRPr="0018156A">
        <w:t>The stable financial performance of Utilities, Power &amp; Gas (UPG) issuers continues to support a sound credit profile for the sector, with 93% of the UPG portfolio carrying investment-grade ratings as of June 30, 2015, including 65% in the ‘BBB’ rating category</w:t>
      </w:r>
      <w:proofErr w:type="gramStart"/>
      <w:r w:rsidRPr="0018156A">
        <w:t xml:space="preserve">. </w:t>
      </w:r>
      <w:proofErr w:type="gramEnd"/>
      <w:r w:rsidRPr="0018156A">
        <w:t>Second-quarter 2015 LTM [Long-Term Maturity] leverage metrics remained relatively unchanged year over year (YOY) while interest coverage metrics modestly improved</w:t>
      </w:r>
      <w:proofErr w:type="gramStart"/>
      <w:r w:rsidRPr="0018156A">
        <w:t xml:space="preserve">. </w:t>
      </w:r>
      <w:proofErr w:type="gramEnd"/>
      <w:r w:rsidRPr="0018156A">
        <w:t xml:space="preserve">Fitch Ratings expects this trend to broadly sustain for the remainder of 2015, driven by positive recurring factors. </w:t>
      </w:r>
    </w:p>
    <w:p w:rsidR="00F23557" w:rsidRPr="0018156A" w:rsidRDefault="00F23557" w:rsidP="00F23557">
      <w:pPr>
        <w:tabs>
          <w:tab w:val="left" w:pos="1080"/>
        </w:tabs>
        <w:adjustRightInd w:val="0"/>
        <w:ind w:left="1440" w:right="720"/>
        <w:jc w:val="both"/>
      </w:pPr>
      <w:r w:rsidRPr="0018156A">
        <w:rPr>
          <w:b/>
          <w:bCs/>
        </w:rPr>
        <w:t xml:space="preserve">Low Debt-Funded Costs: </w:t>
      </w:r>
      <w:r w:rsidRPr="0018156A">
        <w:t>The sustained low interest rate environment has allowed UPG companies to refinance high-coupon legacy debt with lower coupon new debt</w:t>
      </w:r>
      <w:proofErr w:type="gramStart"/>
      <w:r w:rsidRPr="0018156A">
        <w:t xml:space="preserve">. </w:t>
      </w:r>
      <w:proofErr w:type="gramEnd"/>
      <w:r w:rsidRPr="0018156A">
        <w:t>Gross interest expense on an absolute value represented approximately 4.6% of total adjusted debt as of June 30, 2015, a decline of about 150 bps from the 6.1% recorded in the midst of the recession</w:t>
      </w:r>
      <w:proofErr w:type="gramStart"/>
      <w:r w:rsidRPr="0018156A">
        <w:t xml:space="preserve">. </w:t>
      </w:r>
      <w:proofErr w:type="gramEnd"/>
      <w:r w:rsidRPr="0018156A">
        <w:t xml:space="preserve">Fitch believes a rise in interest rates would largely be neutral to credit quality, as issuers have generally built enough headroom in coverage metrics to withstand higher financing costs. </w:t>
      </w:r>
    </w:p>
    <w:p w:rsidR="00F23557" w:rsidRPr="0018156A" w:rsidRDefault="00F23557" w:rsidP="00F23557">
      <w:pPr>
        <w:tabs>
          <w:tab w:val="left" w:pos="1080"/>
        </w:tabs>
        <w:adjustRightInd w:val="0"/>
        <w:ind w:left="1440" w:right="720"/>
        <w:jc w:val="both"/>
      </w:pPr>
      <w:r w:rsidRPr="0018156A">
        <w:rPr>
          <w:b/>
          <w:bCs/>
        </w:rPr>
        <w:t xml:space="preserve">Capex Moderately Declining: </w:t>
      </w:r>
      <w:r w:rsidRPr="0018156A">
        <w:t xml:space="preserve">Fitch expects the capex/depreciation ratio to be at the lower end of its five-year historical range of 2.0x–2.5x in the near term, reflecting a moderate decline in projected capex from the 2011–2014 highs.  The capex depreciation ratio was relatively flat YOY at about </w:t>
      </w:r>
      <w:proofErr w:type="gramStart"/>
      <w:r w:rsidRPr="0018156A">
        <w:t>2.4x</w:t>
      </w:r>
      <w:proofErr w:type="gramEnd"/>
      <w:r w:rsidRPr="0018156A">
        <w:t>.  Capex targets investments toward base infrastructure upgrades, utility-scale renewables and transmission investments.</w:t>
      </w:r>
    </w:p>
    <w:p w:rsidR="00F23557" w:rsidRPr="0018156A" w:rsidRDefault="00F23557" w:rsidP="00F23557">
      <w:pPr>
        <w:tabs>
          <w:tab w:val="left" w:pos="1080"/>
        </w:tabs>
        <w:adjustRightInd w:val="0"/>
        <w:ind w:left="1440" w:right="720"/>
        <w:jc w:val="center"/>
      </w:pPr>
      <w:r w:rsidRPr="0018156A">
        <w:rPr>
          <w:b/>
          <w:bCs/>
        </w:rPr>
        <w:t>*     *     *</w:t>
      </w:r>
    </w:p>
    <w:p w:rsidR="00F23557" w:rsidRPr="0018156A" w:rsidRDefault="00F23557" w:rsidP="00F23557">
      <w:pPr>
        <w:tabs>
          <w:tab w:val="left" w:pos="1080"/>
        </w:tabs>
        <w:adjustRightInd w:val="0"/>
        <w:ind w:left="1440" w:right="720"/>
        <w:jc w:val="both"/>
      </w:pPr>
      <w:r w:rsidRPr="0018156A">
        <w:t xml:space="preserve">Key credit metrics for IUCs [investor-owned utility companies] remained relatively stable YOY and continue to support the sound credit profiles and </w:t>
      </w:r>
      <w:r w:rsidRPr="0018156A">
        <w:rPr>
          <w:u w:val="single"/>
        </w:rPr>
        <w:t>Stable Outlooks</w:t>
      </w:r>
      <w:r w:rsidRPr="0018156A">
        <w:t xml:space="preserve"> characteristic of the sector.  EBITDAR [Earnings </w:t>
      </w:r>
      <w:proofErr w:type="gramStart"/>
      <w:r w:rsidRPr="0018156A">
        <w:t>Before</w:t>
      </w:r>
      <w:proofErr w:type="gramEnd"/>
      <w:r w:rsidRPr="0018156A">
        <w:t xml:space="preserve"> Interest, Taxes, Depreciation, Amortization and Rent] and FFO [Funds From Operations] coverage </w:t>
      </w:r>
      <w:r w:rsidRPr="0018156A">
        <w:lastRenderedPageBreak/>
        <w:t>ratios were 5.6x and 5.9x, respectively, for the LTM ended second-quarter 2015, while adjusted debt/EDITDAR and FFO-adjusted leverage were 3.5x and 3.4x, respectively.</w:t>
      </w:r>
      <w:r w:rsidRPr="00DB188D">
        <w:rPr>
          <w:u w:val="single"/>
          <w:vertAlign w:val="superscript"/>
        </w:rPr>
        <w:footnoteReference w:id="6"/>
      </w:r>
      <w:r w:rsidRPr="00A26064">
        <w:rPr>
          <w:rFonts w:cs="Arial"/>
          <w:color w:val="000000"/>
          <w:vertAlign w:val="superscript"/>
        </w:rPr>
        <w:t>/</w:t>
      </w:r>
    </w:p>
    <w:p w:rsidR="00F23557" w:rsidRPr="0018156A" w:rsidRDefault="00F23557" w:rsidP="00F23557">
      <w:pPr>
        <w:tabs>
          <w:tab w:val="left" w:pos="1080"/>
        </w:tabs>
        <w:adjustRightInd w:val="0"/>
        <w:ind w:right="720" w:firstLine="720"/>
        <w:jc w:val="both"/>
      </w:pPr>
      <w:r w:rsidRPr="0018156A">
        <w:t>Moody’s recent comments on the U.S. Utility Sector state as follows:</w:t>
      </w:r>
    </w:p>
    <w:p w:rsidR="00F23557" w:rsidRPr="0018156A" w:rsidRDefault="00F23557" w:rsidP="00F23557">
      <w:pPr>
        <w:tabs>
          <w:tab w:val="left" w:pos="1080"/>
        </w:tabs>
        <w:autoSpaceDE w:val="0"/>
        <w:autoSpaceDN w:val="0"/>
        <w:adjustRightInd w:val="0"/>
        <w:ind w:left="1440" w:right="720"/>
        <w:jc w:val="both"/>
      </w:pPr>
      <w:r w:rsidRPr="0018156A">
        <w:t xml:space="preserve">Our outlook for the US regulated utilities industry </w:t>
      </w:r>
      <w:r w:rsidRPr="0018156A">
        <w:rPr>
          <w:u w:val="single"/>
        </w:rPr>
        <w:t>is stable</w:t>
      </w:r>
      <w:proofErr w:type="gramStart"/>
      <w:r w:rsidRPr="0018156A">
        <w:t xml:space="preserve">. </w:t>
      </w:r>
      <w:proofErr w:type="gramEnd"/>
      <w:r w:rsidRPr="0018156A">
        <w:t>This outlook reflects our expectations for fundamental business conditions in the industry over the next 12 to 18 months.</w:t>
      </w:r>
    </w:p>
    <w:p w:rsidR="00F23557" w:rsidRPr="0018156A" w:rsidRDefault="00F23557" w:rsidP="00F23557">
      <w:pPr>
        <w:tabs>
          <w:tab w:val="left" w:pos="1080"/>
        </w:tabs>
        <w:autoSpaceDE w:val="0"/>
        <w:autoSpaceDN w:val="0"/>
        <w:adjustRightInd w:val="0"/>
        <w:ind w:left="1440" w:right="720"/>
        <w:jc w:val="both"/>
      </w:pPr>
      <w:r w:rsidRPr="0018156A">
        <w:t xml:space="preserve">» </w:t>
      </w:r>
      <w:r w:rsidRPr="0018156A">
        <w:rPr>
          <w:b/>
          <w:bCs/>
        </w:rPr>
        <w:t>The credit-supportive regulatory environment is the main reason for our stable outlook</w:t>
      </w:r>
      <w:proofErr w:type="gramStart"/>
      <w:r w:rsidRPr="0018156A">
        <w:rPr>
          <w:b/>
          <w:bCs/>
        </w:rPr>
        <w:t xml:space="preserve">. </w:t>
      </w:r>
      <w:proofErr w:type="gramEnd"/>
      <w:r w:rsidRPr="0018156A">
        <w:t>We expect that the relationship between regulators and utilities in 2016 will remain credit-supportive, enabling utilities to recover costs in a timely manner and maintain stable cash flows.</w:t>
      </w:r>
    </w:p>
    <w:p w:rsidR="00F23557" w:rsidRPr="0018156A" w:rsidRDefault="00F23557" w:rsidP="00F23557">
      <w:pPr>
        <w:tabs>
          <w:tab w:val="left" w:pos="1080"/>
        </w:tabs>
        <w:autoSpaceDE w:val="0"/>
        <w:autoSpaceDN w:val="0"/>
        <w:adjustRightInd w:val="0"/>
        <w:ind w:left="1440" w:right="720"/>
        <w:jc w:val="both"/>
      </w:pPr>
      <w:r w:rsidRPr="0018156A">
        <w:t xml:space="preserve">» </w:t>
      </w:r>
      <w:r w:rsidRPr="0018156A">
        <w:rPr>
          <w:b/>
          <w:bCs/>
        </w:rPr>
        <w:t>We estimate that the ratio of cash flow from operations (CFO) to debt will hold steady at about 21%, on average for the industry, over the next 12 to 18 months</w:t>
      </w:r>
      <w:proofErr w:type="gramStart"/>
      <w:r w:rsidRPr="0018156A">
        <w:rPr>
          <w:b/>
          <w:bCs/>
        </w:rPr>
        <w:t xml:space="preserve">. </w:t>
      </w:r>
      <w:proofErr w:type="gramEnd"/>
      <w:r w:rsidRPr="0018156A">
        <w:t>The use of timely cost-recovery mechanisms and continued expense management will help utilities offset a lack of growth in electricity demand and lower allowed returns on equity, enabling financial metrics to remain stable</w:t>
      </w:r>
      <w:proofErr w:type="gramStart"/>
      <w:r w:rsidRPr="0018156A">
        <w:t xml:space="preserve">. </w:t>
      </w:r>
      <w:proofErr w:type="gramEnd"/>
      <w:r w:rsidRPr="0018156A">
        <w:t>Tax benefits tied to the expected extension of bonus depreciation will also support CFO-to-debt ratios.</w:t>
      </w:r>
    </w:p>
    <w:p w:rsidR="00F23557" w:rsidRPr="0018156A" w:rsidRDefault="00F23557" w:rsidP="00F23557">
      <w:pPr>
        <w:tabs>
          <w:tab w:val="left" w:pos="1080"/>
        </w:tabs>
        <w:overflowPunct w:val="0"/>
        <w:autoSpaceDE w:val="0"/>
        <w:autoSpaceDN w:val="0"/>
        <w:adjustRightInd w:val="0"/>
        <w:ind w:left="1440" w:right="720"/>
        <w:jc w:val="center"/>
        <w:textAlignment w:val="baseline"/>
        <w:rPr>
          <w:bCs/>
        </w:rPr>
      </w:pPr>
      <w:r w:rsidRPr="0018156A">
        <w:rPr>
          <w:bCs/>
        </w:rPr>
        <w:t>*     *     *</w:t>
      </w:r>
    </w:p>
    <w:p w:rsidR="00F23557" w:rsidRPr="0018156A" w:rsidRDefault="00F23557" w:rsidP="00F23557">
      <w:pPr>
        <w:tabs>
          <w:tab w:val="left" w:pos="1080"/>
        </w:tabs>
        <w:autoSpaceDE w:val="0"/>
        <w:autoSpaceDN w:val="0"/>
        <w:adjustRightInd w:val="0"/>
        <w:ind w:left="1440" w:right="720"/>
        <w:jc w:val="both"/>
      </w:pPr>
      <w:r w:rsidRPr="0018156A">
        <w:t xml:space="preserve">» </w:t>
      </w:r>
      <w:r w:rsidRPr="0018156A">
        <w:rPr>
          <w:b/>
          <w:bCs/>
        </w:rPr>
        <w:t>Utilities are increasingly using holding company leverage to drive returns, a credit negative</w:t>
      </w:r>
      <w:proofErr w:type="gramStart"/>
      <w:r w:rsidRPr="0018156A">
        <w:rPr>
          <w:b/>
          <w:bCs/>
        </w:rPr>
        <w:t xml:space="preserve">. </w:t>
      </w:r>
      <w:proofErr w:type="gramEnd"/>
      <w:r w:rsidRPr="0018156A">
        <w:t>Although not a driver of our outlook, utilities are using leverage at the holding company level to invest in other businesses, make acquisitions and earn higher returns on equity, which could have negative implications across the whole family.</w:t>
      </w:r>
      <w:r w:rsidRPr="00DB188D">
        <w:rPr>
          <w:u w:val="single"/>
          <w:vertAlign w:val="superscript"/>
        </w:rPr>
        <w:footnoteReference w:id="7"/>
      </w:r>
      <w:r w:rsidRPr="00A26064">
        <w:rPr>
          <w:rFonts w:cs="Arial"/>
          <w:color w:val="000000"/>
          <w:vertAlign w:val="superscript"/>
        </w:rPr>
        <w:t>/</w:t>
      </w:r>
      <w:r w:rsidRPr="0018156A">
        <w:t xml:space="preserve">  </w:t>
      </w:r>
    </w:p>
    <w:p w:rsidR="00F23557" w:rsidRDefault="00F23557" w:rsidP="00F23557">
      <w:pPr>
        <w:suppressLineNumbers/>
        <w:tabs>
          <w:tab w:val="left" w:pos="1080"/>
        </w:tabs>
        <w:spacing w:after="0"/>
        <w:ind w:left="720" w:hanging="720"/>
        <w:jc w:val="both"/>
        <w:rPr>
          <w:b/>
        </w:rPr>
      </w:pPr>
    </w:p>
    <w:p w:rsidR="00F23557" w:rsidRPr="0018156A" w:rsidRDefault="00F23557" w:rsidP="00F23557">
      <w:pPr>
        <w:tabs>
          <w:tab w:val="left" w:pos="1440"/>
        </w:tabs>
        <w:ind w:left="720" w:hanging="720"/>
        <w:jc w:val="both"/>
        <w:rPr>
          <w:b/>
        </w:rPr>
      </w:pPr>
      <w:r w:rsidRPr="0018156A">
        <w:rPr>
          <w:b/>
        </w:rPr>
        <w:t>Q</w:t>
      </w:r>
      <w:r>
        <w:rPr>
          <w:b/>
        </w:rPr>
        <w:t>.</w:t>
      </w:r>
      <w:r w:rsidRPr="0018156A">
        <w:rPr>
          <w:b/>
        </w:rPr>
        <w:tab/>
        <w:t>PLEASE DESCRIBE UTILITY STOCK PRICE PERFORMANCE OVER THE LAST SEVERAL YEARS.</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rPr>
          <w:b/>
        </w:rPr>
        <w:tab/>
      </w:r>
      <w:r w:rsidRPr="0018156A">
        <w:t xml:space="preserve">As shown in the graph below, SNL Financial has recorded utility stock price performance compared to the market.  The industry’s stock performance data from 2004 through March 2016 shows that the SNL Electric Company Index has </w:t>
      </w:r>
      <w:r w:rsidRPr="0018156A">
        <w:lastRenderedPageBreak/>
        <w:t>outperformed the market in downturns and trailed the market during recovery.  This relatively stable price performance for utilities supports my conclusion that utility stock investments are regarded by market participants as a moderate- to low</w:t>
      </w:r>
      <w:r w:rsidRPr="0018156A">
        <w:noBreakHyphen/>
        <w:t xml:space="preserve">risk investment.  </w:t>
      </w:r>
    </w:p>
    <w:p w:rsidR="00F23557" w:rsidRPr="0018156A" w:rsidRDefault="00F23557" w:rsidP="00F23557">
      <w:pPr>
        <w:suppressLineNumbers/>
        <w:tabs>
          <w:tab w:val="left" w:pos="1440"/>
        </w:tabs>
        <w:ind w:left="720" w:hanging="720"/>
        <w:jc w:val="both"/>
      </w:pPr>
      <w:bookmarkStart w:id="35" w:name="_Toc298162449"/>
      <w:bookmarkStart w:id="36" w:name="_Toc306173876"/>
      <w:r w:rsidRPr="00CA2FC0">
        <w:rPr>
          <w:noProof/>
        </w:rPr>
        <w:drawing>
          <wp:inline distT="0" distB="0" distL="0" distR="0">
            <wp:extent cx="5760720" cy="2834432"/>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760720" cy="2834432"/>
                    </a:xfrm>
                    <a:prstGeom prst="rect">
                      <a:avLst/>
                    </a:prstGeom>
                    <a:noFill/>
                    <a:ln w="9525">
                      <a:noFill/>
                      <a:miter lim="800000"/>
                      <a:headEnd/>
                      <a:tailEnd/>
                    </a:ln>
                  </pic:spPr>
                </pic:pic>
              </a:graphicData>
            </a:graphic>
          </wp:inline>
        </w:drawing>
      </w:r>
    </w:p>
    <w:p w:rsidR="00F23557" w:rsidRPr="0018156A" w:rsidRDefault="00F23557" w:rsidP="00F23557">
      <w:pPr>
        <w:tabs>
          <w:tab w:val="left" w:pos="1440"/>
        </w:tabs>
        <w:ind w:left="720" w:hanging="720"/>
        <w:jc w:val="both"/>
        <w:rPr>
          <w:b/>
          <w:bCs/>
        </w:rPr>
      </w:pPr>
      <w:r w:rsidRPr="0018156A">
        <w:rPr>
          <w:b/>
          <w:bCs/>
        </w:rPr>
        <w:t>Q</w:t>
      </w:r>
      <w:r>
        <w:rPr>
          <w:b/>
          <w:bCs/>
        </w:rPr>
        <w:t>.</w:t>
      </w:r>
      <w:r w:rsidRPr="0018156A">
        <w:rPr>
          <w:b/>
          <w:bCs/>
        </w:rPr>
        <w:tab/>
        <w:t>HAVE ELECTRIC UTILITY INDUSTRY TRADE ORGANIZATIONS COMMENTED ON ELECTRIC UTILITY STOCK PRICE PERFORMANCE?</w:t>
      </w:r>
    </w:p>
    <w:p w:rsidR="00F23557" w:rsidRPr="0018156A" w:rsidRDefault="00F23557" w:rsidP="00F23557">
      <w:pPr>
        <w:tabs>
          <w:tab w:val="left" w:pos="1440"/>
        </w:tabs>
        <w:spacing w:line="480" w:lineRule="auto"/>
        <w:ind w:left="720" w:hanging="720"/>
        <w:jc w:val="both"/>
        <w:rPr>
          <w:bCs/>
        </w:rPr>
      </w:pPr>
      <w:r w:rsidRPr="00272C05">
        <w:rPr>
          <w:rFonts w:eastAsia="Times New Roman"/>
          <w:b/>
          <w:szCs w:val="24"/>
        </w:rPr>
        <w:t>A.</w:t>
      </w:r>
      <w:r w:rsidRPr="0018156A">
        <w:rPr>
          <w:bCs/>
        </w:rPr>
        <w:tab/>
        <w:t>Yes.  In its 4th Quarter 2015 Financial Update, The Edison Electric Institute (“EEI”) stated the following concerning the EEI Electric Utility Stock Index (“EEI Index”):</w:t>
      </w:r>
    </w:p>
    <w:p w:rsidR="00F23557" w:rsidRPr="0018156A" w:rsidRDefault="00F23557" w:rsidP="00F23557">
      <w:pPr>
        <w:tabs>
          <w:tab w:val="left" w:pos="1080"/>
        </w:tabs>
        <w:overflowPunct w:val="0"/>
        <w:autoSpaceDE w:val="0"/>
        <w:autoSpaceDN w:val="0"/>
        <w:adjustRightInd w:val="0"/>
        <w:ind w:left="1440" w:right="720"/>
        <w:jc w:val="both"/>
        <w:textAlignment w:val="baseline"/>
        <w:rPr>
          <w:bCs/>
        </w:rPr>
      </w:pPr>
      <w:r w:rsidRPr="0018156A">
        <w:rPr>
          <w:bCs/>
        </w:rPr>
        <w:t xml:space="preserve">EEI Index returns during 2015 embodied the larger pattern seen in Table I since the 2008/2009 financial crisis, as industry business models have migrated to an increasingly regulated emphasis.  The industry has generated consistent positive returns but has lagged the broader markets when markets post strong gains, which in turn have been sparked both by slow but steady U.S. economic growth and corporate profit gains and by the willingness of the Federal Reserve to bolster markets with historically unprecedented monetary support in the form of three rounds of quantitative easing and near-zero short-term interest rates.  </w:t>
      </w:r>
      <w:r w:rsidRPr="0018156A">
        <w:rPr>
          <w:bCs/>
          <w:u w:val="single"/>
        </w:rPr>
        <w:t>While the Fed did raise short-term rates in December 2015 for the first time since 2006</w:t>
      </w:r>
      <w:r w:rsidRPr="0018156A">
        <w:rPr>
          <w:bCs/>
        </w:rPr>
        <w:t xml:space="preserve"> (from zero to a range of 0.25% to 0.50%), </w:t>
      </w:r>
      <w:r w:rsidRPr="0018156A">
        <w:rPr>
          <w:bCs/>
          <w:u w:val="single"/>
        </w:rPr>
        <w:t>this hardly effects longer-term yields, which remain at historically low levels and are influenced more by the level of inflation and economic strength than by the Fed’s short-term rate policy.</w:t>
      </w:r>
    </w:p>
    <w:p w:rsidR="00F23557" w:rsidRPr="0018156A" w:rsidRDefault="00F23557" w:rsidP="00F23557">
      <w:pPr>
        <w:tabs>
          <w:tab w:val="left" w:pos="1080"/>
        </w:tabs>
        <w:overflowPunct w:val="0"/>
        <w:autoSpaceDE w:val="0"/>
        <w:autoSpaceDN w:val="0"/>
        <w:adjustRightInd w:val="0"/>
        <w:ind w:left="1440" w:right="720"/>
        <w:jc w:val="center"/>
        <w:textAlignment w:val="baseline"/>
        <w:rPr>
          <w:bCs/>
        </w:rPr>
      </w:pPr>
      <w:r w:rsidRPr="0018156A">
        <w:rPr>
          <w:bCs/>
        </w:rPr>
        <w:lastRenderedPageBreak/>
        <w:t>*     *     *</w:t>
      </w:r>
    </w:p>
    <w:p w:rsidR="00F23557" w:rsidRPr="0018156A" w:rsidRDefault="00F23557" w:rsidP="00F23557">
      <w:pPr>
        <w:tabs>
          <w:tab w:val="left" w:pos="1080"/>
        </w:tabs>
        <w:overflowPunct w:val="0"/>
        <w:autoSpaceDE w:val="0"/>
        <w:autoSpaceDN w:val="0"/>
        <w:adjustRightInd w:val="0"/>
        <w:ind w:left="1440" w:right="720"/>
        <w:jc w:val="both"/>
        <w:textAlignment w:val="baseline"/>
        <w:rPr>
          <w:b/>
          <w:bCs/>
        </w:rPr>
      </w:pPr>
      <w:r w:rsidRPr="0018156A">
        <w:rPr>
          <w:b/>
          <w:bCs/>
        </w:rPr>
        <w:t>Regulated Fundamentals Remain Stable</w:t>
      </w:r>
    </w:p>
    <w:p w:rsidR="00F23557" w:rsidRPr="0018156A" w:rsidRDefault="00F23557" w:rsidP="00F23557">
      <w:pPr>
        <w:tabs>
          <w:tab w:val="left" w:pos="1080"/>
        </w:tabs>
        <w:overflowPunct w:val="0"/>
        <w:autoSpaceDE w:val="0"/>
        <w:autoSpaceDN w:val="0"/>
        <w:adjustRightInd w:val="0"/>
        <w:ind w:left="1440" w:right="720"/>
        <w:jc w:val="both"/>
        <w:textAlignment w:val="baseline"/>
        <w:rPr>
          <w:bCs/>
        </w:rPr>
      </w:pPr>
      <w:r w:rsidRPr="0018156A">
        <w:rPr>
          <w:bCs/>
        </w:rPr>
        <w:t xml:space="preserve">The rate stability offered by state regulation and the ability to recover rising capital spending in rate base shield regulated utilities from the volatility in the competitive power arena and </w:t>
      </w:r>
      <w:proofErr w:type="gramStart"/>
      <w:r w:rsidRPr="0018156A">
        <w:rPr>
          <w:bCs/>
        </w:rPr>
        <w:t>turn</w:t>
      </w:r>
      <w:proofErr w:type="gramEnd"/>
      <w:r w:rsidRPr="0018156A">
        <w:rPr>
          <w:bCs/>
        </w:rPr>
        <w:t xml:space="preserve"> the growth of renewable generation (and the resulting need for new and upgraded transmission lines) into a rate base growth opportunity for many industry players.</w:t>
      </w:r>
    </w:p>
    <w:p w:rsidR="00F23557" w:rsidRPr="0018156A" w:rsidRDefault="00F23557" w:rsidP="00F23557">
      <w:pPr>
        <w:tabs>
          <w:tab w:val="left" w:pos="1080"/>
        </w:tabs>
        <w:overflowPunct w:val="0"/>
        <w:autoSpaceDE w:val="0"/>
        <w:autoSpaceDN w:val="0"/>
        <w:adjustRightInd w:val="0"/>
        <w:ind w:left="1440" w:right="720"/>
        <w:jc w:val="center"/>
        <w:textAlignment w:val="baseline"/>
        <w:rPr>
          <w:bCs/>
        </w:rPr>
      </w:pPr>
      <w:r w:rsidRPr="0018156A">
        <w:rPr>
          <w:bCs/>
        </w:rPr>
        <w:t>*     *     *</w:t>
      </w:r>
    </w:p>
    <w:p w:rsidR="00F23557" w:rsidRPr="0018156A" w:rsidRDefault="00F23557" w:rsidP="00F23557">
      <w:pPr>
        <w:tabs>
          <w:tab w:val="left" w:pos="1080"/>
        </w:tabs>
        <w:overflowPunct w:val="0"/>
        <w:autoSpaceDE w:val="0"/>
        <w:autoSpaceDN w:val="0"/>
        <w:adjustRightInd w:val="0"/>
        <w:ind w:left="1440" w:right="720"/>
        <w:jc w:val="both"/>
        <w:textAlignment w:val="baseline"/>
        <w:rPr>
          <w:bCs/>
        </w:rPr>
      </w:pPr>
      <w:r w:rsidRPr="0018156A">
        <w:rPr>
          <w:bCs/>
        </w:rPr>
        <w:t>In the shorter-term, analysts continue to see opportunity for 4-6% earnings growth for regulated utilities in general along with prospects for slightly rising dividends (with a dividend yield now at about 4% for the industry overall).  That formula has served utility investors quite well in recent years, delivering long-term returns equivalent to those of the broad markets but with much lower volatility.  Provided state regulation remains fair and constructive in an effort to address the interests of ratepayers and investors, it would appear that the industry can continue to deliver success for all stakeholders, even in an environment of flat demand and considerable technological change.</w:t>
      </w:r>
      <w:r w:rsidRPr="00DB188D">
        <w:rPr>
          <w:bCs/>
          <w:u w:val="single"/>
          <w:vertAlign w:val="superscript"/>
        </w:rPr>
        <w:footnoteReference w:id="8"/>
      </w:r>
      <w:r w:rsidRPr="00A26064">
        <w:rPr>
          <w:rFonts w:cs="Arial"/>
          <w:color w:val="000000"/>
          <w:vertAlign w:val="superscript"/>
        </w:rPr>
        <w:t>/</w:t>
      </w:r>
    </w:p>
    <w:p w:rsidR="00F23557" w:rsidRDefault="00F23557" w:rsidP="00F23557">
      <w:pPr>
        <w:suppressLineNumbers/>
        <w:tabs>
          <w:tab w:val="left" w:pos="1080"/>
        </w:tabs>
        <w:spacing w:after="0"/>
        <w:ind w:left="720" w:hanging="720"/>
        <w:jc w:val="both"/>
        <w:rPr>
          <w:b/>
        </w:rPr>
      </w:pPr>
    </w:p>
    <w:p w:rsidR="00F23557" w:rsidRPr="0018156A" w:rsidRDefault="00F23557" w:rsidP="00F23557">
      <w:pPr>
        <w:tabs>
          <w:tab w:val="left" w:pos="1440"/>
        </w:tabs>
        <w:ind w:left="720" w:hanging="720"/>
        <w:jc w:val="both"/>
        <w:rPr>
          <w:b/>
        </w:rPr>
      </w:pPr>
      <w:r w:rsidRPr="0018156A">
        <w:rPr>
          <w:b/>
        </w:rPr>
        <w:t>Q</w:t>
      </w:r>
      <w:r>
        <w:rPr>
          <w:b/>
        </w:rPr>
        <w:t>.</w:t>
      </w:r>
      <w:r w:rsidRPr="0018156A">
        <w:rPr>
          <w:b/>
        </w:rPr>
        <w:tab/>
        <w:t>WHAT ARE THE IMPORTANT TAKEAWAY POINTS FROM THIS ASSESSMENT OF UTILITY INDUSTRY CREDIT AND INVESTMENT RISK OUTLOOKS?</w:t>
      </w:r>
    </w:p>
    <w:p w:rsidR="00F23557" w:rsidRPr="0018156A" w:rsidRDefault="00F23557" w:rsidP="00F23557">
      <w:pPr>
        <w:tabs>
          <w:tab w:val="left" w:pos="1440"/>
        </w:tabs>
        <w:spacing w:line="480" w:lineRule="auto"/>
        <w:ind w:left="720" w:hanging="720"/>
        <w:jc w:val="both"/>
      </w:pPr>
      <w:r w:rsidRPr="00272C05">
        <w:rPr>
          <w:rFonts w:eastAsia="Times New Roman"/>
          <w:b/>
          <w:szCs w:val="24"/>
        </w:rPr>
        <w:t>A.</w:t>
      </w:r>
      <w:r w:rsidRPr="0018156A">
        <w:rPr>
          <w:b/>
        </w:rPr>
        <w:tab/>
      </w:r>
      <w:r w:rsidRPr="0018156A">
        <w:t>Credit rating agencies consider the regulated utility industry to be “Stable” and believe investors will continue to provide an abundance of low-cost capital to support utilities’ large capital programs at attractive costs and terms.  All of this reinforces my belief</w:t>
      </w:r>
      <w:r>
        <w:t xml:space="preserve"> that</w:t>
      </w:r>
      <w:r w:rsidRPr="0018156A">
        <w:t xml:space="preserve"> utility investments are generally regarded as safe-haven or low-risk investments and the market continues to embrace and demand low-risk investments such as utility securities.  The ongoing demand for low-risk investments can reasonably be expected to continue to provide attractive low-cost capital for regulated utilities.</w:t>
      </w:r>
    </w:p>
    <w:p w:rsidR="00F23557" w:rsidRPr="00952D6D" w:rsidRDefault="00F23557" w:rsidP="00F23557">
      <w:pPr>
        <w:pStyle w:val="Heading1"/>
        <w:tabs>
          <w:tab w:val="left" w:pos="1440"/>
        </w:tabs>
      </w:pPr>
      <w:bookmarkStart w:id="37" w:name="_Toc441820271"/>
      <w:bookmarkStart w:id="38" w:name="_Toc457315611"/>
      <w:bookmarkStart w:id="39" w:name="_Toc458774152"/>
      <w:bookmarkStart w:id="40" w:name="_Toc402509725"/>
      <w:bookmarkStart w:id="41" w:name="_Toc405535357"/>
      <w:bookmarkStart w:id="42" w:name="_Toc414118678"/>
      <w:bookmarkStart w:id="43" w:name="_Toc415559760"/>
      <w:bookmarkStart w:id="44" w:name="_Toc421885243"/>
      <w:bookmarkStart w:id="45" w:name="_Toc424565046"/>
      <w:bookmarkStart w:id="46" w:name="_Toc436160502"/>
      <w:bookmarkStart w:id="47" w:name="_Toc441820273"/>
      <w:bookmarkStart w:id="48" w:name="_Toc452467722"/>
      <w:bookmarkStart w:id="49" w:name="_Toc368924928"/>
      <w:bookmarkStart w:id="50" w:name="_Toc375225367"/>
      <w:bookmarkStart w:id="51" w:name="_Toc384800469"/>
      <w:bookmarkStart w:id="52" w:name="_Toc393285048"/>
      <w:bookmarkStart w:id="53" w:name="_Toc394736477"/>
      <w:bookmarkEnd w:id="26"/>
      <w:bookmarkEnd w:id="27"/>
      <w:bookmarkEnd w:id="28"/>
      <w:bookmarkEnd w:id="29"/>
      <w:bookmarkEnd w:id="30"/>
      <w:bookmarkEnd w:id="31"/>
      <w:bookmarkEnd w:id="32"/>
      <w:bookmarkEnd w:id="33"/>
      <w:bookmarkEnd w:id="34"/>
      <w:bookmarkEnd w:id="35"/>
      <w:bookmarkEnd w:id="36"/>
      <w:r>
        <w:lastRenderedPageBreak/>
        <w:t>II.C</w:t>
      </w:r>
      <w:proofErr w:type="gramStart"/>
      <w:r w:rsidRPr="00952D6D">
        <w:t xml:space="preserve">.  </w:t>
      </w:r>
      <w:r>
        <w:t>Avista</w:t>
      </w:r>
      <w:proofErr w:type="gramEnd"/>
      <w:r w:rsidRPr="00952D6D">
        <w:t xml:space="preserve"> Investment Risk</w:t>
      </w:r>
      <w:bookmarkEnd w:id="37"/>
      <w:bookmarkEnd w:id="38"/>
      <w:bookmarkEnd w:id="39"/>
    </w:p>
    <w:p w:rsidR="00F23557" w:rsidRPr="00952D6D" w:rsidRDefault="00F23557" w:rsidP="00F23557">
      <w:pPr>
        <w:tabs>
          <w:tab w:val="left" w:pos="1440"/>
        </w:tabs>
        <w:ind w:left="720" w:hanging="720"/>
        <w:jc w:val="both"/>
        <w:rPr>
          <w:b/>
        </w:rPr>
      </w:pPr>
      <w:bookmarkStart w:id="54" w:name="_Toc239820215"/>
      <w:r w:rsidRPr="00952D6D">
        <w:rPr>
          <w:b/>
        </w:rPr>
        <w:t>Q</w:t>
      </w:r>
      <w:r>
        <w:rPr>
          <w:b/>
        </w:rPr>
        <w:t>.</w:t>
      </w:r>
      <w:r w:rsidRPr="00952D6D">
        <w:rPr>
          <w:b/>
        </w:rPr>
        <w:tab/>
        <w:t xml:space="preserve">PLEASE DESCRIBE THE MARKET’S ASSESSMENT OF THE INVESTMENT RISK OF </w:t>
      </w:r>
      <w:r>
        <w:rPr>
          <w:b/>
        </w:rPr>
        <w:t>AVISTA</w:t>
      </w:r>
      <w:r w:rsidRPr="00952D6D">
        <w:rPr>
          <w:b/>
        </w:rPr>
        <w:t>.</w:t>
      </w:r>
      <w:bookmarkEnd w:id="54"/>
    </w:p>
    <w:p w:rsidR="00F23557" w:rsidRPr="00952D6D" w:rsidRDefault="00F23557" w:rsidP="00F23557">
      <w:pPr>
        <w:tabs>
          <w:tab w:val="left" w:pos="1440"/>
        </w:tabs>
        <w:spacing w:after="0" w:line="480" w:lineRule="auto"/>
        <w:ind w:left="720" w:hanging="720"/>
        <w:jc w:val="both"/>
      </w:pPr>
      <w:r w:rsidRPr="00272C05">
        <w:rPr>
          <w:rFonts w:eastAsia="Times New Roman"/>
          <w:b/>
          <w:szCs w:val="24"/>
        </w:rPr>
        <w:t>A.</w:t>
      </w:r>
      <w:r w:rsidRPr="00952D6D">
        <w:rPr>
          <w:b/>
        </w:rPr>
        <w:tab/>
      </w:r>
      <w:r w:rsidRPr="00952D6D">
        <w:t xml:space="preserve">The market’s assessment of </w:t>
      </w:r>
      <w:r>
        <w:t>Avista</w:t>
      </w:r>
      <w:r w:rsidRPr="00952D6D">
        <w:t xml:space="preserve">’s investment risk is described by credit rating analysts’ reports.  </w:t>
      </w:r>
      <w:r>
        <w:t>Avista</w:t>
      </w:r>
      <w:r w:rsidRPr="00952D6D">
        <w:t xml:space="preserve">’s current corporate bond ratings from S&amp;P and Moody’s are </w:t>
      </w:r>
      <w:r>
        <w:t>BBB</w:t>
      </w:r>
      <w:r w:rsidRPr="00952D6D">
        <w:t xml:space="preserve"> and Baa1, respectively.  Both rating agencies have a </w:t>
      </w:r>
      <w:r w:rsidRPr="00952D6D">
        <w:rPr>
          <w:u w:val="single"/>
        </w:rPr>
        <w:t>Stable</w:t>
      </w:r>
      <w:r w:rsidRPr="00952D6D">
        <w:t xml:space="preserve"> outlook for </w:t>
      </w:r>
      <w:r>
        <w:t>Avista</w:t>
      </w:r>
      <w:r w:rsidRPr="00952D6D">
        <w:t xml:space="preserve">. </w:t>
      </w:r>
    </w:p>
    <w:p w:rsidR="00F23557" w:rsidRPr="00952D6D" w:rsidRDefault="00F23557" w:rsidP="00F23557">
      <w:pPr>
        <w:tabs>
          <w:tab w:val="left" w:pos="1440"/>
        </w:tabs>
        <w:spacing w:after="0" w:line="480" w:lineRule="auto"/>
        <w:ind w:left="720" w:hanging="720"/>
        <w:rPr>
          <w:bCs/>
        </w:rPr>
      </w:pPr>
      <w:r w:rsidRPr="00952D6D">
        <w:rPr>
          <w:bCs/>
        </w:rPr>
        <w:tab/>
      </w:r>
      <w:r w:rsidRPr="00952D6D">
        <w:rPr>
          <w:bCs/>
        </w:rPr>
        <w:tab/>
        <w:t>Specifically, S&amp;P states:</w:t>
      </w:r>
    </w:p>
    <w:p w:rsidR="00F23557" w:rsidRPr="00952D6D" w:rsidRDefault="00F23557" w:rsidP="00F23557">
      <w:pPr>
        <w:tabs>
          <w:tab w:val="left" w:pos="1080"/>
        </w:tabs>
        <w:ind w:left="2160" w:right="720"/>
        <w:jc w:val="both"/>
        <w:rPr>
          <w:rFonts w:cs="Arial"/>
          <w:b/>
          <w:color w:val="000000"/>
        </w:rPr>
      </w:pPr>
      <w:r w:rsidRPr="00952D6D">
        <w:rPr>
          <w:rFonts w:cs="Arial"/>
          <w:b/>
          <w:color w:val="000000"/>
        </w:rPr>
        <w:t xml:space="preserve">Business Risk: </w:t>
      </w:r>
      <w:r>
        <w:rPr>
          <w:rFonts w:cs="Arial"/>
          <w:b/>
          <w:color w:val="000000"/>
        </w:rPr>
        <w:t>Strong</w:t>
      </w:r>
    </w:p>
    <w:p w:rsidR="00F23557" w:rsidRDefault="00F23557" w:rsidP="00F23557">
      <w:pPr>
        <w:tabs>
          <w:tab w:val="left" w:pos="1080"/>
        </w:tabs>
        <w:autoSpaceDE w:val="0"/>
        <w:autoSpaceDN w:val="0"/>
        <w:adjustRightInd w:val="0"/>
        <w:ind w:left="2160" w:right="720"/>
        <w:jc w:val="both"/>
        <w:rPr>
          <w:rFonts w:cs="Arial"/>
          <w:color w:val="000000"/>
        </w:rPr>
      </w:pPr>
      <w:r w:rsidRPr="00D10752">
        <w:rPr>
          <w:rFonts w:cs="Arial"/>
          <w:color w:val="000000"/>
        </w:rPr>
        <w:t>In our assessment, Avista's business risk profile is "strong" based on what we consider the utility's "satisfactory"</w:t>
      </w:r>
      <w:r>
        <w:rPr>
          <w:rFonts w:cs="Arial"/>
          <w:color w:val="000000"/>
        </w:rPr>
        <w:t xml:space="preserve"> </w:t>
      </w:r>
      <w:r w:rsidRPr="00D10752">
        <w:rPr>
          <w:rFonts w:cs="Arial"/>
          <w:color w:val="000000"/>
        </w:rPr>
        <w:t>competitive position, "very low" industry risk of the regulated utility industry, and "very low" country risk of the U.S.</w:t>
      </w:r>
      <w:r>
        <w:rPr>
          <w:rFonts w:cs="Arial"/>
          <w:color w:val="000000"/>
        </w:rPr>
        <w:t xml:space="preserve"> </w:t>
      </w:r>
      <w:r w:rsidRPr="00D10752">
        <w:rPr>
          <w:rFonts w:cs="Arial"/>
          <w:color w:val="000000"/>
        </w:rPr>
        <w:t xml:space="preserve">where the company operates. </w:t>
      </w:r>
    </w:p>
    <w:p w:rsidR="00F23557" w:rsidRPr="00952D6D" w:rsidRDefault="00F23557" w:rsidP="00F23557">
      <w:pPr>
        <w:suppressLineNumbers/>
        <w:tabs>
          <w:tab w:val="left" w:pos="1080"/>
        </w:tabs>
        <w:autoSpaceDE w:val="0"/>
        <w:autoSpaceDN w:val="0"/>
        <w:adjustRightInd w:val="0"/>
        <w:ind w:left="2160" w:right="720"/>
        <w:jc w:val="both"/>
        <w:rPr>
          <w:rFonts w:cs="Arial"/>
          <w:color w:val="000000"/>
        </w:rPr>
      </w:pPr>
    </w:p>
    <w:p w:rsidR="00F23557" w:rsidRPr="00952D6D" w:rsidRDefault="00F23557" w:rsidP="00F23557">
      <w:pPr>
        <w:tabs>
          <w:tab w:val="left" w:pos="1080"/>
        </w:tabs>
        <w:ind w:left="2160" w:right="720"/>
        <w:jc w:val="both"/>
        <w:rPr>
          <w:rFonts w:cs="Arial"/>
          <w:b/>
          <w:color w:val="000000"/>
        </w:rPr>
      </w:pPr>
      <w:r w:rsidRPr="00952D6D">
        <w:rPr>
          <w:rFonts w:cs="Arial"/>
          <w:b/>
          <w:color w:val="000000"/>
        </w:rPr>
        <w:t>Financial Risk: Significant</w:t>
      </w:r>
    </w:p>
    <w:p w:rsidR="00F23557" w:rsidRPr="00952D6D" w:rsidRDefault="00F23557" w:rsidP="00F23557">
      <w:pPr>
        <w:tabs>
          <w:tab w:val="left" w:pos="1080"/>
        </w:tabs>
        <w:autoSpaceDE w:val="0"/>
        <w:autoSpaceDN w:val="0"/>
        <w:adjustRightInd w:val="0"/>
        <w:ind w:left="2160" w:right="720"/>
        <w:jc w:val="both"/>
        <w:rPr>
          <w:rFonts w:cs="Arial"/>
          <w:color w:val="000000"/>
        </w:rPr>
      </w:pPr>
      <w:r w:rsidRPr="00D10752">
        <w:rPr>
          <w:rFonts w:cs="Arial"/>
          <w:color w:val="000000"/>
        </w:rPr>
        <w:t>We base our financial risk profile assessment of "significant" on the medial volatility financial ratio benchmarks</w:t>
      </w:r>
      <w:proofErr w:type="gramStart"/>
      <w:r w:rsidRPr="00D10752">
        <w:rPr>
          <w:rFonts w:cs="Arial"/>
          <w:color w:val="000000"/>
        </w:rPr>
        <w:t xml:space="preserve">. </w:t>
      </w:r>
      <w:proofErr w:type="gramEnd"/>
      <w:r w:rsidRPr="00D10752">
        <w:rPr>
          <w:rFonts w:cs="Arial"/>
          <w:color w:val="000000"/>
        </w:rPr>
        <w:t>Our</w:t>
      </w:r>
      <w:r>
        <w:rPr>
          <w:rFonts w:cs="Arial"/>
          <w:color w:val="000000"/>
        </w:rPr>
        <w:t xml:space="preserve"> </w:t>
      </w:r>
      <w:r w:rsidRPr="00D10752">
        <w:rPr>
          <w:rFonts w:cs="Arial"/>
          <w:color w:val="000000"/>
        </w:rPr>
        <w:t>assessment takes into consideration the mostly steady cash flows from the utility business</w:t>
      </w:r>
      <w:proofErr w:type="gramStart"/>
      <w:r w:rsidRPr="00D10752">
        <w:rPr>
          <w:rFonts w:cs="Arial"/>
          <w:color w:val="000000"/>
        </w:rPr>
        <w:t xml:space="preserve">. </w:t>
      </w:r>
      <w:proofErr w:type="gramEnd"/>
      <w:r w:rsidRPr="00D10752">
        <w:rPr>
          <w:rFonts w:cs="Arial"/>
          <w:color w:val="000000"/>
        </w:rPr>
        <w:t>Our base case indicates</w:t>
      </w:r>
      <w:r>
        <w:rPr>
          <w:rFonts w:cs="Arial"/>
          <w:color w:val="000000"/>
        </w:rPr>
        <w:t xml:space="preserve"> </w:t>
      </w:r>
      <w:r w:rsidRPr="00D10752">
        <w:rPr>
          <w:rFonts w:cs="Arial"/>
          <w:color w:val="000000"/>
        </w:rPr>
        <w:t>that capital spending along with dividend payments will lead to negative discretionary cash flow over the next few</w:t>
      </w:r>
      <w:r>
        <w:rPr>
          <w:rFonts w:cs="Arial"/>
          <w:color w:val="000000"/>
        </w:rPr>
        <w:t xml:space="preserve"> </w:t>
      </w:r>
      <w:r w:rsidRPr="00D10752">
        <w:rPr>
          <w:rFonts w:cs="Arial"/>
          <w:color w:val="000000"/>
        </w:rPr>
        <w:t>years</w:t>
      </w:r>
      <w:proofErr w:type="gramStart"/>
      <w:r w:rsidRPr="00D10752">
        <w:rPr>
          <w:rFonts w:cs="Arial"/>
          <w:color w:val="000000"/>
        </w:rPr>
        <w:t xml:space="preserve">. </w:t>
      </w:r>
      <w:proofErr w:type="gramEnd"/>
      <w:r w:rsidRPr="00D10752">
        <w:rPr>
          <w:rFonts w:cs="Arial"/>
          <w:color w:val="000000"/>
        </w:rPr>
        <w:t>External funding will be needed to cover the deficit since internally generated cash flow is insufficient</w:t>
      </w:r>
      <w:r>
        <w:rPr>
          <w:rFonts w:ascii="AmasisMT" w:hAnsi="AmasisMT" w:cs="AmasisMT"/>
          <w:sz w:val="20"/>
          <w:szCs w:val="20"/>
        </w:rPr>
        <w:t>.</w:t>
      </w:r>
      <w:r w:rsidRPr="0094689D">
        <w:rPr>
          <w:u w:val="single"/>
          <w:vertAlign w:val="superscript"/>
        </w:rPr>
        <w:footnoteReference w:id="9"/>
      </w:r>
      <w:r w:rsidRPr="00A26064">
        <w:rPr>
          <w:rFonts w:cs="Arial"/>
          <w:color w:val="000000"/>
          <w:vertAlign w:val="superscript"/>
        </w:rPr>
        <w:t>/</w:t>
      </w:r>
    </w:p>
    <w:p w:rsidR="00F23557" w:rsidRPr="008172CC" w:rsidRDefault="00F23557" w:rsidP="00F23557">
      <w:pPr>
        <w:suppressLineNumbers/>
        <w:tabs>
          <w:tab w:val="left" w:pos="1080"/>
        </w:tabs>
        <w:spacing w:after="0"/>
        <w:ind w:left="2160" w:right="720"/>
        <w:jc w:val="both"/>
        <w:rPr>
          <w:rFonts w:cs="Arial"/>
          <w:color w:val="000000"/>
        </w:rPr>
      </w:pPr>
    </w:p>
    <w:p w:rsidR="00F23557" w:rsidRPr="005D3793" w:rsidRDefault="00F23557" w:rsidP="00F23557">
      <w:pPr>
        <w:pStyle w:val="Heading1"/>
      </w:pPr>
      <w:bookmarkStart w:id="55" w:name="_Toc419378562"/>
      <w:bookmarkStart w:id="56" w:name="_Toc457315612"/>
      <w:bookmarkStart w:id="57" w:name="_Toc458774153"/>
      <w:r>
        <w:t>II.D</w:t>
      </w:r>
      <w:proofErr w:type="gramStart"/>
      <w:r w:rsidRPr="005D3793">
        <w:t xml:space="preserve">.  </w:t>
      </w:r>
      <w:r w:rsidRPr="00422E7B">
        <w:t>Avista</w:t>
      </w:r>
      <w:r w:rsidRPr="005D3793">
        <w:t>’s</w:t>
      </w:r>
      <w:proofErr w:type="gramEnd"/>
      <w:r w:rsidRPr="005D3793">
        <w:t xml:space="preserve"> Proposed Capital Structure</w:t>
      </w:r>
      <w:bookmarkEnd w:id="55"/>
      <w:bookmarkEnd w:id="56"/>
      <w:bookmarkEnd w:id="57"/>
    </w:p>
    <w:p w:rsidR="00F23557" w:rsidRPr="005D3793" w:rsidRDefault="00F23557" w:rsidP="00F23557">
      <w:pPr>
        <w:tabs>
          <w:tab w:val="left" w:pos="1440"/>
        </w:tabs>
        <w:ind w:left="720" w:hanging="720"/>
        <w:jc w:val="both"/>
        <w:rPr>
          <w:b/>
          <w:szCs w:val="24"/>
        </w:rPr>
      </w:pPr>
      <w:bookmarkStart w:id="58" w:name="_Toc358967439"/>
      <w:bookmarkStart w:id="59" w:name="_Toc361237205"/>
      <w:r w:rsidRPr="005D3793">
        <w:rPr>
          <w:b/>
          <w:szCs w:val="24"/>
        </w:rPr>
        <w:t>Q</w:t>
      </w:r>
      <w:r>
        <w:rPr>
          <w:b/>
          <w:szCs w:val="24"/>
        </w:rPr>
        <w:t>.</w:t>
      </w:r>
      <w:r w:rsidRPr="005D3793">
        <w:rPr>
          <w:b/>
          <w:szCs w:val="24"/>
        </w:rPr>
        <w:tab/>
        <w:t xml:space="preserve">WHAT IS </w:t>
      </w:r>
      <w:r>
        <w:rPr>
          <w:b/>
          <w:szCs w:val="24"/>
        </w:rPr>
        <w:t>AVISTA</w:t>
      </w:r>
      <w:r w:rsidRPr="005D3793">
        <w:rPr>
          <w:b/>
          <w:szCs w:val="24"/>
        </w:rPr>
        <w:t>’S PROPOSED CAPITAL STRUCTURE?</w:t>
      </w:r>
    </w:p>
    <w:p w:rsidR="00F23557" w:rsidRPr="005D3793" w:rsidRDefault="00F23557" w:rsidP="00F23557">
      <w:pPr>
        <w:tabs>
          <w:tab w:val="left" w:pos="1440"/>
        </w:tabs>
        <w:spacing w:after="0" w:line="480" w:lineRule="auto"/>
        <w:ind w:left="720" w:hanging="720"/>
        <w:jc w:val="both"/>
        <w:rPr>
          <w:szCs w:val="24"/>
        </w:rPr>
      </w:pPr>
      <w:r w:rsidRPr="00272C05">
        <w:rPr>
          <w:rFonts w:eastAsia="Times New Roman"/>
          <w:b/>
          <w:szCs w:val="24"/>
        </w:rPr>
        <w:t>A.</w:t>
      </w:r>
      <w:r w:rsidRPr="005D3793">
        <w:rPr>
          <w:szCs w:val="24"/>
        </w:rPr>
        <w:tab/>
      </w:r>
      <w:r>
        <w:t>Avista</w:t>
      </w:r>
      <w:r w:rsidRPr="005D3793">
        <w:rPr>
          <w:szCs w:val="24"/>
        </w:rPr>
        <w:t xml:space="preserve">’s proposed capital structure is shown </w:t>
      </w:r>
      <w:r w:rsidRPr="00873AE8">
        <w:rPr>
          <w:szCs w:val="24"/>
        </w:rPr>
        <w:t>in Table 3 below:</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050"/>
        <w:gridCol w:w="1629"/>
      </w:tblGrid>
      <w:tr w:rsidR="00F23557" w:rsidRPr="005D3793" w:rsidTr="00E46164">
        <w:trPr>
          <w:jc w:val="center"/>
        </w:trPr>
        <w:tc>
          <w:tcPr>
            <w:tcW w:w="5679" w:type="dxa"/>
            <w:gridSpan w:val="2"/>
          </w:tcPr>
          <w:p w:rsidR="00F23557" w:rsidRDefault="00F23557" w:rsidP="00E46164">
            <w:pPr>
              <w:keepNext/>
              <w:tabs>
                <w:tab w:val="left" w:pos="720"/>
                <w:tab w:val="left" w:pos="1080"/>
              </w:tabs>
              <w:spacing w:after="0"/>
              <w:ind w:right="-29"/>
              <w:jc w:val="center"/>
              <w:rPr>
                <w:b/>
                <w:bCs/>
                <w:szCs w:val="24"/>
              </w:rPr>
            </w:pPr>
          </w:p>
          <w:p w:rsidR="00F23557" w:rsidRPr="005D3793" w:rsidRDefault="00F23557" w:rsidP="00E46164">
            <w:pPr>
              <w:keepNext/>
              <w:tabs>
                <w:tab w:val="left" w:pos="720"/>
                <w:tab w:val="left" w:pos="1080"/>
              </w:tabs>
              <w:spacing w:after="0"/>
              <w:ind w:right="-29"/>
              <w:jc w:val="center"/>
              <w:rPr>
                <w:b/>
                <w:bCs/>
                <w:szCs w:val="24"/>
              </w:rPr>
            </w:pPr>
            <w:r w:rsidRPr="00873AE8">
              <w:rPr>
                <w:b/>
                <w:bCs/>
                <w:szCs w:val="24"/>
              </w:rPr>
              <w:t xml:space="preserve">TABLE </w:t>
            </w:r>
            <w:r>
              <w:rPr>
                <w:b/>
                <w:bCs/>
                <w:szCs w:val="24"/>
              </w:rPr>
              <w:t>3</w:t>
            </w:r>
          </w:p>
          <w:p w:rsidR="00F23557" w:rsidRPr="005D3793" w:rsidRDefault="00F23557" w:rsidP="00E46164">
            <w:pPr>
              <w:keepNext/>
              <w:tabs>
                <w:tab w:val="left" w:pos="720"/>
                <w:tab w:val="left" w:pos="1080"/>
              </w:tabs>
              <w:spacing w:after="0"/>
              <w:ind w:right="-26"/>
              <w:jc w:val="center"/>
              <w:rPr>
                <w:b/>
                <w:bCs/>
                <w:szCs w:val="24"/>
              </w:rPr>
            </w:pPr>
          </w:p>
          <w:p w:rsidR="00F23557" w:rsidRPr="005D3793" w:rsidRDefault="00F23557" w:rsidP="00E46164">
            <w:pPr>
              <w:keepNext/>
              <w:tabs>
                <w:tab w:val="left" w:pos="720"/>
                <w:tab w:val="left" w:pos="1080"/>
              </w:tabs>
              <w:spacing w:after="0"/>
              <w:ind w:right="-26"/>
              <w:jc w:val="center"/>
              <w:rPr>
                <w:b/>
                <w:bCs/>
                <w:szCs w:val="24"/>
              </w:rPr>
            </w:pPr>
            <w:r w:rsidRPr="00422E7B">
              <w:rPr>
                <w:b/>
                <w:bCs/>
                <w:szCs w:val="24"/>
                <w:u w:val="single"/>
              </w:rPr>
              <w:t>Avista</w:t>
            </w:r>
            <w:r w:rsidRPr="005D3793">
              <w:rPr>
                <w:b/>
                <w:bCs/>
                <w:szCs w:val="24"/>
                <w:u w:val="single"/>
              </w:rPr>
              <w:t>’s Proposed Capital Structure</w:t>
            </w:r>
          </w:p>
          <w:p w:rsidR="00F23557" w:rsidRPr="005D3793" w:rsidRDefault="00F23557" w:rsidP="00E46164">
            <w:pPr>
              <w:keepNext/>
              <w:tabs>
                <w:tab w:val="left" w:pos="720"/>
                <w:tab w:val="left" w:pos="1080"/>
              </w:tabs>
              <w:spacing w:after="0"/>
              <w:ind w:right="-26"/>
              <w:jc w:val="center"/>
              <w:rPr>
                <w:szCs w:val="24"/>
              </w:rPr>
            </w:pPr>
            <w:r w:rsidRPr="005D3793">
              <w:rPr>
                <w:b/>
                <w:bCs/>
                <w:szCs w:val="24"/>
              </w:rPr>
              <w:t>(</w:t>
            </w:r>
            <w:r>
              <w:rPr>
                <w:b/>
                <w:bCs/>
                <w:szCs w:val="24"/>
              </w:rPr>
              <w:t>June 30, 2017</w:t>
            </w:r>
            <w:r w:rsidRPr="005D3793">
              <w:rPr>
                <w:b/>
                <w:bCs/>
                <w:szCs w:val="24"/>
              </w:rPr>
              <w:t>)</w:t>
            </w:r>
          </w:p>
          <w:p w:rsidR="00F23557" w:rsidRPr="005D3793" w:rsidRDefault="00F23557" w:rsidP="00E46164">
            <w:pPr>
              <w:keepNext/>
              <w:tabs>
                <w:tab w:val="left" w:pos="720"/>
                <w:tab w:val="left" w:pos="1080"/>
              </w:tabs>
              <w:spacing w:after="0"/>
              <w:ind w:right="-26"/>
              <w:jc w:val="center"/>
              <w:rPr>
                <w:b/>
                <w:bCs/>
                <w:szCs w:val="24"/>
              </w:rPr>
            </w:pPr>
          </w:p>
        </w:tc>
      </w:tr>
      <w:tr w:rsidR="00F23557" w:rsidRPr="005D3793" w:rsidTr="00E46164">
        <w:trPr>
          <w:jc w:val="center"/>
        </w:trPr>
        <w:tc>
          <w:tcPr>
            <w:tcW w:w="4050" w:type="dxa"/>
          </w:tcPr>
          <w:p w:rsidR="00F23557" w:rsidRPr="005D3793" w:rsidRDefault="00F23557" w:rsidP="00E46164">
            <w:pPr>
              <w:keepNext/>
              <w:tabs>
                <w:tab w:val="left" w:pos="720"/>
                <w:tab w:val="left" w:pos="1080"/>
              </w:tabs>
              <w:spacing w:after="0"/>
              <w:ind w:left="162" w:right="-26"/>
              <w:jc w:val="center"/>
              <w:rPr>
                <w:b/>
                <w:bCs/>
                <w:szCs w:val="24"/>
                <w:u w:val="single"/>
              </w:rPr>
            </w:pPr>
          </w:p>
          <w:p w:rsidR="00F23557" w:rsidRPr="005D3793" w:rsidRDefault="00F23557" w:rsidP="00E46164">
            <w:pPr>
              <w:keepNext/>
              <w:tabs>
                <w:tab w:val="left" w:pos="1080"/>
              </w:tabs>
              <w:spacing w:after="0"/>
              <w:ind w:left="162" w:right="-26"/>
              <w:rPr>
                <w:b/>
                <w:bCs/>
                <w:szCs w:val="24"/>
                <w:u w:val="single"/>
              </w:rPr>
            </w:pPr>
            <w:r w:rsidRPr="005D3793">
              <w:rPr>
                <w:b/>
                <w:bCs/>
                <w:szCs w:val="24"/>
                <w:u w:val="single"/>
              </w:rPr>
              <w:t>                       Description               _</w:t>
            </w:r>
          </w:p>
        </w:tc>
        <w:tc>
          <w:tcPr>
            <w:tcW w:w="1629" w:type="dxa"/>
          </w:tcPr>
          <w:p w:rsidR="00F23557" w:rsidRPr="005D3793" w:rsidRDefault="00F23557" w:rsidP="00E46164">
            <w:pPr>
              <w:keepNext/>
              <w:tabs>
                <w:tab w:val="left" w:pos="720"/>
                <w:tab w:val="left" w:pos="1080"/>
              </w:tabs>
              <w:spacing w:after="0"/>
              <w:ind w:right="-26"/>
              <w:jc w:val="center"/>
              <w:rPr>
                <w:b/>
                <w:bCs/>
                <w:szCs w:val="24"/>
              </w:rPr>
            </w:pPr>
          </w:p>
          <w:p w:rsidR="00F23557" w:rsidRPr="005D3793" w:rsidRDefault="00F23557" w:rsidP="00E46164">
            <w:pPr>
              <w:keepNext/>
              <w:tabs>
                <w:tab w:val="left" w:pos="720"/>
                <w:tab w:val="left" w:pos="1080"/>
              </w:tabs>
              <w:spacing w:after="0"/>
              <w:ind w:right="-26"/>
              <w:jc w:val="center"/>
              <w:rPr>
                <w:b/>
                <w:bCs/>
                <w:szCs w:val="24"/>
                <w:u w:val="single"/>
              </w:rPr>
            </w:pPr>
            <w:r w:rsidRPr="005D3793">
              <w:rPr>
                <w:b/>
                <w:bCs/>
                <w:szCs w:val="24"/>
                <w:u w:val="single"/>
              </w:rPr>
              <w:t> Weight </w:t>
            </w:r>
          </w:p>
          <w:p w:rsidR="00F23557" w:rsidRPr="005D3793" w:rsidRDefault="00F23557" w:rsidP="00E46164">
            <w:pPr>
              <w:keepNext/>
              <w:tabs>
                <w:tab w:val="left" w:pos="720"/>
                <w:tab w:val="left" w:pos="1080"/>
              </w:tabs>
              <w:spacing w:after="0"/>
              <w:ind w:right="-26"/>
              <w:jc w:val="center"/>
              <w:rPr>
                <w:b/>
                <w:bCs/>
                <w:szCs w:val="24"/>
              </w:rPr>
            </w:pPr>
          </w:p>
        </w:tc>
      </w:tr>
      <w:tr w:rsidR="00F23557" w:rsidRPr="005D3793" w:rsidTr="00E46164">
        <w:trPr>
          <w:trHeight w:val="144"/>
          <w:jc w:val="center"/>
        </w:trPr>
        <w:tc>
          <w:tcPr>
            <w:tcW w:w="4050" w:type="dxa"/>
          </w:tcPr>
          <w:p w:rsidR="00F23557" w:rsidRPr="005D3793" w:rsidRDefault="00F23557" w:rsidP="00E46164">
            <w:pPr>
              <w:keepNext/>
              <w:tabs>
                <w:tab w:val="left" w:pos="720"/>
                <w:tab w:val="left" w:pos="1080"/>
              </w:tabs>
              <w:spacing w:after="0"/>
              <w:ind w:left="162" w:right="-26"/>
              <w:jc w:val="both"/>
              <w:rPr>
                <w:szCs w:val="24"/>
              </w:rPr>
            </w:pPr>
            <w:r>
              <w:rPr>
                <w:szCs w:val="24"/>
              </w:rPr>
              <w:t>Total</w:t>
            </w:r>
            <w:r w:rsidRPr="005D3793">
              <w:rPr>
                <w:szCs w:val="24"/>
              </w:rPr>
              <w:t xml:space="preserve"> Debt</w:t>
            </w:r>
          </w:p>
        </w:tc>
        <w:tc>
          <w:tcPr>
            <w:tcW w:w="1629" w:type="dxa"/>
          </w:tcPr>
          <w:p w:rsidR="00F23557" w:rsidRPr="005D3793" w:rsidRDefault="00F23557" w:rsidP="00E46164">
            <w:pPr>
              <w:keepNext/>
              <w:tabs>
                <w:tab w:val="left" w:pos="1080"/>
              </w:tabs>
              <w:spacing w:after="0"/>
              <w:ind w:right="252"/>
              <w:jc w:val="right"/>
              <w:rPr>
                <w:szCs w:val="24"/>
              </w:rPr>
            </w:pPr>
            <w:r>
              <w:rPr>
                <w:szCs w:val="24"/>
              </w:rPr>
              <w:t>51.50</w:t>
            </w:r>
            <w:r w:rsidRPr="005D3793">
              <w:rPr>
                <w:szCs w:val="24"/>
              </w:rPr>
              <w:t>%</w:t>
            </w:r>
          </w:p>
        </w:tc>
      </w:tr>
      <w:tr w:rsidR="00F23557" w:rsidRPr="005D3793" w:rsidTr="00E46164">
        <w:trPr>
          <w:jc w:val="center"/>
        </w:trPr>
        <w:tc>
          <w:tcPr>
            <w:tcW w:w="4050" w:type="dxa"/>
          </w:tcPr>
          <w:p w:rsidR="00F23557" w:rsidRPr="005D3793" w:rsidRDefault="00F23557" w:rsidP="00E46164">
            <w:pPr>
              <w:keepNext/>
              <w:tabs>
                <w:tab w:val="left" w:pos="720"/>
                <w:tab w:val="left" w:pos="1080"/>
              </w:tabs>
              <w:spacing w:after="0"/>
              <w:ind w:left="162" w:right="-26"/>
              <w:jc w:val="both"/>
              <w:rPr>
                <w:szCs w:val="24"/>
              </w:rPr>
            </w:pPr>
            <w:r w:rsidRPr="005D3793">
              <w:rPr>
                <w:szCs w:val="24"/>
              </w:rPr>
              <w:t>Common Equity</w:t>
            </w:r>
          </w:p>
        </w:tc>
        <w:tc>
          <w:tcPr>
            <w:tcW w:w="1629" w:type="dxa"/>
          </w:tcPr>
          <w:p w:rsidR="00F23557" w:rsidRPr="005D3793" w:rsidRDefault="00F23557" w:rsidP="00E46164">
            <w:pPr>
              <w:keepNext/>
              <w:tabs>
                <w:tab w:val="left" w:pos="1080"/>
              </w:tabs>
              <w:spacing w:after="0"/>
              <w:ind w:right="252"/>
              <w:jc w:val="right"/>
              <w:rPr>
                <w:szCs w:val="24"/>
                <w:u w:val="single"/>
              </w:rPr>
            </w:pPr>
            <w:r w:rsidRPr="005D3793">
              <w:rPr>
                <w:szCs w:val="24"/>
                <w:u w:val="single"/>
              </w:rPr>
              <w:t> </w:t>
            </w:r>
            <w:r>
              <w:rPr>
                <w:szCs w:val="24"/>
                <w:u w:val="single"/>
              </w:rPr>
              <w:t>48.50</w:t>
            </w:r>
            <w:r w:rsidRPr="005D3793">
              <w:rPr>
                <w:szCs w:val="24"/>
                <w:u w:val="single"/>
              </w:rPr>
              <w:t>%</w:t>
            </w:r>
          </w:p>
        </w:tc>
      </w:tr>
      <w:tr w:rsidR="00F23557" w:rsidRPr="005D3793" w:rsidTr="00E46164">
        <w:trPr>
          <w:jc w:val="center"/>
        </w:trPr>
        <w:tc>
          <w:tcPr>
            <w:tcW w:w="4050" w:type="dxa"/>
          </w:tcPr>
          <w:p w:rsidR="00F23557" w:rsidRPr="005D3793" w:rsidRDefault="00F23557" w:rsidP="00E46164">
            <w:pPr>
              <w:keepNext/>
              <w:tabs>
                <w:tab w:val="left" w:pos="720"/>
                <w:tab w:val="left" w:pos="1080"/>
              </w:tabs>
              <w:spacing w:after="0"/>
              <w:ind w:left="162" w:right="-26"/>
              <w:rPr>
                <w:szCs w:val="24"/>
              </w:rPr>
            </w:pPr>
            <w:r w:rsidRPr="005D3793">
              <w:rPr>
                <w:szCs w:val="24"/>
              </w:rPr>
              <w:t xml:space="preserve">    Total Regulatory Capital Structure</w:t>
            </w:r>
          </w:p>
        </w:tc>
        <w:tc>
          <w:tcPr>
            <w:tcW w:w="1629" w:type="dxa"/>
          </w:tcPr>
          <w:p w:rsidR="00F23557" w:rsidRPr="005D3793" w:rsidRDefault="00F23557" w:rsidP="00E46164">
            <w:pPr>
              <w:keepNext/>
              <w:tabs>
                <w:tab w:val="left" w:pos="1080"/>
              </w:tabs>
              <w:spacing w:after="0"/>
              <w:ind w:right="252"/>
              <w:jc w:val="right"/>
              <w:rPr>
                <w:szCs w:val="24"/>
              </w:rPr>
            </w:pPr>
            <w:r w:rsidRPr="005D3793">
              <w:rPr>
                <w:szCs w:val="24"/>
              </w:rPr>
              <w:t>100.00%</w:t>
            </w:r>
          </w:p>
        </w:tc>
      </w:tr>
      <w:tr w:rsidR="00F23557" w:rsidRPr="005D3793" w:rsidTr="00E46164">
        <w:trPr>
          <w:jc w:val="center"/>
        </w:trPr>
        <w:tc>
          <w:tcPr>
            <w:tcW w:w="5679" w:type="dxa"/>
            <w:gridSpan w:val="2"/>
          </w:tcPr>
          <w:p w:rsidR="00F23557" w:rsidRPr="005D3793" w:rsidRDefault="00F23557" w:rsidP="00E46164">
            <w:pPr>
              <w:keepNext/>
              <w:tabs>
                <w:tab w:val="left" w:pos="720"/>
                <w:tab w:val="left" w:pos="1080"/>
              </w:tabs>
              <w:spacing w:after="0"/>
              <w:ind w:left="162" w:right="-26"/>
              <w:jc w:val="both"/>
              <w:rPr>
                <w:szCs w:val="24"/>
              </w:rPr>
            </w:pPr>
            <w:r w:rsidRPr="005D3793">
              <w:rPr>
                <w:szCs w:val="24"/>
              </w:rPr>
              <w:t xml:space="preserve">________________   </w:t>
            </w:r>
          </w:p>
          <w:p w:rsidR="00F23557" w:rsidRPr="005D3793" w:rsidRDefault="00F23557" w:rsidP="00E46164">
            <w:pPr>
              <w:keepNext/>
              <w:tabs>
                <w:tab w:val="left" w:pos="720"/>
                <w:tab w:val="left" w:pos="1080"/>
              </w:tabs>
              <w:spacing w:after="0"/>
              <w:ind w:left="162" w:right="-26"/>
              <w:jc w:val="both"/>
              <w:rPr>
                <w:szCs w:val="24"/>
              </w:rPr>
            </w:pPr>
          </w:p>
          <w:p w:rsidR="00F23557" w:rsidRPr="005D3793" w:rsidRDefault="00F23557" w:rsidP="00E46164">
            <w:pPr>
              <w:keepNext/>
              <w:tabs>
                <w:tab w:val="left" w:pos="981"/>
                <w:tab w:val="left" w:pos="1080"/>
              </w:tabs>
              <w:spacing w:after="0"/>
              <w:ind w:left="981" w:right="-26" w:hanging="810"/>
              <w:rPr>
                <w:szCs w:val="24"/>
              </w:rPr>
            </w:pPr>
            <w:r w:rsidRPr="005D3793">
              <w:rPr>
                <w:szCs w:val="24"/>
              </w:rPr>
              <w:t xml:space="preserve">Source:  Direct Testimony of </w:t>
            </w:r>
            <w:r>
              <w:rPr>
                <w:szCs w:val="24"/>
              </w:rPr>
              <w:t>Mark Thies</w:t>
            </w:r>
            <w:r w:rsidRPr="005D3793">
              <w:rPr>
                <w:szCs w:val="24"/>
              </w:rPr>
              <w:t xml:space="preserve"> at </w:t>
            </w:r>
            <w:r>
              <w:rPr>
                <w:szCs w:val="24"/>
              </w:rPr>
              <w:t>18</w:t>
            </w:r>
            <w:r w:rsidRPr="005D3793">
              <w:rPr>
                <w:szCs w:val="24"/>
              </w:rPr>
              <w:t>.</w:t>
            </w:r>
          </w:p>
          <w:p w:rsidR="00F23557" w:rsidRPr="005D3793" w:rsidRDefault="00F23557" w:rsidP="00E46164">
            <w:pPr>
              <w:keepNext/>
              <w:tabs>
                <w:tab w:val="left" w:pos="925"/>
                <w:tab w:val="left" w:pos="1080"/>
              </w:tabs>
              <w:spacing w:after="0"/>
              <w:ind w:left="162" w:right="-26"/>
              <w:rPr>
                <w:szCs w:val="24"/>
              </w:rPr>
            </w:pPr>
          </w:p>
        </w:tc>
      </w:tr>
    </w:tbl>
    <w:p w:rsidR="00F23557" w:rsidRPr="005D3793" w:rsidRDefault="00F23557" w:rsidP="00F23557">
      <w:pPr>
        <w:suppressLineNumbers/>
        <w:tabs>
          <w:tab w:val="left" w:pos="720"/>
          <w:tab w:val="left" w:pos="1080"/>
        </w:tabs>
        <w:spacing w:after="0"/>
        <w:ind w:left="720" w:hanging="720"/>
        <w:jc w:val="both"/>
        <w:rPr>
          <w:szCs w:val="24"/>
        </w:rPr>
      </w:pPr>
    </w:p>
    <w:p w:rsidR="00F23557" w:rsidRPr="005D3793" w:rsidRDefault="00F23557" w:rsidP="00F23557">
      <w:pPr>
        <w:tabs>
          <w:tab w:val="left" w:pos="1440"/>
        </w:tabs>
        <w:spacing w:line="480" w:lineRule="auto"/>
        <w:ind w:left="720" w:hanging="720"/>
        <w:jc w:val="both"/>
        <w:rPr>
          <w:szCs w:val="24"/>
        </w:rPr>
      </w:pPr>
      <w:r w:rsidRPr="005D3793">
        <w:rPr>
          <w:szCs w:val="24"/>
        </w:rPr>
        <w:tab/>
      </w:r>
      <w:r w:rsidRPr="005D3793">
        <w:rPr>
          <w:szCs w:val="24"/>
        </w:rPr>
        <w:tab/>
      </w:r>
      <w:r>
        <w:t>Avista</w:t>
      </w:r>
      <w:r w:rsidRPr="005D3793">
        <w:rPr>
          <w:szCs w:val="24"/>
        </w:rPr>
        <w:t xml:space="preserve">’s proposed capital structure is sponsored by </w:t>
      </w:r>
      <w:r>
        <w:t>Avista</w:t>
      </w:r>
      <w:r w:rsidRPr="005D3793">
        <w:rPr>
          <w:szCs w:val="24"/>
        </w:rPr>
        <w:t xml:space="preserve"> witness </w:t>
      </w:r>
      <w:r>
        <w:rPr>
          <w:szCs w:val="24"/>
        </w:rPr>
        <w:t>Mark Thies</w:t>
      </w:r>
      <w:r w:rsidRPr="005D3793">
        <w:rPr>
          <w:szCs w:val="24"/>
        </w:rPr>
        <w:t xml:space="preserve">.  </w:t>
      </w:r>
      <w:r>
        <w:t>Avista</w:t>
      </w:r>
      <w:r w:rsidRPr="005D3793">
        <w:rPr>
          <w:szCs w:val="24"/>
        </w:rPr>
        <w:t xml:space="preserve">’s proposed capital structure is based on </w:t>
      </w:r>
      <w:r>
        <w:rPr>
          <w:szCs w:val="24"/>
        </w:rPr>
        <w:t>average projected</w:t>
      </w:r>
      <w:r w:rsidRPr="005D3793">
        <w:rPr>
          <w:szCs w:val="24"/>
        </w:rPr>
        <w:t xml:space="preserve"> balances </w:t>
      </w:r>
      <w:r>
        <w:rPr>
          <w:szCs w:val="24"/>
        </w:rPr>
        <w:t>for 2017.</w:t>
      </w:r>
    </w:p>
    <w:p w:rsidR="00F23557" w:rsidRPr="005D3793" w:rsidRDefault="00F23557" w:rsidP="00F23557">
      <w:pPr>
        <w:pStyle w:val="Heading1"/>
        <w:tabs>
          <w:tab w:val="left" w:pos="1440"/>
        </w:tabs>
      </w:pPr>
      <w:bookmarkStart w:id="60" w:name="_Toc419378563"/>
      <w:bookmarkStart w:id="61" w:name="_Toc457315613"/>
      <w:bookmarkStart w:id="62" w:name="_Toc458774154"/>
      <w:bookmarkEnd w:id="58"/>
      <w:bookmarkEnd w:id="59"/>
      <w:r>
        <w:t>II.E</w:t>
      </w:r>
      <w:proofErr w:type="gramStart"/>
      <w:r w:rsidRPr="005D3793">
        <w:t>.  Embedded</w:t>
      </w:r>
      <w:proofErr w:type="gramEnd"/>
      <w:r w:rsidRPr="005D3793">
        <w:t xml:space="preserve"> Cost of Debt</w:t>
      </w:r>
      <w:bookmarkEnd w:id="60"/>
      <w:bookmarkEnd w:id="61"/>
      <w:bookmarkEnd w:id="62"/>
    </w:p>
    <w:p w:rsidR="00F23557" w:rsidRPr="005D3793" w:rsidRDefault="00F23557" w:rsidP="00F23557">
      <w:pPr>
        <w:tabs>
          <w:tab w:val="left" w:pos="1440"/>
        </w:tabs>
        <w:ind w:left="720" w:hanging="720"/>
        <w:jc w:val="both"/>
        <w:rPr>
          <w:b/>
          <w:szCs w:val="24"/>
        </w:rPr>
      </w:pPr>
      <w:r w:rsidRPr="005D3793">
        <w:rPr>
          <w:b/>
          <w:szCs w:val="24"/>
        </w:rPr>
        <w:t>Q</w:t>
      </w:r>
      <w:r>
        <w:rPr>
          <w:b/>
          <w:szCs w:val="24"/>
        </w:rPr>
        <w:t>.</w:t>
      </w:r>
      <w:r w:rsidRPr="005D3793">
        <w:rPr>
          <w:b/>
          <w:szCs w:val="24"/>
        </w:rPr>
        <w:tab/>
        <w:t>WHAT IS THE EMBEDDED COST OF DEBT THAT THE COMPANY IS PROPOSING IN THIS PROCEEDING?</w:t>
      </w:r>
    </w:p>
    <w:p w:rsidR="00F23557" w:rsidRPr="005D3793" w:rsidRDefault="00F23557" w:rsidP="00F23557">
      <w:pPr>
        <w:tabs>
          <w:tab w:val="left" w:pos="1440"/>
        </w:tabs>
        <w:spacing w:line="480" w:lineRule="auto"/>
        <w:ind w:left="720" w:hanging="720"/>
        <w:jc w:val="both"/>
        <w:rPr>
          <w:szCs w:val="24"/>
        </w:rPr>
      </w:pPr>
      <w:r w:rsidRPr="00272C05">
        <w:rPr>
          <w:rFonts w:eastAsia="Times New Roman"/>
          <w:b/>
          <w:szCs w:val="24"/>
        </w:rPr>
        <w:t>A.</w:t>
      </w:r>
      <w:r w:rsidRPr="005D3793">
        <w:rPr>
          <w:szCs w:val="24"/>
        </w:rPr>
        <w:tab/>
        <w:t>The Company is proposing an embedded</w:t>
      </w:r>
      <w:r>
        <w:rPr>
          <w:szCs w:val="24"/>
        </w:rPr>
        <w:t xml:space="preserve"> total</w:t>
      </w:r>
      <w:r w:rsidRPr="005D3793">
        <w:rPr>
          <w:szCs w:val="24"/>
        </w:rPr>
        <w:t xml:space="preserve"> debt cost of </w:t>
      </w:r>
      <w:r>
        <w:rPr>
          <w:szCs w:val="24"/>
        </w:rPr>
        <w:t>5.51</w:t>
      </w:r>
      <w:r w:rsidRPr="005D3793">
        <w:rPr>
          <w:szCs w:val="24"/>
        </w:rPr>
        <w:t xml:space="preserve">%.  The embedded debt cost is sponsored by Company witness </w:t>
      </w:r>
      <w:r>
        <w:rPr>
          <w:szCs w:val="24"/>
        </w:rPr>
        <w:t>Mr. Thies</w:t>
      </w:r>
      <w:r w:rsidRPr="005D3793">
        <w:rPr>
          <w:szCs w:val="24"/>
        </w:rPr>
        <w:t xml:space="preserve">, who supports the proposed embedded cost of debt on </w:t>
      </w:r>
      <w:r>
        <w:rPr>
          <w:szCs w:val="24"/>
        </w:rPr>
        <w:t>his Exhibit No.__</w:t>
      </w:r>
      <w:proofErr w:type="gramStart"/>
      <w:r>
        <w:rPr>
          <w:szCs w:val="24"/>
        </w:rPr>
        <w:t>_(</w:t>
      </w:r>
      <w:proofErr w:type="gramEnd"/>
      <w:r>
        <w:rPr>
          <w:szCs w:val="24"/>
        </w:rPr>
        <w:t>MTT-2), page 3</w:t>
      </w:r>
      <w:r w:rsidRPr="005D3793">
        <w:rPr>
          <w:szCs w:val="24"/>
        </w:rPr>
        <w:t>.</w:t>
      </w:r>
    </w:p>
    <w:p w:rsidR="00F23557" w:rsidRPr="005E15A1" w:rsidRDefault="00F23557" w:rsidP="00F23557">
      <w:pPr>
        <w:pStyle w:val="Heading1"/>
        <w:keepNext w:val="0"/>
        <w:keepLines w:val="0"/>
        <w:tabs>
          <w:tab w:val="left" w:pos="1440"/>
        </w:tabs>
        <w:jc w:val="center"/>
        <w:rPr>
          <w:sz w:val="26"/>
          <w:szCs w:val="26"/>
        </w:rPr>
      </w:pPr>
      <w:bookmarkStart w:id="63" w:name="_Toc402509726"/>
      <w:bookmarkStart w:id="64" w:name="_Toc405535358"/>
      <w:bookmarkStart w:id="65" w:name="_Toc414118679"/>
      <w:bookmarkStart w:id="66" w:name="_Toc415559761"/>
      <w:bookmarkStart w:id="67" w:name="_Toc421885244"/>
      <w:bookmarkStart w:id="68" w:name="_Toc424565047"/>
      <w:bookmarkStart w:id="69" w:name="_Toc436160503"/>
      <w:bookmarkStart w:id="70" w:name="_Toc441820274"/>
      <w:bookmarkStart w:id="71" w:name="_Toc452467723"/>
      <w:bookmarkStart w:id="72" w:name="_Toc456345614"/>
      <w:bookmarkStart w:id="73" w:name="_Toc457315614"/>
      <w:bookmarkStart w:id="74" w:name="_Toc458774155"/>
      <w:bookmarkEnd w:id="40"/>
      <w:bookmarkEnd w:id="41"/>
      <w:bookmarkEnd w:id="42"/>
      <w:bookmarkEnd w:id="43"/>
      <w:bookmarkEnd w:id="44"/>
      <w:bookmarkEnd w:id="45"/>
      <w:bookmarkEnd w:id="46"/>
      <w:bookmarkEnd w:id="47"/>
      <w:bookmarkEnd w:id="48"/>
      <w:r>
        <w:rPr>
          <w:sz w:val="26"/>
          <w:szCs w:val="26"/>
        </w:rPr>
        <w:t>III</w:t>
      </w:r>
      <w:proofErr w:type="gramStart"/>
      <w:r w:rsidRPr="005E15A1">
        <w:rPr>
          <w:sz w:val="26"/>
          <w:szCs w:val="26"/>
        </w:rPr>
        <w:t>.  RETURN</w:t>
      </w:r>
      <w:proofErr w:type="gramEnd"/>
      <w:r w:rsidRPr="005E15A1">
        <w:rPr>
          <w:sz w:val="26"/>
          <w:szCs w:val="26"/>
        </w:rPr>
        <w:t xml:space="preserve"> ON EQUITY</w:t>
      </w:r>
      <w:bookmarkEnd w:id="49"/>
      <w:bookmarkEnd w:id="50"/>
      <w:bookmarkEnd w:id="51"/>
      <w:bookmarkEnd w:id="52"/>
      <w:bookmarkEnd w:id="53"/>
      <w:bookmarkEnd w:id="63"/>
      <w:bookmarkEnd w:id="64"/>
      <w:bookmarkEnd w:id="65"/>
      <w:bookmarkEnd w:id="66"/>
      <w:bookmarkEnd w:id="67"/>
      <w:bookmarkEnd w:id="68"/>
      <w:bookmarkEnd w:id="69"/>
      <w:bookmarkEnd w:id="70"/>
      <w:bookmarkEnd w:id="71"/>
      <w:bookmarkEnd w:id="72"/>
      <w:bookmarkEnd w:id="73"/>
      <w:bookmarkEnd w:id="74"/>
    </w:p>
    <w:p w:rsidR="00F23557" w:rsidRPr="0018156A" w:rsidRDefault="00F23557" w:rsidP="00F23557">
      <w:pPr>
        <w:tabs>
          <w:tab w:val="left" w:pos="1440"/>
        </w:tabs>
        <w:ind w:left="720" w:hanging="720"/>
        <w:jc w:val="both"/>
        <w:rPr>
          <w:b/>
        </w:rPr>
      </w:pPr>
      <w:r w:rsidRPr="0018156A">
        <w:rPr>
          <w:b/>
        </w:rPr>
        <w:t>Q</w:t>
      </w:r>
      <w:r>
        <w:rPr>
          <w:b/>
        </w:rPr>
        <w:t>.</w:t>
      </w:r>
      <w:r w:rsidRPr="0018156A">
        <w:rPr>
          <w:b/>
        </w:rPr>
        <w:tab/>
        <w:t>PLEASE DESCRIBE WHAT IS MEANT BY A “UTILITY’S COST OF COMMON EQUITY.”</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rPr>
          <w:b/>
        </w:rPr>
        <w:tab/>
      </w:r>
      <w:r w:rsidRPr="0018156A">
        <w:t>A utility’s cost of common equity is the expected return that investors require on an investment in the utility.  Investors expect to earn their required return from receiving dividends and through stock price appreciation.</w:t>
      </w:r>
    </w:p>
    <w:p w:rsidR="00F23557" w:rsidRPr="0018156A" w:rsidRDefault="00F23557" w:rsidP="00F23557">
      <w:pPr>
        <w:keepNext/>
        <w:keepLines/>
        <w:tabs>
          <w:tab w:val="left" w:pos="1440"/>
        </w:tabs>
        <w:ind w:left="720" w:hanging="720"/>
        <w:jc w:val="both"/>
        <w:rPr>
          <w:b/>
        </w:rPr>
      </w:pPr>
      <w:r w:rsidRPr="0018156A">
        <w:rPr>
          <w:b/>
        </w:rPr>
        <w:lastRenderedPageBreak/>
        <w:t>Q</w:t>
      </w:r>
      <w:r>
        <w:rPr>
          <w:b/>
        </w:rPr>
        <w:t>.</w:t>
      </w:r>
      <w:r w:rsidRPr="0018156A">
        <w:rPr>
          <w:b/>
        </w:rPr>
        <w:tab/>
        <w:t>PLEASE DESCRIBE THE FRAMEWORK FOR DETERMINING A REGULATED UTILITY’S COST OF COMMON EQUITY.</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rPr>
          <w:b/>
        </w:rPr>
        <w:tab/>
      </w:r>
      <w:r w:rsidRPr="0018156A">
        <w:t xml:space="preserve">In general, determining a fair cost of common equity for a regulated utility has been framed by two hallmark decisions of the U.S. Supreme Court:  </w:t>
      </w:r>
      <w:r w:rsidRPr="0018156A">
        <w:rPr>
          <w:u w:val="single"/>
        </w:rPr>
        <w:t>Bluefield Water Works &amp; Improvement Co. v. Pub</w:t>
      </w:r>
      <w:proofErr w:type="gramStart"/>
      <w:r w:rsidRPr="0018156A">
        <w:rPr>
          <w:u w:val="single"/>
        </w:rPr>
        <w:t xml:space="preserve">. </w:t>
      </w:r>
      <w:proofErr w:type="gramEnd"/>
      <w:r w:rsidRPr="0018156A">
        <w:rPr>
          <w:u w:val="single"/>
        </w:rPr>
        <w:t>Serv. Comm’n of W. Va.</w:t>
      </w:r>
      <w:r w:rsidRPr="0018156A">
        <w:t>, 262 U.S. 679 (1923)</w:t>
      </w:r>
      <w:r w:rsidRPr="0018156A">
        <w:rPr>
          <w:i/>
        </w:rPr>
        <w:t xml:space="preserve"> </w:t>
      </w:r>
      <w:r w:rsidRPr="0018156A">
        <w:t>and</w:t>
      </w:r>
      <w:r w:rsidRPr="0018156A">
        <w:rPr>
          <w:i/>
        </w:rPr>
        <w:t xml:space="preserve"> </w:t>
      </w:r>
      <w:r w:rsidRPr="0018156A">
        <w:rPr>
          <w:u w:val="single"/>
        </w:rPr>
        <w:t>Fed</w:t>
      </w:r>
      <w:proofErr w:type="gramStart"/>
      <w:r w:rsidRPr="0018156A">
        <w:rPr>
          <w:u w:val="single"/>
        </w:rPr>
        <w:t>. Power Comm’n v. Hope Natural Gas Co.</w:t>
      </w:r>
      <w:r w:rsidRPr="0018156A">
        <w:t>, 320 U.S. 591 (1944).</w:t>
      </w:r>
      <w:proofErr w:type="gramEnd"/>
      <w:r w:rsidRPr="0018156A">
        <w:t xml:space="preserve">  </w:t>
      </w:r>
    </w:p>
    <w:p w:rsidR="00F23557" w:rsidRPr="0018156A" w:rsidRDefault="00F23557" w:rsidP="00F23557">
      <w:pPr>
        <w:tabs>
          <w:tab w:val="left" w:pos="1440"/>
        </w:tabs>
        <w:spacing w:after="0" w:line="480" w:lineRule="auto"/>
        <w:ind w:left="720" w:hanging="720"/>
        <w:jc w:val="both"/>
      </w:pPr>
      <w:r w:rsidRPr="0018156A">
        <w:tab/>
      </w:r>
      <w:r w:rsidRPr="0018156A">
        <w:tab/>
        <w:t>These decisions identify the general financial and economic standards to be considered in establishing the cost of common equity for a public utility.  Those general standards provide the authorized return should: (1) be sufficient to maintain financial integrity; (2) attract capital under reasonable terms; and (3) be commensurate with returns investors could earn by investing in other enterprises of comparable risk.</w:t>
      </w:r>
    </w:p>
    <w:p w:rsidR="00F23557" w:rsidRPr="0018156A" w:rsidRDefault="00F23557" w:rsidP="00F23557">
      <w:pPr>
        <w:tabs>
          <w:tab w:val="left" w:pos="1440"/>
        </w:tabs>
        <w:ind w:left="720" w:hanging="720"/>
        <w:jc w:val="both"/>
        <w:rPr>
          <w:b/>
        </w:rPr>
      </w:pPr>
      <w:r w:rsidRPr="0018156A">
        <w:rPr>
          <w:b/>
        </w:rPr>
        <w:t>Q</w:t>
      </w:r>
      <w:r>
        <w:rPr>
          <w:b/>
        </w:rPr>
        <w:t>.</w:t>
      </w:r>
      <w:r w:rsidRPr="0018156A">
        <w:rPr>
          <w:b/>
        </w:rPr>
        <w:tab/>
        <w:t xml:space="preserve">PLEASE DESCRIBE THE METHODS YOU HAVE USED TO ESTIMATE </w:t>
      </w:r>
      <w:r>
        <w:rPr>
          <w:b/>
        </w:rPr>
        <w:t>AVISTA</w:t>
      </w:r>
      <w:r w:rsidRPr="0018156A">
        <w:rPr>
          <w:b/>
        </w:rPr>
        <w:t>’S COST OF COMMON EQUITY.</w:t>
      </w:r>
    </w:p>
    <w:p w:rsidR="00F23557" w:rsidRPr="0018156A" w:rsidRDefault="00F23557" w:rsidP="00F23557">
      <w:pPr>
        <w:tabs>
          <w:tab w:val="left" w:pos="1440"/>
        </w:tabs>
        <w:spacing w:line="480" w:lineRule="auto"/>
        <w:ind w:left="720" w:hanging="720"/>
        <w:jc w:val="both"/>
      </w:pPr>
      <w:r w:rsidRPr="00272C05">
        <w:rPr>
          <w:rFonts w:eastAsia="Times New Roman"/>
          <w:b/>
          <w:szCs w:val="24"/>
        </w:rPr>
        <w:t>A.</w:t>
      </w:r>
      <w:r w:rsidRPr="0018156A">
        <w:tab/>
        <w:t xml:space="preserve">I have used several models based on financial theory to estimate </w:t>
      </w:r>
      <w:r>
        <w:t>Avista</w:t>
      </w:r>
      <w:r w:rsidRPr="0018156A">
        <w:t xml:space="preserve">’s cost of common equity.  These models are: (1) a constant growth Discounted Cash Flow (“DCF”) model using consensus analysts’ growth rate projections; (2) a constant growth DCF using sustainable growth rate estimates; (3) a multi-stage growth DCF model; (4) a Risk Premium model; and (5) a Capital Asset Pricing Model (“CAPM”).  I have applied these models to a group of publicly traded utilities with investment risk similar to </w:t>
      </w:r>
      <w:r>
        <w:t>Avista</w:t>
      </w:r>
      <w:r w:rsidRPr="0018156A">
        <w:t>.</w:t>
      </w:r>
      <w:bookmarkStart w:id="75" w:name="_Toc393285049"/>
      <w:bookmarkStart w:id="76" w:name="_Toc394736478"/>
      <w:bookmarkStart w:id="77" w:name="_Toc402509727"/>
      <w:bookmarkStart w:id="78" w:name="_Toc405535359"/>
      <w:bookmarkStart w:id="79" w:name="_Toc414118680"/>
      <w:bookmarkStart w:id="80" w:name="_Toc415559762"/>
      <w:bookmarkStart w:id="81" w:name="_Toc421885245"/>
    </w:p>
    <w:p w:rsidR="00F23557" w:rsidRPr="0018156A" w:rsidRDefault="00F23557" w:rsidP="00F23557">
      <w:pPr>
        <w:pStyle w:val="Heading1"/>
        <w:tabs>
          <w:tab w:val="left" w:pos="1440"/>
        </w:tabs>
      </w:pPr>
      <w:bookmarkStart w:id="82" w:name="_Toc424565048"/>
      <w:bookmarkStart w:id="83" w:name="_Toc436160504"/>
      <w:bookmarkStart w:id="84" w:name="_Toc441820275"/>
      <w:bookmarkStart w:id="85" w:name="_Toc452467724"/>
      <w:bookmarkStart w:id="86" w:name="_Toc456345615"/>
      <w:bookmarkStart w:id="87" w:name="_Toc457315615"/>
      <w:bookmarkStart w:id="88" w:name="_Toc458774156"/>
      <w:r>
        <w:lastRenderedPageBreak/>
        <w:t>III</w:t>
      </w:r>
      <w:r w:rsidRPr="0018156A">
        <w:t>.A</w:t>
      </w:r>
      <w:proofErr w:type="gramStart"/>
      <w:r w:rsidRPr="0018156A">
        <w:t>.  Risk</w:t>
      </w:r>
      <w:proofErr w:type="gramEnd"/>
      <w:r w:rsidRPr="0018156A">
        <w:t xml:space="preserve"> Proxy Group</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F23557" w:rsidRPr="0018156A" w:rsidRDefault="00F23557" w:rsidP="00F23557">
      <w:pPr>
        <w:keepNext/>
        <w:keepLines/>
        <w:tabs>
          <w:tab w:val="left" w:pos="1440"/>
        </w:tabs>
        <w:ind w:left="720" w:hanging="720"/>
        <w:jc w:val="both"/>
        <w:rPr>
          <w:b/>
        </w:rPr>
      </w:pPr>
      <w:r w:rsidRPr="0018156A">
        <w:rPr>
          <w:b/>
        </w:rPr>
        <w:t>Q</w:t>
      </w:r>
      <w:r>
        <w:rPr>
          <w:b/>
        </w:rPr>
        <w:t>.</w:t>
      </w:r>
      <w:r w:rsidRPr="0018156A">
        <w:rPr>
          <w:b/>
        </w:rPr>
        <w:tab/>
        <w:t xml:space="preserve">PLEASE DESCRIBE HOW YOU IDENTIFIED A PROXY UTILITY GROUP THAT COULD BE USED TO REASONABLY REFLECT THE INVESTMENT RISK OF </w:t>
      </w:r>
      <w:r>
        <w:rPr>
          <w:b/>
        </w:rPr>
        <w:t>AVISTA</w:t>
      </w:r>
      <w:r w:rsidRPr="0018156A">
        <w:rPr>
          <w:b/>
        </w:rPr>
        <w:t xml:space="preserve"> AND USED TO ESTIMATE ITS CURRENT MARKET COST OF EQUITY.</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rPr>
          <w:b/>
        </w:rPr>
        <w:tab/>
      </w:r>
      <w:r w:rsidRPr="0018156A">
        <w:t xml:space="preserve">I relied on the same proxy group developed by </w:t>
      </w:r>
      <w:r>
        <w:t>Avista</w:t>
      </w:r>
      <w:r w:rsidRPr="0018156A">
        <w:t xml:space="preserve"> witness Mr. </w:t>
      </w:r>
      <w:r>
        <w:t>McKenzie</w:t>
      </w:r>
      <w:r w:rsidRPr="0018156A">
        <w:t xml:space="preserve"> with a few exceptions.  I excluded Otter Tail because it did not have analysts’ growth rates from Zacks, SNL Financial, or Reuters at the time I developed my studies.  I eliminated Dominion Resources because, in February 2016, it confirmed its intent to purchase Questar Corp.  Finally, I excluded Westar Energy because it is in the process of being acquired </w:t>
      </w:r>
      <w:r w:rsidRPr="00D7109B">
        <w:t>by Great Plains Energy, as</w:t>
      </w:r>
      <w:r w:rsidRPr="0018156A">
        <w:t xml:space="preserve"> announced on May 31, 2016.</w:t>
      </w:r>
    </w:p>
    <w:p w:rsidR="00F23557" w:rsidRPr="0018156A" w:rsidRDefault="00F23557" w:rsidP="00F23557">
      <w:pPr>
        <w:tabs>
          <w:tab w:val="left" w:pos="1440"/>
        </w:tabs>
        <w:ind w:left="720" w:hanging="720"/>
        <w:jc w:val="both"/>
        <w:rPr>
          <w:b/>
        </w:rPr>
      </w:pPr>
      <w:r w:rsidRPr="0018156A">
        <w:rPr>
          <w:b/>
        </w:rPr>
        <w:t>Q</w:t>
      </w:r>
      <w:r>
        <w:rPr>
          <w:b/>
        </w:rPr>
        <w:t>.</w:t>
      </w:r>
      <w:r w:rsidRPr="0018156A">
        <w:rPr>
          <w:b/>
        </w:rPr>
        <w:tab/>
        <w:t>WHY IS IT IMPORTANT TO LIMIT THE PROXY GROUP COMPANIES TO THOSE THAT HAVE CONSENSUS ANALYSTS’ GROWTH RATES PUBLISHED BY ZACKS, SNL FINANCIAL OR REUTERS?</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tab/>
        <w:t>Selecting companies that have consensus analysts’ growth rate projections from at least one of these three sources is an indication that market participants are following the security and there is adequate liquidity and market demand for the security to support the assumption that the market valuation of the security is based on fundamental valuation principles.  A stock that is thinly traded, or is not widely followed by the market, may have an observable market price inconsistent with fundamental valuation principles.</w:t>
      </w:r>
    </w:p>
    <w:p w:rsidR="00F23557" w:rsidRPr="0018156A" w:rsidRDefault="00F23557" w:rsidP="00F23557">
      <w:pPr>
        <w:tabs>
          <w:tab w:val="left" w:pos="1440"/>
        </w:tabs>
        <w:ind w:left="720" w:hanging="720"/>
        <w:jc w:val="both"/>
        <w:rPr>
          <w:b/>
          <w:szCs w:val="24"/>
        </w:rPr>
      </w:pPr>
      <w:r w:rsidRPr="0018156A">
        <w:rPr>
          <w:b/>
          <w:szCs w:val="24"/>
        </w:rPr>
        <w:t>Q</w:t>
      </w:r>
      <w:r>
        <w:rPr>
          <w:b/>
          <w:szCs w:val="24"/>
        </w:rPr>
        <w:t>.</w:t>
      </w:r>
      <w:r w:rsidRPr="0018156A">
        <w:rPr>
          <w:b/>
          <w:szCs w:val="24"/>
        </w:rPr>
        <w:tab/>
        <w:t>WHY IS IT APPROPRIATE TO EXCLUDE COMPANIES WHICH ARE INVOLVED IN MERGER AND ACQUISITION (“M&amp;A”) ACTIVITY FROM THE PROXY GROUP?</w:t>
      </w:r>
    </w:p>
    <w:p w:rsidR="00F23557" w:rsidRPr="0018156A" w:rsidRDefault="00F23557" w:rsidP="00F23557">
      <w:pPr>
        <w:tabs>
          <w:tab w:val="left" w:pos="1440"/>
        </w:tabs>
        <w:spacing w:after="0" w:line="480" w:lineRule="auto"/>
        <w:ind w:left="720" w:hanging="720"/>
        <w:jc w:val="both"/>
        <w:rPr>
          <w:szCs w:val="24"/>
        </w:rPr>
      </w:pPr>
      <w:r w:rsidRPr="00272C05">
        <w:rPr>
          <w:rFonts w:eastAsia="Times New Roman"/>
          <w:b/>
          <w:szCs w:val="24"/>
        </w:rPr>
        <w:t>A.</w:t>
      </w:r>
      <w:r w:rsidRPr="0018156A">
        <w:rPr>
          <w:szCs w:val="24"/>
        </w:rPr>
        <w:tab/>
        <w:t>M&amp;</w:t>
      </w:r>
      <w:proofErr w:type="gramStart"/>
      <w:r w:rsidRPr="0018156A">
        <w:rPr>
          <w:szCs w:val="24"/>
        </w:rPr>
        <w:t>A</w:t>
      </w:r>
      <w:proofErr w:type="gramEnd"/>
      <w:r w:rsidRPr="0018156A">
        <w:rPr>
          <w:szCs w:val="24"/>
        </w:rPr>
        <w:t xml:space="preserve"> activity can distort the market factors used in DCF and risk premium studies.  M&amp;A activity can have impacts on stock prices, growth outlooks, and relative volatility in historical stock prices if the market was anticipating or expecting the </w:t>
      </w:r>
      <w:r w:rsidRPr="0018156A">
        <w:rPr>
          <w:szCs w:val="24"/>
        </w:rPr>
        <w:lastRenderedPageBreak/>
        <w:t>M&amp;</w:t>
      </w:r>
      <w:proofErr w:type="gramStart"/>
      <w:r w:rsidRPr="0018156A">
        <w:rPr>
          <w:szCs w:val="24"/>
        </w:rPr>
        <w:t>A</w:t>
      </w:r>
      <w:proofErr w:type="gramEnd"/>
      <w:r w:rsidRPr="0018156A">
        <w:rPr>
          <w:szCs w:val="24"/>
        </w:rPr>
        <w:t xml:space="preserve"> activity prior to it actually being announced.  This distortion in the market data thus impacts the reliability of the DCF and risk premium estimates for a company involved in M&amp;A.</w:t>
      </w:r>
    </w:p>
    <w:p w:rsidR="00F23557" w:rsidRPr="0018156A" w:rsidRDefault="00F23557" w:rsidP="00F23557">
      <w:pPr>
        <w:tabs>
          <w:tab w:val="left" w:pos="1440"/>
        </w:tabs>
        <w:spacing w:after="0" w:line="480" w:lineRule="auto"/>
        <w:ind w:left="720" w:hanging="720"/>
        <w:jc w:val="both"/>
        <w:rPr>
          <w:szCs w:val="24"/>
        </w:rPr>
      </w:pPr>
      <w:r>
        <w:rPr>
          <w:szCs w:val="24"/>
        </w:rPr>
        <w:tab/>
      </w:r>
      <w:r>
        <w:rPr>
          <w:szCs w:val="24"/>
        </w:rPr>
        <w:tab/>
      </w:r>
      <w:r w:rsidRPr="0018156A">
        <w:rPr>
          <w:szCs w:val="24"/>
        </w:rPr>
        <w:t xml:space="preserve">Moreover, companies generally enter into M&amp;A in order to produce greater shareholder value by combining companies.  The enhanced shareholder value normally could not be realized had the two companies not combined.  </w:t>
      </w:r>
    </w:p>
    <w:p w:rsidR="00F23557" w:rsidRPr="0018156A" w:rsidRDefault="00F23557" w:rsidP="00F23557">
      <w:pPr>
        <w:tabs>
          <w:tab w:val="left" w:pos="1440"/>
        </w:tabs>
        <w:spacing w:after="0" w:line="480" w:lineRule="auto"/>
        <w:ind w:left="720" w:hanging="720"/>
        <w:jc w:val="both"/>
        <w:rPr>
          <w:szCs w:val="24"/>
        </w:rPr>
      </w:pPr>
      <w:r>
        <w:rPr>
          <w:szCs w:val="24"/>
        </w:rPr>
        <w:tab/>
      </w:r>
      <w:r>
        <w:rPr>
          <w:szCs w:val="24"/>
        </w:rPr>
        <w:tab/>
      </w:r>
      <w:r w:rsidRPr="0018156A">
        <w:rPr>
          <w:szCs w:val="24"/>
        </w:rPr>
        <w:t xml:space="preserve">When companies announce an M&amp;A, the public assesses the proposed merger and develops outlooks on the value of the two companies after the combination based on expected synergies or other value </w:t>
      </w:r>
      <w:proofErr w:type="gramStart"/>
      <w:r w:rsidRPr="0018156A">
        <w:rPr>
          <w:szCs w:val="24"/>
        </w:rPr>
        <w:t>adds</w:t>
      </w:r>
      <w:proofErr w:type="gramEnd"/>
      <w:r w:rsidRPr="0018156A">
        <w:rPr>
          <w:szCs w:val="24"/>
        </w:rPr>
        <w:t xml:space="preserve"> created by the M&amp;A.  </w:t>
      </w:r>
    </w:p>
    <w:p w:rsidR="00F23557" w:rsidRPr="0018156A" w:rsidRDefault="00F23557" w:rsidP="00F23557">
      <w:pPr>
        <w:tabs>
          <w:tab w:val="left" w:pos="1440"/>
        </w:tabs>
        <w:spacing w:after="0" w:line="480" w:lineRule="auto"/>
        <w:ind w:left="720" w:hanging="720"/>
        <w:jc w:val="both"/>
        <w:rPr>
          <w:szCs w:val="24"/>
        </w:rPr>
      </w:pPr>
      <w:r>
        <w:rPr>
          <w:szCs w:val="24"/>
        </w:rPr>
        <w:tab/>
      </w:r>
      <w:r>
        <w:rPr>
          <w:szCs w:val="24"/>
        </w:rPr>
        <w:tab/>
      </w:r>
      <w:r w:rsidRPr="0018156A">
        <w:rPr>
          <w:szCs w:val="24"/>
        </w:rPr>
        <w:t xml:space="preserve">As a result, the stock value before the merger is completed may not reflect the forward-looking earnings and dividend payments for the company absent the merger or on a stand-alone basis.  Therefore, an accurate DCF return estimate on companies involved in M&amp;A activities cannot be produced because their stock prices do not reflect the stand-alone investment characteristics of the companies.  Rather, the stock price more likely reflects the shareholder enhancement produced by the proposed transaction.  For these reasons, it is appropriate to remove companies involved in M&amp;A activity from a proxy group used to estimate a fair return on equity for a utility.  </w:t>
      </w:r>
    </w:p>
    <w:p w:rsidR="00F23557" w:rsidRPr="0018156A" w:rsidRDefault="00F23557" w:rsidP="00F23557">
      <w:pPr>
        <w:tabs>
          <w:tab w:val="left" w:pos="1440"/>
        </w:tabs>
        <w:ind w:left="720" w:hanging="720"/>
        <w:jc w:val="both"/>
        <w:rPr>
          <w:b/>
        </w:rPr>
      </w:pPr>
      <w:r w:rsidRPr="0018156A">
        <w:rPr>
          <w:b/>
        </w:rPr>
        <w:t>Q</w:t>
      </w:r>
      <w:r>
        <w:rPr>
          <w:b/>
        </w:rPr>
        <w:t>.</w:t>
      </w:r>
      <w:r w:rsidRPr="0018156A">
        <w:rPr>
          <w:b/>
        </w:rPr>
        <w:tab/>
        <w:t xml:space="preserve">PLEASE DESCRIBE WHY YOU BELIEVE YOUR PROXY GROUP IS REASONABLY COMPARABLE IN INVESTMENT RISK TO </w:t>
      </w:r>
      <w:r>
        <w:rPr>
          <w:b/>
        </w:rPr>
        <w:t>AVISTA</w:t>
      </w:r>
      <w:r w:rsidRPr="0018156A">
        <w:rPr>
          <w:b/>
        </w:rPr>
        <w:t>.</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rPr>
          <w:b/>
        </w:rPr>
        <w:tab/>
      </w:r>
      <w:r w:rsidRPr="0018156A">
        <w:t xml:space="preserve">The proxy group is </w:t>
      </w:r>
      <w:r w:rsidRPr="00F67C5A">
        <w:t xml:space="preserve">shown in </w:t>
      </w:r>
      <w:r w:rsidRPr="00F67C5A">
        <w:rPr>
          <w:rFonts w:eastAsia="Times New Roman"/>
          <w:szCs w:val="24"/>
        </w:rPr>
        <w:t>Exhibit No</w:t>
      </w:r>
      <w:proofErr w:type="gramStart"/>
      <w:r w:rsidRPr="00F67C5A">
        <w:rPr>
          <w:rFonts w:eastAsia="Times New Roman"/>
          <w:szCs w:val="24"/>
        </w:rPr>
        <w:t>. MPG-5</w:t>
      </w:r>
      <w:r w:rsidRPr="00F67C5A">
        <w:t>.</w:t>
      </w:r>
      <w:proofErr w:type="gramEnd"/>
      <w:r w:rsidRPr="00F67C5A">
        <w:t xml:space="preserve">  The proxy</w:t>
      </w:r>
      <w:r w:rsidRPr="0018156A">
        <w:t xml:space="preserve"> group has an average corporate credit rating from S&amp;P of BBB</w:t>
      </w:r>
      <w:r>
        <w:t xml:space="preserve"> and a rating of Baa1 from Moody’s.  These average ratings are identical to Avista</w:t>
      </w:r>
      <w:r w:rsidRPr="0018156A">
        <w:t xml:space="preserve">’s corporate credit rating from </w:t>
      </w:r>
      <w:r>
        <w:t xml:space="preserve">S&amp;P and </w:t>
      </w:r>
      <w:r w:rsidRPr="0018156A">
        <w:t xml:space="preserve">Moody’s.  Based on this information, I believe my proxy group is reasonably comparable in investment risk to </w:t>
      </w:r>
      <w:r>
        <w:t>Avista</w:t>
      </w:r>
      <w:r w:rsidRPr="0018156A">
        <w:t>.</w:t>
      </w:r>
    </w:p>
    <w:p w:rsidR="00F23557" w:rsidRPr="0018156A" w:rsidRDefault="00F23557" w:rsidP="00F23557">
      <w:pPr>
        <w:tabs>
          <w:tab w:val="left" w:pos="1440"/>
        </w:tabs>
        <w:spacing w:after="0" w:line="480" w:lineRule="auto"/>
        <w:ind w:left="720" w:hanging="720"/>
        <w:jc w:val="both"/>
      </w:pPr>
      <w:r w:rsidRPr="0018156A">
        <w:lastRenderedPageBreak/>
        <w:tab/>
      </w:r>
      <w:r w:rsidRPr="0018156A">
        <w:tab/>
        <w:t xml:space="preserve">The proxy group has an average common equity ratio of </w:t>
      </w:r>
      <w:r>
        <w:t>46.2</w:t>
      </w:r>
      <w:r w:rsidRPr="0018156A">
        <w:t xml:space="preserve">% (including short-term debt) from SNL Financial (“SNL”) and </w:t>
      </w:r>
      <w:r>
        <w:t>48.5</w:t>
      </w:r>
      <w:r w:rsidRPr="0018156A">
        <w:t xml:space="preserve">% (excluding short-term debt) from </w:t>
      </w:r>
      <w:r w:rsidRPr="0018156A">
        <w:rPr>
          <w:i/>
        </w:rPr>
        <w:t>The Value Line Investment Survey</w:t>
      </w:r>
      <w:r w:rsidRPr="0018156A">
        <w:t xml:space="preserve"> (“</w:t>
      </w:r>
      <w:r w:rsidRPr="0018156A">
        <w:rPr>
          <w:i/>
        </w:rPr>
        <w:t>Value Line</w:t>
      </w:r>
      <w:r w:rsidRPr="0018156A">
        <w:t xml:space="preserve">”) in 2015.  </w:t>
      </w:r>
    </w:p>
    <w:p w:rsidR="00F23557" w:rsidRPr="0018156A" w:rsidRDefault="00F23557" w:rsidP="00F23557">
      <w:pPr>
        <w:tabs>
          <w:tab w:val="left" w:pos="1440"/>
        </w:tabs>
        <w:spacing w:line="480" w:lineRule="auto"/>
        <w:ind w:left="720" w:hanging="720"/>
        <w:jc w:val="both"/>
      </w:pPr>
      <w:r>
        <w:tab/>
      </w:r>
      <w:r>
        <w:tab/>
        <w:t>The proxy group common equity ratio is comparable to Avista’s proposed capital structure 48.5% equity ratio.</w:t>
      </w:r>
    </w:p>
    <w:p w:rsidR="00F23557" w:rsidRPr="0018156A" w:rsidRDefault="00F23557" w:rsidP="00F23557">
      <w:pPr>
        <w:pStyle w:val="Heading1"/>
        <w:tabs>
          <w:tab w:val="left" w:pos="1440"/>
        </w:tabs>
      </w:pPr>
      <w:bookmarkStart w:id="89" w:name="_Toc393285050"/>
      <w:bookmarkStart w:id="90" w:name="_Toc394736479"/>
      <w:bookmarkStart w:id="91" w:name="_Toc402509728"/>
      <w:bookmarkStart w:id="92" w:name="_Toc405535360"/>
      <w:bookmarkStart w:id="93" w:name="_Toc414118681"/>
      <w:bookmarkStart w:id="94" w:name="_Toc415559763"/>
      <w:bookmarkStart w:id="95" w:name="_Toc421885246"/>
      <w:bookmarkStart w:id="96" w:name="_Toc424565049"/>
      <w:bookmarkStart w:id="97" w:name="_Toc436160505"/>
      <w:bookmarkStart w:id="98" w:name="_Toc441820276"/>
      <w:bookmarkStart w:id="99" w:name="_Toc452467725"/>
      <w:bookmarkStart w:id="100" w:name="_Toc456345616"/>
      <w:bookmarkStart w:id="101" w:name="_Toc457315616"/>
      <w:bookmarkStart w:id="102" w:name="_Toc458774157"/>
      <w:bookmarkStart w:id="103" w:name="_Toc298162451"/>
      <w:bookmarkStart w:id="104" w:name="_Toc306173880"/>
      <w:bookmarkStart w:id="105" w:name="_Toc311104304"/>
      <w:bookmarkStart w:id="106" w:name="_Toc325838007"/>
      <w:bookmarkStart w:id="107" w:name="_Toc330806002"/>
      <w:bookmarkStart w:id="108" w:name="_Toc341868681"/>
      <w:bookmarkStart w:id="109" w:name="_Toc348295910"/>
      <w:bookmarkStart w:id="110" w:name="_Toc358967441"/>
      <w:bookmarkStart w:id="111" w:name="_Toc361237207"/>
      <w:bookmarkStart w:id="112" w:name="_Toc368924930"/>
      <w:bookmarkStart w:id="113" w:name="_Toc375225369"/>
      <w:bookmarkStart w:id="114" w:name="_Toc384800471"/>
      <w:r>
        <w:t>III</w:t>
      </w:r>
      <w:r w:rsidRPr="0018156A">
        <w:t>.B</w:t>
      </w:r>
      <w:proofErr w:type="gramStart"/>
      <w:r w:rsidRPr="0018156A">
        <w:t>.  Discounted</w:t>
      </w:r>
      <w:proofErr w:type="gramEnd"/>
      <w:r w:rsidRPr="0018156A">
        <w:t xml:space="preserve"> Cash Flow Model</w:t>
      </w:r>
      <w:bookmarkEnd w:id="89"/>
      <w:bookmarkEnd w:id="90"/>
      <w:bookmarkEnd w:id="91"/>
      <w:bookmarkEnd w:id="92"/>
      <w:bookmarkEnd w:id="93"/>
      <w:bookmarkEnd w:id="94"/>
      <w:bookmarkEnd w:id="95"/>
      <w:bookmarkEnd w:id="96"/>
      <w:bookmarkEnd w:id="97"/>
      <w:bookmarkEnd w:id="98"/>
      <w:bookmarkEnd w:id="99"/>
      <w:bookmarkEnd w:id="100"/>
      <w:bookmarkEnd w:id="101"/>
      <w:bookmarkEnd w:id="102"/>
    </w:p>
    <w:bookmarkEnd w:id="103"/>
    <w:bookmarkEnd w:id="104"/>
    <w:bookmarkEnd w:id="105"/>
    <w:bookmarkEnd w:id="106"/>
    <w:bookmarkEnd w:id="107"/>
    <w:bookmarkEnd w:id="108"/>
    <w:bookmarkEnd w:id="109"/>
    <w:bookmarkEnd w:id="110"/>
    <w:bookmarkEnd w:id="111"/>
    <w:bookmarkEnd w:id="112"/>
    <w:bookmarkEnd w:id="113"/>
    <w:bookmarkEnd w:id="114"/>
    <w:p w:rsidR="00F23557" w:rsidRPr="0018156A" w:rsidRDefault="00F23557" w:rsidP="00F23557">
      <w:pPr>
        <w:tabs>
          <w:tab w:val="left" w:pos="1440"/>
        </w:tabs>
        <w:ind w:left="720" w:hanging="720"/>
        <w:jc w:val="both"/>
        <w:rPr>
          <w:b/>
        </w:rPr>
      </w:pPr>
      <w:r w:rsidRPr="0018156A">
        <w:rPr>
          <w:b/>
        </w:rPr>
        <w:t>Q</w:t>
      </w:r>
      <w:r>
        <w:rPr>
          <w:b/>
        </w:rPr>
        <w:t>.</w:t>
      </w:r>
      <w:r w:rsidRPr="0018156A">
        <w:rPr>
          <w:b/>
        </w:rPr>
        <w:tab/>
        <w:t>PLEASE DESCRIBE THE DCF MODEL.</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rPr>
          <w:b/>
        </w:rPr>
        <w:tab/>
      </w:r>
      <w:r w:rsidRPr="0018156A">
        <w:t>The DCF model posits that a stock price is valued by summing the present value of expected future cash flows discounted at the investor’s required rate of return or cost of capital.  This model is expressed mathematically as follows:</w:t>
      </w:r>
    </w:p>
    <w:p w:rsidR="00F23557" w:rsidRPr="0018156A" w:rsidRDefault="00F23557" w:rsidP="00F23557">
      <w:pPr>
        <w:tabs>
          <w:tab w:val="left" w:pos="1080"/>
        </w:tabs>
        <w:spacing w:after="0"/>
        <w:ind w:left="720" w:hanging="720"/>
        <w:jc w:val="both"/>
      </w:pPr>
      <w:r w:rsidRPr="0018156A">
        <w:tab/>
      </w:r>
      <w:r w:rsidRPr="0018156A">
        <w:tab/>
        <w:t>P</w:t>
      </w:r>
      <w:r w:rsidRPr="0018156A">
        <w:rPr>
          <w:vertAlign w:val="subscript"/>
        </w:rPr>
        <w:t>0</w:t>
      </w:r>
      <w:r w:rsidRPr="0018156A">
        <w:t xml:space="preserve"> =    D</w:t>
      </w:r>
      <w:r w:rsidRPr="0018156A">
        <w:rPr>
          <w:vertAlign w:val="subscript"/>
        </w:rPr>
        <w:t>1</w:t>
      </w:r>
      <w:r w:rsidRPr="0018156A">
        <w:t xml:space="preserve">     +     D</w:t>
      </w:r>
      <w:r w:rsidRPr="0018156A">
        <w:rPr>
          <w:vertAlign w:val="subscript"/>
        </w:rPr>
        <w:t>2</w:t>
      </w:r>
      <w:r w:rsidRPr="0018156A">
        <w:t xml:space="preserve">     . . . </w:t>
      </w:r>
      <w:proofErr w:type="gramStart"/>
      <w:r w:rsidRPr="0018156A">
        <w:t xml:space="preserve">.     </w:t>
      </w:r>
      <w:proofErr w:type="gramEnd"/>
      <w:r w:rsidRPr="0018156A">
        <w:t>D</w:t>
      </w:r>
      <w:r w:rsidRPr="0018156A">
        <w:rPr>
          <w:vertAlign w:val="subscript"/>
        </w:rPr>
        <w:t>∞</w:t>
      </w:r>
      <w:r w:rsidRPr="0018156A">
        <w:t xml:space="preserve">      </w:t>
      </w:r>
      <w:r w:rsidRPr="0018156A">
        <w:tab/>
      </w:r>
      <w:r w:rsidRPr="0018156A">
        <w:tab/>
        <w:t>(Equation 1)</w:t>
      </w:r>
    </w:p>
    <w:p w:rsidR="00F23557" w:rsidRDefault="005F28EE" w:rsidP="00F23557">
      <w:pPr>
        <w:tabs>
          <w:tab w:val="left" w:pos="1080"/>
        </w:tabs>
        <w:spacing w:after="0"/>
        <w:ind w:left="720" w:hanging="720"/>
        <w:jc w:val="both"/>
        <w:rPr>
          <w:vertAlign w:val="superscript"/>
        </w:rPr>
      </w:pPr>
      <w:r w:rsidRPr="005F28EE">
        <w:rPr>
          <w:noProof/>
        </w:rPr>
        <w:pict>
          <v:shapetype id="_x0000_t32" coordsize="21600,21600" o:spt="32" o:oned="t" path="m,l21600,21600e" filled="f">
            <v:path arrowok="t" fillok="f" o:connecttype="none"/>
            <o:lock v:ext="edit" shapetype="t"/>
          </v:shapetype>
          <v:shape id="AutoShape 80" o:spid="_x0000_s1029" type="#_x0000_t32" style="position:absolute;left:0;text-align:left;margin-left:210.6pt;margin-top:-.3pt;width:27.7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XpHQ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"/>
        </w:pict>
      </w:r>
      <w:r w:rsidRPr="005F28EE">
        <w:rPr>
          <w:noProof/>
        </w:rPr>
        <w:pict>
          <v:shape id="AutoShape 81" o:spid="_x0000_s1030" type="#_x0000_t32" style="position:absolute;left:0;text-align:left;margin-left:142.35pt;margin-top:-.3pt;width:27.7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"/>
        </w:pict>
      </w:r>
      <w:r w:rsidRPr="005F28EE">
        <w:rPr>
          <w:noProof/>
        </w:rPr>
        <w:pict>
          <v:shape id="AutoShape 82" o:spid="_x0000_s1031" type="#_x0000_t32" style="position:absolute;left:0;text-align:left;margin-left:97.35pt;margin-top:-.3pt;width:27.75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"/>
        </w:pict>
      </w:r>
      <w:r w:rsidR="00F23557" w:rsidRPr="0018156A">
        <w:tab/>
      </w:r>
      <w:r w:rsidR="00F23557" w:rsidRPr="0018156A">
        <w:tab/>
        <w:t xml:space="preserve">        (1+K</w:t>
      </w:r>
      <w:proofErr w:type="gramStart"/>
      <w:r w:rsidR="00F23557" w:rsidRPr="0018156A">
        <w:t>)</w:t>
      </w:r>
      <w:r w:rsidR="00F23557" w:rsidRPr="0018156A">
        <w:rPr>
          <w:vertAlign w:val="superscript"/>
        </w:rPr>
        <w:t>1</w:t>
      </w:r>
      <w:proofErr w:type="gramEnd"/>
      <w:r w:rsidR="00F23557" w:rsidRPr="0018156A">
        <w:t xml:space="preserve">     (1+K)</w:t>
      </w:r>
      <w:r w:rsidR="00F23557" w:rsidRPr="0018156A">
        <w:rPr>
          <w:vertAlign w:val="superscript"/>
        </w:rPr>
        <w:t>2</w:t>
      </w:r>
      <w:r w:rsidR="00F23557" w:rsidRPr="0018156A">
        <w:t xml:space="preserve">            (1+K)</w:t>
      </w:r>
      <w:r w:rsidR="00F23557" w:rsidRPr="0018156A">
        <w:rPr>
          <w:vertAlign w:val="superscript"/>
        </w:rPr>
        <w:t>∞</w:t>
      </w:r>
    </w:p>
    <w:p w:rsidR="00F23557" w:rsidRPr="0018156A" w:rsidRDefault="00F23557" w:rsidP="00F23557">
      <w:pPr>
        <w:suppressLineNumbers/>
        <w:tabs>
          <w:tab w:val="left" w:pos="1080"/>
          <w:tab w:val="left" w:pos="1440"/>
          <w:tab w:val="left" w:pos="1710"/>
        </w:tabs>
        <w:spacing w:after="0"/>
        <w:ind w:left="720" w:hanging="720"/>
        <w:jc w:val="both"/>
      </w:pPr>
    </w:p>
    <w:p w:rsidR="00F23557" w:rsidRDefault="00F23557" w:rsidP="00F23557">
      <w:pPr>
        <w:tabs>
          <w:tab w:val="left" w:pos="1080"/>
          <w:tab w:val="left" w:pos="1440"/>
          <w:tab w:val="left" w:pos="1710"/>
        </w:tabs>
        <w:spacing w:after="0"/>
        <w:ind w:left="720" w:hanging="720"/>
        <w:jc w:val="both"/>
      </w:pPr>
      <w:r w:rsidRPr="0018156A">
        <w:tab/>
      </w:r>
      <w:r w:rsidRPr="0018156A">
        <w:tab/>
        <w:t>P</w:t>
      </w:r>
      <w:r w:rsidRPr="0018156A">
        <w:rPr>
          <w:vertAlign w:val="subscript"/>
        </w:rPr>
        <w:t>0</w:t>
      </w:r>
      <w:r w:rsidRPr="0018156A">
        <w:rPr>
          <w:vertAlign w:val="subscript"/>
        </w:rPr>
        <w:tab/>
      </w:r>
      <w:r w:rsidRPr="0018156A">
        <w:t>= Current stock price</w:t>
      </w:r>
    </w:p>
    <w:p w:rsidR="00F23557" w:rsidRPr="0018156A" w:rsidRDefault="00F23557" w:rsidP="00F23557">
      <w:pPr>
        <w:suppressLineNumbers/>
        <w:tabs>
          <w:tab w:val="left" w:pos="1080"/>
          <w:tab w:val="left" w:pos="1440"/>
          <w:tab w:val="left" w:pos="1710"/>
        </w:tabs>
        <w:spacing w:after="0"/>
        <w:ind w:left="720" w:hanging="720"/>
        <w:jc w:val="both"/>
      </w:pPr>
    </w:p>
    <w:p w:rsidR="00F23557" w:rsidRDefault="00F23557" w:rsidP="00F23557">
      <w:pPr>
        <w:tabs>
          <w:tab w:val="left" w:pos="1080"/>
          <w:tab w:val="left" w:pos="1440"/>
          <w:tab w:val="left" w:pos="1710"/>
        </w:tabs>
        <w:spacing w:after="0"/>
        <w:ind w:left="720" w:hanging="720"/>
        <w:jc w:val="both"/>
      </w:pPr>
      <w:r w:rsidRPr="0018156A">
        <w:tab/>
      </w:r>
      <w:r w:rsidRPr="0018156A">
        <w:tab/>
        <w:t>D</w:t>
      </w:r>
      <w:r w:rsidRPr="0018156A">
        <w:tab/>
        <w:t>= Dividends in periods 1 - ∞</w:t>
      </w:r>
    </w:p>
    <w:p w:rsidR="00F23557" w:rsidRPr="0018156A" w:rsidRDefault="00F23557" w:rsidP="00F23557">
      <w:pPr>
        <w:suppressLineNumbers/>
        <w:tabs>
          <w:tab w:val="left" w:pos="1080"/>
          <w:tab w:val="left" w:pos="1440"/>
          <w:tab w:val="left" w:pos="1710"/>
        </w:tabs>
        <w:spacing w:after="0"/>
        <w:ind w:left="720" w:hanging="720"/>
        <w:jc w:val="both"/>
      </w:pPr>
    </w:p>
    <w:p w:rsidR="00F23557" w:rsidRDefault="00F23557" w:rsidP="00F23557">
      <w:pPr>
        <w:tabs>
          <w:tab w:val="left" w:pos="1080"/>
          <w:tab w:val="left" w:pos="1440"/>
          <w:tab w:val="left" w:pos="1710"/>
        </w:tabs>
        <w:spacing w:after="0"/>
        <w:ind w:left="720" w:hanging="720"/>
        <w:jc w:val="both"/>
      </w:pPr>
      <w:r w:rsidRPr="0018156A">
        <w:tab/>
      </w:r>
      <w:r w:rsidRPr="0018156A">
        <w:tab/>
        <w:t>K</w:t>
      </w:r>
      <w:r w:rsidRPr="0018156A">
        <w:tab/>
        <w:t xml:space="preserve">= Investor’s required return </w:t>
      </w:r>
    </w:p>
    <w:p w:rsidR="00F23557" w:rsidRPr="0018156A" w:rsidRDefault="00F23557" w:rsidP="00F23557">
      <w:pPr>
        <w:suppressLineNumbers/>
        <w:tabs>
          <w:tab w:val="left" w:pos="1080"/>
          <w:tab w:val="left" w:pos="1440"/>
          <w:tab w:val="left" w:pos="1710"/>
        </w:tabs>
        <w:spacing w:after="0"/>
        <w:ind w:left="720" w:hanging="720"/>
        <w:jc w:val="both"/>
      </w:pPr>
    </w:p>
    <w:p w:rsidR="00F23557" w:rsidRPr="0018156A" w:rsidRDefault="00F23557" w:rsidP="00F23557">
      <w:pPr>
        <w:tabs>
          <w:tab w:val="left" w:pos="1440"/>
        </w:tabs>
        <w:spacing w:after="0" w:line="480" w:lineRule="auto"/>
        <w:ind w:left="720" w:hanging="720"/>
        <w:jc w:val="both"/>
      </w:pPr>
      <w:r w:rsidRPr="0018156A">
        <w:tab/>
      </w:r>
      <w:r w:rsidRPr="0018156A">
        <w:tab/>
        <w:t>This model can be rearranged in order to estimate the discount rate or investor-required return otherwise known as “K.”  If it is reasonable to assume that earnings and dividends will grow at a constant rate, then Equation 1 can be rearranged as follows:</w:t>
      </w:r>
    </w:p>
    <w:p w:rsidR="00F23557" w:rsidRDefault="00F23557" w:rsidP="00F23557">
      <w:pPr>
        <w:tabs>
          <w:tab w:val="left" w:pos="1080"/>
          <w:tab w:val="left" w:pos="1440"/>
          <w:tab w:val="left" w:pos="1710"/>
        </w:tabs>
        <w:spacing w:after="0"/>
        <w:ind w:left="720" w:hanging="720"/>
        <w:jc w:val="both"/>
      </w:pPr>
      <w:r w:rsidRPr="0018156A">
        <w:tab/>
      </w:r>
      <w:r w:rsidRPr="0018156A">
        <w:tab/>
        <w:t>K</w:t>
      </w:r>
      <w:r w:rsidRPr="0018156A">
        <w:tab/>
        <w:t>= D</w:t>
      </w:r>
      <w:r w:rsidRPr="0018156A">
        <w:rPr>
          <w:vertAlign w:val="subscript"/>
        </w:rPr>
        <w:t>1</w:t>
      </w:r>
      <w:r w:rsidRPr="0018156A">
        <w:t>/P</w:t>
      </w:r>
      <w:r w:rsidRPr="0018156A">
        <w:rPr>
          <w:vertAlign w:val="subscript"/>
        </w:rPr>
        <w:t>0</w:t>
      </w:r>
      <w:r w:rsidRPr="0018156A">
        <w:t xml:space="preserve"> + G</w:t>
      </w:r>
      <w:r w:rsidRPr="0018156A">
        <w:tab/>
      </w:r>
      <w:r w:rsidRPr="0018156A">
        <w:tab/>
      </w:r>
      <w:r w:rsidRPr="0018156A">
        <w:tab/>
      </w:r>
      <w:r w:rsidRPr="0018156A">
        <w:tab/>
      </w:r>
      <w:r w:rsidRPr="0018156A">
        <w:tab/>
        <w:t>(Equation 2)</w:t>
      </w:r>
    </w:p>
    <w:p w:rsidR="00F23557" w:rsidRPr="0018156A" w:rsidRDefault="00F23557" w:rsidP="00F23557">
      <w:pPr>
        <w:suppressLineNumbers/>
        <w:tabs>
          <w:tab w:val="left" w:pos="1080"/>
          <w:tab w:val="left" w:pos="1440"/>
          <w:tab w:val="left" w:pos="1710"/>
        </w:tabs>
        <w:spacing w:after="0"/>
        <w:ind w:left="720" w:hanging="720"/>
        <w:jc w:val="both"/>
      </w:pPr>
    </w:p>
    <w:p w:rsidR="00F23557" w:rsidRDefault="00F23557" w:rsidP="00F23557">
      <w:pPr>
        <w:tabs>
          <w:tab w:val="left" w:pos="1080"/>
          <w:tab w:val="left" w:pos="1440"/>
          <w:tab w:val="left" w:pos="1710"/>
        </w:tabs>
        <w:spacing w:after="0"/>
        <w:ind w:left="720" w:hanging="720"/>
        <w:jc w:val="both"/>
      </w:pPr>
      <w:r w:rsidRPr="0018156A">
        <w:tab/>
      </w:r>
      <w:r w:rsidRPr="0018156A">
        <w:tab/>
        <w:t>K</w:t>
      </w:r>
      <w:r w:rsidRPr="0018156A">
        <w:tab/>
        <w:t>= Investor’s required return</w:t>
      </w:r>
    </w:p>
    <w:p w:rsidR="00F23557" w:rsidRPr="0018156A" w:rsidRDefault="00F23557" w:rsidP="00F23557">
      <w:pPr>
        <w:suppressLineNumbers/>
        <w:tabs>
          <w:tab w:val="left" w:pos="1080"/>
          <w:tab w:val="left" w:pos="1440"/>
          <w:tab w:val="left" w:pos="1710"/>
        </w:tabs>
        <w:spacing w:after="0"/>
        <w:ind w:left="720" w:hanging="720"/>
        <w:jc w:val="both"/>
      </w:pPr>
    </w:p>
    <w:p w:rsidR="00F23557" w:rsidRDefault="00F23557" w:rsidP="00F23557">
      <w:pPr>
        <w:tabs>
          <w:tab w:val="left" w:pos="1080"/>
          <w:tab w:val="left" w:pos="1440"/>
          <w:tab w:val="left" w:pos="1710"/>
        </w:tabs>
        <w:spacing w:after="0"/>
        <w:ind w:left="720" w:hanging="720"/>
        <w:jc w:val="both"/>
      </w:pPr>
      <w:r w:rsidRPr="0018156A">
        <w:tab/>
      </w:r>
      <w:r w:rsidRPr="0018156A">
        <w:tab/>
        <w:t>D</w:t>
      </w:r>
      <w:r w:rsidRPr="0018156A">
        <w:rPr>
          <w:vertAlign w:val="subscript"/>
        </w:rPr>
        <w:t>1</w:t>
      </w:r>
      <w:r w:rsidRPr="0018156A">
        <w:tab/>
        <w:t>= Dividend in first year</w:t>
      </w:r>
    </w:p>
    <w:p w:rsidR="00F23557" w:rsidRPr="0018156A" w:rsidRDefault="00F23557" w:rsidP="00F23557">
      <w:pPr>
        <w:suppressLineNumbers/>
        <w:tabs>
          <w:tab w:val="left" w:pos="1080"/>
          <w:tab w:val="left" w:pos="1440"/>
          <w:tab w:val="left" w:pos="1710"/>
        </w:tabs>
        <w:spacing w:after="0"/>
        <w:ind w:left="720" w:hanging="720"/>
        <w:jc w:val="both"/>
      </w:pPr>
    </w:p>
    <w:p w:rsidR="00F23557" w:rsidRDefault="00F23557" w:rsidP="00F23557">
      <w:pPr>
        <w:tabs>
          <w:tab w:val="left" w:pos="1080"/>
          <w:tab w:val="left" w:pos="1440"/>
          <w:tab w:val="left" w:pos="1710"/>
        </w:tabs>
        <w:spacing w:after="0"/>
        <w:ind w:left="720" w:hanging="720"/>
        <w:jc w:val="both"/>
      </w:pPr>
      <w:r w:rsidRPr="0018156A">
        <w:tab/>
      </w:r>
      <w:r w:rsidRPr="0018156A">
        <w:tab/>
        <w:t>P</w:t>
      </w:r>
      <w:r w:rsidRPr="0018156A">
        <w:rPr>
          <w:vertAlign w:val="subscript"/>
        </w:rPr>
        <w:t>0</w:t>
      </w:r>
      <w:r w:rsidRPr="0018156A">
        <w:tab/>
        <w:t>= Current stock price</w:t>
      </w:r>
    </w:p>
    <w:p w:rsidR="00F23557" w:rsidRPr="0018156A" w:rsidRDefault="00F23557" w:rsidP="00F23557">
      <w:pPr>
        <w:suppressLineNumbers/>
        <w:tabs>
          <w:tab w:val="left" w:pos="1080"/>
          <w:tab w:val="left" w:pos="1440"/>
          <w:tab w:val="left" w:pos="1710"/>
        </w:tabs>
        <w:spacing w:after="0"/>
        <w:ind w:left="720" w:hanging="720"/>
        <w:jc w:val="both"/>
      </w:pPr>
    </w:p>
    <w:p w:rsidR="00F23557" w:rsidRDefault="00F23557" w:rsidP="00F23557">
      <w:pPr>
        <w:tabs>
          <w:tab w:val="left" w:pos="1080"/>
          <w:tab w:val="left" w:pos="1440"/>
          <w:tab w:val="left" w:pos="1710"/>
        </w:tabs>
        <w:spacing w:after="0"/>
        <w:ind w:left="720" w:hanging="720"/>
        <w:jc w:val="both"/>
      </w:pPr>
      <w:r w:rsidRPr="0018156A">
        <w:tab/>
      </w:r>
      <w:r w:rsidRPr="0018156A">
        <w:tab/>
        <w:t>G</w:t>
      </w:r>
      <w:r w:rsidRPr="0018156A">
        <w:tab/>
        <w:t>= Expected constant dividend growth rate</w:t>
      </w:r>
    </w:p>
    <w:p w:rsidR="00F23557" w:rsidRPr="0018156A" w:rsidRDefault="00F23557" w:rsidP="00F23557">
      <w:pPr>
        <w:tabs>
          <w:tab w:val="left" w:pos="1080"/>
        </w:tabs>
        <w:spacing w:after="0" w:line="480" w:lineRule="auto"/>
        <w:ind w:left="720" w:hanging="720"/>
        <w:jc w:val="both"/>
      </w:pPr>
      <w:r w:rsidRPr="0018156A">
        <w:lastRenderedPageBreak/>
        <w:tab/>
        <w:t>Equation 2 is referred to as the annual “constant growth” DCF model.</w:t>
      </w:r>
    </w:p>
    <w:p w:rsidR="00F23557" w:rsidRPr="0018156A" w:rsidRDefault="00F23557" w:rsidP="00F23557">
      <w:pPr>
        <w:tabs>
          <w:tab w:val="left" w:pos="1440"/>
        </w:tabs>
        <w:ind w:left="720" w:hanging="720"/>
        <w:jc w:val="both"/>
        <w:rPr>
          <w:b/>
        </w:rPr>
      </w:pPr>
      <w:r w:rsidRPr="0018156A">
        <w:rPr>
          <w:b/>
        </w:rPr>
        <w:t>Q</w:t>
      </w:r>
      <w:r>
        <w:rPr>
          <w:b/>
        </w:rPr>
        <w:t>.</w:t>
      </w:r>
      <w:r w:rsidRPr="0018156A">
        <w:rPr>
          <w:b/>
        </w:rPr>
        <w:tab/>
        <w:t>PLEASE DESCRIBE THE INPUTS TO YOUR CONSTANT GROWTH DCF MODEL.</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rPr>
          <w:b/>
        </w:rPr>
        <w:tab/>
      </w:r>
      <w:r w:rsidRPr="0018156A">
        <w:t xml:space="preserve">As shown </w:t>
      </w:r>
      <w:bookmarkStart w:id="115" w:name="_BPDCI197"/>
      <w:r w:rsidRPr="0018156A">
        <w:t xml:space="preserve">in </w:t>
      </w:r>
      <w:bookmarkEnd w:id="115"/>
      <w:r w:rsidRPr="0018156A">
        <w:t>Equation 2 above, the DCF model requires a current stock price, expected dividend, and expected growth rate in dividends.</w:t>
      </w:r>
    </w:p>
    <w:p w:rsidR="00F23557" w:rsidRPr="0018156A" w:rsidRDefault="00F23557" w:rsidP="00F23557">
      <w:pPr>
        <w:tabs>
          <w:tab w:val="left" w:pos="1440"/>
        </w:tabs>
        <w:ind w:left="720" w:hanging="720"/>
        <w:jc w:val="both"/>
        <w:rPr>
          <w:b/>
        </w:rPr>
      </w:pPr>
      <w:r w:rsidRPr="0018156A">
        <w:rPr>
          <w:b/>
        </w:rPr>
        <w:t>Q</w:t>
      </w:r>
      <w:r>
        <w:rPr>
          <w:b/>
        </w:rPr>
        <w:t>.</w:t>
      </w:r>
      <w:r w:rsidRPr="0018156A">
        <w:rPr>
          <w:b/>
        </w:rPr>
        <w:tab/>
        <w:t>WHAT STOCK PRICE HAVE YOU RELIED ON IN YOUR CONSTANT GROWTH DCF MODEL?</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rPr>
          <w:b/>
        </w:rPr>
        <w:tab/>
      </w:r>
      <w:r w:rsidRPr="0018156A">
        <w:t>I relied on the average of the weekly high and low stock prices of the utilities in the proxy group over a 13-week period ending on June 10, 2016.  An average stock price is less susceptible to market price variations than a price at a single point in time.  Therefore, an average stock price is less susceptible to aberrant market price movements, which may not reflect the stock’s long</w:t>
      </w:r>
      <w:r w:rsidRPr="0018156A">
        <w:noBreakHyphen/>
        <w:t>term value.</w:t>
      </w:r>
    </w:p>
    <w:p w:rsidR="00F23557" w:rsidRPr="0018156A" w:rsidRDefault="00F23557" w:rsidP="00F23557">
      <w:pPr>
        <w:tabs>
          <w:tab w:val="left" w:pos="1440"/>
        </w:tabs>
        <w:spacing w:after="0" w:line="480" w:lineRule="auto"/>
        <w:ind w:left="720" w:hanging="720"/>
        <w:jc w:val="both"/>
      </w:pPr>
      <w:r w:rsidRPr="0018156A">
        <w:tab/>
      </w:r>
      <w:r w:rsidRPr="0018156A">
        <w:tab/>
        <w:t xml:space="preserve">A 13-week average stock price </w:t>
      </w:r>
      <w:bookmarkStart w:id="116" w:name="_BPDCI196"/>
      <w:r w:rsidRPr="0018156A">
        <w:t xml:space="preserve">reflects a period that </w:t>
      </w:r>
      <w:bookmarkEnd w:id="116"/>
      <w:r w:rsidRPr="0018156A">
        <w:t xml:space="preserve">is still short enough to contain data that reasonably reflects current market expectations but </w:t>
      </w:r>
      <w:bookmarkStart w:id="117" w:name="_BPDCI195"/>
      <w:r w:rsidRPr="0018156A">
        <w:t xml:space="preserve">the period </w:t>
      </w:r>
      <w:bookmarkEnd w:id="117"/>
      <w:r w:rsidRPr="0018156A">
        <w:t xml:space="preserve">is not so short as to be susceptible to market price variations that may not </w:t>
      </w:r>
      <w:bookmarkStart w:id="118" w:name="_BPDCI192"/>
      <w:r w:rsidRPr="0018156A">
        <w:t xml:space="preserve">reflect </w:t>
      </w:r>
      <w:bookmarkEnd w:id="118"/>
      <w:r w:rsidRPr="0018156A">
        <w:t xml:space="preserve">the </w:t>
      </w:r>
      <w:bookmarkStart w:id="119" w:name="_BPDCI191"/>
      <w:r w:rsidRPr="0018156A">
        <w:t xml:space="preserve">stock’s </w:t>
      </w:r>
      <w:bookmarkEnd w:id="119"/>
      <w:r w:rsidRPr="0018156A">
        <w:t>long</w:t>
      </w:r>
      <w:r w:rsidRPr="0018156A">
        <w:noBreakHyphen/>
        <w:t xml:space="preserve">term value.  In my judgment, a 13-week average stock price is a reasonable balance between the need to reflect current market expectations and the need to capture sufficient data to smooth out aberrant market movements.  </w:t>
      </w:r>
    </w:p>
    <w:p w:rsidR="00F23557" w:rsidRPr="0018156A" w:rsidRDefault="00F23557" w:rsidP="00F23557">
      <w:pPr>
        <w:keepNext/>
        <w:keepLines/>
        <w:tabs>
          <w:tab w:val="left" w:pos="1440"/>
        </w:tabs>
        <w:ind w:left="720" w:hanging="720"/>
        <w:jc w:val="both"/>
        <w:rPr>
          <w:b/>
        </w:rPr>
      </w:pPr>
      <w:r w:rsidRPr="0018156A">
        <w:rPr>
          <w:b/>
        </w:rPr>
        <w:t>Q</w:t>
      </w:r>
      <w:r>
        <w:rPr>
          <w:b/>
        </w:rPr>
        <w:t>.</w:t>
      </w:r>
      <w:r w:rsidRPr="0018156A">
        <w:rPr>
          <w:b/>
        </w:rPr>
        <w:tab/>
      </w:r>
      <w:r w:rsidRPr="00230FEB">
        <w:rPr>
          <w:rFonts w:eastAsia="Times New Roman"/>
          <w:b/>
          <w:szCs w:val="24"/>
        </w:rPr>
        <w:t>WHAT</w:t>
      </w:r>
      <w:r w:rsidRPr="0018156A">
        <w:rPr>
          <w:b/>
        </w:rPr>
        <w:t xml:space="preserve"> DIVIDEND DID YOU USE IN YOUR CONSTANT GROWTH DCF MODEL?</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rPr>
          <w:b/>
        </w:rPr>
        <w:tab/>
      </w:r>
      <w:r w:rsidRPr="0018156A">
        <w:t xml:space="preserve">I used the most recently paid quarterly dividend as reported in </w:t>
      </w:r>
      <w:r w:rsidRPr="0018156A">
        <w:rPr>
          <w:i/>
        </w:rPr>
        <w:t>Value Line</w:t>
      </w:r>
      <w:r w:rsidRPr="0018156A">
        <w:t>.</w:t>
      </w:r>
      <w:r w:rsidRPr="001D39D7">
        <w:rPr>
          <w:u w:val="single"/>
          <w:vertAlign w:val="superscript"/>
        </w:rPr>
        <w:footnoteReference w:id="10"/>
      </w:r>
      <w:proofErr w:type="gramStart"/>
      <w:r w:rsidRPr="00A26064">
        <w:rPr>
          <w:rFonts w:cs="Arial"/>
          <w:color w:val="000000"/>
          <w:vertAlign w:val="superscript"/>
        </w:rPr>
        <w:t>/</w:t>
      </w:r>
      <w:r w:rsidRPr="0018156A">
        <w:t xml:space="preserve">  This</w:t>
      </w:r>
      <w:proofErr w:type="gramEnd"/>
      <w:r w:rsidRPr="0018156A">
        <w:t xml:space="preserve"> dividend was annualized (multiplied by 4) and adjusted for next year’s growth to produce the D</w:t>
      </w:r>
      <w:r w:rsidRPr="0018156A">
        <w:rPr>
          <w:vertAlign w:val="subscript"/>
        </w:rPr>
        <w:t>1</w:t>
      </w:r>
      <w:r w:rsidRPr="0018156A">
        <w:t xml:space="preserve"> factor for use in Equation 2 above.</w:t>
      </w:r>
    </w:p>
    <w:p w:rsidR="00F23557" w:rsidRPr="0018156A" w:rsidRDefault="00F23557" w:rsidP="0082169D">
      <w:pPr>
        <w:keepNext/>
        <w:keepLines/>
        <w:tabs>
          <w:tab w:val="left" w:pos="1440"/>
        </w:tabs>
        <w:ind w:left="720" w:hanging="720"/>
        <w:jc w:val="both"/>
        <w:rPr>
          <w:b/>
        </w:rPr>
      </w:pPr>
      <w:r w:rsidRPr="0018156A">
        <w:rPr>
          <w:b/>
        </w:rPr>
        <w:lastRenderedPageBreak/>
        <w:t>Q</w:t>
      </w:r>
      <w:r>
        <w:rPr>
          <w:b/>
        </w:rPr>
        <w:t>.</w:t>
      </w:r>
      <w:r w:rsidRPr="0018156A">
        <w:rPr>
          <w:b/>
        </w:rPr>
        <w:tab/>
        <w:t>WHAT DIVIDEND GROWTH RATES HAVE YOU USED IN YOUR CONSTANT GROWTH DCF MODEL?</w:t>
      </w:r>
    </w:p>
    <w:p w:rsidR="00F23557" w:rsidRPr="0018156A" w:rsidRDefault="00F23557" w:rsidP="00F23557">
      <w:pPr>
        <w:tabs>
          <w:tab w:val="left" w:pos="1440"/>
        </w:tabs>
        <w:spacing w:after="0" w:line="480" w:lineRule="auto"/>
        <w:ind w:left="720" w:hanging="720"/>
        <w:jc w:val="both"/>
      </w:pPr>
      <w:r w:rsidRPr="0018156A">
        <w:t>A</w:t>
      </w:r>
      <w:r w:rsidRPr="0018156A">
        <w:tab/>
        <w:t xml:space="preserve">There are several methods </w:t>
      </w:r>
      <w:bookmarkStart w:id="120" w:name="_BPDCD186"/>
      <w:r w:rsidRPr="0018156A">
        <w:t xml:space="preserve">that can be used </w:t>
      </w:r>
      <w:bookmarkEnd w:id="120"/>
      <w:r w:rsidRPr="0018156A">
        <w:t>to estimate the expected growth in dividends.  However</w:t>
      </w:r>
      <w:bookmarkStart w:id="121" w:name="_BPDCI185"/>
      <w:r w:rsidRPr="0018156A">
        <w:t>, regardless of the method</w:t>
      </w:r>
      <w:bookmarkEnd w:id="121"/>
      <w:r w:rsidRPr="0018156A">
        <w:t xml:space="preserve">, for purposes of determining the market-required return on common equity, one must attempt to estimate investors’ consensus about what the dividend, or earnings growth rate, will be and not what an individual investor or analyst may use to </w:t>
      </w:r>
      <w:bookmarkStart w:id="122" w:name="_BPDCI183"/>
      <w:r w:rsidRPr="0018156A">
        <w:t xml:space="preserve">make </w:t>
      </w:r>
      <w:bookmarkEnd w:id="122"/>
      <w:r w:rsidRPr="0018156A">
        <w:t>individual investment decisions.</w:t>
      </w:r>
    </w:p>
    <w:p w:rsidR="00F23557" w:rsidRPr="0018156A" w:rsidRDefault="00F23557" w:rsidP="00F23557">
      <w:pPr>
        <w:tabs>
          <w:tab w:val="left" w:pos="1440"/>
        </w:tabs>
        <w:spacing w:after="0" w:line="480" w:lineRule="auto"/>
        <w:ind w:left="720" w:hanging="720"/>
        <w:jc w:val="both"/>
      </w:pPr>
      <w:r w:rsidRPr="0018156A">
        <w:tab/>
      </w:r>
      <w:bookmarkStart w:id="123" w:name="_BPDCI181"/>
      <w:r w:rsidRPr="0018156A">
        <w:tab/>
        <w:t xml:space="preserve">As predictors of future returns, security </w:t>
      </w:r>
      <w:bookmarkEnd w:id="123"/>
      <w:r w:rsidRPr="0018156A">
        <w:t>analysts’ growth estimates have been shown to be more accurate than growth rates derived from historical data.</w:t>
      </w:r>
      <w:r w:rsidRPr="001D39D7">
        <w:rPr>
          <w:u w:val="single"/>
          <w:vertAlign w:val="superscript"/>
        </w:rPr>
        <w:footnoteReference w:id="11"/>
      </w:r>
      <w:proofErr w:type="gramStart"/>
      <w:r w:rsidRPr="00A26064">
        <w:rPr>
          <w:rFonts w:cs="Arial"/>
          <w:color w:val="000000"/>
          <w:vertAlign w:val="superscript"/>
        </w:rPr>
        <w:t>/</w:t>
      </w:r>
      <w:r w:rsidRPr="0018156A">
        <w:t xml:space="preserve">  </w:t>
      </w:r>
      <w:bookmarkStart w:id="124" w:name="_BPDCI177"/>
      <w:r w:rsidRPr="0018156A">
        <w:t>That</w:t>
      </w:r>
      <w:proofErr w:type="gramEnd"/>
      <w:r w:rsidRPr="0018156A">
        <w:t xml:space="preserve"> is, assuming </w:t>
      </w:r>
      <w:bookmarkEnd w:id="124"/>
      <w:r w:rsidRPr="0018156A">
        <w:t xml:space="preserve">the market generally makes rational investment decisions, analysts’ growth projections are more likely </w:t>
      </w:r>
      <w:bookmarkStart w:id="125" w:name="_BPDCI175"/>
      <w:r w:rsidRPr="0018156A">
        <w:t xml:space="preserve">to </w:t>
      </w:r>
      <w:bookmarkEnd w:id="125"/>
      <w:r w:rsidRPr="0018156A">
        <w:t xml:space="preserve">influence investors’ decisions which are captured in observable stock prices than growth rates derived </w:t>
      </w:r>
      <w:bookmarkStart w:id="126" w:name="_BPDCI173"/>
      <w:r w:rsidRPr="0018156A">
        <w:t xml:space="preserve">only </w:t>
      </w:r>
      <w:bookmarkEnd w:id="126"/>
      <w:r w:rsidRPr="0018156A">
        <w:t>from historical data.</w:t>
      </w:r>
    </w:p>
    <w:p w:rsidR="00F23557" w:rsidRPr="0018156A" w:rsidRDefault="00F23557" w:rsidP="00F23557">
      <w:pPr>
        <w:tabs>
          <w:tab w:val="left" w:pos="1440"/>
        </w:tabs>
        <w:spacing w:after="0" w:line="480" w:lineRule="auto"/>
        <w:ind w:left="720" w:hanging="720"/>
        <w:jc w:val="both"/>
      </w:pPr>
      <w:r w:rsidRPr="0018156A">
        <w:tab/>
      </w:r>
      <w:r w:rsidRPr="0018156A">
        <w:tab/>
        <w:t>For my constant growth DCF analysis, I have relied on a consensus, or mean, of professional security analysts’ earnings growth estimates as a proxy for investor consensus dividend growth rate expectations.  I used the average of analysts’ growth rate estimates</w:t>
      </w:r>
      <w:bookmarkStart w:id="127" w:name="_BPDCI169"/>
      <w:r w:rsidRPr="0018156A">
        <w:t xml:space="preserve"> from three sources</w:t>
      </w:r>
      <w:bookmarkEnd w:id="127"/>
      <w:r w:rsidRPr="0018156A">
        <w:t xml:space="preserve">: Zacks, SNL, and Reuters.  All </w:t>
      </w:r>
      <w:bookmarkStart w:id="128" w:name="_BPDCI167"/>
      <w:r w:rsidRPr="0018156A">
        <w:t xml:space="preserve">such </w:t>
      </w:r>
      <w:bookmarkEnd w:id="128"/>
      <w:r w:rsidRPr="0018156A">
        <w:t xml:space="preserve">projections were available on </w:t>
      </w:r>
      <w:r>
        <w:t>July 22</w:t>
      </w:r>
      <w:r w:rsidRPr="0018156A">
        <w:t xml:space="preserve">, 2016, </w:t>
      </w:r>
      <w:bookmarkStart w:id="129" w:name="_BPDCI164"/>
      <w:r w:rsidRPr="0018156A">
        <w:t xml:space="preserve">and all were </w:t>
      </w:r>
      <w:bookmarkEnd w:id="129"/>
      <w:r w:rsidRPr="0018156A">
        <w:t xml:space="preserve">reported online.  </w:t>
      </w:r>
    </w:p>
    <w:p w:rsidR="00F23557" w:rsidRPr="0018156A" w:rsidRDefault="00F23557" w:rsidP="00F23557">
      <w:pPr>
        <w:tabs>
          <w:tab w:val="left" w:pos="1440"/>
        </w:tabs>
        <w:spacing w:after="0" w:line="480" w:lineRule="auto"/>
        <w:ind w:left="720" w:hanging="720"/>
        <w:jc w:val="both"/>
      </w:pPr>
      <w:r w:rsidRPr="0018156A">
        <w:tab/>
      </w:r>
      <w:r w:rsidRPr="0018156A">
        <w:tab/>
        <w:t xml:space="preserve">Each consensus growth rate projection is based on a survey of security analysts.  There is no clear evidence whether a particular analyst is most influential on general market investors.  Therefore, a single analyst’s projection does not as reliably predict consensus investor outlooks as does a consensus of market analysts’ projections.  The consensus estimate is a simple arithmetic average, or mean, of surveyed analysts’ earnings growth forecasts.  A simple average of the growth </w:t>
      </w:r>
      <w:r w:rsidRPr="0018156A">
        <w:lastRenderedPageBreak/>
        <w:t>forecasts gives equal weight to all surveyed analysts’ projections.  Therefore, a simple average, or arithmetic mean, of analyst forecasts is a good proxy for market consensus expectations.</w:t>
      </w:r>
    </w:p>
    <w:p w:rsidR="00F23557" w:rsidRPr="0018156A" w:rsidRDefault="00F23557" w:rsidP="00F23557">
      <w:pPr>
        <w:tabs>
          <w:tab w:val="left" w:pos="1440"/>
        </w:tabs>
        <w:ind w:left="720" w:hanging="720"/>
        <w:jc w:val="both"/>
        <w:rPr>
          <w:b/>
        </w:rPr>
      </w:pPr>
      <w:r w:rsidRPr="0018156A">
        <w:rPr>
          <w:b/>
        </w:rPr>
        <w:t>Q</w:t>
      </w:r>
      <w:r>
        <w:rPr>
          <w:b/>
        </w:rPr>
        <w:t>.</w:t>
      </w:r>
      <w:r w:rsidRPr="0018156A">
        <w:rPr>
          <w:b/>
        </w:rPr>
        <w:tab/>
        <w:t>WHAT ARE THE GROWTH RATES YOU USED IN YOUR CONSTANT GROWTH DCF MODEL?</w:t>
      </w:r>
    </w:p>
    <w:p w:rsidR="00F23557" w:rsidRPr="00F67C5A" w:rsidRDefault="00F23557" w:rsidP="00F23557">
      <w:pPr>
        <w:tabs>
          <w:tab w:val="left" w:pos="1440"/>
        </w:tabs>
        <w:spacing w:after="0" w:line="480" w:lineRule="auto"/>
        <w:ind w:left="720" w:hanging="720"/>
        <w:jc w:val="both"/>
      </w:pPr>
      <w:r w:rsidRPr="00272C05">
        <w:rPr>
          <w:rFonts w:eastAsia="Times New Roman"/>
          <w:b/>
          <w:szCs w:val="24"/>
        </w:rPr>
        <w:t>A.</w:t>
      </w:r>
      <w:r w:rsidRPr="0018156A">
        <w:rPr>
          <w:b/>
        </w:rPr>
        <w:tab/>
      </w:r>
      <w:r w:rsidRPr="0018156A">
        <w:t xml:space="preserve">The growth rates I used in my DCF analysis are </w:t>
      </w:r>
      <w:r w:rsidRPr="00F67C5A">
        <w:t xml:space="preserve">shown in </w:t>
      </w:r>
      <w:r w:rsidRPr="00F67C5A">
        <w:rPr>
          <w:rFonts w:eastAsia="Times New Roman"/>
          <w:szCs w:val="24"/>
        </w:rPr>
        <w:t>Exhibit No</w:t>
      </w:r>
      <w:proofErr w:type="gramStart"/>
      <w:r w:rsidRPr="00F67C5A">
        <w:rPr>
          <w:rFonts w:eastAsia="Times New Roman"/>
          <w:szCs w:val="24"/>
        </w:rPr>
        <w:t>. MPG-6</w:t>
      </w:r>
      <w:r w:rsidRPr="00F67C5A">
        <w:t>.</w:t>
      </w:r>
      <w:proofErr w:type="gramEnd"/>
      <w:r w:rsidRPr="00F67C5A">
        <w:t xml:space="preserve">  The average growth rate for my proxy group is 5.42%.</w:t>
      </w:r>
    </w:p>
    <w:p w:rsidR="00F23557" w:rsidRPr="00F67C5A" w:rsidRDefault="00F23557" w:rsidP="00F23557">
      <w:pPr>
        <w:tabs>
          <w:tab w:val="left" w:pos="1440"/>
        </w:tabs>
        <w:ind w:left="720" w:hanging="720"/>
        <w:jc w:val="both"/>
        <w:rPr>
          <w:b/>
        </w:rPr>
      </w:pPr>
      <w:r w:rsidRPr="00F67C5A">
        <w:rPr>
          <w:b/>
        </w:rPr>
        <w:t>Q.</w:t>
      </w:r>
      <w:r w:rsidRPr="00F67C5A">
        <w:rPr>
          <w:b/>
        </w:rPr>
        <w:tab/>
        <w:t>WHAT ARE THE RESULTS OF YOUR CONSTANT GROWTH DCF MODEL?</w:t>
      </w:r>
    </w:p>
    <w:p w:rsidR="00F23557" w:rsidRPr="0018156A" w:rsidRDefault="00F23557" w:rsidP="00F23557">
      <w:pPr>
        <w:tabs>
          <w:tab w:val="left" w:pos="1440"/>
        </w:tabs>
        <w:spacing w:after="0" w:line="480" w:lineRule="auto"/>
        <w:ind w:left="720" w:hanging="720"/>
        <w:jc w:val="both"/>
      </w:pPr>
      <w:r w:rsidRPr="00F67C5A">
        <w:rPr>
          <w:rFonts w:eastAsia="Times New Roman"/>
          <w:b/>
          <w:szCs w:val="24"/>
        </w:rPr>
        <w:t>A.</w:t>
      </w:r>
      <w:r w:rsidRPr="00F67C5A">
        <w:tab/>
        <w:t xml:space="preserve">As shown in </w:t>
      </w:r>
      <w:r w:rsidRPr="00F67C5A">
        <w:rPr>
          <w:rFonts w:eastAsia="Times New Roman"/>
          <w:szCs w:val="24"/>
        </w:rPr>
        <w:t>Exhibit No</w:t>
      </w:r>
      <w:proofErr w:type="gramStart"/>
      <w:r w:rsidRPr="00F67C5A">
        <w:rPr>
          <w:rFonts w:eastAsia="Times New Roman"/>
          <w:szCs w:val="24"/>
        </w:rPr>
        <w:t xml:space="preserve">. </w:t>
      </w:r>
      <w:proofErr w:type="gramEnd"/>
      <w:r w:rsidRPr="00F67C5A">
        <w:rPr>
          <w:rFonts w:eastAsia="Times New Roman"/>
          <w:szCs w:val="24"/>
        </w:rPr>
        <w:t>MPG-7</w:t>
      </w:r>
      <w:r w:rsidRPr="00F67C5A">
        <w:t>, the average and median constant growth DCF returns for my proxy group for the 13-week analysis are 8.66% and 8.73%, respectively.</w:t>
      </w:r>
      <w:r w:rsidRPr="0018156A">
        <w:t xml:space="preserve"> </w:t>
      </w:r>
    </w:p>
    <w:p w:rsidR="00F23557" w:rsidRPr="0018156A" w:rsidRDefault="00F23557" w:rsidP="00F23557">
      <w:pPr>
        <w:tabs>
          <w:tab w:val="left" w:pos="1440"/>
        </w:tabs>
        <w:ind w:left="720" w:hanging="720"/>
        <w:jc w:val="both"/>
        <w:rPr>
          <w:b/>
        </w:rPr>
      </w:pPr>
      <w:r w:rsidRPr="0018156A">
        <w:rPr>
          <w:b/>
        </w:rPr>
        <w:t>Q</w:t>
      </w:r>
      <w:r>
        <w:rPr>
          <w:b/>
        </w:rPr>
        <w:t>.</w:t>
      </w:r>
      <w:r w:rsidRPr="0018156A">
        <w:rPr>
          <w:b/>
        </w:rPr>
        <w:tab/>
        <w:t>DO YOU HAVE ANY COMMENTS ON THE RESULTS OF YOUR CONSTANT GROWTH DCF ANALYSIS?</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tab/>
        <w:t>Yes.  The constant growth DCF analysis for my proxy group is based on a group average long</w:t>
      </w:r>
      <w:r w:rsidRPr="0018156A">
        <w:noBreakHyphen/>
        <w:t>term sustainable growth rate of 5.4</w:t>
      </w:r>
      <w:r>
        <w:t>2</w:t>
      </w:r>
      <w:r w:rsidRPr="0018156A">
        <w:t>%.  The three- to five-year growth rates are higher than my estimate of a maximum long-term sustainable growth rate of 4.35%, which I discuss later in this testimony.  I believe the constant growth DCF analysis produces a reasonable high-end return estimate.</w:t>
      </w:r>
    </w:p>
    <w:p w:rsidR="00F23557" w:rsidRPr="0018156A" w:rsidRDefault="00F23557" w:rsidP="00F23557">
      <w:pPr>
        <w:keepNext/>
        <w:keepLines/>
        <w:tabs>
          <w:tab w:val="left" w:pos="1440"/>
        </w:tabs>
        <w:ind w:left="720" w:hanging="720"/>
        <w:jc w:val="both"/>
        <w:rPr>
          <w:b/>
        </w:rPr>
      </w:pPr>
      <w:r w:rsidRPr="0018156A">
        <w:rPr>
          <w:b/>
        </w:rPr>
        <w:t>Q</w:t>
      </w:r>
      <w:r>
        <w:rPr>
          <w:b/>
        </w:rPr>
        <w:t>.</w:t>
      </w:r>
      <w:r w:rsidRPr="0018156A">
        <w:rPr>
          <w:b/>
        </w:rPr>
        <w:tab/>
        <w:t>HOW DID YOU ESTIMATE A MAXIMUM LONG-TERM SUSTAINABLE GROWTH RATE?</w:t>
      </w:r>
    </w:p>
    <w:p w:rsidR="00F23557" w:rsidRPr="0018156A" w:rsidRDefault="00F23557" w:rsidP="00F23557">
      <w:pPr>
        <w:tabs>
          <w:tab w:val="left" w:pos="1440"/>
        </w:tabs>
        <w:spacing w:after="0" w:line="480" w:lineRule="auto"/>
        <w:ind w:left="720" w:hanging="720"/>
        <w:jc w:val="both"/>
        <w:rPr>
          <w:vertAlign w:val="superscript"/>
        </w:rPr>
      </w:pPr>
      <w:r w:rsidRPr="00272C05">
        <w:rPr>
          <w:rFonts w:eastAsia="Times New Roman"/>
          <w:b/>
          <w:szCs w:val="24"/>
        </w:rPr>
        <w:t>A.</w:t>
      </w:r>
      <w:r w:rsidRPr="0018156A">
        <w:tab/>
        <w:t xml:space="preserve">A long-term sustainable growth rate for a utility stock cannot exceed the growth rate of the economy in which it sells its goods and services.  Hence, the long-term maximum sustainable growth rate for a utility investment is best proxied by the projected long-term Gross Domestic Product (“GDP”).  </w:t>
      </w:r>
      <w:r w:rsidRPr="0018156A">
        <w:rPr>
          <w:i/>
        </w:rPr>
        <w:t xml:space="preserve">Blue Chip Financial Forecasts </w:t>
      </w:r>
      <w:r w:rsidRPr="0018156A">
        <w:t xml:space="preserve">projects that over the next 5 and 10 years, the U.S. nominal GDP will grow </w:t>
      </w:r>
      <w:r w:rsidRPr="0018156A">
        <w:lastRenderedPageBreak/>
        <w:t>approximately 4.35%.  These GDP growth projections reflect a real growth outlook of around 2.2% and an inflation outlook of around 2.1% going forward.  As such, the average growth rate over the next 10 years is around 4.35%, which I believe is a reasonable proxy of long-term sustainable growth.</w:t>
      </w:r>
      <w:r w:rsidRPr="001D39D7">
        <w:rPr>
          <w:u w:val="single"/>
          <w:vertAlign w:val="superscript"/>
        </w:rPr>
        <w:footnoteReference w:id="12"/>
      </w:r>
      <w:r w:rsidRPr="00A26064">
        <w:rPr>
          <w:rFonts w:cs="Arial"/>
          <w:color w:val="000000"/>
          <w:vertAlign w:val="superscript"/>
        </w:rPr>
        <w:t>/</w:t>
      </w:r>
    </w:p>
    <w:p w:rsidR="00F23557" w:rsidRPr="0018156A" w:rsidRDefault="00F23557" w:rsidP="00F23557">
      <w:pPr>
        <w:tabs>
          <w:tab w:val="left" w:pos="1440"/>
        </w:tabs>
        <w:spacing w:line="480" w:lineRule="auto"/>
        <w:ind w:left="720" w:hanging="720"/>
        <w:jc w:val="both"/>
      </w:pPr>
      <w:r w:rsidRPr="0018156A">
        <w:tab/>
      </w:r>
      <w:r w:rsidRPr="0018156A">
        <w:tab/>
        <w:t>In my multi-stage growth DCF analysis, I discuss academic and investment practitioner support for using the projected long-term GDP growth outlook as a maximum sustainable growth rate projection.  Hence, recognizing the long-term GDP growth rate as a maximum sustainable growth is logical, and is generally consistent with academic and economic practitioner accepted practices.</w:t>
      </w:r>
      <w:bookmarkStart w:id="130" w:name="_Toc235425058"/>
      <w:bookmarkStart w:id="131" w:name="_Toc257298087"/>
      <w:bookmarkStart w:id="132" w:name="_Toc265230450"/>
      <w:bookmarkStart w:id="133" w:name="_Toc292458003"/>
      <w:bookmarkStart w:id="134" w:name="_Toc298162452"/>
      <w:bookmarkStart w:id="135" w:name="_Toc306173881"/>
      <w:bookmarkStart w:id="136" w:name="_Toc311104305"/>
      <w:bookmarkStart w:id="137" w:name="_Toc325838008"/>
      <w:bookmarkStart w:id="138" w:name="_Toc330806003"/>
      <w:bookmarkStart w:id="139" w:name="_Toc341868682"/>
      <w:bookmarkStart w:id="140" w:name="_Toc348295911"/>
      <w:bookmarkStart w:id="141" w:name="_Toc358967442"/>
      <w:bookmarkStart w:id="142" w:name="_Toc361237208"/>
    </w:p>
    <w:p w:rsidR="00F23557" w:rsidRPr="0018156A" w:rsidRDefault="00F23557" w:rsidP="00F23557">
      <w:pPr>
        <w:pStyle w:val="Heading1"/>
        <w:tabs>
          <w:tab w:val="left" w:pos="1440"/>
        </w:tabs>
      </w:pPr>
      <w:bookmarkStart w:id="143" w:name="_Toc393285051"/>
      <w:bookmarkStart w:id="144" w:name="_Toc394736480"/>
      <w:bookmarkStart w:id="145" w:name="_Toc402509729"/>
      <w:bookmarkStart w:id="146" w:name="_Toc405535361"/>
      <w:bookmarkStart w:id="147" w:name="_Toc414118682"/>
      <w:bookmarkStart w:id="148" w:name="_Toc415559764"/>
      <w:bookmarkStart w:id="149" w:name="_Toc421885247"/>
      <w:bookmarkStart w:id="150" w:name="_Toc424565050"/>
      <w:bookmarkStart w:id="151" w:name="_Toc436160506"/>
      <w:bookmarkStart w:id="152" w:name="_Toc441820277"/>
      <w:bookmarkStart w:id="153" w:name="_Toc452467726"/>
      <w:bookmarkStart w:id="154" w:name="_Toc456345617"/>
      <w:bookmarkStart w:id="155" w:name="_Toc457315617"/>
      <w:bookmarkStart w:id="156" w:name="_Toc458774158"/>
      <w:bookmarkStart w:id="157" w:name="_Toc368924931"/>
      <w:bookmarkStart w:id="158" w:name="_Toc375225370"/>
      <w:bookmarkStart w:id="159" w:name="_Toc384800472"/>
      <w:r>
        <w:t>III</w:t>
      </w:r>
      <w:r w:rsidRPr="0018156A">
        <w:t>.C</w:t>
      </w:r>
      <w:proofErr w:type="gramStart"/>
      <w:r w:rsidRPr="0018156A">
        <w:t>.  Sustainable</w:t>
      </w:r>
      <w:proofErr w:type="gramEnd"/>
      <w:r w:rsidRPr="0018156A">
        <w:t xml:space="preserve"> Growth DCF</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bookmarkEnd w:id="130"/>
    <w:bookmarkEnd w:id="131"/>
    <w:bookmarkEnd w:id="132"/>
    <w:bookmarkEnd w:id="133"/>
    <w:bookmarkEnd w:id="134"/>
    <w:bookmarkEnd w:id="135"/>
    <w:bookmarkEnd w:id="136"/>
    <w:bookmarkEnd w:id="137"/>
    <w:bookmarkEnd w:id="138"/>
    <w:bookmarkEnd w:id="139"/>
    <w:bookmarkEnd w:id="140"/>
    <w:bookmarkEnd w:id="141"/>
    <w:bookmarkEnd w:id="142"/>
    <w:bookmarkEnd w:id="157"/>
    <w:bookmarkEnd w:id="158"/>
    <w:bookmarkEnd w:id="159"/>
    <w:p w:rsidR="00F23557" w:rsidRPr="0018156A" w:rsidRDefault="00F23557" w:rsidP="00F23557">
      <w:pPr>
        <w:tabs>
          <w:tab w:val="left" w:pos="1440"/>
        </w:tabs>
        <w:ind w:left="720" w:hanging="720"/>
        <w:jc w:val="both"/>
        <w:rPr>
          <w:b/>
        </w:rPr>
      </w:pPr>
      <w:r w:rsidRPr="0018156A">
        <w:rPr>
          <w:b/>
        </w:rPr>
        <w:t>Q</w:t>
      </w:r>
      <w:r>
        <w:rPr>
          <w:b/>
        </w:rPr>
        <w:t>.</w:t>
      </w:r>
      <w:r w:rsidRPr="0018156A">
        <w:rPr>
          <w:b/>
        </w:rPr>
        <w:tab/>
      </w:r>
      <w:r w:rsidRPr="00230FEB">
        <w:rPr>
          <w:rFonts w:eastAsia="Times New Roman"/>
          <w:b/>
          <w:szCs w:val="24"/>
        </w:rPr>
        <w:t>PLEASE</w:t>
      </w:r>
      <w:r w:rsidRPr="0018156A">
        <w:rPr>
          <w:b/>
        </w:rPr>
        <w:t xml:space="preserve"> DESCRIBE HOW YOU </w:t>
      </w:r>
      <w:bookmarkStart w:id="160" w:name="_BPDCI150"/>
      <w:r w:rsidRPr="0018156A">
        <w:rPr>
          <w:b/>
        </w:rPr>
        <w:t xml:space="preserve">ESTIMATED </w:t>
      </w:r>
      <w:bookmarkEnd w:id="160"/>
      <w:r w:rsidRPr="0018156A">
        <w:rPr>
          <w:b/>
        </w:rPr>
        <w:t>A SUSTAINABLE LONG</w:t>
      </w:r>
      <w:r w:rsidRPr="0018156A">
        <w:rPr>
          <w:b/>
        </w:rPr>
        <w:noBreakHyphen/>
        <w:t>TERM GROWTH RATE FOR YOUR SUSTAINABLE GROWTH DCF MODEL.</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rPr>
          <w:b/>
        </w:rPr>
        <w:tab/>
      </w:r>
      <w:r w:rsidRPr="0018156A">
        <w:t>A sustainable growth rate is based on the percentage of the utility’s earnings that is retained and reinvested in utility plant and equipment.  These reinvested earnings increase the earnings base (rate base)</w:t>
      </w:r>
      <w:bookmarkStart w:id="161" w:name="_BPDCI148"/>
      <w:r w:rsidRPr="0018156A">
        <w:t xml:space="preserve">.  Earnings </w:t>
      </w:r>
      <w:bookmarkEnd w:id="161"/>
      <w:r w:rsidRPr="0018156A">
        <w:t xml:space="preserve">grow when plant funded by reinvested earnings </w:t>
      </w:r>
      <w:bookmarkStart w:id="162" w:name="_BPDCI144"/>
      <w:r w:rsidRPr="0018156A">
        <w:t xml:space="preserve">is </w:t>
      </w:r>
      <w:bookmarkEnd w:id="162"/>
      <w:r w:rsidRPr="0018156A">
        <w:t xml:space="preserve">put into service, </w:t>
      </w:r>
      <w:bookmarkStart w:id="163" w:name="_BPDCD143"/>
      <w:r w:rsidRPr="0018156A">
        <w:t xml:space="preserve">and </w:t>
      </w:r>
      <w:bookmarkEnd w:id="163"/>
      <w:r w:rsidRPr="0018156A">
        <w:t xml:space="preserve">the </w:t>
      </w:r>
      <w:bookmarkStart w:id="164" w:name="_BPDCI140"/>
      <w:r w:rsidRPr="0018156A">
        <w:t xml:space="preserve">utility is </w:t>
      </w:r>
      <w:bookmarkEnd w:id="164"/>
      <w:r w:rsidRPr="0018156A">
        <w:t xml:space="preserve">allowed to earn its authorized return on </w:t>
      </w:r>
      <w:bookmarkStart w:id="165" w:name="_BPDCI138"/>
      <w:r w:rsidRPr="0018156A">
        <w:t xml:space="preserve">such </w:t>
      </w:r>
      <w:bookmarkEnd w:id="165"/>
      <w:r w:rsidRPr="0018156A">
        <w:t xml:space="preserve">additional rate base investment.  </w:t>
      </w:r>
    </w:p>
    <w:p w:rsidR="00F23557" w:rsidRPr="0018156A" w:rsidRDefault="00F23557" w:rsidP="00F23557">
      <w:pPr>
        <w:tabs>
          <w:tab w:val="left" w:pos="1440"/>
        </w:tabs>
        <w:spacing w:after="0" w:line="480" w:lineRule="auto"/>
        <w:ind w:left="720" w:hanging="720"/>
        <w:jc w:val="both"/>
      </w:pPr>
      <w:r w:rsidRPr="0018156A">
        <w:tab/>
      </w:r>
      <w:r w:rsidRPr="0018156A">
        <w:tab/>
        <w:t xml:space="preserve">The internal growth methodology is tied to the percentage of earnings retained in the company and not paid out as dividends.  The earnings retention ratio is 1 minus the dividend payout ratio.  As the payout ratio declines, the earnings retention ratio increases.  An increased earnings retention ratio will fuel stronger growth because the business funds more investments with retained earnings.  </w:t>
      </w:r>
    </w:p>
    <w:p w:rsidR="00F23557" w:rsidRPr="00F67C5A" w:rsidRDefault="00F23557" w:rsidP="00F23557">
      <w:pPr>
        <w:tabs>
          <w:tab w:val="left" w:pos="1440"/>
        </w:tabs>
        <w:spacing w:after="0" w:line="480" w:lineRule="auto"/>
        <w:ind w:left="720" w:hanging="720"/>
        <w:jc w:val="both"/>
      </w:pPr>
      <w:r w:rsidRPr="0018156A">
        <w:lastRenderedPageBreak/>
        <w:tab/>
      </w:r>
      <w:r w:rsidRPr="0018156A">
        <w:tab/>
        <w:t xml:space="preserve">The payout ratios of the proxy </w:t>
      </w:r>
      <w:r w:rsidRPr="00F67C5A">
        <w:t xml:space="preserve">group are shown in my </w:t>
      </w:r>
      <w:r w:rsidRPr="00F67C5A">
        <w:rPr>
          <w:rFonts w:eastAsia="Times New Roman"/>
          <w:szCs w:val="24"/>
        </w:rPr>
        <w:t>Exhibit No</w:t>
      </w:r>
      <w:proofErr w:type="gramStart"/>
      <w:r w:rsidRPr="00F67C5A">
        <w:rPr>
          <w:rFonts w:eastAsia="Times New Roman"/>
          <w:szCs w:val="24"/>
        </w:rPr>
        <w:t xml:space="preserve">. </w:t>
      </w:r>
      <w:proofErr w:type="gramEnd"/>
      <w:r w:rsidRPr="00F67C5A">
        <w:rPr>
          <w:rFonts w:eastAsia="Times New Roman"/>
          <w:szCs w:val="24"/>
        </w:rPr>
        <w:t>MPG</w:t>
      </w:r>
      <w:r w:rsidRPr="00F67C5A">
        <w:rPr>
          <w:rFonts w:eastAsia="Times New Roman"/>
          <w:szCs w:val="24"/>
        </w:rPr>
        <w:noBreakHyphen/>
        <w:t>8</w:t>
      </w:r>
      <w:r w:rsidRPr="00F67C5A">
        <w:t xml:space="preserve">.  These dividend payout ratios and earnings retention ratios then </w:t>
      </w:r>
      <w:bookmarkStart w:id="166" w:name="_BPDCI133"/>
      <w:r w:rsidRPr="00F67C5A">
        <w:t xml:space="preserve">can </w:t>
      </w:r>
      <w:bookmarkEnd w:id="166"/>
      <w:r w:rsidRPr="00F67C5A">
        <w:t>be used to develop a sustainable long-term earnings retention growth rate</w:t>
      </w:r>
      <w:bookmarkStart w:id="167" w:name="_BPDCI131"/>
      <w:r w:rsidRPr="00F67C5A">
        <w:t>.  A sustainable long</w:t>
      </w:r>
      <w:r w:rsidRPr="00F67C5A">
        <w:noBreakHyphen/>
        <w:t xml:space="preserve">term earnings retention ratio will </w:t>
      </w:r>
      <w:bookmarkEnd w:id="167"/>
      <w:r w:rsidRPr="00F67C5A">
        <w:t>help gauge whether analysts’ current three- to five-year growth rate projections can be sustained over an indefinite period of time.</w:t>
      </w:r>
    </w:p>
    <w:p w:rsidR="00F23557" w:rsidRPr="00F67C5A" w:rsidRDefault="00F23557" w:rsidP="00F23557">
      <w:pPr>
        <w:tabs>
          <w:tab w:val="left" w:pos="1440"/>
        </w:tabs>
        <w:spacing w:after="0" w:line="480" w:lineRule="auto"/>
        <w:ind w:left="720" w:hanging="720"/>
        <w:jc w:val="both"/>
      </w:pPr>
      <w:r w:rsidRPr="00F67C5A">
        <w:tab/>
      </w:r>
      <w:r w:rsidRPr="00F67C5A">
        <w:tab/>
        <w:t>The data used to estimate the long-term sustainable growth rate is based on the Company’s current market-to-book ratio</w:t>
      </w:r>
      <w:bookmarkStart w:id="168" w:name="_BPDCI128"/>
      <w:r w:rsidRPr="00F67C5A">
        <w:t xml:space="preserve"> </w:t>
      </w:r>
      <w:bookmarkEnd w:id="168"/>
      <w:r w:rsidRPr="00F67C5A">
        <w:t xml:space="preserve">and </w:t>
      </w:r>
      <w:bookmarkStart w:id="169" w:name="_BPDCI127"/>
      <w:r w:rsidRPr="00F67C5A">
        <w:t xml:space="preserve">on </w:t>
      </w:r>
      <w:bookmarkEnd w:id="169"/>
      <w:r w:rsidRPr="00F67C5A">
        <w:rPr>
          <w:i/>
        </w:rPr>
        <w:t>Value Line</w:t>
      </w:r>
      <w:r w:rsidRPr="00F67C5A">
        <w:t xml:space="preserve">’s three- to five-year projections </w:t>
      </w:r>
      <w:bookmarkStart w:id="170" w:name="_BPDCI125"/>
      <w:r w:rsidRPr="00F67C5A">
        <w:t xml:space="preserve">of </w:t>
      </w:r>
      <w:bookmarkEnd w:id="170"/>
      <w:r w:rsidRPr="00F67C5A">
        <w:t xml:space="preserve">earnings, dividends, earned </w:t>
      </w:r>
      <w:bookmarkStart w:id="171" w:name="_BPDCI123"/>
      <w:r w:rsidRPr="00F67C5A">
        <w:t xml:space="preserve">returns </w:t>
      </w:r>
      <w:bookmarkEnd w:id="171"/>
      <w:r w:rsidRPr="00F67C5A">
        <w:t xml:space="preserve">on book equity, and stock issuances.  </w:t>
      </w:r>
    </w:p>
    <w:p w:rsidR="00F23557" w:rsidRPr="00F67C5A" w:rsidRDefault="00F23557" w:rsidP="00F23557">
      <w:pPr>
        <w:tabs>
          <w:tab w:val="left" w:pos="1440"/>
        </w:tabs>
        <w:spacing w:after="0" w:line="480" w:lineRule="auto"/>
        <w:ind w:left="720" w:hanging="720"/>
        <w:jc w:val="both"/>
        <w:rPr>
          <w:szCs w:val="24"/>
        </w:rPr>
      </w:pPr>
      <w:r w:rsidRPr="00F67C5A">
        <w:tab/>
      </w:r>
      <w:r w:rsidRPr="00F67C5A">
        <w:tab/>
        <w:t>As shown in</w:t>
      </w:r>
      <w:r w:rsidRPr="00F67C5A">
        <w:rPr>
          <w:szCs w:val="24"/>
        </w:rPr>
        <w:t xml:space="preserve"> </w:t>
      </w:r>
      <w:r w:rsidRPr="00F67C5A">
        <w:rPr>
          <w:rFonts w:eastAsia="Times New Roman"/>
          <w:szCs w:val="24"/>
        </w:rPr>
        <w:t>Exhibit No</w:t>
      </w:r>
      <w:proofErr w:type="gramStart"/>
      <w:r w:rsidRPr="00F67C5A">
        <w:rPr>
          <w:rFonts w:eastAsia="Times New Roman"/>
          <w:szCs w:val="24"/>
        </w:rPr>
        <w:t xml:space="preserve">. </w:t>
      </w:r>
      <w:proofErr w:type="gramEnd"/>
      <w:r w:rsidRPr="00F67C5A">
        <w:rPr>
          <w:rFonts w:eastAsia="Times New Roman"/>
          <w:szCs w:val="24"/>
        </w:rPr>
        <w:t>MPG-9</w:t>
      </w:r>
      <w:r w:rsidRPr="00F67C5A">
        <w:rPr>
          <w:szCs w:val="24"/>
        </w:rPr>
        <w:t>, the average sustainable growth rate for the proxy group using this internal growth rate model is 4.55%.</w:t>
      </w:r>
    </w:p>
    <w:p w:rsidR="00F23557" w:rsidRPr="00F67C5A" w:rsidRDefault="00F23557" w:rsidP="00F23557">
      <w:pPr>
        <w:tabs>
          <w:tab w:val="left" w:pos="1440"/>
        </w:tabs>
        <w:ind w:left="720" w:hanging="720"/>
        <w:jc w:val="both"/>
        <w:rPr>
          <w:b/>
        </w:rPr>
      </w:pPr>
      <w:r w:rsidRPr="00F67C5A">
        <w:rPr>
          <w:b/>
        </w:rPr>
        <w:t>Q.</w:t>
      </w:r>
      <w:r w:rsidRPr="00F67C5A">
        <w:rPr>
          <w:b/>
        </w:rPr>
        <w:tab/>
        <w:t>WHAT IS THE DCF ESTIMATE USING THESE SUSTAINABLE LONG-TERM GROWTH RATES?</w:t>
      </w:r>
    </w:p>
    <w:p w:rsidR="00F23557" w:rsidRPr="0018156A" w:rsidRDefault="00F23557" w:rsidP="00F23557">
      <w:pPr>
        <w:tabs>
          <w:tab w:val="left" w:pos="1440"/>
        </w:tabs>
        <w:spacing w:line="480" w:lineRule="auto"/>
        <w:ind w:left="720" w:hanging="720"/>
        <w:jc w:val="both"/>
      </w:pPr>
      <w:r w:rsidRPr="00F67C5A">
        <w:rPr>
          <w:rFonts w:eastAsia="Times New Roman"/>
          <w:b/>
          <w:szCs w:val="24"/>
        </w:rPr>
        <w:t>A.</w:t>
      </w:r>
      <w:r w:rsidRPr="00F67C5A">
        <w:rPr>
          <w:b/>
        </w:rPr>
        <w:tab/>
      </w:r>
      <w:r w:rsidRPr="00F67C5A">
        <w:t xml:space="preserve">A DCF estimate based on these sustainable growth rates is developed in </w:t>
      </w:r>
      <w:r w:rsidRPr="00F67C5A">
        <w:rPr>
          <w:rFonts w:eastAsia="Times New Roman"/>
          <w:szCs w:val="24"/>
        </w:rPr>
        <w:t>Exhibit No</w:t>
      </w:r>
      <w:proofErr w:type="gramStart"/>
      <w:r w:rsidRPr="00F67C5A">
        <w:rPr>
          <w:rFonts w:eastAsia="Times New Roman"/>
          <w:szCs w:val="24"/>
        </w:rPr>
        <w:t>. MPG-10</w:t>
      </w:r>
      <w:r w:rsidRPr="00F67C5A">
        <w:t>.</w:t>
      </w:r>
      <w:proofErr w:type="gramEnd"/>
      <w:r w:rsidRPr="00F67C5A">
        <w:t xml:space="preserve">  As shown there, a sustainable growth DCF analysis produces proxy group average and median DCF </w:t>
      </w:r>
      <w:bookmarkStart w:id="172" w:name="_BPDCI119"/>
      <w:r w:rsidRPr="00F67C5A">
        <w:t xml:space="preserve">results for the 13-week period </w:t>
      </w:r>
      <w:bookmarkEnd w:id="172"/>
      <w:r w:rsidRPr="00F67C5A">
        <w:t>of 7.77% and 7.43%,</w:t>
      </w:r>
      <w:r w:rsidRPr="0018156A">
        <w:t xml:space="preserve"> respectively. </w:t>
      </w:r>
      <w:bookmarkStart w:id="173" w:name="_Toc393285052"/>
      <w:bookmarkStart w:id="174" w:name="_Toc394736481"/>
      <w:bookmarkStart w:id="175" w:name="_Toc402509730"/>
      <w:bookmarkStart w:id="176" w:name="_Toc229475665"/>
      <w:bookmarkStart w:id="177" w:name="_Toc235425059"/>
      <w:bookmarkStart w:id="178" w:name="_Toc257298088"/>
      <w:bookmarkStart w:id="179" w:name="_Toc265230451"/>
      <w:bookmarkStart w:id="180" w:name="_Toc292458004"/>
      <w:bookmarkStart w:id="181" w:name="_Toc298162453"/>
      <w:bookmarkStart w:id="182" w:name="_Toc306173882"/>
      <w:bookmarkStart w:id="183" w:name="_Toc311104306"/>
      <w:bookmarkStart w:id="184" w:name="_Toc325838009"/>
      <w:bookmarkStart w:id="185" w:name="_Toc330806004"/>
      <w:bookmarkStart w:id="186" w:name="_Toc341868683"/>
      <w:bookmarkStart w:id="187" w:name="_Toc348295912"/>
      <w:bookmarkStart w:id="188" w:name="_Toc358967443"/>
      <w:bookmarkStart w:id="189" w:name="_Toc361237209"/>
      <w:bookmarkStart w:id="190" w:name="_Toc368924932"/>
      <w:bookmarkStart w:id="191" w:name="_Toc375225371"/>
      <w:bookmarkStart w:id="192" w:name="_Toc384800473"/>
      <w:r w:rsidRPr="0018156A">
        <w:t xml:space="preserve"> </w:t>
      </w:r>
    </w:p>
    <w:p w:rsidR="00F23557" w:rsidRPr="0018156A" w:rsidRDefault="00F23557" w:rsidP="00F23557">
      <w:pPr>
        <w:pStyle w:val="Heading1"/>
        <w:tabs>
          <w:tab w:val="left" w:pos="1440"/>
        </w:tabs>
      </w:pPr>
      <w:bookmarkStart w:id="193" w:name="_Toc405535362"/>
      <w:bookmarkStart w:id="194" w:name="_Toc415559765"/>
      <w:bookmarkStart w:id="195" w:name="_Toc421885248"/>
      <w:bookmarkStart w:id="196" w:name="_Toc424565051"/>
      <w:bookmarkStart w:id="197" w:name="_Toc436160507"/>
      <w:bookmarkStart w:id="198" w:name="_Toc441820278"/>
      <w:bookmarkStart w:id="199" w:name="_Toc452467727"/>
      <w:bookmarkStart w:id="200" w:name="_Toc456345618"/>
      <w:bookmarkStart w:id="201" w:name="_Toc457315618"/>
      <w:bookmarkStart w:id="202" w:name="_Toc458774159"/>
      <w:r>
        <w:t>III</w:t>
      </w:r>
      <w:r w:rsidRPr="0018156A">
        <w:t>.D</w:t>
      </w:r>
      <w:proofErr w:type="gramStart"/>
      <w:r w:rsidRPr="0018156A">
        <w:t>.  Multi</w:t>
      </w:r>
      <w:proofErr w:type="gramEnd"/>
      <w:r w:rsidRPr="0018156A">
        <w:t>-Stage Growth DCF Model</w:t>
      </w:r>
      <w:bookmarkEnd w:id="173"/>
      <w:bookmarkEnd w:id="174"/>
      <w:bookmarkEnd w:id="175"/>
      <w:bookmarkEnd w:id="193"/>
      <w:bookmarkEnd w:id="194"/>
      <w:bookmarkEnd w:id="195"/>
      <w:bookmarkEnd w:id="196"/>
      <w:bookmarkEnd w:id="197"/>
      <w:bookmarkEnd w:id="198"/>
      <w:bookmarkEnd w:id="199"/>
      <w:bookmarkEnd w:id="200"/>
      <w:bookmarkEnd w:id="201"/>
      <w:bookmarkEnd w:id="202"/>
    </w:p>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rsidR="00F23557" w:rsidRPr="0018156A" w:rsidRDefault="00F23557" w:rsidP="00F23557">
      <w:pPr>
        <w:keepNext/>
        <w:keepLines/>
        <w:tabs>
          <w:tab w:val="left" w:pos="1440"/>
        </w:tabs>
        <w:ind w:left="720" w:hanging="720"/>
        <w:jc w:val="both"/>
        <w:rPr>
          <w:b/>
        </w:rPr>
      </w:pPr>
      <w:r w:rsidRPr="0018156A">
        <w:rPr>
          <w:b/>
        </w:rPr>
        <w:t>Q</w:t>
      </w:r>
      <w:r>
        <w:rPr>
          <w:b/>
        </w:rPr>
        <w:t>.</w:t>
      </w:r>
      <w:r w:rsidRPr="0018156A">
        <w:rPr>
          <w:b/>
        </w:rPr>
        <w:tab/>
        <w:t>HAVE YOU CONDUCTED ANY OTHER DCF STUDIES?</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rPr>
          <w:b/>
        </w:rPr>
        <w:tab/>
      </w:r>
      <w:r w:rsidRPr="0018156A">
        <w:t>Yes.  My first constant growth DCF is based on consensus analysts’ growth rate projections so it is a reasonable reflection of rational investment expectations over the next three to five years.  The limitation on this constant growth DCF model is that it cannot reflect a rational expectation that a period of high or low short-term growth can be followed by a change in growth to a rate that is more reflective of long</w:t>
      </w:r>
      <w:r w:rsidRPr="0018156A">
        <w:noBreakHyphen/>
        <w:t xml:space="preserve">term </w:t>
      </w:r>
      <w:r w:rsidRPr="0018156A">
        <w:lastRenderedPageBreak/>
        <w:t xml:space="preserve">sustainable growth.  Hence, I performed a multi-stage growth DCF analysis to reflect this outlook of changing growth expectations.  </w:t>
      </w:r>
    </w:p>
    <w:p w:rsidR="00F23557" w:rsidRPr="0018156A" w:rsidRDefault="00F23557" w:rsidP="00F23557">
      <w:pPr>
        <w:tabs>
          <w:tab w:val="left" w:pos="1440"/>
        </w:tabs>
        <w:ind w:left="720" w:hanging="720"/>
        <w:jc w:val="both"/>
        <w:rPr>
          <w:b/>
        </w:rPr>
      </w:pPr>
      <w:r w:rsidRPr="0018156A">
        <w:rPr>
          <w:b/>
        </w:rPr>
        <w:t>Q</w:t>
      </w:r>
      <w:r>
        <w:rPr>
          <w:b/>
        </w:rPr>
        <w:t>.</w:t>
      </w:r>
      <w:r w:rsidRPr="0018156A">
        <w:rPr>
          <w:b/>
        </w:rPr>
        <w:tab/>
        <w:t>WHY DO YOU BELIEVE GROWTH RATES CAN CHANGE OVER TIME?</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rPr>
          <w:b/>
        </w:rPr>
        <w:tab/>
      </w:r>
      <w:r w:rsidRPr="0018156A">
        <w:t xml:space="preserve">Analyst-projected growth rates over the next three to five years will change as utility earnings growth outlooks change.  Utility companies go through cycles in making investments in their systems.  When utility companies are making large investments, their rate base grows rapidly, which in turn accelerates earnings growth.  Once a major construction cycle is completed or levels off, growth in the utility rate base slows and its earnings growth slows from an abnormally high three- to five-year rate to a lower sustainable growth rate.  </w:t>
      </w:r>
    </w:p>
    <w:p w:rsidR="00F23557" w:rsidRPr="0018156A" w:rsidRDefault="00F23557" w:rsidP="00F23557">
      <w:pPr>
        <w:tabs>
          <w:tab w:val="left" w:pos="1440"/>
        </w:tabs>
        <w:spacing w:after="0" w:line="480" w:lineRule="auto"/>
        <w:ind w:left="720" w:hanging="720"/>
        <w:jc w:val="both"/>
      </w:pPr>
      <w:r w:rsidRPr="0018156A">
        <w:tab/>
      </w:r>
      <w:r w:rsidRPr="0018156A">
        <w:tab/>
        <w:t>As major construction cycles extend over longer periods of time, even with an accelerated construction program, the growth rate of the utility will slow simply because rate base growth will slow and the utility has limited human and capital resources available to expand its construction program.  Therefore, the three- to five-year growth rate projection should be used as a long-term sustainable growth rate but not without making a reasonable informed judgment to determine whether it considers the current market environment, the industry, and whether the three- to five-year growth outlook is sustainable.</w:t>
      </w:r>
    </w:p>
    <w:p w:rsidR="00F23557" w:rsidRPr="0018156A" w:rsidRDefault="00F23557" w:rsidP="00F23557">
      <w:pPr>
        <w:tabs>
          <w:tab w:val="left" w:pos="1440"/>
        </w:tabs>
        <w:ind w:left="720" w:hanging="720"/>
        <w:jc w:val="both"/>
        <w:rPr>
          <w:b/>
        </w:rPr>
      </w:pPr>
      <w:r w:rsidRPr="0018156A">
        <w:rPr>
          <w:b/>
        </w:rPr>
        <w:t>Q</w:t>
      </w:r>
      <w:r>
        <w:rPr>
          <w:b/>
        </w:rPr>
        <w:t>.</w:t>
      </w:r>
      <w:r w:rsidRPr="0018156A">
        <w:rPr>
          <w:b/>
        </w:rPr>
        <w:tab/>
        <w:t>PLEASE DESCRIBE YOUR MULTI-STAGE GROWTH DCF MODEL.</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rPr>
          <w:b/>
        </w:rPr>
        <w:tab/>
      </w:r>
      <w:r w:rsidRPr="0018156A">
        <w:t>The multi-stage growth DCF model reflects the possibility of non-constant growth for a company over time.  The multi-stage growth DCF model reflects three growth periods: (1) a short-term growth period consisting of the first five years; (2) a transition period, consisting of the next five years (6 through 10); and (3) a long</w:t>
      </w:r>
      <w:r w:rsidRPr="0018156A">
        <w:noBreakHyphen/>
        <w:t xml:space="preserve">term growth period starting in year 11 through perpetuity.  </w:t>
      </w:r>
    </w:p>
    <w:p w:rsidR="00F23557" w:rsidRPr="0018156A" w:rsidRDefault="00F23557" w:rsidP="00F23557">
      <w:pPr>
        <w:tabs>
          <w:tab w:val="left" w:pos="1440"/>
        </w:tabs>
        <w:spacing w:after="0" w:line="480" w:lineRule="auto"/>
        <w:ind w:left="720" w:hanging="720"/>
        <w:jc w:val="both"/>
      </w:pPr>
      <w:r w:rsidRPr="0018156A">
        <w:lastRenderedPageBreak/>
        <w:tab/>
      </w:r>
      <w:r w:rsidRPr="0018156A">
        <w:tab/>
        <w:t xml:space="preserve">For the short-term growth period, I relied on the consensus analysts’ growth projections described above in relationship to my constant growth DCF model.  For the transition period, the growth rates were reduced or increased by an equal factor reflecting the difference between the analysts’ growth rates and the long-term sustainable growth rate.  For the long-term growth period, I assumed each company’s growth would converge to the maximum sustainable long-term growth rate. </w:t>
      </w:r>
    </w:p>
    <w:p w:rsidR="00F23557" w:rsidRPr="0018156A" w:rsidRDefault="00F23557" w:rsidP="00F23557">
      <w:pPr>
        <w:tabs>
          <w:tab w:val="left" w:pos="1440"/>
        </w:tabs>
        <w:ind w:left="720" w:hanging="720"/>
        <w:jc w:val="both"/>
        <w:rPr>
          <w:b/>
        </w:rPr>
      </w:pPr>
      <w:r w:rsidRPr="0018156A">
        <w:rPr>
          <w:b/>
        </w:rPr>
        <w:t>Q</w:t>
      </w:r>
      <w:r>
        <w:rPr>
          <w:b/>
        </w:rPr>
        <w:t>.</w:t>
      </w:r>
      <w:r w:rsidRPr="0018156A">
        <w:rPr>
          <w:b/>
        </w:rPr>
        <w:tab/>
        <w:t>WHY IS THE GDP GROWTH PROJECTION A REASONABLE PROXY FOR THE MAXIMUM SUSTAINABLE LONG-TERM GROWTH RATE?</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rPr>
          <w:b/>
        </w:rPr>
        <w:tab/>
      </w:r>
      <w:r w:rsidRPr="0018156A">
        <w:t xml:space="preserve">Utilities cannot indefinitely sustain a growth rate that exceeds the growth rate of the economy in which they sell services.  Utilities’ earnings/dividend growth is created by increased utility investment or rate base.  </w:t>
      </w:r>
      <w:bookmarkStart w:id="203" w:name="_BPDCI160"/>
      <w:r w:rsidRPr="0018156A">
        <w:t xml:space="preserve">Such </w:t>
      </w:r>
      <w:bookmarkEnd w:id="203"/>
      <w:r w:rsidRPr="0018156A">
        <w:t xml:space="preserve">investment, in turn, is driven by service area economic growth and demand for utility service.  In other words, utilities invest in plant to meet sales demand growth. </w:t>
      </w:r>
      <w:r>
        <w:t xml:space="preserve"> </w:t>
      </w:r>
      <w:r w:rsidRPr="0018156A">
        <w:t>Sales growth</w:t>
      </w:r>
      <w:bookmarkStart w:id="204" w:name="_BPDCI158"/>
      <w:r w:rsidRPr="0018156A">
        <w:t xml:space="preserve">, </w:t>
      </w:r>
      <w:bookmarkEnd w:id="204"/>
      <w:r w:rsidRPr="0018156A">
        <w:t>in turn</w:t>
      </w:r>
      <w:bookmarkStart w:id="205" w:name="_BPDCI156"/>
      <w:r w:rsidRPr="0018156A">
        <w:t xml:space="preserve">, </w:t>
      </w:r>
      <w:bookmarkEnd w:id="205"/>
      <w:r w:rsidRPr="0018156A">
        <w:t xml:space="preserve">is tied to economic growth in their service areas.  </w:t>
      </w:r>
    </w:p>
    <w:p w:rsidR="00F23557" w:rsidRPr="0018156A" w:rsidRDefault="00F23557" w:rsidP="00F23557">
      <w:pPr>
        <w:tabs>
          <w:tab w:val="left" w:pos="1440"/>
        </w:tabs>
        <w:spacing w:after="0" w:line="480" w:lineRule="auto"/>
        <w:ind w:left="720" w:hanging="720"/>
        <w:jc w:val="both"/>
        <w:rPr>
          <w:rFonts w:cs="Arial"/>
        </w:rPr>
      </w:pPr>
      <w:r w:rsidRPr="0018156A">
        <w:rPr>
          <w:rFonts w:cs="Arial"/>
        </w:rPr>
        <w:tab/>
      </w:r>
      <w:r w:rsidRPr="0018156A">
        <w:rPr>
          <w:rFonts w:cs="Arial"/>
        </w:rPr>
        <w:tab/>
        <w:t xml:space="preserve">The U.S. Department of Energy, Energy Information Administration (“EIA”) has observed utility sales growth tracks the U.S. GDP growth, albeit at a lower level, as </w:t>
      </w:r>
      <w:r w:rsidRPr="00F67C5A">
        <w:rPr>
          <w:rFonts w:cs="Arial"/>
        </w:rPr>
        <w:t xml:space="preserve">shown in </w:t>
      </w:r>
      <w:r w:rsidRPr="00F67C5A">
        <w:rPr>
          <w:rFonts w:eastAsia="Times New Roman"/>
          <w:szCs w:val="24"/>
        </w:rPr>
        <w:t>Exhibit No</w:t>
      </w:r>
      <w:proofErr w:type="gramStart"/>
      <w:r w:rsidRPr="00F67C5A">
        <w:rPr>
          <w:rFonts w:eastAsia="Times New Roman"/>
          <w:szCs w:val="24"/>
        </w:rPr>
        <w:t>. MPG-11</w:t>
      </w:r>
      <w:r w:rsidRPr="00F67C5A">
        <w:rPr>
          <w:rFonts w:cs="Arial"/>
        </w:rPr>
        <w:t>.</w:t>
      </w:r>
      <w:proofErr w:type="gramEnd"/>
      <w:r w:rsidRPr="00F67C5A">
        <w:rPr>
          <w:rFonts w:cs="Arial"/>
        </w:rPr>
        <w:t xml:space="preserve">  Utility sales growth</w:t>
      </w:r>
      <w:r w:rsidRPr="0018156A">
        <w:rPr>
          <w:rFonts w:cs="Arial"/>
        </w:rPr>
        <w:t xml:space="preserve"> has lagged behind GDP growth</w:t>
      </w:r>
      <w:bookmarkStart w:id="206" w:name="_BPDCI155"/>
      <w:r w:rsidRPr="0018156A">
        <w:rPr>
          <w:rFonts w:cs="Arial"/>
        </w:rPr>
        <w:t xml:space="preserve"> for more than a decade</w:t>
      </w:r>
      <w:bookmarkEnd w:id="206"/>
      <w:r w:rsidRPr="0018156A">
        <w:rPr>
          <w:rFonts w:cs="Arial"/>
        </w:rPr>
        <w:t xml:space="preserve">.  As a result, nominal GDP growth is a very conservative proxy for utility sales growth, rate base growth, and earnings growth.  Therefore, the U.S. GDP nominal growth rate is a conservative proxy for the highest sustainable long-term growth rate of a utility.  </w:t>
      </w:r>
    </w:p>
    <w:p w:rsidR="00F23557" w:rsidRPr="0018156A" w:rsidRDefault="00F23557" w:rsidP="00F23557">
      <w:pPr>
        <w:keepNext/>
        <w:keepLines/>
        <w:tabs>
          <w:tab w:val="left" w:pos="1440"/>
        </w:tabs>
        <w:ind w:left="720" w:hanging="720"/>
        <w:jc w:val="both"/>
        <w:rPr>
          <w:b/>
        </w:rPr>
      </w:pPr>
      <w:r w:rsidRPr="0018156A">
        <w:rPr>
          <w:b/>
        </w:rPr>
        <w:lastRenderedPageBreak/>
        <w:t>Q</w:t>
      </w:r>
      <w:r>
        <w:rPr>
          <w:b/>
        </w:rPr>
        <w:t>.</w:t>
      </w:r>
      <w:r w:rsidRPr="0018156A">
        <w:rPr>
          <w:b/>
        </w:rPr>
        <w:tab/>
        <w:t>IS THERE RESEARCH THAT SUPPORTS YOUR POSITION THAT, OVER THE LONG TERM, A COMPANY’S EARNINGS AND DIVIDENDS CANNOT GROW AT A RATE GREATER THAN THE GROWTH OF THE U.S. GDP?</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rPr>
          <w:b/>
        </w:rPr>
        <w:tab/>
      </w:r>
      <w:r w:rsidRPr="0018156A">
        <w:t xml:space="preserve">Yes.  This concept is supported in published analyst literature and academic work.  Specifically, in a textbook titled “Fundamentals of Financial Management,” published by Eugene Brigham and Joel F. Houston, the </w:t>
      </w:r>
      <w:proofErr w:type="gramStart"/>
      <w:r w:rsidRPr="0018156A">
        <w:t>authors</w:t>
      </w:r>
      <w:proofErr w:type="gramEnd"/>
      <w:r w:rsidRPr="0018156A">
        <w:t xml:space="preserve"> state as follows:</w:t>
      </w:r>
    </w:p>
    <w:p w:rsidR="00F23557" w:rsidRPr="0018156A" w:rsidRDefault="00F23557" w:rsidP="00F23557">
      <w:pPr>
        <w:tabs>
          <w:tab w:val="left" w:pos="1080"/>
        </w:tabs>
        <w:ind w:left="1440" w:right="720"/>
        <w:jc w:val="both"/>
        <w:rPr>
          <w:vertAlign w:val="superscript"/>
        </w:rPr>
      </w:pPr>
      <w:r w:rsidRPr="0018156A">
        <w:t xml:space="preserve">The constant growth model is most appropriate for mature companies with a stable history of growth and stable future expectations.  Expected growth rates vary somewhat among companies, but </w:t>
      </w:r>
      <w:r w:rsidRPr="0018156A">
        <w:rPr>
          <w:u w:val="single"/>
        </w:rPr>
        <w:t>dividends for mature firms are often expected to grow in the future at about the same rate as nominal gross domestic product (real GDP plus inflation)</w:t>
      </w:r>
      <w:r w:rsidRPr="0018156A">
        <w:t>.</w:t>
      </w:r>
      <w:r w:rsidRPr="001D39D7">
        <w:rPr>
          <w:u w:val="single"/>
          <w:vertAlign w:val="superscript"/>
        </w:rPr>
        <w:footnoteReference w:id="13"/>
      </w:r>
      <w:r w:rsidRPr="00A26064">
        <w:rPr>
          <w:rFonts w:cs="Arial"/>
          <w:color w:val="000000"/>
          <w:vertAlign w:val="superscript"/>
        </w:rPr>
        <w:t>/</w:t>
      </w:r>
    </w:p>
    <w:p w:rsidR="00F23557" w:rsidRPr="0018156A" w:rsidRDefault="00F23557" w:rsidP="00F23557">
      <w:pPr>
        <w:tabs>
          <w:tab w:val="left" w:pos="1440"/>
        </w:tabs>
        <w:spacing w:after="0" w:line="480" w:lineRule="auto"/>
        <w:ind w:left="720" w:hanging="720"/>
        <w:jc w:val="both"/>
      </w:pPr>
      <w:r w:rsidRPr="0018156A">
        <w:rPr>
          <w:b/>
        </w:rPr>
        <w:tab/>
      </w:r>
      <w:r w:rsidRPr="0018156A">
        <w:tab/>
        <w:t>The use of the economic growth rate is also supported by investment practitioners as outlined as follows:</w:t>
      </w:r>
    </w:p>
    <w:p w:rsidR="00F23557" w:rsidRPr="0018156A" w:rsidRDefault="00F23557" w:rsidP="00F23557">
      <w:pPr>
        <w:tabs>
          <w:tab w:val="left" w:pos="1080"/>
        </w:tabs>
        <w:ind w:left="1440" w:right="720"/>
        <w:jc w:val="both"/>
        <w:rPr>
          <w:b/>
        </w:rPr>
      </w:pPr>
      <w:r w:rsidRPr="0018156A">
        <w:rPr>
          <w:b/>
        </w:rPr>
        <w:t>Estimating Growth Rates</w:t>
      </w:r>
    </w:p>
    <w:p w:rsidR="00F23557" w:rsidRPr="0018156A" w:rsidRDefault="00F23557" w:rsidP="00F23557">
      <w:pPr>
        <w:tabs>
          <w:tab w:val="left" w:pos="1080"/>
        </w:tabs>
        <w:ind w:left="1440" w:right="720"/>
        <w:jc w:val="both"/>
      </w:pPr>
      <w:r w:rsidRPr="0018156A">
        <w:t>One of the advantages of a three-stage discounted cash flow model is that it fits with life cycle theories in regards to company growth.  In these theories, companies are assumed to have a life cycle with varying growth characteristics</w:t>
      </w:r>
      <w:proofErr w:type="gramStart"/>
      <w:r w:rsidRPr="0018156A">
        <w:t xml:space="preserve">. </w:t>
      </w:r>
      <w:proofErr w:type="gramEnd"/>
      <w:r w:rsidRPr="0018156A">
        <w:t>Typically, the potential for extraordinary growth in the near term eases over time and eventually growth slows to a more stable level.</w:t>
      </w:r>
    </w:p>
    <w:p w:rsidR="00F23557" w:rsidRPr="0018156A" w:rsidRDefault="00F23557" w:rsidP="00F23557">
      <w:pPr>
        <w:tabs>
          <w:tab w:val="left" w:pos="1080"/>
        </w:tabs>
        <w:ind w:left="1440" w:right="720"/>
        <w:jc w:val="center"/>
      </w:pPr>
      <w:r w:rsidRPr="0018156A">
        <w:t>*     *     *</w:t>
      </w:r>
    </w:p>
    <w:p w:rsidR="00F23557" w:rsidRDefault="00F23557" w:rsidP="00F23557">
      <w:pPr>
        <w:tabs>
          <w:tab w:val="left" w:pos="1080"/>
        </w:tabs>
        <w:ind w:left="1440" w:right="720"/>
        <w:jc w:val="both"/>
      </w:pPr>
      <w:r w:rsidRPr="0018156A">
        <w:t xml:space="preserve">Another approach to estimating long-term growth rates is to focus on estimating the overall economic growth rate.  Again, this is the approach used in the </w:t>
      </w:r>
      <w:r w:rsidRPr="0018156A">
        <w:rPr>
          <w:i/>
        </w:rPr>
        <w:t>Ibbotson Cost of Capital Yearbook</w:t>
      </w:r>
      <w:r w:rsidRPr="0018156A">
        <w:t>.  To obtain the economic growth rate, a forecast is made of the growth rate’s component parts.  Expected growth can be broken into two main parts:  expected inflation and expected real growth.  By analyzing these components separately, it is easier to see the factors that drive growth.</w:t>
      </w:r>
      <w:r w:rsidRPr="001D39D7">
        <w:rPr>
          <w:u w:val="single"/>
          <w:vertAlign w:val="superscript"/>
        </w:rPr>
        <w:footnoteReference w:id="14"/>
      </w:r>
      <w:r w:rsidRPr="00A26064">
        <w:rPr>
          <w:rFonts w:cs="Arial"/>
          <w:color w:val="000000"/>
          <w:vertAlign w:val="superscript"/>
        </w:rPr>
        <w:t>/</w:t>
      </w:r>
    </w:p>
    <w:p w:rsidR="00F23557" w:rsidRPr="0018156A" w:rsidRDefault="00F23557" w:rsidP="00F23557">
      <w:pPr>
        <w:suppressLineNumbers/>
        <w:tabs>
          <w:tab w:val="left" w:pos="1080"/>
        </w:tabs>
        <w:spacing w:after="0"/>
        <w:ind w:right="720"/>
        <w:jc w:val="both"/>
      </w:pPr>
    </w:p>
    <w:p w:rsidR="00F23557" w:rsidRPr="0018156A" w:rsidRDefault="00F23557" w:rsidP="00F23557">
      <w:pPr>
        <w:tabs>
          <w:tab w:val="left" w:pos="1440"/>
        </w:tabs>
        <w:ind w:left="720" w:hanging="720"/>
        <w:jc w:val="both"/>
        <w:rPr>
          <w:b/>
        </w:rPr>
      </w:pPr>
      <w:r w:rsidRPr="0018156A">
        <w:rPr>
          <w:b/>
        </w:rPr>
        <w:lastRenderedPageBreak/>
        <w:t>Q</w:t>
      </w:r>
      <w:r>
        <w:rPr>
          <w:b/>
        </w:rPr>
        <w:t>.</w:t>
      </w:r>
      <w:r w:rsidRPr="0018156A">
        <w:rPr>
          <w:b/>
        </w:rPr>
        <w:tab/>
        <w:t>IS THERE ANY ACTUAL INVESTMENT HISTORY THAT SUPPORTS THE NOTION THAT THE CAPITAL APPRECIATION FOR STOCK INVESTMENTS WILL NOT EXCEED THE NOMINAL GROWTH OF THE U.S. GDP?</w:t>
      </w:r>
    </w:p>
    <w:p w:rsidR="00F23557" w:rsidRPr="0018156A" w:rsidRDefault="00F23557" w:rsidP="00F23557">
      <w:pPr>
        <w:tabs>
          <w:tab w:val="left" w:pos="1440"/>
        </w:tabs>
        <w:spacing w:after="0" w:line="480" w:lineRule="auto"/>
        <w:ind w:left="720" w:hanging="720"/>
        <w:jc w:val="both"/>
        <w:rPr>
          <w:vertAlign w:val="superscript"/>
        </w:rPr>
      </w:pPr>
      <w:r w:rsidRPr="00272C05">
        <w:rPr>
          <w:rFonts w:eastAsia="Times New Roman"/>
          <w:b/>
          <w:szCs w:val="24"/>
        </w:rPr>
        <w:t>A.</w:t>
      </w:r>
      <w:r w:rsidRPr="0018156A">
        <w:rPr>
          <w:b/>
        </w:rPr>
        <w:tab/>
      </w:r>
      <w:r w:rsidRPr="0018156A">
        <w:t>Yes.  This is evident by a comparison of the compound annual growth of the U.S. GDP compared to the geometric growth of the U.S. stock market.  Morningstar measures the historical geometric growth of the U.S. stock market over the period 1926-2015 to be approximately 5.8%.  During this same time period, the U.S. nominal compound annual growth of the U.S. GDP was approximately 6.2%.</w:t>
      </w:r>
      <w:r w:rsidRPr="001D39D7">
        <w:rPr>
          <w:u w:val="single"/>
          <w:vertAlign w:val="superscript"/>
        </w:rPr>
        <w:footnoteReference w:id="15"/>
      </w:r>
      <w:r w:rsidRPr="00A26064">
        <w:rPr>
          <w:rFonts w:cs="Arial"/>
          <w:color w:val="000000"/>
          <w:vertAlign w:val="superscript"/>
        </w:rPr>
        <w:t>/</w:t>
      </w:r>
    </w:p>
    <w:p w:rsidR="00F23557" w:rsidRPr="0018156A" w:rsidRDefault="00F23557" w:rsidP="00F23557">
      <w:pPr>
        <w:tabs>
          <w:tab w:val="left" w:pos="1440"/>
        </w:tabs>
        <w:spacing w:after="0" w:line="480" w:lineRule="auto"/>
        <w:ind w:left="720" w:hanging="720"/>
        <w:jc w:val="both"/>
      </w:pPr>
      <w:r w:rsidRPr="0018156A">
        <w:tab/>
      </w:r>
      <w:r w:rsidRPr="0018156A">
        <w:tab/>
        <w:t>As such, the compound geometric growth of the U.S. nominal GDP has been higher but comparable to the nominal growth of the U.S. stock market capital appreciation.  This historical relationship indicates the U.S. GDP growth outlook is a conservative estimate of the long-term sustainable growth of U.S. stock investments.</w:t>
      </w:r>
    </w:p>
    <w:p w:rsidR="00F23557" w:rsidRPr="0018156A" w:rsidRDefault="00F23557" w:rsidP="00F23557">
      <w:pPr>
        <w:tabs>
          <w:tab w:val="left" w:pos="1440"/>
        </w:tabs>
        <w:ind w:left="720" w:hanging="720"/>
        <w:jc w:val="both"/>
        <w:rPr>
          <w:b/>
        </w:rPr>
      </w:pPr>
      <w:r w:rsidRPr="0018156A">
        <w:rPr>
          <w:b/>
        </w:rPr>
        <w:t>Q</w:t>
      </w:r>
      <w:r>
        <w:rPr>
          <w:b/>
        </w:rPr>
        <w:t>.</w:t>
      </w:r>
      <w:r w:rsidRPr="0018156A">
        <w:rPr>
          <w:b/>
        </w:rPr>
        <w:tab/>
        <w:t>HOW DID YOU DETERMINE A SUSTAINABLE LONG-TERM GROWTH RATE THAT REFLECTS THE CURRENT CONSENSUS OUTLOOK OF THE MARKET?</w:t>
      </w:r>
    </w:p>
    <w:p w:rsidR="00F23557" w:rsidRPr="0018156A" w:rsidRDefault="00F23557" w:rsidP="00F23557">
      <w:pPr>
        <w:tabs>
          <w:tab w:val="left" w:pos="1440"/>
        </w:tabs>
        <w:spacing w:after="0" w:line="480" w:lineRule="auto"/>
        <w:ind w:left="720" w:hanging="720"/>
        <w:jc w:val="both"/>
        <w:rPr>
          <w:vertAlign w:val="superscript"/>
        </w:rPr>
      </w:pPr>
      <w:r w:rsidRPr="00272C05">
        <w:rPr>
          <w:rFonts w:eastAsia="Times New Roman"/>
          <w:b/>
          <w:szCs w:val="24"/>
        </w:rPr>
        <w:t>A.</w:t>
      </w:r>
      <w:r w:rsidRPr="0018156A">
        <w:rPr>
          <w:b/>
        </w:rPr>
        <w:tab/>
      </w:r>
      <w:r w:rsidRPr="0018156A">
        <w:t xml:space="preserve">I relied on the consensus analysts’ projections of long-term GDP growth.  </w:t>
      </w:r>
      <w:r w:rsidRPr="0018156A">
        <w:rPr>
          <w:i/>
        </w:rPr>
        <w:t xml:space="preserve">Blue Chip </w:t>
      </w:r>
      <w:r>
        <w:rPr>
          <w:i/>
        </w:rPr>
        <w:t>Financial Forecasts</w:t>
      </w:r>
      <w:r w:rsidRPr="0018156A">
        <w:t xml:space="preserve"> publishes consensus economists’ GDP growth projections twice a year.  These consensus analysts’ GDP growth outlooks are the best available measure of the market’s assessment of long-term GDP growth.  These analyst projections reflect all current outlooks for GDP and are likely the most influential on investors’ expectations of future growth outlooks.  The consensus economists’ published GDP growth rate outlook is 4.35% over the next 10 years.</w:t>
      </w:r>
      <w:r w:rsidRPr="001D39D7">
        <w:rPr>
          <w:u w:val="single"/>
          <w:vertAlign w:val="superscript"/>
        </w:rPr>
        <w:footnoteReference w:id="16"/>
      </w:r>
      <w:r w:rsidRPr="00A26064">
        <w:rPr>
          <w:rFonts w:cs="Arial"/>
          <w:color w:val="000000"/>
          <w:vertAlign w:val="superscript"/>
        </w:rPr>
        <w:t>/</w:t>
      </w:r>
    </w:p>
    <w:p w:rsidR="00F23557" w:rsidRPr="0018156A" w:rsidRDefault="00F23557" w:rsidP="00F23557">
      <w:pPr>
        <w:tabs>
          <w:tab w:val="left" w:pos="1440"/>
        </w:tabs>
        <w:spacing w:after="0" w:line="480" w:lineRule="auto"/>
        <w:ind w:left="720" w:hanging="720"/>
        <w:jc w:val="both"/>
      </w:pPr>
      <w:r w:rsidRPr="0018156A">
        <w:lastRenderedPageBreak/>
        <w:tab/>
      </w:r>
      <w:r w:rsidRPr="0018156A">
        <w:tab/>
        <w:t>Therefore, I propose to use the consensus economists’ projected 5- and 10</w:t>
      </w:r>
      <w:r w:rsidRPr="0018156A">
        <w:noBreakHyphen/>
        <w:t xml:space="preserve">year average GDP consensus growth rates of 4.35%, as published by </w:t>
      </w:r>
      <w:r w:rsidRPr="0018156A">
        <w:rPr>
          <w:i/>
        </w:rPr>
        <w:t>Blue Chip Financial Forecasts</w:t>
      </w:r>
      <w:r w:rsidRPr="0018156A">
        <w:t>, as an estimate of long</w:t>
      </w:r>
      <w:r w:rsidRPr="0018156A">
        <w:noBreakHyphen/>
        <w:t xml:space="preserve">term sustainable growth.  </w:t>
      </w:r>
      <w:r w:rsidRPr="0018156A">
        <w:rPr>
          <w:i/>
        </w:rPr>
        <w:t>Blue Chip Financial Forecasts</w:t>
      </w:r>
      <w:r w:rsidRPr="0018156A">
        <w:t xml:space="preserve"> projections provide real GDP growth projections of 2.2% and GDP inflation of</w:t>
      </w:r>
      <w:bookmarkStart w:id="207" w:name="_BPDCI116"/>
      <w:r w:rsidRPr="0018156A">
        <w:t xml:space="preserve"> </w:t>
      </w:r>
      <w:bookmarkEnd w:id="207"/>
      <w:r w:rsidRPr="0018156A">
        <w:t>2.1%</w:t>
      </w:r>
      <w:r w:rsidRPr="001D39D7">
        <w:rPr>
          <w:u w:val="single"/>
          <w:vertAlign w:val="superscript"/>
        </w:rPr>
        <w:footnoteReference w:id="17"/>
      </w:r>
      <w:r w:rsidRPr="00A26064">
        <w:rPr>
          <w:rFonts w:cs="Arial"/>
          <w:color w:val="000000"/>
          <w:vertAlign w:val="superscript"/>
        </w:rPr>
        <w:t>/</w:t>
      </w:r>
      <w:r w:rsidRPr="0018156A">
        <w:rPr>
          <w:vertAlign w:val="superscript"/>
        </w:rPr>
        <w:t xml:space="preserve"> </w:t>
      </w:r>
      <w:r w:rsidRPr="0018156A">
        <w:t>over the 5-year and 10</w:t>
      </w:r>
      <w:r w:rsidRPr="0018156A">
        <w:noBreakHyphen/>
        <w:t xml:space="preserve">year projection periods.  These consensus GDP growth forecasts represent the most likely views of market participants because they are based on published consensus economist projections.  </w:t>
      </w:r>
    </w:p>
    <w:p w:rsidR="00F23557" w:rsidRPr="0018156A" w:rsidRDefault="00F23557" w:rsidP="00F23557">
      <w:pPr>
        <w:tabs>
          <w:tab w:val="left" w:pos="1440"/>
        </w:tabs>
        <w:ind w:left="720" w:hanging="720"/>
        <w:jc w:val="both"/>
        <w:rPr>
          <w:rFonts w:cs="Arial"/>
          <w:b/>
        </w:rPr>
      </w:pPr>
      <w:r w:rsidRPr="0018156A">
        <w:rPr>
          <w:rFonts w:cs="Arial"/>
          <w:b/>
        </w:rPr>
        <w:t>Q</w:t>
      </w:r>
      <w:r>
        <w:rPr>
          <w:rFonts w:cs="Arial"/>
          <w:b/>
        </w:rPr>
        <w:t>.</w:t>
      </w:r>
      <w:r w:rsidRPr="0018156A">
        <w:rPr>
          <w:rFonts w:cs="Arial"/>
          <w:b/>
        </w:rPr>
        <w:tab/>
        <w:t>DO YOU CONSIDER OTHER SOURCES OF PROJECTED LONG-TERM GDP GROWTH?</w:t>
      </w:r>
    </w:p>
    <w:p w:rsidR="00F23557" w:rsidRPr="0018156A" w:rsidRDefault="00F23557" w:rsidP="00F23557">
      <w:pPr>
        <w:tabs>
          <w:tab w:val="left" w:pos="1440"/>
        </w:tabs>
        <w:spacing w:after="0" w:line="480" w:lineRule="auto"/>
        <w:ind w:left="720" w:hanging="720"/>
        <w:jc w:val="both"/>
        <w:rPr>
          <w:rFonts w:cs="Arial"/>
        </w:rPr>
      </w:pPr>
      <w:proofErr w:type="gramStart"/>
      <w:r w:rsidRPr="00272C05">
        <w:rPr>
          <w:rFonts w:eastAsia="Times New Roman"/>
          <w:b/>
          <w:szCs w:val="24"/>
        </w:rPr>
        <w:t>A.</w:t>
      </w:r>
      <w:r w:rsidRPr="0018156A">
        <w:rPr>
          <w:rFonts w:cs="Arial"/>
        </w:rPr>
        <w:tab/>
        <w:t>Yes, and these sources</w:t>
      </w:r>
      <w:proofErr w:type="gramEnd"/>
      <w:r w:rsidRPr="0018156A">
        <w:rPr>
          <w:rFonts w:cs="Arial"/>
        </w:rPr>
        <w:t xml:space="preserve"> corroborate my consensus analysts’ projections, as shown below </w:t>
      </w:r>
      <w:r w:rsidRPr="00873AE8">
        <w:rPr>
          <w:rFonts w:cs="Arial"/>
        </w:rPr>
        <w:t>in Table 4.</w:t>
      </w:r>
      <w:r w:rsidRPr="0018156A">
        <w:rPr>
          <w:rFonts w:cs="Arial"/>
        </w:rPr>
        <w:t xml:space="preserve">  </w:t>
      </w:r>
    </w:p>
    <w:tbl>
      <w:tblPr>
        <w:tblStyle w:val="TableGrid"/>
        <w:tblW w:w="8255" w:type="dxa"/>
        <w:jc w:val="center"/>
        <w:tblBorders>
          <w:insideH w:val="none" w:sz="0" w:space="0" w:color="auto"/>
          <w:insideV w:val="none" w:sz="0" w:space="0" w:color="auto"/>
        </w:tblBorders>
        <w:tblLayout w:type="fixed"/>
        <w:tblLook w:val="04A0"/>
      </w:tblPr>
      <w:tblGrid>
        <w:gridCol w:w="3804"/>
        <w:gridCol w:w="1293"/>
        <w:gridCol w:w="840"/>
        <w:gridCol w:w="1194"/>
        <w:gridCol w:w="1124"/>
      </w:tblGrid>
      <w:tr w:rsidR="00F23557" w:rsidRPr="0018156A" w:rsidTr="00E46164">
        <w:trPr>
          <w:jc w:val="center"/>
        </w:trPr>
        <w:tc>
          <w:tcPr>
            <w:tcW w:w="8255" w:type="dxa"/>
            <w:gridSpan w:val="5"/>
          </w:tcPr>
          <w:p w:rsidR="00F23557" w:rsidRPr="0018156A" w:rsidRDefault="00F23557" w:rsidP="00E46164">
            <w:pPr>
              <w:tabs>
                <w:tab w:val="left" w:pos="1080"/>
              </w:tabs>
              <w:spacing w:after="0"/>
              <w:jc w:val="center"/>
            </w:pPr>
          </w:p>
          <w:p w:rsidR="00F23557" w:rsidRPr="0018156A" w:rsidRDefault="00F23557" w:rsidP="00E46164">
            <w:pPr>
              <w:tabs>
                <w:tab w:val="left" w:pos="1080"/>
              </w:tabs>
              <w:spacing w:after="0"/>
              <w:jc w:val="center"/>
              <w:rPr>
                <w:b/>
              </w:rPr>
            </w:pPr>
            <w:r w:rsidRPr="00873AE8">
              <w:rPr>
                <w:b/>
              </w:rPr>
              <w:t>TABLE 4</w:t>
            </w:r>
          </w:p>
          <w:p w:rsidR="00F23557" w:rsidRPr="0018156A" w:rsidRDefault="00F23557" w:rsidP="00E46164">
            <w:pPr>
              <w:tabs>
                <w:tab w:val="left" w:pos="1080"/>
              </w:tabs>
              <w:spacing w:after="0"/>
              <w:jc w:val="center"/>
              <w:rPr>
                <w:b/>
              </w:rPr>
            </w:pPr>
          </w:p>
          <w:p w:rsidR="00F23557" w:rsidRPr="0018156A" w:rsidRDefault="00F23557" w:rsidP="00E46164">
            <w:pPr>
              <w:tabs>
                <w:tab w:val="left" w:pos="1080"/>
              </w:tabs>
              <w:spacing w:after="0"/>
              <w:jc w:val="center"/>
              <w:rPr>
                <w:b/>
                <w:u w:val="single"/>
              </w:rPr>
            </w:pPr>
            <w:r w:rsidRPr="0018156A">
              <w:rPr>
                <w:b/>
                <w:u w:val="single"/>
              </w:rPr>
              <w:t>GDP Forecasts</w:t>
            </w:r>
          </w:p>
          <w:p w:rsidR="00F23557" w:rsidRPr="0018156A" w:rsidRDefault="00F23557" w:rsidP="00E46164">
            <w:pPr>
              <w:tabs>
                <w:tab w:val="left" w:pos="1080"/>
              </w:tabs>
              <w:spacing w:after="0"/>
              <w:jc w:val="center"/>
            </w:pPr>
          </w:p>
        </w:tc>
      </w:tr>
      <w:tr w:rsidR="00F23557" w:rsidRPr="0018156A" w:rsidTr="00E46164">
        <w:trPr>
          <w:jc w:val="center"/>
        </w:trPr>
        <w:tc>
          <w:tcPr>
            <w:tcW w:w="3804" w:type="dxa"/>
          </w:tcPr>
          <w:p w:rsidR="00F23557" w:rsidRPr="0018156A" w:rsidRDefault="00F23557" w:rsidP="00E46164">
            <w:pPr>
              <w:tabs>
                <w:tab w:val="left" w:pos="1080"/>
              </w:tabs>
              <w:spacing w:after="0"/>
              <w:ind w:left="72"/>
              <w:rPr>
                <w:b/>
                <w:u w:val="single"/>
              </w:rPr>
            </w:pPr>
          </w:p>
          <w:p w:rsidR="00F23557" w:rsidRPr="0018156A" w:rsidRDefault="00F23557" w:rsidP="00E46164">
            <w:pPr>
              <w:tabs>
                <w:tab w:val="left" w:pos="1080"/>
              </w:tabs>
              <w:spacing w:after="0"/>
              <w:ind w:left="72"/>
              <w:rPr>
                <w:b/>
                <w:u w:val="single"/>
              </w:rPr>
            </w:pPr>
            <w:r w:rsidRPr="0018156A">
              <w:rPr>
                <w:b/>
                <w:u w:val="single"/>
              </w:rPr>
              <w:t>                    Source                     </w:t>
            </w:r>
          </w:p>
        </w:tc>
        <w:tc>
          <w:tcPr>
            <w:tcW w:w="1293" w:type="dxa"/>
          </w:tcPr>
          <w:p w:rsidR="00F23557" w:rsidRPr="0018156A" w:rsidRDefault="00F23557" w:rsidP="00E46164">
            <w:pPr>
              <w:tabs>
                <w:tab w:val="left" w:pos="1080"/>
              </w:tabs>
              <w:spacing w:after="0"/>
              <w:jc w:val="both"/>
              <w:rPr>
                <w:b/>
                <w:u w:val="single"/>
              </w:rPr>
            </w:pPr>
          </w:p>
          <w:p w:rsidR="00F23557" w:rsidRPr="0018156A" w:rsidRDefault="00F23557" w:rsidP="00E46164">
            <w:pPr>
              <w:tabs>
                <w:tab w:val="left" w:pos="1080"/>
              </w:tabs>
              <w:spacing w:after="0"/>
              <w:jc w:val="both"/>
              <w:rPr>
                <w:b/>
                <w:u w:val="single"/>
              </w:rPr>
            </w:pPr>
            <w:r w:rsidRPr="0018156A">
              <w:rPr>
                <w:b/>
                <w:u w:val="single"/>
              </w:rPr>
              <w:t> Term </w:t>
            </w:r>
          </w:p>
        </w:tc>
        <w:tc>
          <w:tcPr>
            <w:tcW w:w="840" w:type="dxa"/>
          </w:tcPr>
          <w:p w:rsidR="00F23557" w:rsidRPr="0018156A" w:rsidRDefault="00F23557" w:rsidP="00E46164">
            <w:pPr>
              <w:tabs>
                <w:tab w:val="left" w:pos="1080"/>
              </w:tabs>
              <w:spacing w:after="0"/>
              <w:jc w:val="both"/>
              <w:rPr>
                <w:b/>
              </w:rPr>
            </w:pPr>
            <w:r w:rsidRPr="0018156A">
              <w:rPr>
                <w:b/>
              </w:rPr>
              <w:t>Real</w:t>
            </w:r>
          </w:p>
          <w:p w:rsidR="00F23557" w:rsidRPr="0018156A" w:rsidRDefault="00F23557" w:rsidP="00E46164">
            <w:pPr>
              <w:tabs>
                <w:tab w:val="left" w:pos="1080"/>
              </w:tabs>
              <w:spacing w:after="0"/>
              <w:jc w:val="both"/>
              <w:rPr>
                <w:b/>
                <w:u w:val="single"/>
              </w:rPr>
            </w:pPr>
            <w:r w:rsidRPr="0018156A">
              <w:rPr>
                <w:b/>
                <w:u w:val="single"/>
              </w:rPr>
              <w:t>GDP</w:t>
            </w:r>
          </w:p>
        </w:tc>
        <w:tc>
          <w:tcPr>
            <w:tcW w:w="1194" w:type="dxa"/>
          </w:tcPr>
          <w:p w:rsidR="00F23557" w:rsidRPr="0018156A" w:rsidRDefault="00F23557" w:rsidP="00E46164">
            <w:pPr>
              <w:tabs>
                <w:tab w:val="left" w:pos="1080"/>
              </w:tabs>
              <w:spacing w:after="0"/>
              <w:jc w:val="both"/>
              <w:rPr>
                <w:b/>
                <w:u w:val="single"/>
              </w:rPr>
            </w:pPr>
          </w:p>
          <w:p w:rsidR="00F23557" w:rsidRPr="0018156A" w:rsidRDefault="00F23557" w:rsidP="00E46164">
            <w:pPr>
              <w:tabs>
                <w:tab w:val="left" w:pos="1080"/>
              </w:tabs>
              <w:spacing w:after="0"/>
              <w:jc w:val="both"/>
              <w:rPr>
                <w:b/>
                <w:u w:val="single"/>
              </w:rPr>
            </w:pPr>
            <w:r w:rsidRPr="0018156A">
              <w:rPr>
                <w:b/>
                <w:u w:val="single"/>
              </w:rPr>
              <w:t>Inflation</w:t>
            </w:r>
          </w:p>
        </w:tc>
        <w:tc>
          <w:tcPr>
            <w:tcW w:w="1124" w:type="dxa"/>
          </w:tcPr>
          <w:p w:rsidR="00F23557" w:rsidRPr="0018156A" w:rsidRDefault="00F23557" w:rsidP="00E46164">
            <w:pPr>
              <w:tabs>
                <w:tab w:val="left" w:pos="1080"/>
              </w:tabs>
              <w:spacing w:after="0"/>
              <w:jc w:val="both"/>
              <w:rPr>
                <w:b/>
              </w:rPr>
            </w:pPr>
            <w:r w:rsidRPr="0018156A">
              <w:rPr>
                <w:b/>
              </w:rPr>
              <w:t>Nominal</w:t>
            </w:r>
          </w:p>
          <w:p w:rsidR="00F23557" w:rsidRPr="0018156A" w:rsidRDefault="00F23557" w:rsidP="00E46164">
            <w:pPr>
              <w:tabs>
                <w:tab w:val="left" w:pos="1080"/>
              </w:tabs>
              <w:spacing w:after="0"/>
              <w:jc w:val="both"/>
              <w:rPr>
                <w:b/>
                <w:u w:val="single"/>
              </w:rPr>
            </w:pPr>
            <w:r w:rsidRPr="0018156A">
              <w:rPr>
                <w:b/>
                <w:u w:val="single"/>
              </w:rPr>
              <w:t>   GDP   </w:t>
            </w:r>
          </w:p>
        </w:tc>
      </w:tr>
      <w:tr w:rsidR="00F23557" w:rsidRPr="0018156A" w:rsidTr="00E46164">
        <w:trPr>
          <w:jc w:val="center"/>
        </w:trPr>
        <w:tc>
          <w:tcPr>
            <w:tcW w:w="3804" w:type="dxa"/>
          </w:tcPr>
          <w:p w:rsidR="00F23557" w:rsidRPr="0018156A" w:rsidRDefault="00F23557" w:rsidP="00E46164">
            <w:pPr>
              <w:tabs>
                <w:tab w:val="left" w:pos="1080"/>
              </w:tabs>
              <w:spacing w:after="0"/>
              <w:ind w:left="72"/>
            </w:pPr>
          </w:p>
        </w:tc>
        <w:tc>
          <w:tcPr>
            <w:tcW w:w="1293" w:type="dxa"/>
          </w:tcPr>
          <w:p w:rsidR="00F23557" w:rsidRPr="0018156A" w:rsidRDefault="00F23557" w:rsidP="00E46164">
            <w:pPr>
              <w:tabs>
                <w:tab w:val="left" w:pos="1080"/>
              </w:tabs>
              <w:spacing w:after="0"/>
              <w:jc w:val="both"/>
            </w:pPr>
          </w:p>
        </w:tc>
        <w:tc>
          <w:tcPr>
            <w:tcW w:w="840" w:type="dxa"/>
          </w:tcPr>
          <w:p w:rsidR="00F23557" w:rsidRPr="0018156A" w:rsidRDefault="00F23557" w:rsidP="00E46164">
            <w:pPr>
              <w:tabs>
                <w:tab w:val="left" w:pos="1080"/>
              </w:tabs>
              <w:spacing w:after="0"/>
              <w:jc w:val="both"/>
            </w:pPr>
          </w:p>
        </w:tc>
        <w:tc>
          <w:tcPr>
            <w:tcW w:w="1194" w:type="dxa"/>
          </w:tcPr>
          <w:p w:rsidR="00F23557" w:rsidRPr="0018156A" w:rsidRDefault="00F23557" w:rsidP="00E46164">
            <w:pPr>
              <w:tabs>
                <w:tab w:val="left" w:pos="1080"/>
              </w:tabs>
              <w:spacing w:after="0"/>
              <w:jc w:val="both"/>
            </w:pPr>
          </w:p>
        </w:tc>
        <w:tc>
          <w:tcPr>
            <w:tcW w:w="1124" w:type="dxa"/>
          </w:tcPr>
          <w:p w:rsidR="00F23557" w:rsidRPr="0018156A" w:rsidRDefault="00F23557" w:rsidP="00E46164">
            <w:pPr>
              <w:tabs>
                <w:tab w:val="left" w:pos="1080"/>
              </w:tabs>
              <w:spacing w:after="0"/>
              <w:jc w:val="both"/>
            </w:pPr>
          </w:p>
        </w:tc>
      </w:tr>
      <w:tr w:rsidR="00F23557" w:rsidRPr="0018156A" w:rsidTr="00E46164">
        <w:trPr>
          <w:jc w:val="center"/>
        </w:trPr>
        <w:tc>
          <w:tcPr>
            <w:tcW w:w="3804" w:type="dxa"/>
          </w:tcPr>
          <w:p w:rsidR="00F23557" w:rsidRPr="00F67C5A" w:rsidRDefault="00F23557" w:rsidP="00E46164">
            <w:pPr>
              <w:tabs>
                <w:tab w:val="left" w:pos="1080"/>
              </w:tabs>
              <w:spacing w:after="0" w:line="480" w:lineRule="auto"/>
              <w:ind w:left="72"/>
            </w:pPr>
            <w:r w:rsidRPr="00F67C5A">
              <w:t>EIA – Annual Earnings Outlook</w:t>
            </w:r>
            <w:r w:rsidRPr="00F67C5A">
              <w:rPr>
                <w:vertAlign w:val="superscript"/>
              </w:rPr>
              <w:t>18</w:t>
            </w:r>
          </w:p>
        </w:tc>
        <w:tc>
          <w:tcPr>
            <w:tcW w:w="1293" w:type="dxa"/>
          </w:tcPr>
          <w:p w:rsidR="00F23557" w:rsidRPr="00F67C5A" w:rsidRDefault="00F23557" w:rsidP="00E46164">
            <w:pPr>
              <w:tabs>
                <w:tab w:val="left" w:pos="1080"/>
              </w:tabs>
              <w:spacing w:after="0" w:line="480" w:lineRule="auto"/>
              <w:jc w:val="both"/>
            </w:pPr>
            <w:r w:rsidRPr="00F67C5A">
              <w:t>25 Yrs</w:t>
            </w:r>
          </w:p>
        </w:tc>
        <w:tc>
          <w:tcPr>
            <w:tcW w:w="840" w:type="dxa"/>
          </w:tcPr>
          <w:p w:rsidR="00F23557" w:rsidRPr="0018156A" w:rsidRDefault="00F23557" w:rsidP="00E46164">
            <w:pPr>
              <w:tabs>
                <w:tab w:val="left" w:pos="1080"/>
              </w:tabs>
              <w:spacing w:after="0" w:line="480" w:lineRule="auto"/>
              <w:jc w:val="both"/>
            </w:pPr>
            <w:r w:rsidRPr="0018156A">
              <w:t>2.4%</w:t>
            </w:r>
          </w:p>
        </w:tc>
        <w:tc>
          <w:tcPr>
            <w:tcW w:w="1194" w:type="dxa"/>
          </w:tcPr>
          <w:p w:rsidR="00F23557" w:rsidRPr="0018156A" w:rsidRDefault="00F23557" w:rsidP="00E46164">
            <w:pPr>
              <w:tabs>
                <w:tab w:val="left" w:pos="1080"/>
              </w:tabs>
              <w:spacing w:after="0" w:line="480" w:lineRule="auto"/>
              <w:jc w:val="center"/>
            </w:pPr>
            <w:r w:rsidRPr="0018156A">
              <w:t>1.8%</w:t>
            </w:r>
          </w:p>
        </w:tc>
        <w:tc>
          <w:tcPr>
            <w:tcW w:w="1124" w:type="dxa"/>
          </w:tcPr>
          <w:p w:rsidR="00F23557" w:rsidRPr="0018156A" w:rsidRDefault="00F23557" w:rsidP="00E46164">
            <w:pPr>
              <w:tabs>
                <w:tab w:val="left" w:pos="1080"/>
              </w:tabs>
              <w:spacing w:after="0" w:line="480" w:lineRule="auto"/>
              <w:ind w:right="208"/>
              <w:jc w:val="center"/>
            </w:pPr>
            <w:r w:rsidRPr="0018156A">
              <w:t>4.2%</w:t>
            </w:r>
          </w:p>
        </w:tc>
      </w:tr>
      <w:tr w:rsidR="00F23557" w:rsidRPr="0018156A" w:rsidTr="00E46164">
        <w:trPr>
          <w:jc w:val="center"/>
        </w:trPr>
        <w:tc>
          <w:tcPr>
            <w:tcW w:w="3804" w:type="dxa"/>
          </w:tcPr>
          <w:p w:rsidR="00F23557" w:rsidRPr="00F67C5A" w:rsidRDefault="00F23557" w:rsidP="00E46164">
            <w:pPr>
              <w:tabs>
                <w:tab w:val="left" w:pos="1080"/>
              </w:tabs>
              <w:spacing w:after="0" w:line="480" w:lineRule="auto"/>
              <w:ind w:left="72"/>
            </w:pPr>
            <w:r w:rsidRPr="00F67C5A">
              <w:t>Congressional Budget Office</w:t>
            </w:r>
            <w:r w:rsidRPr="00F67C5A">
              <w:rPr>
                <w:vertAlign w:val="superscript"/>
              </w:rPr>
              <w:t>19</w:t>
            </w:r>
          </w:p>
        </w:tc>
        <w:tc>
          <w:tcPr>
            <w:tcW w:w="1293" w:type="dxa"/>
          </w:tcPr>
          <w:p w:rsidR="00F23557" w:rsidRPr="00F67C5A" w:rsidRDefault="00F23557" w:rsidP="00E46164">
            <w:pPr>
              <w:tabs>
                <w:tab w:val="left" w:pos="1080"/>
              </w:tabs>
              <w:spacing w:after="0" w:line="480" w:lineRule="auto"/>
              <w:jc w:val="both"/>
            </w:pPr>
            <w:r w:rsidRPr="00F67C5A">
              <w:t>10 Yrs</w:t>
            </w:r>
          </w:p>
        </w:tc>
        <w:tc>
          <w:tcPr>
            <w:tcW w:w="840" w:type="dxa"/>
          </w:tcPr>
          <w:p w:rsidR="00F23557" w:rsidRPr="0018156A" w:rsidRDefault="00F23557" w:rsidP="00E46164">
            <w:pPr>
              <w:tabs>
                <w:tab w:val="left" w:pos="1080"/>
              </w:tabs>
              <w:spacing w:after="0" w:line="480" w:lineRule="auto"/>
              <w:jc w:val="both"/>
            </w:pPr>
            <w:r w:rsidRPr="0018156A">
              <w:t>2.0%</w:t>
            </w:r>
          </w:p>
        </w:tc>
        <w:tc>
          <w:tcPr>
            <w:tcW w:w="1194" w:type="dxa"/>
          </w:tcPr>
          <w:p w:rsidR="00F23557" w:rsidRPr="0018156A" w:rsidRDefault="00F23557" w:rsidP="00E46164">
            <w:pPr>
              <w:tabs>
                <w:tab w:val="left" w:pos="1080"/>
              </w:tabs>
              <w:spacing w:after="0" w:line="480" w:lineRule="auto"/>
              <w:jc w:val="center"/>
            </w:pPr>
            <w:r w:rsidRPr="0018156A">
              <w:t>2.0%</w:t>
            </w:r>
          </w:p>
        </w:tc>
        <w:tc>
          <w:tcPr>
            <w:tcW w:w="1124" w:type="dxa"/>
          </w:tcPr>
          <w:p w:rsidR="00F23557" w:rsidRPr="0018156A" w:rsidRDefault="00F23557" w:rsidP="00E46164">
            <w:pPr>
              <w:tabs>
                <w:tab w:val="left" w:pos="1080"/>
              </w:tabs>
              <w:spacing w:after="0" w:line="480" w:lineRule="auto"/>
              <w:ind w:right="208"/>
              <w:jc w:val="center"/>
            </w:pPr>
            <w:r w:rsidRPr="0018156A">
              <w:t>4.0%</w:t>
            </w:r>
          </w:p>
        </w:tc>
      </w:tr>
      <w:tr w:rsidR="00F23557" w:rsidRPr="0018156A" w:rsidTr="00E46164">
        <w:trPr>
          <w:jc w:val="center"/>
        </w:trPr>
        <w:tc>
          <w:tcPr>
            <w:tcW w:w="3804" w:type="dxa"/>
          </w:tcPr>
          <w:p w:rsidR="00F23557" w:rsidRPr="00F67C5A" w:rsidRDefault="00F23557" w:rsidP="00E46164">
            <w:pPr>
              <w:tabs>
                <w:tab w:val="left" w:pos="1080"/>
              </w:tabs>
              <w:spacing w:after="0" w:line="480" w:lineRule="auto"/>
              <w:ind w:left="72"/>
            </w:pPr>
            <w:r w:rsidRPr="00F67C5A">
              <w:t>Moody’s Analytics</w:t>
            </w:r>
            <w:r w:rsidRPr="00F67C5A">
              <w:rPr>
                <w:vertAlign w:val="superscript"/>
              </w:rPr>
              <w:t>20</w:t>
            </w:r>
          </w:p>
        </w:tc>
        <w:tc>
          <w:tcPr>
            <w:tcW w:w="1293" w:type="dxa"/>
          </w:tcPr>
          <w:p w:rsidR="00F23557" w:rsidRPr="00F67C5A" w:rsidRDefault="00F23557" w:rsidP="00E46164">
            <w:pPr>
              <w:tabs>
                <w:tab w:val="left" w:pos="1080"/>
              </w:tabs>
              <w:spacing w:after="0" w:line="480" w:lineRule="auto"/>
              <w:jc w:val="both"/>
            </w:pPr>
            <w:r w:rsidRPr="00F67C5A">
              <w:t>30 Yrs</w:t>
            </w:r>
          </w:p>
        </w:tc>
        <w:tc>
          <w:tcPr>
            <w:tcW w:w="840" w:type="dxa"/>
          </w:tcPr>
          <w:p w:rsidR="00F23557" w:rsidRPr="0018156A" w:rsidRDefault="00F23557" w:rsidP="00E46164">
            <w:pPr>
              <w:tabs>
                <w:tab w:val="left" w:pos="1080"/>
              </w:tabs>
              <w:spacing w:after="0" w:line="480" w:lineRule="auto"/>
              <w:jc w:val="both"/>
            </w:pPr>
            <w:r w:rsidRPr="0018156A">
              <w:t>2.0%</w:t>
            </w:r>
          </w:p>
        </w:tc>
        <w:tc>
          <w:tcPr>
            <w:tcW w:w="1194" w:type="dxa"/>
          </w:tcPr>
          <w:p w:rsidR="00F23557" w:rsidRPr="0018156A" w:rsidRDefault="00F23557" w:rsidP="00E46164">
            <w:pPr>
              <w:tabs>
                <w:tab w:val="left" w:pos="1080"/>
              </w:tabs>
              <w:spacing w:after="0" w:line="480" w:lineRule="auto"/>
              <w:jc w:val="center"/>
            </w:pPr>
            <w:r w:rsidRPr="0018156A">
              <w:t>2.0%</w:t>
            </w:r>
          </w:p>
        </w:tc>
        <w:tc>
          <w:tcPr>
            <w:tcW w:w="1124" w:type="dxa"/>
          </w:tcPr>
          <w:p w:rsidR="00F23557" w:rsidRPr="0018156A" w:rsidRDefault="00F23557" w:rsidP="00E46164">
            <w:pPr>
              <w:tabs>
                <w:tab w:val="left" w:pos="1080"/>
              </w:tabs>
              <w:spacing w:after="0" w:line="480" w:lineRule="auto"/>
              <w:ind w:right="208"/>
              <w:jc w:val="center"/>
            </w:pPr>
            <w:r w:rsidRPr="0018156A">
              <w:t>4.1%</w:t>
            </w:r>
          </w:p>
        </w:tc>
      </w:tr>
      <w:tr w:rsidR="00F23557" w:rsidRPr="0018156A" w:rsidTr="00E46164">
        <w:trPr>
          <w:jc w:val="center"/>
        </w:trPr>
        <w:tc>
          <w:tcPr>
            <w:tcW w:w="3804" w:type="dxa"/>
          </w:tcPr>
          <w:p w:rsidR="00F23557" w:rsidRPr="00F67C5A" w:rsidRDefault="00F23557" w:rsidP="00E46164">
            <w:pPr>
              <w:tabs>
                <w:tab w:val="left" w:pos="1080"/>
              </w:tabs>
              <w:spacing w:after="0" w:line="480" w:lineRule="auto"/>
              <w:ind w:left="72"/>
            </w:pPr>
            <w:r w:rsidRPr="00F67C5A">
              <w:t>Social Security Administration</w:t>
            </w:r>
            <w:r w:rsidRPr="00F67C5A">
              <w:rPr>
                <w:vertAlign w:val="superscript"/>
              </w:rPr>
              <w:t>21</w:t>
            </w:r>
          </w:p>
        </w:tc>
        <w:tc>
          <w:tcPr>
            <w:tcW w:w="1293" w:type="dxa"/>
          </w:tcPr>
          <w:p w:rsidR="00F23557" w:rsidRPr="00F67C5A" w:rsidRDefault="00F23557" w:rsidP="00E46164">
            <w:pPr>
              <w:tabs>
                <w:tab w:val="left" w:pos="1080"/>
              </w:tabs>
              <w:spacing w:after="0" w:line="480" w:lineRule="auto"/>
              <w:jc w:val="both"/>
            </w:pPr>
            <w:r w:rsidRPr="00F67C5A">
              <w:t>50 Yrs</w:t>
            </w:r>
          </w:p>
        </w:tc>
        <w:tc>
          <w:tcPr>
            <w:tcW w:w="840" w:type="dxa"/>
          </w:tcPr>
          <w:p w:rsidR="00F23557" w:rsidRPr="0018156A" w:rsidRDefault="00F23557" w:rsidP="00E46164">
            <w:pPr>
              <w:tabs>
                <w:tab w:val="left" w:pos="1080"/>
              </w:tabs>
              <w:spacing w:after="0" w:line="480" w:lineRule="auto"/>
              <w:jc w:val="both"/>
            </w:pPr>
          </w:p>
        </w:tc>
        <w:tc>
          <w:tcPr>
            <w:tcW w:w="1194" w:type="dxa"/>
          </w:tcPr>
          <w:p w:rsidR="00F23557" w:rsidRPr="0018156A" w:rsidRDefault="00F23557" w:rsidP="00E46164">
            <w:pPr>
              <w:tabs>
                <w:tab w:val="left" w:pos="1080"/>
              </w:tabs>
              <w:spacing w:after="0" w:line="480" w:lineRule="auto"/>
              <w:jc w:val="center"/>
            </w:pPr>
          </w:p>
        </w:tc>
        <w:tc>
          <w:tcPr>
            <w:tcW w:w="1124" w:type="dxa"/>
          </w:tcPr>
          <w:p w:rsidR="00F23557" w:rsidRPr="0018156A" w:rsidRDefault="00F23557" w:rsidP="00E46164">
            <w:pPr>
              <w:tabs>
                <w:tab w:val="left" w:pos="1080"/>
              </w:tabs>
              <w:spacing w:after="0" w:line="480" w:lineRule="auto"/>
              <w:ind w:right="208"/>
              <w:jc w:val="center"/>
            </w:pPr>
            <w:r w:rsidRPr="0018156A">
              <w:t>4.5%</w:t>
            </w:r>
          </w:p>
        </w:tc>
      </w:tr>
      <w:tr w:rsidR="00F23557" w:rsidRPr="0018156A" w:rsidTr="00E46164">
        <w:trPr>
          <w:jc w:val="center"/>
        </w:trPr>
        <w:tc>
          <w:tcPr>
            <w:tcW w:w="3804" w:type="dxa"/>
          </w:tcPr>
          <w:p w:rsidR="00F23557" w:rsidRPr="00F67C5A" w:rsidRDefault="00F23557" w:rsidP="00E46164">
            <w:pPr>
              <w:tabs>
                <w:tab w:val="left" w:pos="1080"/>
              </w:tabs>
              <w:spacing w:after="0" w:line="480" w:lineRule="auto"/>
              <w:ind w:left="72"/>
            </w:pPr>
            <w:r w:rsidRPr="00F67C5A">
              <w:t>The Economist Intelligence Unit</w:t>
            </w:r>
            <w:r w:rsidRPr="00F67C5A">
              <w:rPr>
                <w:vertAlign w:val="superscript"/>
              </w:rPr>
              <w:t>22</w:t>
            </w:r>
          </w:p>
        </w:tc>
        <w:tc>
          <w:tcPr>
            <w:tcW w:w="1293" w:type="dxa"/>
          </w:tcPr>
          <w:p w:rsidR="00F23557" w:rsidRPr="00F67C5A" w:rsidRDefault="00F23557" w:rsidP="00E46164">
            <w:pPr>
              <w:tabs>
                <w:tab w:val="left" w:pos="1080"/>
              </w:tabs>
              <w:spacing w:after="0" w:line="480" w:lineRule="auto"/>
              <w:jc w:val="both"/>
            </w:pPr>
            <w:r w:rsidRPr="00F67C5A">
              <w:t>35 Yrs</w:t>
            </w:r>
          </w:p>
        </w:tc>
        <w:tc>
          <w:tcPr>
            <w:tcW w:w="840" w:type="dxa"/>
          </w:tcPr>
          <w:p w:rsidR="00F23557" w:rsidRPr="0018156A" w:rsidRDefault="00F23557" w:rsidP="00E46164">
            <w:pPr>
              <w:tabs>
                <w:tab w:val="left" w:pos="1080"/>
              </w:tabs>
              <w:spacing w:after="0" w:line="480" w:lineRule="auto"/>
              <w:jc w:val="both"/>
            </w:pPr>
            <w:r w:rsidRPr="0018156A">
              <w:t>1.9%</w:t>
            </w:r>
          </w:p>
        </w:tc>
        <w:tc>
          <w:tcPr>
            <w:tcW w:w="1194" w:type="dxa"/>
          </w:tcPr>
          <w:p w:rsidR="00F23557" w:rsidRPr="0018156A" w:rsidRDefault="00F23557" w:rsidP="00E46164">
            <w:pPr>
              <w:tabs>
                <w:tab w:val="left" w:pos="1080"/>
              </w:tabs>
              <w:spacing w:after="0" w:line="480" w:lineRule="auto"/>
              <w:jc w:val="center"/>
            </w:pPr>
            <w:r w:rsidRPr="0018156A">
              <w:t>2.0%</w:t>
            </w:r>
          </w:p>
        </w:tc>
        <w:tc>
          <w:tcPr>
            <w:tcW w:w="1124" w:type="dxa"/>
          </w:tcPr>
          <w:p w:rsidR="00F23557" w:rsidRPr="0018156A" w:rsidRDefault="00F23557" w:rsidP="00E46164">
            <w:pPr>
              <w:tabs>
                <w:tab w:val="left" w:pos="1080"/>
              </w:tabs>
              <w:spacing w:after="0" w:line="480" w:lineRule="auto"/>
              <w:ind w:right="208"/>
              <w:jc w:val="center"/>
            </w:pPr>
            <w:r w:rsidRPr="0018156A">
              <w:t>3.9%</w:t>
            </w:r>
          </w:p>
        </w:tc>
      </w:tr>
      <w:tr w:rsidR="00F23557" w:rsidRPr="0018156A" w:rsidTr="00E46164">
        <w:trPr>
          <w:jc w:val="center"/>
        </w:trPr>
        <w:tc>
          <w:tcPr>
            <w:tcW w:w="3804" w:type="dxa"/>
          </w:tcPr>
          <w:p w:rsidR="00F23557" w:rsidRPr="0018156A" w:rsidRDefault="00F23557" w:rsidP="00E46164">
            <w:pPr>
              <w:tabs>
                <w:tab w:val="left" w:pos="1080"/>
              </w:tabs>
              <w:spacing w:after="0"/>
              <w:ind w:left="72"/>
              <w:rPr>
                <w:i/>
              </w:rPr>
            </w:pPr>
            <w:r w:rsidRPr="0018156A">
              <w:rPr>
                <w:i/>
              </w:rPr>
              <w:t>Blue Chip Financial Forecasts</w:t>
            </w:r>
          </w:p>
        </w:tc>
        <w:tc>
          <w:tcPr>
            <w:tcW w:w="1293" w:type="dxa"/>
          </w:tcPr>
          <w:p w:rsidR="00F23557" w:rsidRPr="0018156A" w:rsidRDefault="00F23557" w:rsidP="00E46164">
            <w:pPr>
              <w:tabs>
                <w:tab w:val="left" w:pos="1080"/>
              </w:tabs>
              <w:spacing w:after="0"/>
              <w:jc w:val="both"/>
            </w:pPr>
            <w:r w:rsidRPr="0018156A">
              <w:t>5-10 Yrs</w:t>
            </w:r>
          </w:p>
        </w:tc>
        <w:tc>
          <w:tcPr>
            <w:tcW w:w="840" w:type="dxa"/>
          </w:tcPr>
          <w:p w:rsidR="00F23557" w:rsidRPr="0018156A" w:rsidRDefault="00F23557" w:rsidP="00E46164">
            <w:pPr>
              <w:tabs>
                <w:tab w:val="left" w:pos="1080"/>
              </w:tabs>
              <w:spacing w:after="0"/>
              <w:jc w:val="both"/>
            </w:pPr>
            <w:r w:rsidRPr="0018156A">
              <w:t>2.2%</w:t>
            </w:r>
          </w:p>
        </w:tc>
        <w:tc>
          <w:tcPr>
            <w:tcW w:w="1194" w:type="dxa"/>
          </w:tcPr>
          <w:p w:rsidR="00F23557" w:rsidRPr="0018156A" w:rsidRDefault="00F23557" w:rsidP="00E46164">
            <w:pPr>
              <w:tabs>
                <w:tab w:val="left" w:pos="1080"/>
              </w:tabs>
              <w:spacing w:after="0"/>
              <w:jc w:val="center"/>
            </w:pPr>
            <w:r w:rsidRPr="0018156A">
              <w:t>2.1%</w:t>
            </w:r>
          </w:p>
        </w:tc>
        <w:tc>
          <w:tcPr>
            <w:tcW w:w="1124" w:type="dxa"/>
          </w:tcPr>
          <w:p w:rsidR="00F23557" w:rsidRPr="0018156A" w:rsidRDefault="00F23557" w:rsidP="00E46164">
            <w:pPr>
              <w:tabs>
                <w:tab w:val="left" w:pos="1080"/>
              </w:tabs>
              <w:spacing w:after="0"/>
              <w:ind w:left="74" w:right="208"/>
              <w:jc w:val="center"/>
            </w:pPr>
            <w:r w:rsidRPr="0018156A">
              <w:t>4.3%</w:t>
            </w:r>
          </w:p>
        </w:tc>
      </w:tr>
      <w:tr w:rsidR="00F23557" w:rsidRPr="0018156A" w:rsidTr="00E46164">
        <w:trPr>
          <w:jc w:val="center"/>
        </w:trPr>
        <w:tc>
          <w:tcPr>
            <w:tcW w:w="3804" w:type="dxa"/>
          </w:tcPr>
          <w:p w:rsidR="00F23557" w:rsidRPr="0018156A" w:rsidRDefault="00F23557" w:rsidP="00E46164">
            <w:pPr>
              <w:tabs>
                <w:tab w:val="left" w:pos="1080"/>
              </w:tabs>
              <w:spacing w:after="0"/>
              <w:ind w:left="72"/>
              <w:rPr>
                <w:i/>
              </w:rPr>
            </w:pPr>
          </w:p>
        </w:tc>
        <w:tc>
          <w:tcPr>
            <w:tcW w:w="1293" w:type="dxa"/>
          </w:tcPr>
          <w:p w:rsidR="00F23557" w:rsidRPr="0018156A" w:rsidRDefault="00F23557" w:rsidP="00E46164">
            <w:pPr>
              <w:tabs>
                <w:tab w:val="left" w:pos="1080"/>
              </w:tabs>
              <w:spacing w:after="0"/>
              <w:jc w:val="both"/>
            </w:pPr>
          </w:p>
        </w:tc>
        <w:tc>
          <w:tcPr>
            <w:tcW w:w="840" w:type="dxa"/>
          </w:tcPr>
          <w:p w:rsidR="00F23557" w:rsidRPr="0018156A" w:rsidRDefault="00F23557" w:rsidP="00E46164">
            <w:pPr>
              <w:tabs>
                <w:tab w:val="left" w:pos="1080"/>
              </w:tabs>
              <w:spacing w:after="0"/>
              <w:jc w:val="both"/>
            </w:pPr>
          </w:p>
        </w:tc>
        <w:tc>
          <w:tcPr>
            <w:tcW w:w="1194" w:type="dxa"/>
          </w:tcPr>
          <w:p w:rsidR="00F23557" w:rsidRPr="0018156A" w:rsidRDefault="00F23557" w:rsidP="00E46164">
            <w:pPr>
              <w:tabs>
                <w:tab w:val="left" w:pos="1080"/>
              </w:tabs>
              <w:spacing w:after="0"/>
              <w:jc w:val="center"/>
            </w:pPr>
          </w:p>
        </w:tc>
        <w:tc>
          <w:tcPr>
            <w:tcW w:w="1124" w:type="dxa"/>
          </w:tcPr>
          <w:p w:rsidR="00F23557" w:rsidRPr="0018156A" w:rsidRDefault="00F23557" w:rsidP="00E46164">
            <w:pPr>
              <w:tabs>
                <w:tab w:val="left" w:pos="1080"/>
              </w:tabs>
              <w:spacing w:after="0"/>
              <w:ind w:left="74" w:right="208"/>
              <w:jc w:val="center"/>
            </w:pPr>
          </w:p>
        </w:tc>
      </w:tr>
    </w:tbl>
    <w:p w:rsidR="00F23557" w:rsidRPr="0018156A" w:rsidRDefault="00F23557" w:rsidP="00F23557">
      <w:pPr>
        <w:suppressLineNumbers/>
        <w:tabs>
          <w:tab w:val="left" w:pos="1080"/>
        </w:tabs>
        <w:autoSpaceDE w:val="0"/>
        <w:autoSpaceDN w:val="0"/>
        <w:spacing w:after="0"/>
        <w:ind w:left="720" w:hanging="720"/>
        <w:jc w:val="both"/>
        <w:rPr>
          <w:rFonts w:cs="Arial"/>
        </w:rPr>
      </w:pPr>
    </w:p>
    <w:p w:rsidR="00F23557" w:rsidRPr="0018156A" w:rsidRDefault="00F23557" w:rsidP="00F23557">
      <w:pPr>
        <w:tabs>
          <w:tab w:val="left" w:pos="1440"/>
        </w:tabs>
        <w:spacing w:after="0" w:line="480" w:lineRule="auto"/>
        <w:ind w:left="720" w:hanging="720"/>
        <w:jc w:val="both"/>
        <w:rPr>
          <w:rFonts w:cs="Arial"/>
        </w:rPr>
      </w:pPr>
      <w:r>
        <w:rPr>
          <w:rFonts w:cs="Arial"/>
        </w:rPr>
        <w:tab/>
      </w:r>
      <w:r>
        <w:rPr>
          <w:rFonts w:cs="Arial"/>
        </w:rPr>
        <w:tab/>
      </w:r>
      <w:r w:rsidRPr="0018156A">
        <w:rPr>
          <w:rFonts w:cs="Arial"/>
        </w:rPr>
        <w:t xml:space="preserve">The EIA in its </w:t>
      </w:r>
      <w:r w:rsidRPr="0018156A">
        <w:rPr>
          <w:rFonts w:cs="Arial"/>
          <w:i/>
        </w:rPr>
        <w:t>Annual Energy Outlook</w:t>
      </w:r>
      <w:r w:rsidRPr="0018156A">
        <w:rPr>
          <w:rFonts w:cs="Arial"/>
        </w:rPr>
        <w:t xml:space="preserve"> projects real GDP out until 2040.  In its 2015 Annual Report, the EIA projects real GDP through 2040 to be in the range of </w:t>
      </w:r>
      <w:r w:rsidRPr="0018156A">
        <w:rPr>
          <w:rFonts w:cs="Arial"/>
        </w:rPr>
        <w:lastRenderedPageBreak/>
        <w:t>1.8% to 2.9% with a midpoint or reference case of 2.4% and a long-term GDP price inflation projection of 1.8%.  The EIA data supports a long-term nominal GDP growth outlook of 4.2%.</w:t>
      </w:r>
      <w:r w:rsidRPr="001D39D7">
        <w:rPr>
          <w:rFonts w:cs="Arial"/>
          <w:u w:val="single"/>
          <w:vertAlign w:val="superscript"/>
        </w:rPr>
        <w:footnoteReference w:id="18"/>
      </w:r>
      <w:r w:rsidRPr="00A26064">
        <w:rPr>
          <w:rFonts w:cs="Arial"/>
          <w:color w:val="000000"/>
          <w:vertAlign w:val="superscript"/>
        </w:rPr>
        <w:t>/</w:t>
      </w:r>
      <w:r w:rsidRPr="0018156A">
        <w:rPr>
          <w:rFonts w:cs="Arial"/>
        </w:rPr>
        <w:t xml:space="preserve">  </w:t>
      </w:r>
    </w:p>
    <w:p w:rsidR="00F23557" w:rsidRPr="0018156A" w:rsidRDefault="00F23557" w:rsidP="00F23557">
      <w:pPr>
        <w:tabs>
          <w:tab w:val="left" w:pos="1440"/>
        </w:tabs>
        <w:spacing w:after="0" w:line="480" w:lineRule="auto"/>
        <w:ind w:left="720" w:hanging="720"/>
        <w:jc w:val="both"/>
        <w:rPr>
          <w:rFonts w:cs="Arial"/>
        </w:rPr>
      </w:pPr>
      <w:r w:rsidRPr="0018156A">
        <w:rPr>
          <w:rFonts w:cs="Arial"/>
        </w:rPr>
        <w:tab/>
      </w:r>
      <w:r w:rsidRPr="0018156A">
        <w:rPr>
          <w:rFonts w:cs="Arial"/>
        </w:rPr>
        <w:tab/>
        <w:t xml:space="preserve">Also, the Congressional Budget Office (“CBO”) makes long-term economic projections.  The CBO is projecting real GDP growth to be 2.0% during the </w:t>
      </w:r>
      <w:bookmarkStart w:id="208" w:name="_BPDCI110"/>
      <w:r w:rsidRPr="0018156A">
        <w:rPr>
          <w:rFonts w:cs="Arial"/>
        </w:rPr>
        <w:t xml:space="preserve">next </w:t>
      </w:r>
      <w:bookmarkStart w:id="209" w:name="_BPDCI108"/>
      <w:bookmarkEnd w:id="208"/>
      <w:r w:rsidRPr="0018156A">
        <w:rPr>
          <w:rFonts w:cs="Arial"/>
        </w:rPr>
        <w:t>10 years</w:t>
      </w:r>
      <w:bookmarkEnd w:id="209"/>
      <w:r w:rsidRPr="0018156A">
        <w:rPr>
          <w:rFonts w:cs="Arial"/>
        </w:rPr>
        <w:t xml:space="preserve"> with a GDP price inflation outlook of 2.0%.</w:t>
      </w:r>
      <w:r w:rsidRPr="001D39D7">
        <w:rPr>
          <w:rFonts w:cs="Arial"/>
          <w:u w:val="single"/>
          <w:vertAlign w:val="superscript"/>
        </w:rPr>
        <w:footnoteReference w:id="19"/>
      </w:r>
      <w:proofErr w:type="gramStart"/>
      <w:r w:rsidRPr="00A26064">
        <w:rPr>
          <w:rFonts w:cs="Arial"/>
          <w:color w:val="000000"/>
          <w:vertAlign w:val="superscript"/>
        </w:rPr>
        <w:t>/</w:t>
      </w:r>
      <w:r w:rsidRPr="0018156A">
        <w:rPr>
          <w:rFonts w:cs="Arial"/>
        </w:rPr>
        <w:t xml:space="preserve">  The</w:t>
      </w:r>
      <w:proofErr w:type="gramEnd"/>
      <w:r w:rsidRPr="0018156A">
        <w:rPr>
          <w:rFonts w:cs="Arial"/>
        </w:rPr>
        <w:t xml:space="preserve"> CBO 10-year outlook for nominal GDP based on this projection is 4.0%.</w:t>
      </w:r>
    </w:p>
    <w:p w:rsidR="00F23557" w:rsidRPr="0018156A" w:rsidRDefault="00F23557" w:rsidP="00F23557">
      <w:pPr>
        <w:tabs>
          <w:tab w:val="left" w:pos="1440"/>
        </w:tabs>
        <w:spacing w:after="0" w:line="480" w:lineRule="auto"/>
        <w:ind w:left="720" w:hanging="720"/>
        <w:jc w:val="both"/>
        <w:rPr>
          <w:rFonts w:cs="Arial"/>
        </w:rPr>
      </w:pPr>
      <w:r w:rsidRPr="0018156A">
        <w:rPr>
          <w:rFonts w:cs="Arial"/>
        </w:rPr>
        <w:tab/>
      </w:r>
      <w:r w:rsidRPr="0018156A">
        <w:rPr>
          <w:rFonts w:cs="Arial"/>
        </w:rPr>
        <w:tab/>
        <w:t>Moody’s Analytics also makes long-term economic projections.  In its recent 30-year outlook to 2045, Moody’s Analytics is projecting real GDP growth of 2.0% with GDP inflation of 2.0%.</w:t>
      </w:r>
      <w:r w:rsidRPr="001D39D7">
        <w:rPr>
          <w:rFonts w:cs="Arial"/>
          <w:u w:val="single"/>
          <w:vertAlign w:val="superscript"/>
        </w:rPr>
        <w:footnoteReference w:id="20"/>
      </w:r>
      <w:proofErr w:type="gramStart"/>
      <w:r w:rsidRPr="00A26064">
        <w:rPr>
          <w:rFonts w:cs="Arial"/>
          <w:color w:val="000000"/>
          <w:vertAlign w:val="superscript"/>
        </w:rPr>
        <w:t>/</w:t>
      </w:r>
      <w:r w:rsidRPr="0018156A">
        <w:rPr>
          <w:rFonts w:cs="Arial"/>
        </w:rPr>
        <w:t xml:space="preserve">  Based</w:t>
      </w:r>
      <w:proofErr w:type="gramEnd"/>
      <w:r w:rsidRPr="0018156A">
        <w:rPr>
          <w:rFonts w:cs="Arial"/>
        </w:rPr>
        <w:t xml:space="preserve"> on these projections, Moody’s is projecting nominal GDP growth of 4.1% over the next 30 years.</w:t>
      </w:r>
    </w:p>
    <w:p w:rsidR="00F23557" w:rsidRPr="0018156A" w:rsidRDefault="00F23557" w:rsidP="00F23557">
      <w:pPr>
        <w:tabs>
          <w:tab w:val="left" w:pos="1440"/>
        </w:tabs>
        <w:spacing w:after="0" w:line="480" w:lineRule="auto"/>
        <w:ind w:left="720" w:hanging="720"/>
        <w:jc w:val="both"/>
        <w:rPr>
          <w:rFonts w:cs="Arial"/>
        </w:rPr>
      </w:pPr>
      <w:r w:rsidRPr="0018156A">
        <w:rPr>
          <w:rFonts w:cs="Arial"/>
        </w:rPr>
        <w:tab/>
      </w:r>
      <w:r w:rsidRPr="0018156A">
        <w:rPr>
          <w:rFonts w:cs="Arial"/>
        </w:rPr>
        <w:tab/>
        <w:t>The Social Security Administration (“SSA”) makes long-term economic projections out to 2090.  The SSA’s nominal GDP projection, under its intermediate cost scenario of 50 years, is 4.5%.</w:t>
      </w:r>
      <w:r w:rsidRPr="001D39D7">
        <w:rPr>
          <w:rFonts w:cs="Arial"/>
          <w:u w:val="single"/>
          <w:vertAlign w:val="superscript"/>
        </w:rPr>
        <w:footnoteReference w:id="21"/>
      </w:r>
      <w:proofErr w:type="gramStart"/>
      <w:r w:rsidRPr="00A26064">
        <w:rPr>
          <w:rFonts w:cs="Arial"/>
          <w:color w:val="000000"/>
          <w:vertAlign w:val="superscript"/>
        </w:rPr>
        <w:t>/</w:t>
      </w:r>
      <w:r w:rsidRPr="0018156A">
        <w:rPr>
          <w:rFonts w:cs="Arial"/>
          <w:vertAlign w:val="superscript"/>
        </w:rPr>
        <w:t xml:space="preserve"> </w:t>
      </w:r>
      <w:r w:rsidRPr="0018156A">
        <w:rPr>
          <w:rFonts w:cs="Arial"/>
        </w:rPr>
        <w:t xml:space="preserve"> This</w:t>
      </w:r>
      <w:proofErr w:type="gramEnd"/>
      <w:r w:rsidRPr="0018156A">
        <w:rPr>
          <w:rFonts w:cs="Arial"/>
        </w:rPr>
        <w:t xml:space="preserve"> projection is in line with the consensus economists. </w:t>
      </w:r>
    </w:p>
    <w:p w:rsidR="00F23557" w:rsidRPr="0018156A" w:rsidRDefault="00F23557" w:rsidP="00F23557">
      <w:pPr>
        <w:tabs>
          <w:tab w:val="left" w:pos="1440"/>
        </w:tabs>
        <w:spacing w:after="0" w:line="480" w:lineRule="auto"/>
        <w:ind w:left="720" w:hanging="720"/>
        <w:jc w:val="both"/>
        <w:rPr>
          <w:rFonts w:cs="Arial"/>
        </w:rPr>
      </w:pPr>
      <w:r w:rsidRPr="0018156A">
        <w:rPr>
          <w:rFonts w:eastAsia="Calibri" w:cs="Arial"/>
        </w:rPr>
        <w:tab/>
      </w:r>
      <w:r w:rsidRPr="0018156A">
        <w:rPr>
          <w:rFonts w:eastAsia="Calibri" w:cs="Arial"/>
        </w:rPr>
        <w:tab/>
        <w:t xml:space="preserve">The Economist Intelligence Unit, a division of </w:t>
      </w:r>
      <w:r w:rsidRPr="0018156A">
        <w:rPr>
          <w:rFonts w:eastAsia="Calibri" w:cs="Arial"/>
          <w:i/>
        </w:rPr>
        <w:t>The Economist</w:t>
      </w:r>
      <w:r w:rsidRPr="0018156A">
        <w:rPr>
          <w:rFonts w:eastAsia="Calibri" w:cs="Arial"/>
        </w:rPr>
        <w:t xml:space="preserve"> and a third-party data provider to SNL Financial, makes a long-term economic projection out to 2050.</w:t>
      </w:r>
      <w:r w:rsidRPr="001D39D7">
        <w:rPr>
          <w:rFonts w:eastAsia="Calibri" w:cs="Arial"/>
          <w:u w:val="single"/>
          <w:vertAlign w:val="superscript"/>
        </w:rPr>
        <w:footnoteReference w:id="22"/>
      </w:r>
      <w:proofErr w:type="gramStart"/>
      <w:r w:rsidRPr="00A26064">
        <w:rPr>
          <w:rFonts w:cs="Arial"/>
          <w:color w:val="000000"/>
          <w:vertAlign w:val="superscript"/>
        </w:rPr>
        <w:t>/</w:t>
      </w:r>
      <w:r w:rsidRPr="0018156A">
        <w:rPr>
          <w:rFonts w:eastAsia="Calibri" w:cs="Arial"/>
        </w:rPr>
        <w:t xml:space="preserve">  The</w:t>
      </w:r>
      <w:proofErr w:type="gramEnd"/>
      <w:r w:rsidRPr="0018156A">
        <w:rPr>
          <w:rFonts w:eastAsia="Calibri" w:cs="Arial"/>
        </w:rPr>
        <w:t xml:space="preserve"> Economist Intelligence Unit is projecting real GDP growth of 1.9% with an inflation rate of 2.0% out to 2050.  The real GDP growth projection is in line with the </w:t>
      </w:r>
      <w:r w:rsidRPr="0018156A">
        <w:rPr>
          <w:rFonts w:eastAsia="Calibri" w:cs="Arial"/>
        </w:rPr>
        <w:lastRenderedPageBreak/>
        <w:t>consensus economists.  The long-term nominal GDP projection based on these outlooks is approximately 3.9%.</w:t>
      </w:r>
    </w:p>
    <w:p w:rsidR="00F23557" w:rsidRPr="0018156A" w:rsidRDefault="00F23557" w:rsidP="00F23557">
      <w:pPr>
        <w:tabs>
          <w:tab w:val="left" w:pos="1440"/>
        </w:tabs>
        <w:spacing w:after="0" w:line="480" w:lineRule="auto"/>
        <w:ind w:left="720" w:hanging="720"/>
        <w:jc w:val="both"/>
        <w:rPr>
          <w:rFonts w:cs="Arial"/>
        </w:rPr>
      </w:pPr>
      <w:r w:rsidRPr="0018156A">
        <w:rPr>
          <w:rFonts w:cs="Arial"/>
        </w:rPr>
        <w:tab/>
      </w:r>
      <w:r w:rsidRPr="0018156A">
        <w:rPr>
          <w:rFonts w:cs="Arial"/>
        </w:rPr>
        <w:tab/>
        <w:t>The real GDP and nominal GDP growth projections made by these independent sources support the use of the consensus economist 5-year and 10-year projected GDP growth outlooks as a reasonable estimate of market participants’ long</w:t>
      </w:r>
      <w:r w:rsidRPr="0018156A">
        <w:rPr>
          <w:rFonts w:cs="Arial"/>
        </w:rPr>
        <w:noBreakHyphen/>
        <w:t>term GDP growth outlooks.</w:t>
      </w:r>
    </w:p>
    <w:p w:rsidR="00F23557" w:rsidRPr="0018156A" w:rsidRDefault="00F23557" w:rsidP="00F23557">
      <w:pPr>
        <w:tabs>
          <w:tab w:val="left" w:pos="1440"/>
        </w:tabs>
        <w:ind w:left="720" w:hanging="720"/>
        <w:jc w:val="both"/>
        <w:rPr>
          <w:b/>
        </w:rPr>
      </w:pPr>
      <w:r w:rsidRPr="0018156A">
        <w:rPr>
          <w:b/>
        </w:rPr>
        <w:t>Q</w:t>
      </w:r>
      <w:r>
        <w:rPr>
          <w:b/>
        </w:rPr>
        <w:t>.</w:t>
      </w:r>
      <w:r w:rsidRPr="0018156A">
        <w:rPr>
          <w:b/>
        </w:rPr>
        <w:tab/>
        <w:t>WHAT STOCK PRICE, DIVIDEND, AND GROWTH RATES DID YOU USE IN YOUR MULTI-STAGE GROWTH DCF ANALYSIS?</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rPr>
          <w:b/>
        </w:rPr>
        <w:tab/>
      </w:r>
      <w:r w:rsidRPr="0018156A">
        <w:t xml:space="preserve">I relied on the same 13-week average stock prices and the most recent quarterly dividend payment </w:t>
      </w:r>
      <w:bookmarkStart w:id="210" w:name="_BPDCI104"/>
      <w:r w:rsidRPr="0018156A">
        <w:t xml:space="preserve">data </w:t>
      </w:r>
      <w:bookmarkEnd w:id="210"/>
      <w:r w:rsidRPr="0018156A">
        <w:t>discussed above.  For stage one growth, I used the consensus analysts’ growth rate projections discussed above in my constant growth DCF model.  The first stage growth covers the first five years, consistent with the term of the analyst growth rate projections.  The second stage, or transition stage, begins in year 6 and extends through year 10.  The second stage growth transitions the growth rate from the first stage to the third stage using a linear trend.  For the third stage, or long</w:t>
      </w:r>
      <w:r w:rsidRPr="0018156A">
        <w:noBreakHyphen/>
        <w:t>term sustainable growth stage, starting in year 11, I used a 4.35% long-term sustainable growth rate based on the consensus economists’ long-term projected nominal GDP growth rate.</w:t>
      </w:r>
    </w:p>
    <w:p w:rsidR="00F23557" w:rsidRPr="0018156A" w:rsidRDefault="00F23557" w:rsidP="00F23557">
      <w:pPr>
        <w:tabs>
          <w:tab w:val="left" w:pos="1440"/>
        </w:tabs>
        <w:ind w:left="720" w:hanging="720"/>
        <w:jc w:val="both"/>
        <w:rPr>
          <w:b/>
        </w:rPr>
      </w:pPr>
      <w:r w:rsidRPr="0018156A">
        <w:rPr>
          <w:b/>
        </w:rPr>
        <w:t>Q</w:t>
      </w:r>
      <w:r>
        <w:rPr>
          <w:b/>
        </w:rPr>
        <w:t>.</w:t>
      </w:r>
      <w:r w:rsidRPr="0018156A">
        <w:rPr>
          <w:b/>
        </w:rPr>
        <w:tab/>
      </w:r>
      <w:r w:rsidRPr="00230FEB">
        <w:rPr>
          <w:rFonts w:eastAsia="Times New Roman"/>
          <w:b/>
          <w:szCs w:val="24"/>
        </w:rPr>
        <w:t>WHAT</w:t>
      </w:r>
      <w:r w:rsidRPr="0018156A">
        <w:rPr>
          <w:b/>
        </w:rPr>
        <w:t xml:space="preserve"> ARE THE RESULTS OF YOUR MULTI-STAGE GROWTH DCF MODEL?</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rPr>
          <w:b/>
        </w:rPr>
        <w:tab/>
      </w:r>
      <w:r w:rsidRPr="0018156A">
        <w:t xml:space="preserve">As </w:t>
      </w:r>
      <w:r w:rsidRPr="00F67C5A">
        <w:t xml:space="preserve">shown in </w:t>
      </w:r>
      <w:r w:rsidRPr="00F67C5A">
        <w:rPr>
          <w:rFonts w:eastAsia="Times New Roman"/>
          <w:szCs w:val="24"/>
        </w:rPr>
        <w:t>Exhibit No</w:t>
      </w:r>
      <w:proofErr w:type="gramStart"/>
      <w:r w:rsidRPr="00F67C5A">
        <w:rPr>
          <w:rFonts w:eastAsia="Times New Roman"/>
          <w:szCs w:val="24"/>
        </w:rPr>
        <w:t xml:space="preserve">. </w:t>
      </w:r>
      <w:proofErr w:type="gramEnd"/>
      <w:r w:rsidRPr="00F67C5A">
        <w:rPr>
          <w:rFonts w:eastAsia="Times New Roman"/>
          <w:szCs w:val="24"/>
        </w:rPr>
        <w:t>MPG-12</w:t>
      </w:r>
      <w:r w:rsidRPr="00F67C5A">
        <w:t>, the</w:t>
      </w:r>
      <w:r w:rsidRPr="0018156A">
        <w:t xml:space="preserve"> average and median DCF returns on equity for my proxy group using the 13-week average stock price are </w:t>
      </w:r>
      <w:r>
        <w:t>7.79</w:t>
      </w:r>
      <w:r w:rsidRPr="0018156A">
        <w:t xml:space="preserve">% and </w:t>
      </w:r>
      <w:r>
        <w:t>7.91</w:t>
      </w:r>
      <w:r w:rsidRPr="0018156A">
        <w:t xml:space="preserve">%, respectively.  </w:t>
      </w:r>
    </w:p>
    <w:p w:rsidR="00F23557" w:rsidRPr="0018156A" w:rsidRDefault="00F23557" w:rsidP="00F23557">
      <w:pPr>
        <w:keepNext/>
        <w:keepLines/>
        <w:tabs>
          <w:tab w:val="left" w:pos="1440"/>
        </w:tabs>
        <w:ind w:left="720" w:hanging="720"/>
        <w:jc w:val="both"/>
        <w:rPr>
          <w:b/>
        </w:rPr>
      </w:pPr>
      <w:r w:rsidRPr="0018156A">
        <w:rPr>
          <w:b/>
        </w:rPr>
        <w:t>Q</w:t>
      </w:r>
      <w:r>
        <w:rPr>
          <w:b/>
        </w:rPr>
        <w:t>.</w:t>
      </w:r>
      <w:r w:rsidRPr="0018156A">
        <w:rPr>
          <w:b/>
        </w:rPr>
        <w:tab/>
        <w:t>PLEASE SUMMARIZE THE RESULTS FROM YOUR DCF ANALYSES.</w:t>
      </w:r>
    </w:p>
    <w:p w:rsidR="00F23557" w:rsidRPr="00873AE8" w:rsidRDefault="00F23557" w:rsidP="00F23557">
      <w:pPr>
        <w:tabs>
          <w:tab w:val="left" w:pos="1440"/>
        </w:tabs>
        <w:spacing w:line="480" w:lineRule="auto"/>
        <w:ind w:left="720" w:hanging="720"/>
        <w:jc w:val="both"/>
      </w:pPr>
      <w:r w:rsidRPr="00272C05">
        <w:rPr>
          <w:rFonts w:eastAsia="Times New Roman"/>
          <w:b/>
          <w:szCs w:val="24"/>
        </w:rPr>
        <w:t>A.</w:t>
      </w:r>
      <w:r w:rsidRPr="0018156A">
        <w:tab/>
        <w:t xml:space="preserve">The results from my DCF analyses are summarized in </w:t>
      </w:r>
      <w:r w:rsidRPr="00873AE8">
        <w:t>Table 5 below:</w:t>
      </w:r>
    </w:p>
    <w:tbl>
      <w:tblPr>
        <w:tblW w:w="8054" w:type="dxa"/>
        <w:tblInd w:w="936" w:type="dxa"/>
        <w:tblBorders>
          <w:top w:val="single" w:sz="4" w:space="0" w:color="auto"/>
          <w:left w:val="single" w:sz="4" w:space="0" w:color="auto"/>
          <w:bottom w:val="single" w:sz="4" w:space="0" w:color="auto"/>
          <w:right w:val="single" w:sz="4" w:space="0" w:color="auto"/>
        </w:tblBorders>
        <w:tblLayout w:type="fixed"/>
        <w:tblLook w:val="00A0"/>
      </w:tblPr>
      <w:tblGrid>
        <w:gridCol w:w="5490"/>
        <w:gridCol w:w="1207"/>
        <w:gridCol w:w="1357"/>
      </w:tblGrid>
      <w:tr w:rsidR="00F23557" w:rsidRPr="0018156A" w:rsidTr="00E46164">
        <w:trPr>
          <w:trHeight w:val="20"/>
        </w:trPr>
        <w:tc>
          <w:tcPr>
            <w:tcW w:w="8054" w:type="dxa"/>
            <w:gridSpan w:val="3"/>
            <w:vAlign w:val="center"/>
          </w:tcPr>
          <w:p w:rsidR="00F23557" w:rsidRPr="00873AE8" w:rsidRDefault="00F23557" w:rsidP="00E46164">
            <w:pPr>
              <w:keepNext/>
              <w:tabs>
                <w:tab w:val="left" w:pos="1080"/>
              </w:tabs>
              <w:spacing w:after="0"/>
              <w:ind w:left="720" w:hanging="720"/>
              <w:jc w:val="center"/>
              <w:rPr>
                <w:b/>
              </w:rPr>
            </w:pPr>
          </w:p>
          <w:p w:rsidR="00F23557" w:rsidRPr="00873AE8" w:rsidRDefault="00F23557" w:rsidP="00E46164">
            <w:pPr>
              <w:keepNext/>
              <w:tabs>
                <w:tab w:val="left" w:pos="1080"/>
              </w:tabs>
              <w:spacing w:after="0"/>
              <w:ind w:left="720" w:hanging="720"/>
              <w:jc w:val="center"/>
              <w:rPr>
                <w:b/>
              </w:rPr>
            </w:pPr>
            <w:r w:rsidRPr="00873AE8">
              <w:rPr>
                <w:b/>
              </w:rPr>
              <w:t>TABLE 5</w:t>
            </w:r>
          </w:p>
          <w:p w:rsidR="00F23557" w:rsidRPr="00873AE8" w:rsidRDefault="00F23557" w:rsidP="00E46164">
            <w:pPr>
              <w:keepNext/>
              <w:tabs>
                <w:tab w:val="left" w:pos="1080"/>
              </w:tabs>
              <w:spacing w:after="0"/>
              <w:ind w:left="720" w:hanging="720"/>
              <w:jc w:val="center"/>
              <w:rPr>
                <w:b/>
              </w:rPr>
            </w:pPr>
          </w:p>
          <w:p w:rsidR="00F23557" w:rsidRPr="0018156A" w:rsidRDefault="00F23557" w:rsidP="00E46164">
            <w:pPr>
              <w:keepNext/>
              <w:tabs>
                <w:tab w:val="left" w:pos="1080"/>
              </w:tabs>
              <w:spacing w:after="0"/>
              <w:ind w:left="720" w:hanging="720"/>
              <w:jc w:val="center"/>
              <w:rPr>
                <w:b/>
                <w:u w:val="single"/>
              </w:rPr>
            </w:pPr>
            <w:r w:rsidRPr="00873AE8">
              <w:rPr>
                <w:b/>
                <w:u w:val="single"/>
              </w:rPr>
              <w:t>Summary of DCF Results</w:t>
            </w:r>
          </w:p>
          <w:p w:rsidR="00F23557" w:rsidRPr="0018156A" w:rsidRDefault="00F23557" w:rsidP="00E46164">
            <w:pPr>
              <w:keepNext/>
              <w:tabs>
                <w:tab w:val="left" w:pos="1080"/>
              </w:tabs>
              <w:spacing w:after="0"/>
              <w:ind w:left="720" w:hanging="720"/>
              <w:jc w:val="center"/>
              <w:rPr>
                <w:b/>
              </w:rPr>
            </w:pPr>
          </w:p>
        </w:tc>
      </w:tr>
      <w:tr w:rsidR="00F23557" w:rsidRPr="0018156A" w:rsidTr="00E46164">
        <w:trPr>
          <w:trHeight w:val="20"/>
        </w:trPr>
        <w:tc>
          <w:tcPr>
            <w:tcW w:w="5490" w:type="dxa"/>
            <w:vAlign w:val="center"/>
          </w:tcPr>
          <w:p w:rsidR="00F23557" w:rsidRPr="0018156A" w:rsidRDefault="00F23557" w:rsidP="00E46164">
            <w:pPr>
              <w:keepNext/>
              <w:tabs>
                <w:tab w:val="left" w:pos="1080"/>
              </w:tabs>
              <w:spacing w:after="0"/>
              <w:ind w:left="687" w:hanging="525"/>
              <w:rPr>
                <w:b/>
                <w:u w:val="single"/>
              </w:rPr>
            </w:pPr>
          </w:p>
        </w:tc>
        <w:tc>
          <w:tcPr>
            <w:tcW w:w="2564" w:type="dxa"/>
            <w:gridSpan w:val="2"/>
            <w:vAlign w:val="center"/>
          </w:tcPr>
          <w:p w:rsidR="00F23557" w:rsidRPr="0018156A" w:rsidRDefault="00F23557" w:rsidP="00E46164">
            <w:pPr>
              <w:keepNext/>
              <w:tabs>
                <w:tab w:val="left" w:pos="1080"/>
              </w:tabs>
              <w:spacing w:after="0"/>
              <w:ind w:hanging="9"/>
              <w:rPr>
                <w:b/>
                <w:u w:val="single"/>
              </w:rPr>
            </w:pPr>
            <w:r w:rsidRPr="0018156A">
              <w:rPr>
                <w:b/>
              </w:rPr>
              <w:t> </w:t>
            </w:r>
            <w:r w:rsidRPr="0018156A">
              <w:rPr>
                <w:b/>
                <w:u w:val="single"/>
              </w:rPr>
              <w:t>       Proxy Group      </w:t>
            </w:r>
          </w:p>
        </w:tc>
      </w:tr>
      <w:tr w:rsidR="00F23557" w:rsidRPr="0018156A" w:rsidTr="00E46164">
        <w:trPr>
          <w:trHeight w:val="20"/>
        </w:trPr>
        <w:tc>
          <w:tcPr>
            <w:tcW w:w="5490" w:type="dxa"/>
            <w:vAlign w:val="center"/>
          </w:tcPr>
          <w:p w:rsidR="00F23557" w:rsidRPr="0018156A" w:rsidRDefault="00F23557" w:rsidP="00E46164">
            <w:pPr>
              <w:keepNext/>
              <w:tabs>
                <w:tab w:val="left" w:pos="1080"/>
              </w:tabs>
              <w:spacing w:after="0"/>
              <w:ind w:left="687" w:hanging="525"/>
              <w:rPr>
                <w:b/>
                <w:u w:val="single"/>
              </w:rPr>
            </w:pPr>
            <w:r w:rsidRPr="0018156A">
              <w:rPr>
                <w:b/>
                <w:u w:val="single"/>
              </w:rPr>
              <w:t>                         Description                                    </w:t>
            </w:r>
          </w:p>
        </w:tc>
        <w:tc>
          <w:tcPr>
            <w:tcW w:w="1207" w:type="dxa"/>
            <w:vAlign w:val="center"/>
          </w:tcPr>
          <w:p w:rsidR="00F23557" w:rsidRPr="0018156A" w:rsidRDefault="00F23557" w:rsidP="00E46164">
            <w:pPr>
              <w:keepNext/>
              <w:tabs>
                <w:tab w:val="left" w:pos="1080"/>
              </w:tabs>
              <w:spacing w:after="0"/>
              <w:ind w:left="720" w:hanging="720"/>
              <w:jc w:val="center"/>
              <w:rPr>
                <w:b/>
                <w:u w:val="single"/>
              </w:rPr>
            </w:pPr>
            <w:r w:rsidRPr="0018156A">
              <w:rPr>
                <w:b/>
                <w:u w:val="single"/>
              </w:rPr>
              <w:t>Average</w:t>
            </w:r>
          </w:p>
        </w:tc>
        <w:tc>
          <w:tcPr>
            <w:tcW w:w="1357" w:type="dxa"/>
            <w:vAlign w:val="center"/>
          </w:tcPr>
          <w:p w:rsidR="00F23557" w:rsidRPr="0018156A" w:rsidRDefault="00F23557" w:rsidP="00E46164">
            <w:pPr>
              <w:keepNext/>
              <w:tabs>
                <w:tab w:val="left" w:pos="1080"/>
              </w:tabs>
              <w:spacing w:after="0"/>
              <w:ind w:left="720" w:hanging="720"/>
              <w:jc w:val="center"/>
              <w:rPr>
                <w:b/>
                <w:u w:val="single"/>
              </w:rPr>
            </w:pPr>
            <w:r w:rsidRPr="0018156A">
              <w:rPr>
                <w:b/>
                <w:u w:val="single"/>
              </w:rPr>
              <w:t>Median</w:t>
            </w:r>
          </w:p>
        </w:tc>
      </w:tr>
      <w:tr w:rsidR="00F23557" w:rsidRPr="0018156A" w:rsidTr="00E46164">
        <w:trPr>
          <w:trHeight w:val="20"/>
        </w:trPr>
        <w:tc>
          <w:tcPr>
            <w:tcW w:w="5490" w:type="dxa"/>
            <w:vAlign w:val="center"/>
          </w:tcPr>
          <w:p w:rsidR="00F23557" w:rsidRPr="0018156A" w:rsidRDefault="00F23557" w:rsidP="00E46164">
            <w:pPr>
              <w:keepNext/>
              <w:tabs>
                <w:tab w:val="left" w:pos="1080"/>
              </w:tabs>
              <w:spacing w:after="0"/>
              <w:ind w:left="687" w:hanging="525"/>
              <w:rPr>
                <w:b/>
                <w:u w:val="single"/>
              </w:rPr>
            </w:pPr>
          </w:p>
        </w:tc>
        <w:tc>
          <w:tcPr>
            <w:tcW w:w="1207" w:type="dxa"/>
            <w:vAlign w:val="center"/>
          </w:tcPr>
          <w:p w:rsidR="00F23557" w:rsidRPr="0018156A" w:rsidRDefault="00F23557" w:rsidP="00E46164">
            <w:pPr>
              <w:keepNext/>
              <w:tabs>
                <w:tab w:val="left" w:pos="1080"/>
              </w:tabs>
              <w:spacing w:after="0"/>
              <w:ind w:left="720" w:hanging="720"/>
              <w:jc w:val="center"/>
              <w:rPr>
                <w:b/>
                <w:u w:val="single"/>
              </w:rPr>
            </w:pPr>
          </w:p>
        </w:tc>
        <w:tc>
          <w:tcPr>
            <w:tcW w:w="1357" w:type="dxa"/>
            <w:vAlign w:val="center"/>
          </w:tcPr>
          <w:p w:rsidR="00F23557" w:rsidRPr="0018156A" w:rsidRDefault="00F23557" w:rsidP="00E46164">
            <w:pPr>
              <w:keepNext/>
              <w:tabs>
                <w:tab w:val="left" w:pos="1080"/>
              </w:tabs>
              <w:spacing w:after="0"/>
              <w:ind w:left="720" w:hanging="720"/>
              <w:jc w:val="center"/>
              <w:rPr>
                <w:b/>
                <w:u w:val="single"/>
              </w:rPr>
            </w:pPr>
          </w:p>
        </w:tc>
      </w:tr>
      <w:tr w:rsidR="00F23557" w:rsidRPr="0018156A" w:rsidTr="00E46164">
        <w:trPr>
          <w:trHeight w:val="144"/>
        </w:trPr>
        <w:tc>
          <w:tcPr>
            <w:tcW w:w="5490" w:type="dxa"/>
          </w:tcPr>
          <w:p w:rsidR="00F23557" w:rsidRPr="0018156A" w:rsidRDefault="00F23557" w:rsidP="00E46164">
            <w:pPr>
              <w:keepNext/>
              <w:tabs>
                <w:tab w:val="left" w:pos="1080"/>
              </w:tabs>
              <w:spacing w:after="0" w:line="480" w:lineRule="auto"/>
              <w:ind w:left="878" w:hanging="720"/>
              <w:jc w:val="both"/>
            </w:pPr>
            <w:r w:rsidRPr="0018156A">
              <w:t>Constant Growth DCF Model (Analysts’ Growth)</w:t>
            </w:r>
          </w:p>
        </w:tc>
        <w:tc>
          <w:tcPr>
            <w:tcW w:w="1207" w:type="dxa"/>
          </w:tcPr>
          <w:p w:rsidR="00F23557" w:rsidRPr="0018156A" w:rsidRDefault="00F23557" w:rsidP="00E46164">
            <w:pPr>
              <w:keepNext/>
              <w:tabs>
                <w:tab w:val="left" w:pos="1080"/>
              </w:tabs>
              <w:spacing w:after="0" w:line="480" w:lineRule="auto"/>
              <w:ind w:left="720" w:hanging="720"/>
              <w:jc w:val="center"/>
              <w:rPr>
                <w:bCs/>
              </w:rPr>
            </w:pPr>
            <w:r w:rsidRPr="0018156A">
              <w:rPr>
                <w:bCs/>
              </w:rPr>
              <w:t>8.</w:t>
            </w:r>
            <w:r>
              <w:rPr>
                <w:bCs/>
              </w:rPr>
              <w:t>66</w:t>
            </w:r>
            <w:r w:rsidRPr="0018156A">
              <w:rPr>
                <w:bCs/>
              </w:rPr>
              <w:t>%</w:t>
            </w:r>
          </w:p>
        </w:tc>
        <w:tc>
          <w:tcPr>
            <w:tcW w:w="1357" w:type="dxa"/>
          </w:tcPr>
          <w:p w:rsidR="00F23557" w:rsidRPr="0018156A" w:rsidRDefault="00F23557" w:rsidP="00E46164">
            <w:pPr>
              <w:keepNext/>
              <w:tabs>
                <w:tab w:val="left" w:pos="1080"/>
              </w:tabs>
              <w:spacing w:after="0" w:line="480" w:lineRule="auto"/>
              <w:ind w:left="720" w:hanging="720"/>
              <w:jc w:val="center"/>
              <w:rPr>
                <w:bCs/>
              </w:rPr>
            </w:pPr>
            <w:r>
              <w:rPr>
                <w:bCs/>
              </w:rPr>
              <w:t>8.73</w:t>
            </w:r>
            <w:r w:rsidRPr="0018156A">
              <w:rPr>
                <w:bCs/>
              </w:rPr>
              <w:t>%</w:t>
            </w:r>
          </w:p>
        </w:tc>
      </w:tr>
      <w:tr w:rsidR="00F23557" w:rsidRPr="0018156A" w:rsidTr="00E46164">
        <w:trPr>
          <w:trHeight w:val="144"/>
        </w:trPr>
        <w:tc>
          <w:tcPr>
            <w:tcW w:w="5490" w:type="dxa"/>
          </w:tcPr>
          <w:p w:rsidR="00F23557" w:rsidRPr="0018156A" w:rsidRDefault="00F23557" w:rsidP="00E46164">
            <w:pPr>
              <w:keepNext/>
              <w:tabs>
                <w:tab w:val="left" w:pos="1080"/>
              </w:tabs>
              <w:spacing w:after="0" w:line="480" w:lineRule="auto"/>
              <w:ind w:left="882" w:hanging="720"/>
              <w:jc w:val="both"/>
            </w:pPr>
            <w:r w:rsidRPr="0018156A">
              <w:t>Constant Growth DCF Model (Sustainable Growth)</w:t>
            </w:r>
          </w:p>
        </w:tc>
        <w:tc>
          <w:tcPr>
            <w:tcW w:w="1207" w:type="dxa"/>
          </w:tcPr>
          <w:p w:rsidR="00F23557" w:rsidRPr="0018156A" w:rsidRDefault="00F23557" w:rsidP="00E46164">
            <w:pPr>
              <w:keepNext/>
              <w:tabs>
                <w:tab w:val="left" w:pos="1080"/>
              </w:tabs>
              <w:spacing w:after="0" w:line="480" w:lineRule="auto"/>
              <w:ind w:left="720" w:hanging="720"/>
              <w:jc w:val="center"/>
              <w:rPr>
                <w:bCs/>
              </w:rPr>
            </w:pPr>
            <w:r>
              <w:rPr>
                <w:bCs/>
              </w:rPr>
              <w:t>7.77</w:t>
            </w:r>
            <w:r w:rsidRPr="0018156A">
              <w:rPr>
                <w:bCs/>
              </w:rPr>
              <w:t>%</w:t>
            </w:r>
          </w:p>
        </w:tc>
        <w:tc>
          <w:tcPr>
            <w:tcW w:w="1357" w:type="dxa"/>
          </w:tcPr>
          <w:p w:rsidR="00F23557" w:rsidRPr="0018156A" w:rsidRDefault="00F23557" w:rsidP="00E46164">
            <w:pPr>
              <w:keepNext/>
              <w:tabs>
                <w:tab w:val="left" w:pos="1080"/>
              </w:tabs>
              <w:spacing w:after="0" w:line="480" w:lineRule="auto"/>
              <w:ind w:left="720" w:hanging="720"/>
              <w:jc w:val="center"/>
              <w:rPr>
                <w:bCs/>
              </w:rPr>
            </w:pPr>
            <w:r>
              <w:rPr>
                <w:bCs/>
              </w:rPr>
              <w:t>7.43</w:t>
            </w:r>
            <w:r w:rsidRPr="0018156A">
              <w:rPr>
                <w:bCs/>
              </w:rPr>
              <w:t>%</w:t>
            </w:r>
          </w:p>
        </w:tc>
      </w:tr>
      <w:tr w:rsidR="00F23557" w:rsidRPr="0018156A" w:rsidTr="00E46164">
        <w:trPr>
          <w:trHeight w:val="144"/>
        </w:trPr>
        <w:tc>
          <w:tcPr>
            <w:tcW w:w="5490" w:type="dxa"/>
          </w:tcPr>
          <w:p w:rsidR="00F23557" w:rsidRPr="0018156A" w:rsidRDefault="00F23557" w:rsidP="00E46164">
            <w:pPr>
              <w:keepNext/>
              <w:tabs>
                <w:tab w:val="left" w:pos="1080"/>
              </w:tabs>
              <w:spacing w:after="0" w:line="480" w:lineRule="auto"/>
              <w:ind w:left="882" w:hanging="720"/>
              <w:jc w:val="both"/>
              <w:rPr>
                <w:b/>
              </w:rPr>
            </w:pPr>
            <w:r w:rsidRPr="0018156A">
              <w:t>Multi-Stage Growth DCF Model</w:t>
            </w:r>
          </w:p>
        </w:tc>
        <w:tc>
          <w:tcPr>
            <w:tcW w:w="1207" w:type="dxa"/>
          </w:tcPr>
          <w:p w:rsidR="00F23557" w:rsidRPr="0018156A" w:rsidRDefault="00F23557" w:rsidP="00E46164">
            <w:pPr>
              <w:keepNext/>
              <w:tabs>
                <w:tab w:val="left" w:pos="1080"/>
              </w:tabs>
              <w:spacing w:after="0" w:line="480" w:lineRule="auto"/>
              <w:ind w:left="720" w:hanging="720"/>
              <w:jc w:val="center"/>
              <w:rPr>
                <w:bCs/>
                <w:u w:val="single"/>
              </w:rPr>
            </w:pPr>
            <w:r>
              <w:rPr>
                <w:bCs/>
                <w:u w:val="single"/>
              </w:rPr>
              <w:t>7.79</w:t>
            </w:r>
            <w:r w:rsidRPr="0018156A">
              <w:rPr>
                <w:bCs/>
                <w:u w:val="single"/>
              </w:rPr>
              <w:t>%</w:t>
            </w:r>
          </w:p>
        </w:tc>
        <w:tc>
          <w:tcPr>
            <w:tcW w:w="1357" w:type="dxa"/>
          </w:tcPr>
          <w:p w:rsidR="00F23557" w:rsidRPr="0018156A" w:rsidRDefault="00F23557" w:rsidP="00E46164">
            <w:pPr>
              <w:keepNext/>
              <w:tabs>
                <w:tab w:val="left" w:pos="1080"/>
              </w:tabs>
              <w:spacing w:after="0" w:line="480" w:lineRule="auto"/>
              <w:ind w:left="720" w:hanging="720"/>
              <w:jc w:val="center"/>
              <w:rPr>
                <w:bCs/>
                <w:u w:val="single"/>
              </w:rPr>
            </w:pPr>
            <w:r>
              <w:rPr>
                <w:bCs/>
                <w:u w:val="single"/>
              </w:rPr>
              <w:t>7.91</w:t>
            </w:r>
            <w:r w:rsidRPr="0018156A">
              <w:rPr>
                <w:bCs/>
                <w:u w:val="single"/>
              </w:rPr>
              <w:t>%</w:t>
            </w:r>
          </w:p>
        </w:tc>
      </w:tr>
      <w:tr w:rsidR="00F23557" w:rsidRPr="0018156A" w:rsidTr="00E46164">
        <w:trPr>
          <w:trHeight w:val="144"/>
        </w:trPr>
        <w:tc>
          <w:tcPr>
            <w:tcW w:w="5490" w:type="dxa"/>
          </w:tcPr>
          <w:p w:rsidR="00F23557" w:rsidRPr="0018156A" w:rsidRDefault="00F23557" w:rsidP="00E46164">
            <w:pPr>
              <w:keepNext/>
              <w:tabs>
                <w:tab w:val="left" w:pos="1080"/>
              </w:tabs>
              <w:spacing w:after="0" w:line="480" w:lineRule="auto"/>
              <w:ind w:left="882" w:hanging="720"/>
              <w:jc w:val="both"/>
            </w:pPr>
            <w:r w:rsidRPr="0018156A">
              <w:t xml:space="preserve">     Average</w:t>
            </w:r>
          </w:p>
        </w:tc>
        <w:tc>
          <w:tcPr>
            <w:tcW w:w="1207" w:type="dxa"/>
          </w:tcPr>
          <w:p w:rsidR="00F23557" w:rsidRPr="0018156A" w:rsidRDefault="00F23557" w:rsidP="00E46164">
            <w:pPr>
              <w:keepNext/>
              <w:tabs>
                <w:tab w:val="left" w:pos="1080"/>
              </w:tabs>
              <w:spacing w:after="0" w:line="480" w:lineRule="auto"/>
              <w:ind w:left="720" w:hanging="720"/>
              <w:jc w:val="center"/>
              <w:rPr>
                <w:bCs/>
              </w:rPr>
            </w:pPr>
            <w:r>
              <w:rPr>
                <w:bCs/>
              </w:rPr>
              <w:t>8.07</w:t>
            </w:r>
            <w:r w:rsidRPr="0018156A">
              <w:rPr>
                <w:bCs/>
              </w:rPr>
              <w:t>%</w:t>
            </w:r>
          </w:p>
        </w:tc>
        <w:tc>
          <w:tcPr>
            <w:tcW w:w="1357" w:type="dxa"/>
          </w:tcPr>
          <w:p w:rsidR="00F23557" w:rsidRPr="0018156A" w:rsidRDefault="00F23557" w:rsidP="00E46164">
            <w:pPr>
              <w:keepNext/>
              <w:tabs>
                <w:tab w:val="left" w:pos="1080"/>
              </w:tabs>
              <w:spacing w:after="0" w:line="480" w:lineRule="auto"/>
              <w:ind w:left="720" w:hanging="720"/>
              <w:jc w:val="center"/>
              <w:rPr>
                <w:bCs/>
              </w:rPr>
            </w:pPr>
            <w:r w:rsidRPr="0018156A">
              <w:rPr>
                <w:bCs/>
              </w:rPr>
              <w:t>8.0</w:t>
            </w:r>
            <w:r>
              <w:rPr>
                <w:bCs/>
              </w:rPr>
              <w:t>2</w:t>
            </w:r>
            <w:r w:rsidRPr="0018156A">
              <w:rPr>
                <w:bCs/>
              </w:rPr>
              <w:t>%</w:t>
            </w:r>
          </w:p>
        </w:tc>
      </w:tr>
    </w:tbl>
    <w:p w:rsidR="00F23557" w:rsidRPr="0018156A" w:rsidRDefault="00F23557" w:rsidP="00F23557">
      <w:pPr>
        <w:suppressLineNumbers/>
        <w:tabs>
          <w:tab w:val="left" w:pos="1080"/>
        </w:tabs>
        <w:spacing w:after="0"/>
        <w:ind w:left="720" w:hanging="720"/>
        <w:jc w:val="both"/>
      </w:pPr>
      <w:r w:rsidRPr="0018156A">
        <w:tab/>
      </w:r>
      <w:r w:rsidRPr="0018156A">
        <w:tab/>
      </w:r>
    </w:p>
    <w:p w:rsidR="00F23557" w:rsidRPr="0018156A" w:rsidRDefault="00F23557" w:rsidP="00F23557">
      <w:pPr>
        <w:tabs>
          <w:tab w:val="left" w:pos="1440"/>
        </w:tabs>
        <w:spacing w:line="480" w:lineRule="auto"/>
        <w:ind w:left="720" w:hanging="720"/>
        <w:jc w:val="both"/>
      </w:pPr>
      <w:r w:rsidRPr="0018156A">
        <w:tab/>
      </w:r>
      <w:r w:rsidRPr="0018156A">
        <w:tab/>
        <w:t>I concluded my DCF studies support a return on equity of 8.</w:t>
      </w:r>
      <w:r>
        <w:t>7</w:t>
      </w:r>
      <w:r w:rsidRPr="0018156A">
        <w:t>%, primarily based on my constant growth DCF result, which I find as a reasonable high</w:t>
      </w:r>
      <w:r w:rsidRPr="0018156A">
        <w:noBreakHyphen/>
        <w:t>end DCF return estimate.</w:t>
      </w:r>
    </w:p>
    <w:p w:rsidR="00F23557" w:rsidRPr="0018156A" w:rsidRDefault="00F23557" w:rsidP="00F23557">
      <w:pPr>
        <w:pStyle w:val="Heading1"/>
        <w:tabs>
          <w:tab w:val="left" w:pos="1440"/>
        </w:tabs>
      </w:pPr>
      <w:bookmarkStart w:id="211" w:name="_Toc393285053"/>
      <w:bookmarkStart w:id="212" w:name="_Toc394736482"/>
      <w:bookmarkStart w:id="213" w:name="_Toc402509731"/>
      <w:bookmarkStart w:id="214" w:name="_Toc405535363"/>
      <w:bookmarkStart w:id="215" w:name="_Toc414118683"/>
      <w:bookmarkStart w:id="216" w:name="_Toc415559766"/>
      <w:bookmarkStart w:id="217" w:name="_Toc421885249"/>
      <w:bookmarkStart w:id="218" w:name="_Toc424565052"/>
      <w:bookmarkStart w:id="219" w:name="_Toc436160508"/>
      <w:bookmarkStart w:id="220" w:name="_Toc441820280"/>
      <w:bookmarkStart w:id="221" w:name="_Toc452467728"/>
      <w:bookmarkStart w:id="222" w:name="_Toc456345619"/>
      <w:bookmarkStart w:id="223" w:name="_Toc457315619"/>
      <w:bookmarkStart w:id="224" w:name="_Toc458774160"/>
      <w:r>
        <w:t>III</w:t>
      </w:r>
      <w:r w:rsidRPr="0018156A">
        <w:t>.E</w:t>
      </w:r>
      <w:proofErr w:type="gramStart"/>
      <w:r w:rsidRPr="0018156A">
        <w:t>.  Risk</w:t>
      </w:r>
      <w:proofErr w:type="gramEnd"/>
      <w:r w:rsidRPr="0018156A">
        <w:t xml:space="preserve"> Premium Model</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F23557" w:rsidRPr="0018156A" w:rsidRDefault="00F23557" w:rsidP="00F23557">
      <w:pPr>
        <w:tabs>
          <w:tab w:val="left" w:pos="1440"/>
        </w:tabs>
        <w:ind w:left="720" w:hanging="720"/>
        <w:jc w:val="both"/>
        <w:rPr>
          <w:b/>
        </w:rPr>
      </w:pPr>
      <w:r w:rsidRPr="0018156A">
        <w:rPr>
          <w:b/>
        </w:rPr>
        <w:t>Q</w:t>
      </w:r>
      <w:r>
        <w:rPr>
          <w:b/>
        </w:rPr>
        <w:t>.</w:t>
      </w:r>
      <w:r w:rsidRPr="0018156A">
        <w:rPr>
          <w:b/>
        </w:rPr>
        <w:tab/>
      </w:r>
      <w:r w:rsidRPr="00230FEB">
        <w:rPr>
          <w:rFonts w:eastAsia="Times New Roman"/>
          <w:b/>
          <w:szCs w:val="24"/>
        </w:rPr>
        <w:t>PLEASE</w:t>
      </w:r>
      <w:r w:rsidRPr="0018156A">
        <w:rPr>
          <w:b/>
        </w:rPr>
        <w:t xml:space="preserve"> DESCRIBE YOUR BOND YIELD PLUS RISK PREMIUM MODEL.</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rPr>
          <w:b/>
        </w:rPr>
        <w:tab/>
      </w:r>
      <w:r w:rsidRPr="0018156A">
        <w:t xml:space="preserve">This model is based on the principle investors require a higher return to assume greater risk.  Common equity investments have greater risk than bonds because bonds have more security of payment in bankruptcy proceedings than common equity and the coupon payments on bonds represent contractual obligations.  In contrast, companies are not required to pay dividends or guarantee returns on common equity investments.  Therefore, common equity securities are considered to be riskier than bond securities.  </w:t>
      </w:r>
    </w:p>
    <w:p w:rsidR="00F23557" w:rsidRPr="0018156A" w:rsidRDefault="00F23557" w:rsidP="00F23557">
      <w:pPr>
        <w:tabs>
          <w:tab w:val="left" w:pos="1440"/>
        </w:tabs>
        <w:spacing w:after="0" w:line="480" w:lineRule="auto"/>
        <w:ind w:left="720" w:hanging="720"/>
        <w:jc w:val="both"/>
      </w:pPr>
      <w:r w:rsidRPr="0018156A">
        <w:tab/>
      </w:r>
      <w:r w:rsidRPr="0018156A">
        <w:tab/>
        <w:t xml:space="preserve">This risk premium model is based on two estimates of an equity risk premium.  First, I estimated the difference between the required return on utility common equity investments and U.S. Treasury bonds.  The difference between the required return on </w:t>
      </w:r>
      <w:r w:rsidRPr="0018156A">
        <w:lastRenderedPageBreak/>
        <w:t xml:space="preserve">common equity and the Treasury bond yield is the risk premium.  I estimated the risk premium on an annual basis for each year over the period January 1986 through </w:t>
      </w:r>
      <w:r>
        <w:t>June</w:t>
      </w:r>
      <w:r w:rsidRPr="0018156A">
        <w:t xml:space="preserve"> 2016.  The common equity required returns were based on regulatory commission-authorized returns for electric utility companies.  Authorized returns are typically based on expert witnesses’ estimates of the contemporary investor-required return.  </w:t>
      </w:r>
    </w:p>
    <w:p w:rsidR="00F23557" w:rsidRPr="00F67C5A" w:rsidRDefault="00F23557" w:rsidP="00F23557">
      <w:pPr>
        <w:tabs>
          <w:tab w:val="left" w:pos="1440"/>
        </w:tabs>
        <w:spacing w:after="0" w:line="480" w:lineRule="auto"/>
        <w:ind w:left="720" w:hanging="720"/>
        <w:jc w:val="both"/>
      </w:pPr>
      <w:r w:rsidRPr="0018156A">
        <w:tab/>
      </w:r>
      <w:r w:rsidRPr="0018156A">
        <w:tab/>
        <w:t xml:space="preserve">The second equity risk premium </w:t>
      </w:r>
      <w:bookmarkStart w:id="225" w:name="_BPDCI97"/>
      <w:r w:rsidRPr="0018156A">
        <w:t xml:space="preserve">estimate </w:t>
      </w:r>
      <w:bookmarkEnd w:id="225"/>
      <w:r w:rsidRPr="0018156A">
        <w:t xml:space="preserve">is based on the difference between regulatory commission-authorized returns on common equity and contemporary “A” rated utility bond yields by Moody’s.  </w:t>
      </w:r>
      <w:bookmarkStart w:id="226" w:name="_BPDCI95"/>
      <w:r w:rsidRPr="0018156A">
        <w:t xml:space="preserve">I </w:t>
      </w:r>
      <w:bookmarkEnd w:id="226"/>
      <w:r w:rsidRPr="0018156A">
        <w:t xml:space="preserve">selected the period January 1986 through </w:t>
      </w:r>
      <w:bookmarkStart w:id="227" w:name="_BPDCI92"/>
      <w:r>
        <w:t>June</w:t>
      </w:r>
      <w:r w:rsidRPr="0018156A">
        <w:t xml:space="preserve"> 2016 because </w:t>
      </w:r>
      <w:bookmarkEnd w:id="227"/>
      <w:r w:rsidRPr="0018156A">
        <w:t>public utility stocks consistently traded at a premium to book value</w:t>
      </w:r>
      <w:bookmarkStart w:id="228" w:name="_BPDCI89"/>
      <w:r w:rsidRPr="0018156A">
        <w:t xml:space="preserve"> during that period.  </w:t>
      </w:r>
      <w:bookmarkEnd w:id="228"/>
      <w:r w:rsidRPr="0018156A">
        <w:t xml:space="preserve">This is </w:t>
      </w:r>
      <w:r w:rsidRPr="00F67C5A">
        <w:t xml:space="preserve">illustrated in </w:t>
      </w:r>
      <w:r w:rsidRPr="00F67C5A">
        <w:rPr>
          <w:rFonts w:eastAsia="Times New Roman"/>
          <w:szCs w:val="24"/>
        </w:rPr>
        <w:t>Exhibit No</w:t>
      </w:r>
      <w:proofErr w:type="gramStart"/>
      <w:r w:rsidRPr="00F67C5A">
        <w:rPr>
          <w:rFonts w:eastAsia="Times New Roman"/>
          <w:szCs w:val="24"/>
        </w:rPr>
        <w:t xml:space="preserve">. </w:t>
      </w:r>
      <w:proofErr w:type="gramEnd"/>
      <w:r w:rsidRPr="00F67C5A">
        <w:rPr>
          <w:rFonts w:eastAsia="Times New Roman"/>
          <w:szCs w:val="24"/>
        </w:rPr>
        <w:t>MPG-13</w:t>
      </w:r>
      <w:r w:rsidRPr="00F67C5A">
        <w:t xml:space="preserve">, </w:t>
      </w:r>
      <w:bookmarkStart w:id="229" w:name="_BPDCI87"/>
      <w:r w:rsidRPr="00F67C5A">
        <w:t xml:space="preserve">which shows </w:t>
      </w:r>
      <w:bookmarkEnd w:id="229"/>
      <w:r w:rsidRPr="00F67C5A">
        <w:t>the market-to-book ratio since 1986 for the electric utility industry was consistently above a multiple of 1.0x.  Over this period, regulatory authorized returns were sufficient to support market prices that at least exceeded book value.</w:t>
      </w:r>
      <w:bookmarkStart w:id="230" w:name="_BPDCI84"/>
      <w:r w:rsidRPr="00F67C5A">
        <w:t xml:space="preserve">  </w:t>
      </w:r>
      <w:bookmarkEnd w:id="230"/>
      <w:r w:rsidRPr="00F67C5A">
        <w:t>This is an indication that regulatory authorized returns on common equity supported a utility’s ability to issue additional common stock</w:t>
      </w:r>
      <w:bookmarkStart w:id="231" w:name="_BPDCI80"/>
      <w:r w:rsidRPr="00F67C5A">
        <w:t xml:space="preserve"> </w:t>
      </w:r>
      <w:bookmarkEnd w:id="231"/>
      <w:r w:rsidRPr="00F67C5A">
        <w:t xml:space="preserve">without diluting existing shares.  It further demonstrates utilities were able to access equity markets without a detrimental impact on current shareholders.  </w:t>
      </w:r>
    </w:p>
    <w:p w:rsidR="00F23557" w:rsidRPr="00F67C5A" w:rsidRDefault="00F23557" w:rsidP="00F23557">
      <w:pPr>
        <w:tabs>
          <w:tab w:val="left" w:pos="1440"/>
        </w:tabs>
        <w:spacing w:after="0" w:line="480" w:lineRule="auto"/>
        <w:ind w:left="720" w:hanging="720"/>
        <w:jc w:val="both"/>
        <w:rPr>
          <w:rFonts w:cs="Arial"/>
        </w:rPr>
      </w:pPr>
      <w:r w:rsidRPr="00F67C5A">
        <w:tab/>
      </w:r>
      <w:r w:rsidRPr="00F67C5A">
        <w:tab/>
      </w:r>
      <w:r w:rsidRPr="00F67C5A">
        <w:rPr>
          <w:rFonts w:cs="Arial"/>
        </w:rPr>
        <w:t xml:space="preserve">Based on this analysis, as shown in </w:t>
      </w:r>
      <w:r w:rsidRPr="00F67C5A">
        <w:rPr>
          <w:rFonts w:eastAsia="Times New Roman"/>
          <w:szCs w:val="24"/>
        </w:rPr>
        <w:t>Exhibit No</w:t>
      </w:r>
      <w:proofErr w:type="gramStart"/>
      <w:r w:rsidRPr="00F67C5A">
        <w:rPr>
          <w:rFonts w:eastAsia="Times New Roman"/>
          <w:szCs w:val="24"/>
        </w:rPr>
        <w:t xml:space="preserve">. </w:t>
      </w:r>
      <w:proofErr w:type="gramEnd"/>
      <w:r w:rsidRPr="00F67C5A">
        <w:rPr>
          <w:rFonts w:eastAsia="Times New Roman"/>
          <w:szCs w:val="24"/>
        </w:rPr>
        <w:t>MPG-14</w:t>
      </w:r>
      <w:r w:rsidRPr="00F67C5A">
        <w:rPr>
          <w:rFonts w:cs="Arial"/>
        </w:rPr>
        <w:t xml:space="preserve">, the average indicated equity risk premium over U.S. Treasury bond yields has been 5.46%.  Since the risk premium can vary depending upon market conditions and changing investor risk perceptions, I believe using an estimated range of risk premiums provides the best method to measure the current return on common equity for a risk premium methodology.  </w:t>
      </w:r>
    </w:p>
    <w:p w:rsidR="00F23557" w:rsidRPr="00F67C5A" w:rsidRDefault="00F23557" w:rsidP="00F23557">
      <w:pPr>
        <w:tabs>
          <w:tab w:val="left" w:pos="1440"/>
        </w:tabs>
        <w:spacing w:after="0" w:line="480" w:lineRule="auto"/>
        <w:ind w:left="720" w:hanging="720"/>
        <w:jc w:val="both"/>
        <w:rPr>
          <w:rFonts w:cs="Arial"/>
        </w:rPr>
      </w:pPr>
      <w:r w:rsidRPr="00F67C5A">
        <w:rPr>
          <w:rFonts w:cs="Arial"/>
        </w:rPr>
        <w:lastRenderedPageBreak/>
        <w:tab/>
      </w:r>
      <w:r w:rsidRPr="00F67C5A">
        <w:rPr>
          <w:rFonts w:cs="Arial"/>
        </w:rPr>
        <w:tab/>
        <w:t xml:space="preserve">I incorporated five-year and 10-year rolling average risk premiums over the study period to gauge the variability over time of risk premiums.  These rolling average risk premiums mitigate the impact of anomalous market conditions and skewed risk premiums over an entire business cycle.  As shown on my </w:t>
      </w:r>
      <w:r w:rsidRPr="00F67C5A">
        <w:rPr>
          <w:rFonts w:eastAsia="Times New Roman"/>
          <w:szCs w:val="24"/>
        </w:rPr>
        <w:t>Exhibit No</w:t>
      </w:r>
      <w:proofErr w:type="gramStart"/>
      <w:r w:rsidRPr="00F67C5A">
        <w:rPr>
          <w:rFonts w:eastAsia="Times New Roman"/>
          <w:szCs w:val="24"/>
        </w:rPr>
        <w:t xml:space="preserve">. </w:t>
      </w:r>
      <w:proofErr w:type="gramEnd"/>
      <w:r w:rsidRPr="00F67C5A">
        <w:rPr>
          <w:rFonts w:eastAsia="Times New Roman"/>
          <w:szCs w:val="24"/>
        </w:rPr>
        <w:t>MPG-14</w:t>
      </w:r>
      <w:r w:rsidRPr="00F67C5A">
        <w:rPr>
          <w:rFonts w:cs="Arial"/>
        </w:rPr>
        <w:t>, the five-year rolling average risk premium over Treasury bonds ranged from 4.25% to 6.70%, while the 10-year rolling average risk premium ranged from 4.38% to 6.38%.</w:t>
      </w:r>
    </w:p>
    <w:p w:rsidR="00F23557" w:rsidRPr="00F67C5A" w:rsidRDefault="00F23557" w:rsidP="00F23557">
      <w:pPr>
        <w:tabs>
          <w:tab w:val="left" w:pos="1440"/>
        </w:tabs>
        <w:spacing w:after="0" w:line="480" w:lineRule="auto"/>
        <w:ind w:left="720" w:hanging="720"/>
        <w:jc w:val="both"/>
      </w:pPr>
      <w:r w:rsidRPr="00F67C5A">
        <w:rPr>
          <w:rFonts w:cs="Arial"/>
        </w:rPr>
        <w:tab/>
      </w:r>
      <w:r w:rsidRPr="00F67C5A">
        <w:rPr>
          <w:rFonts w:cs="Arial"/>
        </w:rPr>
        <w:tab/>
        <w:t xml:space="preserve">As shown on my </w:t>
      </w:r>
      <w:r w:rsidRPr="00F67C5A">
        <w:rPr>
          <w:rFonts w:eastAsia="Times New Roman"/>
          <w:szCs w:val="24"/>
        </w:rPr>
        <w:t>Exhibit No</w:t>
      </w:r>
      <w:proofErr w:type="gramStart"/>
      <w:r w:rsidRPr="00F67C5A">
        <w:rPr>
          <w:rFonts w:eastAsia="Times New Roman"/>
          <w:szCs w:val="24"/>
        </w:rPr>
        <w:t xml:space="preserve">. </w:t>
      </w:r>
      <w:proofErr w:type="gramEnd"/>
      <w:r w:rsidRPr="00F67C5A">
        <w:rPr>
          <w:rFonts w:eastAsia="Times New Roman"/>
          <w:szCs w:val="24"/>
        </w:rPr>
        <w:t>MPG-15</w:t>
      </w:r>
      <w:r w:rsidRPr="00F67C5A">
        <w:rPr>
          <w:rFonts w:cs="Arial"/>
        </w:rPr>
        <w:t xml:space="preserve">, the average indicated equity risk premium over contemporary Moody’s utility bond yields was 4.08%.  The five-year and 10-year rolling average risk premiums ranged from 2.88% to 5.53% and 3.20% to 5.02%, respectively. </w:t>
      </w:r>
      <w:r w:rsidRPr="00F67C5A">
        <w:t xml:space="preserve">   </w:t>
      </w:r>
    </w:p>
    <w:p w:rsidR="00F23557" w:rsidRPr="00F67C5A" w:rsidRDefault="00F23557" w:rsidP="00F23557">
      <w:pPr>
        <w:tabs>
          <w:tab w:val="left" w:pos="1440"/>
        </w:tabs>
        <w:ind w:left="720" w:hanging="720"/>
        <w:jc w:val="both"/>
        <w:rPr>
          <w:b/>
        </w:rPr>
      </w:pPr>
      <w:r w:rsidRPr="00F67C5A">
        <w:rPr>
          <w:b/>
        </w:rPr>
        <w:t>Q.</w:t>
      </w:r>
      <w:r w:rsidRPr="00F67C5A">
        <w:rPr>
          <w:b/>
        </w:rPr>
        <w:tab/>
        <w:t>DO YOU BELIEVE THAT THE TIME PERIOD USED TO DERIVE THESE EQUITY RISK PREMIUM ESTIMATES IS APPROPRIATE TO FORM ACCURATE CONCLUSIONS ABOUT CONTEMPORARY MARKET CONDITIONS?</w:t>
      </w:r>
    </w:p>
    <w:p w:rsidR="00F23557" w:rsidRPr="00F67C5A" w:rsidRDefault="00F23557" w:rsidP="00F23557">
      <w:pPr>
        <w:tabs>
          <w:tab w:val="left" w:pos="1440"/>
        </w:tabs>
        <w:spacing w:after="0" w:line="480" w:lineRule="auto"/>
        <w:ind w:left="720" w:hanging="720"/>
        <w:jc w:val="both"/>
      </w:pPr>
      <w:r w:rsidRPr="00F67C5A">
        <w:rPr>
          <w:rFonts w:eastAsia="Times New Roman"/>
          <w:b/>
          <w:szCs w:val="24"/>
        </w:rPr>
        <w:t>A.</w:t>
      </w:r>
      <w:r w:rsidRPr="00F67C5A">
        <w:tab/>
        <w:t xml:space="preserve">Yes.  </w:t>
      </w:r>
      <w:bookmarkStart w:id="232" w:name="_BPDCD78"/>
      <w:r w:rsidRPr="00F67C5A">
        <w:t xml:space="preserve">The time period I use in this risk premium study is a generally accepted period </w:t>
      </w:r>
      <w:bookmarkStart w:id="233" w:name="_BPDCD69"/>
      <w:r w:rsidRPr="00F67C5A">
        <w:t xml:space="preserve">to develop </w:t>
      </w:r>
      <w:bookmarkEnd w:id="233"/>
      <w:r w:rsidRPr="00F67C5A">
        <w:t xml:space="preserve">a risk premium study using “expectational” data.  </w:t>
      </w:r>
    </w:p>
    <w:p w:rsidR="00F23557" w:rsidRPr="0018156A" w:rsidRDefault="00F23557" w:rsidP="00F23557">
      <w:pPr>
        <w:tabs>
          <w:tab w:val="left" w:pos="1440"/>
        </w:tabs>
        <w:spacing w:after="0" w:line="480" w:lineRule="auto"/>
        <w:ind w:left="720" w:hanging="720"/>
        <w:jc w:val="both"/>
      </w:pPr>
      <w:r w:rsidRPr="00F67C5A">
        <w:tab/>
      </w:r>
      <w:r w:rsidRPr="00F67C5A">
        <w:tab/>
        <w:t xml:space="preserve">Contemporary market </w:t>
      </w:r>
      <w:bookmarkEnd w:id="232"/>
      <w:r w:rsidRPr="00F67C5A">
        <w:t>conditions can change dramatically during the period that rates determined in this proceeding will be</w:t>
      </w:r>
      <w:r w:rsidRPr="0018156A">
        <w:t xml:space="preserve"> in effect.  </w:t>
      </w:r>
      <w:bookmarkStart w:id="234" w:name="_BPDCD76"/>
      <w:r w:rsidRPr="0018156A">
        <w:t xml:space="preserve">A </w:t>
      </w:r>
      <w:bookmarkEnd w:id="234"/>
      <w:r w:rsidRPr="0018156A">
        <w:t>relatively long period of time</w:t>
      </w:r>
      <w:bookmarkStart w:id="235" w:name="_BPDCD74"/>
      <w:r w:rsidRPr="0018156A">
        <w:t xml:space="preserve"> where stock valuations reflect premiums to book value is an indication </w:t>
      </w:r>
      <w:bookmarkEnd w:id="235"/>
      <w:r w:rsidRPr="0018156A">
        <w:t xml:space="preserve">the authorized returns on equity and the corresponding equity risk premiums were supportive of investors’ return expectations and provided utilities access to the equity markets under reasonable terms and conditions.  Further, this time period is long enough to smooth abnormal market movement that might distort equity risk </w:t>
      </w:r>
      <w:r w:rsidRPr="0018156A">
        <w:lastRenderedPageBreak/>
        <w:t xml:space="preserve">premiums.  While market conditions and risk premiums do vary over time, this historical time period is </w:t>
      </w:r>
      <w:bookmarkStart w:id="236" w:name="_BPDCD72"/>
      <w:r w:rsidRPr="0018156A">
        <w:t xml:space="preserve">a </w:t>
      </w:r>
      <w:bookmarkEnd w:id="236"/>
      <w:r w:rsidRPr="0018156A">
        <w:t xml:space="preserve">reasonable </w:t>
      </w:r>
      <w:bookmarkStart w:id="237" w:name="_BPDCD71"/>
      <w:r w:rsidRPr="0018156A">
        <w:t xml:space="preserve">period to estimate </w:t>
      </w:r>
      <w:bookmarkEnd w:id="237"/>
      <w:r w:rsidRPr="0018156A">
        <w:t xml:space="preserve">contemporary risk premiums.  </w:t>
      </w:r>
    </w:p>
    <w:p w:rsidR="00F23557" w:rsidRPr="0018156A" w:rsidRDefault="00F23557" w:rsidP="00F23557">
      <w:pPr>
        <w:tabs>
          <w:tab w:val="left" w:pos="1440"/>
        </w:tabs>
        <w:spacing w:after="0" w:line="480" w:lineRule="auto"/>
        <w:ind w:left="720" w:hanging="720"/>
        <w:jc w:val="both"/>
      </w:pPr>
      <w:r w:rsidRPr="0018156A">
        <w:tab/>
      </w:r>
      <w:r w:rsidRPr="0018156A">
        <w:tab/>
        <w:t xml:space="preserve">Alternatively, some studies, such as Duff &amp; Phelps referred to later in this testimony, have recommended that use of “actual achieved investment return data” in a risk premium study should be based on long historical time periods.  </w:t>
      </w:r>
      <w:bookmarkStart w:id="238" w:name="_BPDCD67"/>
      <w:r w:rsidRPr="0018156A">
        <w:t xml:space="preserve">The </w:t>
      </w:r>
      <w:bookmarkEnd w:id="238"/>
      <w:r w:rsidRPr="0018156A">
        <w:t>studies find that achieved returns over short time periods may not reflect investors’ expected returns due to unexpected and abnormal stock price performance.  Short-term, abnormal actual returns would be smoothed over time</w:t>
      </w:r>
      <w:bookmarkStart w:id="239" w:name="_BPDCD64"/>
      <w:r w:rsidRPr="0018156A">
        <w:t xml:space="preserve"> and the </w:t>
      </w:r>
      <w:bookmarkEnd w:id="239"/>
      <w:r w:rsidRPr="0018156A">
        <w:t xml:space="preserve">achieved actual investment returns over long time periods would approximate investors’ expected returns.  Therefore, it is reasonable to assume that averages of annual achieved returns over long time periods </w:t>
      </w:r>
      <w:bookmarkStart w:id="240" w:name="_BPDCD62"/>
      <w:r w:rsidRPr="0018156A">
        <w:t xml:space="preserve">will </w:t>
      </w:r>
      <w:bookmarkEnd w:id="240"/>
      <w:r w:rsidRPr="0018156A">
        <w:t xml:space="preserve">generally converge on </w:t>
      </w:r>
      <w:bookmarkStart w:id="241" w:name="_BPDCD60"/>
      <w:r w:rsidRPr="0018156A">
        <w:t xml:space="preserve">the </w:t>
      </w:r>
      <w:bookmarkEnd w:id="241"/>
      <w:r w:rsidRPr="0018156A">
        <w:t>investors’ expected returns.</w:t>
      </w:r>
    </w:p>
    <w:p w:rsidR="00F23557" w:rsidRPr="0018156A" w:rsidRDefault="00F23557" w:rsidP="00F23557">
      <w:pPr>
        <w:tabs>
          <w:tab w:val="left" w:pos="1440"/>
        </w:tabs>
        <w:spacing w:line="480" w:lineRule="auto"/>
        <w:ind w:left="720" w:hanging="720"/>
        <w:jc w:val="both"/>
      </w:pPr>
      <w:r w:rsidRPr="0018156A">
        <w:tab/>
      </w:r>
      <w:r w:rsidRPr="0018156A">
        <w:tab/>
        <w:t xml:space="preserve">My risk premium study is based on expectational data, not actual investment returns, </w:t>
      </w:r>
      <w:bookmarkStart w:id="242" w:name="_BPDCD59"/>
      <w:r w:rsidRPr="0018156A">
        <w:t xml:space="preserve">and, thus, </w:t>
      </w:r>
      <w:bookmarkEnd w:id="242"/>
      <w:r w:rsidRPr="0018156A">
        <w:t xml:space="preserve">need not encompass a very long historical time period.  </w:t>
      </w:r>
    </w:p>
    <w:p w:rsidR="00F23557" w:rsidRPr="0018156A" w:rsidRDefault="00F23557" w:rsidP="00F23557">
      <w:pPr>
        <w:tabs>
          <w:tab w:val="left" w:pos="1440"/>
        </w:tabs>
        <w:ind w:left="720" w:hanging="720"/>
        <w:jc w:val="both"/>
        <w:rPr>
          <w:b/>
        </w:rPr>
      </w:pPr>
      <w:r w:rsidRPr="0018156A">
        <w:rPr>
          <w:b/>
        </w:rPr>
        <w:t>Q</w:t>
      </w:r>
      <w:r>
        <w:rPr>
          <w:b/>
        </w:rPr>
        <w:t>.</w:t>
      </w:r>
      <w:r w:rsidRPr="0018156A">
        <w:rPr>
          <w:b/>
        </w:rPr>
        <w:tab/>
        <w:t xml:space="preserve">BASED ON HISTORICAL DATA, WHAT RISK PREMIUM HAVE YOU USED TO ESTIMATE </w:t>
      </w:r>
      <w:r>
        <w:rPr>
          <w:b/>
        </w:rPr>
        <w:t>AVISTA</w:t>
      </w:r>
      <w:r w:rsidRPr="0018156A">
        <w:rPr>
          <w:b/>
        </w:rPr>
        <w:t>’S COST OF COMMON EQUITY IN THIS PROCEEDING?</w:t>
      </w:r>
    </w:p>
    <w:p w:rsidR="00F23557" w:rsidRPr="00F67C5A" w:rsidRDefault="00F23557" w:rsidP="00F23557">
      <w:pPr>
        <w:tabs>
          <w:tab w:val="left" w:pos="1440"/>
        </w:tabs>
        <w:spacing w:after="0" w:line="480" w:lineRule="auto"/>
        <w:ind w:left="720" w:hanging="720"/>
        <w:jc w:val="both"/>
      </w:pPr>
      <w:r w:rsidRPr="00272C05">
        <w:rPr>
          <w:rFonts w:eastAsia="Times New Roman"/>
          <w:b/>
          <w:szCs w:val="24"/>
        </w:rPr>
        <w:t>A.</w:t>
      </w:r>
      <w:r w:rsidRPr="0018156A">
        <w:rPr>
          <w:b/>
        </w:rPr>
        <w:tab/>
      </w:r>
      <w:r w:rsidRPr="00F67C5A">
        <w:t xml:space="preserve">The equity risk premium should reflect the relative market perception of risk in the utility industry today.  I have gauged investor perceptions in utility risk today in </w:t>
      </w:r>
      <w:r w:rsidRPr="00F67C5A">
        <w:rPr>
          <w:rFonts w:eastAsia="Times New Roman"/>
          <w:szCs w:val="24"/>
        </w:rPr>
        <w:t>Exhibit No</w:t>
      </w:r>
      <w:proofErr w:type="gramStart"/>
      <w:r w:rsidRPr="00F67C5A">
        <w:rPr>
          <w:rFonts w:eastAsia="Times New Roman"/>
          <w:szCs w:val="24"/>
        </w:rPr>
        <w:t xml:space="preserve">. </w:t>
      </w:r>
      <w:proofErr w:type="gramEnd"/>
      <w:r w:rsidRPr="00F67C5A">
        <w:rPr>
          <w:rFonts w:eastAsia="Times New Roman"/>
          <w:szCs w:val="24"/>
        </w:rPr>
        <w:t>MPG-16</w:t>
      </w:r>
      <w:r w:rsidRPr="00F67C5A">
        <w:t xml:space="preserve">, where I show the yield spread between utility bonds and Treasury bonds over the last 37 years.  As shown in this schedule, the average utility bond yield spreads over Treasury bonds for “A” and “Baa” rated utility bonds for this historical period are 1.52% and 1.96%, respectively.  The utility bond yield spreads over Treasury bonds for “A” and “Baa” rated utilities for 2016 were 1.39% and 2.30%, respectively.  The current average “A” rated utility bond yield spread over </w:t>
      </w:r>
      <w:r w:rsidRPr="00F67C5A">
        <w:lastRenderedPageBreak/>
        <w:t>Treasury bond yields is now lower than the 37</w:t>
      </w:r>
      <w:r w:rsidRPr="00F67C5A">
        <w:noBreakHyphen/>
        <w:t>year average spread.  The current “Baa” rated utility bond yield spread over Treasury bond yields is higher than the 37-year average spread.</w:t>
      </w:r>
    </w:p>
    <w:p w:rsidR="00F23557" w:rsidRPr="00F67C5A" w:rsidRDefault="00F23557" w:rsidP="00F23557">
      <w:pPr>
        <w:tabs>
          <w:tab w:val="left" w:pos="1440"/>
        </w:tabs>
        <w:spacing w:after="0" w:line="480" w:lineRule="auto"/>
        <w:ind w:left="720" w:hanging="720"/>
        <w:jc w:val="both"/>
      </w:pPr>
      <w:r w:rsidRPr="00F67C5A">
        <w:tab/>
      </w:r>
      <w:r w:rsidRPr="00F67C5A">
        <w:tab/>
        <w:t xml:space="preserve">A current 13-week average “A” rated utility bond yield of 3.78% when compared to the current Treasury bond yield of 2.45% as shown in </w:t>
      </w:r>
      <w:r w:rsidRPr="00F67C5A">
        <w:rPr>
          <w:rFonts w:eastAsia="Times New Roman"/>
          <w:szCs w:val="24"/>
        </w:rPr>
        <w:t>Exhibit No</w:t>
      </w:r>
      <w:proofErr w:type="gramStart"/>
      <w:r w:rsidRPr="00F67C5A">
        <w:rPr>
          <w:rFonts w:eastAsia="Times New Roman"/>
          <w:szCs w:val="24"/>
        </w:rPr>
        <w:t xml:space="preserve">. </w:t>
      </w:r>
      <w:proofErr w:type="gramEnd"/>
      <w:r w:rsidRPr="00F67C5A">
        <w:rPr>
          <w:rFonts w:eastAsia="Times New Roman"/>
          <w:szCs w:val="24"/>
        </w:rPr>
        <w:t>MPG</w:t>
      </w:r>
      <w:r w:rsidRPr="00F67C5A">
        <w:rPr>
          <w:rFonts w:eastAsia="Times New Roman"/>
          <w:szCs w:val="24"/>
        </w:rPr>
        <w:noBreakHyphen/>
        <w:t>17</w:t>
      </w:r>
      <w:r w:rsidRPr="00F67C5A">
        <w:t xml:space="preserve">, page 1, implies a yield spread of around 133 basis points.  This current utility bond yield spread is lower than the 37-year average spread for “A” rated utility bonds of 1.52%.  The current spread for the “Baa” rated utility bond yield of </w:t>
      </w:r>
      <w:r w:rsidR="00E46164" w:rsidRPr="00F67C5A">
        <w:t>2.30</w:t>
      </w:r>
      <w:r w:rsidRPr="00F67C5A">
        <w:t>% is higher than the 37</w:t>
      </w:r>
      <w:r w:rsidRPr="00F67C5A">
        <w:noBreakHyphen/>
        <w:t>year average spread of 1.96%.  However, when compared to the projected Treasury bond yield of 3.40%, the current “Baa” utility</w:t>
      </w:r>
      <w:r w:rsidR="00E46164" w:rsidRPr="00F67C5A">
        <w:t xml:space="preserve"> yield (4.43%)</w:t>
      </w:r>
      <w:r w:rsidRPr="00F67C5A">
        <w:t xml:space="preserve"> spread </w:t>
      </w:r>
      <w:r w:rsidR="00E46164" w:rsidRPr="00F67C5A">
        <w:t xml:space="preserve">to Treasury bond yield </w:t>
      </w:r>
      <w:r w:rsidRPr="00F67C5A">
        <w:t xml:space="preserve">is around 1.03%, </w:t>
      </w:r>
      <w:r w:rsidR="00E46164" w:rsidRPr="00F67C5A">
        <w:t xml:space="preserve">which is </w:t>
      </w:r>
      <w:r w:rsidRPr="00F67C5A">
        <w:t>lower than the 37-year average of 1.96%.</w:t>
      </w:r>
    </w:p>
    <w:p w:rsidR="00F23557" w:rsidRPr="0018156A" w:rsidRDefault="00F23557" w:rsidP="00F23557">
      <w:pPr>
        <w:tabs>
          <w:tab w:val="left" w:pos="1440"/>
        </w:tabs>
        <w:spacing w:after="0" w:line="480" w:lineRule="auto"/>
        <w:ind w:left="720" w:hanging="720"/>
        <w:jc w:val="both"/>
      </w:pPr>
      <w:r w:rsidRPr="00F67C5A">
        <w:tab/>
      </w:r>
      <w:r w:rsidRPr="00F67C5A">
        <w:tab/>
        <w:t>These utility bond yield spreads are evidence that the market perception of</w:t>
      </w:r>
      <w:r w:rsidRPr="0018156A">
        <w:t xml:space="preserve"> utility risk is about average relative to this historical time period and demonstrate that utilities continue to have strong access to capital in the current market.</w:t>
      </w:r>
    </w:p>
    <w:p w:rsidR="00F23557" w:rsidRPr="0018156A" w:rsidRDefault="00F23557" w:rsidP="00F23557">
      <w:pPr>
        <w:tabs>
          <w:tab w:val="left" w:pos="1440"/>
        </w:tabs>
        <w:ind w:left="720" w:hanging="720"/>
        <w:jc w:val="both"/>
        <w:rPr>
          <w:b/>
        </w:rPr>
      </w:pPr>
      <w:bookmarkStart w:id="243" w:name="_Toc178561803"/>
      <w:bookmarkStart w:id="244" w:name="_Toc193013896"/>
      <w:bookmarkStart w:id="245" w:name="_Toc193774630"/>
      <w:bookmarkStart w:id="246" w:name="_Toc229475667"/>
      <w:bookmarkStart w:id="247" w:name="_Toc235425061"/>
      <w:bookmarkStart w:id="248" w:name="_Toc257298090"/>
      <w:bookmarkStart w:id="249" w:name="_Toc265230453"/>
      <w:bookmarkStart w:id="250" w:name="_Toc270057498"/>
      <w:bookmarkStart w:id="251" w:name="_Toc292458006"/>
      <w:bookmarkStart w:id="252" w:name="_Toc298162455"/>
      <w:bookmarkStart w:id="253" w:name="_Toc306173884"/>
      <w:bookmarkStart w:id="254" w:name="_Toc311104308"/>
      <w:bookmarkStart w:id="255" w:name="_Toc325838011"/>
      <w:bookmarkStart w:id="256" w:name="_Toc330806006"/>
      <w:bookmarkStart w:id="257" w:name="_Toc341868685"/>
      <w:bookmarkStart w:id="258" w:name="_Toc348295914"/>
      <w:bookmarkStart w:id="259" w:name="_Toc358967445"/>
      <w:bookmarkStart w:id="260" w:name="_Toc361237211"/>
      <w:r w:rsidRPr="0018156A">
        <w:rPr>
          <w:b/>
        </w:rPr>
        <w:t>Q</w:t>
      </w:r>
      <w:r>
        <w:rPr>
          <w:b/>
        </w:rPr>
        <w:t>.</w:t>
      </w:r>
      <w:r w:rsidRPr="0018156A">
        <w:rPr>
          <w:b/>
        </w:rPr>
        <w:tab/>
        <w:t>HOW DO YOU DETERMINE WHERE A REASONABLE RISK PREMIUM IS IN THE CURRENT MARKET?</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tab/>
        <w:t>I observed the spread of Treasury securities relative to public utility bonds and corporate bonds in gauging whether or not the risk premium in current market prices is relatively stable relative to the past.  What this observation of market evidence clearly provides is that the valuations in the current market place an above average risk premium on securities that have greater risk.</w:t>
      </w:r>
    </w:p>
    <w:p w:rsidR="00F23557" w:rsidRPr="0018156A" w:rsidRDefault="00F23557" w:rsidP="00F23557">
      <w:pPr>
        <w:tabs>
          <w:tab w:val="left" w:pos="1440"/>
        </w:tabs>
        <w:spacing w:after="0" w:line="480" w:lineRule="auto"/>
        <w:ind w:left="720" w:hanging="720"/>
        <w:jc w:val="both"/>
      </w:pPr>
      <w:r w:rsidRPr="0018156A">
        <w:tab/>
      </w:r>
      <w:r w:rsidRPr="0018156A">
        <w:tab/>
        <w:t xml:space="preserve">This market evidence is summarized below </w:t>
      </w:r>
      <w:r w:rsidRPr="00873AE8">
        <w:t>in Table 6,</w:t>
      </w:r>
      <w:r w:rsidRPr="0018156A">
        <w:t xml:space="preserve"> which shows the utility bond yield spreads over Treasury bond yields on average for the period 1980 through </w:t>
      </w:r>
      <w:r w:rsidRPr="0018156A">
        <w:lastRenderedPageBreak/>
        <w:t xml:space="preserve">the </w:t>
      </w:r>
      <w:r>
        <w:t>first six months</w:t>
      </w:r>
      <w:r w:rsidRPr="0018156A">
        <w:t xml:space="preserve"> of 2016.  I also show the bond yield spreads for </w:t>
      </w:r>
      <w:proofErr w:type="gramStart"/>
      <w:r w:rsidRPr="0018156A">
        <w:t>Aaa</w:t>
      </w:r>
      <w:proofErr w:type="gramEnd"/>
      <w:r w:rsidRPr="0018156A">
        <w:t xml:space="preserve"> corporates and Baa corporates.</w:t>
      </w:r>
    </w:p>
    <w:tbl>
      <w:tblPr>
        <w:tblStyle w:val="TableGrid"/>
        <w:tblW w:w="0" w:type="auto"/>
        <w:tblInd w:w="1872" w:type="dxa"/>
        <w:tblBorders>
          <w:insideH w:val="none" w:sz="0" w:space="0" w:color="auto"/>
          <w:insideV w:val="none" w:sz="0" w:space="0" w:color="auto"/>
        </w:tblBorders>
        <w:tblLook w:val="04A0"/>
      </w:tblPr>
      <w:tblGrid>
        <w:gridCol w:w="2954"/>
        <w:gridCol w:w="840"/>
        <w:gridCol w:w="840"/>
        <w:gridCol w:w="879"/>
        <w:gridCol w:w="879"/>
      </w:tblGrid>
      <w:tr w:rsidR="00F23557" w:rsidRPr="0018156A" w:rsidTr="00E46164">
        <w:tc>
          <w:tcPr>
            <w:tcW w:w="6392" w:type="dxa"/>
            <w:gridSpan w:val="5"/>
          </w:tcPr>
          <w:p w:rsidR="00F23557" w:rsidRPr="0018156A" w:rsidRDefault="00F23557" w:rsidP="00E46164">
            <w:pPr>
              <w:keepNext/>
              <w:tabs>
                <w:tab w:val="left" w:pos="1080"/>
              </w:tabs>
              <w:spacing w:after="0"/>
              <w:jc w:val="center"/>
            </w:pPr>
          </w:p>
          <w:p w:rsidR="00F23557" w:rsidRPr="0018156A" w:rsidRDefault="00F23557" w:rsidP="00E46164">
            <w:pPr>
              <w:keepNext/>
              <w:tabs>
                <w:tab w:val="left" w:pos="1080"/>
              </w:tabs>
              <w:spacing w:after="0"/>
              <w:jc w:val="center"/>
              <w:rPr>
                <w:b/>
              </w:rPr>
            </w:pPr>
            <w:r w:rsidRPr="00873AE8">
              <w:rPr>
                <w:b/>
              </w:rPr>
              <w:t>TABLE 6</w:t>
            </w:r>
          </w:p>
          <w:p w:rsidR="00F23557" w:rsidRPr="0018156A" w:rsidRDefault="00F23557" w:rsidP="00E46164">
            <w:pPr>
              <w:keepNext/>
              <w:tabs>
                <w:tab w:val="left" w:pos="1080"/>
              </w:tabs>
              <w:spacing w:after="0"/>
              <w:jc w:val="center"/>
              <w:rPr>
                <w:b/>
              </w:rPr>
            </w:pPr>
          </w:p>
          <w:p w:rsidR="00F23557" w:rsidRPr="0018156A" w:rsidRDefault="00F23557" w:rsidP="00E46164">
            <w:pPr>
              <w:keepNext/>
              <w:tabs>
                <w:tab w:val="left" w:pos="1080"/>
              </w:tabs>
              <w:spacing w:after="0"/>
              <w:jc w:val="center"/>
              <w:rPr>
                <w:b/>
                <w:u w:val="single"/>
              </w:rPr>
            </w:pPr>
            <w:r w:rsidRPr="0018156A">
              <w:rPr>
                <w:b/>
                <w:u w:val="single"/>
              </w:rPr>
              <w:t>Comparison of Yield Spreads Over Treasury Bonds</w:t>
            </w:r>
          </w:p>
          <w:p w:rsidR="00F23557" w:rsidRPr="0018156A" w:rsidRDefault="00F23557" w:rsidP="00E46164">
            <w:pPr>
              <w:keepNext/>
              <w:tabs>
                <w:tab w:val="left" w:pos="1080"/>
              </w:tabs>
              <w:spacing w:after="0"/>
              <w:jc w:val="center"/>
              <w:rPr>
                <w:b/>
                <w:u w:val="single"/>
              </w:rPr>
            </w:pPr>
          </w:p>
          <w:p w:rsidR="00F23557" w:rsidRPr="0018156A" w:rsidRDefault="00F23557" w:rsidP="00E46164">
            <w:pPr>
              <w:keepNext/>
              <w:tabs>
                <w:tab w:val="left" w:pos="1080"/>
              </w:tabs>
              <w:spacing w:after="0"/>
              <w:jc w:val="center"/>
              <w:rPr>
                <w:b/>
                <w:u w:val="single"/>
              </w:rPr>
            </w:pPr>
          </w:p>
        </w:tc>
      </w:tr>
      <w:tr w:rsidR="00F23557" w:rsidRPr="0018156A" w:rsidTr="00E46164">
        <w:tc>
          <w:tcPr>
            <w:tcW w:w="2954" w:type="dxa"/>
          </w:tcPr>
          <w:p w:rsidR="00F23557" w:rsidRPr="0018156A" w:rsidRDefault="00F23557" w:rsidP="00E46164">
            <w:pPr>
              <w:keepNext/>
              <w:tabs>
                <w:tab w:val="left" w:pos="1080"/>
              </w:tabs>
              <w:spacing w:after="0"/>
              <w:jc w:val="both"/>
              <w:rPr>
                <w:b/>
                <w:u w:val="single"/>
              </w:rPr>
            </w:pPr>
          </w:p>
        </w:tc>
        <w:tc>
          <w:tcPr>
            <w:tcW w:w="1680" w:type="dxa"/>
            <w:gridSpan w:val="2"/>
          </w:tcPr>
          <w:p w:rsidR="00F23557" w:rsidRPr="0018156A" w:rsidRDefault="00F23557" w:rsidP="00E46164">
            <w:pPr>
              <w:keepNext/>
              <w:tabs>
                <w:tab w:val="left" w:pos="1080"/>
              </w:tabs>
              <w:spacing w:after="0"/>
              <w:jc w:val="both"/>
              <w:rPr>
                <w:b/>
                <w:u w:val="single"/>
              </w:rPr>
            </w:pPr>
            <w:r w:rsidRPr="0018156A">
              <w:rPr>
                <w:b/>
                <w:u w:val="single"/>
              </w:rPr>
              <w:t>      Utility       </w:t>
            </w:r>
          </w:p>
        </w:tc>
        <w:tc>
          <w:tcPr>
            <w:tcW w:w="1758" w:type="dxa"/>
            <w:gridSpan w:val="2"/>
          </w:tcPr>
          <w:p w:rsidR="00F23557" w:rsidRPr="0018156A" w:rsidRDefault="00F23557" w:rsidP="00E46164">
            <w:pPr>
              <w:keepNext/>
              <w:tabs>
                <w:tab w:val="left" w:pos="1080"/>
              </w:tabs>
              <w:spacing w:after="0"/>
              <w:jc w:val="both"/>
              <w:rPr>
                <w:b/>
                <w:u w:val="single"/>
              </w:rPr>
            </w:pPr>
            <w:r w:rsidRPr="0018156A">
              <w:rPr>
                <w:b/>
                <w:u w:val="single"/>
              </w:rPr>
              <w:t>    Corporate    </w:t>
            </w:r>
          </w:p>
        </w:tc>
      </w:tr>
      <w:tr w:rsidR="00F23557" w:rsidRPr="0018156A" w:rsidTr="00E46164">
        <w:tc>
          <w:tcPr>
            <w:tcW w:w="2954" w:type="dxa"/>
          </w:tcPr>
          <w:p w:rsidR="00F23557" w:rsidRPr="0018156A" w:rsidRDefault="00F23557" w:rsidP="00E46164">
            <w:pPr>
              <w:keepNext/>
              <w:tabs>
                <w:tab w:val="left" w:pos="1080"/>
              </w:tabs>
              <w:spacing w:after="0"/>
              <w:jc w:val="both"/>
              <w:rPr>
                <w:b/>
                <w:u w:val="single"/>
              </w:rPr>
            </w:pPr>
            <w:r w:rsidRPr="0018156A">
              <w:rPr>
                <w:b/>
                <w:u w:val="single"/>
              </w:rPr>
              <w:t>           Description           </w:t>
            </w:r>
          </w:p>
        </w:tc>
        <w:tc>
          <w:tcPr>
            <w:tcW w:w="840" w:type="dxa"/>
          </w:tcPr>
          <w:p w:rsidR="00F23557" w:rsidRPr="0018156A" w:rsidRDefault="00F23557" w:rsidP="00E46164">
            <w:pPr>
              <w:keepNext/>
              <w:tabs>
                <w:tab w:val="left" w:pos="1080"/>
              </w:tabs>
              <w:spacing w:after="0"/>
              <w:jc w:val="both"/>
              <w:rPr>
                <w:b/>
                <w:u w:val="single"/>
              </w:rPr>
            </w:pPr>
            <w:r w:rsidRPr="0018156A">
              <w:rPr>
                <w:b/>
                <w:u w:val="single"/>
              </w:rPr>
              <w:t>   A    </w:t>
            </w:r>
          </w:p>
        </w:tc>
        <w:tc>
          <w:tcPr>
            <w:tcW w:w="840" w:type="dxa"/>
          </w:tcPr>
          <w:p w:rsidR="00F23557" w:rsidRPr="0018156A" w:rsidRDefault="00F23557" w:rsidP="00E46164">
            <w:pPr>
              <w:keepNext/>
              <w:tabs>
                <w:tab w:val="left" w:pos="1080"/>
              </w:tabs>
              <w:spacing w:after="0"/>
              <w:jc w:val="both"/>
              <w:rPr>
                <w:b/>
                <w:u w:val="single"/>
              </w:rPr>
            </w:pPr>
            <w:r w:rsidRPr="0018156A">
              <w:rPr>
                <w:b/>
                <w:u w:val="single"/>
              </w:rPr>
              <w:t> Baa  </w:t>
            </w:r>
          </w:p>
        </w:tc>
        <w:tc>
          <w:tcPr>
            <w:tcW w:w="879" w:type="dxa"/>
          </w:tcPr>
          <w:p w:rsidR="00F23557" w:rsidRPr="0018156A" w:rsidRDefault="00F23557" w:rsidP="00E46164">
            <w:pPr>
              <w:keepNext/>
              <w:tabs>
                <w:tab w:val="left" w:pos="1080"/>
              </w:tabs>
              <w:spacing w:after="0"/>
              <w:jc w:val="both"/>
              <w:rPr>
                <w:b/>
                <w:u w:val="single"/>
              </w:rPr>
            </w:pPr>
            <w:r w:rsidRPr="0018156A">
              <w:rPr>
                <w:b/>
                <w:u w:val="single"/>
              </w:rPr>
              <w:t>  Aaa  </w:t>
            </w:r>
          </w:p>
        </w:tc>
        <w:tc>
          <w:tcPr>
            <w:tcW w:w="879" w:type="dxa"/>
          </w:tcPr>
          <w:p w:rsidR="00F23557" w:rsidRPr="0018156A" w:rsidRDefault="00F23557" w:rsidP="00E46164">
            <w:pPr>
              <w:keepNext/>
              <w:tabs>
                <w:tab w:val="left" w:pos="1080"/>
              </w:tabs>
              <w:spacing w:after="0"/>
              <w:jc w:val="both"/>
              <w:rPr>
                <w:b/>
                <w:u w:val="single"/>
              </w:rPr>
            </w:pPr>
            <w:r w:rsidRPr="0018156A">
              <w:rPr>
                <w:b/>
                <w:u w:val="single"/>
              </w:rPr>
              <w:t>  Baa  </w:t>
            </w:r>
          </w:p>
        </w:tc>
      </w:tr>
      <w:tr w:rsidR="00F23557" w:rsidRPr="0018156A" w:rsidTr="00E46164">
        <w:tc>
          <w:tcPr>
            <w:tcW w:w="2954" w:type="dxa"/>
          </w:tcPr>
          <w:p w:rsidR="00F23557" w:rsidRPr="0018156A" w:rsidRDefault="00F23557" w:rsidP="00E46164">
            <w:pPr>
              <w:keepNext/>
              <w:tabs>
                <w:tab w:val="left" w:pos="1080"/>
              </w:tabs>
              <w:spacing w:after="0"/>
              <w:jc w:val="both"/>
            </w:pPr>
          </w:p>
        </w:tc>
        <w:tc>
          <w:tcPr>
            <w:tcW w:w="840" w:type="dxa"/>
          </w:tcPr>
          <w:p w:rsidR="00F23557" w:rsidRPr="0018156A" w:rsidRDefault="00F23557" w:rsidP="00E46164">
            <w:pPr>
              <w:keepNext/>
              <w:tabs>
                <w:tab w:val="left" w:pos="1080"/>
              </w:tabs>
              <w:spacing w:after="0"/>
              <w:jc w:val="both"/>
            </w:pPr>
          </w:p>
        </w:tc>
        <w:tc>
          <w:tcPr>
            <w:tcW w:w="840" w:type="dxa"/>
          </w:tcPr>
          <w:p w:rsidR="00F23557" w:rsidRPr="0018156A" w:rsidRDefault="00F23557" w:rsidP="00E46164">
            <w:pPr>
              <w:keepNext/>
              <w:tabs>
                <w:tab w:val="left" w:pos="1080"/>
              </w:tabs>
              <w:spacing w:after="0"/>
              <w:jc w:val="both"/>
            </w:pPr>
          </w:p>
        </w:tc>
        <w:tc>
          <w:tcPr>
            <w:tcW w:w="879" w:type="dxa"/>
          </w:tcPr>
          <w:p w:rsidR="00F23557" w:rsidRPr="0018156A" w:rsidRDefault="00F23557" w:rsidP="00E46164">
            <w:pPr>
              <w:keepNext/>
              <w:tabs>
                <w:tab w:val="left" w:pos="1080"/>
              </w:tabs>
              <w:spacing w:after="0"/>
              <w:jc w:val="both"/>
            </w:pPr>
          </w:p>
        </w:tc>
        <w:tc>
          <w:tcPr>
            <w:tcW w:w="879" w:type="dxa"/>
          </w:tcPr>
          <w:p w:rsidR="00F23557" w:rsidRPr="0018156A" w:rsidRDefault="00F23557" w:rsidP="00E46164">
            <w:pPr>
              <w:keepNext/>
              <w:tabs>
                <w:tab w:val="left" w:pos="1080"/>
              </w:tabs>
              <w:spacing w:after="0"/>
              <w:jc w:val="both"/>
            </w:pPr>
          </w:p>
        </w:tc>
      </w:tr>
      <w:tr w:rsidR="00F23557" w:rsidRPr="0018156A" w:rsidTr="00E46164">
        <w:tc>
          <w:tcPr>
            <w:tcW w:w="2954" w:type="dxa"/>
          </w:tcPr>
          <w:p w:rsidR="00F23557" w:rsidRPr="0018156A" w:rsidRDefault="00F23557" w:rsidP="00E46164">
            <w:pPr>
              <w:keepNext/>
              <w:tabs>
                <w:tab w:val="left" w:pos="1080"/>
              </w:tabs>
              <w:spacing w:after="0"/>
              <w:jc w:val="both"/>
            </w:pPr>
            <w:r w:rsidRPr="0018156A">
              <w:t>Average Historical Spread</w:t>
            </w:r>
          </w:p>
        </w:tc>
        <w:tc>
          <w:tcPr>
            <w:tcW w:w="840" w:type="dxa"/>
          </w:tcPr>
          <w:p w:rsidR="00F23557" w:rsidRPr="0018156A" w:rsidRDefault="00F23557" w:rsidP="00E46164">
            <w:pPr>
              <w:keepNext/>
              <w:tabs>
                <w:tab w:val="left" w:pos="1080"/>
              </w:tabs>
              <w:spacing w:after="0"/>
              <w:jc w:val="both"/>
            </w:pPr>
            <w:r w:rsidRPr="0018156A">
              <w:t>1.52%</w:t>
            </w:r>
          </w:p>
        </w:tc>
        <w:tc>
          <w:tcPr>
            <w:tcW w:w="840" w:type="dxa"/>
          </w:tcPr>
          <w:p w:rsidR="00F23557" w:rsidRPr="0018156A" w:rsidRDefault="00F23557" w:rsidP="00E46164">
            <w:pPr>
              <w:keepNext/>
              <w:tabs>
                <w:tab w:val="left" w:pos="1080"/>
              </w:tabs>
              <w:spacing w:after="0"/>
              <w:jc w:val="both"/>
            </w:pPr>
            <w:r w:rsidRPr="0018156A">
              <w:t>1.9</w:t>
            </w:r>
            <w:r>
              <w:t>6</w:t>
            </w:r>
            <w:r w:rsidRPr="0018156A">
              <w:t>%</w:t>
            </w:r>
          </w:p>
        </w:tc>
        <w:tc>
          <w:tcPr>
            <w:tcW w:w="879" w:type="dxa"/>
          </w:tcPr>
          <w:p w:rsidR="00F23557" w:rsidRPr="0018156A" w:rsidRDefault="00F23557" w:rsidP="00E46164">
            <w:pPr>
              <w:keepNext/>
              <w:tabs>
                <w:tab w:val="left" w:pos="1080"/>
              </w:tabs>
              <w:spacing w:after="0"/>
              <w:jc w:val="both"/>
            </w:pPr>
            <w:r w:rsidRPr="0018156A">
              <w:t>0.84%</w:t>
            </w:r>
          </w:p>
        </w:tc>
        <w:tc>
          <w:tcPr>
            <w:tcW w:w="879" w:type="dxa"/>
          </w:tcPr>
          <w:p w:rsidR="00F23557" w:rsidRPr="0018156A" w:rsidRDefault="00F23557" w:rsidP="00E46164">
            <w:pPr>
              <w:keepNext/>
              <w:tabs>
                <w:tab w:val="left" w:pos="1080"/>
              </w:tabs>
              <w:spacing w:after="0"/>
              <w:jc w:val="both"/>
            </w:pPr>
            <w:r w:rsidRPr="0018156A">
              <w:t>1.95%</w:t>
            </w:r>
          </w:p>
        </w:tc>
      </w:tr>
      <w:tr w:rsidR="00F23557" w:rsidRPr="0018156A" w:rsidTr="00E46164">
        <w:tc>
          <w:tcPr>
            <w:tcW w:w="2954" w:type="dxa"/>
          </w:tcPr>
          <w:p w:rsidR="00F23557" w:rsidRPr="0018156A" w:rsidRDefault="00F23557" w:rsidP="00E46164">
            <w:pPr>
              <w:keepNext/>
              <w:tabs>
                <w:tab w:val="left" w:pos="1080"/>
              </w:tabs>
              <w:spacing w:after="0"/>
              <w:jc w:val="both"/>
            </w:pPr>
          </w:p>
        </w:tc>
        <w:tc>
          <w:tcPr>
            <w:tcW w:w="840" w:type="dxa"/>
          </w:tcPr>
          <w:p w:rsidR="00F23557" w:rsidRPr="0018156A" w:rsidRDefault="00F23557" w:rsidP="00E46164">
            <w:pPr>
              <w:keepNext/>
              <w:tabs>
                <w:tab w:val="left" w:pos="1080"/>
              </w:tabs>
              <w:spacing w:after="0"/>
              <w:jc w:val="both"/>
            </w:pPr>
          </w:p>
        </w:tc>
        <w:tc>
          <w:tcPr>
            <w:tcW w:w="840" w:type="dxa"/>
          </w:tcPr>
          <w:p w:rsidR="00F23557" w:rsidRPr="0018156A" w:rsidRDefault="00F23557" w:rsidP="00E46164">
            <w:pPr>
              <w:keepNext/>
              <w:tabs>
                <w:tab w:val="left" w:pos="1080"/>
              </w:tabs>
              <w:spacing w:after="0"/>
              <w:jc w:val="both"/>
            </w:pPr>
          </w:p>
        </w:tc>
        <w:tc>
          <w:tcPr>
            <w:tcW w:w="879" w:type="dxa"/>
          </w:tcPr>
          <w:p w:rsidR="00F23557" w:rsidRPr="0018156A" w:rsidRDefault="00F23557" w:rsidP="00E46164">
            <w:pPr>
              <w:keepNext/>
              <w:tabs>
                <w:tab w:val="left" w:pos="1080"/>
              </w:tabs>
              <w:spacing w:after="0"/>
              <w:jc w:val="both"/>
            </w:pPr>
          </w:p>
        </w:tc>
        <w:tc>
          <w:tcPr>
            <w:tcW w:w="879" w:type="dxa"/>
          </w:tcPr>
          <w:p w:rsidR="00F23557" w:rsidRPr="0018156A" w:rsidRDefault="00F23557" w:rsidP="00E46164">
            <w:pPr>
              <w:keepNext/>
              <w:tabs>
                <w:tab w:val="left" w:pos="1080"/>
              </w:tabs>
              <w:spacing w:after="0"/>
              <w:jc w:val="both"/>
            </w:pPr>
          </w:p>
        </w:tc>
      </w:tr>
      <w:tr w:rsidR="00F23557" w:rsidRPr="0018156A" w:rsidTr="00E46164">
        <w:tc>
          <w:tcPr>
            <w:tcW w:w="2954" w:type="dxa"/>
          </w:tcPr>
          <w:p w:rsidR="00F23557" w:rsidRPr="0018156A" w:rsidRDefault="00E46164" w:rsidP="00E46164">
            <w:pPr>
              <w:keepNext/>
              <w:tabs>
                <w:tab w:val="left" w:pos="1080"/>
              </w:tabs>
              <w:spacing w:after="0"/>
              <w:jc w:val="both"/>
            </w:pPr>
            <w:r>
              <w:t>Jan-June</w:t>
            </w:r>
            <w:r w:rsidR="00F23557" w:rsidRPr="0018156A">
              <w:t>, 2016 Spread</w:t>
            </w:r>
          </w:p>
        </w:tc>
        <w:tc>
          <w:tcPr>
            <w:tcW w:w="840" w:type="dxa"/>
          </w:tcPr>
          <w:p w:rsidR="00F23557" w:rsidRPr="0018156A" w:rsidRDefault="00F23557" w:rsidP="00D354F8">
            <w:pPr>
              <w:keepNext/>
              <w:tabs>
                <w:tab w:val="left" w:pos="1080"/>
              </w:tabs>
              <w:spacing w:after="0"/>
              <w:jc w:val="both"/>
            </w:pPr>
            <w:r w:rsidRPr="0018156A">
              <w:t>1.</w:t>
            </w:r>
            <w:r>
              <w:t>3</w:t>
            </w:r>
            <w:r w:rsidR="00D354F8">
              <w:t>9</w:t>
            </w:r>
            <w:r w:rsidRPr="0018156A">
              <w:t>%</w:t>
            </w:r>
          </w:p>
        </w:tc>
        <w:tc>
          <w:tcPr>
            <w:tcW w:w="840" w:type="dxa"/>
          </w:tcPr>
          <w:p w:rsidR="00F23557" w:rsidRPr="0018156A" w:rsidRDefault="00F23557" w:rsidP="00E46164">
            <w:pPr>
              <w:keepNext/>
              <w:tabs>
                <w:tab w:val="left" w:pos="1080"/>
              </w:tabs>
              <w:spacing w:after="0"/>
              <w:jc w:val="both"/>
            </w:pPr>
            <w:r w:rsidRPr="0018156A">
              <w:t>2.</w:t>
            </w:r>
            <w:r>
              <w:t>30</w:t>
            </w:r>
            <w:r w:rsidRPr="0018156A">
              <w:t>%</w:t>
            </w:r>
          </w:p>
        </w:tc>
        <w:tc>
          <w:tcPr>
            <w:tcW w:w="879" w:type="dxa"/>
          </w:tcPr>
          <w:p w:rsidR="00F23557" w:rsidRPr="0018156A" w:rsidRDefault="00F23557" w:rsidP="00E46164">
            <w:pPr>
              <w:keepNext/>
              <w:tabs>
                <w:tab w:val="left" w:pos="1080"/>
              </w:tabs>
              <w:spacing w:after="0"/>
              <w:jc w:val="both"/>
            </w:pPr>
            <w:r w:rsidRPr="0018156A">
              <w:t>1.</w:t>
            </w:r>
            <w:r>
              <w:t>12</w:t>
            </w:r>
            <w:r w:rsidRPr="0018156A">
              <w:t>%</w:t>
            </w:r>
          </w:p>
        </w:tc>
        <w:tc>
          <w:tcPr>
            <w:tcW w:w="879" w:type="dxa"/>
          </w:tcPr>
          <w:p w:rsidR="00F23557" w:rsidRPr="0018156A" w:rsidRDefault="00F23557" w:rsidP="00E46164">
            <w:pPr>
              <w:keepNext/>
              <w:tabs>
                <w:tab w:val="left" w:pos="1080"/>
              </w:tabs>
              <w:spacing w:after="0"/>
              <w:jc w:val="both"/>
            </w:pPr>
            <w:r w:rsidRPr="0018156A">
              <w:t>2.</w:t>
            </w:r>
            <w:r>
              <w:t>34</w:t>
            </w:r>
            <w:r w:rsidRPr="0018156A">
              <w:t>%</w:t>
            </w:r>
          </w:p>
        </w:tc>
      </w:tr>
      <w:tr w:rsidR="00F23557" w:rsidRPr="0018156A" w:rsidTr="00E46164">
        <w:tc>
          <w:tcPr>
            <w:tcW w:w="6392" w:type="dxa"/>
            <w:gridSpan w:val="5"/>
          </w:tcPr>
          <w:p w:rsidR="00F23557" w:rsidRPr="0018156A" w:rsidRDefault="00F23557" w:rsidP="00E46164">
            <w:pPr>
              <w:keepNext/>
              <w:tabs>
                <w:tab w:val="left" w:pos="1080"/>
              </w:tabs>
              <w:spacing w:after="0"/>
              <w:jc w:val="both"/>
            </w:pPr>
            <w:r w:rsidRPr="0018156A">
              <w:t>___________________</w:t>
            </w:r>
          </w:p>
          <w:p w:rsidR="00F23557" w:rsidRPr="00A75B9F" w:rsidRDefault="00F23557" w:rsidP="00E46164">
            <w:pPr>
              <w:keepNext/>
              <w:tabs>
                <w:tab w:val="left" w:pos="1080"/>
              </w:tabs>
              <w:spacing w:after="0"/>
            </w:pPr>
            <w:r w:rsidRPr="0018156A">
              <w:rPr>
                <w:sz w:val="20"/>
              </w:rPr>
              <w:t>Source</w:t>
            </w:r>
            <w:r w:rsidRPr="00F67C5A">
              <w:rPr>
                <w:sz w:val="20"/>
              </w:rPr>
              <w:t xml:space="preserve">:   </w:t>
            </w:r>
            <w:r w:rsidRPr="00F67C5A">
              <w:rPr>
                <w:rFonts w:eastAsia="Times New Roman"/>
              </w:rPr>
              <w:t>Exhibit No</w:t>
            </w:r>
            <w:proofErr w:type="gramStart"/>
            <w:r w:rsidRPr="00F67C5A">
              <w:rPr>
                <w:rFonts w:eastAsia="Times New Roman"/>
              </w:rPr>
              <w:t xml:space="preserve">. </w:t>
            </w:r>
            <w:proofErr w:type="gramEnd"/>
            <w:r w:rsidRPr="00F67C5A">
              <w:rPr>
                <w:rFonts w:eastAsia="Times New Roman"/>
              </w:rPr>
              <w:t>MPG-16</w:t>
            </w:r>
            <w:r w:rsidRPr="00F67C5A">
              <w:t>.</w:t>
            </w:r>
          </w:p>
          <w:p w:rsidR="00F23557" w:rsidRPr="0018156A" w:rsidRDefault="00F23557" w:rsidP="00E46164">
            <w:pPr>
              <w:keepNext/>
              <w:tabs>
                <w:tab w:val="left" w:pos="1080"/>
              </w:tabs>
              <w:spacing w:after="0"/>
              <w:rPr>
                <w:sz w:val="20"/>
              </w:rPr>
            </w:pPr>
          </w:p>
        </w:tc>
      </w:tr>
    </w:tbl>
    <w:p w:rsidR="00F23557" w:rsidRPr="0018156A" w:rsidRDefault="00F23557" w:rsidP="00F23557">
      <w:pPr>
        <w:tabs>
          <w:tab w:val="left" w:pos="1440"/>
        </w:tabs>
        <w:spacing w:before="240" w:after="0" w:line="480" w:lineRule="auto"/>
        <w:ind w:left="720" w:hanging="720"/>
        <w:jc w:val="both"/>
      </w:pPr>
      <w:r w:rsidRPr="0018156A">
        <w:tab/>
      </w:r>
      <w:r w:rsidRPr="0018156A">
        <w:tab/>
        <w:t xml:space="preserve">The observable yield spreads shown in the table above illustrate securities of greater risk have above average risk premiums relative to the long-term historical average risk premium.  Specifically, A-rated utility bonds to Treasuries, a relatively low-risk investment, have a yield spread in 2016 that </w:t>
      </w:r>
      <w:r>
        <w:t>is</w:t>
      </w:r>
      <w:r w:rsidRPr="0018156A">
        <w:t xml:space="preserve"> comparable to</w:t>
      </w:r>
      <w:r>
        <w:t xml:space="preserve"> but below the</w:t>
      </w:r>
      <w:r w:rsidRPr="0018156A">
        <w:t xml:space="preserve"> long-term historical yield spread.  This is an indication that low risk investments like </w:t>
      </w:r>
      <w:proofErr w:type="gramStart"/>
      <w:r w:rsidRPr="0018156A">
        <w:t>Aaa</w:t>
      </w:r>
      <w:proofErr w:type="gramEnd"/>
      <w:r w:rsidRPr="0018156A">
        <w:t xml:space="preserve"> corporate bond yield and A-rated utility bond yield have premium values relative to minimal risk Treasury securities.  </w:t>
      </w:r>
    </w:p>
    <w:p w:rsidR="00F23557" w:rsidRPr="0018156A" w:rsidRDefault="00F23557" w:rsidP="00F23557">
      <w:pPr>
        <w:tabs>
          <w:tab w:val="left" w:pos="1440"/>
        </w:tabs>
        <w:spacing w:after="0" w:line="480" w:lineRule="auto"/>
        <w:ind w:left="720" w:hanging="720"/>
        <w:jc w:val="both"/>
      </w:pPr>
      <w:r>
        <w:tab/>
      </w:r>
      <w:r>
        <w:tab/>
      </w:r>
      <w:r w:rsidRPr="0018156A">
        <w:t xml:space="preserve">In contrast, the higher risk Baa utility and corporate bond yields currently have an above-average yield spread of approximately </w:t>
      </w:r>
      <w:r>
        <w:t>35</w:t>
      </w:r>
      <w:r w:rsidRPr="0018156A">
        <w:t> basis points (2.</w:t>
      </w:r>
      <w:r>
        <w:t>30</w:t>
      </w:r>
      <w:r w:rsidRPr="0018156A">
        <w:t>% vs. 1.9</w:t>
      </w:r>
      <w:r>
        <w:t>6</w:t>
      </w:r>
      <w:r w:rsidRPr="0018156A">
        <w:t>%).  The higher risk Baa utility bond yields do not have the same premium valuations as their lower risk A-rated utility bond yields, and thus the yield spread for greater risk investments is wider than lower risk investments.</w:t>
      </w:r>
    </w:p>
    <w:p w:rsidR="00F23557" w:rsidRPr="0018156A" w:rsidRDefault="00F23557" w:rsidP="00F23557">
      <w:pPr>
        <w:tabs>
          <w:tab w:val="left" w:pos="1440"/>
        </w:tabs>
        <w:spacing w:after="0" w:line="480" w:lineRule="auto"/>
        <w:ind w:left="720" w:hanging="720"/>
        <w:jc w:val="both"/>
      </w:pPr>
      <w:r w:rsidRPr="0018156A">
        <w:tab/>
      </w:r>
      <w:r w:rsidRPr="0018156A">
        <w:tab/>
        <w:t xml:space="preserve">This illustrates securities with greater risk such as Baa yields versus </w:t>
      </w:r>
      <w:proofErr w:type="gramStart"/>
      <w:r w:rsidRPr="0018156A">
        <w:t>A</w:t>
      </w:r>
      <w:proofErr w:type="gramEnd"/>
      <w:r w:rsidRPr="0018156A">
        <w:t xml:space="preserve"> yields are commanding above average risk premium spreads in the current marketplace.  </w:t>
      </w:r>
      <w:r w:rsidRPr="0018156A">
        <w:lastRenderedPageBreak/>
        <w:t>Utility equity securities are greater risk than Baa utility bonds.  Because greater risk securities appear to support an above-average risk premium relative to historical averages, this would support an above-average risk premium in measuring a fair return on equity for a utility stock or equity security.</w:t>
      </w:r>
    </w:p>
    <w:p w:rsidR="00F23557" w:rsidRPr="0018156A" w:rsidRDefault="00F23557" w:rsidP="00F23557">
      <w:pPr>
        <w:tabs>
          <w:tab w:val="left" w:pos="1440"/>
        </w:tabs>
        <w:ind w:left="720" w:hanging="720"/>
        <w:jc w:val="both"/>
        <w:rPr>
          <w:b/>
        </w:rPr>
      </w:pPr>
      <w:r w:rsidRPr="0018156A">
        <w:rPr>
          <w:b/>
        </w:rPr>
        <w:t>Q</w:t>
      </w:r>
      <w:r>
        <w:rPr>
          <w:b/>
        </w:rPr>
        <w:t>.</w:t>
      </w:r>
      <w:r w:rsidRPr="0018156A">
        <w:rPr>
          <w:b/>
        </w:rPr>
        <w:tab/>
        <w:t xml:space="preserve">WHAT IS YOUR RECOMMENDED RETURN FOR </w:t>
      </w:r>
      <w:r>
        <w:rPr>
          <w:b/>
        </w:rPr>
        <w:t>AVISTA</w:t>
      </w:r>
      <w:r w:rsidRPr="0018156A">
        <w:rPr>
          <w:b/>
        </w:rPr>
        <w:t xml:space="preserve"> BASED ON YOUR RISK PREMIUM STUDY? </w:t>
      </w:r>
    </w:p>
    <w:p w:rsidR="00F23557" w:rsidRDefault="00F23557" w:rsidP="00F23557">
      <w:pPr>
        <w:tabs>
          <w:tab w:val="left" w:pos="1440"/>
        </w:tabs>
        <w:spacing w:after="0" w:line="480" w:lineRule="auto"/>
        <w:ind w:left="720" w:hanging="720"/>
        <w:jc w:val="both"/>
      </w:pPr>
      <w:r w:rsidRPr="00272C05">
        <w:rPr>
          <w:rFonts w:eastAsia="Times New Roman"/>
          <w:b/>
          <w:szCs w:val="24"/>
        </w:rPr>
        <w:t>A.</w:t>
      </w:r>
      <w:r w:rsidRPr="0018156A">
        <w:tab/>
        <w:t>To be conservative, I am recommending more weight to the high-end risk premium estimates than the low-end.  I state this because of the relatively low level of interest rates now but relative upward movements of utility yields more recently.  Hence, I propose to provide 75% weight to my high-end risk premium estimates and 25% to the low</w:t>
      </w:r>
      <w:r w:rsidRPr="0018156A">
        <w:noBreakHyphen/>
        <w:t>end.  Applying these weights, the risk premium for Treasury bond yields would be approximately 6.1%</w:t>
      </w:r>
      <w:proofErr w:type="gramStart"/>
      <w:r w:rsidRPr="0018156A">
        <w:t>,</w:t>
      </w:r>
      <w:proofErr w:type="gramEnd"/>
      <w:r w:rsidRPr="001D39D7">
        <w:rPr>
          <w:u w:val="single"/>
          <w:vertAlign w:val="superscript"/>
        </w:rPr>
        <w:footnoteReference w:id="23"/>
      </w:r>
      <w:r w:rsidRPr="00A26064">
        <w:rPr>
          <w:rFonts w:cs="Arial"/>
          <w:color w:val="000000"/>
          <w:vertAlign w:val="superscript"/>
        </w:rPr>
        <w:t>/</w:t>
      </w:r>
      <w:r w:rsidRPr="0018156A">
        <w:t xml:space="preserve"> which is considerably higher than the 31</w:t>
      </w:r>
      <w:r w:rsidRPr="0018156A">
        <w:noBreakHyphen/>
        <w:t xml:space="preserve">year average risk premium of 5.46% and reasonably reflective of the 3.4% projected Treasury bond yield.  A Treasury bond risk premium of 6.1% and projected Treasury bond yield of 3.4% produce a risk premium estimate of 9.50%.  </w:t>
      </w:r>
    </w:p>
    <w:p w:rsidR="00F23557" w:rsidRPr="0018156A" w:rsidRDefault="00F23557" w:rsidP="00F23557">
      <w:pPr>
        <w:tabs>
          <w:tab w:val="left" w:pos="1440"/>
        </w:tabs>
        <w:spacing w:after="0" w:line="480" w:lineRule="auto"/>
        <w:ind w:left="720" w:hanging="720"/>
        <w:jc w:val="both"/>
      </w:pPr>
      <w:r>
        <w:rPr>
          <w:rFonts w:eastAsia="Times New Roman"/>
          <w:b/>
          <w:szCs w:val="24"/>
        </w:rPr>
        <w:tab/>
      </w:r>
      <w:r>
        <w:rPr>
          <w:rFonts w:eastAsia="Times New Roman"/>
          <w:b/>
          <w:szCs w:val="24"/>
        </w:rPr>
        <w:tab/>
      </w:r>
      <w:r w:rsidRPr="0018156A">
        <w:t>Similarly, applying these weights to the utility risk premium indicates a risk premium of 4.9%.</w:t>
      </w:r>
      <w:r w:rsidRPr="001D39D7">
        <w:rPr>
          <w:u w:val="single"/>
          <w:vertAlign w:val="superscript"/>
        </w:rPr>
        <w:footnoteReference w:id="24"/>
      </w:r>
      <w:proofErr w:type="gramStart"/>
      <w:r w:rsidRPr="00A26064">
        <w:rPr>
          <w:rFonts w:cs="Arial"/>
          <w:color w:val="000000"/>
          <w:vertAlign w:val="superscript"/>
        </w:rPr>
        <w:t>/</w:t>
      </w:r>
      <w:r w:rsidRPr="0018156A">
        <w:t xml:space="preserve">  This</w:t>
      </w:r>
      <w:proofErr w:type="gramEnd"/>
      <w:r w:rsidRPr="0018156A">
        <w:t xml:space="preserve"> risk premium is above the 31-year historical average risk premium of 4.08%.  This risk premium in connection with the current Baa observable utility bond yield of 4.</w:t>
      </w:r>
      <w:r>
        <w:t>43</w:t>
      </w:r>
      <w:r w:rsidRPr="0018156A">
        <w:t>% produces an e</w:t>
      </w:r>
      <w:r>
        <w:t>stimated return on equity of 9.30</w:t>
      </w:r>
      <w:r w:rsidRPr="0018156A">
        <w:t>%.</w:t>
      </w:r>
    </w:p>
    <w:p w:rsidR="00F23557" w:rsidRPr="0018156A" w:rsidRDefault="00F23557" w:rsidP="00F23557">
      <w:pPr>
        <w:tabs>
          <w:tab w:val="left" w:pos="1440"/>
        </w:tabs>
        <w:spacing w:line="480" w:lineRule="auto"/>
        <w:ind w:left="720" w:hanging="720"/>
        <w:jc w:val="both"/>
        <w:rPr>
          <w:szCs w:val="24"/>
        </w:rPr>
      </w:pPr>
      <w:r>
        <w:tab/>
      </w:r>
      <w:r>
        <w:tab/>
      </w:r>
      <w:r w:rsidRPr="0018156A">
        <w:t>Based on this methodology, my Treasury bond risk premium is 9.50% and my utility bond risk premium indicates a return of 9.</w:t>
      </w:r>
      <w:r>
        <w:t>3</w:t>
      </w:r>
      <w:r w:rsidRPr="0018156A">
        <w:t>0%.  Hence, this methodology produces a return on equity in the range of 9.50% to 9.</w:t>
      </w:r>
      <w:r>
        <w:t>3</w:t>
      </w:r>
      <w:r w:rsidRPr="0018156A">
        <w:t>0% with a midpoint of 9.</w:t>
      </w:r>
      <w:r>
        <w:t>40</w:t>
      </w:r>
      <w:r w:rsidRPr="0018156A">
        <w:t>%.</w:t>
      </w:r>
    </w:p>
    <w:p w:rsidR="00F23557" w:rsidRPr="0018156A" w:rsidRDefault="00F23557" w:rsidP="00F23557">
      <w:pPr>
        <w:pStyle w:val="Heading1"/>
        <w:tabs>
          <w:tab w:val="left" w:pos="1440"/>
        </w:tabs>
      </w:pPr>
      <w:bookmarkStart w:id="261" w:name="_Toc393285054"/>
      <w:bookmarkStart w:id="262" w:name="_Toc394736483"/>
      <w:bookmarkStart w:id="263" w:name="_Toc402509732"/>
      <w:bookmarkStart w:id="264" w:name="_Toc405535364"/>
      <w:bookmarkStart w:id="265" w:name="_Toc414118684"/>
      <w:bookmarkStart w:id="266" w:name="_Toc415559767"/>
      <w:bookmarkStart w:id="267" w:name="_Toc421885250"/>
      <w:bookmarkStart w:id="268" w:name="_Toc424565053"/>
      <w:bookmarkStart w:id="269" w:name="_Toc436160509"/>
      <w:bookmarkStart w:id="270" w:name="_Toc441820281"/>
      <w:bookmarkStart w:id="271" w:name="_Toc452467729"/>
      <w:bookmarkStart w:id="272" w:name="_Toc456345620"/>
      <w:bookmarkStart w:id="273" w:name="_Toc457315620"/>
      <w:bookmarkStart w:id="274" w:name="_Toc458774161"/>
      <w:bookmarkStart w:id="275" w:name="_Toc368924934"/>
      <w:bookmarkStart w:id="276" w:name="_Toc375225373"/>
      <w:bookmarkStart w:id="277" w:name="_Toc384800475"/>
      <w:r w:rsidRPr="0018156A">
        <w:lastRenderedPageBreak/>
        <w:t>I</w:t>
      </w:r>
      <w:r>
        <w:t>II</w:t>
      </w:r>
      <w:r w:rsidRPr="0018156A">
        <w:t>.F</w:t>
      </w:r>
      <w:proofErr w:type="gramStart"/>
      <w:r w:rsidRPr="0018156A">
        <w:t>.  Capital</w:t>
      </w:r>
      <w:proofErr w:type="gramEnd"/>
      <w:r w:rsidRPr="0018156A">
        <w:t xml:space="preserve"> Asset Pricing Model (“CAPM”)</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75"/>
    <w:bookmarkEnd w:id="276"/>
    <w:bookmarkEnd w:id="277"/>
    <w:p w:rsidR="00F23557" w:rsidRPr="0018156A" w:rsidRDefault="00F23557" w:rsidP="00F23557">
      <w:pPr>
        <w:keepNext/>
        <w:keepLines/>
        <w:tabs>
          <w:tab w:val="left" w:pos="1440"/>
        </w:tabs>
        <w:ind w:left="720" w:hanging="720"/>
        <w:jc w:val="both"/>
        <w:rPr>
          <w:b/>
        </w:rPr>
      </w:pPr>
      <w:r w:rsidRPr="0018156A">
        <w:rPr>
          <w:b/>
        </w:rPr>
        <w:t>Q</w:t>
      </w:r>
      <w:r>
        <w:rPr>
          <w:b/>
        </w:rPr>
        <w:t>.</w:t>
      </w:r>
      <w:r w:rsidRPr="0018156A">
        <w:rPr>
          <w:b/>
        </w:rPr>
        <w:tab/>
        <w:t>PLEASE DESCRIBE THE CAPM.</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tab/>
        <w:t>The CAPM method of analysis is based upon the theory that the market-required rate of return for a security is equal to the risk-free rate, plus a risk premium associated with the specific security.  This relationship between risk and return can be expressed mathematically as follows:</w:t>
      </w:r>
    </w:p>
    <w:p w:rsidR="00F23557" w:rsidRPr="0018156A" w:rsidRDefault="00F23557" w:rsidP="00F23557">
      <w:pPr>
        <w:tabs>
          <w:tab w:val="left" w:pos="1440"/>
        </w:tabs>
        <w:spacing w:after="0" w:line="480" w:lineRule="auto"/>
        <w:ind w:left="720" w:hanging="720"/>
        <w:jc w:val="both"/>
      </w:pPr>
      <w:r w:rsidRPr="0018156A">
        <w:tab/>
      </w:r>
      <w:r w:rsidRPr="0018156A">
        <w:tab/>
      </w:r>
      <w:proofErr w:type="gramStart"/>
      <w:r w:rsidRPr="0018156A">
        <w:t>R</w:t>
      </w:r>
      <w:r w:rsidRPr="0018156A">
        <w:rPr>
          <w:vertAlign w:val="subscript"/>
        </w:rPr>
        <w:t>i</w:t>
      </w:r>
      <w:proofErr w:type="gramEnd"/>
      <w:r w:rsidRPr="0018156A">
        <w:t xml:space="preserve"> = R</w:t>
      </w:r>
      <w:r w:rsidRPr="0018156A">
        <w:rPr>
          <w:vertAlign w:val="subscript"/>
        </w:rPr>
        <w:t>f</w:t>
      </w:r>
      <w:r w:rsidRPr="0018156A">
        <w:t xml:space="preserve"> + B</w:t>
      </w:r>
      <w:r w:rsidRPr="0018156A">
        <w:rPr>
          <w:vertAlign w:val="subscript"/>
        </w:rPr>
        <w:t>i</w:t>
      </w:r>
      <w:r w:rsidRPr="0018156A">
        <w:t xml:space="preserve"> x (R</w:t>
      </w:r>
      <w:r w:rsidRPr="0018156A">
        <w:rPr>
          <w:vertAlign w:val="subscript"/>
        </w:rPr>
        <w:t>m</w:t>
      </w:r>
      <w:r w:rsidRPr="0018156A">
        <w:t xml:space="preserve"> - R</w:t>
      </w:r>
      <w:r w:rsidRPr="0018156A">
        <w:rPr>
          <w:vertAlign w:val="subscript"/>
        </w:rPr>
        <w:t>f</w:t>
      </w:r>
      <w:r w:rsidRPr="0018156A">
        <w:t>) where:</w:t>
      </w:r>
    </w:p>
    <w:p w:rsidR="00F23557" w:rsidRPr="0018156A" w:rsidRDefault="00F23557" w:rsidP="00F23557">
      <w:pPr>
        <w:tabs>
          <w:tab w:val="left" w:pos="1440"/>
          <w:tab w:val="left" w:pos="2160"/>
          <w:tab w:val="left" w:pos="2520"/>
        </w:tabs>
        <w:ind w:left="720" w:hanging="720"/>
        <w:jc w:val="both"/>
      </w:pPr>
      <w:r w:rsidRPr="0018156A">
        <w:tab/>
      </w:r>
      <w:r w:rsidRPr="0018156A">
        <w:tab/>
      </w:r>
      <w:r w:rsidRPr="0018156A">
        <w:tab/>
      </w:r>
      <w:proofErr w:type="gramStart"/>
      <w:r w:rsidRPr="0018156A">
        <w:t>R</w:t>
      </w:r>
      <w:r w:rsidRPr="0018156A">
        <w:rPr>
          <w:vertAlign w:val="subscript"/>
        </w:rPr>
        <w:t>i</w:t>
      </w:r>
      <w:proofErr w:type="gramEnd"/>
      <w:r w:rsidRPr="0018156A">
        <w:tab/>
        <w:t xml:space="preserve">= </w:t>
      </w:r>
      <w:r w:rsidRPr="0018156A">
        <w:tab/>
        <w:t>Required return for stock i</w:t>
      </w:r>
    </w:p>
    <w:p w:rsidR="00F23557" w:rsidRPr="0018156A" w:rsidRDefault="00F23557" w:rsidP="00F23557">
      <w:pPr>
        <w:tabs>
          <w:tab w:val="left" w:pos="1440"/>
          <w:tab w:val="left" w:pos="2160"/>
          <w:tab w:val="left" w:pos="2520"/>
        </w:tabs>
        <w:ind w:left="720" w:hanging="720"/>
        <w:jc w:val="both"/>
      </w:pPr>
      <w:r w:rsidRPr="0018156A">
        <w:tab/>
      </w:r>
      <w:r w:rsidRPr="0018156A">
        <w:tab/>
      </w:r>
      <w:r w:rsidRPr="0018156A">
        <w:tab/>
      </w:r>
      <w:proofErr w:type="gramStart"/>
      <w:r w:rsidRPr="0018156A">
        <w:t>R</w:t>
      </w:r>
      <w:r w:rsidRPr="0018156A">
        <w:rPr>
          <w:vertAlign w:val="subscript"/>
        </w:rPr>
        <w:t>f</w:t>
      </w:r>
      <w:proofErr w:type="gramEnd"/>
      <w:r w:rsidRPr="0018156A">
        <w:tab/>
        <w:t>=</w:t>
      </w:r>
      <w:r w:rsidRPr="0018156A">
        <w:tab/>
        <w:t>Risk-free rate</w:t>
      </w:r>
    </w:p>
    <w:p w:rsidR="00F23557" w:rsidRPr="0018156A" w:rsidRDefault="00F23557" w:rsidP="00F23557">
      <w:pPr>
        <w:tabs>
          <w:tab w:val="left" w:pos="1440"/>
          <w:tab w:val="left" w:pos="2160"/>
          <w:tab w:val="left" w:pos="2520"/>
        </w:tabs>
        <w:ind w:left="720" w:hanging="720"/>
        <w:jc w:val="both"/>
      </w:pPr>
      <w:r w:rsidRPr="0018156A">
        <w:tab/>
      </w:r>
      <w:r w:rsidRPr="0018156A">
        <w:tab/>
      </w:r>
      <w:r w:rsidRPr="0018156A">
        <w:tab/>
        <w:t>R</w:t>
      </w:r>
      <w:r w:rsidRPr="0018156A">
        <w:rPr>
          <w:vertAlign w:val="subscript"/>
        </w:rPr>
        <w:t>m</w:t>
      </w:r>
      <w:r w:rsidRPr="0018156A">
        <w:tab/>
        <w:t xml:space="preserve">= </w:t>
      </w:r>
      <w:r w:rsidRPr="0018156A">
        <w:tab/>
        <w:t>Expected return for the market portfolio</w:t>
      </w:r>
    </w:p>
    <w:p w:rsidR="00F23557" w:rsidRPr="0018156A" w:rsidRDefault="00F23557" w:rsidP="00F23557">
      <w:pPr>
        <w:tabs>
          <w:tab w:val="left" w:pos="1440"/>
          <w:tab w:val="left" w:pos="2160"/>
          <w:tab w:val="left" w:pos="2520"/>
        </w:tabs>
        <w:spacing w:after="0" w:line="480" w:lineRule="auto"/>
        <w:ind w:left="720" w:hanging="720"/>
        <w:jc w:val="both"/>
      </w:pPr>
      <w:r w:rsidRPr="0018156A">
        <w:tab/>
      </w:r>
      <w:r w:rsidRPr="0018156A">
        <w:tab/>
      </w:r>
      <w:r w:rsidRPr="0018156A">
        <w:tab/>
        <w:t>B</w:t>
      </w:r>
      <w:r w:rsidRPr="0018156A">
        <w:rPr>
          <w:vertAlign w:val="subscript"/>
        </w:rPr>
        <w:t>i</w:t>
      </w:r>
      <w:r w:rsidRPr="0018156A">
        <w:tab/>
        <w:t xml:space="preserve">= </w:t>
      </w:r>
      <w:r w:rsidRPr="0018156A">
        <w:tab/>
        <w:t>Beta - Measure of the risk for stock</w:t>
      </w:r>
    </w:p>
    <w:p w:rsidR="00F23557" w:rsidRPr="0018156A" w:rsidRDefault="00F23557" w:rsidP="00F23557">
      <w:pPr>
        <w:tabs>
          <w:tab w:val="left" w:pos="1440"/>
        </w:tabs>
        <w:spacing w:after="0" w:line="480" w:lineRule="auto"/>
        <w:ind w:left="720" w:hanging="720"/>
        <w:jc w:val="both"/>
      </w:pPr>
      <w:r w:rsidRPr="0018156A">
        <w:tab/>
      </w:r>
      <w:r w:rsidRPr="0018156A">
        <w:tab/>
        <w:t>The stock-specific risk term in the above equation is beta.  Beta represents the investment risk that cannot be diversified away when the security is held in a diversified portfolio.  When stocks are held in a diversified portfolio, firm-specific risks can be eliminated by balancing the portfolio with securities that react in the opposite direction to firm-specific risk factors (e.g., business cycle, competition, product mix, and production limitations).</w:t>
      </w:r>
    </w:p>
    <w:p w:rsidR="00F23557" w:rsidRPr="0018156A" w:rsidRDefault="00F23557" w:rsidP="00F23557">
      <w:pPr>
        <w:tabs>
          <w:tab w:val="left" w:pos="1440"/>
        </w:tabs>
        <w:spacing w:after="0" w:line="480" w:lineRule="auto"/>
        <w:ind w:left="720" w:hanging="720"/>
        <w:jc w:val="both"/>
      </w:pPr>
      <w:r w:rsidRPr="0018156A">
        <w:tab/>
      </w:r>
      <w:r w:rsidRPr="0018156A">
        <w:tab/>
        <w:t xml:space="preserve">The risks that cannot be eliminated when held in a diversified portfolio are non-diversifiable risks.  Non-diversifiable risks are related to the market in general and referred to as systematic risks.  Risks that can be eliminated by diversification are non-systematic risks.  In a broad sense, systematic risks are market risks and non-systematic risks are business risks.  The CAPM theory suggests the market will not compensate investors for assuming risks that can be diversified away.  Therefore, the </w:t>
      </w:r>
      <w:r w:rsidRPr="0018156A">
        <w:lastRenderedPageBreak/>
        <w:t>only risk investors will be compensated for are systematic or non</w:t>
      </w:r>
      <w:r w:rsidRPr="0018156A">
        <w:noBreakHyphen/>
        <w:t>diversifiable risks.  The beta is a measure of the systematic or non</w:t>
      </w:r>
      <w:r w:rsidRPr="0018156A">
        <w:noBreakHyphen/>
        <w:t>diversifiable risks.</w:t>
      </w:r>
    </w:p>
    <w:p w:rsidR="00F23557" w:rsidRPr="0018156A" w:rsidRDefault="00F23557" w:rsidP="00F23557">
      <w:pPr>
        <w:tabs>
          <w:tab w:val="left" w:pos="1440"/>
        </w:tabs>
        <w:ind w:left="720" w:hanging="720"/>
        <w:jc w:val="both"/>
        <w:rPr>
          <w:b/>
        </w:rPr>
      </w:pPr>
      <w:r w:rsidRPr="0018156A">
        <w:rPr>
          <w:b/>
        </w:rPr>
        <w:t>Q</w:t>
      </w:r>
      <w:r>
        <w:rPr>
          <w:b/>
        </w:rPr>
        <w:t>.</w:t>
      </w:r>
      <w:r w:rsidRPr="0018156A">
        <w:rPr>
          <w:b/>
        </w:rPr>
        <w:tab/>
      </w:r>
      <w:r w:rsidRPr="00230FEB">
        <w:rPr>
          <w:rFonts w:eastAsia="Times New Roman"/>
          <w:b/>
          <w:szCs w:val="24"/>
        </w:rPr>
        <w:t>PLEASE</w:t>
      </w:r>
      <w:r w:rsidRPr="0018156A">
        <w:rPr>
          <w:b/>
        </w:rPr>
        <w:t xml:space="preserve"> DESCRIBE THE INPUTS TO YOUR CAPM.</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rPr>
          <w:b/>
        </w:rPr>
        <w:tab/>
      </w:r>
      <w:r w:rsidRPr="0018156A">
        <w:t>The CAPM requires an estimate of the market risk-free rate, the Company’s beta, and the market risk premium.</w:t>
      </w:r>
    </w:p>
    <w:p w:rsidR="00F23557" w:rsidRPr="0018156A" w:rsidRDefault="00F23557" w:rsidP="00F23557">
      <w:pPr>
        <w:tabs>
          <w:tab w:val="left" w:pos="1440"/>
        </w:tabs>
        <w:ind w:left="720" w:hanging="720"/>
        <w:jc w:val="both"/>
        <w:rPr>
          <w:b/>
        </w:rPr>
      </w:pPr>
      <w:r w:rsidRPr="0018156A">
        <w:rPr>
          <w:b/>
        </w:rPr>
        <w:t>Q</w:t>
      </w:r>
      <w:r>
        <w:rPr>
          <w:b/>
        </w:rPr>
        <w:t>.</w:t>
      </w:r>
      <w:r w:rsidRPr="0018156A">
        <w:rPr>
          <w:b/>
        </w:rPr>
        <w:tab/>
      </w:r>
      <w:r w:rsidRPr="00230FEB">
        <w:rPr>
          <w:rFonts w:eastAsia="Times New Roman"/>
          <w:b/>
          <w:szCs w:val="24"/>
        </w:rPr>
        <w:t>WHAT</w:t>
      </w:r>
      <w:r w:rsidRPr="0018156A">
        <w:rPr>
          <w:b/>
        </w:rPr>
        <w:t xml:space="preserve"> DID YOU USE AS AN ESTIMATE OF THE MARKET RISK-FREE RATE?</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rPr>
          <w:b/>
        </w:rPr>
        <w:tab/>
      </w:r>
      <w:r w:rsidRPr="0018156A">
        <w:t xml:space="preserve">As previously noted, </w:t>
      </w:r>
      <w:r w:rsidRPr="0018156A">
        <w:rPr>
          <w:i/>
        </w:rPr>
        <w:t>Blue Chip Financial Forecasts</w:t>
      </w:r>
      <w:r w:rsidRPr="0018156A">
        <w:t xml:space="preserve">’ projected 30-year Treasury bond </w:t>
      </w:r>
      <w:r w:rsidRPr="00F67C5A">
        <w:t>yield is 3.40%.</w:t>
      </w:r>
      <w:r w:rsidRPr="00F67C5A">
        <w:rPr>
          <w:u w:val="single"/>
          <w:vertAlign w:val="superscript"/>
        </w:rPr>
        <w:footnoteReference w:id="25"/>
      </w:r>
      <w:r w:rsidRPr="00F67C5A">
        <w:rPr>
          <w:rFonts w:cs="Arial"/>
          <w:color w:val="000000"/>
          <w:vertAlign w:val="superscript"/>
        </w:rPr>
        <w:t>/</w:t>
      </w:r>
      <w:r w:rsidRPr="00F67C5A">
        <w:t xml:space="preserve">  The current 30-year Treasury bond yield is 2.45%, as shown in </w:t>
      </w:r>
      <w:r w:rsidRPr="00F67C5A">
        <w:rPr>
          <w:rFonts w:eastAsia="Times New Roman"/>
          <w:szCs w:val="24"/>
        </w:rPr>
        <w:t>Exhibit No</w:t>
      </w:r>
      <w:proofErr w:type="gramStart"/>
      <w:r w:rsidRPr="00F67C5A">
        <w:rPr>
          <w:rFonts w:eastAsia="Times New Roman"/>
          <w:szCs w:val="24"/>
        </w:rPr>
        <w:t>. MPG-17</w:t>
      </w:r>
      <w:r w:rsidRPr="00F67C5A">
        <w:t>.</w:t>
      </w:r>
      <w:proofErr w:type="gramEnd"/>
      <w:r w:rsidRPr="00F67C5A">
        <w:t xml:space="preserve">  I used</w:t>
      </w:r>
      <w:r w:rsidRPr="0018156A">
        <w:t xml:space="preserve"> </w:t>
      </w:r>
      <w:r w:rsidRPr="0018156A">
        <w:rPr>
          <w:i/>
        </w:rPr>
        <w:t>Blue Chip Financial Forecasts</w:t>
      </w:r>
      <w:r w:rsidRPr="0018156A">
        <w:t>’ projected 30</w:t>
      </w:r>
      <w:r w:rsidRPr="0018156A">
        <w:noBreakHyphen/>
        <w:t>year Treasury bond yield of 3.40% for my CAPM analysis.</w:t>
      </w:r>
    </w:p>
    <w:p w:rsidR="00F23557" w:rsidRPr="0018156A" w:rsidRDefault="00F23557" w:rsidP="00F23557">
      <w:pPr>
        <w:tabs>
          <w:tab w:val="left" w:pos="1440"/>
        </w:tabs>
        <w:ind w:left="720" w:hanging="720"/>
        <w:jc w:val="both"/>
        <w:rPr>
          <w:b/>
        </w:rPr>
      </w:pPr>
      <w:r w:rsidRPr="0018156A">
        <w:rPr>
          <w:b/>
        </w:rPr>
        <w:t>Q</w:t>
      </w:r>
      <w:r>
        <w:rPr>
          <w:b/>
        </w:rPr>
        <w:t>.</w:t>
      </w:r>
      <w:r w:rsidRPr="0018156A">
        <w:rPr>
          <w:b/>
        </w:rPr>
        <w:tab/>
      </w:r>
      <w:r w:rsidRPr="00230FEB">
        <w:rPr>
          <w:rFonts w:eastAsia="Times New Roman"/>
          <w:b/>
          <w:szCs w:val="24"/>
        </w:rPr>
        <w:t>WHY</w:t>
      </w:r>
      <w:r w:rsidRPr="0018156A">
        <w:rPr>
          <w:b/>
        </w:rPr>
        <w:t xml:space="preserve"> DID YOU USE LONG-TERM TREASURY BOND YIELDS AS AN ESTIMATE OF THE RISK-FREE RATE?</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tab/>
        <w:t xml:space="preserve">Treasury securities are backed by the full faith and credit of the United States government so long-term Treasury bonds are considered to have negligible credit risk.  Also, long-term Treasury bonds have an investment horizon similar to that of common stock.  As a result, investor-anticipated long-run inflation expectations are reflected in both common </w:t>
      </w:r>
      <w:proofErr w:type="gramStart"/>
      <w:r w:rsidRPr="0018156A">
        <w:t>stock</w:t>
      </w:r>
      <w:proofErr w:type="gramEnd"/>
      <w:r w:rsidRPr="0018156A">
        <w:t xml:space="preserve"> required returns and long-term bond yields.  Therefore, the nominal risk-free rate (or expected inflation rate and real risk-free rate) included in a long-term bond yield is a reasonable estimate of the nominal risk-free rate included in common stock returns.</w:t>
      </w:r>
    </w:p>
    <w:p w:rsidR="00F23557" w:rsidRPr="0018156A" w:rsidRDefault="00F23557" w:rsidP="00F23557">
      <w:pPr>
        <w:tabs>
          <w:tab w:val="left" w:pos="1440"/>
        </w:tabs>
        <w:spacing w:after="0" w:line="480" w:lineRule="auto"/>
        <w:ind w:left="720" w:hanging="720"/>
        <w:jc w:val="both"/>
      </w:pPr>
      <w:r w:rsidRPr="0018156A">
        <w:tab/>
      </w:r>
      <w:r w:rsidRPr="0018156A">
        <w:tab/>
        <w:t>Treasury bond yields, however, do include risk premiums related to unanticipated future inflation and interest rates.  A Treasury bond yield is not a risk</w:t>
      </w:r>
      <w:r w:rsidRPr="0018156A">
        <w:noBreakHyphen/>
        <w:t xml:space="preserve">free rate.  Risk premiums related to unanticipated inflation and interest rates are </w:t>
      </w:r>
      <w:r w:rsidRPr="0018156A">
        <w:lastRenderedPageBreak/>
        <w:t>systematic of market risks.  Consequently, for companies with betas less than 1.0, using the Treasury bond yield as a proxy for the risk-free rate in the CAPM analysis can produce an overstated estimate of the CAPM return.</w:t>
      </w:r>
    </w:p>
    <w:p w:rsidR="00F23557" w:rsidRPr="0018156A" w:rsidRDefault="00F23557" w:rsidP="00F23557">
      <w:pPr>
        <w:tabs>
          <w:tab w:val="left" w:pos="1440"/>
        </w:tabs>
        <w:ind w:left="720" w:hanging="720"/>
        <w:jc w:val="both"/>
        <w:rPr>
          <w:b/>
        </w:rPr>
      </w:pPr>
      <w:r w:rsidRPr="0018156A">
        <w:rPr>
          <w:b/>
        </w:rPr>
        <w:t>Q</w:t>
      </w:r>
      <w:r>
        <w:rPr>
          <w:b/>
        </w:rPr>
        <w:t>.</w:t>
      </w:r>
      <w:r w:rsidRPr="0018156A">
        <w:rPr>
          <w:b/>
        </w:rPr>
        <w:tab/>
        <w:t xml:space="preserve">WHAT BETA </w:t>
      </w:r>
      <w:r w:rsidRPr="00230FEB">
        <w:rPr>
          <w:rFonts w:eastAsia="Times New Roman"/>
          <w:b/>
          <w:szCs w:val="24"/>
        </w:rPr>
        <w:t>DID</w:t>
      </w:r>
      <w:r w:rsidRPr="0018156A">
        <w:rPr>
          <w:b/>
        </w:rPr>
        <w:t xml:space="preserve"> YOU USE IN YOUR ANALYSIS?</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rPr>
          <w:b/>
        </w:rPr>
        <w:tab/>
      </w:r>
      <w:r w:rsidRPr="0018156A">
        <w:t xml:space="preserve">As </w:t>
      </w:r>
      <w:r w:rsidRPr="00F67C5A">
        <w:t xml:space="preserve">shown in </w:t>
      </w:r>
      <w:r w:rsidRPr="00F67C5A">
        <w:rPr>
          <w:rFonts w:eastAsia="Times New Roman"/>
          <w:szCs w:val="24"/>
        </w:rPr>
        <w:t>Exhibit No</w:t>
      </w:r>
      <w:proofErr w:type="gramStart"/>
      <w:r w:rsidRPr="00F67C5A">
        <w:rPr>
          <w:rFonts w:eastAsia="Times New Roman"/>
          <w:szCs w:val="24"/>
        </w:rPr>
        <w:t xml:space="preserve">. </w:t>
      </w:r>
      <w:proofErr w:type="gramEnd"/>
      <w:r w:rsidRPr="00F67C5A">
        <w:rPr>
          <w:rFonts w:eastAsia="Times New Roman"/>
          <w:szCs w:val="24"/>
        </w:rPr>
        <w:t>MPG-18</w:t>
      </w:r>
      <w:r w:rsidRPr="00F67C5A">
        <w:t>, the proxy group</w:t>
      </w:r>
      <w:r w:rsidRPr="0018156A">
        <w:t xml:space="preserve"> average </w:t>
      </w:r>
      <w:r w:rsidRPr="0018156A">
        <w:rPr>
          <w:i/>
        </w:rPr>
        <w:t>Value Line</w:t>
      </w:r>
      <w:r w:rsidRPr="0018156A">
        <w:t xml:space="preserve"> beta estimate is 0.7</w:t>
      </w:r>
      <w:r>
        <w:t>2</w:t>
      </w:r>
      <w:r w:rsidRPr="0018156A">
        <w:t>.</w:t>
      </w:r>
    </w:p>
    <w:p w:rsidR="00F23557" w:rsidRPr="0018156A" w:rsidRDefault="00F23557" w:rsidP="00F23557">
      <w:pPr>
        <w:tabs>
          <w:tab w:val="left" w:pos="1440"/>
        </w:tabs>
        <w:ind w:left="720" w:hanging="720"/>
        <w:jc w:val="both"/>
        <w:rPr>
          <w:b/>
        </w:rPr>
      </w:pPr>
      <w:bookmarkStart w:id="278" w:name="_Toc393285055"/>
      <w:bookmarkStart w:id="279" w:name="_Toc394736484"/>
      <w:bookmarkStart w:id="280" w:name="_Toc402509733"/>
      <w:bookmarkStart w:id="281" w:name="_Toc405535365"/>
      <w:bookmarkStart w:id="282" w:name="_Toc414118685"/>
      <w:bookmarkStart w:id="283" w:name="_Toc415559768"/>
      <w:bookmarkStart w:id="284" w:name="_Toc421885251"/>
      <w:bookmarkStart w:id="285" w:name="_Toc424565054"/>
      <w:bookmarkStart w:id="286" w:name="_Toc436160510"/>
      <w:bookmarkStart w:id="287" w:name="_Toc441820282"/>
      <w:bookmarkStart w:id="288" w:name="_Toc452467730"/>
      <w:r w:rsidRPr="0018156A">
        <w:rPr>
          <w:b/>
        </w:rPr>
        <w:t>Q</w:t>
      </w:r>
      <w:r>
        <w:rPr>
          <w:b/>
        </w:rPr>
        <w:t>.</w:t>
      </w:r>
      <w:r w:rsidRPr="0018156A">
        <w:rPr>
          <w:b/>
        </w:rPr>
        <w:tab/>
        <w:t xml:space="preserve">HOW DID YOU </w:t>
      </w:r>
      <w:r w:rsidRPr="00230FEB">
        <w:rPr>
          <w:rFonts w:eastAsia="Times New Roman"/>
          <w:b/>
          <w:szCs w:val="24"/>
        </w:rPr>
        <w:t>DERIVE</w:t>
      </w:r>
      <w:r w:rsidRPr="0018156A">
        <w:rPr>
          <w:b/>
        </w:rPr>
        <w:t xml:space="preserve"> YOUR MARKET RISK PREMIUM ESTIMATE?</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rPr>
          <w:b/>
        </w:rPr>
        <w:tab/>
      </w:r>
      <w:r w:rsidRPr="0018156A">
        <w:t>I derived two market risk premium estimates: a forward-looking estimate and one based on a long-term historical average.</w:t>
      </w:r>
    </w:p>
    <w:p w:rsidR="00F23557" w:rsidRPr="0018156A" w:rsidRDefault="00F23557" w:rsidP="00F23557">
      <w:pPr>
        <w:tabs>
          <w:tab w:val="left" w:pos="1440"/>
        </w:tabs>
        <w:spacing w:after="0" w:line="480" w:lineRule="auto"/>
        <w:ind w:left="720" w:hanging="720"/>
        <w:jc w:val="both"/>
      </w:pPr>
      <w:r w:rsidRPr="0018156A">
        <w:tab/>
      </w:r>
      <w:r w:rsidRPr="0018156A">
        <w:tab/>
        <w:t>The forward-looking estimate was derived by estimating the expected return on the market (as represented by the S&amp;P 500) and subtracting the risk-free rate from this estimate.  I estimated the expected return on the S&amp;P 500 by adding an expected inflation rate to the long-term historical arithmetic average real return on the market.  The real return on the market represents the achieved return above the rate of inflation.</w:t>
      </w:r>
    </w:p>
    <w:p w:rsidR="00F23557" w:rsidRPr="0018156A" w:rsidRDefault="00F23557" w:rsidP="00F23557">
      <w:pPr>
        <w:tabs>
          <w:tab w:val="left" w:pos="1440"/>
        </w:tabs>
        <w:spacing w:after="0" w:line="480" w:lineRule="auto"/>
        <w:ind w:left="720" w:hanging="720"/>
        <w:jc w:val="both"/>
      </w:pPr>
      <w:r w:rsidRPr="0018156A">
        <w:tab/>
      </w:r>
      <w:r w:rsidRPr="0018156A">
        <w:tab/>
        <w:t>Duff &amp; Phelps’</w:t>
      </w:r>
      <w:r w:rsidRPr="0018156A">
        <w:rPr>
          <w:i/>
        </w:rPr>
        <w:t xml:space="preserve"> 2016 Valuation Handbook</w:t>
      </w:r>
      <w:r w:rsidRPr="0018156A">
        <w:t xml:space="preserve"> estimates the historical arithmetic average real market return over the period 1926 to 2015 as 8.7%.</w:t>
      </w:r>
      <w:r w:rsidRPr="001D39D7">
        <w:rPr>
          <w:u w:val="single"/>
          <w:vertAlign w:val="superscript"/>
        </w:rPr>
        <w:footnoteReference w:id="26"/>
      </w:r>
      <w:proofErr w:type="gramStart"/>
      <w:r w:rsidRPr="00A26064">
        <w:rPr>
          <w:rFonts w:cs="Arial"/>
          <w:color w:val="000000"/>
          <w:vertAlign w:val="superscript"/>
        </w:rPr>
        <w:t>/</w:t>
      </w:r>
      <w:r w:rsidRPr="0018156A">
        <w:t xml:space="preserve">  A</w:t>
      </w:r>
      <w:proofErr w:type="gramEnd"/>
      <w:r w:rsidRPr="0018156A">
        <w:t xml:space="preserve"> current consensus analysts’ inflation projection, as measured by the Consumer Price Index, is 2.3%.</w:t>
      </w:r>
      <w:r w:rsidRPr="001D39D7">
        <w:rPr>
          <w:u w:val="single"/>
          <w:vertAlign w:val="superscript"/>
        </w:rPr>
        <w:footnoteReference w:id="27"/>
      </w:r>
      <w:proofErr w:type="gramStart"/>
      <w:r w:rsidRPr="00A26064">
        <w:rPr>
          <w:rFonts w:cs="Arial"/>
          <w:color w:val="000000"/>
          <w:vertAlign w:val="superscript"/>
        </w:rPr>
        <w:t>/</w:t>
      </w:r>
      <w:r w:rsidRPr="0018156A">
        <w:t xml:space="preserve">  Using</w:t>
      </w:r>
      <w:proofErr w:type="gramEnd"/>
      <w:r w:rsidRPr="0018156A">
        <w:t xml:space="preserve"> these estimates, the expected market return is 11.20%.</w:t>
      </w:r>
      <w:r w:rsidRPr="001D39D7">
        <w:rPr>
          <w:u w:val="single"/>
          <w:vertAlign w:val="superscript"/>
        </w:rPr>
        <w:footnoteReference w:id="28"/>
      </w:r>
      <w:proofErr w:type="gramStart"/>
      <w:r w:rsidRPr="00A26064">
        <w:rPr>
          <w:rFonts w:cs="Arial"/>
          <w:color w:val="000000"/>
          <w:vertAlign w:val="superscript"/>
        </w:rPr>
        <w:t>/</w:t>
      </w:r>
      <w:r w:rsidRPr="0018156A">
        <w:rPr>
          <w:vertAlign w:val="superscript"/>
        </w:rPr>
        <w:t xml:space="preserve"> </w:t>
      </w:r>
      <w:r w:rsidRPr="0018156A">
        <w:t xml:space="preserve"> The</w:t>
      </w:r>
      <w:proofErr w:type="gramEnd"/>
      <w:r w:rsidRPr="0018156A">
        <w:t xml:space="preserve"> market risk premium then is the difference between the 11.20% expected market return and my 3.40% risk-free rate estimate, or approximately 7.8%.</w:t>
      </w:r>
    </w:p>
    <w:p w:rsidR="00F23557" w:rsidRPr="0018156A" w:rsidRDefault="00F23557" w:rsidP="00F23557">
      <w:pPr>
        <w:tabs>
          <w:tab w:val="left" w:pos="1440"/>
        </w:tabs>
        <w:spacing w:after="0" w:line="480" w:lineRule="auto"/>
        <w:ind w:left="720" w:hanging="720"/>
        <w:jc w:val="both"/>
      </w:pPr>
      <w:r>
        <w:lastRenderedPageBreak/>
        <w:tab/>
      </w:r>
      <w:r>
        <w:tab/>
      </w:r>
      <w:r w:rsidRPr="0018156A">
        <w:t xml:space="preserve">My historical estimate of the market risk premium was also calculated by using data provided by Duff &amp; Phelps in its </w:t>
      </w:r>
      <w:r w:rsidRPr="0018156A">
        <w:rPr>
          <w:i/>
        </w:rPr>
        <w:t>2016 Valuation Handbook</w:t>
      </w:r>
      <w:r w:rsidRPr="0018156A">
        <w:t>.  Over the period 1926 through 2015, the Duff &amp; Phelps study estimated that the arithmetic average of the achieved total return on the S&amp;P 500 was 12.0%</w:t>
      </w:r>
      <w:r w:rsidRPr="001D39D7">
        <w:rPr>
          <w:u w:val="single"/>
          <w:vertAlign w:val="superscript"/>
        </w:rPr>
        <w:footnoteReference w:id="29"/>
      </w:r>
      <w:r w:rsidRPr="00A26064">
        <w:rPr>
          <w:rFonts w:cs="Arial"/>
          <w:color w:val="000000"/>
          <w:vertAlign w:val="superscript"/>
        </w:rPr>
        <w:t>/</w:t>
      </w:r>
      <w:r w:rsidRPr="0018156A">
        <w:t xml:space="preserve"> and the total return on long</w:t>
      </w:r>
      <w:r w:rsidRPr="0018156A">
        <w:noBreakHyphen/>
        <w:t>term Treasury bonds was 6.00%.</w:t>
      </w:r>
      <w:r w:rsidRPr="001D39D7">
        <w:rPr>
          <w:u w:val="single"/>
          <w:vertAlign w:val="superscript"/>
        </w:rPr>
        <w:footnoteReference w:id="30"/>
      </w:r>
      <w:proofErr w:type="gramStart"/>
      <w:r w:rsidRPr="00A26064">
        <w:rPr>
          <w:rFonts w:cs="Arial"/>
          <w:color w:val="000000"/>
          <w:vertAlign w:val="superscript"/>
        </w:rPr>
        <w:t>/</w:t>
      </w:r>
      <w:r w:rsidRPr="0018156A">
        <w:t xml:space="preserve">  The</w:t>
      </w:r>
      <w:proofErr w:type="gramEnd"/>
      <w:r w:rsidRPr="0018156A">
        <w:t xml:space="preserve"> indicated market risk premium is 6.0% (12.0% - 6.0% = 6.0%).</w:t>
      </w:r>
    </w:p>
    <w:p w:rsidR="00F23557" w:rsidRPr="0018156A" w:rsidRDefault="00F23557" w:rsidP="00F23557">
      <w:pPr>
        <w:tabs>
          <w:tab w:val="left" w:pos="1440"/>
        </w:tabs>
        <w:ind w:left="720" w:hanging="720"/>
        <w:jc w:val="both"/>
        <w:rPr>
          <w:b/>
        </w:rPr>
      </w:pPr>
      <w:r w:rsidRPr="0018156A">
        <w:rPr>
          <w:b/>
        </w:rPr>
        <w:t>Q</w:t>
      </w:r>
      <w:r>
        <w:rPr>
          <w:b/>
        </w:rPr>
        <w:t>.</w:t>
      </w:r>
      <w:r w:rsidRPr="0018156A">
        <w:rPr>
          <w:b/>
        </w:rPr>
        <w:tab/>
        <w:t xml:space="preserve">HOW DOES YOUR </w:t>
      </w:r>
      <w:r w:rsidRPr="00230FEB">
        <w:rPr>
          <w:rFonts w:eastAsia="Times New Roman"/>
          <w:b/>
          <w:szCs w:val="24"/>
        </w:rPr>
        <w:t>ESTIMATED</w:t>
      </w:r>
      <w:r w:rsidRPr="0018156A">
        <w:rPr>
          <w:b/>
        </w:rPr>
        <w:t xml:space="preserve"> MARKET RISK PREMIUM RANGE COMPARE TO THAT ESTIMATED BY DUFF &amp; PHELPS?</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rPr>
          <w:b/>
        </w:rPr>
        <w:tab/>
      </w:r>
      <w:r w:rsidRPr="0018156A">
        <w:t>The Duff &amp; Phelps analysis indicates a market risk premium falls somewhere in the range of 5.5% to 6.9%.  My market risk premium falls in the range of 6.0% to 7.8%.  My average market risk premium of 6.9% is the same as the high-end of the Duff &amp; Phelps range.</w:t>
      </w:r>
    </w:p>
    <w:p w:rsidR="00F23557" w:rsidRPr="0018156A" w:rsidRDefault="00F23557" w:rsidP="00F23557">
      <w:pPr>
        <w:tabs>
          <w:tab w:val="left" w:pos="1440"/>
        </w:tabs>
        <w:ind w:left="720" w:hanging="720"/>
        <w:jc w:val="both"/>
        <w:rPr>
          <w:b/>
        </w:rPr>
      </w:pPr>
      <w:r w:rsidRPr="0018156A">
        <w:rPr>
          <w:b/>
        </w:rPr>
        <w:t>Q</w:t>
      </w:r>
      <w:r>
        <w:rPr>
          <w:b/>
        </w:rPr>
        <w:t>.</w:t>
      </w:r>
      <w:r w:rsidRPr="0018156A">
        <w:rPr>
          <w:b/>
        </w:rPr>
        <w:tab/>
        <w:t>HOW DOES DUFF &amp; PHELPS MEASURE A MARKET RISK PREMIUM?</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rPr>
          <w:b/>
        </w:rPr>
        <w:tab/>
      </w:r>
      <w:r w:rsidRPr="0018156A">
        <w:t xml:space="preserve">Duff &amp; Phelps makes several estimates of a forward-looking market risk premium based on actual achieved data from the historical period of 1926 through 2015 as well as normalized data.  Using this data, Duff &amp; Phelps estimates a market risk premium derived from the total return on large company stocks (S&amp;P 500), less the income return on Treasury bonds.  The total return includes capital appreciation, dividend or coupon reinvestment returns, and annual yields received from coupons and/or dividend payments.  The income return, in contrast, only reflects the income return received from dividend payments or coupon yields.  Duff &amp; Phelps claims the income return is the only true risk-free rate associated with Treasury bonds and is the best </w:t>
      </w:r>
      <w:r w:rsidRPr="0018156A">
        <w:lastRenderedPageBreak/>
        <w:t>approximation of a truly risk</w:t>
      </w:r>
      <w:r w:rsidRPr="0018156A">
        <w:noBreakHyphen/>
        <w:t>free rate.</w:t>
      </w:r>
      <w:r w:rsidRPr="001D39D7">
        <w:rPr>
          <w:u w:val="single"/>
          <w:vertAlign w:val="superscript"/>
        </w:rPr>
        <w:footnoteReference w:id="31"/>
      </w:r>
      <w:proofErr w:type="gramStart"/>
      <w:r w:rsidRPr="00A26064">
        <w:rPr>
          <w:rFonts w:cs="Arial"/>
          <w:color w:val="000000"/>
          <w:vertAlign w:val="superscript"/>
        </w:rPr>
        <w:t>/</w:t>
      </w:r>
      <w:r w:rsidRPr="0018156A">
        <w:rPr>
          <w:vertAlign w:val="superscript"/>
        </w:rPr>
        <w:t xml:space="preserve"> </w:t>
      </w:r>
      <w:r w:rsidRPr="0018156A">
        <w:t xml:space="preserve"> I</w:t>
      </w:r>
      <w:proofErr w:type="gramEnd"/>
      <w:r w:rsidRPr="0018156A">
        <w:t xml:space="preserve"> disagree with this assessment from Duff &amp; Phelps because it does not reflect a true investment option available to the marketplace and therefore does not produce a legitimate estimate of the expected premium of investing in the stock market versus that of Treasury bonds.  Nevertheless, I will use Duff &amp; Phelps’ conclusion to show the reasonableness of my market risk premium estimates.  </w:t>
      </w:r>
    </w:p>
    <w:p w:rsidR="00F23557" w:rsidRPr="0018156A" w:rsidRDefault="00F23557" w:rsidP="00F23557">
      <w:pPr>
        <w:tabs>
          <w:tab w:val="left" w:pos="1440"/>
        </w:tabs>
        <w:spacing w:after="0" w:line="480" w:lineRule="auto"/>
        <w:ind w:left="720" w:hanging="720"/>
        <w:jc w:val="both"/>
      </w:pPr>
      <w:r w:rsidRPr="0018156A">
        <w:tab/>
      </w:r>
      <w:r w:rsidRPr="0018156A">
        <w:tab/>
        <w:t>Duff &amp; Phelps’ range is based on several methodologies.  First, Duff &amp; Phelps estimates a market risk premium of 6.9% based on the difference between the total market return on common stocks (S&amp;P 500) less the income return on Treasury bond investments over the 1926-2015 period.</w:t>
      </w:r>
    </w:p>
    <w:p w:rsidR="00F23557" w:rsidRPr="0018156A" w:rsidRDefault="00F23557" w:rsidP="00F23557">
      <w:pPr>
        <w:tabs>
          <w:tab w:val="left" w:pos="1440"/>
        </w:tabs>
        <w:spacing w:after="0" w:line="480" w:lineRule="auto"/>
        <w:ind w:left="720" w:hanging="720"/>
        <w:jc w:val="both"/>
      </w:pPr>
      <w:r w:rsidRPr="0018156A">
        <w:tab/>
      </w:r>
      <w:r w:rsidRPr="0018156A">
        <w:tab/>
        <w:t>Second, Duff &amp; Phelps updated the Ibbotson &amp; Chen supply-side model which found that the 6.9% market risk premium based on the S&amp;P 500 was influenced by an abnormal expansion of price-to-earnings (“P/E”) ratios relative to earnings and dividend growth during the period, primarily over the last 25 years.  Duff &amp; Phelps believes this abnormal P/E expansion is not sustainable.</w:t>
      </w:r>
      <w:r w:rsidRPr="001D39D7">
        <w:rPr>
          <w:u w:val="single"/>
          <w:vertAlign w:val="superscript"/>
        </w:rPr>
        <w:footnoteReference w:id="32"/>
      </w:r>
      <w:proofErr w:type="gramStart"/>
      <w:r w:rsidRPr="00A26064">
        <w:rPr>
          <w:rFonts w:cs="Arial"/>
          <w:color w:val="000000"/>
          <w:vertAlign w:val="superscript"/>
        </w:rPr>
        <w:t>/</w:t>
      </w:r>
      <w:r w:rsidRPr="0018156A">
        <w:t xml:space="preserve">  Therefore</w:t>
      </w:r>
      <w:proofErr w:type="gramEnd"/>
      <w:r w:rsidRPr="0018156A">
        <w:t>, Duff &amp; Phelps adjusted this market risk premium estimate to normalize the growth in the P/E ratio to be more in line with the growth in dividends and earnings.  Based on this alternative methodology, Duff &amp; Phelps published a long-horizon supply-side market risk premium of 6.03%.</w:t>
      </w:r>
      <w:r w:rsidRPr="001D39D7">
        <w:rPr>
          <w:u w:val="single"/>
          <w:vertAlign w:val="superscript"/>
        </w:rPr>
        <w:footnoteReference w:id="33"/>
      </w:r>
      <w:r w:rsidRPr="00A26064">
        <w:rPr>
          <w:rFonts w:cs="Arial"/>
          <w:color w:val="000000"/>
          <w:vertAlign w:val="superscript"/>
        </w:rPr>
        <w:t>/</w:t>
      </w:r>
    </w:p>
    <w:p w:rsidR="00F23557" w:rsidRPr="0018156A" w:rsidRDefault="00F23557" w:rsidP="00F23557">
      <w:pPr>
        <w:tabs>
          <w:tab w:val="left" w:pos="1440"/>
        </w:tabs>
        <w:spacing w:after="0" w:line="480" w:lineRule="auto"/>
        <w:ind w:left="720" w:hanging="720"/>
        <w:jc w:val="both"/>
        <w:rPr>
          <w:b/>
        </w:rPr>
      </w:pPr>
      <w:r w:rsidRPr="0018156A">
        <w:tab/>
      </w:r>
      <w:r w:rsidRPr="0018156A">
        <w:tab/>
        <w:t xml:space="preserve">Finally, Duff &amp; Phelps develops its own recommended equity, or market, risk premium by employing an analysis that takes into consideration a wide range of economic information, multiple risk premium estimation methodologies, and the </w:t>
      </w:r>
      <w:r w:rsidRPr="0018156A">
        <w:lastRenderedPageBreak/>
        <w:t>current state of the economy by observing measures such as the level of stock indices and corporate spreads as indicators of perceived risk.  Based on this methodology, and utilizing a “normalized” risk-free rate of 4.0%, Duff &amp; Phelps concludes the current expected, or forward-looking, market risk premium is 5.5%, implying an expected return on the market of 9.5%.</w:t>
      </w:r>
      <w:r w:rsidRPr="001D39D7">
        <w:rPr>
          <w:u w:val="single"/>
          <w:vertAlign w:val="superscript"/>
        </w:rPr>
        <w:footnoteReference w:id="34"/>
      </w:r>
      <w:r w:rsidRPr="00A26064">
        <w:rPr>
          <w:rFonts w:cs="Arial"/>
          <w:color w:val="000000"/>
          <w:vertAlign w:val="superscript"/>
        </w:rPr>
        <w:t>/</w:t>
      </w:r>
    </w:p>
    <w:p w:rsidR="00F23557" w:rsidRPr="0018156A" w:rsidRDefault="00F23557" w:rsidP="00F23557">
      <w:pPr>
        <w:tabs>
          <w:tab w:val="left" w:pos="1440"/>
        </w:tabs>
        <w:ind w:left="720" w:hanging="720"/>
        <w:jc w:val="both"/>
        <w:rPr>
          <w:b/>
        </w:rPr>
      </w:pPr>
      <w:r w:rsidRPr="0018156A">
        <w:rPr>
          <w:b/>
        </w:rPr>
        <w:t>Q</w:t>
      </w:r>
      <w:r>
        <w:rPr>
          <w:b/>
        </w:rPr>
        <w:t>.</w:t>
      </w:r>
      <w:r w:rsidRPr="0018156A">
        <w:rPr>
          <w:b/>
        </w:rPr>
        <w:tab/>
        <w:t>WHAT ARE THE RESULTS OF YOUR CAPM ANALYSIS?</w:t>
      </w:r>
    </w:p>
    <w:p w:rsidR="00F23557" w:rsidRPr="0018156A" w:rsidRDefault="00F23557" w:rsidP="00F23557">
      <w:pPr>
        <w:tabs>
          <w:tab w:val="left" w:pos="1440"/>
        </w:tabs>
        <w:spacing w:line="480" w:lineRule="auto"/>
        <w:ind w:left="720" w:hanging="720"/>
        <w:jc w:val="both"/>
      </w:pPr>
      <w:r w:rsidRPr="00272C05">
        <w:rPr>
          <w:rFonts w:eastAsia="Times New Roman"/>
          <w:b/>
          <w:szCs w:val="24"/>
        </w:rPr>
        <w:t>A.</w:t>
      </w:r>
      <w:r w:rsidRPr="0018156A">
        <w:rPr>
          <w:b/>
        </w:rPr>
        <w:tab/>
      </w:r>
      <w:r w:rsidRPr="0018156A">
        <w:t xml:space="preserve">As shown </w:t>
      </w:r>
      <w:r w:rsidRPr="00D354F8">
        <w:t xml:space="preserve">in </w:t>
      </w:r>
      <w:r w:rsidRPr="00D354F8">
        <w:rPr>
          <w:rFonts w:eastAsia="Times New Roman"/>
          <w:szCs w:val="24"/>
        </w:rPr>
        <w:t>Exhibit No</w:t>
      </w:r>
      <w:proofErr w:type="gramStart"/>
      <w:r w:rsidRPr="00D354F8">
        <w:rPr>
          <w:rFonts w:eastAsia="Times New Roman"/>
          <w:szCs w:val="24"/>
        </w:rPr>
        <w:t xml:space="preserve">. </w:t>
      </w:r>
      <w:proofErr w:type="gramEnd"/>
      <w:r w:rsidRPr="00D354F8">
        <w:rPr>
          <w:rFonts w:eastAsia="Times New Roman"/>
          <w:szCs w:val="24"/>
        </w:rPr>
        <w:t>MPG-19</w:t>
      </w:r>
      <w:r w:rsidRPr="00D354F8">
        <w:t>, based</w:t>
      </w:r>
      <w:r w:rsidRPr="0018156A">
        <w:t xml:space="preserve"> on my low market risk premium of 6.0% and my high market risk premium of 7.8%, a risk-free rate of 3.40%, and a beta of 0.7</w:t>
      </w:r>
      <w:r>
        <w:t>2</w:t>
      </w:r>
      <w:r w:rsidRPr="0018156A">
        <w:t>, my CAPM analysis produces a return of 7.</w:t>
      </w:r>
      <w:r>
        <w:t>74</w:t>
      </w:r>
      <w:r w:rsidRPr="0018156A">
        <w:t>% to 9.</w:t>
      </w:r>
      <w:r>
        <w:t>04</w:t>
      </w:r>
      <w:r w:rsidRPr="0018156A">
        <w:t xml:space="preserve">%.  </w:t>
      </w:r>
      <w:r w:rsidR="00E46164">
        <w:t xml:space="preserve">As discussed above, due to </w:t>
      </w:r>
      <w:r w:rsidR="00C2315A">
        <w:t xml:space="preserve">the </w:t>
      </w:r>
      <w:r w:rsidR="00E46164">
        <w:t xml:space="preserve">significant risk premium observable in the market securities, I recommend the high-end CAPM return of 9.04% as a reasonable return for Avista in this case.  </w:t>
      </w:r>
      <w:r w:rsidRPr="0018156A">
        <w:t xml:space="preserve">This produces a recommended CAPM return estimate of approximately </w:t>
      </w:r>
      <w:r w:rsidR="00E46164">
        <w:t>9.04</w:t>
      </w:r>
      <w:r w:rsidR="00C54F66">
        <w:t>%.</w:t>
      </w:r>
    </w:p>
    <w:p w:rsidR="00F23557" w:rsidRPr="0018156A" w:rsidRDefault="00F23557" w:rsidP="00F23557">
      <w:pPr>
        <w:pStyle w:val="Heading1"/>
        <w:tabs>
          <w:tab w:val="left" w:pos="1440"/>
        </w:tabs>
      </w:pPr>
      <w:bookmarkStart w:id="289" w:name="_Toc456345621"/>
      <w:bookmarkStart w:id="290" w:name="_Toc457315621"/>
      <w:bookmarkStart w:id="291" w:name="_Toc458774162"/>
      <w:r>
        <w:t>III</w:t>
      </w:r>
      <w:r w:rsidRPr="0018156A">
        <w:t>.G</w:t>
      </w:r>
      <w:proofErr w:type="gramStart"/>
      <w:r w:rsidRPr="0018156A">
        <w:t>.  Return</w:t>
      </w:r>
      <w:proofErr w:type="gramEnd"/>
      <w:r w:rsidRPr="0018156A">
        <w:t xml:space="preserve"> on Equity Summary</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rsidR="00F23557" w:rsidRPr="0018156A" w:rsidRDefault="00F23557" w:rsidP="00F23557">
      <w:pPr>
        <w:tabs>
          <w:tab w:val="left" w:pos="1440"/>
        </w:tabs>
        <w:ind w:left="720" w:hanging="720"/>
        <w:jc w:val="both"/>
        <w:rPr>
          <w:b/>
        </w:rPr>
      </w:pPr>
      <w:r w:rsidRPr="0018156A">
        <w:rPr>
          <w:b/>
        </w:rPr>
        <w:t>Q</w:t>
      </w:r>
      <w:r>
        <w:rPr>
          <w:b/>
        </w:rPr>
        <w:t>.</w:t>
      </w:r>
      <w:r w:rsidRPr="0018156A">
        <w:rPr>
          <w:b/>
        </w:rPr>
        <w:tab/>
        <w:t xml:space="preserve">BASED ON </w:t>
      </w:r>
      <w:r w:rsidRPr="00230FEB">
        <w:rPr>
          <w:rFonts w:eastAsia="Times New Roman"/>
          <w:b/>
          <w:szCs w:val="24"/>
        </w:rPr>
        <w:t>THE</w:t>
      </w:r>
      <w:r w:rsidRPr="0018156A">
        <w:rPr>
          <w:b/>
        </w:rPr>
        <w:t xml:space="preserve"> RESULTS OF YOUR RETURN ON COMMON EQUITY ANALYSES DESCRIBED ABOVE, WHAT RETURN ON COMMON EQUITY DO YOU RECOMMEND FOR </w:t>
      </w:r>
      <w:r>
        <w:rPr>
          <w:b/>
        </w:rPr>
        <w:t>AVISTA</w:t>
      </w:r>
      <w:r w:rsidRPr="0018156A">
        <w:rPr>
          <w:b/>
        </w:rPr>
        <w:t>?</w:t>
      </w:r>
    </w:p>
    <w:p w:rsidR="00F23557" w:rsidRPr="0018156A" w:rsidRDefault="00F23557" w:rsidP="00F23557">
      <w:pPr>
        <w:tabs>
          <w:tab w:val="left" w:pos="1440"/>
        </w:tabs>
        <w:spacing w:after="0" w:line="480" w:lineRule="auto"/>
        <w:ind w:left="720" w:hanging="720"/>
        <w:jc w:val="both"/>
      </w:pPr>
      <w:r w:rsidRPr="00272C05">
        <w:rPr>
          <w:rFonts w:eastAsia="Times New Roman"/>
          <w:b/>
          <w:szCs w:val="24"/>
        </w:rPr>
        <w:t>A.</w:t>
      </w:r>
      <w:r w:rsidRPr="0018156A">
        <w:rPr>
          <w:b/>
        </w:rPr>
        <w:tab/>
      </w:r>
      <w:r w:rsidRPr="0018156A">
        <w:t xml:space="preserve">Based on my analyses, I estimate </w:t>
      </w:r>
      <w:r>
        <w:t>Avista</w:t>
      </w:r>
      <w:r w:rsidRPr="0018156A">
        <w:t>’s current market cost of equity to be 9.</w:t>
      </w:r>
      <w:r>
        <w:t>1</w:t>
      </w:r>
      <w:r w:rsidRPr="0018156A">
        <w:t>%.</w:t>
      </w: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2520"/>
        <w:gridCol w:w="2070"/>
      </w:tblGrid>
      <w:tr w:rsidR="00F23557" w:rsidRPr="0018156A" w:rsidTr="00E46164">
        <w:trPr>
          <w:trHeight w:val="516"/>
          <w:jc w:val="center"/>
        </w:trPr>
        <w:tc>
          <w:tcPr>
            <w:tcW w:w="4590" w:type="dxa"/>
            <w:gridSpan w:val="2"/>
          </w:tcPr>
          <w:p w:rsidR="00F23557" w:rsidRPr="0018156A" w:rsidRDefault="00F23557" w:rsidP="00E46164">
            <w:pPr>
              <w:pageBreakBefore/>
              <w:tabs>
                <w:tab w:val="left" w:pos="1080"/>
              </w:tabs>
              <w:spacing w:after="0"/>
              <w:ind w:left="720" w:hanging="720"/>
              <w:rPr>
                <w:b/>
                <w:bCs/>
              </w:rPr>
            </w:pPr>
          </w:p>
          <w:p w:rsidR="00F23557" w:rsidRPr="0018156A" w:rsidRDefault="00F23557" w:rsidP="00E46164">
            <w:pPr>
              <w:tabs>
                <w:tab w:val="left" w:pos="1080"/>
              </w:tabs>
              <w:spacing w:after="0"/>
              <w:ind w:left="720" w:hanging="468"/>
              <w:jc w:val="center"/>
              <w:rPr>
                <w:b/>
                <w:bCs/>
              </w:rPr>
            </w:pPr>
            <w:r w:rsidRPr="00873AE8">
              <w:rPr>
                <w:b/>
                <w:bCs/>
              </w:rPr>
              <w:t>TABLE 7</w:t>
            </w:r>
          </w:p>
          <w:p w:rsidR="00F23557" w:rsidRPr="0018156A" w:rsidRDefault="00F23557" w:rsidP="00E46164">
            <w:pPr>
              <w:tabs>
                <w:tab w:val="left" w:pos="1080"/>
              </w:tabs>
              <w:spacing w:after="0"/>
              <w:ind w:left="720" w:hanging="468"/>
            </w:pPr>
          </w:p>
          <w:p w:rsidR="00F23557" w:rsidRPr="0018156A" w:rsidRDefault="00F23557" w:rsidP="00E46164">
            <w:pPr>
              <w:tabs>
                <w:tab w:val="left" w:pos="1080"/>
              </w:tabs>
              <w:spacing w:after="0"/>
              <w:ind w:left="720" w:hanging="468"/>
              <w:rPr>
                <w:b/>
                <w:u w:val="single"/>
              </w:rPr>
            </w:pPr>
            <w:r w:rsidRPr="0018156A">
              <w:rPr>
                <w:b/>
                <w:u w:val="single"/>
              </w:rPr>
              <w:t>Return on Common Equity Summary</w:t>
            </w:r>
          </w:p>
          <w:p w:rsidR="00F23557" w:rsidRPr="0018156A" w:rsidRDefault="00F23557" w:rsidP="00E46164">
            <w:pPr>
              <w:tabs>
                <w:tab w:val="left" w:pos="1080"/>
              </w:tabs>
              <w:spacing w:after="0"/>
              <w:ind w:left="720" w:hanging="468"/>
              <w:rPr>
                <w:b/>
              </w:rPr>
            </w:pPr>
          </w:p>
        </w:tc>
      </w:tr>
      <w:tr w:rsidR="00F23557" w:rsidRPr="0018156A" w:rsidTr="00E46164">
        <w:trPr>
          <w:trHeight w:val="305"/>
          <w:jc w:val="center"/>
        </w:trPr>
        <w:tc>
          <w:tcPr>
            <w:tcW w:w="2520" w:type="dxa"/>
          </w:tcPr>
          <w:p w:rsidR="00F23557" w:rsidRPr="0018156A" w:rsidRDefault="00F23557" w:rsidP="00E46164">
            <w:pPr>
              <w:tabs>
                <w:tab w:val="left" w:pos="1080"/>
              </w:tabs>
              <w:spacing w:after="0" w:line="480" w:lineRule="auto"/>
              <w:ind w:left="720" w:hanging="468"/>
              <w:rPr>
                <w:b/>
                <w:u w:val="single"/>
              </w:rPr>
            </w:pPr>
            <w:r w:rsidRPr="0018156A">
              <w:rPr>
                <w:b/>
                <w:u w:val="single"/>
              </w:rPr>
              <w:t>  Description </w:t>
            </w:r>
          </w:p>
        </w:tc>
        <w:tc>
          <w:tcPr>
            <w:tcW w:w="2070" w:type="dxa"/>
          </w:tcPr>
          <w:p w:rsidR="00F23557" w:rsidRPr="0018156A" w:rsidRDefault="00F23557" w:rsidP="00E46164">
            <w:pPr>
              <w:tabs>
                <w:tab w:val="left" w:pos="1080"/>
              </w:tabs>
              <w:spacing w:after="0" w:line="480" w:lineRule="auto"/>
              <w:ind w:left="720" w:hanging="720"/>
              <w:jc w:val="center"/>
              <w:rPr>
                <w:b/>
                <w:u w:val="single"/>
              </w:rPr>
            </w:pPr>
            <w:r w:rsidRPr="0018156A">
              <w:rPr>
                <w:b/>
                <w:u w:val="single"/>
              </w:rPr>
              <w:t>Results</w:t>
            </w:r>
          </w:p>
        </w:tc>
      </w:tr>
      <w:tr w:rsidR="00F23557" w:rsidRPr="0018156A" w:rsidTr="00E46164">
        <w:trPr>
          <w:trHeight w:val="258"/>
          <w:jc w:val="center"/>
        </w:trPr>
        <w:tc>
          <w:tcPr>
            <w:tcW w:w="2520" w:type="dxa"/>
          </w:tcPr>
          <w:p w:rsidR="00F23557" w:rsidRPr="0018156A" w:rsidRDefault="00F23557" w:rsidP="00E46164">
            <w:pPr>
              <w:tabs>
                <w:tab w:val="left" w:pos="1080"/>
              </w:tabs>
              <w:spacing w:after="0" w:line="480" w:lineRule="auto"/>
              <w:ind w:left="720" w:hanging="468"/>
            </w:pPr>
            <w:r w:rsidRPr="0018156A">
              <w:t>DCF</w:t>
            </w:r>
          </w:p>
        </w:tc>
        <w:tc>
          <w:tcPr>
            <w:tcW w:w="2070" w:type="dxa"/>
          </w:tcPr>
          <w:p w:rsidR="00F23557" w:rsidRPr="0018156A" w:rsidRDefault="00F23557" w:rsidP="00E46164">
            <w:pPr>
              <w:tabs>
                <w:tab w:val="left" w:pos="1080"/>
              </w:tabs>
              <w:spacing w:after="0" w:line="480" w:lineRule="auto"/>
              <w:jc w:val="center"/>
            </w:pPr>
            <w:r w:rsidRPr="0018156A">
              <w:rPr>
                <w:bCs/>
              </w:rPr>
              <w:t>8.</w:t>
            </w:r>
            <w:r>
              <w:rPr>
                <w:bCs/>
              </w:rPr>
              <w:t>70</w:t>
            </w:r>
            <w:r w:rsidRPr="0018156A">
              <w:t>%</w:t>
            </w:r>
          </w:p>
        </w:tc>
      </w:tr>
      <w:tr w:rsidR="00F23557" w:rsidRPr="0018156A" w:rsidTr="00E46164">
        <w:trPr>
          <w:trHeight w:val="258"/>
          <w:jc w:val="center"/>
        </w:trPr>
        <w:tc>
          <w:tcPr>
            <w:tcW w:w="2520" w:type="dxa"/>
          </w:tcPr>
          <w:p w:rsidR="00F23557" w:rsidRPr="0018156A" w:rsidRDefault="00F23557" w:rsidP="00E46164">
            <w:pPr>
              <w:tabs>
                <w:tab w:val="left" w:pos="1080"/>
              </w:tabs>
              <w:spacing w:after="0" w:line="480" w:lineRule="auto"/>
              <w:ind w:left="720" w:hanging="468"/>
            </w:pPr>
            <w:r w:rsidRPr="0018156A">
              <w:t>Risk Premium</w:t>
            </w:r>
          </w:p>
        </w:tc>
        <w:tc>
          <w:tcPr>
            <w:tcW w:w="2070" w:type="dxa"/>
          </w:tcPr>
          <w:p w:rsidR="00F23557" w:rsidRPr="0018156A" w:rsidRDefault="00F23557" w:rsidP="00E46164">
            <w:pPr>
              <w:tabs>
                <w:tab w:val="left" w:pos="1080"/>
              </w:tabs>
              <w:spacing w:after="0" w:line="480" w:lineRule="auto"/>
              <w:jc w:val="center"/>
            </w:pPr>
            <w:r w:rsidRPr="0018156A">
              <w:rPr>
                <w:bCs/>
              </w:rPr>
              <w:t>9.</w:t>
            </w:r>
            <w:r>
              <w:rPr>
                <w:bCs/>
              </w:rPr>
              <w:t>40</w:t>
            </w:r>
            <w:r w:rsidRPr="0018156A">
              <w:rPr>
                <w:bCs/>
              </w:rPr>
              <w:t>%</w:t>
            </w:r>
          </w:p>
        </w:tc>
      </w:tr>
      <w:tr w:rsidR="00F23557" w:rsidRPr="0018156A" w:rsidTr="00E46164">
        <w:trPr>
          <w:trHeight w:val="516"/>
          <w:jc w:val="center"/>
        </w:trPr>
        <w:tc>
          <w:tcPr>
            <w:tcW w:w="2520" w:type="dxa"/>
          </w:tcPr>
          <w:p w:rsidR="00F23557" w:rsidRPr="0018156A" w:rsidRDefault="00F23557" w:rsidP="00E46164">
            <w:pPr>
              <w:tabs>
                <w:tab w:val="left" w:pos="1080"/>
              </w:tabs>
              <w:spacing w:after="0" w:line="480" w:lineRule="auto"/>
              <w:ind w:left="720" w:hanging="468"/>
            </w:pPr>
            <w:r w:rsidRPr="0018156A">
              <w:t>CAPM</w:t>
            </w:r>
          </w:p>
        </w:tc>
        <w:tc>
          <w:tcPr>
            <w:tcW w:w="2070" w:type="dxa"/>
          </w:tcPr>
          <w:p w:rsidR="00F23557" w:rsidRPr="0018156A" w:rsidRDefault="00C54F66" w:rsidP="00E46164">
            <w:pPr>
              <w:tabs>
                <w:tab w:val="left" w:pos="1080"/>
              </w:tabs>
              <w:spacing w:after="0" w:line="480" w:lineRule="auto"/>
              <w:jc w:val="center"/>
            </w:pPr>
            <w:r>
              <w:rPr>
                <w:bCs/>
              </w:rPr>
              <w:t>9.04%</w:t>
            </w:r>
          </w:p>
        </w:tc>
      </w:tr>
    </w:tbl>
    <w:p w:rsidR="00F23557" w:rsidRPr="0018156A" w:rsidRDefault="00F23557" w:rsidP="00F23557">
      <w:pPr>
        <w:suppressLineNumbers/>
        <w:tabs>
          <w:tab w:val="left" w:pos="1080"/>
        </w:tabs>
        <w:spacing w:after="0"/>
        <w:ind w:left="720" w:hanging="720"/>
        <w:jc w:val="both"/>
      </w:pPr>
    </w:p>
    <w:p w:rsidR="00F23557" w:rsidRPr="0018156A" w:rsidRDefault="00F23557" w:rsidP="00F23557">
      <w:pPr>
        <w:tabs>
          <w:tab w:val="left" w:pos="1440"/>
        </w:tabs>
        <w:spacing w:after="0" w:line="480" w:lineRule="auto"/>
        <w:ind w:left="720" w:hanging="720"/>
        <w:jc w:val="both"/>
      </w:pPr>
      <w:r w:rsidRPr="0018156A">
        <w:tab/>
      </w:r>
      <w:r w:rsidRPr="0018156A">
        <w:tab/>
        <w:t>My recommended return on common equity of 9.</w:t>
      </w:r>
      <w:r>
        <w:t>10</w:t>
      </w:r>
      <w:r w:rsidRPr="0018156A">
        <w:t>% is at the approximate midpoint of my estimated range of 8.</w:t>
      </w:r>
      <w:r>
        <w:t>7</w:t>
      </w:r>
      <w:r w:rsidRPr="0018156A">
        <w:t>0% to 9.</w:t>
      </w:r>
      <w:r>
        <w:t>40</w:t>
      </w:r>
      <w:r w:rsidRPr="0018156A">
        <w:t xml:space="preserve">%.  As </w:t>
      </w:r>
      <w:r w:rsidRPr="00873AE8">
        <w:t>shown in Table 7</w:t>
      </w:r>
      <w:r w:rsidRPr="0018156A">
        <w:t xml:space="preserve"> above, the high-end of my estimated range is based on my risk premium studies.  The low-end is ba</w:t>
      </w:r>
      <w:bookmarkStart w:id="292" w:name="_Toc292458008"/>
      <w:bookmarkStart w:id="293" w:name="_Toc298162458"/>
      <w:bookmarkStart w:id="294" w:name="_Toc306173886"/>
      <w:bookmarkStart w:id="295" w:name="_Toc311104310"/>
      <w:bookmarkStart w:id="296" w:name="_Toc320195083"/>
      <w:bookmarkStart w:id="297" w:name="_Toc325838013"/>
      <w:bookmarkStart w:id="298" w:name="_Toc361237213"/>
      <w:bookmarkStart w:id="299" w:name="_Toc358967447"/>
      <w:r w:rsidR="00C54F66">
        <w:t>sed on my DCF studies.  The CAPM return falls near my recommended midpoint.</w:t>
      </w:r>
    </w:p>
    <w:p w:rsidR="00F23557" w:rsidRPr="0018156A" w:rsidRDefault="00F23557" w:rsidP="00F23557">
      <w:pPr>
        <w:tabs>
          <w:tab w:val="left" w:pos="1440"/>
        </w:tabs>
        <w:spacing w:line="480" w:lineRule="auto"/>
        <w:ind w:left="720" w:hanging="720"/>
        <w:jc w:val="both"/>
      </w:pPr>
      <w:r>
        <w:tab/>
      </w:r>
      <w:r>
        <w:tab/>
      </w:r>
      <w:r w:rsidRPr="0018156A">
        <w:t>My return on equity estimates reflect observable market evidence, the impact on Federal Reserve policies on current and expected long-term capital market costs, an assessment of the current risk premium built into current market securities, and a general assessment of the current investment risk characteristics of the electric utility industry, and the market’s demand for utility securities.</w:t>
      </w:r>
    </w:p>
    <w:p w:rsidR="00F23557" w:rsidRPr="0023624A" w:rsidRDefault="00F23557" w:rsidP="00F23557">
      <w:pPr>
        <w:pStyle w:val="Heading1"/>
        <w:tabs>
          <w:tab w:val="left" w:pos="1440"/>
        </w:tabs>
      </w:pPr>
      <w:bookmarkStart w:id="300" w:name="_Toc393285056"/>
      <w:bookmarkStart w:id="301" w:name="_Toc394736485"/>
      <w:bookmarkStart w:id="302" w:name="_Toc402509734"/>
      <w:bookmarkStart w:id="303" w:name="_Toc405535366"/>
      <w:bookmarkStart w:id="304" w:name="_Toc414118686"/>
      <w:bookmarkStart w:id="305" w:name="_Toc415559769"/>
      <w:bookmarkStart w:id="306" w:name="_Toc421885252"/>
      <w:bookmarkStart w:id="307" w:name="_Toc424565055"/>
      <w:bookmarkStart w:id="308" w:name="_Toc436160511"/>
      <w:bookmarkStart w:id="309" w:name="_Toc441820283"/>
      <w:bookmarkStart w:id="310" w:name="_Toc452467731"/>
      <w:bookmarkStart w:id="311" w:name="_Toc454867544"/>
      <w:bookmarkStart w:id="312" w:name="_Toc455584998"/>
      <w:bookmarkStart w:id="313" w:name="_Toc457315622"/>
      <w:bookmarkStart w:id="314" w:name="_Toc458774163"/>
      <w:bookmarkEnd w:id="292"/>
      <w:bookmarkEnd w:id="293"/>
      <w:bookmarkEnd w:id="294"/>
      <w:bookmarkEnd w:id="295"/>
      <w:bookmarkEnd w:id="296"/>
      <w:bookmarkEnd w:id="297"/>
      <w:bookmarkEnd w:id="298"/>
      <w:bookmarkEnd w:id="299"/>
      <w:r>
        <w:t>III</w:t>
      </w:r>
      <w:r w:rsidRPr="0023624A">
        <w:t>.H</w:t>
      </w:r>
      <w:proofErr w:type="gramStart"/>
      <w:r w:rsidRPr="0023624A">
        <w:t>.  Financial</w:t>
      </w:r>
      <w:proofErr w:type="gramEnd"/>
      <w:r w:rsidRPr="0023624A">
        <w:t xml:space="preserve"> Integrity</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t xml:space="preserve"> </w:t>
      </w:r>
    </w:p>
    <w:p w:rsidR="00F23557" w:rsidRPr="0023624A" w:rsidRDefault="00F23557" w:rsidP="00F23557">
      <w:pPr>
        <w:tabs>
          <w:tab w:val="left" w:pos="1440"/>
        </w:tabs>
        <w:ind w:left="720" w:hanging="720"/>
        <w:jc w:val="both"/>
        <w:rPr>
          <w:b/>
        </w:rPr>
      </w:pPr>
      <w:r w:rsidRPr="0023624A">
        <w:rPr>
          <w:b/>
        </w:rPr>
        <w:t>Q</w:t>
      </w:r>
      <w:r>
        <w:rPr>
          <w:b/>
        </w:rPr>
        <w:t>.</w:t>
      </w:r>
      <w:r w:rsidRPr="0023624A">
        <w:rPr>
          <w:b/>
        </w:rPr>
        <w:tab/>
        <w:t xml:space="preserve">WILL </w:t>
      </w:r>
      <w:r w:rsidRPr="00230FEB">
        <w:rPr>
          <w:rFonts w:eastAsia="Times New Roman"/>
          <w:b/>
          <w:szCs w:val="24"/>
        </w:rPr>
        <w:t>YOUR</w:t>
      </w:r>
      <w:r w:rsidRPr="0023624A">
        <w:rPr>
          <w:b/>
        </w:rPr>
        <w:t xml:space="preserve"> RECOMMENDED OVERALL RATE OF RETURN SUPPORT AN INVESTMENT GRADE BOND RATING FOR </w:t>
      </w:r>
      <w:r>
        <w:rPr>
          <w:b/>
        </w:rPr>
        <w:t>AVISTA</w:t>
      </w:r>
      <w:r w:rsidRPr="0023624A">
        <w:rPr>
          <w:b/>
        </w:rPr>
        <w:t>?</w:t>
      </w:r>
    </w:p>
    <w:p w:rsidR="00F23557" w:rsidRPr="0023624A" w:rsidRDefault="00F23557" w:rsidP="00F23557">
      <w:pPr>
        <w:tabs>
          <w:tab w:val="left" w:pos="1440"/>
        </w:tabs>
        <w:spacing w:after="0" w:line="480" w:lineRule="auto"/>
        <w:ind w:left="720" w:hanging="720"/>
        <w:jc w:val="both"/>
      </w:pPr>
      <w:r w:rsidRPr="00272C05">
        <w:rPr>
          <w:rFonts w:eastAsia="Times New Roman"/>
          <w:b/>
          <w:szCs w:val="24"/>
        </w:rPr>
        <w:t>A.</w:t>
      </w:r>
      <w:r w:rsidRPr="0023624A">
        <w:rPr>
          <w:b/>
        </w:rPr>
        <w:tab/>
      </w:r>
      <w:r w:rsidRPr="0023624A">
        <w:t xml:space="preserve">Yes.  I have reached this conclusion by comparing the key credit rating financial ratios for </w:t>
      </w:r>
      <w:r>
        <w:t>Avista</w:t>
      </w:r>
      <w:r w:rsidRPr="0023624A">
        <w:t>, at my proposed return on equity, and the Company’s capital structure, to S&amp;P’s benchmark financial ratios using S&amp;P’s new credit metric ranges.</w:t>
      </w:r>
    </w:p>
    <w:p w:rsidR="00F23557" w:rsidRPr="0023624A" w:rsidRDefault="00F23557" w:rsidP="00F23557">
      <w:pPr>
        <w:keepNext/>
        <w:keepLines/>
        <w:tabs>
          <w:tab w:val="left" w:pos="1440"/>
        </w:tabs>
        <w:ind w:left="720" w:hanging="720"/>
        <w:jc w:val="both"/>
        <w:rPr>
          <w:b/>
        </w:rPr>
      </w:pPr>
      <w:r w:rsidRPr="0023624A">
        <w:rPr>
          <w:b/>
        </w:rPr>
        <w:lastRenderedPageBreak/>
        <w:t>Q</w:t>
      </w:r>
      <w:r>
        <w:rPr>
          <w:b/>
        </w:rPr>
        <w:t>.</w:t>
      </w:r>
      <w:r w:rsidRPr="0023624A">
        <w:rPr>
          <w:b/>
        </w:rPr>
        <w:tab/>
        <w:t xml:space="preserve">PLEASE </w:t>
      </w:r>
      <w:r w:rsidRPr="00230FEB">
        <w:rPr>
          <w:rFonts w:eastAsia="Times New Roman"/>
          <w:b/>
          <w:szCs w:val="24"/>
        </w:rPr>
        <w:t>DESCRIBE</w:t>
      </w:r>
      <w:r w:rsidRPr="0023624A">
        <w:rPr>
          <w:b/>
        </w:rPr>
        <w:t xml:space="preserve"> THE MOST RECENT S&amp;P FINANCIAL RATIO CREDIT METRIC METHODOLOGY.</w:t>
      </w:r>
    </w:p>
    <w:p w:rsidR="00F23557" w:rsidRPr="0023624A" w:rsidRDefault="00F23557" w:rsidP="00F23557">
      <w:pPr>
        <w:tabs>
          <w:tab w:val="left" w:pos="1440"/>
        </w:tabs>
        <w:spacing w:after="0" w:line="480" w:lineRule="auto"/>
        <w:ind w:left="720" w:hanging="720"/>
        <w:jc w:val="both"/>
      </w:pPr>
      <w:r w:rsidRPr="00272C05">
        <w:rPr>
          <w:rFonts w:eastAsia="Times New Roman"/>
          <w:b/>
          <w:szCs w:val="24"/>
        </w:rPr>
        <w:t>A.</w:t>
      </w:r>
      <w:r w:rsidRPr="0023624A">
        <w:rPr>
          <w:b/>
        </w:rPr>
        <w:tab/>
      </w:r>
      <w:r w:rsidRPr="0023624A">
        <w:t>S&amp;P publishes a matrix of financial ratios that correspond to its assessment of the business risk of utility companies and related bond ratings.  On May 27, 2009, S&amp;P expanded its matrix criteria by including additional business and financial risk categories.</w:t>
      </w:r>
      <w:r w:rsidRPr="001D39D7">
        <w:rPr>
          <w:u w:val="single"/>
          <w:vertAlign w:val="superscript"/>
        </w:rPr>
        <w:footnoteReference w:id="35"/>
      </w:r>
      <w:r w:rsidRPr="00A26064">
        <w:rPr>
          <w:rFonts w:cs="Arial"/>
          <w:color w:val="000000"/>
          <w:vertAlign w:val="superscript"/>
        </w:rPr>
        <w:t>/</w:t>
      </w:r>
      <w:r w:rsidRPr="0023624A">
        <w:t xml:space="preserve">  </w:t>
      </w:r>
    </w:p>
    <w:p w:rsidR="00F23557" w:rsidRPr="0023624A" w:rsidRDefault="00F23557" w:rsidP="00F23557">
      <w:pPr>
        <w:tabs>
          <w:tab w:val="left" w:pos="1440"/>
        </w:tabs>
        <w:spacing w:after="0" w:line="480" w:lineRule="auto"/>
        <w:ind w:left="720" w:hanging="634"/>
        <w:jc w:val="both"/>
      </w:pPr>
      <w:r>
        <w:tab/>
      </w:r>
      <w:r>
        <w:tab/>
      </w:r>
      <w:r w:rsidRPr="0023624A">
        <w:t xml:space="preserve">Based on S&amp;P’s most recent credit matrix, the business risk profile categories are “Excellent,” “Strong,” “Satisfactory,” “Fair,” “Weak,” and “Vulnerable.”  Most utilities have a business risk profile of “Excellent” or “Strong.”  </w:t>
      </w:r>
    </w:p>
    <w:p w:rsidR="00F23557" w:rsidRPr="0023624A" w:rsidRDefault="00F23557" w:rsidP="00F23557">
      <w:pPr>
        <w:tabs>
          <w:tab w:val="left" w:pos="1440"/>
        </w:tabs>
        <w:spacing w:after="0" w:line="480" w:lineRule="auto"/>
        <w:ind w:left="720" w:hanging="634"/>
        <w:jc w:val="both"/>
      </w:pPr>
      <w:r>
        <w:tab/>
      </w:r>
      <w:r>
        <w:tab/>
      </w:r>
      <w:r w:rsidRPr="0023624A">
        <w:t xml:space="preserve">The financial risk profile categories are </w:t>
      </w:r>
      <w:proofErr w:type="gramStart"/>
      <w:r w:rsidRPr="0023624A">
        <w:t>“Minimal,” “Modest,” “Intermediate,” “Significant,” “Aggressive,”</w:t>
      </w:r>
      <w:proofErr w:type="gramEnd"/>
      <w:r w:rsidRPr="0023624A">
        <w:t xml:space="preserve"> and “Highly Leveraged.”  Most of the utilities have a financial risk profile of “Aggressive.”  </w:t>
      </w:r>
      <w:r>
        <w:t>Avista</w:t>
      </w:r>
      <w:r w:rsidRPr="0023624A">
        <w:t xml:space="preserve"> has a “</w:t>
      </w:r>
      <w:r>
        <w:t>Strong</w:t>
      </w:r>
      <w:r w:rsidRPr="0023624A">
        <w:t>” business risk profile and a “</w:t>
      </w:r>
      <w:r>
        <w:t>Significant</w:t>
      </w:r>
      <w:r w:rsidRPr="0023624A">
        <w:t xml:space="preserve">” financial risk profile. </w:t>
      </w:r>
    </w:p>
    <w:p w:rsidR="00F23557" w:rsidRPr="0023624A" w:rsidRDefault="00F23557" w:rsidP="00F23557">
      <w:pPr>
        <w:tabs>
          <w:tab w:val="left" w:pos="1440"/>
        </w:tabs>
        <w:ind w:left="720" w:hanging="720"/>
        <w:jc w:val="both"/>
        <w:rPr>
          <w:b/>
        </w:rPr>
      </w:pPr>
      <w:r w:rsidRPr="0023624A">
        <w:rPr>
          <w:b/>
        </w:rPr>
        <w:t>Q</w:t>
      </w:r>
      <w:r>
        <w:rPr>
          <w:b/>
        </w:rPr>
        <w:t>.</w:t>
      </w:r>
      <w:r w:rsidRPr="0023624A">
        <w:rPr>
          <w:b/>
        </w:rPr>
        <w:tab/>
        <w:t xml:space="preserve">PLEASE </w:t>
      </w:r>
      <w:r w:rsidRPr="00230FEB">
        <w:rPr>
          <w:rFonts w:eastAsia="Times New Roman"/>
          <w:b/>
          <w:szCs w:val="24"/>
        </w:rPr>
        <w:t>DESCRIBE</w:t>
      </w:r>
      <w:r w:rsidRPr="0023624A">
        <w:rPr>
          <w:b/>
        </w:rPr>
        <w:t xml:space="preserve"> S&amp;P’S USE OF THE FINANCIAL BENCHMARK RATIOS IN ITS CREDIT RATING REVIEW.</w:t>
      </w:r>
    </w:p>
    <w:p w:rsidR="00F23557" w:rsidRPr="0023624A" w:rsidRDefault="00F23557" w:rsidP="00F23557">
      <w:pPr>
        <w:tabs>
          <w:tab w:val="left" w:pos="1440"/>
        </w:tabs>
        <w:spacing w:after="0" w:line="480" w:lineRule="auto"/>
        <w:ind w:left="720" w:hanging="720"/>
        <w:jc w:val="both"/>
      </w:pPr>
      <w:r w:rsidRPr="00272C05">
        <w:rPr>
          <w:rFonts w:eastAsia="Times New Roman"/>
          <w:b/>
          <w:szCs w:val="24"/>
        </w:rPr>
        <w:t>A.</w:t>
      </w:r>
      <w:r w:rsidRPr="0023624A">
        <w:rPr>
          <w:b/>
        </w:rPr>
        <w:tab/>
      </w:r>
      <w:r w:rsidRPr="0023624A">
        <w:t xml:space="preserve">S&amp;P evaluates a utility’s credit rating based on an assessment of its financial and business risks.  A combination of financial and business risks equates to the overall assessment of </w:t>
      </w:r>
      <w:r>
        <w:t>Avista</w:t>
      </w:r>
      <w:r w:rsidRPr="0023624A">
        <w:t xml:space="preserve">’s total credit risk exposure.  On November 19, 2013, S&amp;P updated its methodology.  In its update, S&amp;P published a matrix of financial ratios that defines the level of financial risk as a function of the level of business risk.  </w:t>
      </w:r>
    </w:p>
    <w:p w:rsidR="00F23557" w:rsidRPr="0023624A" w:rsidRDefault="00F23557" w:rsidP="00F23557">
      <w:pPr>
        <w:tabs>
          <w:tab w:val="left" w:pos="1440"/>
        </w:tabs>
        <w:spacing w:after="0" w:line="480" w:lineRule="auto"/>
        <w:ind w:left="720" w:hanging="634"/>
        <w:jc w:val="both"/>
      </w:pPr>
      <w:r w:rsidRPr="0023624A">
        <w:tab/>
      </w:r>
      <w:r w:rsidRPr="0023624A">
        <w:tab/>
        <w:t xml:space="preserve">S&amp;P publishes ranges for </w:t>
      </w:r>
      <w:r>
        <w:t>two</w:t>
      </w:r>
      <w:r w:rsidRPr="0023624A">
        <w:t xml:space="preserve"> primary financial ratios that it uses as guidance in its credit review for utility companies.  The two core financial ratio benchmarks it relies on in its credit rating process include: (1) Debt to Earnings </w:t>
      </w:r>
      <w:proofErr w:type="gramStart"/>
      <w:r w:rsidRPr="0023624A">
        <w:t>Before</w:t>
      </w:r>
      <w:proofErr w:type="gramEnd"/>
      <w:r w:rsidRPr="0023624A">
        <w:t xml:space="preserve"> Interest, </w:t>
      </w:r>
      <w:r w:rsidRPr="0023624A">
        <w:lastRenderedPageBreak/>
        <w:t>Taxes, Depreciation and Amortization (“EBITDA”); and (2) Funds From Operations (“FFO”) to Total Debt.</w:t>
      </w:r>
      <w:r w:rsidRPr="001D39D7">
        <w:rPr>
          <w:u w:val="single"/>
          <w:vertAlign w:val="superscript"/>
        </w:rPr>
        <w:footnoteReference w:id="36"/>
      </w:r>
      <w:r w:rsidRPr="00A26064">
        <w:rPr>
          <w:rFonts w:cs="Arial"/>
          <w:color w:val="000000"/>
          <w:vertAlign w:val="superscript"/>
        </w:rPr>
        <w:t>/</w:t>
      </w:r>
    </w:p>
    <w:p w:rsidR="00F23557" w:rsidRPr="0023624A" w:rsidRDefault="00F23557" w:rsidP="00F23557">
      <w:pPr>
        <w:tabs>
          <w:tab w:val="left" w:pos="1440"/>
        </w:tabs>
        <w:ind w:left="720" w:hanging="720"/>
        <w:jc w:val="both"/>
        <w:rPr>
          <w:b/>
        </w:rPr>
      </w:pPr>
      <w:r w:rsidRPr="0023624A">
        <w:rPr>
          <w:b/>
        </w:rPr>
        <w:t>Q</w:t>
      </w:r>
      <w:r>
        <w:rPr>
          <w:b/>
        </w:rPr>
        <w:t>.</w:t>
      </w:r>
      <w:r w:rsidRPr="0023624A">
        <w:rPr>
          <w:b/>
        </w:rPr>
        <w:tab/>
        <w:t>HOW DID YOU APPLY S&amp;P’S FINANCIAL RATIOS TO TEST THE REASONABLENESS OF YOUR RATE OF RETURN RECOMMENDATIONS?</w:t>
      </w:r>
    </w:p>
    <w:p w:rsidR="00F23557" w:rsidRPr="0023624A" w:rsidRDefault="00F23557" w:rsidP="00F23557">
      <w:pPr>
        <w:tabs>
          <w:tab w:val="left" w:pos="1440"/>
        </w:tabs>
        <w:spacing w:after="0" w:line="480" w:lineRule="auto"/>
        <w:ind w:left="720" w:hanging="720"/>
        <w:jc w:val="both"/>
      </w:pPr>
      <w:r w:rsidRPr="00272C05">
        <w:rPr>
          <w:rFonts w:eastAsia="Times New Roman"/>
          <w:b/>
          <w:szCs w:val="24"/>
        </w:rPr>
        <w:t>A.</w:t>
      </w:r>
      <w:r w:rsidRPr="0023624A">
        <w:rPr>
          <w:b/>
        </w:rPr>
        <w:tab/>
      </w:r>
      <w:r w:rsidRPr="0023624A">
        <w:t xml:space="preserve">I calculated each of S&amp;P’s financial ratios based on </w:t>
      </w:r>
      <w:r>
        <w:t>Avista</w:t>
      </w:r>
      <w:r w:rsidRPr="0023624A">
        <w:t xml:space="preserve">’s cost of service for its retail jurisdictional operations.  While S&amp;P would normally look at total consolidated </w:t>
      </w:r>
      <w:r>
        <w:t>Avista</w:t>
      </w:r>
      <w:r w:rsidRPr="0023624A">
        <w:t xml:space="preserve"> financial ratios in its credit review process, my investigation in this proceeding is not the same as S&amp;P’s.  I am attempting to judge the reasonableness of my proposed cost of capital for rate-setting in </w:t>
      </w:r>
      <w:r>
        <w:t>Avista</w:t>
      </w:r>
      <w:r w:rsidRPr="0023624A">
        <w:t xml:space="preserve">’s retail regulated utility operations.  Hence, I am attempting to determine whether my proposed rate of return will in turn support cash flow metrics, balance sheet strength, and earnings that will support an investment grade bond rating and </w:t>
      </w:r>
      <w:r>
        <w:t>Avista</w:t>
      </w:r>
      <w:r w:rsidRPr="0023624A">
        <w:t>’s financial integrity.</w:t>
      </w:r>
    </w:p>
    <w:p w:rsidR="00F23557" w:rsidRPr="0023624A" w:rsidRDefault="00F23557" w:rsidP="00F23557">
      <w:pPr>
        <w:tabs>
          <w:tab w:val="left" w:pos="1440"/>
        </w:tabs>
        <w:ind w:left="720" w:hanging="720"/>
        <w:jc w:val="both"/>
        <w:rPr>
          <w:b/>
        </w:rPr>
      </w:pPr>
      <w:r w:rsidRPr="0023624A">
        <w:rPr>
          <w:b/>
        </w:rPr>
        <w:t>Q</w:t>
      </w:r>
      <w:r>
        <w:rPr>
          <w:b/>
        </w:rPr>
        <w:t>.</w:t>
      </w:r>
      <w:r w:rsidRPr="0023624A">
        <w:rPr>
          <w:b/>
        </w:rPr>
        <w:tab/>
        <w:t xml:space="preserve">DID YOU </w:t>
      </w:r>
      <w:r w:rsidRPr="00861AE9">
        <w:rPr>
          <w:rFonts w:eastAsia="Times New Roman"/>
          <w:b/>
          <w:szCs w:val="24"/>
        </w:rPr>
        <w:t>INCLUDE</w:t>
      </w:r>
      <w:r w:rsidRPr="0023624A">
        <w:rPr>
          <w:b/>
        </w:rPr>
        <w:t xml:space="preserve"> ANY OFF-BALANCE SHEET DEBT EQUIVALENTS?</w:t>
      </w:r>
    </w:p>
    <w:p w:rsidR="00F23557" w:rsidRPr="0023624A" w:rsidRDefault="00F23557" w:rsidP="00F23557">
      <w:pPr>
        <w:tabs>
          <w:tab w:val="left" w:pos="1440"/>
        </w:tabs>
        <w:spacing w:after="0" w:line="480" w:lineRule="auto"/>
        <w:ind w:left="720" w:hanging="634"/>
        <w:jc w:val="both"/>
      </w:pPr>
      <w:r w:rsidRPr="00272C05">
        <w:rPr>
          <w:rFonts w:eastAsia="Times New Roman"/>
          <w:b/>
          <w:szCs w:val="24"/>
        </w:rPr>
        <w:t>A.</w:t>
      </w:r>
      <w:r w:rsidRPr="0023624A">
        <w:rPr>
          <w:b/>
        </w:rPr>
        <w:tab/>
      </w:r>
      <w:r>
        <w:t>Yes.  I included approximately $109 million of off-balance sheet debt related to purchased power agreements</w:t>
      </w:r>
      <w:r w:rsidR="0028388E">
        <w:t xml:space="preserve"> and operating leases</w:t>
      </w:r>
      <w:r>
        <w:t xml:space="preserve"> and their associated depreciation and interest expenses</w:t>
      </w:r>
      <w:r w:rsidR="00C2315A">
        <w:t>,</w:t>
      </w:r>
      <w:r w:rsidR="0028388E">
        <w:t xml:space="preserve"> as shown on Standard &amp; Poor’s credit portal online.</w:t>
      </w:r>
    </w:p>
    <w:p w:rsidR="00F23557" w:rsidRPr="0023624A" w:rsidRDefault="00F23557" w:rsidP="00F23557">
      <w:pPr>
        <w:tabs>
          <w:tab w:val="left" w:pos="1440"/>
        </w:tabs>
        <w:ind w:left="720" w:hanging="720"/>
        <w:jc w:val="both"/>
        <w:rPr>
          <w:b/>
        </w:rPr>
      </w:pPr>
      <w:r w:rsidRPr="0023624A">
        <w:rPr>
          <w:b/>
        </w:rPr>
        <w:t>Q</w:t>
      </w:r>
      <w:r>
        <w:rPr>
          <w:b/>
        </w:rPr>
        <w:t>.</w:t>
      </w:r>
      <w:r w:rsidRPr="0023624A">
        <w:rPr>
          <w:b/>
        </w:rPr>
        <w:tab/>
        <w:t xml:space="preserve">PLEASE DESCRIBE THE RESULTS OF THIS CREDIT METRIC ANALYSIS AS IT </w:t>
      </w:r>
      <w:r w:rsidRPr="00861AE9">
        <w:rPr>
          <w:rFonts w:eastAsia="Times New Roman"/>
          <w:b/>
          <w:szCs w:val="24"/>
        </w:rPr>
        <w:t>RELATES</w:t>
      </w:r>
      <w:r w:rsidRPr="0023624A">
        <w:rPr>
          <w:b/>
        </w:rPr>
        <w:t xml:space="preserve"> TO </w:t>
      </w:r>
      <w:r>
        <w:rPr>
          <w:b/>
        </w:rPr>
        <w:t>AVISTA</w:t>
      </w:r>
      <w:r w:rsidRPr="0023624A">
        <w:rPr>
          <w:b/>
        </w:rPr>
        <w:t>.</w:t>
      </w:r>
    </w:p>
    <w:p w:rsidR="00F23557" w:rsidRPr="00F67C5A" w:rsidRDefault="00F23557" w:rsidP="00F23557">
      <w:pPr>
        <w:tabs>
          <w:tab w:val="left" w:pos="1440"/>
        </w:tabs>
        <w:spacing w:after="0" w:line="480" w:lineRule="auto"/>
        <w:ind w:left="720" w:hanging="720"/>
        <w:jc w:val="both"/>
      </w:pPr>
      <w:r w:rsidRPr="00272C05">
        <w:rPr>
          <w:rFonts w:eastAsia="Times New Roman"/>
          <w:b/>
          <w:szCs w:val="24"/>
        </w:rPr>
        <w:t>A.</w:t>
      </w:r>
      <w:r w:rsidRPr="0023624A">
        <w:rPr>
          <w:b/>
        </w:rPr>
        <w:tab/>
      </w:r>
      <w:r w:rsidRPr="0023624A">
        <w:t xml:space="preserve">The S&amp;P financial metric calculations for </w:t>
      </w:r>
      <w:r>
        <w:t>Avista</w:t>
      </w:r>
      <w:r w:rsidRPr="0023624A">
        <w:t xml:space="preserve"> at a 9.</w:t>
      </w:r>
      <w:r>
        <w:t>10</w:t>
      </w:r>
      <w:r w:rsidRPr="0023624A">
        <w:t xml:space="preserve">% return are developed on </w:t>
      </w:r>
      <w:r w:rsidRPr="00F67C5A">
        <w:rPr>
          <w:rFonts w:eastAsia="Times New Roman"/>
          <w:szCs w:val="24"/>
        </w:rPr>
        <w:t>Exhibit No</w:t>
      </w:r>
      <w:proofErr w:type="gramStart"/>
      <w:r w:rsidRPr="00F67C5A">
        <w:rPr>
          <w:rFonts w:eastAsia="Times New Roman"/>
          <w:szCs w:val="24"/>
        </w:rPr>
        <w:t>. MPG-20</w:t>
      </w:r>
      <w:r w:rsidRPr="00F67C5A">
        <w:t>, page 1.</w:t>
      </w:r>
      <w:proofErr w:type="gramEnd"/>
      <w:r w:rsidRPr="00F67C5A">
        <w:t xml:space="preserve">  The credit metrics produced below, with Avista’s financial profile score from S&amp;P of “Significant” and business risk score by S&amp;P of “Strong” will be used to assess the strength of the credit metrics based on Avista’s retail operations in Washington.</w:t>
      </w:r>
    </w:p>
    <w:p w:rsidR="00F23557" w:rsidRPr="00F67C5A" w:rsidRDefault="00F23557" w:rsidP="00F23557">
      <w:pPr>
        <w:tabs>
          <w:tab w:val="left" w:pos="1440"/>
        </w:tabs>
        <w:spacing w:after="0" w:line="480" w:lineRule="auto"/>
        <w:ind w:left="720" w:hanging="634"/>
        <w:jc w:val="both"/>
      </w:pPr>
      <w:r w:rsidRPr="00F67C5A">
        <w:lastRenderedPageBreak/>
        <w:tab/>
      </w:r>
      <w:r w:rsidRPr="00F67C5A">
        <w:tab/>
        <w:t xml:space="preserve">Avista’s adjusted total debt ratio is approximately 53%.  As shown on page 2 of </w:t>
      </w:r>
      <w:r w:rsidRPr="00F67C5A">
        <w:rPr>
          <w:rFonts w:eastAsia="Times New Roman"/>
          <w:szCs w:val="24"/>
        </w:rPr>
        <w:t>Exhibit No</w:t>
      </w:r>
      <w:proofErr w:type="gramStart"/>
      <w:r w:rsidRPr="00F67C5A">
        <w:rPr>
          <w:rFonts w:eastAsia="Times New Roman"/>
          <w:szCs w:val="24"/>
        </w:rPr>
        <w:t xml:space="preserve">. </w:t>
      </w:r>
      <w:proofErr w:type="gramEnd"/>
      <w:r w:rsidRPr="00F67C5A">
        <w:rPr>
          <w:rFonts w:eastAsia="Times New Roman"/>
          <w:szCs w:val="24"/>
        </w:rPr>
        <w:t>MPG-20,</w:t>
      </w:r>
      <w:r w:rsidRPr="00F67C5A">
        <w:t xml:space="preserve"> this adjusted debt ratio is a comparable debt ratio based on S&amp;P’s </w:t>
      </w:r>
      <w:r w:rsidR="00C54F66">
        <w:t>median</w:t>
      </w:r>
      <w:r w:rsidRPr="00F67C5A">
        <w:t xml:space="preserve"> debt ratio of approximately </w:t>
      </w:r>
      <w:r w:rsidR="00C54F66">
        <w:t>55.</w:t>
      </w:r>
      <w:r w:rsidR="00641C48">
        <w:t>13</w:t>
      </w:r>
      <w:r w:rsidRPr="00F67C5A">
        <w:t>% for BBB rated utilities</w:t>
      </w:r>
      <w:r w:rsidR="00C54F66">
        <w:t>, and 51% to 52% for BBB+ to A rated utilities</w:t>
      </w:r>
      <w:r w:rsidRPr="00F67C5A">
        <w:t>.</w:t>
      </w:r>
      <w:r w:rsidRPr="00F67C5A">
        <w:rPr>
          <w:color w:val="1F497D"/>
        </w:rPr>
        <w:t xml:space="preserve">  </w:t>
      </w:r>
      <w:r w:rsidRPr="00F67C5A">
        <w:t xml:space="preserve">Hence, I concluded this capital structure reasonably supports Avista’s current investment grade bond rating.  This adjusted total debt ratio will support an investment grade bond rating.  </w:t>
      </w:r>
    </w:p>
    <w:p w:rsidR="00F23557" w:rsidRPr="0023624A" w:rsidRDefault="00F23557" w:rsidP="00F23557">
      <w:pPr>
        <w:tabs>
          <w:tab w:val="left" w:pos="1440"/>
        </w:tabs>
        <w:spacing w:after="0" w:line="480" w:lineRule="auto"/>
        <w:ind w:left="720" w:hanging="634"/>
        <w:jc w:val="both"/>
      </w:pPr>
      <w:r w:rsidRPr="00F67C5A">
        <w:tab/>
      </w:r>
      <w:r w:rsidRPr="00F67C5A">
        <w:tab/>
        <w:t xml:space="preserve">Based on an equity return of 9.10%, Avista will be provided an opportunity to produce a debt to EBITDA ratio of </w:t>
      </w:r>
      <w:proofErr w:type="gramStart"/>
      <w:r w:rsidRPr="00F67C5A">
        <w:t>3.9x</w:t>
      </w:r>
      <w:proofErr w:type="gramEnd"/>
      <w:r w:rsidRPr="00F67C5A">
        <w:t>.  This is at the approximate midpoint of S&amp;P’s “Significant” guideline range</w:t>
      </w:r>
      <w:r>
        <w:t xml:space="preserve"> of </w:t>
      </w:r>
      <w:proofErr w:type="gramStart"/>
      <w:r>
        <w:t>3.5x</w:t>
      </w:r>
      <w:proofErr w:type="gramEnd"/>
      <w:r>
        <w:t xml:space="preserve"> to 4.5x.”</w:t>
      </w:r>
      <w:r w:rsidRPr="001D39D7">
        <w:rPr>
          <w:u w:val="single"/>
          <w:vertAlign w:val="superscript"/>
        </w:rPr>
        <w:footnoteReference w:id="37"/>
      </w:r>
      <w:proofErr w:type="gramStart"/>
      <w:r w:rsidRPr="00A26064">
        <w:rPr>
          <w:rFonts w:cs="Arial"/>
          <w:color w:val="000000"/>
          <w:vertAlign w:val="superscript"/>
        </w:rPr>
        <w:t>/</w:t>
      </w:r>
      <w:r w:rsidRPr="0023624A">
        <w:t xml:space="preserve">  This</w:t>
      </w:r>
      <w:proofErr w:type="gramEnd"/>
      <w:r w:rsidRPr="0023624A">
        <w:t xml:space="preserve"> ratio supports an investment grade credit rating.  </w:t>
      </w:r>
    </w:p>
    <w:p w:rsidR="00F23557" w:rsidRPr="0023624A" w:rsidRDefault="00F23557" w:rsidP="00F23557">
      <w:pPr>
        <w:tabs>
          <w:tab w:val="left" w:pos="1440"/>
        </w:tabs>
        <w:spacing w:after="0" w:line="480" w:lineRule="auto"/>
        <w:ind w:left="720" w:hanging="634"/>
        <w:jc w:val="both"/>
      </w:pPr>
      <w:r>
        <w:tab/>
      </w:r>
      <w:r>
        <w:tab/>
        <w:t>Avista</w:t>
      </w:r>
      <w:r w:rsidRPr="0023624A">
        <w:t xml:space="preserve">’s retail </w:t>
      </w:r>
      <w:proofErr w:type="gramStart"/>
      <w:r w:rsidRPr="0023624A">
        <w:t>operations FFO to total debt coverage at a 9.</w:t>
      </w:r>
      <w:r>
        <w:t>10</w:t>
      </w:r>
      <w:r w:rsidRPr="0023624A">
        <w:t>% equity return is</w:t>
      </w:r>
      <w:proofErr w:type="gramEnd"/>
      <w:r w:rsidRPr="0023624A">
        <w:t xml:space="preserve"> </w:t>
      </w:r>
      <w:r>
        <w:t>19</w:t>
      </w:r>
      <w:r w:rsidRPr="0023624A">
        <w:t>%, which is within S&amp;P’s “</w:t>
      </w:r>
      <w:r>
        <w:t>Significant</w:t>
      </w:r>
      <w:r w:rsidRPr="0023624A">
        <w:t xml:space="preserve">” metric guideline range of </w:t>
      </w:r>
      <w:r>
        <w:t>1</w:t>
      </w:r>
      <w:r w:rsidRPr="0023624A">
        <w:t xml:space="preserve">3% to </w:t>
      </w:r>
      <w:r>
        <w:t>23</w:t>
      </w:r>
      <w:r w:rsidRPr="0023624A">
        <w:t>%.</w:t>
      </w:r>
      <w:r w:rsidRPr="00C14854">
        <w:rPr>
          <w:u w:val="single"/>
          <w:vertAlign w:val="superscript"/>
        </w:rPr>
        <w:footnoteReference w:id="38"/>
      </w:r>
      <w:proofErr w:type="gramStart"/>
      <w:r w:rsidRPr="00C14854">
        <w:rPr>
          <w:vertAlign w:val="superscript"/>
        </w:rPr>
        <w:t>/</w:t>
      </w:r>
      <w:r w:rsidRPr="0023624A">
        <w:t xml:space="preserve">  This</w:t>
      </w:r>
      <w:proofErr w:type="gramEnd"/>
      <w:r w:rsidRPr="0023624A">
        <w:t xml:space="preserve"> FFO/total debt ratio will support an investment grade bond rating.</w:t>
      </w:r>
    </w:p>
    <w:p w:rsidR="00F23557" w:rsidRPr="0023624A" w:rsidRDefault="00F23557" w:rsidP="00F23557">
      <w:pPr>
        <w:tabs>
          <w:tab w:val="left" w:pos="1440"/>
        </w:tabs>
        <w:spacing w:line="480" w:lineRule="auto"/>
        <w:ind w:left="720" w:hanging="720"/>
        <w:jc w:val="both"/>
      </w:pPr>
      <w:r w:rsidRPr="0023624A">
        <w:tab/>
      </w:r>
      <w:r w:rsidRPr="0023624A">
        <w:tab/>
      </w:r>
      <w:r w:rsidRPr="002B2D46">
        <w:t>At my recommended return on equity of 9.</w:t>
      </w:r>
      <w:r>
        <w:t>10</w:t>
      </w:r>
      <w:r w:rsidRPr="002B2D46">
        <w:t xml:space="preserve">% and </w:t>
      </w:r>
      <w:r>
        <w:t xml:space="preserve">the Company’s </w:t>
      </w:r>
      <w:r w:rsidRPr="002B2D46">
        <w:t>embedded debt co</w:t>
      </w:r>
      <w:r>
        <w:t xml:space="preserve">st </w:t>
      </w:r>
      <w:r w:rsidRPr="002B2D46">
        <w:t xml:space="preserve">and capital structure, </w:t>
      </w:r>
      <w:r>
        <w:t>Avista</w:t>
      </w:r>
      <w:r w:rsidRPr="002B2D46">
        <w:t>’s financial credit metrics continue to support</w:t>
      </w:r>
      <w:r>
        <w:t xml:space="preserve"> credit metrics at an </w:t>
      </w:r>
      <w:r w:rsidRPr="002B2D46">
        <w:t>inves</w:t>
      </w:r>
      <w:r>
        <w:t>tment grade utility level.</w:t>
      </w:r>
    </w:p>
    <w:p w:rsidR="00F23557" w:rsidRPr="005E15A1" w:rsidRDefault="00F23557" w:rsidP="00F23557">
      <w:pPr>
        <w:pStyle w:val="Heading1"/>
        <w:keepNext w:val="0"/>
        <w:keepLines w:val="0"/>
        <w:tabs>
          <w:tab w:val="left" w:pos="1440"/>
        </w:tabs>
        <w:jc w:val="center"/>
        <w:rPr>
          <w:sz w:val="26"/>
          <w:szCs w:val="26"/>
        </w:rPr>
      </w:pPr>
      <w:bookmarkStart w:id="315" w:name="_Toc369524863"/>
      <w:bookmarkStart w:id="316" w:name="_Toc369530825"/>
      <w:bookmarkStart w:id="317" w:name="_Toc402509735"/>
      <w:bookmarkStart w:id="318" w:name="_Toc414118687"/>
      <w:bookmarkStart w:id="319" w:name="_Toc414606215"/>
      <w:bookmarkStart w:id="320" w:name="_Toc425776329"/>
      <w:bookmarkStart w:id="321" w:name="_Toc432749616"/>
      <w:bookmarkStart w:id="322" w:name="_Toc435456154"/>
      <w:bookmarkStart w:id="323" w:name="_Toc435702725"/>
      <w:bookmarkStart w:id="324" w:name="_Toc456345623"/>
      <w:bookmarkStart w:id="325" w:name="_Toc457315623"/>
      <w:bookmarkStart w:id="326" w:name="_Toc458774164"/>
      <w:r>
        <w:rPr>
          <w:sz w:val="26"/>
          <w:szCs w:val="26"/>
        </w:rPr>
        <w:t>I</w:t>
      </w:r>
      <w:r w:rsidRPr="005E15A1">
        <w:rPr>
          <w:sz w:val="26"/>
          <w:szCs w:val="26"/>
        </w:rPr>
        <w:t>V</w:t>
      </w:r>
      <w:proofErr w:type="gramStart"/>
      <w:r w:rsidRPr="005E15A1">
        <w:rPr>
          <w:sz w:val="26"/>
          <w:szCs w:val="26"/>
        </w:rPr>
        <w:t>.  RESPONSE</w:t>
      </w:r>
      <w:proofErr w:type="gramEnd"/>
      <w:r w:rsidRPr="005E15A1">
        <w:rPr>
          <w:sz w:val="26"/>
          <w:szCs w:val="26"/>
        </w:rPr>
        <w:t xml:space="preserve"> TO </w:t>
      </w:r>
      <w:r>
        <w:rPr>
          <w:sz w:val="26"/>
          <w:szCs w:val="26"/>
        </w:rPr>
        <w:t>AVISTA</w:t>
      </w:r>
      <w:r w:rsidRPr="005E15A1">
        <w:rPr>
          <w:sz w:val="26"/>
          <w:szCs w:val="26"/>
        </w:rPr>
        <w:t xml:space="preserve"> WITNESS </w:t>
      </w:r>
      <w:bookmarkEnd w:id="315"/>
      <w:bookmarkEnd w:id="316"/>
      <w:bookmarkEnd w:id="317"/>
      <w:bookmarkEnd w:id="318"/>
      <w:bookmarkEnd w:id="319"/>
      <w:bookmarkEnd w:id="320"/>
      <w:bookmarkEnd w:id="321"/>
      <w:bookmarkEnd w:id="322"/>
      <w:bookmarkEnd w:id="323"/>
      <w:r w:rsidRPr="005E15A1">
        <w:rPr>
          <w:sz w:val="26"/>
          <w:szCs w:val="26"/>
        </w:rPr>
        <w:t xml:space="preserve">MR. </w:t>
      </w:r>
      <w:r>
        <w:rPr>
          <w:sz w:val="26"/>
          <w:szCs w:val="26"/>
        </w:rPr>
        <w:t>ADRIEN</w:t>
      </w:r>
      <w:r w:rsidRPr="005E15A1">
        <w:rPr>
          <w:sz w:val="26"/>
          <w:szCs w:val="26"/>
        </w:rPr>
        <w:t xml:space="preserve"> </w:t>
      </w:r>
      <w:r>
        <w:rPr>
          <w:sz w:val="26"/>
          <w:szCs w:val="26"/>
        </w:rPr>
        <w:t>MCKENZIE</w:t>
      </w:r>
      <w:bookmarkEnd w:id="324"/>
      <w:bookmarkEnd w:id="325"/>
      <w:bookmarkEnd w:id="326"/>
    </w:p>
    <w:p w:rsidR="00F23557" w:rsidRPr="0018156A" w:rsidRDefault="00F23557" w:rsidP="00F23557">
      <w:pPr>
        <w:pStyle w:val="Heading1"/>
        <w:tabs>
          <w:tab w:val="left" w:pos="1440"/>
        </w:tabs>
      </w:pPr>
      <w:bookmarkStart w:id="327" w:name="_Toc456345624"/>
      <w:bookmarkStart w:id="328" w:name="_Toc457315624"/>
      <w:bookmarkStart w:id="329" w:name="_Toc458774165"/>
      <w:r>
        <w:t>I</w:t>
      </w:r>
      <w:r w:rsidRPr="0018156A">
        <w:t>V.A</w:t>
      </w:r>
      <w:proofErr w:type="gramStart"/>
      <w:r w:rsidRPr="0018156A">
        <w:t>.  Summary</w:t>
      </w:r>
      <w:proofErr w:type="gramEnd"/>
      <w:r w:rsidRPr="0018156A">
        <w:t xml:space="preserve"> of Rebuttal</w:t>
      </w:r>
      <w:bookmarkEnd w:id="327"/>
      <w:bookmarkEnd w:id="328"/>
      <w:bookmarkEnd w:id="329"/>
    </w:p>
    <w:p w:rsidR="00F23557" w:rsidRPr="00654123" w:rsidRDefault="00F23557" w:rsidP="00F23557">
      <w:pPr>
        <w:tabs>
          <w:tab w:val="left" w:pos="1440"/>
        </w:tabs>
        <w:ind w:left="720" w:hanging="720"/>
        <w:jc w:val="both"/>
        <w:rPr>
          <w:b/>
        </w:rPr>
      </w:pPr>
      <w:r w:rsidRPr="00272985">
        <w:rPr>
          <w:b/>
        </w:rPr>
        <w:t>Q.</w:t>
      </w:r>
      <w:r w:rsidRPr="00272985">
        <w:rPr>
          <w:b/>
        </w:rPr>
        <w:tab/>
      </w:r>
      <w:r w:rsidRPr="00654123">
        <w:rPr>
          <w:b/>
        </w:rPr>
        <w:t xml:space="preserve">WHAT IS </w:t>
      </w:r>
      <w:r w:rsidRPr="00B13495">
        <w:rPr>
          <w:b/>
        </w:rPr>
        <w:t>AVISTA</w:t>
      </w:r>
      <w:r>
        <w:rPr>
          <w:b/>
        </w:rPr>
        <w:t>’</w:t>
      </w:r>
      <w:r w:rsidRPr="00654123">
        <w:rPr>
          <w:b/>
        </w:rPr>
        <w:t>S RETURN ON EQUITY RECOMMENDATION?</w:t>
      </w:r>
    </w:p>
    <w:p w:rsidR="00F23557" w:rsidRPr="00261AAB" w:rsidRDefault="00F23557" w:rsidP="00F23557">
      <w:pPr>
        <w:tabs>
          <w:tab w:val="left" w:pos="-1440"/>
          <w:tab w:val="left" w:pos="1440"/>
        </w:tabs>
        <w:spacing w:after="0" w:line="480" w:lineRule="auto"/>
        <w:ind w:left="720" w:hanging="720"/>
        <w:jc w:val="both"/>
        <w:rPr>
          <w:szCs w:val="24"/>
        </w:rPr>
      </w:pPr>
      <w:r w:rsidRPr="00272985">
        <w:rPr>
          <w:b/>
          <w:szCs w:val="24"/>
        </w:rPr>
        <w:t>A.</w:t>
      </w:r>
      <w:r w:rsidRPr="00272985">
        <w:rPr>
          <w:b/>
          <w:szCs w:val="24"/>
        </w:rPr>
        <w:tab/>
      </w:r>
      <w:r>
        <w:rPr>
          <w:szCs w:val="24"/>
        </w:rPr>
        <w:t>Avista</w:t>
      </w:r>
      <w:r w:rsidRPr="00261AAB">
        <w:rPr>
          <w:szCs w:val="24"/>
        </w:rPr>
        <w:t xml:space="preserve"> recommends a return on equity of </w:t>
      </w:r>
      <w:r>
        <w:rPr>
          <w:szCs w:val="24"/>
        </w:rPr>
        <w:t>9.9</w:t>
      </w:r>
      <w:r w:rsidRPr="00261AAB">
        <w:rPr>
          <w:szCs w:val="24"/>
        </w:rPr>
        <w:t xml:space="preserve">%, which is </w:t>
      </w:r>
      <w:r>
        <w:rPr>
          <w:szCs w:val="24"/>
        </w:rPr>
        <w:t>approximately the low-end of the Company’s</w:t>
      </w:r>
      <w:r w:rsidRPr="00261AAB">
        <w:rPr>
          <w:szCs w:val="24"/>
        </w:rPr>
        <w:t xml:space="preserve"> </w:t>
      </w:r>
      <w:r>
        <w:rPr>
          <w:szCs w:val="24"/>
        </w:rPr>
        <w:t>return on equity</w:t>
      </w:r>
      <w:r w:rsidRPr="00261AAB">
        <w:rPr>
          <w:szCs w:val="24"/>
        </w:rPr>
        <w:t xml:space="preserve"> </w:t>
      </w:r>
      <w:proofErr w:type="gramStart"/>
      <w:r w:rsidRPr="00261AAB">
        <w:rPr>
          <w:szCs w:val="24"/>
        </w:rPr>
        <w:t>witness,</w:t>
      </w:r>
      <w:proofErr w:type="gramEnd"/>
      <w:r w:rsidRPr="00261AAB">
        <w:rPr>
          <w:szCs w:val="24"/>
        </w:rPr>
        <w:t xml:space="preserve"> </w:t>
      </w:r>
      <w:r>
        <w:rPr>
          <w:szCs w:val="24"/>
        </w:rPr>
        <w:t>Mr. McKenzie’s</w:t>
      </w:r>
      <w:r w:rsidRPr="00261AAB">
        <w:rPr>
          <w:szCs w:val="24"/>
        </w:rPr>
        <w:t xml:space="preserve"> recommended range </w:t>
      </w:r>
      <w:r>
        <w:rPr>
          <w:szCs w:val="24"/>
        </w:rPr>
        <w:t>of 9.93% to 10.93% after including a flotation cost adjustment</w:t>
      </w:r>
      <w:r w:rsidRPr="00D53310">
        <w:rPr>
          <w:szCs w:val="24"/>
        </w:rPr>
        <w:t xml:space="preserve">.  </w:t>
      </w:r>
      <w:r>
        <w:rPr>
          <w:szCs w:val="24"/>
        </w:rPr>
        <w:t>Mr. McKenzie’</w:t>
      </w:r>
      <w:r w:rsidRPr="00D53310">
        <w:rPr>
          <w:szCs w:val="24"/>
        </w:rPr>
        <w:t xml:space="preserve">s range is </w:t>
      </w:r>
      <w:r w:rsidRPr="00D53310">
        <w:rPr>
          <w:szCs w:val="24"/>
        </w:rPr>
        <w:lastRenderedPageBreak/>
        <w:t>based on a range of 9</w:t>
      </w:r>
      <w:r>
        <w:rPr>
          <w:szCs w:val="24"/>
        </w:rPr>
        <w:t>.8</w:t>
      </w:r>
      <w:r w:rsidRPr="00D53310">
        <w:rPr>
          <w:szCs w:val="24"/>
        </w:rPr>
        <w:t xml:space="preserve">% to </w:t>
      </w:r>
      <w:r>
        <w:rPr>
          <w:szCs w:val="24"/>
        </w:rPr>
        <w:t>10.8</w:t>
      </w:r>
      <w:r w:rsidRPr="00D53310">
        <w:rPr>
          <w:szCs w:val="24"/>
        </w:rPr>
        <w:t>%, plus a 1</w:t>
      </w:r>
      <w:r>
        <w:rPr>
          <w:szCs w:val="24"/>
        </w:rPr>
        <w:t>3</w:t>
      </w:r>
      <w:r w:rsidRPr="00D53310">
        <w:rPr>
          <w:szCs w:val="24"/>
        </w:rPr>
        <w:t xml:space="preserve"> basis</w:t>
      </w:r>
      <w:r w:rsidRPr="00261AAB">
        <w:rPr>
          <w:szCs w:val="24"/>
        </w:rPr>
        <w:t xml:space="preserve"> point flotation cost adjustment.  </w:t>
      </w:r>
      <w:r w:rsidRPr="00D53310">
        <w:rPr>
          <w:szCs w:val="24"/>
        </w:rPr>
        <w:t>(</w:t>
      </w:r>
      <w:r>
        <w:rPr>
          <w:szCs w:val="24"/>
        </w:rPr>
        <w:t>McKenzie Direct at 6</w:t>
      </w:r>
      <w:r w:rsidRPr="00D53310">
        <w:rPr>
          <w:szCs w:val="24"/>
        </w:rPr>
        <w:t>)</w:t>
      </w:r>
      <w:r>
        <w:rPr>
          <w:szCs w:val="24"/>
        </w:rPr>
        <w:t>.</w:t>
      </w:r>
    </w:p>
    <w:p w:rsidR="00F23557" w:rsidRPr="00261AAB" w:rsidRDefault="00F23557" w:rsidP="00F23557">
      <w:pPr>
        <w:tabs>
          <w:tab w:val="left" w:pos="-1440"/>
          <w:tab w:val="left" w:pos="1440"/>
        </w:tabs>
        <w:spacing w:line="480" w:lineRule="auto"/>
        <w:ind w:left="720" w:hanging="720"/>
        <w:jc w:val="both"/>
        <w:rPr>
          <w:szCs w:val="24"/>
        </w:rPr>
      </w:pPr>
      <w:r w:rsidRPr="00261AAB">
        <w:rPr>
          <w:szCs w:val="24"/>
        </w:rPr>
        <w:tab/>
      </w:r>
      <w:r w:rsidRPr="00261AAB">
        <w:rPr>
          <w:szCs w:val="24"/>
        </w:rPr>
        <w:tab/>
      </w:r>
      <w:r>
        <w:rPr>
          <w:szCs w:val="24"/>
        </w:rPr>
        <w:t>Mr. McKenzie’</w:t>
      </w:r>
      <w:r w:rsidRPr="00261AAB">
        <w:rPr>
          <w:szCs w:val="24"/>
        </w:rPr>
        <w:t xml:space="preserve">s recommended range, and his proposed flotation cost adjustment, are unreasonable and should be </w:t>
      </w:r>
      <w:r>
        <w:rPr>
          <w:szCs w:val="24"/>
        </w:rPr>
        <w:t>rejected</w:t>
      </w:r>
      <w:r w:rsidRPr="00261AAB">
        <w:rPr>
          <w:szCs w:val="24"/>
        </w:rPr>
        <w:t xml:space="preserve">.  For the reasons </w:t>
      </w:r>
      <w:r>
        <w:rPr>
          <w:szCs w:val="24"/>
        </w:rPr>
        <w:t>discussed below, the 13</w:t>
      </w:r>
      <w:r w:rsidRPr="00261AAB">
        <w:rPr>
          <w:szCs w:val="24"/>
        </w:rPr>
        <w:t xml:space="preserve"> basis point flotation cost adjustment is not shown to be </w:t>
      </w:r>
      <w:r>
        <w:rPr>
          <w:szCs w:val="24"/>
        </w:rPr>
        <w:t>a known and measurable expense</w:t>
      </w:r>
      <w:r w:rsidRPr="00261AAB">
        <w:rPr>
          <w:szCs w:val="24"/>
        </w:rPr>
        <w:t xml:space="preserve"> for </w:t>
      </w:r>
      <w:r>
        <w:rPr>
          <w:szCs w:val="24"/>
        </w:rPr>
        <w:t>Avista</w:t>
      </w:r>
      <w:r w:rsidRPr="00261AAB">
        <w:rPr>
          <w:szCs w:val="24"/>
        </w:rPr>
        <w:t xml:space="preserve">, and his </w:t>
      </w:r>
      <w:r w:rsidR="0028388E">
        <w:rPr>
          <w:szCs w:val="24"/>
        </w:rPr>
        <w:t>range</w:t>
      </w:r>
      <w:r w:rsidRPr="00261AAB">
        <w:rPr>
          <w:szCs w:val="24"/>
        </w:rPr>
        <w:t xml:space="preserve"> of 9.</w:t>
      </w:r>
      <w:r>
        <w:rPr>
          <w:szCs w:val="24"/>
        </w:rPr>
        <w:t>93</w:t>
      </w:r>
      <w:r w:rsidRPr="00261AAB">
        <w:rPr>
          <w:szCs w:val="24"/>
        </w:rPr>
        <w:t xml:space="preserve">% to </w:t>
      </w:r>
      <w:r>
        <w:rPr>
          <w:szCs w:val="24"/>
        </w:rPr>
        <w:t>10.93</w:t>
      </w:r>
      <w:r w:rsidRPr="00261AAB">
        <w:rPr>
          <w:szCs w:val="24"/>
        </w:rPr>
        <w:t xml:space="preserve">% overstates a fair return on equity for </w:t>
      </w:r>
      <w:r>
        <w:rPr>
          <w:szCs w:val="24"/>
        </w:rPr>
        <w:t>Avista.  Support for these findings is</w:t>
      </w:r>
      <w:r w:rsidRPr="00261AAB">
        <w:rPr>
          <w:szCs w:val="24"/>
        </w:rPr>
        <w:t xml:space="preserve"> described in detail below.</w:t>
      </w:r>
    </w:p>
    <w:p w:rsidR="00F23557" w:rsidRPr="00170F36" w:rsidRDefault="00F23557" w:rsidP="00F23557">
      <w:pPr>
        <w:pStyle w:val="Heading1"/>
        <w:tabs>
          <w:tab w:val="left" w:pos="1440"/>
        </w:tabs>
      </w:pPr>
      <w:bookmarkStart w:id="330" w:name="_Toc348295918"/>
      <w:bookmarkStart w:id="331" w:name="_Toc414606216"/>
      <w:bookmarkStart w:id="332" w:name="_Toc425776330"/>
      <w:bookmarkStart w:id="333" w:name="_Toc432749617"/>
      <w:bookmarkStart w:id="334" w:name="_Toc458774166"/>
      <w:r>
        <w:t>IV.B</w:t>
      </w:r>
      <w:proofErr w:type="gramStart"/>
      <w:r w:rsidRPr="00170F36">
        <w:t>.  Flotation</w:t>
      </w:r>
      <w:proofErr w:type="gramEnd"/>
      <w:r w:rsidRPr="00170F36">
        <w:t xml:space="preserve"> Costs</w:t>
      </w:r>
      <w:bookmarkEnd w:id="330"/>
      <w:bookmarkEnd w:id="331"/>
      <w:bookmarkEnd w:id="332"/>
      <w:bookmarkEnd w:id="333"/>
      <w:bookmarkEnd w:id="334"/>
    </w:p>
    <w:p w:rsidR="00F23557" w:rsidRPr="00654123" w:rsidRDefault="00F23557" w:rsidP="00F23557">
      <w:pPr>
        <w:keepNext/>
        <w:keepLines/>
        <w:tabs>
          <w:tab w:val="left" w:pos="1440"/>
        </w:tabs>
        <w:ind w:left="720" w:hanging="720"/>
        <w:jc w:val="both"/>
        <w:rPr>
          <w:b/>
        </w:rPr>
      </w:pPr>
      <w:r w:rsidRPr="00272985">
        <w:rPr>
          <w:b/>
        </w:rPr>
        <w:t>Q.</w:t>
      </w:r>
      <w:r w:rsidRPr="00272985">
        <w:rPr>
          <w:b/>
        </w:rPr>
        <w:tab/>
      </w:r>
      <w:r w:rsidRPr="00654123">
        <w:rPr>
          <w:b/>
        </w:rPr>
        <w:t xml:space="preserve">DID MR. MCKENZIE INCLUDE A FLOTATION COST ADJUSTMENT IN HIS RECOMMENDED RETURN FOR </w:t>
      </w:r>
      <w:r w:rsidRPr="00B13495">
        <w:rPr>
          <w:b/>
        </w:rPr>
        <w:t>AVISTA</w:t>
      </w:r>
      <w:r w:rsidRPr="00654123">
        <w:rPr>
          <w:b/>
        </w:rPr>
        <w:t>?</w:t>
      </w:r>
    </w:p>
    <w:p w:rsidR="00F23557" w:rsidRPr="00261AAB" w:rsidRDefault="00F23557" w:rsidP="00F23557">
      <w:pPr>
        <w:tabs>
          <w:tab w:val="left" w:pos="-1440"/>
          <w:tab w:val="left" w:pos="1440"/>
        </w:tabs>
        <w:spacing w:after="0" w:line="480" w:lineRule="auto"/>
        <w:ind w:left="720" w:hanging="720"/>
        <w:jc w:val="both"/>
        <w:rPr>
          <w:szCs w:val="24"/>
        </w:rPr>
      </w:pPr>
      <w:r w:rsidRPr="00272985">
        <w:rPr>
          <w:b/>
          <w:szCs w:val="24"/>
        </w:rPr>
        <w:t>A.</w:t>
      </w:r>
      <w:r w:rsidRPr="00272985">
        <w:rPr>
          <w:b/>
          <w:szCs w:val="24"/>
        </w:rPr>
        <w:tab/>
      </w:r>
      <w:r w:rsidRPr="00261AAB">
        <w:rPr>
          <w:szCs w:val="24"/>
        </w:rPr>
        <w:t xml:space="preserve">Yes.  </w:t>
      </w:r>
      <w:r>
        <w:rPr>
          <w:szCs w:val="24"/>
        </w:rPr>
        <w:t>Mr. McKenzie</w:t>
      </w:r>
      <w:r w:rsidRPr="00261AAB">
        <w:rPr>
          <w:szCs w:val="24"/>
        </w:rPr>
        <w:t xml:space="preserve"> asserts that it is appropriate to include a flotation cost adjustment to historical equity issues regardless if the utility is planning on issuing additional shares of stock, or not, to support his position.</w:t>
      </w:r>
      <w:r w:rsidRPr="00C14854">
        <w:rPr>
          <w:szCs w:val="24"/>
          <w:u w:val="single"/>
          <w:vertAlign w:val="superscript"/>
        </w:rPr>
        <w:footnoteReference w:id="39"/>
      </w:r>
      <w:proofErr w:type="gramStart"/>
      <w:r w:rsidRPr="00C14854">
        <w:rPr>
          <w:szCs w:val="24"/>
          <w:vertAlign w:val="superscript"/>
        </w:rPr>
        <w:t>/</w:t>
      </w:r>
      <w:r w:rsidRPr="00261AAB">
        <w:rPr>
          <w:szCs w:val="24"/>
        </w:rPr>
        <w:t xml:space="preserve">  He</w:t>
      </w:r>
      <w:proofErr w:type="gramEnd"/>
      <w:r w:rsidRPr="00261AAB">
        <w:rPr>
          <w:szCs w:val="24"/>
        </w:rPr>
        <w:t xml:space="preserve"> acknowledges there is no standard method for reflecting flotation costs in return on equity methodology</w:t>
      </w:r>
      <w:r>
        <w:rPr>
          <w:szCs w:val="24"/>
        </w:rPr>
        <w:t>,</w:t>
      </w:r>
      <w:r w:rsidRPr="00C14854">
        <w:rPr>
          <w:szCs w:val="24"/>
          <w:u w:val="single"/>
          <w:vertAlign w:val="superscript"/>
        </w:rPr>
        <w:footnoteReference w:id="40"/>
      </w:r>
      <w:r w:rsidRPr="00C14854">
        <w:rPr>
          <w:szCs w:val="24"/>
          <w:vertAlign w:val="superscript"/>
        </w:rPr>
        <w:t>/</w:t>
      </w:r>
      <w:r w:rsidRPr="00261AAB">
        <w:rPr>
          <w:szCs w:val="24"/>
        </w:rPr>
        <w:t xml:space="preserve"> so he proposes a methodology advocated in certain regulatory finance books and that used by Morgan Stanley.  In effect, he grows his proxy group</w:t>
      </w:r>
      <w:r>
        <w:rPr>
          <w:szCs w:val="24"/>
        </w:rPr>
        <w:t>’</w:t>
      </w:r>
      <w:r w:rsidRPr="00261AAB">
        <w:rPr>
          <w:szCs w:val="24"/>
        </w:rPr>
        <w:t>s average dividend yield of 3.</w:t>
      </w:r>
      <w:r>
        <w:rPr>
          <w:szCs w:val="24"/>
        </w:rPr>
        <w:t>6</w:t>
      </w:r>
      <w:r w:rsidRPr="00261AAB">
        <w:rPr>
          <w:szCs w:val="24"/>
        </w:rPr>
        <w:t>% by a historical average flotation cost of 3.6% observed by Morgan Stanley.  This produces a flotation-adjusted dividend yield of 3.</w:t>
      </w:r>
      <w:r>
        <w:rPr>
          <w:szCs w:val="24"/>
        </w:rPr>
        <w:t>7</w:t>
      </w:r>
      <w:r w:rsidRPr="00261AAB">
        <w:rPr>
          <w:szCs w:val="24"/>
        </w:rPr>
        <w:t xml:space="preserve">3%, or a difference of </w:t>
      </w:r>
      <w:r>
        <w:rPr>
          <w:szCs w:val="24"/>
        </w:rPr>
        <w:t>approximately 13</w:t>
      </w:r>
      <w:r w:rsidRPr="00261AAB">
        <w:rPr>
          <w:szCs w:val="24"/>
        </w:rPr>
        <w:t xml:space="preserve"> basis points.  This flotation cost adjustment is intended to recover the actual cost a utility incurs by issuing additional stock to the public.</w:t>
      </w:r>
    </w:p>
    <w:p w:rsidR="00F23557" w:rsidRPr="00654123" w:rsidRDefault="00F23557" w:rsidP="00F23557">
      <w:pPr>
        <w:keepNext/>
        <w:keepLines/>
        <w:tabs>
          <w:tab w:val="left" w:pos="1440"/>
        </w:tabs>
        <w:ind w:left="720" w:hanging="720"/>
        <w:jc w:val="both"/>
        <w:rPr>
          <w:b/>
        </w:rPr>
      </w:pPr>
      <w:r w:rsidRPr="00272985">
        <w:rPr>
          <w:b/>
        </w:rPr>
        <w:lastRenderedPageBreak/>
        <w:t>Q.</w:t>
      </w:r>
      <w:r w:rsidRPr="00272985">
        <w:rPr>
          <w:b/>
        </w:rPr>
        <w:tab/>
      </w:r>
      <w:r w:rsidRPr="00654123">
        <w:rPr>
          <w:b/>
        </w:rPr>
        <w:t>WHY IS MR. MCKENZIE</w:t>
      </w:r>
      <w:r>
        <w:rPr>
          <w:b/>
        </w:rPr>
        <w:t>’</w:t>
      </w:r>
      <w:r w:rsidRPr="00654123">
        <w:rPr>
          <w:b/>
        </w:rPr>
        <w:t>S FLOTATION COST ADJUSTMENT FLAWED?</w:t>
      </w:r>
    </w:p>
    <w:p w:rsidR="00F23557" w:rsidRPr="00261AAB" w:rsidRDefault="00F23557" w:rsidP="00F23557">
      <w:pPr>
        <w:tabs>
          <w:tab w:val="left" w:pos="-1440"/>
          <w:tab w:val="left" w:pos="1440"/>
        </w:tabs>
        <w:spacing w:after="0" w:line="480" w:lineRule="auto"/>
        <w:ind w:left="720" w:hanging="720"/>
        <w:jc w:val="both"/>
        <w:rPr>
          <w:szCs w:val="24"/>
        </w:rPr>
      </w:pPr>
      <w:r w:rsidRPr="00272985">
        <w:rPr>
          <w:b/>
          <w:szCs w:val="24"/>
        </w:rPr>
        <w:t>A.</w:t>
      </w:r>
      <w:r w:rsidRPr="00272985">
        <w:rPr>
          <w:b/>
          <w:szCs w:val="24"/>
        </w:rPr>
        <w:tab/>
      </w:r>
      <w:r>
        <w:rPr>
          <w:szCs w:val="24"/>
        </w:rPr>
        <w:t>Mr. McKenzie’</w:t>
      </w:r>
      <w:r w:rsidRPr="00261AAB">
        <w:rPr>
          <w:szCs w:val="24"/>
        </w:rPr>
        <w:t xml:space="preserve">s flotation cost adjustment is not based on the recovery of prudent and reasonable flotation expenses for </w:t>
      </w:r>
      <w:r>
        <w:rPr>
          <w:szCs w:val="24"/>
        </w:rPr>
        <w:t>Avista</w:t>
      </w:r>
      <w:r w:rsidRPr="00261AAB">
        <w:rPr>
          <w:szCs w:val="24"/>
        </w:rPr>
        <w:t xml:space="preserve">.  </w:t>
      </w:r>
      <w:r>
        <w:rPr>
          <w:szCs w:val="24"/>
        </w:rPr>
        <w:t>As</w:t>
      </w:r>
      <w:r w:rsidRPr="00D53310">
        <w:rPr>
          <w:szCs w:val="24"/>
        </w:rPr>
        <w:t xml:space="preserve"> discussed at pages </w:t>
      </w:r>
      <w:r>
        <w:rPr>
          <w:szCs w:val="24"/>
        </w:rPr>
        <w:t>37-40</w:t>
      </w:r>
      <w:r w:rsidRPr="00D53310">
        <w:rPr>
          <w:szCs w:val="24"/>
        </w:rPr>
        <w:t xml:space="preserve"> of </w:t>
      </w:r>
      <w:r>
        <w:rPr>
          <w:szCs w:val="24"/>
        </w:rPr>
        <w:t>Mr. McKenzie’</w:t>
      </w:r>
      <w:r w:rsidRPr="00D53310">
        <w:rPr>
          <w:szCs w:val="24"/>
        </w:rPr>
        <w:t>s direct testimony, he derives a flotation cost adjustment based on generic cost information of other companies based on a published study.  Because he does not</w:t>
      </w:r>
      <w:r w:rsidRPr="00261AAB">
        <w:rPr>
          <w:szCs w:val="24"/>
        </w:rPr>
        <w:t xml:space="preserve"> show that his adjustment is based on </w:t>
      </w:r>
      <w:r>
        <w:rPr>
          <w:szCs w:val="24"/>
        </w:rPr>
        <w:t>Avista’</w:t>
      </w:r>
      <w:r w:rsidRPr="00261AAB">
        <w:rPr>
          <w:szCs w:val="24"/>
        </w:rPr>
        <w:t xml:space="preserve">s actual and verifiable flotation expenses, there are no means of verifying whether </w:t>
      </w:r>
      <w:r>
        <w:rPr>
          <w:szCs w:val="24"/>
        </w:rPr>
        <w:t>Mr. McKenzie’</w:t>
      </w:r>
      <w:r w:rsidRPr="00261AAB">
        <w:rPr>
          <w:szCs w:val="24"/>
        </w:rPr>
        <w:t xml:space="preserve">s proposal is reasonable or appropriate.  Stated differently, </w:t>
      </w:r>
      <w:r>
        <w:rPr>
          <w:szCs w:val="24"/>
        </w:rPr>
        <w:t>Mr. McKenzie’</w:t>
      </w:r>
      <w:r w:rsidRPr="00261AAB">
        <w:rPr>
          <w:szCs w:val="24"/>
        </w:rPr>
        <w:t xml:space="preserve">s flotation cost adder is not based on known and measurable </w:t>
      </w:r>
      <w:r>
        <w:rPr>
          <w:szCs w:val="24"/>
        </w:rPr>
        <w:t>Avista</w:t>
      </w:r>
      <w:r w:rsidRPr="00261AAB">
        <w:rPr>
          <w:szCs w:val="24"/>
        </w:rPr>
        <w:t xml:space="preserve"> costs.  Therefore, the Commission should reject </w:t>
      </w:r>
      <w:r>
        <w:rPr>
          <w:szCs w:val="24"/>
        </w:rPr>
        <w:t>Mr. McKenzie’</w:t>
      </w:r>
      <w:r w:rsidRPr="00261AAB">
        <w:rPr>
          <w:szCs w:val="24"/>
        </w:rPr>
        <w:t>s proposed flotation expense return on equity adder.</w:t>
      </w:r>
    </w:p>
    <w:p w:rsidR="00F23557" w:rsidRPr="002B6E24" w:rsidRDefault="00F23557" w:rsidP="002B6E24">
      <w:pPr>
        <w:pStyle w:val="Heading1"/>
        <w:tabs>
          <w:tab w:val="left" w:pos="1440"/>
        </w:tabs>
      </w:pPr>
      <w:bookmarkStart w:id="335" w:name="_Toc458774167"/>
      <w:r>
        <w:t>IV.C</w:t>
      </w:r>
      <w:proofErr w:type="gramStart"/>
      <w:r w:rsidRPr="00AD6A53">
        <w:t xml:space="preserve">.  </w:t>
      </w:r>
      <w:r>
        <w:t>Return</w:t>
      </w:r>
      <w:proofErr w:type="gramEnd"/>
      <w:r>
        <w:t xml:space="preserve"> on Equity</w:t>
      </w:r>
      <w:bookmarkEnd w:id="335"/>
    </w:p>
    <w:p w:rsidR="00F23557" w:rsidRPr="00654123" w:rsidRDefault="00F23557" w:rsidP="00F23557">
      <w:pPr>
        <w:keepNext/>
        <w:keepLines/>
        <w:tabs>
          <w:tab w:val="left" w:pos="1440"/>
        </w:tabs>
        <w:ind w:left="720" w:hanging="720"/>
        <w:jc w:val="both"/>
        <w:rPr>
          <w:b/>
        </w:rPr>
      </w:pPr>
      <w:r w:rsidRPr="00272985">
        <w:rPr>
          <w:b/>
        </w:rPr>
        <w:t>Q.</w:t>
      </w:r>
      <w:r w:rsidRPr="00272985">
        <w:rPr>
          <w:b/>
        </w:rPr>
        <w:tab/>
      </w:r>
      <w:r w:rsidRPr="00654123">
        <w:rPr>
          <w:b/>
        </w:rPr>
        <w:t>HOW DID MR. MCKENZIE DEVELOP HIS RETURN ON EQUITY RANGE?</w:t>
      </w:r>
    </w:p>
    <w:p w:rsidR="00F23557" w:rsidRPr="00261AAB" w:rsidRDefault="00F23557" w:rsidP="00F23557">
      <w:pPr>
        <w:tabs>
          <w:tab w:val="left" w:pos="-1440"/>
          <w:tab w:val="left" w:pos="1440"/>
        </w:tabs>
        <w:spacing w:after="0" w:line="480" w:lineRule="auto"/>
        <w:ind w:left="720" w:hanging="720"/>
        <w:jc w:val="both"/>
        <w:rPr>
          <w:szCs w:val="24"/>
        </w:rPr>
      </w:pPr>
      <w:r w:rsidRPr="00272985">
        <w:rPr>
          <w:b/>
          <w:szCs w:val="24"/>
        </w:rPr>
        <w:t>A.</w:t>
      </w:r>
      <w:r w:rsidRPr="00272985">
        <w:rPr>
          <w:b/>
          <w:szCs w:val="24"/>
        </w:rPr>
        <w:tab/>
      </w:r>
      <w:r>
        <w:rPr>
          <w:szCs w:val="24"/>
        </w:rPr>
        <w:t>Mr. McKenzie</w:t>
      </w:r>
      <w:r w:rsidRPr="00261AAB">
        <w:rPr>
          <w:szCs w:val="24"/>
        </w:rPr>
        <w:t xml:space="preserve"> developed his return on equity recommendation by applying the DCF, the Empirical CAPM</w:t>
      </w:r>
      <w:r>
        <w:rPr>
          <w:szCs w:val="24"/>
        </w:rPr>
        <w:t xml:space="preserve"> (“ECAPM”), the traditional CAPM, and</w:t>
      </w:r>
      <w:r w:rsidRPr="00261AAB">
        <w:rPr>
          <w:szCs w:val="24"/>
        </w:rPr>
        <w:t xml:space="preserve"> Risk Premium model</w:t>
      </w:r>
      <w:r>
        <w:rPr>
          <w:szCs w:val="24"/>
        </w:rPr>
        <w:t>, and an Expected Earnings analysis</w:t>
      </w:r>
      <w:r w:rsidRPr="00261AAB">
        <w:rPr>
          <w:szCs w:val="24"/>
        </w:rPr>
        <w:t xml:space="preserve"> to his </w:t>
      </w:r>
      <w:r>
        <w:rPr>
          <w:szCs w:val="24"/>
        </w:rPr>
        <w:t>utility p</w:t>
      </w:r>
      <w:r w:rsidRPr="00261AAB">
        <w:rPr>
          <w:szCs w:val="24"/>
        </w:rPr>
        <w:t xml:space="preserve">roxy </w:t>
      </w:r>
      <w:r>
        <w:rPr>
          <w:szCs w:val="24"/>
        </w:rPr>
        <w:t>g</w:t>
      </w:r>
      <w:r w:rsidRPr="00261AAB">
        <w:rPr>
          <w:szCs w:val="24"/>
        </w:rPr>
        <w:t xml:space="preserve">roup.  </w:t>
      </w:r>
      <w:r>
        <w:rPr>
          <w:szCs w:val="24"/>
        </w:rPr>
        <w:t>Then he corroborates his results by developing a non-utility DCF model.</w:t>
      </w:r>
    </w:p>
    <w:p w:rsidR="00F23557" w:rsidRDefault="00F23557" w:rsidP="00F23557">
      <w:pPr>
        <w:tabs>
          <w:tab w:val="left" w:pos="-1440"/>
          <w:tab w:val="left" w:pos="1440"/>
        </w:tabs>
        <w:spacing w:after="0" w:line="480" w:lineRule="auto"/>
        <w:ind w:left="720" w:hanging="720"/>
        <w:jc w:val="both"/>
        <w:rPr>
          <w:szCs w:val="24"/>
        </w:rPr>
      </w:pPr>
      <w:r w:rsidRPr="00261AAB">
        <w:rPr>
          <w:szCs w:val="24"/>
        </w:rPr>
        <w:tab/>
      </w:r>
      <w:r w:rsidRPr="00261AAB">
        <w:rPr>
          <w:szCs w:val="24"/>
        </w:rPr>
        <w:tab/>
        <w:t>As shown below in</w:t>
      </w:r>
      <w:r>
        <w:rPr>
          <w:szCs w:val="24"/>
        </w:rPr>
        <w:t xml:space="preserve"> Table 8</w:t>
      </w:r>
      <w:r w:rsidRPr="00261AAB">
        <w:rPr>
          <w:szCs w:val="24"/>
        </w:rPr>
        <w:t xml:space="preserve">, </w:t>
      </w:r>
      <w:r>
        <w:rPr>
          <w:szCs w:val="24"/>
        </w:rPr>
        <w:t>Mr. McKenzie’</w:t>
      </w:r>
      <w:r w:rsidRPr="00261AAB">
        <w:rPr>
          <w:szCs w:val="24"/>
        </w:rPr>
        <w:t>s analyses produce a return on equity in the range of 9.</w:t>
      </w:r>
      <w:r>
        <w:rPr>
          <w:szCs w:val="24"/>
        </w:rPr>
        <w:t>8</w:t>
      </w:r>
      <w:r w:rsidRPr="00261AAB">
        <w:rPr>
          <w:szCs w:val="24"/>
        </w:rPr>
        <w:t xml:space="preserve">% to </w:t>
      </w:r>
      <w:r>
        <w:rPr>
          <w:szCs w:val="24"/>
        </w:rPr>
        <w:t>10.8</w:t>
      </w:r>
      <w:r w:rsidRPr="00261AAB">
        <w:rPr>
          <w:szCs w:val="24"/>
        </w:rPr>
        <w:t xml:space="preserve">%.  However, reasonable adjustments to </w:t>
      </w:r>
      <w:r>
        <w:rPr>
          <w:szCs w:val="24"/>
        </w:rPr>
        <w:t>Mr. McKenzie’</w:t>
      </w:r>
      <w:r w:rsidRPr="00261AAB">
        <w:rPr>
          <w:szCs w:val="24"/>
        </w:rPr>
        <w:t xml:space="preserve">s DCF, </w:t>
      </w:r>
      <w:r>
        <w:rPr>
          <w:szCs w:val="24"/>
        </w:rPr>
        <w:t>E</w:t>
      </w:r>
      <w:r w:rsidRPr="00261AAB">
        <w:rPr>
          <w:szCs w:val="24"/>
        </w:rPr>
        <w:t>CAPM</w:t>
      </w:r>
      <w:r>
        <w:rPr>
          <w:szCs w:val="24"/>
        </w:rPr>
        <w:t>, CAPM,</w:t>
      </w:r>
      <w:r w:rsidRPr="00261AAB">
        <w:rPr>
          <w:szCs w:val="24"/>
        </w:rPr>
        <w:t xml:space="preserve"> and </w:t>
      </w:r>
      <w:r>
        <w:rPr>
          <w:szCs w:val="24"/>
        </w:rPr>
        <w:t>Risk Premium</w:t>
      </w:r>
      <w:r w:rsidRPr="00261AAB">
        <w:rPr>
          <w:szCs w:val="24"/>
        </w:rPr>
        <w:t xml:space="preserve"> studies reduces his return on equity estimate for </w:t>
      </w:r>
      <w:r>
        <w:rPr>
          <w:szCs w:val="24"/>
        </w:rPr>
        <w:t>Avista</w:t>
      </w:r>
      <w:r w:rsidRPr="00261AAB">
        <w:rPr>
          <w:szCs w:val="24"/>
        </w:rPr>
        <w:t xml:space="preserve"> to </w:t>
      </w:r>
      <w:r>
        <w:rPr>
          <w:szCs w:val="24"/>
        </w:rPr>
        <w:t>no higher than my recommended return on equity of 9.10%.</w:t>
      </w:r>
    </w:p>
    <w:tbl>
      <w:tblPr>
        <w:tblStyle w:val="TableGrid"/>
        <w:tblW w:w="0" w:type="auto"/>
        <w:jc w:val="center"/>
        <w:tblBorders>
          <w:insideH w:val="none" w:sz="0" w:space="0" w:color="auto"/>
          <w:insideV w:val="none" w:sz="0" w:space="0" w:color="auto"/>
        </w:tblBorders>
        <w:tblLook w:val="04A0"/>
      </w:tblPr>
      <w:tblGrid>
        <w:gridCol w:w="2856"/>
        <w:gridCol w:w="1756"/>
        <w:gridCol w:w="1570"/>
      </w:tblGrid>
      <w:tr w:rsidR="00F23557" w:rsidTr="00E46164">
        <w:trPr>
          <w:jc w:val="center"/>
        </w:trPr>
        <w:tc>
          <w:tcPr>
            <w:tcW w:w="6182" w:type="dxa"/>
            <w:gridSpan w:val="3"/>
          </w:tcPr>
          <w:p w:rsidR="00F23557" w:rsidRDefault="00F23557" w:rsidP="00E46164">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center"/>
              <w:rPr>
                <w:b/>
                <w:bCs/>
                <w:szCs w:val="24"/>
              </w:rPr>
            </w:pPr>
          </w:p>
          <w:p w:rsidR="00F23557" w:rsidRPr="0078735B" w:rsidRDefault="00F23557" w:rsidP="00E46164">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center"/>
              <w:rPr>
                <w:b/>
                <w:bCs/>
                <w:szCs w:val="24"/>
              </w:rPr>
            </w:pPr>
            <w:r>
              <w:rPr>
                <w:b/>
                <w:bCs/>
                <w:szCs w:val="24"/>
              </w:rPr>
              <w:t>TABLE 8</w:t>
            </w:r>
          </w:p>
          <w:p w:rsidR="00F23557" w:rsidRPr="0078735B" w:rsidRDefault="00F23557" w:rsidP="00E46164">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center"/>
              <w:rPr>
                <w:b/>
                <w:bCs/>
                <w:sz w:val="12"/>
                <w:szCs w:val="12"/>
              </w:rPr>
            </w:pPr>
          </w:p>
          <w:p w:rsidR="00F23557" w:rsidRPr="0078735B" w:rsidRDefault="00F23557" w:rsidP="00E46164">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center"/>
              <w:rPr>
                <w:b/>
                <w:bCs/>
                <w:szCs w:val="24"/>
                <w:u w:val="single"/>
              </w:rPr>
            </w:pPr>
            <w:r>
              <w:rPr>
                <w:b/>
                <w:bCs/>
                <w:szCs w:val="24"/>
                <w:u w:val="single"/>
              </w:rPr>
              <w:t>Mr. McKenzie</w:t>
            </w:r>
            <w:r w:rsidRPr="0078735B">
              <w:rPr>
                <w:b/>
                <w:bCs/>
                <w:szCs w:val="24"/>
                <w:u w:val="single"/>
              </w:rPr>
              <w:t>’s ROE Analysis</w:t>
            </w:r>
          </w:p>
          <w:p w:rsidR="00F23557" w:rsidRDefault="00F23557" w:rsidP="00E46164">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b/>
                <w:szCs w:val="24"/>
              </w:rPr>
            </w:pPr>
          </w:p>
        </w:tc>
      </w:tr>
      <w:tr w:rsidR="00F23557" w:rsidTr="00E46164">
        <w:trPr>
          <w:jc w:val="center"/>
        </w:trPr>
        <w:tc>
          <w:tcPr>
            <w:tcW w:w="2856" w:type="dxa"/>
          </w:tcPr>
          <w:p w:rsidR="00F23557" w:rsidRPr="00056F51" w:rsidRDefault="00F23557" w:rsidP="00E46164">
            <w:pPr>
              <w:keepNext/>
              <w:tabs>
                <w:tab w:val="left" w:pos="-1440"/>
                <w:tab w:val="left" w:pos="1080"/>
              </w:tabs>
              <w:spacing w:after="0"/>
              <w:jc w:val="both"/>
              <w:rPr>
                <w:b/>
                <w:szCs w:val="24"/>
                <w:u w:val="single"/>
              </w:rPr>
            </w:pPr>
            <w:r>
              <w:rPr>
                <w:b/>
                <w:szCs w:val="24"/>
                <w:u w:val="single"/>
              </w:rPr>
              <w:t>            Model             </w:t>
            </w:r>
          </w:p>
        </w:tc>
        <w:tc>
          <w:tcPr>
            <w:tcW w:w="1756" w:type="dxa"/>
            <w:vAlign w:val="center"/>
          </w:tcPr>
          <w:p w:rsidR="00F23557" w:rsidRPr="001A3510" w:rsidRDefault="00F23557" w:rsidP="00E46164">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b/>
                <w:szCs w:val="24"/>
                <w:u w:val="single"/>
              </w:rPr>
            </w:pPr>
            <w:r>
              <w:rPr>
                <w:b/>
                <w:szCs w:val="24"/>
                <w:u w:val="single"/>
              </w:rPr>
              <w:t>      </w:t>
            </w:r>
            <w:r w:rsidRPr="001A3510">
              <w:rPr>
                <w:b/>
                <w:szCs w:val="24"/>
                <w:u w:val="single"/>
              </w:rPr>
              <w:t>Average</w:t>
            </w:r>
            <w:r>
              <w:rPr>
                <w:b/>
                <w:szCs w:val="24"/>
                <w:u w:val="single"/>
              </w:rPr>
              <w:t>     </w:t>
            </w:r>
          </w:p>
        </w:tc>
        <w:tc>
          <w:tcPr>
            <w:tcW w:w="1570" w:type="dxa"/>
            <w:vAlign w:val="center"/>
          </w:tcPr>
          <w:p w:rsidR="00F23557" w:rsidRPr="001A3510" w:rsidRDefault="00F23557" w:rsidP="00E46164">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b/>
                <w:szCs w:val="24"/>
                <w:u w:val="single"/>
              </w:rPr>
            </w:pPr>
            <w:r>
              <w:rPr>
                <w:b/>
                <w:szCs w:val="24"/>
                <w:u w:val="single"/>
              </w:rPr>
              <w:t>   </w:t>
            </w:r>
            <w:r w:rsidRPr="001A3510">
              <w:rPr>
                <w:b/>
                <w:szCs w:val="24"/>
                <w:u w:val="single"/>
              </w:rPr>
              <w:t>Adjusted</w:t>
            </w:r>
            <w:r>
              <w:rPr>
                <w:b/>
                <w:szCs w:val="24"/>
                <w:u w:val="single"/>
              </w:rPr>
              <w:t>   </w:t>
            </w:r>
          </w:p>
        </w:tc>
      </w:tr>
      <w:tr w:rsidR="00F23557" w:rsidTr="00E46164">
        <w:trPr>
          <w:jc w:val="center"/>
        </w:trPr>
        <w:tc>
          <w:tcPr>
            <w:tcW w:w="2856" w:type="dxa"/>
          </w:tcPr>
          <w:p w:rsidR="00F23557" w:rsidRPr="00056F51" w:rsidRDefault="00F23557" w:rsidP="00E46164">
            <w:pPr>
              <w:keepNext/>
              <w:tabs>
                <w:tab w:val="left" w:pos="-1440"/>
                <w:tab w:val="left" w:pos="1080"/>
              </w:tabs>
              <w:spacing w:after="0"/>
              <w:jc w:val="both"/>
              <w:rPr>
                <w:b/>
                <w:szCs w:val="24"/>
                <w:u w:val="single"/>
              </w:rPr>
            </w:pPr>
          </w:p>
        </w:tc>
        <w:tc>
          <w:tcPr>
            <w:tcW w:w="1756" w:type="dxa"/>
            <w:vAlign w:val="center"/>
          </w:tcPr>
          <w:p w:rsidR="00F23557" w:rsidRPr="005B5CD5" w:rsidRDefault="00F23557" w:rsidP="00E46164">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b/>
                <w:szCs w:val="24"/>
              </w:rPr>
            </w:pPr>
            <w:r>
              <w:rPr>
                <w:b/>
                <w:szCs w:val="24"/>
              </w:rPr>
              <w:t>(1)</w:t>
            </w:r>
          </w:p>
        </w:tc>
        <w:tc>
          <w:tcPr>
            <w:tcW w:w="1570" w:type="dxa"/>
            <w:vAlign w:val="center"/>
          </w:tcPr>
          <w:p w:rsidR="00F23557" w:rsidRPr="005B5CD5" w:rsidRDefault="00F23557" w:rsidP="00E46164">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b/>
                <w:szCs w:val="24"/>
              </w:rPr>
            </w:pPr>
            <w:r>
              <w:rPr>
                <w:b/>
                <w:szCs w:val="24"/>
              </w:rPr>
              <w:t>(2)</w:t>
            </w:r>
          </w:p>
        </w:tc>
      </w:tr>
      <w:tr w:rsidR="00F23557" w:rsidTr="00E46164">
        <w:trPr>
          <w:jc w:val="center"/>
        </w:trPr>
        <w:tc>
          <w:tcPr>
            <w:tcW w:w="2856" w:type="dxa"/>
          </w:tcPr>
          <w:p w:rsidR="00F23557" w:rsidRPr="0078735B" w:rsidRDefault="00F23557" w:rsidP="00E46164">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
              <w:jc w:val="both"/>
              <w:rPr>
                <w:szCs w:val="24"/>
              </w:rPr>
            </w:pPr>
            <w:r w:rsidRPr="0078735B">
              <w:rPr>
                <w:szCs w:val="24"/>
              </w:rPr>
              <w:t xml:space="preserve">DCF </w:t>
            </w:r>
          </w:p>
        </w:tc>
        <w:tc>
          <w:tcPr>
            <w:tcW w:w="1756" w:type="dxa"/>
            <w:vAlign w:val="center"/>
          </w:tcPr>
          <w:p w:rsidR="00F23557" w:rsidRPr="0078735B" w:rsidRDefault="00F23557" w:rsidP="00E46164">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
              <w:jc w:val="center"/>
              <w:rPr>
                <w:szCs w:val="24"/>
              </w:rPr>
            </w:pPr>
            <w:r w:rsidRPr="0078735B">
              <w:rPr>
                <w:szCs w:val="24"/>
              </w:rPr>
              <w:t>8.</w:t>
            </w:r>
            <w:r>
              <w:rPr>
                <w:szCs w:val="24"/>
              </w:rPr>
              <w:t>8</w:t>
            </w:r>
            <w:r w:rsidRPr="0078735B">
              <w:rPr>
                <w:szCs w:val="24"/>
              </w:rPr>
              <w:t xml:space="preserve">% - </w:t>
            </w:r>
            <w:r>
              <w:rPr>
                <w:szCs w:val="24"/>
              </w:rPr>
              <w:t>10.4</w:t>
            </w:r>
            <w:r w:rsidRPr="0078735B">
              <w:rPr>
                <w:szCs w:val="24"/>
              </w:rPr>
              <w:t>%</w:t>
            </w:r>
          </w:p>
        </w:tc>
        <w:tc>
          <w:tcPr>
            <w:tcW w:w="1570" w:type="dxa"/>
            <w:vAlign w:val="center"/>
          </w:tcPr>
          <w:p w:rsidR="00F23557" w:rsidRPr="0078735B" w:rsidRDefault="00F23557" w:rsidP="0028388E">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
              <w:jc w:val="center"/>
              <w:rPr>
                <w:szCs w:val="24"/>
              </w:rPr>
            </w:pPr>
            <w:r w:rsidRPr="0078735B">
              <w:rPr>
                <w:szCs w:val="24"/>
              </w:rPr>
              <w:t>8.</w:t>
            </w:r>
            <w:r w:rsidR="0028388E">
              <w:rPr>
                <w:szCs w:val="24"/>
              </w:rPr>
              <w:t>4</w:t>
            </w:r>
            <w:r w:rsidRPr="0078735B">
              <w:rPr>
                <w:szCs w:val="24"/>
              </w:rPr>
              <w:t xml:space="preserve">% - </w:t>
            </w:r>
            <w:r>
              <w:rPr>
                <w:szCs w:val="24"/>
              </w:rPr>
              <w:t>9.</w:t>
            </w:r>
            <w:r w:rsidR="0028388E">
              <w:rPr>
                <w:szCs w:val="24"/>
              </w:rPr>
              <w:t>2</w:t>
            </w:r>
            <w:r w:rsidRPr="0078735B">
              <w:rPr>
                <w:szCs w:val="24"/>
              </w:rPr>
              <w:t>%</w:t>
            </w:r>
          </w:p>
        </w:tc>
      </w:tr>
      <w:tr w:rsidR="00F23557" w:rsidTr="00E46164">
        <w:trPr>
          <w:jc w:val="center"/>
        </w:trPr>
        <w:tc>
          <w:tcPr>
            <w:tcW w:w="2856" w:type="dxa"/>
          </w:tcPr>
          <w:p w:rsidR="00F23557" w:rsidRDefault="00F23557" w:rsidP="00E46164">
            <w:pPr>
              <w:keepNext/>
              <w:tabs>
                <w:tab w:val="left" w:pos="-1440"/>
                <w:tab w:val="left" w:pos="1080"/>
              </w:tabs>
              <w:spacing w:after="0"/>
              <w:jc w:val="both"/>
              <w:rPr>
                <w:szCs w:val="24"/>
              </w:rPr>
            </w:pPr>
            <w:r>
              <w:rPr>
                <w:szCs w:val="24"/>
              </w:rPr>
              <w:t xml:space="preserve">    Midpoint</w:t>
            </w:r>
          </w:p>
        </w:tc>
        <w:tc>
          <w:tcPr>
            <w:tcW w:w="1756" w:type="dxa"/>
          </w:tcPr>
          <w:p w:rsidR="00F23557" w:rsidRDefault="00F23557" w:rsidP="00E46164">
            <w:pPr>
              <w:keepNext/>
              <w:tabs>
                <w:tab w:val="left" w:pos="-1440"/>
                <w:tab w:val="left" w:pos="1080"/>
              </w:tabs>
              <w:spacing w:after="0"/>
              <w:jc w:val="both"/>
              <w:rPr>
                <w:szCs w:val="24"/>
              </w:rPr>
            </w:pPr>
          </w:p>
        </w:tc>
        <w:tc>
          <w:tcPr>
            <w:tcW w:w="1570" w:type="dxa"/>
          </w:tcPr>
          <w:p w:rsidR="00F23557" w:rsidRDefault="00F23557" w:rsidP="0028388E">
            <w:pPr>
              <w:keepNext/>
              <w:tabs>
                <w:tab w:val="left" w:pos="-1440"/>
                <w:tab w:val="left" w:pos="1080"/>
              </w:tabs>
              <w:spacing w:after="0"/>
              <w:jc w:val="center"/>
              <w:rPr>
                <w:szCs w:val="24"/>
              </w:rPr>
            </w:pPr>
            <w:r>
              <w:rPr>
                <w:szCs w:val="24"/>
              </w:rPr>
              <w:t>8.</w:t>
            </w:r>
            <w:r w:rsidR="0028388E">
              <w:rPr>
                <w:szCs w:val="24"/>
              </w:rPr>
              <w:t>8</w:t>
            </w:r>
            <w:r>
              <w:rPr>
                <w:szCs w:val="24"/>
              </w:rPr>
              <w:t>%</w:t>
            </w:r>
          </w:p>
        </w:tc>
      </w:tr>
      <w:tr w:rsidR="00F23557" w:rsidTr="00E46164">
        <w:trPr>
          <w:trHeight w:val="143"/>
          <w:jc w:val="center"/>
        </w:trPr>
        <w:tc>
          <w:tcPr>
            <w:tcW w:w="2856" w:type="dxa"/>
          </w:tcPr>
          <w:p w:rsidR="00F23557" w:rsidRPr="0009743B" w:rsidRDefault="00F23557" w:rsidP="00E46164">
            <w:pPr>
              <w:keepNext/>
              <w:tabs>
                <w:tab w:val="left" w:pos="-1440"/>
                <w:tab w:val="left" w:pos="1080"/>
              </w:tabs>
              <w:spacing w:after="0"/>
              <w:jc w:val="both"/>
              <w:rPr>
                <w:sz w:val="14"/>
                <w:szCs w:val="14"/>
              </w:rPr>
            </w:pPr>
          </w:p>
        </w:tc>
        <w:tc>
          <w:tcPr>
            <w:tcW w:w="1756" w:type="dxa"/>
          </w:tcPr>
          <w:p w:rsidR="00F23557" w:rsidRPr="0009743B" w:rsidRDefault="00F23557" w:rsidP="00E46164">
            <w:pPr>
              <w:keepNext/>
              <w:tabs>
                <w:tab w:val="left" w:pos="-1440"/>
                <w:tab w:val="left" w:pos="1080"/>
              </w:tabs>
              <w:spacing w:after="0"/>
              <w:jc w:val="both"/>
              <w:rPr>
                <w:sz w:val="14"/>
                <w:szCs w:val="14"/>
              </w:rPr>
            </w:pPr>
          </w:p>
        </w:tc>
        <w:tc>
          <w:tcPr>
            <w:tcW w:w="1570" w:type="dxa"/>
          </w:tcPr>
          <w:p w:rsidR="00F23557" w:rsidRPr="0009743B" w:rsidRDefault="00F23557" w:rsidP="00E46164">
            <w:pPr>
              <w:keepNext/>
              <w:tabs>
                <w:tab w:val="left" w:pos="-1440"/>
                <w:tab w:val="left" w:pos="1080"/>
              </w:tabs>
              <w:spacing w:after="0"/>
              <w:jc w:val="both"/>
              <w:rPr>
                <w:sz w:val="14"/>
                <w:szCs w:val="14"/>
              </w:rPr>
            </w:pPr>
          </w:p>
        </w:tc>
      </w:tr>
      <w:tr w:rsidR="00F23557" w:rsidTr="00E46164">
        <w:trPr>
          <w:jc w:val="center"/>
        </w:trPr>
        <w:tc>
          <w:tcPr>
            <w:tcW w:w="2856" w:type="dxa"/>
          </w:tcPr>
          <w:p w:rsidR="00F23557" w:rsidRDefault="00F23557" w:rsidP="0028388E">
            <w:pPr>
              <w:keepNext/>
              <w:tabs>
                <w:tab w:val="left" w:pos="-1440"/>
                <w:tab w:val="left" w:pos="1080"/>
              </w:tabs>
              <w:spacing w:after="0"/>
              <w:ind w:left="157"/>
              <w:jc w:val="both"/>
              <w:rPr>
                <w:szCs w:val="24"/>
              </w:rPr>
            </w:pPr>
            <w:r w:rsidRPr="0078735B">
              <w:rPr>
                <w:szCs w:val="24"/>
                <w:u w:val="single"/>
              </w:rPr>
              <w:t>ECAPM (Current)</w:t>
            </w:r>
          </w:p>
        </w:tc>
        <w:tc>
          <w:tcPr>
            <w:tcW w:w="1756" w:type="dxa"/>
          </w:tcPr>
          <w:p w:rsidR="00F23557" w:rsidRDefault="00F23557" w:rsidP="00E46164">
            <w:pPr>
              <w:keepNext/>
              <w:tabs>
                <w:tab w:val="left" w:pos="-1440"/>
                <w:tab w:val="left" w:pos="1080"/>
              </w:tabs>
              <w:spacing w:after="0"/>
              <w:jc w:val="both"/>
              <w:rPr>
                <w:szCs w:val="24"/>
              </w:rPr>
            </w:pPr>
          </w:p>
        </w:tc>
        <w:tc>
          <w:tcPr>
            <w:tcW w:w="1570" w:type="dxa"/>
          </w:tcPr>
          <w:p w:rsidR="00F23557" w:rsidRDefault="00F23557" w:rsidP="00E46164">
            <w:pPr>
              <w:keepNext/>
              <w:tabs>
                <w:tab w:val="left" w:pos="-1440"/>
                <w:tab w:val="left" w:pos="1080"/>
              </w:tabs>
              <w:spacing w:after="0"/>
              <w:jc w:val="both"/>
              <w:rPr>
                <w:szCs w:val="24"/>
              </w:rPr>
            </w:pPr>
          </w:p>
        </w:tc>
      </w:tr>
      <w:tr w:rsidR="00F23557" w:rsidTr="00E46164">
        <w:trPr>
          <w:jc w:val="center"/>
        </w:trPr>
        <w:tc>
          <w:tcPr>
            <w:tcW w:w="2856" w:type="dxa"/>
          </w:tcPr>
          <w:p w:rsidR="00F23557" w:rsidRPr="0078735B" w:rsidRDefault="00F23557" w:rsidP="0028388E">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57"/>
              <w:jc w:val="both"/>
              <w:rPr>
                <w:szCs w:val="24"/>
                <w:u w:val="single"/>
              </w:rPr>
            </w:pPr>
            <w:r w:rsidRPr="0078735B">
              <w:rPr>
                <w:szCs w:val="24"/>
              </w:rPr>
              <w:t>Unadjusted</w:t>
            </w:r>
          </w:p>
        </w:tc>
        <w:tc>
          <w:tcPr>
            <w:tcW w:w="1756" w:type="dxa"/>
            <w:vAlign w:val="center"/>
          </w:tcPr>
          <w:p w:rsidR="00F23557" w:rsidRPr="0078735B" w:rsidRDefault="00F23557" w:rsidP="00E46164">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
              <w:jc w:val="center"/>
              <w:rPr>
                <w:szCs w:val="24"/>
              </w:rPr>
            </w:pPr>
            <w:r>
              <w:rPr>
                <w:szCs w:val="24"/>
              </w:rPr>
              <w:t>9.8</w:t>
            </w:r>
            <w:r w:rsidRPr="0078735B">
              <w:rPr>
                <w:szCs w:val="24"/>
              </w:rPr>
              <w:t>%</w:t>
            </w:r>
          </w:p>
        </w:tc>
        <w:tc>
          <w:tcPr>
            <w:tcW w:w="1570" w:type="dxa"/>
          </w:tcPr>
          <w:p w:rsidR="00F23557" w:rsidRDefault="00F23557" w:rsidP="00E46164">
            <w:pPr>
              <w:keepNext/>
              <w:tabs>
                <w:tab w:val="left" w:pos="-1440"/>
                <w:tab w:val="left" w:pos="1080"/>
              </w:tabs>
              <w:spacing w:after="0"/>
              <w:jc w:val="center"/>
              <w:rPr>
                <w:szCs w:val="24"/>
              </w:rPr>
            </w:pPr>
            <w:r>
              <w:rPr>
                <w:szCs w:val="24"/>
              </w:rPr>
              <w:t>8.4%</w:t>
            </w:r>
          </w:p>
        </w:tc>
      </w:tr>
      <w:tr w:rsidR="00F23557" w:rsidTr="00E46164">
        <w:trPr>
          <w:jc w:val="center"/>
        </w:trPr>
        <w:tc>
          <w:tcPr>
            <w:tcW w:w="2856" w:type="dxa"/>
          </w:tcPr>
          <w:p w:rsidR="00F23557" w:rsidRPr="0078735B" w:rsidRDefault="00F23557" w:rsidP="0028388E">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57"/>
              <w:jc w:val="both"/>
              <w:rPr>
                <w:szCs w:val="24"/>
                <w:u w:val="single"/>
              </w:rPr>
            </w:pPr>
            <w:r w:rsidRPr="0078735B">
              <w:rPr>
                <w:szCs w:val="24"/>
              </w:rPr>
              <w:t>Size Adjusted</w:t>
            </w:r>
          </w:p>
        </w:tc>
        <w:tc>
          <w:tcPr>
            <w:tcW w:w="1756" w:type="dxa"/>
            <w:vAlign w:val="center"/>
          </w:tcPr>
          <w:p w:rsidR="00F23557" w:rsidRPr="0028388E" w:rsidRDefault="00F23557" w:rsidP="00E46164">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
              <w:jc w:val="center"/>
              <w:rPr>
                <w:szCs w:val="24"/>
              </w:rPr>
            </w:pPr>
            <w:r w:rsidRPr="0028388E">
              <w:rPr>
                <w:szCs w:val="24"/>
              </w:rPr>
              <w:t>10.8%</w:t>
            </w:r>
          </w:p>
        </w:tc>
        <w:tc>
          <w:tcPr>
            <w:tcW w:w="1570" w:type="dxa"/>
          </w:tcPr>
          <w:p w:rsidR="00F23557" w:rsidRPr="0028388E" w:rsidRDefault="00F23557" w:rsidP="00E46164">
            <w:pPr>
              <w:keepNext/>
              <w:tabs>
                <w:tab w:val="left" w:pos="-1440"/>
                <w:tab w:val="left" w:pos="1080"/>
              </w:tabs>
              <w:spacing w:after="0"/>
              <w:jc w:val="center"/>
              <w:rPr>
                <w:szCs w:val="24"/>
              </w:rPr>
            </w:pPr>
            <w:r w:rsidRPr="0028388E">
              <w:rPr>
                <w:szCs w:val="24"/>
              </w:rPr>
              <w:t>8.1%</w:t>
            </w:r>
          </w:p>
        </w:tc>
      </w:tr>
      <w:tr w:rsidR="00F23557" w:rsidTr="00E46164">
        <w:trPr>
          <w:jc w:val="center"/>
        </w:trPr>
        <w:tc>
          <w:tcPr>
            <w:tcW w:w="2856" w:type="dxa"/>
          </w:tcPr>
          <w:p w:rsidR="00F23557" w:rsidRPr="001A3510" w:rsidRDefault="00F23557" w:rsidP="00E46164">
            <w:pPr>
              <w:keepNext/>
              <w:tabs>
                <w:tab w:val="left" w:pos="-1440"/>
                <w:tab w:val="left" w:pos="1080"/>
              </w:tabs>
              <w:spacing w:after="0"/>
              <w:jc w:val="both"/>
              <w:rPr>
                <w:sz w:val="14"/>
                <w:szCs w:val="14"/>
              </w:rPr>
            </w:pPr>
          </w:p>
        </w:tc>
        <w:tc>
          <w:tcPr>
            <w:tcW w:w="1756" w:type="dxa"/>
          </w:tcPr>
          <w:p w:rsidR="00F23557" w:rsidRPr="0028388E" w:rsidRDefault="00F23557" w:rsidP="00E46164">
            <w:pPr>
              <w:keepNext/>
              <w:tabs>
                <w:tab w:val="left" w:pos="-1440"/>
                <w:tab w:val="left" w:pos="1080"/>
              </w:tabs>
              <w:spacing w:after="0"/>
              <w:jc w:val="both"/>
              <w:rPr>
                <w:sz w:val="14"/>
                <w:szCs w:val="14"/>
              </w:rPr>
            </w:pPr>
          </w:p>
        </w:tc>
        <w:tc>
          <w:tcPr>
            <w:tcW w:w="1570" w:type="dxa"/>
          </w:tcPr>
          <w:p w:rsidR="00F23557" w:rsidRPr="0028388E" w:rsidRDefault="00F23557" w:rsidP="00E46164">
            <w:pPr>
              <w:keepNext/>
              <w:tabs>
                <w:tab w:val="left" w:pos="-1440"/>
                <w:tab w:val="left" w:pos="1080"/>
              </w:tabs>
              <w:spacing w:after="0"/>
              <w:jc w:val="both"/>
              <w:rPr>
                <w:sz w:val="14"/>
                <w:szCs w:val="14"/>
              </w:rPr>
            </w:pPr>
          </w:p>
        </w:tc>
      </w:tr>
      <w:tr w:rsidR="00F23557" w:rsidTr="00E46164">
        <w:trPr>
          <w:jc w:val="center"/>
        </w:trPr>
        <w:tc>
          <w:tcPr>
            <w:tcW w:w="2856" w:type="dxa"/>
          </w:tcPr>
          <w:p w:rsidR="00F23557" w:rsidRPr="0078735B" w:rsidRDefault="00F23557" w:rsidP="00E46164">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
              <w:jc w:val="both"/>
              <w:rPr>
                <w:szCs w:val="24"/>
                <w:u w:val="single"/>
              </w:rPr>
            </w:pPr>
            <w:r w:rsidRPr="0078735B">
              <w:rPr>
                <w:szCs w:val="24"/>
                <w:u w:val="single"/>
              </w:rPr>
              <w:t>ECAPM (Projected)</w:t>
            </w:r>
          </w:p>
        </w:tc>
        <w:tc>
          <w:tcPr>
            <w:tcW w:w="1756" w:type="dxa"/>
          </w:tcPr>
          <w:p w:rsidR="00F23557" w:rsidRPr="0028388E" w:rsidRDefault="00F23557" w:rsidP="00E46164">
            <w:pPr>
              <w:keepNext/>
              <w:tabs>
                <w:tab w:val="left" w:pos="-1440"/>
                <w:tab w:val="left" w:pos="1080"/>
              </w:tabs>
              <w:spacing w:after="0"/>
              <w:jc w:val="center"/>
              <w:rPr>
                <w:szCs w:val="24"/>
              </w:rPr>
            </w:pPr>
          </w:p>
        </w:tc>
        <w:tc>
          <w:tcPr>
            <w:tcW w:w="1570" w:type="dxa"/>
          </w:tcPr>
          <w:p w:rsidR="00F23557" w:rsidRPr="0028388E" w:rsidRDefault="00F23557" w:rsidP="00E46164">
            <w:pPr>
              <w:keepNext/>
              <w:tabs>
                <w:tab w:val="left" w:pos="-1440"/>
                <w:tab w:val="left" w:pos="1080"/>
              </w:tabs>
              <w:spacing w:after="0"/>
              <w:jc w:val="center"/>
              <w:rPr>
                <w:szCs w:val="24"/>
              </w:rPr>
            </w:pPr>
          </w:p>
        </w:tc>
      </w:tr>
      <w:tr w:rsidR="00F23557" w:rsidTr="00E46164">
        <w:trPr>
          <w:jc w:val="center"/>
        </w:trPr>
        <w:tc>
          <w:tcPr>
            <w:tcW w:w="2856" w:type="dxa"/>
          </w:tcPr>
          <w:p w:rsidR="00F23557" w:rsidRPr="0078735B" w:rsidRDefault="00F23557" w:rsidP="00E46164">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
              <w:jc w:val="both"/>
              <w:rPr>
                <w:szCs w:val="24"/>
              </w:rPr>
            </w:pPr>
            <w:r w:rsidRPr="0078735B">
              <w:rPr>
                <w:szCs w:val="24"/>
              </w:rPr>
              <w:t>Unadjusted</w:t>
            </w:r>
          </w:p>
        </w:tc>
        <w:tc>
          <w:tcPr>
            <w:tcW w:w="1756" w:type="dxa"/>
          </w:tcPr>
          <w:p w:rsidR="00F23557" w:rsidRPr="0028388E" w:rsidRDefault="00F23557" w:rsidP="00E46164">
            <w:pPr>
              <w:keepNext/>
              <w:tabs>
                <w:tab w:val="left" w:pos="-1440"/>
                <w:tab w:val="left" w:pos="1080"/>
              </w:tabs>
              <w:spacing w:after="0"/>
              <w:jc w:val="center"/>
              <w:rPr>
                <w:szCs w:val="24"/>
              </w:rPr>
            </w:pPr>
            <w:r w:rsidRPr="0028388E">
              <w:rPr>
                <w:szCs w:val="24"/>
              </w:rPr>
              <w:t>10.0%</w:t>
            </w:r>
          </w:p>
        </w:tc>
        <w:tc>
          <w:tcPr>
            <w:tcW w:w="1570" w:type="dxa"/>
          </w:tcPr>
          <w:p w:rsidR="00F23557" w:rsidRPr="0028388E" w:rsidRDefault="00F23557" w:rsidP="00E46164">
            <w:pPr>
              <w:keepNext/>
              <w:tabs>
                <w:tab w:val="left" w:pos="-1440"/>
                <w:tab w:val="left" w:pos="1080"/>
              </w:tabs>
              <w:spacing w:after="0"/>
              <w:jc w:val="center"/>
              <w:rPr>
                <w:szCs w:val="24"/>
              </w:rPr>
            </w:pPr>
            <w:r w:rsidRPr="0028388E">
              <w:rPr>
                <w:szCs w:val="24"/>
              </w:rPr>
              <w:t>Reject</w:t>
            </w:r>
          </w:p>
        </w:tc>
      </w:tr>
      <w:tr w:rsidR="00F23557" w:rsidTr="00E46164">
        <w:trPr>
          <w:jc w:val="center"/>
        </w:trPr>
        <w:tc>
          <w:tcPr>
            <w:tcW w:w="2856" w:type="dxa"/>
          </w:tcPr>
          <w:p w:rsidR="00F23557" w:rsidRPr="0078735B" w:rsidRDefault="00F23557" w:rsidP="00E46164">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
              <w:jc w:val="both"/>
              <w:rPr>
                <w:szCs w:val="24"/>
              </w:rPr>
            </w:pPr>
            <w:r w:rsidRPr="0078735B">
              <w:rPr>
                <w:szCs w:val="24"/>
              </w:rPr>
              <w:t>Size Adjusted</w:t>
            </w:r>
          </w:p>
        </w:tc>
        <w:tc>
          <w:tcPr>
            <w:tcW w:w="1756" w:type="dxa"/>
          </w:tcPr>
          <w:p w:rsidR="00F23557" w:rsidRPr="0028388E" w:rsidRDefault="00F23557" w:rsidP="00E46164">
            <w:pPr>
              <w:keepNext/>
              <w:tabs>
                <w:tab w:val="left" w:pos="-1440"/>
                <w:tab w:val="left" w:pos="1080"/>
              </w:tabs>
              <w:spacing w:after="0"/>
              <w:jc w:val="center"/>
              <w:rPr>
                <w:szCs w:val="24"/>
              </w:rPr>
            </w:pPr>
            <w:r w:rsidRPr="0028388E">
              <w:rPr>
                <w:szCs w:val="24"/>
              </w:rPr>
              <w:t>11.0%</w:t>
            </w:r>
          </w:p>
        </w:tc>
        <w:tc>
          <w:tcPr>
            <w:tcW w:w="1570" w:type="dxa"/>
          </w:tcPr>
          <w:p w:rsidR="00F23557" w:rsidRPr="0028388E" w:rsidRDefault="00F23557" w:rsidP="00E46164">
            <w:pPr>
              <w:keepNext/>
              <w:tabs>
                <w:tab w:val="left" w:pos="-1440"/>
                <w:tab w:val="left" w:pos="1080"/>
              </w:tabs>
              <w:spacing w:after="0"/>
              <w:jc w:val="center"/>
              <w:rPr>
                <w:szCs w:val="24"/>
              </w:rPr>
            </w:pPr>
            <w:r w:rsidRPr="0028388E">
              <w:rPr>
                <w:szCs w:val="24"/>
              </w:rPr>
              <w:t>Reject</w:t>
            </w:r>
          </w:p>
        </w:tc>
      </w:tr>
      <w:tr w:rsidR="00F23557" w:rsidTr="00E46164">
        <w:trPr>
          <w:jc w:val="center"/>
        </w:trPr>
        <w:tc>
          <w:tcPr>
            <w:tcW w:w="2856" w:type="dxa"/>
          </w:tcPr>
          <w:p w:rsidR="00F23557" w:rsidRPr="001A3510" w:rsidRDefault="00F23557" w:rsidP="00E46164">
            <w:pPr>
              <w:keepNext/>
              <w:tabs>
                <w:tab w:val="left" w:pos="-1440"/>
                <w:tab w:val="left" w:pos="1080"/>
              </w:tabs>
              <w:spacing w:after="0"/>
              <w:jc w:val="both"/>
              <w:rPr>
                <w:sz w:val="14"/>
                <w:szCs w:val="14"/>
              </w:rPr>
            </w:pPr>
          </w:p>
        </w:tc>
        <w:tc>
          <w:tcPr>
            <w:tcW w:w="1756" w:type="dxa"/>
          </w:tcPr>
          <w:p w:rsidR="00F23557" w:rsidRPr="0028388E" w:rsidRDefault="00F23557" w:rsidP="00E46164">
            <w:pPr>
              <w:keepNext/>
              <w:tabs>
                <w:tab w:val="left" w:pos="-1440"/>
                <w:tab w:val="left" w:pos="1080"/>
              </w:tabs>
              <w:spacing w:after="0"/>
              <w:jc w:val="center"/>
              <w:rPr>
                <w:sz w:val="14"/>
                <w:szCs w:val="14"/>
              </w:rPr>
            </w:pPr>
          </w:p>
        </w:tc>
        <w:tc>
          <w:tcPr>
            <w:tcW w:w="1570" w:type="dxa"/>
          </w:tcPr>
          <w:p w:rsidR="00F23557" w:rsidRPr="0028388E" w:rsidRDefault="00F23557" w:rsidP="00E46164">
            <w:pPr>
              <w:keepNext/>
              <w:tabs>
                <w:tab w:val="left" w:pos="-1440"/>
                <w:tab w:val="left" w:pos="1080"/>
              </w:tabs>
              <w:spacing w:after="0"/>
              <w:jc w:val="center"/>
              <w:rPr>
                <w:sz w:val="14"/>
                <w:szCs w:val="14"/>
              </w:rPr>
            </w:pPr>
          </w:p>
        </w:tc>
      </w:tr>
      <w:tr w:rsidR="0028388E" w:rsidTr="007B3F11">
        <w:trPr>
          <w:jc w:val="center"/>
        </w:trPr>
        <w:tc>
          <w:tcPr>
            <w:tcW w:w="2856" w:type="dxa"/>
          </w:tcPr>
          <w:p w:rsidR="0028388E" w:rsidRPr="0078735B" w:rsidRDefault="0028388E" w:rsidP="007B3F11">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
              <w:jc w:val="both"/>
              <w:rPr>
                <w:szCs w:val="24"/>
              </w:rPr>
            </w:pPr>
            <w:r w:rsidRPr="0078735B">
              <w:rPr>
                <w:szCs w:val="24"/>
                <w:u w:val="single"/>
              </w:rPr>
              <w:t>CAPM (Current)</w:t>
            </w:r>
          </w:p>
        </w:tc>
        <w:tc>
          <w:tcPr>
            <w:tcW w:w="1756" w:type="dxa"/>
            <w:vAlign w:val="center"/>
          </w:tcPr>
          <w:p w:rsidR="0028388E" w:rsidRPr="0078735B" w:rsidRDefault="0028388E" w:rsidP="007B3F11">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center"/>
              <w:rPr>
                <w:szCs w:val="24"/>
              </w:rPr>
            </w:pPr>
          </w:p>
        </w:tc>
        <w:tc>
          <w:tcPr>
            <w:tcW w:w="1570" w:type="dxa"/>
            <w:vAlign w:val="center"/>
          </w:tcPr>
          <w:p w:rsidR="0028388E" w:rsidRPr="0078735B" w:rsidRDefault="0028388E" w:rsidP="007B3F11">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center"/>
              <w:rPr>
                <w:szCs w:val="24"/>
              </w:rPr>
            </w:pPr>
          </w:p>
        </w:tc>
      </w:tr>
      <w:tr w:rsidR="0028388E" w:rsidTr="007B3F11">
        <w:trPr>
          <w:jc w:val="center"/>
        </w:trPr>
        <w:tc>
          <w:tcPr>
            <w:tcW w:w="2856" w:type="dxa"/>
          </w:tcPr>
          <w:p w:rsidR="0028388E" w:rsidRPr="0078735B" w:rsidRDefault="0028388E" w:rsidP="007B3F11">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
              <w:jc w:val="both"/>
              <w:rPr>
                <w:szCs w:val="24"/>
              </w:rPr>
            </w:pPr>
            <w:r w:rsidRPr="0078735B">
              <w:rPr>
                <w:szCs w:val="24"/>
              </w:rPr>
              <w:t>Unadjusted</w:t>
            </w:r>
          </w:p>
        </w:tc>
        <w:tc>
          <w:tcPr>
            <w:tcW w:w="1756" w:type="dxa"/>
            <w:vAlign w:val="center"/>
          </w:tcPr>
          <w:p w:rsidR="0028388E" w:rsidRPr="0078735B" w:rsidRDefault="0028388E" w:rsidP="007B3F11">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center"/>
              <w:rPr>
                <w:szCs w:val="24"/>
              </w:rPr>
            </w:pPr>
            <w:r>
              <w:rPr>
                <w:szCs w:val="24"/>
              </w:rPr>
              <w:t>9.3</w:t>
            </w:r>
            <w:r w:rsidRPr="0078735B">
              <w:rPr>
                <w:szCs w:val="24"/>
              </w:rPr>
              <w:t>%</w:t>
            </w:r>
          </w:p>
        </w:tc>
        <w:tc>
          <w:tcPr>
            <w:tcW w:w="1570" w:type="dxa"/>
            <w:vAlign w:val="center"/>
          </w:tcPr>
          <w:p w:rsidR="0028388E" w:rsidRPr="0078735B" w:rsidRDefault="0028388E" w:rsidP="007B3F11">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center"/>
              <w:rPr>
                <w:szCs w:val="24"/>
              </w:rPr>
            </w:pPr>
            <w:r>
              <w:rPr>
                <w:szCs w:val="24"/>
              </w:rPr>
              <w:t>9.3</w:t>
            </w:r>
            <w:r w:rsidRPr="0078735B">
              <w:rPr>
                <w:szCs w:val="24"/>
              </w:rPr>
              <w:t>%</w:t>
            </w:r>
          </w:p>
        </w:tc>
      </w:tr>
      <w:tr w:rsidR="0028388E" w:rsidTr="007B3F11">
        <w:trPr>
          <w:jc w:val="center"/>
        </w:trPr>
        <w:tc>
          <w:tcPr>
            <w:tcW w:w="2856" w:type="dxa"/>
          </w:tcPr>
          <w:p w:rsidR="0028388E" w:rsidRPr="0078735B" w:rsidRDefault="0028388E" w:rsidP="007B3F11">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
              <w:jc w:val="both"/>
              <w:rPr>
                <w:szCs w:val="24"/>
              </w:rPr>
            </w:pPr>
            <w:r w:rsidRPr="0078735B">
              <w:rPr>
                <w:szCs w:val="24"/>
              </w:rPr>
              <w:t>Size Adjusted</w:t>
            </w:r>
          </w:p>
        </w:tc>
        <w:tc>
          <w:tcPr>
            <w:tcW w:w="1756" w:type="dxa"/>
            <w:vAlign w:val="center"/>
          </w:tcPr>
          <w:p w:rsidR="0028388E" w:rsidRPr="0078735B" w:rsidRDefault="0028388E" w:rsidP="007B3F11">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center"/>
              <w:rPr>
                <w:szCs w:val="24"/>
              </w:rPr>
            </w:pPr>
            <w:r>
              <w:rPr>
                <w:szCs w:val="24"/>
              </w:rPr>
              <w:t>10.3</w:t>
            </w:r>
            <w:r w:rsidRPr="0078735B">
              <w:rPr>
                <w:szCs w:val="24"/>
              </w:rPr>
              <w:t>%</w:t>
            </w:r>
          </w:p>
        </w:tc>
        <w:tc>
          <w:tcPr>
            <w:tcW w:w="1570" w:type="dxa"/>
            <w:vAlign w:val="center"/>
          </w:tcPr>
          <w:p w:rsidR="0028388E" w:rsidRPr="0078735B" w:rsidRDefault="0028388E" w:rsidP="007B3F11">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center"/>
              <w:rPr>
                <w:szCs w:val="24"/>
              </w:rPr>
            </w:pPr>
            <w:r>
              <w:rPr>
                <w:szCs w:val="24"/>
              </w:rPr>
              <w:t>8.1%</w:t>
            </w:r>
          </w:p>
        </w:tc>
      </w:tr>
      <w:tr w:rsidR="0028388E" w:rsidTr="007B3F11">
        <w:trPr>
          <w:jc w:val="center"/>
        </w:trPr>
        <w:tc>
          <w:tcPr>
            <w:tcW w:w="2856" w:type="dxa"/>
          </w:tcPr>
          <w:p w:rsidR="0028388E" w:rsidRPr="00895895" w:rsidRDefault="0028388E" w:rsidP="007B3F11">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
              <w:jc w:val="both"/>
              <w:rPr>
                <w:sz w:val="14"/>
                <w:szCs w:val="14"/>
              </w:rPr>
            </w:pPr>
          </w:p>
        </w:tc>
        <w:tc>
          <w:tcPr>
            <w:tcW w:w="1756" w:type="dxa"/>
            <w:vAlign w:val="center"/>
          </w:tcPr>
          <w:p w:rsidR="0028388E" w:rsidRPr="00895895" w:rsidRDefault="0028388E" w:rsidP="007B3F11">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center"/>
              <w:rPr>
                <w:sz w:val="14"/>
                <w:szCs w:val="14"/>
              </w:rPr>
            </w:pPr>
          </w:p>
        </w:tc>
        <w:tc>
          <w:tcPr>
            <w:tcW w:w="1570" w:type="dxa"/>
            <w:vAlign w:val="center"/>
          </w:tcPr>
          <w:p w:rsidR="0028388E" w:rsidRPr="00895895" w:rsidRDefault="0028388E" w:rsidP="007B3F11">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center"/>
              <w:rPr>
                <w:sz w:val="14"/>
                <w:szCs w:val="14"/>
              </w:rPr>
            </w:pPr>
          </w:p>
        </w:tc>
      </w:tr>
      <w:tr w:rsidR="0028388E" w:rsidTr="007B3F11">
        <w:trPr>
          <w:jc w:val="center"/>
        </w:trPr>
        <w:tc>
          <w:tcPr>
            <w:tcW w:w="2856" w:type="dxa"/>
          </w:tcPr>
          <w:p w:rsidR="0028388E" w:rsidRPr="0078735B" w:rsidRDefault="0028388E" w:rsidP="007B3F11">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
              <w:jc w:val="both"/>
              <w:rPr>
                <w:szCs w:val="24"/>
              </w:rPr>
            </w:pPr>
            <w:r w:rsidRPr="0078735B">
              <w:rPr>
                <w:szCs w:val="24"/>
                <w:u w:val="single"/>
              </w:rPr>
              <w:t>CAPM (Projected)</w:t>
            </w:r>
          </w:p>
        </w:tc>
        <w:tc>
          <w:tcPr>
            <w:tcW w:w="1756" w:type="dxa"/>
            <w:vAlign w:val="center"/>
          </w:tcPr>
          <w:p w:rsidR="0028388E" w:rsidRPr="0078735B" w:rsidRDefault="0028388E" w:rsidP="007B3F11">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center"/>
              <w:rPr>
                <w:szCs w:val="24"/>
              </w:rPr>
            </w:pPr>
          </w:p>
        </w:tc>
        <w:tc>
          <w:tcPr>
            <w:tcW w:w="1570" w:type="dxa"/>
            <w:vAlign w:val="center"/>
          </w:tcPr>
          <w:p w:rsidR="0028388E" w:rsidRPr="0078735B" w:rsidRDefault="0028388E" w:rsidP="007B3F11">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center"/>
              <w:rPr>
                <w:szCs w:val="24"/>
              </w:rPr>
            </w:pPr>
          </w:p>
        </w:tc>
      </w:tr>
      <w:tr w:rsidR="0028388E" w:rsidTr="007B3F11">
        <w:trPr>
          <w:jc w:val="center"/>
        </w:trPr>
        <w:tc>
          <w:tcPr>
            <w:tcW w:w="2856" w:type="dxa"/>
          </w:tcPr>
          <w:p w:rsidR="0028388E" w:rsidRPr="0078735B" w:rsidRDefault="0028388E" w:rsidP="007B3F11">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
              <w:jc w:val="both"/>
              <w:rPr>
                <w:szCs w:val="24"/>
              </w:rPr>
            </w:pPr>
            <w:r w:rsidRPr="0078735B">
              <w:rPr>
                <w:szCs w:val="24"/>
              </w:rPr>
              <w:t>Unadjusted</w:t>
            </w:r>
          </w:p>
        </w:tc>
        <w:tc>
          <w:tcPr>
            <w:tcW w:w="1756" w:type="dxa"/>
            <w:vAlign w:val="center"/>
          </w:tcPr>
          <w:p w:rsidR="0028388E" w:rsidRPr="0078735B" w:rsidRDefault="0028388E" w:rsidP="007B3F11">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center"/>
              <w:rPr>
                <w:szCs w:val="24"/>
              </w:rPr>
            </w:pPr>
            <w:r>
              <w:rPr>
                <w:szCs w:val="24"/>
              </w:rPr>
              <w:t>9.6</w:t>
            </w:r>
            <w:r w:rsidRPr="0078735B">
              <w:rPr>
                <w:szCs w:val="24"/>
              </w:rPr>
              <w:t>%</w:t>
            </w:r>
          </w:p>
        </w:tc>
        <w:tc>
          <w:tcPr>
            <w:tcW w:w="1570" w:type="dxa"/>
            <w:vAlign w:val="center"/>
          </w:tcPr>
          <w:p w:rsidR="0028388E" w:rsidRPr="0078735B" w:rsidRDefault="0028388E" w:rsidP="007B3F11">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center"/>
              <w:rPr>
                <w:szCs w:val="24"/>
              </w:rPr>
            </w:pPr>
            <w:r>
              <w:rPr>
                <w:szCs w:val="24"/>
              </w:rPr>
              <w:t>Reject</w:t>
            </w:r>
          </w:p>
        </w:tc>
      </w:tr>
      <w:tr w:rsidR="0028388E" w:rsidTr="007B3F11">
        <w:trPr>
          <w:jc w:val="center"/>
        </w:trPr>
        <w:tc>
          <w:tcPr>
            <w:tcW w:w="2856" w:type="dxa"/>
          </w:tcPr>
          <w:p w:rsidR="0028388E" w:rsidRPr="0078735B" w:rsidRDefault="0028388E" w:rsidP="007B3F11">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
              <w:jc w:val="both"/>
              <w:rPr>
                <w:szCs w:val="24"/>
              </w:rPr>
            </w:pPr>
            <w:r w:rsidRPr="0078735B">
              <w:rPr>
                <w:szCs w:val="24"/>
              </w:rPr>
              <w:t>Size Adjusted</w:t>
            </w:r>
          </w:p>
        </w:tc>
        <w:tc>
          <w:tcPr>
            <w:tcW w:w="1756" w:type="dxa"/>
            <w:vAlign w:val="center"/>
          </w:tcPr>
          <w:p w:rsidR="0028388E" w:rsidRPr="0078735B" w:rsidRDefault="0028388E" w:rsidP="007B3F11">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center"/>
              <w:rPr>
                <w:szCs w:val="24"/>
              </w:rPr>
            </w:pPr>
            <w:r>
              <w:rPr>
                <w:szCs w:val="24"/>
              </w:rPr>
              <w:t>10.6</w:t>
            </w:r>
            <w:r w:rsidRPr="0078735B">
              <w:rPr>
                <w:szCs w:val="24"/>
              </w:rPr>
              <w:t>%</w:t>
            </w:r>
          </w:p>
        </w:tc>
        <w:tc>
          <w:tcPr>
            <w:tcW w:w="1570" w:type="dxa"/>
            <w:vAlign w:val="center"/>
          </w:tcPr>
          <w:p w:rsidR="0028388E" w:rsidRPr="0078735B" w:rsidRDefault="0028388E" w:rsidP="007B3F11">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center"/>
              <w:rPr>
                <w:szCs w:val="24"/>
              </w:rPr>
            </w:pPr>
            <w:r>
              <w:rPr>
                <w:szCs w:val="24"/>
              </w:rPr>
              <w:t>Reject</w:t>
            </w:r>
          </w:p>
        </w:tc>
      </w:tr>
      <w:tr w:rsidR="0028388E" w:rsidTr="007B3F11">
        <w:trPr>
          <w:jc w:val="center"/>
        </w:trPr>
        <w:tc>
          <w:tcPr>
            <w:tcW w:w="2856" w:type="dxa"/>
          </w:tcPr>
          <w:p w:rsidR="0028388E" w:rsidRPr="00895895" w:rsidRDefault="0028388E" w:rsidP="007B3F11">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
              <w:jc w:val="both"/>
              <w:rPr>
                <w:sz w:val="14"/>
                <w:szCs w:val="14"/>
              </w:rPr>
            </w:pPr>
          </w:p>
        </w:tc>
        <w:tc>
          <w:tcPr>
            <w:tcW w:w="1756" w:type="dxa"/>
            <w:vAlign w:val="center"/>
          </w:tcPr>
          <w:p w:rsidR="0028388E" w:rsidRPr="00895895" w:rsidRDefault="0028388E" w:rsidP="007B3F11">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center"/>
              <w:rPr>
                <w:sz w:val="14"/>
                <w:szCs w:val="14"/>
              </w:rPr>
            </w:pPr>
          </w:p>
        </w:tc>
        <w:tc>
          <w:tcPr>
            <w:tcW w:w="1570" w:type="dxa"/>
            <w:vAlign w:val="center"/>
          </w:tcPr>
          <w:p w:rsidR="0028388E" w:rsidRPr="00895895" w:rsidRDefault="0028388E" w:rsidP="007B3F11">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center"/>
              <w:rPr>
                <w:sz w:val="14"/>
                <w:szCs w:val="14"/>
              </w:rPr>
            </w:pPr>
          </w:p>
        </w:tc>
      </w:tr>
      <w:tr w:rsidR="00F23557" w:rsidTr="00E46164">
        <w:trPr>
          <w:jc w:val="center"/>
        </w:trPr>
        <w:tc>
          <w:tcPr>
            <w:tcW w:w="2856" w:type="dxa"/>
          </w:tcPr>
          <w:p w:rsidR="00F23557" w:rsidRDefault="00F23557" w:rsidP="0028388E">
            <w:pPr>
              <w:keepNext/>
              <w:tabs>
                <w:tab w:val="left" w:pos="-1440"/>
                <w:tab w:val="left" w:pos="1080"/>
              </w:tabs>
              <w:spacing w:after="0"/>
              <w:ind w:left="157"/>
              <w:jc w:val="both"/>
              <w:rPr>
                <w:szCs w:val="24"/>
              </w:rPr>
            </w:pPr>
            <w:r w:rsidRPr="0078735B">
              <w:rPr>
                <w:szCs w:val="24"/>
                <w:u w:val="single"/>
              </w:rPr>
              <w:t>Risk Premium</w:t>
            </w:r>
          </w:p>
        </w:tc>
        <w:tc>
          <w:tcPr>
            <w:tcW w:w="1756" w:type="dxa"/>
          </w:tcPr>
          <w:p w:rsidR="00F23557" w:rsidRPr="0028388E" w:rsidRDefault="00F23557" w:rsidP="00E46164">
            <w:pPr>
              <w:keepNext/>
              <w:tabs>
                <w:tab w:val="left" w:pos="-1440"/>
                <w:tab w:val="left" w:pos="1080"/>
              </w:tabs>
              <w:spacing w:after="0"/>
              <w:jc w:val="center"/>
              <w:rPr>
                <w:szCs w:val="24"/>
              </w:rPr>
            </w:pPr>
          </w:p>
        </w:tc>
        <w:tc>
          <w:tcPr>
            <w:tcW w:w="1570" w:type="dxa"/>
          </w:tcPr>
          <w:p w:rsidR="00F23557" w:rsidRPr="0028388E" w:rsidRDefault="00F23557" w:rsidP="00E46164">
            <w:pPr>
              <w:keepNext/>
              <w:tabs>
                <w:tab w:val="left" w:pos="-1440"/>
                <w:tab w:val="left" w:pos="1080"/>
              </w:tabs>
              <w:spacing w:after="0"/>
              <w:jc w:val="center"/>
              <w:rPr>
                <w:szCs w:val="24"/>
              </w:rPr>
            </w:pPr>
          </w:p>
        </w:tc>
      </w:tr>
      <w:tr w:rsidR="00F23557" w:rsidTr="00E46164">
        <w:trPr>
          <w:jc w:val="center"/>
        </w:trPr>
        <w:tc>
          <w:tcPr>
            <w:tcW w:w="2856" w:type="dxa"/>
          </w:tcPr>
          <w:p w:rsidR="00F23557" w:rsidRDefault="00F23557" w:rsidP="0028388E">
            <w:pPr>
              <w:keepNext/>
              <w:tabs>
                <w:tab w:val="left" w:pos="-1440"/>
                <w:tab w:val="left" w:pos="1080"/>
              </w:tabs>
              <w:spacing w:after="0"/>
              <w:ind w:left="157"/>
              <w:jc w:val="both"/>
              <w:rPr>
                <w:szCs w:val="24"/>
              </w:rPr>
            </w:pPr>
            <w:r>
              <w:rPr>
                <w:szCs w:val="24"/>
              </w:rPr>
              <w:t>Current</w:t>
            </w:r>
          </w:p>
        </w:tc>
        <w:tc>
          <w:tcPr>
            <w:tcW w:w="1756" w:type="dxa"/>
          </w:tcPr>
          <w:p w:rsidR="00F23557" w:rsidRPr="0028388E" w:rsidRDefault="00F23557" w:rsidP="00E46164">
            <w:pPr>
              <w:keepNext/>
              <w:tabs>
                <w:tab w:val="left" w:pos="-1440"/>
                <w:tab w:val="left" w:pos="1080"/>
              </w:tabs>
              <w:spacing w:after="0"/>
              <w:jc w:val="center"/>
              <w:rPr>
                <w:szCs w:val="24"/>
              </w:rPr>
            </w:pPr>
            <w:r w:rsidRPr="0028388E">
              <w:rPr>
                <w:szCs w:val="24"/>
              </w:rPr>
              <w:t>10.7%</w:t>
            </w:r>
          </w:p>
        </w:tc>
        <w:tc>
          <w:tcPr>
            <w:tcW w:w="1570" w:type="dxa"/>
          </w:tcPr>
          <w:p w:rsidR="00F23557" w:rsidRPr="0028388E" w:rsidRDefault="00F23557" w:rsidP="00E46164">
            <w:pPr>
              <w:keepNext/>
              <w:tabs>
                <w:tab w:val="left" w:pos="-1440"/>
                <w:tab w:val="left" w:pos="1080"/>
              </w:tabs>
              <w:spacing w:after="0"/>
              <w:jc w:val="center"/>
              <w:rPr>
                <w:szCs w:val="24"/>
              </w:rPr>
            </w:pPr>
            <w:r w:rsidRPr="0028388E">
              <w:rPr>
                <w:szCs w:val="24"/>
              </w:rPr>
              <w:t>9.0%</w:t>
            </w:r>
          </w:p>
        </w:tc>
      </w:tr>
      <w:tr w:rsidR="00F23557" w:rsidTr="00E46164">
        <w:trPr>
          <w:jc w:val="center"/>
        </w:trPr>
        <w:tc>
          <w:tcPr>
            <w:tcW w:w="2856" w:type="dxa"/>
          </w:tcPr>
          <w:p w:rsidR="00F23557" w:rsidRDefault="00F23557" w:rsidP="0028388E">
            <w:pPr>
              <w:keepNext/>
              <w:tabs>
                <w:tab w:val="left" w:pos="-1440"/>
                <w:tab w:val="left" w:pos="1080"/>
              </w:tabs>
              <w:spacing w:after="0"/>
              <w:ind w:left="157"/>
              <w:jc w:val="both"/>
              <w:rPr>
                <w:szCs w:val="24"/>
              </w:rPr>
            </w:pPr>
            <w:r>
              <w:rPr>
                <w:szCs w:val="24"/>
              </w:rPr>
              <w:t>Projected</w:t>
            </w:r>
          </w:p>
        </w:tc>
        <w:tc>
          <w:tcPr>
            <w:tcW w:w="1756" w:type="dxa"/>
          </w:tcPr>
          <w:p w:rsidR="00F23557" w:rsidRPr="0028388E" w:rsidRDefault="00F23557" w:rsidP="00E46164">
            <w:pPr>
              <w:keepNext/>
              <w:tabs>
                <w:tab w:val="left" w:pos="-1440"/>
                <w:tab w:val="left" w:pos="1080"/>
              </w:tabs>
              <w:spacing w:after="0"/>
              <w:jc w:val="center"/>
              <w:rPr>
                <w:szCs w:val="24"/>
              </w:rPr>
            </w:pPr>
            <w:r w:rsidRPr="0028388E">
              <w:rPr>
                <w:szCs w:val="24"/>
              </w:rPr>
              <w:t>11.7%</w:t>
            </w:r>
          </w:p>
        </w:tc>
        <w:tc>
          <w:tcPr>
            <w:tcW w:w="1570" w:type="dxa"/>
          </w:tcPr>
          <w:p w:rsidR="00F23557" w:rsidRPr="0028388E" w:rsidRDefault="00F23557" w:rsidP="00E46164">
            <w:pPr>
              <w:keepNext/>
              <w:tabs>
                <w:tab w:val="left" w:pos="-1440"/>
                <w:tab w:val="left" w:pos="1080"/>
              </w:tabs>
              <w:spacing w:after="0"/>
              <w:jc w:val="center"/>
              <w:rPr>
                <w:szCs w:val="24"/>
              </w:rPr>
            </w:pPr>
            <w:r w:rsidRPr="0028388E">
              <w:rPr>
                <w:szCs w:val="24"/>
              </w:rPr>
              <w:t>9.4%</w:t>
            </w:r>
          </w:p>
        </w:tc>
      </w:tr>
      <w:tr w:rsidR="00F23557" w:rsidTr="00E46164">
        <w:trPr>
          <w:jc w:val="center"/>
        </w:trPr>
        <w:tc>
          <w:tcPr>
            <w:tcW w:w="2856" w:type="dxa"/>
          </w:tcPr>
          <w:p w:rsidR="00F23557" w:rsidRPr="001A3510" w:rsidRDefault="00F23557" w:rsidP="00E46164">
            <w:pPr>
              <w:keepNext/>
              <w:tabs>
                <w:tab w:val="left" w:pos="-1440"/>
                <w:tab w:val="left" w:pos="1080"/>
              </w:tabs>
              <w:spacing w:after="0"/>
              <w:jc w:val="both"/>
              <w:rPr>
                <w:sz w:val="14"/>
                <w:szCs w:val="14"/>
              </w:rPr>
            </w:pPr>
          </w:p>
        </w:tc>
        <w:tc>
          <w:tcPr>
            <w:tcW w:w="1756" w:type="dxa"/>
          </w:tcPr>
          <w:p w:rsidR="00F23557" w:rsidRPr="0028388E" w:rsidRDefault="00F23557" w:rsidP="00E46164">
            <w:pPr>
              <w:keepNext/>
              <w:tabs>
                <w:tab w:val="left" w:pos="-1440"/>
                <w:tab w:val="left" w:pos="1080"/>
              </w:tabs>
              <w:spacing w:after="0"/>
              <w:jc w:val="center"/>
              <w:rPr>
                <w:sz w:val="14"/>
                <w:szCs w:val="14"/>
              </w:rPr>
            </w:pPr>
          </w:p>
        </w:tc>
        <w:tc>
          <w:tcPr>
            <w:tcW w:w="1570" w:type="dxa"/>
          </w:tcPr>
          <w:p w:rsidR="00F23557" w:rsidRPr="0028388E" w:rsidRDefault="00F23557" w:rsidP="00E46164">
            <w:pPr>
              <w:keepNext/>
              <w:tabs>
                <w:tab w:val="left" w:pos="-1440"/>
                <w:tab w:val="left" w:pos="1080"/>
              </w:tabs>
              <w:spacing w:after="0"/>
              <w:jc w:val="center"/>
              <w:rPr>
                <w:sz w:val="14"/>
                <w:szCs w:val="14"/>
              </w:rPr>
            </w:pPr>
          </w:p>
        </w:tc>
      </w:tr>
      <w:tr w:rsidR="00F23557" w:rsidTr="00E46164">
        <w:trPr>
          <w:jc w:val="center"/>
        </w:trPr>
        <w:tc>
          <w:tcPr>
            <w:tcW w:w="2856" w:type="dxa"/>
          </w:tcPr>
          <w:p w:rsidR="00F23557" w:rsidRPr="0078735B" w:rsidRDefault="00F23557" w:rsidP="00E46164">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
              <w:jc w:val="both"/>
              <w:rPr>
                <w:szCs w:val="24"/>
              </w:rPr>
            </w:pPr>
            <w:r>
              <w:rPr>
                <w:szCs w:val="24"/>
                <w:u w:val="single"/>
              </w:rPr>
              <w:t>Expected Earnings</w:t>
            </w:r>
          </w:p>
        </w:tc>
        <w:tc>
          <w:tcPr>
            <w:tcW w:w="1756" w:type="dxa"/>
            <w:vAlign w:val="center"/>
          </w:tcPr>
          <w:p w:rsidR="00F23557" w:rsidRPr="0078735B" w:rsidRDefault="00F23557" w:rsidP="00E46164">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center"/>
              <w:rPr>
                <w:szCs w:val="24"/>
              </w:rPr>
            </w:pPr>
            <w:r>
              <w:rPr>
                <w:szCs w:val="24"/>
              </w:rPr>
              <w:t>10.4%</w:t>
            </w:r>
          </w:p>
        </w:tc>
        <w:tc>
          <w:tcPr>
            <w:tcW w:w="1570" w:type="dxa"/>
            <w:vAlign w:val="center"/>
          </w:tcPr>
          <w:p w:rsidR="00F23557" w:rsidRPr="0078735B" w:rsidRDefault="00F23557" w:rsidP="00E46164">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center"/>
              <w:rPr>
                <w:szCs w:val="24"/>
              </w:rPr>
            </w:pPr>
            <w:r>
              <w:rPr>
                <w:szCs w:val="24"/>
              </w:rPr>
              <w:t>Reject</w:t>
            </w:r>
          </w:p>
        </w:tc>
      </w:tr>
      <w:tr w:rsidR="00F23557" w:rsidTr="00E46164">
        <w:trPr>
          <w:jc w:val="center"/>
        </w:trPr>
        <w:tc>
          <w:tcPr>
            <w:tcW w:w="2856" w:type="dxa"/>
          </w:tcPr>
          <w:p w:rsidR="00F23557" w:rsidRPr="00535C90" w:rsidRDefault="00F23557" w:rsidP="00E46164">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
              <w:jc w:val="both"/>
              <w:rPr>
                <w:sz w:val="14"/>
                <w:szCs w:val="14"/>
              </w:rPr>
            </w:pPr>
          </w:p>
        </w:tc>
        <w:tc>
          <w:tcPr>
            <w:tcW w:w="1756" w:type="dxa"/>
            <w:vAlign w:val="center"/>
          </w:tcPr>
          <w:p w:rsidR="00F23557" w:rsidRPr="00535C90" w:rsidRDefault="00F23557" w:rsidP="00E46164">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
              <w:jc w:val="both"/>
              <w:rPr>
                <w:sz w:val="14"/>
                <w:szCs w:val="14"/>
              </w:rPr>
            </w:pPr>
          </w:p>
        </w:tc>
        <w:tc>
          <w:tcPr>
            <w:tcW w:w="1570" w:type="dxa"/>
            <w:vAlign w:val="center"/>
          </w:tcPr>
          <w:p w:rsidR="00F23557" w:rsidRPr="00535C90" w:rsidRDefault="00F23557" w:rsidP="00E46164">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
              <w:jc w:val="both"/>
              <w:rPr>
                <w:sz w:val="14"/>
                <w:szCs w:val="14"/>
              </w:rPr>
            </w:pPr>
          </w:p>
        </w:tc>
      </w:tr>
      <w:tr w:rsidR="00F23557" w:rsidTr="00E46164">
        <w:trPr>
          <w:jc w:val="center"/>
        </w:trPr>
        <w:tc>
          <w:tcPr>
            <w:tcW w:w="2856" w:type="dxa"/>
          </w:tcPr>
          <w:p w:rsidR="00F23557" w:rsidRDefault="00F23557" w:rsidP="00E46164">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
              <w:jc w:val="both"/>
              <w:rPr>
                <w:szCs w:val="24"/>
                <w:u w:val="single"/>
              </w:rPr>
            </w:pPr>
            <w:r>
              <w:rPr>
                <w:szCs w:val="24"/>
                <w:u w:val="single"/>
              </w:rPr>
              <w:t>Non-Utility DCF</w:t>
            </w:r>
          </w:p>
        </w:tc>
        <w:tc>
          <w:tcPr>
            <w:tcW w:w="1756" w:type="dxa"/>
            <w:vAlign w:val="center"/>
          </w:tcPr>
          <w:p w:rsidR="00F23557" w:rsidRDefault="00F23557" w:rsidP="00E46164">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center"/>
              <w:rPr>
                <w:szCs w:val="24"/>
              </w:rPr>
            </w:pPr>
            <w:r>
              <w:rPr>
                <w:szCs w:val="24"/>
              </w:rPr>
              <w:t>9.9% - 10.7%</w:t>
            </w:r>
          </w:p>
        </w:tc>
        <w:tc>
          <w:tcPr>
            <w:tcW w:w="1570" w:type="dxa"/>
            <w:vAlign w:val="center"/>
          </w:tcPr>
          <w:p w:rsidR="00F23557" w:rsidRDefault="00F23557" w:rsidP="00E46164">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center"/>
              <w:rPr>
                <w:szCs w:val="24"/>
              </w:rPr>
            </w:pPr>
            <w:r>
              <w:rPr>
                <w:szCs w:val="24"/>
              </w:rPr>
              <w:t>Reject</w:t>
            </w:r>
          </w:p>
        </w:tc>
      </w:tr>
      <w:tr w:rsidR="00F23557" w:rsidTr="00E46164">
        <w:trPr>
          <w:jc w:val="center"/>
        </w:trPr>
        <w:tc>
          <w:tcPr>
            <w:tcW w:w="2856" w:type="dxa"/>
          </w:tcPr>
          <w:p w:rsidR="00F23557" w:rsidRPr="001A3510" w:rsidRDefault="00F23557" w:rsidP="00E46164">
            <w:pPr>
              <w:keepNext/>
              <w:tabs>
                <w:tab w:val="left" w:pos="-1440"/>
                <w:tab w:val="left" w:pos="1080"/>
              </w:tabs>
              <w:spacing w:after="0"/>
              <w:jc w:val="both"/>
              <w:rPr>
                <w:sz w:val="14"/>
                <w:szCs w:val="14"/>
              </w:rPr>
            </w:pPr>
          </w:p>
        </w:tc>
        <w:tc>
          <w:tcPr>
            <w:tcW w:w="1756" w:type="dxa"/>
            <w:vAlign w:val="center"/>
          </w:tcPr>
          <w:p w:rsidR="00F23557" w:rsidRPr="001A3510" w:rsidRDefault="00F23557" w:rsidP="00E46164">
            <w:pPr>
              <w:keepNext/>
              <w:tabs>
                <w:tab w:val="left" w:pos="-1440"/>
                <w:tab w:val="left" w:pos="1080"/>
              </w:tabs>
              <w:spacing w:after="0"/>
              <w:ind w:hanging="720"/>
              <w:jc w:val="center"/>
              <w:rPr>
                <w:sz w:val="14"/>
                <w:szCs w:val="14"/>
              </w:rPr>
            </w:pPr>
          </w:p>
        </w:tc>
        <w:tc>
          <w:tcPr>
            <w:tcW w:w="1570" w:type="dxa"/>
            <w:vAlign w:val="center"/>
          </w:tcPr>
          <w:p w:rsidR="00F23557" w:rsidRPr="001A3510" w:rsidRDefault="00F23557" w:rsidP="00E46164">
            <w:pPr>
              <w:keepNext/>
              <w:tabs>
                <w:tab w:val="left" w:pos="-1440"/>
                <w:tab w:val="left" w:pos="1080"/>
              </w:tabs>
              <w:spacing w:after="0"/>
              <w:ind w:hanging="720"/>
              <w:jc w:val="center"/>
              <w:rPr>
                <w:sz w:val="14"/>
                <w:szCs w:val="14"/>
              </w:rPr>
            </w:pPr>
          </w:p>
        </w:tc>
      </w:tr>
      <w:tr w:rsidR="00F23557" w:rsidTr="00E46164">
        <w:trPr>
          <w:jc w:val="center"/>
        </w:trPr>
        <w:tc>
          <w:tcPr>
            <w:tcW w:w="2856" w:type="dxa"/>
          </w:tcPr>
          <w:p w:rsidR="00F23557" w:rsidRPr="00535C90" w:rsidRDefault="00F23557" w:rsidP="00E46164">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
              <w:jc w:val="both"/>
              <w:rPr>
                <w:b/>
                <w:szCs w:val="24"/>
              </w:rPr>
            </w:pPr>
            <w:r w:rsidRPr="00535C90">
              <w:rPr>
                <w:b/>
                <w:szCs w:val="24"/>
              </w:rPr>
              <w:t>Range</w:t>
            </w:r>
          </w:p>
        </w:tc>
        <w:tc>
          <w:tcPr>
            <w:tcW w:w="1756" w:type="dxa"/>
            <w:vAlign w:val="center"/>
          </w:tcPr>
          <w:p w:rsidR="00F23557" w:rsidRPr="00535C90" w:rsidRDefault="00F23557" w:rsidP="00E46164">
            <w:pPr>
              <w:keepNext/>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after="0"/>
              <w:ind w:left="-29" w:firstLine="29"/>
              <w:jc w:val="center"/>
              <w:rPr>
                <w:b/>
                <w:szCs w:val="24"/>
              </w:rPr>
            </w:pPr>
            <w:r w:rsidRPr="00535C90">
              <w:rPr>
                <w:b/>
                <w:szCs w:val="24"/>
              </w:rPr>
              <w:t>9.</w:t>
            </w:r>
            <w:r>
              <w:rPr>
                <w:b/>
                <w:szCs w:val="24"/>
              </w:rPr>
              <w:t>8</w:t>
            </w:r>
            <w:r w:rsidRPr="00535C90">
              <w:rPr>
                <w:b/>
                <w:szCs w:val="24"/>
              </w:rPr>
              <w:t>% - 10.8%</w:t>
            </w:r>
          </w:p>
        </w:tc>
        <w:tc>
          <w:tcPr>
            <w:tcW w:w="1570" w:type="dxa"/>
            <w:vAlign w:val="center"/>
          </w:tcPr>
          <w:p w:rsidR="00F23557" w:rsidRPr="00535C90" w:rsidRDefault="00F23557" w:rsidP="0028388E">
            <w:pPr>
              <w:keepNext/>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after="0"/>
              <w:ind w:left="-29" w:firstLine="29"/>
              <w:jc w:val="center"/>
              <w:rPr>
                <w:b/>
                <w:szCs w:val="24"/>
              </w:rPr>
            </w:pPr>
            <w:r>
              <w:rPr>
                <w:b/>
                <w:szCs w:val="24"/>
              </w:rPr>
              <w:t>8.</w:t>
            </w:r>
            <w:r w:rsidR="0028388E">
              <w:rPr>
                <w:b/>
                <w:szCs w:val="24"/>
              </w:rPr>
              <w:t>8</w:t>
            </w:r>
            <w:r w:rsidRPr="00535C90">
              <w:rPr>
                <w:b/>
                <w:szCs w:val="24"/>
              </w:rPr>
              <w:t>% - 9.</w:t>
            </w:r>
            <w:r>
              <w:rPr>
                <w:b/>
                <w:szCs w:val="24"/>
              </w:rPr>
              <w:t>4%</w:t>
            </w:r>
          </w:p>
        </w:tc>
      </w:tr>
      <w:tr w:rsidR="00F23557" w:rsidTr="00E46164">
        <w:trPr>
          <w:jc w:val="center"/>
        </w:trPr>
        <w:tc>
          <w:tcPr>
            <w:tcW w:w="2856" w:type="dxa"/>
          </w:tcPr>
          <w:p w:rsidR="00F23557" w:rsidRPr="0009743B" w:rsidRDefault="00F23557" w:rsidP="00E46164">
            <w:pPr>
              <w:keepNext/>
              <w:tabs>
                <w:tab w:val="left" w:pos="-1440"/>
                <w:tab w:val="left" w:pos="1080"/>
              </w:tabs>
              <w:spacing w:after="0"/>
              <w:jc w:val="both"/>
              <w:rPr>
                <w:sz w:val="14"/>
                <w:szCs w:val="14"/>
              </w:rPr>
            </w:pPr>
          </w:p>
        </w:tc>
        <w:tc>
          <w:tcPr>
            <w:tcW w:w="1756" w:type="dxa"/>
            <w:vAlign w:val="center"/>
          </w:tcPr>
          <w:p w:rsidR="00F23557" w:rsidRPr="0009743B" w:rsidRDefault="00F23557" w:rsidP="00E46164">
            <w:pPr>
              <w:keepNext/>
              <w:tabs>
                <w:tab w:val="left" w:pos="-1440"/>
                <w:tab w:val="left" w:pos="1080"/>
              </w:tabs>
              <w:spacing w:after="0"/>
              <w:ind w:firstLine="29"/>
              <w:jc w:val="center"/>
              <w:rPr>
                <w:sz w:val="14"/>
                <w:szCs w:val="14"/>
              </w:rPr>
            </w:pPr>
          </w:p>
        </w:tc>
        <w:tc>
          <w:tcPr>
            <w:tcW w:w="1570" w:type="dxa"/>
            <w:vAlign w:val="center"/>
          </w:tcPr>
          <w:p w:rsidR="00F23557" w:rsidRPr="0009743B" w:rsidRDefault="00F23557" w:rsidP="00E46164">
            <w:pPr>
              <w:keepNext/>
              <w:tabs>
                <w:tab w:val="left" w:pos="-1440"/>
                <w:tab w:val="left" w:pos="1080"/>
              </w:tabs>
              <w:spacing w:after="0"/>
              <w:ind w:firstLine="29"/>
              <w:jc w:val="center"/>
              <w:rPr>
                <w:sz w:val="14"/>
                <w:szCs w:val="14"/>
              </w:rPr>
            </w:pPr>
          </w:p>
        </w:tc>
      </w:tr>
      <w:tr w:rsidR="00F23557" w:rsidTr="00E46164">
        <w:trPr>
          <w:jc w:val="center"/>
        </w:trPr>
        <w:tc>
          <w:tcPr>
            <w:tcW w:w="2856" w:type="dxa"/>
          </w:tcPr>
          <w:p w:rsidR="00F23557" w:rsidRPr="00535C90" w:rsidRDefault="00F23557" w:rsidP="00E46164">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
              <w:jc w:val="both"/>
              <w:rPr>
                <w:b/>
                <w:szCs w:val="24"/>
              </w:rPr>
            </w:pPr>
            <w:r>
              <w:rPr>
                <w:szCs w:val="24"/>
              </w:rPr>
              <w:t>Flotation Cost Adder</w:t>
            </w:r>
          </w:p>
        </w:tc>
        <w:tc>
          <w:tcPr>
            <w:tcW w:w="1756" w:type="dxa"/>
            <w:vAlign w:val="center"/>
          </w:tcPr>
          <w:p w:rsidR="00F23557" w:rsidRPr="00535C90" w:rsidRDefault="00F23557" w:rsidP="00E46164">
            <w:pPr>
              <w:keepNext/>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after="0"/>
              <w:ind w:left="-29" w:firstLine="29"/>
              <w:jc w:val="center"/>
              <w:rPr>
                <w:b/>
                <w:szCs w:val="24"/>
              </w:rPr>
            </w:pPr>
            <w:r>
              <w:rPr>
                <w:szCs w:val="24"/>
              </w:rPr>
              <w:t>0.13%</w:t>
            </w:r>
          </w:p>
        </w:tc>
        <w:tc>
          <w:tcPr>
            <w:tcW w:w="1570" w:type="dxa"/>
            <w:vAlign w:val="center"/>
          </w:tcPr>
          <w:p w:rsidR="00F23557" w:rsidRPr="001A3510" w:rsidRDefault="00F23557" w:rsidP="00E46164">
            <w:pPr>
              <w:keepNext/>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after="0"/>
              <w:ind w:left="-29" w:firstLine="29"/>
              <w:jc w:val="center"/>
              <w:rPr>
                <w:szCs w:val="24"/>
              </w:rPr>
            </w:pPr>
            <w:r w:rsidRPr="001A3510">
              <w:rPr>
                <w:szCs w:val="24"/>
              </w:rPr>
              <w:t>Reject</w:t>
            </w:r>
          </w:p>
        </w:tc>
      </w:tr>
      <w:tr w:rsidR="00F23557" w:rsidTr="00E46164">
        <w:trPr>
          <w:jc w:val="center"/>
        </w:trPr>
        <w:tc>
          <w:tcPr>
            <w:tcW w:w="2856" w:type="dxa"/>
          </w:tcPr>
          <w:p w:rsidR="00F23557" w:rsidRPr="0009743B" w:rsidRDefault="00F23557" w:rsidP="00E46164">
            <w:pPr>
              <w:keepNext/>
              <w:tabs>
                <w:tab w:val="left" w:pos="-1440"/>
                <w:tab w:val="left" w:pos="1080"/>
              </w:tabs>
              <w:spacing w:after="0"/>
              <w:jc w:val="both"/>
              <w:rPr>
                <w:sz w:val="14"/>
                <w:szCs w:val="14"/>
              </w:rPr>
            </w:pPr>
          </w:p>
        </w:tc>
        <w:tc>
          <w:tcPr>
            <w:tcW w:w="1756" w:type="dxa"/>
            <w:vAlign w:val="center"/>
          </w:tcPr>
          <w:p w:rsidR="00F23557" w:rsidRPr="0009743B" w:rsidRDefault="00F23557" w:rsidP="00E46164">
            <w:pPr>
              <w:keepNext/>
              <w:tabs>
                <w:tab w:val="left" w:pos="-1440"/>
                <w:tab w:val="left" w:pos="1080"/>
              </w:tabs>
              <w:spacing w:after="0"/>
              <w:ind w:firstLine="29"/>
              <w:jc w:val="center"/>
              <w:rPr>
                <w:sz w:val="14"/>
                <w:szCs w:val="14"/>
              </w:rPr>
            </w:pPr>
          </w:p>
        </w:tc>
        <w:tc>
          <w:tcPr>
            <w:tcW w:w="1570" w:type="dxa"/>
            <w:vAlign w:val="center"/>
          </w:tcPr>
          <w:p w:rsidR="00F23557" w:rsidRPr="0009743B" w:rsidRDefault="00F23557" w:rsidP="00E46164">
            <w:pPr>
              <w:keepNext/>
              <w:tabs>
                <w:tab w:val="left" w:pos="-1440"/>
                <w:tab w:val="left" w:pos="1080"/>
              </w:tabs>
              <w:spacing w:after="0"/>
              <w:ind w:firstLine="29"/>
              <w:jc w:val="center"/>
              <w:rPr>
                <w:sz w:val="14"/>
                <w:szCs w:val="14"/>
              </w:rPr>
            </w:pPr>
          </w:p>
        </w:tc>
      </w:tr>
      <w:tr w:rsidR="00F23557" w:rsidTr="00E46164">
        <w:trPr>
          <w:jc w:val="center"/>
        </w:trPr>
        <w:tc>
          <w:tcPr>
            <w:tcW w:w="2856" w:type="dxa"/>
          </w:tcPr>
          <w:p w:rsidR="00F23557" w:rsidRPr="00535C90" w:rsidRDefault="00F23557" w:rsidP="00E46164">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
              <w:jc w:val="both"/>
              <w:rPr>
                <w:b/>
                <w:szCs w:val="24"/>
              </w:rPr>
            </w:pPr>
            <w:r>
              <w:rPr>
                <w:szCs w:val="24"/>
              </w:rPr>
              <w:t>Adjusted Range</w:t>
            </w:r>
          </w:p>
        </w:tc>
        <w:tc>
          <w:tcPr>
            <w:tcW w:w="1756" w:type="dxa"/>
            <w:vAlign w:val="center"/>
          </w:tcPr>
          <w:p w:rsidR="00F23557" w:rsidRPr="001A3510" w:rsidRDefault="00F23557" w:rsidP="00E46164">
            <w:pPr>
              <w:keepNext/>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after="0"/>
              <w:ind w:left="-29" w:firstLine="29"/>
              <w:jc w:val="center"/>
              <w:rPr>
                <w:szCs w:val="24"/>
              </w:rPr>
            </w:pPr>
            <w:r w:rsidRPr="001A3510">
              <w:rPr>
                <w:szCs w:val="24"/>
              </w:rPr>
              <w:t>9.93% - 10.93%</w:t>
            </w:r>
          </w:p>
        </w:tc>
        <w:tc>
          <w:tcPr>
            <w:tcW w:w="1570" w:type="dxa"/>
            <w:vAlign w:val="center"/>
          </w:tcPr>
          <w:p w:rsidR="00F23557" w:rsidRPr="001A3510" w:rsidRDefault="00F23557" w:rsidP="00E46164">
            <w:pPr>
              <w:keepNext/>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after="0"/>
              <w:ind w:left="-29" w:firstLine="29"/>
              <w:jc w:val="center"/>
              <w:rPr>
                <w:szCs w:val="24"/>
              </w:rPr>
            </w:pPr>
            <w:r>
              <w:rPr>
                <w:szCs w:val="24"/>
              </w:rPr>
              <w:t>8.7% - 9.4%</w:t>
            </w:r>
          </w:p>
        </w:tc>
      </w:tr>
      <w:tr w:rsidR="00F23557" w:rsidTr="00E46164">
        <w:trPr>
          <w:jc w:val="center"/>
        </w:trPr>
        <w:tc>
          <w:tcPr>
            <w:tcW w:w="2856" w:type="dxa"/>
          </w:tcPr>
          <w:p w:rsidR="00F23557" w:rsidRPr="0009743B" w:rsidRDefault="00F23557" w:rsidP="00E46164">
            <w:pPr>
              <w:keepNext/>
              <w:tabs>
                <w:tab w:val="left" w:pos="-1440"/>
                <w:tab w:val="left" w:pos="1080"/>
              </w:tabs>
              <w:spacing w:after="0"/>
              <w:jc w:val="both"/>
              <w:rPr>
                <w:sz w:val="14"/>
                <w:szCs w:val="14"/>
              </w:rPr>
            </w:pPr>
          </w:p>
        </w:tc>
        <w:tc>
          <w:tcPr>
            <w:tcW w:w="1756" w:type="dxa"/>
            <w:vAlign w:val="center"/>
          </w:tcPr>
          <w:p w:rsidR="00F23557" w:rsidRPr="0009743B" w:rsidRDefault="00F23557" w:rsidP="00E46164">
            <w:pPr>
              <w:keepNext/>
              <w:tabs>
                <w:tab w:val="left" w:pos="-1440"/>
                <w:tab w:val="left" w:pos="1080"/>
              </w:tabs>
              <w:spacing w:after="0"/>
              <w:ind w:firstLine="29"/>
              <w:jc w:val="center"/>
              <w:rPr>
                <w:sz w:val="14"/>
                <w:szCs w:val="14"/>
              </w:rPr>
            </w:pPr>
          </w:p>
        </w:tc>
        <w:tc>
          <w:tcPr>
            <w:tcW w:w="1570" w:type="dxa"/>
            <w:vAlign w:val="center"/>
          </w:tcPr>
          <w:p w:rsidR="00F23557" w:rsidRPr="0009743B" w:rsidRDefault="00F23557" w:rsidP="00E46164">
            <w:pPr>
              <w:keepNext/>
              <w:tabs>
                <w:tab w:val="left" w:pos="-1440"/>
                <w:tab w:val="left" w:pos="1080"/>
              </w:tabs>
              <w:spacing w:after="0"/>
              <w:ind w:firstLine="29"/>
              <w:jc w:val="center"/>
              <w:rPr>
                <w:sz w:val="14"/>
                <w:szCs w:val="14"/>
              </w:rPr>
            </w:pPr>
          </w:p>
        </w:tc>
      </w:tr>
      <w:tr w:rsidR="00F23557" w:rsidTr="00E46164">
        <w:trPr>
          <w:jc w:val="center"/>
        </w:trPr>
        <w:tc>
          <w:tcPr>
            <w:tcW w:w="2856" w:type="dxa"/>
          </w:tcPr>
          <w:p w:rsidR="00F23557" w:rsidRPr="00535C90" w:rsidRDefault="00F23557" w:rsidP="00E46164">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
              <w:jc w:val="both"/>
              <w:rPr>
                <w:b/>
                <w:szCs w:val="24"/>
              </w:rPr>
            </w:pPr>
            <w:r w:rsidRPr="00535C90">
              <w:rPr>
                <w:b/>
                <w:szCs w:val="24"/>
              </w:rPr>
              <w:t>Recommended ROE</w:t>
            </w:r>
          </w:p>
        </w:tc>
        <w:tc>
          <w:tcPr>
            <w:tcW w:w="1756" w:type="dxa"/>
            <w:vAlign w:val="center"/>
          </w:tcPr>
          <w:p w:rsidR="00F23557" w:rsidRPr="00535C90" w:rsidRDefault="00F23557" w:rsidP="00E46164">
            <w:pPr>
              <w:keepNext/>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after="0"/>
              <w:ind w:left="-29" w:firstLine="29"/>
              <w:jc w:val="center"/>
              <w:rPr>
                <w:b/>
                <w:szCs w:val="24"/>
              </w:rPr>
            </w:pPr>
            <w:r>
              <w:rPr>
                <w:b/>
                <w:szCs w:val="24"/>
              </w:rPr>
              <w:t>9.9%</w:t>
            </w:r>
          </w:p>
        </w:tc>
        <w:tc>
          <w:tcPr>
            <w:tcW w:w="1570" w:type="dxa"/>
            <w:vAlign w:val="center"/>
          </w:tcPr>
          <w:p w:rsidR="00F23557" w:rsidRDefault="00F23557" w:rsidP="00E46164">
            <w:pPr>
              <w:keepNext/>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after="0"/>
              <w:ind w:left="-29" w:firstLine="29"/>
              <w:jc w:val="center"/>
              <w:rPr>
                <w:b/>
                <w:szCs w:val="24"/>
              </w:rPr>
            </w:pPr>
            <w:r>
              <w:rPr>
                <w:b/>
                <w:szCs w:val="24"/>
              </w:rPr>
              <w:t>9.1%</w:t>
            </w:r>
          </w:p>
        </w:tc>
      </w:tr>
      <w:tr w:rsidR="00F23557" w:rsidTr="00E46164">
        <w:trPr>
          <w:jc w:val="center"/>
        </w:trPr>
        <w:tc>
          <w:tcPr>
            <w:tcW w:w="2856" w:type="dxa"/>
          </w:tcPr>
          <w:p w:rsidR="00F23557" w:rsidRPr="0009743B" w:rsidRDefault="00F23557" w:rsidP="00E46164">
            <w:pPr>
              <w:keepNext/>
              <w:tabs>
                <w:tab w:val="left" w:pos="-1440"/>
                <w:tab w:val="left" w:pos="1080"/>
              </w:tabs>
              <w:spacing w:after="0"/>
              <w:jc w:val="both"/>
              <w:rPr>
                <w:sz w:val="14"/>
                <w:szCs w:val="14"/>
              </w:rPr>
            </w:pPr>
          </w:p>
        </w:tc>
        <w:tc>
          <w:tcPr>
            <w:tcW w:w="1756" w:type="dxa"/>
            <w:vAlign w:val="center"/>
          </w:tcPr>
          <w:p w:rsidR="00F23557" w:rsidRPr="0009743B" w:rsidRDefault="00F23557" w:rsidP="00E46164">
            <w:pPr>
              <w:keepNext/>
              <w:tabs>
                <w:tab w:val="left" w:pos="-1440"/>
                <w:tab w:val="left" w:pos="1080"/>
              </w:tabs>
              <w:spacing w:after="0"/>
              <w:ind w:firstLine="29"/>
              <w:jc w:val="center"/>
              <w:rPr>
                <w:sz w:val="14"/>
                <w:szCs w:val="14"/>
              </w:rPr>
            </w:pPr>
          </w:p>
        </w:tc>
        <w:tc>
          <w:tcPr>
            <w:tcW w:w="1570" w:type="dxa"/>
            <w:vAlign w:val="center"/>
          </w:tcPr>
          <w:p w:rsidR="00F23557" w:rsidRPr="0009743B" w:rsidRDefault="00F23557" w:rsidP="00E46164">
            <w:pPr>
              <w:keepNext/>
              <w:tabs>
                <w:tab w:val="left" w:pos="-1440"/>
                <w:tab w:val="left" w:pos="1080"/>
              </w:tabs>
              <w:spacing w:after="0"/>
              <w:ind w:firstLine="29"/>
              <w:jc w:val="center"/>
              <w:rPr>
                <w:sz w:val="14"/>
                <w:szCs w:val="14"/>
              </w:rPr>
            </w:pPr>
          </w:p>
        </w:tc>
      </w:tr>
      <w:tr w:rsidR="00F23557" w:rsidTr="00E46164">
        <w:trPr>
          <w:jc w:val="center"/>
        </w:trPr>
        <w:tc>
          <w:tcPr>
            <w:tcW w:w="6182" w:type="dxa"/>
            <w:gridSpan w:val="3"/>
          </w:tcPr>
          <w:p w:rsidR="00F23557" w:rsidRDefault="00F23557" w:rsidP="00E46164">
            <w:pPr>
              <w:keepNext/>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after="0"/>
              <w:ind w:left="-29" w:firstLine="29"/>
              <w:rPr>
                <w:b/>
                <w:szCs w:val="24"/>
              </w:rPr>
            </w:pPr>
            <w:r>
              <w:rPr>
                <w:b/>
                <w:szCs w:val="24"/>
              </w:rPr>
              <w:t>_____________________</w:t>
            </w:r>
          </w:p>
          <w:p w:rsidR="00F23557" w:rsidRPr="001A3510" w:rsidRDefault="00F23557" w:rsidP="00E46164">
            <w:pPr>
              <w:keepNext/>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after="0"/>
              <w:ind w:left="-29" w:firstLine="29"/>
              <w:rPr>
                <w:szCs w:val="24"/>
              </w:rPr>
            </w:pPr>
            <w:r w:rsidRPr="001A3510">
              <w:rPr>
                <w:szCs w:val="24"/>
              </w:rPr>
              <w:t xml:space="preserve">Source:  </w:t>
            </w:r>
            <w:r>
              <w:rPr>
                <w:szCs w:val="24"/>
              </w:rPr>
              <w:t>Exhibit No.___</w:t>
            </w:r>
            <w:proofErr w:type="gramStart"/>
            <w:r>
              <w:rPr>
                <w:szCs w:val="24"/>
              </w:rPr>
              <w:t>_(</w:t>
            </w:r>
            <w:proofErr w:type="gramEnd"/>
            <w:r>
              <w:rPr>
                <w:szCs w:val="24"/>
              </w:rPr>
              <w:t>AMM-4)</w:t>
            </w:r>
            <w:r w:rsidRPr="001A3510">
              <w:rPr>
                <w:szCs w:val="24"/>
              </w:rPr>
              <w:t>.</w:t>
            </w:r>
          </w:p>
          <w:p w:rsidR="00F23557" w:rsidRDefault="00F23557" w:rsidP="00E46164">
            <w:pPr>
              <w:keepNext/>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pacing w:after="0"/>
              <w:ind w:left="-29" w:firstLine="29"/>
              <w:rPr>
                <w:b/>
                <w:szCs w:val="24"/>
              </w:rPr>
            </w:pPr>
          </w:p>
        </w:tc>
      </w:tr>
    </w:tbl>
    <w:p w:rsidR="00F23557" w:rsidRPr="00261AAB" w:rsidRDefault="00F23557" w:rsidP="00F23557">
      <w:pPr>
        <w:suppressLineNumbers/>
        <w:tabs>
          <w:tab w:val="left" w:pos="-1440"/>
          <w:tab w:val="left" w:pos="1080"/>
        </w:tabs>
        <w:spacing w:after="0"/>
        <w:ind w:left="720" w:hanging="720"/>
        <w:jc w:val="both"/>
        <w:rPr>
          <w:szCs w:val="24"/>
        </w:rPr>
      </w:pPr>
    </w:p>
    <w:p w:rsidR="00F23557" w:rsidRPr="00654123" w:rsidRDefault="00F23557" w:rsidP="00F23557">
      <w:pPr>
        <w:tabs>
          <w:tab w:val="left" w:pos="1440"/>
        </w:tabs>
        <w:ind w:left="720" w:hanging="720"/>
        <w:jc w:val="both"/>
        <w:rPr>
          <w:b/>
        </w:rPr>
      </w:pPr>
      <w:r w:rsidRPr="00272985">
        <w:rPr>
          <w:b/>
        </w:rPr>
        <w:t>Q.</w:t>
      </w:r>
      <w:r w:rsidRPr="00272985">
        <w:rPr>
          <w:b/>
        </w:rPr>
        <w:tab/>
      </w:r>
      <w:r w:rsidRPr="00654123">
        <w:rPr>
          <w:b/>
        </w:rPr>
        <w:t>PLEASE DESCRIBE MR. MCKENZIE</w:t>
      </w:r>
      <w:r>
        <w:rPr>
          <w:b/>
        </w:rPr>
        <w:t>’</w:t>
      </w:r>
      <w:r w:rsidRPr="00654123">
        <w:rPr>
          <w:b/>
        </w:rPr>
        <w:t>S DCF ANALYSIS.</w:t>
      </w:r>
    </w:p>
    <w:p w:rsidR="00F23557" w:rsidRDefault="00F23557" w:rsidP="00F23557">
      <w:pPr>
        <w:tabs>
          <w:tab w:val="left" w:pos="-1440"/>
          <w:tab w:val="left" w:pos="1440"/>
        </w:tabs>
        <w:spacing w:after="0" w:line="480" w:lineRule="auto"/>
        <w:ind w:left="720" w:hanging="720"/>
        <w:jc w:val="both"/>
        <w:rPr>
          <w:szCs w:val="24"/>
        </w:rPr>
      </w:pPr>
      <w:r w:rsidRPr="00272985">
        <w:rPr>
          <w:b/>
          <w:szCs w:val="24"/>
        </w:rPr>
        <w:t>A.</w:t>
      </w:r>
      <w:r w:rsidRPr="00272985">
        <w:rPr>
          <w:b/>
          <w:szCs w:val="24"/>
        </w:rPr>
        <w:tab/>
      </w:r>
      <w:r>
        <w:rPr>
          <w:szCs w:val="24"/>
        </w:rPr>
        <w:t>Mr. McKenzie</w:t>
      </w:r>
      <w:r w:rsidRPr="00261AAB">
        <w:rPr>
          <w:szCs w:val="24"/>
        </w:rPr>
        <w:t xml:space="preserve"> applied the traditional DCF model to his </w:t>
      </w:r>
      <w:r>
        <w:rPr>
          <w:szCs w:val="24"/>
        </w:rPr>
        <w:t>utility p</w:t>
      </w:r>
      <w:r w:rsidRPr="00261AAB">
        <w:rPr>
          <w:szCs w:val="24"/>
        </w:rPr>
        <w:t xml:space="preserve">roxy </w:t>
      </w:r>
      <w:r>
        <w:rPr>
          <w:szCs w:val="24"/>
        </w:rPr>
        <w:t>g</w:t>
      </w:r>
      <w:r w:rsidRPr="00261AAB">
        <w:rPr>
          <w:szCs w:val="24"/>
        </w:rPr>
        <w:t>roup.  Based on his utility proxy group, the DCF res</w:t>
      </w:r>
      <w:r>
        <w:rPr>
          <w:szCs w:val="24"/>
        </w:rPr>
        <w:t>ults average in the range of 8.8</w:t>
      </w:r>
      <w:r w:rsidRPr="00261AAB">
        <w:rPr>
          <w:szCs w:val="24"/>
        </w:rPr>
        <w:t xml:space="preserve">% to </w:t>
      </w:r>
      <w:r>
        <w:rPr>
          <w:szCs w:val="24"/>
        </w:rPr>
        <w:t>10.4</w:t>
      </w:r>
      <w:r w:rsidRPr="00261AAB">
        <w:rPr>
          <w:szCs w:val="24"/>
        </w:rPr>
        <w:t xml:space="preserve">%.  </w:t>
      </w:r>
    </w:p>
    <w:p w:rsidR="00F23557" w:rsidRPr="00261AAB" w:rsidRDefault="00F23557" w:rsidP="00F23557">
      <w:pPr>
        <w:tabs>
          <w:tab w:val="left" w:pos="-1440"/>
          <w:tab w:val="left" w:pos="1440"/>
        </w:tabs>
        <w:spacing w:after="0" w:line="480" w:lineRule="auto"/>
        <w:ind w:left="720" w:hanging="720"/>
        <w:jc w:val="both"/>
        <w:rPr>
          <w:szCs w:val="24"/>
        </w:rPr>
      </w:pPr>
      <w:r w:rsidRPr="00261AAB">
        <w:rPr>
          <w:szCs w:val="24"/>
        </w:rPr>
        <w:tab/>
      </w:r>
      <w:r w:rsidRPr="00261AAB">
        <w:rPr>
          <w:szCs w:val="24"/>
        </w:rPr>
        <w:tab/>
        <w:t xml:space="preserve">In developing his recommended DCF range, </w:t>
      </w:r>
      <w:r>
        <w:rPr>
          <w:szCs w:val="24"/>
        </w:rPr>
        <w:t>Mr. McKenzie</w:t>
      </w:r>
      <w:r w:rsidRPr="00261AAB">
        <w:rPr>
          <w:szCs w:val="24"/>
        </w:rPr>
        <w:t xml:space="preserve"> excluded what he found to be outlier results.  Of his DCF results, </w:t>
      </w:r>
      <w:r>
        <w:rPr>
          <w:szCs w:val="24"/>
        </w:rPr>
        <w:t>Mr. McKenzie</w:t>
      </w:r>
      <w:r w:rsidRPr="00261AAB">
        <w:rPr>
          <w:szCs w:val="24"/>
        </w:rPr>
        <w:t xml:space="preserve"> removed </w:t>
      </w:r>
      <w:r>
        <w:rPr>
          <w:szCs w:val="24"/>
        </w:rPr>
        <w:t>eight</w:t>
      </w:r>
      <w:r w:rsidRPr="00261AAB">
        <w:rPr>
          <w:szCs w:val="24"/>
        </w:rPr>
        <w:t xml:space="preserve"> low-end </w:t>
      </w:r>
      <w:r w:rsidRPr="00261AAB">
        <w:rPr>
          <w:szCs w:val="24"/>
        </w:rPr>
        <w:lastRenderedPageBreak/>
        <w:t xml:space="preserve">outliers </w:t>
      </w:r>
      <w:r>
        <w:rPr>
          <w:szCs w:val="24"/>
        </w:rPr>
        <w:t xml:space="preserve">without removing any </w:t>
      </w:r>
      <w:r w:rsidRPr="00261AAB">
        <w:rPr>
          <w:szCs w:val="24"/>
        </w:rPr>
        <w:t xml:space="preserve">high-end outliers.  Therefore, his estimated DCF range is biased and overstated.  </w:t>
      </w:r>
    </w:p>
    <w:p w:rsidR="00F23557" w:rsidRPr="00654123" w:rsidRDefault="00F23557" w:rsidP="00F23557">
      <w:pPr>
        <w:tabs>
          <w:tab w:val="left" w:pos="1440"/>
        </w:tabs>
        <w:ind w:left="720" w:hanging="720"/>
        <w:jc w:val="both"/>
        <w:rPr>
          <w:b/>
        </w:rPr>
      </w:pPr>
      <w:r w:rsidRPr="00272985">
        <w:rPr>
          <w:b/>
        </w:rPr>
        <w:t>Q.</w:t>
      </w:r>
      <w:r w:rsidRPr="00272985">
        <w:rPr>
          <w:b/>
        </w:rPr>
        <w:tab/>
      </w:r>
      <w:r w:rsidRPr="00654123">
        <w:rPr>
          <w:b/>
        </w:rPr>
        <w:t>CAN MR. MCKENZIE</w:t>
      </w:r>
      <w:r>
        <w:rPr>
          <w:b/>
        </w:rPr>
        <w:t>’</w:t>
      </w:r>
      <w:r w:rsidRPr="00654123">
        <w:rPr>
          <w:b/>
        </w:rPr>
        <w:t>S DCF ANALYSIS BE ADJUSTED TO PRODUCE MORE REASONABLE RESULTS?</w:t>
      </w:r>
    </w:p>
    <w:p w:rsidR="00F23557" w:rsidRDefault="00F23557" w:rsidP="00F23557">
      <w:pPr>
        <w:tabs>
          <w:tab w:val="left" w:pos="-1440"/>
          <w:tab w:val="left" w:pos="1440"/>
        </w:tabs>
        <w:spacing w:after="0" w:line="480" w:lineRule="auto"/>
        <w:ind w:left="720" w:hanging="720"/>
        <w:jc w:val="both"/>
        <w:rPr>
          <w:rFonts w:cs="Arial"/>
        </w:rPr>
      </w:pPr>
      <w:r w:rsidRPr="00272985">
        <w:rPr>
          <w:rFonts w:cs="Arial"/>
          <w:b/>
        </w:rPr>
        <w:t>A.</w:t>
      </w:r>
      <w:r w:rsidRPr="00272985">
        <w:rPr>
          <w:rFonts w:cs="Arial"/>
          <w:b/>
        </w:rPr>
        <w:tab/>
      </w:r>
      <w:r w:rsidRPr="00261AAB">
        <w:rPr>
          <w:rFonts w:cs="Arial"/>
        </w:rPr>
        <w:t xml:space="preserve">Yes.  As noted above, </w:t>
      </w:r>
      <w:r>
        <w:rPr>
          <w:rFonts w:cs="Arial"/>
        </w:rPr>
        <w:t>Mr. McKenzie</w:t>
      </w:r>
      <w:r w:rsidRPr="00261AAB">
        <w:rPr>
          <w:rFonts w:cs="Arial"/>
        </w:rPr>
        <w:t xml:space="preserve"> biased his DCF results by removing </w:t>
      </w:r>
      <w:r w:rsidR="005D4557">
        <w:rPr>
          <w:rFonts w:cs="Arial"/>
        </w:rPr>
        <w:t>eight</w:t>
      </w:r>
      <w:r w:rsidRPr="00261AAB">
        <w:rPr>
          <w:rFonts w:cs="Arial"/>
        </w:rPr>
        <w:t xml:space="preserve"> of his DCF results</w:t>
      </w:r>
      <w:r>
        <w:rPr>
          <w:rFonts w:cs="Arial"/>
        </w:rPr>
        <w:t>, that he considered to be too low, thus inflating his overall result</w:t>
      </w:r>
      <w:r w:rsidRPr="00261AAB">
        <w:rPr>
          <w:rFonts w:cs="Arial"/>
        </w:rPr>
        <w:t xml:space="preserve">.  </w:t>
      </w:r>
      <w:r>
        <w:rPr>
          <w:rFonts w:cs="Arial"/>
        </w:rPr>
        <w:t xml:space="preserve">It is unbalanced and unreasonable to remove DCF results which are low, but not remove DCF results which are high.  Doing this simply does not describe the results of the DCF study on the proxy group.  </w:t>
      </w:r>
    </w:p>
    <w:p w:rsidR="00F23557" w:rsidRPr="00261AAB" w:rsidRDefault="00F23557" w:rsidP="00F23557">
      <w:pPr>
        <w:tabs>
          <w:tab w:val="left" w:pos="-1440"/>
          <w:tab w:val="left" w:pos="1440"/>
        </w:tabs>
        <w:spacing w:after="0" w:line="480" w:lineRule="auto"/>
        <w:ind w:left="720" w:hanging="720"/>
        <w:jc w:val="both"/>
        <w:rPr>
          <w:rFonts w:cs="Arial"/>
        </w:rPr>
      </w:pPr>
      <w:r>
        <w:rPr>
          <w:rFonts w:cs="Arial"/>
          <w:b/>
        </w:rPr>
        <w:tab/>
      </w:r>
      <w:r>
        <w:rPr>
          <w:rFonts w:cs="Arial"/>
          <w:b/>
        </w:rPr>
        <w:tab/>
      </w:r>
      <w:r w:rsidRPr="00261AAB">
        <w:rPr>
          <w:rFonts w:cs="Arial"/>
        </w:rPr>
        <w:t xml:space="preserve">A </w:t>
      </w:r>
      <w:r>
        <w:rPr>
          <w:rFonts w:cs="Arial"/>
        </w:rPr>
        <w:t>more accurate</w:t>
      </w:r>
      <w:r w:rsidRPr="00261AAB">
        <w:rPr>
          <w:rFonts w:cs="Arial"/>
        </w:rPr>
        <w:t xml:space="preserve"> method of measuring the central tendency of the proxy group</w:t>
      </w:r>
      <w:r>
        <w:rPr>
          <w:rFonts w:cs="Arial"/>
        </w:rPr>
        <w:t>’</w:t>
      </w:r>
      <w:r w:rsidRPr="00261AAB">
        <w:rPr>
          <w:rFonts w:cs="Arial"/>
        </w:rPr>
        <w:t xml:space="preserve">s results would be to measure the median of all the DCF return estimates.  In doing so, this would lower </w:t>
      </w:r>
      <w:r>
        <w:rPr>
          <w:rFonts w:cs="Arial"/>
        </w:rPr>
        <w:t>Mr. McKenzie’</w:t>
      </w:r>
      <w:r w:rsidRPr="00261AAB">
        <w:rPr>
          <w:rFonts w:cs="Arial"/>
        </w:rPr>
        <w:t xml:space="preserve">s DCF range of </w:t>
      </w:r>
      <w:r>
        <w:rPr>
          <w:rFonts w:cs="Arial"/>
        </w:rPr>
        <w:t>8.8</w:t>
      </w:r>
      <w:r w:rsidRPr="00261AAB">
        <w:rPr>
          <w:rFonts w:cs="Arial"/>
        </w:rPr>
        <w:t xml:space="preserve">% to </w:t>
      </w:r>
      <w:r>
        <w:rPr>
          <w:rFonts w:cs="Arial"/>
        </w:rPr>
        <w:t>10.4</w:t>
      </w:r>
      <w:r w:rsidRPr="00261AAB">
        <w:rPr>
          <w:rFonts w:cs="Arial"/>
        </w:rPr>
        <w:t>% down to 8.</w:t>
      </w:r>
      <w:r>
        <w:rPr>
          <w:rFonts w:cs="Arial"/>
        </w:rPr>
        <w:t>4</w:t>
      </w:r>
      <w:r w:rsidRPr="00261AAB">
        <w:rPr>
          <w:rFonts w:cs="Arial"/>
        </w:rPr>
        <w:t>% to 9.</w:t>
      </w:r>
      <w:r>
        <w:rPr>
          <w:rFonts w:cs="Arial"/>
        </w:rPr>
        <w:t xml:space="preserve">2% for his </w:t>
      </w:r>
      <w:r>
        <w:rPr>
          <w:szCs w:val="24"/>
        </w:rPr>
        <w:t>utility p</w:t>
      </w:r>
      <w:r w:rsidRPr="00261AAB">
        <w:rPr>
          <w:szCs w:val="24"/>
        </w:rPr>
        <w:t xml:space="preserve">roxy </w:t>
      </w:r>
      <w:r>
        <w:rPr>
          <w:szCs w:val="24"/>
        </w:rPr>
        <w:t>g</w:t>
      </w:r>
      <w:r w:rsidRPr="00261AAB">
        <w:rPr>
          <w:szCs w:val="24"/>
        </w:rPr>
        <w:t>roup</w:t>
      </w:r>
      <w:r>
        <w:rPr>
          <w:rFonts w:cs="Arial"/>
        </w:rPr>
        <w:t>.  Therefore, the midpoint of all his DCF return estimates will result in a retu</w:t>
      </w:r>
      <w:r w:rsidR="0028388E">
        <w:rPr>
          <w:rFonts w:cs="Arial"/>
        </w:rPr>
        <w:t>rn on equity of 8.8%, which is similar</w:t>
      </w:r>
      <w:r>
        <w:rPr>
          <w:rFonts w:cs="Arial"/>
        </w:rPr>
        <w:t xml:space="preserve"> to my DCF return result.</w:t>
      </w:r>
    </w:p>
    <w:p w:rsidR="00F23557" w:rsidRPr="00654123" w:rsidRDefault="00F23557" w:rsidP="00F23557">
      <w:pPr>
        <w:tabs>
          <w:tab w:val="left" w:pos="1440"/>
        </w:tabs>
        <w:ind w:left="720" w:hanging="720"/>
        <w:jc w:val="both"/>
        <w:rPr>
          <w:b/>
        </w:rPr>
      </w:pPr>
      <w:r w:rsidRPr="00272985">
        <w:rPr>
          <w:b/>
        </w:rPr>
        <w:t>Q.</w:t>
      </w:r>
      <w:r w:rsidRPr="00272985">
        <w:rPr>
          <w:b/>
        </w:rPr>
        <w:tab/>
      </w:r>
      <w:r w:rsidRPr="00654123">
        <w:rPr>
          <w:b/>
        </w:rPr>
        <w:t>PLEASE DESCRIBE MR. MCKENZIE</w:t>
      </w:r>
      <w:r>
        <w:rPr>
          <w:b/>
        </w:rPr>
        <w:t>’</w:t>
      </w:r>
      <w:r w:rsidRPr="00654123">
        <w:rPr>
          <w:b/>
        </w:rPr>
        <w:t>S CURRENT AND PROJECTED EMPIRICAL CAPM ANALYSES.</w:t>
      </w:r>
    </w:p>
    <w:p w:rsidR="00F23557" w:rsidRPr="00261AAB" w:rsidRDefault="00F23557" w:rsidP="00F23557">
      <w:pPr>
        <w:tabs>
          <w:tab w:val="left" w:pos="-1440"/>
          <w:tab w:val="left" w:pos="1440"/>
        </w:tabs>
        <w:spacing w:after="0" w:line="480" w:lineRule="auto"/>
        <w:ind w:left="720" w:hanging="720"/>
        <w:jc w:val="both"/>
        <w:rPr>
          <w:szCs w:val="24"/>
        </w:rPr>
      </w:pPr>
      <w:r w:rsidRPr="00272985">
        <w:rPr>
          <w:b/>
          <w:szCs w:val="24"/>
        </w:rPr>
        <w:t>A.</w:t>
      </w:r>
      <w:r w:rsidRPr="00272985">
        <w:rPr>
          <w:b/>
          <w:szCs w:val="24"/>
        </w:rPr>
        <w:tab/>
      </w:r>
      <w:r>
        <w:rPr>
          <w:szCs w:val="24"/>
        </w:rPr>
        <w:t>Mr. McKenzie</w:t>
      </w:r>
      <w:r w:rsidRPr="00261AAB">
        <w:rPr>
          <w:szCs w:val="24"/>
        </w:rPr>
        <w:t xml:space="preserve"> developed an Empirical CAPM analysis based on current and projected Treasury bond yields.  </w:t>
      </w:r>
      <w:r>
        <w:rPr>
          <w:szCs w:val="24"/>
        </w:rPr>
        <w:t>Mr. McKenzie</w:t>
      </w:r>
      <w:r w:rsidRPr="00261AAB">
        <w:rPr>
          <w:szCs w:val="24"/>
        </w:rPr>
        <w:t xml:space="preserve"> estimates a projected return on the market of </w:t>
      </w:r>
      <w:r>
        <w:rPr>
          <w:szCs w:val="24"/>
        </w:rPr>
        <w:t>11.2</w:t>
      </w:r>
      <w:r w:rsidRPr="00261AAB">
        <w:rPr>
          <w:szCs w:val="24"/>
        </w:rPr>
        <w:t xml:space="preserve">%.  From this market return estimate he subtracts his </w:t>
      </w:r>
      <w:r>
        <w:rPr>
          <w:szCs w:val="24"/>
        </w:rPr>
        <w:t xml:space="preserve">current and projected </w:t>
      </w:r>
      <w:r w:rsidRPr="00261AAB">
        <w:rPr>
          <w:szCs w:val="24"/>
        </w:rPr>
        <w:t xml:space="preserve">risk-free rates of </w:t>
      </w:r>
      <w:r>
        <w:rPr>
          <w:szCs w:val="24"/>
        </w:rPr>
        <w:t>3.0</w:t>
      </w:r>
      <w:r w:rsidRPr="00261AAB">
        <w:rPr>
          <w:szCs w:val="24"/>
        </w:rPr>
        <w:t>% and 4.</w:t>
      </w:r>
      <w:r>
        <w:rPr>
          <w:szCs w:val="24"/>
        </w:rPr>
        <w:t>2</w:t>
      </w:r>
      <w:r w:rsidRPr="00261AAB">
        <w:rPr>
          <w:szCs w:val="24"/>
        </w:rPr>
        <w:t xml:space="preserve">%, to arrive at </w:t>
      </w:r>
      <w:r>
        <w:rPr>
          <w:szCs w:val="24"/>
        </w:rPr>
        <w:t xml:space="preserve">current and projected </w:t>
      </w:r>
      <w:r w:rsidRPr="00261AAB">
        <w:rPr>
          <w:szCs w:val="24"/>
        </w:rPr>
        <w:t>market risk premiums of 8.</w:t>
      </w:r>
      <w:r>
        <w:rPr>
          <w:szCs w:val="24"/>
        </w:rPr>
        <w:t>2</w:t>
      </w:r>
      <w:r w:rsidRPr="00261AAB">
        <w:rPr>
          <w:szCs w:val="24"/>
        </w:rPr>
        <w:t>% and 7.</w:t>
      </w:r>
      <w:r>
        <w:rPr>
          <w:szCs w:val="24"/>
        </w:rPr>
        <w:t>0</w:t>
      </w:r>
      <w:r w:rsidRPr="00261AAB">
        <w:rPr>
          <w:szCs w:val="24"/>
        </w:rPr>
        <w:t>%, respectively.  (</w:t>
      </w:r>
      <w:r>
        <w:rPr>
          <w:szCs w:val="24"/>
        </w:rPr>
        <w:t>Exhibit No.___</w:t>
      </w:r>
      <w:proofErr w:type="gramStart"/>
      <w:r>
        <w:rPr>
          <w:szCs w:val="24"/>
        </w:rPr>
        <w:t>_(</w:t>
      </w:r>
      <w:proofErr w:type="gramEnd"/>
      <w:r>
        <w:rPr>
          <w:szCs w:val="24"/>
        </w:rPr>
        <w:t>AMM-8)</w:t>
      </w:r>
      <w:r w:rsidRPr="00261AAB">
        <w:rPr>
          <w:szCs w:val="24"/>
        </w:rPr>
        <w:t xml:space="preserve">).  </w:t>
      </w:r>
    </w:p>
    <w:p w:rsidR="00F23557" w:rsidRDefault="00F23557" w:rsidP="00F23557">
      <w:pPr>
        <w:tabs>
          <w:tab w:val="left" w:pos="-1440"/>
          <w:tab w:val="left" w:pos="1440"/>
        </w:tabs>
        <w:spacing w:after="0" w:line="480" w:lineRule="auto"/>
        <w:ind w:left="720" w:hanging="720"/>
        <w:jc w:val="both"/>
        <w:rPr>
          <w:szCs w:val="24"/>
        </w:rPr>
      </w:pPr>
      <w:r w:rsidRPr="00261AAB">
        <w:rPr>
          <w:szCs w:val="24"/>
        </w:rPr>
        <w:tab/>
      </w:r>
      <w:r w:rsidRPr="00261AAB">
        <w:rPr>
          <w:szCs w:val="24"/>
        </w:rPr>
        <w:tab/>
        <w:t xml:space="preserve">He then uses an ECAPM model that applies a 25% weighting factor to the market beta of one, and a 75% weighting factor to the utility beta.  </w:t>
      </w:r>
    </w:p>
    <w:p w:rsidR="00F23557" w:rsidRPr="00261AAB" w:rsidRDefault="00F23557" w:rsidP="00F23557">
      <w:pPr>
        <w:tabs>
          <w:tab w:val="left" w:pos="-1440"/>
          <w:tab w:val="left" w:pos="1440"/>
        </w:tabs>
        <w:spacing w:after="0" w:line="480" w:lineRule="auto"/>
        <w:ind w:left="720" w:hanging="720"/>
        <w:jc w:val="both"/>
        <w:rPr>
          <w:szCs w:val="24"/>
        </w:rPr>
      </w:pPr>
      <w:r w:rsidRPr="00261AAB">
        <w:rPr>
          <w:szCs w:val="24"/>
        </w:rPr>
        <w:lastRenderedPageBreak/>
        <w:tab/>
      </w:r>
      <w:r w:rsidRPr="00261AAB">
        <w:rPr>
          <w:szCs w:val="24"/>
        </w:rPr>
        <w:tab/>
        <w:t xml:space="preserve">He relies on the </w:t>
      </w:r>
      <w:r w:rsidRPr="00261AAB">
        <w:rPr>
          <w:i/>
          <w:szCs w:val="24"/>
        </w:rPr>
        <w:t>Value Line</w:t>
      </w:r>
      <w:r w:rsidRPr="00261AAB">
        <w:rPr>
          <w:szCs w:val="24"/>
        </w:rPr>
        <w:t xml:space="preserve"> utility betas for the companies included in his proxy group</w:t>
      </w:r>
      <w:r>
        <w:rPr>
          <w:szCs w:val="24"/>
        </w:rPr>
        <w:t>s</w:t>
      </w:r>
      <w:r w:rsidRPr="00261AAB">
        <w:rPr>
          <w:szCs w:val="24"/>
        </w:rPr>
        <w:t xml:space="preserve"> to produce an average cost of equity for his utility proxy group</w:t>
      </w:r>
      <w:r>
        <w:rPr>
          <w:szCs w:val="24"/>
        </w:rPr>
        <w:t>s</w:t>
      </w:r>
      <w:r w:rsidRPr="00261AAB">
        <w:rPr>
          <w:szCs w:val="24"/>
        </w:rPr>
        <w:t xml:space="preserve"> of </w:t>
      </w:r>
      <w:r>
        <w:rPr>
          <w:szCs w:val="24"/>
        </w:rPr>
        <w:t>9.8</w:t>
      </w:r>
      <w:r w:rsidRPr="00261AAB">
        <w:rPr>
          <w:szCs w:val="24"/>
        </w:rPr>
        <w:t>% to 10.</w:t>
      </w:r>
      <w:r>
        <w:rPr>
          <w:szCs w:val="24"/>
        </w:rPr>
        <w:t>0</w:t>
      </w:r>
      <w:r w:rsidRPr="00261AAB">
        <w:rPr>
          <w:szCs w:val="24"/>
        </w:rPr>
        <w:t>%.</w:t>
      </w:r>
      <w:r w:rsidRPr="0047347A">
        <w:rPr>
          <w:szCs w:val="24"/>
          <w:u w:val="single"/>
          <w:vertAlign w:val="superscript"/>
        </w:rPr>
        <w:footnoteReference w:id="41"/>
      </w:r>
      <w:r w:rsidRPr="0047347A">
        <w:rPr>
          <w:szCs w:val="24"/>
          <w:vertAlign w:val="superscript"/>
        </w:rPr>
        <w:t>/</w:t>
      </w:r>
      <w:r w:rsidRPr="00261AAB">
        <w:rPr>
          <w:szCs w:val="24"/>
        </w:rPr>
        <w:t xml:space="preserve">  </w:t>
      </w:r>
    </w:p>
    <w:p w:rsidR="00F23557" w:rsidRPr="00261AAB" w:rsidRDefault="00F23557" w:rsidP="00F23557">
      <w:pPr>
        <w:tabs>
          <w:tab w:val="left" w:pos="-1440"/>
          <w:tab w:val="left" w:pos="1440"/>
        </w:tabs>
        <w:spacing w:after="0" w:line="480" w:lineRule="auto"/>
        <w:ind w:left="720" w:hanging="720"/>
        <w:jc w:val="both"/>
        <w:rPr>
          <w:szCs w:val="24"/>
        </w:rPr>
      </w:pPr>
      <w:r w:rsidRPr="00261AAB">
        <w:rPr>
          <w:szCs w:val="24"/>
        </w:rPr>
        <w:tab/>
      </w:r>
      <w:r w:rsidRPr="00261AAB">
        <w:rPr>
          <w:szCs w:val="24"/>
        </w:rPr>
        <w:tab/>
        <w:t>He then adds a size adjustment to his Empirical CAPM return estimate of approximately 1.</w:t>
      </w:r>
      <w:r>
        <w:rPr>
          <w:szCs w:val="24"/>
        </w:rPr>
        <w:t>0</w:t>
      </w:r>
      <w:r w:rsidRPr="00261AAB">
        <w:rPr>
          <w:szCs w:val="24"/>
        </w:rPr>
        <w:t xml:space="preserve">% to arrive at his cost of equity for the proxy group of </w:t>
      </w:r>
      <w:r>
        <w:rPr>
          <w:szCs w:val="24"/>
        </w:rPr>
        <w:t>10.8</w:t>
      </w:r>
      <w:r w:rsidRPr="00261AAB">
        <w:rPr>
          <w:szCs w:val="24"/>
        </w:rPr>
        <w:t xml:space="preserve">% to </w:t>
      </w:r>
      <w:r>
        <w:rPr>
          <w:szCs w:val="24"/>
        </w:rPr>
        <w:t>11.0</w:t>
      </w:r>
      <w:r w:rsidRPr="00261AAB">
        <w:rPr>
          <w:szCs w:val="24"/>
        </w:rPr>
        <w:t xml:space="preserve">%.  </w:t>
      </w:r>
    </w:p>
    <w:p w:rsidR="00F23557" w:rsidRPr="00654123" w:rsidRDefault="00F23557" w:rsidP="00F23557">
      <w:pPr>
        <w:tabs>
          <w:tab w:val="left" w:pos="1440"/>
        </w:tabs>
        <w:ind w:left="720" w:hanging="720"/>
        <w:jc w:val="both"/>
        <w:rPr>
          <w:b/>
        </w:rPr>
      </w:pPr>
      <w:r w:rsidRPr="00272985">
        <w:rPr>
          <w:b/>
        </w:rPr>
        <w:t>Q.</w:t>
      </w:r>
      <w:r w:rsidRPr="00272985">
        <w:rPr>
          <w:b/>
        </w:rPr>
        <w:tab/>
      </w:r>
      <w:r w:rsidRPr="00654123">
        <w:rPr>
          <w:b/>
        </w:rPr>
        <w:t>ARE MR. MCKENZIE</w:t>
      </w:r>
      <w:r>
        <w:rPr>
          <w:b/>
        </w:rPr>
        <w:t>’</w:t>
      </w:r>
      <w:r w:rsidRPr="00654123">
        <w:rPr>
          <w:b/>
        </w:rPr>
        <w:t>S CURRENT AND PROJECTED EMPIRICAL CAPM ANALYSES REASONABLE?</w:t>
      </w:r>
    </w:p>
    <w:p w:rsidR="00F23557" w:rsidRPr="00261AAB" w:rsidRDefault="00F23557" w:rsidP="00F23557">
      <w:pPr>
        <w:tabs>
          <w:tab w:val="left" w:pos="-1440"/>
          <w:tab w:val="left" w:pos="1440"/>
        </w:tabs>
        <w:spacing w:after="0" w:line="480" w:lineRule="auto"/>
        <w:ind w:left="720" w:hanging="720"/>
        <w:jc w:val="both"/>
        <w:rPr>
          <w:szCs w:val="24"/>
        </w:rPr>
      </w:pPr>
      <w:r w:rsidRPr="00272985">
        <w:rPr>
          <w:b/>
          <w:szCs w:val="24"/>
        </w:rPr>
        <w:t>A.</w:t>
      </w:r>
      <w:r w:rsidRPr="00272985">
        <w:rPr>
          <w:b/>
          <w:szCs w:val="24"/>
        </w:rPr>
        <w:tab/>
      </w:r>
      <w:r w:rsidRPr="00261AAB">
        <w:rPr>
          <w:szCs w:val="24"/>
        </w:rPr>
        <w:t xml:space="preserve">No.  </w:t>
      </w:r>
      <w:r>
        <w:rPr>
          <w:szCs w:val="24"/>
        </w:rPr>
        <w:t>Mr. McKenzie’</w:t>
      </w:r>
      <w:r w:rsidRPr="00261AAB">
        <w:rPr>
          <w:szCs w:val="24"/>
        </w:rPr>
        <w:t xml:space="preserve">s ECAPM analysis is flawed because </w:t>
      </w:r>
      <w:r>
        <w:rPr>
          <w:szCs w:val="24"/>
        </w:rPr>
        <w:t>his model was developed using</w:t>
      </w:r>
      <w:r w:rsidRPr="00261AAB">
        <w:rPr>
          <w:szCs w:val="24"/>
        </w:rPr>
        <w:t xml:space="preserve"> adjusted utility betas.  An ECAPM analysis flattens the security market line, and is designed for raw beta estimates, not adjusted betas.  Beta adjustments</w:t>
      </w:r>
      <w:r>
        <w:rPr>
          <w:szCs w:val="24"/>
        </w:rPr>
        <w:t xml:space="preserve">, </w:t>
      </w:r>
      <w:proofErr w:type="gramStart"/>
      <w:r>
        <w:rPr>
          <w:szCs w:val="24"/>
        </w:rPr>
        <w:t>on their own,</w:t>
      </w:r>
      <w:proofErr w:type="gramEnd"/>
      <w:r w:rsidRPr="00261AAB">
        <w:rPr>
          <w:szCs w:val="24"/>
        </w:rPr>
        <w:t xml:space="preserve"> accomplish virtually the same thing as an ECAPM analysis.  They flatten the security market line, and increase the intercept at the risk-free rate.  ECAPM analysis is not designed to be used with adjusted betas, but rather is designed to be used with unadjusted betas.  </w:t>
      </w:r>
      <w:r>
        <w:rPr>
          <w:szCs w:val="24"/>
        </w:rPr>
        <w:t>Mr. McKenzie’</w:t>
      </w:r>
      <w:r w:rsidRPr="00261AAB">
        <w:rPr>
          <w:szCs w:val="24"/>
        </w:rPr>
        <w:t>s proposal to use adjusted betas within an ECAPM analysis is unreasonable and double counts the attempt to flatten the security market line and increase beta estimates for companies with betas below 1, and decrease CAPM estimates for companies with betas greater than 1.</w:t>
      </w:r>
    </w:p>
    <w:p w:rsidR="00F23557" w:rsidRPr="00654123" w:rsidRDefault="00F23557" w:rsidP="00F23557">
      <w:pPr>
        <w:keepNext/>
        <w:keepLines/>
        <w:tabs>
          <w:tab w:val="left" w:pos="1440"/>
        </w:tabs>
        <w:ind w:left="720" w:hanging="720"/>
        <w:jc w:val="both"/>
        <w:rPr>
          <w:b/>
        </w:rPr>
      </w:pPr>
      <w:r w:rsidRPr="00272985">
        <w:rPr>
          <w:b/>
        </w:rPr>
        <w:t>Q.</w:t>
      </w:r>
      <w:r w:rsidRPr="00272985">
        <w:rPr>
          <w:b/>
        </w:rPr>
        <w:tab/>
      </w:r>
      <w:r w:rsidRPr="00654123">
        <w:rPr>
          <w:b/>
        </w:rPr>
        <w:t>PLEASE DESCRIBE WHY MR. MCKENZIE</w:t>
      </w:r>
      <w:r>
        <w:rPr>
          <w:b/>
        </w:rPr>
        <w:t>’</w:t>
      </w:r>
      <w:r w:rsidRPr="00654123">
        <w:rPr>
          <w:b/>
        </w:rPr>
        <w:t>S ECAPM ANALYSIS DOUBLE COUNTS THE ATTEMPT TO FLATTEN THE SECURITY MARKET LINE, AND INCREASE THE CAPM RETURN ESTIMATES FOR COMPANIES WITH BETAS LESS THAN 1.</w:t>
      </w:r>
    </w:p>
    <w:p w:rsidR="00F23557" w:rsidRPr="00261AAB" w:rsidRDefault="00F23557" w:rsidP="00F23557">
      <w:pPr>
        <w:tabs>
          <w:tab w:val="left" w:pos="-1440"/>
          <w:tab w:val="left" w:pos="1440"/>
        </w:tabs>
        <w:spacing w:after="0" w:line="480" w:lineRule="auto"/>
        <w:ind w:left="720" w:hanging="720"/>
        <w:jc w:val="both"/>
        <w:rPr>
          <w:szCs w:val="24"/>
        </w:rPr>
      </w:pPr>
      <w:r w:rsidRPr="00272985">
        <w:rPr>
          <w:b/>
          <w:szCs w:val="24"/>
        </w:rPr>
        <w:t>A.</w:t>
      </w:r>
      <w:r w:rsidRPr="00272985">
        <w:rPr>
          <w:b/>
          <w:szCs w:val="24"/>
        </w:rPr>
        <w:tab/>
      </w:r>
      <w:r w:rsidRPr="00261AAB">
        <w:rPr>
          <w:szCs w:val="24"/>
        </w:rPr>
        <w:t xml:space="preserve">This flattening of the security market line, or the CAPM return estimate, is redundant with the use of </w:t>
      </w:r>
      <w:r w:rsidRPr="00261AAB">
        <w:rPr>
          <w:i/>
          <w:szCs w:val="24"/>
        </w:rPr>
        <w:t>Value Line</w:t>
      </w:r>
      <w:r>
        <w:rPr>
          <w:szCs w:val="24"/>
        </w:rPr>
        <w:t>’</w:t>
      </w:r>
      <w:r w:rsidRPr="00261AAB">
        <w:rPr>
          <w:szCs w:val="24"/>
        </w:rPr>
        <w:t xml:space="preserve">s adjusted betas and, therefore, is unreasonable.  The </w:t>
      </w:r>
      <w:r w:rsidRPr="00261AAB">
        <w:rPr>
          <w:i/>
          <w:szCs w:val="24"/>
        </w:rPr>
        <w:t>Value Line</w:t>
      </w:r>
      <w:r w:rsidRPr="00261AAB">
        <w:rPr>
          <w:szCs w:val="24"/>
        </w:rPr>
        <w:t xml:space="preserve"> beta </w:t>
      </w:r>
      <w:r>
        <w:rPr>
          <w:szCs w:val="24"/>
        </w:rPr>
        <w:t>Mr. McKenzie</w:t>
      </w:r>
      <w:r w:rsidRPr="00261AAB">
        <w:rPr>
          <w:szCs w:val="24"/>
        </w:rPr>
        <w:t xml:space="preserve"> relied on to estimate a utility beta is already adjusted for the </w:t>
      </w:r>
      <w:r w:rsidRPr="00261AAB">
        <w:rPr>
          <w:szCs w:val="24"/>
        </w:rPr>
        <w:lastRenderedPageBreak/>
        <w:t xml:space="preserve">tendencies of betas lower than 1 to increase toward the market beta of 1 over time.  That is, an adjusted beta will increase a CAPM return estimate for companies with raw betas less than 1, and decrease CAPM return estimates for companies with raw betas greater than 1.  A raw beta is an unadjusted beta.  </w:t>
      </w:r>
      <w:r w:rsidRPr="00261AAB">
        <w:rPr>
          <w:i/>
          <w:szCs w:val="24"/>
        </w:rPr>
        <w:t>Value Line</w:t>
      </w:r>
      <w:r w:rsidRPr="00261AAB">
        <w:rPr>
          <w:szCs w:val="24"/>
        </w:rPr>
        <w:t xml:space="preserve"> adjusts its raw beta by weighting the raw beta with a market beta of 1.  Specifically, </w:t>
      </w:r>
      <w:r w:rsidRPr="00261AAB">
        <w:rPr>
          <w:i/>
          <w:szCs w:val="24"/>
        </w:rPr>
        <w:t>Value Line</w:t>
      </w:r>
      <w:r>
        <w:rPr>
          <w:szCs w:val="24"/>
        </w:rPr>
        <w:t>’</w:t>
      </w:r>
      <w:r w:rsidRPr="00261AAB">
        <w:rPr>
          <w:szCs w:val="24"/>
        </w:rPr>
        <w:t xml:space="preserve">s adjusted beta formula is to apply a weight as follows:  </w:t>
      </w:r>
    </w:p>
    <w:p w:rsidR="00F23557" w:rsidRPr="00261AAB" w:rsidRDefault="00F23557" w:rsidP="00F23557">
      <w:pPr>
        <w:tabs>
          <w:tab w:val="left" w:pos="-1440"/>
          <w:tab w:val="left" w:pos="1440"/>
        </w:tabs>
        <w:spacing w:after="0" w:line="480" w:lineRule="auto"/>
        <w:ind w:left="720" w:hanging="720"/>
        <w:jc w:val="center"/>
        <w:rPr>
          <w:szCs w:val="24"/>
        </w:rPr>
      </w:pPr>
      <w:r w:rsidRPr="00261AAB">
        <w:rPr>
          <w:szCs w:val="24"/>
        </w:rPr>
        <w:t>Adjusted Beta = Raw Beta x 67% + Market Beta x 35%.</w:t>
      </w:r>
    </w:p>
    <w:p w:rsidR="00F23557" w:rsidRDefault="00F23557" w:rsidP="00F23557">
      <w:pPr>
        <w:tabs>
          <w:tab w:val="left" w:pos="-1440"/>
          <w:tab w:val="left" w:pos="1440"/>
        </w:tabs>
        <w:spacing w:after="0" w:line="480" w:lineRule="auto"/>
        <w:ind w:left="720" w:hanging="720"/>
        <w:jc w:val="both"/>
        <w:rPr>
          <w:szCs w:val="24"/>
        </w:rPr>
      </w:pPr>
      <w:r>
        <w:rPr>
          <w:szCs w:val="24"/>
        </w:rPr>
        <w:tab/>
      </w:r>
      <w:r>
        <w:rPr>
          <w:szCs w:val="24"/>
        </w:rPr>
        <w:tab/>
      </w:r>
      <w:r w:rsidRPr="00261AAB">
        <w:rPr>
          <w:szCs w:val="24"/>
        </w:rPr>
        <w:t xml:space="preserve">The practical effect of </w:t>
      </w:r>
      <w:r w:rsidRPr="00261AAB">
        <w:rPr>
          <w:i/>
          <w:szCs w:val="24"/>
        </w:rPr>
        <w:t>Value Line</w:t>
      </w:r>
      <w:r>
        <w:rPr>
          <w:szCs w:val="24"/>
        </w:rPr>
        <w:t>’</w:t>
      </w:r>
      <w:r w:rsidRPr="00261AAB">
        <w:rPr>
          <w:szCs w:val="24"/>
        </w:rPr>
        <w:t xml:space="preserve">s beta adjustment is that it flattens the security market line in the same way that the ECAPM does.  Consequently, </w:t>
      </w:r>
      <w:r w:rsidRPr="00261AAB">
        <w:rPr>
          <w:i/>
          <w:szCs w:val="24"/>
        </w:rPr>
        <w:t>Value Line</w:t>
      </w:r>
      <w:r>
        <w:rPr>
          <w:szCs w:val="24"/>
        </w:rPr>
        <w:t>’</w:t>
      </w:r>
      <w:r w:rsidRPr="00261AAB">
        <w:rPr>
          <w:szCs w:val="24"/>
        </w:rPr>
        <w:t xml:space="preserve">s beta adjustment formula accomplishes the same thing as the ECAPM analysis.  Hence, the use of </w:t>
      </w:r>
      <w:r w:rsidRPr="00261AAB">
        <w:rPr>
          <w:i/>
          <w:szCs w:val="24"/>
        </w:rPr>
        <w:t>Value Line</w:t>
      </w:r>
      <w:r w:rsidRPr="00261AAB">
        <w:rPr>
          <w:szCs w:val="24"/>
        </w:rPr>
        <w:t xml:space="preserve"> adjusted betas in an ECAPM double-counts this return adjustment.  Indeed, comparison is made of the implied ECAPM beta estimate, versus traditional </w:t>
      </w:r>
      <w:r w:rsidRPr="00261AAB">
        <w:rPr>
          <w:i/>
          <w:szCs w:val="24"/>
        </w:rPr>
        <w:t>Value Line</w:t>
      </w:r>
      <w:r w:rsidRPr="00261AAB">
        <w:rPr>
          <w:szCs w:val="24"/>
        </w:rPr>
        <w:t xml:space="preserve"> beta estimates </w:t>
      </w:r>
      <w:r>
        <w:rPr>
          <w:szCs w:val="24"/>
        </w:rPr>
        <w:t>as follows:</w:t>
      </w:r>
    </w:p>
    <w:p w:rsidR="00F23557" w:rsidRDefault="00F23557" w:rsidP="00F23557">
      <w:pPr>
        <w:tabs>
          <w:tab w:val="left" w:pos="-1440"/>
          <w:tab w:val="left" w:pos="1080"/>
        </w:tabs>
        <w:spacing w:after="0" w:line="480" w:lineRule="auto"/>
        <w:ind w:left="720" w:hanging="720"/>
        <w:jc w:val="center"/>
        <w:rPr>
          <w:szCs w:val="24"/>
        </w:rPr>
      </w:pPr>
      <w:r>
        <w:rPr>
          <w:szCs w:val="24"/>
        </w:rPr>
        <w:t xml:space="preserve">CAPM (VL) = </w:t>
      </w:r>
      <w:proofErr w:type="gramStart"/>
      <w:r>
        <w:rPr>
          <w:szCs w:val="24"/>
        </w:rPr>
        <w:t>Rf</w:t>
      </w:r>
      <w:proofErr w:type="gramEnd"/>
      <w:r>
        <w:rPr>
          <w:szCs w:val="24"/>
        </w:rPr>
        <w:t xml:space="preserve"> + (.35 + .67 Br) * MRP</w:t>
      </w:r>
    </w:p>
    <w:p w:rsidR="00F23557" w:rsidRPr="00261AAB" w:rsidRDefault="00F23557" w:rsidP="00F23557">
      <w:pPr>
        <w:tabs>
          <w:tab w:val="left" w:pos="-1440"/>
          <w:tab w:val="left" w:pos="1080"/>
        </w:tabs>
        <w:spacing w:after="0" w:line="480" w:lineRule="auto"/>
        <w:ind w:left="720" w:hanging="720"/>
        <w:jc w:val="center"/>
        <w:rPr>
          <w:szCs w:val="24"/>
        </w:rPr>
      </w:pPr>
      <w:r>
        <w:rPr>
          <w:szCs w:val="24"/>
        </w:rPr>
        <w:t xml:space="preserve">CAPM (Empirical) = </w:t>
      </w:r>
      <w:proofErr w:type="gramStart"/>
      <w:r>
        <w:rPr>
          <w:szCs w:val="24"/>
        </w:rPr>
        <w:t>Rf</w:t>
      </w:r>
      <w:proofErr w:type="gramEnd"/>
      <w:r>
        <w:rPr>
          <w:szCs w:val="24"/>
        </w:rPr>
        <w:t xml:space="preserve"> + (.25 + .75 Br) * MRP</w:t>
      </w:r>
    </w:p>
    <w:p w:rsidR="00F23557" w:rsidRDefault="00F23557" w:rsidP="00F23557">
      <w:pPr>
        <w:tabs>
          <w:tab w:val="left" w:pos="-1440"/>
          <w:tab w:val="left" w:pos="1440"/>
        </w:tabs>
        <w:spacing w:after="0" w:line="480" w:lineRule="auto"/>
        <w:ind w:left="720" w:hanging="720"/>
        <w:jc w:val="both"/>
        <w:rPr>
          <w:szCs w:val="24"/>
        </w:rPr>
      </w:pPr>
      <w:r w:rsidRPr="00261AAB">
        <w:rPr>
          <w:szCs w:val="24"/>
        </w:rPr>
        <w:tab/>
      </w:r>
      <w:r w:rsidRPr="00261AAB">
        <w:rPr>
          <w:szCs w:val="24"/>
        </w:rPr>
        <w:tab/>
      </w:r>
      <w:r>
        <w:rPr>
          <w:szCs w:val="24"/>
        </w:rPr>
        <w:t>Mr. McKenzie’</w:t>
      </w:r>
      <w:r w:rsidRPr="00261AAB">
        <w:rPr>
          <w:szCs w:val="24"/>
        </w:rPr>
        <w:t xml:space="preserve">s use of an adjusted beta </w:t>
      </w:r>
      <w:proofErr w:type="gramStart"/>
      <w:r w:rsidRPr="00261AAB">
        <w:rPr>
          <w:szCs w:val="24"/>
        </w:rPr>
        <w:t>in an ECAPM analysis double-counts</w:t>
      </w:r>
      <w:proofErr w:type="gramEnd"/>
      <w:r w:rsidRPr="00261AAB">
        <w:rPr>
          <w:szCs w:val="24"/>
        </w:rPr>
        <w:t xml:space="preserve"> the increase to a CAPM return estimate for utility betas less than 1.  </w:t>
      </w:r>
    </w:p>
    <w:p w:rsidR="00F23557" w:rsidRPr="00261AAB" w:rsidRDefault="00F23557" w:rsidP="00F23557">
      <w:pPr>
        <w:tabs>
          <w:tab w:val="left" w:pos="-1440"/>
          <w:tab w:val="left" w:pos="1440"/>
        </w:tabs>
        <w:spacing w:after="0" w:line="480" w:lineRule="auto"/>
        <w:ind w:left="720" w:hanging="720"/>
        <w:jc w:val="center"/>
        <w:rPr>
          <w:szCs w:val="24"/>
        </w:rPr>
      </w:pPr>
      <w:r>
        <w:rPr>
          <w:szCs w:val="24"/>
        </w:rPr>
        <w:t xml:space="preserve">ECAPM (McKenzie) = </w:t>
      </w:r>
      <w:proofErr w:type="gramStart"/>
      <w:r>
        <w:rPr>
          <w:szCs w:val="24"/>
        </w:rPr>
        <w:t>Rf</w:t>
      </w:r>
      <w:proofErr w:type="gramEnd"/>
      <w:r>
        <w:rPr>
          <w:szCs w:val="24"/>
        </w:rPr>
        <w:t xml:space="preserve"> + 0.25 + [0.75 * (0.35 + 0.67 Br)] * MRP</w:t>
      </w:r>
    </w:p>
    <w:p w:rsidR="00F23557" w:rsidRPr="00261AAB" w:rsidRDefault="00F23557" w:rsidP="00F23557">
      <w:pPr>
        <w:tabs>
          <w:tab w:val="left" w:pos="-1440"/>
          <w:tab w:val="left" w:pos="1440"/>
        </w:tabs>
        <w:spacing w:after="0" w:line="480" w:lineRule="auto"/>
        <w:ind w:left="720" w:hanging="720"/>
        <w:jc w:val="both"/>
        <w:rPr>
          <w:szCs w:val="24"/>
        </w:rPr>
      </w:pPr>
      <w:r w:rsidRPr="00261AAB">
        <w:rPr>
          <w:szCs w:val="24"/>
        </w:rPr>
        <w:tab/>
      </w:r>
      <w:r w:rsidRPr="00261AAB">
        <w:rPr>
          <w:szCs w:val="24"/>
        </w:rPr>
        <w:tab/>
        <w:t xml:space="preserve">I am unaware of any </w:t>
      </w:r>
      <w:r>
        <w:rPr>
          <w:szCs w:val="24"/>
        </w:rPr>
        <w:t xml:space="preserve">peer-reviewed </w:t>
      </w:r>
      <w:r w:rsidRPr="00261AAB">
        <w:rPr>
          <w:szCs w:val="24"/>
        </w:rPr>
        <w:t xml:space="preserve">academic support for use of an adjusted beta in an ECAPM analysis.  Consequently, </w:t>
      </w:r>
      <w:r>
        <w:rPr>
          <w:szCs w:val="24"/>
        </w:rPr>
        <w:t>Mr. McKenzie’</w:t>
      </w:r>
      <w:r w:rsidRPr="00261AAB">
        <w:rPr>
          <w:szCs w:val="24"/>
        </w:rPr>
        <w:t>s application of an ECAPM analysis with an adjusted beta distorts and erroneously increases the CAPM return estimate for his utility proxy group</w:t>
      </w:r>
      <w:proofErr w:type="gramStart"/>
      <w:r w:rsidRPr="00261AAB">
        <w:rPr>
          <w:szCs w:val="24"/>
        </w:rPr>
        <w:t xml:space="preserve">. </w:t>
      </w:r>
      <w:proofErr w:type="gramEnd"/>
      <w:r>
        <w:rPr>
          <w:szCs w:val="24"/>
        </w:rPr>
        <w:t>As a result, his ECAPM analysis is flawed, and should be rejected.</w:t>
      </w:r>
      <w:r w:rsidRPr="00261AAB">
        <w:rPr>
          <w:szCs w:val="24"/>
        </w:rPr>
        <w:t xml:space="preserve"> </w:t>
      </w:r>
    </w:p>
    <w:p w:rsidR="00F23557" w:rsidRPr="00654123" w:rsidRDefault="00F23557" w:rsidP="00F23557">
      <w:pPr>
        <w:tabs>
          <w:tab w:val="left" w:pos="1440"/>
        </w:tabs>
        <w:ind w:left="720" w:hanging="720"/>
        <w:jc w:val="both"/>
        <w:rPr>
          <w:b/>
        </w:rPr>
      </w:pPr>
      <w:r w:rsidRPr="00272985">
        <w:rPr>
          <w:b/>
        </w:rPr>
        <w:lastRenderedPageBreak/>
        <w:t>Q.</w:t>
      </w:r>
      <w:r w:rsidRPr="00272985">
        <w:rPr>
          <w:b/>
        </w:rPr>
        <w:tab/>
      </w:r>
      <w:r w:rsidRPr="00654123">
        <w:rPr>
          <w:b/>
        </w:rPr>
        <w:t>IS MR. MCKENZIE</w:t>
      </w:r>
      <w:r>
        <w:rPr>
          <w:b/>
        </w:rPr>
        <w:t>’</w:t>
      </w:r>
      <w:r w:rsidRPr="00654123">
        <w:rPr>
          <w:b/>
        </w:rPr>
        <w:t>S PROPOSAL TO INCREASE HIS CAPM RETURN ESTIMATE BY APPROXIMATELY A 1.</w:t>
      </w:r>
      <w:r>
        <w:rPr>
          <w:b/>
        </w:rPr>
        <w:t>0</w:t>
      </w:r>
      <w:r w:rsidRPr="00654123">
        <w:rPr>
          <w:b/>
        </w:rPr>
        <w:t>% SIZE ADJUSTMENT RETURN ADDER APPROPRIATE?</w:t>
      </w:r>
    </w:p>
    <w:p w:rsidR="00F23557" w:rsidRPr="00261AAB" w:rsidRDefault="00F23557" w:rsidP="00F23557">
      <w:pPr>
        <w:tabs>
          <w:tab w:val="left" w:pos="-1440"/>
          <w:tab w:val="left" w:pos="1440"/>
        </w:tabs>
        <w:spacing w:after="0" w:line="480" w:lineRule="auto"/>
        <w:ind w:left="720" w:hanging="720"/>
        <w:jc w:val="both"/>
        <w:rPr>
          <w:szCs w:val="24"/>
        </w:rPr>
      </w:pPr>
      <w:r w:rsidRPr="00272985">
        <w:rPr>
          <w:b/>
          <w:szCs w:val="24"/>
        </w:rPr>
        <w:t>A.</w:t>
      </w:r>
      <w:r w:rsidRPr="00272985">
        <w:rPr>
          <w:b/>
          <w:szCs w:val="24"/>
        </w:rPr>
        <w:tab/>
      </w:r>
      <w:r w:rsidRPr="00261AAB">
        <w:rPr>
          <w:szCs w:val="24"/>
        </w:rPr>
        <w:t xml:space="preserve">No.  </w:t>
      </w:r>
      <w:r>
        <w:rPr>
          <w:szCs w:val="24"/>
        </w:rPr>
        <w:t>Mr. McKenzie’</w:t>
      </w:r>
      <w:r w:rsidRPr="00261AAB">
        <w:rPr>
          <w:szCs w:val="24"/>
        </w:rPr>
        <w:t>s size adjustment return on equity adder is based on estimates made by Morningstar</w:t>
      </w:r>
      <w:r>
        <w:rPr>
          <w:szCs w:val="24"/>
        </w:rPr>
        <w:t xml:space="preserve">’s </w:t>
      </w:r>
      <w:r w:rsidRPr="00D9126A">
        <w:rPr>
          <w:i/>
          <w:szCs w:val="24"/>
        </w:rPr>
        <w:t>2015 Ibbotson SBBI Market Report</w:t>
      </w:r>
      <w:r>
        <w:rPr>
          <w:szCs w:val="24"/>
        </w:rPr>
        <w:t xml:space="preserve">.  </w:t>
      </w:r>
      <w:r w:rsidRPr="00261AAB">
        <w:rPr>
          <w:szCs w:val="24"/>
        </w:rPr>
        <w:t xml:space="preserve">Morningstar estimates various size adjustments based on differentials in beta estimates tied to the size of a company.  There are two problems with this size adjustment.  First, the size adjustment, as applied by </w:t>
      </w:r>
      <w:r>
        <w:rPr>
          <w:szCs w:val="24"/>
        </w:rPr>
        <w:t>Mr. McKenzie</w:t>
      </w:r>
      <w:r w:rsidRPr="00261AAB">
        <w:rPr>
          <w:szCs w:val="24"/>
        </w:rPr>
        <w:t xml:space="preserve">, is not risk comparable for </w:t>
      </w:r>
      <w:r>
        <w:rPr>
          <w:szCs w:val="24"/>
        </w:rPr>
        <w:t>Avista</w:t>
      </w:r>
      <w:r w:rsidRPr="00261AAB">
        <w:rPr>
          <w:szCs w:val="24"/>
        </w:rPr>
        <w:t xml:space="preserve">.  Second, </w:t>
      </w:r>
      <w:r>
        <w:rPr>
          <w:szCs w:val="24"/>
        </w:rPr>
        <w:t>Mr. McKenzie</w:t>
      </w:r>
      <w:r w:rsidRPr="00261AAB">
        <w:rPr>
          <w:szCs w:val="24"/>
        </w:rPr>
        <w:t xml:space="preserve"> did not fully apply </w:t>
      </w:r>
      <w:r>
        <w:rPr>
          <w:szCs w:val="24"/>
        </w:rPr>
        <w:t>the</w:t>
      </w:r>
      <w:r w:rsidRPr="00261AAB">
        <w:rPr>
          <w:szCs w:val="24"/>
        </w:rPr>
        <w:t xml:space="preserve"> buildup methodology.  Morningstar</w:t>
      </w:r>
      <w:r>
        <w:rPr>
          <w:szCs w:val="24"/>
        </w:rPr>
        <w:t>’</w:t>
      </w:r>
      <w:r w:rsidRPr="00261AAB">
        <w:rPr>
          <w:szCs w:val="24"/>
        </w:rPr>
        <w:t>s buildup methodology</w:t>
      </w:r>
      <w:r>
        <w:rPr>
          <w:szCs w:val="24"/>
        </w:rPr>
        <w:t>, now published in the Duff &amp; Phelps Valuation Handbook,</w:t>
      </w:r>
      <w:r w:rsidRPr="00261AAB">
        <w:rPr>
          <w:szCs w:val="24"/>
        </w:rPr>
        <w:t xml:space="preserve"> includes many external adjustments including:  (1) a size adjustment as recognized by </w:t>
      </w:r>
      <w:r>
        <w:rPr>
          <w:szCs w:val="24"/>
        </w:rPr>
        <w:t>Mr. McKenzie</w:t>
      </w:r>
      <w:r w:rsidRPr="00261AAB">
        <w:rPr>
          <w:szCs w:val="24"/>
        </w:rPr>
        <w:t xml:space="preserve">, and (2) also an industry risk premium adjustment to reflect the unique risk characteristics of the industry the company operates within.  </w:t>
      </w:r>
      <w:r>
        <w:rPr>
          <w:szCs w:val="24"/>
        </w:rPr>
        <w:t>Mr. McKenzie</w:t>
      </w:r>
      <w:r w:rsidRPr="00261AAB">
        <w:rPr>
          <w:szCs w:val="24"/>
        </w:rPr>
        <w:t xml:space="preserve"> ignored the industry risk premium factor recommended by Morningstar in its CAPM build-up methodology.</w:t>
      </w:r>
      <w:r>
        <w:rPr>
          <w:szCs w:val="24"/>
        </w:rPr>
        <w:t xml:space="preserve">  Rather than recognizing all relevant adjustments provided by Morningstar, Mr. McKenzie cherry-picked the size adjustment to increase the results.</w:t>
      </w:r>
    </w:p>
    <w:p w:rsidR="00F23557" w:rsidRPr="00654123" w:rsidRDefault="00F23557" w:rsidP="00F23557">
      <w:pPr>
        <w:tabs>
          <w:tab w:val="left" w:pos="1440"/>
        </w:tabs>
        <w:ind w:left="720" w:hanging="720"/>
        <w:jc w:val="both"/>
        <w:rPr>
          <w:b/>
        </w:rPr>
      </w:pPr>
      <w:proofErr w:type="gramStart"/>
      <w:r w:rsidRPr="00272985">
        <w:rPr>
          <w:b/>
        </w:rPr>
        <w:t>Q.</w:t>
      </w:r>
      <w:r w:rsidRPr="00272985">
        <w:rPr>
          <w:b/>
        </w:rPr>
        <w:tab/>
      </w:r>
      <w:r w:rsidRPr="00654123">
        <w:rPr>
          <w:b/>
        </w:rPr>
        <w:t>WHY IS MR. MCKENZIE</w:t>
      </w:r>
      <w:r>
        <w:rPr>
          <w:b/>
        </w:rPr>
        <w:t>’</w:t>
      </w:r>
      <w:r w:rsidRPr="00654123">
        <w:rPr>
          <w:b/>
        </w:rPr>
        <w:t xml:space="preserve">S SIZE ADJUSTMENT TO HIS </w:t>
      </w:r>
      <w:r>
        <w:rPr>
          <w:b/>
        </w:rPr>
        <w:t>E</w:t>
      </w:r>
      <w:r w:rsidRPr="00654123">
        <w:rPr>
          <w:b/>
        </w:rPr>
        <w:t>CAPM RETURN</w:t>
      </w:r>
      <w:proofErr w:type="gramEnd"/>
      <w:r w:rsidRPr="00654123">
        <w:rPr>
          <w:b/>
        </w:rPr>
        <w:t xml:space="preserve"> NOT RISK COMPARABLE TO </w:t>
      </w:r>
      <w:r w:rsidRPr="00B13495">
        <w:rPr>
          <w:b/>
        </w:rPr>
        <w:t>AVISTA</w:t>
      </w:r>
      <w:r w:rsidRPr="00654123">
        <w:rPr>
          <w:b/>
        </w:rPr>
        <w:t>?</w:t>
      </w:r>
    </w:p>
    <w:p w:rsidR="00F23557" w:rsidRPr="00261AAB" w:rsidRDefault="00F23557" w:rsidP="00F23557">
      <w:pPr>
        <w:tabs>
          <w:tab w:val="left" w:pos="-1440"/>
          <w:tab w:val="left" w:pos="1440"/>
        </w:tabs>
        <w:spacing w:after="0" w:line="480" w:lineRule="auto"/>
        <w:ind w:left="720" w:hanging="720"/>
        <w:jc w:val="both"/>
        <w:rPr>
          <w:szCs w:val="24"/>
        </w:rPr>
      </w:pPr>
      <w:r w:rsidRPr="00272985">
        <w:rPr>
          <w:b/>
          <w:szCs w:val="24"/>
        </w:rPr>
        <w:t>A.</w:t>
      </w:r>
      <w:r w:rsidRPr="00272985">
        <w:rPr>
          <w:b/>
          <w:szCs w:val="24"/>
        </w:rPr>
        <w:tab/>
      </w:r>
      <w:r w:rsidRPr="00261AAB">
        <w:rPr>
          <w:szCs w:val="24"/>
        </w:rPr>
        <w:t xml:space="preserve">His size adjustment reflects risks that are not reflective of </w:t>
      </w:r>
      <w:r>
        <w:rPr>
          <w:szCs w:val="24"/>
        </w:rPr>
        <w:t>Avista</w:t>
      </w:r>
      <w:r w:rsidRPr="00261AAB">
        <w:rPr>
          <w:szCs w:val="24"/>
        </w:rPr>
        <w:t xml:space="preserve">.  The size adjustment recommended by </w:t>
      </w:r>
      <w:r>
        <w:rPr>
          <w:szCs w:val="24"/>
        </w:rPr>
        <w:t>Mr. McKenzie</w:t>
      </w:r>
      <w:r w:rsidRPr="00261AAB">
        <w:rPr>
          <w:szCs w:val="24"/>
        </w:rPr>
        <w:t xml:space="preserve"> reflects companies that have beta estimates in excess of 1.00.</w:t>
      </w:r>
      <w:r w:rsidRPr="0047347A">
        <w:rPr>
          <w:szCs w:val="24"/>
          <w:u w:val="single"/>
          <w:vertAlign w:val="superscript"/>
        </w:rPr>
        <w:footnoteReference w:id="42"/>
      </w:r>
      <w:proofErr w:type="gramStart"/>
      <w:r w:rsidRPr="0047347A">
        <w:rPr>
          <w:szCs w:val="24"/>
          <w:vertAlign w:val="superscript"/>
        </w:rPr>
        <w:t>/</w:t>
      </w:r>
      <w:r w:rsidRPr="00261AAB">
        <w:rPr>
          <w:szCs w:val="24"/>
        </w:rPr>
        <w:t xml:space="preserve">  These</w:t>
      </w:r>
      <w:proofErr w:type="gramEnd"/>
      <w:r w:rsidRPr="00261AAB">
        <w:rPr>
          <w:szCs w:val="24"/>
        </w:rPr>
        <w:t xml:space="preserve"> beta estimates are substantially higher than the average beta </w:t>
      </w:r>
      <w:bookmarkStart w:id="336" w:name="_BPDCI13"/>
      <w:r>
        <w:rPr>
          <w:szCs w:val="24"/>
        </w:rPr>
        <w:t xml:space="preserve">of 0.79 for the </w:t>
      </w:r>
      <w:bookmarkEnd w:id="336"/>
      <w:r>
        <w:rPr>
          <w:szCs w:val="24"/>
        </w:rPr>
        <w:t>utility p</w:t>
      </w:r>
      <w:r w:rsidRPr="00261AAB">
        <w:rPr>
          <w:szCs w:val="24"/>
        </w:rPr>
        <w:t xml:space="preserve">roxy </w:t>
      </w:r>
      <w:r>
        <w:rPr>
          <w:szCs w:val="24"/>
        </w:rPr>
        <w:t>g</w:t>
      </w:r>
      <w:r w:rsidRPr="00261AAB">
        <w:rPr>
          <w:szCs w:val="24"/>
        </w:rPr>
        <w:t>roup</w:t>
      </w:r>
      <w:r>
        <w:rPr>
          <w:szCs w:val="24"/>
        </w:rPr>
        <w:t xml:space="preserve"> </w:t>
      </w:r>
      <w:r w:rsidRPr="00261AAB">
        <w:rPr>
          <w:szCs w:val="24"/>
        </w:rPr>
        <w:t xml:space="preserve">used </w:t>
      </w:r>
      <w:bookmarkStart w:id="337" w:name="_BPDCI10"/>
      <w:r w:rsidRPr="00261AAB">
        <w:rPr>
          <w:szCs w:val="24"/>
        </w:rPr>
        <w:t xml:space="preserve">by </w:t>
      </w:r>
      <w:r>
        <w:rPr>
          <w:szCs w:val="24"/>
        </w:rPr>
        <w:t>Mr. McKenzie</w:t>
      </w:r>
      <w:r w:rsidRPr="00261AAB">
        <w:rPr>
          <w:szCs w:val="24"/>
        </w:rPr>
        <w:t xml:space="preserve"> as reflective of </w:t>
      </w:r>
      <w:r>
        <w:rPr>
          <w:szCs w:val="24"/>
        </w:rPr>
        <w:t>Avista’</w:t>
      </w:r>
      <w:r w:rsidRPr="00261AAB">
        <w:rPr>
          <w:szCs w:val="24"/>
        </w:rPr>
        <w:t xml:space="preserve">s investment risk.  Therefore, his size adjustment </w:t>
      </w:r>
      <w:bookmarkEnd w:id="337"/>
      <w:r w:rsidRPr="00261AAB">
        <w:rPr>
          <w:szCs w:val="24"/>
        </w:rPr>
        <w:t xml:space="preserve">produces a CAPM return estimate </w:t>
      </w:r>
      <w:bookmarkStart w:id="338" w:name="_BPDCI8"/>
      <w:r w:rsidRPr="00261AAB">
        <w:rPr>
          <w:szCs w:val="24"/>
        </w:rPr>
        <w:t xml:space="preserve">that </w:t>
      </w:r>
      <w:bookmarkEnd w:id="338"/>
      <w:r w:rsidRPr="00261AAB">
        <w:rPr>
          <w:szCs w:val="24"/>
        </w:rPr>
        <w:t xml:space="preserve">does not </w:t>
      </w:r>
      <w:r w:rsidRPr="00261AAB">
        <w:rPr>
          <w:szCs w:val="24"/>
        </w:rPr>
        <w:lastRenderedPageBreak/>
        <w:t xml:space="preserve">produce a risk appropriate return for </w:t>
      </w:r>
      <w:r>
        <w:rPr>
          <w:szCs w:val="24"/>
        </w:rPr>
        <w:t>Avista</w:t>
      </w:r>
      <w:r w:rsidRPr="00261AAB">
        <w:rPr>
          <w:szCs w:val="24"/>
        </w:rPr>
        <w:t xml:space="preserve"> and therefore, is not a reasonable and fair return for </w:t>
      </w:r>
      <w:r>
        <w:rPr>
          <w:szCs w:val="24"/>
        </w:rPr>
        <w:t>Avista</w:t>
      </w:r>
      <w:r w:rsidRPr="00261AAB">
        <w:rPr>
          <w:szCs w:val="24"/>
        </w:rPr>
        <w:t>.</w:t>
      </w:r>
    </w:p>
    <w:p w:rsidR="00F23557" w:rsidRPr="00654123" w:rsidRDefault="00F23557" w:rsidP="00F23557">
      <w:pPr>
        <w:tabs>
          <w:tab w:val="left" w:pos="1440"/>
        </w:tabs>
        <w:ind w:left="720" w:hanging="720"/>
        <w:jc w:val="both"/>
        <w:rPr>
          <w:b/>
        </w:rPr>
      </w:pPr>
      <w:r w:rsidRPr="00272985">
        <w:rPr>
          <w:b/>
        </w:rPr>
        <w:t>Q.</w:t>
      </w:r>
      <w:r w:rsidRPr="00272985">
        <w:rPr>
          <w:b/>
        </w:rPr>
        <w:tab/>
      </w:r>
      <w:r w:rsidRPr="00654123">
        <w:rPr>
          <w:b/>
        </w:rPr>
        <w:t>PLEASE DESCRIBE WHY MR. MCKENZIE</w:t>
      </w:r>
      <w:r>
        <w:rPr>
          <w:b/>
        </w:rPr>
        <w:t>’</w:t>
      </w:r>
      <w:r w:rsidRPr="00654123">
        <w:rPr>
          <w:b/>
        </w:rPr>
        <w:t xml:space="preserve">S PROPOSED SIZE ADJUSTMENT IS AN INCOMPLETE APPLICATION OF </w:t>
      </w:r>
      <w:r>
        <w:rPr>
          <w:b/>
        </w:rPr>
        <w:t xml:space="preserve">THE </w:t>
      </w:r>
      <w:r w:rsidRPr="00654123">
        <w:rPr>
          <w:b/>
        </w:rPr>
        <w:t>BUILD-UP METHODOLOGY.</w:t>
      </w:r>
    </w:p>
    <w:p w:rsidR="00F23557" w:rsidRPr="00261AAB" w:rsidRDefault="00F23557" w:rsidP="00F23557">
      <w:pPr>
        <w:tabs>
          <w:tab w:val="left" w:pos="-1440"/>
          <w:tab w:val="left" w:pos="1440"/>
        </w:tabs>
        <w:spacing w:after="0" w:line="480" w:lineRule="auto"/>
        <w:ind w:left="720" w:hanging="720"/>
        <w:jc w:val="both"/>
        <w:rPr>
          <w:szCs w:val="24"/>
        </w:rPr>
      </w:pPr>
      <w:r w:rsidRPr="00272985">
        <w:rPr>
          <w:b/>
          <w:szCs w:val="24"/>
        </w:rPr>
        <w:t>A.</w:t>
      </w:r>
      <w:r w:rsidRPr="00272985">
        <w:rPr>
          <w:b/>
          <w:szCs w:val="24"/>
        </w:rPr>
        <w:tab/>
      </w:r>
      <w:r w:rsidRPr="00261AAB">
        <w:rPr>
          <w:szCs w:val="24"/>
        </w:rPr>
        <w:t>Ibbotson Associates</w:t>
      </w:r>
      <w:r>
        <w:rPr>
          <w:szCs w:val="24"/>
        </w:rPr>
        <w:t>’</w:t>
      </w:r>
      <w:r w:rsidRPr="00261AAB">
        <w:rPr>
          <w:szCs w:val="24"/>
        </w:rPr>
        <w:t xml:space="preserve"> </w:t>
      </w:r>
      <w:r>
        <w:rPr>
          <w:szCs w:val="24"/>
        </w:rPr>
        <w:t>and Duff &amp; Phelps’</w:t>
      </w:r>
      <w:r w:rsidRPr="00261AAB">
        <w:rPr>
          <w:szCs w:val="24"/>
        </w:rPr>
        <w:t xml:space="preserve"> build-up methodology includes adjustments to the </w:t>
      </w:r>
      <w:r w:rsidRPr="00667BC6">
        <w:rPr>
          <w:szCs w:val="24"/>
          <w:u w:val="single"/>
        </w:rPr>
        <w:t>raw</w:t>
      </w:r>
      <w:r w:rsidRPr="00261AAB">
        <w:rPr>
          <w:szCs w:val="24"/>
        </w:rPr>
        <w:t xml:space="preserve"> CAPM estimate for both size and industry risk differentials.  </w:t>
      </w:r>
      <w:r>
        <w:rPr>
          <w:szCs w:val="24"/>
        </w:rPr>
        <w:t>Mr. McKenzie</w:t>
      </w:r>
      <w:r w:rsidRPr="00261AAB">
        <w:rPr>
          <w:szCs w:val="24"/>
        </w:rPr>
        <w:t xml:space="preserve"> only included the size adjustment.  However, failing to reflect the reduced risk associated with the regulated utility industry result</w:t>
      </w:r>
      <w:r>
        <w:rPr>
          <w:szCs w:val="24"/>
        </w:rPr>
        <w:t>s</w:t>
      </w:r>
      <w:r w:rsidRPr="00261AAB">
        <w:rPr>
          <w:szCs w:val="24"/>
        </w:rPr>
        <w:t xml:space="preserve"> in a significant overstatement of a fair CAPM return estimate for </w:t>
      </w:r>
      <w:r>
        <w:rPr>
          <w:szCs w:val="24"/>
        </w:rPr>
        <w:t>Avista</w:t>
      </w:r>
      <w:r w:rsidRPr="00261AAB">
        <w:rPr>
          <w:szCs w:val="24"/>
        </w:rPr>
        <w:t>.</w:t>
      </w:r>
    </w:p>
    <w:p w:rsidR="00F23557" w:rsidRPr="00261AAB" w:rsidRDefault="00F23557" w:rsidP="00F23557">
      <w:pPr>
        <w:tabs>
          <w:tab w:val="left" w:pos="-1440"/>
          <w:tab w:val="left" w:pos="1440"/>
        </w:tabs>
        <w:spacing w:after="0" w:line="480" w:lineRule="auto"/>
        <w:ind w:left="720" w:hanging="720"/>
        <w:jc w:val="both"/>
        <w:rPr>
          <w:szCs w:val="24"/>
        </w:rPr>
      </w:pPr>
      <w:r w:rsidRPr="00261AAB">
        <w:rPr>
          <w:szCs w:val="24"/>
        </w:rPr>
        <w:tab/>
      </w:r>
      <w:r w:rsidRPr="00261AAB">
        <w:rPr>
          <w:szCs w:val="24"/>
        </w:rPr>
        <w:tab/>
        <w:t xml:space="preserve">Specifically, </w:t>
      </w:r>
      <w:r>
        <w:rPr>
          <w:szCs w:val="24"/>
        </w:rPr>
        <w:t>Mr. McKenzie</w:t>
      </w:r>
      <w:r w:rsidRPr="00261AAB">
        <w:rPr>
          <w:szCs w:val="24"/>
        </w:rPr>
        <w:t xml:space="preserve"> estimates a size adjustment that is appropriate for </w:t>
      </w:r>
      <w:r>
        <w:rPr>
          <w:szCs w:val="24"/>
        </w:rPr>
        <w:t>Avista</w:t>
      </w:r>
      <w:r w:rsidRPr="00261AAB">
        <w:rPr>
          <w:szCs w:val="24"/>
        </w:rPr>
        <w:t xml:space="preserve"> of a</w:t>
      </w:r>
      <w:r>
        <w:rPr>
          <w:szCs w:val="24"/>
        </w:rPr>
        <w:t>n</w:t>
      </w:r>
      <w:r w:rsidRPr="00261AAB">
        <w:rPr>
          <w:szCs w:val="24"/>
        </w:rPr>
        <w:t xml:space="preserve"> </w:t>
      </w:r>
      <w:r>
        <w:rPr>
          <w:szCs w:val="24"/>
        </w:rPr>
        <w:t>E</w:t>
      </w:r>
      <w:r w:rsidRPr="00261AAB">
        <w:rPr>
          <w:szCs w:val="24"/>
        </w:rPr>
        <w:t xml:space="preserve">CAPM return adder of </w:t>
      </w:r>
      <w:r>
        <w:rPr>
          <w:szCs w:val="24"/>
        </w:rPr>
        <w:t>approximately 1.0</w:t>
      </w:r>
      <w:r w:rsidRPr="00261AAB">
        <w:rPr>
          <w:szCs w:val="24"/>
        </w:rPr>
        <w:t xml:space="preserve">%.  However, the regulated </w:t>
      </w:r>
      <w:r>
        <w:rPr>
          <w:szCs w:val="24"/>
        </w:rPr>
        <w:t xml:space="preserve">utility </w:t>
      </w:r>
      <w:r w:rsidRPr="00261AAB">
        <w:rPr>
          <w:szCs w:val="24"/>
        </w:rPr>
        <w:t xml:space="preserve">industry </w:t>
      </w:r>
      <w:r>
        <w:rPr>
          <w:szCs w:val="24"/>
        </w:rPr>
        <w:t>risk premium</w:t>
      </w:r>
      <w:r w:rsidRPr="00261AAB">
        <w:rPr>
          <w:szCs w:val="24"/>
        </w:rPr>
        <w:t xml:space="preserve"> estimate advocated by Ibbotson Associates </w:t>
      </w:r>
      <w:r>
        <w:rPr>
          <w:szCs w:val="24"/>
        </w:rPr>
        <w:t xml:space="preserve">and Duff &amp; Phelps </w:t>
      </w:r>
      <w:r w:rsidRPr="00261AAB">
        <w:rPr>
          <w:szCs w:val="24"/>
        </w:rPr>
        <w:t xml:space="preserve">would be a reduction to the </w:t>
      </w:r>
      <w:r>
        <w:rPr>
          <w:szCs w:val="24"/>
        </w:rPr>
        <w:t xml:space="preserve">ECAPM and </w:t>
      </w:r>
      <w:r w:rsidRPr="00261AAB">
        <w:rPr>
          <w:szCs w:val="24"/>
        </w:rPr>
        <w:t xml:space="preserve">CAPM return estimate </w:t>
      </w:r>
      <w:r>
        <w:rPr>
          <w:szCs w:val="24"/>
        </w:rPr>
        <w:t>in the range of 4.1% to 5.8</w:t>
      </w:r>
      <w:r w:rsidRPr="00261AAB">
        <w:rPr>
          <w:szCs w:val="24"/>
        </w:rPr>
        <w:t>%.</w:t>
      </w:r>
      <w:r w:rsidRPr="0047347A">
        <w:rPr>
          <w:u w:val="single"/>
          <w:vertAlign w:val="superscript"/>
        </w:rPr>
        <w:footnoteReference w:id="43"/>
      </w:r>
      <w:proofErr w:type="gramStart"/>
      <w:r w:rsidRPr="0047347A">
        <w:rPr>
          <w:szCs w:val="24"/>
          <w:vertAlign w:val="superscript"/>
        </w:rPr>
        <w:t>/</w:t>
      </w:r>
      <w:r w:rsidRPr="00261AAB">
        <w:rPr>
          <w:szCs w:val="24"/>
        </w:rPr>
        <w:t xml:space="preserve">  As</w:t>
      </w:r>
      <w:proofErr w:type="gramEnd"/>
      <w:r w:rsidRPr="00261AAB">
        <w:rPr>
          <w:szCs w:val="24"/>
        </w:rPr>
        <w:t xml:space="preserve"> such, a balanced application of Ibbotson</w:t>
      </w:r>
      <w:r>
        <w:rPr>
          <w:szCs w:val="24"/>
        </w:rPr>
        <w:t>’</w:t>
      </w:r>
      <w:r w:rsidRPr="00261AAB">
        <w:rPr>
          <w:szCs w:val="24"/>
        </w:rPr>
        <w:t xml:space="preserve">s proposed CAPM build-up methodology would have a medium increase in the CAPM return estimate for a size adjustment, but a significant decrease in the CAPM return estimate to reflect the low-risk nature of the regulated utility industry.  </w:t>
      </w:r>
      <w:r>
        <w:rPr>
          <w:szCs w:val="24"/>
        </w:rPr>
        <w:t>Mr. McKenzie’</w:t>
      </w:r>
      <w:r w:rsidRPr="00261AAB">
        <w:rPr>
          <w:szCs w:val="24"/>
        </w:rPr>
        <w:t>s proposed size adjustment is imbalanced and inaccurate, without reflecting the return on equity reduction appropriate with low-risk regulated industries as proposed by Ibbotson.</w:t>
      </w:r>
    </w:p>
    <w:p w:rsidR="00F23557" w:rsidRPr="00654123" w:rsidRDefault="00F23557" w:rsidP="0082169D">
      <w:pPr>
        <w:keepNext/>
        <w:keepLines/>
        <w:tabs>
          <w:tab w:val="left" w:pos="1440"/>
        </w:tabs>
        <w:ind w:left="720" w:hanging="720"/>
        <w:jc w:val="both"/>
        <w:rPr>
          <w:b/>
        </w:rPr>
      </w:pPr>
      <w:r w:rsidRPr="00272985">
        <w:rPr>
          <w:b/>
        </w:rPr>
        <w:t>Q.</w:t>
      </w:r>
      <w:r w:rsidRPr="00272985">
        <w:rPr>
          <w:b/>
        </w:rPr>
        <w:tab/>
      </w:r>
      <w:r w:rsidRPr="00654123">
        <w:rPr>
          <w:b/>
        </w:rPr>
        <w:t>HOW WOULD MR. MCKENZIE</w:t>
      </w:r>
      <w:r>
        <w:rPr>
          <w:b/>
        </w:rPr>
        <w:t>’</w:t>
      </w:r>
      <w:r w:rsidRPr="00654123">
        <w:rPr>
          <w:b/>
        </w:rPr>
        <w:t xml:space="preserve">S CURRENT AND PROJECTED EMPIRICAL CAPM RETURN ESTIMATES CHANGE IF </w:t>
      </w:r>
      <w:r>
        <w:rPr>
          <w:b/>
        </w:rPr>
        <w:t xml:space="preserve">THE CORRECT BETA </w:t>
      </w:r>
      <w:r w:rsidRPr="00654123">
        <w:rPr>
          <w:b/>
        </w:rPr>
        <w:t>WERE USED?</w:t>
      </w:r>
    </w:p>
    <w:p w:rsidR="00F23557" w:rsidRPr="00261AAB" w:rsidRDefault="00F23557" w:rsidP="00F23557">
      <w:pPr>
        <w:tabs>
          <w:tab w:val="left" w:pos="-1440"/>
          <w:tab w:val="left" w:pos="1440"/>
        </w:tabs>
        <w:spacing w:after="0" w:line="480" w:lineRule="auto"/>
        <w:ind w:left="720" w:hanging="720"/>
        <w:jc w:val="both"/>
        <w:rPr>
          <w:szCs w:val="24"/>
        </w:rPr>
      </w:pPr>
      <w:r w:rsidRPr="00272985">
        <w:rPr>
          <w:b/>
          <w:szCs w:val="24"/>
        </w:rPr>
        <w:lastRenderedPageBreak/>
        <w:t>A.</w:t>
      </w:r>
      <w:r w:rsidRPr="00272985">
        <w:rPr>
          <w:b/>
          <w:szCs w:val="24"/>
        </w:rPr>
        <w:tab/>
      </w:r>
      <w:r w:rsidRPr="00261AAB">
        <w:rPr>
          <w:szCs w:val="24"/>
        </w:rPr>
        <w:t xml:space="preserve">Applying </w:t>
      </w:r>
      <w:r>
        <w:rPr>
          <w:szCs w:val="24"/>
        </w:rPr>
        <w:t>Mr. McKenzie’s average</w:t>
      </w:r>
      <w:r w:rsidRPr="00261AAB">
        <w:rPr>
          <w:szCs w:val="24"/>
        </w:rPr>
        <w:t xml:space="preserve"> market risk premium estimate of 7.</w:t>
      </w:r>
      <w:r>
        <w:rPr>
          <w:szCs w:val="24"/>
        </w:rPr>
        <w:t>6</w:t>
      </w:r>
      <w:r w:rsidRPr="00261AAB">
        <w:rPr>
          <w:szCs w:val="24"/>
        </w:rPr>
        <w:t xml:space="preserve">%, a </w:t>
      </w:r>
      <w:r w:rsidR="0028388E">
        <w:rPr>
          <w:szCs w:val="24"/>
        </w:rPr>
        <w:t>raw</w:t>
      </w:r>
      <w:r>
        <w:rPr>
          <w:szCs w:val="24"/>
        </w:rPr>
        <w:t xml:space="preserve"> </w:t>
      </w:r>
      <w:r w:rsidRPr="00261AAB">
        <w:rPr>
          <w:szCs w:val="24"/>
        </w:rPr>
        <w:t xml:space="preserve">beta of </w:t>
      </w:r>
      <w:proofErr w:type="gramStart"/>
      <w:r w:rsidRPr="00261AAB">
        <w:rPr>
          <w:szCs w:val="24"/>
        </w:rPr>
        <w:t>0.</w:t>
      </w:r>
      <w:r>
        <w:rPr>
          <w:szCs w:val="24"/>
        </w:rPr>
        <w:t>66,</w:t>
      </w:r>
      <w:proofErr w:type="gramEnd"/>
      <w:r w:rsidRPr="00261AAB">
        <w:rPr>
          <w:szCs w:val="24"/>
        </w:rPr>
        <w:t xml:space="preserve"> and using </w:t>
      </w:r>
      <w:r w:rsidRPr="00261AAB">
        <w:rPr>
          <w:i/>
          <w:szCs w:val="24"/>
        </w:rPr>
        <w:t>Blue Chip</w:t>
      </w:r>
      <w:r>
        <w:rPr>
          <w:szCs w:val="24"/>
        </w:rPr>
        <w:t>’</w:t>
      </w:r>
      <w:r w:rsidRPr="00261AAB">
        <w:rPr>
          <w:szCs w:val="24"/>
        </w:rPr>
        <w:t>s projected risk</w:t>
      </w:r>
      <w:r w:rsidRPr="00261AAB">
        <w:rPr>
          <w:szCs w:val="24"/>
        </w:rPr>
        <w:noBreakHyphen/>
        <w:t>free rate of 3.</w:t>
      </w:r>
      <w:r>
        <w:rPr>
          <w:szCs w:val="24"/>
        </w:rPr>
        <w:t>4</w:t>
      </w:r>
      <w:r w:rsidRPr="00261AAB">
        <w:rPr>
          <w:szCs w:val="24"/>
        </w:rPr>
        <w:t xml:space="preserve">% </w:t>
      </w:r>
      <w:r>
        <w:rPr>
          <w:szCs w:val="24"/>
        </w:rPr>
        <w:t>will produce an ECAPM return of 8.4</w:t>
      </w:r>
      <w:r w:rsidRPr="00261AAB">
        <w:rPr>
          <w:szCs w:val="24"/>
        </w:rPr>
        <w:t xml:space="preserve">%.  </w:t>
      </w:r>
    </w:p>
    <w:p w:rsidR="00F23557" w:rsidRDefault="00F23557" w:rsidP="00F23557">
      <w:pPr>
        <w:tabs>
          <w:tab w:val="left" w:pos="-1440"/>
          <w:tab w:val="left" w:pos="1440"/>
        </w:tabs>
        <w:spacing w:after="0" w:line="480" w:lineRule="auto"/>
        <w:ind w:left="720" w:hanging="720"/>
        <w:jc w:val="both"/>
        <w:rPr>
          <w:szCs w:val="24"/>
        </w:rPr>
      </w:pPr>
      <w:r w:rsidRPr="00261AAB">
        <w:rPr>
          <w:szCs w:val="24"/>
        </w:rPr>
        <w:tab/>
      </w:r>
      <w:r w:rsidRPr="00261AAB">
        <w:rPr>
          <w:szCs w:val="24"/>
        </w:rPr>
        <w:tab/>
        <w:t xml:space="preserve">Also, </w:t>
      </w:r>
      <w:r>
        <w:rPr>
          <w:szCs w:val="24"/>
        </w:rPr>
        <w:t xml:space="preserve">as shown in Table 9 below, </w:t>
      </w:r>
      <w:r w:rsidRPr="00261AAB">
        <w:rPr>
          <w:szCs w:val="24"/>
        </w:rPr>
        <w:t xml:space="preserve">reflecting </w:t>
      </w:r>
      <w:r>
        <w:rPr>
          <w:szCs w:val="24"/>
        </w:rPr>
        <w:t>all adjustments</w:t>
      </w:r>
      <w:r w:rsidRPr="00261AAB">
        <w:rPr>
          <w:szCs w:val="24"/>
        </w:rPr>
        <w:t xml:space="preserve"> complete </w:t>
      </w:r>
      <w:r>
        <w:rPr>
          <w:szCs w:val="24"/>
        </w:rPr>
        <w:t xml:space="preserve">the </w:t>
      </w:r>
      <w:r w:rsidRPr="00261AAB">
        <w:rPr>
          <w:szCs w:val="24"/>
        </w:rPr>
        <w:t>build</w:t>
      </w:r>
      <w:r>
        <w:rPr>
          <w:szCs w:val="24"/>
        </w:rPr>
        <w:t xml:space="preserve"> up</w:t>
      </w:r>
      <w:r w:rsidRPr="00261AAB">
        <w:rPr>
          <w:szCs w:val="24"/>
        </w:rPr>
        <w:t xml:space="preserve"> as recommended by Ibbotson </w:t>
      </w:r>
      <w:r>
        <w:rPr>
          <w:szCs w:val="24"/>
        </w:rPr>
        <w:t>and Duff &amp; Phelps</w:t>
      </w:r>
      <w:r w:rsidRPr="00261AAB">
        <w:rPr>
          <w:szCs w:val="24"/>
        </w:rPr>
        <w:t xml:space="preserve">, which includes the </w:t>
      </w:r>
      <w:r>
        <w:rPr>
          <w:szCs w:val="24"/>
        </w:rPr>
        <w:t>risk-free rate, an equity risk premium</w:t>
      </w:r>
      <w:r w:rsidRPr="00261AAB">
        <w:rPr>
          <w:szCs w:val="24"/>
        </w:rPr>
        <w:t xml:space="preserve">, a size adjustment and an industry risk premium, </w:t>
      </w:r>
      <w:r>
        <w:rPr>
          <w:szCs w:val="24"/>
        </w:rPr>
        <w:t>Mr. McKenzie’</w:t>
      </w:r>
      <w:r w:rsidRPr="00261AAB">
        <w:rPr>
          <w:szCs w:val="24"/>
        </w:rPr>
        <w:t xml:space="preserve">s size-adjusted </w:t>
      </w:r>
      <w:r>
        <w:rPr>
          <w:szCs w:val="24"/>
        </w:rPr>
        <w:t>E</w:t>
      </w:r>
      <w:r w:rsidRPr="00261AAB">
        <w:rPr>
          <w:szCs w:val="24"/>
        </w:rPr>
        <w:t xml:space="preserve">CAPM return estimates would decline from </w:t>
      </w:r>
      <w:r>
        <w:rPr>
          <w:szCs w:val="24"/>
        </w:rPr>
        <w:t>10.8</w:t>
      </w:r>
      <w:r w:rsidRPr="00261AAB">
        <w:rPr>
          <w:szCs w:val="24"/>
        </w:rPr>
        <w:t>% and 11.</w:t>
      </w:r>
      <w:r>
        <w:rPr>
          <w:szCs w:val="24"/>
        </w:rPr>
        <w:t>0</w:t>
      </w:r>
      <w:r w:rsidRPr="00261AAB">
        <w:rPr>
          <w:szCs w:val="24"/>
        </w:rPr>
        <w:t xml:space="preserve">% down to </w:t>
      </w:r>
      <w:r>
        <w:rPr>
          <w:szCs w:val="24"/>
        </w:rPr>
        <w:t>8.1</w:t>
      </w:r>
      <w:r w:rsidRPr="00261AAB">
        <w:rPr>
          <w:szCs w:val="24"/>
        </w:rPr>
        <w:t>%.</w:t>
      </w:r>
      <w:r>
        <w:rPr>
          <w:szCs w:val="24"/>
        </w:rPr>
        <w:t xml:space="preserve">  It should be noted that the market risk premium is not adjusted by beta in the completed build up model because the industry risk premium is already adjusted by a full-information beta.</w:t>
      </w:r>
    </w:p>
    <w:tbl>
      <w:tblPr>
        <w:tblStyle w:val="TableGrid"/>
        <w:tblW w:w="0" w:type="auto"/>
        <w:jc w:val="center"/>
        <w:tblBorders>
          <w:insideH w:val="none" w:sz="0" w:space="0" w:color="auto"/>
          <w:insideV w:val="none" w:sz="0" w:space="0" w:color="auto"/>
        </w:tblBorders>
        <w:tblLook w:val="04A0"/>
      </w:tblPr>
      <w:tblGrid>
        <w:gridCol w:w="2195"/>
        <w:gridCol w:w="1757"/>
        <w:gridCol w:w="1230"/>
      </w:tblGrid>
      <w:tr w:rsidR="00F23557" w:rsidTr="00E46164">
        <w:trPr>
          <w:jc w:val="center"/>
        </w:trPr>
        <w:tc>
          <w:tcPr>
            <w:tcW w:w="5182" w:type="dxa"/>
            <w:gridSpan w:val="3"/>
          </w:tcPr>
          <w:p w:rsidR="00F23557" w:rsidRDefault="00F23557" w:rsidP="00E46164">
            <w:pPr>
              <w:tabs>
                <w:tab w:val="left" w:pos="1080"/>
              </w:tabs>
              <w:spacing w:after="0"/>
              <w:jc w:val="center"/>
              <w:rPr>
                <w:b/>
              </w:rPr>
            </w:pPr>
          </w:p>
          <w:p w:rsidR="00F23557" w:rsidRDefault="00F23557" w:rsidP="00E46164">
            <w:pPr>
              <w:tabs>
                <w:tab w:val="left" w:pos="1080"/>
              </w:tabs>
              <w:spacing w:after="0"/>
              <w:jc w:val="center"/>
              <w:rPr>
                <w:b/>
                <w:szCs w:val="24"/>
              </w:rPr>
            </w:pPr>
            <w:r>
              <w:rPr>
                <w:b/>
                <w:szCs w:val="24"/>
              </w:rPr>
              <w:t>TABLE 9</w:t>
            </w:r>
          </w:p>
          <w:p w:rsidR="00F23557" w:rsidRDefault="00F23557" w:rsidP="00E46164">
            <w:pPr>
              <w:tabs>
                <w:tab w:val="left" w:pos="1080"/>
              </w:tabs>
              <w:spacing w:after="0"/>
              <w:jc w:val="center"/>
              <w:rPr>
                <w:b/>
                <w:szCs w:val="24"/>
              </w:rPr>
            </w:pPr>
          </w:p>
          <w:p w:rsidR="00F23557" w:rsidRPr="004C493C" w:rsidRDefault="00F23557" w:rsidP="00E46164">
            <w:pPr>
              <w:tabs>
                <w:tab w:val="left" w:pos="1080"/>
              </w:tabs>
              <w:spacing w:after="0"/>
              <w:jc w:val="center"/>
              <w:rPr>
                <w:b/>
                <w:szCs w:val="24"/>
                <w:u w:val="single"/>
              </w:rPr>
            </w:pPr>
            <w:r>
              <w:rPr>
                <w:b/>
                <w:szCs w:val="24"/>
                <w:u w:val="single"/>
              </w:rPr>
              <w:t>Buildup</w:t>
            </w:r>
            <w:r w:rsidRPr="004C493C">
              <w:rPr>
                <w:b/>
                <w:szCs w:val="24"/>
                <w:u w:val="single"/>
              </w:rPr>
              <w:t xml:space="preserve"> Return Estimates</w:t>
            </w:r>
          </w:p>
          <w:p w:rsidR="00F23557" w:rsidRDefault="00F23557" w:rsidP="00E46164">
            <w:pPr>
              <w:tabs>
                <w:tab w:val="left" w:pos="1080"/>
              </w:tabs>
              <w:spacing w:after="0"/>
              <w:jc w:val="center"/>
              <w:rPr>
                <w:b/>
              </w:rPr>
            </w:pPr>
          </w:p>
        </w:tc>
      </w:tr>
      <w:tr w:rsidR="00F23557" w:rsidTr="00E46164">
        <w:trPr>
          <w:jc w:val="center"/>
        </w:trPr>
        <w:tc>
          <w:tcPr>
            <w:tcW w:w="2195" w:type="dxa"/>
          </w:tcPr>
          <w:p w:rsidR="00F23557" w:rsidRDefault="00F23557" w:rsidP="00E46164">
            <w:pPr>
              <w:tabs>
                <w:tab w:val="left" w:pos="1080"/>
              </w:tabs>
              <w:spacing w:after="0"/>
              <w:jc w:val="both"/>
              <w:rPr>
                <w:b/>
                <w:szCs w:val="24"/>
                <w:u w:val="single"/>
              </w:rPr>
            </w:pPr>
            <w:r>
              <w:rPr>
                <w:b/>
                <w:szCs w:val="24"/>
                <w:u w:val="single"/>
              </w:rPr>
              <w:t>   Description   </w:t>
            </w:r>
          </w:p>
          <w:p w:rsidR="00F23557" w:rsidRDefault="00F23557" w:rsidP="00E46164">
            <w:pPr>
              <w:tabs>
                <w:tab w:val="left" w:pos="1080"/>
              </w:tabs>
              <w:spacing w:after="0"/>
              <w:jc w:val="both"/>
              <w:rPr>
                <w:b/>
              </w:rPr>
            </w:pPr>
          </w:p>
        </w:tc>
        <w:tc>
          <w:tcPr>
            <w:tcW w:w="1757" w:type="dxa"/>
          </w:tcPr>
          <w:p w:rsidR="00F23557" w:rsidRDefault="00F23557" w:rsidP="00E46164">
            <w:pPr>
              <w:tabs>
                <w:tab w:val="left" w:pos="1080"/>
              </w:tabs>
              <w:spacing w:after="0"/>
              <w:jc w:val="center"/>
              <w:rPr>
                <w:b/>
              </w:rPr>
            </w:pPr>
            <w:r>
              <w:rPr>
                <w:b/>
                <w:szCs w:val="24"/>
                <w:u w:val="single"/>
              </w:rPr>
              <w:t>Current</w:t>
            </w:r>
          </w:p>
        </w:tc>
        <w:tc>
          <w:tcPr>
            <w:tcW w:w="1230" w:type="dxa"/>
          </w:tcPr>
          <w:p w:rsidR="00F23557" w:rsidRDefault="00F23557" w:rsidP="00E46164">
            <w:pPr>
              <w:tabs>
                <w:tab w:val="left" w:pos="1080"/>
              </w:tabs>
              <w:spacing w:after="0"/>
              <w:jc w:val="center"/>
              <w:rPr>
                <w:b/>
              </w:rPr>
            </w:pPr>
            <w:r>
              <w:rPr>
                <w:b/>
                <w:szCs w:val="24"/>
                <w:u w:val="single"/>
              </w:rPr>
              <w:t>Projected</w:t>
            </w:r>
          </w:p>
        </w:tc>
      </w:tr>
      <w:tr w:rsidR="00F23557" w:rsidTr="00E46164">
        <w:trPr>
          <w:jc w:val="center"/>
        </w:trPr>
        <w:tc>
          <w:tcPr>
            <w:tcW w:w="2195" w:type="dxa"/>
          </w:tcPr>
          <w:p w:rsidR="00F23557" w:rsidRPr="004C493C" w:rsidRDefault="00F23557" w:rsidP="00E46164">
            <w:pPr>
              <w:tabs>
                <w:tab w:val="left" w:pos="1080"/>
              </w:tabs>
              <w:spacing w:after="0" w:line="360" w:lineRule="auto"/>
              <w:rPr>
                <w:szCs w:val="24"/>
              </w:rPr>
            </w:pPr>
            <w:r>
              <w:rPr>
                <w:szCs w:val="24"/>
              </w:rPr>
              <w:t>Risk-Free Rate</w:t>
            </w:r>
            <w:r w:rsidRPr="004C493C">
              <w:rPr>
                <w:szCs w:val="24"/>
                <w:vertAlign w:val="superscript"/>
              </w:rPr>
              <w:t>1</w:t>
            </w:r>
          </w:p>
        </w:tc>
        <w:tc>
          <w:tcPr>
            <w:tcW w:w="1757" w:type="dxa"/>
          </w:tcPr>
          <w:p w:rsidR="00F23557" w:rsidRPr="004C493C" w:rsidRDefault="00F23557" w:rsidP="00E46164">
            <w:pPr>
              <w:tabs>
                <w:tab w:val="decimal" w:pos="311"/>
                <w:tab w:val="left" w:pos="1080"/>
              </w:tabs>
              <w:spacing w:after="0" w:line="360" w:lineRule="auto"/>
              <w:jc w:val="center"/>
              <w:rPr>
                <w:szCs w:val="24"/>
              </w:rPr>
            </w:pPr>
            <w:r>
              <w:rPr>
                <w:szCs w:val="24"/>
              </w:rPr>
              <w:t>3.0%</w:t>
            </w:r>
          </w:p>
        </w:tc>
        <w:tc>
          <w:tcPr>
            <w:tcW w:w="1230" w:type="dxa"/>
          </w:tcPr>
          <w:p w:rsidR="00F23557" w:rsidRPr="004C493C" w:rsidRDefault="00F23557" w:rsidP="00E46164">
            <w:pPr>
              <w:tabs>
                <w:tab w:val="decimal" w:pos="473"/>
                <w:tab w:val="left" w:pos="1080"/>
              </w:tabs>
              <w:spacing w:after="0" w:line="360" w:lineRule="auto"/>
              <w:jc w:val="center"/>
              <w:rPr>
                <w:szCs w:val="24"/>
              </w:rPr>
            </w:pPr>
            <w:r>
              <w:rPr>
                <w:szCs w:val="24"/>
              </w:rPr>
              <w:t>4.2%</w:t>
            </w:r>
          </w:p>
        </w:tc>
      </w:tr>
      <w:tr w:rsidR="00F23557" w:rsidTr="00E46164">
        <w:trPr>
          <w:jc w:val="center"/>
        </w:trPr>
        <w:tc>
          <w:tcPr>
            <w:tcW w:w="2195" w:type="dxa"/>
          </w:tcPr>
          <w:p w:rsidR="00F23557" w:rsidRPr="004C493C" w:rsidRDefault="00F23557" w:rsidP="00E46164">
            <w:pPr>
              <w:tabs>
                <w:tab w:val="left" w:pos="1080"/>
              </w:tabs>
              <w:spacing w:after="0" w:line="360" w:lineRule="auto"/>
              <w:rPr>
                <w:szCs w:val="24"/>
              </w:rPr>
            </w:pPr>
            <w:r>
              <w:rPr>
                <w:szCs w:val="24"/>
              </w:rPr>
              <w:t>Equity RP</w:t>
            </w:r>
            <w:r w:rsidRPr="004C493C">
              <w:rPr>
                <w:szCs w:val="24"/>
                <w:vertAlign w:val="superscript"/>
              </w:rPr>
              <w:t>1</w:t>
            </w:r>
          </w:p>
        </w:tc>
        <w:tc>
          <w:tcPr>
            <w:tcW w:w="1757" w:type="dxa"/>
          </w:tcPr>
          <w:p w:rsidR="00F23557" w:rsidRPr="004C493C" w:rsidRDefault="00F23557" w:rsidP="00E46164">
            <w:pPr>
              <w:tabs>
                <w:tab w:val="decimal" w:pos="311"/>
                <w:tab w:val="left" w:pos="1080"/>
              </w:tabs>
              <w:spacing w:after="0" w:line="360" w:lineRule="auto"/>
              <w:jc w:val="center"/>
              <w:rPr>
                <w:szCs w:val="24"/>
              </w:rPr>
            </w:pPr>
            <w:r>
              <w:rPr>
                <w:szCs w:val="24"/>
              </w:rPr>
              <w:t>8.2%</w:t>
            </w:r>
          </w:p>
        </w:tc>
        <w:tc>
          <w:tcPr>
            <w:tcW w:w="1230" w:type="dxa"/>
          </w:tcPr>
          <w:p w:rsidR="00F23557" w:rsidRPr="004C493C" w:rsidRDefault="00F23557" w:rsidP="00E46164">
            <w:pPr>
              <w:tabs>
                <w:tab w:val="decimal" w:pos="473"/>
                <w:tab w:val="left" w:pos="1080"/>
              </w:tabs>
              <w:spacing w:after="0" w:line="360" w:lineRule="auto"/>
              <w:jc w:val="center"/>
              <w:rPr>
                <w:szCs w:val="24"/>
              </w:rPr>
            </w:pPr>
            <w:r>
              <w:rPr>
                <w:szCs w:val="24"/>
              </w:rPr>
              <w:t>7.0%</w:t>
            </w:r>
          </w:p>
        </w:tc>
      </w:tr>
      <w:tr w:rsidR="00F23557" w:rsidTr="00E46164">
        <w:trPr>
          <w:jc w:val="center"/>
        </w:trPr>
        <w:tc>
          <w:tcPr>
            <w:tcW w:w="2195" w:type="dxa"/>
          </w:tcPr>
          <w:p w:rsidR="00F23557" w:rsidRPr="004C493C" w:rsidRDefault="00F23557" w:rsidP="00E46164">
            <w:pPr>
              <w:tabs>
                <w:tab w:val="left" w:pos="1080"/>
              </w:tabs>
              <w:spacing w:after="0" w:line="360" w:lineRule="auto"/>
              <w:rPr>
                <w:szCs w:val="24"/>
              </w:rPr>
            </w:pPr>
            <w:r>
              <w:rPr>
                <w:szCs w:val="24"/>
              </w:rPr>
              <w:t>Avg Size RP</w:t>
            </w:r>
            <w:r w:rsidRPr="004C493C">
              <w:rPr>
                <w:szCs w:val="24"/>
                <w:vertAlign w:val="superscript"/>
              </w:rPr>
              <w:t>1</w:t>
            </w:r>
          </w:p>
        </w:tc>
        <w:tc>
          <w:tcPr>
            <w:tcW w:w="1757" w:type="dxa"/>
          </w:tcPr>
          <w:p w:rsidR="00F23557" w:rsidRPr="004C493C" w:rsidRDefault="00F23557" w:rsidP="00E46164">
            <w:pPr>
              <w:tabs>
                <w:tab w:val="decimal" w:pos="311"/>
                <w:tab w:val="left" w:pos="1080"/>
              </w:tabs>
              <w:spacing w:after="0" w:line="360" w:lineRule="auto"/>
              <w:jc w:val="center"/>
              <w:rPr>
                <w:szCs w:val="24"/>
              </w:rPr>
            </w:pPr>
            <w:r>
              <w:rPr>
                <w:szCs w:val="24"/>
              </w:rPr>
              <w:t>1.0%</w:t>
            </w:r>
          </w:p>
        </w:tc>
        <w:tc>
          <w:tcPr>
            <w:tcW w:w="1230" w:type="dxa"/>
          </w:tcPr>
          <w:p w:rsidR="00F23557" w:rsidRPr="004C493C" w:rsidRDefault="00F23557" w:rsidP="00E46164">
            <w:pPr>
              <w:tabs>
                <w:tab w:val="decimal" w:pos="473"/>
                <w:tab w:val="left" w:pos="1080"/>
              </w:tabs>
              <w:spacing w:after="0" w:line="360" w:lineRule="auto"/>
              <w:jc w:val="center"/>
              <w:rPr>
                <w:szCs w:val="24"/>
              </w:rPr>
            </w:pPr>
            <w:r>
              <w:rPr>
                <w:szCs w:val="24"/>
              </w:rPr>
              <w:t>1.0%</w:t>
            </w:r>
          </w:p>
        </w:tc>
      </w:tr>
      <w:tr w:rsidR="00F23557" w:rsidTr="00E46164">
        <w:trPr>
          <w:jc w:val="center"/>
        </w:trPr>
        <w:tc>
          <w:tcPr>
            <w:tcW w:w="2195" w:type="dxa"/>
          </w:tcPr>
          <w:p w:rsidR="00F23557" w:rsidRDefault="00F23557" w:rsidP="00E46164">
            <w:pPr>
              <w:tabs>
                <w:tab w:val="left" w:pos="1080"/>
              </w:tabs>
              <w:spacing w:after="0" w:line="360" w:lineRule="auto"/>
              <w:rPr>
                <w:szCs w:val="24"/>
              </w:rPr>
            </w:pPr>
            <w:r>
              <w:rPr>
                <w:szCs w:val="24"/>
              </w:rPr>
              <w:t>Industry RP</w:t>
            </w:r>
            <w:r w:rsidRPr="004C493C">
              <w:rPr>
                <w:szCs w:val="24"/>
                <w:vertAlign w:val="superscript"/>
              </w:rPr>
              <w:t>2</w:t>
            </w:r>
          </w:p>
        </w:tc>
        <w:tc>
          <w:tcPr>
            <w:tcW w:w="1757" w:type="dxa"/>
          </w:tcPr>
          <w:p w:rsidR="00F23557" w:rsidRPr="004C493C" w:rsidRDefault="00F23557" w:rsidP="00E46164">
            <w:pPr>
              <w:tabs>
                <w:tab w:val="decimal" w:pos="311"/>
                <w:tab w:val="left" w:pos="1080"/>
              </w:tabs>
              <w:spacing w:after="0" w:line="360" w:lineRule="auto"/>
              <w:jc w:val="center"/>
              <w:rPr>
                <w:szCs w:val="24"/>
                <w:u w:val="single"/>
              </w:rPr>
            </w:pPr>
            <w:r>
              <w:rPr>
                <w:szCs w:val="24"/>
                <w:u w:val="single"/>
              </w:rPr>
              <w:t>(4.1</w:t>
            </w:r>
            <w:r w:rsidRPr="004C493C">
              <w:rPr>
                <w:szCs w:val="24"/>
                <w:u w:val="single"/>
              </w:rPr>
              <w:t>%)</w:t>
            </w:r>
          </w:p>
        </w:tc>
        <w:tc>
          <w:tcPr>
            <w:tcW w:w="1230" w:type="dxa"/>
          </w:tcPr>
          <w:p w:rsidR="00F23557" w:rsidRPr="004C493C" w:rsidRDefault="00F23557" w:rsidP="00E46164">
            <w:pPr>
              <w:tabs>
                <w:tab w:val="decimal" w:pos="473"/>
                <w:tab w:val="left" w:pos="1080"/>
              </w:tabs>
              <w:spacing w:after="0" w:line="360" w:lineRule="auto"/>
              <w:jc w:val="center"/>
              <w:rPr>
                <w:szCs w:val="24"/>
                <w:u w:val="single"/>
              </w:rPr>
            </w:pPr>
            <w:r w:rsidRPr="004C493C">
              <w:rPr>
                <w:szCs w:val="24"/>
                <w:u w:val="single"/>
              </w:rPr>
              <w:t>(</w:t>
            </w:r>
            <w:r>
              <w:rPr>
                <w:szCs w:val="24"/>
                <w:u w:val="single"/>
              </w:rPr>
              <w:t>4</w:t>
            </w:r>
            <w:r w:rsidRPr="004C493C">
              <w:rPr>
                <w:szCs w:val="24"/>
                <w:u w:val="single"/>
              </w:rPr>
              <w:t>.</w:t>
            </w:r>
            <w:r>
              <w:rPr>
                <w:szCs w:val="24"/>
                <w:u w:val="single"/>
              </w:rPr>
              <w:t>1</w:t>
            </w:r>
            <w:r w:rsidRPr="004C493C">
              <w:rPr>
                <w:szCs w:val="24"/>
                <w:u w:val="single"/>
              </w:rPr>
              <w:t>%)</w:t>
            </w:r>
          </w:p>
        </w:tc>
      </w:tr>
      <w:tr w:rsidR="00F23557" w:rsidTr="00E46164">
        <w:trPr>
          <w:jc w:val="center"/>
        </w:trPr>
        <w:tc>
          <w:tcPr>
            <w:tcW w:w="2195" w:type="dxa"/>
          </w:tcPr>
          <w:p w:rsidR="00F23557" w:rsidRDefault="00F23557" w:rsidP="00E46164">
            <w:pPr>
              <w:tabs>
                <w:tab w:val="left" w:pos="1080"/>
              </w:tabs>
              <w:spacing w:after="0" w:line="360" w:lineRule="auto"/>
              <w:jc w:val="both"/>
              <w:rPr>
                <w:b/>
              </w:rPr>
            </w:pPr>
          </w:p>
        </w:tc>
        <w:tc>
          <w:tcPr>
            <w:tcW w:w="1757" w:type="dxa"/>
          </w:tcPr>
          <w:p w:rsidR="00F23557" w:rsidRDefault="00F23557" w:rsidP="00E46164">
            <w:pPr>
              <w:tabs>
                <w:tab w:val="decimal" w:pos="311"/>
                <w:tab w:val="left" w:pos="1080"/>
              </w:tabs>
              <w:spacing w:after="0" w:line="360" w:lineRule="auto"/>
              <w:jc w:val="center"/>
              <w:rPr>
                <w:szCs w:val="24"/>
              </w:rPr>
            </w:pPr>
            <w:r>
              <w:rPr>
                <w:szCs w:val="24"/>
              </w:rPr>
              <w:t>8.1%</w:t>
            </w:r>
          </w:p>
        </w:tc>
        <w:tc>
          <w:tcPr>
            <w:tcW w:w="1230" w:type="dxa"/>
          </w:tcPr>
          <w:p w:rsidR="00F23557" w:rsidRDefault="00F23557" w:rsidP="00E46164">
            <w:pPr>
              <w:tabs>
                <w:tab w:val="decimal" w:pos="473"/>
                <w:tab w:val="left" w:pos="1080"/>
              </w:tabs>
              <w:spacing w:after="0" w:line="360" w:lineRule="auto"/>
              <w:jc w:val="center"/>
              <w:rPr>
                <w:szCs w:val="24"/>
              </w:rPr>
            </w:pPr>
            <w:r>
              <w:rPr>
                <w:szCs w:val="24"/>
              </w:rPr>
              <w:t>8.1%</w:t>
            </w:r>
          </w:p>
        </w:tc>
      </w:tr>
      <w:tr w:rsidR="00F23557" w:rsidTr="00E46164">
        <w:trPr>
          <w:jc w:val="center"/>
        </w:trPr>
        <w:tc>
          <w:tcPr>
            <w:tcW w:w="5182" w:type="dxa"/>
            <w:gridSpan w:val="3"/>
          </w:tcPr>
          <w:p w:rsidR="00F23557" w:rsidRDefault="00F23557" w:rsidP="00E46164">
            <w:pPr>
              <w:tabs>
                <w:tab w:val="left" w:pos="1080"/>
              </w:tabs>
              <w:spacing w:after="0"/>
              <w:rPr>
                <w:szCs w:val="24"/>
              </w:rPr>
            </w:pPr>
            <w:r>
              <w:rPr>
                <w:szCs w:val="24"/>
              </w:rPr>
              <w:t>____________</w:t>
            </w:r>
          </w:p>
          <w:p w:rsidR="00F23557" w:rsidRDefault="00F23557" w:rsidP="00E46164">
            <w:pPr>
              <w:tabs>
                <w:tab w:val="left" w:pos="1080"/>
              </w:tabs>
              <w:spacing w:after="0"/>
              <w:rPr>
                <w:szCs w:val="24"/>
              </w:rPr>
            </w:pPr>
            <w:r>
              <w:rPr>
                <w:szCs w:val="24"/>
              </w:rPr>
              <w:t>Sources:</w:t>
            </w:r>
          </w:p>
          <w:p w:rsidR="00F23557" w:rsidRDefault="00F23557" w:rsidP="00E46164">
            <w:pPr>
              <w:tabs>
                <w:tab w:val="left" w:pos="1080"/>
              </w:tabs>
              <w:spacing w:after="0"/>
              <w:rPr>
                <w:szCs w:val="24"/>
              </w:rPr>
            </w:pPr>
            <w:r w:rsidRPr="004C493C">
              <w:rPr>
                <w:szCs w:val="24"/>
                <w:vertAlign w:val="superscript"/>
              </w:rPr>
              <w:t>1</w:t>
            </w:r>
            <w:r>
              <w:rPr>
                <w:szCs w:val="24"/>
              </w:rPr>
              <w:t>Exhibit No.___</w:t>
            </w:r>
            <w:proofErr w:type="gramStart"/>
            <w:r>
              <w:rPr>
                <w:szCs w:val="24"/>
              </w:rPr>
              <w:t>_(</w:t>
            </w:r>
            <w:proofErr w:type="gramEnd"/>
            <w:r>
              <w:rPr>
                <w:szCs w:val="24"/>
              </w:rPr>
              <w:t>AMM-</w:t>
            </w:r>
            <w:r w:rsidR="0028388E">
              <w:rPr>
                <w:szCs w:val="24"/>
              </w:rPr>
              <w:t>8</w:t>
            </w:r>
            <w:r>
              <w:rPr>
                <w:szCs w:val="24"/>
              </w:rPr>
              <w:t>).</w:t>
            </w:r>
          </w:p>
          <w:p w:rsidR="00F23557" w:rsidRDefault="00F23557" w:rsidP="00E46164">
            <w:pPr>
              <w:tabs>
                <w:tab w:val="left" w:pos="1080"/>
              </w:tabs>
              <w:spacing w:after="0"/>
              <w:rPr>
                <w:szCs w:val="24"/>
              </w:rPr>
            </w:pPr>
            <w:r w:rsidRPr="00C115AA">
              <w:rPr>
                <w:i/>
                <w:szCs w:val="24"/>
                <w:vertAlign w:val="superscript"/>
              </w:rPr>
              <w:t>2</w:t>
            </w:r>
            <w:r w:rsidRPr="00C115AA">
              <w:rPr>
                <w:i/>
                <w:szCs w:val="24"/>
              </w:rPr>
              <w:t>Duff &amp; Phelps 201</w:t>
            </w:r>
            <w:r>
              <w:rPr>
                <w:i/>
                <w:szCs w:val="24"/>
              </w:rPr>
              <w:t>6</w:t>
            </w:r>
            <w:r w:rsidRPr="00C115AA">
              <w:rPr>
                <w:i/>
                <w:szCs w:val="24"/>
              </w:rPr>
              <w:t xml:space="preserve"> Valuation Handbook</w:t>
            </w:r>
            <w:r>
              <w:rPr>
                <w:szCs w:val="24"/>
              </w:rPr>
              <w:t xml:space="preserve"> at Appendix 3a.</w:t>
            </w:r>
          </w:p>
          <w:p w:rsidR="00F23557" w:rsidRDefault="00F23557" w:rsidP="00E46164">
            <w:pPr>
              <w:tabs>
                <w:tab w:val="left" w:pos="1080"/>
              </w:tabs>
              <w:spacing w:after="0"/>
              <w:jc w:val="both"/>
              <w:rPr>
                <w:b/>
              </w:rPr>
            </w:pPr>
          </w:p>
        </w:tc>
      </w:tr>
    </w:tbl>
    <w:p w:rsidR="00F23557" w:rsidRDefault="00F23557" w:rsidP="00F23557">
      <w:pPr>
        <w:suppressLineNumbers/>
        <w:tabs>
          <w:tab w:val="left" w:pos="1080"/>
        </w:tabs>
        <w:ind w:left="720" w:hanging="720"/>
        <w:jc w:val="both"/>
        <w:rPr>
          <w:b/>
        </w:rPr>
      </w:pPr>
    </w:p>
    <w:p w:rsidR="0028388E" w:rsidRPr="00654123" w:rsidRDefault="0028388E" w:rsidP="0082169D">
      <w:pPr>
        <w:keepNext/>
        <w:keepLines/>
        <w:tabs>
          <w:tab w:val="left" w:pos="1440"/>
        </w:tabs>
        <w:ind w:left="720" w:hanging="720"/>
        <w:jc w:val="both"/>
        <w:rPr>
          <w:b/>
        </w:rPr>
      </w:pPr>
      <w:r w:rsidRPr="00272985">
        <w:rPr>
          <w:b/>
        </w:rPr>
        <w:t>Q.</w:t>
      </w:r>
      <w:r w:rsidRPr="00272985">
        <w:rPr>
          <w:b/>
        </w:rPr>
        <w:tab/>
      </w:r>
      <w:r w:rsidRPr="00654123">
        <w:rPr>
          <w:b/>
        </w:rPr>
        <w:t>DID MR. MCKENZIE ALSO PERFORM A TRADITIONAL CAPM ANALYSIS?</w:t>
      </w:r>
    </w:p>
    <w:p w:rsidR="0028388E" w:rsidRPr="00261AAB" w:rsidRDefault="0028388E" w:rsidP="0028388E">
      <w:pPr>
        <w:tabs>
          <w:tab w:val="left" w:pos="-1440"/>
          <w:tab w:val="left" w:pos="1440"/>
        </w:tabs>
        <w:spacing w:after="0" w:line="480" w:lineRule="auto"/>
        <w:ind w:left="720" w:hanging="720"/>
        <w:jc w:val="both"/>
        <w:rPr>
          <w:rFonts w:cs="Arial"/>
        </w:rPr>
      </w:pPr>
      <w:r w:rsidRPr="00272985">
        <w:rPr>
          <w:rFonts w:cs="Arial"/>
          <w:b/>
        </w:rPr>
        <w:t>A.</w:t>
      </w:r>
      <w:r w:rsidRPr="00272985">
        <w:rPr>
          <w:rFonts w:cs="Arial"/>
          <w:b/>
        </w:rPr>
        <w:tab/>
      </w:r>
      <w:r w:rsidRPr="00261AAB">
        <w:rPr>
          <w:rFonts w:cs="Arial"/>
        </w:rPr>
        <w:t xml:space="preserve">Yes.  </w:t>
      </w:r>
      <w:r>
        <w:rPr>
          <w:rFonts w:cs="Arial"/>
        </w:rPr>
        <w:t>Mr. McKenzie</w:t>
      </w:r>
      <w:r w:rsidRPr="00261AAB">
        <w:rPr>
          <w:rFonts w:cs="Arial"/>
        </w:rPr>
        <w:t xml:space="preserve"> performed a traditional CAPM analysis that relied on the same market risk premiums of 8.</w:t>
      </w:r>
      <w:r>
        <w:rPr>
          <w:rFonts w:cs="Arial"/>
        </w:rPr>
        <w:t>2</w:t>
      </w:r>
      <w:r w:rsidRPr="00261AAB">
        <w:rPr>
          <w:rFonts w:cs="Arial"/>
        </w:rPr>
        <w:t xml:space="preserve">% and </w:t>
      </w:r>
      <w:r>
        <w:rPr>
          <w:rFonts w:cs="Arial"/>
        </w:rPr>
        <w:t>7.0</w:t>
      </w:r>
      <w:r w:rsidRPr="00261AAB">
        <w:rPr>
          <w:rFonts w:cs="Arial"/>
        </w:rPr>
        <w:t xml:space="preserve">%, the same current and projected risk-free rates </w:t>
      </w:r>
      <w:r w:rsidRPr="00261AAB">
        <w:rPr>
          <w:rFonts w:cs="Arial"/>
        </w:rPr>
        <w:lastRenderedPageBreak/>
        <w:t xml:space="preserve">of </w:t>
      </w:r>
      <w:r>
        <w:rPr>
          <w:rFonts w:cs="Arial"/>
        </w:rPr>
        <w:t>3.0</w:t>
      </w:r>
      <w:r w:rsidRPr="00261AAB">
        <w:rPr>
          <w:rFonts w:cs="Arial"/>
        </w:rPr>
        <w:t xml:space="preserve">% and </w:t>
      </w:r>
      <w:r>
        <w:rPr>
          <w:rFonts w:cs="Arial"/>
        </w:rPr>
        <w:t>4.2</w:t>
      </w:r>
      <w:r w:rsidRPr="00261AAB">
        <w:rPr>
          <w:rFonts w:cs="Arial"/>
        </w:rPr>
        <w:t xml:space="preserve">%, respectively, and the same average </w:t>
      </w:r>
      <w:r w:rsidRPr="00261AAB">
        <w:rPr>
          <w:rFonts w:cs="Arial"/>
          <w:i/>
        </w:rPr>
        <w:t>Value Line</w:t>
      </w:r>
      <w:r w:rsidRPr="00261AAB">
        <w:rPr>
          <w:rFonts w:cs="Arial"/>
        </w:rPr>
        <w:t xml:space="preserve"> beta</w:t>
      </w:r>
      <w:r>
        <w:rPr>
          <w:rFonts w:cs="Arial"/>
        </w:rPr>
        <w:t>s</w:t>
      </w:r>
      <w:r w:rsidRPr="00261AAB">
        <w:rPr>
          <w:rFonts w:cs="Arial"/>
        </w:rPr>
        <w:t xml:space="preserve"> that he used in his current and projected ECAPM analyses.  His unadjusted traditional CAPM range is 9.</w:t>
      </w:r>
      <w:r>
        <w:rPr>
          <w:rFonts w:cs="Arial"/>
        </w:rPr>
        <w:t>3</w:t>
      </w:r>
      <w:r w:rsidRPr="00261AAB">
        <w:rPr>
          <w:rFonts w:cs="Arial"/>
        </w:rPr>
        <w:t xml:space="preserve">% to </w:t>
      </w:r>
      <w:r>
        <w:rPr>
          <w:rFonts w:cs="Arial"/>
        </w:rPr>
        <w:t>9.6</w:t>
      </w:r>
      <w:r w:rsidRPr="00261AAB">
        <w:rPr>
          <w:rFonts w:cs="Arial"/>
        </w:rPr>
        <w:t xml:space="preserve">%.  His size-adjusted range is </w:t>
      </w:r>
      <w:r>
        <w:rPr>
          <w:rFonts w:cs="Arial"/>
        </w:rPr>
        <w:t>10.3</w:t>
      </w:r>
      <w:r w:rsidRPr="00261AAB">
        <w:rPr>
          <w:rFonts w:cs="Arial"/>
        </w:rPr>
        <w:t xml:space="preserve">% to </w:t>
      </w:r>
      <w:r>
        <w:rPr>
          <w:rFonts w:cs="Arial"/>
        </w:rPr>
        <w:t>10.6</w:t>
      </w:r>
      <w:r w:rsidRPr="00261AAB">
        <w:rPr>
          <w:rFonts w:cs="Arial"/>
        </w:rPr>
        <w:t>%.</w:t>
      </w:r>
    </w:p>
    <w:p w:rsidR="0028388E" w:rsidRPr="00654123" w:rsidRDefault="0028388E" w:rsidP="0028388E">
      <w:pPr>
        <w:tabs>
          <w:tab w:val="left" w:pos="1440"/>
        </w:tabs>
        <w:ind w:left="720" w:hanging="720"/>
        <w:jc w:val="both"/>
        <w:rPr>
          <w:b/>
        </w:rPr>
      </w:pPr>
      <w:r w:rsidRPr="00272985">
        <w:rPr>
          <w:b/>
        </w:rPr>
        <w:t>Q.</w:t>
      </w:r>
      <w:r w:rsidRPr="00272985">
        <w:rPr>
          <w:b/>
        </w:rPr>
        <w:tab/>
      </w:r>
      <w:r w:rsidRPr="00654123">
        <w:rPr>
          <w:b/>
        </w:rPr>
        <w:t>ARE MR. MCKENZIE</w:t>
      </w:r>
      <w:r>
        <w:rPr>
          <w:b/>
        </w:rPr>
        <w:t>’</w:t>
      </w:r>
      <w:r w:rsidRPr="00654123">
        <w:rPr>
          <w:b/>
        </w:rPr>
        <w:t>S CURRENT AND PROJECTED TRADITIONAL CAPM ANALYSES REASONABLE?</w:t>
      </w:r>
    </w:p>
    <w:p w:rsidR="0028388E" w:rsidRPr="00261AAB" w:rsidRDefault="0028388E" w:rsidP="0028388E">
      <w:pPr>
        <w:tabs>
          <w:tab w:val="left" w:pos="-1440"/>
          <w:tab w:val="left" w:pos="1440"/>
        </w:tabs>
        <w:spacing w:after="0" w:line="480" w:lineRule="auto"/>
        <w:ind w:left="720" w:hanging="720"/>
        <w:jc w:val="both"/>
        <w:rPr>
          <w:rFonts w:cs="Arial"/>
        </w:rPr>
      </w:pPr>
      <w:r w:rsidRPr="00272985">
        <w:rPr>
          <w:rFonts w:cs="Arial"/>
          <w:b/>
        </w:rPr>
        <w:t>A.</w:t>
      </w:r>
      <w:r w:rsidRPr="00272985">
        <w:rPr>
          <w:rFonts w:cs="Arial"/>
          <w:b/>
        </w:rPr>
        <w:tab/>
      </w:r>
      <w:r w:rsidRPr="00261AAB">
        <w:rPr>
          <w:rFonts w:cs="Arial"/>
        </w:rPr>
        <w:t xml:space="preserve">No.  </w:t>
      </w:r>
      <w:r>
        <w:rPr>
          <w:rFonts w:cs="Arial"/>
        </w:rPr>
        <w:t>Mr. McKenzie’</w:t>
      </w:r>
      <w:r w:rsidRPr="00261AAB">
        <w:rPr>
          <w:rFonts w:cs="Arial"/>
        </w:rPr>
        <w:t xml:space="preserve">s traditional CAPM analyses share some of same flaws as his ECAPM analyses.  As described above, his market return outlook of </w:t>
      </w:r>
      <w:r>
        <w:rPr>
          <w:rFonts w:cs="Arial"/>
        </w:rPr>
        <w:t>11.2</w:t>
      </w:r>
      <w:r w:rsidRPr="00261AAB">
        <w:rPr>
          <w:rFonts w:cs="Arial"/>
        </w:rPr>
        <w:t xml:space="preserve">% and resulting market risk premiums are not reasonable. </w:t>
      </w:r>
      <w:r>
        <w:rPr>
          <w:rFonts w:cs="Arial"/>
        </w:rPr>
        <w:t xml:space="preserve"> Further, Mr. McKenzie’s proposal to adjust the traditional CAPM result upward applying a size adjustment is inappropriate and should be rejected for the same reasons discussed in response to his ECAPM.</w:t>
      </w:r>
    </w:p>
    <w:p w:rsidR="0028388E" w:rsidRPr="00654123" w:rsidRDefault="0028388E" w:rsidP="0028388E">
      <w:pPr>
        <w:keepNext/>
        <w:keepLines/>
        <w:tabs>
          <w:tab w:val="left" w:pos="1440"/>
        </w:tabs>
        <w:ind w:left="720" w:hanging="720"/>
        <w:jc w:val="both"/>
        <w:rPr>
          <w:b/>
        </w:rPr>
      </w:pPr>
      <w:r w:rsidRPr="00272985">
        <w:rPr>
          <w:b/>
        </w:rPr>
        <w:t>Q.</w:t>
      </w:r>
      <w:r w:rsidRPr="00272985">
        <w:rPr>
          <w:b/>
        </w:rPr>
        <w:tab/>
      </w:r>
      <w:r w:rsidRPr="00654123">
        <w:rPr>
          <w:b/>
        </w:rPr>
        <w:t>HOW WOULD MR. MCKENZIE</w:t>
      </w:r>
      <w:r>
        <w:rPr>
          <w:b/>
        </w:rPr>
        <w:t>’</w:t>
      </w:r>
      <w:r w:rsidRPr="00654123">
        <w:rPr>
          <w:b/>
        </w:rPr>
        <w:t>S CURRENT AND PROJECTED TRADITIONAL CAPM RETURN ESTIMATES CHANGE IF A REASONABLE MARKET RISK PREMIUM WERE USED?</w:t>
      </w:r>
    </w:p>
    <w:p w:rsidR="0028388E" w:rsidRPr="00261AAB" w:rsidRDefault="0028388E" w:rsidP="0028388E">
      <w:pPr>
        <w:tabs>
          <w:tab w:val="left" w:pos="-1440"/>
          <w:tab w:val="left" w:pos="1440"/>
        </w:tabs>
        <w:spacing w:after="0" w:line="480" w:lineRule="auto"/>
        <w:ind w:left="720" w:hanging="720"/>
        <w:jc w:val="both"/>
        <w:rPr>
          <w:rFonts w:cs="Arial"/>
        </w:rPr>
      </w:pPr>
      <w:r w:rsidRPr="00272985">
        <w:rPr>
          <w:rFonts w:cs="Arial"/>
          <w:b/>
        </w:rPr>
        <w:t>A.</w:t>
      </w:r>
      <w:r w:rsidRPr="00272985">
        <w:rPr>
          <w:rFonts w:cs="Arial"/>
          <w:b/>
        </w:rPr>
        <w:tab/>
      </w:r>
      <w:r w:rsidRPr="00261AAB">
        <w:rPr>
          <w:rFonts w:cs="Arial"/>
        </w:rPr>
        <w:t>Applying a market risk premium of 7.</w:t>
      </w:r>
      <w:r>
        <w:rPr>
          <w:rFonts w:cs="Arial"/>
        </w:rPr>
        <w:t>6</w:t>
      </w:r>
      <w:r w:rsidRPr="00261AAB">
        <w:rPr>
          <w:rFonts w:cs="Arial"/>
        </w:rPr>
        <w:t xml:space="preserve">%, an average </w:t>
      </w:r>
      <w:r w:rsidRPr="00261AAB">
        <w:rPr>
          <w:rFonts w:cs="Arial"/>
          <w:i/>
        </w:rPr>
        <w:t>Value Line</w:t>
      </w:r>
      <w:r w:rsidRPr="00261AAB">
        <w:rPr>
          <w:rFonts w:cs="Arial"/>
        </w:rPr>
        <w:t xml:space="preserve"> beta of </w:t>
      </w:r>
      <w:proofErr w:type="gramStart"/>
      <w:r>
        <w:rPr>
          <w:rFonts w:cs="Arial"/>
        </w:rPr>
        <w:t>0.77</w:t>
      </w:r>
      <w:r w:rsidRPr="00261AAB">
        <w:rPr>
          <w:rFonts w:cs="Arial"/>
        </w:rPr>
        <w:t>,</w:t>
      </w:r>
      <w:proofErr w:type="gramEnd"/>
      <w:r w:rsidRPr="00261AAB">
        <w:rPr>
          <w:rFonts w:cs="Arial"/>
        </w:rPr>
        <w:t xml:space="preserve"> and using </w:t>
      </w:r>
      <w:r w:rsidRPr="00261AAB">
        <w:rPr>
          <w:rFonts w:cs="Arial"/>
          <w:i/>
        </w:rPr>
        <w:t>Blue Chip</w:t>
      </w:r>
      <w:r>
        <w:rPr>
          <w:rFonts w:cs="Arial"/>
        </w:rPr>
        <w:t>’</w:t>
      </w:r>
      <w:r w:rsidRPr="00261AAB">
        <w:rPr>
          <w:rFonts w:cs="Arial"/>
        </w:rPr>
        <w:t>s projected risk-free rate of 3.</w:t>
      </w:r>
      <w:r>
        <w:rPr>
          <w:rFonts w:cs="Arial"/>
        </w:rPr>
        <w:t>4</w:t>
      </w:r>
      <w:r w:rsidRPr="00261AAB">
        <w:rPr>
          <w:rFonts w:cs="Arial"/>
        </w:rPr>
        <w:t xml:space="preserve">% will produce a CAPM return </w:t>
      </w:r>
      <w:r>
        <w:rPr>
          <w:rFonts w:cs="Arial"/>
        </w:rPr>
        <w:t>of 9.3%.</w:t>
      </w:r>
    </w:p>
    <w:p w:rsidR="0028388E" w:rsidRPr="00261AAB" w:rsidRDefault="0028388E" w:rsidP="0028388E">
      <w:pPr>
        <w:tabs>
          <w:tab w:val="left" w:pos="-1440"/>
          <w:tab w:val="left" w:pos="1440"/>
        </w:tabs>
        <w:spacing w:after="0" w:line="480" w:lineRule="auto"/>
        <w:ind w:left="720" w:hanging="720"/>
        <w:jc w:val="both"/>
        <w:rPr>
          <w:rFonts w:cs="Arial"/>
        </w:rPr>
      </w:pPr>
      <w:r w:rsidRPr="00261AAB">
        <w:rPr>
          <w:rFonts w:cs="Arial"/>
        </w:rPr>
        <w:tab/>
      </w:r>
      <w:r w:rsidRPr="00261AAB">
        <w:rPr>
          <w:rFonts w:cs="Arial"/>
        </w:rPr>
        <w:tab/>
        <w:t>Also, reflecting a complete build-out as recommended by Ibbotson</w:t>
      </w:r>
      <w:r>
        <w:rPr>
          <w:rFonts w:cs="Arial"/>
        </w:rPr>
        <w:t xml:space="preserve"> and Duff Phelps</w:t>
      </w:r>
      <w:r w:rsidRPr="00261AAB">
        <w:rPr>
          <w:rFonts w:cs="Arial"/>
        </w:rPr>
        <w:t xml:space="preserve"> on a basic CAPM return estimate, which includes the </w:t>
      </w:r>
      <w:r>
        <w:rPr>
          <w:rFonts w:cs="Arial"/>
        </w:rPr>
        <w:t>risk-free rate, market risk premium</w:t>
      </w:r>
      <w:r w:rsidRPr="00261AAB">
        <w:rPr>
          <w:rFonts w:cs="Arial"/>
        </w:rPr>
        <w:t xml:space="preserve">, a size adjustment and an industry risk premium, </w:t>
      </w:r>
      <w:r>
        <w:rPr>
          <w:rFonts w:cs="Arial"/>
        </w:rPr>
        <w:t>Mr. McKenzie’</w:t>
      </w:r>
      <w:r w:rsidRPr="00261AAB">
        <w:rPr>
          <w:rFonts w:cs="Arial"/>
        </w:rPr>
        <w:t xml:space="preserve">s size-adjusted CAPM return estimates would decline from </w:t>
      </w:r>
      <w:r>
        <w:rPr>
          <w:rFonts w:cs="Arial"/>
        </w:rPr>
        <w:t>10.3% and 10.6% to 8.1% and 9.0</w:t>
      </w:r>
      <w:r w:rsidRPr="00261AAB">
        <w:rPr>
          <w:rFonts w:cs="Arial"/>
        </w:rPr>
        <w:t>%</w:t>
      </w:r>
      <w:r>
        <w:rPr>
          <w:rFonts w:cs="Arial"/>
        </w:rPr>
        <w:t xml:space="preserve"> for his </w:t>
      </w:r>
      <w:r>
        <w:rPr>
          <w:szCs w:val="24"/>
        </w:rPr>
        <w:t>utility p</w:t>
      </w:r>
      <w:r w:rsidRPr="00261AAB">
        <w:rPr>
          <w:szCs w:val="24"/>
        </w:rPr>
        <w:t xml:space="preserve">roxy </w:t>
      </w:r>
      <w:r>
        <w:rPr>
          <w:szCs w:val="24"/>
        </w:rPr>
        <w:t>g</w:t>
      </w:r>
      <w:r w:rsidRPr="00261AAB">
        <w:rPr>
          <w:szCs w:val="24"/>
        </w:rPr>
        <w:t>roup</w:t>
      </w:r>
      <w:r>
        <w:rPr>
          <w:szCs w:val="24"/>
        </w:rPr>
        <w:t>.</w:t>
      </w:r>
    </w:p>
    <w:p w:rsidR="00F23557" w:rsidRPr="00654123" w:rsidRDefault="00F23557" w:rsidP="00F23557">
      <w:pPr>
        <w:tabs>
          <w:tab w:val="left" w:pos="1440"/>
        </w:tabs>
        <w:ind w:left="720" w:hanging="720"/>
        <w:jc w:val="both"/>
        <w:rPr>
          <w:b/>
        </w:rPr>
      </w:pPr>
      <w:r w:rsidRPr="00272985">
        <w:rPr>
          <w:b/>
        </w:rPr>
        <w:t>Q.</w:t>
      </w:r>
      <w:r w:rsidRPr="00272985">
        <w:rPr>
          <w:b/>
        </w:rPr>
        <w:tab/>
      </w:r>
      <w:r w:rsidRPr="00654123">
        <w:rPr>
          <w:b/>
        </w:rPr>
        <w:t>PLEASE DESCRIBE MR. MCKENZIE</w:t>
      </w:r>
      <w:r>
        <w:rPr>
          <w:b/>
        </w:rPr>
        <w:t>’</w:t>
      </w:r>
      <w:r w:rsidRPr="00654123">
        <w:rPr>
          <w:b/>
        </w:rPr>
        <w:t>S UTILITY RISK PREMIUM ANALYSIS.</w:t>
      </w:r>
    </w:p>
    <w:p w:rsidR="00F23557" w:rsidRPr="00261AAB" w:rsidRDefault="00F23557" w:rsidP="00F23557">
      <w:pPr>
        <w:tabs>
          <w:tab w:val="left" w:pos="-1440"/>
          <w:tab w:val="left" w:pos="1440"/>
        </w:tabs>
        <w:spacing w:after="0" w:line="480" w:lineRule="auto"/>
        <w:ind w:left="720" w:hanging="720"/>
        <w:jc w:val="both"/>
        <w:rPr>
          <w:rFonts w:eastAsia="Calibri"/>
          <w:szCs w:val="24"/>
        </w:rPr>
      </w:pPr>
      <w:r w:rsidRPr="00272985">
        <w:rPr>
          <w:rFonts w:eastAsia="Calibri"/>
          <w:b/>
          <w:szCs w:val="24"/>
        </w:rPr>
        <w:t>A.</w:t>
      </w:r>
      <w:r w:rsidRPr="00272985">
        <w:rPr>
          <w:rFonts w:eastAsia="Calibri"/>
          <w:b/>
          <w:szCs w:val="24"/>
        </w:rPr>
        <w:tab/>
      </w:r>
      <w:r>
        <w:rPr>
          <w:rFonts w:eastAsia="Calibri"/>
          <w:szCs w:val="24"/>
        </w:rPr>
        <w:t>Mr. McKenzie’</w:t>
      </w:r>
      <w:r w:rsidRPr="00261AAB">
        <w:rPr>
          <w:rFonts w:eastAsia="Calibri"/>
          <w:szCs w:val="24"/>
        </w:rPr>
        <w:t xml:space="preserve">s utility bond yield versus authorized return on common equity risk premium is shown in his </w:t>
      </w:r>
      <w:r>
        <w:rPr>
          <w:rFonts w:eastAsia="Calibri"/>
          <w:szCs w:val="24"/>
        </w:rPr>
        <w:t>Exhibit No.___</w:t>
      </w:r>
      <w:proofErr w:type="gramStart"/>
      <w:r>
        <w:rPr>
          <w:rFonts w:eastAsia="Calibri"/>
          <w:szCs w:val="24"/>
        </w:rPr>
        <w:t>_(</w:t>
      </w:r>
      <w:proofErr w:type="gramEnd"/>
      <w:r>
        <w:rPr>
          <w:rFonts w:eastAsia="Calibri"/>
          <w:szCs w:val="24"/>
        </w:rPr>
        <w:t>AMM-10)</w:t>
      </w:r>
      <w:r w:rsidRPr="00261AAB">
        <w:rPr>
          <w:rFonts w:eastAsia="Calibri"/>
          <w:szCs w:val="24"/>
        </w:rPr>
        <w:t xml:space="preserve">.  As shown on page 3 of this </w:t>
      </w:r>
      <w:r w:rsidRPr="00261AAB">
        <w:rPr>
          <w:rFonts w:eastAsia="Calibri"/>
          <w:szCs w:val="24"/>
        </w:rPr>
        <w:lastRenderedPageBreak/>
        <w:t xml:space="preserve">exhibit, </w:t>
      </w:r>
      <w:r>
        <w:rPr>
          <w:rFonts w:eastAsia="Calibri"/>
          <w:szCs w:val="24"/>
        </w:rPr>
        <w:t>Mr. McKenzie</w:t>
      </w:r>
      <w:r w:rsidRPr="00261AAB">
        <w:rPr>
          <w:rFonts w:eastAsia="Calibri"/>
          <w:szCs w:val="24"/>
        </w:rPr>
        <w:t xml:space="preserve"> estimated an annual equity risk premium by subtracting Moody</w:t>
      </w:r>
      <w:r>
        <w:rPr>
          <w:rFonts w:eastAsia="Calibri"/>
          <w:szCs w:val="24"/>
        </w:rPr>
        <w:t>’</w:t>
      </w:r>
      <w:r w:rsidRPr="00261AAB">
        <w:rPr>
          <w:rFonts w:eastAsia="Calibri"/>
          <w:szCs w:val="24"/>
        </w:rPr>
        <w:t xml:space="preserve">s </w:t>
      </w:r>
      <w:r>
        <w:rPr>
          <w:rFonts w:eastAsia="Calibri"/>
          <w:szCs w:val="24"/>
        </w:rPr>
        <w:t xml:space="preserve">utility </w:t>
      </w:r>
      <w:r w:rsidRPr="00261AAB">
        <w:rPr>
          <w:rFonts w:eastAsia="Calibri"/>
          <w:szCs w:val="24"/>
        </w:rPr>
        <w:t xml:space="preserve">bond yield from the </w:t>
      </w:r>
      <w:r>
        <w:rPr>
          <w:rFonts w:eastAsia="Calibri"/>
          <w:szCs w:val="24"/>
        </w:rPr>
        <w:t>electric</w:t>
      </w:r>
      <w:r w:rsidRPr="00261AAB">
        <w:rPr>
          <w:rFonts w:eastAsia="Calibri"/>
          <w:szCs w:val="24"/>
        </w:rPr>
        <w:t xml:space="preserve"> utility regulatory commission authorized return on common equity over the period 19</w:t>
      </w:r>
      <w:r>
        <w:rPr>
          <w:rFonts w:eastAsia="Calibri"/>
          <w:szCs w:val="24"/>
        </w:rPr>
        <w:t>74</w:t>
      </w:r>
      <w:r w:rsidRPr="00261AAB">
        <w:rPr>
          <w:rFonts w:eastAsia="Calibri"/>
          <w:szCs w:val="24"/>
        </w:rPr>
        <w:t xml:space="preserve"> through 201</w:t>
      </w:r>
      <w:r>
        <w:rPr>
          <w:rFonts w:eastAsia="Calibri"/>
          <w:szCs w:val="24"/>
        </w:rPr>
        <w:t>5</w:t>
      </w:r>
      <w:r w:rsidRPr="00261AAB">
        <w:rPr>
          <w:rFonts w:eastAsia="Calibri"/>
          <w:szCs w:val="24"/>
        </w:rPr>
        <w:t xml:space="preserve">.  Based on this analysis, </w:t>
      </w:r>
      <w:r>
        <w:rPr>
          <w:rFonts w:eastAsia="Calibri"/>
          <w:szCs w:val="24"/>
        </w:rPr>
        <w:t>Mr. McKenzie</w:t>
      </w:r>
      <w:r w:rsidRPr="00261AAB">
        <w:rPr>
          <w:rFonts w:eastAsia="Calibri"/>
          <w:szCs w:val="24"/>
        </w:rPr>
        <w:t xml:space="preserve"> estimates an average indicated equity risk premium over utility bond yields of 3.</w:t>
      </w:r>
      <w:r>
        <w:rPr>
          <w:rFonts w:eastAsia="Calibri"/>
          <w:szCs w:val="24"/>
        </w:rPr>
        <w:t>62</w:t>
      </w:r>
      <w:r w:rsidRPr="00261AAB">
        <w:rPr>
          <w:rFonts w:eastAsia="Calibri"/>
          <w:szCs w:val="24"/>
        </w:rPr>
        <w:t xml:space="preserve">%.  </w:t>
      </w:r>
    </w:p>
    <w:p w:rsidR="00F23557" w:rsidRPr="00261AAB" w:rsidRDefault="00F23557" w:rsidP="00F23557">
      <w:pPr>
        <w:tabs>
          <w:tab w:val="left" w:pos="-1440"/>
          <w:tab w:val="left" w:pos="1440"/>
        </w:tabs>
        <w:spacing w:after="0" w:line="480" w:lineRule="auto"/>
        <w:ind w:left="720" w:hanging="720"/>
        <w:jc w:val="both"/>
        <w:rPr>
          <w:rFonts w:eastAsia="Calibri"/>
          <w:szCs w:val="24"/>
        </w:rPr>
      </w:pPr>
      <w:r w:rsidRPr="00261AAB">
        <w:rPr>
          <w:rFonts w:eastAsia="Calibri"/>
          <w:szCs w:val="24"/>
        </w:rPr>
        <w:tab/>
      </w:r>
      <w:r w:rsidRPr="00261AAB">
        <w:rPr>
          <w:rFonts w:eastAsia="Calibri"/>
          <w:szCs w:val="24"/>
        </w:rPr>
        <w:tab/>
      </w:r>
      <w:r>
        <w:rPr>
          <w:rFonts w:eastAsia="Calibri"/>
          <w:szCs w:val="24"/>
        </w:rPr>
        <w:t>Mr. McKenzie</w:t>
      </w:r>
      <w:r w:rsidRPr="00261AAB">
        <w:rPr>
          <w:rFonts w:eastAsia="Calibri"/>
          <w:szCs w:val="24"/>
        </w:rPr>
        <w:t xml:space="preserve"> then adjusts this average equity risk premium using a regression analysis based on an expectation that there is an ongoing inverse relationship between interest rates and equity risk premiums.  </w:t>
      </w:r>
      <w:r>
        <w:rPr>
          <w:rFonts w:eastAsia="Calibri"/>
          <w:szCs w:val="24"/>
        </w:rPr>
        <w:t>Using</w:t>
      </w:r>
      <w:r w:rsidRPr="00261AAB">
        <w:rPr>
          <w:rFonts w:eastAsia="Calibri"/>
          <w:szCs w:val="24"/>
        </w:rPr>
        <w:t xml:space="preserve"> this regression analysis, </w:t>
      </w:r>
      <w:r>
        <w:rPr>
          <w:rFonts w:eastAsia="Calibri"/>
          <w:szCs w:val="24"/>
        </w:rPr>
        <w:t>Mr. McKenzie</w:t>
      </w:r>
      <w:r w:rsidRPr="00261AAB">
        <w:rPr>
          <w:rFonts w:eastAsia="Calibri"/>
          <w:szCs w:val="24"/>
        </w:rPr>
        <w:t xml:space="preserve"> increases his equity risk premium from 3.</w:t>
      </w:r>
      <w:r>
        <w:rPr>
          <w:rFonts w:eastAsia="Calibri"/>
          <w:szCs w:val="24"/>
        </w:rPr>
        <w:t>62</w:t>
      </w:r>
      <w:r w:rsidRPr="00261AAB">
        <w:rPr>
          <w:rFonts w:eastAsia="Calibri"/>
          <w:szCs w:val="24"/>
        </w:rPr>
        <w:t xml:space="preserve">%, up to </w:t>
      </w:r>
      <w:r>
        <w:rPr>
          <w:rFonts w:eastAsia="Calibri"/>
          <w:szCs w:val="24"/>
        </w:rPr>
        <w:t>5.26</w:t>
      </w:r>
      <w:r w:rsidRPr="00261AAB">
        <w:rPr>
          <w:rFonts w:eastAsia="Calibri"/>
          <w:szCs w:val="24"/>
        </w:rPr>
        <w:t xml:space="preserve">% and </w:t>
      </w:r>
      <w:r>
        <w:rPr>
          <w:rFonts w:eastAsia="Calibri"/>
          <w:szCs w:val="24"/>
        </w:rPr>
        <w:t>4.52</w:t>
      </w:r>
      <w:r w:rsidRPr="00261AAB">
        <w:rPr>
          <w:rFonts w:eastAsia="Calibri"/>
          <w:szCs w:val="24"/>
        </w:rPr>
        <w:t xml:space="preserve">% relative to current and projected </w:t>
      </w:r>
      <w:r>
        <w:rPr>
          <w:rFonts w:eastAsia="Calibri"/>
          <w:szCs w:val="24"/>
        </w:rPr>
        <w:t xml:space="preserve">Baa </w:t>
      </w:r>
      <w:r w:rsidRPr="00261AAB">
        <w:rPr>
          <w:rFonts w:eastAsia="Calibri"/>
          <w:szCs w:val="24"/>
        </w:rPr>
        <w:t>rated bond yields.</w:t>
      </w:r>
      <w:r w:rsidRPr="0047347A">
        <w:rPr>
          <w:rFonts w:eastAsia="Calibri"/>
          <w:u w:val="single"/>
          <w:vertAlign w:val="superscript"/>
        </w:rPr>
        <w:footnoteReference w:id="44"/>
      </w:r>
      <w:proofErr w:type="gramStart"/>
      <w:r w:rsidRPr="0047347A">
        <w:rPr>
          <w:szCs w:val="24"/>
          <w:vertAlign w:val="superscript"/>
        </w:rPr>
        <w:t>/</w:t>
      </w:r>
      <w:r w:rsidRPr="00261AAB">
        <w:rPr>
          <w:rFonts w:eastAsia="Calibri"/>
          <w:szCs w:val="24"/>
        </w:rPr>
        <w:t xml:space="preserve">  He</w:t>
      </w:r>
      <w:proofErr w:type="gramEnd"/>
      <w:r w:rsidRPr="00261AAB">
        <w:rPr>
          <w:rFonts w:eastAsia="Calibri"/>
          <w:szCs w:val="24"/>
        </w:rPr>
        <w:t xml:space="preserve"> then adds </w:t>
      </w:r>
      <w:r>
        <w:rPr>
          <w:rFonts w:eastAsia="Calibri"/>
          <w:szCs w:val="24"/>
        </w:rPr>
        <w:t xml:space="preserve">these </w:t>
      </w:r>
      <w:r w:rsidRPr="00261AAB">
        <w:rPr>
          <w:rFonts w:eastAsia="Calibri"/>
          <w:szCs w:val="24"/>
        </w:rPr>
        <w:t>inflated equity risk premium</w:t>
      </w:r>
      <w:r>
        <w:rPr>
          <w:rFonts w:eastAsia="Calibri"/>
          <w:szCs w:val="24"/>
        </w:rPr>
        <w:t>s</w:t>
      </w:r>
      <w:r w:rsidRPr="00261AAB">
        <w:rPr>
          <w:rFonts w:eastAsia="Calibri"/>
          <w:szCs w:val="24"/>
        </w:rPr>
        <w:t xml:space="preserve"> to the current and projected B</w:t>
      </w:r>
      <w:r>
        <w:rPr>
          <w:rFonts w:eastAsia="Calibri"/>
          <w:szCs w:val="24"/>
        </w:rPr>
        <w:t>aa</w:t>
      </w:r>
      <w:r w:rsidRPr="00261AAB">
        <w:rPr>
          <w:rFonts w:eastAsia="Calibri"/>
          <w:szCs w:val="24"/>
        </w:rPr>
        <w:t xml:space="preserve"> rated utility bond yield of </w:t>
      </w:r>
      <w:r>
        <w:rPr>
          <w:rFonts w:eastAsia="Calibri"/>
          <w:szCs w:val="24"/>
        </w:rPr>
        <w:t>5.41</w:t>
      </w:r>
      <w:r w:rsidRPr="00261AAB">
        <w:rPr>
          <w:rFonts w:eastAsia="Calibri"/>
          <w:szCs w:val="24"/>
        </w:rPr>
        <w:t xml:space="preserve">% to </w:t>
      </w:r>
      <w:r>
        <w:rPr>
          <w:rFonts w:eastAsia="Calibri"/>
          <w:szCs w:val="24"/>
        </w:rPr>
        <w:t>7.14</w:t>
      </w:r>
      <w:r w:rsidRPr="00261AAB">
        <w:rPr>
          <w:rFonts w:eastAsia="Calibri"/>
          <w:szCs w:val="24"/>
        </w:rPr>
        <w:t>%, to produce a return on equity of 10.</w:t>
      </w:r>
      <w:r>
        <w:rPr>
          <w:rFonts w:eastAsia="Calibri"/>
          <w:szCs w:val="24"/>
        </w:rPr>
        <w:t>67</w:t>
      </w:r>
      <w:r w:rsidRPr="00261AAB">
        <w:rPr>
          <w:rFonts w:eastAsia="Calibri"/>
          <w:szCs w:val="24"/>
        </w:rPr>
        <w:t>% to 11.</w:t>
      </w:r>
      <w:r>
        <w:rPr>
          <w:rFonts w:eastAsia="Calibri"/>
          <w:szCs w:val="24"/>
        </w:rPr>
        <w:t>66</w:t>
      </w:r>
      <w:r w:rsidRPr="00261AAB">
        <w:rPr>
          <w:rFonts w:eastAsia="Calibri"/>
          <w:szCs w:val="24"/>
        </w:rPr>
        <w:t>%.</w:t>
      </w:r>
      <w:r w:rsidRPr="0047347A">
        <w:rPr>
          <w:rFonts w:eastAsia="Calibri"/>
          <w:u w:val="single"/>
          <w:vertAlign w:val="superscript"/>
        </w:rPr>
        <w:footnoteReference w:id="45"/>
      </w:r>
      <w:r w:rsidRPr="0047347A">
        <w:rPr>
          <w:szCs w:val="24"/>
          <w:vertAlign w:val="superscript"/>
        </w:rPr>
        <w:t>/</w:t>
      </w:r>
      <w:r w:rsidRPr="00261AAB">
        <w:rPr>
          <w:rFonts w:eastAsia="Calibri"/>
          <w:szCs w:val="24"/>
        </w:rPr>
        <w:t xml:space="preserve">  </w:t>
      </w:r>
    </w:p>
    <w:p w:rsidR="00F23557" w:rsidRPr="00261AAB" w:rsidRDefault="00F23557" w:rsidP="00F23557">
      <w:pPr>
        <w:tabs>
          <w:tab w:val="left" w:pos="-1440"/>
          <w:tab w:val="left" w:pos="1440"/>
        </w:tabs>
        <w:spacing w:after="0" w:line="480" w:lineRule="auto"/>
        <w:ind w:left="720" w:hanging="720"/>
        <w:jc w:val="both"/>
        <w:rPr>
          <w:rFonts w:eastAsia="Calibri"/>
          <w:szCs w:val="24"/>
        </w:rPr>
      </w:pPr>
      <w:r w:rsidRPr="00261AAB">
        <w:rPr>
          <w:rFonts w:eastAsia="Calibri"/>
          <w:szCs w:val="24"/>
        </w:rPr>
        <w:tab/>
      </w:r>
      <w:r w:rsidRPr="00261AAB">
        <w:rPr>
          <w:rFonts w:eastAsia="Calibri"/>
          <w:szCs w:val="24"/>
        </w:rPr>
        <w:tab/>
      </w:r>
      <w:r>
        <w:rPr>
          <w:rFonts w:eastAsia="Calibri"/>
          <w:szCs w:val="24"/>
        </w:rPr>
        <w:t>Mr. McKenzie’</w:t>
      </w:r>
      <w:r w:rsidRPr="00261AAB">
        <w:rPr>
          <w:rFonts w:eastAsia="Calibri"/>
          <w:szCs w:val="24"/>
        </w:rPr>
        <w:t xml:space="preserve">s risk premium analysis is overstated because of a highly suspect and inflated projected Baa bond yield of </w:t>
      </w:r>
      <w:r>
        <w:rPr>
          <w:rFonts w:eastAsia="Calibri"/>
          <w:szCs w:val="24"/>
        </w:rPr>
        <w:t>7.14</w:t>
      </w:r>
      <w:r w:rsidRPr="00261AAB">
        <w:rPr>
          <w:rFonts w:eastAsia="Calibri"/>
          <w:szCs w:val="24"/>
        </w:rPr>
        <w:t>%, and his development of risk premiums is based on the flawed and incomplete assumption that equity risk premiums change by only changes in interest rates.  Academic literature is clear that equity risk premiums change based on differences in the perceived risk of equity securities versus bond securities, not simply caused by only changes in nominal interest rates.</w:t>
      </w:r>
    </w:p>
    <w:p w:rsidR="00F23557" w:rsidRPr="00654123" w:rsidRDefault="00F23557" w:rsidP="00F23557">
      <w:pPr>
        <w:tabs>
          <w:tab w:val="left" w:pos="1440"/>
        </w:tabs>
        <w:ind w:left="720" w:hanging="720"/>
        <w:jc w:val="both"/>
        <w:rPr>
          <w:b/>
        </w:rPr>
      </w:pPr>
      <w:r w:rsidRPr="00272985">
        <w:rPr>
          <w:b/>
        </w:rPr>
        <w:t>Q.</w:t>
      </w:r>
      <w:r w:rsidRPr="00272985">
        <w:rPr>
          <w:b/>
        </w:rPr>
        <w:tab/>
      </w:r>
      <w:r w:rsidRPr="00654123">
        <w:rPr>
          <w:b/>
        </w:rPr>
        <w:t>DO YOU HAVE ANY COMMENTS CONCERNING MR. MCKENZIE</w:t>
      </w:r>
      <w:r>
        <w:rPr>
          <w:b/>
        </w:rPr>
        <w:t>’</w:t>
      </w:r>
      <w:r w:rsidRPr="00654123">
        <w:rPr>
          <w:b/>
        </w:rPr>
        <w:t xml:space="preserve">S PROJECTED UTILITY YIELD OF </w:t>
      </w:r>
      <w:r>
        <w:rPr>
          <w:b/>
        </w:rPr>
        <w:t>7.14</w:t>
      </w:r>
      <w:r w:rsidRPr="00654123">
        <w:rPr>
          <w:b/>
        </w:rPr>
        <w:t>%?</w:t>
      </w:r>
    </w:p>
    <w:p w:rsidR="00F23557" w:rsidRPr="00261AAB" w:rsidRDefault="00F23557" w:rsidP="00F23557">
      <w:pPr>
        <w:tabs>
          <w:tab w:val="left" w:pos="-1440"/>
          <w:tab w:val="left" w:pos="1440"/>
        </w:tabs>
        <w:spacing w:after="0" w:line="480" w:lineRule="auto"/>
        <w:ind w:left="720" w:hanging="720"/>
        <w:jc w:val="both"/>
        <w:rPr>
          <w:szCs w:val="24"/>
        </w:rPr>
      </w:pPr>
      <w:r w:rsidRPr="00272985">
        <w:rPr>
          <w:b/>
          <w:szCs w:val="24"/>
        </w:rPr>
        <w:t>A.</w:t>
      </w:r>
      <w:r w:rsidRPr="00272985">
        <w:rPr>
          <w:b/>
          <w:szCs w:val="24"/>
        </w:rPr>
        <w:tab/>
      </w:r>
      <w:r w:rsidRPr="00261AAB">
        <w:rPr>
          <w:szCs w:val="24"/>
        </w:rPr>
        <w:t xml:space="preserve">Yes.  </w:t>
      </w:r>
      <w:r>
        <w:rPr>
          <w:szCs w:val="24"/>
        </w:rPr>
        <w:t>Mr. McKenzie</w:t>
      </w:r>
      <w:r w:rsidR="00C54F66">
        <w:rPr>
          <w:szCs w:val="24"/>
        </w:rPr>
        <w:t xml:space="preserve"> uses a projected AA </w:t>
      </w:r>
      <w:r w:rsidRPr="00261AAB">
        <w:rPr>
          <w:szCs w:val="24"/>
        </w:rPr>
        <w:t>utility bond yield for the period 201</w:t>
      </w:r>
      <w:r>
        <w:rPr>
          <w:szCs w:val="24"/>
        </w:rPr>
        <w:t>6</w:t>
      </w:r>
      <w:r w:rsidRPr="00261AAB">
        <w:rPr>
          <w:szCs w:val="24"/>
        </w:rPr>
        <w:t xml:space="preserve"> through 20</w:t>
      </w:r>
      <w:r>
        <w:rPr>
          <w:szCs w:val="24"/>
        </w:rPr>
        <w:t>20</w:t>
      </w:r>
      <w:r w:rsidRPr="00261AAB">
        <w:rPr>
          <w:szCs w:val="24"/>
        </w:rPr>
        <w:t xml:space="preserve"> in the range of </w:t>
      </w:r>
      <w:r>
        <w:rPr>
          <w:szCs w:val="24"/>
        </w:rPr>
        <w:t>5.67</w:t>
      </w:r>
      <w:r w:rsidRPr="00261AAB">
        <w:rPr>
          <w:szCs w:val="24"/>
        </w:rPr>
        <w:t>% to 6.</w:t>
      </w:r>
      <w:r>
        <w:rPr>
          <w:szCs w:val="24"/>
        </w:rPr>
        <w:t>17</w:t>
      </w:r>
      <w:r w:rsidRPr="00261AAB">
        <w:rPr>
          <w:szCs w:val="24"/>
        </w:rPr>
        <w:t xml:space="preserve">%, with a midpoint of </w:t>
      </w:r>
      <w:r>
        <w:rPr>
          <w:szCs w:val="24"/>
        </w:rPr>
        <w:t>5.92</w:t>
      </w:r>
      <w:r w:rsidRPr="00261AAB">
        <w:rPr>
          <w:szCs w:val="24"/>
        </w:rPr>
        <w:t xml:space="preserve">%.  He then adds a </w:t>
      </w:r>
      <w:r w:rsidRPr="00261AAB">
        <w:rPr>
          <w:szCs w:val="24"/>
        </w:rPr>
        <w:lastRenderedPageBreak/>
        <w:t>current yield spread for BBB-rated and AA-rated utility bond yields</w:t>
      </w:r>
      <w:r>
        <w:rPr>
          <w:szCs w:val="24"/>
        </w:rPr>
        <w:t xml:space="preserve"> of 1.22% to produce his projected yield of 7.14%</w:t>
      </w:r>
      <w:r w:rsidRPr="00261AAB">
        <w:rPr>
          <w:szCs w:val="24"/>
        </w:rPr>
        <w:t>.  This projected yield is stale and incomplete.</w:t>
      </w:r>
      <w:r w:rsidRPr="0047347A">
        <w:rPr>
          <w:u w:val="single"/>
          <w:vertAlign w:val="superscript"/>
        </w:rPr>
        <w:footnoteReference w:id="46"/>
      </w:r>
      <w:proofErr w:type="gramStart"/>
      <w:r w:rsidRPr="0047347A">
        <w:rPr>
          <w:szCs w:val="24"/>
          <w:vertAlign w:val="superscript"/>
        </w:rPr>
        <w:t>/</w:t>
      </w:r>
      <w:r w:rsidRPr="00261AAB">
        <w:rPr>
          <w:szCs w:val="24"/>
        </w:rPr>
        <w:t xml:space="preserve">  Current</w:t>
      </w:r>
      <w:proofErr w:type="gramEnd"/>
      <w:r w:rsidRPr="00261AAB">
        <w:rPr>
          <w:szCs w:val="24"/>
        </w:rPr>
        <w:t xml:space="preserve"> A</w:t>
      </w:r>
      <w:r w:rsidR="00C54F66">
        <w:rPr>
          <w:szCs w:val="24"/>
        </w:rPr>
        <w:t>A</w:t>
      </w:r>
      <w:r w:rsidRPr="00261AAB">
        <w:rPr>
          <w:szCs w:val="24"/>
        </w:rPr>
        <w:t xml:space="preserve"> utility bond yields are approximately </w:t>
      </w:r>
      <w:r>
        <w:rPr>
          <w:szCs w:val="24"/>
        </w:rPr>
        <w:t>3.</w:t>
      </w:r>
      <w:r w:rsidR="00C54F66">
        <w:rPr>
          <w:szCs w:val="24"/>
        </w:rPr>
        <w:t>5</w:t>
      </w:r>
      <w:r w:rsidRPr="00261AAB">
        <w:rPr>
          <w:szCs w:val="24"/>
        </w:rPr>
        <w:t>%</w:t>
      </w:r>
      <w:r>
        <w:rPr>
          <w:szCs w:val="24"/>
        </w:rPr>
        <w:t xml:space="preserve"> as of the 13-week period ending July 22, 2016</w:t>
      </w:r>
      <w:r w:rsidRPr="00261AAB">
        <w:rPr>
          <w:szCs w:val="24"/>
        </w:rPr>
        <w:t xml:space="preserve">.  </w:t>
      </w:r>
      <w:r>
        <w:rPr>
          <w:szCs w:val="24"/>
        </w:rPr>
        <w:t>Mr. McKenzie’</w:t>
      </w:r>
      <w:r w:rsidRPr="00261AAB">
        <w:rPr>
          <w:szCs w:val="24"/>
        </w:rPr>
        <w:t xml:space="preserve">s projected increase to </w:t>
      </w:r>
      <w:r w:rsidR="00C54F66">
        <w:rPr>
          <w:szCs w:val="24"/>
        </w:rPr>
        <w:t>A</w:t>
      </w:r>
      <w:r w:rsidRPr="00261AAB">
        <w:rPr>
          <w:szCs w:val="24"/>
        </w:rPr>
        <w:t xml:space="preserve">A utility bond yields does not reflect consensus market outlooks.  </w:t>
      </w:r>
    </w:p>
    <w:p w:rsidR="00F23557" w:rsidRPr="00654123" w:rsidRDefault="00F23557" w:rsidP="00F23557">
      <w:pPr>
        <w:tabs>
          <w:tab w:val="left" w:pos="1440"/>
        </w:tabs>
        <w:ind w:left="720" w:hanging="720"/>
        <w:jc w:val="both"/>
        <w:rPr>
          <w:b/>
        </w:rPr>
      </w:pPr>
      <w:r w:rsidRPr="00272985">
        <w:rPr>
          <w:b/>
        </w:rPr>
        <w:t>Q.</w:t>
      </w:r>
      <w:r w:rsidRPr="00272985">
        <w:rPr>
          <w:b/>
        </w:rPr>
        <w:tab/>
      </w:r>
      <w:r w:rsidRPr="00654123">
        <w:rPr>
          <w:b/>
        </w:rPr>
        <w:t>WHY IS MR. MCKENZIE</w:t>
      </w:r>
      <w:r>
        <w:rPr>
          <w:b/>
        </w:rPr>
        <w:t>’</w:t>
      </w:r>
      <w:r w:rsidRPr="00654123">
        <w:rPr>
          <w:b/>
        </w:rPr>
        <w:t>S USE OF A SIMPLE INVERSE RELATIONSHIP BETWEEN INTEREST RATES AND EQUITY RISK PREMIUMS UNREASONABLE?</w:t>
      </w:r>
    </w:p>
    <w:p w:rsidR="00F23557" w:rsidRPr="00261AAB" w:rsidRDefault="00F23557" w:rsidP="00F23557">
      <w:pPr>
        <w:tabs>
          <w:tab w:val="left" w:pos="-1440"/>
          <w:tab w:val="left" w:pos="1440"/>
        </w:tabs>
        <w:spacing w:after="0" w:line="480" w:lineRule="auto"/>
        <w:ind w:left="720" w:hanging="720"/>
        <w:jc w:val="both"/>
        <w:rPr>
          <w:rFonts w:eastAsia="Calibri"/>
          <w:szCs w:val="24"/>
        </w:rPr>
      </w:pPr>
      <w:r w:rsidRPr="00272985">
        <w:rPr>
          <w:rFonts w:eastAsia="Calibri"/>
          <w:b/>
          <w:szCs w:val="24"/>
        </w:rPr>
        <w:t>A.</w:t>
      </w:r>
      <w:r w:rsidRPr="00272985">
        <w:rPr>
          <w:rFonts w:eastAsia="Calibri"/>
          <w:b/>
          <w:szCs w:val="24"/>
        </w:rPr>
        <w:tab/>
      </w:r>
      <w:r>
        <w:rPr>
          <w:rFonts w:eastAsia="Calibri"/>
          <w:szCs w:val="24"/>
        </w:rPr>
        <w:t>Mr. McKenzie’</w:t>
      </w:r>
      <w:r w:rsidRPr="00261AAB">
        <w:rPr>
          <w:rFonts w:eastAsia="Calibri"/>
          <w:szCs w:val="24"/>
        </w:rPr>
        <w:t>s belief that there is a simpl</w:t>
      </w:r>
      <w:r>
        <w:rPr>
          <w:rFonts w:eastAsia="Calibri"/>
          <w:szCs w:val="24"/>
        </w:rPr>
        <w:t>e</w:t>
      </w:r>
      <w:r w:rsidRPr="00261AAB">
        <w:rPr>
          <w:rFonts w:eastAsia="Calibri"/>
          <w:szCs w:val="24"/>
        </w:rPr>
        <w:t xml:space="preserve"> inverse relationship between equity risk premiums and interest rates is </w:t>
      </w:r>
      <w:r>
        <w:rPr>
          <w:rFonts w:eastAsia="Calibri"/>
          <w:szCs w:val="24"/>
        </w:rPr>
        <w:t>unsupported</w:t>
      </w:r>
      <w:r w:rsidRPr="00261AAB">
        <w:rPr>
          <w:rFonts w:eastAsia="Calibri"/>
          <w:szCs w:val="24"/>
        </w:rPr>
        <w:t xml:space="preserve"> by academic research.  While academic studies have shown that, in the past, there has been an inverse relationship with these variables, researchers have found that the relationship changes over time and is influenced by changes in perception of the risk of bond investments relative to equity investments, and not simply changes to interest rates.</w:t>
      </w:r>
      <w:r w:rsidRPr="0047347A">
        <w:rPr>
          <w:rFonts w:eastAsia="Calibri"/>
          <w:szCs w:val="24"/>
          <w:u w:val="single"/>
          <w:vertAlign w:val="superscript"/>
        </w:rPr>
        <w:footnoteReference w:id="47"/>
      </w:r>
      <w:r w:rsidRPr="0047347A">
        <w:rPr>
          <w:szCs w:val="24"/>
          <w:vertAlign w:val="superscript"/>
        </w:rPr>
        <w:t>/</w:t>
      </w:r>
      <w:r w:rsidRPr="00261AAB">
        <w:rPr>
          <w:rFonts w:eastAsia="Calibri"/>
          <w:szCs w:val="24"/>
        </w:rPr>
        <w:t xml:space="preserve">  </w:t>
      </w:r>
    </w:p>
    <w:p w:rsidR="00F23557" w:rsidRPr="00261AAB" w:rsidRDefault="00F23557" w:rsidP="00F23557">
      <w:pPr>
        <w:tabs>
          <w:tab w:val="left" w:pos="-1440"/>
          <w:tab w:val="left" w:pos="1440"/>
        </w:tabs>
        <w:spacing w:after="0" w:line="480" w:lineRule="auto"/>
        <w:ind w:left="720" w:hanging="720"/>
        <w:jc w:val="both"/>
        <w:rPr>
          <w:rFonts w:eastAsia="Calibri"/>
          <w:szCs w:val="24"/>
        </w:rPr>
      </w:pPr>
      <w:r w:rsidRPr="00261AAB">
        <w:rPr>
          <w:rFonts w:eastAsia="Calibri"/>
          <w:szCs w:val="24"/>
        </w:rPr>
        <w:tab/>
      </w:r>
      <w:r w:rsidRPr="00261AAB">
        <w:rPr>
          <w:rFonts w:eastAsia="Calibri"/>
          <w:szCs w:val="24"/>
        </w:rPr>
        <w:tab/>
        <w:t>In the 1980s, equity risk premiums were inversely related to interest rates, but that was likely attributable to the interest rate volatility that existed at that time.  Interest rate volatility currently is much lower than it was in the 1980s.</w:t>
      </w:r>
      <w:r w:rsidRPr="0047347A">
        <w:rPr>
          <w:rFonts w:eastAsia="Calibri"/>
          <w:szCs w:val="24"/>
          <w:u w:val="single"/>
          <w:vertAlign w:val="superscript"/>
        </w:rPr>
        <w:footnoteReference w:id="48"/>
      </w:r>
      <w:proofErr w:type="gramStart"/>
      <w:r w:rsidRPr="0047347A">
        <w:rPr>
          <w:szCs w:val="24"/>
          <w:vertAlign w:val="superscript"/>
        </w:rPr>
        <w:t>/</w:t>
      </w:r>
      <w:r w:rsidRPr="00261AAB">
        <w:rPr>
          <w:rFonts w:eastAsia="Calibri"/>
          <w:szCs w:val="24"/>
        </w:rPr>
        <w:t xml:space="preserve">  As</w:t>
      </w:r>
      <w:proofErr w:type="gramEnd"/>
      <w:r w:rsidRPr="00261AAB">
        <w:rPr>
          <w:rFonts w:eastAsia="Calibri"/>
          <w:szCs w:val="24"/>
        </w:rPr>
        <w:t xml:space="preserve"> such, when interest rates were more volatile, the relative perception of bond investment risk increased relative to the investment risk of equities.  This changing investment risk perception caused changes in equity risk premiums.  </w:t>
      </w:r>
    </w:p>
    <w:p w:rsidR="00F23557" w:rsidRPr="00261AAB" w:rsidRDefault="00F23557" w:rsidP="00F23557">
      <w:pPr>
        <w:tabs>
          <w:tab w:val="left" w:pos="-1440"/>
          <w:tab w:val="left" w:pos="1440"/>
        </w:tabs>
        <w:spacing w:after="0" w:line="480" w:lineRule="auto"/>
        <w:ind w:left="720" w:hanging="720"/>
        <w:jc w:val="both"/>
        <w:rPr>
          <w:rFonts w:eastAsia="Calibri"/>
          <w:szCs w:val="24"/>
        </w:rPr>
      </w:pPr>
      <w:r w:rsidRPr="00261AAB">
        <w:rPr>
          <w:rFonts w:eastAsia="Calibri"/>
          <w:szCs w:val="24"/>
        </w:rPr>
        <w:lastRenderedPageBreak/>
        <w:tab/>
      </w:r>
      <w:r w:rsidRPr="00261AAB">
        <w:rPr>
          <w:rFonts w:eastAsia="Calibri"/>
          <w:szCs w:val="24"/>
        </w:rPr>
        <w:tab/>
        <w:t>In today</w:t>
      </w:r>
      <w:r>
        <w:rPr>
          <w:rFonts w:eastAsia="Calibri"/>
          <w:szCs w:val="24"/>
        </w:rPr>
        <w:t>’</w:t>
      </w:r>
      <w:r w:rsidRPr="00261AAB">
        <w:rPr>
          <w:rFonts w:eastAsia="Calibri"/>
          <w:szCs w:val="24"/>
        </w:rPr>
        <w:t xml:space="preserve">s marketplace, interest rate variability is not as extreme as it was during the 1980s.  Nevertheless, changes in the perceived risk of bond investments relative to equity investments still drive changes in equity premiums.  However, a relative investment risk differential cannot be measured simply by observing nominal interest rates.  Changes in nominal interest rates are highly influenced by changes to inflation outlooks, which also change equity return expectations.  As such, the relevant factor needed to explain changes in equity risk premiums is the relative changes to the risk of equity versus debt securities investments, not simply changes to interest rates.  </w:t>
      </w:r>
    </w:p>
    <w:p w:rsidR="00F23557" w:rsidRPr="00261AAB" w:rsidRDefault="00F23557" w:rsidP="00F23557">
      <w:pPr>
        <w:tabs>
          <w:tab w:val="left" w:pos="-1440"/>
          <w:tab w:val="left" w:pos="1440"/>
        </w:tabs>
        <w:spacing w:after="0" w:line="480" w:lineRule="auto"/>
        <w:ind w:left="720" w:hanging="720"/>
        <w:jc w:val="both"/>
        <w:rPr>
          <w:rFonts w:eastAsia="Calibri"/>
          <w:szCs w:val="24"/>
        </w:rPr>
      </w:pPr>
      <w:r w:rsidRPr="00261AAB">
        <w:rPr>
          <w:rFonts w:eastAsia="Calibri"/>
          <w:szCs w:val="24"/>
        </w:rPr>
        <w:tab/>
      </w:r>
      <w:r w:rsidRPr="00261AAB">
        <w:rPr>
          <w:rFonts w:eastAsia="Calibri"/>
          <w:szCs w:val="24"/>
        </w:rPr>
        <w:tab/>
        <w:t xml:space="preserve">Importantly, </w:t>
      </w:r>
      <w:r>
        <w:rPr>
          <w:rFonts w:eastAsia="Calibri"/>
          <w:szCs w:val="24"/>
        </w:rPr>
        <w:t>Mr. McKenzie’</w:t>
      </w:r>
      <w:r w:rsidRPr="00261AAB">
        <w:rPr>
          <w:rFonts w:eastAsia="Calibri"/>
          <w:szCs w:val="24"/>
        </w:rPr>
        <w:t xml:space="preserve">s analysis ignores investment risk differentials.  He bases his adjustment to the equity risk premium exclusively on changes in nominal interest rates.  This is a flawed methodology and does not produce accurate or reliable risk premium return on equity estimates.  His results should be rejected by the </w:t>
      </w:r>
      <w:r>
        <w:rPr>
          <w:szCs w:val="24"/>
        </w:rPr>
        <w:t>Commission</w:t>
      </w:r>
      <w:r w:rsidRPr="00261AAB">
        <w:rPr>
          <w:rFonts w:eastAsia="Calibri"/>
          <w:szCs w:val="24"/>
        </w:rPr>
        <w:t>.</w:t>
      </w:r>
    </w:p>
    <w:p w:rsidR="00F23557" w:rsidRPr="00654123" w:rsidRDefault="00F23557" w:rsidP="00F23557">
      <w:pPr>
        <w:tabs>
          <w:tab w:val="left" w:pos="1440"/>
        </w:tabs>
        <w:ind w:left="720" w:hanging="720"/>
        <w:jc w:val="both"/>
        <w:rPr>
          <w:b/>
        </w:rPr>
      </w:pPr>
      <w:r w:rsidRPr="00272985">
        <w:rPr>
          <w:b/>
        </w:rPr>
        <w:t>Q.</w:t>
      </w:r>
      <w:r w:rsidRPr="00272985">
        <w:rPr>
          <w:b/>
        </w:rPr>
        <w:tab/>
      </w:r>
      <w:r w:rsidRPr="00654123">
        <w:rPr>
          <w:b/>
        </w:rPr>
        <w:t>CAN MR. MCKENZIE</w:t>
      </w:r>
      <w:r>
        <w:rPr>
          <w:b/>
        </w:rPr>
        <w:t>’</w:t>
      </w:r>
      <w:r w:rsidRPr="00654123">
        <w:rPr>
          <w:b/>
        </w:rPr>
        <w:t>S RISK PREMIUM ANALYSES BASED ON PROJECTED YIELDS BE MODIFIED TO PRODUCE MORE REASONABLE RESULTS?</w:t>
      </w:r>
    </w:p>
    <w:p w:rsidR="00F23557" w:rsidRPr="00261AAB" w:rsidRDefault="00F23557" w:rsidP="00F23557">
      <w:pPr>
        <w:tabs>
          <w:tab w:val="left" w:pos="-1440"/>
          <w:tab w:val="left" w:pos="1440"/>
        </w:tabs>
        <w:spacing w:after="0" w:line="480" w:lineRule="auto"/>
        <w:ind w:left="720" w:hanging="720"/>
        <w:jc w:val="both"/>
        <w:rPr>
          <w:rFonts w:eastAsia="Calibri"/>
          <w:szCs w:val="24"/>
        </w:rPr>
      </w:pPr>
      <w:r w:rsidRPr="00272985">
        <w:rPr>
          <w:rFonts w:eastAsia="Calibri"/>
          <w:b/>
          <w:szCs w:val="24"/>
        </w:rPr>
        <w:t>A.</w:t>
      </w:r>
      <w:r w:rsidRPr="00272985">
        <w:rPr>
          <w:rFonts w:eastAsia="Calibri"/>
          <w:b/>
          <w:szCs w:val="24"/>
        </w:rPr>
        <w:tab/>
      </w:r>
      <w:r w:rsidRPr="00261AAB">
        <w:rPr>
          <w:rFonts w:eastAsia="Calibri"/>
          <w:szCs w:val="24"/>
        </w:rPr>
        <w:t xml:space="preserve">Yes.  By eliminating the inverse relationship adjustment to the equity risk premium of </w:t>
      </w:r>
      <w:r>
        <w:rPr>
          <w:rFonts w:eastAsia="Calibri"/>
          <w:szCs w:val="24"/>
        </w:rPr>
        <w:t>3.62</w:t>
      </w:r>
      <w:r w:rsidRPr="00261AAB">
        <w:rPr>
          <w:rFonts w:eastAsia="Calibri"/>
          <w:szCs w:val="24"/>
        </w:rPr>
        <w:t xml:space="preserve">% and relying on </w:t>
      </w:r>
      <w:r>
        <w:rPr>
          <w:rFonts w:eastAsia="Calibri"/>
          <w:szCs w:val="24"/>
        </w:rPr>
        <w:t>Mr. McKenzie’</w:t>
      </w:r>
      <w:r w:rsidRPr="00261AAB">
        <w:rPr>
          <w:rFonts w:eastAsia="Calibri"/>
          <w:szCs w:val="24"/>
        </w:rPr>
        <w:t xml:space="preserve">s current BBB rated utility yield of </w:t>
      </w:r>
      <w:r>
        <w:rPr>
          <w:rFonts w:eastAsia="Calibri"/>
          <w:szCs w:val="24"/>
        </w:rPr>
        <w:t>5.41</w:t>
      </w:r>
      <w:r w:rsidRPr="00261AAB">
        <w:rPr>
          <w:rFonts w:eastAsia="Calibri"/>
          <w:szCs w:val="24"/>
        </w:rPr>
        <w:t xml:space="preserve">%, this will result in a risk premium return on equity of </w:t>
      </w:r>
      <w:r>
        <w:rPr>
          <w:rFonts w:eastAsia="Calibri"/>
          <w:szCs w:val="24"/>
        </w:rPr>
        <w:t>9.03</w:t>
      </w:r>
      <w:r w:rsidRPr="00261AAB">
        <w:rPr>
          <w:rFonts w:eastAsia="Calibri"/>
          <w:szCs w:val="24"/>
        </w:rPr>
        <w:t>% (3.</w:t>
      </w:r>
      <w:r>
        <w:rPr>
          <w:rFonts w:eastAsia="Calibri"/>
          <w:szCs w:val="24"/>
        </w:rPr>
        <w:t>62</w:t>
      </w:r>
      <w:r w:rsidRPr="00261AAB">
        <w:rPr>
          <w:rFonts w:eastAsia="Calibri"/>
          <w:szCs w:val="24"/>
        </w:rPr>
        <w:t xml:space="preserve">% + </w:t>
      </w:r>
      <w:r>
        <w:rPr>
          <w:rFonts w:eastAsia="Calibri"/>
          <w:szCs w:val="24"/>
        </w:rPr>
        <w:t>5.41%), rounded to 9.0%.</w:t>
      </w:r>
      <w:r w:rsidR="0028388E">
        <w:rPr>
          <w:rFonts w:eastAsia="Calibri"/>
          <w:szCs w:val="24"/>
        </w:rPr>
        <w:t xml:space="preserve">  Although, importantly, Mr. McKenzie’s </w:t>
      </w:r>
      <w:r w:rsidR="00C54F66">
        <w:rPr>
          <w:rFonts w:eastAsia="Calibri"/>
          <w:szCs w:val="24"/>
        </w:rPr>
        <w:t xml:space="preserve">projected </w:t>
      </w:r>
      <w:r w:rsidR="0028388E">
        <w:rPr>
          <w:rFonts w:eastAsia="Calibri"/>
          <w:szCs w:val="24"/>
        </w:rPr>
        <w:t xml:space="preserve">BBB bond yield of 5.41% is considerably higher than the current </w:t>
      </w:r>
      <w:r w:rsidR="00C54F66">
        <w:rPr>
          <w:rFonts w:eastAsia="Calibri"/>
          <w:szCs w:val="24"/>
        </w:rPr>
        <w:t xml:space="preserve">observable market </w:t>
      </w:r>
      <w:r w:rsidR="0028388E">
        <w:rPr>
          <w:rFonts w:eastAsia="Calibri"/>
          <w:szCs w:val="24"/>
        </w:rPr>
        <w:t>BBB yield of 4.43%.</w:t>
      </w:r>
    </w:p>
    <w:p w:rsidR="00F23557" w:rsidRPr="00261AAB" w:rsidRDefault="00F23557" w:rsidP="00F23557">
      <w:pPr>
        <w:tabs>
          <w:tab w:val="left" w:pos="-1440"/>
          <w:tab w:val="left" w:pos="1440"/>
        </w:tabs>
        <w:spacing w:after="0" w:line="480" w:lineRule="auto"/>
        <w:ind w:left="720" w:hanging="720"/>
        <w:jc w:val="both"/>
        <w:rPr>
          <w:rFonts w:eastAsia="Calibri"/>
          <w:szCs w:val="24"/>
        </w:rPr>
      </w:pPr>
      <w:r>
        <w:rPr>
          <w:rFonts w:eastAsia="Calibri"/>
          <w:szCs w:val="24"/>
        </w:rPr>
        <w:tab/>
      </w:r>
      <w:r>
        <w:rPr>
          <w:rFonts w:eastAsia="Calibri"/>
          <w:szCs w:val="24"/>
        </w:rPr>
        <w:tab/>
      </w:r>
      <w:r w:rsidRPr="00261AAB">
        <w:rPr>
          <w:rFonts w:eastAsia="Calibri"/>
          <w:szCs w:val="24"/>
        </w:rPr>
        <w:t xml:space="preserve">The median equity premium based on the last 10 years is approximately </w:t>
      </w:r>
      <w:r>
        <w:rPr>
          <w:rFonts w:eastAsia="Calibri"/>
          <w:szCs w:val="24"/>
        </w:rPr>
        <w:t>5.00</w:t>
      </w:r>
      <w:r w:rsidRPr="00261AAB">
        <w:rPr>
          <w:rFonts w:eastAsia="Calibri"/>
          <w:szCs w:val="24"/>
        </w:rPr>
        <w:t>%.  Using current o</w:t>
      </w:r>
      <w:r>
        <w:rPr>
          <w:rFonts w:eastAsia="Calibri"/>
          <w:szCs w:val="24"/>
        </w:rPr>
        <w:t>bservable Baa bond yields of 4.43</w:t>
      </w:r>
      <w:r w:rsidRPr="00261AAB">
        <w:rPr>
          <w:rFonts w:eastAsia="Calibri"/>
          <w:szCs w:val="24"/>
        </w:rPr>
        <w:t>%</w:t>
      </w:r>
      <w:proofErr w:type="gramStart"/>
      <w:r w:rsidRPr="00261AAB">
        <w:rPr>
          <w:rFonts w:eastAsia="Calibri"/>
          <w:szCs w:val="24"/>
        </w:rPr>
        <w:t>,</w:t>
      </w:r>
      <w:proofErr w:type="gramEnd"/>
      <w:r w:rsidRPr="00261AAB">
        <w:rPr>
          <w:rFonts w:eastAsia="Calibri"/>
          <w:szCs w:val="24"/>
        </w:rPr>
        <w:t xml:space="preserve"> this would imply a common equity return of 9.</w:t>
      </w:r>
      <w:r>
        <w:rPr>
          <w:rFonts w:eastAsia="Calibri"/>
          <w:szCs w:val="24"/>
        </w:rPr>
        <w:t>43</w:t>
      </w:r>
      <w:r w:rsidRPr="00261AAB">
        <w:rPr>
          <w:rFonts w:eastAsia="Calibri"/>
          <w:szCs w:val="24"/>
        </w:rPr>
        <w:t xml:space="preserve">%.  I believe this more reasonably captures a fair equity risk premium estimate using the data in </w:t>
      </w:r>
      <w:r>
        <w:rPr>
          <w:rFonts w:eastAsia="Calibri"/>
          <w:szCs w:val="24"/>
        </w:rPr>
        <w:t>Mr. McKenzie’</w:t>
      </w:r>
      <w:r w:rsidRPr="00261AAB">
        <w:rPr>
          <w:rFonts w:eastAsia="Calibri"/>
          <w:szCs w:val="24"/>
        </w:rPr>
        <w:t>s study.</w:t>
      </w:r>
    </w:p>
    <w:p w:rsidR="00F23557" w:rsidRPr="00654123" w:rsidRDefault="00F23557" w:rsidP="00F23557">
      <w:pPr>
        <w:tabs>
          <w:tab w:val="left" w:pos="1440"/>
        </w:tabs>
        <w:ind w:left="720" w:hanging="720"/>
        <w:jc w:val="both"/>
        <w:rPr>
          <w:b/>
        </w:rPr>
      </w:pPr>
      <w:r w:rsidRPr="00272985">
        <w:rPr>
          <w:b/>
        </w:rPr>
        <w:lastRenderedPageBreak/>
        <w:t>Q.</w:t>
      </w:r>
      <w:r w:rsidRPr="00272985">
        <w:rPr>
          <w:b/>
        </w:rPr>
        <w:tab/>
      </w:r>
      <w:r w:rsidRPr="00654123">
        <w:rPr>
          <w:b/>
        </w:rPr>
        <w:t>PLEASE DESCRIBE MR. MCKENZIE</w:t>
      </w:r>
      <w:r>
        <w:rPr>
          <w:b/>
        </w:rPr>
        <w:t>’</w:t>
      </w:r>
      <w:r w:rsidRPr="00654123">
        <w:rPr>
          <w:b/>
        </w:rPr>
        <w:t>S EXPECTED EARNINGS ANALYSIS.</w:t>
      </w:r>
    </w:p>
    <w:p w:rsidR="00F23557" w:rsidRPr="00261AAB" w:rsidRDefault="00F23557" w:rsidP="00F23557">
      <w:pPr>
        <w:tabs>
          <w:tab w:val="left" w:pos="-1440"/>
          <w:tab w:val="left" w:pos="1440"/>
        </w:tabs>
        <w:spacing w:after="0" w:line="480" w:lineRule="auto"/>
        <w:ind w:left="720" w:hanging="720"/>
        <w:jc w:val="both"/>
        <w:rPr>
          <w:szCs w:val="24"/>
        </w:rPr>
      </w:pPr>
      <w:r w:rsidRPr="00272985">
        <w:rPr>
          <w:b/>
          <w:szCs w:val="24"/>
        </w:rPr>
        <w:t>A.</w:t>
      </w:r>
      <w:r w:rsidRPr="00272985">
        <w:rPr>
          <w:b/>
          <w:szCs w:val="24"/>
        </w:rPr>
        <w:tab/>
      </w:r>
      <w:r>
        <w:rPr>
          <w:szCs w:val="24"/>
        </w:rPr>
        <w:t>Mr. McKenzie’</w:t>
      </w:r>
      <w:r w:rsidRPr="00261AAB">
        <w:rPr>
          <w:szCs w:val="24"/>
        </w:rPr>
        <w:t xml:space="preserve">s expected earnings analysis is based on </w:t>
      </w:r>
      <w:r w:rsidRPr="00261AAB">
        <w:rPr>
          <w:i/>
          <w:szCs w:val="24"/>
        </w:rPr>
        <w:t>Value Line</w:t>
      </w:r>
      <w:r>
        <w:rPr>
          <w:szCs w:val="24"/>
        </w:rPr>
        <w:t>’</w:t>
      </w:r>
      <w:r w:rsidRPr="00261AAB">
        <w:rPr>
          <w:szCs w:val="24"/>
        </w:rPr>
        <w:t>s projected earned return on book equities for his proxy group</w:t>
      </w:r>
      <w:r>
        <w:rPr>
          <w:szCs w:val="24"/>
        </w:rPr>
        <w:t>s</w:t>
      </w:r>
      <w:r w:rsidRPr="00261AAB">
        <w:rPr>
          <w:szCs w:val="24"/>
        </w:rPr>
        <w:t xml:space="preserve">, adjusted to reflect average year equity returns.  Based on a review of projected earnings over the next three to five years, </w:t>
      </w:r>
      <w:r>
        <w:rPr>
          <w:szCs w:val="24"/>
        </w:rPr>
        <w:t>Mr. McKenzie</w:t>
      </w:r>
      <w:r w:rsidRPr="00261AAB">
        <w:rPr>
          <w:szCs w:val="24"/>
        </w:rPr>
        <w:t xml:space="preserve"> estimates a return on equity for </w:t>
      </w:r>
      <w:r>
        <w:rPr>
          <w:szCs w:val="24"/>
        </w:rPr>
        <w:t>Avista</w:t>
      </w:r>
      <w:r w:rsidRPr="00261AAB">
        <w:rPr>
          <w:szCs w:val="24"/>
        </w:rPr>
        <w:t xml:space="preserve"> </w:t>
      </w:r>
      <w:r>
        <w:rPr>
          <w:szCs w:val="24"/>
        </w:rPr>
        <w:t>in the range of 10.4</w:t>
      </w:r>
      <w:r w:rsidRPr="00261AAB">
        <w:rPr>
          <w:szCs w:val="24"/>
        </w:rPr>
        <w:t>%</w:t>
      </w:r>
      <w:r>
        <w:rPr>
          <w:szCs w:val="24"/>
        </w:rPr>
        <w:t xml:space="preserve"> to 10.8%</w:t>
      </w:r>
      <w:r w:rsidRPr="00261AAB">
        <w:rPr>
          <w:szCs w:val="24"/>
        </w:rPr>
        <w:t xml:space="preserve"> (</w:t>
      </w:r>
      <w:r>
        <w:rPr>
          <w:szCs w:val="24"/>
        </w:rPr>
        <w:t>Exhibit No.___</w:t>
      </w:r>
      <w:proofErr w:type="gramStart"/>
      <w:r>
        <w:rPr>
          <w:szCs w:val="24"/>
        </w:rPr>
        <w:t>_(</w:t>
      </w:r>
      <w:proofErr w:type="gramEnd"/>
      <w:r>
        <w:rPr>
          <w:szCs w:val="24"/>
        </w:rPr>
        <w:t>AMM-11)</w:t>
      </w:r>
      <w:r w:rsidRPr="00261AAB">
        <w:rPr>
          <w:szCs w:val="24"/>
        </w:rPr>
        <w:t xml:space="preserve">).  </w:t>
      </w:r>
    </w:p>
    <w:p w:rsidR="00F23557" w:rsidRPr="00654123" w:rsidRDefault="00F23557" w:rsidP="00F23557">
      <w:pPr>
        <w:tabs>
          <w:tab w:val="left" w:pos="1440"/>
        </w:tabs>
        <w:ind w:left="720" w:hanging="720"/>
        <w:jc w:val="both"/>
        <w:rPr>
          <w:b/>
        </w:rPr>
      </w:pPr>
      <w:r w:rsidRPr="00272985">
        <w:rPr>
          <w:b/>
        </w:rPr>
        <w:t>Q.</w:t>
      </w:r>
      <w:r w:rsidRPr="00272985">
        <w:rPr>
          <w:b/>
        </w:rPr>
        <w:tab/>
      </w:r>
      <w:r w:rsidRPr="00654123">
        <w:rPr>
          <w:b/>
        </w:rPr>
        <w:t xml:space="preserve">IS THE EXPECTED EARNINGS ANALYSIS A REASONABLE METHOD FOR ESTIMATING A FAIR RETURN ON EQUITY FOR </w:t>
      </w:r>
      <w:r w:rsidRPr="00B13495">
        <w:rPr>
          <w:b/>
        </w:rPr>
        <w:t>AVISTA</w:t>
      </w:r>
      <w:r w:rsidRPr="00654123">
        <w:rPr>
          <w:b/>
        </w:rPr>
        <w:t>?</w:t>
      </w:r>
    </w:p>
    <w:p w:rsidR="00F23557" w:rsidRDefault="00F23557" w:rsidP="00F23557">
      <w:pPr>
        <w:tabs>
          <w:tab w:val="left" w:pos="-1440"/>
          <w:tab w:val="left" w:pos="1440"/>
        </w:tabs>
        <w:spacing w:after="0" w:line="480" w:lineRule="auto"/>
        <w:ind w:left="720" w:hanging="720"/>
        <w:jc w:val="both"/>
        <w:rPr>
          <w:szCs w:val="24"/>
        </w:rPr>
      </w:pPr>
      <w:r w:rsidRPr="00272985">
        <w:rPr>
          <w:b/>
          <w:szCs w:val="24"/>
        </w:rPr>
        <w:t>A.</w:t>
      </w:r>
      <w:r w:rsidRPr="00272985">
        <w:rPr>
          <w:b/>
          <w:szCs w:val="24"/>
        </w:rPr>
        <w:tab/>
      </w:r>
      <w:r w:rsidRPr="00261AAB">
        <w:rPr>
          <w:szCs w:val="24"/>
        </w:rPr>
        <w:t xml:space="preserve">No.  An expected earnings analysis does not measure the return an investor requires in order to make an investment.  Rather, it measures the earned return on book equity </w:t>
      </w:r>
      <w:bookmarkStart w:id="339" w:name="_BPDCI6"/>
      <w:r w:rsidRPr="00261AAB">
        <w:rPr>
          <w:szCs w:val="24"/>
        </w:rPr>
        <w:t xml:space="preserve">that </w:t>
      </w:r>
      <w:bookmarkEnd w:id="339"/>
      <w:r w:rsidRPr="00261AAB">
        <w:rPr>
          <w:szCs w:val="24"/>
        </w:rPr>
        <w:t xml:space="preserve">companies have experienced in the past or are projected to achieve in the future.  The returns investors require in order to assume the risk of an investment are measured from prevailing stock market prices.  An expected earnings analysis measures an accounting return on book equity.  Therefore, </w:t>
      </w:r>
      <w:bookmarkStart w:id="340" w:name="_BPDCI4"/>
      <w:r w:rsidRPr="00261AAB">
        <w:rPr>
          <w:szCs w:val="24"/>
        </w:rPr>
        <w:t xml:space="preserve">such a </w:t>
      </w:r>
      <w:bookmarkEnd w:id="340"/>
      <w:r w:rsidRPr="00261AAB">
        <w:rPr>
          <w:szCs w:val="24"/>
        </w:rPr>
        <w:t xml:space="preserve">return is not developed from observable market data.  </w:t>
      </w:r>
      <w:bookmarkStart w:id="341" w:name="_BPDCI2"/>
      <w:r w:rsidRPr="00261AAB">
        <w:rPr>
          <w:szCs w:val="24"/>
        </w:rPr>
        <w:t xml:space="preserve">A </w:t>
      </w:r>
      <w:bookmarkEnd w:id="341"/>
      <w:r w:rsidRPr="00261AAB">
        <w:rPr>
          <w:szCs w:val="24"/>
        </w:rPr>
        <w:t xml:space="preserve">return estimate using an expected earnings analysis can differ significantly from the return investors currently require.  Therefore, </w:t>
      </w:r>
      <w:r>
        <w:rPr>
          <w:szCs w:val="24"/>
        </w:rPr>
        <w:t>Mr. McKenzie’</w:t>
      </w:r>
      <w:r w:rsidRPr="00261AAB">
        <w:rPr>
          <w:szCs w:val="24"/>
        </w:rPr>
        <w:t>s expected earnings approach should be rejected.</w:t>
      </w:r>
    </w:p>
    <w:p w:rsidR="00F23557" w:rsidRPr="00806EBF" w:rsidRDefault="00F23557" w:rsidP="00F23557">
      <w:pPr>
        <w:keepNext/>
        <w:keepLines/>
        <w:tabs>
          <w:tab w:val="left" w:pos="1440"/>
        </w:tabs>
        <w:ind w:left="720" w:hanging="720"/>
        <w:jc w:val="both"/>
        <w:rPr>
          <w:b/>
        </w:rPr>
      </w:pPr>
      <w:r w:rsidRPr="00272985">
        <w:rPr>
          <w:b/>
        </w:rPr>
        <w:t>Q.</w:t>
      </w:r>
      <w:r w:rsidRPr="00272985">
        <w:rPr>
          <w:b/>
        </w:rPr>
        <w:tab/>
      </w:r>
      <w:r>
        <w:rPr>
          <w:b/>
        </w:rPr>
        <w:t>DO YOU HAVE ANY ADDITIONAL COMMENTS IN REGARDS TO MR. MCKENZIE’S RETURN ESTIMATES?</w:t>
      </w:r>
    </w:p>
    <w:p w:rsidR="00F23557" w:rsidRPr="00806EBF" w:rsidRDefault="00F23557" w:rsidP="00F23557">
      <w:pPr>
        <w:tabs>
          <w:tab w:val="left" w:pos="-1440"/>
          <w:tab w:val="left" w:pos="1440"/>
        </w:tabs>
        <w:spacing w:after="0" w:line="480" w:lineRule="auto"/>
        <w:ind w:left="720" w:hanging="720"/>
        <w:jc w:val="both"/>
      </w:pPr>
      <w:r w:rsidRPr="00272985">
        <w:rPr>
          <w:b/>
        </w:rPr>
        <w:t>A.</w:t>
      </w:r>
      <w:r w:rsidRPr="00272985">
        <w:rPr>
          <w:b/>
        </w:rPr>
        <w:tab/>
      </w:r>
      <w:r>
        <w:t>Yes.  Mr. McKenzie also performed a DCF model on a non-utility proxy group, which he found to be a reasonable risk proxy for Avista.  I disagree.  I find his non-utility group unreasonable.</w:t>
      </w:r>
    </w:p>
    <w:p w:rsidR="00F23557" w:rsidRPr="00806EBF" w:rsidRDefault="00F23557" w:rsidP="00F23557">
      <w:pPr>
        <w:keepNext/>
        <w:keepLines/>
        <w:tabs>
          <w:tab w:val="left" w:pos="1440"/>
        </w:tabs>
        <w:ind w:left="720" w:hanging="720"/>
        <w:jc w:val="both"/>
        <w:rPr>
          <w:b/>
        </w:rPr>
      </w:pPr>
      <w:r w:rsidRPr="00272985">
        <w:rPr>
          <w:b/>
        </w:rPr>
        <w:lastRenderedPageBreak/>
        <w:t>Q.</w:t>
      </w:r>
      <w:r w:rsidRPr="00272985">
        <w:rPr>
          <w:b/>
        </w:rPr>
        <w:tab/>
      </w:r>
      <w:r w:rsidRPr="00806EBF">
        <w:rPr>
          <w:b/>
        </w:rPr>
        <w:t xml:space="preserve">WHY DO YOU CONSIDER </w:t>
      </w:r>
      <w:r>
        <w:rPr>
          <w:b/>
        </w:rPr>
        <w:t>MR. MCKENZIE’S</w:t>
      </w:r>
      <w:r w:rsidRPr="00806EBF">
        <w:rPr>
          <w:b/>
        </w:rPr>
        <w:t xml:space="preserve"> NON-UTILITY GROUP UNREASONABLE?</w:t>
      </w:r>
    </w:p>
    <w:p w:rsidR="00F23557" w:rsidRPr="00806EBF" w:rsidRDefault="00F23557" w:rsidP="00F23557">
      <w:pPr>
        <w:tabs>
          <w:tab w:val="left" w:pos="-1440"/>
          <w:tab w:val="left" w:pos="1440"/>
        </w:tabs>
        <w:spacing w:after="0" w:line="480" w:lineRule="auto"/>
        <w:ind w:left="720" w:hanging="720"/>
        <w:jc w:val="both"/>
      </w:pPr>
      <w:r w:rsidRPr="00272985">
        <w:rPr>
          <w:b/>
        </w:rPr>
        <w:t>A.</w:t>
      </w:r>
      <w:r w:rsidRPr="00272985">
        <w:rPr>
          <w:b/>
        </w:rPr>
        <w:tab/>
      </w:r>
      <w:r w:rsidRPr="00806EBF">
        <w:t xml:space="preserve">The companies included in </w:t>
      </w:r>
      <w:r>
        <w:t>Mr. McKenzie’s</w:t>
      </w:r>
      <w:r w:rsidRPr="00806EBF">
        <w:t xml:space="preserve"> non-utility proxy group are subject to risks that are different from those affecting </w:t>
      </w:r>
      <w:r>
        <w:t>Avista’s</w:t>
      </w:r>
      <w:r w:rsidRPr="00806EBF">
        <w:t xml:space="preserve"> utility operations.  As noted by the major credit rating agencies, the utility industry has relatively low risk in comparison with the market.  Indeed, the regulatory process itself provides an effective mechanism to mitigate some of the market risks influencing the U.S. economy.  Therefore, using </w:t>
      </w:r>
      <w:r>
        <w:t>Mr. McKenzie’s</w:t>
      </w:r>
      <w:r w:rsidRPr="00806EBF">
        <w:t xml:space="preserve"> non</w:t>
      </w:r>
      <w:r w:rsidRPr="00806EBF">
        <w:noBreakHyphen/>
        <w:t xml:space="preserve">utility proxy group, which is much riskier than the utility industry, will produce an unreliable and inflated return on equity for a low-risk utility like </w:t>
      </w:r>
      <w:r>
        <w:t>Avista</w:t>
      </w:r>
      <w:r w:rsidRPr="00806EBF">
        <w:t xml:space="preserve">.  Therefore, the Commission should disregard the results of </w:t>
      </w:r>
      <w:r>
        <w:t>Mr. McKenzie’s</w:t>
      </w:r>
      <w:r w:rsidRPr="00806EBF">
        <w:t xml:space="preserve"> non</w:t>
      </w:r>
      <w:r w:rsidRPr="00806EBF">
        <w:noBreakHyphen/>
        <w:t>utility group</w:t>
      </w:r>
      <w:r>
        <w:t xml:space="preserve"> DCF</w:t>
      </w:r>
      <w:r w:rsidRPr="00806EBF">
        <w:t xml:space="preserve">. </w:t>
      </w:r>
    </w:p>
    <w:p w:rsidR="00F23557" w:rsidRDefault="00F23557" w:rsidP="00F23557">
      <w:pPr>
        <w:tabs>
          <w:tab w:val="left" w:pos="-1440"/>
          <w:tab w:val="left" w:pos="1440"/>
        </w:tabs>
        <w:ind w:left="720" w:hanging="720"/>
        <w:jc w:val="both"/>
        <w:rPr>
          <w:b/>
        </w:rPr>
      </w:pPr>
      <w:r w:rsidRPr="00272985">
        <w:rPr>
          <w:b/>
        </w:rPr>
        <w:t>Q.</w:t>
      </w:r>
      <w:r w:rsidRPr="00272985">
        <w:rPr>
          <w:b/>
        </w:rPr>
        <w:tab/>
      </w:r>
      <w:r>
        <w:rPr>
          <w:b/>
        </w:rPr>
        <w:t xml:space="preserve">CAN YOU PROVIDE AN EXAMPLE OF WHY </w:t>
      </w:r>
      <w:r w:rsidRPr="002B516F">
        <w:rPr>
          <w:b/>
        </w:rPr>
        <w:t>MR. MCKENZIE’S</w:t>
      </w:r>
      <w:r w:rsidRPr="00806EBF">
        <w:t xml:space="preserve"> </w:t>
      </w:r>
      <w:r>
        <w:rPr>
          <w:b/>
        </w:rPr>
        <w:t>NON</w:t>
      </w:r>
      <w:r>
        <w:rPr>
          <w:b/>
        </w:rPr>
        <w:noBreakHyphen/>
        <w:t>UTILITY GROUP IS NOT A REASONABLE RISK PROXY GROUP FOR AVISTA?</w:t>
      </w:r>
    </w:p>
    <w:p w:rsidR="00F23557" w:rsidRDefault="00F23557" w:rsidP="00F23557">
      <w:pPr>
        <w:tabs>
          <w:tab w:val="left" w:pos="-1440"/>
          <w:tab w:val="left" w:pos="1440"/>
        </w:tabs>
        <w:spacing w:after="0" w:line="480" w:lineRule="auto"/>
        <w:ind w:left="720" w:hanging="720"/>
        <w:jc w:val="both"/>
      </w:pPr>
      <w:r w:rsidRPr="00272985">
        <w:rPr>
          <w:b/>
        </w:rPr>
        <w:t>A.</w:t>
      </w:r>
      <w:r w:rsidRPr="00272985">
        <w:rPr>
          <w:b/>
        </w:rPr>
        <w:tab/>
      </w:r>
      <w:r>
        <w:t>Yes.  One criterion that Mr. McKenzie</w:t>
      </w:r>
      <w:r w:rsidRPr="00806EBF">
        <w:t xml:space="preserve"> </w:t>
      </w:r>
      <w:r>
        <w:t xml:space="preserve">uses to select a comparable risk non-utility group in order to estimate Avista’s return on </w:t>
      </w:r>
      <w:proofErr w:type="gramStart"/>
      <w:r>
        <w:t>equity,</w:t>
      </w:r>
      <w:proofErr w:type="gramEnd"/>
      <w:r>
        <w:t xml:space="preserve"> is to compare Avista’s bond rating to that of the non-regulated group.</w:t>
      </w:r>
      <w:r w:rsidRPr="00EE38BF">
        <w:rPr>
          <w:rStyle w:val="FootnoteReference"/>
          <w:u w:val="single"/>
        </w:rPr>
        <w:footnoteReference w:id="49"/>
      </w:r>
      <w:proofErr w:type="gramStart"/>
      <w:r>
        <w:rPr>
          <w:vertAlign w:val="superscript"/>
        </w:rPr>
        <w:t>/</w:t>
      </w:r>
      <w:r>
        <w:t xml:space="preserve">  While</w:t>
      </w:r>
      <w:proofErr w:type="gramEnd"/>
      <w:r>
        <w:t xml:space="preserve"> this is a reasonable method of estimating and identifying comparable proxy groups within the industry, doing it across industries is not as straightforward and not as reliable.  For example, if bond rating alone would adequately help to identify comparable risk companies across industries, then there should not be any observable clear differences in the investment cost for securities that had different bond ratings.  However, the industry or circumstances behind the security have a material role in the market’s assessment of a fair compensation.  </w:t>
      </w:r>
    </w:p>
    <w:p w:rsidR="00F23557" w:rsidRDefault="00F23557" w:rsidP="00F23557">
      <w:pPr>
        <w:tabs>
          <w:tab w:val="left" w:pos="-1440"/>
          <w:tab w:val="left" w:pos="1440"/>
        </w:tabs>
        <w:spacing w:after="0" w:line="480" w:lineRule="auto"/>
        <w:ind w:left="720" w:hanging="720"/>
        <w:jc w:val="both"/>
      </w:pPr>
      <w:r>
        <w:lastRenderedPageBreak/>
        <w:tab/>
      </w:r>
      <w:r>
        <w:tab/>
        <w:t xml:space="preserve">While “AAA” corporate bonds and U.S. Treasuries have comparable bond ratings, the risk differential is significant largely because of the operating risk differences between the securities.  The U.S. government has virtually minimal default risk on its bond issuances, whereas even </w:t>
      </w:r>
      <w:proofErr w:type="gramStart"/>
      <w:r>
        <w:t>a</w:t>
      </w:r>
      <w:proofErr w:type="gramEnd"/>
      <w:r>
        <w:t xml:space="preserve"> “AAA” rated corporate bond has measurable default risk.  Similarly, regulated utility operations and the ability to adjust prices to cost of service provide far less default risk than that of non</w:t>
      </w:r>
      <w:r>
        <w:noBreakHyphen/>
        <w:t>regulated companies.  A regulated company generally has a franchise to a monopolistic service territory, the ability to set prices based on reasonable and prudent costs, and minimal competition.  In significant contrast, a non-regulated entity does not have a franchised or monopolistic customer base, must price its services consistent with what the market will permit, and has far more uncertainty of selling products that produce cash flows that support financial obligations.  Therefore, the DCF results produced by Mr. McKenzie’s non-utility group should be rejected.</w:t>
      </w:r>
    </w:p>
    <w:p w:rsidR="00F23557" w:rsidRPr="00654123" w:rsidRDefault="00F23557" w:rsidP="00F23557">
      <w:pPr>
        <w:tabs>
          <w:tab w:val="left" w:pos="1440"/>
        </w:tabs>
        <w:ind w:left="720" w:hanging="720"/>
        <w:jc w:val="both"/>
        <w:rPr>
          <w:b/>
        </w:rPr>
      </w:pPr>
      <w:r w:rsidRPr="00654123">
        <w:rPr>
          <w:b/>
        </w:rPr>
        <w:t>Q</w:t>
      </w:r>
      <w:r>
        <w:rPr>
          <w:b/>
        </w:rPr>
        <w:t>.</w:t>
      </w:r>
      <w:r w:rsidRPr="00654123">
        <w:rPr>
          <w:b/>
        </w:rPr>
        <w:tab/>
        <w:t xml:space="preserve">WHAT IS YOUR CONCLUSION REGARDING THE APPROPRIATE RETURN ON EQUITY FOR </w:t>
      </w:r>
      <w:r w:rsidRPr="00B13495">
        <w:rPr>
          <w:b/>
        </w:rPr>
        <w:t>AVISTA</w:t>
      </w:r>
      <w:r w:rsidRPr="00654123">
        <w:rPr>
          <w:b/>
        </w:rPr>
        <w:t xml:space="preserve"> BASED ON YOUR ANALYSIS?</w:t>
      </w:r>
    </w:p>
    <w:p w:rsidR="00F23557" w:rsidRPr="002954FA" w:rsidRDefault="00F23557" w:rsidP="00F23557">
      <w:pPr>
        <w:tabs>
          <w:tab w:val="left" w:pos="-1440"/>
          <w:tab w:val="left" w:pos="1440"/>
        </w:tabs>
        <w:spacing w:after="0" w:line="480" w:lineRule="auto"/>
        <w:ind w:left="720" w:hanging="720"/>
        <w:jc w:val="both"/>
        <w:rPr>
          <w:szCs w:val="24"/>
        </w:rPr>
      </w:pPr>
      <w:r w:rsidRPr="00272985">
        <w:rPr>
          <w:b/>
          <w:szCs w:val="24"/>
        </w:rPr>
        <w:t>A.</w:t>
      </w:r>
      <w:r w:rsidRPr="002954FA">
        <w:rPr>
          <w:szCs w:val="24"/>
        </w:rPr>
        <w:tab/>
        <w:t xml:space="preserve">My analysis supports a reasonable range of </w:t>
      </w:r>
      <w:r>
        <w:rPr>
          <w:szCs w:val="24"/>
        </w:rPr>
        <w:t>Avista’</w:t>
      </w:r>
      <w:r w:rsidRPr="002954FA">
        <w:rPr>
          <w:szCs w:val="24"/>
        </w:rPr>
        <w:t xml:space="preserve">s current cost of market equity to be from </w:t>
      </w:r>
      <w:r>
        <w:rPr>
          <w:szCs w:val="24"/>
        </w:rPr>
        <w:t>8.7% to 9.4</w:t>
      </w:r>
      <w:r w:rsidRPr="002954FA">
        <w:rPr>
          <w:szCs w:val="24"/>
        </w:rPr>
        <w:t>%</w:t>
      </w:r>
      <w:r>
        <w:rPr>
          <w:szCs w:val="24"/>
        </w:rPr>
        <w:t xml:space="preserve">, with a midpoint of approximately 9.1%.  </w:t>
      </w:r>
      <w:r w:rsidRPr="002954FA">
        <w:rPr>
          <w:szCs w:val="24"/>
        </w:rPr>
        <w:t xml:space="preserve">Applied to </w:t>
      </w:r>
      <w:r>
        <w:rPr>
          <w:szCs w:val="24"/>
        </w:rPr>
        <w:t>Avista’</w:t>
      </w:r>
      <w:r w:rsidRPr="002954FA">
        <w:rPr>
          <w:szCs w:val="24"/>
        </w:rPr>
        <w:t>s rate base, and using the Company</w:t>
      </w:r>
      <w:r>
        <w:rPr>
          <w:szCs w:val="24"/>
        </w:rPr>
        <w:t>’</w:t>
      </w:r>
      <w:r w:rsidRPr="002954FA">
        <w:rPr>
          <w:szCs w:val="24"/>
        </w:rPr>
        <w:t xml:space="preserve">s capital structure, this will produce a return which meets the </w:t>
      </w:r>
      <w:r w:rsidRPr="00C921EA">
        <w:rPr>
          <w:i/>
          <w:szCs w:val="24"/>
        </w:rPr>
        <w:t>Hope</w:t>
      </w:r>
      <w:r w:rsidRPr="002954FA">
        <w:rPr>
          <w:szCs w:val="24"/>
        </w:rPr>
        <w:t xml:space="preserve"> and </w:t>
      </w:r>
      <w:r w:rsidRPr="00C921EA">
        <w:rPr>
          <w:i/>
          <w:szCs w:val="24"/>
        </w:rPr>
        <w:t>Bluefield</w:t>
      </w:r>
      <w:r w:rsidRPr="002954FA">
        <w:rPr>
          <w:szCs w:val="24"/>
        </w:rPr>
        <w:t xml:space="preserve"> standards, and support </w:t>
      </w:r>
      <w:r>
        <w:rPr>
          <w:szCs w:val="24"/>
        </w:rPr>
        <w:t>Avista’</w:t>
      </w:r>
      <w:r w:rsidRPr="002954FA">
        <w:rPr>
          <w:szCs w:val="24"/>
        </w:rPr>
        <w:t>s credit metrics.</w:t>
      </w:r>
    </w:p>
    <w:p w:rsidR="00F23557" w:rsidRDefault="00F23557" w:rsidP="00F23557">
      <w:pPr>
        <w:tabs>
          <w:tab w:val="left" w:pos="-1440"/>
          <w:tab w:val="left" w:pos="1440"/>
        </w:tabs>
        <w:spacing w:after="0" w:line="480" w:lineRule="auto"/>
        <w:ind w:left="720" w:hanging="720"/>
        <w:jc w:val="both"/>
      </w:pPr>
      <w:r w:rsidRPr="002954FA">
        <w:rPr>
          <w:szCs w:val="24"/>
        </w:rPr>
        <w:tab/>
      </w:r>
      <w:r>
        <w:rPr>
          <w:szCs w:val="24"/>
        </w:rPr>
        <w:tab/>
      </w:r>
      <w:r w:rsidRPr="002954FA">
        <w:rPr>
          <w:szCs w:val="24"/>
        </w:rPr>
        <w:t xml:space="preserve">The Commission should reject </w:t>
      </w:r>
      <w:r>
        <w:rPr>
          <w:szCs w:val="24"/>
        </w:rPr>
        <w:t>Mr. McKenzie’</w:t>
      </w:r>
      <w:r w:rsidRPr="002954FA">
        <w:rPr>
          <w:szCs w:val="24"/>
        </w:rPr>
        <w:t xml:space="preserve">s recommended cost of common equity range for the reasons outlined above, primarily </w:t>
      </w:r>
      <w:r>
        <w:rPr>
          <w:szCs w:val="24"/>
        </w:rPr>
        <w:t>because</w:t>
      </w:r>
      <w:bookmarkStart w:id="342" w:name="_GoBack"/>
      <w:bookmarkEnd w:id="342"/>
      <w:r w:rsidRPr="002954FA">
        <w:rPr>
          <w:szCs w:val="24"/>
        </w:rPr>
        <w:t xml:space="preserve"> his analysis has artificially inflated </w:t>
      </w:r>
      <w:r>
        <w:rPr>
          <w:szCs w:val="24"/>
        </w:rPr>
        <w:t>Avista’</w:t>
      </w:r>
      <w:r w:rsidRPr="002954FA">
        <w:rPr>
          <w:szCs w:val="24"/>
        </w:rPr>
        <w:t>s cost of equity through unreasonable adjustments.</w:t>
      </w:r>
    </w:p>
    <w:p w:rsidR="00F23557" w:rsidRPr="00272C05" w:rsidRDefault="00F23557" w:rsidP="00F23557">
      <w:pPr>
        <w:keepNext/>
        <w:keepLines/>
        <w:tabs>
          <w:tab w:val="left" w:pos="1440"/>
        </w:tabs>
        <w:ind w:left="720" w:hanging="720"/>
        <w:jc w:val="both"/>
        <w:rPr>
          <w:rFonts w:eastAsia="Times New Roman"/>
          <w:b/>
          <w:szCs w:val="24"/>
        </w:rPr>
      </w:pPr>
      <w:r w:rsidRPr="00272C05">
        <w:rPr>
          <w:rFonts w:eastAsia="Times New Roman"/>
          <w:b/>
          <w:szCs w:val="24"/>
        </w:rPr>
        <w:lastRenderedPageBreak/>
        <w:t>Q.</w:t>
      </w:r>
      <w:r w:rsidRPr="00272C05">
        <w:rPr>
          <w:rFonts w:eastAsia="Times New Roman"/>
          <w:b/>
          <w:szCs w:val="24"/>
        </w:rPr>
        <w:tab/>
        <w:t>DOES THIS CONCLUDE YOUR RESPONSE TESTIMONY?</w:t>
      </w:r>
    </w:p>
    <w:p w:rsidR="00F23557" w:rsidRDefault="00F23557" w:rsidP="00F23557">
      <w:pPr>
        <w:keepNext/>
        <w:keepLines/>
        <w:tabs>
          <w:tab w:val="left" w:pos="1440"/>
          <w:tab w:val="left" w:pos="5472"/>
        </w:tabs>
        <w:spacing w:after="0" w:line="480" w:lineRule="auto"/>
        <w:ind w:left="720" w:hanging="720"/>
        <w:jc w:val="both"/>
        <w:rPr>
          <w:rFonts w:eastAsia="Times New Roman"/>
          <w:szCs w:val="24"/>
        </w:rPr>
      </w:pPr>
      <w:r w:rsidRPr="00272C05">
        <w:rPr>
          <w:rFonts w:eastAsia="Times New Roman"/>
          <w:b/>
          <w:szCs w:val="24"/>
        </w:rPr>
        <w:t>A.</w:t>
      </w:r>
      <w:r>
        <w:rPr>
          <w:rFonts w:eastAsia="Times New Roman"/>
          <w:szCs w:val="24"/>
        </w:rPr>
        <w:tab/>
        <w:t>Yes, it does.</w:t>
      </w:r>
    </w:p>
    <w:p w:rsidR="00E05B9F" w:rsidRPr="00F23557" w:rsidRDefault="005F28EE" w:rsidP="00F23557">
      <w:pPr>
        <w:suppressLineNumbers/>
        <w:tabs>
          <w:tab w:val="left" w:pos="1080"/>
          <w:tab w:val="left" w:pos="1440"/>
          <w:tab w:val="left" w:pos="5472"/>
        </w:tabs>
        <w:spacing w:after="0" w:line="480" w:lineRule="auto"/>
        <w:ind w:left="720" w:hanging="720"/>
        <w:jc w:val="both"/>
        <w:rPr>
          <w:rFonts w:eastAsia="Times New Roman"/>
          <w:sz w:val="12"/>
          <w:szCs w:val="12"/>
        </w:rPr>
      </w:pPr>
      <w:fldSimple w:instr=" FILENAME  \p  \* MERGEFORMAT ">
        <w:r w:rsidR="00F23557" w:rsidRPr="00C53486">
          <w:rPr>
            <w:noProof/>
            <w:sz w:val="12"/>
            <w:szCs w:val="12"/>
          </w:rPr>
          <w:t>\\Doc\Shares\ProlawDocs\SDW\10222\Testimony-BAI\302878.docx</w:t>
        </w:r>
      </w:fldSimple>
    </w:p>
    <w:sectPr w:rsidR="00E05B9F" w:rsidRPr="00F23557" w:rsidSect="00615DEE">
      <w:headerReference w:type="default" r:id="rId15"/>
      <w:footerReference w:type="default" r:id="rId16"/>
      <w:pgSz w:w="12240" w:h="15840" w:code="1"/>
      <w:pgMar w:top="1440" w:right="1440" w:bottom="1440" w:left="1728" w:header="576" w:footer="576" w:gutter="0"/>
      <w:lnNumType w:countBy="1"/>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C5A" w:rsidRPr="001D1134" w:rsidRDefault="00F67C5A" w:rsidP="00272C05">
      <w:pPr>
        <w:spacing w:after="0"/>
      </w:pPr>
      <w:r>
        <w:separator/>
      </w:r>
    </w:p>
  </w:endnote>
  <w:endnote w:type="continuationSeparator" w:id="0">
    <w:p w:rsidR="00F67C5A" w:rsidRPr="001D1134" w:rsidRDefault="00F67C5A" w:rsidP="00272C0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masis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C5A" w:rsidRDefault="00F67C5A" w:rsidP="00BC4CF7">
    <w:pPr>
      <w:pStyle w:val="Footer"/>
      <w:tabs>
        <w:tab w:val="right" w:pos="9072"/>
        <w:tab w:val="right" w:pos="9334"/>
      </w:tabs>
    </w:pPr>
    <w:r>
      <w:t>Response Testimony of Michael P. Gorman</w:t>
    </w:r>
    <w:r>
      <w:tab/>
    </w:r>
    <w:r>
      <w:tab/>
    </w:r>
    <w:r w:rsidRPr="00F56E3F">
      <w:t>Exhibit No</w:t>
    </w:r>
    <w:proofErr w:type="gramStart"/>
    <w:r w:rsidRPr="00F56E3F">
      <w:t>.</w:t>
    </w:r>
    <w:r>
      <w:t xml:space="preserve"> </w:t>
    </w:r>
    <w:proofErr w:type="gramEnd"/>
    <w:r>
      <w:t>MPG</w:t>
    </w:r>
    <w:r w:rsidRPr="00F56E3F">
      <w:t>-</w:t>
    </w:r>
    <w:r>
      <w:t>1T</w:t>
    </w:r>
  </w:p>
  <w:p w:rsidR="00F67C5A" w:rsidRDefault="00F67C5A" w:rsidP="00BC4CF7">
    <w:pPr>
      <w:pStyle w:val="Footer"/>
      <w:tabs>
        <w:tab w:val="clear" w:pos="4680"/>
        <w:tab w:val="clear" w:pos="9360"/>
        <w:tab w:val="right" w:pos="9072"/>
      </w:tabs>
    </w:pPr>
    <w:r>
      <w:t>Dockets</w:t>
    </w:r>
    <w:r>
      <w:rPr>
        <w:smallCaps/>
      </w:rPr>
      <w:t xml:space="preserve"> </w:t>
    </w:r>
    <w:r w:rsidRPr="00B50343">
      <w:rPr>
        <w:rFonts w:eastAsia="Times New Roman"/>
        <w:smallCaps/>
        <w:szCs w:val="20"/>
      </w:rPr>
      <w:t>UE-</w:t>
    </w:r>
    <w:r>
      <w:rPr>
        <w:rFonts w:eastAsia="Times New Roman"/>
        <w:smallCaps/>
        <w:szCs w:val="20"/>
      </w:rPr>
      <w:t xml:space="preserve">160228 </w:t>
    </w:r>
    <w:r w:rsidRPr="00960816">
      <w:rPr>
        <w:rFonts w:eastAsia="Times New Roman"/>
        <w:szCs w:val="20"/>
      </w:rPr>
      <w:t>and</w:t>
    </w:r>
    <w:r>
      <w:rPr>
        <w:rFonts w:eastAsia="Times New Roman"/>
        <w:smallCaps/>
        <w:szCs w:val="20"/>
      </w:rPr>
      <w:t xml:space="preserve"> UG-160229 (</w:t>
    </w:r>
    <w:r>
      <w:rPr>
        <w:rFonts w:eastAsia="Times New Roman"/>
        <w:szCs w:val="20"/>
      </w:rPr>
      <w:t>Consolidated)</w:t>
    </w:r>
    <w:r>
      <w:tab/>
      <w:t>Table of Contents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C5A" w:rsidRDefault="00F67C5A" w:rsidP="00BC4CF7">
    <w:pPr>
      <w:pStyle w:val="Footer"/>
      <w:tabs>
        <w:tab w:val="clear" w:pos="9360"/>
        <w:tab w:val="right" w:pos="9090"/>
      </w:tabs>
    </w:pPr>
    <w:r>
      <w:t>Response Testimony of Michael P. Gorman</w:t>
    </w:r>
    <w:r>
      <w:tab/>
    </w:r>
    <w:r>
      <w:tab/>
    </w:r>
    <w:r w:rsidRPr="00F56E3F">
      <w:t>Exhibit No</w:t>
    </w:r>
    <w:proofErr w:type="gramStart"/>
    <w:r w:rsidRPr="00F56E3F">
      <w:t>.</w:t>
    </w:r>
    <w:r>
      <w:t xml:space="preserve"> </w:t>
    </w:r>
    <w:proofErr w:type="gramEnd"/>
    <w:r>
      <w:t>MPG</w:t>
    </w:r>
    <w:r w:rsidRPr="00F56E3F">
      <w:t>-</w:t>
    </w:r>
    <w:r>
      <w:t>1T</w:t>
    </w:r>
  </w:p>
  <w:p w:rsidR="00F67C5A" w:rsidRDefault="00F67C5A" w:rsidP="00BC4CF7">
    <w:pPr>
      <w:pStyle w:val="Footer"/>
      <w:tabs>
        <w:tab w:val="clear" w:pos="4680"/>
        <w:tab w:val="clear" w:pos="9360"/>
        <w:tab w:val="right" w:pos="9090"/>
      </w:tabs>
    </w:pPr>
    <w:r>
      <w:t xml:space="preserve">Dockets </w:t>
    </w:r>
    <w:r w:rsidRPr="00B50343">
      <w:rPr>
        <w:rFonts w:eastAsia="Times New Roman" w:cs="Times New Roman"/>
        <w:smallCaps/>
        <w:szCs w:val="20"/>
      </w:rPr>
      <w:t>UE-</w:t>
    </w:r>
    <w:r>
      <w:rPr>
        <w:rFonts w:eastAsia="Times New Roman" w:cs="Times New Roman"/>
        <w:smallCaps/>
        <w:szCs w:val="20"/>
      </w:rPr>
      <w:t xml:space="preserve">160228 </w:t>
    </w:r>
    <w:r w:rsidRPr="00960816">
      <w:rPr>
        <w:rFonts w:eastAsia="Times New Roman" w:cs="Times New Roman"/>
        <w:szCs w:val="20"/>
      </w:rPr>
      <w:t>and</w:t>
    </w:r>
    <w:r>
      <w:rPr>
        <w:rFonts w:eastAsia="Times New Roman" w:cs="Times New Roman"/>
        <w:smallCaps/>
        <w:szCs w:val="20"/>
      </w:rPr>
      <w:t xml:space="preserve"> UG-160229 (</w:t>
    </w:r>
    <w:r>
      <w:rPr>
        <w:rFonts w:eastAsia="Times New Roman" w:cs="Times New Roman"/>
        <w:szCs w:val="20"/>
      </w:rPr>
      <w:t>Consolidated)</w:t>
    </w:r>
    <w:r>
      <w:tab/>
      <w:t xml:space="preserve">Page </w:t>
    </w:r>
    <w:fldSimple w:instr=" PAGE   \* MERGEFORMAT ">
      <w:r w:rsidR="00D367F3">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C5A" w:rsidRPr="001D1134" w:rsidRDefault="00F67C5A" w:rsidP="00272C05">
      <w:pPr>
        <w:spacing w:after="0"/>
      </w:pPr>
      <w:r>
        <w:separator/>
      </w:r>
    </w:p>
  </w:footnote>
  <w:footnote w:type="continuationSeparator" w:id="0">
    <w:p w:rsidR="00F67C5A" w:rsidRPr="001D1134" w:rsidRDefault="00F67C5A" w:rsidP="00272C05">
      <w:pPr>
        <w:spacing w:after="0"/>
      </w:pPr>
      <w:r>
        <w:continuationSeparator/>
      </w:r>
    </w:p>
  </w:footnote>
  <w:footnote w:id="1">
    <w:p w:rsidR="00F67C5A" w:rsidRPr="00877184" w:rsidRDefault="00F67C5A" w:rsidP="00F23557">
      <w:pPr>
        <w:pStyle w:val="FootnoteText"/>
        <w:keepNext/>
      </w:pPr>
      <w:r w:rsidRPr="00A26064">
        <w:rPr>
          <w:rStyle w:val="FootnoteReference"/>
          <w:u w:val="single"/>
        </w:rPr>
        <w:footnoteRef/>
      </w:r>
      <w:r w:rsidRPr="00A26064">
        <w:rPr>
          <w:vertAlign w:val="superscript"/>
        </w:rPr>
        <w:t>/</w:t>
      </w:r>
      <w:r>
        <w:rPr>
          <w:vertAlign w:val="superscript"/>
        </w:rPr>
        <w:tab/>
      </w:r>
      <w:r>
        <w:rPr>
          <w:i/>
        </w:rPr>
        <w:t>Moody’s Investors Service</w:t>
      </w:r>
      <w:r>
        <w:t>, “US Regulated Utilities:  Lower Authorized Equity Returns Will Not Hurt Near-Term Credit Profiles,” March 10, 2015.</w:t>
      </w:r>
    </w:p>
  </w:footnote>
  <w:footnote w:id="2">
    <w:p w:rsidR="00F67C5A" w:rsidRDefault="00F67C5A" w:rsidP="00F23557">
      <w:pPr>
        <w:pStyle w:val="FootnoteText"/>
      </w:pPr>
      <w:r w:rsidRPr="008172CC">
        <w:rPr>
          <w:rStyle w:val="FootnoteReference"/>
          <w:u w:val="single"/>
        </w:rPr>
        <w:footnoteRef/>
      </w:r>
      <w:r w:rsidRPr="008172CC">
        <w:rPr>
          <w:vertAlign w:val="superscript"/>
        </w:rPr>
        <w:t>/</w:t>
      </w:r>
      <w:r>
        <w:rPr>
          <w:i/>
        </w:rPr>
        <w:tab/>
      </w:r>
      <w:r w:rsidRPr="004A5783">
        <w:rPr>
          <w:i/>
        </w:rPr>
        <w:t>Standard &amp; Poor</w:t>
      </w:r>
      <w:r>
        <w:rPr>
          <w:i/>
        </w:rPr>
        <w:t>’</w:t>
      </w:r>
      <w:r w:rsidRPr="004A5783">
        <w:rPr>
          <w:i/>
        </w:rPr>
        <w:t>s Ratings</w:t>
      </w:r>
      <w:r>
        <w:rPr>
          <w:i/>
        </w:rPr>
        <w:t xml:space="preserve"> Services</w:t>
      </w:r>
      <w:r w:rsidRPr="004A5783">
        <w:t xml:space="preserve">:  </w:t>
      </w:r>
      <w:r>
        <w:t>“Corporate Industry C</w:t>
      </w:r>
      <w:r w:rsidRPr="004A5783">
        <w:t>redit Research:  Industry Top Trends 2016, Utili</w:t>
      </w:r>
      <w:r>
        <w:t>ties,” December 9, 2015, at 23, emphasis added.</w:t>
      </w:r>
    </w:p>
  </w:footnote>
  <w:footnote w:id="3">
    <w:p w:rsidR="00F67C5A" w:rsidRDefault="00F67C5A" w:rsidP="00F23557">
      <w:pPr>
        <w:pStyle w:val="FootnoteText"/>
      </w:pPr>
      <w:r w:rsidRPr="008172CC">
        <w:rPr>
          <w:rStyle w:val="FootnoteReference"/>
          <w:u w:val="single"/>
        </w:rPr>
        <w:footnoteRef/>
      </w:r>
      <w:r w:rsidRPr="008172CC">
        <w:rPr>
          <w:vertAlign w:val="superscript"/>
        </w:rPr>
        <w:t>/</w:t>
      </w:r>
      <w:r>
        <w:rPr>
          <w:vertAlign w:val="superscript"/>
        </w:rPr>
        <w:tab/>
      </w:r>
      <w:r>
        <w:t xml:space="preserve">Edison Electric Institute, </w:t>
      </w:r>
      <w:r w:rsidRPr="00B65074">
        <w:rPr>
          <w:i/>
        </w:rPr>
        <w:t>2015 Financial Review, Annual Report of the U.S. Investor-Owned Electric Utility Industry</w:t>
      </w:r>
      <w:r>
        <w:t>, page 17.</w:t>
      </w:r>
    </w:p>
  </w:footnote>
  <w:footnote w:id="4">
    <w:p w:rsidR="00F67C5A" w:rsidRPr="00BA34F0" w:rsidRDefault="00F67C5A" w:rsidP="00F23557">
      <w:pPr>
        <w:pStyle w:val="FootnoteText"/>
      </w:pPr>
      <w:r w:rsidRPr="008172CC">
        <w:rPr>
          <w:rStyle w:val="FootnoteReference"/>
          <w:u w:val="single"/>
        </w:rPr>
        <w:footnoteRef/>
      </w:r>
      <w:r w:rsidRPr="008172CC">
        <w:rPr>
          <w:vertAlign w:val="superscript"/>
        </w:rPr>
        <w:t>/</w:t>
      </w:r>
      <w:r>
        <w:rPr>
          <w:i/>
        </w:rPr>
        <w:tab/>
        <w:t>Id</w:t>
      </w:r>
      <w:r>
        <w:t>., pages 8 and 11.</w:t>
      </w:r>
    </w:p>
  </w:footnote>
  <w:footnote w:id="5">
    <w:p w:rsidR="00F67C5A" w:rsidRPr="004A5783" w:rsidRDefault="00F67C5A" w:rsidP="00F23557">
      <w:pPr>
        <w:pStyle w:val="FootnoteText"/>
      </w:pPr>
      <w:r w:rsidRPr="008172CC">
        <w:rPr>
          <w:rStyle w:val="FootnoteReference"/>
          <w:u w:val="single"/>
        </w:rPr>
        <w:footnoteRef/>
      </w:r>
      <w:r w:rsidRPr="008172CC">
        <w:rPr>
          <w:vertAlign w:val="superscript"/>
        </w:rPr>
        <w:t>/</w:t>
      </w:r>
      <w:r>
        <w:rPr>
          <w:i/>
        </w:rPr>
        <w:tab/>
      </w:r>
      <w:r w:rsidRPr="004A5783">
        <w:rPr>
          <w:i/>
        </w:rPr>
        <w:t>Standard &amp; Poor</w:t>
      </w:r>
      <w:r>
        <w:rPr>
          <w:i/>
        </w:rPr>
        <w:t>’s Ratings Services</w:t>
      </w:r>
      <w:r w:rsidRPr="004A5783">
        <w:t xml:space="preserve">:  </w:t>
      </w:r>
      <w:r>
        <w:t>“Corporate Industry C</w:t>
      </w:r>
      <w:r w:rsidRPr="004A5783">
        <w:t>redit Research:  Industry Top Trends 2016, Utili</w:t>
      </w:r>
      <w:r>
        <w:t>ties,” December 9, 2015, at 22, emphasis added.</w:t>
      </w:r>
    </w:p>
  </w:footnote>
  <w:footnote w:id="6">
    <w:p w:rsidR="00F67C5A" w:rsidRDefault="00F67C5A" w:rsidP="00F23557">
      <w:pPr>
        <w:pStyle w:val="FootnoteText"/>
      </w:pPr>
      <w:r w:rsidRPr="00DB188D">
        <w:rPr>
          <w:sz w:val="24"/>
          <w:szCs w:val="22"/>
          <w:u w:val="single"/>
          <w:vertAlign w:val="superscript"/>
        </w:rPr>
        <w:footnoteRef/>
      </w:r>
      <w:r w:rsidRPr="00DB188D">
        <w:rPr>
          <w:i/>
          <w:vertAlign w:val="superscript"/>
        </w:rPr>
        <w:t>/</w:t>
      </w:r>
      <w:r>
        <w:rPr>
          <w:i/>
          <w:vertAlign w:val="superscript"/>
        </w:rPr>
        <w:tab/>
      </w:r>
      <w:r w:rsidRPr="000C7B7A">
        <w:rPr>
          <w:i/>
        </w:rPr>
        <w:t>Fitch Ratings</w:t>
      </w:r>
      <w:r w:rsidRPr="000C7B7A">
        <w:t xml:space="preserve">:  </w:t>
      </w:r>
      <w:r>
        <w:t>“</w:t>
      </w:r>
      <w:r w:rsidRPr="000C7B7A">
        <w:t xml:space="preserve">U.S. Utilities, Power </w:t>
      </w:r>
      <w:r>
        <w:t>&amp;</w:t>
      </w:r>
      <w:r w:rsidRPr="000C7B7A">
        <w:t xml:space="preserve"> Gas</w:t>
      </w:r>
      <w:r>
        <w:t xml:space="preserve"> Data comparator</w:t>
      </w:r>
      <w:r w:rsidRPr="000C7B7A">
        <w:t>,</w:t>
      </w:r>
      <w:r>
        <w:t>”</w:t>
      </w:r>
      <w:r w:rsidRPr="000C7B7A">
        <w:t xml:space="preserve"> </w:t>
      </w:r>
      <w:r>
        <w:t>September 21</w:t>
      </w:r>
      <w:r w:rsidRPr="000C7B7A">
        <w:t>, 201</w:t>
      </w:r>
      <w:r>
        <w:t>5</w:t>
      </w:r>
      <w:r w:rsidRPr="000C7B7A">
        <w:t xml:space="preserve">, at </w:t>
      </w:r>
      <w:r>
        <w:t>1 and 7</w:t>
      </w:r>
      <w:r w:rsidRPr="000C7B7A">
        <w:t>, emphasis added.</w:t>
      </w:r>
    </w:p>
  </w:footnote>
  <w:footnote w:id="7">
    <w:p w:rsidR="00F67C5A" w:rsidRDefault="00F67C5A" w:rsidP="00F23557">
      <w:pPr>
        <w:pStyle w:val="FootnoteText"/>
      </w:pPr>
      <w:r w:rsidRPr="00DB188D">
        <w:rPr>
          <w:rStyle w:val="FootnoteReference"/>
          <w:u w:val="single"/>
        </w:rPr>
        <w:footnoteRef/>
      </w:r>
      <w:r w:rsidRPr="00DB188D">
        <w:rPr>
          <w:i/>
          <w:vertAlign w:val="superscript"/>
        </w:rPr>
        <w:t>/</w:t>
      </w:r>
      <w:r>
        <w:rPr>
          <w:i/>
        </w:rPr>
        <w:tab/>
        <w:t>Moody’s Investors Service</w:t>
      </w:r>
      <w:r>
        <w:t>:  “2016 Outlook – US Regulated Utilities:  Credit-Supportive Regulatory Environment Drives Stable Outlook,” November 6, 2015, at 1, emphasis added.</w:t>
      </w:r>
    </w:p>
  </w:footnote>
  <w:footnote w:id="8">
    <w:p w:rsidR="00F67C5A" w:rsidRDefault="00F67C5A" w:rsidP="00F23557">
      <w:pPr>
        <w:pStyle w:val="FootnoteText"/>
      </w:pPr>
      <w:r w:rsidRPr="00DB188D">
        <w:rPr>
          <w:rStyle w:val="FootnoteReference"/>
          <w:u w:val="single"/>
        </w:rPr>
        <w:footnoteRef/>
      </w:r>
      <w:r w:rsidRPr="00DB188D">
        <w:rPr>
          <w:i/>
          <w:vertAlign w:val="superscript"/>
        </w:rPr>
        <w:t>/</w:t>
      </w:r>
      <w:r>
        <w:rPr>
          <w:i/>
        </w:rPr>
        <w:tab/>
        <w:t>EEI</w:t>
      </w:r>
      <w:r w:rsidRPr="00D94FFD">
        <w:rPr>
          <w:i/>
        </w:rPr>
        <w:t xml:space="preserve"> Q</w:t>
      </w:r>
      <w:r>
        <w:rPr>
          <w:i/>
        </w:rPr>
        <w:t>4</w:t>
      </w:r>
      <w:r w:rsidRPr="00D94FFD">
        <w:rPr>
          <w:i/>
        </w:rPr>
        <w:t xml:space="preserve"> 2015 Financial Update</w:t>
      </w:r>
      <w:r>
        <w:t>:  “Stock Performance” at 4 and 6, emphasis added.</w:t>
      </w:r>
    </w:p>
  </w:footnote>
  <w:footnote w:id="9">
    <w:p w:rsidR="00F67C5A" w:rsidRPr="00BC6D44" w:rsidRDefault="00F67C5A" w:rsidP="00F23557">
      <w:pPr>
        <w:pStyle w:val="FootnoteText"/>
      </w:pPr>
      <w:r w:rsidRPr="0094689D">
        <w:rPr>
          <w:rStyle w:val="FootnoteReference"/>
          <w:u w:val="single"/>
        </w:rPr>
        <w:footnoteRef/>
      </w:r>
      <w:r w:rsidRPr="0094689D">
        <w:rPr>
          <w:i/>
          <w:vertAlign w:val="superscript"/>
        </w:rPr>
        <w:t>/</w:t>
      </w:r>
      <w:r>
        <w:rPr>
          <w:i/>
        </w:rPr>
        <w:tab/>
      </w:r>
      <w:r w:rsidRPr="00867069">
        <w:rPr>
          <w:i/>
        </w:rPr>
        <w:t xml:space="preserve">Standard &amp; Poor’s RatingsDirect:  </w:t>
      </w:r>
      <w:r w:rsidRPr="00867069">
        <w:t>“</w:t>
      </w:r>
      <w:r>
        <w:t>Summary</w:t>
      </w:r>
      <w:r w:rsidRPr="00867069">
        <w:t xml:space="preserve">:  </w:t>
      </w:r>
      <w:r>
        <w:t>Avista Corp.,</w:t>
      </w:r>
      <w:r w:rsidRPr="00867069">
        <w:t xml:space="preserve">” </w:t>
      </w:r>
      <w:r>
        <w:t>May 19, 2015, at 3-4.</w:t>
      </w:r>
    </w:p>
  </w:footnote>
  <w:footnote w:id="10">
    <w:p w:rsidR="00F67C5A" w:rsidRPr="00266ED0" w:rsidRDefault="00F67C5A" w:rsidP="00F23557">
      <w:pPr>
        <w:pStyle w:val="FootnoteText"/>
      </w:pPr>
      <w:r w:rsidRPr="001C564B">
        <w:rPr>
          <w:rStyle w:val="FootnoteReference"/>
          <w:u w:val="single"/>
        </w:rPr>
        <w:footnoteRef/>
      </w:r>
      <w:r w:rsidRPr="0094689D">
        <w:rPr>
          <w:i/>
          <w:vertAlign w:val="superscript"/>
        </w:rPr>
        <w:t>/</w:t>
      </w:r>
      <w:r>
        <w:rPr>
          <w:i/>
        </w:rPr>
        <w:tab/>
      </w:r>
      <w:r w:rsidRPr="00266ED0">
        <w:rPr>
          <w:i/>
        </w:rPr>
        <w:t>The Value Line Investment Survey</w:t>
      </w:r>
      <w:r w:rsidRPr="00266ED0">
        <w:t xml:space="preserve">, </w:t>
      </w:r>
      <w:r>
        <w:t xml:space="preserve">May 20, June 17, and July 29, 2016. </w:t>
      </w:r>
    </w:p>
  </w:footnote>
  <w:footnote w:id="11">
    <w:p w:rsidR="00F67C5A" w:rsidRPr="00266ED0" w:rsidRDefault="00F67C5A" w:rsidP="00F23557">
      <w:pPr>
        <w:pStyle w:val="FootnoteText"/>
      </w:pPr>
      <w:r w:rsidRPr="001C564B">
        <w:rPr>
          <w:rStyle w:val="FootnoteReference"/>
          <w:u w:val="single"/>
        </w:rPr>
        <w:footnoteRef/>
      </w:r>
      <w:r w:rsidRPr="0094689D">
        <w:rPr>
          <w:i/>
          <w:vertAlign w:val="superscript"/>
        </w:rPr>
        <w:t>/</w:t>
      </w:r>
      <w:r>
        <w:rPr>
          <w:i/>
          <w:iCs/>
        </w:rPr>
        <w:tab/>
      </w:r>
      <w:r w:rsidRPr="00266ED0">
        <w:rPr>
          <w:i/>
          <w:iCs/>
        </w:rPr>
        <w:t>See, e.g.</w:t>
      </w:r>
      <w:r w:rsidRPr="00266ED0">
        <w:rPr>
          <w:i/>
        </w:rPr>
        <w:t>,</w:t>
      </w:r>
      <w:r w:rsidRPr="00266ED0">
        <w:t xml:space="preserve"> David Gordon, Myron Gordon, and Lawrence Gould, </w:t>
      </w:r>
      <w:r>
        <w:t>“</w:t>
      </w:r>
      <w:r w:rsidRPr="00266ED0">
        <w:t xml:space="preserve">Choice </w:t>
      </w:r>
      <w:proofErr w:type="gramStart"/>
      <w:r w:rsidRPr="00266ED0">
        <w:t>Among</w:t>
      </w:r>
      <w:proofErr w:type="gramEnd"/>
      <w:r w:rsidRPr="00266ED0">
        <w:t xml:space="preserve"> Methods of Estimating Share Yield,</w:t>
      </w:r>
      <w:r>
        <w:t>”</w:t>
      </w:r>
      <w:r w:rsidRPr="00266ED0">
        <w:t xml:space="preserve"> </w:t>
      </w:r>
      <w:r w:rsidRPr="00266ED0">
        <w:rPr>
          <w:i/>
        </w:rPr>
        <w:t>The Journal of Portfolio Management</w:t>
      </w:r>
      <w:r w:rsidRPr="00266ED0">
        <w:t>, Spring 1989.</w:t>
      </w:r>
    </w:p>
  </w:footnote>
  <w:footnote w:id="12">
    <w:p w:rsidR="00F67C5A" w:rsidRPr="00266ED0" w:rsidRDefault="00F67C5A" w:rsidP="00F23557">
      <w:pPr>
        <w:pStyle w:val="FootnoteText"/>
      </w:pPr>
      <w:r w:rsidRPr="001C564B">
        <w:rPr>
          <w:rStyle w:val="FootnoteReference"/>
          <w:u w:val="single"/>
        </w:rPr>
        <w:footnoteRef/>
      </w:r>
      <w:r w:rsidRPr="0094689D">
        <w:rPr>
          <w:i/>
          <w:vertAlign w:val="superscript"/>
        </w:rPr>
        <w:t>/</w:t>
      </w:r>
      <w:r>
        <w:rPr>
          <w:i/>
        </w:rPr>
        <w:tab/>
      </w:r>
      <w:r w:rsidRPr="00266ED0">
        <w:rPr>
          <w:i/>
        </w:rPr>
        <w:t xml:space="preserve">Blue Chip </w:t>
      </w:r>
      <w:r>
        <w:rPr>
          <w:i/>
        </w:rPr>
        <w:t>Financial Forecasts</w:t>
      </w:r>
      <w:r>
        <w:t>, June 1, 2016</w:t>
      </w:r>
      <w:r w:rsidRPr="00266ED0">
        <w:t xml:space="preserve">, at 14. </w:t>
      </w:r>
    </w:p>
  </w:footnote>
  <w:footnote w:id="13">
    <w:p w:rsidR="00F67C5A" w:rsidRPr="00266ED0" w:rsidRDefault="00F67C5A" w:rsidP="00F23557">
      <w:pPr>
        <w:pStyle w:val="FootnoteText"/>
      </w:pPr>
      <w:r w:rsidRPr="001C564B">
        <w:rPr>
          <w:rStyle w:val="FootnoteReference"/>
          <w:u w:val="single"/>
        </w:rPr>
        <w:footnoteRef/>
      </w:r>
      <w:r w:rsidRPr="0094689D">
        <w:rPr>
          <w:i/>
          <w:vertAlign w:val="superscript"/>
        </w:rPr>
        <w:t>/</w:t>
      </w:r>
      <w:r>
        <w:rPr>
          <w:i/>
        </w:rPr>
        <w:tab/>
        <w:t>“</w:t>
      </w:r>
      <w:r w:rsidRPr="00266ED0">
        <w:rPr>
          <w:i/>
        </w:rPr>
        <w:t>Fundamentals of Financial Management</w:t>
      </w:r>
      <w:r w:rsidRPr="00266ED0">
        <w:t>,</w:t>
      </w:r>
      <w:r>
        <w:t>”</w:t>
      </w:r>
      <w:r w:rsidRPr="00266ED0">
        <w:t xml:space="preserve"> Eugene F. Brigham and Joel F. Houston, Eleventh Edition 2007, Thomson South-Western, a Division of Thomson Corporation at 298</w:t>
      </w:r>
      <w:r>
        <w:t>, emphasis added</w:t>
      </w:r>
      <w:r w:rsidRPr="00266ED0">
        <w:t>.</w:t>
      </w:r>
    </w:p>
  </w:footnote>
  <w:footnote w:id="14">
    <w:p w:rsidR="00F67C5A" w:rsidRPr="002B64EB" w:rsidRDefault="00F67C5A" w:rsidP="00F23557">
      <w:pPr>
        <w:pStyle w:val="FootnoteText"/>
      </w:pPr>
      <w:r w:rsidRPr="001C564B">
        <w:rPr>
          <w:rStyle w:val="FootnoteReference"/>
          <w:u w:val="single"/>
        </w:rPr>
        <w:footnoteRef/>
      </w:r>
      <w:r w:rsidRPr="0094689D">
        <w:rPr>
          <w:i/>
          <w:vertAlign w:val="superscript"/>
        </w:rPr>
        <w:t>/</w:t>
      </w:r>
      <w:r>
        <w:rPr>
          <w:i/>
        </w:rPr>
        <w:tab/>
      </w:r>
      <w:r w:rsidRPr="00266ED0">
        <w:rPr>
          <w:i/>
        </w:rPr>
        <w:t>Morningstar, Inc., Ibbotson SBBI 201</w:t>
      </w:r>
      <w:r>
        <w:rPr>
          <w:i/>
        </w:rPr>
        <w:t>3</w:t>
      </w:r>
      <w:r w:rsidRPr="00266ED0">
        <w:rPr>
          <w:i/>
        </w:rPr>
        <w:t xml:space="preserve"> </w:t>
      </w:r>
      <w:r>
        <w:rPr>
          <w:i/>
        </w:rPr>
        <w:t>Valuation</w:t>
      </w:r>
      <w:r w:rsidRPr="00266ED0">
        <w:rPr>
          <w:i/>
        </w:rPr>
        <w:t xml:space="preserve"> Yearbook</w:t>
      </w:r>
      <w:r>
        <w:t xml:space="preserve"> at 51 and 52.</w:t>
      </w:r>
    </w:p>
  </w:footnote>
  <w:footnote w:id="15">
    <w:p w:rsidR="00F67C5A" w:rsidRPr="00266ED0" w:rsidRDefault="00F67C5A" w:rsidP="00F23557">
      <w:pPr>
        <w:pStyle w:val="FootnoteText"/>
      </w:pPr>
      <w:r w:rsidRPr="001C564B">
        <w:rPr>
          <w:rStyle w:val="FootnoteReference"/>
          <w:u w:val="single"/>
        </w:rPr>
        <w:footnoteRef/>
      </w:r>
      <w:r w:rsidRPr="0094689D">
        <w:rPr>
          <w:i/>
          <w:vertAlign w:val="superscript"/>
        </w:rPr>
        <w:t>/</w:t>
      </w:r>
      <w:r>
        <w:rPr>
          <w:i/>
        </w:rPr>
        <w:tab/>
      </w:r>
      <w:r w:rsidRPr="00B65074">
        <w:rPr>
          <w:i/>
        </w:rPr>
        <w:t>Duff &amp; Phelps 2016 Valuation Handbook</w:t>
      </w:r>
      <w:r w:rsidRPr="00266ED0">
        <w:t xml:space="preserve"> inflation rate of 3.0%</w:t>
      </w:r>
      <w:r>
        <w:t xml:space="preserve"> at 2-4</w:t>
      </w:r>
      <w:r w:rsidRPr="00266ED0">
        <w:t xml:space="preserve">, and U.S. Bureau of Economic Analysis, </w:t>
      </w:r>
      <w:r>
        <w:t>January 29, 2016</w:t>
      </w:r>
      <w:r w:rsidRPr="00552737">
        <w:t>.</w:t>
      </w:r>
    </w:p>
  </w:footnote>
  <w:footnote w:id="16">
    <w:p w:rsidR="00F67C5A" w:rsidRPr="00266ED0" w:rsidRDefault="00F67C5A" w:rsidP="00F23557">
      <w:pPr>
        <w:pStyle w:val="FootnoteText"/>
      </w:pPr>
      <w:r w:rsidRPr="001C564B">
        <w:rPr>
          <w:rStyle w:val="FootnoteReference"/>
          <w:u w:val="single"/>
        </w:rPr>
        <w:footnoteRef/>
      </w:r>
      <w:r w:rsidRPr="0094689D">
        <w:rPr>
          <w:i/>
          <w:vertAlign w:val="superscript"/>
        </w:rPr>
        <w:t>/</w:t>
      </w:r>
      <w:r>
        <w:rPr>
          <w:i/>
        </w:rPr>
        <w:tab/>
      </w:r>
      <w:r w:rsidRPr="00266ED0">
        <w:rPr>
          <w:i/>
        </w:rPr>
        <w:t xml:space="preserve">Blue Chip </w:t>
      </w:r>
      <w:r>
        <w:rPr>
          <w:i/>
        </w:rPr>
        <w:t>Financial Forecasts</w:t>
      </w:r>
      <w:r w:rsidRPr="00266ED0">
        <w:t xml:space="preserve">, </w:t>
      </w:r>
      <w:r>
        <w:t>June 1,</w:t>
      </w:r>
      <w:r w:rsidRPr="00266ED0">
        <w:t xml:space="preserve"> 201</w:t>
      </w:r>
      <w:r>
        <w:t>6,</w:t>
      </w:r>
      <w:r w:rsidRPr="00266ED0">
        <w:t xml:space="preserve"> at 14. </w:t>
      </w:r>
    </w:p>
  </w:footnote>
  <w:footnote w:id="17">
    <w:p w:rsidR="00F67C5A" w:rsidRPr="00266ED0" w:rsidRDefault="00F67C5A" w:rsidP="00F23557">
      <w:pPr>
        <w:pStyle w:val="FootnoteText"/>
      </w:pPr>
      <w:r w:rsidRPr="001C564B">
        <w:rPr>
          <w:rStyle w:val="FootnoteReference"/>
          <w:u w:val="single"/>
        </w:rPr>
        <w:footnoteRef/>
      </w:r>
      <w:r w:rsidRPr="0094689D">
        <w:rPr>
          <w:i/>
          <w:vertAlign w:val="superscript"/>
        </w:rPr>
        <w:t>/</w:t>
      </w:r>
      <w:r>
        <w:rPr>
          <w:i/>
        </w:rPr>
        <w:tab/>
      </w:r>
      <w:r w:rsidRPr="00266ED0">
        <w:rPr>
          <w:i/>
        </w:rPr>
        <w:t>Id.</w:t>
      </w:r>
    </w:p>
  </w:footnote>
  <w:footnote w:id="18">
    <w:p w:rsidR="00F67C5A" w:rsidRPr="00266ED0" w:rsidRDefault="00F67C5A" w:rsidP="00F23557">
      <w:pPr>
        <w:pStyle w:val="FootnoteText"/>
      </w:pPr>
      <w:r w:rsidRPr="001C564B">
        <w:rPr>
          <w:rStyle w:val="FootnoteReference"/>
          <w:u w:val="single"/>
        </w:rPr>
        <w:footnoteRef/>
      </w:r>
      <w:r w:rsidRPr="0094689D">
        <w:rPr>
          <w:i/>
          <w:vertAlign w:val="superscript"/>
        </w:rPr>
        <w:t>/</w:t>
      </w:r>
      <w:r>
        <w:tab/>
      </w:r>
      <w:r w:rsidRPr="00266ED0">
        <w:t>DOE/EIA Annual Energy Outlook 201</w:t>
      </w:r>
      <w:r>
        <w:t>5</w:t>
      </w:r>
      <w:r w:rsidRPr="00266ED0">
        <w:t xml:space="preserve"> </w:t>
      </w:r>
      <w:proofErr w:type="gramStart"/>
      <w:r w:rsidRPr="00266ED0">
        <w:t>With</w:t>
      </w:r>
      <w:proofErr w:type="gramEnd"/>
      <w:r w:rsidRPr="00266ED0">
        <w:t xml:space="preserve"> Projections to 2040, </w:t>
      </w:r>
      <w:r>
        <w:t>January 2016,</w:t>
      </w:r>
      <w:r w:rsidRPr="00266ED0">
        <w:t xml:space="preserve"> at </w:t>
      </w:r>
      <w:r>
        <w:t>4 and A</w:t>
      </w:r>
      <w:r>
        <w:noBreakHyphen/>
        <w:t>38</w:t>
      </w:r>
      <w:r w:rsidRPr="00266ED0">
        <w:t>.</w:t>
      </w:r>
      <w:r>
        <w:t xml:space="preserve"> </w:t>
      </w:r>
    </w:p>
  </w:footnote>
  <w:footnote w:id="19">
    <w:p w:rsidR="00F67C5A" w:rsidRPr="00266ED0" w:rsidRDefault="00F67C5A" w:rsidP="00F23557">
      <w:pPr>
        <w:pStyle w:val="FootnoteText"/>
      </w:pPr>
      <w:r w:rsidRPr="001C564B">
        <w:rPr>
          <w:rStyle w:val="FootnoteReference"/>
          <w:u w:val="single"/>
        </w:rPr>
        <w:footnoteRef/>
      </w:r>
      <w:r w:rsidRPr="0094689D">
        <w:rPr>
          <w:i/>
          <w:vertAlign w:val="superscript"/>
        </w:rPr>
        <w:t>/</w:t>
      </w:r>
      <w:r>
        <w:rPr>
          <w:bCs/>
          <w:i/>
        </w:rPr>
        <w:tab/>
      </w:r>
      <w:r w:rsidRPr="00266ED0">
        <w:rPr>
          <w:bCs/>
          <w:i/>
        </w:rPr>
        <w:t>CBO:</w:t>
      </w:r>
      <w:r w:rsidRPr="00266ED0">
        <w:rPr>
          <w:i/>
        </w:rPr>
        <w:t xml:space="preserve">  The Budget and Economic Outlook:  </w:t>
      </w:r>
      <w:r w:rsidRPr="002125BE">
        <w:rPr>
          <w:i/>
        </w:rPr>
        <w:t>2016 to 2026</w:t>
      </w:r>
      <w:r w:rsidRPr="00266ED0">
        <w:t xml:space="preserve">, </w:t>
      </w:r>
      <w:r>
        <w:t>January 2016,</w:t>
      </w:r>
      <w:r w:rsidRPr="00266ED0">
        <w:t xml:space="preserve"> at </w:t>
      </w:r>
      <w:r>
        <w:t>140</w:t>
      </w:r>
      <w:r w:rsidRPr="00266ED0">
        <w:t>.</w:t>
      </w:r>
    </w:p>
  </w:footnote>
  <w:footnote w:id="20">
    <w:p w:rsidR="00F67C5A" w:rsidRDefault="00F67C5A" w:rsidP="00F23557">
      <w:pPr>
        <w:pStyle w:val="FootnoteText"/>
      </w:pPr>
      <w:r w:rsidRPr="001C564B">
        <w:rPr>
          <w:rStyle w:val="FootnoteReference"/>
          <w:u w:val="single"/>
        </w:rPr>
        <w:footnoteRef/>
      </w:r>
      <w:proofErr w:type="gramStart"/>
      <w:r w:rsidRPr="0094689D">
        <w:rPr>
          <w:i/>
          <w:vertAlign w:val="superscript"/>
        </w:rPr>
        <w:t>/</w:t>
      </w:r>
      <w:r>
        <w:tab/>
      </w:r>
      <w:hyperlink r:id="rId1" w:history="1">
        <w:r w:rsidRPr="00664663">
          <w:rPr>
            <w:rStyle w:val="Hyperlink"/>
          </w:rPr>
          <w:t>www.economy.com</w:t>
        </w:r>
      </w:hyperlink>
      <w:r>
        <w:t xml:space="preserve">, </w:t>
      </w:r>
      <w:r w:rsidRPr="00236F53">
        <w:rPr>
          <w:i/>
        </w:rPr>
        <w:t>Moody</w:t>
      </w:r>
      <w:r>
        <w:rPr>
          <w:i/>
        </w:rPr>
        <w:t>’</w:t>
      </w:r>
      <w:r w:rsidRPr="00236F53">
        <w:rPr>
          <w:i/>
        </w:rPr>
        <w:t>s Analytics Forecast</w:t>
      </w:r>
      <w:r>
        <w:t>, January 6, 2016.</w:t>
      </w:r>
      <w:proofErr w:type="gramEnd"/>
    </w:p>
  </w:footnote>
  <w:footnote w:id="21">
    <w:p w:rsidR="00F67C5A" w:rsidRDefault="00F67C5A" w:rsidP="00F23557">
      <w:pPr>
        <w:pStyle w:val="FootnoteText"/>
      </w:pPr>
      <w:r w:rsidRPr="001C564B">
        <w:rPr>
          <w:rStyle w:val="FootnoteReference"/>
          <w:u w:val="single"/>
        </w:rPr>
        <w:footnoteRef/>
      </w:r>
      <w:proofErr w:type="gramStart"/>
      <w:r w:rsidRPr="0094689D">
        <w:rPr>
          <w:i/>
          <w:vertAlign w:val="superscript"/>
        </w:rPr>
        <w:t>/</w:t>
      </w:r>
      <w:r>
        <w:tab/>
      </w:r>
      <w:hyperlink r:id="rId2" w:history="1">
        <w:r w:rsidRPr="00664663">
          <w:rPr>
            <w:rStyle w:val="Hyperlink"/>
          </w:rPr>
          <w:t>www.ssa.gov</w:t>
        </w:r>
      </w:hyperlink>
      <w:r>
        <w:t>, “2015 OASDI Trustees Report,” Table VI.G4.</w:t>
      </w:r>
      <w:proofErr w:type="gramEnd"/>
    </w:p>
  </w:footnote>
  <w:footnote w:id="22">
    <w:p w:rsidR="00F67C5A" w:rsidRDefault="00F67C5A" w:rsidP="00F23557">
      <w:pPr>
        <w:pStyle w:val="FootnoteText"/>
      </w:pPr>
      <w:r w:rsidRPr="001C564B">
        <w:rPr>
          <w:rStyle w:val="FootnoteReference"/>
          <w:u w:val="single"/>
        </w:rPr>
        <w:footnoteRef/>
      </w:r>
      <w:r w:rsidRPr="0094689D">
        <w:rPr>
          <w:i/>
          <w:vertAlign w:val="superscript"/>
        </w:rPr>
        <w:t>/</w:t>
      </w:r>
      <w:r>
        <w:rPr>
          <w:i/>
        </w:rPr>
        <w:tab/>
      </w:r>
      <w:r w:rsidRPr="00236F53">
        <w:rPr>
          <w:i/>
        </w:rPr>
        <w:t xml:space="preserve">SNL Financial, Economist Intelligence </w:t>
      </w:r>
      <w:r w:rsidRPr="00376F36">
        <w:rPr>
          <w:i/>
        </w:rPr>
        <w:t>Unit</w:t>
      </w:r>
      <w:r w:rsidRPr="00376F36">
        <w:t xml:space="preserve">, downloaded on </w:t>
      </w:r>
      <w:r>
        <w:t>January 13, 2016</w:t>
      </w:r>
      <w:r w:rsidRPr="00376F36">
        <w:t>.</w:t>
      </w:r>
    </w:p>
  </w:footnote>
  <w:footnote w:id="23">
    <w:p w:rsidR="00F67C5A" w:rsidRDefault="00F67C5A" w:rsidP="00F23557">
      <w:pPr>
        <w:pStyle w:val="FootnoteText"/>
      </w:pPr>
      <w:r w:rsidRPr="001C564B">
        <w:rPr>
          <w:rStyle w:val="FootnoteReference"/>
          <w:u w:val="single"/>
        </w:rPr>
        <w:footnoteRef/>
      </w:r>
      <w:r w:rsidRPr="0094689D">
        <w:rPr>
          <w:i/>
          <w:vertAlign w:val="superscript"/>
        </w:rPr>
        <w:t>/</w:t>
      </w:r>
      <w:r>
        <w:tab/>
        <w:t>(4.25% * 25%) + (6.70% * 75%) = 6.09%.</w:t>
      </w:r>
    </w:p>
  </w:footnote>
  <w:footnote w:id="24">
    <w:p w:rsidR="00F67C5A" w:rsidRDefault="00F67C5A" w:rsidP="00F23557">
      <w:pPr>
        <w:pStyle w:val="FootnoteText"/>
      </w:pPr>
      <w:r w:rsidRPr="001C564B">
        <w:rPr>
          <w:rStyle w:val="FootnoteReference"/>
          <w:u w:val="single"/>
        </w:rPr>
        <w:footnoteRef/>
      </w:r>
      <w:r w:rsidRPr="0094689D">
        <w:rPr>
          <w:i/>
          <w:vertAlign w:val="superscript"/>
        </w:rPr>
        <w:t>/</w:t>
      </w:r>
      <w:r>
        <w:tab/>
        <w:t>(2.88% * 25%) + (5.53% * 75%) = 4.87%.</w:t>
      </w:r>
    </w:p>
  </w:footnote>
  <w:footnote w:id="25">
    <w:p w:rsidR="00F67C5A" w:rsidRPr="00266ED0" w:rsidRDefault="00F67C5A" w:rsidP="00F23557">
      <w:pPr>
        <w:pStyle w:val="FootnoteText"/>
      </w:pPr>
      <w:r w:rsidRPr="001C564B">
        <w:rPr>
          <w:rStyle w:val="FootnoteReference"/>
          <w:u w:val="single"/>
        </w:rPr>
        <w:footnoteRef/>
      </w:r>
      <w:r w:rsidRPr="0094689D">
        <w:rPr>
          <w:i/>
          <w:vertAlign w:val="superscript"/>
        </w:rPr>
        <w:t>/</w:t>
      </w:r>
      <w:r>
        <w:rPr>
          <w:i/>
        </w:rPr>
        <w:tab/>
      </w:r>
      <w:r w:rsidRPr="00266ED0">
        <w:rPr>
          <w:i/>
        </w:rPr>
        <w:t>Blue Chip Financial Forecasts</w:t>
      </w:r>
      <w:r w:rsidRPr="00266ED0">
        <w:t xml:space="preserve">, </w:t>
      </w:r>
      <w:r>
        <w:t>July 1, 2016</w:t>
      </w:r>
      <w:r w:rsidRPr="00266ED0">
        <w:t xml:space="preserve"> at 2.</w:t>
      </w:r>
    </w:p>
  </w:footnote>
  <w:footnote w:id="26">
    <w:p w:rsidR="00F67C5A" w:rsidRPr="00266ED0" w:rsidRDefault="00F67C5A" w:rsidP="00F23557">
      <w:pPr>
        <w:pStyle w:val="FootnoteText"/>
      </w:pPr>
      <w:r w:rsidRPr="001C564B">
        <w:rPr>
          <w:rStyle w:val="FootnoteReference"/>
          <w:u w:val="single"/>
        </w:rPr>
        <w:footnoteRef/>
      </w:r>
      <w:r w:rsidRPr="0094689D">
        <w:rPr>
          <w:i/>
          <w:vertAlign w:val="superscript"/>
        </w:rPr>
        <w:t>/</w:t>
      </w:r>
      <w:r>
        <w:rPr>
          <w:i/>
        </w:rPr>
        <w:tab/>
        <w:t>Duff &amp; Phelps,</w:t>
      </w:r>
      <w:r w:rsidRPr="00266ED0">
        <w:rPr>
          <w:i/>
        </w:rPr>
        <w:t xml:space="preserve"> </w:t>
      </w:r>
      <w:r>
        <w:rPr>
          <w:i/>
        </w:rPr>
        <w:t>2016 Valuation Handbook: Guide to Cost of Capital</w:t>
      </w:r>
      <w:r w:rsidRPr="00266ED0">
        <w:t xml:space="preserve"> at </w:t>
      </w:r>
      <w:r>
        <w:t>2-4</w:t>
      </w:r>
      <w:r w:rsidRPr="00266ED0">
        <w:t>.</w:t>
      </w:r>
      <w:r>
        <w:t xml:space="preserve">  Calculated as [(1+0.12) / (1+0.03)] – 1.</w:t>
      </w:r>
    </w:p>
  </w:footnote>
  <w:footnote w:id="27">
    <w:p w:rsidR="00F67C5A" w:rsidRPr="00266ED0" w:rsidRDefault="00F67C5A" w:rsidP="00F23557">
      <w:pPr>
        <w:pStyle w:val="FootnoteText"/>
      </w:pPr>
      <w:r w:rsidRPr="001C564B">
        <w:rPr>
          <w:rStyle w:val="FootnoteReference"/>
          <w:u w:val="single"/>
        </w:rPr>
        <w:footnoteRef/>
      </w:r>
      <w:r w:rsidRPr="0094689D">
        <w:rPr>
          <w:i/>
          <w:vertAlign w:val="superscript"/>
        </w:rPr>
        <w:t>/</w:t>
      </w:r>
      <w:r>
        <w:rPr>
          <w:i/>
        </w:rPr>
        <w:tab/>
      </w:r>
      <w:r w:rsidRPr="00266ED0">
        <w:rPr>
          <w:i/>
        </w:rPr>
        <w:t>Blue Chip Financial Forecasts</w:t>
      </w:r>
      <w:r w:rsidRPr="00266ED0">
        <w:t xml:space="preserve">, </w:t>
      </w:r>
      <w:r>
        <w:t>July 1, 2016</w:t>
      </w:r>
      <w:r w:rsidRPr="00266ED0">
        <w:t xml:space="preserve"> at 2.</w:t>
      </w:r>
    </w:p>
  </w:footnote>
  <w:footnote w:id="28">
    <w:p w:rsidR="00F67C5A" w:rsidRPr="00266ED0" w:rsidRDefault="00F67C5A" w:rsidP="00F23557">
      <w:pPr>
        <w:pStyle w:val="FootnoteText"/>
      </w:pPr>
      <w:r w:rsidRPr="001C564B">
        <w:rPr>
          <w:rStyle w:val="FootnoteReference"/>
          <w:u w:val="single"/>
        </w:rPr>
        <w:footnoteRef/>
      </w:r>
      <w:r w:rsidRPr="0094689D">
        <w:rPr>
          <w:i/>
          <w:vertAlign w:val="superscript"/>
        </w:rPr>
        <w:t>/</w:t>
      </w:r>
      <w:r>
        <w:tab/>
      </w:r>
      <w:proofErr w:type="gramStart"/>
      <w:r w:rsidRPr="00266ED0">
        <w:t>{  [</w:t>
      </w:r>
      <w:proofErr w:type="gramEnd"/>
      <w:r w:rsidRPr="00266ED0">
        <w:t xml:space="preserve"> (1 + 0.08</w:t>
      </w:r>
      <w:r>
        <w:t>7</w:t>
      </w:r>
      <w:r w:rsidRPr="00266ED0">
        <w:t xml:space="preserve">) </w:t>
      </w:r>
      <w:r w:rsidRPr="00266ED0">
        <w:sym w:font="Symbol" w:char="F02A"/>
      </w:r>
      <w:r w:rsidRPr="00266ED0">
        <w:t xml:space="preserve"> (1 + 0.02</w:t>
      </w:r>
      <w:r>
        <w:t>3</w:t>
      </w:r>
      <w:r w:rsidRPr="00266ED0">
        <w:t xml:space="preserve">) ] – 1 } </w:t>
      </w:r>
      <w:r w:rsidRPr="00266ED0">
        <w:sym w:font="Symbol" w:char="F02A"/>
      </w:r>
      <w:r w:rsidRPr="00266ED0">
        <w:t xml:space="preserve"> 100.</w:t>
      </w:r>
    </w:p>
  </w:footnote>
  <w:footnote w:id="29">
    <w:p w:rsidR="00F67C5A" w:rsidRPr="00266ED0" w:rsidRDefault="00F67C5A" w:rsidP="00F23557">
      <w:pPr>
        <w:pStyle w:val="FootnoteText"/>
      </w:pPr>
      <w:r w:rsidRPr="001C564B">
        <w:rPr>
          <w:rStyle w:val="FootnoteReference"/>
          <w:u w:val="single"/>
        </w:rPr>
        <w:footnoteRef/>
      </w:r>
      <w:r w:rsidRPr="0094689D">
        <w:rPr>
          <w:i/>
          <w:vertAlign w:val="superscript"/>
        </w:rPr>
        <w:t>/</w:t>
      </w:r>
      <w:r>
        <w:rPr>
          <w:i/>
        </w:rPr>
        <w:tab/>
        <w:t>Duff &amp; Phelps</w:t>
      </w:r>
      <w:r w:rsidRPr="00266ED0">
        <w:rPr>
          <w:i/>
        </w:rPr>
        <w:t>, 201</w:t>
      </w:r>
      <w:r>
        <w:rPr>
          <w:i/>
        </w:rPr>
        <w:t>6</w:t>
      </w:r>
      <w:r w:rsidRPr="00266ED0">
        <w:rPr>
          <w:i/>
        </w:rPr>
        <w:t xml:space="preserve"> </w:t>
      </w:r>
      <w:r>
        <w:rPr>
          <w:i/>
        </w:rPr>
        <w:t>Valuation</w:t>
      </w:r>
      <w:r w:rsidRPr="00266ED0">
        <w:rPr>
          <w:i/>
        </w:rPr>
        <w:t xml:space="preserve"> </w:t>
      </w:r>
      <w:r>
        <w:rPr>
          <w:i/>
        </w:rPr>
        <w:t>Hand</w:t>
      </w:r>
      <w:r w:rsidRPr="00266ED0">
        <w:rPr>
          <w:i/>
        </w:rPr>
        <w:t>book</w:t>
      </w:r>
      <w:r>
        <w:rPr>
          <w:i/>
        </w:rPr>
        <w:t>: Guide to Cost of Capital</w:t>
      </w:r>
      <w:r w:rsidRPr="00266ED0">
        <w:t xml:space="preserve"> at </w:t>
      </w:r>
      <w:r>
        <w:t>2-4</w:t>
      </w:r>
      <w:r w:rsidRPr="00266ED0">
        <w:t>.</w:t>
      </w:r>
    </w:p>
  </w:footnote>
  <w:footnote w:id="30">
    <w:p w:rsidR="00F67C5A" w:rsidRPr="00266ED0" w:rsidRDefault="00F67C5A" w:rsidP="00F23557">
      <w:pPr>
        <w:pStyle w:val="FootnoteText"/>
        <w:rPr>
          <w:i/>
        </w:rPr>
      </w:pPr>
      <w:r w:rsidRPr="001C564B">
        <w:rPr>
          <w:rStyle w:val="FootnoteReference"/>
          <w:u w:val="single"/>
        </w:rPr>
        <w:footnoteRef/>
      </w:r>
      <w:r w:rsidRPr="0094689D">
        <w:rPr>
          <w:i/>
          <w:vertAlign w:val="superscript"/>
        </w:rPr>
        <w:t>/</w:t>
      </w:r>
      <w:r>
        <w:rPr>
          <w:i/>
        </w:rPr>
        <w:tab/>
      </w:r>
      <w:r w:rsidRPr="00266ED0">
        <w:rPr>
          <w:i/>
        </w:rPr>
        <w:t>Id.</w:t>
      </w:r>
    </w:p>
  </w:footnote>
  <w:footnote w:id="31">
    <w:p w:rsidR="00F67C5A" w:rsidRPr="00266ED0" w:rsidRDefault="00F67C5A" w:rsidP="00F23557">
      <w:pPr>
        <w:pStyle w:val="FootnoteText"/>
      </w:pPr>
      <w:r w:rsidRPr="001C564B">
        <w:rPr>
          <w:rStyle w:val="FootnoteReference"/>
          <w:u w:val="single"/>
        </w:rPr>
        <w:footnoteRef/>
      </w:r>
      <w:r w:rsidRPr="0094689D">
        <w:rPr>
          <w:i/>
          <w:vertAlign w:val="superscript"/>
        </w:rPr>
        <w:t>/</w:t>
      </w:r>
      <w:r>
        <w:rPr>
          <w:i/>
        </w:rPr>
        <w:tab/>
      </w:r>
      <w:r w:rsidRPr="00266ED0">
        <w:rPr>
          <w:i/>
        </w:rPr>
        <w:t>Id.</w:t>
      </w:r>
      <w:r w:rsidRPr="00266ED0">
        <w:t xml:space="preserve"> at </w:t>
      </w:r>
      <w:r>
        <w:t>3-28</w:t>
      </w:r>
      <w:r w:rsidRPr="00266ED0">
        <w:t>.</w:t>
      </w:r>
    </w:p>
  </w:footnote>
  <w:footnote w:id="32">
    <w:p w:rsidR="00F67C5A" w:rsidRPr="00266ED0" w:rsidRDefault="00F67C5A" w:rsidP="00F23557">
      <w:pPr>
        <w:pStyle w:val="FootnoteText"/>
      </w:pPr>
      <w:r w:rsidRPr="001C564B">
        <w:rPr>
          <w:rStyle w:val="FootnoteReference"/>
          <w:u w:val="single"/>
        </w:rPr>
        <w:footnoteRef/>
      </w:r>
      <w:r w:rsidRPr="0094689D">
        <w:rPr>
          <w:i/>
          <w:vertAlign w:val="superscript"/>
        </w:rPr>
        <w:t>/</w:t>
      </w:r>
      <w:r>
        <w:rPr>
          <w:i/>
        </w:rPr>
        <w:tab/>
      </w:r>
      <w:r w:rsidRPr="00266ED0">
        <w:rPr>
          <w:i/>
        </w:rPr>
        <w:t xml:space="preserve">Id. </w:t>
      </w:r>
      <w:r w:rsidRPr="00266ED0">
        <w:t xml:space="preserve">at </w:t>
      </w:r>
      <w:r>
        <w:t>3-30</w:t>
      </w:r>
      <w:r w:rsidRPr="00266ED0">
        <w:t>.</w:t>
      </w:r>
    </w:p>
  </w:footnote>
  <w:footnote w:id="33">
    <w:p w:rsidR="00F67C5A" w:rsidRPr="00266ED0" w:rsidRDefault="00F67C5A" w:rsidP="00F23557">
      <w:pPr>
        <w:pStyle w:val="FootnoteText"/>
      </w:pPr>
      <w:r w:rsidRPr="001C564B">
        <w:rPr>
          <w:rStyle w:val="FootnoteReference"/>
          <w:u w:val="single"/>
        </w:rPr>
        <w:footnoteRef/>
      </w:r>
      <w:r w:rsidRPr="0094689D">
        <w:rPr>
          <w:i/>
          <w:vertAlign w:val="superscript"/>
        </w:rPr>
        <w:t>/</w:t>
      </w:r>
      <w:r>
        <w:rPr>
          <w:i/>
        </w:rPr>
        <w:tab/>
      </w:r>
      <w:r w:rsidRPr="00266ED0">
        <w:rPr>
          <w:i/>
        </w:rPr>
        <w:t xml:space="preserve">Id. </w:t>
      </w:r>
      <w:r w:rsidRPr="00266ED0">
        <w:t xml:space="preserve">at </w:t>
      </w:r>
      <w:r>
        <w:t>3-31</w:t>
      </w:r>
      <w:r w:rsidRPr="00266ED0">
        <w:t>.</w:t>
      </w:r>
    </w:p>
  </w:footnote>
  <w:footnote w:id="34">
    <w:p w:rsidR="00F67C5A" w:rsidRDefault="00F67C5A" w:rsidP="00F23557">
      <w:pPr>
        <w:pStyle w:val="FootnoteText"/>
      </w:pPr>
      <w:r w:rsidRPr="001C564B">
        <w:rPr>
          <w:rStyle w:val="FootnoteReference"/>
          <w:u w:val="single"/>
        </w:rPr>
        <w:footnoteRef/>
      </w:r>
      <w:r w:rsidRPr="0094689D">
        <w:rPr>
          <w:i/>
          <w:vertAlign w:val="superscript"/>
        </w:rPr>
        <w:t>/</w:t>
      </w:r>
      <w:r>
        <w:rPr>
          <w:i/>
        </w:rPr>
        <w:tab/>
      </w:r>
      <w:r w:rsidRPr="00266ED0">
        <w:rPr>
          <w:i/>
        </w:rPr>
        <w:t>Id.</w:t>
      </w:r>
      <w:r w:rsidRPr="00266ED0">
        <w:t xml:space="preserve"> at </w:t>
      </w:r>
      <w:r>
        <w:t>3-40</w:t>
      </w:r>
      <w:r w:rsidRPr="00266ED0">
        <w:t>.</w:t>
      </w:r>
    </w:p>
  </w:footnote>
  <w:footnote w:id="35">
    <w:p w:rsidR="00F67C5A" w:rsidRPr="00266ED0" w:rsidRDefault="00F67C5A" w:rsidP="00F23557">
      <w:pPr>
        <w:pStyle w:val="FootnoteText"/>
      </w:pPr>
      <w:r w:rsidRPr="001C564B">
        <w:rPr>
          <w:rStyle w:val="FootnoteReference"/>
          <w:u w:val="single"/>
        </w:rPr>
        <w:footnoteRef/>
      </w:r>
      <w:r w:rsidRPr="0094689D">
        <w:rPr>
          <w:i/>
          <w:vertAlign w:val="superscript"/>
        </w:rPr>
        <w:t>/</w:t>
      </w:r>
      <w:r>
        <w:tab/>
      </w:r>
      <w:r w:rsidRPr="00266ED0">
        <w:t xml:space="preserve">S&amp;P updated its 2008 credit metric guidelines in 2009, and incorporated utility metric benchmarks with the general corporate rating metrics.  </w:t>
      </w:r>
      <w:r w:rsidRPr="00266ED0">
        <w:rPr>
          <w:i/>
        </w:rPr>
        <w:t>Standard &amp; Poor</w:t>
      </w:r>
      <w:r>
        <w:rPr>
          <w:i/>
        </w:rPr>
        <w:t>’</w:t>
      </w:r>
      <w:r w:rsidRPr="00266ED0">
        <w:rPr>
          <w:i/>
        </w:rPr>
        <w:t>s RatingsDirect</w:t>
      </w:r>
      <w:r w:rsidRPr="00266ED0">
        <w:t xml:space="preserve">:  </w:t>
      </w:r>
      <w:r>
        <w:t>“</w:t>
      </w:r>
      <w:r w:rsidRPr="00266ED0">
        <w:t>Criteria Methodology:  Business Risk/Financial Risk Matrix Expanded,</w:t>
      </w:r>
      <w:r>
        <w:t>”</w:t>
      </w:r>
      <w:r w:rsidRPr="00266ED0">
        <w:t xml:space="preserve"> May 27, 2009.</w:t>
      </w:r>
    </w:p>
  </w:footnote>
  <w:footnote w:id="36">
    <w:p w:rsidR="00F67C5A" w:rsidRPr="00266ED0" w:rsidRDefault="00F67C5A" w:rsidP="00F23557">
      <w:pPr>
        <w:pStyle w:val="FootnoteText"/>
      </w:pPr>
      <w:r w:rsidRPr="001C564B">
        <w:rPr>
          <w:rStyle w:val="FootnoteReference"/>
          <w:u w:val="single"/>
        </w:rPr>
        <w:footnoteRef/>
      </w:r>
      <w:r w:rsidRPr="0094689D">
        <w:rPr>
          <w:i/>
          <w:vertAlign w:val="superscript"/>
        </w:rPr>
        <w:t>/</w:t>
      </w:r>
      <w:r>
        <w:rPr>
          <w:i/>
        </w:rPr>
        <w:tab/>
      </w:r>
      <w:r w:rsidRPr="00266ED0">
        <w:rPr>
          <w:i/>
        </w:rPr>
        <w:t>Standard &amp; Poor</w:t>
      </w:r>
      <w:r>
        <w:rPr>
          <w:i/>
        </w:rPr>
        <w:t>’</w:t>
      </w:r>
      <w:r w:rsidRPr="00266ED0">
        <w:rPr>
          <w:i/>
        </w:rPr>
        <w:t>s RatingsDirect</w:t>
      </w:r>
      <w:r w:rsidRPr="00266ED0">
        <w:t xml:space="preserve">:  </w:t>
      </w:r>
      <w:r>
        <w:t>“</w:t>
      </w:r>
      <w:r w:rsidRPr="00266ED0">
        <w:t>Criteria: Corporate Methodology,</w:t>
      </w:r>
      <w:r>
        <w:t>”</w:t>
      </w:r>
      <w:r w:rsidRPr="00266ED0">
        <w:t xml:space="preserve"> November 19, 2013.</w:t>
      </w:r>
    </w:p>
  </w:footnote>
  <w:footnote w:id="37">
    <w:p w:rsidR="00F67C5A" w:rsidRPr="00266ED0" w:rsidRDefault="00F67C5A" w:rsidP="00F23557">
      <w:pPr>
        <w:pStyle w:val="FootnoteText"/>
      </w:pPr>
      <w:r w:rsidRPr="001C564B">
        <w:rPr>
          <w:rStyle w:val="FootnoteReference"/>
          <w:u w:val="single"/>
        </w:rPr>
        <w:footnoteRef/>
      </w:r>
      <w:r w:rsidRPr="0094689D">
        <w:rPr>
          <w:i/>
          <w:vertAlign w:val="superscript"/>
        </w:rPr>
        <w:t>/</w:t>
      </w:r>
      <w:r>
        <w:rPr>
          <w:i/>
        </w:rPr>
        <w:tab/>
      </w:r>
      <w:r w:rsidRPr="00266ED0">
        <w:rPr>
          <w:i/>
        </w:rPr>
        <w:t>Id.</w:t>
      </w:r>
    </w:p>
  </w:footnote>
  <w:footnote w:id="38">
    <w:p w:rsidR="00F67C5A" w:rsidRPr="00266ED0" w:rsidRDefault="00F67C5A" w:rsidP="00F23557">
      <w:pPr>
        <w:pStyle w:val="FootnoteText"/>
      </w:pPr>
      <w:r w:rsidRPr="001C564B">
        <w:rPr>
          <w:rStyle w:val="FootnoteReference"/>
          <w:u w:val="single"/>
        </w:rPr>
        <w:footnoteRef/>
      </w:r>
      <w:r w:rsidRPr="0094689D">
        <w:rPr>
          <w:i/>
          <w:vertAlign w:val="superscript"/>
        </w:rPr>
        <w:t>/</w:t>
      </w:r>
      <w:r>
        <w:rPr>
          <w:i/>
        </w:rPr>
        <w:tab/>
      </w:r>
      <w:r w:rsidRPr="00266ED0">
        <w:rPr>
          <w:i/>
        </w:rPr>
        <w:t>Id.</w:t>
      </w:r>
    </w:p>
  </w:footnote>
  <w:footnote w:id="39">
    <w:p w:rsidR="00F67C5A" w:rsidRPr="00C14854" w:rsidRDefault="00F67C5A" w:rsidP="00F23557">
      <w:pPr>
        <w:pStyle w:val="FootnoteText"/>
      </w:pPr>
      <w:r w:rsidRPr="001C564B">
        <w:rPr>
          <w:rStyle w:val="FootnoteReference"/>
          <w:u w:val="single"/>
        </w:rPr>
        <w:footnoteRef/>
      </w:r>
      <w:r w:rsidRPr="0094689D">
        <w:rPr>
          <w:i/>
          <w:vertAlign w:val="superscript"/>
        </w:rPr>
        <w:t>/</w:t>
      </w:r>
      <w:r>
        <w:rPr>
          <w:i/>
        </w:rPr>
        <w:tab/>
      </w:r>
      <w:r>
        <w:t>Exh</w:t>
      </w:r>
      <w:proofErr w:type="gramStart"/>
      <w:r>
        <w:t xml:space="preserve">. </w:t>
      </w:r>
      <w:proofErr w:type="gramEnd"/>
      <w:r>
        <w:t>No</w:t>
      </w:r>
      <w:proofErr w:type="gramStart"/>
      <w:r>
        <w:t xml:space="preserve">. </w:t>
      </w:r>
      <w:proofErr w:type="gramEnd"/>
      <w:r>
        <w:t>AMM-1T at 37-40.</w:t>
      </w:r>
    </w:p>
  </w:footnote>
  <w:footnote w:id="40">
    <w:p w:rsidR="00F67C5A" w:rsidRPr="00C14854" w:rsidRDefault="00F67C5A" w:rsidP="00F23557">
      <w:pPr>
        <w:pStyle w:val="FootnoteText"/>
      </w:pPr>
      <w:r w:rsidRPr="001C564B">
        <w:rPr>
          <w:rStyle w:val="FootnoteReference"/>
          <w:u w:val="single"/>
        </w:rPr>
        <w:footnoteRef/>
      </w:r>
      <w:r w:rsidRPr="0094689D">
        <w:rPr>
          <w:i/>
          <w:vertAlign w:val="superscript"/>
        </w:rPr>
        <w:t>/</w:t>
      </w:r>
      <w:r>
        <w:rPr>
          <w:i/>
        </w:rPr>
        <w:tab/>
        <w:t>Id</w:t>
      </w:r>
      <w:r>
        <w:t>. at 38.</w:t>
      </w:r>
    </w:p>
  </w:footnote>
  <w:footnote w:id="41">
    <w:p w:rsidR="00F67C5A" w:rsidRDefault="00F67C5A" w:rsidP="00F23557">
      <w:pPr>
        <w:pStyle w:val="FootnoteText"/>
        <w:tabs>
          <w:tab w:val="left" w:pos="720"/>
        </w:tabs>
      </w:pPr>
      <w:r w:rsidRPr="00EF7771">
        <w:rPr>
          <w:rStyle w:val="FootnoteReference"/>
          <w:u w:val="single"/>
        </w:rPr>
        <w:footnoteRef/>
      </w:r>
      <w:r w:rsidRPr="0047347A">
        <w:rPr>
          <w:szCs w:val="24"/>
          <w:vertAlign w:val="superscript"/>
        </w:rPr>
        <w:t>/</w:t>
      </w:r>
      <w:r>
        <w:rPr>
          <w:szCs w:val="24"/>
          <w:vertAlign w:val="superscript"/>
        </w:rPr>
        <w:tab/>
      </w:r>
      <w:r>
        <w:t>Exhibit No.___</w:t>
      </w:r>
      <w:proofErr w:type="gramStart"/>
      <w:r>
        <w:t>_(</w:t>
      </w:r>
      <w:proofErr w:type="gramEnd"/>
      <w:r>
        <w:t>AMM-8).</w:t>
      </w:r>
    </w:p>
  </w:footnote>
  <w:footnote w:id="42">
    <w:p w:rsidR="00F67C5A" w:rsidRDefault="00F67C5A" w:rsidP="00F23557">
      <w:pPr>
        <w:pStyle w:val="FootnoteText"/>
      </w:pPr>
      <w:r w:rsidRPr="00EF7771">
        <w:rPr>
          <w:rStyle w:val="FootnoteReference"/>
          <w:u w:val="single"/>
        </w:rPr>
        <w:footnoteRef/>
      </w:r>
      <w:proofErr w:type="gramStart"/>
      <w:r w:rsidRPr="0047347A">
        <w:rPr>
          <w:szCs w:val="24"/>
          <w:vertAlign w:val="superscript"/>
        </w:rPr>
        <w:t>/</w:t>
      </w:r>
      <w:r>
        <w:rPr>
          <w:szCs w:val="24"/>
          <w:vertAlign w:val="superscript"/>
        </w:rPr>
        <w:tab/>
      </w:r>
      <w:r>
        <w:rPr>
          <w:i/>
        </w:rPr>
        <w:t>Ibbotson SBBI 2015 Classic Yearbook at 108-109</w:t>
      </w:r>
      <w:r>
        <w:t>.</w:t>
      </w:r>
      <w:proofErr w:type="gramEnd"/>
    </w:p>
  </w:footnote>
  <w:footnote w:id="43">
    <w:p w:rsidR="00F67C5A" w:rsidRPr="00AB1FD2" w:rsidRDefault="00F67C5A" w:rsidP="00F23557">
      <w:pPr>
        <w:pStyle w:val="FootnoteText"/>
      </w:pPr>
      <w:r w:rsidRPr="00EF7771">
        <w:rPr>
          <w:rStyle w:val="FootnoteReference"/>
          <w:u w:val="single"/>
        </w:rPr>
        <w:footnoteRef/>
      </w:r>
      <w:r w:rsidRPr="0047347A">
        <w:rPr>
          <w:szCs w:val="24"/>
          <w:vertAlign w:val="superscript"/>
        </w:rPr>
        <w:t>/</w:t>
      </w:r>
      <w:r>
        <w:rPr>
          <w:szCs w:val="24"/>
          <w:vertAlign w:val="superscript"/>
        </w:rPr>
        <w:tab/>
      </w:r>
      <w:r>
        <w:rPr>
          <w:i/>
          <w:szCs w:val="24"/>
        </w:rPr>
        <w:t xml:space="preserve">Duff &amp; Phelps 2016 Valuation </w:t>
      </w:r>
      <w:r w:rsidRPr="00FC4D97">
        <w:rPr>
          <w:i/>
          <w:szCs w:val="24"/>
        </w:rPr>
        <w:t>Handbook</w:t>
      </w:r>
      <w:r>
        <w:rPr>
          <w:szCs w:val="24"/>
        </w:rPr>
        <w:t xml:space="preserve"> at Appendix 3a.  </w:t>
      </w:r>
      <w:r w:rsidRPr="00FC4D97">
        <w:t>Morningstar</w:t>
      </w:r>
      <w:r>
        <w:t xml:space="preserve"> discontinued the </w:t>
      </w:r>
      <w:r>
        <w:rPr>
          <w:i/>
        </w:rPr>
        <w:t>Ibbotson SBBI Valuation Yearbook</w:t>
      </w:r>
      <w:r>
        <w:t xml:space="preserve"> after the 2013 edition.  Duff &amp; Phelps has since continued the publication in its 2016 </w:t>
      </w:r>
      <w:r>
        <w:rPr>
          <w:i/>
        </w:rPr>
        <w:t>Valuation Handbook series</w:t>
      </w:r>
      <w:r>
        <w:t xml:space="preserve">.  </w:t>
      </w:r>
    </w:p>
  </w:footnote>
  <w:footnote w:id="44">
    <w:p w:rsidR="00F67C5A" w:rsidRDefault="00F67C5A" w:rsidP="00F23557">
      <w:pPr>
        <w:pStyle w:val="FootnoteText"/>
      </w:pPr>
      <w:r w:rsidRPr="00EE38BF">
        <w:rPr>
          <w:rStyle w:val="FootnoteReference"/>
          <w:u w:val="single"/>
        </w:rPr>
        <w:footnoteRef/>
      </w:r>
      <w:r w:rsidRPr="0047347A">
        <w:rPr>
          <w:szCs w:val="24"/>
          <w:vertAlign w:val="superscript"/>
        </w:rPr>
        <w:t>/</w:t>
      </w:r>
      <w:r>
        <w:rPr>
          <w:szCs w:val="24"/>
          <w:vertAlign w:val="superscript"/>
        </w:rPr>
        <w:tab/>
      </w:r>
      <w:r>
        <w:t>Exhibit No.___</w:t>
      </w:r>
      <w:proofErr w:type="gramStart"/>
      <w:r>
        <w:t>_(</w:t>
      </w:r>
      <w:proofErr w:type="gramEnd"/>
      <w:r>
        <w:t>AMM-10).</w:t>
      </w:r>
    </w:p>
  </w:footnote>
  <w:footnote w:id="45">
    <w:p w:rsidR="00F67C5A" w:rsidRPr="006420CD" w:rsidRDefault="00F67C5A" w:rsidP="00F23557">
      <w:pPr>
        <w:pStyle w:val="FootnoteText"/>
      </w:pPr>
      <w:r w:rsidRPr="00EE38BF">
        <w:rPr>
          <w:rStyle w:val="FootnoteReference"/>
          <w:u w:val="single"/>
        </w:rPr>
        <w:footnoteRef/>
      </w:r>
      <w:r w:rsidRPr="0047347A">
        <w:rPr>
          <w:szCs w:val="24"/>
          <w:vertAlign w:val="superscript"/>
        </w:rPr>
        <w:t>/</w:t>
      </w:r>
      <w:r>
        <w:rPr>
          <w:szCs w:val="24"/>
          <w:vertAlign w:val="superscript"/>
        </w:rPr>
        <w:tab/>
      </w:r>
      <w:r>
        <w:rPr>
          <w:i/>
        </w:rPr>
        <w:t>Id</w:t>
      </w:r>
      <w:r>
        <w:t>.</w:t>
      </w:r>
    </w:p>
  </w:footnote>
  <w:footnote w:id="46">
    <w:p w:rsidR="00F67C5A" w:rsidRDefault="00F67C5A" w:rsidP="00F23557">
      <w:pPr>
        <w:pStyle w:val="FootnoteText"/>
      </w:pPr>
      <w:r w:rsidRPr="00EE38BF">
        <w:rPr>
          <w:rStyle w:val="FootnoteReference"/>
          <w:u w:val="single"/>
        </w:rPr>
        <w:footnoteRef/>
      </w:r>
      <w:r w:rsidRPr="0047347A">
        <w:rPr>
          <w:szCs w:val="24"/>
          <w:vertAlign w:val="superscript"/>
        </w:rPr>
        <w:t>/</w:t>
      </w:r>
      <w:r>
        <w:rPr>
          <w:szCs w:val="24"/>
          <w:vertAlign w:val="superscript"/>
        </w:rPr>
        <w:tab/>
      </w:r>
      <w:r>
        <w:rPr>
          <w:szCs w:val="24"/>
        </w:rPr>
        <w:t>McKenzie</w:t>
      </w:r>
      <w:r>
        <w:t xml:space="preserve"> Workpapers.</w:t>
      </w:r>
    </w:p>
  </w:footnote>
  <w:footnote w:id="47">
    <w:p w:rsidR="00F67C5A" w:rsidRPr="00B55FDA" w:rsidRDefault="00F67C5A" w:rsidP="00F23557">
      <w:pPr>
        <w:pStyle w:val="FootnoteText"/>
      </w:pPr>
      <w:r w:rsidRPr="00EE38BF">
        <w:rPr>
          <w:rStyle w:val="FootnoteReference"/>
          <w:u w:val="single"/>
        </w:rPr>
        <w:footnoteRef/>
      </w:r>
      <w:r w:rsidRPr="0047347A">
        <w:rPr>
          <w:szCs w:val="24"/>
          <w:vertAlign w:val="superscript"/>
        </w:rPr>
        <w:t>/</w:t>
      </w:r>
      <w:r>
        <w:t xml:space="preserve"> </w:t>
      </w:r>
      <w:r>
        <w:tab/>
        <w:t>“</w:t>
      </w:r>
      <w:r w:rsidRPr="00B55FDA">
        <w:t>The Market Risk Premium:  Expectational Estimates Using Analysts</w:t>
      </w:r>
      <w:r>
        <w:t>’</w:t>
      </w:r>
      <w:r w:rsidRPr="00B55FDA">
        <w:t xml:space="preserve"> Forecasts,</w:t>
      </w:r>
      <w:r>
        <w:t>”</w:t>
      </w:r>
      <w:r w:rsidRPr="00B55FDA">
        <w:t xml:space="preserve"> Robert S. Harris and Felicia C. Marston, </w:t>
      </w:r>
      <w:r w:rsidRPr="00B55FDA">
        <w:rPr>
          <w:i/>
        </w:rPr>
        <w:t>Journal of Applied Finance</w:t>
      </w:r>
      <w:r w:rsidRPr="00B55FDA">
        <w:t xml:space="preserve">, Volume 11, No. 1, 2001 and </w:t>
      </w:r>
      <w:r>
        <w:t>“</w:t>
      </w:r>
      <w:r w:rsidRPr="00B55FDA">
        <w:t>The Risk Premium Approach to Measuring a Utility</w:t>
      </w:r>
      <w:r>
        <w:t>’</w:t>
      </w:r>
      <w:r w:rsidRPr="00B55FDA">
        <w:t>s Cost of Equity,</w:t>
      </w:r>
      <w:r>
        <w:t>”</w:t>
      </w:r>
      <w:r w:rsidRPr="00B55FDA">
        <w:t xml:space="preserve"> Eugene F. Brigham, Dilip K. Shome, and Steve R. Vinson, </w:t>
      </w:r>
      <w:r w:rsidRPr="00B55FDA">
        <w:rPr>
          <w:i/>
        </w:rPr>
        <w:t>Financial Management</w:t>
      </w:r>
      <w:r w:rsidRPr="00B55FDA">
        <w:t>, Spring 1985.</w:t>
      </w:r>
    </w:p>
  </w:footnote>
  <w:footnote w:id="48">
    <w:p w:rsidR="00F67C5A" w:rsidRPr="00B55FDA" w:rsidRDefault="00F67C5A" w:rsidP="00F23557">
      <w:pPr>
        <w:pStyle w:val="FootnoteText"/>
      </w:pPr>
      <w:r w:rsidRPr="00EE38BF">
        <w:rPr>
          <w:rStyle w:val="FootnoteReference"/>
          <w:u w:val="single"/>
        </w:rPr>
        <w:footnoteRef/>
      </w:r>
      <w:r w:rsidRPr="0047347A">
        <w:rPr>
          <w:szCs w:val="24"/>
          <w:vertAlign w:val="superscript"/>
        </w:rPr>
        <w:t>/</w:t>
      </w:r>
      <w:r>
        <w:rPr>
          <w:szCs w:val="24"/>
          <w:vertAlign w:val="superscript"/>
        </w:rPr>
        <w:tab/>
      </w:r>
      <w:r w:rsidRPr="00B55FDA">
        <w:t>Morningstar SBBI, 2009 Yearbook at 95-96.</w:t>
      </w:r>
    </w:p>
  </w:footnote>
  <w:footnote w:id="49">
    <w:p w:rsidR="00F67C5A" w:rsidRDefault="00F67C5A" w:rsidP="00F23557">
      <w:pPr>
        <w:pStyle w:val="FootnoteText"/>
      </w:pPr>
      <w:r w:rsidRPr="00EE38BF">
        <w:rPr>
          <w:rStyle w:val="FootnoteReference"/>
          <w:u w:val="single"/>
        </w:rPr>
        <w:footnoteRef/>
      </w:r>
      <w:r>
        <w:rPr>
          <w:vertAlign w:val="superscript"/>
        </w:rPr>
        <w:t>/</w:t>
      </w:r>
      <w:r>
        <w:rPr>
          <w:vertAlign w:val="superscript"/>
        </w:rPr>
        <w:tab/>
      </w:r>
      <w:r>
        <w:t>Exh</w:t>
      </w:r>
      <w:proofErr w:type="gramStart"/>
      <w:r>
        <w:t xml:space="preserve">. </w:t>
      </w:r>
      <w:proofErr w:type="gramEnd"/>
      <w:r>
        <w:t>No</w:t>
      </w:r>
      <w:proofErr w:type="gramStart"/>
      <w:r>
        <w:t xml:space="preserve">. </w:t>
      </w:r>
      <w:proofErr w:type="gramEnd"/>
      <w:r>
        <w:t xml:space="preserve">AMM-1T at 42-43.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C5A" w:rsidRPr="009C6185" w:rsidRDefault="00F67C5A" w:rsidP="009C6185">
    <w:pPr>
      <w:autoSpaceDE w:val="0"/>
      <w:autoSpaceDN w:val="0"/>
      <w:adjustRightInd w:val="0"/>
      <w:spacing w:after="0"/>
      <w:jc w:val="right"/>
      <w:rPr>
        <w:rFonts w:eastAsia="Times New Roman"/>
        <w:bCs/>
        <w:szCs w:val="24"/>
      </w:rPr>
    </w:pPr>
    <w:r w:rsidRPr="009C6185">
      <w:rPr>
        <w:rFonts w:eastAsia="Times New Roman"/>
        <w:bCs/>
        <w:szCs w:val="24"/>
      </w:rPr>
      <w:t>Exhibit No</w:t>
    </w:r>
    <w:proofErr w:type="gramStart"/>
    <w:r w:rsidRPr="009C6185">
      <w:rPr>
        <w:rFonts w:eastAsia="Times New Roman"/>
        <w:bCs/>
        <w:szCs w:val="24"/>
      </w:rPr>
      <w:t>.</w:t>
    </w:r>
    <w:r>
      <w:rPr>
        <w:rFonts w:eastAsia="Times New Roman"/>
        <w:bCs/>
        <w:szCs w:val="24"/>
      </w:rPr>
      <w:t xml:space="preserve"> </w:t>
    </w:r>
    <w:proofErr w:type="gramEnd"/>
    <w:r>
      <w:rPr>
        <w:rFonts w:eastAsia="Times New Roman"/>
        <w:bCs/>
        <w:szCs w:val="24"/>
      </w:rPr>
      <w:t>MPG</w:t>
    </w:r>
    <w:r w:rsidRPr="009C6185">
      <w:rPr>
        <w:rFonts w:eastAsia="Times New Roman"/>
        <w:bCs/>
        <w:szCs w:val="24"/>
      </w:rPr>
      <w:t>-</w:t>
    </w:r>
    <w:r>
      <w:rPr>
        <w:rFonts w:eastAsia="Times New Roman"/>
        <w:bCs/>
        <w:szCs w:val="24"/>
      </w:rPr>
      <w:t>1T</w:t>
    </w:r>
  </w:p>
  <w:p w:rsidR="00F67C5A" w:rsidRPr="006A1A36" w:rsidRDefault="00F67C5A" w:rsidP="007937EC">
    <w:pPr>
      <w:autoSpaceDE w:val="0"/>
      <w:autoSpaceDN w:val="0"/>
      <w:adjustRightInd w:val="0"/>
      <w:spacing w:after="0"/>
      <w:jc w:val="right"/>
      <w:rPr>
        <w:bCs/>
        <w:szCs w:val="24"/>
      </w:rPr>
    </w:pPr>
    <w:r>
      <w:rPr>
        <w:bCs/>
        <w:szCs w:val="24"/>
      </w:rPr>
      <w:t>Dockets</w:t>
    </w:r>
    <w:r w:rsidRPr="006A1A36">
      <w:rPr>
        <w:bCs/>
        <w:szCs w:val="24"/>
      </w:rPr>
      <w:t xml:space="preserve"> UE-1</w:t>
    </w:r>
    <w:r>
      <w:rPr>
        <w:bCs/>
        <w:szCs w:val="24"/>
      </w:rPr>
      <w:t>60228</w:t>
    </w:r>
    <w:r w:rsidRPr="006A1A36">
      <w:rPr>
        <w:bCs/>
        <w:szCs w:val="24"/>
      </w:rPr>
      <w:t>/UG-1</w:t>
    </w:r>
    <w:r>
      <w:rPr>
        <w:bCs/>
        <w:szCs w:val="24"/>
      </w:rPr>
      <w:t>60229</w:t>
    </w:r>
  </w:p>
  <w:p w:rsidR="00F67C5A" w:rsidRPr="009C6185" w:rsidRDefault="00F67C5A" w:rsidP="009C6185">
    <w:pPr>
      <w:tabs>
        <w:tab w:val="center" w:pos="4320"/>
        <w:tab w:val="right" w:pos="8640"/>
      </w:tabs>
      <w:spacing w:after="0"/>
      <w:jc w:val="right"/>
      <w:rPr>
        <w:rFonts w:eastAsia="Times New Roman"/>
        <w:sz w:val="22"/>
        <w:szCs w:val="20"/>
      </w:rPr>
    </w:pPr>
    <w:r w:rsidRPr="009C6185">
      <w:rPr>
        <w:rFonts w:eastAsia="Times New Roman"/>
        <w:bCs/>
        <w:szCs w:val="24"/>
      </w:rPr>
      <w:t xml:space="preserve">Witness:  </w:t>
    </w:r>
    <w:r>
      <w:rPr>
        <w:rFonts w:eastAsia="Times New Roman"/>
        <w:bCs/>
        <w:szCs w:val="24"/>
      </w:rPr>
      <w:t>Michael P. Gorman</w:t>
    </w:r>
  </w:p>
  <w:p w:rsidR="00F67C5A" w:rsidRPr="00D618BA" w:rsidRDefault="00F67C5A">
    <w:pPr>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C5A" w:rsidRPr="00D2206D" w:rsidRDefault="00F67C5A" w:rsidP="007F09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C5A" w:rsidRPr="00615DEE" w:rsidRDefault="00F67C5A" w:rsidP="00615D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78001F42"/>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E1EA666A"/>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900CA978"/>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1C72B352"/>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9"/>
    <w:multiLevelType w:val="singleLevel"/>
    <w:tmpl w:val="A75263A6"/>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1304704"/>
    <w:multiLevelType w:val="hybridMultilevel"/>
    <w:tmpl w:val="5B7895C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26E6EFC"/>
    <w:multiLevelType w:val="hybridMultilevel"/>
    <w:tmpl w:val="3414617C"/>
    <w:lvl w:ilvl="0" w:tplc="7AC4553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03EA47EE"/>
    <w:multiLevelType w:val="hybridMultilevel"/>
    <w:tmpl w:val="5A664E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A940279"/>
    <w:multiLevelType w:val="hybridMultilevel"/>
    <w:tmpl w:val="075EE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C00941"/>
    <w:multiLevelType w:val="hybridMultilevel"/>
    <w:tmpl w:val="5FDABC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BCA792D"/>
    <w:multiLevelType w:val="hybridMultilevel"/>
    <w:tmpl w:val="C6AEA42A"/>
    <w:lvl w:ilvl="0" w:tplc="D6EA61D6">
      <w:start w:val="13"/>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0D7D1D0F"/>
    <w:multiLevelType w:val="hybridMultilevel"/>
    <w:tmpl w:val="E0A23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0E01407"/>
    <w:multiLevelType w:val="multilevel"/>
    <w:tmpl w:val="0254CE00"/>
    <w:lvl w:ilvl="0">
      <w:start w:val="1"/>
      <w:numFmt w:val="decimal"/>
      <w:pStyle w:val="ListNum"/>
      <w:lvlText w:val="%1."/>
      <w:lvlJc w:val="left"/>
      <w:pPr>
        <w:tabs>
          <w:tab w:val="num" w:pos="720"/>
        </w:tabs>
        <w:ind w:left="0" w:firstLine="720"/>
      </w:pPr>
      <w:rPr>
        <w:rFonts w:hint="default"/>
      </w:rPr>
    </w:lvl>
    <w:lvl w:ilvl="1">
      <w:start w:val="1"/>
      <w:numFmt w:val="decimal"/>
      <w:lvlText w:val="%2."/>
      <w:lvlJc w:val="left"/>
      <w:pPr>
        <w:tabs>
          <w:tab w:val="num" w:pos="1440"/>
        </w:tabs>
        <w:ind w:left="720" w:firstLine="720"/>
      </w:pPr>
      <w:rPr>
        <w:rFonts w:hint="default"/>
      </w:rPr>
    </w:lvl>
    <w:lvl w:ilvl="2">
      <w:start w:val="1"/>
      <w:numFmt w:val="decimal"/>
      <w:lvlText w:val="%3."/>
      <w:lvlJc w:val="left"/>
      <w:pPr>
        <w:tabs>
          <w:tab w:val="num" w:pos="2160"/>
        </w:tabs>
        <w:ind w:left="1440" w:firstLine="720"/>
      </w:pPr>
      <w:rPr>
        <w:rFonts w:hint="default"/>
      </w:rPr>
    </w:lvl>
    <w:lvl w:ilvl="3">
      <w:start w:val="1"/>
      <w:numFmt w:val="decimal"/>
      <w:lvlText w:val="(%4)"/>
      <w:lvlJc w:val="left"/>
      <w:pPr>
        <w:tabs>
          <w:tab w:val="num" w:pos="2880"/>
        </w:tabs>
        <w:ind w:left="2160" w:firstLine="720"/>
      </w:pPr>
      <w:rPr>
        <w:rFonts w:hint="default"/>
      </w:rPr>
    </w:lvl>
    <w:lvl w:ilvl="4">
      <w:start w:val="1"/>
      <w:numFmt w:val="lowerLetter"/>
      <w:lvlText w:val="(%5)"/>
      <w:lvlJc w:val="left"/>
      <w:pPr>
        <w:tabs>
          <w:tab w:val="num" w:pos="3600"/>
        </w:tabs>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13">
    <w:nsid w:val="12F14984"/>
    <w:multiLevelType w:val="hybridMultilevel"/>
    <w:tmpl w:val="2A264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3CE7B67"/>
    <w:multiLevelType w:val="hybridMultilevel"/>
    <w:tmpl w:val="C6146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EC40AC"/>
    <w:multiLevelType w:val="hybridMultilevel"/>
    <w:tmpl w:val="69EAB8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E975146"/>
    <w:multiLevelType w:val="hybridMultilevel"/>
    <w:tmpl w:val="7AA2F6F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1F7371D"/>
    <w:multiLevelType w:val="hybridMultilevel"/>
    <w:tmpl w:val="C7DA9684"/>
    <w:lvl w:ilvl="0" w:tplc="5A96BF7A">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3995D63"/>
    <w:multiLevelType w:val="hybridMultilevel"/>
    <w:tmpl w:val="DBBAE7B4"/>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A5F4378"/>
    <w:multiLevelType w:val="hybridMultilevel"/>
    <w:tmpl w:val="46C43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2B174211"/>
    <w:multiLevelType w:val="hybridMultilevel"/>
    <w:tmpl w:val="6CBA96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09639E7"/>
    <w:multiLevelType w:val="hybridMultilevel"/>
    <w:tmpl w:val="24E85992"/>
    <w:lvl w:ilvl="0" w:tplc="F886B8C0">
      <w:start w:val="1"/>
      <w:numFmt w:val="decimal"/>
      <w:lvlText w:val="%1."/>
      <w:lvlJc w:val="left"/>
      <w:pPr>
        <w:ind w:left="324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3D92821"/>
    <w:multiLevelType w:val="hybridMultilevel"/>
    <w:tmpl w:val="672EBE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D9F0A61"/>
    <w:multiLevelType w:val="hybridMultilevel"/>
    <w:tmpl w:val="D98EB6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FEF5A72"/>
    <w:multiLevelType w:val="hybridMultilevel"/>
    <w:tmpl w:val="45BA3C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ECE5E97"/>
    <w:multiLevelType w:val="multilevel"/>
    <w:tmpl w:val="FFD2CE22"/>
    <w:lvl w:ilvl="0">
      <w:start w:val="1"/>
      <w:numFmt w:val="upperLetter"/>
      <w:pStyle w:val="ListAlpha"/>
      <w:lvlText w:val="%1."/>
      <w:lvlJc w:val="left"/>
      <w:pPr>
        <w:tabs>
          <w:tab w:val="num" w:pos="720"/>
        </w:tabs>
        <w:ind w:left="0" w:firstLine="720"/>
      </w:pPr>
      <w:rPr>
        <w:rFonts w:hint="default"/>
      </w:rPr>
    </w:lvl>
    <w:lvl w:ilvl="1">
      <w:start w:val="1"/>
      <w:numFmt w:val="upperLetter"/>
      <w:lvlText w:val="%2."/>
      <w:lvlJc w:val="left"/>
      <w:pPr>
        <w:tabs>
          <w:tab w:val="num" w:pos="1440"/>
        </w:tabs>
        <w:ind w:left="0" w:firstLine="1440"/>
      </w:pPr>
      <w:rPr>
        <w:rFonts w:hint="default"/>
      </w:rPr>
    </w:lvl>
    <w:lvl w:ilvl="2">
      <w:start w:val="1"/>
      <w:numFmt w:val="upperLetter"/>
      <w:lvlText w:val="%3."/>
      <w:lvlJc w:val="left"/>
      <w:pPr>
        <w:tabs>
          <w:tab w:val="num" w:pos="2160"/>
        </w:tabs>
        <w:ind w:left="0" w:firstLine="2160"/>
      </w:pPr>
      <w:rPr>
        <w:rFonts w:hint="default"/>
      </w:rPr>
    </w:lvl>
    <w:lvl w:ilvl="3">
      <w:start w:val="1"/>
      <w:numFmt w:val="decimal"/>
      <w:lvlText w:val="(%4)"/>
      <w:lvlJc w:val="left"/>
      <w:pPr>
        <w:tabs>
          <w:tab w:val="num" w:pos="2880"/>
        </w:tabs>
        <w:ind w:left="2160" w:firstLine="720"/>
      </w:pPr>
      <w:rPr>
        <w:rFonts w:hint="default"/>
      </w:rPr>
    </w:lvl>
    <w:lvl w:ilvl="4">
      <w:start w:val="1"/>
      <w:numFmt w:val="lowerLetter"/>
      <w:lvlText w:val="(%5)"/>
      <w:lvlJc w:val="left"/>
      <w:pPr>
        <w:tabs>
          <w:tab w:val="num" w:pos="3600"/>
        </w:tabs>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26">
    <w:nsid w:val="6178095B"/>
    <w:multiLevelType w:val="hybridMultilevel"/>
    <w:tmpl w:val="FC32BE70"/>
    <w:lvl w:ilvl="0" w:tplc="10BEC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48B03C2"/>
    <w:multiLevelType w:val="hybridMultilevel"/>
    <w:tmpl w:val="471A3490"/>
    <w:lvl w:ilvl="0" w:tplc="C2E8F5E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661504AB"/>
    <w:multiLevelType w:val="hybridMultilevel"/>
    <w:tmpl w:val="A754B9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98B3C47"/>
    <w:multiLevelType w:val="hybridMultilevel"/>
    <w:tmpl w:val="4E8252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0B114DB"/>
    <w:multiLevelType w:val="hybridMultilevel"/>
    <w:tmpl w:val="AA50287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761C691C"/>
    <w:multiLevelType w:val="hybridMultilevel"/>
    <w:tmpl w:val="4EF4554E"/>
    <w:lvl w:ilvl="0" w:tplc="F85CABAC">
      <w:start w:val="1"/>
      <w:numFmt w:val="decimal"/>
      <w:lvlText w:val="%1."/>
      <w:lvlJc w:val="left"/>
      <w:pPr>
        <w:ind w:left="72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305337"/>
    <w:multiLevelType w:val="hybridMultilevel"/>
    <w:tmpl w:val="7D6626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75133E8"/>
    <w:multiLevelType w:val="hybridMultilevel"/>
    <w:tmpl w:val="F6B03E5C"/>
    <w:lvl w:ilvl="0" w:tplc="D7D8061E">
      <w:start w:val="1"/>
      <w:numFmt w:val="decimal"/>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77514D6"/>
    <w:multiLevelType w:val="hybridMultilevel"/>
    <w:tmpl w:val="F566D904"/>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89244EB"/>
    <w:multiLevelType w:val="hybridMultilevel"/>
    <w:tmpl w:val="740EC7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422132"/>
    <w:multiLevelType w:val="hybridMultilevel"/>
    <w:tmpl w:val="61544B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C8B2676"/>
    <w:multiLevelType w:val="hybridMultilevel"/>
    <w:tmpl w:val="910C1A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D9E6052"/>
    <w:multiLevelType w:val="hybridMultilevel"/>
    <w:tmpl w:val="072681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0"/>
  </w:num>
  <w:num w:numId="3">
    <w:abstractNumId w:val="23"/>
  </w:num>
  <w:num w:numId="4">
    <w:abstractNumId w:val="19"/>
  </w:num>
  <w:num w:numId="5">
    <w:abstractNumId w:val="38"/>
  </w:num>
  <w:num w:numId="6">
    <w:abstractNumId w:val="11"/>
  </w:num>
  <w:num w:numId="7">
    <w:abstractNumId w:val="26"/>
  </w:num>
  <w:num w:numId="8">
    <w:abstractNumId w:val="13"/>
  </w:num>
  <w:num w:numId="9">
    <w:abstractNumId w:val="31"/>
  </w:num>
  <w:num w:numId="10">
    <w:abstractNumId w:val="6"/>
  </w:num>
  <w:num w:numId="11">
    <w:abstractNumId w:val="32"/>
  </w:num>
  <w:num w:numId="12">
    <w:abstractNumId w:val="22"/>
  </w:num>
  <w:num w:numId="13">
    <w:abstractNumId w:val="33"/>
  </w:num>
  <w:num w:numId="14">
    <w:abstractNumId w:val="8"/>
  </w:num>
  <w:num w:numId="15">
    <w:abstractNumId w:val="17"/>
  </w:num>
  <w:num w:numId="16">
    <w:abstractNumId w:val="27"/>
  </w:num>
  <w:num w:numId="17">
    <w:abstractNumId w:val="9"/>
  </w:num>
  <w:num w:numId="18">
    <w:abstractNumId w:val="14"/>
  </w:num>
  <w:num w:numId="19">
    <w:abstractNumId w:val="10"/>
  </w:num>
  <w:num w:numId="20">
    <w:abstractNumId w:val="35"/>
  </w:num>
  <w:num w:numId="21">
    <w:abstractNumId w:val="30"/>
  </w:num>
  <w:num w:numId="22">
    <w:abstractNumId w:val="24"/>
  </w:num>
  <w:num w:numId="23">
    <w:abstractNumId w:val="15"/>
  </w:num>
  <w:num w:numId="24">
    <w:abstractNumId w:val="29"/>
  </w:num>
  <w:num w:numId="25">
    <w:abstractNumId w:val="37"/>
  </w:num>
  <w:num w:numId="26">
    <w:abstractNumId w:val="5"/>
  </w:num>
  <w:num w:numId="27">
    <w:abstractNumId w:val="28"/>
  </w:num>
  <w:num w:numId="28">
    <w:abstractNumId w:val="25"/>
  </w:num>
  <w:num w:numId="29">
    <w:abstractNumId w:val="12"/>
  </w:num>
  <w:num w:numId="30">
    <w:abstractNumId w:val="4"/>
  </w:num>
  <w:num w:numId="31">
    <w:abstractNumId w:val="3"/>
  </w:num>
  <w:num w:numId="32">
    <w:abstractNumId w:val="2"/>
  </w:num>
  <w:num w:numId="33">
    <w:abstractNumId w:val="1"/>
  </w:num>
  <w:num w:numId="34">
    <w:abstractNumId w:val="0"/>
  </w:num>
  <w:num w:numId="35">
    <w:abstractNumId w:val="34"/>
  </w:num>
  <w:num w:numId="36">
    <w:abstractNumId w:val="16"/>
  </w:num>
  <w:num w:numId="37">
    <w:abstractNumId w:val="18"/>
  </w:num>
  <w:num w:numId="38">
    <w:abstractNumId w:val="7"/>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72C05"/>
    <w:rsid w:val="0000194C"/>
    <w:rsid w:val="00002F60"/>
    <w:rsid w:val="00003D3D"/>
    <w:rsid w:val="0000582D"/>
    <w:rsid w:val="0000645E"/>
    <w:rsid w:val="00007C1B"/>
    <w:rsid w:val="00010DAE"/>
    <w:rsid w:val="000138E1"/>
    <w:rsid w:val="00014873"/>
    <w:rsid w:val="00016822"/>
    <w:rsid w:val="00017C69"/>
    <w:rsid w:val="00017C71"/>
    <w:rsid w:val="00027557"/>
    <w:rsid w:val="0003177C"/>
    <w:rsid w:val="00031BA2"/>
    <w:rsid w:val="00035CFC"/>
    <w:rsid w:val="0003668C"/>
    <w:rsid w:val="00040AD7"/>
    <w:rsid w:val="00040B3F"/>
    <w:rsid w:val="0004169A"/>
    <w:rsid w:val="000424F7"/>
    <w:rsid w:val="00043E42"/>
    <w:rsid w:val="000452B7"/>
    <w:rsid w:val="00052B71"/>
    <w:rsid w:val="00053519"/>
    <w:rsid w:val="00056F51"/>
    <w:rsid w:val="000612A1"/>
    <w:rsid w:val="00061D07"/>
    <w:rsid w:val="000629B8"/>
    <w:rsid w:val="00062BF2"/>
    <w:rsid w:val="000701BD"/>
    <w:rsid w:val="0007175F"/>
    <w:rsid w:val="00082C74"/>
    <w:rsid w:val="00083886"/>
    <w:rsid w:val="0008400F"/>
    <w:rsid w:val="00084DC9"/>
    <w:rsid w:val="0008510F"/>
    <w:rsid w:val="00085346"/>
    <w:rsid w:val="00086972"/>
    <w:rsid w:val="000908C2"/>
    <w:rsid w:val="00091291"/>
    <w:rsid w:val="000962FB"/>
    <w:rsid w:val="00097170"/>
    <w:rsid w:val="0009743B"/>
    <w:rsid w:val="000A1645"/>
    <w:rsid w:val="000A193B"/>
    <w:rsid w:val="000A1CCF"/>
    <w:rsid w:val="000A6AB3"/>
    <w:rsid w:val="000B234B"/>
    <w:rsid w:val="000B2E1A"/>
    <w:rsid w:val="000B406A"/>
    <w:rsid w:val="000B40E6"/>
    <w:rsid w:val="000B4204"/>
    <w:rsid w:val="000B721C"/>
    <w:rsid w:val="000C4072"/>
    <w:rsid w:val="000C5097"/>
    <w:rsid w:val="000D4D1C"/>
    <w:rsid w:val="000D58B3"/>
    <w:rsid w:val="000D6F0B"/>
    <w:rsid w:val="000E358E"/>
    <w:rsid w:val="000E43D2"/>
    <w:rsid w:val="000E44FE"/>
    <w:rsid w:val="000E53A7"/>
    <w:rsid w:val="000F2043"/>
    <w:rsid w:val="000F36D1"/>
    <w:rsid w:val="000F4B6A"/>
    <w:rsid w:val="000F4EEA"/>
    <w:rsid w:val="000F5C25"/>
    <w:rsid w:val="000F66A6"/>
    <w:rsid w:val="000F719A"/>
    <w:rsid w:val="00100769"/>
    <w:rsid w:val="00103A34"/>
    <w:rsid w:val="00107E84"/>
    <w:rsid w:val="00112586"/>
    <w:rsid w:val="00112600"/>
    <w:rsid w:val="00115924"/>
    <w:rsid w:val="001243C8"/>
    <w:rsid w:val="00124C08"/>
    <w:rsid w:val="00125048"/>
    <w:rsid w:val="00131E80"/>
    <w:rsid w:val="00137049"/>
    <w:rsid w:val="001379CF"/>
    <w:rsid w:val="00137E4B"/>
    <w:rsid w:val="001412D4"/>
    <w:rsid w:val="00141E73"/>
    <w:rsid w:val="00146A09"/>
    <w:rsid w:val="0014729E"/>
    <w:rsid w:val="00150CB5"/>
    <w:rsid w:val="00153365"/>
    <w:rsid w:val="001560E2"/>
    <w:rsid w:val="00160231"/>
    <w:rsid w:val="001625CA"/>
    <w:rsid w:val="001625E2"/>
    <w:rsid w:val="001630AD"/>
    <w:rsid w:val="00163D5A"/>
    <w:rsid w:val="001647FD"/>
    <w:rsid w:val="0017095A"/>
    <w:rsid w:val="0017118B"/>
    <w:rsid w:val="00173B0D"/>
    <w:rsid w:val="00180C67"/>
    <w:rsid w:val="001841D2"/>
    <w:rsid w:val="001851BB"/>
    <w:rsid w:val="001859A3"/>
    <w:rsid w:val="00186C1C"/>
    <w:rsid w:val="00187A85"/>
    <w:rsid w:val="001919BD"/>
    <w:rsid w:val="00194865"/>
    <w:rsid w:val="00196AAE"/>
    <w:rsid w:val="001A3320"/>
    <w:rsid w:val="001A3510"/>
    <w:rsid w:val="001A69BD"/>
    <w:rsid w:val="001A76FD"/>
    <w:rsid w:val="001B2EEC"/>
    <w:rsid w:val="001C14AC"/>
    <w:rsid w:val="001C263F"/>
    <w:rsid w:val="001C29E9"/>
    <w:rsid w:val="001C2B82"/>
    <w:rsid w:val="001C30D4"/>
    <w:rsid w:val="001C44E7"/>
    <w:rsid w:val="001C564B"/>
    <w:rsid w:val="001C5F22"/>
    <w:rsid w:val="001D1D93"/>
    <w:rsid w:val="001D39D7"/>
    <w:rsid w:val="001D3D22"/>
    <w:rsid w:val="001D5FCE"/>
    <w:rsid w:val="001E117A"/>
    <w:rsid w:val="001E21A3"/>
    <w:rsid w:val="001E28FF"/>
    <w:rsid w:val="001E4578"/>
    <w:rsid w:val="001E71F7"/>
    <w:rsid w:val="001E78BE"/>
    <w:rsid w:val="001F37D5"/>
    <w:rsid w:val="001F3FC9"/>
    <w:rsid w:val="001F41A8"/>
    <w:rsid w:val="00200A5C"/>
    <w:rsid w:val="0020345C"/>
    <w:rsid w:val="002036F3"/>
    <w:rsid w:val="00204F29"/>
    <w:rsid w:val="00205CA9"/>
    <w:rsid w:val="00206239"/>
    <w:rsid w:val="00210485"/>
    <w:rsid w:val="00213505"/>
    <w:rsid w:val="00214511"/>
    <w:rsid w:val="00216881"/>
    <w:rsid w:val="00217014"/>
    <w:rsid w:val="002204FE"/>
    <w:rsid w:val="002218B4"/>
    <w:rsid w:val="002218CD"/>
    <w:rsid w:val="002257AA"/>
    <w:rsid w:val="00230FEB"/>
    <w:rsid w:val="00231B06"/>
    <w:rsid w:val="0023376A"/>
    <w:rsid w:val="00233ABC"/>
    <w:rsid w:val="0023431C"/>
    <w:rsid w:val="00235348"/>
    <w:rsid w:val="0024057C"/>
    <w:rsid w:val="0024121A"/>
    <w:rsid w:val="00241D43"/>
    <w:rsid w:val="002449CD"/>
    <w:rsid w:val="00245518"/>
    <w:rsid w:val="00245F05"/>
    <w:rsid w:val="002461D0"/>
    <w:rsid w:val="0025292D"/>
    <w:rsid w:val="002555EA"/>
    <w:rsid w:val="0025572C"/>
    <w:rsid w:val="002607EC"/>
    <w:rsid w:val="00263052"/>
    <w:rsid w:val="00265E33"/>
    <w:rsid w:val="00272845"/>
    <w:rsid w:val="00272A48"/>
    <w:rsid w:val="00272C05"/>
    <w:rsid w:val="00272DF9"/>
    <w:rsid w:val="00273BBA"/>
    <w:rsid w:val="00274C6D"/>
    <w:rsid w:val="0028052F"/>
    <w:rsid w:val="00280AE3"/>
    <w:rsid w:val="00282E66"/>
    <w:rsid w:val="0028388E"/>
    <w:rsid w:val="00283E65"/>
    <w:rsid w:val="00284C7F"/>
    <w:rsid w:val="00284D61"/>
    <w:rsid w:val="00287772"/>
    <w:rsid w:val="00291F88"/>
    <w:rsid w:val="002A2A3C"/>
    <w:rsid w:val="002B1D33"/>
    <w:rsid w:val="002B2399"/>
    <w:rsid w:val="002B4D94"/>
    <w:rsid w:val="002B6826"/>
    <w:rsid w:val="002B6E24"/>
    <w:rsid w:val="002C313D"/>
    <w:rsid w:val="002C4A67"/>
    <w:rsid w:val="002C54ED"/>
    <w:rsid w:val="002C7D18"/>
    <w:rsid w:val="002D04B9"/>
    <w:rsid w:val="002D34A1"/>
    <w:rsid w:val="002E0809"/>
    <w:rsid w:val="002E1505"/>
    <w:rsid w:val="002E2633"/>
    <w:rsid w:val="002E368A"/>
    <w:rsid w:val="002E5457"/>
    <w:rsid w:val="002F21AF"/>
    <w:rsid w:val="002F2239"/>
    <w:rsid w:val="002F65A3"/>
    <w:rsid w:val="003011B6"/>
    <w:rsid w:val="003056CB"/>
    <w:rsid w:val="003058CD"/>
    <w:rsid w:val="003114DC"/>
    <w:rsid w:val="00316787"/>
    <w:rsid w:val="0032124F"/>
    <w:rsid w:val="0032273A"/>
    <w:rsid w:val="00326D51"/>
    <w:rsid w:val="003275F4"/>
    <w:rsid w:val="0034036C"/>
    <w:rsid w:val="00344BAE"/>
    <w:rsid w:val="00346021"/>
    <w:rsid w:val="00346B72"/>
    <w:rsid w:val="00347A7C"/>
    <w:rsid w:val="00354D07"/>
    <w:rsid w:val="0036115D"/>
    <w:rsid w:val="003625D4"/>
    <w:rsid w:val="003628F0"/>
    <w:rsid w:val="00363D47"/>
    <w:rsid w:val="00365CC6"/>
    <w:rsid w:val="00367489"/>
    <w:rsid w:val="00367D52"/>
    <w:rsid w:val="00376A1B"/>
    <w:rsid w:val="00380410"/>
    <w:rsid w:val="00385FB0"/>
    <w:rsid w:val="003A06FA"/>
    <w:rsid w:val="003A7275"/>
    <w:rsid w:val="003B0B33"/>
    <w:rsid w:val="003B1B2B"/>
    <w:rsid w:val="003B4DB3"/>
    <w:rsid w:val="003B5D32"/>
    <w:rsid w:val="003C03AD"/>
    <w:rsid w:val="003C238D"/>
    <w:rsid w:val="003C702C"/>
    <w:rsid w:val="003C7470"/>
    <w:rsid w:val="003C7F8F"/>
    <w:rsid w:val="003D6221"/>
    <w:rsid w:val="003D669C"/>
    <w:rsid w:val="003D7F3F"/>
    <w:rsid w:val="003E0626"/>
    <w:rsid w:val="003F1D4F"/>
    <w:rsid w:val="003F2B17"/>
    <w:rsid w:val="003F448F"/>
    <w:rsid w:val="003F55D1"/>
    <w:rsid w:val="003F63BC"/>
    <w:rsid w:val="00402042"/>
    <w:rsid w:val="00410E9D"/>
    <w:rsid w:val="00412452"/>
    <w:rsid w:val="00414849"/>
    <w:rsid w:val="00420503"/>
    <w:rsid w:val="00422E7B"/>
    <w:rsid w:val="00422EA6"/>
    <w:rsid w:val="00426877"/>
    <w:rsid w:val="004273EC"/>
    <w:rsid w:val="004305CD"/>
    <w:rsid w:val="00433A84"/>
    <w:rsid w:val="00442A98"/>
    <w:rsid w:val="00444401"/>
    <w:rsid w:val="00444874"/>
    <w:rsid w:val="00445A7D"/>
    <w:rsid w:val="00446FC3"/>
    <w:rsid w:val="004475DC"/>
    <w:rsid w:val="004505D8"/>
    <w:rsid w:val="00456F3D"/>
    <w:rsid w:val="00463AC0"/>
    <w:rsid w:val="0046413F"/>
    <w:rsid w:val="00464AF8"/>
    <w:rsid w:val="00467A22"/>
    <w:rsid w:val="004707FC"/>
    <w:rsid w:val="00471A42"/>
    <w:rsid w:val="004732D5"/>
    <w:rsid w:val="0048091F"/>
    <w:rsid w:val="00481027"/>
    <w:rsid w:val="004844D1"/>
    <w:rsid w:val="00484A53"/>
    <w:rsid w:val="004860F1"/>
    <w:rsid w:val="00490DFE"/>
    <w:rsid w:val="0049130D"/>
    <w:rsid w:val="00495303"/>
    <w:rsid w:val="004A06F1"/>
    <w:rsid w:val="004A184B"/>
    <w:rsid w:val="004A21B5"/>
    <w:rsid w:val="004A40D4"/>
    <w:rsid w:val="004B04E8"/>
    <w:rsid w:val="004B1CE0"/>
    <w:rsid w:val="004B1D9B"/>
    <w:rsid w:val="004B285F"/>
    <w:rsid w:val="004B4007"/>
    <w:rsid w:val="004B6B3C"/>
    <w:rsid w:val="004C0A42"/>
    <w:rsid w:val="004C3048"/>
    <w:rsid w:val="004C581B"/>
    <w:rsid w:val="004C78E0"/>
    <w:rsid w:val="004D0013"/>
    <w:rsid w:val="004D2521"/>
    <w:rsid w:val="004D285B"/>
    <w:rsid w:val="004E09AF"/>
    <w:rsid w:val="004E168E"/>
    <w:rsid w:val="004E1A69"/>
    <w:rsid w:val="004E3B2D"/>
    <w:rsid w:val="004E3B90"/>
    <w:rsid w:val="004E41FA"/>
    <w:rsid w:val="004E540A"/>
    <w:rsid w:val="004F6E2E"/>
    <w:rsid w:val="0050133F"/>
    <w:rsid w:val="005017A6"/>
    <w:rsid w:val="00510D20"/>
    <w:rsid w:val="005112DE"/>
    <w:rsid w:val="0051574E"/>
    <w:rsid w:val="0051608D"/>
    <w:rsid w:val="00517169"/>
    <w:rsid w:val="00517C8A"/>
    <w:rsid w:val="00521A15"/>
    <w:rsid w:val="00521D67"/>
    <w:rsid w:val="005220A0"/>
    <w:rsid w:val="0052361B"/>
    <w:rsid w:val="00525D6B"/>
    <w:rsid w:val="0053044F"/>
    <w:rsid w:val="00530A91"/>
    <w:rsid w:val="00536C35"/>
    <w:rsid w:val="005416A0"/>
    <w:rsid w:val="00551E6C"/>
    <w:rsid w:val="00552543"/>
    <w:rsid w:val="00554856"/>
    <w:rsid w:val="005550A0"/>
    <w:rsid w:val="0055632D"/>
    <w:rsid w:val="00557F5D"/>
    <w:rsid w:val="0056115E"/>
    <w:rsid w:val="005643AA"/>
    <w:rsid w:val="00565275"/>
    <w:rsid w:val="005658C0"/>
    <w:rsid w:val="00577D28"/>
    <w:rsid w:val="00577E55"/>
    <w:rsid w:val="005856F8"/>
    <w:rsid w:val="005867F1"/>
    <w:rsid w:val="005972D6"/>
    <w:rsid w:val="005A1FC6"/>
    <w:rsid w:val="005A7385"/>
    <w:rsid w:val="005A74ED"/>
    <w:rsid w:val="005A7782"/>
    <w:rsid w:val="005B1717"/>
    <w:rsid w:val="005B2601"/>
    <w:rsid w:val="005B27F5"/>
    <w:rsid w:val="005B4493"/>
    <w:rsid w:val="005C0262"/>
    <w:rsid w:val="005C03F9"/>
    <w:rsid w:val="005C1739"/>
    <w:rsid w:val="005C4773"/>
    <w:rsid w:val="005C5BE8"/>
    <w:rsid w:val="005C789D"/>
    <w:rsid w:val="005D14CE"/>
    <w:rsid w:val="005D3115"/>
    <w:rsid w:val="005D4557"/>
    <w:rsid w:val="005D4966"/>
    <w:rsid w:val="005D638A"/>
    <w:rsid w:val="005E15A1"/>
    <w:rsid w:val="005E6CDA"/>
    <w:rsid w:val="005F28EE"/>
    <w:rsid w:val="005F3FB6"/>
    <w:rsid w:val="005F5958"/>
    <w:rsid w:val="006015D4"/>
    <w:rsid w:val="006041E7"/>
    <w:rsid w:val="0061258A"/>
    <w:rsid w:val="006132BF"/>
    <w:rsid w:val="00615DEE"/>
    <w:rsid w:val="00616B0E"/>
    <w:rsid w:val="0062152F"/>
    <w:rsid w:val="006251B7"/>
    <w:rsid w:val="00625439"/>
    <w:rsid w:val="006256DD"/>
    <w:rsid w:val="006300D0"/>
    <w:rsid w:val="00630C42"/>
    <w:rsid w:val="00631772"/>
    <w:rsid w:val="006327F7"/>
    <w:rsid w:val="00634393"/>
    <w:rsid w:val="00634A87"/>
    <w:rsid w:val="00634A91"/>
    <w:rsid w:val="00636EDA"/>
    <w:rsid w:val="00641C48"/>
    <w:rsid w:val="00643E71"/>
    <w:rsid w:val="0064619A"/>
    <w:rsid w:val="00650936"/>
    <w:rsid w:val="00653FD2"/>
    <w:rsid w:val="0065577C"/>
    <w:rsid w:val="00661251"/>
    <w:rsid w:val="0066208F"/>
    <w:rsid w:val="00662179"/>
    <w:rsid w:val="00666B64"/>
    <w:rsid w:val="00667BC6"/>
    <w:rsid w:val="00670F2F"/>
    <w:rsid w:val="00671EAA"/>
    <w:rsid w:val="0067207E"/>
    <w:rsid w:val="00677A98"/>
    <w:rsid w:val="00683A88"/>
    <w:rsid w:val="00685BAC"/>
    <w:rsid w:val="0068757C"/>
    <w:rsid w:val="006948B4"/>
    <w:rsid w:val="006969CB"/>
    <w:rsid w:val="006969CE"/>
    <w:rsid w:val="006A49DE"/>
    <w:rsid w:val="006A4DFB"/>
    <w:rsid w:val="006A71B3"/>
    <w:rsid w:val="006B2733"/>
    <w:rsid w:val="006B3925"/>
    <w:rsid w:val="006B5C4B"/>
    <w:rsid w:val="006B6599"/>
    <w:rsid w:val="006C1B11"/>
    <w:rsid w:val="006C2EE9"/>
    <w:rsid w:val="006C3D4A"/>
    <w:rsid w:val="006C4136"/>
    <w:rsid w:val="006C4937"/>
    <w:rsid w:val="006C59A4"/>
    <w:rsid w:val="006D0409"/>
    <w:rsid w:val="006D070B"/>
    <w:rsid w:val="006D3B52"/>
    <w:rsid w:val="006D3E9F"/>
    <w:rsid w:val="006D6581"/>
    <w:rsid w:val="006D7316"/>
    <w:rsid w:val="006E24DA"/>
    <w:rsid w:val="006E2933"/>
    <w:rsid w:val="006E5AD3"/>
    <w:rsid w:val="006F0926"/>
    <w:rsid w:val="006F1A06"/>
    <w:rsid w:val="006F31D5"/>
    <w:rsid w:val="006F5C3A"/>
    <w:rsid w:val="0070296A"/>
    <w:rsid w:val="007031CA"/>
    <w:rsid w:val="00704B7B"/>
    <w:rsid w:val="00705936"/>
    <w:rsid w:val="0070629E"/>
    <w:rsid w:val="007067FC"/>
    <w:rsid w:val="00707118"/>
    <w:rsid w:val="00707A2E"/>
    <w:rsid w:val="0071228E"/>
    <w:rsid w:val="00715F0C"/>
    <w:rsid w:val="00721F86"/>
    <w:rsid w:val="00722AC6"/>
    <w:rsid w:val="00726FEE"/>
    <w:rsid w:val="007304F0"/>
    <w:rsid w:val="007326E1"/>
    <w:rsid w:val="00732BEE"/>
    <w:rsid w:val="00733C26"/>
    <w:rsid w:val="00734C25"/>
    <w:rsid w:val="00734CBD"/>
    <w:rsid w:val="007353AB"/>
    <w:rsid w:val="0073549B"/>
    <w:rsid w:val="0073581E"/>
    <w:rsid w:val="00746728"/>
    <w:rsid w:val="00747142"/>
    <w:rsid w:val="00753D65"/>
    <w:rsid w:val="007544D5"/>
    <w:rsid w:val="00757DE2"/>
    <w:rsid w:val="00763B1D"/>
    <w:rsid w:val="00774778"/>
    <w:rsid w:val="0078006D"/>
    <w:rsid w:val="007832AA"/>
    <w:rsid w:val="00792992"/>
    <w:rsid w:val="007931F2"/>
    <w:rsid w:val="007937EC"/>
    <w:rsid w:val="00793C62"/>
    <w:rsid w:val="00794782"/>
    <w:rsid w:val="0079643C"/>
    <w:rsid w:val="0079749E"/>
    <w:rsid w:val="007A0693"/>
    <w:rsid w:val="007A1BE6"/>
    <w:rsid w:val="007A1E4A"/>
    <w:rsid w:val="007A2498"/>
    <w:rsid w:val="007A24BD"/>
    <w:rsid w:val="007A2B97"/>
    <w:rsid w:val="007A64CD"/>
    <w:rsid w:val="007A6692"/>
    <w:rsid w:val="007B3F11"/>
    <w:rsid w:val="007C0736"/>
    <w:rsid w:val="007C16B5"/>
    <w:rsid w:val="007C3951"/>
    <w:rsid w:val="007C43CA"/>
    <w:rsid w:val="007D075A"/>
    <w:rsid w:val="007E0DCB"/>
    <w:rsid w:val="007E1A2C"/>
    <w:rsid w:val="007E222F"/>
    <w:rsid w:val="007E265D"/>
    <w:rsid w:val="007F0996"/>
    <w:rsid w:val="007F2A2A"/>
    <w:rsid w:val="007F6527"/>
    <w:rsid w:val="007F68CC"/>
    <w:rsid w:val="007F742F"/>
    <w:rsid w:val="007F7CE8"/>
    <w:rsid w:val="008000CF"/>
    <w:rsid w:val="00803431"/>
    <w:rsid w:val="00811D27"/>
    <w:rsid w:val="00812C85"/>
    <w:rsid w:val="00816885"/>
    <w:rsid w:val="008172CC"/>
    <w:rsid w:val="00820110"/>
    <w:rsid w:val="0082169D"/>
    <w:rsid w:val="00822010"/>
    <w:rsid w:val="00822620"/>
    <w:rsid w:val="008266C6"/>
    <w:rsid w:val="008309A7"/>
    <w:rsid w:val="00830C7D"/>
    <w:rsid w:val="00832739"/>
    <w:rsid w:val="00833DFC"/>
    <w:rsid w:val="00834F28"/>
    <w:rsid w:val="00836C6C"/>
    <w:rsid w:val="008402D6"/>
    <w:rsid w:val="00845119"/>
    <w:rsid w:val="00845B1F"/>
    <w:rsid w:val="008506E8"/>
    <w:rsid w:val="00855674"/>
    <w:rsid w:val="00855702"/>
    <w:rsid w:val="00855AD3"/>
    <w:rsid w:val="00856732"/>
    <w:rsid w:val="00856BF8"/>
    <w:rsid w:val="00860369"/>
    <w:rsid w:val="00861AE9"/>
    <w:rsid w:val="008634D4"/>
    <w:rsid w:val="008639E3"/>
    <w:rsid w:val="008673C0"/>
    <w:rsid w:val="00871091"/>
    <w:rsid w:val="00873455"/>
    <w:rsid w:val="00873AE8"/>
    <w:rsid w:val="00875E91"/>
    <w:rsid w:val="00880C3D"/>
    <w:rsid w:val="00883C70"/>
    <w:rsid w:val="0088482B"/>
    <w:rsid w:val="00884D98"/>
    <w:rsid w:val="0088526F"/>
    <w:rsid w:val="00886710"/>
    <w:rsid w:val="00895719"/>
    <w:rsid w:val="008974B6"/>
    <w:rsid w:val="00897558"/>
    <w:rsid w:val="008A2AA1"/>
    <w:rsid w:val="008A3D44"/>
    <w:rsid w:val="008A4756"/>
    <w:rsid w:val="008C3048"/>
    <w:rsid w:val="008C4262"/>
    <w:rsid w:val="008C4480"/>
    <w:rsid w:val="008C7436"/>
    <w:rsid w:val="008D4F16"/>
    <w:rsid w:val="008E4D39"/>
    <w:rsid w:val="008E703F"/>
    <w:rsid w:val="008E75A2"/>
    <w:rsid w:val="008E7AA8"/>
    <w:rsid w:val="008E7C33"/>
    <w:rsid w:val="008F1302"/>
    <w:rsid w:val="008F3720"/>
    <w:rsid w:val="008F5056"/>
    <w:rsid w:val="008F5954"/>
    <w:rsid w:val="0090573E"/>
    <w:rsid w:val="00906373"/>
    <w:rsid w:val="00907237"/>
    <w:rsid w:val="00911B05"/>
    <w:rsid w:val="00913E29"/>
    <w:rsid w:val="00913F0A"/>
    <w:rsid w:val="009141DE"/>
    <w:rsid w:val="0091733A"/>
    <w:rsid w:val="009202CF"/>
    <w:rsid w:val="009218D9"/>
    <w:rsid w:val="0092280C"/>
    <w:rsid w:val="00922A55"/>
    <w:rsid w:val="00926D30"/>
    <w:rsid w:val="009279AF"/>
    <w:rsid w:val="0093141A"/>
    <w:rsid w:val="00936A9D"/>
    <w:rsid w:val="009377B5"/>
    <w:rsid w:val="00943AB7"/>
    <w:rsid w:val="0094600C"/>
    <w:rsid w:val="0094689D"/>
    <w:rsid w:val="00950ACE"/>
    <w:rsid w:val="0095219B"/>
    <w:rsid w:val="00952525"/>
    <w:rsid w:val="009529FF"/>
    <w:rsid w:val="00953296"/>
    <w:rsid w:val="009558CC"/>
    <w:rsid w:val="00957527"/>
    <w:rsid w:val="009578A3"/>
    <w:rsid w:val="00960816"/>
    <w:rsid w:val="00962367"/>
    <w:rsid w:val="0096313C"/>
    <w:rsid w:val="0096452B"/>
    <w:rsid w:val="009647B0"/>
    <w:rsid w:val="00965DC7"/>
    <w:rsid w:val="00966432"/>
    <w:rsid w:val="00970C27"/>
    <w:rsid w:val="00970FF3"/>
    <w:rsid w:val="00971769"/>
    <w:rsid w:val="0097208D"/>
    <w:rsid w:val="00974579"/>
    <w:rsid w:val="009749DB"/>
    <w:rsid w:val="00974A02"/>
    <w:rsid w:val="00980A35"/>
    <w:rsid w:val="00980E41"/>
    <w:rsid w:val="00983315"/>
    <w:rsid w:val="009833EC"/>
    <w:rsid w:val="00986094"/>
    <w:rsid w:val="009868F6"/>
    <w:rsid w:val="00986D2F"/>
    <w:rsid w:val="00987BB5"/>
    <w:rsid w:val="009903A3"/>
    <w:rsid w:val="00990F97"/>
    <w:rsid w:val="009931AF"/>
    <w:rsid w:val="00995E8F"/>
    <w:rsid w:val="009A00EA"/>
    <w:rsid w:val="009A3C24"/>
    <w:rsid w:val="009A47CC"/>
    <w:rsid w:val="009A4C96"/>
    <w:rsid w:val="009A53E3"/>
    <w:rsid w:val="009B1724"/>
    <w:rsid w:val="009B4BCB"/>
    <w:rsid w:val="009C173E"/>
    <w:rsid w:val="009C2A59"/>
    <w:rsid w:val="009C6185"/>
    <w:rsid w:val="009D0CC8"/>
    <w:rsid w:val="009D1DB7"/>
    <w:rsid w:val="009D411F"/>
    <w:rsid w:val="009D48FE"/>
    <w:rsid w:val="009E2148"/>
    <w:rsid w:val="009E3070"/>
    <w:rsid w:val="009F18A3"/>
    <w:rsid w:val="009F4033"/>
    <w:rsid w:val="00A0132C"/>
    <w:rsid w:val="00A018A1"/>
    <w:rsid w:val="00A0478E"/>
    <w:rsid w:val="00A052FA"/>
    <w:rsid w:val="00A07B83"/>
    <w:rsid w:val="00A114D5"/>
    <w:rsid w:val="00A14178"/>
    <w:rsid w:val="00A158E4"/>
    <w:rsid w:val="00A20C0D"/>
    <w:rsid w:val="00A26064"/>
    <w:rsid w:val="00A41A48"/>
    <w:rsid w:val="00A44E06"/>
    <w:rsid w:val="00A4726D"/>
    <w:rsid w:val="00A47372"/>
    <w:rsid w:val="00A5049F"/>
    <w:rsid w:val="00A51D1F"/>
    <w:rsid w:val="00A535C9"/>
    <w:rsid w:val="00A54B5E"/>
    <w:rsid w:val="00A5614B"/>
    <w:rsid w:val="00A61A87"/>
    <w:rsid w:val="00A61E32"/>
    <w:rsid w:val="00A63A7B"/>
    <w:rsid w:val="00A665F9"/>
    <w:rsid w:val="00A67BDA"/>
    <w:rsid w:val="00A71AC7"/>
    <w:rsid w:val="00A72AF9"/>
    <w:rsid w:val="00A75B9F"/>
    <w:rsid w:val="00A76F47"/>
    <w:rsid w:val="00A80B9D"/>
    <w:rsid w:val="00A82053"/>
    <w:rsid w:val="00A82215"/>
    <w:rsid w:val="00A82F93"/>
    <w:rsid w:val="00A835E6"/>
    <w:rsid w:val="00A838C0"/>
    <w:rsid w:val="00A86B2A"/>
    <w:rsid w:val="00A9125C"/>
    <w:rsid w:val="00A922BA"/>
    <w:rsid w:val="00A92450"/>
    <w:rsid w:val="00A94448"/>
    <w:rsid w:val="00A9526D"/>
    <w:rsid w:val="00A95805"/>
    <w:rsid w:val="00A96B3C"/>
    <w:rsid w:val="00AA0BA7"/>
    <w:rsid w:val="00AA2036"/>
    <w:rsid w:val="00AA225E"/>
    <w:rsid w:val="00AB1BC9"/>
    <w:rsid w:val="00AB1C72"/>
    <w:rsid w:val="00AB1CDE"/>
    <w:rsid w:val="00AB600A"/>
    <w:rsid w:val="00AC082B"/>
    <w:rsid w:val="00AC08FD"/>
    <w:rsid w:val="00AC265F"/>
    <w:rsid w:val="00AC2AFD"/>
    <w:rsid w:val="00AC2CE3"/>
    <w:rsid w:val="00AC4D87"/>
    <w:rsid w:val="00AC5939"/>
    <w:rsid w:val="00AD252E"/>
    <w:rsid w:val="00AD2F89"/>
    <w:rsid w:val="00AD4461"/>
    <w:rsid w:val="00AD6505"/>
    <w:rsid w:val="00AE58F1"/>
    <w:rsid w:val="00AE608C"/>
    <w:rsid w:val="00AE6818"/>
    <w:rsid w:val="00AE6CF0"/>
    <w:rsid w:val="00AF10B4"/>
    <w:rsid w:val="00B00D47"/>
    <w:rsid w:val="00B015B6"/>
    <w:rsid w:val="00B0723A"/>
    <w:rsid w:val="00B10E82"/>
    <w:rsid w:val="00B11855"/>
    <w:rsid w:val="00B173A7"/>
    <w:rsid w:val="00B23E15"/>
    <w:rsid w:val="00B24F2E"/>
    <w:rsid w:val="00B26A48"/>
    <w:rsid w:val="00B271B5"/>
    <w:rsid w:val="00B27943"/>
    <w:rsid w:val="00B30786"/>
    <w:rsid w:val="00B3703D"/>
    <w:rsid w:val="00B37C46"/>
    <w:rsid w:val="00B4456D"/>
    <w:rsid w:val="00B44CCF"/>
    <w:rsid w:val="00B47F24"/>
    <w:rsid w:val="00B50343"/>
    <w:rsid w:val="00B50FC3"/>
    <w:rsid w:val="00B5123A"/>
    <w:rsid w:val="00B5142B"/>
    <w:rsid w:val="00B555FB"/>
    <w:rsid w:val="00B56DC5"/>
    <w:rsid w:val="00B61B4F"/>
    <w:rsid w:val="00B6273A"/>
    <w:rsid w:val="00B64DB3"/>
    <w:rsid w:val="00B64DD1"/>
    <w:rsid w:val="00B66DEB"/>
    <w:rsid w:val="00B741EA"/>
    <w:rsid w:val="00B76E20"/>
    <w:rsid w:val="00B8119E"/>
    <w:rsid w:val="00B81D29"/>
    <w:rsid w:val="00B83AF1"/>
    <w:rsid w:val="00B91609"/>
    <w:rsid w:val="00B928CC"/>
    <w:rsid w:val="00B96BBC"/>
    <w:rsid w:val="00BA3BCD"/>
    <w:rsid w:val="00BA4321"/>
    <w:rsid w:val="00BA5BB9"/>
    <w:rsid w:val="00BA78BD"/>
    <w:rsid w:val="00BB13B6"/>
    <w:rsid w:val="00BB1FC8"/>
    <w:rsid w:val="00BB25AF"/>
    <w:rsid w:val="00BB5A69"/>
    <w:rsid w:val="00BB6057"/>
    <w:rsid w:val="00BB7084"/>
    <w:rsid w:val="00BC1793"/>
    <w:rsid w:val="00BC383B"/>
    <w:rsid w:val="00BC4850"/>
    <w:rsid w:val="00BC4C2C"/>
    <w:rsid w:val="00BC4CF7"/>
    <w:rsid w:val="00BC4E03"/>
    <w:rsid w:val="00BC685D"/>
    <w:rsid w:val="00BD171A"/>
    <w:rsid w:val="00BE02AC"/>
    <w:rsid w:val="00BE20B4"/>
    <w:rsid w:val="00BE241A"/>
    <w:rsid w:val="00BF162F"/>
    <w:rsid w:val="00BF58FD"/>
    <w:rsid w:val="00BF6083"/>
    <w:rsid w:val="00C0149C"/>
    <w:rsid w:val="00C109FB"/>
    <w:rsid w:val="00C11BF3"/>
    <w:rsid w:val="00C17110"/>
    <w:rsid w:val="00C20A91"/>
    <w:rsid w:val="00C2315A"/>
    <w:rsid w:val="00C25D3F"/>
    <w:rsid w:val="00C26CD5"/>
    <w:rsid w:val="00C31647"/>
    <w:rsid w:val="00C35744"/>
    <w:rsid w:val="00C53486"/>
    <w:rsid w:val="00C5412D"/>
    <w:rsid w:val="00C54F66"/>
    <w:rsid w:val="00C57CBC"/>
    <w:rsid w:val="00C60423"/>
    <w:rsid w:val="00C6075B"/>
    <w:rsid w:val="00C6271A"/>
    <w:rsid w:val="00C65880"/>
    <w:rsid w:val="00C7453D"/>
    <w:rsid w:val="00C80822"/>
    <w:rsid w:val="00C80C18"/>
    <w:rsid w:val="00C8303C"/>
    <w:rsid w:val="00C839AC"/>
    <w:rsid w:val="00C83AD5"/>
    <w:rsid w:val="00C94A4A"/>
    <w:rsid w:val="00C95257"/>
    <w:rsid w:val="00C95FD6"/>
    <w:rsid w:val="00C96E1C"/>
    <w:rsid w:val="00C971ED"/>
    <w:rsid w:val="00CA0142"/>
    <w:rsid w:val="00CA06BE"/>
    <w:rsid w:val="00CA0E21"/>
    <w:rsid w:val="00CA1211"/>
    <w:rsid w:val="00CA191A"/>
    <w:rsid w:val="00CA2FC0"/>
    <w:rsid w:val="00CA40B5"/>
    <w:rsid w:val="00CA4C1C"/>
    <w:rsid w:val="00CA6507"/>
    <w:rsid w:val="00CA6C20"/>
    <w:rsid w:val="00CB11D8"/>
    <w:rsid w:val="00CB3D0A"/>
    <w:rsid w:val="00CB5F95"/>
    <w:rsid w:val="00CB7AC7"/>
    <w:rsid w:val="00CC0523"/>
    <w:rsid w:val="00CC6FFF"/>
    <w:rsid w:val="00CD09DB"/>
    <w:rsid w:val="00CD185C"/>
    <w:rsid w:val="00CD3B55"/>
    <w:rsid w:val="00CD3CB5"/>
    <w:rsid w:val="00CD5F2B"/>
    <w:rsid w:val="00CE2F88"/>
    <w:rsid w:val="00CE7AD8"/>
    <w:rsid w:val="00CF0EF2"/>
    <w:rsid w:val="00CF2202"/>
    <w:rsid w:val="00CF383B"/>
    <w:rsid w:val="00CF427C"/>
    <w:rsid w:val="00D001CC"/>
    <w:rsid w:val="00D0070C"/>
    <w:rsid w:val="00D06416"/>
    <w:rsid w:val="00D07531"/>
    <w:rsid w:val="00D10752"/>
    <w:rsid w:val="00D13ACA"/>
    <w:rsid w:val="00D22D7D"/>
    <w:rsid w:val="00D26BEC"/>
    <w:rsid w:val="00D3145A"/>
    <w:rsid w:val="00D3188C"/>
    <w:rsid w:val="00D31A7A"/>
    <w:rsid w:val="00D31B9D"/>
    <w:rsid w:val="00D31CEA"/>
    <w:rsid w:val="00D354F8"/>
    <w:rsid w:val="00D367F3"/>
    <w:rsid w:val="00D36C66"/>
    <w:rsid w:val="00D415F9"/>
    <w:rsid w:val="00D420FD"/>
    <w:rsid w:val="00D42959"/>
    <w:rsid w:val="00D43AC3"/>
    <w:rsid w:val="00D44594"/>
    <w:rsid w:val="00D4638B"/>
    <w:rsid w:val="00D46B5D"/>
    <w:rsid w:val="00D511CD"/>
    <w:rsid w:val="00D52A76"/>
    <w:rsid w:val="00D54E3C"/>
    <w:rsid w:val="00D6053D"/>
    <w:rsid w:val="00D618BA"/>
    <w:rsid w:val="00D619B0"/>
    <w:rsid w:val="00D7109B"/>
    <w:rsid w:val="00D71ABA"/>
    <w:rsid w:val="00D7446B"/>
    <w:rsid w:val="00D74B19"/>
    <w:rsid w:val="00D758BA"/>
    <w:rsid w:val="00D82214"/>
    <w:rsid w:val="00D82856"/>
    <w:rsid w:val="00D843DB"/>
    <w:rsid w:val="00D8469D"/>
    <w:rsid w:val="00D86149"/>
    <w:rsid w:val="00D92926"/>
    <w:rsid w:val="00D941BA"/>
    <w:rsid w:val="00DA11C5"/>
    <w:rsid w:val="00DA3E89"/>
    <w:rsid w:val="00DA4C35"/>
    <w:rsid w:val="00DA51D5"/>
    <w:rsid w:val="00DA55BE"/>
    <w:rsid w:val="00DA6D35"/>
    <w:rsid w:val="00DB0165"/>
    <w:rsid w:val="00DB188D"/>
    <w:rsid w:val="00DB43EA"/>
    <w:rsid w:val="00DB48CF"/>
    <w:rsid w:val="00DC09C2"/>
    <w:rsid w:val="00DC193F"/>
    <w:rsid w:val="00DC3267"/>
    <w:rsid w:val="00DC4928"/>
    <w:rsid w:val="00DD4815"/>
    <w:rsid w:val="00DD534F"/>
    <w:rsid w:val="00DD59A3"/>
    <w:rsid w:val="00DD735E"/>
    <w:rsid w:val="00DE379F"/>
    <w:rsid w:val="00DE3FCF"/>
    <w:rsid w:val="00DE7452"/>
    <w:rsid w:val="00DF3366"/>
    <w:rsid w:val="00DF62D8"/>
    <w:rsid w:val="00E004AE"/>
    <w:rsid w:val="00E04651"/>
    <w:rsid w:val="00E05B9F"/>
    <w:rsid w:val="00E0738C"/>
    <w:rsid w:val="00E073F0"/>
    <w:rsid w:val="00E07707"/>
    <w:rsid w:val="00E101DF"/>
    <w:rsid w:val="00E10732"/>
    <w:rsid w:val="00E17009"/>
    <w:rsid w:val="00E20BF2"/>
    <w:rsid w:val="00E2584E"/>
    <w:rsid w:val="00E36397"/>
    <w:rsid w:val="00E40003"/>
    <w:rsid w:val="00E40428"/>
    <w:rsid w:val="00E40F4A"/>
    <w:rsid w:val="00E4536E"/>
    <w:rsid w:val="00E46164"/>
    <w:rsid w:val="00E50C36"/>
    <w:rsid w:val="00E51C72"/>
    <w:rsid w:val="00E560DA"/>
    <w:rsid w:val="00E56305"/>
    <w:rsid w:val="00E56AAF"/>
    <w:rsid w:val="00E60094"/>
    <w:rsid w:val="00E616DD"/>
    <w:rsid w:val="00E6263C"/>
    <w:rsid w:val="00E63C40"/>
    <w:rsid w:val="00E72D1C"/>
    <w:rsid w:val="00E75CCF"/>
    <w:rsid w:val="00E82DDC"/>
    <w:rsid w:val="00E841CD"/>
    <w:rsid w:val="00E85A31"/>
    <w:rsid w:val="00E866A1"/>
    <w:rsid w:val="00E946BE"/>
    <w:rsid w:val="00E947CD"/>
    <w:rsid w:val="00E95081"/>
    <w:rsid w:val="00E96DB7"/>
    <w:rsid w:val="00EA325E"/>
    <w:rsid w:val="00EA4883"/>
    <w:rsid w:val="00EA4D30"/>
    <w:rsid w:val="00EA5632"/>
    <w:rsid w:val="00EA5ABA"/>
    <w:rsid w:val="00EB1286"/>
    <w:rsid w:val="00EB5624"/>
    <w:rsid w:val="00EB56CD"/>
    <w:rsid w:val="00EB7AC3"/>
    <w:rsid w:val="00EB7DED"/>
    <w:rsid w:val="00EC01DB"/>
    <w:rsid w:val="00EC08B0"/>
    <w:rsid w:val="00ED0C14"/>
    <w:rsid w:val="00ED23AF"/>
    <w:rsid w:val="00ED507C"/>
    <w:rsid w:val="00ED6FF9"/>
    <w:rsid w:val="00EE2682"/>
    <w:rsid w:val="00EE38BF"/>
    <w:rsid w:val="00EE550A"/>
    <w:rsid w:val="00EE61E0"/>
    <w:rsid w:val="00EE6D74"/>
    <w:rsid w:val="00EF11F0"/>
    <w:rsid w:val="00EF1719"/>
    <w:rsid w:val="00EF587E"/>
    <w:rsid w:val="00EF7771"/>
    <w:rsid w:val="00EF7EAB"/>
    <w:rsid w:val="00F00530"/>
    <w:rsid w:val="00F10783"/>
    <w:rsid w:val="00F14737"/>
    <w:rsid w:val="00F1521F"/>
    <w:rsid w:val="00F17533"/>
    <w:rsid w:val="00F17B5B"/>
    <w:rsid w:val="00F226B5"/>
    <w:rsid w:val="00F23557"/>
    <w:rsid w:val="00F23D6E"/>
    <w:rsid w:val="00F24C99"/>
    <w:rsid w:val="00F25B40"/>
    <w:rsid w:val="00F268B7"/>
    <w:rsid w:val="00F309A9"/>
    <w:rsid w:val="00F3596F"/>
    <w:rsid w:val="00F363CB"/>
    <w:rsid w:val="00F44F6C"/>
    <w:rsid w:val="00F50AC4"/>
    <w:rsid w:val="00F510F2"/>
    <w:rsid w:val="00F5139E"/>
    <w:rsid w:val="00F56335"/>
    <w:rsid w:val="00F602ED"/>
    <w:rsid w:val="00F65743"/>
    <w:rsid w:val="00F65AF3"/>
    <w:rsid w:val="00F66A0B"/>
    <w:rsid w:val="00F67C5A"/>
    <w:rsid w:val="00F70A9F"/>
    <w:rsid w:val="00F70BDE"/>
    <w:rsid w:val="00F71129"/>
    <w:rsid w:val="00F75B8F"/>
    <w:rsid w:val="00F761FC"/>
    <w:rsid w:val="00F777C9"/>
    <w:rsid w:val="00F77974"/>
    <w:rsid w:val="00F816B8"/>
    <w:rsid w:val="00F836B0"/>
    <w:rsid w:val="00F85573"/>
    <w:rsid w:val="00F86BE7"/>
    <w:rsid w:val="00F878AB"/>
    <w:rsid w:val="00F90EBB"/>
    <w:rsid w:val="00F92000"/>
    <w:rsid w:val="00F9648E"/>
    <w:rsid w:val="00F969C2"/>
    <w:rsid w:val="00FA195B"/>
    <w:rsid w:val="00FA3804"/>
    <w:rsid w:val="00FA5347"/>
    <w:rsid w:val="00FA6AF6"/>
    <w:rsid w:val="00FA6BAC"/>
    <w:rsid w:val="00FA6D03"/>
    <w:rsid w:val="00FA7D8C"/>
    <w:rsid w:val="00FB0C16"/>
    <w:rsid w:val="00FB42BD"/>
    <w:rsid w:val="00FC2226"/>
    <w:rsid w:val="00FC4649"/>
    <w:rsid w:val="00FC49B1"/>
    <w:rsid w:val="00FD0A68"/>
    <w:rsid w:val="00FD2F5A"/>
    <w:rsid w:val="00FD5D3E"/>
    <w:rsid w:val="00FD5F67"/>
    <w:rsid w:val="00FD7766"/>
    <w:rsid w:val="00FE06B5"/>
    <w:rsid w:val="00FE35D1"/>
    <w:rsid w:val="00FE3B07"/>
    <w:rsid w:val="00FF07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4" type="connector" idref="#AutoShape 82"/>
        <o:r id="V:Rule5" type="connector" idref="#AutoShape 80"/>
        <o:r id="V:Rule6" type="connector" idref="#AutoShape 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header" w:qFormat="1"/>
    <w:lsdException w:name="footer" w:uiPriority="0" w:qFormat="1"/>
    <w:lsdException w:name="caption" w:uiPriority="0" w:qFormat="1"/>
    <w:lsdException w:name="envelope address" w:uiPriority="18" w:qFormat="1"/>
    <w:lsdException w:name="envelope return" w:uiPriority="18" w:qFormat="1"/>
    <w:lsdException w:name="footnote reference" w:uiPriority="0"/>
    <w:lsdException w:name="line number" w:uiPriority="0"/>
    <w:lsdException w:name="page number" w:uiPriority="0" w:qFormat="1"/>
    <w:lsdException w:name="List Bullet" w:qFormat="1"/>
    <w:lsdException w:name="List Bullet 2" w:qFormat="1"/>
    <w:lsdException w:name="List Bullet 3" w:qFormat="1"/>
    <w:lsdException w:name="List Bullet 4" w:qFormat="1"/>
    <w:lsdException w:name="List Bullet 5" w:qFormat="1"/>
    <w:lsdException w:name="Title" w:semiHidden="0" w:uiPriority="0" w:unhideWhenUsed="0" w:qFormat="1"/>
    <w:lsdException w:name="Closing" w:uiPriority="18" w:qFormat="1"/>
    <w:lsdException w:name="Default Paragraph Font" w:uiPriority="1"/>
    <w:lsdException w:name="Body Text" w:uiPriority="0" w:qFormat="1"/>
    <w:lsdException w:name="Body Text Indent" w:uiPriority="0"/>
    <w:lsdException w:name="Subtitle" w:semiHidden="0" w:uiPriority="11" w:unhideWhenUsed="0" w:qFormat="1"/>
    <w:lsdException w:name="Note Heading" w:uiPriority="18"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05"/>
    <w:pPr>
      <w:spacing w:after="240" w:line="240" w:lineRule="auto"/>
    </w:pPr>
    <w:rPr>
      <w:rFonts w:ascii="Times New Roman" w:hAnsi="Times New Roman"/>
      <w:sz w:val="24"/>
    </w:rPr>
  </w:style>
  <w:style w:type="paragraph" w:styleId="Heading1">
    <w:name w:val="heading 1"/>
    <w:basedOn w:val="Normal"/>
    <w:next w:val="Normal"/>
    <w:link w:val="Heading1Char"/>
    <w:qFormat/>
    <w:rsid w:val="000D58B3"/>
    <w:pPr>
      <w:keepNext/>
      <w:keepLines/>
      <w:spacing w:after="0" w:line="480" w:lineRule="auto"/>
      <w:outlineLvl w:val="0"/>
    </w:pPr>
    <w:rPr>
      <w:rFonts w:eastAsia="Times New Roman" w:cs="Times New Roman"/>
      <w:b/>
      <w:bCs/>
      <w:color w:val="000000" w:themeColor="text1"/>
      <w:szCs w:val="24"/>
      <w:u w:val="single"/>
    </w:rPr>
  </w:style>
  <w:style w:type="paragraph" w:styleId="Heading2">
    <w:name w:val="heading 2"/>
    <w:basedOn w:val="Normal"/>
    <w:next w:val="Normal"/>
    <w:link w:val="Heading2Char"/>
    <w:unhideWhenUsed/>
    <w:qFormat/>
    <w:rsid w:val="00010DAE"/>
    <w:pPr>
      <w:spacing w:before="200" w:after="0" w:line="480" w:lineRule="auto"/>
      <w:outlineLvl w:val="1"/>
    </w:pPr>
    <w:rPr>
      <w:rFonts w:ascii="Times New Roman Bold" w:eastAsiaTheme="majorEastAsia" w:hAnsi="Times New Roman Bold" w:cstheme="majorBidi"/>
      <w:b/>
      <w:bCs/>
      <w:szCs w:val="26"/>
      <w:u w:val="single"/>
    </w:rPr>
  </w:style>
  <w:style w:type="paragraph" w:styleId="Heading3">
    <w:name w:val="heading 3"/>
    <w:basedOn w:val="Normal"/>
    <w:next w:val="Normal"/>
    <w:link w:val="Heading3Char"/>
    <w:qFormat/>
    <w:rsid w:val="000A6AB3"/>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0A6AB3"/>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B64DB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0A6AB3"/>
    <w:pPr>
      <w:keepNext/>
      <w:keepLines/>
      <w:tabs>
        <w:tab w:val="left" w:pos="728"/>
      </w:tabs>
      <w:spacing w:after="0"/>
      <w:ind w:left="720" w:hanging="720"/>
      <w:jc w:val="center"/>
      <w:outlineLvl w:val="5"/>
    </w:pPr>
    <w:rPr>
      <w:rFonts w:eastAsia="Times New Roman" w:cs="Arial"/>
      <w:b/>
      <w:bCs/>
      <w:szCs w:val="24"/>
    </w:rPr>
  </w:style>
  <w:style w:type="paragraph" w:styleId="Heading7">
    <w:name w:val="heading 7"/>
    <w:basedOn w:val="Normal"/>
    <w:next w:val="Normal"/>
    <w:link w:val="Heading7Char"/>
    <w:qFormat/>
    <w:rsid w:val="000A6AB3"/>
    <w:pPr>
      <w:keepNext/>
      <w:tabs>
        <w:tab w:val="left" w:pos="728"/>
        <w:tab w:val="left" w:pos="1430"/>
        <w:tab w:val="left" w:pos="2158"/>
      </w:tabs>
      <w:spacing w:after="0"/>
      <w:jc w:val="center"/>
      <w:outlineLvl w:val="6"/>
    </w:pPr>
    <w:rPr>
      <w:rFonts w:ascii="Arial" w:eastAsia="Times New Roman" w:hAnsi="Arial" w:cs="Times New Roman"/>
      <w:b/>
      <w:bCs/>
      <w:sz w:val="22"/>
      <w:szCs w:val="20"/>
      <w:u w:val="single"/>
    </w:rPr>
  </w:style>
  <w:style w:type="paragraph" w:styleId="Heading8">
    <w:name w:val="heading 8"/>
    <w:basedOn w:val="Normal"/>
    <w:next w:val="Normal"/>
    <w:link w:val="Heading8Char"/>
    <w:qFormat/>
    <w:rsid w:val="000A6AB3"/>
    <w:pPr>
      <w:widowControl w:val="0"/>
      <w:autoSpaceDE w:val="0"/>
      <w:autoSpaceDN w:val="0"/>
      <w:spacing w:before="240" w:after="60"/>
      <w:outlineLvl w:val="7"/>
    </w:pPr>
    <w:rPr>
      <w:rFonts w:ascii="Arial" w:eastAsia="Times New Roman" w:hAnsi="Arial" w:cs="Times New Roman"/>
      <w:i/>
      <w:iCs/>
      <w:szCs w:val="20"/>
    </w:rPr>
  </w:style>
  <w:style w:type="paragraph" w:styleId="Heading9">
    <w:name w:val="heading 9"/>
    <w:basedOn w:val="Normal"/>
    <w:next w:val="Normal"/>
    <w:link w:val="Heading9Char"/>
    <w:qFormat/>
    <w:rsid w:val="000A6AB3"/>
    <w:pPr>
      <w:keepNext/>
      <w:spacing w:after="0"/>
      <w:jc w:val="center"/>
      <w:outlineLvl w:val="8"/>
    </w:pPr>
    <w:rPr>
      <w:rFonts w:ascii="Arial" w:eastAsia="Times New Roman" w:hAnsi="Arial" w:cs="Times New Roman"/>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272C05"/>
    <w:pPr>
      <w:tabs>
        <w:tab w:val="center" w:pos="4680"/>
        <w:tab w:val="right" w:pos="9360"/>
      </w:tabs>
      <w:spacing w:after="0"/>
    </w:pPr>
  </w:style>
  <w:style w:type="character" w:customStyle="1" w:styleId="HeaderChar">
    <w:name w:val="Header Char"/>
    <w:basedOn w:val="DefaultParagraphFont"/>
    <w:link w:val="Header"/>
    <w:uiPriority w:val="99"/>
    <w:rsid w:val="00272C05"/>
    <w:rPr>
      <w:rFonts w:ascii="Times New Roman" w:hAnsi="Times New Roman"/>
      <w:sz w:val="24"/>
    </w:rPr>
  </w:style>
  <w:style w:type="paragraph" w:styleId="Footer">
    <w:name w:val="footer"/>
    <w:basedOn w:val="Normal"/>
    <w:link w:val="FooterChar"/>
    <w:unhideWhenUsed/>
    <w:qFormat/>
    <w:rsid w:val="00272C05"/>
    <w:pPr>
      <w:tabs>
        <w:tab w:val="center" w:pos="4680"/>
        <w:tab w:val="right" w:pos="9360"/>
      </w:tabs>
      <w:spacing w:after="0"/>
    </w:pPr>
  </w:style>
  <w:style w:type="character" w:customStyle="1" w:styleId="FooterChar">
    <w:name w:val="Footer Char"/>
    <w:basedOn w:val="DefaultParagraphFont"/>
    <w:link w:val="Footer"/>
    <w:rsid w:val="00272C05"/>
    <w:rPr>
      <w:rFonts w:ascii="Times New Roman" w:hAnsi="Times New Roman"/>
      <w:sz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nhideWhenUsed/>
    <w:qFormat/>
    <w:rsid w:val="00C53486"/>
    <w:pPr>
      <w:spacing w:after="0"/>
      <w:ind w:left="720" w:hanging="720"/>
      <w:jc w:val="both"/>
    </w:pPr>
    <w:rPr>
      <w:sz w:val="22"/>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C53486"/>
    <w:rPr>
      <w:rFonts w:ascii="Times New Roman" w:hAnsi="Times New Roman"/>
      <w:szCs w:val="20"/>
    </w:rPr>
  </w:style>
  <w:style w:type="character" w:styleId="PageNumber">
    <w:name w:val="page number"/>
    <w:basedOn w:val="DefaultParagraphFont"/>
    <w:qFormat/>
    <w:rsid w:val="00272C05"/>
  </w:style>
  <w:style w:type="character" w:styleId="FootnoteReference">
    <w:name w:val="footnote reference"/>
    <w:aliases w:val="o,fr,Style 3,Style 21,Style 12"/>
    <w:basedOn w:val="DefaultParagraphFont"/>
    <w:rsid w:val="00272C05"/>
    <w:rPr>
      <w:vertAlign w:val="superscript"/>
    </w:rPr>
  </w:style>
  <w:style w:type="character" w:styleId="LineNumber">
    <w:name w:val="line number"/>
    <w:basedOn w:val="DefaultParagraphFont"/>
    <w:unhideWhenUsed/>
    <w:rsid w:val="00272C05"/>
  </w:style>
  <w:style w:type="paragraph" w:styleId="ListParagraph">
    <w:name w:val="List Paragraph"/>
    <w:basedOn w:val="Normal"/>
    <w:uiPriority w:val="34"/>
    <w:qFormat/>
    <w:rsid w:val="0028052F"/>
    <w:pPr>
      <w:ind w:left="720"/>
      <w:contextualSpacing/>
    </w:pPr>
  </w:style>
  <w:style w:type="character" w:styleId="CommentReference">
    <w:name w:val="annotation reference"/>
    <w:basedOn w:val="DefaultParagraphFont"/>
    <w:uiPriority w:val="99"/>
    <w:semiHidden/>
    <w:unhideWhenUsed/>
    <w:rsid w:val="00F363CB"/>
    <w:rPr>
      <w:sz w:val="16"/>
      <w:szCs w:val="16"/>
    </w:rPr>
  </w:style>
  <w:style w:type="paragraph" w:styleId="CommentText">
    <w:name w:val="annotation text"/>
    <w:basedOn w:val="Normal"/>
    <w:link w:val="CommentTextChar"/>
    <w:uiPriority w:val="99"/>
    <w:semiHidden/>
    <w:unhideWhenUsed/>
    <w:rsid w:val="00F363CB"/>
    <w:rPr>
      <w:sz w:val="20"/>
      <w:szCs w:val="20"/>
    </w:rPr>
  </w:style>
  <w:style w:type="character" w:customStyle="1" w:styleId="CommentTextChar">
    <w:name w:val="Comment Text Char"/>
    <w:basedOn w:val="DefaultParagraphFont"/>
    <w:link w:val="CommentText"/>
    <w:uiPriority w:val="99"/>
    <w:semiHidden/>
    <w:rsid w:val="00F363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363CB"/>
    <w:rPr>
      <w:b/>
      <w:bCs/>
    </w:rPr>
  </w:style>
  <w:style w:type="character" w:customStyle="1" w:styleId="CommentSubjectChar">
    <w:name w:val="Comment Subject Char"/>
    <w:basedOn w:val="CommentTextChar"/>
    <w:link w:val="CommentSubject"/>
    <w:uiPriority w:val="99"/>
    <w:semiHidden/>
    <w:rsid w:val="00F363CB"/>
    <w:rPr>
      <w:rFonts w:ascii="Times New Roman" w:hAnsi="Times New Roman"/>
      <w:b/>
      <w:bCs/>
      <w:sz w:val="20"/>
      <w:szCs w:val="20"/>
    </w:rPr>
  </w:style>
  <w:style w:type="paragraph" w:styleId="BalloonText">
    <w:name w:val="Balloon Text"/>
    <w:basedOn w:val="Normal"/>
    <w:link w:val="BalloonTextChar"/>
    <w:uiPriority w:val="99"/>
    <w:semiHidden/>
    <w:unhideWhenUsed/>
    <w:rsid w:val="00F363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3CB"/>
    <w:rPr>
      <w:rFonts w:ascii="Tahoma" w:hAnsi="Tahoma" w:cs="Tahoma"/>
      <w:sz w:val="16"/>
      <w:szCs w:val="16"/>
    </w:rPr>
  </w:style>
  <w:style w:type="paragraph" w:styleId="TOC3">
    <w:name w:val="toc 3"/>
    <w:basedOn w:val="Normal"/>
    <w:next w:val="Normal"/>
    <w:autoRedefine/>
    <w:unhideWhenUsed/>
    <w:qFormat/>
    <w:rsid w:val="000D58B3"/>
    <w:pPr>
      <w:spacing w:after="100"/>
      <w:ind w:left="480"/>
    </w:pPr>
  </w:style>
  <w:style w:type="character" w:styleId="Hyperlink">
    <w:name w:val="Hyperlink"/>
    <w:basedOn w:val="DefaultParagraphFont"/>
    <w:uiPriority w:val="99"/>
    <w:unhideWhenUsed/>
    <w:rsid w:val="000D58B3"/>
    <w:rPr>
      <w:color w:val="0000FF" w:themeColor="hyperlink"/>
      <w:u w:val="single"/>
    </w:rPr>
  </w:style>
  <w:style w:type="character" w:customStyle="1" w:styleId="Heading1Char">
    <w:name w:val="Heading 1 Char"/>
    <w:basedOn w:val="DefaultParagraphFont"/>
    <w:link w:val="Heading1"/>
    <w:rsid w:val="000D58B3"/>
    <w:rPr>
      <w:rFonts w:ascii="Times New Roman" w:eastAsia="Times New Roman" w:hAnsi="Times New Roman" w:cs="Times New Roman"/>
      <w:b/>
      <w:bCs/>
      <w:color w:val="000000" w:themeColor="text1"/>
      <w:sz w:val="24"/>
      <w:szCs w:val="24"/>
      <w:u w:val="single"/>
    </w:rPr>
  </w:style>
  <w:style w:type="paragraph" w:styleId="TOC1">
    <w:name w:val="toc 1"/>
    <w:basedOn w:val="Normal"/>
    <w:next w:val="Normal"/>
    <w:autoRedefine/>
    <w:uiPriority w:val="39"/>
    <w:unhideWhenUsed/>
    <w:qFormat/>
    <w:rsid w:val="00B23E15"/>
    <w:pPr>
      <w:suppressLineNumbers/>
      <w:tabs>
        <w:tab w:val="right" w:leader="dot" w:pos="9062"/>
      </w:tabs>
      <w:spacing w:after="0"/>
    </w:pPr>
  </w:style>
  <w:style w:type="paragraph" w:styleId="Revision">
    <w:name w:val="Revision"/>
    <w:hidden/>
    <w:uiPriority w:val="99"/>
    <w:semiHidden/>
    <w:rsid w:val="00F761FC"/>
    <w:pPr>
      <w:spacing w:after="0" w:line="240" w:lineRule="auto"/>
    </w:pPr>
    <w:rPr>
      <w:rFonts w:ascii="Times New Roman" w:hAnsi="Times New Roman"/>
      <w:sz w:val="24"/>
    </w:rPr>
  </w:style>
  <w:style w:type="table" w:styleId="TableGrid">
    <w:name w:val="Table Grid"/>
    <w:basedOn w:val="TableNormal"/>
    <w:uiPriority w:val="59"/>
    <w:rsid w:val="0018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010DAE"/>
    <w:rPr>
      <w:rFonts w:ascii="Times New Roman Bold" w:eastAsiaTheme="majorEastAsia" w:hAnsi="Times New Roman Bold" w:cstheme="majorBidi"/>
      <w:b/>
      <w:bCs/>
      <w:sz w:val="24"/>
      <w:szCs w:val="26"/>
      <w:u w:val="single"/>
    </w:rPr>
  </w:style>
  <w:style w:type="paragraph" w:styleId="BodyTextIndent2">
    <w:name w:val="Body Text Indent 2"/>
    <w:basedOn w:val="Normal"/>
    <w:link w:val="BodyTextIndent2Char"/>
    <w:semiHidden/>
    <w:rsid w:val="008D4F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720" w:firstLine="720"/>
      <w:jc w:val="both"/>
    </w:pPr>
    <w:rPr>
      <w:rFonts w:ascii="Arial" w:eastAsia="Times New Roman" w:hAnsi="Arial" w:cs="Times New Roman"/>
      <w:sz w:val="22"/>
      <w:szCs w:val="20"/>
    </w:rPr>
  </w:style>
  <w:style w:type="character" w:customStyle="1" w:styleId="BodyTextIndent2Char">
    <w:name w:val="Body Text Indent 2 Char"/>
    <w:basedOn w:val="DefaultParagraphFont"/>
    <w:link w:val="BodyTextIndent2"/>
    <w:semiHidden/>
    <w:rsid w:val="008D4F16"/>
    <w:rPr>
      <w:rFonts w:ascii="Arial" w:eastAsia="Times New Roman" w:hAnsi="Arial" w:cs="Times New Roman"/>
      <w:szCs w:val="20"/>
    </w:rPr>
  </w:style>
  <w:style w:type="character" w:customStyle="1" w:styleId="Heading5Char">
    <w:name w:val="Heading 5 Char"/>
    <w:basedOn w:val="DefaultParagraphFont"/>
    <w:link w:val="Heading5"/>
    <w:rsid w:val="00B64DB3"/>
    <w:rPr>
      <w:rFonts w:asciiTheme="majorHAnsi" w:eastAsiaTheme="majorEastAsia" w:hAnsiTheme="majorHAnsi" w:cstheme="majorBidi"/>
      <w:color w:val="243F60" w:themeColor="accent1" w:themeShade="7F"/>
      <w:sz w:val="24"/>
    </w:rPr>
  </w:style>
  <w:style w:type="paragraph" w:styleId="BlockText">
    <w:name w:val="Block Text"/>
    <w:basedOn w:val="Normal"/>
    <w:semiHidden/>
    <w:rsid w:val="00B64DB3"/>
    <w:pPr>
      <w:spacing w:after="0"/>
      <w:ind w:left="1440" w:right="720"/>
      <w:jc w:val="both"/>
    </w:pPr>
    <w:rPr>
      <w:rFonts w:ascii="Arial" w:eastAsia="Times New Roman" w:hAnsi="Arial" w:cs="Times New Roman"/>
      <w:sz w:val="22"/>
      <w:szCs w:val="20"/>
    </w:rPr>
  </w:style>
  <w:style w:type="paragraph" w:styleId="TOC2">
    <w:name w:val="toc 2"/>
    <w:basedOn w:val="Normal"/>
    <w:next w:val="Normal"/>
    <w:autoRedefine/>
    <w:uiPriority w:val="39"/>
    <w:unhideWhenUsed/>
    <w:qFormat/>
    <w:rsid w:val="006015D4"/>
    <w:pPr>
      <w:spacing w:after="100"/>
      <w:ind w:left="240"/>
    </w:pPr>
  </w:style>
  <w:style w:type="paragraph" w:styleId="BodyTextIndent">
    <w:name w:val="Body Text Indent"/>
    <w:basedOn w:val="Normal"/>
    <w:link w:val="BodyTextIndentChar"/>
    <w:semiHidden/>
    <w:rsid w:val="00615DEE"/>
    <w:pPr>
      <w:spacing w:after="0" w:line="480" w:lineRule="auto"/>
      <w:ind w:left="720" w:firstLine="720"/>
      <w:jc w:val="both"/>
    </w:pPr>
    <w:rPr>
      <w:rFonts w:ascii="Arial" w:eastAsia="Times New Roman" w:hAnsi="Arial" w:cs="Times New Roman"/>
      <w:sz w:val="22"/>
      <w:szCs w:val="20"/>
    </w:rPr>
  </w:style>
  <w:style w:type="character" w:customStyle="1" w:styleId="BodyTextIndentChar">
    <w:name w:val="Body Text Indent Char"/>
    <w:basedOn w:val="DefaultParagraphFont"/>
    <w:link w:val="BodyTextIndent"/>
    <w:semiHidden/>
    <w:rsid w:val="00615DEE"/>
    <w:rPr>
      <w:rFonts w:ascii="Arial" w:eastAsia="Times New Roman" w:hAnsi="Arial" w:cs="Times New Roman"/>
      <w:szCs w:val="20"/>
    </w:rPr>
  </w:style>
  <w:style w:type="paragraph" w:customStyle="1" w:styleId="SingleSpacing">
    <w:name w:val="Single Spacing"/>
    <w:basedOn w:val="Normal"/>
    <w:rsid w:val="00DA3E89"/>
    <w:pPr>
      <w:spacing w:after="0" w:line="254" w:lineRule="exact"/>
    </w:pPr>
    <w:rPr>
      <w:rFonts w:eastAsia="Times New Roman" w:cs="Times New Roman"/>
      <w:szCs w:val="20"/>
    </w:rPr>
  </w:style>
  <w:style w:type="character" w:customStyle="1" w:styleId="Heading3Char">
    <w:name w:val="Heading 3 Char"/>
    <w:basedOn w:val="DefaultParagraphFont"/>
    <w:link w:val="Heading3"/>
    <w:rsid w:val="000A6AB3"/>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0A6AB3"/>
    <w:rPr>
      <w:rFonts w:ascii="Calibri" w:eastAsia="Times New Roman" w:hAnsi="Calibri" w:cs="Times New Roman"/>
      <w:b/>
      <w:bCs/>
      <w:sz w:val="28"/>
      <w:szCs w:val="28"/>
    </w:rPr>
  </w:style>
  <w:style w:type="character" w:customStyle="1" w:styleId="Heading6Char">
    <w:name w:val="Heading 6 Char"/>
    <w:basedOn w:val="DefaultParagraphFont"/>
    <w:link w:val="Heading6"/>
    <w:rsid w:val="000A6AB3"/>
    <w:rPr>
      <w:rFonts w:ascii="Times New Roman" w:eastAsia="Times New Roman" w:hAnsi="Times New Roman" w:cs="Arial"/>
      <w:b/>
      <w:bCs/>
      <w:sz w:val="24"/>
      <w:szCs w:val="24"/>
    </w:rPr>
  </w:style>
  <w:style w:type="character" w:customStyle="1" w:styleId="Heading7Char">
    <w:name w:val="Heading 7 Char"/>
    <w:basedOn w:val="DefaultParagraphFont"/>
    <w:link w:val="Heading7"/>
    <w:rsid w:val="000A6AB3"/>
    <w:rPr>
      <w:rFonts w:ascii="Arial" w:eastAsia="Times New Roman" w:hAnsi="Arial" w:cs="Times New Roman"/>
      <w:b/>
      <w:bCs/>
      <w:szCs w:val="20"/>
      <w:u w:val="single"/>
    </w:rPr>
  </w:style>
  <w:style w:type="character" w:customStyle="1" w:styleId="Heading8Char">
    <w:name w:val="Heading 8 Char"/>
    <w:basedOn w:val="DefaultParagraphFont"/>
    <w:link w:val="Heading8"/>
    <w:rsid w:val="000A6AB3"/>
    <w:rPr>
      <w:rFonts w:ascii="Arial" w:eastAsia="Times New Roman" w:hAnsi="Arial" w:cs="Times New Roman"/>
      <w:i/>
      <w:iCs/>
      <w:sz w:val="24"/>
      <w:szCs w:val="20"/>
    </w:rPr>
  </w:style>
  <w:style w:type="character" w:customStyle="1" w:styleId="Heading9Char">
    <w:name w:val="Heading 9 Char"/>
    <w:basedOn w:val="DefaultParagraphFont"/>
    <w:link w:val="Heading9"/>
    <w:rsid w:val="000A6AB3"/>
    <w:rPr>
      <w:rFonts w:ascii="Arial" w:eastAsia="Times New Roman" w:hAnsi="Arial" w:cs="Times New Roman"/>
      <w:b/>
      <w:bCs/>
      <w:szCs w:val="20"/>
    </w:rPr>
  </w:style>
  <w:style w:type="paragraph" w:styleId="Title">
    <w:name w:val="Title"/>
    <w:basedOn w:val="Normal"/>
    <w:link w:val="TitleChar"/>
    <w:qFormat/>
    <w:rsid w:val="000A6AB3"/>
    <w:pPr>
      <w:spacing w:after="0"/>
      <w:jc w:val="center"/>
    </w:pPr>
    <w:rPr>
      <w:rFonts w:ascii="Arial" w:eastAsia="Times New Roman" w:hAnsi="Arial" w:cs="Times New Roman"/>
      <w:b/>
      <w:szCs w:val="20"/>
    </w:rPr>
  </w:style>
  <w:style w:type="character" w:customStyle="1" w:styleId="TitleChar">
    <w:name w:val="Title Char"/>
    <w:basedOn w:val="DefaultParagraphFont"/>
    <w:link w:val="Title"/>
    <w:rsid w:val="000A6AB3"/>
    <w:rPr>
      <w:rFonts w:ascii="Arial" w:eastAsia="Times New Roman" w:hAnsi="Arial" w:cs="Times New Roman"/>
      <w:b/>
      <w:sz w:val="24"/>
      <w:szCs w:val="20"/>
    </w:rPr>
  </w:style>
  <w:style w:type="paragraph" w:styleId="BodyText">
    <w:name w:val="Body Text"/>
    <w:basedOn w:val="Normal"/>
    <w:link w:val="BodyTextChar"/>
    <w:qFormat/>
    <w:rsid w:val="000A6AB3"/>
    <w:pPr>
      <w:spacing w:after="0" w:line="480" w:lineRule="auto"/>
    </w:pPr>
    <w:rPr>
      <w:rFonts w:ascii="Arial" w:eastAsia="Times New Roman" w:hAnsi="Arial" w:cs="Times New Roman"/>
      <w:b/>
      <w:caps/>
      <w:sz w:val="22"/>
      <w:szCs w:val="20"/>
    </w:rPr>
  </w:style>
  <w:style w:type="character" w:customStyle="1" w:styleId="BodyTextChar">
    <w:name w:val="Body Text Char"/>
    <w:basedOn w:val="DefaultParagraphFont"/>
    <w:link w:val="BodyText"/>
    <w:rsid w:val="000A6AB3"/>
    <w:rPr>
      <w:rFonts w:ascii="Arial" w:eastAsia="Times New Roman" w:hAnsi="Arial" w:cs="Times New Roman"/>
      <w:b/>
      <w:caps/>
      <w:szCs w:val="20"/>
    </w:rPr>
  </w:style>
  <w:style w:type="paragraph" w:customStyle="1" w:styleId="TestimonyQ">
    <w:name w:val="Testimony Q"/>
    <w:basedOn w:val="Normal"/>
    <w:rsid w:val="000A6AB3"/>
    <w:pPr>
      <w:widowControl w:val="0"/>
      <w:tabs>
        <w:tab w:val="left" w:pos="-1440"/>
      </w:tabs>
      <w:spacing w:after="0" w:line="480" w:lineRule="auto"/>
      <w:ind w:left="720" w:hanging="720"/>
      <w:jc w:val="both"/>
    </w:pPr>
    <w:rPr>
      <w:rFonts w:ascii="Arial" w:eastAsia="Times New Roman" w:hAnsi="Arial" w:cs="Times New Roman"/>
      <w:b/>
      <w:caps/>
      <w:snapToGrid w:val="0"/>
      <w:sz w:val="22"/>
      <w:szCs w:val="20"/>
    </w:rPr>
  </w:style>
  <w:style w:type="paragraph" w:styleId="BodyTextIndent3">
    <w:name w:val="Body Text Indent 3"/>
    <w:basedOn w:val="Normal"/>
    <w:link w:val="BodyTextIndent3Char"/>
    <w:semiHidden/>
    <w:rsid w:val="000A6AB3"/>
    <w:pPr>
      <w:tabs>
        <w:tab w:val="left" w:pos="-1440"/>
      </w:tabs>
      <w:spacing w:after="0" w:line="480" w:lineRule="auto"/>
      <w:ind w:left="720" w:hanging="720"/>
      <w:jc w:val="both"/>
    </w:pPr>
    <w:rPr>
      <w:rFonts w:ascii="Arial" w:eastAsia="Times New Roman" w:hAnsi="Arial" w:cs="Times New Roman"/>
      <w:b/>
      <w:bCs/>
      <w:sz w:val="22"/>
      <w:szCs w:val="20"/>
    </w:rPr>
  </w:style>
  <w:style w:type="character" w:customStyle="1" w:styleId="BodyTextIndent3Char">
    <w:name w:val="Body Text Indent 3 Char"/>
    <w:basedOn w:val="DefaultParagraphFont"/>
    <w:link w:val="BodyTextIndent3"/>
    <w:semiHidden/>
    <w:rsid w:val="000A6AB3"/>
    <w:rPr>
      <w:rFonts w:ascii="Arial" w:eastAsia="Times New Roman" w:hAnsi="Arial" w:cs="Times New Roman"/>
      <w:b/>
      <w:bCs/>
      <w:szCs w:val="20"/>
    </w:rPr>
  </w:style>
  <w:style w:type="paragraph" w:styleId="BodyText2">
    <w:name w:val="Body Text 2"/>
    <w:basedOn w:val="Normal"/>
    <w:link w:val="BodyText2Char"/>
    <w:uiPriority w:val="99"/>
    <w:unhideWhenUsed/>
    <w:rsid w:val="000A6AB3"/>
    <w:pPr>
      <w:spacing w:after="120" w:line="480" w:lineRule="auto"/>
    </w:pPr>
    <w:rPr>
      <w:rFonts w:ascii="Arial" w:eastAsia="Times New Roman" w:hAnsi="Arial" w:cs="Times New Roman"/>
      <w:sz w:val="22"/>
      <w:szCs w:val="20"/>
    </w:rPr>
  </w:style>
  <w:style w:type="character" w:customStyle="1" w:styleId="BodyText2Char">
    <w:name w:val="Body Text 2 Char"/>
    <w:basedOn w:val="DefaultParagraphFont"/>
    <w:link w:val="BodyText2"/>
    <w:uiPriority w:val="99"/>
    <w:rsid w:val="000A6AB3"/>
    <w:rPr>
      <w:rFonts w:ascii="Arial" w:eastAsia="Times New Roman" w:hAnsi="Arial" w:cs="Times New Roman"/>
      <w:szCs w:val="20"/>
    </w:rPr>
  </w:style>
  <w:style w:type="paragraph" w:customStyle="1" w:styleId="Default">
    <w:name w:val="Default"/>
    <w:rsid w:val="000A6AB3"/>
    <w:pPr>
      <w:autoSpaceDE w:val="0"/>
      <w:autoSpaceDN w:val="0"/>
      <w:adjustRightInd w:val="0"/>
      <w:spacing w:after="0" w:line="240" w:lineRule="auto"/>
    </w:pPr>
    <w:rPr>
      <w:rFonts w:ascii="Cambria" w:eastAsia="Times New Roman" w:hAnsi="Cambria" w:cs="Cambria"/>
      <w:color w:val="000000"/>
      <w:sz w:val="24"/>
      <w:szCs w:val="24"/>
    </w:rPr>
  </w:style>
  <w:style w:type="character" w:styleId="Strong">
    <w:name w:val="Strong"/>
    <w:basedOn w:val="DefaultParagraphFont"/>
    <w:qFormat/>
    <w:rsid w:val="000A6AB3"/>
    <w:rPr>
      <w:b/>
      <w:bCs/>
    </w:rPr>
  </w:style>
  <w:style w:type="paragraph" w:styleId="Caption">
    <w:name w:val="caption"/>
    <w:basedOn w:val="Normal"/>
    <w:next w:val="Normal"/>
    <w:qFormat/>
    <w:rsid w:val="000A6AB3"/>
    <w:pPr>
      <w:spacing w:before="120" w:after="120"/>
    </w:pPr>
    <w:rPr>
      <w:rFonts w:ascii="Arial" w:eastAsia="Times New Roman" w:hAnsi="Arial" w:cs="Times New Roman"/>
      <w:b/>
      <w:bCs/>
      <w:sz w:val="20"/>
      <w:szCs w:val="20"/>
    </w:rPr>
  </w:style>
  <w:style w:type="paragraph" w:customStyle="1" w:styleId="Question">
    <w:name w:val="Question"/>
    <w:basedOn w:val="Normal"/>
    <w:next w:val="Normal"/>
    <w:rsid w:val="000A6AB3"/>
    <w:pPr>
      <w:keepNext/>
      <w:keepLines/>
      <w:ind w:left="720" w:hanging="720"/>
      <w:jc w:val="both"/>
    </w:pPr>
    <w:rPr>
      <w:rFonts w:ascii="Times New Roman Bold" w:eastAsia="Times New Roman" w:hAnsi="Times New Roman Bold" w:cs="Times New Roman"/>
      <w:b/>
      <w:caps/>
      <w:szCs w:val="24"/>
    </w:rPr>
  </w:style>
  <w:style w:type="numbering" w:customStyle="1" w:styleId="NoList1">
    <w:name w:val="No List1"/>
    <w:next w:val="NoList"/>
    <w:uiPriority w:val="99"/>
    <w:semiHidden/>
    <w:unhideWhenUsed/>
    <w:rsid w:val="000A6AB3"/>
  </w:style>
  <w:style w:type="table" w:customStyle="1" w:styleId="TableGrid1">
    <w:name w:val="Table Grid1"/>
    <w:basedOn w:val="TableNormal"/>
    <w:next w:val="TableGrid"/>
    <w:uiPriority w:val="59"/>
    <w:rsid w:val="000A6AB3"/>
    <w:pPr>
      <w:spacing w:after="0" w:line="240" w:lineRule="auto"/>
    </w:pPr>
    <w:rPr>
      <w:rFonts w:ascii="Arial" w:eastAsia="Times New Roman" w:hAnsi="Arial"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question0">
    <w:name w:val="question"/>
    <w:basedOn w:val="Normal"/>
    <w:next w:val="Normal"/>
    <w:autoRedefine/>
    <w:rsid w:val="000A6AB3"/>
    <w:pPr>
      <w:keepNext/>
      <w:keepLines/>
      <w:overflowPunct w:val="0"/>
      <w:autoSpaceDE w:val="0"/>
      <w:autoSpaceDN w:val="0"/>
      <w:adjustRightInd w:val="0"/>
      <w:spacing w:after="120"/>
      <w:ind w:left="720" w:hanging="720"/>
      <w:jc w:val="both"/>
      <w:textAlignment w:val="baseline"/>
    </w:pPr>
    <w:rPr>
      <w:rFonts w:eastAsia="Times New Roman" w:cs="Times New Roman"/>
      <w:b/>
      <w:spacing w:val="10"/>
      <w:szCs w:val="24"/>
    </w:rPr>
  </w:style>
  <w:style w:type="paragraph" w:customStyle="1" w:styleId="Answer">
    <w:name w:val="Answer"/>
    <w:basedOn w:val="Normal"/>
    <w:next w:val="Normal"/>
    <w:link w:val="AnswerChar"/>
    <w:qFormat/>
    <w:rsid w:val="000A6AB3"/>
    <w:pPr>
      <w:overflowPunct w:val="0"/>
      <w:autoSpaceDE w:val="0"/>
      <w:autoSpaceDN w:val="0"/>
      <w:adjustRightInd w:val="0"/>
      <w:spacing w:line="480" w:lineRule="auto"/>
      <w:ind w:left="720" w:hanging="720"/>
      <w:jc w:val="both"/>
      <w:textAlignment w:val="baseline"/>
    </w:pPr>
    <w:rPr>
      <w:rFonts w:eastAsia="Times New Roman" w:cs="Times New Roman"/>
      <w:spacing w:val="10"/>
      <w:szCs w:val="24"/>
    </w:rPr>
  </w:style>
  <w:style w:type="character" w:customStyle="1" w:styleId="AnswerChar">
    <w:name w:val="Answer Char"/>
    <w:link w:val="Answer"/>
    <w:rsid w:val="000A6AB3"/>
    <w:rPr>
      <w:rFonts w:ascii="Times New Roman" w:eastAsia="Times New Roman" w:hAnsi="Times New Roman" w:cs="Times New Roman"/>
      <w:spacing w:val="10"/>
      <w:sz w:val="24"/>
      <w:szCs w:val="24"/>
    </w:rPr>
  </w:style>
  <w:style w:type="numbering" w:customStyle="1" w:styleId="NoList11">
    <w:name w:val="No List11"/>
    <w:next w:val="NoList"/>
    <w:uiPriority w:val="99"/>
    <w:semiHidden/>
    <w:unhideWhenUsed/>
    <w:rsid w:val="000A6AB3"/>
  </w:style>
  <w:style w:type="paragraph" w:styleId="TOC4">
    <w:name w:val="toc 4"/>
    <w:basedOn w:val="Normal"/>
    <w:next w:val="Normal"/>
    <w:autoRedefine/>
    <w:semiHidden/>
    <w:qFormat/>
    <w:rsid w:val="000A6AB3"/>
    <w:pPr>
      <w:widowControl w:val="0"/>
      <w:autoSpaceDE w:val="0"/>
      <w:autoSpaceDN w:val="0"/>
      <w:spacing w:after="0"/>
      <w:ind w:left="600"/>
    </w:pPr>
    <w:rPr>
      <w:rFonts w:eastAsia="Times New Roman" w:cs="Courier New"/>
      <w:szCs w:val="20"/>
    </w:rPr>
  </w:style>
  <w:style w:type="paragraph" w:styleId="TOC5">
    <w:name w:val="toc 5"/>
    <w:basedOn w:val="Normal"/>
    <w:next w:val="Normal"/>
    <w:autoRedefine/>
    <w:semiHidden/>
    <w:qFormat/>
    <w:rsid w:val="000A6AB3"/>
    <w:pPr>
      <w:widowControl w:val="0"/>
      <w:autoSpaceDE w:val="0"/>
      <w:autoSpaceDN w:val="0"/>
      <w:spacing w:after="0"/>
      <w:ind w:left="800"/>
    </w:pPr>
    <w:rPr>
      <w:rFonts w:eastAsia="Times New Roman" w:cs="Courier New"/>
      <w:szCs w:val="20"/>
    </w:rPr>
  </w:style>
  <w:style w:type="paragraph" w:styleId="TOC6">
    <w:name w:val="toc 6"/>
    <w:basedOn w:val="Normal"/>
    <w:next w:val="Normal"/>
    <w:autoRedefine/>
    <w:semiHidden/>
    <w:qFormat/>
    <w:rsid w:val="000A6AB3"/>
    <w:pPr>
      <w:widowControl w:val="0"/>
      <w:autoSpaceDE w:val="0"/>
      <w:autoSpaceDN w:val="0"/>
      <w:spacing w:after="0"/>
      <w:ind w:left="1000"/>
    </w:pPr>
    <w:rPr>
      <w:rFonts w:eastAsia="Times New Roman" w:cs="Courier New"/>
      <w:szCs w:val="20"/>
    </w:rPr>
  </w:style>
  <w:style w:type="paragraph" w:styleId="TOC7">
    <w:name w:val="toc 7"/>
    <w:basedOn w:val="Normal"/>
    <w:next w:val="Normal"/>
    <w:autoRedefine/>
    <w:semiHidden/>
    <w:qFormat/>
    <w:rsid w:val="000A6AB3"/>
    <w:pPr>
      <w:widowControl w:val="0"/>
      <w:autoSpaceDE w:val="0"/>
      <w:autoSpaceDN w:val="0"/>
      <w:spacing w:after="0"/>
      <w:ind w:left="1200"/>
    </w:pPr>
    <w:rPr>
      <w:rFonts w:eastAsia="Times New Roman" w:cs="Courier New"/>
      <w:szCs w:val="20"/>
    </w:rPr>
  </w:style>
  <w:style w:type="paragraph" w:styleId="TOC8">
    <w:name w:val="toc 8"/>
    <w:basedOn w:val="Normal"/>
    <w:next w:val="Normal"/>
    <w:autoRedefine/>
    <w:semiHidden/>
    <w:qFormat/>
    <w:rsid w:val="000A6AB3"/>
    <w:pPr>
      <w:widowControl w:val="0"/>
      <w:autoSpaceDE w:val="0"/>
      <w:autoSpaceDN w:val="0"/>
      <w:spacing w:after="0"/>
      <w:ind w:left="1400"/>
    </w:pPr>
    <w:rPr>
      <w:rFonts w:eastAsia="Times New Roman" w:cs="Courier New"/>
      <w:szCs w:val="20"/>
    </w:rPr>
  </w:style>
  <w:style w:type="paragraph" w:styleId="TOC9">
    <w:name w:val="toc 9"/>
    <w:basedOn w:val="Normal"/>
    <w:next w:val="Normal"/>
    <w:autoRedefine/>
    <w:semiHidden/>
    <w:qFormat/>
    <w:rsid w:val="000A6AB3"/>
    <w:pPr>
      <w:widowControl w:val="0"/>
      <w:autoSpaceDE w:val="0"/>
      <w:autoSpaceDN w:val="0"/>
      <w:spacing w:after="0"/>
      <w:ind w:left="1600"/>
    </w:pPr>
    <w:rPr>
      <w:rFonts w:eastAsia="Times New Roman" w:cs="Courier New"/>
      <w:szCs w:val="20"/>
    </w:rPr>
  </w:style>
  <w:style w:type="paragraph" w:styleId="BodyText3">
    <w:name w:val="Body Text 3"/>
    <w:basedOn w:val="BodyText"/>
    <w:link w:val="BodyText3Char"/>
    <w:semiHidden/>
    <w:rsid w:val="000A6AB3"/>
    <w:pPr>
      <w:spacing w:before="240"/>
      <w:ind w:left="720"/>
      <w:jc w:val="both"/>
    </w:pPr>
    <w:rPr>
      <w:rFonts w:ascii="Times New Roman" w:hAnsi="Times New Roman"/>
      <w:b w:val="0"/>
      <w:caps w:val="0"/>
      <w:sz w:val="24"/>
      <w:szCs w:val="24"/>
    </w:rPr>
  </w:style>
  <w:style w:type="character" w:customStyle="1" w:styleId="BodyText3Char">
    <w:name w:val="Body Text 3 Char"/>
    <w:basedOn w:val="DefaultParagraphFont"/>
    <w:link w:val="BodyText3"/>
    <w:semiHidden/>
    <w:rsid w:val="000A6AB3"/>
    <w:rPr>
      <w:rFonts w:ascii="Times New Roman" w:eastAsia="Times New Roman" w:hAnsi="Times New Roman" w:cs="Times New Roman"/>
      <w:sz w:val="24"/>
      <w:szCs w:val="24"/>
    </w:rPr>
  </w:style>
  <w:style w:type="paragraph" w:customStyle="1" w:styleId="Blockquote">
    <w:name w:val="Blockquote"/>
    <w:basedOn w:val="Normal"/>
    <w:rsid w:val="000A6AB3"/>
    <w:pPr>
      <w:ind w:left="1440" w:right="720"/>
      <w:jc w:val="both"/>
    </w:pPr>
    <w:rPr>
      <w:rFonts w:eastAsia="Times New Roman" w:cs="Times New Roman"/>
      <w:szCs w:val="24"/>
    </w:rPr>
  </w:style>
  <w:style w:type="character" w:customStyle="1" w:styleId="BalloonTextChar1">
    <w:name w:val="Balloon Text Char1"/>
    <w:uiPriority w:val="99"/>
    <w:semiHidden/>
    <w:rsid w:val="000A6AB3"/>
    <w:rPr>
      <w:rFonts w:ascii="Tahoma" w:hAnsi="Tahoma" w:cs="Tahoma"/>
      <w:sz w:val="16"/>
      <w:szCs w:val="16"/>
    </w:rPr>
  </w:style>
  <w:style w:type="paragraph" w:customStyle="1" w:styleId="a">
    <w:name w:val="_"/>
    <w:basedOn w:val="Normal"/>
    <w:rsid w:val="000A6AB3"/>
    <w:pPr>
      <w:widowControl w:val="0"/>
      <w:autoSpaceDE w:val="0"/>
      <w:autoSpaceDN w:val="0"/>
      <w:adjustRightInd w:val="0"/>
      <w:spacing w:after="0"/>
      <w:ind w:left="2880" w:hanging="720"/>
    </w:pPr>
    <w:rPr>
      <w:rFonts w:eastAsia="Times New Roman" w:cs="Times New Roman"/>
      <w:sz w:val="20"/>
      <w:szCs w:val="24"/>
    </w:rPr>
  </w:style>
  <w:style w:type="character" w:customStyle="1" w:styleId="DocID">
    <w:name w:val="DocID"/>
    <w:rsid w:val="000A6AB3"/>
    <w:rPr>
      <w:sz w:val="16"/>
    </w:rPr>
  </w:style>
  <w:style w:type="paragraph" w:customStyle="1" w:styleId="DocIDPara">
    <w:name w:val="DocIDPara"/>
    <w:rsid w:val="000A6AB3"/>
    <w:pPr>
      <w:spacing w:after="0" w:line="240" w:lineRule="auto"/>
    </w:pPr>
    <w:rPr>
      <w:rFonts w:ascii="Times New Roman" w:eastAsia="Times New Roman" w:hAnsi="Times New Roman" w:cs="Times New Roman"/>
      <w:sz w:val="20"/>
      <w:szCs w:val="20"/>
    </w:rPr>
  </w:style>
  <w:style w:type="paragraph" w:customStyle="1" w:styleId="StyleJustified">
    <w:name w:val="Style Justified"/>
    <w:basedOn w:val="Normal"/>
    <w:rsid w:val="000A6AB3"/>
    <w:pPr>
      <w:spacing w:after="0" w:line="480" w:lineRule="auto"/>
      <w:jc w:val="both"/>
    </w:pPr>
    <w:rPr>
      <w:rFonts w:eastAsia="Times New Roman" w:cs="Times New Roman"/>
      <w:szCs w:val="20"/>
    </w:rPr>
  </w:style>
  <w:style w:type="character" w:customStyle="1" w:styleId="zzmpTrailerItem">
    <w:name w:val="zzmpTrailerItem"/>
    <w:rsid w:val="000A6AB3"/>
    <w:rPr>
      <w:rFonts w:ascii="Arial" w:hAnsi="Arial" w:cs="Arial"/>
      <w:b w:val="0"/>
      <w:i w:val="0"/>
      <w:caps w:val="0"/>
      <w:smallCaps w:val="0"/>
      <w:dstrike w:val="0"/>
      <w:shadow w:val="0"/>
      <w:emboss w:val="0"/>
      <w:imprint w:val="0"/>
      <w:noProof/>
      <w:vanish w:val="0"/>
      <w:color w:val="auto"/>
      <w:spacing w:val="0"/>
      <w:position w:val="0"/>
      <w:sz w:val="16"/>
      <w:u w:val="none"/>
      <w:effect w:val="none"/>
      <w:vertAlign w:val="baseline"/>
    </w:rPr>
  </w:style>
  <w:style w:type="character" w:styleId="Emphasis">
    <w:name w:val="Emphasis"/>
    <w:qFormat/>
    <w:rsid w:val="000A6AB3"/>
    <w:rPr>
      <w:b/>
      <w:bCs/>
      <w:i w:val="0"/>
      <w:iCs w:val="0"/>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 Char1 Char Char1,Footnote Text Char1 Char1 Char Char1"/>
    <w:locked/>
    <w:rsid w:val="000A6AB3"/>
    <w:rPr>
      <w:rFonts w:ascii="Arial" w:hAnsi="Arial" w:cs="Times New Roman"/>
      <w:lang w:val="en-US" w:eastAsia="en-US" w:bidi="ar-SA"/>
    </w:rPr>
  </w:style>
  <w:style w:type="paragraph" w:customStyle="1" w:styleId="center">
    <w:name w:val="center"/>
    <w:basedOn w:val="Normal"/>
    <w:rsid w:val="000A6AB3"/>
    <w:pPr>
      <w:keepLines/>
      <w:spacing w:before="240" w:after="0" w:line="240" w:lineRule="atLeast"/>
      <w:jc w:val="center"/>
    </w:pPr>
    <w:rPr>
      <w:rFonts w:eastAsia="Times New Roman" w:cs="Times New Roman"/>
      <w:szCs w:val="20"/>
      <w:lang w:eastAsia="zh-CN"/>
    </w:rPr>
  </w:style>
  <w:style w:type="numbering" w:customStyle="1" w:styleId="NoList2">
    <w:name w:val="No List2"/>
    <w:next w:val="NoList"/>
    <w:uiPriority w:val="99"/>
    <w:semiHidden/>
    <w:unhideWhenUsed/>
    <w:rsid w:val="000A6AB3"/>
  </w:style>
  <w:style w:type="paragraph" w:customStyle="1" w:styleId="ColorfulList-Accent11">
    <w:name w:val="Colorful List - Accent 11"/>
    <w:basedOn w:val="Normal"/>
    <w:uiPriority w:val="34"/>
    <w:qFormat/>
    <w:rsid w:val="000A6AB3"/>
    <w:pPr>
      <w:spacing w:after="200" w:line="276" w:lineRule="auto"/>
      <w:ind w:left="720"/>
      <w:contextualSpacing/>
    </w:pPr>
    <w:rPr>
      <w:rFonts w:ascii="Arial" w:eastAsia="Times New Roman" w:hAnsi="Arial" w:cs="Times New Roman"/>
      <w:sz w:val="22"/>
    </w:rPr>
  </w:style>
  <w:style w:type="character" w:customStyle="1" w:styleId="CommentTextChar1">
    <w:name w:val="Comment Text Char1"/>
    <w:basedOn w:val="DefaultParagraphFont"/>
    <w:uiPriority w:val="99"/>
    <w:semiHidden/>
    <w:rsid w:val="000A6AB3"/>
  </w:style>
  <w:style w:type="character" w:customStyle="1" w:styleId="CommentSubjectChar1">
    <w:name w:val="Comment Subject Char1"/>
    <w:uiPriority w:val="99"/>
    <w:semiHidden/>
    <w:rsid w:val="000A6AB3"/>
    <w:rPr>
      <w:b/>
      <w:bCs/>
    </w:rPr>
  </w:style>
  <w:style w:type="numbering" w:customStyle="1" w:styleId="NoList111">
    <w:name w:val="No List111"/>
    <w:next w:val="NoList"/>
    <w:uiPriority w:val="99"/>
    <w:semiHidden/>
    <w:unhideWhenUsed/>
    <w:rsid w:val="000A6AB3"/>
  </w:style>
  <w:style w:type="numbering" w:customStyle="1" w:styleId="NoList1111">
    <w:name w:val="No List1111"/>
    <w:next w:val="NoList"/>
    <w:uiPriority w:val="99"/>
    <w:semiHidden/>
    <w:unhideWhenUsed/>
    <w:rsid w:val="000A6AB3"/>
  </w:style>
  <w:style w:type="paragraph" w:styleId="TOCHeading">
    <w:name w:val="TOC Heading"/>
    <w:basedOn w:val="Heading1"/>
    <w:next w:val="Normal"/>
    <w:uiPriority w:val="39"/>
    <w:semiHidden/>
    <w:unhideWhenUsed/>
    <w:qFormat/>
    <w:rsid w:val="000A6AB3"/>
    <w:pPr>
      <w:spacing w:before="480" w:line="276" w:lineRule="auto"/>
      <w:outlineLvl w:val="9"/>
    </w:pPr>
    <w:rPr>
      <w:rFonts w:ascii="Cambria" w:eastAsia="MS Gothic" w:hAnsi="Cambria"/>
      <w:color w:val="365F91"/>
      <w:sz w:val="28"/>
      <w:szCs w:val="28"/>
      <w:u w:val="none"/>
      <w:lang w:eastAsia="ja-JP"/>
    </w:rPr>
  </w:style>
  <w:style w:type="paragraph" w:customStyle="1" w:styleId="BodyLeft">
    <w:name w:val="Body Left"/>
    <w:basedOn w:val="BodyText"/>
    <w:uiPriority w:val="18"/>
    <w:qFormat/>
    <w:rsid w:val="000A6AB3"/>
    <w:pPr>
      <w:spacing w:after="240" w:line="240" w:lineRule="auto"/>
    </w:pPr>
    <w:rPr>
      <w:rFonts w:ascii="Times New Roman" w:hAnsi="Times New Roman"/>
      <w:b w:val="0"/>
      <w:caps w:val="0"/>
      <w:sz w:val="24"/>
      <w:szCs w:val="24"/>
    </w:rPr>
  </w:style>
  <w:style w:type="paragraph" w:customStyle="1" w:styleId="CenteredCaption">
    <w:name w:val="Centered Caption"/>
    <w:basedOn w:val="Normal"/>
    <w:next w:val="BodyText"/>
    <w:uiPriority w:val="1"/>
    <w:qFormat/>
    <w:rsid w:val="000A6AB3"/>
    <w:pPr>
      <w:keepNext/>
      <w:jc w:val="center"/>
    </w:pPr>
    <w:rPr>
      <w:rFonts w:eastAsia="Times New Roman" w:cs="Times New Roman"/>
      <w:b/>
      <w:smallCaps/>
      <w:sz w:val="28"/>
      <w:szCs w:val="24"/>
    </w:rPr>
  </w:style>
  <w:style w:type="character" w:customStyle="1" w:styleId="Citation">
    <w:name w:val="Citation"/>
    <w:basedOn w:val="DefaultParagraphFont"/>
    <w:uiPriority w:val="18"/>
    <w:qFormat/>
    <w:rsid w:val="000A6AB3"/>
    <w:rPr>
      <w:i/>
    </w:rPr>
  </w:style>
  <w:style w:type="paragraph" w:customStyle="1" w:styleId="Comment">
    <w:name w:val="Comment"/>
    <w:basedOn w:val="Normal"/>
    <w:next w:val="Normal"/>
    <w:uiPriority w:val="18"/>
    <w:qFormat/>
    <w:rsid w:val="000A6AB3"/>
    <w:pPr>
      <w:spacing w:after="0"/>
    </w:pPr>
    <w:rPr>
      <w:rFonts w:eastAsia="Times New Roman" w:cs="Times New Roman"/>
      <w:vanish/>
      <w:color w:val="0000FF"/>
      <w:szCs w:val="24"/>
    </w:rPr>
  </w:style>
  <w:style w:type="paragraph" w:customStyle="1" w:styleId="ListAlpha">
    <w:name w:val="List Alpha"/>
    <w:basedOn w:val="Normal"/>
    <w:uiPriority w:val="18"/>
    <w:qFormat/>
    <w:rsid w:val="000A6AB3"/>
    <w:pPr>
      <w:numPr>
        <w:numId w:val="28"/>
      </w:numPr>
    </w:pPr>
    <w:rPr>
      <w:rFonts w:eastAsia="Times New Roman" w:cs="Times New Roman"/>
      <w:szCs w:val="24"/>
    </w:rPr>
  </w:style>
  <w:style w:type="paragraph" w:customStyle="1" w:styleId="ListDefin">
    <w:name w:val="List Defin"/>
    <w:basedOn w:val="Heading2"/>
    <w:uiPriority w:val="18"/>
    <w:qFormat/>
    <w:rsid w:val="000A6AB3"/>
    <w:pPr>
      <w:spacing w:before="0" w:after="240" w:line="240" w:lineRule="auto"/>
      <w:outlineLvl w:val="9"/>
    </w:pPr>
    <w:rPr>
      <w:rFonts w:ascii="Times New Roman" w:eastAsia="Times New Roman" w:hAnsi="Times New Roman" w:cs="Times New Roman"/>
      <w:bCs w:val="0"/>
      <w:szCs w:val="24"/>
    </w:rPr>
  </w:style>
  <w:style w:type="paragraph" w:customStyle="1" w:styleId="ListNum">
    <w:name w:val="ListNum"/>
    <w:basedOn w:val="ListParagraph"/>
    <w:uiPriority w:val="18"/>
    <w:qFormat/>
    <w:rsid w:val="000A6AB3"/>
    <w:pPr>
      <w:numPr>
        <w:numId w:val="29"/>
      </w:numPr>
      <w:spacing w:after="0"/>
    </w:pPr>
    <w:rPr>
      <w:rFonts w:eastAsia="Times New Roman" w:cs="Times New Roman"/>
      <w:szCs w:val="24"/>
    </w:rPr>
  </w:style>
  <w:style w:type="paragraph" w:customStyle="1" w:styleId="Quote1">
    <w:name w:val="Quote1"/>
    <w:basedOn w:val="Normal"/>
    <w:uiPriority w:val="2"/>
    <w:qFormat/>
    <w:rsid w:val="000A6AB3"/>
    <w:pPr>
      <w:ind w:left="1440" w:right="1440"/>
    </w:pPr>
    <w:rPr>
      <w:rFonts w:eastAsia="Times New Roman" w:cs="Times New Roman"/>
      <w:szCs w:val="24"/>
    </w:rPr>
  </w:style>
  <w:style w:type="character" w:customStyle="1" w:styleId="TitleText1">
    <w:name w:val="TitleText1"/>
    <w:basedOn w:val="DefaultParagraphFont"/>
    <w:uiPriority w:val="18"/>
    <w:qFormat/>
    <w:rsid w:val="000A6AB3"/>
  </w:style>
  <w:style w:type="character" w:customStyle="1" w:styleId="TitleText2">
    <w:name w:val="TitleText2"/>
    <w:basedOn w:val="DefaultParagraphFont"/>
    <w:uiPriority w:val="18"/>
    <w:qFormat/>
    <w:rsid w:val="000A6AB3"/>
  </w:style>
  <w:style w:type="character" w:customStyle="1" w:styleId="TitleText3">
    <w:name w:val="TitleText3"/>
    <w:basedOn w:val="DefaultParagraphFont"/>
    <w:uiPriority w:val="18"/>
    <w:qFormat/>
    <w:rsid w:val="000A6AB3"/>
  </w:style>
  <w:style w:type="character" w:customStyle="1" w:styleId="TitleText4">
    <w:name w:val="TitleText4"/>
    <w:basedOn w:val="DefaultParagraphFont"/>
    <w:uiPriority w:val="18"/>
    <w:qFormat/>
    <w:rsid w:val="000A6AB3"/>
  </w:style>
  <w:style w:type="character" w:customStyle="1" w:styleId="TitleText5">
    <w:name w:val="TitleText5"/>
    <w:basedOn w:val="DefaultParagraphFont"/>
    <w:uiPriority w:val="18"/>
    <w:qFormat/>
    <w:rsid w:val="000A6AB3"/>
  </w:style>
  <w:style w:type="character" w:customStyle="1" w:styleId="TitleText7">
    <w:name w:val="TitleText7"/>
    <w:basedOn w:val="DefaultParagraphFont"/>
    <w:uiPriority w:val="18"/>
    <w:qFormat/>
    <w:rsid w:val="000A6AB3"/>
  </w:style>
  <w:style w:type="character" w:customStyle="1" w:styleId="TitleText8">
    <w:name w:val="TitleText8"/>
    <w:basedOn w:val="DefaultParagraphFont"/>
    <w:uiPriority w:val="18"/>
    <w:qFormat/>
    <w:rsid w:val="000A6AB3"/>
  </w:style>
  <w:style w:type="character" w:customStyle="1" w:styleId="TitleText9">
    <w:name w:val="TitleText9"/>
    <w:basedOn w:val="DefaultParagraphFont"/>
    <w:uiPriority w:val="18"/>
    <w:qFormat/>
    <w:rsid w:val="000A6AB3"/>
  </w:style>
  <w:style w:type="paragraph" w:styleId="EnvelopeAddress">
    <w:name w:val="envelope address"/>
    <w:basedOn w:val="Normal"/>
    <w:uiPriority w:val="18"/>
    <w:qFormat/>
    <w:rsid w:val="000A6AB3"/>
    <w:pPr>
      <w:framePr w:w="7920" w:h="1980" w:hRule="exact" w:hSpace="180" w:wrap="auto" w:hAnchor="page" w:xAlign="center" w:yAlign="bottom"/>
      <w:spacing w:after="0"/>
      <w:ind w:left="2880"/>
    </w:pPr>
    <w:rPr>
      <w:rFonts w:eastAsia="Times New Roman" w:cs="Arial"/>
      <w:szCs w:val="24"/>
    </w:rPr>
  </w:style>
  <w:style w:type="paragraph" w:styleId="EnvelopeReturn">
    <w:name w:val="envelope return"/>
    <w:basedOn w:val="Normal"/>
    <w:uiPriority w:val="18"/>
    <w:qFormat/>
    <w:rsid w:val="000A6AB3"/>
    <w:pPr>
      <w:spacing w:after="0"/>
    </w:pPr>
    <w:rPr>
      <w:rFonts w:eastAsia="Times New Roman" w:cs="Arial"/>
      <w:sz w:val="20"/>
      <w:szCs w:val="24"/>
    </w:rPr>
  </w:style>
  <w:style w:type="paragraph" w:styleId="ListBullet">
    <w:name w:val="List Bullet"/>
    <w:basedOn w:val="Normal"/>
    <w:uiPriority w:val="99"/>
    <w:semiHidden/>
    <w:unhideWhenUsed/>
    <w:qFormat/>
    <w:rsid w:val="000A6AB3"/>
    <w:pPr>
      <w:numPr>
        <w:numId w:val="30"/>
      </w:numPr>
    </w:pPr>
    <w:rPr>
      <w:rFonts w:eastAsia="Times New Roman" w:cs="Times New Roman"/>
      <w:szCs w:val="24"/>
    </w:rPr>
  </w:style>
  <w:style w:type="paragraph" w:styleId="ListBullet2">
    <w:name w:val="List Bullet 2"/>
    <w:basedOn w:val="Normal"/>
    <w:uiPriority w:val="99"/>
    <w:semiHidden/>
    <w:unhideWhenUsed/>
    <w:qFormat/>
    <w:rsid w:val="000A6AB3"/>
    <w:pPr>
      <w:numPr>
        <w:numId w:val="31"/>
      </w:numPr>
    </w:pPr>
    <w:rPr>
      <w:rFonts w:eastAsia="Times New Roman" w:cs="Times New Roman"/>
      <w:szCs w:val="24"/>
    </w:rPr>
  </w:style>
  <w:style w:type="paragraph" w:styleId="ListBullet3">
    <w:name w:val="List Bullet 3"/>
    <w:basedOn w:val="Normal"/>
    <w:uiPriority w:val="99"/>
    <w:semiHidden/>
    <w:unhideWhenUsed/>
    <w:qFormat/>
    <w:rsid w:val="000A6AB3"/>
    <w:pPr>
      <w:numPr>
        <w:numId w:val="32"/>
      </w:numPr>
    </w:pPr>
    <w:rPr>
      <w:rFonts w:eastAsia="Times New Roman" w:cs="Times New Roman"/>
      <w:szCs w:val="24"/>
    </w:rPr>
  </w:style>
  <w:style w:type="paragraph" w:styleId="ListBullet4">
    <w:name w:val="List Bullet 4"/>
    <w:basedOn w:val="Normal"/>
    <w:uiPriority w:val="99"/>
    <w:semiHidden/>
    <w:unhideWhenUsed/>
    <w:qFormat/>
    <w:rsid w:val="000A6AB3"/>
    <w:pPr>
      <w:numPr>
        <w:numId w:val="33"/>
      </w:numPr>
    </w:pPr>
    <w:rPr>
      <w:rFonts w:eastAsia="Times New Roman" w:cs="Times New Roman"/>
      <w:szCs w:val="24"/>
    </w:rPr>
  </w:style>
  <w:style w:type="paragraph" w:styleId="ListBullet5">
    <w:name w:val="List Bullet 5"/>
    <w:basedOn w:val="Normal"/>
    <w:uiPriority w:val="99"/>
    <w:semiHidden/>
    <w:unhideWhenUsed/>
    <w:qFormat/>
    <w:rsid w:val="000A6AB3"/>
    <w:pPr>
      <w:numPr>
        <w:numId w:val="34"/>
      </w:numPr>
    </w:pPr>
    <w:rPr>
      <w:rFonts w:eastAsia="Times New Roman" w:cs="Times New Roman"/>
      <w:szCs w:val="24"/>
    </w:rPr>
  </w:style>
  <w:style w:type="paragraph" w:styleId="Closing">
    <w:name w:val="Closing"/>
    <w:basedOn w:val="Normal"/>
    <w:link w:val="ClosingChar"/>
    <w:uiPriority w:val="18"/>
    <w:qFormat/>
    <w:rsid w:val="000A6AB3"/>
    <w:pPr>
      <w:tabs>
        <w:tab w:val="left" w:leader="underscore" w:pos="9360"/>
      </w:tabs>
      <w:spacing w:after="0"/>
      <w:ind w:left="4320"/>
    </w:pPr>
    <w:rPr>
      <w:rFonts w:eastAsia="Times New Roman" w:cs="Times New Roman"/>
      <w:szCs w:val="24"/>
    </w:rPr>
  </w:style>
  <w:style w:type="character" w:customStyle="1" w:styleId="ClosingChar">
    <w:name w:val="Closing Char"/>
    <w:basedOn w:val="DefaultParagraphFont"/>
    <w:link w:val="Closing"/>
    <w:uiPriority w:val="18"/>
    <w:rsid w:val="000A6AB3"/>
    <w:rPr>
      <w:rFonts w:ascii="Times New Roman" w:eastAsia="Times New Roman" w:hAnsi="Times New Roman" w:cs="Times New Roman"/>
      <w:sz w:val="24"/>
      <w:szCs w:val="24"/>
    </w:rPr>
  </w:style>
  <w:style w:type="paragraph" w:styleId="NoteHeading">
    <w:name w:val="Note Heading"/>
    <w:basedOn w:val="Normal"/>
    <w:next w:val="Normal"/>
    <w:link w:val="NoteHeadingChar"/>
    <w:uiPriority w:val="18"/>
    <w:qFormat/>
    <w:rsid w:val="000A6AB3"/>
    <w:pPr>
      <w:spacing w:after="0"/>
    </w:pPr>
    <w:rPr>
      <w:rFonts w:eastAsia="Times New Roman" w:cs="Times New Roman"/>
      <w:szCs w:val="24"/>
    </w:rPr>
  </w:style>
  <w:style w:type="character" w:customStyle="1" w:styleId="NoteHeadingChar">
    <w:name w:val="Note Heading Char"/>
    <w:basedOn w:val="DefaultParagraphFont"/>
    <w:link w:val="NoteHeading"/>
    <w:uiPriority w:val="18"/>
    <w:rsid w:val="000A6AB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05"/>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0D58B3"/>
    <w:pPr>
      <w:keepNext/>
      <w:keepLines/>
      <w:spacing w:after="0" w:line="480" w:lineRule="auto"/>
      <w:outlineLvl w:val="0"/>
    </w:pPr>
    <w:rPr>
      <w:rFonts w:eastAsia="Times New Roman" w:cs="Times New Roman"/>
      <w:b/>
      <w:bCs/>
      <w:color w:val="000000" w:themeColor="text1"/>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2C05"/>
    <w:pPr>
      <w:tabs>
        <w:tab w:val="center" w:pos="4680"/>
        <w:tab w:val="right" w:pos="9360"/>
      </w:tabs>
      <w:spacing w:after="0"/>
    </w:pPr>
  </w:style>
  <w:style w:type="character" w:customStyle="1" w:styleId="HeaderChar">
    <w:name w:val="Header Char"/>
    <w:basedOn w:val="DefaultParagraphFont"/>
    <w:link w:val="Header"/>
    <w:uiPriority w:val="99"/>
    <w:semiHidden/>
    <w:rsid w:val="00272C05"/>
    <w:rPr>
      <w:rFonts w:ascii="Times New Roman" w:hAnsi="Times New Roman"/>
      <w:sz w:val="24"/>
    </w:rPr>
  </w:style>
  <w:style w:type="paragraph" w:styleId="Footer">
    <w:name w:val="footer"/>
    <w:basedOn w:val="Normal"/>
    <w:link w:val="FooterChar"/>
    <w:uiPriority w:val="99"/>
    <w:semiHidden/>
    <w:unhideWhenUsed/>
    <w:rsid w:val="00272C05"/>
    <w:pPr>
      <w:tabs>
        <w:tab w:val="center" w:pos="4680"/>
        <w:tab w:val="right" w:pos="9360"/>
      </w:tabs>
      <w:spacing w:after="0"/>
    </w:pPr>
  </w:style>
  <w:style w:type="character" w:customStyle="1" w:styleId="FooterChar">
    <w:name w:val="Footer Char"/>
    <w:basedOn w:val="DefaultParagraphFont"/>
    <w:link w:val="Footer"/>
    <w:uiPriority w:val="99"/>
    <w:semiHidden/>
    <w:rsid w:val="00272C05"/>
    <w:rPr>
      <w:rFonts w:ascii="Times New Roman" w:hAnsi="Times New Roman"/>
      <w:sz w:val="24"/>
    </w:rPr>
  </w:style>
  <w:style w:type="paragraph" w:styleId="FootnoteText">
    <w:name w:val="footnote text"/>
    <w:basedOn w:val="Normal"/>
    <w:link w:val="FootnoteTextChar"/>
    <w:uiPriority w:val="99"/>
    <w:semiHidden/>
    <w:unhideWhenUsed/>
    <w:rsid w:val="00272C05"/>
    <w:pPr>
      <w:spacing w:after="0"/>
    </w:pPr>
    <w:rPr>
      <w:sz w:val="20"/>
      <w:szCs w:val="20"/>
    </w:rPr>
  </w:style>
  <w:style w:type="character" w:customStyle="1" w:styleId="FootnoteTextChar">
    <w:name w:val="Footnote Text Char"/>
    <w:basedOn w:val="DefaultParagraphFont"/>
    <w:link w:val="FootnoteText"/>
    <w:uiPriority w:val="99"/>
    <w:semiHidden/>
    <w:rsid w:val="00272C05"/>
    <w:rPr>
      <w:rFonts w:ascii="Times New Roman" w:hAnsi="Times New Roman"/>
      <w:sz w:val="20"/>
      <w:szCs w:val="20"/>
    </w:rPr>
  </w:style>
  <w:style w:type="character" w:styleId="PageNumber">
    <w:name w:val="page number"/>
    <w:basedOn w:val="DefaultParagraphFont"/>
    <w:semiHidden/>
    <w:rsid w:val="00272C05"/>
  </w:style>
  <w:style w:type="character" w:styleId="FootnoteReference">
    <w:name w:val="footnote reference"/>
    <w:basedOn w:val="DefaultParagraphFont"/>
    <w:rsid w:val="00272C05"/>
    <w:rPr>
      <w:vertAlign w:val="superscript"/>
    </w:rPr>
  </w:style>
  <w:style w:type="character" w:styleId="LineNumber">
    <w:name w:val="line number"/>
    <w:basedOn w:val="DefaultParagraphFont"/>
    <w:uiPriority w:val="99"/>
    <w:semiHidden/>
    <w:unhideWhenUsed/>
    <w:rsid w:val="00272C05"/>
  </w:style>
  <w:style w:type="paragraph" w:styleId="ListParagraph">
    <w:name w:val="List Paragraph"/>
    <w:basedOn w:val="Normal"/>
    <w:uiPriority w:val="34"/>
    <w:qFormat/>
    <w:rsid w:val="0028052F"/>
    <w:pPr>
      <w:ind w:left="720"/>
      <w:contextualSpacing/>
    </w:pPr>
  </w:style>
  <w:style w:type="character" w:styleId="CommentReference">
    <w:name w:val="annotation reference"/>
    <w:basedOn w:val="DefaultParagraphFont"/>
    <w:uiPriority w:val="99"/>
    <w:semiHidden/>
    <w:unhideWhenUsed/>
    <w:rsid w:val="00F363CB"/>
    <w:rPr>
      <w:sz w:val="16"/>
      <w:szCs w:val="16"/>
    </w:rPr>
  </w:style>
  <w:style w:type="paragraph" w:styleId="CommentText">
    <w:name w:val="annotation text"/>
    <w:basedOn w:val="Normal"/>
    <w:link w:val="CommentTextChar"/>
    <w:uiPriority w:val="99"/>
    <w:semiHidden/>
    <w:unhideWhenUsed/>
    <w:rsid w:val="00F363CB"/>
    <w:rPr>
      <w:sz w:val="20"/>
      <w:szCs w:val="20"/>
    </w:rPr>
  </w:style>
  <w:style w:type="character" w:customStyle="1" w:styleId="CommentTextChar">
    <w:name w:val="Comment Text Char"/>
    <w:basedOn w:val="DefaultParagraphFont"/>
    <w:link w:val="CommentText"/>
    <w:uiPriority w:val="99"/>
    <w:semiHidden/>
    <w:rsid w:val="00F363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363CB"/>
    <w:rPr>
      <w:b/>
      <w:bCs/>
    </w:rPr>
  </w:style>
  <w:style w:type="character" w:customStyle="1" w:styleId="CommentSubjectChar">
    <w:name w:val="Comment Subject Char"/>
    <w:basedOn w:val="CommentTextChar"/>
    <w:link w:val="CommentSubject"/>
    <w:uiPriority w:val="99"/>
    <w:semiHidden/>
    <w:rsid w:val="00F363CB"/>
    <w:rPr>
      <w:rFonts w:ascii="Times New Roman" w:hAnsi="Times New Roman"/>
      <w:b/>
      <w:bCs/>
      <w:sz w:val="20"/>
      <w:szCs w:val="20"/>
    </w:rPr>
  </w:style>
  <w:style w:type="paragraph" w:styleId="BalloonText">
    <w:name w:val="Balloon Text"/>
    <w:basedOn w:val="Normal"/>
    <w:link w:val="BalloonTextChar"/>
    <w:uiPriority w:val="99"/>
    <w:semiHidden/>
    <w:unhideWhenUsed/>
    <w:rsid w:val="00F363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3CB"/>
    <w:rPr>
      <w:rFonts w:ascii="Tahoma" w:hAnsi="Tahoma" w:cs="Tahoma"/>
      <w:sz w:val="16"/>
      <w:szCs w:val="16"/>
    </w:rPr>
  </w:style>
  <w:style w:type="paragraph" w:styleId="TOC3">
    <w:name w:val="toc 3"/>
    <w:basedOn w:val="Normal"/>
    <w:next w:val="Normal"/>
    <w:autoRedefine/>
    <w:uiPriority w:val="39"/>
    <w:unhideWhenUsed/>
    <w:rsid w:val="000D58B3"/>
    <w:pPr>
      <w:spacing w:after="100"/>
      <w:ind w:left="480"/>
    </w:pPr>
  </w:style>
  <w:style w:type="character" w:styleId="Hyperlink">
    <w:name w:val="Hyperlink"/>
    <w:basedOn w:val="DefaultParagraphFont"/>
    <w:uiPriority w:val="99"/>
    <w:unhideWhenUsed/>
    <w:rsid w:val="000D58B3"/>
    <w:rPr>
      <w:color w:val="0000FF" w:themeColor="hyperlink"/>
      <w:u w:val="single"/>
    </w:rPr>
  </w:style>
  <w:style w:type="character" w:customStyle="1" w:styleId="Heading1Char">
    <w:name w:val="Heading 1 Char"/>
    <w:basedOn w:val="DefaultParagraphFont"/>
    <w:link w:val="Heading1"/>
    <w:uiPriority w:val="9"/>
    <w:rsid w:val="000D58B3"/>
    <w:rPr>
      <w:rFonts w:ascii="Times New Roman" w:eastAsia="Times New Roman" w:hAnsi="Times New Roman" w:cs="Times New Roman"/>
      <w:b/>
      <w:bCs/>
      <w:color w:val="000000" w:themeColor="text1"/>
      <w:sz w:val="24"/>
      <w:szCs w:val="24"/>
      <w:u w:val="single"/>
    </w:rPr>
  </w:style>
  <w:style w:type="paragraph" w:styleId="TOC1">
    <w:name w:val="toc 1"/>
    <w:basedOn w:val="Normal"/>
    <w:next w:val="Normal"/>
    <w:autoRedefine/>
    <w:uiPriority w:val="39"/>
    <w:unhideWhenUsed/>
    <w:rsid w:val="007A24BD"/>
    <w:pPr>
      <w:suppressLineNumbers/>
      <w:tabs>
        <w:tab w:val="right" w:leader="dot" w:pos="9062"/>
      </w:tabs>
      <w:spacing w:after="0" w:line="480" w:lineRule="auto"/>
    </w:pPr>
  </w:style>
  <w:style w:type="paragraph" w:styleId="Revision">
    <w:name w:val="Revision"/>
    <w:hidden/>
    <w:uiPriority w:val="99"/>
    <w:semiHidden/>
    <w:rsid w:val="00F761FC"/>
    <w:pPr>
      <w:spacing w:after="0" w:line="240" w:lineRule="auto"/>
    </w:pPr>
    <w:rPr>
      <w:rFonts w:ascii="Times New Roman" w:hAnsi="Times New Roman"/>
      <w:sz w:val="24"/>
    </w:rPr>
  </w:style>
  <w:style w:type="table" w:styleId="TableGrid">
    <w:name w:val="Table Grid"/>
    <w:basedOn w:val="TableNormal"/>
    <w:uiPriority w:val="59"/>
    <w:rsid w:val="0018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0326963">
      <w:bodyDiv w:val="1"/>
      <w:marLeft w:val="0"/>
      <w:marRight w:val="0"/>
      <w:marTop w:val="0"/>
      <w:marBottom w:val="0"/>
      <w:divBdr>
        <w:top w:val="none" w:sz="0" w:space="0" w:color="auto"/>
        <w:left w:val="none" w:sz="0" w:space="0" w:color="auto"/>
        <w:bottom w:val="none" w:sz="0" w:space="0" w:color="auto"/>
        <w:right w:val="none" w:sz="0" w:space="0" w:color="auto"/>
      </w:divBdr>
    </w:div>
    <w:div w:id="178954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26"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3.xml"/><Relationship Id="rId28"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emf"/><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www.ssa.gov" TargetMode="External"/><Relationship Id="rId1" Type="http://schemas.openxmlformats.org/officeDocument/2006/relationships/hyperlink" Target="http://www.econo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2016-08-17T07:00:00+00:00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80543CF-58AE-4645-8FE0-22244D4EDEC7}"/>
</file>

<file path=customXml/itemProps2.xml><?xml version="1.0" encoding="utf-8"?>
<ds:datastoreItem xmlns:ds="http://schemas.openxmlformats.org/officeDocument/2006/customXml" ds:itemID="{8B99924E-DF1C-4AC4-B7E4-CCFE898A6F77}"/>
</file>

<file path=customXml/itemProps3.xml><?xml version="1.0" encoding="utf-8"?>
<ds:datastoreItem xmlns:ds="http://schemas.openxmlformats.org/officeDocument/2006/customXml" ds:itemID="{05E420DE-75A4-496E-AA17-CB8EDE63D3CD}"/>
</file>

<file path=customXml/itemProps4.xml><?xml version="1.0" encoding="utf-8"?>
<ds:datastoreItem xmlns:ds="http://schemas.openxmlformats.org/officeDocument/2006/customXml" ds:itemID="{911AA3F5-6762-46E6-B41E-3E8CF3E079D9}"/>
</file>

<file path=customXml/itemProps5.xml><?xml version="1.0" encoding="utf-8"?>
<ds:datastoreItem xmlns:ds="http://schemas.openxmlformats.org/officeDocument/2006/customXml" ds:itemID="{3138185D-9F63-4339-BFAB-A3CE6D2D9612}"/>
</file>

<file path=docProps/app.xml><?xml version="1.0" encoding="utf-8"?>
<Properties xmlns="http://schemas.openxmlformats.org/officeDocument/2006/extended-properties" xmlns:vt="http://schemas.openxmlformats.org/officeDocument/2006/docPropsVTypes">
  <Template>Normal.dotm</Template>
  <TotalTime>0</TotalTime>
  <Pages>67</Pages>
  <Words>15285</Words>
  <Characters>87127</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102208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c:creator>
  <cp:lastModifiedBy>FEA</cp:lastModifiedBy>
  <cp:revision>2</cp:revision>
  <cp:lastPrinted>2016-08-15T21:05:00Z</cp:lastPrinted>
  <dcterms:created xsi:type="dcterms:W3CDTF">2016-08-15T21:57:00Z</dcterms:created>
  <dcterms:modified xsi:type="dcterms:W3CDTF">2016-08-15T21:57:00Z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