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38548979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0A6C75">
        <w:rPr>
          <w:rFonts w:ascii="Times New Roman" w:hAnsi="Times New Roman"/>
          <w:sz w:val="24"/>
        </w:rPr>
        <w:t xml:space="preserve">Notice of </w:t>
      </w:r>
      <w:r w:rsidR="007C08B8">
        <w:rPr>
          <w:rFonts w:ascii="Times New Roman" w:hAnsi="Times New Roman"/>
          <w:sz w:val="24"/>
        </w:rPr>
        <w:t>Withdrawa</w:t>
      </w:r>
      <w:bookmarkStart w:id="0" w:name="_GoBack"/>
      <w:bookmarkEnd w:id="0"/>
      <w:r w:rsidR="007C08B8">
        <w:rPr>
          <w:rFonts w:ascii="Times New Roman" w:hAnsi="Times New Roman"/>
          <w:sz w:val="24"/>
        </w:rPr>
        <w:t xml:space="preserve">l and </w:t>
      </w:r>
      <w:r w:rsidR="000A6C75">
        <w:rPr>
          <w:rFonts w:ascii="Times New Roman" w:hAnsi="Times New Roman"/>
          <w:sz w:val="24"/>
        </w:rPr>
        <w:t xml:space="preserve">Appearance on Behalf of Commission Staff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78E0CA89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6F460C">
        <w:rPr>
          <w:rFonts w:ascii="Times New Roman" w:hAnsi="Times New Roman"/>
          <w:sz w:val="24"/>
        </w:rPr>
        <w:t>2</w:t>
      </w:r>
      <w:r w:rsidR="007C08B8">
        <w:rPr>
          <w:rFonts w:ascii="Times New Roman" w:hAnsi="Times New Roman"/>
          <w:sz w:val="24"/>
        </w:rPr>
        <w:t>0</w:t>
      </w:r>
      <w:r w:rsidR="00D465AA" w:rsidRPr="00D465AA">
        <w:rPr>
          <w:rFonts w:ascii="Times New Roman" w:hAnsi="Times New Roman"/>
          <w:sz w:val="24"/>
          <w:vertAlign w:val="superscript"/>
        </w:rPr>
        <w:t>th</w:t>
      </w:r>
      <w:r w:rsidR="00D465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7C08B8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201</w:t>
      </w:r>
      <w:r w:rsidR="00D465A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F16864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16864">
          <w:footerReference w:type="default" r:id="rId10"/>
          <w:pgSz w:w="12240" w:h="15840"/>
          <w:pgMar w:top="1296" w:right="1440" w:bottom="1152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144CFBCF" w14:textId="77777777" w:rsidR="006F460C" w:rsidRPr="006F460C" w:rsidRDefault="007C08B8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7C08B8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14457D99" w14:textId="7A9D24F8" w:rsidR="006F460C" w:rsidRPr="006F460C" w:rsidRDefault="007C08B8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624F3764" w14:textId="77777777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</w:p>
    <w:p w14:paraId="2DBB10EF" w14:textId="7C8577D0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B370AFD" w14:textId="77777777" w:rsidR="00394ECD" w:rsidRDefault="00394ECD" w:rsidP="00394ECD">
      <w:pPr>
        <w:rPr>
          <w:rStyle w:val="Hyperlink"/>
          <w:rFonts w:ascii="Times New Roman" w:eastAsia="Arial" w:hAnsi="Times New Roman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Tel: (206) 389-2055</w:t>
      </w:r>
      <w:r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7C08B8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2F80C1C1" w14:textId="77777777" w:rsidR="00394ECD" w:rsidRDefault="007C08B8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</w:p>
    <w:p w14:paraId="7995DDEE" w14:textId="77777777" w:rsidR="00394ECD" w:rsidRDefault="007C08B8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7C08B8" w:rsidP="00394ECD">
      <w:pPr>
        <w:rPr>
          <w:rFonts w:ascii="Times New Roman" w:eastAsia="Arial" w:hAnsi="Times New Roman"/>
          <w:color w:val="000000"/>
          <w:sz w:val="24"/>
        </w:rPr>
      </w:pPr>
      <w:hyperlink r:id="rId18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6AA6823C" w14:textId="71A2A5FA" w:rsidR="00394ECD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7C08B8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C08B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1F049F"/>
    <w:rsid w:val="003370E9"/>
    <w:rsid w:val="00366392"/>
    <w:rsid w:val="00394ECD"/>
    <w:rsid w:val="006F460C"/>
    <w:rsid w:val="007C08B8"/>
    <w:rsid w:val="00886A2F"/>
    <w:rsid w:val="009F552B"/>
    <w:rsid w:val="00AB106C"/>
    <w:rsid w:val="00C0665B"/>
    <w:rsid w:val="00C200D4"/>
    <w:rsid w:val="00D465AA"/>
    <w:rsid w:val="00D64DC8"/>
    <w:rsid w:val="00DE387D"/>
    <w:rsid w:val="00F1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stefaniej@atg.wa.gov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chandam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2016-07-20T23:14:16+00:00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4B266E-4B41-49C3-BD97-700D51F197B4}"/>
</file>

<file path=customXml/itemProps2.xml><?xml version="1.0" encoding="utf-8"?>
<ds:datastoreItem xmlns:ds="http://schemas.openxmlformats.org/officeDocument/2006/customXml" ds:itemID="{82B9457B-E115-4E0A-BFB4-2F936C38F2AE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>Washington Utilities and Transportation Commission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3</cp:revision>
  <cp:lastPrinted>2015-08-21T16:33:00Z</cp:lastPrinted>
  <dcterms:created xsi:type="dcterms:W3CDTF">2016-07-20T20:37:00Z</dcterms:created>
  <dcterms:modified xsi:type="dcterms:W3CDTF">2016-07-20T20:38:00Z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