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3D" w:rsidRDefault="005479BD" w:rsidP="005479BD">
      <w:pPr>
        <w:ind w:left="-1080" w:right="-360"/>
      </w:pPr>
      <w:r w:rsidRPr="005479BD">
        <w:rPr>
          <w:noProof/>
        </w:rPr>
        <w:drawing>
          <wp:inline distT="0" distB="0" distL="0" distR="0">
            <wp:extent cx="7085402" cy="1144800"/>
            <wp:effectExtent l="19050" t="0" r="119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98128" cy="1146856"/>
                    </a:xfrm>
                    <a:prstGeom prst="rect">
                      <a:avLst/>
                    </a:prstGeom>
                    <a:noFill/>
                    <a:ln w="9525">
                      <a:noFill/>
                      <a:miter lim="800000"/>
                      <a:headEnd/>
                      <a:tailEnd/>
                    </a:ln>
                  </pic:spPr>
                </pic:pic>
              </a:graphicData>
            </a:graphic>
          </wp:inline>
        </w:drawing>
      </w:r>
    </w:p>
    <w:p w:rsidR="00D2493D" w:rsidRDefault="00D2493D"/>
    <w:p w:rsidR="00D2493D" w:rsidRDefault="00D2493D"/>
    <w:tbl>
      <w:tblPr>
        <w:tblW w:w="0" w:type="auto"/>
        <w:tblBorders>
          <w:insideH w:val="single" w:sz="4" w:space="0" w:color="auto"/>
        </w:tblBorders>
        <w:tblLayout w:type="fixed"/>
        <w:tblLook w:val="0000"/>
      </w:tblPr>
      <w:tblGrid>
        <w:gridCol w:w="4788"/>
        <w:gridCol w:w="4788"/>
      </w:tblGrid>
      <w:tr w:rsidR="00040621">
        <w:tc>
          <w:tcPr>
            <w:tcW w:w="4788" w:type="dxa"/>
          </w:tcPr>
          <w:p w:rsidR="00040621" w:rsidRDefault="00040621">
            <w:pPr>
              <w:pStyle w:val="Header"/>
              <w:rPr>
                <w:rFonts w:ascii="Arial" w:hAnsi="Arial" w:cs="Arial"/>
                <w:b/>
                <w:bCs/>
                <w:sz w:val="18"/>
                <w:szCs w:val="18"/>
              </w:rPr>
            </w:pPr>
            <w:r>
              <w:rPr>
                <w:rFonts w:ascii="Arial" w:hAnsi="Arial" w:cs="Arial"/>
                <w:b/>
                <w:bCs/>
                <w:sz w:val="18"/>
                <w:szCs w:val="18"/>
              </w:rPr>
              <w:t>Avista Corp.</w:t>
            </w:r>
          </w:p>
          <w:p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rsidR="00040621" w:rsidRDefault="00040621">
            <w:pPr>
              <w:pStyle w:val="Header"/>
              <w:rPr>
                <w:rFonts w:ascii="Arial" w:hAnsi="Arial" w:cs="Arial"/>
                <w:sz w:val="18"/>
                <w:szCs w:val="18"/>
              </w:rPr>
            </w:pPr>
            <w:r>
              <w:rPr>
                <w:rFonts w:ascii="Arial" w:hAnsi="Arial" w:cs="Arial"/>
                <w:sz w:val="18"/>
                <w:szCs w:val="18"/>
              </w:rPr>
              <w:t>Spokane</w:t>
            </w:r>
            <w:r w:rsidR="005479BD">
              <w:rPr>
                <w:rFonts w:ascii="Arial" w:hAnsi="Arial" w:cs="Arial"/>
                <w:sz w:val="18"/>
                <w:szCs w:val="18"/>
              </w:rPr>
              <w:t>,</w:t>
            </w:r>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rsidR="00040621" w:rsidRDefault="00040621">
            <w:pPr>
              <w:pStyle w:val="Header"/>
              <w:rPr>
                <w:rFonts w:ascii="Arial" w:hAnsi="Arial" w:cs="Arial"/>
                <w:sz w:val="18"/>
                <w:szCs w:val="18"/>
              </w:rPr>
            </w:pPr>
            <w:r>
              <w:rPr>
                <w:rFonts w:ascii="Arial" w:hAnsi="Arial" w:cs="Arial"/>
                <w:sz w:val="18"/>
                <w:szCs w:val="18"/>
              </w:rPr>
              <w:t>Telephone 509-489-0500</w:t>
            </w:r>
          </w:p>
          <w:p w:rsidR="00040621" w:rsidRDefault="00040621">
            <w:pPr>
              <w:pStyle w:val="Header"/>
              <w:rPr>
                <w:sz w:val="18"/>
                <w:szCs w:val="18"/>
              </w:rPr>
            </w:pPr>
            <w:r>
              <w:rPr>
                <w:rFonts w:ascii="Arial" w:hAnsi="Arial" w:cs="Arial"/>
                <w:sz w:val="18"/>
                <w:szCs w:val="18"/>
              </w:rPr>
              <w:t>Toll Free   800-727-9170</w:t>
            </w:r>
          </w:p>
          <w:p w:rsidR="00040621" w:rsidRDefault="00040621">
            <w:pPr>
              <w:pStyle w:val="Header"/>
              <w:rPr>
                <w:rFonts w:ascii="Arial" w:hAnsi="Arial" w:cs="Arial"/>
                <w:b/>
                <w:bCs/>
                <w:sz w:val="18"/>
                <w:szCs w:val="18"/>
              </w:rPr>
            </w:pPr>
          </w:p>
        </w:tc>
        <w:tc>
          <w:tcPr>
            <w:tcW w:w="4788" w:type="dxa"/>
          </w:tcPr>
          <w:p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rsidR="004C3C45" w:rsidRPr="00D23FE7" w:rsidRDefault="00CD60DE">
      <w:pPr>
        <w:jc w:val="both"/>
        <w:rPr>
          <w:b/>
          <w:i/>
          <w:sz w:val="24"/>
        </w:rPr>
      </w:pPr>
      <w:r w:rsidRPr="00D23FE7">
        <w:rPr>
          <w:b/>
          <w:i/>
          <w:sz w:val="24"/>
        </w:rPr>
        <w:t xml:space="preserve">VIA – </w:t>
      </w:r>
      <w:r w:rsidR="001D1CCB">
        <w:rPr>
          <w:b/>
          <w:i/>
          <w:sz w:val="24"/>
        </w:rPr>
        <w:t>UTC Web Portal</w:t>
      </w:r>
    </w:p>
    <w:p w:rsidR="00CD60DE" w:rsidRDefault="00CD60DE">
      <w:pPr>
        <w:jc w:val="both"/>
        <w:rPr>
          <w:sz w:val="24"/>
        </w:rPr>
      </w:pPr>
    </w:p>
    <w:p w:rsidR="00040621" w:rsidRDefault="001D1CCB">
      <w:pPr>
        <w:jc w:val="both"/>
        <w:rPr>
          <w:sz w:val="24"/>
        </w:rPr>
      </w:pPr>
      <w:r>
        <w:rPr>
          <w:sz w:val="24"/>
        </w:rPr>
        <w:t>May 29</w:t>
      </w:r>
      <w:r w:rsidR="006561F0">
        <w:rPr>
          <w:sz w:val="24"/>
        </w:rPr>
        <w:t>, 2015</w:t>
      </w:r>
    </w:p>
    <w:p w:rsidR="00040621" w:rsidRDefault="00040621">
      <w:pPr>
        <w:jc w:val="both"/>
        <w:rPr>
          <w:sz w:val="24"/>
        </w:rPr>
      </w:pPr>
    </w:p>
    <w:p w:rsidR="008F221D" w:rsidRPr="00C4686F" w:rsidRDefault="008F221D" w:rsidP="008F221D">
      <w:pPr>
        <w:ind w:right="-270"/>
        <w:jc w:val="both"/>
        <w:rPr>
          <w:sz w:val="24"/>
          <w:szCs w:val="24"/>
        </w:rPr>
      </w:pPr>
      <w:r>
        <w:rPr>
          <w:sz w:val="24"/>
          <w:szCs w:val="24"/>
        </w:rPr>
        <w:t>Steven V. King</w:t>
      </w:r>
    </w:p>
    <w:p w:rsidR="008F221D" w:rsidRPr="00C4686F" w:rsidRDefault="008F221D" w:rsidP="008F221D">
      <w:pPr>
        <w:ind w:right="-270"/>
        <w:jc w:val="both"/>
        <w:rPr>
          <w:sz w:val="24"/>
          <w:szCs w:val="24"/>
        </w:rPr>
      </w:pPr>
      <w:r w:rsidRPr="00C4686F">
        <w:rPr>
          <w:sz w:val="24"/>
          <w:szCs w:val="24"/>
        </w:rPr>
        <w:t>Executive Director and Secretary</w:t>
      </w:r>
    </w:p>
    <w:p w:rsidR="008F221D" w:rsidRPr="00C4686F" w:rsidRDefault="008F221D" w:rsidP="008F221D">
      <w:pPr>
        <w:ind w:right="-270"/>
        <w:jc w:val="both"/>
        <w:rPr>
          <w:sz w:val="24"/>
          <w:szCs w:val="24"/>
        </w:rPr>
      </w:pPr>
      <w:r w:rsidRPr="00C4686F">
        <w:rPr>
          <w:sz w:val="24"/>
          <w:szCs w:val="24"/>
        </w:rPr>
        <w:t>Washington Utilities &amp; Transportation Commission</w:t>
      </w:r>
    </w:p>
    <w:p w:rsidR="008F221D" w:rsidRPr="00C4686F" w:rsidRDefault="008F221D" w:rsidP="008F221D">
      <w:pPr>
        <w:ind w:right="-270"/>
        <w:jc w:val="both"/>
        <w:rPr>
          <w:sz w:val="24"/>
          <w:szCs w:val="24"/>
        </w:rPr>
      </w:pPr>
      <w:proofErr w:type="gramStart"/>
      <w:r w:rsidRPr="00C4686F">
        <w:rPr>
          <w:sz w:val="24"/>
          <w:szCs w:val="24"/>
        </w:rPr>
        <w:t>1300 S. Evergreen Park Drive S. W.</w:t>
      </w:r>
      <w:proofErr w:type="gramEnd"/>
    </w:p>
    <w:p w:rsidR="008F221D" w:rsidRPr="00C4686F" w:rsidRDefault="008F221D" w:rsidP="008F221D">
      <w:pPr>
        <w:ind w:right="-270"/>
        <w:jc w:val="both"/>
        <w:rPr>
          <w:sz w:val="24"/>
          <w:szCs w:val="24"/>
        </w:rPr>
      </w:pPr>
      <w:r w:rsidRPr="00C4686F">
        <w:rPr>
          <w:sz w:val="24"/>
          <w:szCs w:val="24"/>
        </w:rPr>
        <w:t>P.O. Box 47250</w:t>
      </w:r>
    </w:p>
    <w:p w:rsidR="008F221D" w:rsidRDefault="008F221D" w:rsidP="008F221D">
      <w:pPr>
        <w:ind w:right="-270"/>
        <w:jc w:val="both"/>
        <w:rPr>
          <w:sz w:val="24"/>
          <w:szCs w:val="24"/>
        </w:rPr>
      </w:pPr>
      <w:r w:rsidRPr="004E6D17">
        <w:rPr>
          <w:sz w:val="24"/>
          <w:szCs w:val="24"/>
        </w:rPr>
        <w:t>Olympia, Washington  98504-7250</w:t>
      </w:r>
    </w:p>
    <w:p w:rsidR="00975CC8" w:rsidRDefault="00975CC8" w:rsidP="008F221D">
      <w:pPr>
        <w:ind w:right="-270"/>
        <w:jc w:val="both"/>
        <w:rPr>
          <w:sz w:val="24"/>
          <w:szCs w:val="24"/>
        </w:rPr>
      </w:pPr>
    </w:p>
    <w:p w:rsidR="00975CC8" w:rsidRPr="004E6D17" w:rsidRDefault="00975CC8" w:rsidP="00B27409">
      <w:pPr>
        <w:ind w:left="720" w:right="-270" w:hanging="720"/>
        <w:jc w:val="both"/>
        <w:rPr>
          <w:sz w:val="24"/>
          <w:szCs w:val="24"/>
        </w:rPr>
      </w:pPr>
      <w:r>
        <w:rPr>
          <w:sz w:val="24"/>
          <w:szCs w:val="24"/>
        </w:rPr>
        <w:t xml:space="preserve">Re: </w:t>
      </w:r>
      <w:r w:rsidR="00B27409">
        <w:rPr>
          <w:sz w:val="24"/>
          <w:szCs w:val="24"/>
        </w:rPr>
        <w:tab/>
        <w:t>Docket</w:t>
      </w:r>
      <w:r w:rsidR="00710E27">
        <w:rPr>
          <w:sz w:val="24"/>
          <w:szCs w:val="24"/>
        </w:rPr>
        <w:t xml:space="preserve"> Nos. </w:t>
      </w:r>
      <w:proofErr w:type="spellStart"/>
      <w:r w:rsidR="00710E27">
        <w:rPr>
          <w:sz w:val="24"/>
          <w:szCs w:val="24"/>
        </w:rPr>
        <w:t>UE</w:t>
      </w:r>
      <w:proofErr w:type="spellEnd"/>
      <w:r w:rsidR="00710E27">
        <w:rPr>
          <w:sz w:val="24"/>
          <w:szCs w:val="24"/>
        </w:rPr>
        <w:t xml:space="preserve">-140188 and </w:t>
      </w:r>
      <w:proofErr w:type="spellStart"/>
      <w:r w:rsidR="00710E27">
        <w:rPr>
          <w:sz w:val="24"/>
          <w:szCs w:val="24"/>
        </w:rPr>
        <w:t>UG</w:t>
      </w:r>
      <w:proofErr w:type="spellEnd"/>
      <w:r w:rsidR="00710E27">
        <w:rPr>
          <w:sz w:val="24"/>
          <w:szCs w:val="24"/>
        </w:rPr>
        <w:t>-140189 (C</w:t>
      </w:r>
      <w:r w:rsidR="00B27409">
        <w:rPr>
          <w:sz w:val="24"/>
          <w:szCs w:val="24"/>
        </w:rPr>
        <w:t>onsolidated) Compliance Filing Regarding Proposed Service Quality Measures Program</w:t>
      </w:r>
    </w:p>
    <w:p w:rsidR="00040621" w:rsidRDefault="00040621">
      <w:pPr>
        <w:jc w:val="both"/>
        <w:rPr>
          <w:sz w:val="24"/>
        </w:rPr>
      </w:pPr>
    </w:p>
    <w:p w:rsidR="00040621" w:rsidRDefault="00134550">
      <w:pPr>
        <w:jc w:val="both"/>
        <w:rPr>
          <w:sz w:val="24"/>
        </w:rPr>
      </w:pPr>
      <w:r>
        <w:rPr>
          <w:sz w:val="24"/>
        </w:rPr>
        <w:t>Dear Mr</w:t>
      </w:r>
      <w:r w:rsidR="00040621">
        <w:rPr>
          <w:sz w:val="24"/>
        </w:rPr>
        <w:t xml:space="preserve">. </w:t>
      </w:r>
      <w:r w:rsidR="008F221D">
        <w:rPr>
          <w:sz w:val="24"/>
        </w:rPr>
        <w:t>King</w:t>
      </w:r>
      <w:r w:rsidR="00040621">
        <w:rPr>
          <w:sz w:val="24"/>
        </w:rPr>
        <w:t>:</w:t>
      </w:r>
    </w:p>
    <w:p w:rsidR="00040621" w:rsidRDefault="00040621" w:rsidP="003953D6">
      <w:pPr>
        <w:ind w:right="360"/>
        <w:jc w:val="both"/>
        <w:rPr>
          <w:sz w:val="24"/>
        </w:rPr>
      </w:pPr>
    </w:p>
    <w:p w:rsidR="00040621" w:rsidRPr="002A3646" w:rsidRDefault="00040621" w:rsidP="009C73F1">
      <w:pPr>
        <w:pStyle w:val="BodyText2"/>
        <w:spacing w:line="360" w:lineRule="auto"/>
        <w:ind w:firstLine="720"/>
      </w:pPr>
      <w:r>
        <w:t xml:space="preserve">Attached for filing </w:t>
      </w:r>
      <w:r w:rsidR="00894254">
        <w:t xml:space="preserve">with the Commission are the Original and seven copies </w:t>
      </w:r>
      <w:r w:rsidRPr="00353210">
        <w:t xml:space="preserve">of </w:t>
      </w:r>
      <w:r w:rsidR="00D23FE7" w:rsidRPr="00353210">
        <w:rPr>
          <w:szCs w:val="24"/>
        </w:rPr>
        <w:t>Avista Corporation’s d</w:t>
      </w:r>
      <w:r w:rsidR="00AF4671">
        <w:rPr>
          <w:szCs w:val="24"/>
        </w:rPr>
        <w:t>/</w:t>
      </w:r>
      <w:r w:rsidR="00D23FE7" w:rsidRPr="00353210">
        <w:rPr>
          <w:szCs w:val="24"/>
        </w:rPr>
        <w:t>b</w:t>
      </w:r>
      <w:r w:rsidR="00AF4671">
        <w:rPr>
          <w:szCs w:val="24"/>
        </w:rPr>
        <w:t>/</w:t>
      </w:r>
      <w:r w:rsidR="00D23FE7" w:rsidRPr="00353210">
        <w:rPr>
          <w:szCs w:val="24"/>
        </w:rPr>
        <w:t xml:space="preserve">a </w:t>
      </w:r>
      <w:r w:rsidR="00D23FE7" w:rsidRPr="002A3646">
        <w:rPr>
          <w:szCs w:val="24"/>
        </w:rPr>
        <w:t>Avista Utilities (“Avista</w:t>
      </w:r>
      <w:r w:rsidR="00AF4671">
        <w:rPr>
          <w:szCs w:val="24"/>
        </w:rPr>
        <w:t>”</w:t>
      </w:r>
      <w:r w:rsidR="00D23FE7" w:rsidRPr="002A3646">
        <w:rPr>
          <w:szCs w:val="24"/>
        </w:rPr>
        <w:t xml:space="preserve"> or </w:t>
      </w:r>
      <w:r w:rsidR="00AF4671">
        <w:rPr>
          <w:szCs w:val="24"/>
        </w:rPr>
        <w:t>“</w:t>
      </w:r>
      <w:r w:rsidR="00D23FE7" w:rsidRPr="002A3646">
        <w:rPr>
          <w:szCs w:val="24"/>
        </w:rPr>
        <w:t>Company”)</w:t>
      </w:r>
      <w:r w:rsidRPr="002A3646">
        <w:t xml:space="preserve"> </w:t>
      </w:r>
      <w:r w:rsidR="00B27409">
        <w:t xml:space="preserve">compliance filing in Docket Nos. </w:t>
      </w:r>
      <w:r w:rsidR="00B27409">
        <w:rPr>
          <w:szCs w:val="24"/>
        </w:rPr>
        <w:t xml:space="preserve">UE-140188 and UG-140189, consisting of the </w:t>
      </w:r>
      <w:r w:rsidR="001D1CCB" w:rsidRPr="00621E15">
        <w:t>proposed Se</w:t>
      </w:r>
      <w:r w:rsidR="00E0314F">
        <w:t>rvice Quality Measures (“SQM”) P</w:t>
      </w:r>
      <w:r w:rsidR="001D1CCB" w:rsidRPr="00621E15">
        <w:t xml:space="preserve">rogram and </w:t>
      </w:r>
      <w:r w:rsidR="00B27409">
        <w:t>accompanying</w:t>
      </w:r>
      <w:r w:rsidR="001D1CCB" w:rsidRPr="00621E15">
        <w:t xml:space="preserve"> tariff</w:t>
      </w:r>
      <w:r w:rsidR="001D1CCB">
        <w:t xml:space="preserve">s, </w:t>
      </w:r>
      <w:r w:rsidR="008F221D" w:rsidRPr="002A3646">
        <w:t>WN U-28</w:t>
      </w:r>
      <w:r w:rsidR="00975CC8">
        <w:t xml:space="preserve"> </w:t>
      </w:r>
      <w:r w:rsidR="001D1CCB">
        <w:t>and WN U-29:</w:t>
      </w:r>
    </w:p>
    <w:p w:rsidR="009D79A8" w:rsidRPr="002A3646" w:rsidRDefault="00353210" w:rsidP="003052A0">
      <w:pPr>
        <w:tabs>
          <w:tab w:val="left" w:pos="5760"/>
          <w:tab w:val="right" w:pos="7920"/>
        </w:tabs>
        <w:ind w:left="1440"/>
        <w:rPr>
          <w:b/>
          <w:sz w:val="24"/>
          <w:u w:val="single"/>
        </w:rPr>
      </w:pPr>
      <w:r w:rsidRPr="002A3646">
        <w:rPr>
          <w:b/>
          <w:sz w:val="24"/>
          <w:u w:val="single"/>
        </w:rPr>
        <w:t>WN U-28</w:t>
      </w:r>
      <w:r w:rsidR="00BD5CED">
        <w:rPr>
          <w:b/>
          <w:sz w:val="24"/>
          <w:u w:val="single"/>
        </w:rPr>
        <w:tab/>
        <w:t>WN U-29</w:t>
      </w:r>
      <w:r w:rsidR="003052A0">
        <w:rPr>
          <w:b/>
          <w:sz w:val="24"/>
          <w:u w:val="single"/>
        </w:rPr>
        <w:tab/>
      </w:r>
    </w:p>
    <w:p w:rsidR="00353210" w:rsidRPr="002A3646" w:rsidRDefault="00353210" w:rsidP="003052A0">
      <w:pPr>
        <w:tabs>
          <w:tab w:val="left" w:pos="5760"/>
        </w:tabs>
        <w:ind w:left="1440"/>
        <w:jc w:val="center"/>
        <w:rPr>
          <w:b/>
          <w:sz w:val="24"/>
          <w:u w:val="single"/>
        </w:rPr>
      </w:pPr>
    </w:p>
    <w:p w:rsidR="00353210" w:rsidRDefault="001D1CCB" w:rsidP="003052A0">
      <w:pPr>
        <w:tabs>
          <w:tab w:val="left" w:pos="4500"/>
          <w:tab w:val="left" w:pos="5760"/>
        </w:tabs>
        <w:ind w:left="1440"/>
        <w:rPr>
          <w:b/>
          <w:sz w:val="24"/>
        </w:rPr>
      </w:pPr>
      <w:r>
        <w:rPr>
          <w:b/>
          <w:sz w:val="24"/>
        </w:rPr>
        <w:t>Original</w:t>
      </w:r>
      <w:r w:rsidR="006561F0">
        <w:rPr>
          <w:b/>
          <w:sz w:val="24"/>
        </w:rPr>
        <w:t xml:space="preserve"> Sheet </w:t>
      </w:r>
      <w:r>
        <w:rPr>
          <w:b/>
          <w:sz w:val="24"/>
        </w:rPr>
        <w:t>85</w:t>
      </w:r>
      <w:r w:rsidR="00BD5CED">
        <w:rPr>
          <w:b/>
          <w:sz w:val="24"/>
        </w:rPr>
        <w:tab/>
      </w:r>
      <w:r w:rsidR="003052A0">
        <w:rPr>
          <w:b/>
          <w:sz w:val="24"/>
        </w:rPr>
        <w:tab/>
      </w:r>
      <w:r w:rsidR="00BD5CED">
        <w:rPr>
          <w:b/>
          <w:sz w:val="24"/>
        </w:rPr>
        <w:t>Original Sheet 185</w:t>
      </w:r>
    </w:p>
    <w:p w:rsidR="00BD5CED" w:rsidRDefault="00BD5CED" w:rsidP="003052A0">
      <w:pPr>
        <w:tabs>
          <w:tab w:val="left" w:pos="4500"/>
          <w:tab w:val="left" w:pos="5760"/>
        </w:tabs>
        <w:ind w:left="1440"/>
        <w:rPr>
          <w:b/>
          <w:sz w:val="24"/>
        </w:rPr>
      </w:pPr>
      <w:r>
        <w:rPr>
          <w:b/>
          <w:sz w:val="24"/>
        </w:rPr>
        <w:t>Original Sheet 85a</w:t>
      </w:r>
      <w:r>
        <w:rPr>
          <w:b/>
          <w:sz w:val="24"/>
        </w:rPr>
        <w:tab/>
      </w:r>
      <w:r w:rsidR="003052A0">
        <w:rPr>
          <w:b/>
          <w:sz w:val="24"/>
        </w:rPr>
        <w:tab/>
      </w:r>
      <w:r>
        <w:rPr>
          <w:b/>
          <w:sz w:val="24"/>
        </w:rPr>
        <w:t>Original Sheet 185a</w:t>
      </w:r>
    </w:p>
    <w:p w:rsidR="00BD5CED" w:rsidRDefault="00BD5CED" w:rsidP="003052A0">
      <w:pPr>
        <w:tabs>
          <w:tab w:val="left" w:pos="4500"/>
          <w:tab w:val="left" w:pos="5760"/>
        </w:tabs>
        <w:ind w:left="1440"/>
        <w:rPr>
          <w:b/>
          <w:sz w:val="24"/>
        </w:rPr>
      </w:pPr>
      <w:r>
        <w:rPr>
          <w:b/>
          <w:sz w:val="24"/>
        </w:rPr>
        <w:t>Original Sheet 85b</w:t>
      </w:r>
      <w:r>
        <w:rPr>
          <w:b/>
          <w:sz w:val="24"/>
        </w:rPr>
        <w:tab/>
      </w:r>
      <w:r w:rsidR="003052A0">
        <w:rPr>
          <w:b/>
          <w:sz w:val="24"/>
        </w:rPr>
        <w:tab/>
      </w:r>
      <w:r>
        <w:rPr>
          <w:b/>
          <w:sz w:val="24"/>
        </w:rPr>
        <w:t>Original Sheet 185b</w:t>
      </w:r>
    </w:p>
    <w:p w:rsidR="00BD5CED" w:rsidRDefault="00BD5CED" w:rsidP="003052A0">
      <w:pPr>
        <w:tabs>
          <w:tab w:val="left" w:pos="4500"/>
          <w:tab w:val="left" w:pos="5760"/>
        </w:tabs>
        <w:ind w:left="1440"/>
        <w:rPr>
          <w:b/>
          <w:sz w:val="24"/>
        </w:rPr>
      </w:pPr>
      <w:r>
        <w:rPr>
          <w:b/>
          <w:sz w:val="24"/>
        </w:rPr>
        <w:t>Original Sheet 85c</w:t>
      </w:r>
      <w:r>
        <w:rPr>
          <w:b/>
          <w:sz w:val="24"/>
        </w:rPr>
        <w:tab/>
      </w:r>
      <w:r w:rsidR="003052A0">
        <w:rPr>
          <w:b/>
          <w:sz w:val="24"/>
        </w:rPr>
        <w:tab/>
      </w:r>
      <w:r>
        <w:rPr>
          <w:b/>
          <w:sz w:val="24"/>
        </w:rPr>
        <w:t>Original Sheet 185c</w:t>
      </w:r>
    </w:p>
    <w:p w:rsidR="00BD5CED" w:rsidRDefault="00BD5CED" w:rsidP="003052A0">
      <w:pPr>
        <w:tabs>
          <w:tab w:val="left" w:pos="4500"/>
          <w:tab w:val="left" w:pos="5760"/>
        </w:tabs>
        <w:ind w:left="1440"/>
        <w:rPr>
          <w:b/>
          <w:sz w:val="24"/>
        </w:rPr>
      </w:pPr>
      <w:r>
        <w:rPr>
          <w:b/>
          <w:sz w:val="24"/>
        </w:rPr>
        <w:t>Original Sheet 85d</w:t>
      </w:r>
    </w:p>
    <w:p w:rsidR="00BD5CED" w:rsidRPr="002A3646" w:rsidRDefault="00BD5CED" w:rsidP="002A3646">
      <w:pPr>
        <w:tabs>
          <w:tab w:val="left" w:pos="4500"/>
          <w:tab w:val="left" w:pos="5760"/>
        </w:tabs>
        <w:ind w:left="720"/>
        <w:rPr>
          <w:b/>
          <w:sz w:val="24"/>
        </w:rPr>
      </w:pPr>
    </w:p>
    <w:p w:rsidR="007C4DFB" w:rsidRDefault="00C87E5A" w:rsidP="00975CC8">
      <w:pPr>
        <w:suppressAutoHyphens/>
        <w:spacing w:line="360" w:lineRule="auto"/>
        <w:jc w:val="both"/>
        <w:rPr>
          <w:sz w:val="24"/>
          <w:szCs w:val="24"/>
        </w:rPr>
      </w:pPr>
      <w:r w:rsidRPr="00C87E5A">
        <w:rPr>
          <w:sz w:val="24"/>
          <w:szCs w:val="24"/>
        </w:rPr>
        <w:t xml:space="preserve">  </w:t>
      </w:r>
    </w:p>
    <w:p w:rsidR="001D1CCB" w:rsidRPr="001D1CCB" w:rsidRDefault="001D1CCB" w:rsidP="001D1CCB">
      <w:pPr>
        <w:pStyle w:val="Header"/>
        <w:tabs>
          <w:tab w:val="clear" w:pos="4320"/>
          <w:tab w:val="clear" w:pos="8640"/>
          <w:tab w:val="left" w:pos="720"/>
        </w:tabs>
        <w:spacing w:line="360" w:lineRule="auto"/>
        <w:ind w:left="245"/>
        <w:jc w:val="both"/>
        <w:rPr>
          <w:color w:val="000000" w:themeColor="text1"/>
          <w:sz w:val="24"/>
          <w:szCs w:val="24"/>
        </w:rPr>
      </w:pPr>
      <w:r>
        <w:rPr>
          <w:rFonts w:cs="Arial"/>
          <w:sz w:val="24"/>
          <w:szCs w:val="24"/>
        </w:rPr>
        <w:tab/>
      </w:r>
      <w:r w:rsidRPr="001D1CCB">
        <w:rPr>
          <w:rFonts w:cs="Arial"/>
          <w:sz w:val="24"/>
          <w:szCs w:val="24"/>
        </w:rPr>
        <w:t xml:space="preserve">In </w:t>
      </w:r>
      <w:r w:rsidR="00B27409">
        <w:rPr>
          <w:rFonts w:cs="Arial"/>
          <w:sz w:val="24"/>
          <w:szCs w:val="24"/>
        </w:rPr>
        <w:t>Avista’s</w:t>
      </w:r>
      <w:r w:rsidRPr="001D1CCB">
        <w:rPr>
          <w:rFonts w:cs="Arial"/>
          <w:sz w:val="24"/>
          <w:szCs w:val="24"/>
        </w:rPr>
        <w:t xml:space="preserve"> 2014 general rate case,</w:t>
      </w:r>
      <w:r w:rsidRPr="001D1CCB">
        <w:rPr>
          <w:rStyle w:val="FootnoteReference"/>
          <w:rFonts w:cs="Arial"/>
          <w:sz w:val="24"/>
          <w:szCs w:val="24"/>
        </w:rPr>
        <w:footnoteReference w:id="1"/>
      </w:r>
      <w:r w:rsidRPr="001D1CCB">
        <w:rPr>
          <w:color w:val="000000" w:themeColor="text1"/>
          <w:sz w:val="24"/>
          <w:szCs w:val="24"/>
        </w:rPr>
        <w:t xml:space="preserve"> </w:t>
      </w:r>
      <w:r w:rsidR="00B27409">
        <w:rPr>
          <w:color w:val="000000" w:themeColor="text1"/>
          <w:sz w:val="24"/>
          <w:szCs w:val="24"/>
        </w:rPr>
        <w:t xml:space="preserve">the Commission approved a </w:t>
      </w:r>
      <w:r w:rsidRPr="001D1CCB">
        <w:rPr>
          <w:color w:val="000000" w:themeColor="text1"/>
          <w:sz w:val="24"/>
          <w:szCs w:val="24"/>
        </w:rPr>
        <w:t>Settlement Stipulation among the Parties,</w:t>
      </w:r>
      <w:r w:rsidR="00B27409">
        <w:rPr>
          <w:color w:val="000000" w:themeColor="text1"/>
          <w:sz w:val="24"/>
          <w:szCs w:val="24"/>
        </w:rPr>
        <w:t xml:space="preserve"> which provided that</w:t>
      </w:r>
      <w:r w:rsidRPr="001D1CCB">
        <w:rPr>
          <w:color w:val="000000" w:themeColor="text1"/>
          <w:sz w:val="24"/>
          <w:szCs w:val="24"/>
        </w:rPr>
        <w:t>:</w:t>
      </w:r>
    </w:p>
    <w:p w:rsidR="001D1CCB" w:rsidRPr="001D1CCB" w:rsidRDefault="001D1CCB" w:rsidP="003953D6">
      <w:pPr>
        <w:pStyle w:val="Header"/>
        <w:tabs>
          <w:tab w:val="clear" w:pos="4320"/>
          <w:tab w:val="clear" w:pos="8640"/>
          <w:tab w:val="left" w:pos="720"/>
        </w:tabs>
        <w:ind w:left="720" w:right="360"/>
        <w:jc w:val="both"/>
        <w:rPr>
          <w:color w:val="000000" w:themeColor="text1"/>
          <w:sz w:val="24"/>
          <w:szCs w:val="24"/>
        </w:rPr>
      </w:pPr>
      <w:r w:rsidRPr="001D1CCB">
        <w:rPr>
          <w:i/>
          <w:color w:val="000000" w:themeColor="text1"/>
          <w:sz w:val="24"/>
          <w:szCs w:val="24"/>
        </w:rPr>
        <w:lastRenderedPageBreak/>
        <w:t xml:space="preserve">Avista agrees to meet with Staff and interested parties to develop and implement appropriate service quality metrics, customer guarantees, and reporting, along with agreed upon tariff revisions filed on or before June 1, 2015, with a program in place July 1, 2015. (Order 05, Appendix </w:t>
      </w:r>
      <w:proofErr w:type="gramStart"/>
      <w:r w:rsidRPr="001D1CCB">
        <w:rPr>
          <w:i/>
          <w:color w:val="000000" w:themeColor="text1"/>
          <w:sz w:val="24"/>
          <w:szCs w:val="24"/>
        </w:rPr>
        <w:t>A</w:t>
      </w:r>
      <w:proofErr w:type="gramEnd"/>
      <w:r w:rsidRPr="001D1CCB">
        <w:rPr>
          <w:i/>
          <w:color w:val="000000" w:themeColor="text1"/>
          <w:sz w:val="24"/>
          <w:szCs w:val="24"/>
        </w:rPr>
        <w:t xml:space="preserve"> Settlement Stipulation at page 11)</w:t>
      </w:r>
    </w:p>
    <w:p w:rsidR="001D1CCB" w:rsidRPr="001D1CCB" w:rsidRDefault="001D1CCB" w:rsidP="001D1CCB">
      <w:pPr>
        <w:pStyle w:val="Header"/>
        <w:tabs>
          <w:tab w:val="clear" w:pos="4320"/>
          <w:tab w:val="clear" w:pos="8640"/>
          <w:tab w:val="left" w:pos="720"/>
        </w:tabs>
        <w:spacing w:line="480" w:lineRule="auto"/>
        <w:ind w:left="240"/>
        <w:jc w:val="both"/>
        <w:rPr>
          <w:sz w:val="24"/>
          <w:szCs w:val="24"/>
        </w:rPr>
      </w:pPr>
    </w:p>
    <w:p w:rsidR="001D1CCB" w:rsidRPr="001D1CCB" w:rsidRDefault="001D1CCB" w:rsidP="001D1CCB">
      <w:pPr>
        <w:pStyle w:val="Header"/>
        <w:tabs>
          <w:tab w:val="clear" w:pos="4320"/>
          <w:tab w:val="clear" w:pos="8640"/>
          <w:tab w:val="left" w:pos="720"/>
        </w:tabs>
        <w:spacing w:line="360" w:lineRule="auto"/>
        <w:ind w:left="245"/>
        <w:jc w:val="both"/>
        <w:rPr>
          <w:sz w:val="24"/>
          <w:szCs w:val="24"/>
        </w:rPr>
      </w:pPr>
      <w:r>
        <w:rPr>
          <w:sz w:val="24"/>
          <w:szCs w:val="24"/>
        </w:rPr>
        <w:tab/>
      </w:r>
      <w:r w:rsidRPr="001D1CCB">
        <w:rPr>
          <w:sz w:val="24"/>
          <w:szCs w:val="24"/>
        </w:rPr>
        <w:t>On February 19,</w:t>
      </w:r>
      <w:r w:rsidRPr="001D1CCB">
        <w:rPr>
          <w:rFonts w:cs="Arial"/>
          <w:sz w:val="24"/>
          <w:szCs w:val="24"/>
        </w:rPr>
        <w:t xml:space="preserve"> 2015, Avista invited all parties</w:t>
      </w:r>
      <w:r w:rsidRPr="001D1CCB">
        <w:rPr>
          <w:rStyle w:val="FootnoteReference"/>
          <w:sz w:val="24"/>
          <w:szCs w:val="24"/>
        </w:rPr>
        <w:footnoteReference w:id="2"/>
      </w:r>
      <w:r w:rsidRPr="001D1CCB">
        <w:rPr>
          <w:rFonts w:cs="Arial"/>
          <w:sz w:val="24"/>
          <w:szCs w:val="24"/>
        </w:rPr>
        <w:t xml:space="preserve"> to its recently concluded general rate case, Docket Nos. </w:t>
      </w:r>
      <w:proofErr w:type="spellStart"/>
      <w:r w:rsidR="008B7E78">
        <w:rPr>
          <w:sz w:val="24"/>
          <w:szCs w:val="24"/>
        </w:rPr>
        <w:t>UE</w:t>
      </w:r>
      <w:proofErr w:type="spellEnd"/>
      <w:r w:rsidR="008B7E78">
        <w:rPr>
          <w:sz w:val="24"/>
          <w:szCs w:val="24"/>
        </w:rPr>
        <w:t xml:space="preserve">-140188 and </w:t>
      </w:r>
      <w:proofErr w:type="spellStart"/>
      <w:r w:rsidR="008B7E78">
        <w:rPr>
          <w:sz w:val="24"/>
          <w:szCs w:val="24"/>
        </w:rPr>
        <w:t>UG</w:t>
      </w:r>
      <w:proofErr w:type="spellEnd"/>
      <w:r w:rsidR="008B7E78">
        <w:rPr>
          <w:sz w:val="24"/>
          <w:szCs w:val="24"/>
        </w:rPr>
        <w:t>-140189 (C</w:t>
      </w:r>
      <w:r w:rsidRPr="001D1CCB">
        <w:rPr>
          <w:sz w:val="24"/>
          <w:szCs w:val="24"/>
        </w:rPr>
        <w:t xml:space="preserve">onsolidated), to </w:t>
      </w:r>
      <w:r w:rsidRPr="001D1CCB">
        <w:rPr>
          <w:rFonts w:cs="Arial"/>
          <w:sz w:val="24"/>
          <w:szCs w:val="24"/>
        </w:rPr>
        <w:t xml:space="preserve">participate in developing service quality metrics, customer guarantees, and reporting. </w:t>
      </w:r>
      <w:r w:rsidR="00B27409">
        <w:rPr>
          <w:rFonts w:cs="Arial"/>
          <w:sz w:val="24"/>
          <w:szCs w:val="24"/>
        </w:rPr>
        <w:t xml:space="preserve">Avista, </w:t>
      </w:r>
      <w:r w:rsidR="00894254">
        <w:rPr>
          <w:rFonts w:cs="Arial"/>
          <w:sz w:val="24"/>
          <w:szCs w:val="24"/>
        </w:rPr>
        <w:t>Commission Staff (“Staff”), the</w:t>
      </w:r>
      <w:r w:rsidR="00B27409">
        <w:rPr>
          <w:rFonts w:cs="Arial"/>
          <w:sz w:val="24"/>
          <w:szCs w:val="24"/>
        </w:rPr>
        <w:t xml:space="preserve"> Public Counsel</w:t>
      </w:r>
      <w:r w:rsidR="00894254">
        <w:rPr>
          <w:rFonts w:cs="Arial"/>
          <w:sz w:val="24"/>
          <w:szCs w:val="24"/>
        </w:rPr>
        <w:t xml:space="preserve"> Unit of the Attorney General (“Public Counsel”)</w:t>
      </w:r>
      <w:r w:rsidR="00B27409">
        <w:rPr>
          <w:rFonts w:cs="Arial"/>
          <w:sz w:val="24"/>
          <w:szCs w:val="24"/>
        </w:rPr>
        <w:t>, and the Energy Project (hereinafter the “Parties”) participated in a series of discussions on appropriate service quality measures</w:t>
      </w:r>
      <w:r w:rsidR="00BC0561">
        <w:rPr>
          <w:rFonts w:cs="Arial"/>
          <w:sz w:val="24"/>
          <w:szCs w:val="24"/>
        </w:rPr>
        <w:t>.</w:t>
      </w:r>
      <w:r w:rsidR="00B27409">
        <w:rPr>
          <w:rFonts w:cs="Arial"/>
          <w:sz w:val="24"/>
          <w:szCs w:val="24"/>
        </w:rPr>
        <w:t xml:space="preserve"> </w:t>
      </w:r>
      <w:r w:rsidRPr="001D1CCB">
        <w:rPr>
          <w:rFonts w:cs="Arial"/>
          <w:sz w:val="24"/>
          <w:szCs w:val="24"/>
        </w:rPr>
        <w:t xml:space="preserve">The initial discussion </w:t>
      </w:r>
      <w:proofErr w:type="gramStart"/>
      <w:r w:rsidRPr="001D1CCB">
        <w:rPr>
          <w:rFonts w:cs="Arial"/>
          <w:sz w:val="24"/>
          <w:szCs w:val="24"/>
        </w:rPr>
        <w:t>was held</w:t>
      </w:r>
      <w:proofErr w:type="gramEnd"/>
      <w:r w:rsidRPr="001D1CCB">
        <w:rPr>
          <w:rFonts w:cs="Arial"/>
          <w:sz w:val="24"/>
          <w:szCs w:val="24"/>
        </w:rPr>
        <w:t xml:space="preserve"> among the </w:t>
      </w:r>
      <w:r w:rsidR="00B27409">
        <w:rPr>
          <w:rFonts w:cs="Arial"/>
          <w:sz w:val="24"/>
          <w:szCs w:val="24"/>
        </w:rPr>
        <w:t>Parties</w:t>
      </w:r>
      <w:r w:rsidRPr="001D1CCB">
        <w:rPr>
          <w:rFonts w:cs="Arial"/>
          <w:sz w:val="24"/>
          <w:szCs w:val="24"/>
        </w:rPr>
        <w:t xml:space="preserve"> via telephone on March 4, 2015. Additional conference calls were held on March 18, April 7, April 9, April 28, and May 7, 2015.  </w:t>
      </w:r>
      <w:r w:rsidR="00BC0561">
        <w:rPr>
          <w:rFonts w:cs="Arial"/>
          <w:sz w:val="24"/>
          <w:szCs w:val="24"/>
        </w:rPr>
        <w:t xml:space="preserve">The Parties </w:t>
      </w:r>
      <w:r w:rsidR="00A344B6">
        <w:rPr>
          <w:rFonts w:cs="Arial"/>
          <w:sz w:val="24"/>
          <w:szCs w:val="24"/>
        </w:rPr>
        <w:t>were able to reach consensus on the measures described below</w:t>
      </w:r>
      <w:r w:rsidR="00BC0561">
        <w:rPr>
          <w:rFonts w:cs="Arial"/>
          <w:sz w:val="24"/>
          <w:szCs w:val="24"/>
        </w:rPr>
        <w:t xml:space="preserve">. </w:t>
      </w:r>
      <w:r w:rsidR="00B27409">
        <w:rPr>
          <w:rFonts w:cs="Arial"/>
          <w:sz w:val="24"/>
          <w:szCs w:val="24"/>
        </w:rPr>
        <w:t>The</w:t>
      </w:r>
      <w:r w:rsidR="00A344B6">
        <w:rPr>
          <w:rFonts w:cs="Arial"/>
          <w:sz w:val="24"/>
          <w:szCs w:val="24"/>
        </w:rPr>
        <w:t>se</w:t>
      </w:r>
      <w:r w:rsidR="00B27409">
        <w:rPr>
          <w:rFonts w:cs="Arial"/>
          <w:sz w:val="24"/>
          <w:szCs w:val="24"/>
        </w:rPr>
        <w:t xml:space="preserve"> measures </w:t>
      </w:r>
      <w:proofErr w:type="gramStart"/>
      <w:r w:rsidR="00B27409">
        <w:rPr>
          <w:rFonts w:cs="Arial"/>
          <w:sz w:val="24"/>
          <w:szCs w:val="24"/>
        </w:rPr>
        <w:t xml:space="preserve">are </w:t>
      </w:r>
      <w:r w:rsidRPr="001D1CCB">
        <w:rPr>
          <w:rFonts w:cs="Arial"/>
          <w:sz w:val="24"/>
          <w:szCs w:val="24"/>
        </w:rPr>
        <w:t xml:space="preserve">proposed </w:t>
      </w:r>
      <w:r w:rsidR="003F6C9F">
        <w:rPr>
          <w:rFonts w:cs="Arial"/>
          <w:sz w:val="24"/>
          <w:szCs w:val="24"/>
        </w:rPr>
        <w:t>to be implemented</w:t>
      </w:r>
      <w:proofErr w:type="gramEnd"/>
      <w:r w:rsidR="00BC0561">
        <w:rPr>
          <w:rFonts w:cs="Arial"/>
          <w:sz w:val="24"/>
          <w:szCs w:val="24"/>
        </w:rPr>
        <w:t xml:space="preserve"> </w:t>
      </w:r>
      <w:r w:rsidR="00A344B6">
        <w:rPr>
          <w:rFonts w:cs="Arial"/>
          <w:sz w:val="24"/>
          <w:szCs w:val="24"/>
        </w:rPr>
        <w:t xml:space="preserve">by Avista </w:t>
      </w:r>
      <w:r w:rsidR="00BC0561">
        <w:rPr>
          <w:rFonts w:cs="Arial"/>
          <w:sz w:val="24"/>
          <w:szCs w:val="24"/>
        </w:rPr>
        <w:t>effective July 1, 2015.</w:t>
      </w:r>
    </w:p>
    <w:p w:rsidR="001D1CCB" w:rsidRDefault="001D1CCB" w:rsidP="001D1CCB">
      <w:pPr>
        <w:spacing w:line="480" w:lineRule="auto"/>
        <w:ind w:left="245"/>
        <w:jc w:val="center"/>
        <w:rPr>
          <w:b/>
        </w:rPr>
      </w:pPr>
    </w:p>
    <w:p w:rsidR="001D1CCB" w:rsidRPr="001D1CCB" w:rsidRDefault="001D1CCB" w:rsidP="001D1CCB">
      <w:pPr>
        <w:spacing w:line="360" w:lineRule="auto"/>
        <w:ind w:left="245"/>
        <w:jc w:val="center"/>
        <w:rPr>
          <w:b/>
          <w:sz w:val="24"/>
          <w:szCs w:val="24"/>
        </w:rPr>
      </w:pPr>
      <w:r w:rsidRPr="001D1CCB">
        <w:rPr>
          <w:b/>
          <w:sz w:val="24"/>
          <w:szCs w:val="24"/>
        </w:rPr>
        <w:t>PROPOSED SERVICE QUALITY MEASURES PROGRAM</w:t>
      </w:r>
    </w:p>
    <w:p w:rsidR="001D1CCB" w:rsidRPr="001D1CCB" w:rsidRDefault="001D1CCB" w:rsidP="001D1CCB">
      <w:pPr>
        <w:spacing w:line="360" w:lineRule="auto"/>
        <w:ind w:left="245" w:firstLine="475"/>
        <w:jc w:val="both"/>
        <w:rPr>
          <w:b/>
          <w:sz w:val="24"/>
          <w:szCs w:val="24"/>
        </w:rPr>
      </w:pPr>
      <w:r w:rsidRPr="001D1CCB">
        <w:rPr>
          <w:sz w:val="24"/>
          <w:szCs w:val="24"/>
        </w:rPr>
        <w:t xml:space="preserve">Under its service quality program, the Parties agree that Avista </w:t>
      </w:r>
      <w:r w:rsidR="005F28DD">
        <w:rPr>
          <w:sz w:val="24"/>
          <w:szCs w:val="24"/>
        </w:rPr>
        <w:t>will</w:t>
      </w:r>
      <w:r w:rsidRPr="001D1CCB">
        <w:rPr>
          <w:sz w:val="24"/>
          <w:szCs w:val="24"/>
        </w:rPr>
        <w:t xml:space="preserve"> track and report its annual performance in meeting the benchmarks established for 13 individual measures of customer service quality, and will report its annual results for two measures of electric system reliability. These 15 measures are grouped into three categories that include Customer Service, Electric System Reliability, and Customer Guarantees. Fourteen of the measures apply to the Company’s electric service</w:t>
      </w:r>
      <w:r w:rsidR="003F6C9F">
        <w:rPr>
          <w:sz w:val="24"/>
          <w:szCs w:val="24"/>
        </w:rPr>
        <w:t>,</w:t>
      </w:r>
      <w:r w:rsidRPr="001D1CCB">
        <w:rPr>
          <w:sz w:val="24"/>
          <w:szCs w:val="24"/>
        </w:rPr>
        <w:t xml:space="preserve"> and </w:t>
      </w:r>
      <w:proofErr w:type="gramStart"/>
      <w:r w:rsidRPr="001D1CCB">
        <w:rPr>
          <w:sz w:val="24"/>
          <w:szCs w:val="24"/>
        </w:rPr>
        <w:t>9</w:t>
      </w:r>
      <w:proofErr w:type="gramEnd"/>
      <w:r w:rsidRPr="001D1CCB">
        <w:rPr>
          <w:sz w:val="24"/>
          <w:szCs w:val="24"/>
        </w:rPr>
        <w:t xml:space="preserve"> measures are applicable to natural gas service. A description of the measures and respective benchmark</w:t>
      </w:r>
      <w:r w:rsidR="003F6C9F">
        <w:rPr>
          <w:sz w:val="24"/>
          <w:szCs w:val="24"/>
        </w:rPr>
        <w:t>s</w:t>
      </w:r>
      <w:r w:rsidRPr="001D1CCB">
        <w:rPr>
          <w:sz w:val="24"/>
          <w:szCs w:val="24"/>
        </w:rPr>
        <w:t xml:space="preserve"> </w:t>
      </w:r>
      <w:proofErr w:type="gramStart"/>
      <w:r w:rsidRPr="001D1CCB">
        <w:rPr>
          <w:sz w:val="24"/>
          <w:szCs w:val="24"/>
        </w:rPr>
        <w:t>is provided</w:t>
      </w:r>
      <w:proofErr w:type="gramEnd"/>
      <w:r w:rsidRPr="001D1CCB">
        <w:rPr>
          <w:sz w:val="24"/>
          <w:szCs w:val="24"/>
        </w:rPr>
        <w:t xml:space="preserve"> below.</w:t>
      </w:r>
    </w:p>
    <w:p w:rsidR="001D1CCB" w:rsidRPr="00621E15" w:rsidRDefault="001D1CCB" w:rsidP="001D1CCB">
      <w:pPr>
        <w:spacing w:line="480" w:lineRule="auto"/>
        <w:ind w:left="245"/>
        <w:jc w:val="both"/>
        <w:rPr>
          <w:b/>
        </w:rPr>
      </w:pPr>
    </w:p>
    <w:p w:rsidR="001D1CCB" w:rsidRPr="001D1CCB" w:rsidRDefault="001D1CCB" w:rsidP="00494D5F">
      <w:pPr>
        <w:spacing w:line="480" w:lineRule="auto"/>
        <w:ind w:left="245"/>
        <w:jc w:val="both"/>
        <w:rPr>
          <w:b/>
          <w:sz w:val="24"/>
          <w:szCs w:val="24"/>
        </w:rPr>
      </w:pPr>
      <w:r w:rsidRPr="001D1CCB">
        <w:rPr>
          <w:b/>
          <w:sz w:val="24"/>
          <w:szCs w:val="24"/>
        </w:rPr>
        <w:t>A.</w:t>
      </w:r>
      <w:r w:rsidRPr="001D1CCB">
        <w:rPr>
          <w:b/>
          <w:sz w:val="24"/>
          <w:szCs w:val="24"/>
        </w:rPr>
        <w:tab/>
        <w:t xml:space="preserve">Customer Service Measures </w:t>
      </w:r>
      <w:r w:rsidRPr="001D1CCB">
        <w:rPr>
          <w:sz w:val="24"/>
          <w:szCs w:val="24"/>
        </w:rPr>
        <w:t>(6 Measures)</w:t>
      </w:r>
    </w:p>
    <w:p w:rsidR="001D1CCB" w:rsidRPr="001D1CCB" w:rsidRDefault="001D1CCB" w:rsidP="00494D5F">
      <w:pPr>
        <w:pStyle w:val="BodyText2"/>
        <w:autoSpaceDE w:val="0"/>
        <w:autoSpaceDN w:val="0"/>
        <w:ind w:left="720" w:hanging="360"/>
        <w:rPr>
          <w:szCs w:val="24"/>
        </w:rPr>
      </w:pPr>
      <w:r w:rsidRPr="001D1CCB">
        <w:rPr>
          <w:szCs w:val="24"/>
        </w:rPr>
        <w:t xml:space="preserve">1. </w:t>
      </w:r>
      <w:r w:rsidRPr="001D1CCB">
        <w:rPr>
          <w:szCs w:val="24"/>
        </w:rPr>
        <w:tab/>
        <w:t xml:space="preserve">The level of customer satisfaction with </w:t>
      </w:r>
      <w:r w:rsidRPr="003F6C9F">
        <w:rPr>
          <w:szCs w:val="24"/>
          <w:u w:val="single"/>
        </w:rPr>
        <w:t>telephone service</w:t>
      </w:r>
      <w:r w:rsidRPr="001D1CCB">
        <w:rPr>
          <w:szCs w:val="24"/>
        </w:rPr>
        <w:t>, as provided by the Company’s Customer Contact Center, will be at least 90 percent, where:</w:t>
      </w:r>
    </w:p>
    <w:p w:rsidR="001D1CCB" w:rsidRPr="001D1CCB" w:rsidRDefault="001D1CCB" w:rsidP="00494D5F">
      <w:pPr>
        <w:pStyle w:val="BodyText2"/>
        <w:autoSpaceDE w:val="0"/>
        <w:autoSpaceDN w:val="0"/>
        <w:ind w:left="720" w:hanging="360"/>
        <w:rPr>
          <w:szCs w:val="24"/>
        </w:rPr>
      </w:pPr>
    </w:p>
    <w:p w:rsidR="001D1CCB" w:rsidRPr="001D1CCB" w:rsidRDefault="001D1CCB" w:rsidP="00494D5F">
      <w:pPr>
        <w:pStyle w:val="BodyText2"/>
        <w:numPr>
          <w:ilvl w:val="0"/>
          <w:numId w:val="17"/>
        </w:numPr>
        <w:autoSpaceDE w:val="0"/>
        <w:autoSpaceDN w:val="0"/>
        <w:ind w:left="1170"/>
        <w:rPr>
          <w:szCs w:val="24"/>
        </w:rPr>
      </w:pPr>
      <w:r w:rsidRPr="001D1CCB">
        <w:rPr>
          <w:szCs w:val="24"/>
        </w:rPr>
        <w:t>The measure of customer satisfaction is based on customers who respond to Avista’s quarterly survey of customer satisfaction, known as the Voice of the Customer, as conducted by it</w:t>
      </w:r>
      <w:r w:rsidR="008B7E78">
        <w:rPr>
          <w:szCs w:val="24"/>
        </w:rPr>
        <w:t>s independent survey contractor;</w:t>
      </w:r>
    </w:p>
    <w:p w:rsidR="001D1CCB" w:rsidRPr="001D1CCB" w:rsidRDefault="001D1CCB" w:rsidP="00494D5F">
      <w:pPr>
        <w:pStyle w:val="BodyText2"/>
        <w:autoSpaceDE w:val="0"/>
        <w:autoSpaceDN w:val="0"/>
        <w:ind w:left="1170"/>
        <w:rPr>
          <w:szCs w:val="24"/>
        </w:rPr>
      </w:pPr>
    </w:p>
    <w:p w:rsidR="001D1CCB" w:rsidRPr="001D1CCB" w:rsidRDefault="001D1CCB" w:rsidP="00494D5F">
      <w:pPr>
        <w:pStyle w:val="BodyText2"/>
        <w:numPr>
          <w:ilvl w:val="0"/>
          <w:numId w:val="17"/>
        </w:numPr>
        <w:autoSpaceDE w:val="0"/>
        <w:autoSpaceDN w:val="0"/>
        <w:ind w:left="1170"/>
        <w:rPr>
          <w:szCs w:val="24"/>
        </w:rPr>
      </w:pPr>
      <w:r w:rsidRPr="001D1CCB">
        <w:rPr>
          <w:szCs w:val="24"/>
        </w:rPr>
        <w:lastRenderedPageBreak/>
        <w:t>The measure of satisfaction is based on customers participating in the survey who report the level of their service satisfaction as either “satisfied” or “very satisfied;” and</w:t>
      </w:r>
    </w:p>
    <w:p w:rsidR="001D1CCB" w:rsidRPr="001D1CCB" w:rsidRDefault="001D1CCB" w:rsidP="00494D5F">
      <w:pPr>
        <w:pStyle w:val="BodyText2"/>
        <w:autoSpaceDE w:val="0"/>
        <w:autoSpaceDN w:val="0"/>
        <w:ind w:left="1170"/>
        <w:rPr>
          <w:szCs w:val="24"/>
        </w:rPr>
      </w:pPr>
    </w:p>
    <w:p w:rsidR="001D1CCB" w:rsidRPr="001D1CCB" w:rsidRDefault="001D1CCB" w:rsidP="00494D5F">
      <w:pPr>
        <w:pStyle w:val="BodyText2"/>
        <w:numPr>
          <w:ilvl w:val="0"/>
          <w:numId w:val="17"/>
        </w:numPr>
        <w:autoSpaceDE w:val="0"/>
        <w:autoSpaceDN w:val="0"/>
        <w:ind w:left="1170"/>
        <w:rPr>
          <w:szCs w:val="24"/>
        </w:rPr>
      </w:pPr>
      <w:r w:rsidRPr="001D1CCB">
        <w:rPr>
          <w:szCs w:val="24"/>
        </w:rPr>
        <w:t xml:space="preserve">The measure of satisfaction is </w:t>
      </w:r>
      <w:r w:rsidR="0003671D">
        <w:t xml:space="preserve">based on the </w:t>
      </w:r>
      <w:proofErr w:type="gramStart"/>
      <w:r w:rsidR="0003671D">
        <w:t>statistically-significant</w:t>
      </w:r>
      <w:proofErr w:type="gramEnd"/>
      <w:r w:rsidR="0003671D">
        <w:t xml:space="preserve"> survey results </w:t>
      </w:r>
      <w:r w:rsidRPr="001D1CCB">
        <w:rPr>
          <w:szCs w:val="24"/>
        </w:rPr>
        <w:t>for both electric and natural gas service for Avista’s entire service territory for the calendar year</w:t>
      </w:r>
      <w:r w:rsidR="003F6C9F">
        <w:rPr>
          <w:szCs w:val="24"/>
        </w:rPr>
        <w:t>, and if possible</w:t>
      </w:r>
      <w:r w:rsidR="003F6C9F">
        <w:rPr>
          <w:rStyle w:val="FootnoteReference"/>
          <w:szCs w:val="24"/>
        </w:rPr>
        <w:footnoteReference w:id="3"/>
      </w:r>
      <w:r w:rsidR="003F6C9F">
        <w:rPr>
          <w:szCs w:val="24"/>
        </w:rPr>
        <w:t>, will also be reported for Washington customers only</w:t>
      </w:r>
      <w:r w:rsidRPr="001D1CCB">
        <w:rPr>
          <w:szCs w:val="24"/>
        </w:rPr>
        <w:t>.</w:t>
      </w:r>
    </w:p>
    <w:p w:rsidR="001D1CCB" w:rsidRPr="001D1CCB" w:rsidRDefault="001D1CCB" w:rsidP="00494D5F">
      <w:pPr>
        <w:pStyle w:val="BodyText2"/>
        <w:autoSpaceDE w:val="0"/>
        <w:autoSpaceDN w:val="0"/>
        <w:ind w:left="240"/>
        <w:jc w:val="left"/>
        <w:rPr>
          <w:szCs w:val="24"/>
        </w:rPr>
      </w:pPr>
    </w:p>
    <w:p w:rsidR="001D1CCB" w:rsidRPr="001D1CCB" w:rsidRDefault="001D1CCB" w:rsidP="00494D5F">
      <w:pPr>
        <w:pStyle w:val="BodyText2"/>
        <w:autoSpaceDE w:val="0"/>
        <w:autoSpaceDN w:val="0"/>
        <w:ind w:left="720" w:hanging="360"/>
        <w:rPr>
          <w:szCs w:val="24"/>
        </w:rPr>
      </w:pPr>
      <w:r w:rsidRPr="001D1CCB">
        <w:rPr>
          <w:szCs w:val="24"/>
        </w:rPr>
        <w:t>2.</w:t>
      </w:r>
      <w:r w:rsidRPr="001D1CCB">
        <w:rPr>
          <w:szCs w:val="24"/>
        </w:rPr>
        <w:tab/>
        <w:t xml:space="preserve">The level of customer satisfaction with the Company’s </w:t>
      </w:r>
      <w:r w:rsidRPr="008561EF">
        <w:rPr>
          <w:szCs w:val="24"/>
          <w:u w:val="single"/>
        </w:rPr>
        <w:t>field services</w:t>
      </w:r>
      <w:r w:rsidRPr="001D1CCB">
        <w:rPr>
          <w:szCs w:val="24"/>
        </w:rPr>
        <w:t xml:space="preserve"> will be at least 90 percent, where:</w:t>
      </w:r>
    </w:p>
    <w:p w:rsidR="001D1CCB" w:rsidRPr="001D1CCB" w:rsidRDefault="001D1CCB" w:rsidP="001D1CCB">
      <w:pPr>
        <w:pStyle w:val="BodyText2"/>
        <w:autoSpaceDE w:val="0"/>
        <w:autoSpaceDN w:val="0"/>
        <w:ind w:left="720" w:right="-360" w:hanging="360"/>
        <w:rPr>
          <w:szCs w:val="24"/>
        </w:rPr>
      </w:pPr>
    </w:p>
    <w:p w:rsidR="001D1CCB" w:rsidRDefault="001D1CCB" w:rsidP="00494D5F">
      <w:pPr>
        <w:pStyle w:val="BodyText2"/>
        <w:numPr>
          <w:ilvl w:val="0"/>
          <w:numId w:val="22"/>
        </w:numPr>
        <w:autoSpaceDE w:val="0"/>
        <w:autoSpaceDN w:val="0"/>
        <w:ind w:left="1170"/>
      </w:pPr>
      <w:r>
        <w:t>The measure of c</w:t>
      </w:r>
      <w:r w:rsidRPr="00621E15">
        <w:t xml:space="preserve">ustomer satisfaction is based on customers who respond to </w:t>
      </w:r>
      <w:r>
        <w:t>Avista’s</w:t>
      </w:r>
      <w:r w:rsidRPr="00621E15">
        <w:t xml:space="preserve"> </w:t>
      </w:r>
      <w:r>
        <w:t xml:space="preserve">quarterly </w:t>
      </w:r>
      <w:r w:rsidRPr="00621E15">
        <w:t>survey</w:t>
      </w:r>
      <w:r>
        <w:t xml:space="preserve"> of customer satisfaction, known as the Voice of the Customer, as conducted by it</w:t>
      </w:r>
      <w:r w:rsidR="008B7E78">
        <w:t>s independent survey contractor;</w:t>
      </w:r>
    </w:p>
    <w:p w:rsidR="001D1CCB" w:rsidRDefault="001D1CCB" w:rsidP="00494D5F">
      <w:pPr>
        <w:pStyle w:val="BodyText2"/>
        <w:autoSpaceDE w:val="0"/>
        <w:autoSpaceDN w:val="0"/>
        <w:ind w:left="1170"/>
      </w:pPr>
    </w:p>
    <w:p w:rsidR="001D1CCB" w:rsidRDefault="001D1CCB" w:rsidP="00494D5F">
      <w:pPr>
        <w:pStyle w:val="BodyText2"/>
        <w:numPr>
          <w:ilvl w:val="0"/>
          <w:numId w:val="22"/>
        </w:numPr>
        <w:autoSpaceDE w:val="0"/>
        <w:autoSpaceDN w:val="0"/>
        <w:ind w:left="1170"/>
      </w:pPr>
      <w:r>
        <w:t>The measure of satisfaction is based on customers participating in the survey who report the level of their service satisfaction as</w:t>
      </w:r>
      <w:r w:rsidRPr="00621E15">
        <w:t xml:space="preserve"> either </w:t>
      </w:r>
      <w:r>
        <w:t>“</w:t>
      </w:r>
      <w:r w:rsidRPr="00621E15">
        <w:t>satisfied</w:t>
      </w:r>
      <w:r>
        <w:t>”</w:t>
      </w:r>
      <w:r w:rsidRPr="00621E15">
        <w:t xml:space="preserve"> or </w:t>
      </w:r>
      <w:r>
        <w:t>“very satisfied;” and</w:t>
      </w:r>
    </w:p>
    <w:p w:rsidR="001D1CCB" w:rsidRDefault="001D1CCB" w:rsidP="00494D5F">
      <w:pPr>
        <w:pStyle w:val="BodyText2"/>
        <w:autoSpaceDE w:val="0"/>
        <w:autoSpaceDN w:val="0"/>
        <w:ind w:left="1170"/>
      </w:pPr>
    </w:p>
    <w:p w:rsidR="001D1CCB" w:rsidRDefault="001D1CCB" w:rsidP="00494D5F">
      <w:pPr>
        <w:pStyle w:val="BodyText2"/>
        <w:numPr>
          <w:ilvl w:val="0"/>
          <w:numId w:val="22"/>
        </w:numPr>
        <w:autoSpaceDE w:val="0"/>
        <w:autoSpaceDN w:val="0"/>
        <w:ind w:left="1170"/>
      </w:pPr>
      <w:r>
        <w:t>The measure of satisfaction</w:t>
      </w:r>
      <w:r w:rsidRPr="00621E15">
        <w:t xml:space="preserve"> </w:t>
      </w:r>
      <w:r>
        <w:t xml:space="preserve">is based on the </w:t>
      </w:r>
      <w:proofErr w:type="gramStart"/>
      <w:r w:rsidR="003F6C9F">
        <w:t>statistically-significant</w:t>
      </w:r>
      <w:proofErr w:type="gramEnd"/>
      <w:r>
        <w:t xml:space="preserve"> </w:t>
      </w:r>
      <w:r w:rsidR="003F6C9F">
        <w:t xml:space="preserve">survey </w:t>
      </w:r>
      <w:r>
        <w:t xml:space="preserve">results for both </w:t>
      </w:r>
      <w:r w:rsidRPr="00621E15">
        <w:t>electric and natural gas service</w:t>
      </w:r>
      <w:r>
        <w:t xml:space="preserve"> for </w:t>
      </w:r>
      <w:r w:rsidRPr="00621E15">
        <w:t xml:space="preserve">Avista’s </w:t>
      </w:r>
      <w:r>
        <w:t>entire service territory</w:t>
      </w:r>
      <w:r w:rsidRPr="00D02357">
        <w:t xml:space="preserve"> </w:t>
      </w:r>
      <w:r>
        <w:t>for</w:t>
      </w:r>
      <w:r w:rsidRPr="00621E15">
        <w:t xml:space="preserve"> </w:t>
      </w:r>
      <w:r>
        <w:t>the calendar year</w:t>
      </w:r>
      <w:r w:rsidR="003F6C9F">
        <w:t>, and if possible</w:t>
      </w:r>
      <w:r w:rsidR="0003671D">
        <w:rPr>
          <w:rStyle w:val="FootnoteReference"/>
        </w:rPr>
        <w:footnoteReference w:id="4"/>
      </w:r>
      <w:r w:rsidR="003F6C9F">
        <w:t>, will also be reported for Washington customers only</w:t>
      </w:r>
      <w:r>
        <w:t>.</w:t>
      </w:r>
    </w:p>
    <w:p w:rsidR="001D1CCB" w:rsidRPr="00621E15" w:rsidRDefault="001D1CCB" w:rsidP="00494D5F">
      <w:pPr>
        <w:pStyle w:val="BodyText2"/>
        <w:autoSpaceDE w:val="0"/>
        <w:autoSpaceDN w:val="0"/>
        <w:ind w:left="720" w:hanging="360"/>
      </w:pPr>
    </w:p>
    <w:p w:rsidR="001D1CCB" w:rsidRDefault="001D1CCB" w:rsidP="00494D5F">
      <w:pPr>
        <w:pStyle w:val="BodyText2"/>
        <w:autoSpaceDE w:val="0"/>
        <w:autoSpaceDN w:val="0"/>
        <w:ind w:left="720" w:hanging="360"/>
      </w:pPr>
      <w:r>
        <w:t xml:space="preserve">3. </w:t>
      </w:r>
      <w:r>
        <w:tab/>
        <w:t>The n</w:t>
      </w:r>
      <w:r w:rsidRPr="00621E15">
        <w:t>umber of complaints filed with the Washington Utilit</w:t>
      </w:r>
      <w:r>
        <w:t>ies</w:t>
      </w:r>
      <w:r w:rsidRPr="00621E15">
        <w:t xml:space="preserve"> and Transportation Commission</w:t>
      </w:r>
      <w:r>
        <w:t xml:space="preserve"> by Avista’s electric and natural gas customers will not exceed the rate of 0.4 complaints</w:t>
      </w:r>
      <w:r w:rsidRPr="00621E15">
        <w:t xml:space="preserve"> per 1,000 customers</w:t>
      </w:r>
      <w:r>
        <w:t xml:space="preserve"> for the calendar year.</w:t>
      </w:r>
    </w:p>
    <w:p w:rsidR="001D1CCB" w:rsidRDefault="001D1CCB" w:rsidP="00494D5F">
      <w:pPr>
        <w:pStyle w:val="BodyText2"/>
        <w:autoSpaceDE w:val="0"/>
        <w:autoSpaceDN w:val="0"/>
      </w:pPr>
    </w:p>
    <w:p w:rsidR="001D1CCB" w:rsidRDefault="001D1CCB" w:rsidP="00494D5F">
      <w:pPr>
        <w:pStyle w:val="BodyText2"/>
        <w:autoSpaceDE w:val="0"/>
        <w:autoSpaceDN w:val="0"/>
        <w:ind w:left="720" w:hanging="360"/>
      </w:pPr>
      <w:r>
        <w:t>4.</w:t>
      </w:r>
      <w:r>
        <w:tab/>
        <w:t>The p</w:t>
      </w:r>
      <w:r w:rsidRPr="00621E15">
        <w:t>ercent</w:t>
      </w:r>
      <w:r>
        <w:t>age</w:t>
      </w:r>
      <w:r w:rsidRPr="00621E15">
        <w:t xml:space="preserve"> of customer calls answered</w:t>
      </w:r>
      <w:r>
        <w:t xml:space="preserve"> by a</w:t>
      </w:r>
      <w:r w:rsidRPr="00621E15">
        <w:t xml:space="preserve"> live</w:t>
      </w:r>
      <w:r>
        <w:t xml:space="preserve"> representative</w:t>
      </w:r>
      <w:r w:rsidRPr="00621E15">
        <w:t xml:space="preserve"> within 60 seconds will be a</w:t>
      </w:r>
      <w:r>
        <w:t>t least</w:t>
      </w:r>
      <w:r w:rsidRPr="00621E15">
        <w:t xml:space="preserve"> 80</w:t>
      </w:r>
      <w:r>
        <w:t xml:space="preserve"> percent for the calendar year, where:</w:t>
      </w:r>
    </w:p>
    <w:p w:rsidR="001D1CCB" w:rsidRDefault="001D1CCB" w:rsidP="00494D5F">
      <w:pPr>
        <w:pStyle w:val="BodyText2"/>
        <w:autoSpaceDE w:val="0"/>
        <w:autoSpaceDN w:val="0"/>
        <w:ind w:left="1170" w:hanging="405"/>
      </w:pPr>
    </w:p>
    <w:p w:rsidR="001D1CCB" w:rsidRDefault="001D1CCB" w:rsidP="00494D5F">
      <w:pPr>
        <w:pStyle w:val="BodyText2"/>
        <w:numPr>
          <w:ilvl w:val="0"/>
          <w:numId w:val="18"/>
        </w:numPr>
        <w:autoSpaceDE w:val="0"/>
        <w:autoSpaceDN w:val="0"/>
        <w:ind w:left="1170" w:hanging="405"/>
      </w:pPr>
      <w:r>
        <w:t>The measure of response time is</w:t>
      </w:r>
      <w:r w:rsidRPr="00621E15">
        <w:t xml:space="preserve"> based on results for the Company’s C</w:t>
      </w:r>
      <w:r>
        <w:t xml:space="preserve">ontact </w:t>
      </w:r>
      <w:r w:rsidRPr="00621E15">
        <w:t xml:space="preserve"> Center</w:t>
      </w:r>
      <w:r>
        <w:t>, and is initiated when the customer requests</w:t>
      </w:r>
      <w:r w:rsidRPr="00621E15">
        <w:t xml:space="preserve"> to speak to a </w:t>
      </w:r>
      <w:r>
        <w:t xml:space="preserve">customer service </w:t>
      </w:r>
      <w:r w:rsidRPr="00621E15">
        <w:t>representative</w:t>
      </w:r>
      <w:r>
        <w:t>; and</w:t>
      </w:r>
    </w:p>
    <w:p w:rsidR="001D1CCB" w:rsidRDefault="001D1CCB" w:rsidP="00494D5F">
      <w:pPr>
        <w:pStyle w:val="BodyText2"/>
        <w:autoSpaceDE w:val="0"/>
        <w:autoSpaceDN w:val="0"/>
        <w:ind w:left="1170" w:hanging="405"/>
      </w:pPr>
    </w:p>
    <w:p w:rsidR="001D1CCB" w:rsidRDefault="001D1CCB" w:rsidP="00494D5F">
      <w:pPr>
        <w:pStyle w:val="BodyText2"/>
        <w:numPr>
          <w:ilvl w:val="0"/>
          <w:numId w:val="18"/>
        </w:numPr>
        <w:autoSpaceDE w:val="0"/>
        <w:autoSpaceDN w:val="0"/>
        <w:ind w:left="1170" w:hanging="405"/>
      </w:pPr>
      <w:r>
        <w:t xml:space="preserve">Response time </w:t>
      </w:r>
      <w:proofErr w:type="gramStart"/>
      <w:r>
        <w:t>is based</w:t>
      </w:r>
      <w:proofErr w:type="gramEnd"/>
      <w:r>
        <w:t xml:space="preserve"> on the combined results for </w:t>
      </w:r>
      <w:r w:rsidRPr="00621E15">
        <w:t>both ele</w:t>
      </w:r>
      <w:r>
        <w:t xml:space="preserve">ctric and natural gas customers for </w:t>
      </w:r>
      <w:r w:rsidRPr="00621E15">
        <w:t xml:space="preserve">Avista’s </w:t>
      </w:r>
      <w:r>
        <w:t xml:space="preserve">entire </w:t>
      </w:r>
      <w:r w:rsidRPr="00621E15">
        <w:t>service territory.</w:t>
      </w:r>
    </w:p>
    <w:p w:rsidR="001D1CCB" w:rsidRDefault="001D1CCB" w:rsidP="00494D5F">
      <w:pPr>
        <w:pStyle w:val="BodyText2"/>
        <w:autoSpaceDE w:val="0"/>
        <w:autoSpaceDN w:val="0"/>
        <w:ind w:left="1350" w:hanging="360"/>
      </w:pPr>
    </w:p>
    <w:p w:rsidR="001D1CCB" w:rsidRDefault="001D1CCB" w:rsidP="00494D5F">
      <w:pPr>
        <w:pStyle w:val="BodyText2"/>
        <w:numPr>
          <w:ilvl w:val="0"/>
          <w:numId w:val="15"/>
        </w:numPr>
        <w:autoSpaceDE w:val="0"/>
        <w:autoSpaceDN w:val="0"/>
      </w:pPr>
      <w:r>
        <w:rPr>
          <w:sz w:val="23"/>
          <w:szCs w:val="23"/>
        </w:rPr>
        <w:t xml:space="preserve">The Company’s average response time to an electric </w:t>
      </w:r>
      <w:r w:rsidRPr="00621E15">
        <w:t xml:space="preserve">system emergency </w:t>
      </w:r>
      <w:r w:rsidR="00E16EF1">
        <w:t xml:space="preserve">in Washington </w:t>
      </w:r>
      <w:r w:rsidRPr="00621E15">
        <w:t>will not exceed 80 minutes</w:t>
      </w:r>
      <w:r>
        <w:t xml:space="preserve"> for the calendar year</w:t>
      </w:r>
      <w:r w:rsidRPr="00621E15">
        <w:t>, where:</w:t>
      </w:r>
    </w:p>
    <w:p w:rsidR="001D1CCB" w:rsidRPr="00621E15" w:rsidRDefault="001D1CCB" w:rsidP="00494D5F">
      <w:pPr>
        <w:pStyle w:val="BodyText2"/>
        <w:autoSpaceDE w:val="0"/>
        <w:autoSpaceDN w:val="0"/>
        <w:ind w:left="720"/>
      </w:pPr>
    </w:p>
    <w:p w:rsidR="001D1CCB" w:rsidRDefault="001D1CCB" w:rsidP="00494D5F">
      <w:pPr>
        <w:pStyle w:val="ListParagraph"/>
        <w:numPr>
          <w:ilvl w:val="0"/>
          <w:numId w:val="19"/>
        </w:numPr>
        <w:spacing w:after="160"/>
        <w:ind w:left="990"/>
        <w:jc w:val="both"/>
      </w:pPr>
      <w:r w:rsidRPr="001E5B13">
        <w:t>Response time is measured from the time of the customer call to the arrival of a field service technician</w:t>
      </w:r>
      <w:r>
        <w:t>;</w:t>
      </w:r>
    </w:p>
    <w:p w:rsidR="001D1CCB" w:rsidRPr="001076EE" w:rsidRDefault="001D1CCB" w:rsidP="001D1CCB">
      <w:pPr>
        <w:pStyle w:val="ListParagraph"/>
        <w:ind w:left="990"/>
        <w:jc w:val="both"/>
      </w:pPr>
    </w:p>
    <w:p w:rsidR="001D1CCB" w:rsidRDefault="001D1CCB" w:rsidP="001D1CCB">
      <w:pPr>
        <w:pStyle w:val="ListParagraph"/>
        <w:numPr>
          <w:ilvl w:val="0"/>
          <w:numId w:val="19"/>
        </w:numPr>
        <w:spacing w:after="160"/>
        <w:ind w:left="990"/>
        <w:jc w:val="both"/>
      </w:pPr>
      <w:r w:rsidRPr="001E5B13">
        <w:lastRenderedPageBreak/>
        <w:t>“Electric system emergency” is defined as an event when police/fire are standing by, or arcing/flashing wires down (unspecified location, pole to house, or pole t</w:t>
      </w:r>
      <w:r>
        <w:t>o pole), or for feeder lockouts; and</w:t>
      </w:r>
    </w:p>
    <w:p w:rsidR="001D1CCB" w:rsidRPr="001076EE" w:rsidRDefault="001D1CCB" w:rsidP="001D1CCB">
      <w:pPr>
        <w:pStyle w:val="ListParagraph"/>
        <w:ind w:left="990"/>
        <w:jc w:val="both"/>
      </w:pPr>
    </w:p>
    <w:p w:rsidR="000E0CF2" w:rsidRDefault="001D1CCB" w:rsidP="000E0CF2">
      <w:pPr>
        <w:pStyle w:val="ListParagraph"/>
        <w:numPr>
          <w:ilvl w:val="0"/>
          <w:numId w:val="19"/>
        </w:numPr>
        <w:spacing w:after="160"/>
        <w:ind w:left="990"/>
        <w:jc w:val="both"/>
      </w:pPr>
      <w:r>
        <w:t>Response times are excluded from the calculation for those</w:t>
      </w:r>
      <w:r w:rsidRPr="001E5B13">
        <w:t xml:space="preserve"> period</w:t>
      </w:r>
      <w:r>
        <w:t>s</w:t>
      </w:r>
      <w:r w:rsidRPr="001E5B13">
        <w:t xml:space="preserve"> of time when the Company is experiencing an outage that qualifies as a </w:t>
      </w:r>
      <w:r>
        <w:t>major event day (“</w:t>
      </w:r>
      <w:r w:rsidRPr="001E5B13">
        <w:t>MED</w:t>
      </w:r>
      <w:r>
        <w:t>”), as defined by the IEEE,</w:t>
      </w:r>
      <w:r>
        <w:rPr>
          <w:rStyle w:val="FootnoteReference"/>
        </w:rPr>
        <w:footnoteReference w:id="5"/>
      </w:r>
      <w:r w:rsidRPr="001E5B13">
        <w:t xml:space="preserve"> and which includes the 24-</w:t>
      </w:r>
      <w:r>
        <w:t>hour period following the MED</w:t>
      </w:r>
      <w:r w:rsidR="00E16EF1">
        <w:t>.</w:t>
      </w:r>
    </w:p>
    <w:p w:rsidR="000E0CF2" w:rsidRPr="000E0CF2" w:rsidRDefault="000E0CF2" w:rsidP="000E0CF2">
      <w:pPr>
        <w:pStyle w:val="ListParagraph"/>
        <w:spacing w:after="160"/>
        <w:ind w:left="990"/>
        <w:jc w:val="both"/>
        <w:rPr>
          <w:sz w:val="8"/>
        </w:rPr>
      </w:pPr>
    </w:p>
    <w:p w:rsidR="001D1CCB" w:rsidRPr="00E0314F" w:rsidRDefault="001D1CCB" w:rsidP="00494D5F">
      <w:pPr>
        <w:pStyle w:val="BodyText2"/>
        <w:autoSpaceDE w:val="0"/>
        <w:autoSpaceDN w:val="0"/>
        <w:ind w:left="720" w:hanging="360"/>
        <w:jc w:val="left"/>
        <w:rPr>
          <w:i/>
          <w:color w:val="4A442A" w:themeColor="background2" w:themeShade="40"/>
          <w:szCs w:val="24"/>
        </w:rPr>
      </w:pPr>
      <w:r>
        <w:t xml:space="preserve">6. </w:t>
      </w:r>
      <w:r>
        <w:tab/>
        <w:t>The Company’s average response time to a natural gas system emergency</w:t>
      </w:r>
      <w:r w:rsidR="00106679">
        <w:rPr>
          <w:rStyle w:val="FootnoteReference"/>
        </w:rPr>
        <w:footnoteReference w:id="6"/>
      </w:r>
      <w:r w:rsidR="00494D5F">
        <w:t xml:space="preserve"> </w:t>
      </w:r>
      <w:r w:rsidR="003F5640">
        <w:t xml:space="preserve">in Washington </w:t>
      </w:r>
      <w:r>
        <w:t xml:space="preserve">will not exceed 55 minutes for the calendar year. Response time is measured from the time of the customer call to the arrival of a field service technician.  </w:t>
      </w:r>
    </w:p>
    <w:p w:rsidR="001D1CCB" w:rsidRPr="003E0905" w:rsidRDefault="001D1CCB" w:rsidP="00494D5F">
      <w:pPr>
        <w:pStyle w:val="BodyText2"/>
        <w:autoSpaceDE w:val="0"/>
        <w:autoSpaceDN w:val="0"/>
        <w:ind w:left="720" w:hanging="360"/>
        <w:jc w:val="left"/>
      </w:pPr>
    </w:p>
    <w:p w:rsidR="001D1CCB" w:rsidRPr="001076EE" w:rsidRDefault="001D1CCB" w:rsidP="00894254">
      <w:pPr>
        <w:pStyle w:val="BodyText2"/>
        <w:autoSpaceDE w:val="0"/>
        <w:autoSpaceDN w:val="0"/>
        <w:spacing w:line="480" w:lineRule="auto"/>
        <w:ind w:left="240"/>
        <w:rPr>
          <w:b/>
        </w:rPr>
      </w:pPr>
      <w:r>
        <w:rPr>
          <w:b/>
        </w:rPr>
        <w:t>B.</w:t>
      </w:r>
      <w:r>
        <w:rPr>
          <w:b/>
        </w:rPr>
        <w:tab/>
        <w:t xml:space="preserve">Electric System </w:t>
      </w:r>
      <w:proofErr w:type="gramStart"/>
      <w:r>
        <w:rPr>
          <w:b/>
        </w:rPr>
        <w:t xml:space="preserve">Reliability  </w:t>
      </w:r>
      <w:r w:rsidRPr="009458AB">
        <w:t>(</w:t>
      </w:r>
      <w:proofErr w:type="gramEnd"/>
      <w:r w:rsidRPr="009458AB">
        <w:t>2 Measures)</w:t>
      </w:r>
    </w:p>
    <w:p w:rsidR="001D1CCB" w:rsidRDefault="001D1CCB" w:rsidP="00494D5F">
      <w:pPr>
        <w:pStyle w:val="BodyText2"/>
        <w:numPr>
          <w:ilvl w:val="0"/>
          <w:numId w:val="21"/>
        </w:numPr>
        <w:autoSpaceDE w:val="0"/>
        <w:autoSpaceDN w:val="0"/>
        <w:ind w:left="720"/>
      </w:pPr>
      <w:r w:rsidRPr="00E35691">
        <w:t xml:space="preserve">The Company will report the </w:t>
      </w:r>
      <w:r w:rsidRPr="009B59DE">
        <w:rPr>
          <w:u w:val="single"/>
        </w:rPr>
        <w:t>frequency</w:t>
      </w:r>
      <w:r w:rsidRPr="00E35691">
        <w:t xml:space="preserve"> of electric system interruptions</w:t>
      </w:r>
      <w:r>
        <w:t xml:space="preserve"> per customer</w:t>
      </w:r>
      <w:r w:rsidRPr="00E35691">
        <w:t xml:space="preserve"> for the </w:t>
      </w:r>
      <w:r>
        <w:t xml:space="preserve">calendar </w:t>
      </w:r>
      <w:r w:rsidRPr="00E35691">
        <w:t>year, where</w:t>
      </w:r>
      <w:r>
        <w:t>:</w:t>
      </w:r>
    </w:p>
    <w:p w:rsidR="001D1CCB" w:rsidRPr="00E35691" w:rsidRDefault="001D1CCB" w:rsidP="00494D5F">
      <w:pPr>
        <w:pStyle w:val="BodyText2"/>
        <w:autoSpaceDE w:val="0"/>
        <w:autoSpaceDN w:val="0"/>
        <w:ind w:left="720"/>
      </w:pPr>
    </w:p>
    <w:p w:rsidR="001D1CCB" w:rsidRPr="00E0314F" w:rsidRDefault="001D1CCB" w:rsidP="00494D5F">
      <w:pPr>
        <w:pStyle w:val="BodyText2"/>
        <w:numPr>
          <w:ilvl w:val="0"/>
          <w:numId w:val="14"/>
        </w:numPr>
        <w:autoSpaceDE w:val="0"/>
        <w:autoSpaceDN w:val="0"/>
        <w:ind w:left="990"/>
        <w:rPr>
          <w:szCs w:val="24"/>
        </w:rPr>
      </w:pPr>
      <w:r w:rsidRPr="00E0314F">
        <w:rPr>
          <w:szCs w:val="24"/>
        </w:rPr>
        <w:t>The interruptions are measured as the System Average Interruption Frequency Index (“SAIFI”), as calculated by the IEEE;</w:t>
      </w:r>
    </w:p>
    <w:p w:rsidR="001D1CCB" w:rsidRPr="00E0314F" w:rsidRDefault="001D1CCB" w:rsidP="00494D5F">
      <w:pPr>
        <w:pStyle w:val="BodyText2"/>
        <w:autoSpaceDE w:val="0"/>
        <w:autoSpaceDN w:val="0"/>
        <w:ind w:left="990"/>
        <w:rPr>
          <w:szCs w:val="24"/>
        </w:rPr>
      </w:pPr>
    </w:p>
    <w:p w:rsidR="001D1CCB" w:rsidRPr="00E0314F" w:rsidRDefault="001D1CCB" w:rsidP="00494D5F">
      <w:pPr>
        <w:pStyle w:val="BodyText2"/>
        <w:numPr>
          <w:ilvl w:val="0"/>
          <w:numId w:val="14"/>
        </w:numPr>
        <w:autoSpaceDE w:val="0"/>
        <w:autoSpaceDN w:val="0"/>
        <w:ind w:left="990"/>
        <w:rPr>
          <w:szCs w:val="24"/>
        </w:rPr>
      </w:pPr>
      <w:r w:rsidRPr="00E0314F">
        <w:rPr>
          <w:szCs w:val="24"/>
        </w:rPr>
        <w:t>The calculation of SAIFI excludes interruptions associated with any MED;</w:t>
      </w:r>
    </w:p>
    <w:p w:rsidR="001D1CCB" w:rsidRPr="00E0314F" w:rsidRDefault="001D1CCB" w:rsidP="00494D5F">
      <w:pPr>
        <w:pStyle w:val="BodyText2"/>
        <w:autoSpaceDE w:val="0"/>
        <w:autoSpaceDN w:val="0"/>
        <w:ind w:left="630"/>
        <w:rPr>
          <w:szCs w:val="24"/>
        </w:rPr>
      </w:pPr>
    </w:p>
    <w:p w:rsidR="001D1CCB" w:rsidRPr="00E0314F" w:rsidRDefault="001D1CCB" w:rsidP="00494D5F">
      <w:pPr>
        <w:pStyle w:val="BodyText2"/>
        <w:numPr>
          <w:ilvl w:val="0"/>
          <w:numId w:val="14"/>
        </w:numPr>
        <w:autoSpaceDE w:val="0"/>
        <w:autoSpaceDN w:val="0"/>
        <w:ind w:left="990"/>
        <w:rPr>
          <w:szCs w:val="24"/>
        </w:rPr>
      </w:pPr>
      <w:r w:rsidRPr="00E0314F">
        <w:rPr>
          <w:szCs w:val="24"/>
        </w:rPr>
        <w:t>The report will provide a brief description of the predominant factors influencing the current-year results, and in the context of the Company’s historic five-year rolling average of SAIFI; and</w:t>
      </w:r>
    </w:p>
    <w:p w:rsidR="001D1CCB" w:rsidRPr="00E0314F" w:rsidRDefault="001D1CCB" w:rsidP="00494D5F">
      <w:pPr>
        <w:pStyle w:val="BodyText2"/>
        <w:autoSpaceDE w:val="0"/>
        <w:autoSpaceDN w:val="0"/>
        <w:ind w:left="990"/>
        <w:rPr>
          <w:szCs w:val="24"/>
        </w:rPr>
      </w:pPr>
    </w:p>
    <w:p w:rsidR="001D1CCB" w:rsidRPr="00E0314F" w:rsidRDefault="001D1CCB" w:rsidP="00494D5F">
      <w:pPr>
        <w:pStyle w:val="BodyText2"/>
        <w:numPr>
          <w:ilvl w:val="0"/>
          <w:numId w:val="14"/>
        </w:numPr>
        <w:autoSpaceDE w:val="0"/>
        <w:autoSpaceDN w:val="0"/>
        <w:ind w:left="990"/>
        <w:rPr>
          <w:szCs w:val="24"/>
        </w:rPr>
      </w:pPr>
      <w:r w:rsidRPr="00E0314F">
        <w:rPr>
          <w:szCs w:val="24"/>
        </w:rPr>
        <w:t xml:space="preserve">The results </w:t>
      </w:r>
      <w:proofErr w:type="gramStart"/>
      <w:r w:rsidRPr="00E0314F">
        <w:rPr>
          <w:szCs w:val="24"/>
        </w:rPr>
        <w:t>will be reported</w:t>
      </w:r>
      <w:proofErr w:type="gramEnd"/>
      <w:r w:rsidRPr="00E0314F">
        <w:rPr>
          <w:szCs w:val="24"/>
        </w:rPr>
        <w:t xml:space="preserve"> on a system basis for Washington and Idaho</w:t>
      </w:r>
      <w:r w:rsidR="00F86A23">
        <w:rPr>
          <w:szCs w:val="24"/>
        </w:rPr>
        <w:t xml:space="preserve"> and will include the </w:t>
      </w:r>
      <w:r w:rsidR="00346425">
        <w:rPr>
          <w:szCs w:val="24"/>
        </w:rPr>
        <w:t xml:space="preserve">annual </w:t>
      </w:r>
      <w:proofErr w:type="spellStart"/>
      <w:r w:rsidR="00346425">
        <w:rPr>
          <w:szCs w:val="24"/>
        </w:rPr>
        <w:t>SAIFI</w:t>
      </w:r>
      <w:proofErr w:type="spellEnd"/>
      <w:r w:rsidR="00F86A23">
        <w:rPr>
          <w:szCs w:val="24"/>
        </w:rPr>
        <w:t xml:space="preserve"> for Washington only</w:t>
      </w:r>
      <w:r w:rsidRPr="00E0314F">
        <w:rPr>
          <w:szCs w:val="24"/>
        </w:rPr>
        <w:t>.</w:t>
      </w:r>
    </w:p>
    <w:p w:rsidR="001D1CCB" w:rsidRPr="00E0314F" w:rsidRDefault="001D1CCB" w:rsidP="00494D5F">
      <w:pPr>
        <w:pStyle w:val="BodyText2"/>
        <w:autoSpaceDE w:val="0"/>
        <w:autoSpaceDN w:val="0"/>
        <w:ind w:left="240"/>
        <w:rPr>
          <w:szCs w:val="24"/>
        </w:rPr>
      </w:pPr>
    </w:p>
    <w:p w:rsidR="001D1CCB" w:rsidRDefault="001D1CCB" w:rsidP="00494D5F">
      <w:pPr>
        <w:pStyle w:val="BodyText2"/>
        <w:numPr>
          <w:ilvl w:val="0"/>
          <w:numId w:val="21"/>
        </w:numPr>
        <w:autoSpaceDE w:val="0"/>
        <w:autoSpaceDN w:val="0"/>
        <w:ind w:left="720"/>
      </w:pPr>
      <w:r>
        <w:t xml:space="preserve">The Company will report the </w:t>
      </w:r>
      <w:r w:rsidRPr="00BC4A12">
        <w:rPr>
          <w:u w:val="single"/>
        </w:rPr>
        <w:t>duration</w:t>
      </w:r>
      <w:r>
        <w:t xml:space="preserve"> of electric system interruptions per customer for the calendar year, where:</w:t>
      </w:r>
    </w:p>
    <w:p w:rsidR="001D1CCB" w:rsidRDefault="001D1CCB" w:rsidP="00494D5F">
      <w:pPr>
        <w:pStyle w:val="BodyText2"/>
        <w:autoSpaceDE w:val="0"/>
        <w:autoSpaceDN w:val="0"/>
        <w:ind w:left="600"/>
      </w:pPr>
    </w:p>
    <w:p w:rsidR="001D1CCB" w:rsidRDefault="001D1CCB" w:rsidP="00494D5F">
      <w:pPr>
        <w:pStyle w:val="BodyText2"/>
        <w:numPr>
          <w:ilvl w:val="0"/>
          <w:numId w:val="20"/>
        </w:numPr>
        <w:autoSpaceDE w:val="0"/>
        <w:autoSpaceDN w:val="0"/>
        <w:ind w:left="990"/>
      </w:pPr>
      <w:r>
        <w:t>The interruption duration is measured as the System Average Interruption Duration Index (“SAIDI”), as defined by the IEEE;</w:t>
      </w:r>
    </w:p>
    <w:p w:rsidR="001D1CCB" w:rsidRDefault="001D1CCB" w:rsidP="00494D5F">
      <w:pPr>
        <w:pStyle w:val="BodyText2"/>
        <w:autoSpaceDE w:val="0"/>
        <w:autoSpaceDN w:val="0"/>
        <w:ind w:left="990"/>
      </w:pPr>
    </w:p>
    <w:p w:rsidR="001D1CCB" w:rsidRPr="00E0314F" w:rsidRDefault="001D1CCB" w:rsidP="00494D5F">
      <w:pPr>
        <w:pStyle w:val="BodyText2"/>
        <w:numPr>
          <w:ilvl w:val="0"/>
          <w:numId w:val="20"/>
        </w:numPr>
        <w:autoSpaceDE w:val="0"/>
        <w:autoSpaceDN w:val="0"/>
        <w:ind w:left="990"/>
        <w:rPr>
          <w:szCs w:val="24"/>
        </w:rPr>
      </w:pPr>
      <w:r w:rsidRPr="00E0314F">
        <w:rPr>
          <w:szCs w:val="24"/>
        </w:rPr>
        <w:t>The calculation of SAIDI excludes interruptions associated with any MED;</w:t>
      </w:r>
    </w:p>
    <w:p w:rsidR="001D1CCB" w:rsidRPr="00E0314F" w:rsidRDefault="001D1CCB" w:rsidP="00494D5F">
      <w:pPr>
        <w:pStyle w:val="BodyText2"/>
        <w:autoSpaceDE w:val="0"/>
        <w:autoSpaceDN w:val="0"/>
        <w:ind w:left="990"/>
        <w:rPr>
          <w:szCs w:val="24"/>
        </w:rPr>
      </w:pPr>
    </w:p>
    <w:p w:rsidR="001D1CCB" w:rsidRPr="00E0314F" w:rsidRDefault="001D1CCB" w:rsidP="001D1CCB">
      <w:pPr>
        <w:pStyle w:val="BodyText2"/>
        <w:numPr>
          <w:ilvl w:val="0"/>
          <w:numId w:val="20"/>
        </w:numPr>
        <w:autoSpaceDE w:val="0"/>
        <w:autoSpaceDN w:val="0"/>
        <w:ind w:left="990" w:right="-180"/>
        <w:rPr>
          <w:szCs w:val="24"/>
        </w:rPr>
      </w:pPr>
      <w:r w:rsidRPr="00E0314F">
        <w:rPr>
          <w:szCs w:val="24"/>
        </w:rPr>
        <w:t>The report will provide a brief description of the predominant factors influencing the current-year results, and in the context of the Company’s historic five-year rolling average of SAIDI; and</w:t>
      </w:r>
    </w:p>
    <w:p w:rsidR="001D1CCB" w:rsidRPr="00E0314F" w:rsidRDefault="001D1CCB" w:rsidP="001D1CCB">
      <w:pPr>
        <w:pStyle w:val="BodyText2"/>
        <w:autoSpaceDE w:val="0"/>
        <w:autoSpaceDN w:val="0"/>
        <w:ind w:left="990" w:right="-180"/>
        <w:rPr>
          <w:szCs w:val="24"/>
        </w:rPr>
      </w:pPr>
    </w:p>
    <w:p w:rsidR="001D1CCB" w:rsidRPr="00E0314F" w:rsidRDefault="001D1CCB" w:rsidP="001D1CCB">
      <w:pPr>
        <w:pStyle w:val="BodyText2"/>
        <w:numPr>
          <w:ilvl w:val="0"/>
          <w:numId w:val="20"/>
        </w:numPr>
        <w:autoSpaceDE w:val="0"/>
        <w:autoSpaceDN w:val="0"/>
        <w:ind w:left="990" w:right="-360"/>
        <w:rPr>
          <w:szCs w:val="24"/>
        </w:rPr>
      </w:pPr>
      <w:r w:rsidRPr="00E0314F">
        <w:rPr>
          <w:szCs w:val="24"/>
        </w:rPr>
        <w:lastRenderedPageBreak/>
        <w:t xml:space="preserve">The results </w:t>
      </w:r>
      <w:proofErr w:type="gramStart"/>
      <w:r w:rsidRPr="00E0314F">
        <w:rPr>
          <w:szCs w:val="24"/>
        </w:rPr>
        <w:t>will be reported</w:t>
      </w:r>
      <w:proofErr w:type="gramEnd"/>
      <w:r w:rsidRPr="00E0314F">
        <w:rPr>
          <w:szCs w:val="24"/>
        </w:rPr>
        <w:t xml:space="preserve"> on a system basis for Washington and Idaho</w:t>
      </w:r>
      <w:r w:rsidR="00346425">
        <w:rPr>
          <w:szCs w:val="24"/>
        </w:rPr>
        <w:t xml:space="preserve"> and will include the annual </w:t>
      </w:r>
      <w:proofErr w:type="spellStart"/>
      <w:r w:rsidR="00346425">
        <w:rPr>
          <w:szCs w:val="24"/>
        </w:rPr>
        <w:t>SAIDI</w:t>
      </w:r>
      <w:proofErr w:type="spellEnd"/>
      <w:r w:rsidR="00346425">
        <w:rPr>
          <w:szCs w:val="24"/>
        </w:rPr>
        <w:t xml:space="preserve"> for Washington only</w:t>
      </w:r>
      <w:r w:rsidRPr="00E0314F">
        <w:rPr>
          <w:szCs w:val="24"/>
        </w:rPr>
        <w:t>.</w:t>
      </w:r>
    </w:p>
    <w:p w:rsidR="001D1CCB" w:rsidRDefault="001D1CCB" w:rsidP="001D1CCB">
      <w:pPr>
        <w:pStyle w:val="BodyText2"/>
        <w:autoSpaceDE w:val="0"/>
        <w:autoSpaceDN w:val="0"/>
        <w:ind w:right="-360"/>
      </w:pPr>
    </w:p>
    <w:p w:rsidR="00714FEA" w:rsidRDefault="00714FEA" w:rsidP="001D1CCB">
      <w:pPr>
        <w:ind w:left="245"/>
        <w:jc w:val="both"/>
        <w:rPr>
          <w:b/>
          <w:sz w:val="24"/>
          <w:szCs w:val="24"/>
        </w:rPr>
      </w:pPr>
    </w:p>
    <w:p w:rsidR="001D1CCB" w:rsidRPr="001D1CCB" w:rsidRDefault="001D1CCB" w:rsidP="001D1CCB">
      <w:pPr>
        <w:ind w:left="245"/>
        <w:jc w:val="both"/>
        <w:rPr>
          <w:sz w:val="24"/>
          <w:szCs w:val="24"/>
        </w:rPr>
      </w:pPr>
      <w:r w:rsidRPr="001D1CCB">
        <w:rPr>
          <w:b/>
          <w:sz w:val="24"/>
          <w:szCs w:val="24"/>
        </w:rPr>
        <w:t>C.</w:t>
      </w:r>
      <w:r w:rsidRPr="001D1CCB">
        <w:rPr>
          <w:b/>
          <w:sz w:val="24"/>
          <w:szCs w:val="24"/>
        </w:rPr>
        <w:tab/>
        <w:t xml:space="preserve">Customer Service </w:t>
      </w:r>
      <w:proofErr w:type="gramStart"/>
      <w:r w:rsidRPr="001D1CCB">
        <w:rPr>
          <w:b/>
          <w:sz w:val="24"/>
          <w:szCs w:val="24"/>
        </w:rPr>
        <w:t xml:space="preserve">Guarantees </w:t>
      </w:r>
      <w:r w:rsidRPr="001D1CCB">
        <w:rPr>
          <w:sz w:val="24"/>
          <w:szCs w:val="24"/>
        </w:rPr>
        <w:t xml:space="preserve"> (</w:t>
      </w:r>
      <w:proofErr w:type="gramEnd"/>
      <w:r w:rsidRPr="001D1CCB">
        <w:rPr>
          <w:sz w:val="24"/>
          <w:szCs w:val="24"/>
        </w:rPr>
        <w:t>7 Measures)</w:t>
      </w:r>
    </w:p>
    <w:p w:rsidR="001D1CCB" w:rsidRDefault="001D1CCB" w:rsidP="001D1CCB">
      <w:pPr>
        <w:ind w:left="245"/>
        <w:jc w:val="both"/>
      </w:pPr>
    </w:p>
    <w:p w:rsidR="009B2424" w:rsidRPr="00714FEA" w:rsidRDefault="009B2424" w:rsidP="009B2424">
      <w:pPr>
        <w:pStyle w:val="BodyText2"/>
        <w:autoSpaceDE w:val="0"/>
        <w:autoSpaceDN w:val="0"/>
        <w:ind w:left="720" w:right="-180"/>
        <w:rPr>
          <w:szCs w:val="24"/>
        </w:rPr>
      </w:pPr>
      <w:r>
        <w:rPr>
          <w:szCs w:val="24"/>
        </w:rPr>
        <w:t>For each of the Customer Service Guarantees under this Program, A</w:t>
      </w:r>
      <w:r w:rsidRPr="00714FEA">
        <w:rPr>
          <w:szCs w:val="24"/>
        </w:rPr>
        <w:t xml:space="preserve">vista will timely provide the </w:t>
      </w:r>
      <w:r>
        <w:rPr>
          <w:szCs w:val="24"/>
        </w:rPr>
        <w:t xml:space="preserve">qualifying </w:t>
      </w:r>
      <w:r w:rsidRPr="00714FEA">
        <w:rPr>
          <w:szCs w:val="24"/>
        </w:rPr>
        <w:t>customer credit or applicant check without any requirement on the part of the customer or applicant to either apply for, or request the applicable credit or check.</w:t>
      </w:r>
    </w:p>
    <w:p w:rsidR="009B2424" w:rsidRPr="00020DC5" w:rsidRDefault="009B2424" w:rsidP="001D1CCB">
      <w:pPr>
        <w:ind w:left="245"/>
        <w:jc w:val="both"/>
      </w:pPr>
    </w:p>
    <w:p w:rsidR="001D1CCB" w:rsidRPr="001D1CCB" w:rsidRDefault="001D1CCB" w:rsidP="003052A0">
      <w:pPr>
        <w:pStyle w:val="BodyText2"/>
        <w:numPr>
          <w:ilvl w:val="0"/>
          <w:numId w:val="23"/>
        </w:numPr>
        <w:autoSpaceDE w:val="0"/>
        <w:autoSpaceDN w:val="0"/>
        <w:ind w:left="720" w:right="-360"/>
        <w:rPr>
          <w:szCs w:val="24"/>
        </w:rPr>
      </w:pPr>
      <w:r w:rsidRPr="001D1CCB">
        <w:rPr>
          <w:szCs w:val="24"/>
        </w:rPr>
        <w:t>The Company will keep mutually agreed upon appointments with customers for electric and natural gas service, scheduled in the time windows of either 8:00 a.m. to 12:00 p.m., or 12:00 p.m. to 5:00 p.m</w:t>
      </w:r>
      <w:proofErr w:type="gramStart"/>
      <w:r w:rsidRPr="001D1CCB">
        <w:rPr>
          <w:szCs w:val="24"/>
        </w:rPr>
        <w:t>..</w:t>
      </w:r>
      <w:proofErr w:type="gramEnd"/>
      <w:r w:rsidRPr="001D1CCB">
        <w:rPr>
          <w:szCs w:val="24"/>
        </w:rPr>
        <w:t xml:space="preserve"> Avista will provide a bill credit to the customer in the amount of $50.00 for each missed appointment, except for the following instances:</w:t>
      </w:r>
    </w:p>
    <w:p w:rsidR="001D1CCB" w:rsidRPr="001D1CCB" w:rsidRDefault="001D1CCB" w:rsidP="003052A0">
      <w:pPr>
        <w:pStyle w:val="BodyText2"/>
        <w:autoSpaceDE w:val="0"/>
        <w:autoSpaceDN w:val="0"/>
        <w:ind w:left="720" w:right="-360"/>
        <w:rPr>
          <w:szCs w:val="24"/>
        </w:rPr>
      </w:pPr>
    </w:p>
    <w:p w:rsidR="001D1CCB" w:rsidRPr="001D1CCB" w:rsidRDefault="001D1CCB" w:rsidP="003052A0">
      <w:pPr>
        <w:pStyle w:val="BodyText2"/>
        <w:numPr>
          <w:ilvl w:val="0"/>
          <w:numId w:val="24"/>
        </w:numPr>
        <w:autoSpaceDE w:val="0"/>
        <w:autoSpaceDN w:val="0"/>
        <w:ind w:left="1080" w:right="-180"/>
        <w:rPr>
          <w:szCs w:val="24"/>
        </w:rPr>
      </w:pPr>
      <w:r w:rsidRPr="001D1CCB">
        <w:rPr>
          <w:szCs w:val="24"/>
        </w:rPr>
        <w:t>When th</w:t>
      </w:r>
      <w:r w:rsidR="00544C70">
        <w:rPr>
          <w:szCs w:val="24"/>
        </w:rPr>
        <w:t>e customer or applicant cancels</w:t>
      </w:r>
      <w:r w:rsidRPr="001D1CCB">
        <w:rPr>
          <w:szCs w:val="24"/>
        </w:rPr>
        <w:t xml:space="preserve"> the appointment;</w:t>
      </w:r>
    </w:p>
    <w:p w:rsidR="001D1CCB" w:rsidRPr="001D1CCB" w:rsidRDefault="001D1CCB" w:rsidP="003052A0">
      <w:pPr>
        <w:pStyle w:val="BodyText2"/>
        <w:autoSpaceDE w:val="0"/>
        <w:autoSpaceDN w:val="0"/>
        <w:ind w:left="1080" w:right="-180"/>
        <w:rPr>
          <w:szCs w:val="24"/>
        </w:rPr>
      </w:pPr>
    </w:p>
    <w:p w:rsidR="001D1CCB" w:rsidRPr="001D1CCB" w:rsidRDefault="00544C70" w:rsidP="003052A0">
      <w:pPr>
        <w:pStyle w:val="BodyText2"/>
        <w:numPr>
          <w:ilvl w:val="0"/>
          <w:numId w:val="24"/>
        </w:numPr>
        <w:autoSpaceDE w:val="0"/>
        <w:autoSpaceDN w:val="0"/>
        <w:ind w:left="1080" w:right="-180"/>
        <w:rPr>
          <w:szCs w:val="24"/>
        </w:rPr>
      </w:pPr>
      <w:r>
        <w:rPr>
          <w:szCs w:val="24"/>
        </w:rPr>
        <w:t>The customer or applicant fails</w:t>
      </w:r>
      <w:r w:rsidR="001D1CCB" w:rsidRPr="001D1CCB">
        <w:rPr>
          <w:szCs w:val="24"/>
        </w:rPr>
        <w:t xml:space="preserve"> to keep the appointment;  or</w:t>
      </w:r>
    </w:p>
    <w:p w:rsidR="001D1CCB" w:rsidRPr="001D1CCB" w:rsidRDefault="001D1CCB" w:rsidP="003052A0">
      <w:pPr>
        <w:pStyle w:val="BodyText2"/>
        <w:autoSpaceDE w:val="0"/>
        <w:autoSpaceDN w:val="0"/>
        <w:ind w:left="1080" w:right="-180"/>
        <w:rPr>
          <w:szCs w:val="24"/>
        </w:rPr>
      </w:pPr>
    </w:p>
    <w:p w:rsidR="001D1CCB" w:rsidRPr="00714FEA" w:rsidRDefault="00544C70" w:rsidP="003052A0">
      <w:pPr>
        <w:pStyle w:val="BodyText2"/>
        <w:numPr>
          <w:ilvl w:val="0"/>
          <w:numId w:val="24"/>
        </w:numPr>
        <w:autoSpaceDE w:val="0"/>
        <w:autoSpaceDN w:val="0"/>
        <w:ind w:left="1080" w:right="-180"/>
        <w:rPr>
          <w:szCs w:val="24"/>
        </w:rPr>
      </w:pPr>
      <w:r>
        <w:rPr>
          <w:szCs w:val="24"/>
        </w:rPr>
        <w:t>The Company reschedules</w:t>
      </w:r>
      <w:r w:rsidR="001D1CCB" w:rsidRPr="00714FEA">
        <w:rPr>
          <w:szCs w:val="24"/>
        </w:rPr>
        <w:t xml:space="preserve"> the appointment with at least 24 hours notice to the customer.</w:t>
      </w:r>
    </w:p>
    <w:p w:rsidR="001D1CCB" w:rsidRPr="00714FEA" w:rsidRDefault="001D1CCB" w:rsidP="003052A0">
      <w:pPr>
        <w:pStyle w:val="BodyText2"/>
        <w:autoSpaceDE w:val="0"/>
        <w:autoSpaceDN w:val="0"/>
        <w:ind w:right="-180"/>
        <w:rPr>
          <w:szCs w:val="24"/>
        </w:rPr>
      </w:pPr>
    </w:p>
    <w:p w:rsidR="001D1CCB" w:rsidRPr="00E0314F" w:rsidRDefault="001D1CCB" w:rsidP="003052A0">
      <w:pPr>
        <w:pStyle w:val="BodyText2"/>
        <w:numPr>
          <w:ilvl w:val="0"/>
          <w:numId w:val="25"/>
        </w:numPr>
        <w:autoSpaceDE w:val="0"/>
        <w:autoSpaceDN w:val="0"/>
        <w:ind w:left="720" w:right="-180"/>
        <w:rPr>
          <w:szCs w:val="24"/>
        </w:rPr>
      </w:pPr>
      <w:r w:rsidRPr="00E0314F">
        <w:rPr>
          <w:szCs w:val="24"/>
        </w:rPr>
        <w:t>When the customer experiences an electric interruption, the Company will restore the service within 24 hours of notification from the customer. Avista will provide a bill credit to the customer in the amount of $50.00 if the restoration time exceeds 24 hours, except for the following instances:</w:t>
      </w:r>
    </w:p>
    <w:p w:rsidR="001D1CCB" w:rsidRPr="00E0314F" w:rsidRDefault="001D1CCB" w:rsidP="003052A0">
      <w:pPr>
        <w:pStyle w:val="BodyText2"/>
        <w:autoSpaceDE w:val="0"/>
        <w:autoSpaceDN w:val="0"/>
        <w:ind w:left="600" w:right="-180"/>
        <w:rPr>
          <w:szCs w:val="24"/>
        </w:rPr>
      </w:pPr>
    </w:p>
    <w:p w:rsidR="001D1CCB" w:rsidRPr="001D1CCB" w:rsidRDefault="001D1CCB" w:rsidP="003052A0">
      <w:pPr>
        <w:pStyle w:val="BodyText2"/>
        <w:numPr>
          <w:ilvl w:val="0"/>
          <w:numId w:val="26"/>
        </w:numPr>
        <w:autoSpaceDE w:val="0"/>
        <w:autoSpaceDN w:val="0"/>
        <w:ind w:left="1080" w:right="-180"/>
        <w:rPr>
          <w:szCs w:val="24"/>
        </w:rPr>
      </w:pPr>
      <w:r w:rsidRPr="00E0314F">
        <w:rPr>
          <w:szCs w:val="24"/>
        </w:rPr>
        <w:t>During periods of time when the outage is associated with a MED, which includes the 24-</w:t>
      </w:r>
      <w:r w:rsidRPr="001D1CCB">
        <w:rPr>
          <w:szCs w:val="24"/>
        </w:rPr>
        <w:t xml:space="preserve">hour period following the </w:t>
      </w:r>
      <w:proofErr w:type="spellStart"/>
      <w:r w:rsidRPr="001D1CCB">
        <w:rPr>
          <w:szCs w:val="24"/>
        </w:rPr>
        <w:t>MED</w:t>
      </w:r>
      <w:proofErr w:type="spellEnd"/>
      <w:r w:rsidRPr="001D1CCB">
        <w:rPr>
          <w:szCs w:val="24"/>
        </w:rPr>
        <w:t>;</w:t>
      </w:r>
      <w:r w:rsidR="00414281">
        <w:rPr>
          <w:szCs w:val="24"/>
        </w:rPr>
        <w:t xml:space="preserve"> or</w:t>
      </w:r>
    </w:p>
    <w:p w:rsidR="001D1CCB" w:rsidRPr="001D1CCB" w:rsidRDefault="001D1CCB" w:rsidP="003052A0">
      <w:pPr>
        <w:pStyle w:val="BodyText2"/>
        <w:autoSpaceDE w:val="0"/>
        <w:autoSpaceDN w:val="0"/>
        <w:ind w:left="1080" w:right="-180"/>
        <w:rPr>
          <w:szCs w:val="24"/>
        </w:rPr>
      </w:pPr>
    </w:p>
    <w:p w:rsidR="001D1CCB" w:rsidRDefault="001D1CCB" w:rsidP="003052A0">
      <w:pPr>
        <w:pStyle w:val="BodyText2"/>
        <w:autoSpaceDE w:val="0"/>
        <w:autoSpaceDN w:val="0"/>
        <w:ind w:left="1080" w:right="-180" w:hanging="360"/>
        <w:rPr>
          <w:szCs w:val="24"/>
        </w:rPr>
      </w:pPr>
      <w:r w:rsidRPr="001D1CCB">
        <w:rPr>
          <w:szCs w:val="24"/>
        </w:rPr>
        <w:t>b.</w:t>
      </w:r>
      <w:r w:rsidRPr="001D1CCB">
        <w:rPr>
          <w:szCs w:val="24"/>
        </w:rPr>
        <w:tab/>
        <w:t>When an action or default by someon</w:t>
      </w:r>
      <w:r w:rsidR="005B1F92">
        <w:rPr>
          <w:szCs w:val="24"/>
        </w:rPr>
        <w:t xml:space="preserve">e other than a utility </w:t>
      </w:r>
      <w:proofErr w:type="gramStart"/>
      <w:r w:rsidR="005B1F92">
        <w:rPr>
          <w:szCs w:val="24"/>
        </w:rPr>
        <w:t>employee</w:t>
      </w:r>
      <w:r w:rsidRPr="001D1CCB">
        <w:rPr>
          <w:szCs w:val="24"/>
        </w:rPr>
        <w:t xml:space="preserve"> which is out</w:t>
      </w:r>
      <w:r w:rsidR="005B1F92">
        <w:rPr>
          <w:szCs w:val="24"/>
        </w:rPr>
        <w:t>side the control of the company</w:t>
      </w:r>
      <w:proofErr w:type="gramEnd"/>
      <w:r w:rsidRPr="001D1CCB">
        <w:rPr>
          <w:szCs w:val="24"/>
        </w:rPr>
        <w:t xml:space="preserve"> prevented it from restoring supply</w:t>
      </w:r>
      <w:r w:rsidR="00414281">
        <w:rPr>
          <w:szCs w:val="24"/>
        </w:rPr>
        <w:t>.</w:t>
      </w:r>
    </w:p>
    <w:p w:rsidR="003052A0" w:rsidRDefault="003052A0" w:rsidP="00414281">
      <w:pPr>
        <w:pStyle w:val="BodyText2"/>
        <w:autoSpaceDE w:val="0"/>
        <w:autoSpaceDN w:val="0"/>
        <w:ind w:right="-180"/>
        <w:rPr>
          <w:sz w:val="23"/>
          <w:szCs w:val="23"/>
        </w:rPr>
      </w:pPr>
    </w:p>
    <w:p w:rsidR="001D1CCB" w:rsidRPr="001D1CCB" w:rsidRDefault="001D1CCB" w:rsidP="003052A0">
      <w:pPr>
        <w:pStyle w:val="BodyText2"/>
        <w:autoSpaceDE w:val="0"/>
        <w:autoSpaceDN w:val="0"/>
        <w:ind w:left="720" w:right="-180" w:hanging="360"/>
        <w:rPr>
          <w:szCs w:val="24"/>
        </w:rPr>
      </w:pPr>
      <w:r>
        <w:rPr>
          <w:sz w:val="23"/>
          <w:szCs w:val="23"/>
        </w:rPr>
        <w:t xml:space="preserve">3. </w:t>
      </w:r>
      <w:r>
        <w:rPr>
          <w:sz w:val="23"/>
          <w:szCs w:val="23"/>
        </w:rPr>
        <w:tab/>
      </w:r>
      <w:r w:rsidRPr="001D1CCB">
        <w:rPr>
          <w:szCs w:val="24"/>
        </w:rPr>
        <w:t>The Company will switch on power within one business day of the customer or applicant’s request for service. Avis</w:t>
      </w:r>
      <w:r w:rsidR="00E0314F">
        <w:rPr>
          <w:szCs w:val="24"/>
        </w:rPr>
        <w:t>t</w:t>
      </w:r>
      <w:r w:rsidRPr="001D1CCB">
        <w:rPr>
          <w:szCs w:val="24"/>
        </w:rPr>
        <w:t>a will provide a bill credit to the customer in the amount of $50.00 if the service takes more than one business day, except for the following instances:</w:t>
      </w:r>
    </w:p>
    <w:p w:rsidR="001D1CCB" w:rsidRPr="001D1CCB" w:rsidRDefault="001D1CCB" w:rsidP="003052A0">
      <w:pPr>
        <w:pStyle w:val="BodyText2"/>
        <w:autoSpaceDE w:val="0"/>
        <w:autoSpaceDN w:val="0"/>
        <w:ind w:left="720" w:right="-180" w:hanging="360"/>
        <w:rPr>
          <w:szCs w:val="24"/>
        </w:rPr>
      </w:pPr>
    </w:p>
    <w:p w:rsidR="001D1CCB" w:rsidRPr="001D1CCB" w:rsidRDefault="001D1CCB" w:rsidP="003052A0">
      <w:pPr>
        <w:pStyle w:val="BodyText2"/>
        <w:numPr>
          <w:ilvl w:val="1"/>
          <w:numId w:val="21"/>
        </w:numPr>
        <w:autoSpaceDE w:val="0"/>
        <w:autoSpaceDN w:val="0"/>
        <w:ind w:left="1080" w:right="-180"/>
        <w:rPr>
          <w:szCs w:val="24"/>
        </w:rPr>
      </w:pPr>
      <w:r w:rsidRPr="001D1CCB">
        <w:rPr>
          <w:szCs w:val="24"/>
        </w:rPr>
        <w:t>When construction is required before the service can be energized;</w:t>
      </w:r>
    </w:p>
    <w:p w:rsidR="001D1CCB" w:rsidRPr="001D1CCB" w:rsidRDefault="001D1CCB" w:rsidP="003052A0">
      <w:pPr>
        <w:pStyle w:val="BodyText2"/>
        <w:autoSpaceDE w:val="0"/>
        <w:autoSpaceDN w:val="0"/>
        <w:ind w:left="1080" w:right="-180"/>
        <w:rPr>
          <w:szCs w:val="24"/>
        </w:rPr>
      </w:pPr>
    </w:p>
    <w:p w:rsidR="001D1CCB" w:rsidRPr="001D1CCB" w:rsidRDefault="001D1CCB" w:rsidP="003052A0">
      <w:pPr>
        <w:pStyle w:val="BodyText2"/>
        <w:numPr>
          <w:ilvl w:val="1"/>
          <w:numId w:val="21"/>
        </w:numPr>
        <w:autoSpaceDE w:val="0"/>
        <w:autoSpaceDN w:val="0"/>
        <w:ind w:left="1080" w:right="-180"/>
        <w:rPr>
          <w:szCs w:val="24"/>
        </w:rPr>
      </w:pPr>
      <w:r w:rsidRPr="001D1CCB">
        <w:rPr>
          <w:szCs w:val="24"/>
        </w:rPr>
        <w:t>When the customer does not provide evidence that all required government inspections have been satisfied;</w:t>
      </w:r>
    </w:p>
    <w:p w:rsidR="001D1CCB" w:rsidRPr="001D1CCB" w:rsidRDefault="001D1CCB" w:rsidP="003052A0">
      <w:pPr>
        <w:pStyle w:val="BodyText2"/>
        <w:autoSpaceDE w:val="0"/>
        <w:autoSpaceDN w:val="0"/>
        <w:ind w:left="1080" w:right="-180"/>
        <w:rPr>
          <w:szCs w:val="24"/>
        </w:rPr>
      </w:pPr>
    </w:p>
    <w:p w:rsidR="001D1CCB" w:rsidRPr="001D1CCB" w:rsidRDefault="001D1CCB" w:rsidP="003052A0">
      <w:pPr>
        <w:pStyle w:val="BodyText2"/>
        <w:numPr>
          <w:ilvl w:val="1"/>
          <w:numId w:val="21"/>
        </w:numPr>
        <w:autoSpaceDE w:val="0"/>
        <w:autoSpaceDN w:val="0"/>
        <w:ind w:left="1080" w:right="-180"/>
        <w:rPr>
          <w:szCs w:val="24"/>
        </w:rPr>
      </w:pPr>
      <w:r w:rsidRPr="001D1CCB">
        <w:rPr>
          <w:szCs w:val="24"/>
        </w:rPr>
        <w:t xml:space="preserve">When required payments to the Company have not been received; or </w:t>
      </w:r>
    </w:p>
    <w:p w:rsidR="001D1CCB" w:rsidRPr="001D1CCB" w:rsidRDefault="001D1CCB" w:rsidP="003052A0">
      <w:pPr>
        <w:pStyle w:val="BodyText2"/>
        <w:autoSpaceDE w:val="0"/>
        <w:autoSpaceDN w:val="0"/>
        <w:ind w:left="1080" w:right="-180"/>
        <w:rPr>
          <w:szCs w:val="24"/>
        </w:rPr>
      </w:pPr>
    </w:p>
    <w:p w:rsidR="001D1CCB" w:rsidRPr="001D1CCB" w:rsidRDefault="001D1CCB" w:rsidP="003052A0">
      <w:pPr>
        <w:pStyle w:val="BodyText2"/>
        <w:numPr>
          <w:ilvl w:val="1"/>
          <w:numId w:val="21"/>
        </w:numPr>
        <w:autoSpaceDE w:val="0"/>
        <w:autoSpaceDN w:val="0"/>
        <w:ind w:left="1080" w:right="-180"/>
        <w:rPr>
          <w:szCs w:val="24"/>
        </w:rPr>
      </w:pPr>
      <w:r w:rsidRPr="001D1CCB">
        <w:rPr>
          <w:szCs w:val="24"/>
        </w:rPr>
        <w:t>The service has been disconnected for nonpayment or theft/diversion of service.</w:t>
      </w:r>
    </w:p>
    <w:p w:rsidR="001D1CCB" w:rsidRPr="001D1CCB" w:rsidRDefault="001D1CCB" w:rsidP="003052A0">
      <w:pPr>
        <w:pStyle w:val="BodyText2"/>
        <w:autoSpaceDE w:val="0"/>
        <w:autoSpaceDN w:val="0"/>
        <w:ind w:left="1080" w:right="-180"/>
        <w:rPr>
          <w:szCs w:val="24"/>
        </w:rPr>
      </w:pPr>
    </w:p>
    <w:p w:rsidR="001D1CCB" w:rsidRPr="001D1CCB" w:rsidRDefault="001D1CCB" w:rsidP="003052A0">
      <w:pPr>
        <w:pStyle w:val="BodyText2"/>
        <w:autoSpaceDE w:val="0"/>
        <w:autoSpaceDN w:val="0"/>
        <w:ind w:left="720" w:right="-180" w:hanging="360"/>
        <w:rPr>
          <w:szCs w:val="24"/>
        </w:rPr>
      </w:pPr>
      <w:r w:rsidRPr="001D1CCB">
        <w:rPr>
          <w:szCs w:val="24"/>
        </w:rPr>
        <w:t xml:space="preserve">4. </w:t>
      </w:r>
      <w:r w:rsidRPr="001D1CCB">
        <w:rPr>
          <w:szCs w:val="24"/>
        </w:rPr>
        <w:tab/>
        <w:t xml:space="preserve">The Company will provide a cost estimate to the customer </w:t>
      </w:r>
      <w:r w:rsidR="00FE3625">
        <w:rPr>
          <w:szCs w:val="24"/>
        </w:rPr>
        <w:t xml:space="preserve">or applicant </w:t>
      </w:r>
      <w:r w:rsidRPr="001D1CCB">
        <w:rPr>
          <w:szCs w:val="24"/>
        </w:rPr>
        <w:t xml:space="preserve">for new electric or natural gas supply within 10 business days </w:t>
      </w:r>
      <w:r w:rsidR="00F247F4">
        <w:rPr>
          <w:szCs w:val="24"/>
        </w:rPr>
        <w:t>upon</w:t>
      </w:r>
      <w:r w:rsidRPr="001D1CCB">
        <w:rPr>
          <w:szCs w:val="24"/>
        </w:rPr>
        <w:t xml:space="preserve"> receipt of </w:t>
      </w:r>
      <w:r w:rsidR="00FE3625">
        <w:rPr>
          <w:szCs w:val="24"/>
        </w:rPr>
        <w:t xml:space="preserve">the necessary </w:t>
      </w:r>
      <w:r w:rsidRPr="001D1CCB">
        <w:rPr>
          <w:szCs w:val="24"/>
        </w:rPr>
        <w:t xml:space="preserve">information </w:t>
      </w:r>
      <w:r w:rsidR="00FE3625">
        <w:rPr>
          <w:szCs w:val="24"/>
        </w:rPr>
        <w:t xml:space="preserve">from the </w:t>
      </w:r>
      <w:r w:rsidR="00FE3625">
        <w:rPr>
          <w:szCs w:val="24"/>
        </w:rPr>
        <w:lastRenderedPageBreak/>
        <w:t>customer or applicant</w:t>
      </w:r>
      <w:r w:rsidRPr="001D1CCB">
        <w:rPr>
          <w:szCs w:val="24"/>
        </w:rPr>
        <w:t>. Avista will provide a bill credit to the customer in the amount of $50.00 if the cost estimate takes more than 10 business days.</w:t>
      </w:r>
    </w:p>
    <w:p w:rsidR="001D1CCB" w:rsidRPr="001D1CCB" w:rsidRDefault="001D1CCB" w:rsidP="003052A0">
      <w:pPr>
        <w:pStyle w:val="BodyText2"/>
        <w:autoSpaceDE w:val="0"/>
        <w:autoSpaceDN w:val="0"/>
        <w:ind w:left="1080" w:right="-180"/>
        <w:rPr>
          <w:szCs w:val="24"/>
        </w:rPr>
      </w:pPr>
    </w:p>
    <w:p w:rsidR="001D1CCB" w:rsidRPr="001D1CCB" w:rsidRDefault="001D1CCB" w:rsidP="003052A0">
      <w:pPr>
        <w:pStyle w:val="BodyText2"/>
        <w:autoSpaceDE w:val="0"/>
        <w:autoSpaceDN w:val="0"/>
        <w:ind w:left="720" w:right="-180" w:hanging="360"/>
        <w:rPr>
          <w:szCs w:val="24"/>
        </w:rPr>
      </w:pPr>
      <w:r w:rsidRPr="001D1CCB">
        <w:rPr>
          <w:szCs w:val="24"/>
        </w:rPr>
        <w:t xml:space="preserve">5. </w:t>
      </w:r>
      <w:r w:rsidRPr="001D1CCB">
        <w:rPr>
          <w:szCs w:val="24"/>
        </w:rPr>
        <w:tab/>
        <w:t>The Company will respond to most billing inquiries at the time of the initial contact, and for those inquires that require further investigation, Avista will investigate and respond to the customer within 10 business days. Avista will provide a bill credit to the customer in the amount of $50.00 if the response to the customer exceeds 10 business days.</w:t>
      </w:r>
    </w:p>
    <w:p w:rsidR="001D1CCB" w:rsidRPr="001D1CCB" w:rsidRDefault="001D1CCB" w:rsidP="003052A0">
      <w:pPr>
        <w:pStyle w:val="BodyText2"/>
        <w:autoSpaceDE w:val="0"/>
        <w:autoSpaceDN w:val="0"/>
        <w:ind w:right="-180"/>
        <w:rPr>
          <w:szCs w:val="24"/>
        </w:rPr>
      </w:pPr>
    </w:p>
    <w:p w:rsidR="001D1CCB" w:rsidRPr="001D1CCB" w:rsidRDefault="001D1CCB" w:rsidP="003052A0">
      <w:pPr>
        <w:pStyle w:val="BodyText2"/>
        <w:autoSpaceDE w:val="0"/>
        <w:autoSpaceDN w:val="0"/>
        <w:ind w:left="720" w:right="-180" w:hanging="360"/>
        <w:rPr>
          <w:szCs w:val="24"/>
        </w:rPr>
      </w:pPr>
      <w:r w:rsidRPr="001D1CCB">
        <w:rPr>
          <w:szCs w:val="24"/>
        </w:rPr>
        <w:t xml:space="preserve">6. </w:t>
      </w:r>
      <w:r w:rsidRPr="001D1CCB">
        <w:rPr>
          <w:szCs w:val="24"/>
        </w:rPr>
        <w:tab/>
        <w:t>The Company will investigate customer-reported problems with a meter, or conduct a meter test, and report the results to the customer within 20 business days. Avista will provide a bill credit to the customer in the amount of $50.00 if the report to the customer exceeds 20 business days.</w:t>
      </w:r>
    </w:p>
    <w:p w:rsidR="001D1CCB" w:rsidRPr="001D1CCB" w:rsidRDefault="001D1CCB" w:rsidP="003052A0">
      <w:pPr>
        <w:pStyle w:val="BodyText2"/>
        <w:autoSpaceDE w:val="0"/>
        <w:autoSpaceDN w:val="0"/>
        <w:ind w:right="-180"/>
        <w:rPr>
          <w:szCs w:val="24"/>
        </w:rPr>
      </w:pPr>
    </w:p>
    <w:p w:rsidR="001D1CCB" w:rsidRPr="001D1CCB" w:rsidRDefault="001D1CCB" w:rsidP="003052A0">
      <w:pPr>
        <w:pStyle w:val="BodyText2"/>
        <w:autoSpaceDE w:val="0"/>
        <w:autoSpaceDN w:val="0"/>
        <w:ind w:left="720" w:right="-180" w:hanging="360"/>
        <w:rPr>
          <w:szCs w:val="24"/>
        </w:rPr>
      </w:pPr>
      <w:r w:rsidRPr="001D1CCB">
        <w:rPr>
          <w:szCs w:val="24"/>
        </w:rPr>
        <w:t xml:space="preserve">7. </w:t>
      </w:r>
      <w:r w:rsidRPr="001D1CCB">
        <w:rPr>
          <w:szCs w:val="24"/>
        </w:rPr>
        <w:tab/>
        <w:t xml:space="preserve">The Company will </w:t>
      </w:r>
      <w:r w:rsidR="00F247F4">
        <w:rPr>
          <w:szCs w:val="24"/>
        </w:rPr>
        <w:t>provide notification to</w:t>
      </w:r>
      <w:r w:rsidRPr="001D1CCB">
        <w:rPr>
          <w:szCs w:val="24"/>
        </w:rPr>
        <w:t xml:space="preserve"> the customer at least 24 hours in advance of disconnecting service for scheduled interruptions. Avista will provide a bill credit to the customer in the amount of $50.00 in the event it has failed to provide notification through means normally used by the Company, except for the following instances:</w:t>
      </w:r>
    </w:p>
    <w:p w:rsidR="001D1CCB" w:rsidRPr="001D1CCB" w:rsidRDefault="001D1CCB" w:rsidP="003052A0">
      <w:pPr>
        <w:pStyle w:val="BodyText2"/>
        <w:autoSpaceDE w:val="0"/>
        <w:autoSpaceDN w:val="0"/>
        <w:ind w:left="720" w:right="-180" w:hanging="360"/>
        <w:rPr>
          <w:szCs w:val="24"/>
        </w:rPr>
      </w:pPr>
    </w:p>
    <w:p w:rsidR="001D1CCB" w:rsidRPr="001D1CCB" w:rsidRDefault="001D1CCB" w:rsidP="003052A0">
      <w:pPr>
        <w:pStyle w:val="BodyText2"/>
        <w:numPr>
          <w:ilvl w:val="0"/>
          <w:numId w:val="27"/>
        </w:numPr>
        <w:autoSpaceDE w:val="0"/>
        <w:autoSpaceDN w:val="0"/>
        <w:ind w:left="1080" w:right="-180"/>
        <w:rPr>
          <w:szCs w:val="24"/>
        </w:rPr>
      </w:pPr>
      <w:r w:rsidRPr="001D1CCB">
        <w:rPr>
          <w:szCs w:val="24"/>
        </w:rPr>
        <w:t>When the interruption is a momentary interruption of less than five minutes in duration;</w:t>
      </w:r>
    </w:p>
    <w:p w:rsidR="001D1CCB" w:rsidRPr="001D1CCB" w:rsidRDefault="001D1CCB" w:rsidP="003052A0">
      <w:pPr>
        <w:pStyle w:val="BodyText2"/>
        <w:autoSpaceDE w:val="0"/>
        <w:autoSpaceDN w:val="0"/>
        <w:ind w:left="1080" w:right="-180"/>
        <w:rPr>
          <w:szCs w:val="24"/>
        </w:rPr>
      </w:pPr>
    </w:p>
    <w:p w:rsidR="001D1CCB" w:rsidRPr="001D1CCB" w:rsidRDefault="001D1CCB" w:rsidP="003052A0">
      <w:pPr>
        <w:pStyle w:val="BodyText2"/>
        <w:numPr>
          <w:ilvl w:val="0"/>
          <w:numId w:val="27"/>
        </w:numPr>
        <w:autoSpaceDE w:val="0"/>
        <w:autoSpaceDN w:val="0"/>
        <w:ind w:left="1080" w:right="-180"/>
        <w:rPr>
          <w:szCs w:val="24"/>
        </w:rPr>
      </w:pPr>
      <w:r w:rsidRPr="001D1CCB">
        <w:rPr>
          <w:szCs w:val="24"/>
        </w:rPr>
        <w:t xml:space="preserve">When the safety of the public or Company personnel or the imminent failure of Company equipment is a factor leading to the interruption; </w:t>
      </w:r>
      <w:r w:rsidR="00F247F4">
        <w:rPr>
          <w:szCs w:val="24"/>
        </w:rPr>
        <w:t>or</w:t>
      </w:r>
      <w:r w:rsidRPr="001D1CCB">
        <w:rPr>
          <w:szCs w:val="24"/>
        </w:rPr>
        <w:t xml:space="preserve"> </w:t>
      </w:r>
    </w:p>
    <w:p w:rsidR="001D1CCB" w:rsidRPr="001D1CCB" w:rsidRDefault="001D1CCB" w:rsidP="003052A0">
      <w:pPr>
        <w:pStyle w:val="BodyText2"/>
        <w:autoSpaceDE w:val="0"/>
        <w:autoSpaceDN w:val="0"/>
        <w:ind w:left="1080" w:right="-180"/>
        <w:rPr>
          <w:szCs w:val="24"/>
        </w:rPr>
      </w:pPr>
    </w:p>
    <w:p w:rsidR="001D1CCB" w:rsidRDefault="001D1CCB" w:rsidP="003052A0">
      <w:pPr>
        <w:pStyle w:val="BodyText2"/>
        <w:numPr>
          <w:ilvl w:val="0"/>
          <w:numId w:val="27"/>
        </w:numPr>
        <w:autoSpaceDE w:val="0"/>
        <w:autoSpaceDN w:val="0"/>
        <w:ind w:left="1080" w:right="-180"/>
        <w:rPr>
          <w:szCs w:val="24"/>
        </w:rPr>
      </w:pPr>
      <w:proofErr w:type="gramStart"/>
      <w:r w:rsidRPr="001D1CCB">
        <w:rPr>
          <w:szCs w:val="24"/>
        </w:rPr>
        <w:t>When the interruption is associated with work on a meter.</w:t>
      </w:r>
      <w:proofErr w:type="gramEnd"/>
    </w:p>
    <w:p w:rsidR="00E37B05" w:rsidRPr="001D1CCB" w:rsidRDefault="00E37B05" w:rsidP="00E37B05">
      <w:pPr>
        <w:pStyle w:val="BodyText2"/>
        <w:autoSpaceDE w:val="0"/>
        <w:autoSpaceDN w:val="0"/>
        <w:ind w:left="1080" w:right="-180"/>
        <w:rPr>
          <w:szCs w:val="24"/>
        </w:rPr>
      </w:pPr>
    </w:p>
    <w:p w:rsidR="001D1CCB" w:rsidRPr="00D41806" w:rsidRDefault="001D1CCB" w:rsidP="001D1CCB">
      <w:pPr>
        <w:pStyle w:val="BodyText2"/>
        <w:autoSpaceDE w:val="0"/>
        <w:autoSpaceDN w:val="0"/>
        <w:ind w:right="-180"/>
        <w:jc w:val="left"/>
        <w:rPr>
          <w:sz w:val="23"/>
          <w:szCs w:val="23"/>
        </w:rPr>
      </w:pPr>
    </w:p>
    <w:p w:rsidR="001D1CCB" w:rsidRPr="001D1CCB" w:rsidRDefault="001D1CCB" w:rsidP="001D1CCB">
      <w:pPr>
        <w:spacing w:line="480" w:lineRule="auto"/>
        <w:ind w:left="245"/>
        <w:jc w:val="center"/>
        <w:rPr>
          <w:b/>
          <w:sz w:val="24"/>
          <w:szCs w:val="24"/>
        </w:rPr>
      </w:pPr>
      <w:r w:rsidRPr="001D1CCB">
        <w:rPr>
          <w:b/>
          <w:sz w:val="24"/>
          <w:szCs w:val="24"/>
        </w:rPr>
        <w:t>PROPOSED IMPLE</w:t>
      </w:r>
      <w:bookmarkStart w:id="0" w:name="_GoBack"/>
      <w:bookmarkEnd w:id="0"/>
      <w:r w:rsidRPr="001D1CCB">
        <w:rPr>
          <w:b/>
          <w:sz w:val="24"/>
          <w:szCs w:val="24"/>
        </w:rPr>
        <w:t>MENTATION TIMELINE AND REPORTING</w:t>
      </w:r>
    </w:p>
    <w:p w:rsidR="001D1CCB" w:rsidRPr="001D1CCB" w:rsidRDefault="001D1CCB" w:rsidP="001D1CCB">
      <w:pPr>
        <w:spacing w:line="360" w:lineRule="auto"/>
        <w:ind w:left="245" w:firstLine="475"/>
        <w:jc w:val="both"/>
        <w:rPr>
          <w:b/>
          <w:sz w:val="24"/>
          <w:szCs w:val="24"/>
        </w:rPr>
      </w:pPr>
      <w:r w:rsidRPr="001D1CCB">
        <w:rPr>
          <w:sz w:val="24"/>
          <w:szCs w:val="24"/>
        </w:rPr>
        <w:t xml:space="preserve">The proposed effective date of the new tariff Schedules 85 and 185 is July 1, 2015, as agreed in the Settlement Stipulation, and ordered by the Commission in Dockets No. UE-140188 and UG-140189 (Consolidated). The Company </w:t>
      </w:r>
      <w:r w:rsidR="009D0654">
        <w:rPr>
          <w:sz w:val="24"/>
          <w:szCs w:val="24"/>
        </w:rPr>
        <w:t>proposes to</w:t>
      </w:r>
      <w:r w:rsidRPr="001D1CCB">
        <w:rPr>
          <w:sz w:val="24"/>
          <w:szCs w:val="24"/>
        </w:rPr>
        <w:t xml:space="preserve"> begin tracking and reporting results of the program to the Commission and its customers, as follows:</w:t>
      </w:r>
    </w:p>
    <w:p w:rsidR="001D1CCB" w:rsidRPr="001D1CCB" w:rsidRDefault="001D1CCB" w:rsidP="00AB51BE">
      <w:pPr>
        <w:ind w:left="-576"/>
        <w:jc w:val="both"/>
        <w:rPr>
          <w:b/>
          <w:sz w:val="24"/>
          <w:szCs w:val="24"/>
        </w:rPr>
      </w:pPr>
    </w:p>
    <w:p w:rsidR="001D1CCB" w:rsidRPr="001D1CCB" w:rsidRDefault="001D1CCB" w:rsidP="001D1CCB">
      <w:pPr>
        <w:numPr>
          <w:ilvl w:val="1"/>
          <w:numId w:val="13"/>
        </w:numPr>
        <w:ind w:left="810"/>
        <w:jc w:val="both"/>
        <w:rPr>
          <w:sz w:val="24"/>
          <w:szCs w:val="24"/>
        </w:rPr>
      </w:pPr>
      <w:r w:rsidRPr="001D1CCB">
        <w:rPr>
          <w:sz w:val="24"/>
          <w:szCs w:val="24"/>
        </w:rPr>
        <w:t xml:space="preserve">Avista will report the annual results of its Service Quality Measures Program as part of its Annual Electric Service Reliability Report, filed with the Commission per WAC 480-100-398, on or before April </w:t>
      </w:r>
      <w:proofErr w:type="gramStart"/>
      <w:r w:rsidRPr="001D1CCB">
        <w:rPr>
          <w:sz w:val="24"/>
          <w:szCs w:val="24"/>
        </w:rPr>
        <w:t>30th</w:t>
      </w:r>
      <w:proofErr w:type="gramEnd"/>
      <w:r w:rsidRPr="001D1CCB">
        <w:rPr>
          <w:sz w:val="24"/>
          <w:szCs w:val="24"/>
        </w:rPr>
        <w:t xml:space="preserve"> of each year for the prior calendar year.</w:t>
      </w:r>
    </w:p>
    <w:p w:rsidR="001D1CCB" w:rsidRPr="001D1CCB" w:rsidRDefault="001D1CCB" w:rsidP="001D1CCB">
      <w:pPr>
        <w:ind w:left="810"/>
        <w:jc w:val="both"/>
        <w:rPr>
          <w:sz w:val="24"/>
          <w:szCs w:val="24"/>
        </w:rPr>
      </w:pPr>
    </w:p>
    <w:p w:rsidR="001D1CCB" w:rsidRPr="001D1CCB" w:rsidRDefault="001D1CCB" w:rsidP="001D1CCB">
      <w:pPr>
        <w:numPr>
          <w:ilvl w:val="1"/>
          <w:numId w:val="13"/>
        </w:numPr>
        <w:ind w:left="810"/>
        <w:jc w:val="both"/>
        <w:rPr>
          <w:sz w:val="24"/>
          <w:szCs w:val="24"/>
        </w:rPr>
      </w:pPr>
      <w:r w:rsidRPr="001D1CCB">
        <w:rPr>
          <w:sz w:val="24"/>
          <w:szCs w:val="24"/>
        </w:rPr>
        <w:t xml:space="preserve">The initial effective period for implementation of the Customer Service Measures and Electric System Reliability will be the calendar year 2015, with results to be reported to the Commission on or before April 30, 2016.  Thereafter, the report </w:t>
      </w:r>
      <w:proofErr w:type="gramStart"/>
      <w:r w:rsidRPr="001D1CCB">
        <w:rPr>
          <w:sz w:val="24"/>
          <w:szCs w:val="24"/>
        </w:rPr>
        <w:t>will be filed</w:t>
      </w:r>
      <w:proofErr w:type="gramEnd"/>
      <w:r w:rsidRPr="001D1CCB">
        <w:rPr>
          <w:sz w:val="24"/>
          <w:szCs w:val="24"/>
        </w:rPr>
        <w:t xml:space="preserve"> annually on or </w:t>
      </w:r>
      <w:r w:rsidR="00C61404">
        <w:rPr>
          <w:sz w:val="24"/>
          <w:szCs w:val="24"/>
        </w:rPr>
        <w:t>before</w:t>
      </w:r>
      <w:r w:rsidRPr="001D1CCB">
        <w:rPr>
          <w:sz w:val="24"/>
          <w:szCs w:val="24"/>
        </w:rPr>
        <w:t xml:space="preserve"> April 30 for the preceding year.</w:t>
      </w:r>
    </w:p>
    <w:p w:rsidR="001D1CCB" w:rsidRPr="001D1CCB" w:rsidRDefault="001D1CCB" w:rsidP="001D1CCB">
      <w:pPr>
        <w:ind w:left="810"/>
        <w:jc w:val="both"/>
        <w:rPr>
          <w:sz w:val="24"/>
          <w:szCs w:val="24"/>
        </w:rPr>
      </w:pPr>
    </w:p>
    <w:p w:rsidR="001D1CCB" w:rsidRPr="001D1CCB" w:rsidRDefault="001D1CCB" w:rsidP="001D1CCB">
      <w:pPr>
        <w:numPr>
          <w:ilvl w:val="1"/>
          <w:numId w:val="13"/>
        </w:numPr>
        <w:ind w:left="810"/>
        <w:jc w:val="both"/>
        <w:rPr>
          <w:sz w:val="24"/>
          <w:szCs w:val="24"/>
        </w:rPr>
      </w:pPr>
      <w:r w:rsidRPr="001D1CCB">
        <w:rPr>
          <w:sz w:val="24"/>
          <w:szCs w:val="24"/>
        </w:rPr>
        <w:t>The initial implementation date for the Company’s Customer Service Guarantees will be January 1, 2016, allowing time for the Company to implement and refine tracking systems and bill-credit procedures associated with the Guarantees.</w:t>
      </w:r>
    </w:p>
    <w:p w:rsidR="001D1CCB" w:rsidRPr="001D1CCB" w:rsidRDefault="001D1CCB" w:rsidP="001D1CCB">
      <w:pPr>
        <w:ind w:left="810"/>
        <w:jc w:val="both"/>
        <w:rPr>
          <w:sz w:val="24"/>
          <w:szCs w:val="24"/>
        </w:rPr>
      </w:pPr>
    </w:p>
    <w:p w:rsidR="001D1CCB" w:rsidRPr="001D1CCB" w:rsidRDefault="001D1CCB" w:rsidP="001D1CCB">
      <w:pPr>
        <w:numPr>
          <w:ilvl w:val="1"/>
          <w:numId w:val="13"/>
        </w:numPr>
        <w:ind w:left="810"/>
        <w:jc w:val="both"/>
        <w:rPr>
          <w:sz w:val="24"/>
          <w:szCs w:val="24"/>
        </w:rPr>
      </w:pPr>
      <w:r w:rsidRPr="001D1CCB">
        <w:rPr>
          <w:sz w:val="24"/>
          <w:szCs w:val="24"/>
        </w:rPr>
        <w:t xml:space="preserve">The Company’s initial report of the results of its Customer Service Guarantees, for the calendar year 2016, will be filed with the Commission on or before April 30, 2017.  Thereafter, the report </w:t>
      </w:r>
      <w:proofErr w:type="gramStart"/>
      <w:r w:rsidRPr="001D1CCB">
        <w:rPr>
          <w:sz w:val="24"/>
          <w:szCs w:val="24"/>
        </w:rPr>
        <w:t>will be filed</w:t>
      </w:r>
      <w:proofErr w:type="gramEnd"/>
      <w:r w:rsidRPr="001D1CCB">
        <w:rPr>
          <w:sz w:val="24"/>
          <w:szCs w:val="24"/>
        </w:rPr>
        <w:t xml:space="preserve"> annually on or </w:t>
      </w:r>
      <w:r w:rsidR="00C61404">
        <w:rPr>
          <w:sz w:val="24"/>
          <w:szCs w:val="24"/>
        </w:rPr>
        <w:t>before</w:t>
      </w:r>
      <w:r w:rsidRPr="001D1CCB">
        <w:rPr>
          <w:sz w:val="24"/>
          <w:szCs w:val="24"/>
        </w:rPr>
        <w:t xml:space="preserve"> April 30 for the preceding year.</w:t>
      </w:r>
    </w:p>
    <w:p w:rsidR="001D1CCB" w:rsidRPr="001D1CCB" w:rsidRDefault="001D1CCB" w:rsidP="001D1CCB">
      <w:pPr>
        <w:pStyle w:val="BodyText2"/>
        <w:ind w:right="-180"/>
        <w:rPr>
          <w:szCs w:val="24"/>
        </w:rPr>
      </w:pPr>
    </w:p>
    <w:p w:rsidR="001D1CCB" w:rsidRPr="001D1CCB" w:rsidRDefault="001D1CCB" w:rsidP="00E0314F">
      <w:pPr>
        <w:spacing w:line="360" w:lineRule="auto"/>
        <w:ind w:left="245" w:firstLine="475"/>
        <w:jc w:val="both"/>
        <w:rPr>
          <w:sz w:val="24"/>
          <w:szCs w:val="24"/>
        </w:rPr>
      </w:pPr>
      <w:r w:rsidRPr="001D1CCB">
        <w:rPr>
          <w:sz w:val="24"/>
          <w:szCs w:val="24"/>
        </w:rPr>
        <w:t>In addition, within 90 days of filing its Annual Electric Service Reliability Report, the Company will send a report card to its customers, summarizing its prior-year performance under its Service Quality Measures Program. The Company will work with the Parties on the template to be used for the Report Card, which will include the following information:</w:t>
      </w:r>
    </w:p>
    <w:p w:rsidR="001D1CCB" w:rsidRPr="00621E15" w:rsidRDefault="001D1CCB" w:rsidP="00E0314F">
      <w:pPr>
        <w:ind w:left="245"/>
        <w:jc w:val="both"/>
      </w:pPr>
    </w:p>
    <w:p w:rsidR="001D1CCB" w:rsidRPr="00E0314F" w:rsidRDefault="001D1CCB" w:rsidP="001D1CCB">
      <w:pPr>
        <w:numPr>
          <w:ilvl w:val="0"/>
          <w:numId w:val="16"/>
        </w:numPr>
        <w:ind w:left="810"/>
        <w:jc w:val="both"/>
        <w:rPr>
          <w:sz w:val="24"/>
          <w:szCs w:val="24"/>
        </w:rPr>
      </w:pPr>
      <w:r w:rsidRPr="00E0314F">
        <w:rPr>
          <w:sz w:val="24"/>
          <w:szCs w:val="24"/>
        </w:rPr>
        <w:t>Results for each of the Company’s Customer Service Quality Measures, compared with the respective performance benchmarks;</w:t>
      </w:r>
    </w:p>
    <w:p w:rsidR="001D1CCB" w:rsidRPr="00E0314F" w:rsidRDefault="001D1CCB" w:rsidP="001D1CCB">
      <w:pPr>
        <w:ind w:left="810"/>
        <w:jc w:val="both"/>
        <w:rPr>
          <w:sz w:val="24"/>
          <w:szCs w:val="24"/>
        </w:rPr>
      </w:pPr>
    </w:p>
    <w:p w:rsidR="001D1CCB" w:rsidRPr="00E0314F" w:rsidRDefault="001D1CCB" w:rsidP="001D1CCB">
      <w:pPr>
        <w:numPr>
          <w:ilvl w:val="0"/>
          <w:numId w:val="16"/>
        </w:numPr>
        <w:ind w:left="810"/>
        <w:jc w:val="both"/>
        <w:rPr>
          <w:sz w:val="24"/>
          <w:szCs w:val="24"/>
        </w:rPr>
      </w:pPr>
      <w:r w:rsidRPr="00E0314F">
        <w:rPr>
          <w:sz w:val="24"/>
          <w:szCs w:val="24"/>
        </w:rPr>
        <w:t xml:space="preserve"> Report of the Company’s Electric System Reliability;</w:t>
      </w:r>
    </w:p>
    <w:p w:rsidR="001D1CCB" w:rsidRPr="00E0314F" w:rsidRDefault="001D1CCB" w:rsidP="001D1CCB">
      <w:pPr>
        <w:ind w:left="810"/>
        <w:jc w:val="both"/>
        <w:rPr>
          <w:sz w:val="24"/>
          <w:szCs w:val="24"/>
        </w:rPr>
      </w:pPr>
    </w:p>
    <w:p w:rsidR="001D1CCB" w:rsidRPr="00E0314F" w:rsidRDefault="001D1CCB" w:rsidP="001D1CCB">
      <w:pPr>
        <w:numPr>
          <w:ilvl w:val="0"/>
          <w:numId w:val="16"/>
        </w:numPr>
        <w:ind w:left="810"/>
        <w:jc w:val="both"/>
        <w:rPr>
          <w:sz w:val="24"/>
          <w:szCs w:val="24"/>
        </w:rPr>
      </w:pPr>
      <w:r w:rsidRPr="00E0314F">
        <w:rPr>
          <w:sz w:val="24"/>
          <w:szCs w:val="24"/>
        </w:rPr>
        <w:t>Results for each of the Customer Service Guarantees, compared with the respective benchmarks, and including the number of events for each measure where a customer bill credit was provided, and the total dollar amount of the credits paid for each measure; and</w:t>
      </w:r>
    </w:p>
    <w:p w:rsidR="001D1CCB" w:rsidRPr="00E0314F" w:rsidRDefault="001D1CCB" w:rsidP="001D1CCB">
      <w:pPr>
        <w:ind w:left="810"/>
        <w:jc w:val="both"/>
        <w:rPr>
          <w:sz w:val="24"/>
          <w:szCs w:val="24"/>
        </w:rPr>
      </w:pPr>
    </w:p>
    <w:p w:rsidR="001D1CCB" w:rsidRPr="00E0314F" w:rsidRDefault="001D1CCB" w:rsidP="001D1CCB">
      <w:pPr>
        <w:numPr>
          <w:ilvl w:val="0"/>
          <w:numId w:val="16"/>
        </w:numPr>
        <w:ind w:left="810"/>
        <w:jc w:val="both"/>
        <w:rPr>
          <w:sz w:val="24"/>
          <w:szCs w:val="24"/>
        </w:rPr>
      </w:pPr>
      <w:r w:rsidRPr="00E0314F">
        <w:rPr>
          <w:sz w:val="24"/>
          <w:szCs w:val="24"/>
        </w:rPr>
        <w:t>Performance highlights for the year.</w:t>
      </w:r>
    </w:p>
    <w:p w:rsidR="001D1CCB" w:rsidRPr="00E0314F" w:rsidRDefault="001D1CCB" w:rsidP="001D1CCB">
      <w:pPr>
        <w:ind w:left="990"/>
        <w:jc w:val="both"/>
        <w:rPr>
          <w:sz w:val="24"/>
          <w:szCs w:val="24"/>
        </w:rPr>
      </w:pPr>
    </w:p>
    <w:p w:rsidR="001D1CCB" w:rsidRPr="00E0314F" w:rsidRDefault="001D1CCB" w:rsidP="00E0314F">
      <w:pPr>
        <w:pStyle w:val="Header"/>
        <w:tabs>
          <w:tab w:val="clear" w:pos="4320"/>
          <w:tab w:val="clear" w:pos="8640"/>
        </w:tabs>
        <w:spacing w:line="360" w:lineRule="auto"/>
        <w:rPr>
          <w:sz w:val="24"/>
          <w:szCs w:val="24"/>
        </w:rPr>
      </w:pPr>
      <w:r w:rsidRPr="00E0314F">
        <w:rPr>
          <w:sz w:val="24"/>
          <w:szCs w:val="24"/>
        </w:rPr>
        <w:t>The Company will provide a draft copy of the report card to Commission Staf</w:t>
      </w:r>
      <w:r w:rsidR="00174F1A">
        <w:rPr>
          <w:sz w:val="24"/>
          <w:szCs w:val="24"/>
        </w:rPr>
        <w:t>f and Public Counsel, providing</w:t>
      </w:r>
      <w:r w:rsidRPr="00E0314F">
        <w:rPr>
          <w:sz w:val="24"/>
          <w:szCs w:val="24"/>
        </w:rPr>
        <w:t xml:space="preserve"> a meaningful opportunity to review and comment</w:t>
      </w:r>
      <w:r w:rsidR="00174F1A">
        <w:rPr>
          <w:sz w:val="24"/>
          <w:szCs w:val="24"/>
        </w:rPr>
        <w:t>, and will issue its first report card to customers on or before July 31, 2016</w:t>
      </w:r>
      <w:r w:rsidRPr="00E0314F">
        <w:rPr>
          <w:sz w:val="24"/>
          <w:szCs w:val="24"/>
        </w:rPr>
        <w:t>.</w:t>
      </w:r>
    </w:p>
    <w:p w:rsidR="001D1CCB" w:rsidRDefault="001D1CCB" w:rsidP="001D1CCB">
      <w:pPr>
        <w:pStyle w:val="Header"/>
        <w:tabs>
          <w:tab w:val="clear" w:pos="4320"/>
          <w:tab w:val="clear" w:pos="8640"/>
        </w:tabs>
        <w:jc w:val="both"/>
      </w:pPr>
    </w:p>
    <w:p w:rsidR="00174F1A" w:rsidRPr="00621E15" w:rsidRDefault="00174F1A" w:rsidP="001D1CCB">
      <w:pPr>
        <w:pStyle w:val="Header"/>
        <w:tabs>
          <w:tab w:val="clear" w:pos="4320"/>
          <w:tab w:val="clear" w:pos="8640"/>
        </w:tabs>
        <w:jc w:val="both"/>
      </w:pPr>
    </w:p>
    <w:p w:rsidR="001D1CCB" w:rsidRPr="00E0314F" w:rsidRDefault="001D1CCB" w:rsidP="001D1CCB">
      <w:pPr>
        <w:spacing w:line="480" w:lineRule="auto"/>
        <w:jc w:val="center"/>
        <w:rPr>
          <w:b/>
          <w:sz w:val="24"/>
          <w:szCs w:val="24"/>
        </w:rPr>
      </w:pPr>
      <w:r w:rsidRPr="00E0314F">
        <w:rPr>
          <w:b/>
          <w:sz w:val="24"/>
          <w:szCs w:val="24"/>
        </w:rPr>
        <w:t>APPLICATION OF PENALTIES</w:t>
      </w:r>
    </w:p>
    <w:p w:rsidR="003052A0" w:rsidRDefault="001D1CCB" w:rsidP="00E0314F">
      <w:pPr>
        <w:spacing w:line="360" w:lineRule="auto"/>
        <w:ind w:left="245" w:firstLine="475"/>
        <w:jc w:val="both"/>
        <w:rPr>
          <w:sz w:val="24"/>
          <w:szCs w:val="24"/>
        </w:rPr>
      </w:pPr>
      <w:r w:rsidRPr="00E0314F">
        <w:rPr>
          <w:sz w:val="24"/>
          <w:szCs w:val="24"/>
        </w:rPr>
        <w:t xml:space="preserve">Though some of the parties expressed an interest in establishing a framework for the application of financial penalties to </w:t>
      </w:r>
      <w:r w:rsidR="00684D70">
        <w:rPr>
          <w:sz w:val="24"/>
          <w:szCs w:val="24"/>
        </w:rPr>
        <w:t xml:space="preserve">certain measures under </w:t>
      </w:r>
      <w:r w:rsidRPr="00E0314F">
        <w:rPr>
          <w:sz w:val="24"/>
          <w:szCs w:val="24"/>
        </w:rPr>
        <w:t xml:space="preserve">the </w:t>
      </w:r>
      <w:r w:rsidR="00684D70">
        <w:rPr>
          <w:sz w:val="24"/>
          <w:szCs w:val="24"/>
        </w:rPr>
        <w:t>Company’s Program</w:t>
      </w:r>
      <w:r w:rsidRPr="00E0314F">
        <w:rPr>
          <w:sz w:val="24"/>
          <w:szCs w:val="24"/>
        </w:rPr>
        <w:t>, the Parties could not agree on</w:t>
      </w:r>
      <w:r w:rsidR="00684D70">
        <w:rPr>
          <w:sz w:val="24"/>
          <w:szCs w:val="24"/>
        </w:rPr>
        <w:t xml:space="preserve"> the application of penalties </w:t>
      </w:r>
      <w:r w:rsidRPr="00E0314F">
        <w:rPr>
          <w:sz w:val="24"/>
          <w:szCs w:val="24"/>
        </w:rPr>
        <w:t xml:space="preserve">for the Company. Individual parties reserve the right in future proceedings to advocate for or propose a mechanism to apply financial penalties to Avista’s performance </w:t>
      </w:r>
      <w:r w:rsidR="00BC684B">
        <w:rPr>
          <w:sz w:val="24"/>
          <w:szCs w:val="24"/>
        </w:rPr>
        <w:t>under this Program</w:t>
      </w:r>
      <w:r w:rsidR="003052A0">
        <w:rPr>
          <w:sz w:val="24"/>
          <w:szCs w:val="24"/>
        </w:rPr>
        <w:t>.</w:t>
      </w:r>
    </w:p>
    <w:p w:rsidR="00684D70" w:rsidRPr="00E0314F" w:rsidRDefault="00684D70" w:rsidP="00AB51BE">
      <w:pPr>
        <w:spacing w:line="360" w:lineRule="auto"/>
        <w:jc w:val="both"/>
        <w:rPr>
          <w:b/>
          <w:sz w:val="24"/>
          <w:szCs w:val="24"/>
        </w:rPr>
      </w:pPr>
    </w:p>
    <w:p w:rsidR="001D1CCB" w:rsidRPr="00E0314F" w:rsidRDefault="001D1CCB" w:rsidP="001D1CCB">
      <w:pPr>
        <w:spacing w:line="480" w:lineRule="auto"/>
        <w:jc w:val="center"/>
        <w:rPr>
          <w:b/>
          <w:sz w:val="24"/>
          <w:szCs w:val="24"/>
        </w:rPr>
      </w:pPr>
      <w:r w:rsidRPr="00E0314F">
        <w:rPr>
          <w:b/>
          <w:sz w:val="24"/>
          <w:szCs w:val="24"/>
        </w:rPr>
        <w:t>CONCLUSION</w:t>
      </w:r>
    </w:p>
    <w:p w:rsidR="001D1CCB" w:rsidRPr="00E0314F" w:rsidRDefault="001D1CCB" w:rsidP="00E0314F">
      <w:pPr>
        <w:spacing w:line="360" w:lineRule="auto"/>
        <w:ind w:left="245" w:firstLine="475"/>
        <w:jc w:val="both"/>
        <w:rPr>
          <w:sz w:val="24"/>
          <w:szCs w:val="24"/>
        </w:rPr>
      </w:pPr>
      <w:r w:rsidRPr="00E0314F">
        <w:rPr>
          <w:sz w:val="24"/>
          <w:szCs w:val="24"/>
        </w:rPr>
        <w:t xml:space="preserve">The purpose of the Program is to ensure the Company is maintaining its service level to its customers, as demonstrated by reporting results of the Program to the Commission and its customers each year. Accordingly, </w:t>
      </w:r>
      <w:r w:rsidR="00BC0561">
        <w:rPr>
          <w:sz w:val="24"/>
          <w:szCs w:val="24"/>
        </w:rPr>
        <w:t>Avista</w:t>
      </w:r>
      <w:r w:rsidRPr="00E0314F">
        <w:rPr>
          <w:sz w:val="24"/>
          <w:szCs w:val="24"/>
        </w:rPr>
        <w:t xml:space="preserve"> request</w:t>
      </w:r>
      <w:r w:rsidR="00BC0561">
        <w:rPr>
          <w:sz w:val="24"/>
          <w:szCs w:val="24"/>
        </w:rPr>
        <w:t>s</w:t>
      </w:r>
      <w:r w:rsidRPr="00E0314F">
        <w:rPr>
          <w:sz w:val="24"/>
          <w:szCs w:val="24"/>
        </w:rPr>
        <w:t xml:space="preserve"> that the Commission issue an Order approving the Program and associated tariffs.</w:t>
      </w:r>
    </w:p>
    <w:p w:rsidR="00BD5CED" w:rsidRDefault="00BD5CED" w:rsidP="00565FBA">
      <w:pPr>
        <w:spacing w:line="360" w:lineRule="auto"/>
        <w:ind w:firstLine="720"/>
        <w:jc w:val="both"/>
        <w:rPr>
          <w:sz w:val="24"/>
          <w:szCs w:val="24"/>
        </w:rPr>
      </w:pPr>
    </w:p>
    <w:p w:rsidR="00040621" w:rsidRPr="002E4C90" w:rsidRDefault="00040621" w:rsidP="00565FBA">
      <w:pPr>
        <w:spacing w:line="360" w:lineRule="auto"/>
        <w:ind w:firstLine="720"/>
        <w:jc w:val="both"/>
        <w:rPr>
          <w:sz w:val="24"/>
          <w:szCs w:val="24"/>
        </w:rPr>
      </w:pPr>
      <w:r w:rsidRPr="002E4C90">
        <w:rPr>
          <w:sz w:val="24"/>
          <w:szCs w:val="24"/>
        </w:rPr>
        <w:t xml:space="preserve">Please direct </w:t>
      </w:r>
      <w:r w:rsidR="005479BD">
        <w:rPr>
          <w:sz w:val="24"/>
          <w:szCs w:val="24"/>
        </w:rPr>
        <w:t xml:space="preserve">any questions on this matter to </w:t>
      </w:r>
      <w:r w:rsidR="001D1CCB">
        <w:rPr>
          <w:sz w:val="24"/>
          <w:szCs w:val="24"/>
        </w:rPr>
        <w:t>Larry La Bolle</w:t>
      </w:r>
      <w:r w:rsidR="009C73F1">
        <w:rPr>
          <w:sz w:val="24"/>
          <w:szCs w:val="24"/>
        </w:rPr>
        <w:t xml:space="preserve"> at </w:t>
      </w:r>
      <w:r w:rsidR="001D1CCB">
        <w:rPr>
          <w:sz w:val="24"/>
          <w:szCs w:val="24"/>
        </w:rPr>
        <w:t>(509) 495-4710</w:t>
      </w:r>
      <w:r w:rsidR="005479BD">
        <w:rPr>
          <w:sz w:val="24"/>
          <w:szCs w:val="24"/>
        </w:rPr>
        <w:t xml:space="preserve"> or </w:t>
      </w:r>
      <w:hyperlink r:id="rId9" w:history="1">
        <w:r w:rsidR="001D1CCB" w:rsidRPr="00392D75">
          <w:rPr>
            <w:rStyle w:val="Hyperlink"/>
            <w:sz w:val="24"/>
            <w:szCs w:val="24"/>
          </w:rPr>
          <w:t>larry.labolle@avistacorp.com</w:t>
        </w:r>
      </w:hyperlink>
      <w:r w:rsidR="00E02117">
        <w:t>,</w:t>
      </w:r>
      <w:r w:rsidR="005479BD">
        <w:rPr>
          <w:sz w:val="24"/>
          <w:szCs w:val="24"/>
        </w:rPr>
        <w:t xml:space="preserve"> or </w:t>
      </w:r>
      <w:r w:rsidR="00B15816" w:rsidRPr="002E4C90">
        <w:rPr>
          <w:sz w:val="24"/>
          <w:szCs w:val="24"/>
        </w:rPr>
        <w:t>myself at (509) 495-</w:t>
      </w:r>
      <w:r w:rsidR="0088729D">
        <w:rPr>
          <w:sz w:val="24"/>
          <w:szCs w:val="24"/>
        </w:rPr>
        <w:t>4975</w:t>
      </w:r>
      <w:r w:rsidR="005479BD">
        <w:rPr>
          <w:sz w:val="24"/>
          <w:szCs w:val="24"/>
        </w:rPr>
        <w:t xml:space="preserve"> or </w:t>
      </w:r>
      <w:hyperlink r:id="rId10" w:history="1">
        <w:r w:rsidR="005479BD" w:rsidRPr="005D32B1">
          <w:rPr>
            <w:rStyle w:val="Hyperlink"/>
            <w:sz w:val="24"/>
            <w:szCs w:val="24"/>
          </w:rPr>
          <w:t>linda.gervais@avistacorp.com</w:t>
        </w:r>
      </w:hyperlink>
      <w:r w:rsidRPr="002E4C90">
        <w:rPr>
          <w:sz w:val="24"/>
          <w:szCs w:val="24"/>
        </w:rPr>
        <w:t>.</w:t>
      </w:r>
    </w:p>
    <w:p w:rsidR="00040621" w:rsidRPr="002E4C90" w:rsidRDefault="00040621" w:rsidP="00A03E67">
      <w:pPr>
        <w:spacing w:line="360" w:lineRule="auto"/>
        <w:jc w:val="both"/>
        <w:rPr>
          <w:sz w:val="24"/>
          <w:szCs w:val="24"/>
        </w:rPr>
      </w:pPr>
    </w:p>
    <w:p w:rsidR="00040621" w:rsidRPr="002E4C90" w:rsidRDefault="00040621">
      <w:pPr>
        <w:jc w:val="both"/>
        <w:rPr>
          <w:sz w:val="24"/>
          <w:szCs w:val="24"/>
        </w:rPr>
      </w:pPr>
      <w:r w:rsidRPr="002E4C90">
        <w:rPr>
          <w:sz w:val="24"/>
          <w:szCs w:val="24"/>
        </w:rPr>
        <w:t>Sincerely,</w:t>
      </w:r>
    </w:p>
    <w:p w:rsidR="00040621" w:rsidRPr="002E4C90" w:rsidRDefault="00040621">
      <w:pPr>
        <w:jc w:val="both"/>
        <w:rPr>
          <w:sz w:val="24"/>
          <w:szCs w:val="24"/>
        </w:rPr>
      </w:pPr>
    </w:p>
    <w:p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006D39A8">
        <w:rPr>
          <w:rFonts w:ascii="Lucida Handwriting" w:hAnsi="Lucida Handwriting"/>
          <w:sz w:val="24"/>
          <w:szCs w:val="24"/>
        </w:rPr>
        <w:t>/Linda Gervais</w:t>
      </w:r>
    </w:p>
    <w:p w:rsidR="00040621" w:rsidRPr="002E4C90" w:rsidRDefault="00040621">
      <w:pPr>
        <w:jc w:val="both"/>
        <w:rPr>
          <w:sz w:val="24"/>
          <w:szCs w:val="24"/>
        </w:rPr>
      </w:pPr>
    </w:p>
    <w:p w:rsidR="007A17FF" w:rsidRPr="002E4C90" w:rsidRDefault="0088729D">
      <w:pPr>
        <w:jc w:val="both"/>
        <w:rPr>
          <w:sz w:val="24"/>
          <w:szCs w:val="24"/>
        </w:rPr>
      </w:pPr>
      <w:r>
        <w:rPr>
          <w:sz w:val="24"/>
          <w:szCs w:val="24"/>
        </w:rPr>
        <w:t>Linda Gervais</w:t>
      </w:r>
    </w:p>
    <w:p w:rsidR="00040621" w:rsidRPr="002E4C90" w:rsidRDefault="002C67B6">
      <w:pPr>
        <w:jc w:val="both"/>
        <w:rPr>
          <w:sz w:val="24"/>
          <w:szCs w:val="24"/>
        </w:rPr>
      </w:pPr>
      <w:r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rsidR="0088729D" w:rsidRPr="00427F5F" w:rsidRDefault="002C67B6">
      <w:pPr>
        <w:jc w:val="both"/>
        <w:rPr>
          <w:sz w:val="24"/>
          <w:szCs w:val="24"/>
        </w:rPr>
      </w:pPr>
      <w:r w:rsidRPr="00427F5F">
        <w:rPr>
          <w:sz w:val="24"/>
          <w:szCs w:val="24"/>
        </w:rPr>
        <w:t>Avista Utilities</w:t>
      </w:r>
    </w:p>
    <w:p w:rsidR="0088729D" w:rsidRDefault="00D14A9D">
      <w:pPr>
        <w:jc w:val="both"/>
        <w:rPr>
          <w:sz w:val="24"/>
          <w:szCs w:val="24"/>
        </w:rPr>
      </w:pPr>
      <w:hyperlink r:id="rId11" w:history="1">
        <w:r w:rsidR="005479BD" w:rsidRPr="005D32B1">
          <w:rPr>
            <w:rStyle w:val="Hyperlink"/>
            <w:sz w:val="24"/>
            <w:szCs w:val="24"/>
          </w:rPr>
          <w:t>linda.gervais@avistacorp.com</w:t>
        </w:r>
      </w:hyperlink>
    </w:p>
    <w:p w:rsidR="005479BD" w:rsidRPr="00427F5F" w:rsidRDefault="005479BD">
      <w:pPr>
        <w:jc w:val="both"/>
        <w:rPr>
          <w:sz w:val="24"/>
          <w:szCs w:val="24"/>
        </w:rPr>
      </w:pPr>
    </w:p>
    <w:p w:rsidR="00040621" w:rsidRDefault="00040621">
      <w:pPr>
        <w:jc w:val="both"/>
        <w:rPr>
          <w:sz w:val="24"/>
          <w:szCs w:val="24"/>
        </w:rPr>
      </w:pPr>
    </w:p>
    <w:sectPr w:rsidR="00040621" w:rsidSect="00AF4671">
      <w:headerReference w:type="default" r:id="rId12"/>
      <w:pgSz w:w="12240" w:h="15840"/>
      <w:pgMar w:top="1080" w:right="108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9F" w:rsidRDefault="003F6C9F">
      <w:r>
        <w:separator/>
      </w:r>
    </w:p>
  </w:endnote>
  <w:endnote w:type="continuationSeparator" w:id="0">
    <w:p w:rsidR="003F6C9F" w:rsidRDefault="003F6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9F" w:rsidRDefault="003F6C9F">
      <w:r>
        <w:separator/>
      </w:r>
    </w:p>
  </w:footnote>
  <w:footnote w:type="continuationSeparator" w:id="0">
    <w:p w:rsidR="003F6C9F" w:rsidRDefault="003F6C9F">
      <w:r>
        <w:continuationSeparator/>
      </w:r>
    </w:p>
  </w:footnote>
  <w:footnote w:id="1">
    <w:p w:rsidR="003F6C9F" w:rsidRDefault="003F6C9F" w:rsidP="001D1CCB">
      <w:pPr>
        <w:pStyle w:val="FootnoteText"/>
        <w:jc w:val="both"/>
      </w:pPr>
      <w:r>
        <w:rPr>
          <w:rStyle w:val="FootnoteReference"/>
        </w:rPr>
        <w:footnoteRef/>
      </w:r>
      <w:r>
        <w:t xml:space="preserve"> Docket Nos. </w:t>
      </w:r>
      <w:proofErr w:type="spellStart"/>
      <w:r>
        <w:t>UE</w:t>
      </w:r>
      <w:proofErr w:type="spellEnd"/>
      <w:r>
        <w:t xml:space="preserve">-140188 and </w:t>
      </w:r>
      <w:proofErr w:type="spellStart"/>
      <w:r>
        <w:t>UG</w:t>
      </w:r>
      <w:proofErr w:type="spellEnd"/>
      <w:r>
        <w:t>-140189 (Consolidated)</w:t>
      </w:r>
    </w:p>
  </w:footnote>
  <w:footnote w:id="2">
    <w:p w:rsidR="003F6C9F" w:rsidRDefault="003F6C9F" w:rsidP="001D1CCB">
      <w:pPr>
        <w:pStyle w:val="FootnoteText"/>
      </w:pPr>
      <w:r>
        <w:rPr>
          <w:rStyle w:val="FootnoteReference"/>
        </w:rPr>
        <w:footnoteRef/>
      </w:r>
      <w:r>
        <w:t xml:space="preserve"> Invitations were sent to Staff, the Energy Project, </w:t>
      </w:r>
      <w:r w:rsidRPr="001076EE">
        <w:t>Industrial Customers of Northwest Utilities</w:t>
      </w:r>
      <w:r>
        <w:t xml:space="preserve"> (ICNU)</w:t>
      </w:r>
      <w:r w:rsidRPr="001076EE">
        <w:t>, Northwest Industrial Gas Users</w:t>
      </w:r>
      <w:r>
        <w:t xml:space="preserve"> (NWIGU), and Public Counsel.  ICNU and NWIGU did not actively participate.</w:t>
      </w:r>
    </w:p>
  </w:footnote>
  <w:footnote w:id="3">
    <w:p w:rsidR="003F6C9F" w:rsidRDefault="003F6C9F">
      <w:pPr>
        <w:pStyle w:val="FootnoteText"/>
      </w:pPr>
      <w:r>
        <w:rPr>
          <w:rStyle w:val="FootnoteReference"/>
        </w:rPr>
        <w:footnoteRef/>
      </w:r>
      <w:r>
        <w:t xml:space="preserve"> Avista will work with its independent survey contractor to determine if survey calls from its Washington customers </w:t>
      </w:r>
      <w:proofErr w:type="gramStart"/>
      <w:r>
        <w:t>can be segregated</w:t>
      </w:r>
      <w:proofErr w:type="gramEnd"/>
      <w:r>
        <w:t xml:space="preserve"> for separate reporting</w:t>
      </w:r>
      <w:r w:rsidR="0003671D">
        <w:t xml:space="preserve"> in 2016</w:t>
      </w:r>
      <w:r>
        <w:t>. The Washington-o</w:t>
      </w:r>
      <w:r w:rsidR="0003671D">
        <w:t xml:space="preserve">nly results </w:t>
      </w:r>
      <w:proofErr w:type="gramStart"/>
      <w:r w:rsidR="0003671D">
        <w:t>would not be used</w:t>
      </w:r>
      <w:proofErr w:type="gramEnd"/>
      <w:r>
        <w:t xml:space="preserve"> as the basis for measuring Avista’s performance under this measure.</w:t>
      </w:r>
      <w:r w:rsidR="0003671D">
        <w:t xml:space="preserve"> Avista will determine the issues and costs associated with modifying its Voice of the Customer survey to provide statistically significant results for Washington only, and report back to the parties.</w:t>
      </w:r>
    </w:p>
  </w:footnote>
  <w:footnote w:id="4">
    <w:p w:rsidR="0003671D" w:rsidRDefault="0003671D">
      <w:pPr>
        <w:pStyle w:val="FootnoteText"/>
      </w:pPr>
      <w:r>
        <w:rPr>
          <w:rStyle w:val="FootnoteReference"/>
        </w:rPr>
        <w:footnoteRef/>
      </w:r>
      <w:r>
        <w:t xml:space="preserve"> Please see the preceding footnote number 3.</w:t>
      </w:r>
    </w:p>
  </w:footnote>
  <w:footnote w:id="5">
    <w:p w:rsidR="003F6C9F" w:rsidRDefault="003F6C9F" w:rsidP="001D1CCB">
      <w:pPr>
        <w:pStyle w:val="FootnoteText"/>
      </w:pPr>
      <w:r>
        <w:rPr>
          <w:rStyle w:val="FootnoteReference"/>
        </w:rPr>
        <w:footnoteRef/>
      </w:r>
      <w:r>
        <w:t xml:space="preserve"> IEEE is the Institute of Electrical and Electronics Engineers, a professional organization that has developed a range of electric reliability standards, which </w:t>
      </w:r>
      <w:proofErr w:type="gramStart"/>
      <w:r>
        <w:t>have been broadly adopted</w:t>
      </w:r>
      <w:proofErr w:type="gramEnd"/>
      <w:r>
        <w:t xml:space="preserve"> by the electric utility industry.</w:t>
      </w:r>
    </w:p>
  </w:footnote>
  <w:footnote w:id="6">
    <w:p w:rsidR="003F6C9F" w:rsidRDefault="003F6C9F">
      <w:pPr>
        <w:pStyle w:val="FootnoteText"/>
      </w:pPr>
      <w:r>
        <w:rPr>
          <w:rStyle w:val="FootnoteReference"/>
        </w:rPr>
        <w:footnoteRef/>
      </w:r>
      <w:r>
        <w:t xml:space="preserve"> </w:t>
      </w:r>
      <w:proofErr w:type="gramStart"/>
      <w:r>
        <w:t xml:space="preserve">“Natural Gas System Emergency” is defined as an event when there is a natural gas explosion or fire, fire in the vicinity of natural gas facilities, police or fire are standing by, leaks identified in the field as “Grade 1”, high or low pressure </w:t>
      </w:r>
      <w:r w:rsidR="00617FBD">
        <w:t xml:space="preserve">problems identified by alarms or customer calls, natural gas system </w:t>
      </w:r>
      <w:r>
        <w:t>emergency alarms, carbon monoxide calls, natural gas odor calls, runaway furnace calls, or delayed ignition calls.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9F" w:rsidRDefault="003F6C9F">
    <w:pPr>
      <w:pStyle w:val="Header"/>
      <w:rPr>
        <w:sz w:val="24"/>
      </w:rPr>
    </w:pPr>
    <w:r>
      <w:rPr>
        <w:sz w:val="24"/>
      </w:rPr>
      <w:t xml:space="preserve">Service Quality Measures Program – Schedules 85 and 185 </w:t>
    </w:r>
  </w:p>
  <w:p w:rsidR="003F6C9F" w:rsidRDefault="003F6C9F">
    <w:pPr>
      <w:pStyle w:val="Header"/>
      <w:rPr>
        <w:rStyle w:val="PageNumber"/>
        <w:sz w:val="24"/>
      </w:rPr>
    </w:pPr>
    <w:r>
      <w:rPr>
        <w:sz w:val="24"/>
      </w:rPr>
      <w:t xml:space="preserve">Page </w:t>
    </w:r>
    <w:r w:rsidR="00D14A9D">
      <w:rPr>
        <w:rStyle w:val="PageNumber"/>
        <w:sz w:val="24"/>
      </w:rPr>
      <w:fldChar w:fldCharType="begin"/>
    </w:r>
    <w:r>
      <w:rPr>
        <w:rStyle w:val="PageNumber"/>
        <w:sz w:val="24"/>
      </w:rPr>
      <w:instrText xml:space="preserve"> PAGE </w:instrText>
    </w:r>
    <w:r w:rsidR="00D14A9D">
      <w:rPr>
        <w:rStyle w:val="PageNumber"/>
        <w:sz w:val="24"/>
      </w:rPr>
      <w:fldChar w:fldCharType="separate"/>
    </w:r>
    <w:r w:rsidR="005B1F92">
      <w:rPr>
        <w:rStyle w:val="PageNumber"/>
        <w:noProof/>
        <w:sz w:val="24"/>
      </w:rPr>
      <w:t>5</w:t>
    </w:r>
    <w:r w:rsidR="00D14A9D">
      <w:rPr>
        <w:rStyle w:val="PageNumber"/>
        <w:sz w:val="24"/>
      </w:rPr>
      <w:fldChar w:fldCharType="end"/>
    </w:r>
    <w:r w:rsidR="009D0654">
      <w:rPr>
        <w:rStyle w:val="PageNumber"/>
        <w:sz w:val="24"/>
      </w:rPr>
      <w:t xml:space="preserve"> of 8</w:t>
    </w:r>
  </w:p>
  <w:p w:rsidR="003F6C9F" w:rsidRDefault="003F6C9F">
    <w:pPr>
      <w:pStyle w:val="Head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5B8"/>
    <w:multiLevelType w:val="hybridMultilevel"/>
    <w:tmpl w:val="BC64BE2C"/>
    <w:lvl w:ilvl="0" w:tplc="410008AE">
      <w:start w:val="1"/>
      <w:numFmt w:val="lowerLetter"/>
      <w:lvlText w:val="%1."/>
      <w:lvlJc w:val="left"/>
      <w:pPr>
        <w:ind w:left="16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6A457F"/>
    <w:multiLevelType w:val="hybridMultilevel"/>
    <w:tmpl w:val="AE767ED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BE15D64"/>
    <w:multiLevelType w:val="hybridMultilevel"/>
    <w:tmpl w:val="00588A9C"/>
    <w:lvl w:ilvl="0" w:tplc="2CDED098">
      <w:start w:val="3"/>
      <w:numFmt w:val="lowerLetter"/>
      <w:lvlText w:val="%1."/>
      <w:lvlJc w:val="left"/>
      <w:pPr>
        <w:ind w:left="1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64CF3"/>
    <w:multiLevelType w:val="hybridMultilevel"/>
    <w:tmpl w:val="762E4F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2C4E2C"/>
    <w:multiLevelType w:val="hybridMultilevel"/>
    <w:tmpl w:val="47A64040"/>
    <w:lvl w:ilvl="0" w:tplc="EE605D7E">
      <w:start w:val="1"/>
      <w:numFmt w:val="decimal"/>
      <w:lvlText w:val="%1."/>
      <w:lvlJc w:val="left"/>
      <w:pPr>
        <w:ind w:left="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A389E"/>
    <w:multiLevelType w:val="hybridMultilevel"/>
    <w:tmpl w:val="8C007AD6"/>
    <w:lvl w:ilvl="0" w:tplc="F9C495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073DC"/>
    <w:multiLevelType w:val="hybridMultilevel"/>
    <w:tmpl w:val="A25664AA"/>
    <w:lvl w:ilvl="0" w:tplc="2312F326">
      <w:start w:val="1"/>
      <w:numFmt w:val="decimal"/>
      <w:lvlText w:val="%1."/>
      <w:lvlJc w:val="left"/>
      <w:pPr>
        <w:ind w:left="1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EF21A41"/>
    <w:multiLevelType w:val="hybridMultilevel"/>
    <w:tmpl w:val="BC64BE2C"/>
    <w:lvl w:ilvl="0" w:tplc="410008AE">
      <w:start w:val="1"/>
      <w:numFmt w:val="lowerLetter"/>
      <w:lvlText w:val="%1."/>
      <w:lvlJc w:val="left"/>
      <w:pPr>
        <w:ind w:left="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3767C9"/>
    <w:multiLevelType w:val="hybridMultilevel"/>
    <w:tmpl w:val="976EC60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446051BA"/>
    <w:multiLevelType w:val="hybridMultilevel"/>
    <w:tmpl w:val="3D7C1EBA"/>
    <w:lvl w:ilvl="0" w:tplc="15D0126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nsid w:val="4D6C69B9"/>
    <w:multiLevelType w:val="hybridMultilevel"/>
    <w:tmpl w:val="F94ED6D8"/>
    <w:lvl w:ilvl="0" w:tplc="CE26FC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2DC79BD"/>
    <w:multiLevelType w:val="hybridMultilevel"/>
    <w:tmpl w:val="BDEC917A"/>
    <w:lvl w:ilvl="0" w:tplc="87F2D4D6">
      <w:start w:val="1"/>
      <w:numFmt w:val="decimal"/>
      <w:lvlText w:val="%1."/>
      <w:lvlJc w:val="left"/>
      <w:pPr>
        <w:tabs>
          <w:tab w:val="num" w:pos="240"/>
        </w:tabs>
        <w:ind w:left="240" w:hanging="816"/>
      </w:pPr>
      <w:rPr>
        <w:rFonts w:hint="default"/>
        <w:b w:val="0"/>
        <w:bCs w:val="0"/>
        <w:i/>
        <w:iCs/>
        <w:sz w:val="18"/>
        <w:szCs w:val="18"/>
      </w:rPr>
    </w:lvl>
    <w:lvl w:ilvl="1" w:tplc="82CC3A16">
      <w:start w:val="1"/>
      <w:numFmt w:val="decimal"/>
      <w:lvlText w:val="%2."/>
      <w:lvlJc w:val="left"/>
      <w:pPr>
        <w:ind w:left="960" w:hanging="360"/>
      </w:pPr>
      <w:rPr>
        <w:rFonts w:hint="default"/>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hint="default"/>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6">
    <w:nsid w:val="57E77039"/>
    <w:multiLevelType w:val="hybridMultilevel"/>
    <w:tmpl w:val="5BCC3BC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90F6637"/>
    <w:multiLevelType w:val="hybridMultilevel"/>
    <w:tmpl w:val="5BCC3BC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5C49357C"/>
    <w:multiLevelType w:val="hybridMultilevel"/>
    <w:tmpl w:val="038A3A44"/>
    <w:lvl w:ilvl="0" w:tplc="0409000F">
      <w:start w:val="1"/>
      <w:numFmt w:val="decimal"/>
      <w:lvlText w:val="%1."/>
      <w:lvlJc w:val="left"/>
      <w:pPr>
        <w:ind w:left="600" w:hanging="360"/>
      </w:p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5EE421AA"/>
    <w:multiLevelType w:val="hybridMultilevel"/>
    <w:tmpl w:val="6022570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1">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22">
    <w:nsid w:val="6B543F3E"/>
    <w:multiLevelType w:val="hybridMultilevel"/>
    <w:tmpl w:val="4E2C8458"/>
    <w:lvl w:ilvl="0" w:tplc="6F00B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25">
    <w:nsid w:val="78E366EF"/>
    <w:multiLevelType w:val="hybridMultilevel"/>
    <w:tmpl w:val="6D92113A"/>
    <w:lvl w:ilvl="0" w:tplc="C272196E">
      <w:start w:val="2"/>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24"/>
  </w:num>
  <w:num w:numId="3">
    <w:abstractNumId w:val="20"/>
  </w:num>
  <w:num w:numId="4">
    <w:abstractNumId w:val="14"/>
  </w:num>
  <w:num w:numId="5">
    <w:abstractNumId w:val="9"/>
  </w:num>
  <w:num w:numId="6">
    <w:abstractNumId w:val="23"/>
  </w:num>
  <w:num w:numId="7">
    <w:abstractNumId w:val="27"/>
  </w:num>
  <w:num w:numId="8">
    <w:abstractNumId w:val="2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5"/>
  </w:num>
  <w:num w:numId="14">
    <w:abstractNumId w:val="3"/>
  </w:num>
  <w:num w:numId="15">
    <w:abstractNumId w:val="7"/>
  </w:num>
  <w:num w:numId="16">
    <w:abstractNumId w:val="8"/>
  </w:num>
  <w:num w:numId="17">
    <w:abstractNumId w:val="16"/>
  </w:num>
  <w:num w:numId="18">
    <w:abstractNumId w:val="19"/>
  </w:num>
  <w:num w:numId="19">
    <w:abstractNumId w:val="1"/>
  </w:num>
  <w:num w:numId="20">
    <w:abstractNumId w:val="22"/>
  </w:num>
  <w:num w:numId="21">
    <w:abstractNumId w:val="18"/>
  </w:num>
  <w:num w:numId="22">
    <w:abstractNumId w:val="17"/>
  </w:num>
  <w:num w:numId="23">
    <w:abstractNumId w:val="6"/>
  </w:num>
  <w:num w:numId="24">
    <w:abstractNumId w:val="10"/>
  </w:num>
  <w:num w:numId="25">
    <w:abstractNumId w:val="25"/>
  </w:num>
  <w:num w:numId="26">
    <w:abstractNumId w:val="0"/>
  </w:num>
  <w:num w:numId="27">
    <w:abstractNumId w:val="12"/>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GrammaticalErrors/>
  <w:activeWritingStyle w:appName="MSWord" w:lang="en-US"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F20EE"/>
    <w:rsid w:val="00004307"/>
    <w:rsid w:val="00006C54"/>
    <w:rsid w:val="0002071B"/>
    <w:rsid w:val="0003355A"/>
    <w:rsid w:val="000336DD"/>
    <w:rsid w:val="0003671D"/>
    <w:rsid w:val="000401B8"/>
    <w:rsid w:val="00040621"/>
    <w:rsid w:val="0005125A"/>
    <w:rsid w:val="0005174E"/>
    <w:rsid w:val="00052E25"/>
    <w:rsid w:val="00063617"/>
    <w:rsid w:val="00063C7A"/>
    <w:rsid w:val="00065A91"/>
    <w:rsid w:val="0007391F"/>
    <w:rsid w:val="00073F75"/>
    <w:rsid w:val="000B7F79"/>
    <w:rsid w:val="000C56DB"/>
    <w:rsid w:val="000D0B83"/>
    <w:rsid w:val="000D6898"/>
    <w:rsid w:val="000E0CF2"/>
    <w:rsid w:val="000E5DE2"/>
    <w:rsid w:val="000F1EB1"/>
    <w:rsid w:val="0010665A"/>
    <w:rsid w:val="00106679"/>
    <w:rsid w:val="00110C55"/>
    <w:rsid w:val="0011729D"/>
    <w:rsid w:val="001241B9"/>
    <w:rsid w:val="00134021"/>
    <w:rsid w:val="00134550"/>
    <w:rsid w:val="001618EE"/>
    <w:rsid w:val="00174F1A"/>
    <w:rsid w:val="0018032B"/>
    <w:rsid w:val="00190B82"/>
    <w:rsid w:val="00196E09"/>
    <w:rsid w:val="001970F9"/>
    <w:rsid w:val="001975F3"/>
    <w:rsid w:val="001A3792"/>
    <w:rsid w:val="001B2B1A"/>
    <w:rsid w:val="001B4920"/>
    <w:rsid w:val="001C6991"/>
    <w:rsid w:val="001D1CCB"/>
    <w:rsid w:val="001F178D"/>
    <w:rsid w:val="001F2CC9"/>
    <w:rsid w:val="00212D64"/>
    <w:rsid w:val="00230EF0"/>
    <w:rsid w:val="002321BA"/>
    <w:rsid w:val="002331C4"/>
    <w:rsid w:val="00236524"/>
    <w:rsid w:val="0025765B"/>
    <w:rsid w:val="00264194"/>
    <w:rsid w:val="00275F81"/>
    <w:rsid w:val="00276E7D"/>
    <w:rsid w:val="002862F8"/>
    <w:rsid w:val="002908DF"/>
    <w:rsid w:val="00293E7F"/>
    <w:rsid w:val="00295620"/>
    <w:rsid w:val="002A3646"/>
    <w:rsid w:val="002B39ED"/>
    <w:rsid w:val="002B41D7"/>
    <w:rsid w:val="002B7DD0"/>
    <w:rsid w:val="002C075A"/>
    <w:rsid w:val="002C67B6"/>
    <w:rsid w:val="002E141A"/>
    <w:rsid w:val="002E4C90"/>
    <w:rsid w:val="002F033B"/>
    <w:rsid w:val="002F74A0"/>
    <w:rsid w:val="003024F2"/>
    <w:rsid w:val="003052A0"/>
    <w:rsid w:val="003123FE"/>
    <w:rsid w:val="00316FDE"/>
    <w:rsid w:val="00323DF0"/>
    <w:rsid w:val="003317DB"/>
    <w:rsid w:val="0034331A"/>
    <w:rsid w:val="00343AFB"/>
    <w:rsid w:val="003458F3"/>
    <w:rsid w:val="00346425"/>
    <w:rsid w:val="00351550"/>
    <w:rsid w:val="00353210"/>
    <w:rsid w:val="00356DBD"/>
    <w:rsid w:val="0036547E"/>
    <w:rsid w:val="003662AE"/>
    <w:rsid w:val="003709CC"/>
    <w:rsid w:val="00375879"/>
    <w:rsid w:val="00377742"/>
    <w:rsid w:val="00377FD1"/>
    <w:rsid w:val="003846FB"/>
    <w:rsid w:val="003902FF"/>
    <w:rsid w:val="003953D6"/>
    <w:rsid w:val="003A13B2"/>
    <w:rsid w:val="003A3A22"/>
    <w:rsid w:val="003A42E1"/>
    <w:rsid w:val="003B0826"/>
    <w:rsid w:val="003B424A"/>
    <w:rsid w:val="003C2809"/>
    <w:rsid w:val="003E58EA"/>
    <w:rsid w:val="003E5D5C"/>
    <w:rsid w:val="003F22B9"/>
    <w:rsid w:val="003F44D5"/>
    <w:rsid w:val="003F5640"/>
    <w:rsid w:val="003F6C9F"/>
    <w:rsid w:val="00414281"/>
    <w:rsid w:val="00415D5A"/>
    <w:rsid w:val="00417736"/>
    <w:rsid w:val="00427F5F"/>
    <w:rsid w:val="00435BF4"/>
    <w:rsid w:val="00450756"/>
    <w:rsid w:val="00452092"/>
    <w:rsid w:val="004531B4"/>
    <w:rsid w:val="00455E2B"/>
    <w:rsid w:val="00471A91"/>
    <w:rsid w:val="00485113"/>
    <w:rsid w:val="00494D5F"/>
    <w:rsid w:val="00497379"/>
    <w:rsid w:val="004A0D38"/>
    <w:rsid w:val="004A2184"/>
    <w:rsid w:val="004A4359"/>
    <w:rsid w:val="004A498A"/>
    <w:rsid w:val="004B014C"/>
    <w:rsid w:val="004B39F6"/>
    <w:rsid w:val="004B4CE7"/>
    <w:rsid w:val="004B7EE3"/>
    <w:rsid w:val="004C3C45"/>
    <w:rsid w:val="004C75F8"/>
    <w:rsid w:val="004D416E"/>
    <w:rsid w:val="004D7755"/>
    <w:rsid w:val="004E5F73"/>
    <w:rsid w:val="004F058C"/>
    <w:rsid w:val="004F1F1E"/>
    <w:rsid w:val="00503CA0"/>
    <w:rsid w:val="00505AF6"/>
    <w:rsid w:val="0051041C"/>
    <w:rsid w:val="005123F8"/>
    <w:rsid w:val="00544C70"/>
    <w:rsid w:val="005479BD"/>
    <w:rsid w:val="005519C3"/>
    <w:rsid w:val="00562616"/>
    <w:rsid w:val="0056501D"/>
    <w:rsid w:val="00565FBA"/>
    <w:rsid w:val="00571611"/>
    <w:rsid w:val="00572962"/>
    <w:rsid w:val="00577813"/>
    <w:rsid w:val="00587C73"/>
    <w:rsid w:val="00590008"/>
    <w:rsid w:val="0059415F"/>
    <w:rsid w:val="005A2EF9"/>
    <w:rsid w:val="005A338C"/>
    <w:rsid w:val="005A47D6"/>
    <w:rsid w:val="005A4CC5"/>
    <w:rsid w:val="005B086C"/>
    <w:rsid w:val="005B1F92"/>
    <w:rsid w:val="005B2B21"/>
    <w:rsid w:val="005C2F04"/>
    <w:rsid w:val="005C3A92"/>
    <w:rsid w:val="005E12C6"/>
    <w:rsid w:val="005F28DD"/>
    <w:rsid w:val="005F40FB"/>
    <w:rsid w:val="005F4179"/>
    <w:rsid w:val="005F754A"/>
    <w:rsid w:val="006073E0"/>
    <w:rsid w:val="006100B1"/>
    <w:rsid w:val="00612D4A"/>
    <w:rsid w:val="0061578F"/>
    <w:rsid w:val="00617FBD"/>
    <w:rsid w:val="00622D0B"/>
    <w:rsid w:val="00633FD6"/>
    <w:rsid w:val="00634275"/>
    <w:rsid w:val="00655B6B"/>
    <w:rsid w:val="006561F0"/>
    <w:rsid w:val="00663ED7"/>
    <w:rsid w:val="00666D7C"/>
    <w:rsid w:val="00672C44"/>
    <w:rsid w:val="00676FA4"/>
    <w:rsid w:val="006776DA"/>
    <w:rsid w:val="00684D70"/>
    <w:rsid w:val="006918B9"/>
    <w:rsid w:val="006B5C81"/>
    <w:rsid w:val="006D2245"/>
    <w:rsid w:val="006D39A8"/>
    <w:rsid w:val="006E11A7"/>
    <w:rsid w:val="006F2A24"/>
    <w:rsid w:val="0070440D"/>
    <w:rsid w:val="00705C95"/>
    <w:rsid w:val="00710E27"/>
    <w:rsid w:val="00713776"/>
    <w:rsid w:val="00714294"/>
    <w:rsid w:val="00714FEA"/>
    <w:rsid w:val="0071616D"/>
    <w:rsid w:val="007200DD"/>
    <w:rsid w:val="0072508A"/>
    <w:rsid w:val="0073219B"/>
    <w:rsid w:val="007356C1"/>
    <w:rsid w:val="00741902"/>
    <w:rsid w:val="00742560"/>
    <w:rsid w:val="007437E9"/>
    <w:rsid w:val="0074407D"/>
    <w:rsid w:val="007479E3"/>
    <w:rsid w:val="00752B07"/>
    <w:rsid w:val="00755E3F"/>
    <w:rsid w:val="00772C70"/>
    <w:rsid w:val="00774B94"/>
    <w:rsid w:val="007801F3"/>
    <w:rsid w:val="007A17FF"/>
    <w:rsid w:val="007A6656"/>
    <w:rsid w:val="007B5D91"/>
    <w:rsid w:val="007C4DFB"/>
    <w:rsid w:val="007E00A2"/>
    <w:rsid w:val="007F176C"/>
    <w:rsid w:val="007F292D"/>
    <w:rsid w:val="00827194"/>
    <w:rsid w:val="0083065F"/>
    <w:rsid w:val="00831025"/>
    <w:rsid w:val="00841083"/>
    <w:rsid w:val="008561EF"/>
    <w:rsid w:val="008614DF"/>
    <w:rsid w:val="008621D3"/>
    <w:rsid w:val="00867B9E"/>
    <w:rsid w:val="0088447C"/>
    <w:rsid w:val="00884A50"/>
    <w:rsid w:val="0088729D"/>
    <w:rsid w:val="00894254"/>
    <w:rsid w:val="0089647E"/>
    <w:rsid w:val="008A3326"/>
    <w:rsid w:val="008B7E78"/>
    <w:rsid w:val="008C1672"/>
    <w:rsid w:val="008D0EB2"/>
    <w:rsid w:val="008D6CC0"/>
    <w:rsid w:val="008D7D48"/>
    <w:rsid w:val="008E0338"/>
    <w:rsid w:val="008E336C"/>
    <w:rsid w:val="008F221D"/>
    <w:rsid w:val="00907955"/>
    <w:rsid w:val="00916B24"/>
    <w:rsid w:val="00920E8A"/>
    <w:rsid w:val="00923422"/>
    <w:rsid w:val="0092371B"/>
    <w:rsid w:val="00930807"/>
    <w:rsid w:val="00931669"/>
    <w:rsid w:val="00931E21"/>
    <w:rsid w:val="00936303"/>
    <w:rsid w:val="009418B6"/>
    <w:rsid w:val="00946679"/>
    <w:rsid w:val="00975CC8"/>
    <w:rsid w:val="00982C4F"/>
    <w:rsid w:val="00994CAA"/>
    <w:rsid w:val="00996800"/>
    <w:rsid w:val="009B223E"/>
    <w:rsid w:val="009B2424"/>
    <w:rsid w:val="009B7715"/>
    <w:rsid w:val="009C1D50"/>
    <w:rsid w:val="009C4B4F"/>
    <w:rsid w:val="009C73F1"/>
    <w:rsid w:val="009D0654"/>
    <w:rsid w:val="009D79A8"/>
    <w:rsid w:val="009E0305"/>
    <w:rsid w:val="009E5B7D"/>
    <w:rsid w:val="009F3585"/>
    <w:rsid w:val="009F63A5"/>
    <w:rsid w:val="00A010CF"/>
    <w:rsid w:val="00A03E67"/>
    <w:rsid w:val="00A10E7B"/>
    <w:rsid w:val="00A11561"/>
    <w:rsid w:val="00A14832"/>
    <w:rsid w:val="00A14BAA"/>
    <w:rsid w:val="00A344B6"/>
    <w:rsid w:val="00A35203"/>
    <w:rsid w:val="00A42EC5"/>
    <w:rsid w:val="00A4498A"/>
    <w:rsid w:val="00A46111"/>
    <w:rsid w:val="00A47591"/>
    <w:rsid w:val="00A575C5"/>
    <w:rsid w:val="00A62952"/>
    <w:rsid w:val="00A656E9"/>
    <w:rsid w:val="00A77B12"/>
    <w:rsid w:val="00A8189A"/>
    <w:rsid w:val="00A90350"/>
    <w:rsid w:val="00AA02AE"/>
    <w:rsid w:val="00AA10B4"/>
    <w:rsid w:val="00AA3519"/>
    <w:rsid w:val="00AA3AFC"/>
    <w:rsid w:val="00AB51BE"/>
    <w:rsid w:val="00AC187E"/>
    <w:rsid w:val="00AD4048"/>
    <w:rsid w:val="00AE00CF"/>
    <w:rsid w:val="00AF20EE"/>
    <w:rsid w:val="00AF4671"/>
    <w:rsid w:val="00B012CB"/>
    <w:rsid w:val="00B03A47"/>
    <w:rsid w:val="00B04325"/>
    <w:rsid w:val="00B07028"/>
    <w:rsid w:val="00B14584"/>
    <w:rsid w:val="00B15816"/>
    <w:rsid w:val="00B213D0"/>
    <w:rsid w:val="00B232C8"/>
    <w:rsid w:val="00B24035"/>
    <w:rsid w:val="00B27409"/>
    <w:rsid w:val="00B30BD7"/>
    <w:rsid w:val="00B50F66"/>
    <w:rsid w:val="00B562E5"/>
    <w:rsid w:val="00B5756B"/>
    <w:rsid w:val="00B6299C"/>
    <w:rsid w:val="00B637F7"/>
    <w:rsid w:val="00B65BF5"/>
    <w:rsid w:val="00B67B9A"/>
    <w:rsid w:val="00B67EDE"/>
    <w:rsid w:val="00B73275"/>
    <w:rsid w:val="00B92B26"/>
    <w:rsid w:val="00B96913"/>
    <w:rsid w:val="00BA3820"/>
    <w:rsid w:val="00BA5429"/>
    <w:rsid w:val="00BB23E3"/>
    <w:rsid w:val="00BB5649"/>
    <w:rsid w:val="00BB66AE"/>
    <w:rsid w:val="00BC0561"/>
    <w:rsid w:val="00BC684B"/>
    <w:rsid w:val="00BD0AD0"/>
    <w:rsid w:val="00BD5CED"/>
    <w:rsid w:val="00BD64FB"/>
    <w:rsid w:val="00BE65D5"/>
    <w:rsid w:val="00BF090D"/>
    <w:rsid w:val="00BF1BC5"/>
    <w:rsid w:val="00BF6B7E"/>
    <w:rsid w:val="00C0555C"/>
    <w:rsid w:val="00C129F8"/>
    <w:rsid w:val="00C1410B"/>
    <w:rsid w:val="00C2174A"/>
    <w:rsid w:val="00C2456C"/>
    <w:rsid w:val="00C33046"/>
    <w:rsid w:val="00C33F1F"/>
    <w:rsid w:val="00C34953"/>
    <w:rsid w:val="00C41B9A"/>
    <w:rsid w:val="00C436D9"/>
    <w:rsid w:val="00C61404"/>
    <w:rsid w:val="00C83322"/>
    <w:rsid w:val="00C87E5A"/>
    <w:rsid w:val="00C96877"/>
    <w:rsid w:val="00CA0D34"/>
    <w:rsid w:val="00CB374C"/>
    <w:rsid w:val="00CB7001"/>
    <w:rsid w:val="00CC03D2"/>
    <w:rsid w:val="00CC1BAA"/>
    <w:rsid w:val="00CD346B"/>
    <w:rsid w:val="00CD60DE"/>
    <w:rsid w:val="00CD78C3"/>
    <w:rsid w:val="00CE0039"/>
    <w:rsid w:val="00CF657D"/>
    <w:rsid w:val="00D01DA5"/>
    <w:rsid w:val="00D04A56"/>
    <w:rsid w:val="00D14A9D"/>
    <w:rsid w:val="00D20C61"/>
    <w:rsid w:val="00D23FE7"/>
    <w:rsid w:val="00D2493D"/>
    <w:rsid w:val="00D26572"/>
    <w:rsid w:val="00D338A5"/>
    <w:rsid w:val="00D37B30"/>
    <w:rsid w:val="00D44DF6"/>
    <w:rsid w:val="00D50B07"/>
    <w:rsid w:val="00D558EE"/>
    <w:rsid w:val="00D55F36"/>
    <w:rsid w:val="00D72C3C"/>
    <w:rsid w:val="00D80128"/>
    <w:rsid w:val="00D87463"/>
    <w:rsid w:val="00D93013"/>
    <w:rsid w:val="00DA1D28"/>
    <w:rsid w:val="00DA40C7"/>
    <w:rsid w:val="00DA633A"/>
    <w:rsid w:val="00DB34D9"/>
    <w:rsid w:val="00DC380B"/>
    <w:rsid w:val="00DD4751"/>
    <w:rsid w:val="00DD5FC6"/>
    <w:rsid w:val="00DD61D5"/>
    <w:rsid w:val="00DE0C75"/>
    <w:rsid w:val="00DE4DE1"/>
    <w:rsid w:val="00DE77A0"/>
    <w:rsid w:val="00DF07C0"/>
    <w:rsid w:val="00DF7E76"/>
    <w:rsid w:val="00E02117"/>
    <w:rsid w:val="00E0314F"/>
    <w:rsid w:val="00E04D16"/>
    <w:rsid w:val="00E06BAC"/>
    <w:rsid w:val="00E1037B"/>
    <w:rsid w:val="00E16EF1"/>
    <w:rsid w:val="00E17377"/>
    <w:rsid w:val="00E25458"/>
    <w:rsid w:val="00E31C7B"/>
    <w:rsid w:val="00E37B05"/>
    <w:rsid w:val="00E40917"/>
    <w:rsid w:val="00E445C2"/>
    <w:rsid w:val="00E51832"/>
    <w:rsid w:val="00E65250"/>
    <w:rsid w:val="00E67087"/>
    <w:rsid w:val="00E71A03"/>
    <w:rsid w:val="00E7239E"/>
    <w:rsid w:val="00E745FD"/>
    <w:rsid w:val="00E811F1"/>
    <w:rsid w:val="00E97DC2"/>
    <w:rsid w:val="00EB55EC"/>
    <w:rsid w:val="00EB5DE7"/>
    <w:rsid w:val="00EE08D9"/>
    <w:rsid w:val="00EE6695"/>
    <w:rsid w:val="00F119A9"/>
    <w:rsid w:val="00F2231D"/>
    <w:rsid w:val="00F247F4"/>
    <w:rsid w:val="00F30A5D"/>
    <w:rsid w:val="00F31B46"/>
    <w:rsid w:val="00F33CF2"/>
    <w:rsid w:val="00F33E5E"/>
    <w:rsid w:val="00F40A80"/>
    <w:rsid w:val="00F423F3"/>
    <w:rsid w:val="00F46E04"/>
    <w:rsid w:val="00F51B06"/>
    <w:rsid w:val="00F52D82"/>
    <w:rsid w:val="00F53CDD"/>
    <w:rsid w:val="00F604AF"/>
    <w:rsid w:val="00F60D11"/>
    <w:rsid w:val="00F623F2"/>
    <w:rsid w:val="00F62BFF"/>
    <w:rsid w:val="00F66FE5"/>
    <w:rsid w:val="00F67B3A"/>
    <w:rsid w:val="00F743D8"/>
    <w:rsid w:val="00F830C7"/>
    <w:rsid w:val="00F862CA"/>
    <w:rsid w:val="00F86A23"/>
    <w:rsid w:val="00F91CD4"/>
    <w:rsid w:val="00FA3020"/>
    <w:rsid w:val="00FA5C30"/>
    <w:rsid w:val="00FB41D2"/>
    <w:rsid w:val="00FB63BD"/>
    <w:rsid w:val="00FB73F1"/>
    <w:rsid w:val="00FC23BC"/>
    <w:rsid w:val="00FC4767"/>
    <w:rsid w:val="00FD6FD4"/>
    <w:rsid w:val="00FD7B2A"/>
    <w:rsid w:val="00FE220A"/>
    <w:rsid w:val="00FE3625"/>
    <w:rsid w:val="00FE393C"/>
    <w:rsid w:val="00FF0471"/>
    <w:rsid w:val="00FF0EC6"/>
    <w:rsid w:val="00FF39B8"/>
    <w:rsid w:val="00FF7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character" w:styleId="Hyperlink">
    <w:name w:val="Hyperlink"/>
    <w:basedOn w:val="DefaultParagraphFont"/>
    <w:rsid w:val="005479BD"/>
    <w:rPr>
      <w:color w:val="0000FF" w:themeColor="hyperlink"/>
      <w:u w:val="single"/>
    </w:rPr>
  </w:style>
  <w:style w:type="character" w:customStyle="1" w:styleId="BodyText2Char">
    <w:name w:val="Body Text 2 Char"/>
    <w:basedOn w:val="DefaultParagraphFont"/>
    <w:link w:val="BodyText2"/>
    <w:rsid w:val="00293E7F"/>
    <w:rPr>
      <w:sz w:val="24"/>
    </w:rPr>
  </w:style>
  <w:style w:type="character" w:customStyle="1" w:styleId="HeaderChar">
    <w:name w:val="Header Char"/>
    <w:basedOn w:val="DefaultParagraphFont"/>
    <w:link w:val="Header"/>
    <w:uiPriority w:val="99"/>
    <w:locked/>
    <w:rsid w:val="001D1CCB"/>
  </w:style>
</w:styles>
</file>

<file path=word/webSettings.xml><?xml version="1.0" encoding="utf-8"?>
<w:webSettings xmlns:r="http://schemas.openxmlformats.org/officeDocument/2006/relationships" xmlns:w="http://schemas.openxmlformats.org/wordprocessingml/2006/main">
  <w:divs>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linda.gervais@avistacorp.com" TargetMode="External"/><Relationship Id="rId4" Type="http://schemas.openxmlformats.org/officeDocument/2006/relationships/settings" Target="settings.xml"/><Relationship Id="rId9" Type="http://schemas.openxmlformats.org/officeDocument/2006/relationships/hyperlink" Target="mailto:larry.labolle@avista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823009-5950-4080-B038-6EBAF6EEECEF}"/>
</file>

<file path=customXml/itemProps2.xml><?xml version="1.0" encoding="utf-8"?>
<ds:datastoreItem xmlns:ds="http://schemas.openxmlformats.org/officeDocument/2006/customXml" ds:itemID="{09BA1DCF-D98C-47BE-AAA7-00562EB61B95}"/>
</file>

<file path=customXml/itemProps3.xml><?xml version="1.0" encoding="utf-8"?>
<ds:datastoreItem xmlns:ds="http://schemas.openxmlformats.org/officeDocument/2006/customXml" ds:itemID="{1E92862E-D616-4294-9882-FFA97C5DB484}"/>
</file>

<file path=customXml/itemProps4.xml><?xml version="1.0" encoding="utf-8"?>
<ds:datastoreItem xmlns:ds="http://schemas.openxmlformats.org/officeDocument/2006/customXml" ds:itemID="{68A90EF8-0ACC-4591-8F28-B2C2C8AB496E}"/>
</file>

<file path=customXml/itemProps5.xml><?xml version="1.0" encoding="utf-8"?>
<ds:datastoreItem xmlns:ds="http://schemas.openxmlformats.org/officeDocument/2006/customXml" ds:itemID="{43FC67BD-FC27-4277-A207-F298FC905F03}"/>
</file>

<file path=docProps/app.xml><?xml version="1.0" encoding="utf-8"?>
<Properties xmlns="http://schemas.openxmlformats.org/officeDocument/2006/extended-properties" xmlns:vt="http://schemas.openxmlformats.org/officeDocument/2006/docPropsVTypes">
  <Template>Normal</Template>
  <TotalTime>287</TotalTime>
  <Pages>8</Pages>
  <Words>2321</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ll4710</cp:lastModifiedBy>
  <cp:revision>43</cp:revision>
  <cp:lastPrinted>2015-05-29T00:29:00Z</cp:lastPrinted>
  <dcterms:created xsi:type="dcterms:W3CDTF">2015-05-27T19:46:00Z</dcterms:created>
  <dcterms:modified xsi:type="dcterms:W3CDTF">2015-05-29T18:28:00Z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