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42100" w:rsidRDefault="00111170">
      <w:pPr>
        <w:pStyle w:val="Body"/>
        <w:rPr>
          <w:rFonts w:ascii="Times New Roman" w:eastAsia="Times New Roman" w:hAnsi="Times New Roman" w:cs="Times New Roman"/>
          <w:b/>
          <w:bCs/>
          <w:sz w:val="28"/>
          <w:szCs w:val="28"/>
        </w:rPr>
      </w:pPr>
      <w:r>
        <w:rPr>
          <w:rFonts w:ascii="Times New Roman" w:hAnsi="Times New Roman"/>
          <w:b/>
          <w:bCs/>
          <w:sz w:val="28"/>
          <w:szCs w:val="28"/>
        </w:rPr>
        <w:t>Re: Sale of Hydro One (Docket U-1-170970, WUTC v. Avista)</w:t>
      </w:r>
    </w:p>
    <w:p w:rsidR="00742100" w:rsidRDefault="00111170">
      <w:pPr>
        <w:pStyle w:val="Body"/>
        <w:rPr>
          <w:rFonts w:ascii="Times New Roman" w:eastAsia="Times New Roman" w:hAnsi="Times New Roman" w:cs="Times New Roman"/>
          <w:sz w:val="28"/>
          <w:szCs w:val="28"/>
        </w:rPr>
      </w:pPr>
      <w:r>
        <w:rPr>
          <w:rFonts w:ascii="Times New Roman" w:hAnsi="Times New Roman"/>
          <w:b/>
          <w:bCs/>
          <w:sz w:val="28"/>
          <w:szCs w:val="28"/>
        </w:rPr>
        <w:t>Submitted on August 7, 2018</w:t>
      </w:r>
    </w:p>
    <w:p w:rsidR="00742100" w:rsidRDefault="00742100">
      <w:pPr>
        <w:pStyle w:val="Body"/>
        <w:rPr>
          <w:rFonts w:ascii="Times New Roman" w:eastAsia="Times New Roman" w:hAnsi="Times New Roman" w:cs="Times New Roman"/>
          <w:b/>
          <w:bCs/>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Under the present circumstances, because of what has developed with respect to Hydro One in Canada and the possibility of continuing turmoil within the company and with</w:t>
      </w:r>
      <w:r>
        <w:rPr>
          <w:rFonts w:ascii="Times New Roman" w:hAnsi="Times New Roman"/>
          <w:sz w:val="28"/>
          <w:szCs w:val="28"/>
        </w:rPr>
        <w:t xml:space="preserve"> the government of the province in which it is located, it would be unconscionable and reckless for the Commission to approve the sale of Avista to Hydro One.</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 xml:space="preserve">The ratepayers of Avista demand that the Commission do what is best for them and not what would </w:t>
      </w:r>
      <w:r>
        <w:rPr>
          <w:rFonts w:ascii="Times New Roman" w:hAnsi="Times New Roman"/>
          <w:sz w:val="28"/>
          <w:szCs w:val="28"/>
        </w:rPr>
        <w:t xml:space="preserve">enrich the shareholders or senior managers of the Company. It is the duty of the Commission, since the ratepayers are at the mercy of the monopolistic company, to assure that their interests are protected and that they not be taken advantage of because of </w:t>
      </w:r>
      <w:r>
        <w:rPr>
          <w:rFonts w:ascii="Times New Roman" w:hAnsi="Times New Roman"/>
          <w:sz w:val="28"/>
          <w:szCs w:val="28"/>
        </w:rPr>
        <w:t>some flawed business model established to reward a few over the many who must pay their energy rates. The proposal of a sale of an energy company to an entity in another country, as has now been shown, is subject to the vagaries of the politics and policie</w:t>
      </w:r>
      <w:r>
        <w:rPr>
          <w:rFonts w:ascii="Times New Roman" w:hAnsi="Times New Roman"/>
          <w:sz w:val="28"/>
          <w:szCs w:val="28"/>
        </w:rPr>
        <w:t>s of that foreign country and should not be approved.</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Following the definition section of chapter RCW 80.12.010, dealing with the Commission, is the note containing the finding in the original legislation, which states:</w:t>
      </w:r>
    </w:p>
    <w:p w:rsidR="00742100" w:rsidRDefault="00742100">
      <w:pPr>
        <w:pStyle w:val="Default"/>
      </w:pPr>
    </w:p>
    <w:p w:rsidR="00742100" w:rsidRDefault="00111170">
      <w:pPr>
        <w:pStyle w:val="Quote"/>
        <w:rPr>
          <w:rStyle w:val="None"/>
          <w:rFonts w:ascii="Times New Roman" w:eastAsia="Times New Roman" w:hAnsi="Times New Roman" w:cs="Times New Roman"/>
          <w:sz w:val="28"/>
          <w:szCs w:val="28"/>
        </w:rPr>
      </w:pPr>
      <w:r>
        <w:tab/>
      </w:r>
      <w:r>
        <w:rPr>
          <w:rFonts w:ascii="Times New Roman" w:hAnsi="Times New Roman"/>
          <w:b/>
          <w:bCs/>
          <w:sz w:val="28"/>
          <w:szCs w:val="28"/>
        </w:rPr>
        <w:t>Finding</w:t>
      </w:r>
      <w:r>
        <w:rPr>
          <w:rFonts w:ascii="Times New Roman" w:hAnsi="Times New Roman"/>
          <w:b/>
          <w:bCs/>
          <w:sz w:val="28"/>
          <w:szCs w:val="28"/>
        </w:rPr>
        <w:t>—</w:t>
      </w:r>
      <w:r>
        <w:rPr>
          <w:rFonts w:ascii="Times New Roman" w:hAnsi="Times New Roman"/>
          <w:b/>
          <w:bCs/>
          <w:sz w:val="28"/>
          <w:szCs w:val="28"/>
        </w:rPr>
        <w:t>2009 c 24:</w:t>
      </w:r>
      <w:r>
        <w:rPr>
          <w:rFonts w:ascii="Times New Roman" w:hAnsi="Times New Roman"/>
          <w:sz w:val="28"/>
          <w:szCs w:val="28"/>
        </w:rPr>
        <w:t xml:space="preserve"> "The legislatu</w:t>
      </w:r>
      <w:r>
        <w:rPr>
          <w:rFonts w:ascii="Times New Roman" w:hAnsi="Times New Roman"/>
          <w:sz w:val="28"/>
          <w:szCs w:val="28"/>
        </w:rPr>
        <w:t xml:space="preserve">re finds and declares that the Washington utilities and transportation commission should require that a </w:t>
      </w:r>
      <w:r>
        <w:rPr>
          <w:rFonts w:ascii="Times New Roman" w:hAnsi="Times New Roman"/>
          <w:b/>
          <w:bCs/>
          <w:sz w:val="28"/>
          <w:szCs w:val="28"/>
        </w:rPr>
        <w:t>net benefit to customers</w:t>
      </w:r>
      <w:r>
        <w:rPr>
          <w:rFonts w:ascii="Times New Roman" w:hAnsi="Times New Roman"/>
          <w:sz w:val="28"/>
          <w:szCs w:val="28"/>
        </w:rPr>
        <w:t xml:space="preserve"> be shown in order to approve the acquisition of the franchises, properties, or facilities owned by a gas or electrical company </w:t>
      </w:r>
      <w:r>
        <w:rPr>
          <w:rFonts w:ascii="Times New Roman" w:hAnsi="Times New Roman"/>
          <w:sz w:val="28"/>
          <w:szCs w:val="28"/>
        </w:rPr>
        <w:t xml:space="preserve">in the state and which are necessary or useful in the performance of the duties of a gas or electrical company, and that its decision to approve or deny such an acquisition should be made within a prescribed period of time." [ </w:t>
      </w:r>
      <w:hyperlink r:id="rId6" w:history="1">
        <w:r>
          <w:rPr>
            <w:rStyle w:val="Hyperlink0"/>
            <w:rFonts w:eastAsia="Arial Unicode MS" w:cs="Arial Unicode MS"/>
          </w:rPr>
          <w:t xml:space="preserve">2009 c 24 </w:t>
        </w:r>
        <w:r>
          <w:rPr>
            <w:rStyle w:val="Hyperlink0"/>
            <w:rFonts w:eastAsia="Arial Unicode MS" w:cs="Arial Unicode MS"/>
          </w:rPr>
          <w:t xml:space="preserve">§ </w:t>
        </w:r>
        <w:r>
          <w:rPr>
            <w:rStyle w:val="Hyperlink0"/>
            <w:rFonts w:eastAsia="Arial Unicode MS" w:cs="Arial Unicode MS"/>
          </w:rPr>
          <w:t>1.</w:t>
        </w:r>
      </w:hyperlink>
      <w:r>
        <w:rPr>
          <w:rStyle w:val="None"/>
          <w:rFonts w:ascii="Times New Roman" w:hAnsi="Times New Roman"/>
          <w:sz w:val="28"/>
          <w:szCs w:val="28"/>
        </w:rPr>
        <w:t>]</w:t>
      </w:r>
      <w:r>
        <w:rPr>
          <w:rStyle w:val="None"/>
          <w:rFonts w:ascii="Times New Roman" w:hAnsi="Times New Roman"/>
          <w:sz w:val="28"/>
          <w:szCs w:val="28"/>
        </w:rPr>
        <w:t xml:space="preserve"> (</w:t>
      </w:r>
      <w:r>
        <w:rPr>
          <w:rStyle w:val="None"/>
          <w:rFonts w:ascii="Times New Roman" w:hAnsi="Times New Roman"/>
          <w:b/>
          <w:bCs/>
          <w:sz w:val="28"/>
          <w:szCs w:val="28"/>
        </w:rPr>
        <w:t>emphasis added</w:t>
      </w:r>
      <w:r>
        <w:rPr>
          <w:rStyle w:val="None"/>
          <w:rFonts w:ascii="Times New Roman" w:hAnsi="Times New Roman"/>
          <w:sz w:val="28"/>
          <w:szCs w:val="28"/>
        </w:rPr>
        <w:t>)</w:t>
      </w:r>
    </w:p>
    <w:p w:rsidR="00742100" w:rsidRDefault="00742100">
      <w:pPr>
        <w:pStyle w:val="Quote"/>
      </w:pPr>
    </w:p>
    <w:p w:rsidR="00742100" w:rsidRDefault="00111170">
      <w:pPr>
        <w:pStyle w:val="Default"/>
        <w:rPr>
          <w:rFonts w:ascii="Times New Roman" w:eastAsia="Times New Roman" w:hAnsi="Times New Roman" w:cs="Times New Roman"/>
          <w:sz w:val="28"/>
          <w:szCs w:val="28"/>
        </w:rPr>
      </w:pPr>
      <w:r>
        <w:rPr>
          <w:rFonts w:ascii="Times New Roman" w:hAnsi="Times New Roman"/>
          <w:sz w:val="28"/>
          <w:szCs w:val="28"/>
        </w:rPr>
        <w:t xml:space="preserve">It is respectfully submitted that a net benefit to customers cannot be found to exist for the sale of Avista </w:t>
      </w:r>
      <w:r>
        <w:rPr>
          <w:rFonts w:ascii="Times New Roman" w:hAnsi="Times New Roman"/>
          <w:sz w:val="28"/>
          <w:szCs w:val="28"/>
        </w:rPr>
        <w:t>to Hydro One and the sale should not be allowed.</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 xml:space="preserve">According to </w:t>
      </w:r>
      <w:r>
        <w:rPr>
          <w:rFonts w:ascii="Times New Roman" w:hAnsi="Times New Roman"/>
          <w:sz w:val="28"/>
          <w:szCs w:val="28"/>
        </w:rPr>
        <w:t xml:space="preserve">RCW </w:t>
      </w:r>
      <w:hyperlink r:id="rId7" w:history="1">
        <w:r>
          <w:rPr>
            <w:rStyle w:val="Hyperlink1"/>
            <w:rFonts w:ascii="Times New Roman" w:hAnsi="Times New Roman"/>
            <w:sz w:val="28"/>
            <w:szCs w:val="28"/>
          </w:rPr>
          <w:t>80.01.040</w:t>
        </w:r>
      </w:hyperlink>
      <w:r>
        <w:rPr>
          <w:rFonts w:ascii="Times New Roman" w:hAnsi="Times New Roman"/>
          <w:sz w:val="28"/>
          <w:szCs w:val="28"/>
        </w:rPr>
        <w:t>, as the Commission is well aware, one of</w:t>
      </w:r>
      <w:r>
        <w:rPr>
          <w:rFonts w:ascii="Times New Roman" w:hAnsi="Times New Roman"/>
          <w:sz w:val="28"/>
          <w:szCs w:val="28"/>
        </w:rPr>
        <w:t xml:space="preserve"> </w:t>
      </w:r>
      <w:r>
        <w:rPr>
          <w:rFonts w:ascii="Times New Roman" w:hAnsi="Times New Roman"/>
          <w:sz w:val="28"/>
          <w:szCs w:val="28"/>
        </w:rPr>
        <w:t>the general powers and duties of the C</w:t>
      </w:r>
      <w:r>
        <w:rPr>
          <w:rFonts w:ascii="Times New Roman" w:hAnsi="Times New Roman"/>
          <w:sz w:val="28"/>
          <w:szCs w:val="28"/>
          <w:lang w:val="fr-FR"/>
        </w:rPr>
        <w:t>ommission</w:t>
      </w:r>
      <w:r>
        <w:rPr>
          <w:rFonts w:ascii="Times New Roman" w:hAnsi="Times New Roman"/>
          <w:sz w:val="28"/>
          <w:szCs w:val="28"/>
        </w:rPr>
        <w:t xml:space="preserve"> is to: </w:t>
      </w:r>
    </w:p>
    <w:p w:rsidR="00742100" w:rsidRDefault="00742100">
      <w:pPr>
        <w:pStyle w:val="Body"/>
        <w:rPr>
          <w:rFonts w:ascii="Times New Roman" w:eastAsia="Times New Roman" w:hAnsi="Times New Roman" w:cs="Times New Roman"/>
          <w:sz w:val="28"/>
          <w:szCs w:val="28"/>
        </w:rPr>
      </w:pPr>
    </w:p>
    <w:p w:rsidR="00742100" w:rsidRDefault="00111170">
      <w:pPr>
        <w:pStyle w:val="Quote"/>
        <w:rPr>
          <w:sz w:val="28"/>
          <w:szCs w:val="28"/>
        </w:rPr>
      </w:pPr>
      <w:r>
        <w:rPr>
          <w:sz w:val="28"/>
          <w:szCs w:val="28"/>
        </w:rPr>
        <w:t xml:space="preserve">… </w:t>
      </w:r>
      <w:r>
        <w:rPr>
          <w:sz w:val="28"/>
          <w:szCs w:val="28"/>
        </w:rPr>
        <w:t>(3) Regula</w:t>
      </w:r>
      <w:r>
        <w:rPr>
          <w:sz w:val="28"/>
          <w:szCs w:val="28"/>
        </w:rPr>
        <w:t xml:space="preserve">te </w:t>
      </w:r>
      <w:r>
        <w:rPr>
          <w:rStyle w:val="None"/>
          <w:b/>
          <w:bCs/>
          <w:sz w:val="28"/>
          <w:szCs w:val="28"/>
        </w:rPr>
        <w:t>in the public interest</w:t>
      </w:r>
      <w:r>
        <w:rPr>
          <w:sz w:val="28"/>
          <w:szCs w:val="28"/>
        </w:rPr>
        <w:t xml:space="preserve">, as provided by the public service laws, the rates, services, facilities, and practices of all persons engaging within this </w:t>
      </w:r>
      <w:r>
        <w:rPr>
          <w:sz w:val="28"/>
          <w:szCs w:val="28"/>
        </w:rPr>
        <w:lastRenderedPageBreak/>
        <w:t xml:space="preserve">state in the business of supplying any utility service or commodity to the public for compensation. </w:t>
      </w:r>
      <w:r>
        <w:rPr>
          <w:rStyle w:val="None"/>
          <w:b/>
          <w:bCs/>
          <w:sz w:val="28"/>
          <w:szCs w:val="28"/>
        </w:rPr>
        <w:t>(empha</w:t>
      </w:r>
      <w:r>
        <w:rPr>
          <w:rStyle w:val="None"/>
          <w:b/>
          <w:bCs/>
          <w:sz w:val="28"/>
          <w:szCs w:val="28"/>
        </w:rPr>
        <w:t>sis supplied)</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 xml:space="preserve">As can be seen from this provision of the law, the Commission must regulate the practices of Avista in this case </w:t>
      </w:r>
      <w:r>
        <w:rPr>
          <w:rFonts w:ascii="Times New Roman" w:hAnsi="Times New Roman"/>
          <w:sz w:val="28"/>
          <w:szCs w:val="28"/>
        </w:rPr>
        <w:t>“</w:t>
      </w:r>
      <w:r>
        <w:rPr>
          <w:rFonts w:ascii="Times New Roman" w:hAnsi="Times New Roman"/>
          <w:sz w:val="28"/>
          <w:szCs w:val="28"/>
        </w:rPr>
        <w:t>in the public interest</w:t>
      </w:r>
      <w:r>
        <w:rPr>
          <w:rFonts w:ascii="Times New Roman" w:hAnsi="Times New Roman"/>
          <w:sz w:val="28"/>
          <w:szCs w:val="28"/>
        </w:rPr>
        <w:t xml:space="preserve">” </w:t>
      </w:r>
      <w:r>
        <w:rPr>
          <w:rFonts w:ascii="Times New Roman" w:hAnsi="Times New Roman"/>
          <w:sz w:val="28"/>
          <w:szCs w:val="28"/>
        </w:rPr>
        <w:t>with due consideration concerning the sale of a monopoly doing business in this state to a company loca</w:t>
      </w:r>
      <w:r>
        <w:rPr>
          <w:rFonts w:ascii="Times New Roman" w:hAnsi="Times New Roman"/>
          <w:sz w:val="28"/>
          <w:szCs w:val="28"/>
        </w:rPr>
        <w:t xml:space="preserve">ted in a foreign country. </w:t>
      </w:r>
    </w:p>
    <w:p w:rsidR="00742100" w:rsidRDefault="00742100">
      <w:pPr>
        <w:pStyle w:val="Body"/>
        <w:rPr>
          <w:rFonts w:ascii="Times New Roman" w:eastAsia="Times New Roman" w:hAnsi="Times New Roman" w:cs="Times New Roman"/>
          <w:sz w:val="28"/>
          <w:szCs w:val="28"/>
        </w:rPr>
      </w:pPr>
    </w:p>
    <w:p w:rsidR="00742100" w:rsidRDefault="00111170">
      <w:pPr>
        <w:pStyle w:val="Body"/>
        <w:rPr>
          <w:rStyle w:val="None"/>
          <w:rFonts w:ascii="Times New Roman" w:eastAsia="Times New Roman" w:hAnsi="Times New Roman" w:cs="Times New Roman"/>
          <w:sz w:val="28"/>
          <w:szCs w:val="28"/>
        </w:rPr>
      </w:pPr>
      <w:r>
        <w:rPr>
          <w:rFonts w:ascii="Times New Roman" w:hAnsi="Times New Roman"/>
          <w:sz w:val="28"/>
          <w:szCs w:val="28"/>
        </w:rPr>
        <w:t xml:space="preserve">Likewise, </w:t>
      </w:r>
      <w:r>
        <w:rPr>
          <w:rFonts w:ascii="Times New Roman" w:hAnsi="Times New Roman"/>
          <w:sz w:val="28"/>
          <w:szCs w:val="28"/>
        </w:rPr>
        <w:t>WAC 480-100-245</w:t>
      </w:r>
      <w:r>
        <w:rPr>
          <w:rFonts w:ascii="Times New Roman" w:hAnsi="Times New Roman"/>
          <w:sz w:val="28"/>
          <w:szCs w:val="28"/>
        </w:rPr>
        <w:t xml:space="preserve"> - </w:t>
      </w:r>
      <w:r>
        <w:rPr>
          <w:rStyle w:val="None"/>
          <w:rFonts w:ascii="Times New Roman" w:hAnsi="Times New Roman"/>
          <w:sz w:val="28"/>
          <w:szCs w:val="28"/>
        </w:rPr>
        <w:t>Affiliated interests</w:t>
      </w:r>
      <w:r>
        <w:rPr>
          <w:rStyle w:val="None"/>
          <w:rFonts w:ascii="Times New Roman" w:hAnsi="Times New Roman"/>
          <w:sz w:val="28"/>
          <w:szCs w:val="28"/>
        </w:rPr>
        <w:t>—</w:t>
      </w:r>
      <w:r>
        <w:rPr>
          <w:rStyle w:val="None"/>
          <w:rFonts w:ascii="Times New Roman" w:hAnsi="Times New Roman"/>
          <w:sz w:val="28"/>
          <w:szCs w:val="28"/>
        </w:rPr>
        <w:t>Contracts or a</w:t>
      </w:r>
      <w:r>
        <w:rPr>
          <w:rStyle w:val="None"/>
          <w:rFonts w:ascii="Times New Roman" w:hAnsi="Times New Roman"/>
          <w:sz w:val="28"/>
          <w:szCs w:val="28"/>
          <w:lang w:val="fr-FR"/>
        </w:rPr>
        <w:t>rrangements</w:t>
      </w:r>
      <w:r>
        <w:rPr>
          <w:rStyle w:val="None"/>
          <w:rFonts w:ascii="Times New Roman" w:hAnsi="Times New Roman"/>
          <w:sz w:val="28"/>
          <w:szCs w:val="28"/>
        </w:rPr>
        <w:t xml:space="preserve"> provides, inter alia: </w:t>
      </w:r>
    </w:p>
    <w:p w:rsidR="00742100" w:rsidRDefault="00742100">
      <w:pPr>
        <w:pStyle w:val="Body"/>
        <w:rPr>
          <w:rStyle w:val="None"/>
          <w:rFonts w:ascii="Times New Roman" w:eastAsia="Times New Roman" w:hAnsi="Times New Roman" w:cs="Times New Roman"/>
          <w:sz w:val="28"/>
          <w:szCs w:val="28"/>
        </w:rPr>
      </w:pPr>
    </w:p>
    <w:p w:rsidR="00742100" w:rsidRDefault="00111170">
      <w:pPr>
        <w:pStyle w:val="Quote"/>
        <w:rPr>
          <w:rStyle w:val="None"/>
          <w:b/>
          <w:bCs/>
        </w:rPr>
      </w:pPr>
      <w:r>
        <w:rPr>
          <w:rStyle w:val="None"/>
          <w:rFonts w:eastAsia="Arial Unicode MS" w:cs="Arial Unicode MS"/>
          <w:sz w:val="28"/>
          <w:szCs w:val="28"/>
        </w:rPr>
        <w:t xml:space="preserve">… </w:t>
      </w:r>
      <w:r>
        <w:rPr>
          <w:rStyle w:val="None"/>
          <w:rFonts w:eastAsia="Arial Unicode MS" w:cs="Arial Unicode MS"/>
          <w:sz w:val="28"/>
          <w:szCs w:val="28"/>
        </w:rPr>
        <w:t xml:space="preserve">The commission may institute an investigation and disapprove the contract or arrangement if the commission finds the utility has failed to prove that it is </w:t>
      </w:r>
      <w:r>
        <w:rPr>
          <w:rStyle w:val="None"/>
          <w:rFonts w:eastAsia="Arial Unicode MS" w:cs="Arial Unicode MS"/>
          <w:b/>
          <w:bCs/>
          <w:sz w:val="28"/>
          <w:szCs w:val="28"/>
        </w:rPr>
        <w:t xml:space="preserve">reasonable and consistent with the public interest. </w:t>
      </w:r>
      <w:r>
        <w:rPr>
          <w:rStyle w:val="None"/>
          <w:rFonts w:eastAsia="Arial Unicode MS" w:cs="Arial Unicode MS"/>
          <w:sz w:val="28"/>
          <w:szCs w:val="28"/>
        </w:rPr>
        <w:t>(</w:t>
      </w:r>
      <w:r>
        <w:rPr>
          <w:rStyle w:val="None"/>
          <w:rFonts w:eastAsia="Arial Unicode MS" w:cs="Arial Unicode MS"/>
          <w:b/>
          <w:bCs/>
          <w:sz w:val="28"/>
          <w:szCs w:val="28"/>
        </w:rPr>
        <w:t>emphasis</w:t>
      </w:r>
      <w:r>
        <w:rPr>
          <w:rStyle w:val="None"/>
          <w:rFonts w:eastAsia="Arial Unicode MS" w:cs="Arial Unicode MS"/>
          <w:b/>
          <w:bCs/>
        </w:rPr>
        <w:t xml:space="preserve"> supplied)</w:t>
      </w:r>
    </w:p>
    <w:p w:rsidR="00742100" w:rsidRDefault="00742100">
      <w:pPr>
        <w:pStyle w:val="Body"/>
        <w:rPr>
          <w:rStyle w:val="None"/>
          <w:rFonts w:ascii="Times New Roman" w:eastAsia="Times New Roman" w:hAnsi="Times New Roman" w:cs="Times New Roman"/>
          <w:sz w:val="28"/>
          <w:szCs w:val="28"/>
        </w:rPr>
      </w:pPr>
    </w:p>
    <w:p w:rsidR="00742100" w:rsidRDefault="00111170">
      <w:pPr>
        <w:pStyle w:val="Body"/>
        <w:rPr>
          <w:rStyle w:val="None"/>
          <w:rFonts w:ascii="Times New Roman" w:eastAsia="Times New Roman" w:hAnsi="Times New Roman" w:cs="Times New Roman"/>
          <w:sz w:val="28"/>
          <w:szCs w:val="28"/>
        </w:rPr>
      </w:pPr>
      <w:r>
        <w:rPr>
          <w:rStyle w:val="None"/>
          <w:rFonts w:ascii="Times New Roman" w:hAnsi="Times New Roman"/>
          <w:sz w:val="28"/>
          <w:szCs w:val="28"/>
        </w:rPr>
        <w:t>The Commission should disap</w:t>
      </w:r>
      <w:r>
        <w:rPr>
          <w:rStyle w:val="None"/>
          <w:rFonts w:ascii="Times New Roman" w:hAnsi="Times New Roman"/>
          <w:sz w:val="28"/>
          <w:szCs w:val="28"/>
        </w:rPr>
        <w:t>prove the arrangement as set out in specific terms with Hydro One relative to the sale of Avista because the provisions are not reasonable and consistent with the public interest.</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If the sale is approved by the Commission, what will happen when the next c</w:t>
      </w:r>
      <w:r>
        <w:rPr>
          <w:rFonts w:ascii="Times New Roman" w:hAnsi="Times New Roman"/>
          <w:sz w:val="28"/>
          <w:szCs w:val="28"/>
        </w:rPr>
        <w:t>hange of administration occurs in the province of Ontario in Canada? Will Avista as a subsidiary of Hydro One be required to abide by a change in the law as passed by the legislative body of Canada? The myriad of questions that could be asked concerning ch</w:t>
      </w:r>
      <w:r>
        <w:rPr>
          <w:rFonts w:ascii="Times New Roman" w:hAnsi="Times New Roman"/>
          <w:sz w:val="28"/>
          <w:szCs w:val="28"/>
        </w:rPr>
        <w:t>anges occurring in Canada are too many to be imagined. Can the Commission guarantee that what they might have to allow to cover for business mistakes occurring in the parent company, or for that matter in the subsidiary company, will not adversely affect t</w:t>
      </w:r>
      <w:r>
        <w:rPr>
          <w:rFonts w:ascii="Times New Roman" w:hAnsi="Times New Roman"/>
          <w:sz w:val="28"/>
          <w:szCs w:val="28"/>
        </w:rPr>
        <w:t xml:space="preserve">he ratepayers in the future as a result of this unwise proposal? </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 xml:space="preserve">For example, this provision at page 94 in the agreement between Avista and Hydro one should cause concern to the Commission: </w:t>
      </w:r>
    </w:p>
    <w:p w:rsidR="00742100" w:rsidRDefault="00742100">
      <w:pPr>
        <w:pStyle w:val="Default"/>
        <w:rPr>
          <w:rFonts w:ascii="Times New Roman" w:eastAsia="Times New Roman" w:hAnsi="Times New Roman" w:cs="Times New Roman"/>
          <w:b/>
          <w:bCs/>
          <w:sz w:val="28"/>
          <w:szCs w:val="28"/>
        </w:rPr>
      </w:pPr>
    </w:p>
    <w:p w:rsidR="00742100" w:rsidRDefault="00111170">
      <w:pPr>
        <w:pStyle w:val="Quote"/>
        <w:rPr>
          <w:rStyle w:val="None"/>
          <w:sz w:val="28"/>
          <w:szCs w:val="28"/>
        </w:rPr>
      </w:pPr>
      <w:r>
        <w:tab/>
      </w:r>
      <w:r>
        <w:rPr>
          <w:rStyle w:val="None"/>
          <w:rFonts w:eastAsia="Arial Unicode MS" w:cs="Arial Unicode MS"/>
          <w:sz w:val="28"/>
          <w:szCs w:val="28"/>
        </w:rPr>
        <w:t>Governing Law</w:t>
      </w:r>
    </w:p>
    <w:p w:rsidR="00742100" w:rsidRDefault="00111170">
      <w:pPr>
        <w:pStyle w:val="Quote"/>
        <w:rPr>
          <w:sz w:val="28"/>
          <w:szCs w:val="28"/>
        </w:rPr>
      </w:pPr>
      <w:r>
        <w:rPr>
          <w:sz w:val="28"/>
          <w:szCs w:val="28"/>
        </w:rPr>
        <w:tab/>
      </w:r>
      <w:r>
        <w:rPr>
          <w:sz w:val="28"/>
          <w:szCs w:val="28"/>
        </w:rPr>
        <w:t xml:space="preserve">The merger agreement is </w:t>
      </w:r>
      <w:r>
        <w:rPr>
          <w:rStyle w:val="None"/>
          <w:b/>
          <w:bCs/>
          <w:sz w:val="28"/>
          <w:szCs w:val="28"/>
        </w:rPr>
        <w:t xml:space="preserve">governed by and will be construed in accordance </w:t>
      </w:r>
      <w:r w:rsidR="00B17661">
        <w:rPr>
          <w:rStyle w:val="None"/>
          <w:b/>
          <w:bCs/>
          <w:sz w:val="28"/>
          <w:szCs w:val="28"/>
        </w:rPr>
        <w:tab/>
      </w:r>
      <w:r w:rsidR="00B17661">
        <w:rPr>
          <w:rStyle w:val="None"/>
          <w:b/>
          <w:bCs/>
          <w:sz w:val="28"/>
          <w:szCs w:val="28"/>
        </w:rPr>
        <w:tab/>
      </w:r>
      <w:r>
        <w:rPr>
          <w:rStyle w:val="None"/>
          <w:b/>
          <w:bCs/>
          <w:sz w:val="28"/>
          <w:szCs w:val="28"/>
        </w:rPr>
        <w:t>with the laws of the State of Delaware</w:t>
      </w:r>
      <w:r>
        <w:rPr>
          <w:sz w:val="28"/>
          <w:szCs w:val="28"/>
        </w:rPr>
        <w:t xml:space="preserve">, without giving effect to any choice </w:t>
      </w:r>
      <w:r w:rsidR="00B17661">
        <w:rPr>
          <w:sz w:val="28"/>
          <w:szCs w:val="28"/>
        </w:rPr>
        <w:tab/>
      </w:r>
      <w:r w:rsidR="00B17661">
        <w:rPr>
          <w:sz w:val="28"/>
          <w:szCs w:val="28"/>
        </w:rPr>
        <w:tab/>
      </w:r>
      <w:r>
        <w:rPr>
          <w:sz w:val="28"/>
          <w:szCs w:val="28"/>
        </w:rPr>
        <w:t xml:space="preserve">or conflict of laws provision or rule (whether of the State of Delaware or </w:t>
      </w:r>
      <w:r w:rsidR="00B17661">
        <w:rPr>
          <w:sz w:val="28"/>
          <w:szCs w:val="28"/>
        </w:rPr>
        <w:tab/>
      </w:r>
      <w:r>
        <w:rPr>
          <w:sz w:val="28"/>
          <w:szCs w:val="28"/>
        </w:rPr>
        <w:t xml:space="preserve">any </w:t>
      </w:r>
      <w:r>
        <w:rPr>
          <w:sz w:val="28"/>
          <w:szCs w:val="28"/>
        </w:rPr>
        <w:t>other jurisdiction) that would cause the appli</w:t>
      </w:r>
      <w:r>
        <w:rPr>
          <w:sz w:val="28"/>
          <w:szCs w:val="28"/>
        </w:rPr>
        <w:t xml:space="preserve">cation of the laws of any </w:t>
      </w:r>
      <w:r w:rsidR="00B17661">
        <w:rPr>
          <w:sz w:val="28"/>
          <w:szCs w:val="28"/>
        </w:rPr>
        <w:tab/>
      </w:r>
      <w:r w:rsidR="00B17661">
        <w:rPr>
          <w:sz w:val="28"/>
          <w:szCs w:val="28"/>
        </w:rPr>
        <w:tab/>
      </w:r>
      <w:r>
        <w:rPr>
          <w:sz w:val="28"/>
          <w:szCs w:val="28"/>
        </w:rPr>
        <w:t xml:space="preserve">jurisdiction other than the State of Delaware, </w:t>
      </w:r>
      <w:r>
        <w:rPr>
          <w:rStyle w:val="None"/>
          <w:b/>
          <w:bCs/>
          <w:sz w:val="28"/>
          <w:szCs w:val="28"/>
        </w:rPr>
        <w:t xml:space="preserve">except that matters related to </w:t>
      </w:r>
      <w:r w:rsidR="00B17661">
        <w:rPr>
          <w:rStyle w:val="None"/>
          <w:b/>
          <w:bCs/>
          <w:sz w:val="28"/>
          <w:szCs w:val="28"/>
        </w:rPr>
        <w:tab/>
      </w:r>
      <w:r w:rsidR="00B17661">
        <w:rPr>
          <w:rStyle w:val="None"/>
          <w:b/>
          <w:bCs/>
          <w:sz w:val="28"/>
          <w:szCs w:val="28"/>
        </w:rPr>
        <w:tab/>
      </w:r>
      <w:r>
        <w:rPr>
          <w:rStyle w:val="None"/>
          <w:b/>
          <w:bCs/>
          <w:sz w:val="28"/>
          <w:szCs w:val="28"/>
        </w:rPr>
        <w:t xml:space="preserve">the fiduciary obligations of the Board and matters that are specifically </w:t>
      </w:r>
      <w:r w:rsidR="00B17661">
        <w:rPr>
          <w:rStyle w:val="None"/>
          <w:b/>
          <w:bCs/>
          <w:sz w:val="28"/>
          <w:szCs w:val="28"/>
        </w:rPr>
        <w:tab/>
      </w:r>
      <w:r w:rsidR="00B17661">
        <w:rPr>
          <w:rStyle w:val="None"/>
          <w:b/>
          <w:bCs/>
          <w:sz w:val="28"/>
          <w:szCs w:val="28"/>
        </w:rPr>
        <w:lastRenderedPageBreak/>
        <w:tab/>
      </w:r>
      <w:r>
        <w:rPr>
          <w:rStyle w:val="None"/>
          <w:b/>
          <w:bCs/>
          <w:sz w:val="28"/>
          <w:szCs w:val="28"/>
        </w:rPr>
        <w:t>required by the Washington law in connection with the merger</w:t>
      </w:r>
      <w:r>
        <w:rPr>
          <w:sz w:val="28"/>
          <w:szCs w:val="28"/>
        </w:rPr>
        <w:t xml:space="preserve"> are </w:t>
      </w:r>
      <w:r w:rsidR="00B17661">
        <w:rPr>
          <w:sz w:val="28"/>
          <w:szCs w:val="28"/>
        </w:rPr>
        <w:tab/>
      </w:r>
      <w:r w:rsidR="00B17661">
        <w:rPr>
          <w:sz w:val="28"/>
          <w:szCs w:val="28"/>
        </w:rPr>
        <w:tab/>
      </w:r>
      <w:r w:rsidR="00B17661">
        <w:rPr>
          <w:sz w:val="28"/>
          <w:szCs w:val="28"/>
        </w:rPr>
        <w:tab/>
      </w:r>
      <w:r>
        <w:rPr>
          <w:sz w:val="28"/>
          <w:szCs w:val="28"/>
        </w:rPr>
        <w:t xml:space="preserve">governed by the laws of the State of Washington. </w:t>
      </w:r>
      <w:r>
        <w:rPr>
          <w:rStyle w:val="None"/>
          <w:b/>
          <w:bCs/>
          <w:sz w:val="28"/>
          <w:szCs w:val="28"/>
        </w:rPr>
        <w:t>(emphasis supplied)</w:t>
      </w:r>
    </w:p>
    <w:p w:rsidR="00742100" w:rsidRDefault="00742100">
      <w:pPr>
        <w:pStyle w:val="Default"/>
        <w:rPr>
          <w:rFonts w:ascii="Times New Roman" w:eastAsia="Times New Roman" w:hAnsi="Times New Roman" w:cs="Times New Roman"/>
          <w:sz w:val="28"/>
          <w:szCs w:val="28"/>
        </w:rPr>
      </w:pPr>
    </w:p>
    <w:p w:rsidR="00742100" w:rsidRDefault="00111170">
      <w:pPr>
        <w:pStyle w:val="Default"/>
        <w:rPr>
          <w:rFonts w:ascii="Times New Roman" w:eastAsia="Times New Roman" w:hAnsi="Times New Roman" w:cs="Times New Roman"/>
          <w:sz w:val="28"/>
          <w:szCs w:val="28"/>
        </w:rPr>
      </w:pPr>
      <w:r>
        <w:rPr>
          <w:rFonts w:ascii="Times New Roman" w:hAnsi="Times New Roman"/>
          <w:sz w:val="28"/>
          <w:szCs w:val="28"/>
        </w:rPr>
        <w:t>An attorney familiar with these provisions and filings could tell how the changes in Canada might affect the merger plans and should be consulted. Does the law of Delaware or WA apply? W</w:t>
      </w:r>
      <w:r>
        <w:rPr>
          <w:rFonts w:ascii="Times New Roman" w:hAnsi="Times New Roman"/>
          <w:sz w:val="28"/>
          <w:szCs w:val="28"/>
        </w:rPr>
        <w:t xml:space="preserve">hich </w:t>
      </w:r>
      <w:r>
        <w:rPr>
          <w:rFonts w:ascii="Times New Roman" w:hAnsi="Times New Roman"/>
          <w:sz w:val="28"/>
          <w:szCs w:val="28"/>
        </w:rPr>
        <w:t>“</w:t>
      </w:r>
      <w:r>
        <w:rPr>
          <w:rFonts w:ascii="Times New Roman" w:hAnsi="Times New Roman"/>
          <w:sz w:val="28"/>
          <w:szCs w:val="28"/>
        </w:rPr>
        <w:t>matter related to the fiduciary obligations of the Board and matters that are specifically required by the Washington law in connection with the merger</w:t>
      </w:r>
      <w:r>
        <w:rPr>
          <w:rFonts w:ascii="Times New Roman" w:hAnsi="Times New Roman"/>
          <w:sz w:val="28"/>
          <w:szCs w:val="28"/>
        </w:rPr>
        <w:t xml:space="preserve">” </w:t>
      </w:r>
      <w:r>
        <w:rPr>
          <w:rFonts w:ascii="Times New Roman" w:hAnsi="Times New Roman"/>
          <w:sz w:val="28"/>
          <w:szCs w:val="28"/>
        </w:rPr>
        <w:t>are specifically required by RCWs? Are there any? If no specific laws would apply wouldn</w:t>
      </w:r>
      <w:r>
        <w:rPr>
          <w:rFonts w:ascii="Times New Roman" w:hAnsi="Times New Roman"/>
          <w:sz w:val="28"/>
          <w:szCs w:val="28"/>
        </w:rPr>
        <w:t>’</w:t>
      </w:r>
      <w:r>
        <w:rPr>
          <w:rFonts w:ascii="Times New Roman" w:hAnsi="Times New Roman"/>
          <w:sz w:val="28"/>
          <w:szCs w:val="28"/>
        </w:rPr>
        <w:t>t all di</w:t>
      </w:r>
      <w:r>
        <w:rPr>
          <w:rFonts w:ascii="Times New Roman" w:hAnsi="Times New Roman"/>
          <w:sz w:val="28"/>
          <w:szCs w:val="28"/>
        </w:rPr>
        <w:t xml:space="preserve">sputes or concerns be decided under Delaware law? Is the Commission willing to give up its supervisory role to the laws of another state or foreign country? How could that possibly be </w:t>
      </w:r>
      <w:r>
        <w:rPr>
          <w:rFonts w:ascii="Times New Roman" w:hAnsi="Times New Roman"/>
          <w:sz w:val="28"/>
          <w:szCs w:val="28"/>
        </w:rPr>
        <w:t>“</w:t>
      </w:r>
      <w:r>
        <w:rPr>
          <w:rFonts w:ascii="Times New Roman" w:hAnsi="Times New Roman"/>
          <w:sz w:val="28"/>
          <w:szCs w:val="28"/>
        </w:rPr>
        <w:t>in the public interest</w:t>
      </w:r>
      <w:r>
        <w:rPr>
          <w:rFonts w:ascii="Times New Roman" w:hAnsi="Times New Roman"/>
          <w:sz w:val="28"/>
          <w:szCs w:val="28"/>
        </w:rPr>
        <w:t xml:space="preserve">” </w:t>
      </w:r>
      <w:r>
        <w:rPr>
          <w:rFonts w:ascii="Times New Roman" w:hAnsi="Times New Roman"/>
          <w:sz w:val="28"/>
          <w:szCs w:val="28"/>
        </w:rPr>
        <w:t xml:space="preserve">and a </w:t>
      </w:r>
      <w:r>
        <w:rPr>
          <w:rFonts w:ascii="Times New Roman" w:hAnsi="Times New Roman"/>
          <w:sz w:val="28"/>
          <w:szCs w:val="28"/>
        </w:rPr>
        <w:t>“</w:t>
      </w:r>
      <w:r>
        <w:rPr>
          <w:rFonts w:ascii="Times New Roman" w:hAnsi="Times New Roman"/>
          <w:sz w:val="28"/>
          <w:szCs w:val="28"/>
        </w:rPr>
        <w:t>net benefit</w:t>
      </w:r>
      <w:r>
        <w:rPr>
          <w:rFonts w:ascii="Times New Roman" w:hAnsi="Times New Roman"/>
          <w:sz w:val="28"/>
          <w:szCs w:val="28"/>
        </w:rPr>
        <w:t xml:space="preserve">” </w:t>
      </w:r>
      <w:r>
        <w:rPr>
          <w:rFonts w:ascii="Times New Roman" w:hAnsi="Times New Roman"/>
          <w:sz w:val="28"/>
          <w:szCs w:val="28"/>
        </w:rPr>
        <w:t>to the ratepayers of Avista</w:t>
      </w:r>
      <w:r>
        <w:rPr>
          <w:rFonts w:ascii="Times New Roman" w:hAnsi="Times New Roman"/>
          <w:sz w:val="28"/>
          <w:szCs w:val="28"/>
        </w:rPr>
        <w:t>?</w:t>
      </w:r>
    </w:p>
    <w:p w:rsidR="00742100" w:rsidRDefault="00742100">
      <w:pPr>
        <w:pStyle w:val="Default"/>
        <w:rPr>
          <w:rFonts w:ascii="Times New Roman" w:eastAsia="Times New Roman" w:hAnsi="Times New Roman" w:cs="Times New Roman"/>
          <w:sz w:val="28"/>
          <w:szCs w:val="28"/>
        </w:rPr>
      </w:pPr>
    </w:p>
    <w:p w:rsidR="00742100" w:rsidRDefault="00111170">
      <w:pPr>
        <w:pStyle w:val="Default"/>
        <w:rPr>
          <w:rFonts w:ascii="Times New Roman" w:eastAsia="Times New Roman" w:hAnsi="Times New Roman" w:cs="Times New Roman"/>
          <w:sz w:val="28"/>
          <w:szCs w:val="28"/>
        </w:rPr>
      </w:pPr>
      <w:r>
        <w:rPr>
          <w:rFonts w:ascii="Times New Roman" w:hAnsi="Times New Roman"/>
          <w:sz w:val="28"/>
          <w:szCs w:val="28"/>
        </w:rPr>
        <w:t>Is the new CEO and the yet non-existent Board of Hydro One bound by the agreement, to what extent, and what happens if they change their minds and don</w:t>
      </w:r>
      <w:r>
        <w:rPr>
          <w:rFonts w:ascii="Times New Roman" w:hAnsi="Times New Roman"/>
          <w:sz w:val="28"/>
          <w:szCs w:val="28"/>
        </w:rPr>
        <w:t>’</w:t>
      </w:r>
      <w:r>
        <w:rPr>
          <w:rFonts w:ascii="Times New Roman" w:hAnsi="Times New Roman"/>
          <w:sz w:val="28"/>
          <w:szCs w:val="28"/>
        </w:rPr>
        <w:t>t want to proceed with the deal? Are they still bound by those provisions? Can the penalty provision (</w:t>
      </w:r>
      <w:r>
        <w:rPr>
          <w:rFonts w:ascii="Times New Roman" w:hAnsi="Times New Roman"/>
          <w:sz w:val="28"/>
          <w:szCs w:val="28"/>
        </w:rPr>
        <w:t>p. 92-93) then be enforced or is Hydro One entitled to specific performance under the terms of the agreement</w:t>
      </w:r>
      <w:r>
        <w:rPr>
          <w:rFonts w:ascii="Times New Roman" w:hAnsi="Times New Roman"/>
          <w:sz w:val="28"/>
          <w:szCs w:val="28"/>
        </w:rPr>
        <w:t xml:space="preserve"> (p, 94)? </w:t>
      </w:r>
      <w:r>
        <w:rPr>
          <w:rFonts w:ascii="Times New Roman" w:hAnsi="Times New Roman"/>
          <w:sz w:val="28"/>
          <w:szCs w:val="28"/>
        </w:rPr>
        <w:t xml:space="preserve">If there is a penalty to be paid, rates will obviously have to be raised to satisfy it. How can this be in the interest of the ratepayers </w:t>
      </w:r>
      <w:r>
        <w:rPr>
          <w:rFonts w:ascii="Times New Roman" w:hAnsi="Times New Roman"/>
          <w:sz w:val="28"/>
          <w:szCs w:val="28"/>
        </w:rPr>
        <w:t>and how could such a provision be entered into in advance of the approval of the sale?</w:t>
      </w:r>
    </w:p>
    <w:p w:rsidR="00742100" w:rsidRDefault="00742100">
      <w:pPr>
        <w:pStyle w:val="Body"/>
        <w:rPr>
          <w:rFonts w:ascii="Times New Roman" w:eastAsia="Times New Roman" w:hAnsi="Times New Roman" w:cs="Times New Roman"/>
          <w:sz w:val="28"/>
          <w:szCs w:val="28"/>
        </w:rPr>
      </w:pP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How is it appropriate for Avista to enter into an agreement that if it is broken would result in a substantial penalty or enforcement by the specific performance provis</w:t>
      </w:r>
      <w:r>
        <w:rPr>
          <w:rFonts w:ascii="Times New Roman" w:hAnsi="Times New Roman"/>
          <w:sz w:val="28"/>
          <w:szCs w:val="28"/>
        </w:rPr>
        <w:t>ion when its approval must first occur not only by this Commission but also by the  regulatory agencies of several states? What lawyers would propose such a contract to its client and what managers or board of directors of a company would agree to such pro</w:t>
      </w:r>
      <w:r>
        <w:rPr>
          <w:rFonts w:ascii="Times New Roman" w:hAnsi="Times New Roman"/>
          <w:sz w:val="28"/>
          <w:szCs w:val="28"/>
        </w:rPr>
        <w:t>visions? Apparently one in which neither the senior management or board of directors are concerned that it has been reported Hydro One is a company that is currently $20 Billion in debt. Could that be as a result of the provisions for the senior management</w:t>
      </w:r>
      <w:r>
        <w:rPr>
          <w:rFonts w:ascii="Times New Roman" w:hAnsi="Times New Roman"/>
          <w:sz w:val="28"/>
          <w:szCs w:val="28"/>
        </w:rPr>
        <w:t xml:space="preserve"> to obtain millions in connection with the sale? How can this possibly be advantageous to the ratepayers of Avista and a net benefit to them? The ratepayers already suffer from rates set by the Commission that allow the company to donate a substantial amou</w:t>
      </w:r>
      <w:r>
        <w:rPr>
          <w:rFonts w:ascii="Times New Roman" w:hAnsi="Times New Roman"/>
          <w:sz w:val="28"/>
          <w:szCs w:val="28"/>
        </w:rPr>
        <w:t>nt of money obtained from the ratepayers to charities of its choice. The company has advertised its promise to increase this amount if the sale obtains approval. With a rate increase in order to do it?</w:t>
      </w: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 xml:space="preserve"> </w:t>
      </w:r>
    </w:p>
    <w:p w:rsidR="00742100" w:rsidRDefault="00111170">
      <w:pPr>
        <w:pStyle w:val="Body"/>
        <w:rPr>
          <w:rFonts w:ascii="Times New Roman" w:eastAsia="Times New Roman" w:hAnsi="Times New Roman" w:cs="Times New Roman"/>
          <w:sz w:val="28"/>
          <w:szCs w:val="28"/>
        </w:rPr>
      </w:pPr>
      <w:r>
        <w:rPr>
          <w:rFonts w:ascii="Times New Roman" w:hAnsi="Times New Roman"/>
          <w:sz w:val="28"/>
          <w:szCs w:val="28"/>
        </w:rPr>
        <w:t>Why would Avista</w:t>
      </w:r>
      <w:r>
        <w:rPr>
          <w:rFonts w:ascii="Times New Roman" w:hAnsi="Times New Roman"/>
          <w:sz w:val="28"/>
          <w:szCs w:val="28"/>
        </w:rPr>
        <w:t>’</w:t>
      </w:r>
      <w:r>
        <w:rPr>
          <w:rFonts w:ascii="Times New Roman" w:hAnsi="Times New Roman"/>
          <w:sz w:val="28"/>
          <w:szCs w:val="28"/>
        </w:rPr>
        <w:t>s managers and board agree to these</w:t>
      </w:r>
      <w:r>
        <w:rPr>
          <w:rFonts w:ascii="Times New Roman" w:hAnsi="Times New Roman"/>
          <w:sz w:val="28"/>
          <w:szCs w:val="28"/>
        </w:rPr>
        <w:t xml:space="preserve"> provisions if they were aware of the impending vote and circumstances surrounding it that could result in a </w:t>
      </w:r>
      <w:r>
        <w:rPr>
          <w:rFonts w:ascii="Times New Roman" w:hAnsi="Times New Roman"/>
          <w:sz w:val="28"/>
          <w:szCs w:val="28"/>
        </w:rPr>
        <w:lastRenderedPageBreak/>
        <w:t>change in Ontario when the person running for office there based his campaign on the fact that he would fire the CEO of Hydro One because of the wa</w:t>
      </w:r>
      <w:r>
        <w:rPr>
          <w:rFonts w:ascii="Times New Roman" w:hAnsi="Times New Roman"/>
          <w:sz w:val="28"/>
          <w:szCs w:val="28"/>
        </w:rPr>
        <w:t>y he was guiding that company? If those in Avista were not aware of the situation that is even worse.</w:t>
      </w:r>
    </w:p>
    <w:p w:rsidR="00742100" w:rsidRDefault="00742100">
      <w:pPr>
        <w:pStyle w:val="Body"/>
        <w:rPr>
          <w:rFonts w:ascii="Times New Roman" w:eastAsia="Times New Roman" w:hAnsi="Times New Roman" w:cs="Times New Roman"/>
          <w:sz w:val="28"/>
          <w:szCs w:val="28"/>
        </w:rPr>
      </w:pPr>
    </w:p>
    <w:p w:rsidR="00742100" w:rsidRDefault="00111170">
      <w:pPr>
        <w:pStyle w:val="Body"/>
        <w:rPr>
          <w:rStyle w:val="None"/>
          <w:rFonts w:ascii="Times New Roman" w:eastAsia="Times New Roman" w:hAnsi="Times New Roman" w:cs="Times New Roman"/>
          <w:sz w:val="28"/>
          <w:szCs w:val="28"/>
        </w:rPr>
      </w:pPr>
      <w:r>
        <w:rPr>
          <w:rFonts w:ascii="Times New Roman" w:hAnsi="Times New Roman"/>
          <w:sz w:val="28"/>
          <w:szCs w:val="28"/>
        </w:rPr>
        <w:t xml:space="preserve">Finally, even though </w:t>
      </w:r>
      <w:r>
        <w:rPr>
          <w:rStyle w:val="None"/>
          <w:rFonts w:ascii="Times New Roman" w:hAnsi="Times New Roman"/>
          <w:sz w:val="28"/>
          <w:szCs w:val="28"/>
        </w:rPr>
        <w:t xml:space="preserve">RCW </w:t>
      </w:r>
      <w:hyperlink r:id="rId8" w:history="1">
        <w:r>
          <w:rPr>
            <w:rStyle w:val="Hyperlink2"/>
            <w:rFonts w:ascii="Times New Roman" w:hAnsi="Times New Roman"/>
            <w:sz w:val="28"/>
            <w:szCs w:val="28"/>
          </w:rPr>
          <w:t>80.12.030</w:t>
        </w:r>
      </w:hyperlink>
      <w:r>
        <w:rPr>
          <w:rStyle w:val="None"/>
          <w:rFonts w:ascii="Times New Roman" w:hAnsi="Times New Roman"/>
          <w:sz w:val="28"/>
          <w:szCs w:val="28"/>
        </w:rPr>
        <w:t xml:space="preserve"> provides, inter alia:</w:t>
      </w:r>
    </w:p>
    <w:p w:rsidR="00742100" w:rsidRDefault="00742100">
      <w:pPr>
        <w:pStyle w:val="Default"/>
        <w:rPr>
          <w:rStyle w:val="None"/>
        </w:rPr>
      </w:pPr>
    </w:p>
    <w:p w:rsidR="00742100" w:rsidRDefault="00111170">
      <w:pPr>
        <w:pStyle w:val="Quote"/>
        <w:rPr>
          <w:rStyle w:val="None"/>
          <w:sz w:val="28"/>
          <w:szCs w:val="28"/>
        </w:rPr>
      </w:pPr>
      <w:r>
        <w:rPr>
          <w:rStyle w:val="None"/>
        </w:rPr>
        <w:tab/>
      </w:r>
      <w:r>
        <w:rPr>
          <w:rStyle w:val="None"/>
          <w:rFonts w:eastAsia="Arial Unicode MS" w:cs="Arial Unicode MS"/>
          <w:sz w:val="28"/>
          <w:szCs w:val="28"/>
        </w:rPr>
        <w:t>(1) Any such sale, lease,</w:t>
      </w:r>
      <w:r>
        <w:rPr>
          <w:rStyle w:val="None"/>
          <w:rFonts w:eastAsia="Arial Unicode MS" w:cs="Arial Unicode MS"/>
          <w:sz w:val="28"/>
          <w:szCs w:val="28"/>
        </w:rPr>
        <w:t xml:space="preserve"> assignment, or other disposition, merger or </w:t>
      </w:r>
      <w:r w:rsidR="00B17661">
        <w:rPr>
          <w:rStyle w:val="None"/>
          <w:sz w:val="28"/>
          <w:szCs w:val="28"/>
        </w:rPr>
        <w:tab/>
      </w:r>
      <w:r w:rsidR="00B17661">
        <w:rPr>
          <w:rStyle w:val="None"/>
          <w:sz w:val="28"/>
          <w:szCs w:val="28"/>
        </w:rPr>
        <w:tab/>
      </w:r>
      <w:r w:rsidR="00B17661">
        <w:rPr>
          <w:rStyle w:val="None"/>
          <w:sz w:val="28"/>
          <w:szCs w:val="28"/>
        </w:rPr>
        <w:tab/>
      </w:r>
      <w:r>
        <w:rPr>
          <w:rStyle w:val="None"/>
          <w:rFonts w:eastAsia="Arial Unicode MS" w:cs="Arial Unicode MS"/>
          <w:sz w:val="28"/>
          <w:szCs w:val="28"/>
        </w:rPr>
        <w:t>consolidation made without authority of the commission shall be void.</w:t>
      </w:r>
    </w:p>
    <w:p w:rsidR="00742100" w:rsidRDefault="00742100">
      <w:pPr>
        <w:pStyle w:val="Default"/>
        <w:rPr>
          <w:rFonts w:ascii="Times New Roman" w:eastAsia="Times New Roman" w:hAnsi="Times New Roman" w:cs="Times New Roman"/>
          <w:sz w:val="28"/>
          <w:szCs w:val="28"/>
        </w:rPr>
      </w:pPr>
    </w:p>
    <w:p w:rsidR="00742100" w:rsidRDefault="00111170">
      <w:pPr>
        <w:pStyle w:val="Default"/>
        <w:rPr>
          <w:rFonts w:ascii="Times New Roman" w:eastAsia="Times New Roman" w:hAnsi="Times New Roman" w:cs="Times New Roman"/>
          <w:sz w:val="28"/>
          <w:szCs w:val="28"/>
        </w:rPr>
      </w:pPr>
      <w:r>
        <w:rPr>
          <w:rFonts w:ascii="Times New Roman" w:hAnsi="Times New Roman"/>
          <w:sz w:val="28"/>
          <w:szCs w:val="28"/>
        </w:rPr>
        <w:t>would any agreement entered into prior to the sale or merger be void thereby eliminating the responsibilities of the penalty or specific</w:t>
      </w:r>
      <w:r>
        <w:rPr>
          <w:rFonts w:ascii="Times New Roman" w:hAnsi="Times New Roman"/>
          <w:sz w:val="28"/>
          <w:szCs w:val="28"/>
        </w:rPr>
        <w:t xml:space="preserve"> performance provisions? If not, applying to the Commission for approval, is simply seeking a rubber stamp on what has already been cast in concrete. </w:t>
      </w:r>
    </w:p>
    <w:p w:rsidR="00742100" w:rsidRDefault="00742100">
      <w:pPr>
        <w:pStyle w:val="Default"/>
        <w:rPr>
          <w:rFonts w:ascii="Times New Roman" w:eastAsia="Times New Roman" w:hAnsi="Times New Roman" w:cs="Times New Roman"/>
          <w:sz w:val="28"/>
          <w:szCs w:val="28"/>
        </w:rPr>
      </w:pPr>
    </w:p>
    <w:p w:rsidR="00742100" w:rsidRDefault="00111170">
      <w:pPr>
        <w:pStyle w:val="Default"/>
        <w:rPr>
          <w:rFonts w:ascii="Times New Roman" w:eastAsia="Times New Roman" w:hAnsi="Times New Roman" w:cs="Times New Roman"/>
          <w:sz w:val="28"/>
          <w:szCs w:val="28"/>
        </w:rPr>
      </w:pPr>
      <w:bookmarkStart w:id="0" w:name="_GoBack"/>
      <w:r>
        <w:rPr>
          <w:rFonts w:ascii="Times New Roman" w:hAnsi="Times New Roman"/>
          <w:sz w:val="28"/>
          <w:szCs w:val="28"/>
        </w:rPr>
        <w:t xml:space="preserve">Respectfully, for all the above reasons, the sale of Avista to Hydro One should not </w:t>
      </w:r>
      <w:bookmarkEnd w:id="0"/>
      <w:r>
        <w:rPr>
          <w:rFonts w:ascii="Times New Roman" w:hAnsi="Times New Roman"/>
          <w:sz w:val="28"/>
          <w:szCs w:val="28"/>
        </w:rPr>
        <w:t xml:space="preserve">be allowed.  </w:t>
      </w:r>
    </w:p>
    <w:p w:rsidR="00742100" w:rsidRDefault="00742100">
      <w:pPr>
        <w:pStyle w:val="Default"/>
        <w:rPr>
          <w:rFonts w:ascii="Times New Roman" w:eastAsia="Times New Roman" w:hAnsi="Times New Roman" w:cs="Times New Roman"/>
          <w:sz w:val="28"/>
          <w:szCs w:val="28"/>
        </w:rPr>
      </w:pPr>
    </w:p>
    <w:p w:rsidR="00742100" w:rsidRDefault="00111170">
      <w:pPr>
        <w:pStyle w:val="Default"/>
        <w:rPr>
          <w:rFonts w:ascii="Times New Roman" w:eastAsia="Times New Roman" w:hAnsi="Times New Roman" w:cs="Times New Roman"/>
          <w:sz w:val="28"/>
          <w:szCs w:val="28"/>
        </w:rPr>
      </w:pPr>
      <w:r>
        <w:rPr>
          <w:rFonts w:ascii="Times New Roman" w:hAnsi="Times New Roman"/>
          <w:sz w:val="28"/>
          <w:szCs w:val="28"/>
        </w:rPr>
        <w:t>Don B</w:t>
      </w:r>
      <w:r>
        <w:rPr>
          <w:rFonts w:ascii="Times New Roman" w:hAnsi="Times New Roman"/>
          <w:sz w:val="28"/>
          <w:szCs w:val="28"/>
        </w:rPr>
        <w:t xml:space="preserve">rockett, former Spokane County Prosecuting Attorney (1969-1994) </w:t>
      </w:r>
    </w:p>
    <w:p w:rsidR="00742100" w:rsidRDefault="00111170">
      <w:pPr>
        <w:pStyle w:val="Default"/>
        <w:rPr>
          <w:rFonts w:ascii="Times New Roman" w:eastAsia="Times New Roman" w:hAnsi="Times New Roman" w:cs="Times New Roman"/>
          <w:sz w:val="28"/>
          <w:szCs w:val="28"/>
        </w:rPr>
      </w:pPr>
      <w:r>
        <w:rPr>
          <w:rFonts w:ascii="Times New Roman" w:hAnsi="Times New Roman"/>
          <w:sz w:val="28"/>
          <w:szCs w:val="28"/>
        </w:rPr>
        <w:t>3822 W. Weile, Spokane WA  99208</w:t>
      </w:r>
    </w:p>
    <w:p w:rsidR="00742100" w:rsidRDefault="00111170">
      <w:pPr>
        <w:pStyle w:val="Default"/>
      </w:pPr>
      <w:r>
        <w:rPr>
          <w:rFonts w:ascii="Times New Roman" w:hAnsi="Times New Roman"/>
          <w:sz w:val="28"/>
          <w:szCs w:val="28"/>
        </w:rPr>
        <w:t>509/328-8049</w:t>
      </w:r>
      <w:r>
        <w:rPr>
          <w:rFonts w:ascii="Times New Roman" w:hAnsi="Times New Roman"/>
          <w:sz w:val="28"/>
          <w:szCs w:val="28"/>
        </w:rPr>
        <w:tab/>
        <w:t>Email: dc.brockett@gmail.com</w:t>
      </w:r>
    </w:p>
    <w:sectPr w:rsidR="007421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170" w:rsidRDefault="00111170">
      <w:r>
        <w:separator/>
      </w:r>
    </w:p>
  </w:endnote>
  <w:endnote w:type="continuationSeparator" w:id="0">
    <w:p w:rsidR="00111170" w:rsidRDefault="0011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661" w:rsidRDefault="00B17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00" w:rsidRDefault="007421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661" w:rsidRDefault="00B17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170" w:rsidRDefault="00111170">
      <w:r>
        <w:separator/>
      </w:r>
    </w:p>
  </w:footnote>
  <w:footnote w:type="continuationSeparator" w:id="0">
    <w:p w:rsidR="00111170" w:rsidRDefault="0011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661" w:rsidRDefault="00B1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100" w:rsidRDefault="007421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661" w:rsidRDefault="00B17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00"/>
    <w:rsid w:val="00111170"/>
    <w:rsid w:val="00742100"/>
    <w:rsid w:val="00B1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108F9"/>
  <w15:docId w15:val="{600F1BC0-E3A4-F143-A43C-855DE8AC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pPr>
      <w:spacing w:line="280" w:lineRule="atLeast"/>
    </w:pPr>
    <w:rPr>
      <w:rFonts w:ascii="Times" w:eastAsia="Times" w:hAnsi="Times" w:cs="Times"/>
      <w:color w:val="000000"/>
      <w:sz w:val="24"/>
      <w:szCs w:val="24"/>
    </w:rPr>
  </w:style>
  <w:style w:type="paragraph" w:styleId="Quote">
    <w:name w:val="Quote"/>
    <w:pPr>
      <w:spacing w:line="280" w:lineRule="atLeast"/>
      <w:ind w:left="360"/>
    </w:pPr>
    <w:rPr>
      <w:rFonts w:ascii="Times" w:eastAsia="Times" w:hAnsi="Times" w:cs="Times"/>
      <w:i/>
      <w:iCs/>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i/>
      <w:iCs/>
      <w:color w:val="0000EE"/>
      <w:sz w:val="28"/>
      <w:szCs w:val="28"/>
      <w:u w:val="single"/>
    </w:rPr>
  </w:style>
  <w:style w:type="character" w:customStyle="1" w:styleId="Hyperlink1">
    <w:name w:val="Hyperlink.1"/>
    <w:basedOn w:val="None"/>
    <w:rPr>
      <w:color w:val="0000EE"/>
      <w:u w:val="single"/>
    </w:rPr>
  </w:style>
  <w:style w:type="character" w:customStyle="1" w:styleId="Link">
    <w:name w:val="Link"/>
    <w:rPr>
      <w:u w:val="single"/>
    </w:rPr>
  </w:style>
  <w:style w:type="character" w:customStyle="1" w:styleId="Hyperlink2">
    <w:name w:val="Hyperlink.2"/>
    <w:basedOn w:val="Link"/>
    <w:rPr>
      <w:u w:val="none"/>
    </w:rPr>
  </w:style>
  <w:style w:type="paragraph" w:styleId="Header">
    <w:name w:val="header"/>
    <w:basedOn w:val="Normal"/>
    <w:link w:val="HeaderChar"/>
    <w:uiPriority w:val="99"/>
    <w:unhideWhenUsed/>
    <w:rsid w:val="00B17661"/>
    <w:pPr>
      <w:tabs>
        <w:tab w:val="center" w:pos="4680"/>
        <w:tab w:val="right" w:pos="9360"/>
      </w:tabs>
    </w:pPr>
  </w:style>
  <w:style w:type="character" w:customStyle="1" w:styleId="HeaderChar">
    <w:name w:val="Header Char"/>
    <w:basedOn w:val="DefaultParagraphFont"/>
    <w:link w:val="Header"/>
    <w:uiPriority w:val="99"/>
    <w:rsid w:val="00B17661"/>
    <w:rPr>
      <w:sz w:val="24"/>
      <w:szCs w:val="24"/>
    </w:rPr>
  </w:style>
  <w:style w:type="paragraph" w:styleId="Footer">
    <w:name w:val="footer"/>
    <w:basedOn w:val="Normal"/>
    <w:link w:val="FooterChar"/>
    <w:uiPriority w:val="99"/>
    <w:unhideWhenUsed/>
    <w:rsid w:val="00B17661"/>
    <w:pPr>
      <w:tabs>
        <w:tab w:val="center" w:pos="4680"/>
        <w:tab w:val="right" w:pos="9360"/>
      </w:tabs>
    </w:pPr>
  </w:style>
  <w:style w:type="character" w:customStyle="1" w:styleId="FooterChar">
    <w:name w:val="Footer Char"/>
    <w:basedOn w:val="DefaultParagraphFont"/>
    <w:link w:val="Footer"/>
    <w:uiPriority w:val="99"/>
    <w:rsid w:val="00B176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80.12.030"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app.leg.wa.gov/RCW/default.aspx?cite=80.01.040"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lawfilesext.leg.wa.gov/biennium/2009-10/Pdf/Bills/Session%20Laws/Senate/5055-S.SL.pdf?cite=2009%20c%2024%20%C2%A7%20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2018-10-25T07:00:00+00:00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HydroOne</Nickname>
    <DocketNumber xmlns="dc463f71-b30c-4ab2-9473-d307f9d35888">170970</DocketNumber>
    <DelegatedOrder xmlns="dc463f71-b30c-4ab2-9473-d307f9d35888">false</DelegatedOrder>
  </documentManagement>
</p:properties>
</file>

<file path=customXml/itemProps1.xml><?xml version="1.0" encoding="utf-8"?>
<ds:datastoreItem xmlns:ds="http://schemas.openxmlformats.org/officeDocument/2006/customXml" ds:itemID="{2A6C94AE-75CD-4856-8E83-C67026396253}"/>
</file>

<file path=customXml/itemProps2.xml><?xml version="1.0" encoding="utf-8"?>
<ds:datastoreItem xmlns:ds="http://schemas.openxmlformats.org/officeDocument/2006/customXml" ds:itemID="{215D4F5E-60B1-48F0-B7B5-A1F9947308E6}"/>
</file>

<file path=customXml/itemProps3.xml><?xml version="1.0" encoding="utf-8"?>
<ds:datastoreItem xmlns:ds="http://schemas.openxmlformats.org/officeDocument/2006/customXml" ds:itemID="{4B40ABB6-68EC-400C-935D-167C539A4BEF}"/>
</file>

<file path=customXml/itemProps4.xml><?xml version="1.0" encoding="utf-8"?>
<ds:datastoreItem xmlns:ds="http://schemas.openxmlformats.org/officeDocument/2006/customXml" ds:itemID="{F623A6CA-E41D-448D-9AA6-C2F90A551048}"/>
</file>

<file path=docProps/app.xml><?xml version="1.0" encoding="utf-8"?>
<Properties xmlns="http://schemas.openxmlformats.org/officeDocument/2006/extended-properties" xmlns:vt="http://schemas.openxmlformats.org/officeDocument/2006/docPropsVTypes">
  <Template>Normal.dotm</Template>
  <TotalTime>3</TotalTime>
  <Pages>4</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Brockett</cp:lastModifiedBy>
  <cp:revision>2</cp:revision>
  <dcterms:created xsi:type="dcterms:W3CDTF">2018-08-07T17:22:00Z</dcterms:created>
  <dcterms:modified xsi:type="dcterms:W3CDTF">2018-08-07T17:22:00Z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